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A7103" w14:textId="6223C6F5" w:rsidR="00085287" w:rsidRDefault="00085287" w:rsidP="002A1848">
      <w:pPr>
        <w:spacing w:line="276" w:lineRule="auto"/>
        <w:jc w:val="both"/>
        <w:rPr>
          <w:rFonts w:ascii="Times New Roman" w:eastAsia="Times New Roman" w:hAnsi="Times New Roman" w:cs="Times New Roman"/>
          <w:b/>
          <w:color w:val="000000" w:themeColor="text1"/>
          <w:sz w:val="52"/>
          <w:szCs w:val="24"/>
          <w:lang w:eastAsia="cs-CZ"/>
        </w:rPr>
      </w:pPr>
    </w:p>
    <w:p w14:paraId="119480DF" w14:textId="77777777" w:rsidR="006900A3" w:rsidRDefault="006900A3" w:rsidP="002A1848">
      <w:pPr>
        <w:spacing w:line="276" w:lineRule="auto"/>
        <w:jc w:val="both"/>
        <w:rPr>
          <w:rFonts w:ascii="Times New Roman" w:eastAsia="Times New Roman" w:hAnsi="Times New Roman" w:cs="Times New Roman"/>
          <w:b/>
          <w:color w:val="000000" w:themeColor="text1"/>
          <w:sz w:val="52"/>
          <w:szCs w:val="24"/>
          <w:lang w:eastAsia="cs-CZ"/>
        </w:rPr>
      </w:pPr>
    </w:p>
    <w:p w14:paraId="668D73BF" w14:textId="77777777" w:rsidR="00C62D74" w:rsidRPr="008D7F3D" w:rsidRDefault="00C62D74" w:rsidP="002A1848">
      <w:pPr>
        <w:spacing w:line="276" w:lineRule="auto"/>
        <w:jc w:val="both"/>
        <w:rPr>
          <w:rFonts w:ascii="Times New Roman" w:eastAsia="Times New Roman" w:hAnsi="Times New Roman" w:cs="Times New Roman"/>
          <w:b/>
          <w:color w:val="000000" w:themeColor="text1"/>
          <w:sz w:val="52"/>
          <w:szCs w:val="24"/>
          <w:lang w:eastAsia="cs-CZ"/>
        </w:rPr>
      </w:pPr>
    </w:p>
    <w:p w14:paraId="2F4E786D" w14:textId="6BD70232" w:rsidR="00085287" w:rsidRPr="008D7F3D" w:rsidRDefault="003856FE" w:rsidP="002A1848">
      <w:pPr>
        <w:spacing w:line="276" w:lineRule="auto"/>
        <w:jc w:val="center"/>
        <w:rPr>
          <w:rFonts w:ascii="Times New Roman" w:eastAsia="Times New Roman" w:hAnsi="Times New Roman" w:cs="Times New Roman"/>
          <w:b/>
          <w:color w:val="000000" w:themeColor="text1"/>
          <w:sz w:val="52"/>
          <w:szCs w:val="24"/>
          <w:lang w:eastAsia="cs-CZ"/>
        </w:rPr>
      </w:pPr>
      <w:r>
        <w:rPr>
          <w:rFonts w:ascii="Times New Roman" w:eastAsia="Times New Roman" w:hAnsi="Times New Roman" w:cs="Times New Roman"/>
          <w:b/>
          <w:color w:val="000000" w:themeColor="text1"/>
          <w:sz w:val="52"/>
          <w:szCs w:val="24"/>
          <w:lang w:eastAsia="cs-CZ"/>
        </w:rPr>
        <w:t xml:space="preserve">Podrobné informace k aktuálnímu stavu jednotlivých </w:t>
      </w:r>
      <w:proofErr w:type="gramStart"/>
      <w:r w:rsidR="00085287" w:rsidRPr="008D7F3D">
        <w:rPr>
          <w:rFonts w:ascii="Times New Roman" w:eastAsia="Times New Roman" w:hAnsi="Times New Roman" w:cs="Times New Roman"/>
          <w:b/>
          <w:color w:val="000000" w:themeColor="text1"/>
          <w:sz w:val="52"/>
          <w:szCs w:val="24"/>
          <w:lang w:eastAsia="cs-CZ"/>
        </w:rPr>
        <w:t>Zelen</w:t>
      </w:r>
      <w:bookmarkStart w:id="0" w:name="_GoBack"/>
      <w:bookmarkEnd w:id="0"/>
      <w:r w:rsidR="00085287" w:rsidRPr="008D7F3D">
        <w:rPr>
          <w:rFonts w:ascii="Times New Roman" w:eastAsia="Times New Roman" w:hAnsi="Times New Roman" w:cs="Times New Roman"/>
          <w:b/>
          <w:color w:val="000000" w:themeColor="text1"/>
          <w:sz w:val="52"/>
          <w:szCs w:val="24"/>
          <w:lang w:eastAsia="cs-CZ"/>
        </w:rPr>
        <w:t>é</w:t>
      </w:r>
      <w:proofErr w:type="gramEnd"/>
      <w:r w:rsidR="00085287" w:rsidRPr="008D7F3D">
        <w:rPr>
          <w:rFonts w:ascii="Times New Roman" w:eastAsia="Times New Roman" w:hAnsi="Times New Roman" w:cs="Times New Roman"/>
          <w:b/>
          <w:color w:val="000000" w:themeColor="text1"/>
          <w:sz w:val="52"/>
          <w:szCs w:val="24"/>
          <w:lang w:eastAsia="cs-CZ"/>
        </w:rPr>
        <w:t xml:space="preserve"> dohody pro Evropu</w:t>
      </w:r>
    </w:p>
    <w:p w14:paraId="706EBCA5" w14:textId="2A54418A" w:rsidR="00085287" w:rsidRPr="008D7F3D" w:rsidRDefault="00085287" w:rsidP="002A1848">
      <w:pPr>
        <w:spacing w:line="276" w:lineRule="auto"/>
        <w:jc w:val="center"/>
        <w:rPr>
          <w:rFonts w:ascii="Times New Roman" w:eastAsia="Times New Roman" w:hAnsi="Times New Roman" w:cs="Times New Roman"/>
          <w:b/>
          <w:color w:val="000000" w:themeColor="text1"/>
          <w:sz w:val="52"/>
          <w:szCs w:val="24"/>
          <w:lang w:eastAsia="cs-CZ"/>
        </w:rPr>
      </w:pPr>
      <w:r>
        <w:rPr>
          <w:rFonts w:ascii="Times New Roman" w:eastAsia="Times New Roman" w:hAnsi="Times New Roman" w:cs="Times New Roman"/>
          <w:b/>
          <w:color w:val="000000" w:themeColor="text1"/>
          <w:sz w:val="52"/>
          <w:szCs w:val="24"/>
          <w:lang w:eastAsia="cs-CZ"/>
        </w:rPr>
        <w:t>(</w:t>
      </w:r>
      <w:r w:rsidR="00942463">
        <w:rPr>
          <w:rFonts w:ascii="Times New Roman" w:eastAsia="Times New Roman" w:hAnsi="Times New Roman" w:cs="Times New Roman"/>
          <w:b/>
          <w:color w:val="000000" w:themeColor="text1"/>
          <w:sz w:val="52"/>
          <w:szCs w:val="24"/>
          <w:lang w:eastAsia="cs-CZ"/>
        </w:rPr>
        <w:t>stav k 3</w:t>
      </w:r>
      <w:r w:rsidRPr="008D7F3D">
        <w:rPr>
          <w:rFonts w:ascii="Times New Roman" w:eastAsia="Times New Roman" w:hAnsi="Times New Roman" w:cs="Times New Roman"/>
          <w:b/>
          <w:color w:val="000000" w:themeColor="text1"/>
          <w:sz w:val="52"/>
          <w:szCs w:val="24"/>
          <w:lang w:eastAsia="cs-CZ"/>
        </w:rPr>
        <w:t xml:space="preserve">. </w:t>
      </w:r>
      <w:r w:rsidR="001930CD">
        <w:rPr>
          <w:rFonts w:ascii="Times New Roman" w:eastAsia="Times New Roman" w:hAnsi="Times New Roman" w:cs="Times New Roman"/>
          <w:b/>
          <w:color w:val="000000" w:themeColor="text1"/>
          <w:sz w:val="52"/>
          <w:szCs w:val="24"/>
          <w:lang w:eastAsia="cs-CZ"/>
        </w:rPr>
        <w:t>12</w:t>
      </w:r>
      <w:r w:rsidRPr="008D7F3D">
        <w:rPr>
          <w:rFonts w:ascii="Times New Roman" w:eastAsia="Times New Roman" w:hAnsi="Times New Roman" w:cs="Times New Roman"/>
          <w:b/>
          <w:color w:val="000000" w:themeColor="text1"/>
          <w:sz w:val="52"/>
          <w:szCs w:val="24"/>
          <w:lang w:eastAsia="cs-CZ"/>
        </w:rPr>
        <w:t>. 2020</w:t>
      </w:r>
      <w:r>
        <w:rPr>
          <w:rFonts w:ascii="Times New Roman" w:eastAsia="Times New Roman" w:hAnsi="Times New Roman" w:cs="Times New Roman"/>
          <w:b/>
          <w:color w:val="000000" w:themeColor="text1"/>
          <w:sz w:val="52"/>
          <w:szCs w:val="24"/>
          <w:lang w:eastAsia="cs-CZ"/>
        </w:rPr>
        <w:t>)</w:t>
      </w:r>
    </w:p>
    <w:p w14:paraId="6347F7FB" w14:textId="18653F59" w:rsidR="00085287" w:rsidRPr="008D7F3D" w:rsidRDefault="00085287" w:rsidP="002A1848">
      <w:pPr>
        <w:spacing w:line="276" w:lineRule="auto"/>
        <w:jc w:val="both"/>
        <w:rPr>
          <w:rFonts w:ascii="Times New Roman" w:hAnsi="Times New Roman" w:cs="Times New Roman"/>
          <w:b/>
          <w:color w:val="000000" w:themeColor="text1"/>
          <w:sz w:val="28"/>
          <w:szCs w:val="28"/>
        </w:rPr>
      </w:pPr>
      <w:r>
        <w:rPr>
          <w:rFonts w:ascii="Times New Roman" w:eastAsia="Times New Roman" w:hAnsi="Times New Roman" w:cs="Times New Roman"/>
          <w:b/>
          <w:color w:val="000000" w:themeColor="text1"/>
          <w:sz w:val="52"/>
          <w:szCs w:val="24"/>
          <w:lang w:eastAsia="cs-CZ"/>
        </w:rPr>
        <w:t xml:space="preserve">                      </w:t>
      </w:r>
    </w:p>
    <w:p w14:paraId="5B0143B4" w14:textId="77777777" w:rsidR="00085287" w:rsidRPr="008D7F3D" w:rsidRDefault="00085287" w:rsidP="002A1848">
      <w:pPr>
        <w:spacing w:line="276" w:lineRule="auto"/>
        <w:jc w:val="both"/>
        <w:rPr>
          <w:rFonts w:ascii="Times New Roman" w:hAnsi="Times New Roman" w:cs="Times New Roman"/>
          <w:b/>
          <w:color w:val="000000" w:themeColor="text1"/>
          <w:sz w:val="32"/>
          <w:szCs w:val="32"/>
        </w:rPr>
      </w:pPr>
      <w:r w:rsidRPr="008D7F3D">
        <w:rPr>
          <w:rFonts w:ascii="Times New Roman" w:hAnsi="Times New Roman" w:cs="Times New Roman"/>
          <w:b/>
          <w:color w:val="000000" w:themeColor="text1"/>
          <w:sz w:val="32"/>
          <w:szCs w:val="32"/>
        </w:rPr>
        <w:br w:type="page"/>
      </w:r>
    </w:p>
    <w:sdt>
      <w:sdtPr>
        <w:rPr>
          <w:rFonts w:asciiTheme="minorHAnsi" w:eastAsiaTheme="minorHAnsi" w:hAnsiTheme="minorHAnsi" w:cstheme="minorBidi"/>
          <w:b w:val="0"/>
          <w:sz w:val="22"/>
          <w:szCs w:val="22"/>
          <w:lang w:eastAsia="en-US"/>
        </w:rPr>
        <w:id w:val="1372643749"/>
        <w:docPartObj>
          <w:docPartGallery w:val="Table of Contents"/>
          <w:docPartUnique/>
        </w:docPartObj>
      </w:sdtPr>
      <w:sdtEndPr>
        <w:rPr>
          <w:rFonts w:cstheme="minorHAnsi"/>
          <w:sz w:val="28"/>
          <w:szCs w:val="28"/>
        </w:rPr>
      </w:sdtEndPr>
      <w:sdtContent>
        <w:p w14:paraId="2A394638" w14:textId="77777777" w:rsidR="00981EEE" w:rsidRDefault="00981EEE" w:rsidP="002A1848">
          <w:pPr>
            <w:pStyle w:val="Nadpisobsahu"/>
            <w:spacing w:before="0" w:after="160"/>
            <w:rPr>
              <w:rFonts w:asciiTheme="minorHAnsi" w:eastAsiaTheme="minorHAnsi" w:hAnsiTheme="minorHAnsi" w:cstheme="minorBidi"/>
              <w:b w:val="0"/>
              <w:sz w:val="22"/>
              <w:szCs w:val="22"/>
              <w:lang w:eastAsia="en-US"/>
            </w:rPr>
          </w:pPr>
        </w:p>
        <w:p w14:paraId="412155B5" w14:textId="5E661B89" w:rsidR="00981EEE" w:rsidRDefault="00981EEE" w:rsidP="002A1848">
          <w:pPr>
            <w:pStyle w:val="Nadpisobsahu"/>
            <w:spacing w:before="0" w:after="160"/>
            <w:rPr>
              <w:rFonts w:asciiTheme="minorHAnsi" w:eastAsiaTheme="minorHAnsi" w:hAnsiTheme="minorHAnsi" w:cstheme="minorBidi"/>
              <w:b w:val="0"/>
              <w:sz w:val="22"/>
              <w:szCs w:val="22"/>
              <w:lang w:eastAsia="en-US"/>
            </w:rPr>
          </w:pPr>
        </w:p>
        <w:p w14:paraId="0E3B3987" w14:textId="111AB2F5" w:rsidR="00FF48A6" w:rsidRDefault="00FF48A6" w:rsidP="00FF48A6"/>
        <w:p w14:paraId="48501C59" w14:textId="77777777" w:rsidR="00FF48A6" w:rsidRPr="00FF48A6" w:rsidRDefault="00FF48A6" w:rsidP="00FF48A6"/>
        <w:p w14:paraId="5A8F4354" w14:textId="574B691D" w:rsidR="00085287" w:rsidRDefault="00085287" w:rsidP="002A1848">
          <w:pPr>
            <w:pStyle w:val="Nadpisobsahu"/>
            <w:spacing w:before="0" w:after="160"/>
            <w:rPr>
              <w:rFonts w:asciiTheme="minorHAnsi" w:hAnsiTheme="minorHAnsi" w:cstheme="minorHAnsi"/>
            </w:rPr>
          </w:pPr>
          <w:r w:rsidRPr="000442D5">
            <w:rPr>
              <w:rFonts w:asciiTheme="minorHAnsi" w:hAnsiTheme="minorHAnsi" w:cstheme="minorHAnsi"/>
            </w:rPr>
            <w:t>Obsah</w:t>
          </w:r>
        </w:p>
        <w:p w14:paraId="030C6730" w14:textId="77777777" w:rsidR="00E5233D" w:rsidRPr="00E5233D" w:rsidRDefault="00E5233D" w:rsidP="00E5233D">
          <w:pPr>
            <w:rPr>
              <w:lang w:eastAsia="cs-CZ"/>
            </w:rPr>
          </w:pPr>
        </w:p>
        <w:p w14:paraId="4516DFC8" w14:textId="2A0E480C" w:rsidR="00085287" w:rsidRPr="0068554C" w:rsidRDefault="00085287" w:rsidP="002A1848">
          <w:pPr>
            <w:spacing w:line="276" w:lineRule="auto"/>
            <w:ind w:left="567" w:hanging="567"/>
            <w:jc w:val="both"/>
            <w:rPr>
              <w:rFonts w:cstheme="minorHAnsi"/>
              <w:sz w:val="28"/>
              <w:szCs w:val="28"/>
            </w:rPr>
          </w:pPr>
          <w:r>
            <w:rPr>
              <w:rFonts w:cstheme="minorHAnsi"/>
              <w:sz w:val="28"/>
              <w:szCs w:val="28"/>
            </w:rPr>
            <w:t>1.</w:t>
          </w:r>
          <w:r w:rsidR="000442D5">
            <w:rPr>
              <w:rFonts w:cstheme="minorHAnsi"/>
              <w:sz w:val="28"/>
              <w:szCs w:val="28"/>
            </w:rPr>
            <w:tab/>
          </w:r>
          <w:r w:rsidRPr="00533404">
            <w:rPr>
              <w:rFonts w:cstheme="minorHAnsi"/>
              <w:sz w:val="28"/>
              <w:szCs w:val="28"/>
            </w:rPr>
            <w:fldChar w:fldCharType="begin"/>
          </w:r>
          <w:r w:rsidRPr="00533404">
            <w:rPr>
              <w:rFonts w:cstheme="minorHAnsi"/>
              <w:sz w:val="28"/>
              <w:szCs w:val="28"/>
            </w:rPr>
            <w:instrText xml:space="preserve"> TOC \o "1-3" \h \z \u </w:instrText>
          </w:r>
          <w:r w:rsidRPr="00533404">
            <w:rPr>
              <w:rFonts w:cstheme="minorHAnsi"/>
              <w:sz w:val="28"/>
              <w:szCs w:val="28"/>
            </w:rPr>
            <w:fldChar w:fldCharType="separate"/>
          </w:r>
          <w:r w:rsidRPr="00533404">
            <w:rPr>
              <w:rFonts w:cstheme="minorHAnsi"/>
              <w:sz w:val="28"/>
              <w:szCs w:val="28"/>
            </w:rPr>
            <w:fldChar w:fldCharType="begin"/>
          </w:r>
          <w:r w:rsidRPr="00533404">
            <w:rPr>
              <w:rFonts w:cstheme="minorHAnsi"/>
              <w:sz w:val="28"/>
              <w:szCs w:val="28"/>
            </w:rPr>
            <w:instrText xml:space="preserve"> HYPERLINK \l "_Toc49930231" </w:instrText>
          </w:r>
          <w:r w:rsidRPr="00533404">
            <w:rPr>
              <w:rFonts w:cstheme="minorHAnsi"/>
              <w:sz w:val="28"/>
              <w:szCs w:val="28"/>
            </w:rPr>
            <w:fldChar w:fldCharType="separate"/>
          </w:r>
          <w:r w:rsidRPr="0068554C">
            <w:rPr>
              <w:rFonts w:cstheme="minorHAnsi"/>
              <w:sz w:val="28"/>
              <w:szCs w:val="28"/>
            </w:rPr>
            <w:t>Ambice v oblasti klimatu</w:t>
          </w:r>
          <w:r w:rsidR="00E33126" w:rsidRPr="0068554C">
            <w:rPr>
              <w:rFonts w:cstheme="minorHAnsi"/>
              <w:sz w:val="28"/>
              <w:szCs w:val="28"/>
            </w:rPr>
            <w:t xml:space="preserve"> </w:t>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p>
        <w:p w14:paraId="1993D593" w14:textId="00EED04D" w:rsidR="00085287" w:rsidRPr="0068554C" w:rsidRDefault="00085287" w:rsidP="002A1848">
          <w:pPr>
            <w:spacing w:line="276" w:lineRule="auto"/>
            <w:ind w:left="567" w:hanging="567"/>
            <w:jc w:val="both"/>
            <w:rPr>
              <w:rFonts w:cstheme="minorHAnsi"/>
              <w:sz w:val="28"/>
              <w:szCs w:val="28"/>
            </w:rPr>
          </w:pPr>
          <w:r w:rsidRPr="0068554C">
            <w:rPr>
              <w:rFonts w:cstheme="minorHAnsi"/>
              <w:sz w:val="28"/>
              <w:szCs w:val="28"/>
            </w:rPr>
            <w:t>2.</w:t>
          </w:r>
          <w:r w:rsidR="000442D5" w:rsidRPr="0068554C">
            <w:rPr>
              <w:rFonts w:cstheme="minorHAnsi"/>
              <w:sz w:val="28"/>
              <w:szCs w:val="28"/>
            </w:rPr>
            <w:tab/>
          </w:r>
          <w:r w:rsidRPr="0068554C">
            <w:rPr>
              <w:rFonts w:cstheme="minorHAnsi"/>
              <w:sz w:val="28"/>
              <w:szCs w:val="28"/>
            </w:rPr>
            <w:t>Čistá, dostupná a bezpečná energie</w:t>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r w:rsidR="00E33126" w:rsidRPr="0068554C">
            <w:rPr>
              <w:rFonts w:cstheme="minorHAnsi"/>
              <w:sz w:val="28"/>
              <w:szCs w:val="28"/>
            </w:rPr>
            <w:tab/>
          </w:r>
        </w:p>
        <w:p w14:paraId="57751AAE" w14:textId="64B9C893" w:rsidR="00085287" w:rsidRPr="0068554C" w:rsidRDefault="00085287" w:rsidP="002A1848">
          <w:pPr>
            <w:spacing w:line="276" w:lineRule="auto"/>
            <w:ind w:left="567" w:hanging="567"/>
            <w:jc w:val="both"/>
            <w:rPr>
              <w:rFonts w:cstheme="minorHAnsi"/>
              <w:sz w:val="28"/>
              <w:szCs w:val="28"/>
            </w:rPr>
          </w:pPr>
          <w:r w:rsidRPr="0068554C">
            <w:rPr>
              <w:rFonts w:cstheme="minorHAnsi"/>
              <w:sz w:val="28"/>
              <w:szCs w:val="28"/>
            </w:rPr>
            <w:t xml:space="preserve">3. </w:t>
          </w:r>
          <w:r w:rsidR="000442D5" w:rsidRPr="0068554C">
            <w:rPr>
              <w:rFonts w:cstheme="minorHAnsi"/>
              <w:sz w:val="28"/>
              <w:szCs w:val="28"/>
            </w:rPr>
            <w:tab/>
          </w:r>
          <w:r w:rsidRPr="0068554C">
            <w:rPr>
              <w:rFonts w:cstheme="minorHAnsi"/>
              <w:sz w:val="28"/>
              <w:szCs w:val="28"/>
            </w:rPr>
            <w:t>Průmyslová strategie pro čisté oběhové hospodářství</w:t>
          </w:r>
          <w:r w:rsidR="00E33126" w:rsidRPr="0068554C">
            <w:rPr>
              <w:rFonts w:cstheme="minorHAnsi"/>
              <w:sz w:val="28"/>
              <w:szCs w:val="28"/>
            </w:rPr>
            <w:tab/>
          </w:r>
          <w:r w:rsidR="00E33126" w:rsidRPr="0068554C">
            <w:rPr>
              <w:rFonts w:cstheme="minorHAnsi"/>
              <w:sz w:val="28"/>
              <w:szCs w:val="28"/>
            </w:rPr>
            <w:tab/>
          </w:r>
        </w:p>
        <w:p w14:paraId="428D5A7B" w14:textId="4650AEDB" w:rsidR="00085287" w:rsidRPr="0068554C" w:rsidRDefault="00085287" w:rsidP="002A1848">
          <w:pPr>
            <w:spacing w:line="276" w:lineRule="auto"/>
            <w:ind w:left="567" w:hanging="567"/>
            <w:jc w:val="both"/>
            <w:rPr>
              <w:rFonts w:cstheme="minorHAnsi"/>
              <w:sz w:val="28"/>
              <w:szCs w:val="28"/>
            </w:rPr>
          </w:pPr>
          <w:r>
            <w:rPr>
              <w:rFonts w:cstheme="minorHAnsi"/>
              <w:sz w:val="28"/>
              <w:szCs w:val="28"/>
            </w:rPr>
            <w:t>4.</w:t>
          </w:r>
          <w:r w:rsidR="000442D5">
            <w:rPr>
              <w:rFonts w:cstheme="minorHAnsi"/>
              <w:sz w:val="28"/>
              <w:szCs w:val="28"/>
            </w:rPr>
            <w:tab/>
          </w:r>
          <w:r w:rsidRPr="00533404">
            <w:rPr>
              <w:rFonts w:cstheme="minorHAnsi"/>
              <w:sz w:val="28"/>
              <w:szCs w:val="28"/>
            </w:rPr>
            <w:t>Udržitelná a inteligentní mobilita</w:t>
          </w:r>
          <w:r w:rsidRPr="00533404">
            <w:rPr>
              <w:rFonts w:cstheme="minorHAnsi"/>
              <w:sz w:val="28"/>
              <w:szCs w:val="28"/>
            </w:rPr>
            <w:fldChar w:fldCharType="end"/>
          </w:r>
          <w:r w:rsidR="00E33126">
            <w:rPr>
              <w:rFonts w:cstheme="minorHAnsi"/>
              <w:sz w:val="28"/>
              <w:szCs w:val="28"/>
            </w:rPr>
            <w:t xml:space="preserve">                                                      </w:t>
          </w:r>
        </w:p>
        <w:p w14:paraId="2C18D228" w14:textId="2050EBBD" w:rsidR="009741C7" w:rsidRDefault="00085287" w:rsidP="002A1848">
          <w:pPr>
            <w:spacing w:line="276" w:lineRule="auto"/>
            <w:ind w:left="567" w:hanging="567"/>
            <w:jc w:val="both"/>
            <w:rPr>
              <w:rFonts w:cstheme="minorHAnsi"/>
              <w:sz w:val="28"/>
              <w:szCs w:val="28"/>
            </w:rPr>
          </w:pPr>
          <w:r w:rsidRPr="00533404">
            <w:rPr>
              <w:rFonts w:cstheme="minorHAnsi"/>
              <w:sz w:val="28"/>
              <w:szCs w:val="28"/>
            </w:rPr>
            <w:fldChar w:fldCharType="end"/>
          </w:r>
          <w:r>
            <w:rPr>
              <w:rFonts w:cstheme="minorHAnsi"/>
              <w:sz w:val="28"/>
              <w:szCs w:val="28"/>
            </w:rPr>
            <w:t>5.</w:t>
          </w:r>
          <w:r w:rsidR="000442D5">
            <w:rPr>
              <w:rFonts w:cstheme="minorHAnsi"/>
              <w:sz w:val="28"/>
              <w:szCs w:val="28"/>
            </w:rPr>
            <w:tab/>
          </w:r>
          <w:r w:rsidRPr="00533404">
            <w:rPr>
              <w:rFonts w:cstheme="minorHAnsi"/>
              <w:sz w:val="28"/>
              <w:szCs w:val="28"/>
            </w:rPr>
            <w:t xml:space="preserve">Ekologizace společné zemědělské politiky / strategie </w:t>
          </w:r>
          <w:r w:rsidR="009741C7">
            <w:rPr>
              <w:rFonts w:cstheme="minorHAnsi"/>
              <w:sz w:val="28"/>
              <w:szCs w:val="28"/>
            </w:rPr>
            <w:tab/>
          </w:r>
          <w:r w:rsidR="009741C7">
            <w:rPr>
              <w:rFonts w:cstheme="minorHAnsi"/>
              <w:sz w:val="28"/>
              <w:szCs w:val="28"/>
            </w:rPr>
            <w:tab/>
          </w:r>
        </w:p>
        <w:p w14:paraId="43D4EF49" w14:textId="71B9CF03" w:rsidR="00085287" w:rsidRDefault="009741C7" w:rsidP="002A1848">
          <w:pPr>
            <w:spacing w:line="276" w:lineRule="auto"/>
            <w:ind w:left="567" w:hanging="567"/>
            <w:jc w:val="both"/>
            <w:rPr>
              <w:rFonts w:cstheme="minorHAnsi"/>
              <w:sz w:val="28"/>
              <w:szCs w:val="28"/>
            </w:rPr>
          </w:pPr>
          <w:r>
            <w:rPr>
              <w:rFonts w:cstheme="minorHAnsi"/>
              <w:sz w:val="28"/>
              <w:szCs w:val="28"/>
            </w:rPr>
            <w:t xml:space="preserve">         </w:t>
          </w:r>
          <w:r w:rsidR="00085287" w:rsidRPr="00533404">
            <w:rPr>
              <w:rFonts w:cstheme="minorHAnsi"/>
              <w:sz w:val="28"/>
              <w:szCs w:val="28"/>
            </w:rPr>
            <w:t>„od zemědělce ke spotřebiteli“</w:t>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p>
        <w:p w14:paraId="5AEC8BC0" w14:textId="5B7085E1" w:rsidR="00085287" w:rsidRDefault="00085287" w:rsidP="002A1848">
          <w:pPr>
            <w:spacing w:line="276" w:lineRule="auto"/>
            <w:ind w:left="567" w:hanging="567"/>
            <w:jc w:val="both"/>
            <w:rPr>
              <w:rFonts w:cstheme="minorHAnsi"/>
              <w:sz w:val="28"/>
              <w:szCs w:val="28"/>
            </w:rPr>
          </w:pPr>
          <w:r>
            <w:rPr>
              <w:rFonts w:cstheme="minorHAnsi"/>
              <w:sz w:val="28"/>
              <w:szCs w:val="28"/>
            </w:rPr>
            <w:t xml:space="preserve">6. </w:t>
          </w:r>
          <w:r w:rsidR="000442D5">
            <w:rPr>
              <w:rFonts w:cstheme="minorHAnsi"/>
              <w:sz w:val="28"/>
              <w:szCs w:val="28"/>
            </w:rPr>
            <w:tab/>
          </w:r>
          <w:r>
            <w:rPr>
              <w:rFonts w:cstheme="minorHAnsi"/>
              <w:sz w:val="28"/>
              <w:szCs w:val="28"/>
            </w:rPr>
            <w:t>Zachování a ochrana biologické rozmanitosti</w:t>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p>
        <w:p w14:paraId="6EF16BA4" w14:textId="06CCE8E0" w:rsidR="00977A3D" w:rsidRDefault="00085287" w:rsidP="002A1848">
          <w:pPr>
            <w:spacing w:line="276" w:lineRule="auto"/>
            <w:ind w:left="567" w:hanging="567"/>
            <w:jc w:val="both"/>
            <w:rPr>
              <w:rFonts w:cstheme="minorHAnsi"/>
              <w:sz w:val="28"/>
              <w:szCs w:val="28"/>
            </w:rPr>
          </w:pPr>
          <w:r>
            <w:rPr>
              <w:rFonts w:cstheme="minorHAnsi"/>
              <w:sz w:val="28"/>
              <w:szCs w:val="28"/>
            </w:rPr>
            <w:t xml:space="preserve">7. </w:t>
          </w:r>
          <w:r w:rsidR="000442D5">
            <w:rPr>
              <w:rFonts w:cstheme="minorHAnsi"/>
              <w:sz w:val="28"/>
              <w:szCs w:val="28"/>
            </w:rPr>
            <w:tab/>
          </w:r>
          <w:r>
            <w:rPr>
              <w:rFonts w:cstheme="minorHAnsi"/>
              <w:sz w:val="28"/>
              <w:szCs w:val="28"/>
            </w:rPr>
            <w:t xml:space="preserve">Směrem k životnímu prostředí bez toxických látek díky </w:t>
          </w:r>
          <w:r w:rsidR="00977A3D">
            <w:rPr>
              <w:rFonts w:cstheme="minorHAnsi"/>
              <w:sz w:val="28"/>
              <w:szCs w:val="28"/>
            </w:rPr>
            <w:tab/>
          </w:r>
          <w:r w:rsidR="00977A3D">
            <w:rPr>
              <w:rFonts w:cstheme="minorHAnsi"/>
              <w:sz w:val="28"/>
              <w:szCs w:val="28"/>
            </w:rPr>
            <w:tab/>
          </w:r>
        </w:p>
        <w:p w14:paraId="3FBA227C" w14:textId="60315165" w:rsidR="00085287" w:rsidRDefault="0068554C" w:rsidP="002A1848">
          <w:pPr>
            <w:spacing w:line="276" w:lineRule="auto"/>
            <w:ind w:left="567" w:hanging="567"/>
            <w:jc w:val="both"/>
            <w:rPr>
              <w:rFonts w:cstheme="minorHAnsi"/>
              <w:sz w:val="28"/>
              <w:szCs w:val="28"/>
            </w:rPr>
          </w:pPr>
          <w:r>
            <w:rPr>
              <w:rFonts w:cstheme="minorHAnsi"/>
              <w:sz w:val="28"/>
              <w:szCs w:val="28"/>
            </w:rPr>
            <w:t xml:space="preserve">         </w:t>
          </w:r>
          <w:r w:rsidR="00085287">
            <w:rPr>
              <w:rFonts w:cstheme="minorHAnsi"/>
              <w:sz w:val="28"/>
              <w:szCs w:val="28"/>
            </w:rPr>
            <w:t>ambicióznímu cíli nulového znečištění</w:t>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p>
        <w:p w14:paraId="62C9D1CD" w14:textId="7E0E8E92" w:rsidR="00085287" w:rsidRDefault="00085287" w:rsidP="002A1848">
          <w:pPr>
            <w:spacing w:line="276" w:lineRule="auto"/>
            <w:ind w:left="567" w:hanging="567"/>
            <w:jc w:val="both"/>
            <w:rPr>
              <w:rFonts w:cstheme="minorHAnsi"/>
              <w:sz w:val="28"/>
              <w:szCs w:val="28"/>
            </w:rPr>
          </w:pPr>
          <w:r>
            <w:rPr>
              <w:rFonts w:cstheme="minorHAnsi"/>
              <w:sz w:val="28"/>
              <w:szCs w:val="28"/>
            </w:rPr>
            <w:t xml:space="preserve">8. </w:t>
          </w:r>
          <w:r w:rsidR="000442D5">
            <w:rPr>
              <w:rFonts w:cstheme="minorHAnsi"/>
              <w:sz w:val="28"/>
              <w:szCs w:val="28"/>
            </w:rPr>
            <w:tab/>
          </w:r>
          <w:r>
            <w:rPr>
              <w:rFonts w:cstheme="minorHAnsi"/>
              <w:sz w:val="28"/>
              <w:szCs w:val="28"/>
            </w:rPr>
            <w:t>Začleňování hlediska udržitelnosti do všech politik EU</w:t>
          </w:r>
          <w:r w:rsidR="00E33126">
            <w:rPr>
              <w:rFonts w:cstheme="minorHAnsi"/>
              <w:sz w:val="28"/>
              <w:szCs w:val="28"/>
            </w:rPr>
            <w:tab/>
          </w:r>
          <w:r w:rsidR="00E33126">
            <w:rPr>
              <w:rFonts w:cstheme="minorHAnsi"/>
              <w:sz w:val="28"/>
              <w:szCs w:val="28"/>
            </w:rPr>
            <w:tab/>
          </w:r>
        </w:p>
        <w:p w14:paraId="73828EBE" w14:textId="0F8075E5" w:rsidR="00085287" w:rsidRDefault="00085287" w:rsidP="002A1848">
          <w:pPr>
            <w:spacing w:line="276" w:lineRule="auto"/>
            <w:ind w:left="567" w:hanging="567"/>
            <w:jc w:val="both"/>
            <w:rPr>
              <w:rFonts w:cstheme="minorHAnsi"/>
              <w:sz w:val="28"/>
              <w:szCs w:val="28"/>
            </w:rPr>
          </w:pPr>
          <w:r>
            <w:rPr>
              <w:rFonts w:cstheme="minorHAnsi"/>
              <w:sz w:val="28"/>
              <w:szCs w:val="28"/>
            </w:rPr>
            <w:t xml:space="preserve">9. </w:t>
          </w:r>
          <w:r w:rsidR="000442D5">
            <w:rPr>
              <w:rFonts w:cstheme="minorHAnsi"/>
              <w:sz w:val="28"/>
              <w:szCs w:val="28"/>
            </w:rPr>
            <w:tab/>
          </w:r>
          <w:r>
            <w:rPr>
              <w:rFonts w:cstheme="minorHAnsi"/>
              <w:sz w:val="28"/>
              <w:szCs w:val="28"/>
            </w:rPr>
            <w:t>EU jako globální lídr</w:t>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r w:rsidR="00E33126">
            <w:rPr>
              <w:rFonts w:cstheme="minorHAnsi"/>
              <w:sz w:val="28"/>
              <w:szCs w:val="28"/>
            </w:rPr>
            <w:tab/>
          </w:r>
        </w:p>
        <w:p w14:paraId="72AB1717" w14:textId="4E379999" w:rsidR="00085287" w:rsidRDefault="00085287" w:rsidP="002A1848">
          <w:pPr>
            <w:spacing w:line="276" w:lineRule="auto"/>
            <w:ind w:left="567" w:hanging="567"/>
            <w:jc w:val="both"/>
            <w:rPr>
              <w:rFonts w:cstheme="minorHAnsi"/>
              <w:sz w:val="28"/>
              <w:szCs w:val="28"/>
            </w:rPr>
          </w:pPr>
          <w:r>
            <w:rPr>
              <w:rFonts w:cstheme="minorHAnsi"/>
              <w:sz w:val="28"/>
              <w:szCs w:val="28"/>
            </w:rPr>
            <w:t xml:space="preserve">10. </w:t>
          </w:r>
          <w:r w:rsidR="000442D5">
            <w:rPr>
              <w:rFonts w:cstheme="minorHAnsi"/>
              <w:sz w:val="28"/>
              <w:szCs w:val="28"/>
            </w:rPr>
            <w:tab/>
          </w:r>
          <w:r>
            <w:rPr>
              <w:rFonts w:cstheme="minorHAnsi"/>
              <w:sz w:val="28"/>
              <w:szCs w:val="28"/>
            </w:rPr>
            <w:t>Metody spolupráce – evropský klimatický pakt</w:t>
          </w:r>
          <w:r w:rsidR="00E33126">
            <w:rPr>
              <w:rFonts w:cstheme="minorHAnsi"/>
              <w:sz w:val="28"/>
              <w:szCs w:val="28"/>
            </w:rPr>
            <w:tab/>
          </w:r>
          <w:r w:rsidR="00E33126">
            <w:rPr>
              <w:rFonts w:cstheme="minorHAnsi"/>
              <w:sz w:val="28"/>
              <w:szCs w:val="28"/>
            </w:rPr>
            <w:tab/>
          </w:r>
          <w:r w:rsidR="00E33126">
            <w:rPr>
              <w:rFonts w:cstheme="minorHAnsi"/>
              <w:sz w:val="28"/>
              <w:szCs w:val="28"/>
            </w:rPr>
            <w:tab/>
          </w:r>
        </w:p>
        <w:p w14:paraId="28A1C82A" w14:textId="084FB030" w:rsidR="00085287" w:rsidRDefault="00085287" w:rsidP="002A1848">
          <w:pPr>
            <w:spacing w:line="276" w:lineRule="auto"/>
            <w:jc w:val="both"/>
            <w:rPr>
              <w:rFonts w:cstheme="minorHAnsi"/>
              <w:sz w:val="28"/>
              <w:szCs w:val="28"/>
            </w:rPr>
          </w:pPr>
        </w:p>
        <w:p w14:paraId="7426C6F9" w14:textId="77777777" w:rsidR="00A15477" w:rsidRDefault="00A15477" w:rsidP="002A1848">
          <w:pPr>
            <w:spacing w:line="276" w:lineRule="auto"/>
            <w:jc w:val="both"/>
            <w:rPr>
              <w:rFonts w:cstheme="minorHAnsi"/>
              <w:sz w:val="28"/>
              <w:szCs w:val="28"/>
            </w:rPr>
          </w:pPr>
        </w:p>
        <w:p w14:paraId="6188C201" w14:textId="77777777" w:rsidR="00085287" w:rsidRDefault="00085287" w:rsidP="002A1848">
          <w:pPr>
            <w:spacing w:line="276" w:lineRule="auto"/>
            <w:jc w:val="both"/>
            <w:rPr>
              <w:rFonts w:cstheme="minorHAnsi"/>
              <w:sz w:val="28"/>
              <w:szCs w:val="28"/>
            </w:rPr>
          </w:pPr>
        </w:p>
        <w:p w14:paraId="56879CE5" w14:textId="77777777" w:rsidR="00085287" w:rsidRDefault="00085287" w:rsidP="002A1848">
          <w:pPr>
            <w:spacing w:line="276" w:lineRule="auto"/>
            <w:jc w:val="both"/>
            <w:rPr>
              <w:rFonts w:cstheme="minorHAnsi"/>
              <w:sz w:val="28"/>
              <w:szCs w:val="28"/>
            </w:rPr>
          </w:pPr>
        </w:p>
        <w:p w14:paraId="2B9AD2B0" w14:textId="77777777" w:rsidR="00085287" w:rsidRDefault="00085287" w:rsidP="002A1848">
          <w:pPr>
            <w:spacing w:line="276" w:lineRule="auto"/>
            <w:jc w:val="both"/>
            <w:rPr>
              <w:rFonts w:cstheme="minorHAnsi"/>
              <w:sz w:val="28"/>
              <w:szCs w:val="28"/>
            </w:rPr>
          </w:pPr>
        </w:p>
        <w:p w14:paraId="6D916714" w14:textId="77777777" w:rsidR="00085287" w:rsidRDefault="00085287" w:rsidP="002A1848">
          <w:pPr>
            <w:spacing w:line="276" w:lineRule="auto"/>
            <w:jc w:val="both"/>
            <w:rPr>
              <w:rFonts w:cstheme="minorHAnsi"/>
              <w:sz w:val="28"/>
              <w:szCs w:val="28"/>
            </w:rPr>
          </w:pPr>
        </w:p>
        <w:p w14:paraId="7E2C4C7E" w14:textId="77777777" w:rsidR="00085287" w:rsidRPr="00533404" w:rsidRDefault="00942463" w:rsidP="002A1848">
          <w:pPr>
            <w:spacing w:line="276" w:lineRule="auto"/>
            <w:jc w:val="both"/>
            <w:rPr>
              <w:rFonts w:cstheme="minorHAnsi"/>
              <w:sz w:val="28"/>
              <w:szCs w:val="28"/>
            </w:rPr>
          </w:pPr>
        </w:p>
      </w:sdtContent>
    </w:sdt>
    <w:p w14:paraId="047F8313" w14:textId="77777777" w:rsidR="00085287" w:rsidRDefault="00085287" w:rsidP="002A1848">
      <w:pPr>
        <w:spacing w:line="276" w:lineRule="auto"/>
        <w:jc w:val="both"/>
        <w:rPr>
          <w:rFonts w:ascii="Times New Roman" w:eastAsiaTheme="majorEastAsia" w:hAnsi="Times New Roman" w:cs="Times New Roman"/>
          <w:b/>
          <w:sz w:val="28"/>
          <w:szCs w:val="32"/>
          <w:lang w:eastAsia="cs-CZ"/>
        </w:rPr>
      </w:pPr>
      <w:r>
        <w:br w:type="page"/>
      </w:r>
    </w:p>
    <w:p w14:paraId="62AFB929" w14:textId="77777777" w:rsidR="00085287" w:rsidRPr="00A90587"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theme="minorHAnsi"/>
          <w:b/>
          <w:noProof/>
          <w:color w:val="000000" w:themeColor="text1"/>
          <w:sz w:val="32"/>
          <w:szCs w:val="32"/>
        </w:rPr>
      </w:pPr>
      <w:r w:rsidRPr="00483A55">
        <w:rPr>
          <w:rFonts w:cstheme="minorHAnsi"/>
          <w:b/>
          <w:noProof/>
          <w:color w:val="000000" w:themeColor="text1"/>
          <w:sz w:val="32"/>
          <w:szCs w:val="32"/>
        </w:rPr>
        <w:lastRenderedPageBreak/>
        <w:t>Ambice v oblasti klimatu</w:t>
      </w:r>
    </w:p>
    <w:p w14:paraId="032C9A3B" w14:textId="251A675E" w:rsidR="00085287" w:rsidRPr="00EE5EAB" w:rsidRDefault="00085287" w:rsidP="00FF48A6">
      <w:pPr>
        <w:spacing w:line="240" w:lineRule="auto"/>
        <w:jc w:val="both"/>
        <w:rPr>
          <w:b/>
          <w:bCs/>
          <w:lang w:eastAsia="cs-CZ"/>
        </w:rPr>
      </w:pPr>
    </w:p>
    <w:p w14:paraId="039DCA76" w14:textId="77777777" w:rsidR="00085287" w:rsidRPr="00E64A54"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theme="minorHAnsi"/>
          <w:b/>
          <w:bCs/>
          <w:color w:val="000000" w:themeColor="text1"/>
        </w:rPr>
      </w:pPr>
      <w:r w:rsidRPr="00C92CF3">
        <w:rPr>
          <w:rFonts w:cstheme="minorHAnsi"/>
          <w:b/>
          <w:noProof/>
          <w:color w:val="000000" w:themeColor="text1"/>
        </w:rPr>
        <w:t>Návrh evropského právního rámce pro klima,</w:t>
      </w:r>
      <w:r w:rsidRPr="00E64A54">
        <w:rPr>
          <w:rFonts w:cstheme="minorHAnsi"/>
          <w:b/>
          <w:noProof/>
          <w:color w:val="000000" w:themeColor="text1"/>
        </w:rPr>
        <w:t xml:space="preserve"> jenž zakotví cíl klimatické neutrality do roku 2050</w:t>
      </w:r>
      <w:r w:rsidRPr="00E64A54">
        <w:rPr>
          <w:rFonts w:cstheme="minorHAnsi"/>
          <w:b/>
          <w:bCs/>
          <w:color w:val="000000" w:themeColor="text1"/>
        </w:rPr>
        <w:t xml:space="preserve"> </w:t>
      </w:r>
    </w:p>
    <w:p w14:paraId="72F822D3" w14:textId="1ABF111E" w:rsidR="007A7C72" w:rsidRDefault="007A7C72" w:rsidP="002A1848">
      <w:pPr>
        <w:spacing w:line="276" w:lineRule="auto"/>
        <w:jc w:val="both"/>
        <w:rPr>
          <w:noProof/>
        </w:rPr>
      </w:pPr>
      <w:r>
        <w:rPr>
          <w:noProof/>
        </w:rPr>
        <w:t>Dne 4. března 2020 přijala Komise návrh nařízení Evropského parlamentu a Rady, kterým se stanoví rámec pro dosažení klimatické neutrality do roku 2050 a mění nařízení (EU) 2018/1999 (evropský právní rámec pro klima)</w:t>
      </w:r>
      <w:r>
        <w:rPr>
          <w:rStyle w:val="Znakapoznpodarou"/>
          <w:rFonts w:eastAsia="Arial Unicode MS"/>
          <w:noProof/>
        </w:rPr>
        <w:footnoteReference w:id="1"/>
      </w:r>
      <w:r>
        <w:rPr>
          <w:noProof/>
        </w:rPr>
        <w:t>. Návrh evropského právního rámce pro klima tvoří součást širšího balíčku ambiciózních opatření oznámených ve sdělení Komise o Zelené dohodě pro Evropu</w:t>
      </w:r>
      <w:r>
        <w:rPr>
          <w:rStyle w:val="Znakapoznpodarou"/>
          <w:rFonts w:eastAsia="Arial Unicode MS"/>
          <w:noProof/>
        </w:rPr>
        <w:footnoteReference w:id="2"/>
      </w:r>
      <w:r>
        <w:rPr>
          <w:noProof/>
        </w:rPr>
        <w:t xml:space="preserve">. Původní návrh stanovil, že do září 2020 předloží Komise plán (s posouzením dopadů) na odpovědné zvýšení cíle EU v oblasti snižování emisí skleníkových plynů pro rok 2030 nejméně na 50 % a směrem k 55 % ve srovnání s rokem 1990. </w:t>
      </w:r>
      <w:r w:rsidR="00D87802">
        <w:rPr>
          <w:noProof/>
        </w:rPr>
        <w:t xml:space="preserve"> </w:t>
      </w:r>
      <w:r>
        <w:rPr>
          <w:noProof/>
        </w:rPr>
        <w:t xml:space="preserve">V zájmu dosažení klimatické neutrality v Unii do roku 2050 Komise  navrhuje, aby byl cíl EU v oblasti snižování emisí skleníkových plynů pro rok 2030 zvýšen na alespoň 55 % v porovnání s rokem 1990, a to pokud jde o emise i pohlcování. Tento pozměněný návrh Komise COM(2020) 563 ze dne 17.9.2020 mění původní návrh Komise (COM(2020) 80) tak, aby byl tento revidovaný cíl zahrnut do evropského právního rámce pro klima. </w:t>
      </w:r>
    </w:p>
    <w:p w14:paraId="345CE78C" w14:textId="77777777" w:rsidR="007A7C72" w:rsidRDefault="007A7C72" w:rsidP="002A1848">
      <w:pPr>
        <w:autoSpaceDE w:val="0"/>
        <w:autoSpaceDN w:val="0"/>
        <w:adjustRightInd w:val="0"/>
        <w:spacing w:line="276" w:lineRule="auto"/>
        <w:jc w:val="both"/>
        <w:rPr>
          <w:noProof/>
        </w:rPr>
      </w:pPr>
      <w:r>
        <w:rPr>
          <w:noProof/>
        </w:rPr>
        <w:t>Cílem návrhu je zakotvení cíle EU v oblasti klimatické neutrality pro rok 2050 do právních předpisů, čímž se posílí jistota a důvěra v závazek EU, jakož i transparentnost a odpovědnost.</w:t>
      </w:r>
    </w:p>
    <w:p w14:paraId="165DDE3B" w14:textId="00DEE337" w:rsidR="00BA2029" w:rsidRPr="00E64A54" w:rsidRDefault="00BA2029" w:rsidP="002A1848">
      <w:pPr>
        <w:autoSpaceDE w:val="0"/>
        <w:autoSpaceDN w:val="0"/>
        <w:adjustRightInd w:val="0"/>
        <w:spacing w:line="276" w:lineRule="auto"/>
        <w:jc w:val="both"/>
        <w:rPr>
          <w:rFonts w:cstheme="minorHAnsi"/>
          <w:bCs/>
          <w:color w:val="000000" w:themeColor="text1"/>
        </w:rPr>
      </w:pPr>
      <w:r w:rsidRPr="00E64A54">
        <w:rPr>
          <w:rFonts w:cstheme="minorHAnsi"/>
          <w:bCs/>
          <w:color w:val="000000" w:themeColor="text1"/>
        </w:rPr>
        <w:t>Je k dispozici rámcová pozice k návrhu European Climate Law</w:t>
      </w:r>
      <w:r w:rsidR="00045D0E">
        <w:rPr>
          <w:rFonts w:cstheme="minorHAnsi"/>
          <w:bCs/>
          <w:color w:val="000000" w:themeColor="text1"/>
        </w:rPr>
        <w:t xml:space="preserve"> (ECL)</w:t>
      </w:r>
      <w:r w:rsidRPr="00E64A54">
        <w:rPr>
          <w:rFonts w:cstheme="minorHAnsi"/>
          <w:bCs/>
          <w:color w:val="000000" w:themeColor="text1"/>
        </w:rPr>
        <w:t xml:space="preserve">, přičemž cílem DE PRES je dosažení obecného přístupu v říjnu </w:t>
      </w:r>
      <w:r w:rsidRPr="0032009C">
        <w:rPr>
          <w:rFonts w:cstheme="minorHAnsi"/>
          <w:bCs/>
          <w:color w:val="000000" w:themeColor="text1"/>
        </w:rPr>
        <w:t xml:space="preserve">2020. V říjnu byla schválena aktualizace </w:t>
      </w:r>
      <w:r w:rsidR="00045D0E">
        <w:rPr>
          <w:rFonts w:cstheme="minorHAnsi"/>
          <w:bCs/>
          <w:color w:val="000000" w:themeColor="text1"/>
        </w:rPr>
        <w:t xml:space="preserve">rámcové pozice </w:t>
      </w:r>
      <w:r w:rsidRPr="0032009C">
        <w:rPr>
          <w:rFonts w:cstheme="minorHAnsi"/>
          <w:bCs/>
          <w:color w:val="000000" w:themeColor="text1"/>
        </w:rPr>
        <w:t>v návaznosti na návrh EK upravující ECL</w:t>
      </w:r>
      <w:r w:rsidR="00E33B21">
        <w:rPr>
          <w:rFonts w:cstheme="minorHAnsi"/>
          <w:bCs/>
          <w:color w:val="000000" w:themeColor="text1"/>
        </w:rPr>
        <w:t xml:space="preserve"> </w:t>
      </w:r>
      <w:r w:rsidRPr="00E64A54">
        <w:rPr>
          <w:rFonts w:cstheme="minorHAnsi"/>
          <w:bCs/>
          <w:color w:val="000000" w:themeColor="text1"/>
        </w:rPr>
        <w:t>ČR si v Politice ochrany klimatu v ČR stanovila indikativní cíl snížení emisí skleníkových plynů o 80 % do roku 2050 oproti roku 1990. Cíl dosažení klimatické neutrality nebyl na úrovni ČR stanoven. Evropský právní rámec pro klima stanoví, jak bude plnění tohoto cíle vyhodnocováno na úrovni EU, o podobě mechanismu se aktuálně vede debata v Radě.</w:t>
      </w:r>
    </w:p>
    <w:p w14:paraId="2A233302" w14:textId="01ABF71B" w:rsidR="00BA2029" w:rsidRDefault="00BA2029" w:rsidP="002A1848">
      <w:pPr>
        <w:autoSpaceDE w:val="0"/>
        <w:autoSpaceDN w:val="0"/>
        <w:adjustRightInd w:val="0"/>
        <w:spacing w:line="276" w:lineRule="auto"/>
        <w:jc w:val="both"/>
        <w:rPr>
          <w:rFonts w:cstheme="minorHAnsi"/>
          <w:color w:val="000000" w:themeColor="text1"/>
        </w:rPr>
      </w:pPr>
      <w:r w:rsidRPr="00E64A54">
        <w:rPr>
          <w:rFonts w:cstheme="minorHAnsi"/>
          <w:color w:val="000000" w:themeColor="text1"/>
        </w:rPr>
        <w:t>V</w:t>
      </w:r>
      <w:r>
        <w:rPr>
          <w:rFonts w:cstheme="minorHAnsi"/>
          <w:color w:val="000000" w:themeColor="text1"/>
        </w:rPr>
        <w:t> listopadu byla</w:t>
      </w:r>
      <w:r w:rsidR="004822D9">
        <w:rPr>
          <w:rFonts w:cstheme="minorHAnsi"/>
          <w:color w:val="000000" w:themeColor="text1"/>
        </w:rPr>
        <w:t xml:space="preserve"> </w:t>
      </w:r>
      <w:r w:rsidRPr="00E64A54">
        <w:rPr>
          <w:rFonts w:cstheme="minorHAnsi"/>
          <w:color w:val="000000" w:themeColor="text1"/>
        </w:rPr>
        <w:t>publikována studie McKinsey zaměřená specificky na cíle do 2030 a 2050 a možnosti jejich plnění ze strany ČR.</w:t>
      </w:r>
      <w:r>
        <w:rPr>
          <w:rFonts w:cstheme="minorHAnsi"/>
          <w:color w:val="000000" w:themeColor="text1"/>
        </w:rPr>
        <w:t xml:space="preserve"> Je k dispozici zde:</w:t>
      </w:r>
    </w:p>
    <w:p w14:paraId="40348B0F" w14:textId="2368A8B3" w:rsidR="00BA2029" w:rsidRDefault="00942463" w:rsidP="002A1848">
      <w:pPr>
        <w:autoSpaceDE w:val="0"/>
        <w:autoSpaceDN w:val="0"/>
        <w:adjustRightInd w:val="0"/>
        <w:spacing w:line="276" w:lineRule="auto"/>
        <w:jc w:val="both"/>
        <w:rPr>
          <w:noProof/>
        </w:rPr>
      </w:pPr>
      <w:hyperlink r:id="rId8" w:history="1">
        <w:r w:rsidR="00BA2029">
          <w:rPr>
            <w:rFonts w:ascii="Helv" w:hAnsi="Helv" w:cs="Helv"/>
            <w:color w:val="0000FF"/>
            <w:sz w:val="20"/>
            <w:szCs w:val="20"/>
          </w:rPr>
          <w:t>https://www.mckinsey.com/cz/~/media/mckinsey/locations/europe%20and%20middle%20east/czech%20republic/our%20work/decarbonization_report_cz_vf.pdf</w:t>
        </w:r>
      </w:hyperlink>
    </w:p>
    <w:p w14:paraId="2C19D413" w14:textId="65976584" w:rsidR="004401F8" w:rsidRPr="00FF48A6" w:rsidRDefault="007A7C72" w:rsidP="00FF48A6">
      <w:pPr>
        <w:autoSpaceDE w:val="0"/>
        <w:autoSpaceDN w:val="0"/>
        <w:adjustRightInd w:val="0"/>
        <w:spacing w:line="276" w:lineRule="auto"/>
        <w:jc w:val="both"/>
        <w:rPr>
          <w:rFonts w:cstheme="minorHAnsi"/>
          <w:bCs/>
          <w:color w:val="000000" w:themeColor="text1"/>
        </w:rPr>
      </w:pPr>
      <w:r>
        <w:rPr>
          <w:noProof/>
        </w:rPr>
        <w:t>Do 30. června 2021 Komise přezkoumá příslušné právní předpisy Unie, aby umožnila dosažení cíle klimatické neutrality a zváží přijetí nezbytných opatření, včetně přijetí legislativních návrhů.</w:t>
      </w:r>
      <w:r w:rsidR="004401F8" w:rsidRPr="004401F8">
        <w:rPr>
          <w:rFonts w:cstheme="minorHAnsi"/>
          <w:noProof/>
          <w:color w:val="000000" w:themeColor="text1"/>
        </w:rPr>
        <w:t>Mezi hlavní zdroje financování pro transformaci směrem k uhlíkové neutralitě by měly patřit strukturální a investiční fondy EU, Mechanismus pro spravedlivou transformaci, respektive Fond pro spravedlivou transformaci a výnosy z EU ETS, včetně Modernizačního fondu.</w:t>
      </w:r>
    </w:p>
    <w:p w14:paraId="0C50674B" w14:textId="7C1E6512" w:rsidR="00085B43" w:rsidRDefault="00085B43" w:rsidP="002A1848">
      <w:pPr>
        <w:spacing w:line="276" w:lineRule="auto"/>
        <w:jc w:val="both"/>
        <w:rPr>
          <w:rFonts w:ascii="Times New Roman" w:hAnsi="Times New Roman" w:cs="Times New Roman"/>
          <w:noProof/>
          <w:color w:val="000000" w:themeColor="text1"/>
        </w:rPr>
      </w:pPr>
    </w:p>
    <w:p w14:paraId="3CF31138" w14:textId="77777777" w:rsidR="00483A55" w:rsidRDefault="00483A55">
      <w:pPr>
        <w:rPr>
          <w:rFonts w:cstheme="minorHAnsi"/>
          <w:b/>
          <w:noProof/>
          <w:color w:val="000000" w:themeColor="text1"/>
        </w:rPr>
      </w:pPr>
      <w:r>
        <w:rPr>
          <w:rFonts w:cstheme="minorHAnsi"/>
          <w:b/>
          <w:noProof/>
          <w:color w:val="000000" w:themeColor="text1"/>
        </w:rPr>
        <w:br w:type="page"/>
      </w:r>
    </w:p>
    <w:p w14:paraId="52ED232E" w14:textId="6EBF537F" w:rsidR="00085287" w:rsidRPr="008C5FBF" w:rsidRDefault="00085287" w:rsidP="002A1848">
      <w:pPr>
        <w:pBdr>
          <w:top w:val="single" w:sz="4" w:space="1" w:color="auto"/>
          <w:left w:val="single" w:sz="4" w:space="4" w:color="auto"/>
          <w:bottom w:val="single" w:sz="4" w:space="1" w:color="auto"/>
          <w:right w:val="single" w:sz="4" w:space="4" w:color="auto"/>
        </w:pBdr>
        <w:spacing w:line="276" w:lineRule="auto"/>
        <w:jc w:val="both"/>
        <w:rPr>
          <w:rFonts w:cstheme="minorHAnsi"/>
          <w:b/>
          <w:i/>
          <w:noProof/>
          <w:color w:val="000000" w:themeColor="text1"/>
          <w:vertAlign w:val="superscript"/>
        </w:rPr>
      </w:pPr>
      <w:r w:rsidRPr="00C92CF3">
        <w:rPr>
          <w:rFonts w:cstheme="minorHAnsi"/>
          <w:b/>
          <w:noProof/>
          <w:color w:val="000000" w:themeColor="text1"/>
        </w:rPr>
        <w:lastRenderedPageBreak/>
        <w:t>Komplexní plán na odpovědné zvýšení</w:t>
      </w:r>
      <w:r w:rsidRPr="00641057">
        <w:rPr>
          <w:rFonts w:cstheme="minorHAnsi"/>
          <w:b/>
          <w:noProof/>
          <w:color w:val="000000" w:themeColor="text1"/>
        </w:rPr>
        <w:t xml:space="preserve"> cíle EU v oblasti klimatu nejméně na 50 % a směrem k 55 %</w:t>
      </w:r>
      <w:r w:rsidR="0040738E">
        <w:rPr>
          <w:rFonts w:cstheme="minorHAnsi"/>
          <w:b/>
          <w:noProof/>
          <w:color w:val="000000" w:themeColor="text1"/>
        </w:rPr>
        <w:t xml:space="preserve"> </w:t>
      </w:r>
      <w:r w:rsidR="008C5FBF">
        <w:rPr>
          <w:rFonts w:cstheme="minorHAnsi"/>
          <w:b/>
          <w:noProof/>
          <w:color w:val="000000" w:themeColor="text1"/>
          <w:vertAlign w:val="superscript"/>
        </w:rPr>
        <w:t>1)</w:t>
      </w:r>
    </w:p>
    <w:p w14:paraId="3D989CDF" w14:textId="15118B02" w:rsidR="0035522E" w:rsidRDefault="001537C3" w:rsidP="002A1848">
      <w:pPr>
        <w:spacing w:line="276" w:lineRule="auto"/>
        <w:jc w:val="both"/>
        <w:rPr>
          <w:rFonts w:cstheme="minorHAnsi"/>
          <w:color w:val="000000" w:themeColor="text1"/>
        </w:rPr>
      </w:pPr>
      <w:r w:rsidRPr="00641057">
        <w:rPr>
          <w:rFonts w:cstheme="minorHAnsi"/>
          <w:bCs/>
          <w:color w:val="000000" w:themeColor="text1"/>
        </w:rPr>
        <w:t>V</w:t>
      </w:r>
      <w:r>
        <w:rPr>
          <w:rFonts w:cstheme="minorHAnsi"/>
          <w:color w:val="000000" w:themeColor="text1"/>
        </w:rPr>
        <w:t> </w:t>
      </w:r>
      <w:r w:rsidRPr="00641057">
        <w:rPr>
          <w:rFonts w:cstheme="minorHAnsi"/>
          <w:color w:val="000000" w:themeColor="text1"/>
        </w:rPr>
        <w:t>září</w:t>
      </w:r>
      <w:r>
        <w:rPr>
          <w:rFonts w:cstheme="minorHAnsi"/>
          <w:color w:val="000000" w:themeColor="text1"/>
        </w:rPr>
        <w:t xml:space="preserve"> 2020</w:t>
      </w:r>
      <w:r w:rsidRPr="00641057">
        <w:rPr>
          <w:rFonts w:cstheme="minorHAnsi"/>
          <w:color w:val="000000" w:themeColor="text1"/>
        </w:rPr>
        <w:t xml:space="preserve"> EK vyd</w:t>
      </w:r>
      <w:r>
        <w:rPr>
          <w:rFonts w:cstheme="minorHAnsi"/>
          <w:color w:val="000000" w:themeColor="text1"/>
        </w:rPr>
        <w:t>ala</w:t>
      </w:r>
      <w:r w:rsidRPr="00641057">
        <w:rPr>
          <w:rFonts w:cstheme="minorHAnsi"/>
          <w:color w:val="000000" w:themeColor="text1"/>
        </w:rPr>
        <w:t xml:space="preserve"> analýzu dopadů vyšších cílů v oblasti klimatu a energetiky do roku 2030</w:t>
      </w:r>
      <w:r>
        <w:rPr>
          <w:rFonts w:cstheme="minorHAnsi"/>
          <w:color w:val="000000" w:themeColor="text1"/>
        </w:rPr>
        <w:t xml:space="preserve"> na úrovni</w:t>
      </w:r>
      <w:r w:rsidR="00483A55">
        <w:rPr>
          <w:rFonts w:cstheme="minorHAnsi"/>
          <w:color w:val="000000" w:themeColor="text1"/>
        </w:rPr>
        <w:t> </w:t>
      </w:r>
      <w:r>
        <w:rPr>
          <w:rFonts w:cstheme="minorHAnsi"/>
          <w:color w:val="000000" w:themeColor="text1"/>
        </w:rPr>
        <w:t>EU</w:t>
      </w:r>
      <w:r w:rsidRPr="00641057">
        <w:rPr>
          <w:rFonts w:cstheme="minorHAnsi"/>
          <w:color w:val="000000" w:themeColor="text1"/>
        </w:rPr>
        <w:t xml:space="preserve">. </w:t>
      </w:r>
      <w:r w:rsidRPr="007E1CFF">
        <w:rPr>
          <w:rFonts w:cstheme="minorHAnsi"/>
          <w:bCs/>
          <w:color w:val="000000" w:themeColor="text1"/>
        </w:rPr>
        <w:t xml:space="preserve">Byla vypracována a schválena společná rámcová pozice ČR ke </w:t>
      </w:r>
      <w:r w:rsidRPr="007E1CFF">
        <w:rPr>
          <w:rFonts w:cstheme="minorHAnsi"/>
        </w:rPr>
        <w:t xml:space="preserve">sdělení Komise Evropskému parlamentu, Radě, Evropskému hospodářskému a sociálnímu výboru a Výboru regionů: Zvýšení cílů Evropy v oblasti klimatu do roku 2030 – Investice do klimaticky neutrální budoucnosti ve prospěch našich občanů a k pozměněnému návrhu nařízení </w:t>
      </w:r>
      <w:r w:rsidRPr="0035522E">
        <w:rPr>
          <w:rFonts w:cstheme="minorHAnsi"/>
        </w:rPr>
        <w:t xml:space="preserve">Evropského parlamentu a Rady, kterým se stanoví rámec pro dosažení klimatické neutrality a mění nařízení (EU) 2018/1999 (Evropský právní rámec pro klima), která stanoví, za jakých podmínek by mohla ČR přistoupit na evropský cíl 55 </w:t>
      </w:r>
      <w:r w:rsidRPr="0035522E">
        <w:rPr>
          <w:rFonts w:cstheme="minorHAnsi"/>
          <w:color w:val="000000" w:themeColor="text1"/>
        </w:rPr>
        <w:t>%.</w:t>
      </w:r>
    </w:p>
    <w:p w14:paraId="163CF1AB" w14:textId="77777777" w:rsidR="001537C3" w:rsidRPr="00641057" w:rsidRDefault="001537C3" w:rsidP="002A1848">
      <w:pPr>
        <w:spacing w:line="276" w:lineRule="auto"/>
        <w:jc w:val="both"/>
        <w:rPr>
          <w:rFonts w:cstheme="minorHAnsi"/>
          <w:bCs/>
          <w:color w:val="000000" w:themeColor="text1"/>
        </w:rPr>
      </w:pPr>
      <w:r w:rsidRPr="00641057">
        <w:rPr>
          <w:rFonts w:cstheme="minorHAnsi"/>
          <w:color w:val="000000" w:themeColor="text1"/>
        </w:rPr>
        <w:t xml:space="preserve">ČR v rámci sdílení úsilí může navýšit své emise v sektorech nespadajících do EU ETS o 9 % do roku 2020 oproti roku 2005 a dále má závazek snížit tyto emise o 14 % do roku 2030. Emise z těchto sektorů v ČR dlouhodobě oscilují okolo úrovně roku 2005 a plnění cíle do roku 2020 tedy není pro ČR problematické. Podle aktuálních projekcí emisí skleníkových plynů by měl být cíl do roku 2030 těsně splněn při efektivní implementaci již přijatých opatření. Emise ze zařízení v systému EU ETS se snížily </w:t>
      </w:r>
      <w:r w:rsidRPr="00641057">
        <w:rPr>
          <w:rFonts w:cstheme="minorHAnsi"/>
          <w:bCs/>
          <w:color w:val="000000" w:themeColor="text1"/>
        </w:rPr>
        <w:t xml:space="preserve">o více než 24 % mezi roky 2005 a 2019. Pro tyto emise je stanoven celoevropský cíl snížení o 21 % do roku 2020 a o 43 % do roku 2030 oproti úrovni roku 1990. Celkové agregované emise skleníkových plynů v ČR se v období 1990-2018 snížily o 35,6 %. </w:t>
      </w:r>
    </w:p>
    <w:p w14:paraId="3B0FEE02" w14:textId="77777777" w:rsidR="001537C3" w:rsidRPr="00641057" w:rsidRDefault="001537C3" w:rsidP="002A1848">
      <w:pPr>
        <w:spacing w:line="276" w:lineRule="auto"/>
        <w:jc w:val="both"/>
        <w:rPr>
          <w:rFonts w:cstheme="minorHAnsi"/>
          <w:bCs/>
          <w:color w:val="000000" w:themeColor="text1"/>
        </w:rPr>
      </w:pPr>
      <w:r w:rsidRPr="00641057">
        <w:rPr>
          <w:rFonts w:cstheme="minorHAnsi"/>
          <w:bCs/>
          <w:color w:val="000000" w:themeColor="text1"/>
        </w:rPr>
        <w:t>Politika ochrany klimatu v ČR dále stanovuje cíl snížit emise skleníkových plynů o 32 miliónů tun CO2ekv. do roku 2020 oproti roku 2005, respektive o 44 miliónů tun CO2ekv. do roku 2030. Mezi roky 2005 a 2018 se emise skleníkových plynů snížily o 20,8 miliónů tun CO2ekv. a ČR tak není na dobré cestě ke splnění těchto cílů. Na základě scénáře se stávajícími opatřeními předpokládáme snížení o přibližně 39 miliónů tun CO2ekv. do roku 2030.</w:t>
      </w:r>
    </w:p>
    <w:p w14:paraId="2905E5B6" w14:textId="14041398" w:rsidR="00F34C90" w:rsidRDefault="001537C3" w:rsidP="002A1848">
      <w:pPr>
        <w:spacing w:line="276" w:lineRule="auto"/>
        <w:jc w:val="both"/>
        <w:rPr>
          <w:rFonts w:cstheme="minorHAnsi"/>
          <w:bCs/>
          <w:color w:val="000000" w:themeColor="text1"/>
        </w:rPr>
      </w:pPr>
      <w:r w:rsidRPr="00641057">
        <w:rPr>
          <w:rFonts w:cstheme="minorHAnsi"/>
          <w:bCs/>
          <w:color w:val="000000" w:themeColor="text1"/>
        </w:rPr>
        <w:t>V</w:t>
      </w:r>
      <w:r w:rsidR="0070090E">
        <w:rPr>
          <w:rFonts w:cstheme="minorHAnsi"/>
          <w:bCs/>
          <w:color w:val="000000" w:themeColor="text1"/>
        </w:rPr>
        <w:t xml:space="preserve"> listopadu 2020 </w:t>
      </w:r>
      <w:r w:rsidRPr="00641057">
        <w:rPr>
          <w:rFonts w:cstheme="minorHAnsi"/>
          <w:bCs/>
          <w:color w:val="000000" w:themeColor="text1"/>
        </w:rPr>
        <w:t>b</w:t>
      </w:r>
      <w:r>
        <w:rPr>
          <w:rFonts w:cstheme="minorHAnsi"/>
          <w:bCs/>
          <w:color w:val="000000" w:themeColor="text1"/>
        </w:rPr>
        <w:t>yla</w:t>
      </w:r>
      <w:r w:rsidRPr="00641057">
        <w:rPr>
          <w:rFonts w:cstheme="minorHAnsi"/>
          <w:bCs/>
          <w:color w:val="000000" w:themeColor="text1"/>
        </w:rPr>
        <w:t xml:space="preserve"> publikována i studie McKinsey zaměřená specificky na cíle do 2030 a 2050 a možnosti jejich plnění ze strany ČR</w:t>
      </w:r>
      <w:r w:rsidR="00F34C90">
        <w:rPr>
          <w:rFonts w:cstheme="minorHAnsi"/>
          <w:bCs/>
          <w:color w:val="000000" w:themeColor="text1"/>
        </w:rPr>
        <w:t xml:space="preserve">. </w:t>
      </w:r>
      <w:r w:rsidR="00F34C90">
        <w:t>Zpráva představuje nákladově efektivní scénář splnění očekávaných cílů pro ČR, a nastiňuje celkové investice a opatření pro jednotlivá odvětví. K dosažení nulové bilance emisí existuje více možných cest. Cesta popsaná ve zprávě se soustředí na dosažení cíle s vynaložením minimálních celkových nákladů pro společnost – a je označena jako “nákladově optimální scénář”. K analýze byl použit vlastní nástroj: optimalizátor dekarbonizačního scénáře (Decarbonization Pathways Optimizer, DPO) společnosti McKinsey.</w:t>
      </w:r>
      <w:r w:rsidR="0070090E">
        <w:t xml:space="preserve"> Zpráva zohledňuje dostupné zdroje, kapacity dodavatelských řetězců, očekávaný vývoj technologií i další případná omezení. Výchozím rokem pro analýzu je vzhledem k dostupnosti dat v době přípravy studie rok 2017. K dosažení 55% cíle do roku 2030 jsou nutné dodatečné investice 500 miliard Kč v příštích deseti letech (</w:t>
      </w:r>
      <w:r w:rsidR="00C90A9D">
        <w:t>1 %</w:t>
      </w:r>
      <w:r w:rsidR="00AF3544">
        <w:t xml:space="preserve"> HDP)</w:t>
      </w:r>
      <w:r w:rsidR="00045D0E">
        <w:t xml:space="preserve"> – viz zpráva McKinsey.</w:t>
      </w:r>
    </w:p>
    <w:p w14:paraId="28C5A89F" w14:textId="05ACF7CD" w:rsidR="00454B86" w:rsidRDefault="001537C3" w:rsidP="002A1848">
      <w:pPr>
        <w:spacing w:line="276" w:lineRule="auto"/>
        <w:jc w:val="both"/>
        <w:rPr>
          <w:rFonts w:cstheme="minorHAnsi"/>
          <w:b/>
          <w:color w:val="000000" w:themeColor="text1"/>
          <w:u w:val="single"/>
        </w:rPr>
      </w:pPr>
      <w:r w:rsidRPr="00641057">
        <w:rPr>
          <w:rFonts w:cstheme="minorHAnsi"/>
          <w:bCs/>
          <w:color w:val="000000" w:themeColor="text1"/>
        </w:rPr>
        <w:t xml:space="preserve">Evropská komise </w:t>
      </w:r>
      <w:r>
        <w:rPr>
          <w:rFonts w:cstheme="minorHAnsi"/>
          <w:bCs/>
          <w:color w:val="000000" w:themeColor="text1"/>
        </w:rPr>
        <w:t xml:space="preserve">stále nepředložila </w:t>
      </w:r>
      <w:r w:rsidRPr="00641057">
        <w:rPr>
          <w:rFonts w:cstheme="minorHAnsi"/>
          <w:bCs/>
          <w:color w:val="000000" w:themeColor="text1"/>
        </w:rPr>
        <w:t>analýzu dopadů na úrovni jednotlivých členských států</w:t>
      </w:r>
      <w:r w:rsidR="00454B86">
        <w:rPr>
          <w:rFonts w:cstheme="minorHAnsi"/>
          <w:bCs/>
          <w:color w:val="000000" w:themeColor="text1"/>
        </w:rPr>
        <w:t xml:space="preserve"> (v </w:t>
      </w:r>
      <w:r w:rsidR="00454B86" w:rsidRPr="00641057">
        <w:rPr>
          <w:rFonts w:cstheme="minorHAnsi"/>
          <w:bCs/>
          <w:color w:val="000000" w:themeColor="text1"/>
        </w:rPr>
        <w:t>září EK vyd</w:t>
      </w:r>
      <w:r w:rsidR="00454B86">
        <w:rPr>
          <w:rFonts w:cstheme="minorHAnsi"/>
          <w:bCs/>
          <w:color w:val="000000" w:themeColor="text1"/>
        </w:rPr>
        <w:t>ala</w:t>
      </w:r>
      <w:r w:rsidR="00454B86" w:rsidRPr="00641057">
        <w:rPr>
          <w:rFonts w:cstheme="minorHAnsi"/>
          <w:bCs/>
          <w:color w:val="000000" w:themeColor="text1"/>
        </w:rPr>
        <w:t xml:space="preserve"> analýzu dopadů vyšších cílů v oblasti klimatu a energetiky do roku 2030</w:t>
      </w:r>
      <w:r w:rsidR="00454B86">
        <w:rPr>
          <w:rFonts w:cstheme="minorHAnsi"/>
          <w:bCs/>
          <w:color w:val="000000" w:themeColor="text1"/>
        </w:rPr>
        <w:t xml:space="preserve"> pouze na úrovni EU)</w:t>
      </w:r>
      <w:r w:rsidR="00454B86" w:rsidRPr="00641057">
        <w:rPr>
          <w:rFonts w:cstheme="minorHAnsi"/>
          <w:bCs/>
          <w:color w:val="000000" w:themeColor="text1"/>
        </w:rPr>
        <w:t>.</w:t>
      </w:r>
    </w:p>
    <w:p w14:paraId="309C7830" w14:textId="4781301B" w:rsidR="00361BF8" w:rsidRDefault="001537C3" w:rsidP="00C951E0">
      <w:pPr>
        <w:spacing w:line="276" w:lineRule="auto"/>
        <w:jc w:val="both"/>
        <w:rPr>
          <w:rFonts w:cstheme="minorHAnsi"/>
          <w:b/>
          <w:color w:val="000000" w:themeColor="text1"/>
          <w:u w:val="single"/>
        </w:rPr>
      </w:pPr>
      <w:r w:rsidRPr="00641057">
        <w:rPr>
          <w:rFonts w:cstheme="minorHAnsi"/>
          <w:bCs/>
          <w:color w:val="000000" w:themeColor="text1"/>
        </w:rPr>
        <w:t>Mezi hlavní zdroje financování pro transformaci směrem k uhlíkové neutralitě by měly patřit strukturální a investiční fondy EU, Mechanismus pro spravedlivou transformaci, respektive Fond pro spravedlivou transformaci a výnosy z EU ETS, včetně Modernizačního fondu.</w:t>
      </w:r>
    </w:p>
    <w:p w14:paraId="7DBB8587" w14:textId="4AED5A35" w:rsidR="00361BF8" w:rsidRPr="00C951E0" w:rsidRDefault="00361BF8" w:rsidP="002A1848">
      <w:pPr>
        <w:pStyle w:val="Podnadpis"/>
        <w:numPr>
          <w:ilvl w:val="0"/>
          <w:numId w:val="11"/>
        </w:numPr>
        <w:spacing w:line="276" w:lineRule="auto"/>
        <w:ind w:left="284" w:hanging="284"/>
        <w:jc w:val="both"/>
        <w:rPr>
          <w:rFonts w:cstheme="minorHAnsi"/>
          <w:noProof/>
          <w:color w:val="auto"/>
          <w:sz w:val="16"/>
          <w:szCs w:val="16"/>
        </w:rPr>
      </w:pPr>
      <w:r w:rsidRPr="00C951E0">
        <w:rPr>
          <w:rFonts w:cstheme="minorHAnsi"/>
          <w:noProof/>
          <w:color w:val="auto"/>
          <w:sz w:val="16"/>
          <w:szCs w:val="16"/>
        </w:rPr>
        <w:t>Pozměněný návrh Komise COM(2020) 563 ze dne 17.9.2020 mění původní návrh Komise (COM(2020) 80) tak, aby byl revidovaný cíl EU v oblasti snižování emisí skleníkových plynů pro rok 2030 zvýšen na alespoň 55 % v porovnání s rokem 1990 a zahrnut do evropského právního rámce pro klima – klíčová opatření nebyla zatím upravena, zůstávají v původním znění.</w:t>
      </w:r>
    </w:p>
    <w:p w14:paraId="7D839912" w14:textId="77777777" w:rsidR="00085287" w:rsidRPr="00641057"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theme="minorHAnsi"/>
          <w:b/>
          <w:bCs/>
          <w:color w:val="000000" w:themeColor="text1"/>
        </w:rPr>
      </w:pPr>
      <w:r w:rsidRPr="00641057">
        <w:rPr>
          <w:rFonts w:cstheme="minorHAnsi"/>
          <w:b/>
          <w:noProof/>
          <w:color w:val="000000" w:themeColor="text1"/>
        </w:rPr>
        <w:lastRenderedPageBreak/>
        <w:t>Návrhy na revizi příslušných legislativních opatření s cílem dosáhnout vyšší míry ambice v oblasti klimatu v návaznosti na přezkum směrnice o systému obchodování s emisemi; nařízení o sdílení úsilí; nařízení o využívání půdy, změny ve využívání půdy a lesnictví; směrnice o energetické účinnosti; směrnice o obnovitelných zdrojích energie; výkonnostní normy pro osobní automobily a dodávky, pokud jde o emise CO</w:t>
      </w:r>
      <w:r w:rsidRPr="00641057">
        <w:rPr>
          <w:rFonts w:cstheme="minorHAnsi"/>
          <w:b/>
          <w:noProof/>
          <w:color w:val="000000" w:themeColor="text1"/>
          <w:vertAlign w:val="subscript"/>
        </w:rPr>
        <w:t>2</w:t>
      </w:r>
      <w:r w:rsidRPr="00641057">
        <w:rPr>
          <w:rFonts w:cstheme="minorHAnsi"/>
          <w:b/>
          <w:bCs/>
          <w:color w:val="000000" w:themeColor="text1"/>
        </w:rPr>
        <w:t xml:space="preserve"> </w:t>
      </w:r>
    </w:p>
    <w:p w14:paraId="0659FEDD" w14:textId="78F41DFF" w:rsidR="00421314" w:rsidRDefault="004C7715" w:rsidP="002A1848">
      <w:pPr>
        <w:spacing w:line="276" w:lineRule="auto"/>
        <w:jc w:val="both"/>
        <w:rPr>
          <w:rFonts w:cstheme="minorHAnsi"/>
          <w:bCs/>
          <w:color w:val="000000" w:themeColor="text1"/>
        </w:rPr>
      </w:pPr>
      <w:r w:rsidRPr="00641057">
        <w:rPr>
          <w:rFonts w:cstheme="minorHAnsi"/>
          <w:bCs/>
          <w:color w:val="000000" w:themeColor="text1"/>
        </w:rPr>
        <w:t>Uvedené návrhy</w:t>
      </w:r>
      <w:r w:rsidR="00361BF8">
        <w:rPr>
          <w:rFonts w:cstheme="minorHAnsi"/>
          <w:bCs/>
          <w:color w:val="000000" w:themeColor="text1"/>
        </w:rPr>
        <w:t xml:space="preserve"> na revizi příslušných legislativních opatření</w:t>
      </w:r>
      <w:r w:rsidRPr="00641057">
        <w:rPr>
          <w:rFonts w:cstheme="minorHAnsi"/>
          <w:bCs/>
          <w:color w:val="000000" w:themeColor="text1"/>
        </w:rPr>
        <w:t xml:space="preserve"> budou zveřejněny v roce 2021</w:t>
      </w:r>
      <w:r w:rsidR="00421314">
        <w:rPr>
          <w:rFonts w:cstheme="minorHAnsi"/>
          <w:bCs/>
          <w:color w:val="000000" w:themeColor="text1"/>
        </w:rPr>
        <w:t xml:space="preserve">. </w:t>
      </w:r>
      <w:r w:rsidR="00421314" w:rsidRPr="00421314">
        <w:rPr>
          <w:rFonts w:cstheme="minorHAnsi"/>
          <w:bCs/>
          <w:color w:val="000000" w:themeColor="text1"/>
        </w:rPr>
        <w:t>Součástí by mělo být i rozdělení cíle mezi EU ETS a non-ETS, respektive LULUCF</w:t>
      </w:r>
      <w:r w:rsidR="00421314">
        <w:rPr>
          <w:rFonts w:cstheme="minorHAnsi"/>
          <w:bCs/>
          <w:color w:val="000000" w:themeColor="text1"/>
        </w:rPr>
        <w:t>.</w:t>
      </w:r>
    </w:p>
    <w:p w14:paraId="16E80780" w14:textId="26F79E1B" w:rsidR="00542DE5" w:rsidRDefault="00421314" w:rsidP="002A1848">
      <w:pPr>
        <w:spacing w:line="276" w:lineRule="auto"/>
        <w:jc w:val="both"/>
        <w:rPr>
          <w:rFonts w:cstheme="minorHAnsi"/>
          <w:bCs/>
          <w:color w:val="000000" w:themeColor="text1"/>
        </w:rPr>
      </w:pPr>
      <w:r>
        <w:rPr>
          <w:rFonts w:cstheme="minorHAnsi"/>
          <w:bCs/>
          <w:color w:val="000000" w:themeColor="text1"/>
        </w:rPr>
        <w:t>Jedná se o následující</w:t>
      </w:r>
      <w:r w:rsidR="00905026">
        <w:rPr>
          <w:rFonts w:cstheme="minorHAnsi"/>
          <w:bCs/>
          <w:color w:val="000000" w:themeColor="text1"/>
        </w:rPr>
        <w:t xml:space="preserve"> </w:t>
      </w:r>
      <w:r>
        <w:rPr>
          <w:rFonts w:cstheme="minorHAnsi"/>
          <w:bCs/>
          <w:color w:val="000000" w:themeColor="text1"/>
        </w:rPr>
        <w:t>legislativní opatření</w:t>
      </w:r>
      <w:r w:rsidR="00542DE5">
        <w:rPr>
          <w:rFonts w:cstheme="minorHAnsi"/>
          <w:bCs/>
          <w:color w:val="000000" w:themeColor="text1"/>
        </w:rPr>
        <w:t>:</w:t>
      </w:r>
    </w:p>
    <w:p w14:paraId="67074869" w14:textId="77EAABE6" w:rsidR="00542DE5" w:rsidRDefault="00542DE5" w:rsidP="002A1848">
      <w:pPr>
        <w:spacing w:line="276" w:lineRule="auto"/>
        <w:jc w:val="both"/>
        <w:rPr>
          <w:rFonts w:cstheme="minorHAnsi"/>
          <w:color w:val="000000" w:themeColor="text1"/>
        </w:rPr>
      </w:pPr>
      <w:r w:rsidRPr="00E83E67">
        <w:rPr>
          <w:rFonts w:cstheme="minorHAnsi"/>
          <w:b/>
          <w:bCs/>
          <w:u w:val="single"/>
        </w:rPr>
        <w:t>Směrnice (EU) 2018/410, kterou se mění směrnice 2003/87/ES o systému obchodování s </w:t>
      </w:r>
      <w:r w:rsidR="00C90A9D" w:rsidRPr="00E83E67">
        <w:rPr>
          <w:rFonts w:cstheme="minorHAnsi"/>
          <w:b/>
          <w:bCs/>
          <w:u w:val="single"/>
        </w:rPr>
        <w:t xml:space="preserve">emisemi </w:t>
      </w:r>
      <w:r w:rsidR="00C90A9D" w:rsidRPr="00905026">
        <w:rPr>
          <w:rFonts w:cstheme="minorHAnsi"/>
          <w:u w:val="single"/>
        </w:rPr>
        <w:t>– návrhy</w:t>
      </w:r>
      <w:r w:rsidRPr="00905026">
        <w:rPr>
          <w:rFonts w:cstheme="minorHAnsi"/>
          <w:color w:val="000000" w:themeColor="text1"/>
        </w:rPr>
        <w:t xml:space="preserve"> na revizi budou zveřejněny v roce 2021</w:t>
      </w:r>
    </w:p>
    <w:p w14:paraId="6F3A602A" w14:textId="09C86E45" w:rsidR="00A329BE" w:rsidRPr="008C26B1" w:rsidRDefault="00FF161E" w:rsidP="002A1848">
      <w:pPr>
        <w:spacing w:line="276" w:lineRule="auto"/>
        <w:jc w:val="both"/>
        <w:rPr>
          <w:rFonts w:cstheme="minorHAnsi"/>
          <w:lang w:eastAsia="fr-BE"/>
        </w:rPr>
      </w:pPr>
      <w:r w:rsidRPr="00A329BE">
        <w:rPr>
          <w:rFonts w:cstheme="minorHAnsi"/>
        </w:rPr>
        <w:t>Cílem je</w:t>
      </w:r>
      <w:r w:rsidR="003A6936" w:rsidRPr="00A329BE">
        <w:rPr>
          <w:rFonts w:cstheme="minorHAnsi"/>
        </w:rPr>
        <w:t>, aby</w:t>
      </w:r>
      <w:r w:rsidRPr="00A329BE">
        <w:rPr>
          <w:rFonts w:cstheme="minorHAnsi"/>
        </w:rPr>
        <w:t xml:space="preserve"> </w:t>
      </w:r>
      <w:r w:rsidR="003A6936" w:rsidRPr="00A329BE">
        <w:rPr>
          <w:rFonts w:cstheme="minorHAnsi"/>
          <w:lang w:eastAsia="fr-BE"/>
        </w:rPr>
        <w:t>efektivně fungující systém obchodování s emisemi (EU ETS) i nadále hrál klíčovou roli při snižování emisí skleníkových plynů</w:t>
      </w:r>
      <w:r w:rsidR="00A329BE">
        <w:rPr>
          <w:rFonts w:cstheme="minorHAnsi"/>
          <w:lang w:eastAsia="fr-BE"/>
        </w:rPr>
        <w:t xml:space="preserve"> </w:t>
      </w:r>
      <w:r w:rsidR="00A329BE" w:rsidRPr="00FF161E">
        <w:rPr>
          <w:rFonts w:cstheme="minorHAnsi"/>
        </w:rPr>
        <w:t>(v letech 2015-2018 - snížení o 33 % a v roce 2019 došlo k poklesu o dalších 9 %).</w:t>
      </w:r>
      <w:r w:rsidR="008C26B1" w:rsidRPr="008C26B1">
        <w:rPr>
          <w:rFonts w:cstheme="minorHAnsi"/>
        </w:rPr>
        <w:t xml:space="preserve"> </w:t>
      </w:r>
      <w:r w:rsidR="008C26B1" w:rsidRPr="00FF161E">
        <w:rPr>
          <w:rFonts w:cstheme="minorHAnsi"/>
        </w:rPr>
        <w:t xml:space="preserve">EK posoudila možnost posílení a rozšíření EU ETS, </w:t>
      </w:r>
      <w:r w:rsidR="008C26B1">
        <w:rPr>
          <w:rFonts w:cstheme="minorHAnsi"/>
        </w:rPr>
        <w:t>jako jeden z nástrojů k d</w:t>
      </w:r>
      <w:r w:rsidR="008C26B1" w:rsidRPr="00FF161E">
        <w:rPr>
          <w:rFonts w:cstheme="minorHAnsi"/>
        </w:rPr>
        <w:t>os</w:t>
      </w:r>
      <w:r w:rsidR="008C26B1">
        <w:rPr>
          <w:rFonts w:cstheme="minorHAnsi"/>
        </w:rPr>
        <w:t>ažení</w:t>
      </w:r>
      <w:r w:rsidR="008C26B1" w:rsidRPr="00FF161E">
        <w:rPr>
          <w:rFonts w:cstheme="minorHAnsi"/>
        </w:rPr>
        <w:t xml:space="preserve"> 55% snížení emisní skleníkových plynů. Další rozšíření EU ETS by se mohlo týkat emisí ze silniční dopravy a budov. EU ETS již nyní přímo či nepřímo pokrývá přibližně 30 % emisí z vytápění budov</w:t>
      </w:r>
      <w:r w:rsidR="008C26B1">
        <w:rPr>
          <w:rFonts w:cstheme="minorHAnsi"/>
        </w:rPr>
        <w:t xml:space="preserve">. </w:t>
      </w:r>
      <w:r w:rsidR="008C26B1" w:rsidRPr="00C03117">
        <w:rPr>
          <w:rFonts w:cstheme="minorHAnsi"/>
          <w:bCs/>
          <w:color w:val="000000" w:themeColor="text1"/>
        </w:rPr>
        <w:t>U EU ETS lze očekávat zařazení letectví a námořní dopravy.</w:t>
      </w:r>
      <w:r w:rsidR="008C26B1">
        <w:rPr>
          <w:rFonts w:cstheme="minorHAnsi"/>
          <w:bCs/>
          <w:color w:val="000000" w:themeColor="text1"/>
        </w:rPr>
        <w:t xml:space="preserve"> </w:t>
      </w:r>
      <w:r w:rsidR="008C26B1" w:rsidRPr="008C26B1">
        <w:t>Letecká doprava v důsledku COVID-19 utrpěla výrazný otřes, a proto by další iniciativy v oblasti snižování vlivů na životní prostředí (nad rámec již využívaných tržních nástrojů pro regulaci emisí – EU ETS, CORSIA) měly počkat na ekonomickou stabilizaci tohoto odvětví</w:t>
      </w:r>
      <w:r w:rsidR="008C26B1">
        <w:t>.</w:t>
      </w:r>
    </w:p>
    <w:p w14:paraId="2562C013" w14:textId="61BE9DB3" w:rsidR="003A6936" w:rsidRDefault="003A6936" w:rsidP="002A1848">
      <w:pPr>
        <w:spacing w:line="276" w:lineRule="auto"/>
        <w:jc w:val="both"/>
        <w:rPr>
          <w:rFonts w:cstheme="minorHAnsi"/>
          <w:lang w:eastAsia="fr-BE"/>
        </w:rPr>
      </w:pPr>
      <w:r w:rsidRPr="00A329BE">
        <w:rPr>
          <w:rFonts w:cstheme="minorHAnsi"/>
          <w:lang w:eastAsia="fr-BE"/>
        </w:rPr>
        <w:t>V rámci revize příslušné legislativy bude rovněž klíčové zachování a posílení mechanismů na ochranu odvětví ohrožených únikem uhlíku. V této souvislosti byla již přijata předběžná rámcová pozice ČR k problematice Carbon Border Adjustment (CBA).</w:t>
      </w:r>
    </w:p>
    <w:p w14:paraId="68B4D20A" w14:textId="70D27711" w:rsidR="00885F7D" w:rsidRPr="00885F7D" w:rsidRDefault="00885F7D" w:rsidP="002A1848">
      <w:pPr>
        <w:spacing w:line="276" w:lineRule="auto"/>
        <w:jc w:val="both"/>
        <w:rPr>
          <w:rFonts w:cstheme="minorHAnsi"/>
          <w:lang w:eastAsia="fr-BE"/>
        </w:rPr>
      </w:pPr>
      <w:r w:rsidRPr="00885F7D">
        <w:rPr>
          <w:rFonts w:cstheme="minorHAnsi"/>
        </w:rPr>
        <w:t xml:space="preserve">U celé řady odvětví bylo indikováno, že pokud se cena emisních povolenek dostane na úroveň </w:t>
      </w:r>
      <w:r w:rsidR="00B45DCB" w:rsidRPr="00885F7D">
        <w:rPr>
          <w:rFonts w:cstheme="minorHAnsi"/>
        </w:rPr>
        <w:t>50–60</w:t>
      </w:r>
      <w:r w:rsidRPr="00885F7D">
        <w:rPr>
          <w:rFonts w:cstheme="minorHAnsi"/>
        </w:rPr>
        <w:t xml:space="preserve"> €/t CO</w:t>
      </w:r>
      <w:r w:rsidRPr="00885F7D">
        <w:rPr>
          <w:rFonts w:cstheme="minorHAnsi"/>
          <w:vertAlign w:val="subscript"/>
        </w:rPr>
        <w:t>2</w:t>
      </w:r>
      <w:r w:rsidRPr="00885F7D">
        <w:rPr>
          <w:rFonts w:cstheme="minorHAnsi"/>
        </w:rPr>
        <w:t xml:space="preserve">, bude nutné výrobu ukončit. To </w:t>
      </w:r>
      <w:r>
        <w:rPr>
          <w:rFonts w:cstheme="minorHAnsi"/>
        </w:rPr>
        <w:t xml:space="preserve">by </w:t>
      </w:r>
      <w:r w:rsidRPr="00885F7D">
        <w:rPr>
          <w:rFonts w:cstheme="minorHAnsi"/>
        </w:rPr>
        <w:t>v konečném důsledku znamen</w:t>
      </w:r>
      <w:r>
        <w:rPr>
          <w:rFonts w:cstheme="minorHAnsi"/>
        </w:rPr>
        <w:t>alo</w:t>
      </w:r>
      <w:r w:rsidRPr="00885F7D">
        <w:rPr>
          <w:rFonts w:cstheme="minorHAnsi"/>
        </w:rPr>
        <w:t xml:space="preserve"> propouštění, výpadek daňových příjmů státu a nutnost dovozu stejného výrobku ze zemí mimo EU. Dovezený výrobek bude mít vyšší uhlíkovou stopu, která se ještě zvýší </w:t>
      </w:r>
      <w:r>
        <w:rPr>
          <w:rFonts w:cstheme="minorHAnsi"/>
        </w:rPr>
        <w:t xml:space="preserve">o </w:t>
      </w:r>
      <w:r w:rsidRPr="00885F7D">
        <w:rPr>
          <w:rFonts w:cstheme="minorHAnsi"/>
        </w:rPr>
        <w:t>dopravou.</w:t>
      </w:r>
    </w:p>
    <w:p w14:paraId="53CFE14D" w14:textId="29608E76" w:rsidR="00542DE5" w:rsidRDefault="00542DE5" w:rsidP="002A1848">
      <w:pPr>
        <w:spacing w:line="276" w:lineRule="auto"/>
        <w:jc w:val="both"/>
        <w:rPr>
          <w:rFonts w:cstheme="minorHAnsi"/>
          <w:color w:val="000000" w:themeColor="text1"/>
          <w:shd w:val="clear" w:color="auto" w:fill="FFFFFF"/>
        </w:rPr>
      </w:pPr>
      <w:r w:rsidRPr="00E83E67">
        <w:rPr>
          <w:rFonts w:cstheme="minorHAnsi"/>
          <w:b/>
          <w:bCs/>
          <w:color w:val="000000" w:themeColor="text1"/>
          <w:u w:val="single"/>
          <w:shd w:val="clear" w:color="auto" w:fill="FFFFFF"/>
        </w:rPr>
        <w:t xml:space="preserve">Nařízení Evropského </w:t>
      </w:r>
      <w:r w:rsidR="00C90A9D" w:rsidRPr="00E83E67">
        <w:rPr>
          <w:rFonts w:cstheme="minorHAnsi"/>
          <w:b/>
          <w:bCs/>
          <w:color w:val="000000" w:themeColor="text1"/>
          <w:u w:val="single"/>
          <w:shd w:val="clear" w:color="auto" w:fill="FFFFFF"/>
        </w:rPr>
        <w:t>parlamentu</w:t>
      </w:r>
      <w:r w:rsidRPr="00E83E67">
        <w:rPr>
          <w:rFonts w:cstheme="minorHAnsi"/>
          <w:b/>
          <w:bCs/>
          <w:color w:val="000000" w:themeColor="text1"/>
          <w:u w:val="single"/>
          <w:shd w:val="clear" w:color="auto" w:fill="FFFFFF"/>
        </w:rPr>
        <w:t xml:space="preserve"> a Rady (EU) 2018/842</w:t>
      </w:r>
      <w:r w:rsidRPr="00E83E67">
        <w:rPr>
          <w:rFonts w:cstheme="minorHAnsi"/>
          <w:b/>
          <w:bCs/>
          <w:color w:val="000000" w:themeColor="text1"/>
          <w:u w:val="single"/>
        </w:rPr>
        <w:t xml:space="preserve"> o sdílení úsilí</w:t>
      </w:r>
      <w:r w:rsidRPr="00905026">
        <w:rPr>
          <w:rFonts w:cstheme="minorHAnsi"/>
          <w:color w:val="000000" w:themeColor="text1"/>
        </w:rPr>
        <w:t xml:space="preserve"> </w:t>
      </w:r>
      <w:r w:rsidRPr="00905026">
        <w:rPr>
          <w:rFonts w:cstheme="minorHAnsi"/>
        </w:rPr>
        <w:t xml:space="preserve">– </w:t>
      </w:r>
      <w:r w:rsidRPr="00905026">
        <w:rPr>
          <w:rFonts w:cstheme="minorHAnsi"/>
          <w:color w:val="000000" w:themeColor="text1"/>
        </w:rPr>
        <w:t xml:space="preserve">Komise </w:t>
      </w:r>
      <w:r w:rsidRPr="00905026">
        <w:rPr>
          <w:rFonts w:cstheme="minorHAnsi"/>
          <w:color w:val="000000" w:themeColor="text1"/>
          <w:shd w:val="clear" w:color="auto" w:fill="FFFFFF"/>
        </w:rPr>
        <w:t>do června 2021 předloží úpravu nařízení o sdílení úsilí</w:t>
      </w:r>
      <w:r w:rsidR="005E31A8">
        <w:rPr>
          <w:rFonts w:cstheme="minorHAnsi"/>
          <w:color w:val="000000" w:themeColor="text1"/>
          <w:shd w:val="clear" w:color="auto" w:fill="FFFFFF"/>
        </w:rPr>
        <w:t xml:space="preserve"> </w:t>
      </w:r>
    </w:p>
    <w:p w14:paraId="1E0EDBF5" w14:textId="093B8D03" w:rsidR="004C0CC2" w:rsidRDefault="004C0CC2" w:rsidP="002A1848">
      <w:pPr>
        <w:spacing w:line="276" w:lineRule="auto"/>
        <w:jc w:val="both"/>
      </w:pPr>
      <w:r>
        <w:t>Toto nařízení stanovuje nezbytný právní základ pro spolehlivou, inkluzivní, nákladově efektivní, transparentní a předvídatelnou správu energetické unie a opatření v oblasti klimatu (dále jen „mechanismus správy“) zajišťující splnění cílů a úkolů energetické unie do roku 2030 a dlouhodobých cílů a úkolů energetické unie v souladu s P</w:t>
      </w:r>
      <w:r w:rsidR="00FA5C7E">
        <w:t>a</w:t>
      </w:r>
      <w:r>
        <w:t>řížskou dohodou uzavřenou na 21. konferenci smluvních stran Rámcové úmluvy Organizace spojených národ</w:t>
      </w:r>
      <w:r w:rsidR="00FA5C7E">
        <w:t>ů</w:t>
      </w:r>
      <w:r>
        <w:t xml:space="preserve"> o zm</w:t>
      </w:r>
      <w:r w:rsidR="00FA5C7E">
        <w:t>ě</w:t>
      </w:r>
      <w:r>
        <w:t>n</w:t>
      </w:r>
      <w:r w:rsidR="00FA5C7E">
        <w:t>ě</w:t>
      </w:r>
      <w:r>
        <w:t xml:space="preserve"> klimatu z roku </w:t>
      </w:r>
      <w:r w:rsidR="00FA5C7E">
        <w:t>2015</w:t>
      </w:r>
      <w:r>
        <w:t xml:space="preserve">. </w:t>
      </w:r>
    </w:p>
    <w:p w14:paraId="3B191A99" w14:textId="064CA330" w:rsidR="004C0CC2" w:rsidRPr="00A86A02" w:rsidRDefault="00FA5C7E" w:rsidP="002A1848">
      <w:pPr>
        <w:spacing w:line="276" w:lineRule="auto"/>
        <w:jc w:val="both"/>
      </w:pPr>
      <w:r>
        <w:t>Cílem odolné energetické unie v oblasti klimatu je zajistit bezpečnou, udržitelnou, konkurenceschopnou a cenově dostupnou energii pro spotřebitele v Unii, včetně domácností a podniků, a podpořit výzkum a inovace prostřednictvím přilákání investic</w:t>
      </w:r>
      <w:r w:rsidR="00A86A02">
        <w:t xml:space="preserve">. </w:t>
      </w:r>
      <w:r w:rsidR="004C0CC2">
        <w:t>Energetická unie by měla pokrývat pět rozměrů: energetickou bezpečnost, vnitřní trh s energií, energetickou účinnost, snižování emisí uhlíku a výzkum, inovace a konkurenceschopnost.</w:t>
      </w:r>
    </w:p>
    <w:p w14:paraId="21EC8552" w14:textId="5698D27E" w:rsidR="00885F7D" w:rsidRDefault="00FF0124" w:rsidP="002A1848">
      <w:pPr>
        <w:spacing w:line="276" w:lineRule="auto"/>
        <w:jc w:val="both"/>
      </w:pPr>
      <w:r>
        <w:lastRenderedPageBreak/>
        <w:t>S</w:t>
      </w:r>
      <w:r w:rsidR="00885F7D">
        <w:t>oub</w:t>
      </w:r>
      <w:r w:rsidR="00FA5C7E">
        <w:t>ěž</w:t>
      </w:r>
      <w:r w:rsidR="00885F7D">
        <w:t>n</w:t>
      </w:r>
      <w:r w:rsidR="00FA5C7E">
        <w:t>ě</w:t>
      </w:r>
      <w:r w:rsidR="00885F7D">
        <w:t xml:space="preserve"> s tímto na</w:t>
      </w:r>
      <w:r w:rsidR="00FA5C7E">
        <w:t>ř</w:t>
      </w:r>
      <w:r w:rsidR="00885F7D">
        <w:t>ízením Komise vypracovala a p</w:t>
      </w:r>
      <w:r w:rsidR="00FA5C7E">
        <w:t>ř</w:t>
      </w:r>
      <w:r w:rsidR="00885F7D">
        <w:t xml:space="preserve">ijala </w:t>
      </w:r>
      <w:r w:rsidR="004C0CC2">
        <w:t>ř</w:t>
      </w:r>
      <w:r w:rsidR="00885F7D">
        <w:t>adu iniciativ v rámci sektorové energetické politiky, zejména s ohledem na energii z obnovitelných zdroj</w:t>
      </w:r>
      <w:r w:rsidR="004C0CC2">
        <w:t>ů</w:t>
      </w:r>
      <w:r w:rsidR="00885F7D">
        <w:t>, energetickou ú</w:t>
      </w:r>
      <w:r w:rsidR="00FA5C7E">
        <w:t>č</w:t>
      </w:r>
      <w:r w:rsidR="00885F7D">
        <w:t>innost, v</w:t>
      </w:r>
      <w:r w:rsidR="00FA5C7E">
        <w:t>č</w:t>
      </w:r>
      <w:r w:rsidR="00885F7D">
        <w:t>etn</w:t>
      </w:r>
      <w:r w:rsidR="00FA5C7E">
        <w:t>ě</w:t>
      </w:r>
      <w:r w:rsidR="00885F7D">
        <w:t xml:space="preserve"> energetické náro</w:t>
      </w:r>
      <w:r w:rsidR="004C0CC2">
        <w:t>č</w:t>
      </w:r>
      <w:r w:rsidR="00885F7D">
        <w:t>nosti budov, a strukturu trhu.</w:t>
      </w:r>
    </w:p>
    <w:p w14:paraId="7DFD1CD5" w14:textId="68562722" w:rsidR="00542DE5" w:rsidRDefault="00542DE5" w:rsidP="002A1848">
      <w:pPr>
        <w:spacing w:line="276" w:lineRule="auto"/>
        <w:jc w:val="both"/>
        <w:rPr>
          <w:rFonts w:cstheme="minorHAnsi"/>
          <w:color w:val="000000" w:themeColor="text1"/>
          <w:u w:val="single"/>
        </w:rPr>
      </w:pPr>
      <w:r w:rsidRPr="00E83E67">
        <w:rPr>
          <w:rFonts w:cstheme="minorHAnsi"/>
          <w:b/>
          <w:bCs/>
          <w:color w:val="000000" w:themeColor="text1"/>
          <w:u w:val="single"/>
        </w:rPr>
        <w:t xml:space="preserve">Nařízení </w:t>
      </w:r>
      <w:r w:rsidRPr="00E83E67">
        <w:rPr>
          <w:rFonts w:cstheme="minorHAnsi"/>
          <w:b/>
          <w:bCs/>
          <w:color w:val="000000" w:themeColor="text1"/>
          <w:u w:val="single"/>
          <w:shd w:val="clear" w:color="auto" w:fill="FFFFFF"/>
        </w:rPr>
        <w:t xml:space="preserve">Evropského </w:t>
      </w:r>
      <w:r w:rsidR="00C90A9D" w:rsidRPr="00E83E67">
        <w:rPr>
          <w:rFonts w:cstheme="minorHAnsi"/>
          <w:b/>
          <w:bCs/>
          <w:color w:val="000000" w:themeColor="text1"/>
          <w:u w:val="single"/>
          <w:shd w:val="clear" w:color="auto" w:fill="FFFFFF"/>
        </w:rPr>
        <w:t>parlamentu</w:t>
      </w:r>
      <w:r w:rsidRPr="00E83E67">
        <w:rPr>
          <w:rFonts w:cstheme="minorHAnsi"/>
          <w:b/>
          <w:bCs/>
          <w:color w:val="000000" w:themeColor="text1"/>
          <w:u w:val="single"/>
          <w:shd w:val="clear" w:color="auto" w:fill="FFFFFF"/>
        </w:rPr>
        <w:t xml:space="preserve"> a Rady (EU) </w:t>
      </w:r>
      <w:r w:rsidRPr="00E83E67">
        <w:rPr>
          <w:rFonts w:cstheme="minorHAnsi"/>
          <w:b/>
          <w:bCs/>
          <w:color w:val="000000" w:themeColor="text1"/>
          <w:u w:val="single"/>
        </w:rPr>
        <w:t>2018/841 o zahrnutí emisí skleníkových plynů a jejich pohlcování v důsledku využívání půdy, změn ve využívání půdy a lesnictví (LULUCF) do rámce politiky v oblasti klimatu a energetiky do roku 2030</w:t>
      </w:r>
      <w:r w:rsidRPr="00905026">
        <w:rPr>
          <w:rFonts w:cstheme="minorHAnsi"/>
          <w:color w:val="000000" w:themeColor="text1"/>
          <w:u w:val="single"/>
        </w:rPr>
        <w:t xml:space="preserve"> </w:t>
      </w:r>
    </w:p>
    <w:p w14:paraId="5E98092A" w14:textId="4765A159" w:rsidR="00F26CC3" w:rsidRPr="00F26CC3" w:rsidRDefault="00F26CC3" w:rsidP="002A1848">
      <w:pPr>
        <w:spacing w:line="276" w:lineRule="auto"/>
        <w:jc w:val="both"/>
        <w:rPr>
          <w:rFonts w:cstheme="minorHAnsi"/>
          <w:noProof/>
        </w:rPr>
      </w:pPr>
      <w:r w:rsidRPr="00F26CC3">
        <w:rPr>
          <w:rFonts w:cstheme="minorHAnsi"/>
          <w:noProof/>
        </w:rPr>
        <w:t xml:space="preserve">Revize legislativy je plánována ze strany Evropské komise na </w:t>
      </w:r>
      <w:r w:rsidR="00977EC4">
        <w:rPr>
          <w:rFonts w:cstheme="minorHAnsi"/>
          <w:noProof/>
        </w:rPr>
        <w:t>červen</w:t>
      </w:r>
      <w:r w:rsidRPr="00F26CC3">
        <w:rPr>
          <w:rFonts w:cstheme="minorHAnsi"/>
          <w:noProof/>
        </w:rPr>
        <w:t xml:space="preserve"> 2021. </w:t>
      </w:r>
      <w:r w:rsidR="00977EC4">
        <w:rPr>
          <w:rFonts w:cstheme="minorHAnsi"/>
          <w:noProof/>
        </w:rPr>
        <w:t>MZe p</w:t>
      </w:r>
      <w:r w:rsidRPr="00F26CC3">
        <w:rPr>
          <w:rFonts w:cstheme="minorHAnsi"/>
          <w:noProof/>
        </w:rPr>
        <w:t>ředpokládá, že v této době bude disponovat podrobnějšími informacemi, včetně dopadové analýzy a ekonomických podkladů.</w:t>
      </w:r>
    </w:p>
    <w:p w14:paraId="579E0069" w14:textId="2E96516E" w:rsidR="00963616" w:rsidRPr="00F26CC3" w:rsidRDefault="00F26CC3" w:rsidP="002A1848">
      <w:pPr>
        <w:spacing w:line="276" w:lineRule="auto"/>
        <w:jc w:val="both"/>
        <w:rPr>
          <w:rFonts w:cstheme="minorHAnsi"/>
          <w:noProof/>
        </w:rPr>
      </w:pPr>
      <w:r>
        <w:rPr>
          <w:rFonts w:cstheme="minorHAnsi"/>
          <w:noProof/>
        </w:rPr>
        <w:t>E</w:t>
      </w:r>
      <w:r w:rsidR="00963616" w:rsidRPr="00F26CC3">
        <w:rPr>
          <w:rFonts w:cstheme="minorHAnsi"/>
          <w:noProof/>
        </w:rPr>
        <w:t>mise uhlíku ze zemědělské půdy závisí na pěstované kultuře a způsobu obdělávání. Orná půda dlouhodobě vykazuje emise skleníkových plynů</w:t>
      </w:r>
      <w:r w:rsidR="00C92CF3">
        <w:rPr>
          <w:rFonts w:cstheme="minorHAnsi"/>
          <w:noProof/>
        </w:rPr>
        <w:t>;</w:t>
      </w:r>
      <w:r w:rsidR="00963616" w:rsidRPr="00F26CC3">
        <w:rPr>
          <w:rFonts w:cstheme="minorHAnsi"/>
          <w:noProof/>
        </w:rPr>
        <w:t xml:space="preserve"> travní porosty vykazují propady (ukládání) uhlíku. Výměra trvalých travních porostů a tím i zásoba uhlíku v zemědělské půdě se od roku 1990 trvale zvyšovala zejména vlivem zatravňování orné půdy. V současnosti se již plošné zatravňování nepodporuje a ukládání uhlíku v trvalých travních porostech</w:t>
      </w:r>
      <w:r w:rsidR="00C92CF3">
        <w:rPr>
          <w:rFonts w:cstheme="minorHAnsi"/>
          <w:noProof/>
        </w:rPr>
        <w:t xml:space="preserve"> se</w:t>
      </w:r>
      <w:r w:rsidR="00963616" w:rsidRPr="00F26CC3">
        <w:rPr>
          <w:rFonts w:cstheme="minorHAnsi"/>
          <w:noProof/>
        </w:rPr>
        <w:t xml:space="preserve"> nezvyšuje. V lesnictví je klíčovým faktorem rozdíl mezi běžným ročním přírůstem lesní biomasy a její těžbou. </w:t>
      </w:r>
    </w:p>
    <w:p w14:paraId="63829C20" w14:textId="4F655E9A" w:rsidR="00963616" w:rsidRPr="00F26CC3" w:rsidRDefault="00C92CF3" w:rsidP="002A1848">
      <w:pPr>
        <w:spacing w:line="276" w:lineRule="auto"/>
        <w:jc w:val="both"/>
        <w:rPr>
          <w:rFonts w:cstheme="minorHAnsi"/>
          <w:noProof/>
        </w:rPr>
      </w:pPr>
      <w:r>
        <w:rPr>
          <w:rFonts w:cstheme="minorHAnsi"/>
          <w:noProof/>
        </w:rPr>
        <w:t>V</w:t>
      </w:r>
      <w:r w:rsidR="00963616" w:rsidRPr="00F26CC3">
        <w:rPr>
          <w:rFonts w:cstheme="minorHAnsi"/>
          <w:noProof/>
        </w:rPr>
        <w:t xml:space="preserve"> odvětví LULUCF je třeba zdůraznit, že v nejbližších letech se v ČR změní role lesního hospodářství ve smyslu propadů CO2 z důvodu nahodilých těžeb souvisejících s likvidací kůrovcové kalamity</w:t>
      </w:r>
      <w:r>
        <w:rPr>
          <w:rFonts w:cstheme="minorHAnsi"/>
          <w:noProof/>
        </w:rPr>
        <w:t xml:space="preserve"> a </w:t>
      </w:r>
      <w:r w:rsidR="00963616" w:rsidRPr="00F26CC3">
        <w:rPr>
          <w:rFonts w:cstheme="minorHAnsi"/>
          <w:noProof/>
        </w:rPr>
        <w:t xml:space="preserve">je pravděpodobné, že dočasně bude kategorie obhospodařované lesní půdy vykazovat emise CO2. </w:t>
      </w:r>
      <w:r w:rsidR="00963616" w:rsidRPr="003D72ED">
        <w:rPr>
          <w:rFonts w:cstheme="minorHAnsi"/>
          <w:noProof/>
        </w:rPr>
        <w:t xml:space="preserve">Česká republika požaduje zohlednění stávajícího stavu lesů postižených současnými škodami při finalizaci referenčních úrovní pro lesnictví podle nařízení LULUCF, a zajištění, že toto zohlednění, včetně zvýšené pravděpodobnosti budoucích škod, bude umožněno při stanovení referenčních úrovní pro lesy v budoucnu. Dlouhodobě </w:t>
      </w:r>
      <w:r w:rsidR="003D72ED" w:rsidRPr="003D72ED">
        <w:rPr>
          <w:rFonts w:cstheme="minorHAnsi"/>
          <w:noProof/>
        </w:rPr>
        <w:t>musí</w:t>
      </w:r>
      <w:r w:rsidR="00963616" w:rsidRPr="003D72ED">
        <w:rPr>
          <w:rFonts w:cstheme="minorHAnsi"/>
          <w:noProof/>
        </w:rPr>
        <w:t xml:space="preserve"> ČR se sektorem LULUCF aktivně pracovat tak, aby v budoucnu mohl přispět k dosažení uhlíkové neutrality postupným navyšováním propadů, které z větší části vykompenzují zbylé antropogenní emise.</w:t>
      </w:r>
      <w:r w:rsidR="00963616" w:rsidRPr="00F26CC3">
        <w:rPr>
          <w:rFonts w:cstheme="minorHAnsi"/>
          <w:noProof/>
        </w:rPr>
        <w:t xml:space="preserve">   </w:t>
      </w:r>
    </w:p>
    <w:p w14:paraId="1D71CB40" w14:textId="2BD3EFE7" w:rsidR="00542DE5" w:rsidRDefault="00542DE5" w:rsidP="002A1848">
      <w:pPr>
        <w:shd w:val="clear" w:color="auto" w:fill="FFFFFF"/>
        <w:spacing w:line="276" w:lineRule="auto"/>
        <w:jc w:val="both"/>
        <w:rPr>
          <w:rFonts w:cstheme="minorHAnsi"/>
          <w:color w:val="000000" w:themeColor="text1"/>
          <w:shd w:val="clear" w:color="auto" w:fill="FFFFFF"/>
        </w:rPr>
      </w:pPr>
      <w:r w:rsidRPr="00E83E67">
        <w:rPr>
          <w:rFonts w:cstheme="minorHAnsi"/>
          <w:b/>
          <w:bCs/>
          <w:u w:val="single"/>
        </w:rPr>
        <w:t>Směrnice Evropského parlamentu a Rady (EU) 2018/2002 ze dne 11. 12. 2018</w:t>
      </w:r>
      <w:r w:rsidRPr="00E83E67">
        <w:rPr>
          <w:rFonts w:cstheme="minorHAnsi"/>
          <w:b/>
          <w:bCs/>
          <w:color w:val="4F4F4F"/>
          <w:u w:val="single"/>
          <w:lang w:eastAsia="cs-CZ"/>
        </w:rPr>
        <w:t xml:space="preserve"> </w:t>
      </w:r>
      <w:r w:rsidRPr="00E83E67">
        <w:rPr>
          <w:rFonts w:cstheme="minorHAnsi"/>
          <w:b/>
          <w:bCs/>
          <w:u w:val="single"/>
        </w:rPr>
        <w:t>o energetické účinnosti</w:t>
      </w:r>
      <w:r w:rsidRPr="00905026">
        <w:rPr>
          <w:rFonts w:cstheme="minorHAnsi"/>
          <w:color w:val="4F4F4F"/>
          <w:u w:val="single"/>
          <w:lang w:eastAsia="cs-CZ"/>
        </w:rPr>
        <w:t xml:space="preserve"> </w:t>
      </w:r>
      <w:r w:rsidRPr="00905026">
        <w:rPr>
          <w:rFonts w:cstheme="minorHAnsi"/>
          <w:color w:val="4F4F4F"/>
          <w:lang w:eastAsia="cs-CZ"/>
        </w:rPr>
        <w:t xml:space="preserve">– </w:t>
      </w:r>
      <w:r w:rsidRPr="00905026">
        <w:rPr>
          <w:rFonts w:cstheme="minorHAnsi"/>
          <w:color w:val="000000" w:themeColor="text1"/>
          <w:lang w:eastAsia="cs-CZ"/>
        </w:rPr>
        <w:t>Komise</w:t>
      </w:r>
      <w:r w:rsidRPr="00905026">
        <w:rPr>
          <w:rFonts w:cstheme="minorHAnsi"/>
          <w:color w:val="000000" w:themeColor="text1"/>
          <w:u w:val="single"/>
          <w:lang w:eastAsia="cs-CZ"/>
        </w:rPr>
        <w:t xml:space="preserve"> </w:t>
      </w:r>
      <w:r w:rsidRPr="00905026">
        <w:rPr>
          <w:rFonts w:cstheme="minorHAnsi"/>
          <w:color w:val="000000" w:themeColor="text1"/>
          <w:shd w:val="clear" w:color="auto" w:fill="FFFFFF"/>
        </w:rPr>
        <w:t>do června 2021 předloží návrhy na revize této směrnice.</w:t>
      </w:r>
    </w:p>
    <w:p w14:paraId="7CA72A16" w14:textId="5875C6C8" w:rsidR="006A6151" w:rsidRPr="00E50A8F" w:rsidRDefault="009E2FB3" w:rsidP="00FF0124">
      <w:pPr>
        <w:spacing w:line="276" w:lineRule="auto"/>
        <w:jc w:val="both"/>
        <w:rPr>
          <w:rFonts w:cstheme="minorHAnsi"/>
          <w:lang w:eastAsia="fr-BE"/>
        </w:rPr>
      </w:pPr>
      <w:r w:rsidRPr="00E50A8F">
        <w:rPr>
          <w:rFonts w:cstheme="minorHAnsi"/>
        </w:rPr>
        <w:t xml:space="preserve">Tato Směrnice vytýčila cíle v úsporách energie v rámci EU, kdy nosnou myšlenkou bylo dosažení klíčových environmentálních cílů. </w:t>
      </w:r>
      <w:r w:rsidRPr="00E50A8F">
        <w:rPr>
          <w:rFonts w:cstheme="minorHAnsi"/>
          <w:lang w:eastAsia="fr-BE"/>
        </w:rPr>
        <w:t xml:space="preserve"> </w:t>
      </w:r>
      <w:r w:rsidR="004F6C19" w:rsidRPr="00E50A8F">
        <w:rPr>
          <w:rFonts w:cstheme="minorHAnsi"/>
          <w:shd w:val="clear" w:color="auto" w:fill="FFFFFF"/>
        </w:rPr>
        <w:t>Došlo ke zvýšení závazku EU energetické účinnosti EU z 27 % na</w:t>
      </w:r>
      <w:r w:rsidR="00C92CF3" w:rsidRPr="00E50A8F">
        <w:rPr>
          <w:rFonts w:cstheme="minorHAnsi"/>
          <w:shd w:val="clear" w:color="auto" w:fill="FFFFFF"/>
        </w:rPr>
        <w:t xml:space="preserve">       </w:t>
      </w:r>
      <w:r w:rsidR="004F6C19" w:rsidRPr="00E50A8F">
        <w:rPr>
          <w:rFonts w:cstheme="minorHAnsi"/>
          <w:shd w:val="clear" w:color="auto" w:fill="FFFFFF"/>
        </w:rPr>
        <w:t>32, 5 % do roku 2030, což znamená zvýšení závazku podle článku 7, který stanovuje členským státům povinnost dosáhnout do roku 2030 kumulativních úspor v konečném využití energie v období od roku 2021 do roku 2030, odpovídá každoročnímu snížení ve výši 0,8 %.</w:t>
      </w:r>
      <w:r w:rsidR="00885F7D" w:rsidRPr="00E50A8F">
        <w:rPr>
          <w:rFonts w:cstheme="minorHAnsi"/>
          <w:lang w:eastAsia="fr-BE"/>
        </w:rPr>
        <w:t xml:space="preserve"> </w:t>
      </w:r>
      <w:r w:rsidR="004F6C19" w:rsidRPr="00E50A8F">
        <w:rPr>
          <w:rFonts w:cstheme="minorHAnsi"/>
        </w:rPr>
        <w:t>Nové s</w:t>
      </w:r>
      <w:r w:rsidR="006A6151" w:rsidRPr="00E50A8F">
        <w:rPr>
          <w:rFonts w:cstheme="minorHAnsi"/>
        </w:rPr>
        <w:t>cénáře předpokládají snížení konečné spotřeby energie v EU v rozmezí 34,4–36,7 %. To by si vyžádalo navýšení stávajícího cíle pro energetickou účinnost</w:t>
      </w:r>
      <w:r w:rsidR="00885F7D" w:rsidRPr="00E50A8F">
        <w:rPr>
          <w:rFonts w:cstheme="minorHAnsi"/>
        </w:rPr>
        <w:t xml:space="preserve"> (</w:t>
      </w:r>
      <w:r w:rsidR="006A6151" w:rsidRPr="00E50A8F">
        <w:rPr>
          <w:rFonts w:cstheme="minorHAnsi"/>
        </w:rPr>
        <w:t>momentálně ve výši 32,5 %</w:t>
      </w:r>
      <w:r w:rsidR="00885F7D" w:rsidRPr="00E50A8F">
        <w:rPr>
          <w:rFonts w:cstheme="minorHAnsi"/>
        </w:rPr>
        <w:t>)</w:t>
      </w:r>
      <w:r w:rsidR="006A6151" w:rsidRPr="00E50A8F">
        <w:rPr>
          <w:rFonts w:cstheme="minorHAnsi"/>
        </w:rPr>
        <w:t xml:space="preserve">. </w:t>
      </w:r>
      <w:r w:rsidRPr="00E50A8F">
        <w:rPr>
          <w:rFonts w:cstheme="minorHAnsi"/>
        </w:rPr>
        <w:t xml:space="preserve">ČR zásadně nesouhlasí s navyšováním cílů energetické účinnosti pro rok 2030. </w:t>
      </w:r>
      <w:r w:rsidR="006A6151" w:rsidRPr="00E50A8F">
        <w:rPr>
          <w:rFonts w:cstheme="minorHAnsi"/>
        </w:rPr>
        <w:t xml:space="preserve">Komise však doposud nezveřejnila detailní hodnocení/komentář jednotlivých plánů, </w:t>
      </w:r>
      <w:r w:rsidR="004F6C19" w:rsidRPr="00E50A8F">
        <w:rPr>
          <w:rFonts w:cstheme="minorHAnsi"/>
        </w:rPr>
        <w:t>b</w:t>
      </w:r>
      <w:r w:rsidR="006A6151" w:rsidRPr="00E50A8F">
        <w:rPr>
          <w:rFonts w:cstheme="minorHAnsi"/>
        </w:rPr>
        <w:t xml:space="preserve">ez </w:t>
      </w:r>
      <w:r w:rsidR="004F6C19" w:rsidRPr="00E50A8F">
        <w:rPr>
          <w:rFonts w:cstheme="minorHAnsi"/>
        </w:rPr>
        <w:t xml:space="preserve">něhož </w:t>
      </w:r>
      <w:r w:rsidR="006A6151" w:rsidRPr="00E50A8F">
        <w:rPr>
          <w:rFonts w:cstheme="minorHAnsi"/>
        </w:rPr>
        <w:t>je diskutabilní, zda jednotlivé ČS mají potenciál (ekonomicko-technický) na zvyšování doposud prezentovaných ambicí. Navyšování ambicí nad rámec ekonomického potenciálu je v rozporu s</w:t>
      </w:r>
      <w:r w:rsidR="004F6C19" w:rsidRPr="00E50A8F">
        <w:rPr>
          <w:rFonts w:cstheme="minorHAnsi"/>
        </w:rPr>
        <w:t> </w:t>
      </w:r>
      <w:r w:rsidR="006A6151" w:rsidRPr="00E50A8F">
        <w:rPr>
          <w:rFonts w:cstheme="minorHAnsi"/>
        </w:rPr>
        <w:t>výhodami</w:t>
      </w:r>
      <w:r w:rsidR="004F6C19" w:rsidRPr="00E50A8F">
        <w:rPr>
          <w:rFonts w:cstheme="minorHAnsi"/>
        </w:rPr>
        <w:t xml:space="preserve"> (</w:t>
      </w:r>
      <w:r w:rsidR="006A6151" w:rsidRPr="00E50A8F">
        <w:rPr>
          <w:rFonts w:cstheme="minorHAnsi"/>
        </w:rPr>
        <w:t>konkrétně s nižšími účty za energii</w:t>
      </w:r>
      <w:r w:rsidR="004F6C19" w:rsidRPr="00E50A8F">
        <w:rPr>
          <w:rFonts w:cstheme="minorHAnsi"/>
        </w:rPr>
        <w:t>)</w:t>
      </w:r>
      <w:r w:rsidR="006A6151" w:rsidRPr="00E50A8F">
        <w:rPr>
          <w:rFonts w:cstheme="minorHAnsi"/>
        </w:rPr>
        <w:t>. ČR se domnívá, že bez zohlednění nákladové efektivnosti opatření bude jakékoli navyšování ambicí dopadat na konečné spotřebitele, zejména na ty nejchudší</w:t>
      </w:r>
      <w:r w:rsidR="004F6C19" w:rsidRPr="00E50A8F">
        <w:rPr>
          <w:rFonts w:cstheme="minorHAnsi"/>
        </w:rPr>
        <w:t>.</w:t>
      </w:r>
    </w:p>
    <w:p w14:paraId="251EA91C" w14:textId="77777777" w:rsidR="00757A59" w:rsidRDefault="00757A59">
      <w:pPr>
        <w:rPr>
          <w:rFonts w:cstheme="minorHAnsi"/>
          <w:b/>
          <w:bCs/>
          <w:color w:val="000000" w:themeColor="text1"/>
          <w:u w:val="single"/>
        </w:rPr>
      </w:pPr>
      <w:r>
        <w:rPr>
          <w:rFonts w:cstheme="minorHAnsi"/>
          <w:b/>
          <w:bCs/>
          <w:color w:val="000000" w:themeColor="text1"/>
          <w:u w:val="single"/>
        </w:rPr>
        <w:br w:type="page"/>
      </w:r>
    </w:p>
    <w:p w14:paraId="4C8EB5EE" w14:textId="10B25975" w:rsidR="00542DE5" w:rsidRPr="00E50A8F" w:rsidRDefault="00542DE5" w:rsidP="002A1848">
      <w:pPr>
        <w:autoSpaceDE w:val="0"/>
        <w:autoSpaceDN w:val="0"/>
        <w:adjustRightInd w:val="0"/>
        <w:spacing w:line="276" w:lineRule="auto"/>
        <w:jc w:val="both"/>
        <w:rPr>
          <w:rFonts w:cstheme="minorHAnsi"/>
          <w:noProof/>
        </w:rPr>
      </w:pPr>
      <w:r w:rsidRPr="00E83E67">
        <w:rPr>
          <w:rFonts w:cstheme="minorHAnsi"/>
          <w:b/>
          <w:bCs/>
          <w:color w:val="000000" w:themeColor="text1"/>
          <w:u w:val="single"/>
        </w:rPr>
        <w:lastRenderedPageBreak/>
        <w:t xml:space="preserve">Směrnice Evropského parlamentu a Rady (EU) 2018/2001 ze dne 11. prosince 2018 o podpoře využívání energie z obnovitelných </w:t>
      </w:r>
      <w:r w:rsidR="00B45DCB" w:rsidRPr="00E83E67">
        <w:rPr>
          <w:rFonts w:cstheme="minorHAnsi"/>
          <w:b/>
          <w:bCs/>
          <w:color w:val="000000" w:themeColor="text1"/>
          <w:u w:val="single"/>
        </w:rPr>
        <w:t>zdrojů</w:t>
      </w:r>
      <w:r w:rsidR="00B45DCB" w:rsidRPr="00905026">
        <w:rPr>
          <w:rFonts w:cstheme="minorHAnsi"/>
          <w:color w:val="000000" w:themeColor="text1"/>
        </w:rPr>
        <w:t xml:space="preserve"> – </w:t>
      </w:r>
      <w:r w:rsidR="00B45DCB" w:rsidRPr="00E50A8F">
        <w:rPr>
          <w:rFonts w:cstheme="minorHAnsi"/>
        </w:rPr>
        <w:t>nahrazuje</w:t>
      </w:r>
      <w:r w:rsidRPr="00E50A8F">
        <w:rPr>
          <w:rFonts w:cstheme="minorHAnsi"/>
          <w:shd w:val="clear" w:color="auto" w:fill="FFFFFF"/>
        </w:rPr>
        <w:t xml:space="preserve"> od 1. července 2021 směrnici 2009/28/ES </w:t>
      </w:r>
      <w:r w:rsidRPr="00E50A8F">
        <w:rPr>
          <w:rFonts w:cstheme="minorHAnsi"/>
        </w:rPr>
        <w:t xml:space="preserve">– Komise </w:t>
      </w:r>
      <w:r w:rsidRPr="00E50A8F">
        <w:rPr>
          <w:rFonts w:cstheme="minorHAnsi"/>
          <w:noProof/>
        </w:rPr>
        <w:t>do 30. června 2021 přezkoumá příslušné právní předpisy Unie, aby umožnila dosažení cíle klimatické neutrality a zváží přijetí nezbytných opatření, včetně přijetí legislativních návrhů.</w:t>
      </w:r>
    </w:p>
    <w:p w14:paraId="45D0E3EB" w14:textId="173F84CE" w:rsidR="00BB0EAF" w:rsidRPr="00E50A8F" w:rsidRDefault="00657FF3" w:rsidP="002A1848">
      <w:pPr>
        <w:spacing w:line="276" w:lineRule="auto"/>
        <w:jc w:val="both"/>
        <w:rPr>
          <w:rFonts w:ascii="Arial" w:hAnsi="Arial" w:cs="Arial"/>
        </w:rPr>
      </w:pPr>
      <w:r w:rsidRPr="00E50A8F">
        <w:rPr>
          <w:rFonts w:cstheme="minorHAnsi"/>
        </w:rPr>
        <w:t>Cílem je, že by se měl do roku 2030 podíl výroby elektřiny z </w:t>
      </w:r>
      <w:r w:rsidR="00BB0EAF" w:rsidRPr="00E50A8F">
        <w:rPr>
          <w:rFonts w:cstheme="minorHAnsi"/>
        </w:rPr>
        <w:t>OZE</w:t>
      </w:r>
      <w:r w:rsidRPr="00E50A8F">
        <w:rPr>
          <w:rFonts w:cstheme="minorHAnsi"/>
        </w:rPr>
        <w:t xml:space="preserve"> v EU alespoň zdvojnásobit ze stávajících 32 % na přibližně 65 % či více. Obnovitelné zdroje by měly vést mimo jiné k vysoké míře decentralizace a nastartování vzniku nových pracovních míst. Zavádění elektřiny z </w:t>
      </w:r>
      <w:r w:rsidR="00BB0EAF" w:rsidRPr="00E50A8F">
        <w:rPr>
          <w:rFonts w:cstheme="minorHAnsi"/>
        </w:rPr>
        <w:t>OZE</w:t>
      </w:r>
      <w:r w:rsidRPr="00E50A8F">
        <w:rPr>
          <w:rFonts w:cstheme="minorHAnsi"/>
        </w:rPr>
        <w:t xml:space="preserve"> představuje významnou příležitost pro dekarbonizaci dalších odvětví. Důležitou roli bude hrát také obnovitelný vodík, který by měl nahradit fosilní paliva v některých průmyslových procesech s vysokými emisemi uhlíku</w:t>
      </w:r>
      <w:r w:rsidR="00BB0EAF" w:rsidRPr="00E50A8F">
        <w:rPr>
          <w:rFonts w:cstheme="minorHAnsi"/>
        </w:rPr>
        <w:t xml:space="preserve">. </w:t>
      </w:r>
      <w:r w:rsidR="00E93909" w:rsidRPr="00E50A8F">
        <w:rPr>
          <w:rFonts w:cstheme="minorHAnsi"/>
        </w:rPr>
        <w:t>E</w:t>
      </w:r>
      <w:r w:rsidR="00BB0EAF" w:rsidRPr="00E50A8F">
        <w:rPr>
          <w:rFonts w:cstheme="minorHAnsi"/>
        </w:rPr>
        <w:t>nergie z OZE byla v odvětví dopravy v roce 2015 zastoupena pouhými 6 % a je zapotřebí podíl zvýšit přibližně na 24 % do roku 2030, a to prostřednictvím dalšího rozvoje a zavádění elektrických vozidel, pokročilých biopaliv a dalších obnovitelných a nízkouhlíkových paliv v rámci uceleného a integrovaného přístupu).</w:t>
      </w:r>
      <w:r w:rsidR="00BB0EAF" w:rsidRPr="00E50A8F">
        <w:rPr>
          <w:rFonts w:ascii="Arial" w:hAnsi="Arial" w:cs="Arial"/>
        </w:rPr>
        <w:t xml:space="preserve"> </w:t>
      </w:r>
      <w:r w:rsidR="00E93909" w:rsidRPr="00E50A8F">
        <w:t>Toto navýšení v dopravě do roku 2030 ČR odmítá jako zcela nerealistické (na zelený vodík či elektřinu by musely fungovat i kamiony); rovněž navýšení dílčího cíle pro podíl OZE na vytápění a chlazení na 40 % považuje za nereálné. Nelze předem souhlasit s dalším navyšováním cílů a podílů obnovitelných zdrojů nad úroveň, která zatím nebyla legislativně pro členské státy EU schválena a upravena pro rok 2030</w:t>
      </w:r>
      <w:r w:rsidR="00D123F4" w:rsidRPr="00E50A8F">
        <w:t xml:space="preserve"> a další roky.</w:t>
      </w:r>
    </w:p>
    <w:p w14:paraId="11087D1E" w14:textId="7B79BAE7" w:rsidR="00542DE5" w:rsidRPr="00905026" w:rsidRDefault="00542DE5" w:rsidP="002A1848">
      <w:pPr>
        <w:pStyle w:val="Nadpis1"/>
        <w:shd w:val="clear" w:color="auto" w:fill="FFFFFF"/>
        <w:spacing w:before="0" w:after="160"/>
        <w:ind w:left="0" w:firstLine="0"/>
        <w:rPr>
          <w:rFonts w:asciiTheme="minorHAnsi" w:hAnsiTheme="minorHAnsi" w:cstheme="minorHAnsi"/>
          <w:b w:val="0"/>
          <w:sz w:val="22"/>
          <w:szCs w:val="22"/>
        </w:rPr>
      </w:pPr>
      <w:r w:rsidRPr="00E83E67">
        <w:rPr>
          <w:rFonts w:asciiTheme="minorHAnsi" w:hAnsiTheme="minorHAnsi" w:cstheme="minorHAnsi"/>
          <w:bCs/>
          <w:sz w:val="22"/>
          <w:szCs w:val="22"/>
          <w:u w:val="single"/>
        </w:rPr>
        <w:t>Nařízení Evropského parlamentu a Rady (EU) 2019/631 ze dne 17. dubna 2019, kterým se stanoví výkonnostní normy pro emise CO2 pro nové osobní automobily a pro nová lehká u</w:t>
      </w:r>
      <w:r w:rsidR="00905026" w:rsidRPr="00E83E67">
        <w:rPr>
          <w:rFonts w:asciiTheme="minorHAnsi" w:hAnsiTheme="minorHAnsi" w:cstheme="minorHAnsi"/>
          <w:bCs/>
          <w:sz w:val="22"/>
          <w:szCs w:val="22"/>
          <w:u w:val="single"/>
        </w:rPr>
        <w:t>ž</w:t>
      </w:r>
      <w:r w:rsidRPr="00E83E67">
        <w:rPr>
          <w:rFonts w:asciiTheme="minorHAnsi" w:hAnsiTheme="minorHAnsi" w:cstheme="minorHAnsi"/>
          <w:bCs/>
          <w:sz w:val="22"/>
          <w:szCs w:val="22"/>
          <w:u w:val="single"/>
        </w:rPr>
        <w:t>itková vozidla</w:t>
      </w:r>
      <w:r w:rsidRPr="00905026">
        <w:rPr>
          <w:rFonts w:asciiTheme="minorHAnsi" w:hAnsiTheme="minorHAnsi" w:cstheme="minorHAnsi"/>
          <w:b w:val="0"/>
          <w:sz w:val="22"/>
          <w:szCs w:val="22"/>
        </w:rPr>
        <w:t xml:space="preserve"> </w:t>
      </w:r>
      <w:r w:rsidR="00C951E0">
        <w:rPr>
          <w:rFonts w:asciiTheme="minorHAnsi" w:hAnsiTheme="minorHAnsi" w:cstheme="minorHAnsi"/>
          <w:b w:val="0"/>
          <w:sz w:val="22"/>
          <w:szCs w:val="22"/>
        </w:rPr>
        <w:t>–</w:t>
      </w:r>
      <w:r w:rsidRPr="00905026">
        <w:rPr>
          <w:rFonts w:asciiTheme="minorHAnsi" w:hAnsiTheme="minorHAnsi" w:cstheme="minorHAnsi"/>
          <w:b w:val="0"/>
          <w:sz w:val="22"/>
          <w:szCs w:val="22"/>
        </w:rPr>
        <w:t xml:space="preserve"> Do</w:t>
      </w:r>
      <w:r w:rsidR="00C951E0">
        <w:rPr>
          <w:rFonts w:asciiTheme="minorHAnsi" w:hAnsiTheme="minorHAnsi" w:cstheme="minorHAnsi"/>
          <w:b w:val="0"/>
          <w:sz w:val="22"/>
          <w:szCs w:val="22"/>
        </w:rPr>
        <w:t xml:space="preserve"> </w:t>
      </w:r>
      <w:r w:rsidRPr="00905026">
        <w:rPr>
          <w:rFonts w:asciiTheme="minorHAnsi" w:hAnsiTheme="minorHAnsi" w:cstheme="minorHAnsi"/>
          <w:b w:val="0"/>
          <w:sz w:val="22"/>
          <w:szCs w:val="22"/>
        </w:rPr>
        <w:t>června 2021 Komise přezkoumá a navrhne zpřísnění standardů CO</w:t>
      </w:r>
      <w:r w:rsidRPr="00905026">
        <w:rPr>
          <w:rFonts w:asciiTheme="minorHAnsi" w:hAnsiTheme="minorHAnsi" w:cstheme="minorHAnsi"/>
          <w:b w:val="0"/>
          <w:sz w:val="22"/>
          <w:szCs w:val="22"/>
          <w:vertAlign w:val="subscript"/>
        </w:rPr>
        <w:t>2</w:t>
      </w:r>
      <w:r w:rsidRPr="00905026">
        <w:rPr>
          <w:rFonts w:asciiTheme="minorHAnsi" w:hAnsiTheme="minorHAnsi" w:cstheme="minorHAnsi"/>
          <w:b w:val="0"/>
          <w:sz w:val="22"/>
          <w:szCs w:val="22"/>
        </w:rPr>
        <w:t xml:space="preserve"> pro osobní automobily a dodávky do roku 2030.</w:t>
      </w:r>
    </w:p>
    <w:p w14:paraId="6843F124" w14:textId="77777777" w:rsidR="00C25B40" w:rsidRDefault="00BB6FF9" w:rsidP="002A1848">
      <w:pPr>
        <w:spacing w:line="276" w:lineRule="auto"/>
        <w:jc w:val="both"/>
        <w:rPr>
          <w:rFonts w:cstheme="minorHAnsi"/>
        </w:rPr>
      </w:pPr>
      <w:bookmarkStart w:id="1" w:name="_Hlk56697763"/>
      <w:bookmarkStart w:id="2" w:name="_Hlk56766047"/>
      <w:r w:rsidRPr="001F3EFB">
        <w:rPr>
          <w:rFonts w:cstheme="minorHAnsi"/>
        </w:rPr>
        <w:t>Nařízení</w:t>
      </w:r>
      <w:r w:rsidR="00C25B40">
        <w:rPr>
          <w:rFonts w:cstheme="minorHAnsi"/>
        </w:rPr>
        <w:t>m</w:t>
      </w:r>
      <w:r w:rsidRPr="001F3EFB">
        <w:rPr>
          <w:rFonts w:cstheme="minorHAnsi"/>
        </w:rPr>
        <w:t xml:space="preserve"> Evropského parlamentu a Rady (EU) 2019/631 ze dne 17. dubna 2019</w:t>
      </w:r>
      <w:r w:rsidR="00C25B40">
        <w:rPr>
          <w:rFonts w:cstheme="minorHAnsi"/>
        </w:rPr>
        <w:t xml:space="preserve"> </w:t>
      </w:r>
      <w:r w:rsidRPr="001F3EFB">
        <w:rPr>
          <w:rFonts w:cstheme="minorHAnsi"/>
        </w:rPr>
        <w:t>se stanoví výkonnostní normy pro emise CO2 pro nové osobní automobily a pro nová lehká užitková vozidla a kterým se zrušují nařízení (ES) č. 443/2009 a (EU) č. 510/2011</w:t>
      </w:r>
      <w:r w:rsidR="00C25B40">
        <w:rPr>
          <w:rFonts w:cstheme="minorHAnsi"/>
        </w:rPr>
        <w:t>.</w:t>
      </w:r>
      <w:r w:rsidRPr="001F3EFB">
        <w:rPr>
          <w:rFonts w:cstheme="minorHAnsi"/>
        </w:rPr>
        <w:t xml:space="preserve"> </w:t>
      </w:r>
    </w:p>
    <w:p w14:paraId="47D7413A" w14:textId="77777777" w:rsidR="00C25B40" w:rsidRDefault="00C25B40" w:rsidP="00981EEE">
      <w:pPr>
        <w:spacing w:line="240" w:lineRule="auto"/>
        <w:jc w:val="both"/>
        <w:rPr>
          <w:rFonts w:cstheme="minorHAnsi"/>
        </w:rPr>
      </w:pPr>
      <w:r>
        <w:rPr>
          <w:rFonts w:cstheme="minorHAnsi"/>
        </w:rPr>
        <w:t>O</w:t>
      </w:r>
      <w:r w:rsidR="00BB6FF9" w:rsidRPr="001F3EFB">
        <w:rPr>
          <w:rFonts w:cstheme="minorHAnsi"/>
        </w:rPr>
        <w:t>d 1. ledna 2025</w:t>
      </w:r>
      <w:r>
        <w:rPr>
          <w:rFonts w:cstheme="minorHAnsi"/>
        </w:rPr>
        <w:t>:</w:t>
      </w:r>
      <w:r w:rsidR="00BB6FF9" w:rsidRPr="001F3EFB">
        <w:rPr>
          <w:rFonts w:cstheme="minorHAnsi"/>
        </w:rPr>
        <w:t xml:space="preserve"> </w:t>
      </w:r>
    </w:p>
    <w:p w14:paraId="229FF9DA" w14:textId="61A2E826" w:rsidR="00C25B40" w:rsidRPr="00981EEE" w:rsidRDefault="00BB6FF9" w:rsidP="00981EEE">
      <w:pPr>
        <w:pStyle w:val="Odstavecseseznamem"/>
        <w:numPr>
          <w:ilvl w:val="0"/>
          <w:numId w:val="20"/>
        </w:numPr>
        <w:spacing w:line="240" w:lineRule="auto"/>
        <w:contextualSpacing w:val="0"/>
        <w:jc w:val="both"/>
        <w:rPr>
          <w:rFonts w:cstheme="minorHAnsi"/>
        </w:rPr>
      </w:pPr>
      <w:r w:rsidRPr="00981EEE">
        <w:rPr>
          <w:rFonts w:cstheme="minorHAnsi"/>
        </w:rPr>
        <w:t xml:space="preserve">výrobci </w:t>
      </w:r>
      <w:r w:rsidR="00C25B40" w:rsidRPr="00981EEE">
        <w:rPr>
          <w:rFonts w:cstheme="minorHAnsi"/>
        </w:rPr>
        <w:t xml:space="preserve">musí </w:t>
      </w:r>
      <w:r w:rsidRPr="00981EEE">
        <w:rPr>
          <w:rFonts w:cstheme="minorHAnsi"/>
        </w:rPr>
        <w:t>dosáhnout 15% snížení emisí CO2 oproti roku 2021 u nově registrovaných osobních automobilů a lehkých užitkových vozidel v</w:t>
      </w:r>
      <w:r w:rsidR="003424E7" w:rsidRPr="00981EEE">
        <w:rPr>
          <w:rFonts w:cstheme="minorHAnsi"/>
        </w:rPr>
        <w:t> </w:t>
      </w:r>
      <w:r w:rsidRPr="00981EEE">
        <w:rPr>
          <w:rFonts w:cstheme="minorHAnsi"/>
        </w:rPr>
        <w:t>EU</w:t>
      </w:r>
    </w:p>
    <w:p w14:paraId="57B69565" w14:textId="77777777" w:rsidR="006B1F0A" w:rsidRPr="00981EEE" w:rsidRDefault="00BB6FF9" w:rsidP="00981EEE">
      <w:pPr>
        <w:pStyle w:val="Odstavecseseznamem"/>
        <w:numPr>
          <w:ilvl w:val="0"/>
          <w:numId w:val="20"/>
        </w:numPr>
        <w:spacing w:line="240" w:lineRule="auto"/>
        <w:contextualSpacing w:val="0"/>
        <w:jc w:val="both"/>
        <w:rPr>
          <w:rFonts w:cstheme="minorHAnsi"/>
        </w:rPr>
      </w:pPr>
      <w:r w:rsidRPr="00981EEE">
        <w:rPr>
          <w:rFonts w:cstheme="minorHAnsi"/>
        </w:rPr>
        <w:t>podíl vozidel s nulovými a nízkými emisemi musí dosáhnout 15 % vozových parků nových osobních automobilů a nových lehkých užitkových vozidel</w:t>
      </w:r>
      <w:r w:rsidR="006B1F0A" w:rsidRPr="00981EEE">
        <w:rPr>
          <w:rFonts w:cstheme="minorHAnsi"/>
        </w:rPr>
        <w:t xml:space="preserve">, což představuje prodej na úrovni 2,25 mil. osobních a lehkých užitkových vozidel. </w:t>
      </w:r>
    </w:p>
    <w:p w14:paraId="482A5899" w14:textId="2999F8DE" w:rsidR="006B1F0A" w:rsidRPr="00981EEE" w:rsidRDefault="006B1F0A" w:rsidP="00981EEE">
      <w:pPr>
        <w:pStyle w:val="Odstavecseseznamem"/>
        <w:numPr>
          <w:ilvl w:val="0"/>
          <w:numId w:val="20"/>
        </w:numPr>
        <w:spacing w:line="240" w:lineRule="auto"/>
        <w:contextualSpacing w:val="0"/>
        <w:jc w:val="both"/>
        <w:rPr>
          <w:rFonts w:cstheme="minorHAnsi"/>
        </w:rPr>
      </w:pPr>
      <w:r w:rsidRPr="00981EEE">
        <w:rPr>
          <w:rFonts w:cstheme="minorHAnsi"/>
        </w:rPr>
        <w:t xml:space="preserve">výrobci/automobilky musí splnit emisní cíle pro rok 2021 a 2025, jinak budou muset platit za každý gram emisí navíc 95 € do rozpočtu EU. </w:t>
      </w:r>
    </w:p>
    <w:p w14:paraId="20EF797D" w14:textId="366B2AD0" w:rsidR="003D72ED" w:rsidRPr="001F3EFB" w:rsidRDefault="003D72ED" w:rsidP="002A1848">
      <w:pPr>
        <w:spacing w:line="276" w:lineRule="auto"/>
        <w:jc w:val="both"/>
        <w:rPr>
          <w:rFonts w:cstheme="minorHAnsi"/>
        </w:rPr>
      </w:pPr>
      <w:r w:rsidRPr="001F3EFB">
        <w:rPr>
          <w:rFonts w:cstheme="minorHAnsi"/>
        </w:rPr>
        <w:t>Cílem je zajistit, aby se od roku 2025 rozběhl přechod na mobilitu s nulovými emisemi a dle EGD má k revizi právních předpisů týkajících se emisních standardů pro emise CO2 generované osobními automobily a dodávkami dojít již v roce 2021. Hrozí, že EK navrhne ještě přísnější normy pro emise látek znečisťující ovzduší vozidly se spalovacím motorem (EURO 7).</w:t>
      </w:r>
    </w:p>
    <w:p w14:paraId="3E8013D4" w14:textId="77777777" w:rsidR="00C25B40" w:rsidRDefault="00BB6FF9" w:rsidP="002A1848">
      <w:pPr>
        <w:spacing w:line="276" w:lineRule="auto"/>
        <w:jc w:val="both"/>
        <w:rPr>
          <w:rFonts w:cstheme="minorHAnsi"/>
        </w:rPr>
      </w:pPr>
      <w:r w:rsidRPr="001F3EFB">
        <w:rPr>
          <w:rFonts w:cstheme="minorHAnsi"/>
        </w:rPr>
        <w:t>Od 1. ledna 2030</w:t>
      </w:r>
      <w:r w:rsidR="00C25B40">
        <w:rPr>
          <w:rFonts w:cstheme="minorHAnsi"/>
        </w:rPr>
        <w:t>:</w:t>
      </w:r>
      <w:r w:rsidRPr="001F3EFB">
        <w:rPr>
          <w:rFonts w:cstheme="minorHAnsi"/>
        </w:rPr>
        <w:t xml:space="preserve"> </w:t>
      </w:r>
    </w:p>
    <w:p w14:paraId="310FC232" w14:textId="5973E08E" w:rsidR="00C25B40" w:rsidRDefault="00BB6FF9" w:rsidP="002A1848">
      <w:pPr>
        <w:pStyle w:val="Odstavecseseznamem"/>
        <w:numPr>
          <w:ilvl w:val="0"/>
          <w:numId w:val="21"/>
        </w:numPr>
        <w:spacing w:line="276" w:lineRule="auto"/>
        <w:contextualSpacing w:val="0"/>
        <w:jc w:val="both"/>
        <w:rPr>
          <w:rFonts w:cstheme="minorHAnsi"/>
        </w:rPr>
      </w:pPr>
      <w:r w:rsidRPr="00C25B40">
        <w:rPr>
          <w:rFonts w:cstheme="minorHAnsi"/>
        </w:rPr>
        <w:t>musí výrobci dosáhnout 37,5% snížení emisí CO2 oproti roku 2021 u nově registrovaných osobních automobilů a 31,0 % snížení emisí CO2 u lehkých užitkových vozidel v</w:t>
      </w:r>
      <w:r w:rsidR="00C25B40">
        <w:rPr>
          <w:rFonts w:cstheme="minorHAnsi"/>
        </w:rPr>
        <w:t> </w:t>
      </w:r>
      <w:r w:rsidRPr="00C25B40">
        <w:rPr>
          <w:rFonts w:cstheme="minorHAnsi"/>
        </w:rPr>
        <w:t>EU</w:t>
      </w:r>
    </w:p>
    <w:p w14:paraId="0FEC6163" w14:textId="080438E4" w:rsidR="00BB6FF9" w:rsidRDefault="00BB6FF9" w:rsidP="002A1848">
      <w:pPr>
        <w:pStyle w:val="Odstavecseseznamem"/>
        <w:numPr>
          <w:ilvl w:val="0"/>
          <w:numId w:val="21"/>
        </w:numPr>
        <w:spacing w:line="276" w:lineRule="auto"/>
        <w:contextualSpacing w:val="0"/>
        <w:jc w:val="both"/>
        <w:rPr>
          <w:rFonts w:cstheme="minorHAnsi"/>
        </w:rPr>
      </w:pPr>
      <w:r w:rsidRPr="00C25B40">
        <w:rPr>
          <w:rFonts w:cstheme="minorHAnsi"/>
        </w:rPr>
        <w:lastRenderedPageBreak/>
        <w:t>podíl vozidel s nulovými a nízkými emisemi dosáhnout 35 % vozových parků nových osobních automobilů a 30 % nových lehkých užitkových vozidel</w:t>
      </w:r>
      <w:r w:rsidR="006B1F0A">
        <w:rPr>
          <w:rFonts w:cstheme="minorHAnsi"/>
        </w:rPr>
        <w:t xml:space="preserve">, což </w:t>
      </w:r>
      <w:r w:rsidR="006B1F0A" w:rsidRPr="001F3EFB">
        <w:rPr>
          <w:rFonts w:cstheme="minorHAnsi"/>
        </w:rPr>
        <w:t>představuje prodej na úrovni necelých 5,5 mil. nízkoemisních vozidel</w:t>
      </w:r>
    </w:p>
    <w:p w14:paraId="39B5CE56" w14:textId="6420A517" w:rsidR="00C25B40" w:rsidRPr="0084502F" w:rsidRDefault="0084502F" w:rsidP="002A1848">
      <w:pPr>
        <w:pStyle w:val="Odstavecseseznamem"/>
        <w:numPr>
          <w:ilvl w:val="0"/>
          <w:numId w:val="21"/>
        </w:numPr>
        <w:spacing w:line="276" w:lineRule="auto"/>
        <w:contextualSpacing w:val="0"/>
        <w:jc w:val="both"/>
        <w:rPr>
          <w:rFonts w:cstheme="minorHAnsi"/>
        </w:rPr>
      </w:pPr>
      <w:r>
        <w:rPr>
          <w:rFonts w:cstheme="minorHAnsi"/>
        </w:rPr>
        <w:t xml:space="preserve">ČR </w:t>
      </w:r>
      <w:r w:rsidR="003424E7" w:rsidRPr="0084502F">
        <w:rPr>
          <w:rFonts w:cstheme="minorHAnsi"/>
        </w:rPr>
        <w:t xml:space="preserve">zásadně nesouhlasí </w:t>
      </w:r>
      <w:r w:rsidR="00C25B40" w:rsidRPr="0084502F">
        <w:rPr>
          <w:rFonts w:cstheme="minorHAnsi"/>
        </w:rPr>
        <w:t xml:space="preserve">s dalším, a ještě radikálnějším navýšením </w:t>
      </w:r>
      <w:r w:rsidR="00D123F4" w:rsidRPr="0084502F">
        <w:rPr>
          <w:rFonts w:cstheme="minorHAnsi"/>
        </w:rPr>
        <w:t>ambicí – existuje</w:t>
      </w:r>
      <w:r w:rsidR="00C25B40" w:rsidRPr="0084502F">
        <w:rPr>
          <w:rFonts w:cstheme="minorHAnsi"/>
        </w:rPr>
        <w:t xml:space="preserve"> jisté riziko, že jsou již na samé hranici technické splnitelnosti v současných mantinelech vědecko-technologického pokroku</w:t>
      </w:r>
    </w:p>
    <w:p w14:paraId="6CF1B6FF" w14:textId="11E5E882" w:rsidR="00BB6FF9" w:rsidRDefault="003424E7" w:rsidP="002A1848">
      <w:pPr>
        <w:pStyle w:val="Odstavecseseznamem"/>
        <w:numPr>
          <w:ilvl w:val="0"/>
          <w:numId w:val="22"/>
        </w:numPr>
        <w:spacing w:line="276" w:lineRule="auto"/>
        <w:ind w:left="709"/>
        <w:contextualSpacing w:val="0"/>
        <w:jc w:val="both"/>
        <w:rPr>
          <w:rFonts w:cstheme="minorHAnsi"/>
        </w:rPr>
      </w:pPr>
      <w:r>
        <w:rPr>
          <w:rFonts w:cstheme="minorHAnsi"/>
        </w:rPr>
        <w:t>p</w:t>
      </w:r>
      <w:r w:rsidR="00BB6FF9" w:rsidRPr="003424E7">
        <w:rPr>
          <w:rFonts w:cstheme="minorHAnsi"/>
        </w:rPr>
        <w:t xml:space="preserve">ři vyjednávání v Radě </w:t>
      </w:r>
      <w:r w:rsidR="00D123F4">
        <w:rPr>
          <w:rFonts w:cstheme="minorHAnsi"/>
        </w:rPr>
        <w:t>s</w:t>
      </w:r>
      <w:r w:rsidR="00BB6FF9" w:rsidRPr="003424E7">
        <w:rPr>
          <w:rFonts w:cstheme="minorHAnsi"/>
        </w:rPr>
        <w:t>e ČR spolu s několika dalšími státy podařilo prosadit klauzuli o revizi nařízení o emisních limitech CO2 u nových osobních a lehkých užitkových vozidel v roce 2023 z důvodu ambiciózních cílů</w:t>
      </w:r>
    </w:p>
    <w:bookmarkEnd w:id="1"/>
    <w:p w14:paraId="238C6D01" w14:textId="2E9A9FC7" w:rsidR="003D72ED" w:rsidRDefault="00BB6FF9" w:rsidP="002A1848">
      <w:pPr>
        <w:pStyle w:val="Odstavecseseznamem"/>
        <w:numPr>
          <w:ilvl w:val="0"/>
          <w:numId w:val="22"/>
        </w:numPr>
        <w:spacing w:line="276" w:lineRule="auto"/>
        <w:ind w:left="709"/>
        <w:contextualSpacing w:val="0"/>
        <w:jc w:val="both"/>
        <w:rPr>
          <w:rFonts w:cstheme="minorHAnsi"/>
        </w:rPr>
      </w:pPr>
      <w:r w:rsidRPr="003424E7">
        <w:rPr>
          <w:rFonts w:cstheme="minorHAnsi"/>
        </w:rPr>
        <w:t>další zpřísnění standardů pro emise CO2 z osobních a lehkých užitkových vozidel bude mít negativní dopad na automobilový průmysl, který se velkou měrou podílí na českém HDP</w:t>
      </w:r>
    </w:p>
    <w:p w14:paraId="68072522" w14:textId="77777777" w:rsidR="006B1F0A" w:rsidRDefault="006B1F0A" w:rsidP="002A1848">
      <w:pPr>
        <w:pStyle w:val="Odstavecseseznamem"/>
        <w:numPr>
          <w:ilvl w:val="0"/>
          <w:numId w:val="22"/>
        </w:numPr>
        <w:spacing w:line="276" w:lineRule="auto"/>
        <w:ind w:left="709"/>
        <w:contextualSpacing w:val="0"/>
        <w:jc w:val="both"/>
        <w:rPr>
          <w:rFonts w:cstheme="minorHAnsi"/>
        </w:rPr>
      </w:pPr>
      <w:r>
        <w:rPr>
          <w:rFonts w:cstheme="minorHAnsi"/>
        </w:rPr>
        <w:t xml:space="preserve">výrazné investice za strany výrobců </w:t>
      </w:r>
      <w:r w:rsidR="00BB6FF9" w:rsidRPr="006B1F0A">
        <w:rPr>
          <w:rFonts w:cstheme="minorHAnsi"/>
        </w:rPr>
        <w:t>do výroby zejména elektromobilů</w:t>
      </w:r>
    </w:p>
    <w:p w14:paraId="2DB94F33" w14:textId="584148E7" w:rsidR="006B1F0A" w:rsidRPr="006D416C" w:rsidRDefault="006D416C" w:rsidP="002A1848">
      <w:pPr>
        <w:pStyle w:val="Odstavecseseznamem"/>
        <w:numPr>
          <w:ilvl w:val="0"/>
          <w:numId w:val="22"/>
        </w:numPr>
        <w:spacing w:line="276" w:lineRule="auto"/>
        <w:ind w:left="709"/>
        <w:contextualSpacing w:val="0"/>
        <w:jc w:val="both"/>
        <w:rPr>
          <w:rFonts w:cstheme="minorHAnsi"/>
        </w:rPr>
      </w:pPr>
      <w:r>
        <w:rPr>
          <w:rFonts w:cstheme="minorHAnsi"/>
        </w:rPr>
        <w:t xml:space="preserve">předcházení </w:t>
      </w:r>
      <w:r w:rsidRPr="006B1F0A">
        <w:rPr>
          <w:rFonts w:cstheme="minorHAnsi"/>
        </w:rPr>
        <w:t>problémů v</w:t>
      </w:r>
      <w:r w:rsidR="00C951E0">
        <w:rPr>
          <w:rFonts w:cstheme="minorHAnsi"/>
        </w:rPr>
        <w:t> </w:t>
      </w:r>
      <w:r w:rsidR="00981EEE" w:rsidRPr="006B1F0A">
        <w:rPr>
          <w:rFonts w:cstheme="minorHAnsi"/>
        </w:rPr>
        <w:t>síti</w:t>
      </w:r>
      <w:r w:rsidR="00981EEE">
        <w:rPr>
          <w:rFonts w:cstheme="minorHAnsi"/>
        </w:rPr>
        <w:t xml:space="preserve"> – energetici</w:t>
      </w:r>
      <w:r w:rsidR="00BB6FF9" w:rsidRPr="006D416C">
        <w:rPr>
          <w:rFonts w:cstheme="minorHAnsi"/>
        </w:rPr>
        <w:t xml:space="preserve"> budou muset připravit dostatečnou kapacitu a infrastrukturu</w:t>
      </w:r>
      <w:r w:rsidR="006B1F0A" w:rsidRPr="006D416C">
        <w:rPr>
          <w:rFonts w:cstheme="minorHAnsi"/>
        </w:rPr>
        <w:t xml:space="preserve"> </w:t>
      </w:r>
    </w:p>
    <w:p w14:paraId="4C27A3FD" w14:textId="163D5AFF" w:rsidR="00BB6FF9" w:rsidRPr="006B1F0A" w:rsidRDefault="006B1F0A" w:rsidP="002A1848">
      <w:pPr>
        <w:pStyle w:val="Odstavecseseznamem"/>
        <w:numPr>
          <w:ilvl w:val="0"/>
          <w:numId w:val="22"/>
        </w:numPr>
        <w:spacing w:line="276" w:lineRule="auto"/>
        <w:ind w:left="709"/>
        <w:contextualSpacing w:val="0"/>
        <w:jc w:val="both"/>
        <w:rPr>
          <w:rFonts w:cstheme="minorHAnsi"/>
        </w:rPr>
      </w:pPr>
      <w:r>
        <w:rPr>
          <w:rFonts w:cstheme="minorHAnsi"/>
        </w:rPr>
        <w:t>b</w:t>
      </w:r>
      <w:r w:rsidR="00BB6FF9" w:rsidRPr="006B1F0A">
        <w:rPr>
          <w:rFonts w:cstheme="minorHAnsi"/>
        </w:rPr>
        <w:t>udou muset být dostatečné výrobní kapacity baterií a vylepšována dobíjecí a plnící infrastruktura</w:t>
      </w:r>
    </w:p>
    <w:p w14:paraId="27CAF7E7" w14:textId="77777777" w:rsidR="00BB6FF9" w:rsidRPr="001F3EFB" w:rsidRDefault="00BB6FF9" w:rsidP="002A1848">
      <w:pPr>
        <w:spacing w:line="276" w:lineRule="auto"/>
        <w:jc w:val="both"/>
        <w:rPr>
          <w:rFonts w:cstheme="minorHAnsi"/>
        </w:rPr>
      </w:pPr>
      <w:r w:rsidRPr="001F3EFB">
        <w:rPr>
          <w:rFonts w:cstheme="minorHAnsi"/>
        </w:rPr>
        <w:t>Obdobná situace zřejmě nastane v souvislosti s Nařízením Evropského parlamentu a Rady (EU) 2019/1242 ze dne 20. června 2019, kterým se stanoví výkonnostní normy pro emise CO2 pro nová těžká vozidla a kterým se mění nařízení Evropského parlamentu a Rady (ES) č. 595/2009 a (EU) 2018/956 a směrnice Rady 96/53/ES</w:t>
      </w:r>
    </w:p>
    <w:p w14:paraId="30952E56" w14:textId="35F643F6" w:rsidR="00BB6FF9" w:rsidRPr="006D416C" w:rsidRDefault="00BB6FF9" w:rsidP="002A1848">
      <w:pPr>
        <w:pStyle w:val="Odstavecseseznamem"/>
        <w:numPr>
          <w:ilvl w:val="0"/>
          <w:numId w:val="23"/>
        </w:numPr>
        <w:spacing w:line="276" w:lineRule="auto"/>
        <w:contextualSpacing w:val="0"/>
        <w:jc w:val="both"/>
        <w:rPr>
          <w:rFonts w:cstheme="minorHAnsi"/>
        </w:rPr>
      </w:pPr>
      <w:r w:rsidRPr="006D416C">
        <w:rPr>
          <w:rFonts w:cstheme="minorHAnsi"/>
        </w:rPr>
        <w:t>Nová těžká vozidla musí snížit oproti sledovanému období 2019-2020 svoje emise o 15 % do roku 2025 a o 30 % do roku 2030</w:t>
      </w:r>
      <w:r w:rsidR="001F2EF5">
        <w:rPr>
          <w:rFonts w:cstheme="minorHAnsi"/>
        </w:rPr>
        <w:t>. D</w:t>
      </w:r>
      <w:r w:rsidRPr="006D416C">
        <w:rPr>
          <w:rFonts w:cstheme="minorHAnsi"/>
        </w:rPr>
        <w:t>o 31. prosince 2022 předloží Komise zprávu Evropskému parlamentu a Radě o účinnosti tohoto nařízení, o cíli snížení emisí CO2 a o úrovni mechanismu pobídek pro těžká vozidla s nulovými a nízkými emisemi platných od roku 2030, o stanovení cílů snížení emisí CO2 pro další typy těžkých vozidel, včetně přípojných vozidel, autobusů a autokarů a účelových vozidel, a o zavedení závazných cílů snížení emisí CO2 pro těžká vozidla pro období počínající roky 2035 a 2040.</w:t>
      </w:r>
    </w:p>
    <w:bookmarkEnd w:id="2"/>
    <w:p w14:paraId="394CB8BF" w14:textId="7418D7F7" w:rsidR="001F3EFB" w:rsidRPr="001F3EFB" w:rsidRDefault="00157589" w:rsidP="002A1848">
      <w:pPr>
        <w:spacing w:line="276" w:lineRule="auto"/>
        <w:jc w:val="both"/>
        <w:rPr>
          <w:rFonts w:cstheme="minorHAnsi"/>
        </w:rPr>
      </w:pPr>
      <w:r w:rsidRPr="00D123F4">
        <w:rPr>
          <w:rFonts w:cstheme="minorHAnsi"/>
          <w:b/>
          <w:bCs/>
        </w:rPr>
        <w:t>N</w:t>
      </w:r>
      <w:r w:rsidR="00BB6FF9" w:rsidRPr="00D123F4">
        <w:rPr>
          <w:rFonts w:cstheme="minorHAnsi"/>
          <w:b/>
          <w:bCs/>
        </w:rPr>
        <w:t>ový zkušební postup pro měření emisí CO2 a spotřeby paliva u osobních automobilů a lehkých užitkových vozidel:</w:t>
      </w:r>
      <w:r w:rsidR="00BB6FF9" w:rsidRPr="001F3EFB">
        <w:rPr>
          <w:rFonts w:cstheme="minorHAnsi"/>
        </w:rPr>
        <w:t xml:space="preserve"> celosvětově harmonizovaný zkušební postup pro lehká vozidla (dále jen „</w:t>
      </w:r>
      <w:r w:rsidR="00BB6FF9" w:rsidRPr="00D123F4">
        <w:rPr>
          <w:rFonts w:cstheme="minorHAnsi"/>
          <w:b/>
          <w:bCs/>
        </w:rPr>
        <w:t>WLTP“</w:t>
      </w:r>
      <w:r w:rsidR="00BB6FF9" w:rsidRPr="001F3EFB">
        <w:rPr>
          <w:rFonts w:cstheme="minorHAnsi"/>
        </w:rPr>
        <w:t>) stanovený v nařízení Komise (EU) 2017/1151</w:t>
      </w:r>
      <w:r>
        <w:rPr>
          <w:rFonts w:cstheme="minorHAnsi"/>
        </w:rPr>
        <w:t xml:space="preserve"> -</w:t>
      </w:r>
      <w:r w:rsidRPr="00D123F4">
        <w:rPr>
          <w:rFonts w:cstheme="minorHAnsi"/>
          <w:b/>
          <w:bCs/>
        </w:rPr>
        <w:t>začal platit v r. 2017</w:t>
      </w:r>
      <w:r>
        <w:rPr>
          <w:rFonts w:cstheme="minorHAnsi"/>
        </w:rPr>
        <w:t xml:space="preserve"> </w:t>
      </w:r>
    </w:p>
    <w:p w14:paraId="0B95C298" w14:textId="27CF3FF5" w:rsidR="00157589" w:rsidRDefault="00BB6FF9" w:rsidP="00981EEE">
      <w:pPr>
        <w:pStyle w:val="Odstavecseseznamem"/>
        <w:numPr>
          <w:ilvl w:val="0"/>
          <w:numId w:val="23"/>
        </w:numPr>
        <w:spacing w:line="240" w:lineRule="auto"/>
        <w:contextualSpacing w:val="0"/>
        <w:jc w:val="both"/>
        <w:rPr>
          <w:rFonts w:cstheme="minorHAnsi"/>
        </w:rPr>
      </w:pPr>
      <w:r w:rsidRPr="00157589">
        <w:rPr>
          <w:rFonts w:cstheme="minorHAnsi"/>
        </w:rPr>
        <w:t xml:space="preserve">získávají </w:t>
      </w:r>
      <w:r w:rsidR="00157589">
        <w:rPr>
          <w:rFonts w:cstheme="minorHAnsi"/>
        </w:rPr>
        <w:t xml:space="preserve">se </w:t>
      </w:r>
      <w:r w:rsidRPr="00157589">
        <w:rPr>
          <w:rFonts w:cstheme="minorHAnsi"/>
        </w:rPr>
        <w:t>hodnoty emisí CO2 a spotřeby paliva, které lépe reprezentují podmínky v reálném provozu</w:t>
      </w:r>
    </w:p>
    <w:p w14:paraId="3D8B915B" w14:textId="7D8CA61A" w:rsidR="00157589" w:rsidRDefault="00BB6FF9" w:rsidP="00981EEE">
      <w:pPr>
        <w:pStyle w:val="Odstavecseseznamem"/>
        <w:numPr>
          <w:ilvl w:val="0"/>
          <w:numId w:val="23"/>
        </w:numPr>
        <w:spacing w:line="240" w:lineRule="auto"/>
        <w:contextualSpacing w:val="0"/>
        <w:jc w:val="both"/>
        <w:rPr>
          <w:rFonts w:cstheme="minorHAnsi"/>
        </w:rPr>
      </w:pPr>
      <w:r w:rsidRPr="00157589">
        <w:rPr>
          <w:rFonts w:cstheme="minorHAnsi"/>
        </w:rPr>
        <w:t>aby nové cíle pro emise CO2 byly založeny na emisích CO2 stanovených na základě uvedeného zkušebního postupu</w:t>
      </w:r>
    </w:p>
    <w:p w14:paraId="6E56BF89" w14:textId="54D56D19" w:rsidR="00157589" w:rsidRDefault="00BB6FF9" w:rsidP="00981EEE">
      <w:pPr>
        <w:pStyle w:val="Odstavecseseznamem"/>
        <w:numPr>
          <w:ilvl w:val="0"/>
          <w:numId w:val="23"/>
        </w:numPr>
        <w:spacing w:line="240" w:lineRule="auto"/>
        <w:contextualSpacing w:val="0"/>
        <w:jc w:val="both"/>
        <w:rPr>
          <w:rFonts w:cstheme="minorHAnsi"/>
        </w:rPr>
      </w:pPr>
      <w:r w:rsidRPr="00157589">
        <w:rPr>
          <w:rFonts w:cstheme="minorHAnsi"/>
        </w:rPr>
        <w:t xml:space="preserve">emise CO2 založené na WLTP budou k dispozici od roku 2021, je vhodné, aby nové výkonnostní normy pro emise CO2 byly definovány jako úrovně snížení stanovené ve vztahu k cílům platným v roce 2021 vypočítaným na základě emisí CO2 měřených pro účely WLTP </w:t>
      </w:r>
    </w:p>
    <w:p w14:paraId="661F75C7" w14:textId="66CBD91D" w:rsidR="00BB6FF9" w:rsidRPr="00157589" w:rsidRDefault="00BB6FF9" w:rsidP="00981EEE">
      <w:pPr>
        <w:pStyle w:val="Odstavecseseznamem"/>
        <w:numPr>
          <w:ilvl w:val="0"/>
          <w:numId w:val="23"/>
        </w:numPr>
        <w:spacing w:line="240" w:lineRule="auto"/>
        <w:contextualSpacing w:val="0"/>
        <w:jc w:val="both"/>
        <w:rPr>
          <w:rFonts w:cstheme="minorHAnsi"/>
        </w:rPr>
      </w:pPr>
      <w:r w:rsidRPr="00157589">
        <w:rPr>
          <w:rFonts w:cstheme="minorHAnsi"/>
        </w:rPr>
        <w:lastRenderedPageBreak/>
        <w:t xml:space="preserve">spolehlivost a reprezentativnost hodnot použitých jako výchozí bod pro vymezení cílů snižování </w:t>
      </w:r>
      <w:r w:rsidR="0084502F" w:rsidRPr="00157589">
        <w:rPr>
          <w:rFonts w:cstheme="minorHAnsi"/>
        </w:rPr>
        <w:t>emisí</w:t>
      </w:r>
      <w:r w:rsidR="0084502F">
        <w:rPr>
          <w:rFonts w:cstheme="minorHAnsi"/>
        </w:rPr>
        <w:t xml:space="preserve"> – byly</w:t>
      </w:r>
      <w:r w:rsidRPr="00157589">
        <w:rPr>
          <w:rFonts w:cstheme="minorHAnsi"/>
        </w:rPr>
        <w:t xml:space="preserve"> podmínky pro provádění těchto měření vyjasněny při uplatňování prováděcích nařízení Komise (EU) 2017/1152 a (EU) 2017/1153.  </w:t>
      </w:r>
    </w:p>
    <w:p w14:paraId="647026BB" w14:textId="0509314A" w:rsidR="00B20092" w:rsidRPr="00ED190B" w:rsidRDefault="00085287" w:rsidP="00FF0124">
      <w:pPr>
        <w:pBdr>
          <w:top w:val="single" w:sz="4" w:space="1" w:color="auto"/>
          <w:left w:val="single" w:sz="4" w:space="4" w:color="auto"/>
          <w:bottom w:val="single" w:sz="4" w:space="1" w:color="auto"/>
          <w:right w:val="single" w:sz="4" w:space="0" w:color="auto"/>
        </w:pBdr>
        <w:autoSpaceDE w:val="0"/>
        <w:autoSpaceDN w:val="0"/>
        <w:adjustRightInd w:val="0"/>
        <w:spacing w:line="276" w:lineRule="auto"/>
        <w:ind w:left="142"/>
        <w:jc w:val="both"/>
        <w:rPr>
          <w:rFonts w:cstheme="minorHAnsi"/>
          <w:b/>
          <w:noProof/>
          <w:color w:val="000000" w:themeColor="text1"/>
        </w:rPr>
      </w:pPr>
      <w:bookmarkStart w:id="3" w:name="_Toc47520031"/>
      <w:r w:rsidRPr="00EE4AD8">
        <w:rPr>
          <w:rFonts w:cstheme="minorHAnsi"/>
          <w:b/>
          <w:noProof/>
          <w:color w:val="000000" w:themeColor="text1"/>
        </w:rPr>
        <w:t>Návrh revize směrnice</w:t>
      </w:r>
      <w:r w:rsidRPr="00641057">
        <w:rPr>
          <w:rFonts w:cstheme="minorHAnsi"/>
          <w:b/>
          <w:noProof/>
          <w:color w:val="000000" w:themeColor="text1"/>
        </w:rPr>
        <w:t xml:space="preserve"> o zdanění energie</w:t>
      </w:r>
      <w:bookmarkEnd w:id="3"/>
    </w:p>
    <w:p w14:paraId="0D3C57BF" w14:textId="77777777" w:rsidR="00C6410C" w:rsidRPr="00C6410C" w:rsidRDefault="00C6410C" w:rsidP="00B45DCB">
      <w:pPr>
        <w:spacing w:line="240" w:lineRule="auto"/>
        <w:jc w:val="both"/>
        <w:rPr>
          <w:rFonts w:cstheme="minorHAnsi"/>
          <w:bCs/>
          <w:color w:val="000000" w:themeColor="text1"/>
        </w:rPr>
      </w:pPr>
      <w:r w:rsidRPr="00C6410C">
        <w:rPr>
          <w:rFonts w:cstheme="minorHAnsi"/>
          <w:bCs/>
          <w:color w:val="000000" w:themeColor="text1"/>
        </w:rPr>
        <w:t xml:space="preserve">Hlavním cílem revize směrnice bude vyšší míra provázanosti mezi zdaněním energií a elektřiny s energetickou a klimatickou politikou EU tak, aby směrnice přispěla k plnění EU energetických cílů v roce 2030 a klimatické neutralitě v roce 2050. </w:t>
      </w:r>
    </w:p>
    <w:p w14:paraId="75DB1EBD" w14:textId="26295141" w:rsidR="00C6410C" w:rsidRPr="00C6410C" w:rsidRDefault="00C6410C" w:rsidP="00B45DCB">
      <w:pPr>
        <w:spacing w:line="240" w:lineRule="auto"/>
        <w:jc w:val="both"/>
        <w:rPr>
          <w:rFonts w:cstheme="minorHAnsi"/>
          <w:b/>
          <w:bCs/>
          <w:color w:val="000000" w:themeColor="text1"/>
          <w:u w:val="single"/>
        </w:rPr>
      </w:pPr>
      <w:r w:rsidRPr="00C6410C">
        <w:rPr>
          <w:rFonts w:cstheme="minorHAnsi"/>
          <w:bCs/>
          <w:color w:val="000000" w:themeColor="text1"/>
        </w:rPr>
        <w:t xml:space="preserve">Komise si klade za cíl v rámci politiky Zelené dohody předložit balíček, který by obsahoval vedle tzv. Carbon Border Adjustment Mechanism i revizi směrnice o zdanění energií, u které hodlá navrhnout změnu hlasování z jednomyslnosti na kvalifikovanou většinu. </w:t>
      </w:r>
      <w:r w:rsidRPr="00C6410C">
        <w:rPr>
          <w:rFonts w:cstheme="minorHAnsi"/>
          <w:b/>
          <w:bCs/>
          <w:color w:val="000000" w:themeColor="text1"/>
          <w:u w:val="single"/>
        </w:rPr>
        <w:t>Podle neoficiálních informací lze legislativní návrh očekávat nejdříve v 2. čtvrtletí roku 2021.</w:t>
      </w:r>
    </w:p>
    <w:p w14:paraId="48B048EF" w14:textId="77777777" w:rsidR="00C6410C" w:rsidRPr="00C6410C" w:rsidRDefault="00C6410C" w:rsidP="00B45DCB">
      <w:pPr>
        <w:spacing w:line="240" w:lineRule="auto"/>
        <w:jc w:val="both"/>
        <w:rPr>
          <w:rFonts w:cstheme="minorHAnsi"/>
          <w:bCs/>
          <w:color w:val="000000" w:themeColor="text1"/>
        </w:rPr>
      </w:pPr>
      <w:r w:rsidRPr="00C6410C">
        <w:rPr>
          <w:rFonts w:cstheme="minorHAnsi"/>
          <w:bCs/>
          <w:color w:val="000000" w:themeColor="text1"/>
        </w:rPr>
        <w:t xml:space="preserve">Česká republika podporuje: </w:t>
      </w:r>
    </w:p>
    <w:p w14:paraId="2DEAE15A" w14:textId="77777777" w:rsidR="00C6410C" w:rsidRPr="00C6410C" w:rsidRDefault="00C6410C" w:rsidP="00B45DCB">
      <w:pPr>
        <w:pStyle w:val="Odstavecseseznamem"/>
        <w:numPr>
          <w:ilvl w:val="0"/>
          <w:numId w:val="2"/>
        </w:numPr>
        <w:spacing w:line="240" w:lineRule="auto"/>
        <w:ind w:left="426"/>
        <w:contextualSpacing w:val="0"/>
        <w:jc w:val="both"/>
        <w:rPr>
          <w:rFonts w:cstheme="minorHAnsi"/>
          <w:bCs/>
          <w:color w:val="000000" w:themeColor="text1"/>
        </w:rPr>
      </w:pPr>
      <w:r w:rsidRPr="00C6410C">
        <w:rPr>
          <w:rFonts w:cstheme="minorHAnsi"/>
          <w:bCs/>
          <w:color w:val="000000" w:themeColor="text1"/>
        </w:rPr>
        <w:t>stávající pravidla zvláštního legislativního postupu v případě daňových předpisů na základě čl. 113 SFEU, tzn. zásadně nepodporuje snahu změnit pro účely revize směrnice o zdanění energií hlasování z jednomyslnosti na kvalifikovanou většinu,</w:t>
      </w:r>
    </w:p>
    <w:p w14:paraId="26D3FC15" w14:textId="77777777" w:rsidR="00C6410C" w:rsidRPr="00C6410C" w:rsidRDefault="00C6410C" w:rsidP="00B45DCB">
      <w:pPr>
        <w:pStyle w:val="Odstavecseseznamem"/>
        <w:numPr>
          <w:ilvl w:val="0"/>
          <w:numId w:val="2"/>
        </w:numPr>
        <w:spacing w:line="240" w:lineRule="auto"/>
        <w:ind w:left="426"/>
        <w:contextualSpacing w:val="0"/>
        <w:jc w:val="both"/>
        <w:rPr>
          <w:rFonts w:cstheme="minorHAnsi"/>
          <w:bCs/>
          <w:color w:val="000000" w:themeColor="text1"/>
        </w:rPr>
      </w:pPr>
      <w:r w:rsidRPr="00C6410C">
        <w:rPr>
          <w:rFonts w:cstheme="minorHAnsi"/>
          <w:bCs/>
          <w:color w:val="000000" w:themeColor="text1"/>
        </w:rPr>
        <w:t>revizi směrnice se zaměřením na nové environmentální a technické aspekty se současným důrazem na zachování konkurenceschopnosti průmyslových odvětví v EU,</w:t>
      </w:r>
    </w:p>
    <w:p w14:paraId="2D7A88EC" w14:textId="77777777" w:rsidR="00C6410C" w:rsidRPr="00C6410C" w:rsidRDefault="00C6410C" w:rsidP="00B45DCB">
      <w:pPr>
        <w:pStyle w:val="Odstavecseseznamem"/>
        <w:numPr>
          <w:ilvl w:val="0"/>
          <w:numId w:val="2"/>
        </w:numPr>
        <w:spacing w:line="240" w:lineRule="auto"/>
        <w:ind w:left="426"/>
        <w:contextualSpacing w:val="0"/>
        <w:jc w:val="both"/>
        <w:rPr>
          <w:rFonts w:cstheme="minorHAnsi"/>
          <w:bCs/>
          <w:color w:val="000000" w:themeColor="text1"/>
        </w:rPr>
      </w:pPr>
      <w:r w:rsidRPr="00C6410C">
        <w:rPr>
          <w:rFonts w:cstheme="minorHAnsi"/>
          <w:bCs/>
          <w:color w:val="000000" w:themeColor="text1"/>
        </w:rPr>
        <w:t xml:space="preserve">redukci neopodstatněných daňových výjimek, které činí daňový systém méně transparentní, vede k nižším daňovým příjmům a narušují vnitřní trh, </w:t>
      </w:r>
    </w:p>
    <w:p w14:paraId="50E390A9" w14:textId="77777777" w:rsidR="00C6410C" w:rsidRPr="00C6410C" w:rsidRDefault="00C6410C" w:rsidP="00B45DCB">
      <w:pPr>
        <w:pStyle w:val="Odstavecseseznamem"/>
        <w:numPr>
          <w:ilvl w:val="0"/>
          <w:numId w:val="2"/>
        </w:numPr>
        <w:spacing w:line="240" w:lineRule="auto"/>
        <w:ind w:left="426"/>
        <w:contextualSpacing w:val="0"/>
        <w:jc w:val="both"/>
        <w:rPr>
          <w:rFonts w:cstheme="minorHAnsi"/>
          <w:bCs/>
          <w:color w:val="000000" w:themeColor="text1"/>
        </w:rPr>
      </w:pPr>
      <w:r w:rsidRPr="00C6410C">
        <w:rPr>
          <w:rFonts w:cstheme="minorHAnsi"/>
          <w:bCs/>
          <w:color w:val="000000" w:themeColor="text1"/>
        </w:rPr>
        <w:t>zohlednění negativních externalit, které vznikají spotřebou energetických produktů a elektřiny při stanovení EU minimálních sazeb,</w:t>
      </w:r>
    </w:p>
    <w:p w14:paraId="453195CF" w14:textId="77777777" w:rsidR="00C6410C" w:rsidRPr="00C6410C" w:rsidRDefault="00C6410C" w:rsidP="00B45DCB">
      <w:pPr>
        <w:pStyle w:val="Odstavecseseznamem"/>
        <w:numPr>
          <w:ilvl w:val="0"/>
          <w:numId w:val="2"/>
        </w:numPr>
        <w:spacing w:line="240" w:lineRule="auto"/>
        <w:ind w:left="426"/>
        <w:contextualSpacing w:val="0"/>
        <w:jc w:val="both"/>
        <w:rPr>
          <w:rFonts w:cstheme="minorHAnsi"/>
          <w:bCs/>
          <w:color w:val="000000" w:themeColor="text1"/>
        </w:rPr>
      </w:pPr>
      <w:r w:rsidRPr="00C6410C">
        <w:rPr>
          <w:rFonts w:cstheme="minorHAnsi"/>
          <w:bCs/>
          <w:color w:val="000000" w:themeColor="text1"/>
        </w:rPr>
        <w:t>nastavení speciálních daňových režimů pro alternativní paliva a instalace spadající do systému EU-ETS,</w:t>
      </w:r>
    </w:p>
    <w:p w14:paraId="1A4D0E0D" w14:textId="77777777" w:rsidR="00C6410C" w:rsidRPr="00C6410C" w:rsidRDefault="00C6410C" w:rsidP="00B45DCB">
      <w:pPr>
        <w:pStyle w:val="Odstavecseseznamem"/>
        <w:numPr>
          <w:ilvl w:val="0"/>
          <w:numId w:val="2"/>
        </w:numPr>
        <w:spacing w:line="240" w:lineRule="auto"/>
        <w:ind w:left="426"/>
        <w:contextualSpacing w:val="0"/>
        <w:jc w:val="both"/>
        <w:rPr>
          <w:rFonts w:cstheme="minorHAnsi"/>
          <w:bCs/>
          <w:color w:val="000000" w:themeColor="text1"/>
        </w:rPr>
      </w:pPr>
      <w:r w:rsidRPr="00C6410C">
        <w:rPr>
          <w:rFonts w:cstheme="minorHAnsi"/>
          <w:bCs/>
          <w:color w:val="000000" w:themeColor="text1"/>
        </w:rPr>
        <w:t>zaměření se na boj s daňovými úniky vznikajícími ve spojitosti se zneužitím některých energetických produktů (v ČR tzv. zvláštní minerální oleje).</w:t>
      </w:r>
    </w:p>
    <w:p w14:paraId="1920D920" w14:textId="0CC581D8" w:rsidR="00C6410C" w:rsidRPr="00C6410C" w:rsidRDefault="00C6410C" w:rsidP="00B45DCB">
      <w:pPr>
        <w:spacing w:line="240" w:lineRule="auto"/>
        <w:jc w:val="both"/>
        <w:rPr>
          <w:rFonts w:cstheme="minorHAnsi"/>
          <w:bCs/>
          <w:color w:val="000000" w:themeColor="text1"/>
        </w:rPr>
      </w:pPr>
      <w:r w:rsidRPr="00C6410C">
        <w:rPr>
          <w:rFonts w:cstheme="minorHAnsi"/>
          <w:bCs/>
          <w:color w:val="000000" w:themeColor="text1"/>
        </w:rPr>
        <w:t xml:space="preserve">Hlavním závazkem je plnění EU minimálních sazeb a rámcových podmínek pro zdanění stanovených směrnicí, které Česká republika bez výjimky splňuje. Vůči EU dále Česká republika plní tzv. Víceletou podporu biopaliv v dopravě (notifikovanou pod č. SA 39.654) do 31. 12. 2020, která umožňuje daňové zvýhodnění některých biopaliv. Na národní úrovni je určitým závazkem stanovení zvýhodněné daňové sazby ze stlačeného zemního plynu (CNG) do roku 2025, které je obsaženo v tzv. Memorandu o dlouhodobé spolupráci v oblasti rozvoje vozidel na zemní plyn pro období do roku 2025. </w:t>
      </w:r>
    </w:p>
    <w:p w14:paraId="1C365048" w14:textId="77777777" w:rsidR="00C6410C" w:rsidRPr="00C6410C" w:rsidRDefault="00C6410C" w:rsidP="00B45DCB">
      <w:pPr>
        <w:spacing w:line="240" w:lineRule="auto"/>
        <w:jc w:val="both"/>
        <w:rPr>
          <w:rFonts w:cstheme="minorHAnsi"/>
          <w:bCs/>
          <w:color w:val="000000" w:themeColor="text1"/>
        </w:rPr>
      </w:pPr>
      <w:r w:rsidRPr="00C6410C">
        <w:rPr>
          <w:rFonts w:cstheme="minorHAnsi"/>
          <w:bCs/>
          <w:color w:val="000000" w:themeColor="text1"/>
        </w:rPr>
        <w:t xml:space="preserve">V současné době nelze vyčíslit, bude kriticky závislé na zvolených parametrech EU minimálních sazeb. Lze však očekávat výrazné navýšení některých sazeb (zejména u topných „neekologických“ energetických produktů), což může mít zejména negativní sociální dopady v některých regionech (v závislosti na případných kompenzačních opatřeních a délce přechodných období). K prvotnímu odhadu bude možné přistoupit po zveřejnění legislativního textu a dopadové studie.  </w:t>
      </w:r>
    </w:p>
    <w:p w14:paraId="362B35C5" w14:textId="34D0E0DE" w:rsidR="00C6410C" w:rsidRPr="00C6410C" w:rsidRDefault="00C6410C" w:rsidP="00B45DCB">
      <w:pPr>
        <w:spacing w:line="240" w:lineRule="auto"/>
        <w:jc w:val="both"/>
        <w:rPr>
          <w:rFonts w:cstheme="minorHAnsi"/>
          <w:bCs/>
          <w:color w:val="000000"/>
        </w:rPr>
      </w:pPr>
      <w:r w:rsidRPr="00C6410C">
        <w:rPr>
          <w:rFonts w:cstheme="minorHAnsi"/>
          <w:b/>
          <w:bCs/>
          <w:color w:val="000000"/>
          <w:u w:val="single"/>
        </w:rPr>
        <w:t>V současné době nelze vyčíslit</w:t>
      </w:r>
      <w:r w:rsidR="00757A59">
        <w:rPr>
          <w:rFonts w:cstheme="minorHAnsi"/>
          <w:b/>
          <w:bCs/>
          <w:color w:val="000000"/>
          <w:u w:val="single"/>
        </w:rPr>
        <w:t xml:space="preserve"> související náklady</w:t>
      </w:r>
      <w:r w:rsidRPr="00C6410C">
        <w:rPr>
          <w:rFonts w:cstheme="minorHAnsi"/>
          <w:bCs/>
          <w:color w:val="000000"/>
        </w:rPr>
        <w:t xml:space="preserve">, bude kriticky závislé na zvolených parametrech EU minimálních sazeb. Lze však očekávat výrazné navýšení některých sazeb (zejména u topných „neekologických“ energetických produktů), což může mít zejména negativní sociální dopady v některých regionech (v závislosti na případných kompenzačních opatřeních a délce přechodných období). K prvotnímu odhadu bude možné přistoupit po zveřejnění legislativního textu a dopadové studie.  </w:t>
      </w:r>
    </w:p>
    <w:p w14:paraId="44041E74" w14:textId="2C83E647" w:rsidR="002E2827" w:rsidRDefault="002E2827" w:rsidP="002A1848">
      <w:pPr>
        <w:spacing w:line="276" w:lineRule="auto"/>
        <w:jc w:val="both"/>
        <w:rPr>
          <w:rFonts w:cstheme="minorHAnsi"/>
          <w:bCs/>
          <w:color w:val="000000" w:themeColor="text1"/>
        </w:rPr>
      </w:pPr>
    </w:p>
    <w:p w14:paraId="603C031D" w14:textId="045DA149" w:rsidR="00085287" w:rsidRPr="002E2827" w:rsidRDefault="00085287" w:rsidP="00FF0124">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142"/>
        <w:jc w:val="both"/>
        <w:rPr>
          <w:rFonts w:cstheme="minorHAnsi"/>
          <w:b/>
          <w:noProof/>
          <w:color w:val="000000" w:themeColor="text1"/>
        </w:rPr>
      </w:pPr>
      <w:bookmarkStart w:id="4" w:name="_Toc47520032"/>
      <w:r w:rsidRPr="00EE4AD8">
        <w:rPr>
          <w:rFonts w:cstheme="minorHAnsi"/>
          <w:b/>
          <w:noProof/>
          <w:color w:val="000000" w:themeColor="text1"/>
        </w:rPr>
        <w:lastRenderedPageBreak/>
        <w:t>Návrh mechanismu kompenzačních opatření mezi státy</w:t>
      </w:r>
      <w:r w:rsidRPr="00746FDF">
        <w:rPr>
          <w:rFonts w:cstheme="minorHAnsi"/>
          <w:b/>
          <w:noProof/>
          <w:color w:val="000000" w:themeColor="text1"/>
        </w:rPr>
        <w:t xml:space="preserve"> v souvislosti s uhlíkem</w:t>
      </w:r>
      <w:bookmarkEnd w:id="4"/>
    </w:p>
    <w:p w14:paraId="1CFB1547" w14:textId="77777777" w:rsidR="00C6410C" w:rsidRPr="00C6410C" w:rsidRDefault="00C6410C" w:rsidP="002A1848">
      <w:pPr>
        <w:spacing w:line="276" w:lineRule="auto"/>
        <w:jc w:val="both"/>
        <w:rPr>
          <w:rFonts w:cstheme="minorHAnsi"/>
          <w:bCs/>
          <w:color w:val="000000" w:themeColor="text1"/>
        </w:rPr>
      </w:pPr>
      <w:r w:rsidRPr="00C6410C">
        <w:rPr>
          <w:rFonts w:cstheme="minorHAnsi"/>
          <w:bCs/>
          <w:color w:val="000000" w:themeColor="text1"/>
        </w:rPr>
        <w:t xml:space="preserve">Komise v roce 2021 představí mechanismus kompenzačních opatření mezi státy v souvislosti s uhlíkem, který má zohledňovat uhlíkovou náročnost dovážených výrobků. </w:t>
      </w:r>
    </w:p>
    <w:p w14:paraId="676BF9D7" w14:textId="77777777" w:rsidR="00C6410C" w:rsidRPr="00C6410C" w:rsidRDefault="00C6410C" w:rsidP="002A1848">
      <w:pPr>
        <w:spacing w:line="276" w:lineRule="auto"/>
        <w:jc w:val="both"/>
        <w:rPr>
          <w:rFonts w:cstheme="minorHAnsi"/>
          <w:bCs/>
          <w:color w:val="000000" w:themeColor="text1"/>
        </w:rPr>
      </w:pPr>
      <w:r w:rsidRPr="00C6410C">
        <w:rPr>
          <w:rFonts w:cstheme="minorHAnsi"/>
          <w:bCs/>
          <w:color w:val="000000" w:themeColor="text1"/>
        </w:rPr>
        <w:t xml:space="preserve">ČR je otevřena diskuzi o mechanismu kompenzačních opatření pro únik uhlíku, je však klíčové, aby takový návrh opatření byl v souladu s pravidly WTO, neměl protekcionistický charakter a současně neohrozil konkurenceschopnost českých podniků s ohledem na vysokou míru jejich zapojení do globálních hodnotových řetězců. </w:t>
      </w:r>
    </w:p>
    <w:p w14:paraId="2EAF6CC8" w14:textId="4C4F7CD7" w:rsidR="00C6410C" w:rsidRDefault="00C6410C" w:rsidP="002A1848">
      <w:pPr>
        <w:spacing w:line="276" w:lineRule="auto"/>
        <w:jc w:val="both"/>
        <w:rPr>
          <w:rFonts w:cstheme="minorHAnsi"/>
          <w:b/>
          <w:bCs/>
          <w:color w:val="000000"/>
        </w:rPr>
      </w:pPr>
      <w:r w:rsidRPr="00C6410C">
        <w:rPr>
          <w:rFonts w:cstheme="minorHAnsi"/>
          <w:b/>
          <w:bCs/>
          <w:color w:val="000000"/>
        </w:rPr>
        <w:t>Vyčíslení nákladů realizace (dopadů) příslušné politiky EGD:</w:t>
      </w:r>
      <w:r>
        <w:rPr>
          <w:rFonts w:cstheme="minorHAnsi"/>
          <w:b/>
          <w:bCs/>
          <w:color w:val="000000"/>
        </w:rPr>
        <w:t xml:space="preserve"> </w:t>
      </w:r>
      <w:r w:rsidRPr="00C6410C">
        <w:rPr>
          <w:rFonts w:cstheme="minorHAnsi"/>
          <w:bCs/>
          <w:color w:val="000000"/>
        </w:rPr>
        <w:t xml:space="preserve">Náklady není možné v současnosti odhadnout. </w:t>
      </w:r>
      <w:r w:rsidRPr="00C6410C">
        <w:rPr>
          <w:rFonts w:cstheme="minorHAnsi"/>
          <w:b/>
          <w:bCs/>
          <w:color w:val="000000"/>
        </w:rPr>
        <w:t>Návrh bude zveřejněn až v roce 2021.</w:t>
      </w:r>
    </w:p>
    <w:p w14:paraId="207515EE" w14:textId="033C09A4" w:rsidR="00757A59" w:rsidRPr="00757A59" w:rsidRDefault="00757A59" w:rsidP="002A1848">
      <w:pPr>
        <w:spacing w:line="276" w:lineRule="auto"/>
        <w:jc w:val="both"/>
        <w:rPr>
          <w:rFonts w:cstheme="minorHAnsi"/>
          <w:bCs/>
          <w:color w:val="000000"/>
        </w:rPr>
      </w:pPr>
      <w:r w:rsidRPr="00757A59">
        <w:rPr>
          <w:rFonts w:cstheme="minorHAnsi"/>
          <w:bCs/>
          <w:color w:val="000000"/>
        </w:rPr>
        <w:t>Dle ČR:</w:t>
      </w:r>
    </w:p>
    <w:p w14:paraId="21B1A522" w14:textId="1C18E0E5" w:rsidR="0059484B" w:rsidRDefault="0059484B" w:rsidP="002A1848">
      <w:pPr>
        <w:pStyle w:val="Odstavecseseznamem"/>
        <w:numPr>
          <w:ilvl w:val="0"/>
          <w:numId w:val="26"/>
        </w:numPr>
        <w:spacing w:line="276" w:lineRule="auto"/>
        <w:contextualSpacing w:val="0"/>
        <w:jc w:val="both"/>
        <w:rPr>
          <w:rFonts w:cstheme="minorHAnsi"/>
          <w:bCs/>
        </w:rPr>
      </w:pPr>
      <w:r>
        <w:rPr>
          <w:rFonts w:cstheme="minorHAnsi"/>
          <w:bCs/>
        </w:rPr>
        <w:t>m</w:t>
      </w:r>
      <w:r w:rsidR="00C950FD" w:rsidRPr="0059484B">
        <w:rPr>
          <w:rFonts w:cstheme="minorHAnsi"/>
          <w:bCs/>
        </w:rPr>
        <w:t xml:space="preserve">echanismus </w:t>
      </w:r>
      <w:r w:rsidR="00424CCA">
        <w:rPr>
          <w:rFonts w:cstheme="minorHAnsi"/>
          <w:bCs/>
        </w:rPr>
        <w:t xml:space="preserve">musí být </w:t>
      </w:r>
      <w:r w:rsidR="00C950FD" w:rsidRPr="0059484B">
        <w:rPr>
          <w:rFonts w:cstheme="minorHAnsi"/>
          <w:bCs/>
        </w:rPr>
        <w:t>kompatibilní s pravidly WTO</w:t>
      </w:r>
    </w:p>
    <w:p w14:paraId="1ACF172C" w14:textId="038C9C5B" w:rsidR="0059484B" w:rsidRDefault="00497612" w:rsidP="002A1848">
      <w:pPr>
        <w:pStyle w:val="Odstavecseseznamem"/>
        <w:numPr>
          <w:ilvl w:val="0"/>
          <w:numId w:val="26"/>
        </w:numPr>
        <w:spacing w:line="276" w:lineRule="auto"/>
        <w:contextualSpacing w:val="0"/>
        <w:jc w:val="both"/>
        <w:rPr>
          <w:rFonts w:cstheme="minorHAnsi"/>
          <w:bCs/>
        </w:rPr>
      </w:pPr>
      <w:r>
        <w:rPr>
          <w:rFonts w:cstheme="minorHAnsi"/>
          <w:bCs/>
        </w:rPr>
        <w:t xml:space="preserve">ČR </w:t>
      </w:r>
      <w:r w:rsidR="00C950FD" w:rsidRPr="0059484B">
        <w:rPr>
          <w:rFonts w:cstheme="minorHAnsi"/>
          <w:bCs/>
        </w:rPr>
        <w:t>zdůrazňuje důležitost posouzení možných dopadů na evropské hospodářství jako celek, včetně dopadů na navazující odvětví, jež mohou být na dovozech závislá</w:t>
      </w:r>
      <w:r w:rsidR="00424CCA">
        <w:rPr>
          <w:rFonts w:cstheme="minorHAnsi"/>
          <w:bCs/>
        </w:rPr>
        <w:t>;</w:t>
      </w:r>
      <w:r w:rsidR="00C950FD" w:rsidRPr="0059484B">
        <w:rPr>
          <w:rFonts w:cstheme="minorHAnsi"/>
          <w:bCs/>
        </w:rPr>
        <w:t xml:space="preserve"> aby nedošlo k </w:t>
      </w:r>
      <w:r w:rsidR="001E1DF4" w:rsidRPr="0059484B">
        <w:rPr>
          <w:rFonts w:cstheme="minorHAnsi"/>
          <w:bCs/>
        </w:rPr>
        <w:t>ohrožen</w:t>
      </w:r>
      <w:r w:rsidR="00C950FD" w:rsidRPr="0059484B">
        <w:rPr>
          <w:rFonts w:cstheme="minorHAnsi"/>
          <w:bCs/>
        </w:rPr>
        <w:t>í evropské konkurenceschopnosti, potažmo konkurenceschopnosti českých podniků s ohledem na vysokou míru jejich zapojení do globálních hodnotových řetězců.</w:t>
      </w:r>
    </w:p>
    <w:p w14:paraId="2C9E528C" w14:textId="77777777" w:rsidR="0059484B" w:rsidRPr="0059484B" w:rsidRDefault="00D17A06" w:rsidP="002A1848">
      <w:pPr>
        <w:pStyle w:val="Odstavecseseznamem"/>
        <w:numPr>
          <w:ilvl w:val="0"/>
          <w:numId w:val="26"/>
        </w:numPr>
        <w:spacing w:line="276" w:lineRule="auto"/>
        <w:contextualSpacing w:val="0"/>
        <w:jc w:val="both"/>
        <w:rPr>
          <w:rFonts w:cstheme="minorHAnsi"/>
          <w:bCs/>
        </w:rPr>
      </w:pPr>
      <w:r w:rsidRPr="0059484B">
        <w:rPr>
          <w:rFonts w:cstheme="minorHAnsi"/>
          <w:bCs/>
        </w:rPr>
        <w:t xml:space="preserve">hodnocení rizik </w:t>
      </w:r>
      <w:r w:rsidRPr="0059484B">
        <w:rPr>
          <w:bCs/>
          <w:color w:val="000000"/>
        </w:rPr>
        <w:t>spojených s možnými odvetnými obchodními opatřeními, která se mohou týkat jakéhokoli jiného zboží vyváženého z EU (tj. zboží, které není dotčeno systémem EU ETS).</w:t>
      </w:r>
    </w:p>
    <w:p w14:paraId="26D1EE6C" w14:textId="59E0B53D" w:rsidR="00497612" w:rsidRDefault="00C950FD" w:rsidP="002A1848">
      <w:pPr>
        <w:pStyle w:val="Odstavecseseznamem"/>
        <w:numPr>
          <w:ilvl w:val="0"/>
          <w:numId w:val="26"/>
        </w:numPr>
        <w:spacing w:line="276" w:lineRule="auto"/>
        <w:contextualSpacing w:val="0"/>
        <w:jc w:val="both"/>
        <w:rPr>
          <w:rFonts w:cstheme="minorHAnsi"/>
          <w:bCs/>
        </w:rPr>
      </w:pPr>
      <w:r w:rsidRPr="0059484B">
        <w:rPr>
          <w:rFonts w:cstheme="minorHAnsi"/>
          <w:bCs/>
        </w:rPr>
        <w:t>rovnováh</w:t>
      </w:r>
      <w:r w:rsidR="0059484B">
        <w:rPr>
          <w:rFonts w:cstheme="minorHAnsi"/>
          <w:bCs/>
        </w:rPr>
        <w:t>a</w:t>
      </w:r>
      <w:r w:rsidRPr="0059484B">
        <w:rPr>
          <w:rFonts w:cstheme="minorHAnsi"/>
          <w:bCs/>
        </w:rPr>
        <w:t xml:space="preserve"> mezi ochranou životního prostředí, resp. klimatu na straně jedné a pravidly volného mezinárodního obchodu na straně druhé</w:t>
      </w:r>
    </w:p>
    <w:p w14:paraId="753E9990" w14:textId="0C5F1DFA" w:rsidR="0059484B" w:rsidRDefault="00D55096" w:rsidP="002A1848">
      <w:pPr>
        <w:pStyle w:val="Odstavecseseznamem"/>
        <w:numPr>
          <w:ilvl w:val="0"/>
          <w:numId w:val="26"/>
        </w:numPr>
        <w:spacing w:line="276" w:lineRule="auto"/>
        <w:contextualSpacing w:val="0"/>
        <w:jc w:val="both"/>
        <w:rPr>
          <w:rFonts w:cstheme="minorHAnsi"/>
          <w:bCs/>
        </w:rPr>
      </w:pPr>
      <w:r>
        <w:rPr>
          <w:rFonts w:cstheme="minorHAnsi"/>
          <w:bCs/>
        </w:rPr>
        <w:t>o</w:t>
      </w:r>
      <w:r w:rsidRPr="0059484B">
        <w:rPr>
          <w:rFonts w:cstheme="minorHAnsi"/>
          <w:bCs/>
        </w:rPr>
        <w:t xml:space="preserve">patření </w:t>
      </w:r>
      <w:r>
        <w:rPr>
          <w:rFonts w:cstheme="minorHAnsi"/>
          <w:bCs/>
        </w:rPr>
        <w:t>– komplexní</w:t>
      </w:r>
      <w:r w:rsidR="00C950FD" w:rsidRPr="0059484B">
        <w:rPr>
          <w:rFonts w:cstheme="minorHAnsi"/>
          <w:bCs/>
        </w:rPr>
        <w:t xml:space="preserve"> charakter a před únikem uhlíku nechránila pouze primární produkci, ale i na ni navázaný zpracovatelský průmysl </w:t>
      </w:r>
    </w:p>
    <w:p w14:paraId="43B9787A" w14:textId="3977B86F" w:rsidR="00497612" w:rsidRDefault="00C950FD" w:rsidP="002A1848">
      <w:pPr>
        <w:pStyle w:val="Odstavecseseznamem"/>
        <w:numPr>
          <w:ilvl w:val="0"/>
          <w:numId w:val="26"/>
        </w:numPr>
        <w:spacing w:line="276" w:lineRule="auto"/>
        <w:contextualSpacing w:val="0"/>
        <w:jc w:val="both"/>
        <w:rPr>
          <w:rFonts w:cstheme="minorHAnsi"/>
          <w:bCs/>
        </w:rPr>
      </w:pPr>
      <w:r w:rsidRPr="0059484B">
        <w:rPr>
          <w:rFonts w:cstheme="minorHAnsi"/>
          <w:bCs/>
        </w:rPr>
        <w:t xml:space="preserve">dle ČR </w:t>
      </w:r>
      <w:r w:rsidR="00497612">
        <w:rPr>
          <w:rFonts w:cstheme="minorHAnsi"/>
          <w:bCs/>
        </w:rPr>
        <w:t xml:space="preserve">je </w:t>
      </w:r>
      <w:r w:rsidRPr="0059484B">
        <w:rPr>
          <w:rFonts w:cstheme="minorHAnsi"/>
          <w:bCs/>
        </w:rPr>
        <w:t>zásadní mít na zřeteli existující hlavní unijní nástroj na snižování emisí skleníkových plynů, tedy současný systém obchodování s emisními povolenkami (EU ETS), a rovněž zohlednit další nástroje určující cenu uhlíku</w:t>
      </w:r>
    </w:p>
    <w:p w14:paraId="1FCA0814" w14:textId="6D329AE6" w:rsidR="00C950FD" w:rsidRPr="0059484B" w:rsidRDefault="00C950FD" w:rsidP="002A1848">
      <w:pPr>
        <w:pStyle w:val="Odstavecseseznamem"/>
        <w:numPr>
          <w:ilvl w:val="0"/>
          <w:numId w:val="26"/>
        </w:numPr>
        <w:spacing w:line="276" w:lineRule="auto"/>
        <w:contextualSpacing w:val="0"/>
        <w:jc w:val="both"/>
        <w:rPr>
          <w:rFonts w:cstheme="minorHAnsi"/>
          <w:bCs/>
        </w:rPr>
      </w:pPr>
      <w:r w:rsidRPr="0059484B">
        <w:rPr>
          <w:rFonts w:cstheme="minorHAnsi"/>
          <w:bCs/>
        </w:rPr>
        <w:t>ČR v této věci očekává předložení podrobné právně-ekonomické analýzy ze strany Komise.</w:t>
      </w:r>
      <w:r w:rsidR="00D17A06" w:rsidRPr="0059484B">
        <w:rPr>
          <w:rFonts w:cstheme="minorHAnsi"/>
          <w:bCs/>
        </w:rPr>
        <w:t xml:space="preserve"> Ta </w:t>
      </w:r>
      <w:r w:rsidR="00D17A06" w:rsidRPr="0059484B">
        <w:rPr>
          <w:bCs/>
          <w:color w:val="000000"/>
        </w:rPr>
        <w:t>v současné době analyzuje možnosti zavedení mechanismu uhlíkového vyrovnání na hranicích a hodnotí tři scénáře ve vztahu k systému obchodování s emisními povolenkami EU ETS, který od ledna 2021 vstupuje do již 4. fáze.</w:t>
      </w:r>
    </w:p>
    <w:p w14:paraId="24A4A47C" w14:textId="77777777" w:rsidR="00C950FD" w:rsidRPr="00746FDF" w:rsidRDefault="00C950FD" w:rsidP="002A1848">
      <w:pPr>
        <w:spacing w:line="276" w:lineRule="auto"/>
        <w:jc w:val="both"/>
        <w:rPr>
          <w:rFonts w:cstheme="minorHAnsi"/>
          <w:bCs/>
          <w:color w:val="000000"/>
        </w:rPr>
      </w:pPr>
      <w:r w:rsidRPr="00746FDF">
        <w:rPr>
          <w:rFonts w:cstheme="minorHAnsi"/>
          <w:bCs/>
          <w:color w:val="000000"/>
        </w:rPr>
        <w:t xml:space="preserve">Náklady nejsou samostatně odhadovány, budou vyčíslovány v příslušných oblastech regulace a implementace (např. energetika, klima a životní prostředí, omezování emisí, zahraniční obchod apod.).  </w:t>
      </w:r>
    </w:p>
    <w:p w14:paraId="5B46EBE2" w14:textId="77777777" w:rsidR="00C950FD" w:rsidRPr="00746FDF" w:rsidRDefault="00C950FD" w:rsidP="002A1848">
      <w:pPr>
        <w:spacing w:line="276" w:lineRule="auto"/>
        <w:jc w:val="both"/>
        <w:rPr>
          <w:rFonts w:cstheme="minorHAnsi"/>
          <w:bCs/>
          <w:color w:val="000000"/>
        </w:rPr>
      </w:pPr>
      <w:r w:rsidRPr="00746FDF">
        <w:rPr>
          <w:rFonts w:cstheme="minorHAnsi"/>
          <w:bCs/>
          <w:color w:val="000000"/>
        </w:rPr>
        <w:t>Náklady ponesou především podnikatelé, občané, případně stát (ev. EU), bude-li poskytovat podpůrná opatření.</w:t>
      </w:r>
    </w:p>
    <w:p w14:paraId="72F5F6D3" w14:textId="314A7D12" w:rsidR="00757A59" w:rsidRDefault="00757A59">
      <w:pPr>
        <w:rPr>
          <w:rFonts w:cstheme="minorHAnsi"/>
          <w:b/>
          <w:color w:val="000000" w:themeColor="text1"/>
          <w:u w:val="single"/>
        </w:rPr>
      </w:pPr>
      <w:r>
        <w:rPr>
          <w:rFonts w:cstheme="minorHAnsi"/>
          <w:b/>
          <w:color w:val="000000" w:themeColor="text1"/>
          <w:u w:val="single"/>
        </w:rPr>
        <w:br w:type="page"/>
      </w:r>
    </w:p>
    <w:p w14:paraId="39651279" w14:textId="77777777" w:rsidR="00085287" w:rsidRPr="001F4EF3" w:rsidRDefault="00085287" w:rsidP="00FF0124">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142" w:right="139"/>
        <w:jc w:val="both"/>
        <w:rPr>
          <w:rFonts w:cstheme="minorHAnsi"/>
          <w:b/>
          <w:noProof/>
          <w:color w:val="000000" w:themeColor="text1"/>
        </w:rPr>
      </w:pPr>
      <w:bookmarkStart w:id="5" w:name="_Hlk55495532"/>
      <w:r w:rsidRPr="00497612">
        <w:rPr>
          <w:rFonts w:cstheme="minorHAnsi"/>
          <w:b/>
          <w:noProof/>
          <w:color w:val="000000" w:themeColor="text1"/>
        </w:rPr>
        <w:lastRenderedPageBreak/>
        <w:t>Nová strategie EU pro přizpůsobení</w:t>
      </w:r>
      <w:r w:rsidRPr="001F4EF3">
        <w:rPr>
          <w:rFonts w:cstheme="minorHAnsi"/>
          <w:b/>
          <w:noProof/>
          <w:color w:val="000000" w:themeColor="text1"/>
        </w:rPr>
        <w:t xml:space="preserve"> se změně klimatu</w:t>
      </w:r>
    </w:p>
    <w:bookmarkEnd w:id="5"/>
    <w:p w14:paraId="2E91AF1A" w14:textId="116AB79F" w:rsidR="005B39E1" w:rsidRPr="005B39E1" w:rsidRDefault="00757A59" w:rsidP="005B39E1">
      <w:pPr>
        <w:pStyle w:val="Normlnweb"/>
        <w:shd w:val="clear" w:color="auto" w:fill="FFFFFF"/>
        <w:jc w:val="both"/>
        <w:rPr>
          <w:rFonts w:asciiTheme="minorHAnsi" w:hAnsiTheme="minorHAnsi" w:cstheme="minorHAnsi"/>
          <w:sz w:val="22"/>
          <w:szCs w:val="22"/>
        </w:rPr>
      </w:pPr>
      <w:r>
        <w:rPr>
          <w:rFonts w:asciiTheme="minorHAnsi" w:hAnsiTheme="minorHAnsi" w:cstheme="minorHAnsi"/>
          <w:bCs/>
          <w:sz w:val="22"/>
          <w:szCs w:val="22"/>
        </w:rPr>
        <w:t>N</w:t>
      </w:r>
      <w:r w:rsidR="00085287" w:rsidRPr="005B39E1">
        <w:rPr>
          <w:rFonts w:asciiTheme="minorHAnsi" w:hAnsiTheme="minorHAnsi" w:cstheme="minorHAnsi"/>
          <w:bCs/>
          <w:sz w:val="22"/>
          <w:szCs w:val="22"/>
        </w:rPr>
        <w:t xml:space="preserve">ová adaptační strategie je nyní EK připravována – nemáme </w:t>
      </w:r>
      <w:r w:rsidR="00424CCA" w:rsidRPr="005B39E1">
        <w:rPr>
          <w:rFonts w:asciiTheme="minorHAnsi" w:hAnsiTheme="minorHAnsi" w:cstheme="minorHAnsi"/>
          <w:bCs/>
          <w:sz w:val="22"/>
          <w:szCs w:val="22"/>
        </w:rPr>
        <w:t xml:space="preserve">zatím </w:t>
      </w:r>
      <w:r w:rsidR="00085287" w:rsidRPr="005B39E1">
        <w:rPr>
          <w:rFonts w:asciiTheme="minorHAnsi" w:hAnsiTheme="minorHAnsi" w:cstheme="minorHAnsi"/>
          <w:bCs/>
          <w:sz w:val="22"/>
          <w:szCs w:val="22"/>
        </w:rPr>
        <w:t>bližší informace o obsahu.</w:t>
      </w:r>
      <w:r w:rsidR="005B39E1" w:rsidRPr="005B39E1">
        <w:rPr>
          <w:rFonts w:asciiTheme="minorHAnsi" w:hAnsiTheme="minorHAnsi" w:cstheme="minorHAnsi"/>
          <w:sz w:val="22"/>
          <w:szCs w:val="22"/>
        </w:rPr>
        <w:t xml:space="preserve"> Adaptační opatření mají zásadní význam pro připravenost na měnící se klima, neboť zajišťují budování odolných společností schopných minimalizovat nepříznivé dopady této změny. Prostřednictvím této strategie má Komise možnost prokázat, že EU hraje v přizpůsobování se změně klimatu vedoucí úlohu, a zajistit, aby členské státy směřovaly ke splnění cíle v oblasti přizpůsobení se změně klimatu stanoveného v Pařížské dohodě. </w:t>
      </w:r>
    </w:p>
    <w:p w14:paraId="27B61E6D" w14:textId="25F7549C" w:rsidR="00085287" w:rsidRPr="00420542" w:rsidRDefault="00085287" w:rsidP="002A1848">
      <w:pPr>
        <w:spacing w:line="276" w:lineRule="auto"/>
        <w:jc w:val="both"/>
      </w:pPr>
    </w:p>
    <w:p w14:paraId="3B9EFB2B" w14:textId="039C1EF4" w:rsidR="00051B13" w:rsidRDefault="00051B13" w:rsidP="00FF0124">
      <w:pPr>
        <w:ind w:right="139"/>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02B27439" w14:textId="77777777" w:rsidR="00085287" w:rsidRPr="00A90587"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theme="minorHAnsi"/>
          <w:b/>
          <w:color w:val="000000" w:themeColor="text1"/>
          <w:sz w:val="32"/>
          <w:szCs w:val="32"/>
        </w:rPr>
      </w:pPr>
      <w:r w:rsidRPr="00757A59">
        <w:rPr>
          <w:rFonts w:cstheme="minorHAnsi"/>
          <w:b/>
          <w:color w:val="000000" w:themeColor="text1"/>
          <w:sz w:val="32"/>
          <w:szCs w:val="32"/>
        </w:rPr>
        <w:lastRenderedPageBreak/>
        <w:t>Čistá, dostupná a bezpečná energie</w:t>
      </w:r>
    </w:p>
    <w:p w14:paraId="0E2A08E0" w14:textId="6A9200B8" w:rsidR="00085287" w:rsidRPr="00A90587" w:rsidRDefault="00085287" w:rsidP="00214AF3">
      <w:pPr>
        <w:spacing w:line="240" w:lineRule="auto"/>
        <w:jc w:val="both"/>
        <w:rPr>
          <w:rFonts w:ascii="Times New Roman" w:hAnsi="Times New Roman" w:cs="Times New Roman"/>
          <w:bCs/>
          <w:color w:val="000000" w:themeColor="text1"/>
          <w:sz w:val="36"/>
          <w:szCs w:val="36"/>
        </w:rPr>
      </w:pPr>
    </w:p>
    <w:p w14:paraId="0444854B" w14:textId="77777777" w:rsidR="00085287" w:rsidRPr="008B4FC7"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theme="minorHAnsi"/>
          <w:b/>
          <w:color w:val="000000" w:themeColor="text1"/>
        </w:rPr>
      </w:pPr>
      <w:r w:rsidRPr="00085B43">
        <w:rPr>
          <w:rFonts w:cstheme="minorHAnsi"/>
          <w:b/>
          <w:color w:val="000000" w:themeColor="text1"/>
        </w:rPr>
        <w:t>Posouzení konečných vnitrostátních plánů</w:t>
      </w:r>
      <w:r w:rsidRPr="008B4FC7">
        <w:rPr>
          <w:rFonts w:cstheme="minorHAnsi"/>
          <w:b/>
          <w:color w:val="000000" w:themeColor="text1"/>
        </w:rPr>
        <w:t xml:space="preserve"> v oblasti energetiky a klimatu</w:t>
      </w:r>
    </w:p>
    <w:p w14:paraId="264C643E" w14:textId="01CE0E2E" w:rsidR="00AA18C6" w:rsidRPr="00CE4597" w:rsidRDefault="00CE4597" w:rsidP="00FF0124">
      <w:pPr>
        <w:spacing w:line="240" w:lineRule="auto"/>
        <w:jc w:val="both"/>
      </w:pPr>
      <w:r w:rsidRPr="00424CCA">
        <w:t>Legislativa EU vyžaduje, aby každý členský stát přijal desetiletý národní plán v oblasti energetiky a klimatu (NECP)</w:t>
      </w:r>
      <w:r>
        <w:t xml:space="preserve">. </w:t>
      </w:r>
      <w:r w:rsidR="006E4CEF" w:rsidRPr="002E44F1">
        <w:rPr>
          <w:rFonts w:cstheme="minorHAnsi"/>
        </w:rPr>
        <w:t>Vnitrostátní plán České republiky v oblasti energetiky a klimatu byl zpracován na základě požadavku nařízení Evropského parlamentu a Rady 2018/1999 o správě energetické unie a opatření v oblasti klimatu</w:t>
      </w:r>
      <w:r w:rsidR="00880F62">
        <w:rPr>
          <w:rFonts w:cstheme="minorHAnsi"/>
        </w:rPr>
        <w:t>.</w:t>
      </w:r>
      <w:r w:rsidR="006E4CEF" w:rsidRPr="002E44F1">
        <w:rPr>
          <w:rFonts w:cstheme="minorHAnsi"/>
        </w:rPr>
        <w:t xml:space="preserve"> </w:t>
      </w:r>
      <w:r w:rsidR="00AA18C6" w:rsidRPr="00AA18C6">
        <w:rPr>
          <w:rFonts w:cs="Times New Roman"/>
        </w:rPr>
        <w:t>Deklarovanými cíli Vnitrostátního plánu v oblasti energetiky a klimatu, respektive celého systému řízení energetické unie jsou následující cíle: i) příprava a implementace politiky a opatření pro splnění cílů energetické unie a dlouhodobých závazků spojených se snižováním emisí skleníkových plynů, zejména s ohledem na cíle Evropské unie v oblasti energetiky a klimatu do roku 2030; ii) stimulace spolupráce mezi jednotlivými členskými státy; iii) vyšší regulační a investiční jistota vyplývající z pokrytí všech pěti základních rozměrů energetické unie podpořená plánovacími dokumenty a robustním a komplexním analytickým rámcem; iv) efektivní příležitosti pro účast veřejnosti; v) strukturovaný, transparentní a iterační proces mezi Komisí a členskými státy; vi) posílení spolupráce mezi tvůrci politiky v oblasti energetiky a klimatu (</w:t>
      </w:r>
      <w:r w:rsidR="00403833">
        <w:t>v</w:t>
      </w:r>
      <w:r w:rsidR="00AA18C6" w:rsidRPr="00AA18C6">
        <w:t>ýše uvedené cíle byly zformulovány na základě informací ze strany Evropské komise).</w:t>
      </w:r>
    </w:p>
    <w:p w14:paraId="1233DE49" w14:textId="77777777" w:rsidR="00880F62" w:rsidRDefault="00866386" w:rsidP="00FF0124">
      <w:pPr>
        <w:suppressAutoHyphens/>
        <w:autoSpaceDN w:val="0"/>
        <w:spacing w:line="240" w:lineRule="auto"/>
        <w:jc w:val="both"/>
        <w:textAlignment w:val="baseline"/>
        <w:rPr>
          <w:rFonts w:cs="Times New Roman"/>
          <w:szCs w:val="24"/>
        </w:rPr>
      </w:pPr>
      <w:r>
        <w:t>Dne 17. září 2020 bylo publikováno hodnocení Vnitrostátních plánů jako celku (</w:t>
      </w:r>
      <w:hyperlink r:id="rId9" w:history="1">
        <w:r w:rsidRPr="00881F51">
          <w:rPr>
            <w:rStyle w:val="Hypertextovodkaz"/>
          </w:rPr>
          <w:t>link</w:t>
        </w:r>
      </w:hyperlink>
      <w:r>
        <w:t>). Následně bylo publikováno hodnocení Vnitrostátních plánů individuálních členských států včetně ČR (</w:t>
      </w:r>
      <w:hyperlink r:id="rId10" w:history="1">
        <w:r w:rsidRPr="00881F51">
          <w:rPr>
            <w:rStyle w:val="Hypertextovodkaz"/>
          </w:rPr>
          <w:t>link</w:t>
        </w:r>
      </w:hyperlink>
      <w:r>
        <w:t>).</w:t>
      </w:r>
      <w:r w:rsidR="00424CCA">
        <w:t xml:space="preserve"> </w:t>
      </w:r>
      <w:r>
        <w:t xml:space="preserve">V obou případech byla vypracována rámcová pozice ČR, která je v případě potřeby dostupná. </w:t>
      </w:r>
      <w:r w:rsidR="00880F62">
        <w:rPr>
          <w:rFonts w:cs="Times New Roman"/>
          <w:szCs w:val="24"/>
        </w:rPr>
        <w:t xml:space="preserve">EK </w:t>
      </w:r>
      <w:r w:rsidR="00880F62">
        <w:rPr>
          <w:rFonts w:cs="Times New Roman"/>
          <w:szCs w:val="24"/>
          <w:u w:val="single"/>
        </w:rPr>
        <w:t>shrnuje hlavní poznatky</w:t>
      </w:r>
      <w:r w:rsidR="00880F62">
        <w:rPr>
          <w:rFonts w:cs="Times New Roman"/>
          <w:szCs w:val="24"/>
        </w:rPr>
        <w:t xml:space="preserve"> z českého plánu. </w:t>
      </w:r>
    </w:p>
    <w:p w14:paraId="6AE34798"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Cíl snížení celkových emisí skleníkových plynů o 44 Mt do roku 2030, což odpovídá 30 % snížení oproti roku 2005.</w:t>
      </w:r>
    </w:p>
    <w:p w14:paraId="2C3E9173"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Závazný národní cíl pro emise skleníkových plynů nezahrnutých do systému obchodování s povolenkami EU ve výší -14 % do roku 2030 v porovnání s rokem 2005.</w:t>
      </w:r>
    </w:p>
    <w:p w14:paraId="775EACBC"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Národní dlouhodobý cíl snižování emisí skleníkových plynů (dále jen GHG emise) je -80 % v roce 2050.</w:t>
      </w:r>
    </w:p>
    <w:p w14:paraId="06159ED6"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Příspěvek ČR do kolektivního cíle EU v oblasti obnovitelných zdrojů (dále jen OZE) je 22 % na hrubé konečné spotřebě v roce 2030. Tento cíl považuje EK za nedostatečně ambiciózní.</w:t>
      </w:r>
    </w:p>
    <w:p w14:paraId="067B3902"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ČR plánuje zvýšit podíl elektřiny vyrobené z OZE na 16,9 % do roku 2030 a podíl vytápění a chlazení z OZE o 1% bod ročně.</w:t>
      </w:r>
    </w:p>
    <w:p w14:paraId="4046BD38"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Příspěvek ČR v oblasti energetické účinnosti je ve výši 41,4 Mtoe u primární energetické spotřeby (považováno za nízkou úroveň ambice) a 23,7 Mtoe u konečné energetické spotřeby (považováno za skromnou úroveň ambice). Kumulativní cíl v souladu s čl. 7 směrnice je 11,03 Mtoe (462 PJ).</w:t>
      </w:r>
    </w:p>
    <w:p w14:paraId="74D5EFB9"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Cílem v oblasti energetické bezpečnosti je udržení dovozní závislosti na úrovni ne vyšší než 65 % do roku 2030 a 70 % do roku 2040. V plánu je posílit propojení elektrizační sítě na úroveň aspoň 30 % do roku 2030.</w:t>
      </w:r>
    </w:p>
    <w:p w14:paraId="4E5A7901"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ČR nemá žádné konkrétní měřitelné cíle pro oblast veřejného výzkumu, vývoje a inovací.</w:t>
      </w:r>
    </w:p>
    <w:p w14:paraId="7FE0EB4F" w14:textId="4F57FD64"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ČR neposkytla žádné informace ohledně celkové výše investičních potřeb k implementaci NEKP. Obsaženy jsou informace o investičních potřebách ČR. Jako hlavní zdroje financování jsou uváděny zdroje financování z EU, zdroje z EU ETS a dodatečná rozpočtová opatření.</w:t>
      </w:r>
    </w:p>
    <w:p w14:paraId="72B02EA1"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lastRenderedPageBreak/>
        <w:t>Plán neposkytuje žádná konkrétní data ohledně dotací fosilních paliv.</w:t>
      </w:r>
    </w:p>
    <w:p w14:paraId="6BF9DD48" w14:textId="77777777" w:rsidR="00880F62" w:rsidRPr="00FF0124" w:rsidRDefault="00880F62" w:rsidP="00FF0124">
      <w:pPr>
        <w:pStyle w:val="Odstavecseseznamem"/>
        <w:numPr>
          <w:ilvl w:val="0"/>
          <w:numId w:val="32"/>
        </w:numPr>
        <w:suppressAutoHyphens/>
        <w:autoSpaceDN w:val="0"/>
        <w:spacing w:line="240" w:lineRule="auto"/>
        <w:contextualSpacing w:val="0"/>
        <w:jc w:val="both"/>
        <w:textAlignment w:val="baseline"/>
      </w:pPr>
      <w:r w:rsidRPr="00FF0124">
        <w:t>Nejsou zmíněna žádná hodnocení sociálních, hospodářských a znalostních dopadů tranzice, stejně jako nejsou navržena žádná konkrétní opatření v oblasti energetické chudoby.</w:t>
      </w:r>
    </w:p>
    <w:p w14:paraId="1F654EFD" w14:textId="6C02563E" w:rsidR="00866386" w:rsidRDefault="00866386" w:rsidP="00FF0124">
      <w:pPr>
        <w:spacing w:line="240" w:lineRule="auto"/>
        <w:jc w:val="both"/>
      </w:pPr>
      <w:r>
        <w:t xml:space="preserve">Dle Nařízení 2018/1999 může členský stát zvážit aktualizaci Vnitrostátního energetického plánu v roce 2023, respektive 2024. Evropská komise aktuálně komunikuje, že by mělo dojít k aktualizaci těchto dokumentů v návaznosti přijetí klimatické neutrality a možné změny energeticko-klimatických cílů do roku 2030, ale je nutné zdůraznit, že pro toto není legislativní opora a je to na zvážení členského státu. </w:t>
      </w:r>
    </w:p>
    <w:p w14:paraId="2679B049" w14:textId="77777777" w:rsidR="00CC1F88" w:rsidRDefault="006E4CEF" w:rsidP="00FF0124">
      <w:pPr>
        <w:spacing w:line="240" w:lineRule="auto"/>
        <w:jc w:val="both"/>
        <w:rPr>
          <w:rFonts w:cstheme="minorHAnsi"/>
        </w:rPr>
      </w:pPr>
      <w:r w:rsidRPr="002E44F1">
        <w:rPr>
          <w:rFonts w:cstheme="minorHAnsi"/>
        </w:rPr>
        <w:t xml:space="preserve">V rámci rozměru energetické účinnosti pro období 2021–2030 existují tři cíle: i) indikativní cíl </w:t>
      </w:r>
      <w:r>
        <w:rPr>
          <w:rFonts w:cstheme="minorHAnsi"/>
        </w:rPr>
        <w:t>spotřeby primární energie</w:t>
      </w:r>
      <w:r>
        <w:t xml:space="preserve"> a konečné spotřeby energie a energetické intenzity</w:t>
      </w:r>
      <w:r w:rsidRPr="002E44F1">
        <w:rPr>
          <w:rFonts w:cstheme="minorHAnsi"/>
        </w:rPr>
        <w:t xml:space="preserve">; ii) závazný cíl v oblasti energetických úspor </w:t>
      </w:r>
      <w:r>
        <w:rPr>
          <w:rFonts w:cstheme="minorHAnsi"/>
        </w:rPr>
        <w:t>ústředních vládních institucí</w:t>
      </w:r>
      <w:r w:rsidRPr="002E44F1">
        <w:rPr>
          <w:rFonts w:cstheme="minorHAnsi"/>
        </w:rPr>
        <w:t xml:space="preserve"> iii) závazn</w:t>
      </w:r>
      <w:r>
        <w:rPr>
          <w:rFonts w:cstheme="minorHAnsi"/>
        </w:rPr>
        <w:t xml:space="preserve">ý objem kumulativních </w:t>
      </w:r>
      <w:r w:rsidRPr="002E44F1">
        <w:rPr>
          <w:rFonts w:cstheme="minorHAnsi"/>
        </w:rPr>
        <w:t xml:space="preserve">úspor </w:t>
      </w:r>
      <w:r>
        <w:rPr>
          <w:rFonts w:cstheme="minorHAnsi"/>
        </w:rPr>
        <w:t xml:space="preserve">na </w:t>
      </w:r>
      <w:r w:rsidRPr="002E44F1">
        <w:rPr>
          <w:rFonts w:cstheme="minorHAnsi"/>
        </w:rPr>
        <w:t>konečné spotřeb</w:t>
      </w:r>
      <w:r>
        <w:rPr>
          <w:rFonts w:cstheme="minorHAnsi"/>
        </w:rPr>
        <w:t>ě v rámci indikovaného období 2021–2030</w:t>
      </w:r>
      <w:r w:rsidRPr="002E44F1">
        <w:rPr>
          <w:rFonts w:cstheme="minorHAnsi"/>
        </w:rPr>
        <w:t xml:space="preserve">. </w:t>
      </w:r>
      <w:r w:rsidR="00CC1F88" w:rsidRPr="002E44F1">
        <w:rPr>
          <w:rFonts w:cstheme="minorHAnsi"/>
        </w:rPr>
        <w:t xml:space="preserve">Tyto cíle odpovídají článkům 3, 5 a 7 znění směrnici 2012/27/EU o energetické účinnosti ve znění pozdějších novel. </w:t>
      </w:r>
    </w:p>
    <w:p w14:paraId="77C34897" w14:textId="07BFC882" w:rsidR="00CC1F88" w:rsidRDefault="00CC1F88" w:rsidP="00FF0124">
      <w:pPr>
        <w:spacing w:line="240" w:lineRule="auto"/>
        <w:jc w:val="both"/>
        <w:rPr>
          <w:rFonts w:cstheme="minorHAnsi"/>
        </w:rPr>
      </w:pPr>
      <w:r>
        <w:rPr>
          <w:rFonts w:cs="Times New Roman"/>
          <w:szCs w:val="24"/>
        </w:rPr>
        <w:t>Cíl v článku 7 vyžaduje celkové investice ve výši 524,1 mld. Kč. Investiční podpora je dostupná pro kombinovanou výrobu elektřiny a tepla, a to jak v rámci operačních, tak národních programů. V oblasti energetické účinnosti v budovách se očekávají celkové investice ve výši 153 mld. Kč pro residenční sektor a 109 mld. Kč pro veřejný a komerční sektor. V oblasti OZE plán předpokládá investice ve výši 511,2 mld. Kč, z čehož 46,4 mld. Kč je podpora pro nové zdroje. V oblasti energetické účinnosti se celkové investice odhadují na 524,1 mld. Kč. Zdrojem financování mají být programy EU, zdroje z prodeje emisních povolenek a státní rozpočet.</w:t>
      </w:r>
    </w:p>
    <w:p w14:paraId="1DFC9431" w14:textId="3813E4DF" w:rsidR="006E4CEF" w:rsidRDefault="006E4CEF" w:rsidP="00FF0124">
      <w:pPr>
        <w:spacing w:line="240" w:lineRule="auto"/>
        <w:jc w:val="both"/>
        <w:rPr>
          <w:rFonts w:cstheme="minorHAnsi"/>
        </w:rPr>
      </w:pPr>
      <w:r w:rsidRPr="002E44F1">
        <w:rPr>
          <w:rFonts w:cstheme="minorHAnsi"/>
        </w:rPr>
        <w:t xml:space="preserve">Cílem ČR je v roce 2030 dosáhnout </w:t>
      </w:r>
      <w:r>
        <w:rPr>
          <w:rFonts w:cstheme="minorHAnsi"/>
        </w:rPr>
        <w:t>primární</w:t>
      </w:r>
      <w:r w:rsidRPr="002E44F1">
        <w:rPr>
          <w:rFonts w:cstheme="minorHAnsi"/>
        </w:rPr>
        <w:t xml:space="preserve"> </w:t>
      </w:r>
      <w:r>
        <w:rPr>
          <w:rFonts w:cstheme="minorHAnsi"/>
        </w:rPr>
        <w:t>spotřeby energie</w:t>
      </w:r>
      <w:r w:rsidRPr="002E44F1">
        <w:rPr>
          <w:rFonts w:cstheme="minorHAnsi"/>
        </w:rPr>
        <w:t xml:space="preserve"> na úrovni 1 735 PJ</w:t>
      </w:r>
      <w:r>
        <w:rPr>
          <w:rFonts w:cstheme="minorHAnsi"/>
        </w:rPr>
        <w:t xml:space="preserve">, </w:t>
      </w:r>
      <w:r w:rsidRPr="002E44F1">
        <w:rPr>
          <w:rFonts w:cstheme="minorHAnsi"/>
        </w:rPr>
        <w:t>konečné spotřeb</w:t>
      </w:r>
      <w:r>
        <w:rPr>
          <w:rFonts w:cstheme="minorHAnsi"/>
        </w:rPr>
        <w:t>y</w:t>
      </w:r>
      <w:r w:rsidRPr="002E44F1">
        <w:rPr>
          <w:rFonts w:cstheme="minorHAnsi"/>
        </w:rPr>
        <w:t xml:space="preserve"> na úrovni 990 PJ a energetické intenzity HDP na úrovni 0,157 MJ/Kč.</w:t>
      </w:r>
    </w:p>
    <w:p w14:paraId="470B892F" w14:textId="77777777" w:rsidR="00214AF3" w:rsidRPr="00006DA6" w:rsidRDefault="00214AF3" w:rsidP="002A1848">
      <w:pPr>
        <w:spacing w:line="276" w:lineRule="auto"/>
        <w:jc w:val="both"/>
        <w:rPr>
          <w:rFonts w:cstheme="minorHAnsi"/>
          <w:lang w:val="fr-FR" w:eastAsia="en-GB"/>
        </w:rPr>
      </w:pPr>
    </w:p>
    <w:p w14:paraId="3F602928" w14:textId="77777777" w:rsidR="00085287" w:rsidRPr="001F2007"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142"/>
        <w:jc w:val="both"/>
        <w:rPr>
          <w:rFonts w:cstheme="minorHAnsi"/>
          <w:b/>
          <w:color w:val="000000" w:themeColor="text1"/>
        </w:rPr>
      </w:pPr>
      <w:r w:rsidRPr="00006DA6">
        <w:rPr>
          <w:rFonts w:cstheme="minorHAnsi"/>
          <w:b/>
          <w:color w:val="000000" w:themeColor="text1"/>
        </w:rPr>
        <w:t>Strategie pro inteligentní sektorovou</w:t>
      </w:r>
      <w:r w:rsidRPr="001F2007">
        <w:rPr>
          <w:rFonts w:cstheme="minorHAnsi"/>
          <w:b/>
          <w:color w:val="000000" w:themeColor="text1"/>
        </w:rPr>
        <w:t xml:space="preserve"> integraci</w:t>
      </w:r>
    </w:p>
    <w:p w14:paraId="6FD0D473" w14:textId="45750298" w:rsidR="00FA056D" w:rsidRPr="0059224A" w:rsidRDefault="00B278AB" w:rsidP="00FF0124">
      <w:pPr>
        <w:spacing w:line="240" w:lineRule="auto"/>
        <w:jc w:val="both"/>
      </w:pPr>
      <w:r w:rsidRPr="0059224A">
        <w:t xml:space="preserve">Účelem nové strategie pro inteligentní sektorovou integraci </w:t>
      </w:r>
      <w:r w:rsidR="0059224A">
        <w:t>bude</w:t>
      </w:r>
      <w:r w:rsidR="00E23A74" w:rsidRPr="0059224A">
        <w:t>, aby se všechny nosiče energie včetně elektřiny, plynu a kapalných paliv využívaly efektivněji, a to propojením různých sektorů</w:t>
      </w:r>
      <w:r w:rsidR="0059224A">
        <w:t xml:space="preserve"> energetiky</w:t>
      </w:r>
      <w:r w:rsidRPr="0059224A">
        <w:t>. Strategie</w:t>
      </w:r>
      <w:r w:rsidR="00E23A74" w:rsidRPr="0059224A">
        <w:t xml:space="preserve"> mimo jiné představí vizi Komise, pokud jde o čistý vodík. </w:t>
      </w:r>
    </w:p>
    <w:p w14:paraId="1274D93A" w14:textId="60861F26" w:rsidR="00006DA6" w:rsidRPr="00214AF3" w:rsidRDefault="004247B4" w:rsidP="00FF0124">
      <w:pPr>
        <w:spacing w:line="240" w:lineRule="auto"/>
        <w:jc w:val="both"/>
        <w:rPr>
          <w:rFonts w:ascii="Times New Roman" w:hAnsi="Times New Roman" w:cs="Times New Roman"/>
          <w:bCs/>
          <w:color w:val="000000" w:themeColor="text1"/>
        </w:rPr>
      </w:pPr>
      <w:r w:rsidRPr="001F2007">
        <w:rPr>
          <w:rFonts w:cstheme="minorHAnsi"/>
          <w:bCs/>
          <w:color w:val="000000" w:themeColor="text1"/>
        </w:rPr>
        <w:t xml:space="preserve">Snižování emisí má dále vycházet ze spolehlivých dodávek nízkouhlíkové energie za konkurenceschopné ceny i strategičtějšího přístupu k výrobě energie z obnovitelných zdrojů. </w:t>
      </w:r>
      <w:r w:rsidR="00006DA6">
        <w:rPr>
          <w:rFonts w:ascii="Times New Roman" w:hAnsi="Times New Roman" w:cs="Times New Roman"/>
          <w:bCs/>
          <w:color w:val="000000" w:themeColor="text1"/>
        </w:rPr>
        <w:t>P</w:t>
      </w:r>
      <w:r w:rsidR="00866386" w:rsidRPr="00D5225E">
        <w:rPr>
          <w:rFonts w:cstheme="minorHAnsi"/>
          <w:bCs/>
        </w:rPr>
        <w:t xml:space="preserve">řechod na klimatickou neutralitu a inteligentní sektorovou </w:t>
      </w:r>
      <w:r w:rsidR="00981EEE" w:rsidRPr="00D5225E">
        <w:rPr>
          <w:rFonts w:cstheme="minorHAnsi"/>
          <w:bCs/>
        </w:rPr>
        <w:t>integraci</w:t>
      </w:r>
      <w:r w:rsidR="00981EEE">
        <w:rPr>
          <w:rFonts w:cstheme="minorHAnsi"/>
          <w:bCs/>
        </w:rPr>
        <w:t xml:space="preserve"> – v</w:t>
      </w:r>
      <w:r w:rsidR="00866386" w:rsidRPr="00D5225E">
        <w:rPr>
          <w:rFonts w:cstheme="minorHAnsi"/>
          <w:bCs/>
        </w:rPr>
        <w:t xml:space="preserve"> budoucnu (po roce 2030) bude v energetickém mixu více intermitentních obnovitelných zdrojů energie (zejména větrné a solární elektrárny) a vysoká dostupnost plynárenské infrastruktury bude pro efektivní nasazování těchto zdrojů nezbytná. V ČR se již připravují pilotní projekty s cílem rozvíjet obnovitelné plyny a vyvíjet zařízení na konverzi energie (power-to-gas) a skladovací zařízení. </w:t>
      </w:r>
    </w:p>
    <w:p w14:paraId="026912C7" w14:textId="10A12E2B" w:rsidR="00866386" w:rsidRPr="00D5225E" w:rsidRDefault="00866386" w:rsidP="00FF0124">
      <w:pPr>
        <w:spacing w:line="240" w:lineRule="auto"/>
        <w:jc w:val="both"/>
        <w:rPr>
          <w:rFonts w:cstheme="minorHAnsi"/>
          <w:bCs/>
        </w:rPr>
      </w:pPr>
      <w:r w:rsidRPr="00D5225E">
        <w:rPr>
          <w:rFonts w:cstheme="minorHAnsi"/>
          <w:bCs/>
        </w:rPr>
        <w:t>Vláda ČR v září 2019 schválila Národní akční plán pro chytré sítě (NAP SG), který má za cíl vytvořit podmínky pro vyšší penetraci decentralizovaných, zejména obnovitelných zdrojů elektřiny, akumulace a elektromobility a zvýšit spolehlivost, kvalitu a bezpečnost dodávek elektrické energie.</w:t>
      </w:r>
    </w:p>
    <w:p w14:paraId="14021C96" w14:textId="0683C2AE" w:rsidR="00866386" w:rsidRPr="00D5225E" w:rsidRDefault="00866386" w:rsidP="00FF0124">
      <w:pPr>
        <w:spacing w:line="240" w:lineRule="auto"/>
        <w:jc w:val="both"/>
        <w:rPr>
          <w:rFonts w:ascii="Times New Roman" w:hAnsi="Times New Roman" w:cs="Times New Roman"/>
          <w:bCs/>
        </w:rPr>
      </w:pPr>
      <w:r w:rsidRPr="00D5225E">
        <w:rPr>
          <w:rFonts w:cstheme="minorHAnsi"/>
          <w:bCs/>
        </w:rPr>
        <w:t xml:space="preserve">Snižování emisí má dále vycházet ze spolehlivých dodávek nízkouhlíkové energie za konkurenceschopné ceny i strategičtějšího přístupu k výrobě energie z obnovitelných zdrojů. </w:t>
      </w:r>
    </w:p>
    <w:p w14:paraId="300F5421" w14:textId="6D3A83B9" w:rsidR="00866386" w:rsidRDefault="00866386" w:rsidP="00FF0124">
      <w:pPr>
        <w:spacing w:line="240" w:lineRule="auto"/>
        <w:jc w:val="both"/>
        <w:rPr>
          <w:rFonts w:cstheme="minorHAnsi"/>
          <w:noProof/>
        </w:rPr>
      </w:pPr>
      <w:r w:rsidRPr="00D5225E">
        <w:rPr>
          <w:rFonts w:cstheme="minorHAnsi"/>
          <w:noProof/>
        </w:rPr>
        <w:t xml:space="preserve">Investice budou pocházet především ze soukromého sektoru, případně od provozovatelů energetické infrastruktury. Vzhledem k nevyspělosti některých technologií klíčových pro rozvoj sektorové integrace ale bude zároveň nutná finanční podpora pocházející z investičních fondů EU. Nabízí se například fondy navázané na revidovanou směnici o transevropské energetické síti, operační programy, výnosy z EU ETS včetně Modernizačního fondu a další. </w:t>
      </w:r>
    </w:p>
    <w:p w14:paraId="78DC477D" w14:textId="77777777" w:rsidR="00FF0124" w:rsidRDefault="00FF0124" w:rsidP="002A1848">
      <w:pPr>
        <w:spacing w:line="276" w:lineRule="auto"/>
        <w:jc w:val="both"/>
        <w:rPr>
          <w:rFonts w:cstheme="minorHAnsi"/>
          <w:noProof/>
        </w:rPr>
      </w:pPr>
    </w:p>
    <w:p w14:paraId="37AEFDDD" w14:textId="56E21FAF" w:rsidR="00085287" w:rsidRPr="001F2007" w:rsidRDefault="00085287" w:rsidP="002A1848">
      <w:pPr>
        <w:pBdr>
          <w:top w:val="single" w:sz="4" w:space="1" w:color="auto"/>
          <w:left w:val="single" w:sz="4" w:space="4" w:color="auto"/>
          <w:bottom w:val="single" w:sz="4" w:space="1" w:color="auto"/>
          <w:right w:val="single" w:sz="4" w:space="0" w:color="auto"/>
        </w:pBdr>
        <w:autoSpaceDE w:val="0"/>
        <w:autoSpaceDN w:val="0"/>
        <w:adjustRightInd w:val="0"/>
        <w:spacing w:line="276" w:lineRule="auto"/>
        <w:ind w:left="142"/>
        <w:jc w:val="both"/>
        <w:rPr>
          <w:rFonts w:cstheme="minorHAnsi"/>
          <w:b/>
          <w:color w:val="000000" w:themeColor="text1"/>
        </w:rPr>
      </w:pPr>
      <w:r w:rsidRPr="00006DA6">
        <w:rPr>
          <w:rFonts w:cstheme="minorHAnsi"/>
          <w:b/>
          <w:color w:val="000000" w:themeColor="text1"/>
        </w:rPr>
        <w:t>Iniciativa „renovační vlna“ pro odvětví</w:t>
      </w:r>
      <w:r w:rsidRPr="001F2007">
        <w:rPr>
          <w:rFonts w:cstheme="minorHAnsi"/>
          <w:b/>
          <w:color w:val="000000" w:themeColor="text1"/>
        </w:rPr>
        <w:t xml:space="preserve"> stavebnictví</w:t>
      </w:r>
    </w:p>
    <w:p w14:paraId="5F5BB57E" w14:textId="6FCD7187" w:rsidR="00676816" w:rsidRPr="00D509C6" w:rsidRDefault="00676816" w:rsidP="00FF0124">
      <w:pPr>
        <w:spacing w:line="240" w:lineRule="auto"/>
        <w:jc w:val="both"/>
        <w:rPr>
          <w:rFonts w:cs="Times New Roman"/>
          <w:bCs/>
          <w:sz w:val="16"/>
          <w:szCs w:val="16"/>
        </w:rPr>
      </w:pPr>
      <w:r w:rsidRPr="00D509C6">
        <w:rPr>
          <w:rFonts w:cs="Calibri"/>
        </w:rPr>
        <w:t xml:space="preserve">EK zveřejnila 14. 10. 2020 sdělení „Renovační vlna pro Evropu – ekologické budovy, nová pracovní místa, lepší životní prostředí. </w:t>
      </w:r>
      <w:r w:rsidRPr="00D509C6">
        <w:rPr>
          <w:rFonts w:cs="Times New Roman"/>
          <w:bCs/>
          <w:szCs w:val="24"/>
        </w:rPr>
        <w:t xml:space="preserve">Hlavní cíle, kterých by chtěla prostřednictvím iniciativy dosáhnout, aby byl splněn </w:t>
      </w:r>
      <w:r w:rsidRPr="00D509C6">
        <w:rPr>
          <w:rFonts w:cs="Times New Roman"/>
          <w:bCs/>
        </w:rPr>
        <w:t>cíl 55% redukce emisí do roku 2030 v porovnání s rokem 1990:</w:t>
      </w:r>
    </w:p>
    <w:p w14:paraId="5C4E9E1B" w14:textId="77777777" w:rsidR="00676816" w:rsidRPr="00D509C6" w:rsidRDefault="00676816" w:rsidP="00FF0124">
      <w:pPr>
        <w:pStyle w:val="Odstavecseseznamem"/>
        <w:numPr>
          <w:ilvl w:val="0"/>
          <w:numId w:val="13"/>
        </w:numPr>
        <w:suppressAutoHyphens/>
        <w:autoSpaceDN w:val="0"/>
        <w:spacing w:line="240" w:lineRule="auto"/>
        <w:contextualSpacing w:val="0"/>
        <w:jc w:val="both"/>
        <w:textAlignment w:val="baseline"/>
        <w:rPr>
          <w:rFonts w:cs="Times New Roman"/>
          <w:bCs/>
        </w:rPr>
      </w:pPr>
      <w:r w:rsidRPr="00D509C6">
        <w:rPr>
          <w:rFonts w:cs="Times New Roman"/>
          <w:bCs/>
        </w:rPr>
        <w:t>Do roku 2030 by se měly zredukovat emise skleníkových plynů budov o 60 %;</w:t>
      </w:r>
    </w:p>
    <w:p w14:paraId="4F144AE6" w14:textId="77777777" w:rsidR="00676816" w:rsidRPr="00D509C6" w:rsidRDefault="00676816" w:rsidP="00FF0124">
      <w:pPr>
        <w:pStyle w:val="Odstavecseseznamem"/>
        <w:numPr>
          <w:ilvl w:val="0"/>
          <w:numId w:val="10"/>
        </w:numPr>
        <w:suppressAutoHyphens/>
        <w:autoSpaceDN w:val="0"/>
        <w:spacing w:line="240" w:lineRule="auto"/>
        <w:contextualSpacing w:val="0"/>
        <w:jc w:val="both"/>
        <w:textAlignment w:val="baseline"/>
        <w:rPr>
          <w:rFonts w:cs="Times New Roman"/>
          <w:bCs/>
        </w:rPr>
      </w:pPr>
      <w:r w:rsidRPr="00D509C6">
        <w:rPr>
          <w:rFonts w:cs="Times New Roman"/>
          <w:bCs/>
        </w:rPr>
        <w:t>Jejich konečná energetická spotřeba by měla klesnout o 14 % a</w:t>
      </w:r>
    </w:p>
    <w:p w14:paraId="588A3245" w14:textId="77777777" w:rsidR="00676816" w:rsidRPr="00D509C6" w:rsidRDefault="00676816" w:rsidP="00FF0124">
      <w:pPr>
        <w:pStyle w:val="Odstavecseseznamem"/>
        <w:numPr>
          <w:ilvl w:val="0"/>
          <w:numId w:val="10"/>
        </w:numPr>
        <w:suppressAutoHyphens/>
        <w:autoSpaceDN w:val="0"/>
        <w:spacing w:line="240" w:lineRule="auto"/>
        <w:contextualSpacing w:val="0"/>
        <w:jc w:val="both"/>
        <w:textAlignment w:val="baseline"/>
        <w:rPr>
          <w:rFonts w:cs="Times New Roman"/>
          <w:bCs/>
        </w:rPr>
      </w:pPr>
      <w:r w:rsidRPr="00D509C6">
        <w:rPr>
          <w:rFonts w:cs="Times New Roman"/>
          <w:bCs/>
        </w:rPr>
        <w:t>Energetická spotřeba vytápění a chlazení o 18 %.</w:t>
      </w:r>
    </w:p>
    <w:p w14:paraId="10AB72F8" w14:textId="4C3C6168" w:rsidR="00E50C28" w:rsidRDefault="00676816" w:rsidP="00FF0124">
      <w:pPr>
        <w:spacing w:line="240" w:lineRule="auto"/>
        <w:jc w:val="both"/>
        <w:rPr>
          <w:rFonts w:cs="Calibri"/>
        </w:rPr>
      </w:pPr>
      <w:r w:rsidRPr="00F85CFA">
        <w:rPr>
          <w:rFonts w:cs="Calibri"/>
          <w:b/>
          <w:bCs/>
        </w:rPr>
        <w:t>Renovace</w:t>
      </w:r>
      <w:r w:rsidRPr="00D509C6">
        <w:rPr>
          <w:rFonts w:cs="Calibri"/>
        </w:rPr>
        <w:t xml:space="preserve"> </w:t>
      </w:r>
      <w:r w:rsidR="00D509C6">
        <w:rPr>
          <w:rFonts w:cs="Calibri"/>
        </w:rPr>
        <w:t xml:space="preserve">- důraz </w:t>
      </w:r>
      <w:r w:rsidR="00E50C28">
        <w:rPr>
          <w:rFonts w:cs="Calibri"/>
        </w:rPr>
        <w:t xml:space="preserve">kladen </w:t>
      </w:r>
      <w:r w:rsidR="00D509C6">
        <w:rPr>
          <w:rFonts w:cs="Calibri"/>
        </w:rPr>
        <w:t xml:space="preserve">na </w:t>
      </w:r>
      <w:r w:rsidRPr="00D509C6">
        <w:rPr>
          <w:rFonts w:cs="Calibri"/>
        </w:rPr>
        <w:t>snížení energetické náročnosti samotných budov a snížení nákladů na energie</w:t>
      </w:r>
      <w:r w:rsidR="00D509C6">
        <w:rPr>
          <w:rFonts w:cs="Calibri"/>
        </w:rPr>
        <w:t>;</w:t>
      </w:r>
      <w:r w:rsidRPr="00D509C6">
        <w:rPr>
          <w:rFonts w:cs="Calibri"/>
        </w:rPr>
        <w:t xml:space="preserve"> na energetickou náročnost výroby stavebních materiálů/výrobků</w:t>
      </w:r>
      <w:r w:rsidR="00D509C6">
        <w:rPr>
          <w:rFonts w:cs="Calibri"/>
        </w:rPr>
        <w:t>;</w:t>
      </w:r>
      <w:r w:rsidRPr="00D509C6">
        <w:rPr>
          <w:rFonts w:cs="Calibri"/>
        </w:rPr>
        <w:t xml:space="preserve"> zdravé a komfortní vnitřní prostředí</w:t>
      </w:r>
      <w:r w:rsidR="00D509C6">
        <w:rPr>
          <w:rFonts w:cs="Calibri"/>
        </w:rPr>
        <w:t>;</w:t>
      </w:r>
      <w:r w:rsidRPr="00D509C6">
        <w:rPr>
          <w:rFonts w:cs="Calibri"/>
        </w:rPr>
        <w:t xml:space="preserve"> udržitelné využívání zdrojů a udržitelné vystavěné prostředí</w:t>
      </w:r>
      <w:r w:rsidR="00D509C6">
        <w:rPr>
          <w:rFonts w:cs="Calibri"/>
        </w:rPr>
        <w:t xml:space="preserve">; měla by </w:t>
      </w:r>
      <w:r w:rsidRPr="00D509C6">
        <w:rPr>
          <w:rFonts w:cs="Calibri"/>
        </w:rPr>
        <w:t>zajistit cenovou dostupnost</w:t>
      </w:r>
      <w:r w:rsidR="00D509C6">
        <w:rPr>
          <w:rFonts w:cs="Calibri"/>
        </w:rPr>
        <w:t>;</w:t>
      </w:r>
      <w:r w:rsidRPr="00D509C6">
        <w:rPr>
          <w:rFonts w:cs="Calibri"/>
        </w:rPr>
        <w:t xml:space="preserve"> vznik nových „ekologických“ pracovních míst</w:t>
      </w:r>
      <w:r w:rsidR="00D509C6">
        <w:rPr>
          <w:rFonts w:cs="Calibri"/>
        </w:rPr>
        <w:t>;</w:t>
      </w:r>
      <w:r w:rsidRPr="00D509C6">
        <w:rPr>
          <w:rFonts w:cs="Calibri"/>
        </w:rPr>
        <w:t xml:space="preserve"> získání nových dovedností a zvyšování kvalifikace pracovníků ve stavebnictví</w:t>
      </w:r>
      <w:r w:rsidR="00E50C28">
        <w:rPr>
          <w:rFonts w:cs="Calibri"/>
        </w:rPr>
        <w:t xml:space="preserve">; </w:t>
      </w:r>
      <w:r w:rsidRPr="00D509C6">
        <w:rPr>
          <w:rFonts w:cs="Calibri"/>
        </w:rPr>
        <w:t>změn</w:t>
      </w:r>
      <w:r w:rsidR="00F85CFA">
        <w:rPr>
          <w:rFonts w:cs="Calibri"/>
        </w:rPr>
        <w:t>a</w:t>
      </w:r>
      <w:r w:rsidRPr="00D509C6">
        <w:rPr>
          <w:rFonts w:cs="Calibri"/>
        </w:rPr>
        <w:t xml:space="preserve"> přístupu v hodnocení dopadu budov na životní prostředí, prostřednictvím hodnocení jejich celého životního cyklu</w:t>
      </w:r>
      <w:r w:rsidR="00F85CFA">
        <w:rPr>
          <w:rFonts w:cs="Calibri"/>
        </w:rPr>
        <w:t xml:space="preserve"> (</w:t>
      </w:r>
      <w:r w:rsidRPr="00D509C6">
        <w:rPr>
          <w:rFonts w:cs="Calibri"/>
        </w:rPr>
        <w:t>dopadů výroby a dopravy stavebních výrobků</w:t>
      </w:r>
      <w:r w:rsidR="00F85CFA">
        <w:rPr>
          <w:rFonts w:cs="Calibri"/>
        </w:rPr>
        <w:t>);</w:t>
      </w:r>
      <w:r w:rsidRPr="00D509C6">
        <w:rPr>
          <w:rFonts w:cs="Calibri"/>
        </w:rPr>
        <w:t xml:space="preserve"> využívání recyklovaných materiálů nebo zahrnutí dopadů dekonstrukce budovy. </w:t>
      </w:r>
    </w:p>
    <w:p w14:paraId="068788CE" w14:textId="6CC60B82" w:rsidR="00E50C28" w:rsidRDefault="00676816" w:rsidP="00FF0124">
      <w:pPr>
        <w:spacing w:line="240" w:lineRule="auto"/>
        <w:jc w:val="both"/>
        <w:rPr>
          <w:rFonts w:cs="Calibri"/>
        </w:rPr>
      </w:pPr>
      <w:r w:rsidRPr="00B20092">
        <w:rPr>
          <w:rFonts w:cs="Calibri"/>
          <w:b/>
          <w:bCs/>
        </w:rPr>
        <w:t>Digitalizace fondu budov</w:t>
      </w:r>
      <w:r w:rsidRPr="00D509C6">
        <w:rPr>
          <w:rFonts w:cs="Calibri"/>
        </w:rPr>
        <w:t xml:space="preserve"> je jedním z hlavních cílů aktuálně připravované digitalizace stavebního řízení a zavádění koncepce informačního modelování staveb (BIM) v České republice</w:t>
      </w:r>
      <w:r w:rsidR="00E50C28">
        <w:rPr>
          <w:rFonts w:cs="Calibri"/>
        </w:rPr>
        <w:t xml:space="preserve"> (</w:t>
      </w:r>
      <w:r w:rsidR="00E50C28" w:rsidRPr="00D509C6">
        <w:rPr>
          <w:rFonts w:cs="Calibri"/>
        </w:rPr>
        <w:t>dostupnost informací o budovách a stavebních výrobcích v digitální podobě</w:t>
      </w:r>
      <w:r w:rsidR="00E50C28">
        <w:rPr>
          <w:rFonts w:cs="Calibri"/>
        </w:rPr>
        <w:t>)</w:t>
      </w:r>
      <w:r w:rsidR="00E50C28" w:rsidRPr="00D509C6">
        <w:rPr>
          <w:rFonts w:cs="Calibri"/>
        </w:rPr>
        <w:t xml:space="preserve">. </w:t>
      </w:r>
    </w:p>
    <w:p w14:paraId="147ED4A7" w14:textId="7F037465" w:rsidR="00676816" w:rsidRPr="00D5225E" w:rsidRDefault="00676816" w:rsidP="00FF0124">
      <w:pPr>
        <w:spacing w:line="240" w:lineRule="auto"/>
        <w:jc w:val="both"/>
        <w:rPr>
          <w:rFonts w:cs="Calibri"/>
        </w:rPr>
      </w:pPr>
      <w:r w:rsidRPr="00D5225E">
        <w:rPr>
          <w:rFonts w:cs="Calibri"/>
        </w:rPr>
        <w:t xml:space="preserve">Pro dosažení cílů evropských strategií (EGD, Renovační vlna, AP cirkulární ekonomiky) v oblasti </w:t>
      </w:r>
      <w:r w:rsidR="00C90A9D" w:rsidRPr="00D5225E">
        <w:rPr>
          <w:rFonts w:cs="Calibri"/>
        </w:rPr>
        <w:t xml:space="preserve">stavebnictví </w:t>
      </w:r>
      <w:r w:rsidR="00C90A9D">
        <w:rPr>
          <w:rFonts w:cs="Calibri"/>
        </w:rPr>
        <w:t>– nezbytná</w:t>
      </w:r>
      <w:r w:rsidRPr="00D5225E">
        <w:rPr>
          <w:rFonts w:cs="Calibri"/>
        </w:rPr>
        <w:t xml:space="preserve"> revize nařízení EP a Rady (EU) č. 305/2011/EU, kterým se stanoví harmonizované podmínky pro uvádění stavebních výrobků na trh. Přezkum nařízení byl zahájen v roce 2016, aktuálně probíhají jednání všemi zainteresovanými stranami ohledně rozsahu revize právě s ohledem na cíle uvedených strategických dokumentů.</w:t>
      </w:r>
    </w:p>
    <w:p w14:paraId="483463CD" w14:textId="28C2C22E" w:rsidR="00D5225E" w:rsidRPr="00E1272A" w:rsidRDefault="00BB130C" w:rsidP="00FF0124">
      <w:pPr>
        <w:spacing w:line="240" w:lineRule="auto"/>
        <w:jc w:val="both"/>
        <w:rPr>
          <w:rFonts w:cs="Calibri"/>
        </w:rPr>
      </w:pPr>
      <w:r w:rsidRPr="00E1272A">
        <w:rPr>
          <w:rFonts w:cs="Calibri"/>
        </w:rPr>
        <w:t>Energetická účinnost je zásadním prvkem opatření</w:t>
      </w:r>
      <w:r w:rsidR="00D5225E" w:rsidRPr="00E1272A">
        <w:rPr>
          <w:rFonts w:cs="Calibri"/>
        </w:rPr>
        <w:t xml:space="preserve"> </w:t>
      </w:r>
      <w:r w:rsidR="00435992" w:rsidRPr="00E1272A">
        <w:rPr>
          <w:rFonts w:cs="Calibri"/>
        </w:rPr>
        <w:t>=</w:t>
      </w:r>
      <w:r w:rsidRPr="00E1272A">
        <w:rPr>
          <w:rFonts w:cs="Calibri"/>
        </w:rPr>
        <w:t xml:space="preserve"> zvýšit úsilí</w:t>
      </w:r>
      <w:r w:rsidR="00D5225E" w:rsidRPr="00E1272A">
        <w:rPr>
          <w:rFonts w:cs="Calibri"/>
        </w:rPr>
        <w:t xml:space="preserve"> ve </w:t>
      </w:r>
      <w:r w:rsidRPr="00E1272A">
        <w:rPr>
          <w:rFonts w:cs="Calibri"/>
        </w:rPr>
        <w:t xml:space="preserve">stavebnictví. </w:t>
      </w:r>
    </w:p>
    <w:p w14:paraId="2C085CCA" w14:textId="3057651D" w:rsidR="00D5225E" w:rsidRPr="00E1272A" w:rsidRDefault="00BB130C" w:rsidP="00FF0124">
      <w:pPr>
        <w:spacing w:line="240" w:lineRule="auto"/>
        <w:jc w:val="both"/>
        <w:rPr>
          <w:rFonts w:cs="Calibri"/>
        </w:rPr>
      </w:pPr>
      <w:r w:rsidRPr="00E1272A">
        <w:rPr>
          <w:rFonts w:cs="Calibri"/>
        </w:rPr>
        <w:t xml:space="preserve">Uplatňování zásad </w:t>
      </w:r>
      <w:r w:rsidRPr="00B20092">
        <w:rPr>
          <w:rFonts w:cs="Calibri"/>
          <w:b/>
          <w:bCs/>
        </w:rPr>
        <w:t>„oběhovosti“ stavebního materiálu</w:t>
      </w:r>
      <w:r w:rsidRPr="00E1272A">
        <w:rPr>
          <w:rFonts w:cs="Calibri"/>
        </w:rPr>
        <w:t xml:space="preserve"> na renovaci budov sníží emisí skleníkových plynů z materiálů v budovách. </w:t>
      </w:r>
    </w:p>
    <w:p w14:paraId="01503843" w14:textId="21B98CE3" w:rsidR="00D509C6" w:rsidRPr="00F85CFA" w:rsidRDefault="00BB130C" w:rsidP="00FF0124">
      <w:pPr>
        <w:spacing w:line="240" w:lineRule="auto"/>
        <w:jc w:val="both"/>
        <w:rPr>
          <w:rFonts w:cstheme="minorHAnsi"/>
        </w:rPr>
      </w:pPr>
      <w:r w:rsidRPr="00F85CFA">
        <w:rPr>
          <w:rFonts w:cstheme="minorHAnsi"/>
        </w:rPr>
        <w:t xml:space="preserve">Cílem </w:t>
      </w:r>
      <w:r w:rsidR="00435992" w:rsidRPr="00F85CFA">
        <w:rPr>
          <w:rFonts w:cstheme="minorHAnsi"/>
        </w:rPr>
        <w:t xml:space="preserve">„Renovační vlny“ </w:t>
      </w:r>
      <w:r w:rsidRPr="00F85CFA">
        <w:rPr>
          <w:rFonts w:cstheme="minorHAnsi"/>
        </w:rPr>
        <w:t xml:space="preserve">je </w:t>
      </w:r>
      <w:r w:rsidRPr="006851F8">
        <w:rPr>
          <w:rFonts w:cstheme="minorHAnsi"/>
          <w:b/>
          <w:bCs/>
        </w:rPr>
        <w:t>do roku 2030</w:t>
      </w:r>
      <w:r w:rsidR="00435992" w:rsidRPr="006851F8">
        <w:rPr>
          <w:rFonts w:cstheme="minorHAnsi"/>
          <w:b/>
          <w:bCs/>
        </w:rPr>
        <w:t xml:space="preserve"> </w:t>
      </w:r>
      <w:r w:rsidRPr="006851F8">
        <w:rPr>
          <w:rFonts w:cstheme="minorHAnsi"/>
          <w:b/>
          <w:bCs/>
        </w:rPr>
        <w:t>alespoň</w:t>
      </w:r>
      <w:r w:rsidRPr="00F85CFA">
        <w:rPr>
          <w:rFonts w:cstheme="minorHAnsi"/>
        </w:rPr>
        <w:t xml:space="preserve"> </w:t>
      </w:r>
      <w:r w:rsidRPr="006851F8">
        <w:rPr>
          <w:rFonts w:cstheme="minorHAnsi"/>
          <w:b/>
          <w:bCs/>
        </w:rPr>
        <w:t xml:space="preserve">zdvojnásobit roční míru energetické renovace obytných budov a domů s nebytovými prostory </w:t>
      </w:r>
      <w:r w:rsidR="00F85CFA" w:rsidRPr="00F85CFA">
        <w:rPr>
          <w:rFonts w:cstheme="minorHAnsi"/>
        </w:rPr>
        <w:t>a</w:t>
      </w:r>
      <w:r w:rsidRPr="00F85CFA">
        <w:rPr>
          <w:rFonts w:cstheme="minorHAnsi"/>
        </w:rPr>
        <w:t xml:space="preserve"> podpořit rozsáhlé energetické renovace.</w:t>
      </w:r>
      <w:r w:rsidR="00E50C28" w:rsidRPr="00F85CFA">
        <w:rPr>
          <w:rFonts w:cstheme="minorHAnsi"/>
        </w:rPr>
        <w:t xml:space="preserve"> </w:t>
      </w:r>
      <w:r w:rsidRPr="00F85CFA">
        <w:rPr>
          <w:rFonts w:cstheme="minorHAnsi"/>
        </w:rPr>
        <w:t xml:space="preserve">Zvýšená míra a rozsah renovací budou muset být zachovány i po roce 2030, aby se do roku 2050 dosáhlo neutrality z hlediska klimatu v celé EU. </w:t>
      </w:r>
    </w:p>
    <w:p w14:paraId="4FF90DF2" w14:textId="74DCFD4A" w:rsidR="00237D49" w:rsidRDefault="00BB130C" w:rsidP="00FF0124">
      <w:pPr>
        <w:spacing w:line="240" w:lineRule="auto"/>
        <w:jc w:val="both"/>
        <w:rPr>
          <w:rFonts w:cstheme="minorHAnsi"/>
        </w:rPr>
      </w:pPr>
      <w:r w:rsidRPr="008355BC">
        <w:rPr>
          <w:rFonts w:cstheme="minorHAnsi"/>
          <w:b/>
          <w:bCs/>
        </w:rPr>
        <w:t xml:space="preserve">Klíčové zásady </w:t>
      </w:r>
      <w:r w:rsidR="00F85CFA" w:rsidRPr="008355BC">
        <w:rPr>
          <w:rFonts w:cstheme="minorHAnsi"/>
          <w:b/>
          <w:bCs/>
        </w:rPr>
        <w:t>„</w:t>
      </w:r>
      <w:r w:rsidRPr="008355BC">
        <w:rPr>
          <w:rFonts w:cstheme="minorHAnsi"/>
          <w:b/>
          <w:bCs/>
        </w:rPr>
        <w:t>Renovační vlny</w:t>
      </w:r>
      <w:r w:rsidR="00F85CFA" w:rsidRPr="008355BC">
        <w:rPr>
          <w:rFonts w:cstheme="minorHAnsi"/>
          <w:b/>
          <w:bCs/>
        </w:rPr>
        <w:t xml:space="preserve">“ </w:t>
      </w:r>
      <w:r w:rsidRPr="008355BC">
        <w:rPr>
          <w:rFonts w:cstheme="minorHAnsi"/>
          <w:b/>
          <w:bCs/>
        </w:rPr>
        <w:t>jsou podle EK</w:t>
      </w:r>
      <w:r w:rsidR="00F85CFA" w:rsidRPr="008355BC">
        <w:rPr>
          <w:rFonts w:cstheme="minorHAnsi"/>
        </w:rPr>
        <w:t>:</w:t>
      </w:r>
      <w:r w:rsidRPr="008355BC">
        <w:rPr>
          <w:rFonts w:cstheme="minorHAnsi"/>
        </w:rPr>
        <w:t xml:space="preserve"> princip energetick</w:t>
      </w:r>
      <w:r w:rsidR="00F85CFA" w:rsidRPr="008355BC">
        <w:rPr>
          <w:rFonts w:cstheme="minorHAnsi"/>
        </w:rPr>
        <w:t>é</w:t>
      </w:r>
      <w:r w:rsidRPr="008355BC">
        <w:rPr>
          <w:rFonts w:cstheme="minorHAnsi"/>
        </w:rPr>
        <w:t xml:space="preserve"> účinnost</w:t>
      </w:r>
      <w:r w:rsidR="00F85CFA" w:rsidRPr="008355BC">
        <w:rPr>
          <w:rFonts w:cstheme="minorHAnsi"/>
        </w:rPr>
        <w:t>i;</w:t>
      </w:r>
      <w:r w:rsidRPr="008355BC">
        <w:rPr>
          <w:rFonts w:cstheme="minorHAnsi"/>
        </w:rPr>
        <w:t xml:space="preserve"> zajištění cenově dostupného bydlení</w:t>
      </w:r>
      <w:r w:rsidR="00F85CFA" w:rsidRPr="008355BC">
        <w:rPr>
          <w:rFonts w:cstheme="minorHAnsi"/>
        </w:rPr>
        <w:t xml:space="preserve">; </w:t>
      </w:r>
      <w:r w:rsidRPr="008355BC">
        <w:rPr>
          <w:rFonts w:cstheme="minorHAnsi"/>
        </w:rPr>
        <w:t>dekarbonizace vytápění a chlazení a integrace OZE v</w:t>
      </w:r>
      <w:r w:rsidR="00F85CFA" w:rsidRPr="008355BC">
        <w:rPr>
          <w:rFonts w:cstheme="minorHAnsi"/>
        </w:rPr>
        <w:t> </w:t>
      </w:r>
      <w:r w:rsidRPr="008355BC">
        <w:rPr>
          <w:rFonts w:cstheme="minorHAnsi"/>
        </w:rPr>
        <w:t>budovách</w:t>
      </w:r>
      <w:r w:rsidR="00F85CFA" w:rsidRPr="008355BC">
        <w:rPr>
          <w:rFonts w:cstheme="minorHAnsi"/>
        </w:rPr>
        <w:t>;</w:t>
      </w:r>
      <w:r w:rsidRPr="008355BC">
        <w:rPr>
          <w:rFonts w:cstheme="minorHAnsi"/>
        </w:rPr>
        <w:t xml:space="preserve"> zahrnout celý životní cyklus budovy do hodnocení její energetické náročnosti</w:t>
      </w:r>
      <w:r w:rsidR="00F85CFA" w:rsidRPr="008355BC">
        <w:rPr>
          <w:rFonts w:cstheme="minorHAnsi"/>
        </w:rPr>
        <w:t>;</w:t>
      </w:r>
      <w:r w:rsidRPr="008355BC">
        <w:rPr>
          <w:rFonts w:cstheme="minorHAnsi"/>
        </w:rPr>
        <w:t xml:space="preserve"> uplatňování oběhového hospodářství v oblasti stavebního materiálu</w:t>
      </w:r>
      <w:r w:rsidR="00F85CFA" w:rsidRPr="008355BC">
        <w:rPr>
          <w:rFonts w:cstheme="minorHAnsi"/>
        </w:rPr>
        <w:t>;</w:t>
      </w:r>
      <w:r w:rsidRPr="008355BC">
        <w:rPr>
          <w:rFonts w:cstheme="minorHAnsi"/>
        </w:rPr>
        <w:t xml:space="preserve"> implementace zdravotních a environmentálních norem s vysokými požadavky na standardy</w:t>
      </w:r>
      <w:r w:rsidR="00F85CFA" w:rsidRPr="008355BC">
        <w:rPr>
          <w:rFonts w:cstheme="minorHAnsi"/>
        </w:rPr>
        <w:t>;</w:t>
      </w:r>
      <w:r w:rsidRPr="008355BC">
        <w:rPr>
          <w:rFonts w:cstheme="minorHAnsi"/>
        </w:rPr>
        <w:t xml:space="preserve"> společně řešit dvojí výzvu ekologické a digitální transformace a respektování estetické a architektonické kvality. </w:t>
      </w:r>
    </w:p>
    <w:p w14:paraId="52E1B06C" w14:textId="23CECF72" w:rsidR="00BB130C" w:rsidRPr="006851F8" w:rsidRDefault="00F85CFA" w:rsidP="00FF0124">
      <w:pPr>
        <w:spacing w:line="240" w:lineRule="auto"/>
        <w:jc w:val="both"/>
        <w:rPr>
          <w:rFonts w:cstheme="minorHAnsi"/>
        </w:rPr>
      </w:pPr>
      <w:r w:rsidRPr="008355BC">
        <w:rPr>
          <w:rFonts w:cstheme="minorHAnsi"/>
          <w:b/>
          <w:bCs/>
        </w:rPr>
        <w:t>EK</w:t>
      </w:r>
      <w:r w:rsidR="00BB130C" w:rsidRPr="008355BC">
        <w:rPr>
          <w:rFonts w:cstheme="minorHAnsi"/>
          <w:b/>
          <w:bCs/>
        </w:rPr>
        <w:t xml:space="preserve"> stanovila následující oblasti intervence a hlavní opatření</w:t>
      </w:r>
      <w:r w:rsidR="00BB130C" w:rsidRPr="006851F8">
        <w:rPr>
          <w:rFonts w:cstheme="minorHAnsi"/>
        </w:rPr>
        <w:t>, která mají zásadní význam pro umožnění posunu k uvedenému cíli:</w:t>
      </w:r>
    </w:p>
    <w:p w14:paraId="1B331545" w14:textId="1E5DD039" w:rsidR="006851F8" w:rsidRPr="00E1272A" w:rsidRDefault="00BB130C" w:rsidP="00FF0124">
      <w:pPr>
        <w:pStyle w:val="Odstavecseseznamem"/>
        <w:numPr>
          <w:ilvl w:val="0"/>
          <w:numId w:val="15"/>
        </w:numPr>
        <w:suppressAutoHyphens/>
        <w:autoSpaceDN w:val="0"/>
        <w:spacing w:line="240" w:lineRule="auto"/>
        <w:ind w:left="714" w:hanging="357"/>
        <w:jc w:val="both"/>
        <w:textAlignment w:val="baseline"/>
        <w:rPr>
          <w:rFonts w:cstheme="minorHAnsi"/>
        </w:rPr>
      </w:pPr>
      <w:r w:rsidRPr="00E1272A">
        <w:rPr>
          <w:rFonts w:cstheme="minorHAnsi"/>
        </w:rPr>
        <w:t>Posílení informovanosti, právní jistoty a pobídek k renovacím (formou revize některých ustanovení směrnice 2010/31/EU o energetické náročnosti budov např. zavedením přísnějších požadavků na průkazy energetické náročnosti budov, minimálních požadavků na energetickou náročnost aj)</w:t>
      </w:r>
      <w:r w:rsidR="006851F8" w:rsidRPr="00E1272A">
        <w:rPr>
          <w:rFonts w:cstheme="minorHAnsi"/>
        </w:rPr>
        <w:t xml:space="preserve"> – </w:t>
      </w:r>
      <w:r w:rsidR="006851F8" w:rsidRPr="00E1272A">
        <w:rPr>
          <w:rFonts w:cstheme="minorHAnsi"/>
          <w:b/>
          <w:bCs/>
        </w:rPr>
        <w:t>ČR nesouhlasí se zaváděním dalších regulatorních opatření</w:t>
      </w:r>
      <w:r w:rsidR="006851F8" w:rsidRPr="00E1272A">
        <w:rPr>
          <w:rFonts w:cstheme="minorHAnsi"/>
        </w:rPr>
        <w:t xml:space="preserve"> nad rámec současné platné směrnice. </w:t>
      </w:r>
    </w:p>
    <w:p w14:paraId="396141FE" w14:textId="2A5B7F9C" w:rsidR="006851F8" w:rsidRPr="00E1272A" w:rsidRDefault="00BB130C" w:rsidP="00FF0124">
      <w:pPr>
        <w:pStyle w:val="Odstavecseseznamem"/>
        <w:numPr>
          <w:ilvl w:val="0"/>
          <w:numId w:val="15"/>
        </w:numPr>
        <w:spacing w:line="240" w:lineRule="auto"/>
        <w:ind w:left="714" w:hanging="357"/>
        <w:jc w:val="both"/>
        <w:rPr>
          <w:rFonts w:cstheme="minorHAnsi"/>
        </w:rPr>
      </w:pPr>
      <w:r w:rsidRPr="00E1272A">
        <w:rPr>
          <w:rFonts w:cstheme="minorHAnsi"/>
        </w:rPr>
        <w:lastRenderedPageBreak/>
        <w:t>Zajištění přiměřeného a dobře zacíleného financování (např. formou pokračování kohézní politiky, dále programu InvestEU, větším zapojení Evropské investiční banky či standardizací smluv a finančních nástrojů poskytovatelů energetických služeb aj.)</w:t>
      </w:r>
      <w:r w:rsidR="006851F8" w:rsidRPr="00E1272A">
        <w:rPr>
          <w:rFonts w:cstheme="minorHAnsi"/>
        </w:rPr>
        <w:t xml:space="preserve"> </w:t>
      </w:r>
      <w:r w:rsidR="003372C8" w:rsidRPr="00E1272A">
        <w:rPr>
          <w:rFonts w:cstheme="minorHAnsi"/>
        </w:rPr>
        <w:t>- ČR</w:t>
      </w:r>
      <w:r w:rsidR="006851F8" w:rsidRPr="00E1272A">
        <w:rPr>
          <w:rFonts w:cstheme="minorHAnsi"/>
          <w:b/>
          <w:bCs/>
        </w:rPr>
        <w:t xml:space="preserve"> podporuje cílené</w:t>
      </w:r>
      <w:r w:rsidR="006851F8" w:rsidRPr="00E1272A">
        <w:rPr>
          <w:rFonts w:cstheme="minorHAnsi"/>
        </w:rPr>
        <w:t xml:space="preserve"> </w:t>
      </w:r>
      <w:r w:rsidR="006851F8" w:rsidRPr="00E1272A">
        <w:rPr>
          <w:rFonts w:cstheme="minorHAnsi"/>
          <w:b/>
          <w:bCs/>
        </w:rPr>
        <w:t>financování,</w:t>
      </w:r>
      <w:r w:rsidR="006851F8" w:rsidRPr="00E1272A">
        <w:rPr>
          <w:rFonts w:cstheme="minorHAnsi"/>
        </w:rPr>
        <w:t xml:space="preserve"> zapojení EIB, revizí pravidel veřejné podpory, zavedené podpůrných programů aj.</w:t>
      </w:r>
    </w:p>
    <w:p w14:paraId="60918A6D" w14:textId="6E4C4B7B" w:rsidR="006851F8" w:rsidRPr="00E1272A" w:rsidRDefault="00BB130C" w:rsidP="00FF0124">
      <w:pPr>
        <w:pStyle w:val="Odstavecseseznamem"/>
        <w:numPr>
          <w:ilvl w:val="0"/>
          <w:numId w:val="15"/>
        </w:numPr>
        <w:spacing w:line="240" w:lineRule="auto"/>
        <w:ind w:left="714" w:hanging="357"/>
        <w:jc w:val="both"/>
        <w:rPr>
          <w:rFonts w:cstheme="minorHAnsi"/>
        </w:rPr>
      </w:pPr>
      <w:r w:rsidRPr="00E1272A">
        <w:rPr>
          <w:rFonts w:cstheme="minorHAnsi"/>
        </w:rPr>
        <w:t>Zvýšení kapacity a technické pomoci (formou vytvoření národních a místních programů podle modelu ELENA)</w:t>
      </w:r>
      <w:r w:rsidR="006851F8" w:rsidRPr="00E1272A">
        <w:rPr>
          <w:rFonts w:cstheme="minorHAnsi"/>
        </w:rPr>
        <w:t xml:space="preserve"> – </w:t>
      </w:r>
      <w:r w:rsidR="006851F8" w:rsidRPr="00E1272A">
        <w:rPr>
          <w:rFonts w:cstheme="minorHAnsi"/>
          <w:b/>
          <w:bCs/>
        </w:rPr>
        <w:t xml:space="preserve">ČR </w:t>
      </w:r>
      <w:r w:rsidR="00006DA6" w:rsidRPr="00E1272A">
        <w:rPr>
          <w:rFonts w:cstheme="minorHAnsi"/>
          <w:b/>
          <w:bCs/>
        </w:rPr>
        <w:t>souhlasí s</w:t>
      </w:r>
      <w:r w:rsidR="006851F8" w:rsidRPr="00E1272A">
        <w:rPr>
          <w:rFonts w:cstheme="minorHAnsi"/>
          <w:b/>
          <w:bCs/>
        </w:rPr>
        <w:t xml:space="preserve"> technickou pomocí</w:t>
      </w:r>
      <w:r w:rsidR="006851F8" w:rsidRPr="00E1272A">
        <w:rPr>
          <w:rFonts w:cstheme="minorHAnsi"/>
        </w:rPr>
        <w:t xml:space="preserve"> při přípravě projektů renovací budov, sdílení příkladů dobré praxe aj.</w:t>
      </w:r>
    </w:p>
    <w:p w14:paraId="36A2FDF3" w14:textId="006D83A6" w:rsidR="00BB130C" w:rsidRPr="00E1272A" w:rsidRDefault="00BB130C" w:rsidP="00FF0124">
      <w:pPr>
        <w:pStyle w:val="Odstavecseseznamem"/>
        <w:numPr>
          <w:ilvl w:val="0"/>
          <w:numId w:val="15"/>
        </w:numPr>
        <w:spacing w:line="240" w:lineRule="auto"/>
        <w:ind w:left="714" w:hanging="357"/>
        <w:jc w:val="both"/>
        <w:rPr>
          <w:rFonts w:cstheme="minorHAnsi"/>
        </w:rPr>
      </w:pPr>
      <w:r w:rsidRPr="00E1272A">
        <w:rPr>
          <w:rFonts w:cstheme="minorHAnsi"/>
        </w:rPr>
        <w:t>Vytváření "zelených" pracovních míst, rozšiřování dovedností a získávání nových talentů (formou např. Paktů pro dovednosti s cílem zvýšení kvalifikace a rekvalifikace evropské pracovní síly.  EK vyvine výukové materiály pro využití Level(s))</w:t>
      </w:r>
      <w:r w:rsidR="006851F8" w:rsidRPr="00E1272A">
        <w:rPr>
          <w:rFonts w:cstheme="minorHAnsi"/>
        </w:rPr>
        <w:t xml:space="preserve"> – </w:t>
      </w:r>
      <w:r w:rsidR="006851F8" w:rsidRPr="00E1272A">
        <w:rPr>
          <w:rFonts w:cstheme="minorHAnsi"/>
          <w:b/>
          <w:bCs/>
        </w:rPr>
        <w:t>ČR je plně v souladu</w:t>
      </w:r>
    </w:p>
    <w:p w14:paraId="0B9379AB" w14:textId="274AE42C" w:rsidR="006851F8" w:rsidRDefault="00BB130C" w:rsidP="00FF0124">
      <w:pPr>
        <w:pStyle w:val="Odstavecseseznamem"/>
        <w:numPr>
          <w:ilvl w:val="0"/>
          <w:numId w:val="15"/>
        </w:numPr>
        <w:spacing w:line="240" w:lineRule="auto"/>
        <w:ind w:left="714" w:hanging="357"/>
        <w:jc w:val="both"/>
        <w:rPr>
          <w:rFonts w:cstheme="minorHAnsi"/>
        </w:rPr>
      </w:pPr>
      <w:r w:rsidRPr="00E1272A">
        <w:rPr>
          <w:rFonts w:cstheme="minorHAnsi"/>
        </w:rPr>
        <w:t>Vytváření udržitelného zastavěného prostředí (EK mj. připraví cestovní mapu vedoucí ke snížení emisí celého životního cyklu budov; revidovat cíle materiální obnovy, zavede opatření pro zvýšení počtu platforem pro opětovné využití a recyklaci stavebního materiálu a podpoří dobře fungující vnitřní trh s druhotnými zdroji)</w:t>
      </w:r>
      <w:r w:rsidR="006851F8" w:rsidRPr="00E1272A">
        <w:rPr>
          <w:rFonts w:cstheme="minorHAnsi"/>
        </w:rPr>
        <w:t xml:space="preserve"> - </w:t>
      </w:r>
      <w:r w:rsidR="006851F8" w:rsidRPr="00E1272A">
        <w:rPr>
          <w:rFonts w:cstheme="minorHAnsi"/>
          <w:b/>
          <w:bCs/>
        </w:rPr>
        <w:t>ČR je v souladu s navrženými</w:t>
      </w:r>
      <w:r w:rsidR="006851F8" w:rsidRPr="00E1272A">
        <w:rPr>
          <w:rFonts w:cstheme="minorHAnsi"/>
        </w:rPr>
        <w:t xml:space="preserve"> iniciativami uvedené v této části Renovační vlny, ať se jedná o požadavky cirkulární ekonomiku, oběhové hospodářství, zavedení Úrovní (Level(s)) aj.</w:t>
      </w:r>
    </w:p>
    <w:p w14:paraId="69F5358A" w14:textId="1EF9F9C6" w:rsidR="006851F8" w:rsidRPr="00E1272A" w:rsidRDefault="00BB130C" w:rsidP="00FF0124">
      <w:pPr>
        <w:pStyle w:val="Odstavecseseznamem"/>
        <w:numPr>
          <w:ilvl w:val="0"/>
          <w:numId w:val="15"/>
        </w:numPr>
        <w:spacing w:line="240" w:lineRule="auto"/>
        <w:ind w:left="714" w:hanging="357"/>
        <w:jc w:val="both"/>
        <w:rPr>
          <w:rFonts w:cstheme="minorHAnsi"/>
          <w:color w:val="FF0000"/>
        </w:rPr>
      </w:pPr>
      <w:r w:rsidRPr="00E1272A">
        <w:rPr>
          <w:rFonts w:cstheme="minorHAnsi"/>
        </w:rPr>
        <w:t>Integrovaný, participovaný přístup založený na sousedství jako ústřední prvek renovační vlny (EK bude vyžadovat úplnou transpozici směrnice, připraví delegovaná akt k indikátoru budov pro chytrá řešení, plánuje větší využití Plánů obnovy aj.)</w:t>
      </w:r>
      <w:r w:rsidR="006851F8" w:rsidRPr="00E1272A">
        <w:rPr>
          <w:rFonts w:cstheme="minorHAnsi"/>
        </w:rPr>
        <w:t xml:space="preserve"> - </w:t>
      </w:r>
      <w:r w:rsidR="006851F8" w:rsidRPr="00E1272A">
        <w:rPr>
          <w:rFonts w:cstheme="minorHAnsi"/>
          <w:b/>
          <w:bCs/>
        </w:rPr>
        <w:t>ČR podporuje rozvoj elektromobily</w:t>
      </w:r>
      <w:r w:rsidR="006851F8" w:rsidRPr="00E1272A">
        <w:rPr>
          <w:rFonts w:cstheme="minorHAnsi"/>
        </w:rPr>
        <w:t xml:space="preserve"> a zavedení dobrovolného schématu k hodnocení chytré připravenosti budov a vyjadřuje názor, že by mělo i nadále zůstat na dobrovolné bázi. </w:t>
      </w:r>
    </w:p>
    <w:p w14:paraId="6BE1EF97" w14:textId="63E3D2C9" w:rsidR="00237D49" w:rsidRPr="00E1272A" w:rsidRDefault="00BB130C" w:rsidP="00FF0124">
      <w:pPr>
        <w:pStyle w:val="Odstavecseseznamem"/>
        <w:numPr>
          <w:ilvl w:val="0"/>
          <w:numId w:val="15"/>
        </w:numPr>
        <w:spacing w:line="240" w:lineRule="auto"/>
        <w:ind w:left="714" w:hanging="357"/>
        <w:jc w:val="both"/>
        <w:rPr>
          <w:rFonts w:cstheme="minorHAnsi"/>
          <w:color w:val="FF0000"/>
        </w:rPr>
      </w:pPr>
      <w:r w:rsidRPr="00E1272A">
        <w:rPr>
          <w:rFonts w:cstheme="minorHAnsi"/>
        </w:rPr>
        <w:t xml:space="preserve">Nový evropský Bauhaus: sladění stylu s udržitelností (bude sloužit jako inkubátor pro inovace a kreativitu tak, aby došlo k rozvoji udržitelného designu budov napříč </w:t>
      </w:r>
      <w:r w:rsidR="00006DA6" w:rsidRPr="00E1272A">
        <w:rPr>
          <w:rFonts w:cstheme="minorHAnsi"/>
        </w:rPr>
        <w:t>Evropou – ČR</w:t>
      </w:r>
      <w:r w:rsidR="00237D49" w:rsidRPr="00E1272A">
        <w:rPr>
          <w:rFonts w:cstheme="minorHAnsi"/>
          <w:b/>
          <w:bCs/>
        </w:rPr>
        <w:t xml:space="preserve"> vítá podporu inovativních řešení</w:t>
      </w:r>
      <w:r w:rsidR="00237D49" w:rsidRPr="00E1272A">
        <w:rPr>
          <w:rFonts w:cstheme="minorHAnsi"/>
        </w:rPr>
        <w:t xml:space="preserve"> a materiálů v oblasti architektury, za předpokladu splnění základních požadavků na stavby.</w:t>
      </w:r>
    </w:p>
    <w:p w14:paraId="38EAE3DC" w14:textId="550E4282" w:rsidR="00237D49" w:rsidRPr="00E1272A" w:rsidRDefault="00237D49" w:rsidP="00FF0124">
      <w:pPr>
        <w:spacing w:line="240" w:lineRule="auto"/>
        <w:jc w:val="both"/>
      </w:pPr>
      <w:r w:rsidRPr="00E1272A">
        <w:t xml:space="preserve">Dále </w:t>
      </w:r>
      <w:r w:rsidR="008355BC" w:rsidRPr="00E1272A">
        <w:t xml:space="preserve">se </w:t>
      </w:r>
      <w:r w:rsidRPr="00E1272A">
        <w:t>EK zaměří na: a) řešení problematiky energetické chudoby a energeticky nejnáročnějších budov; b) renovace veřejných budov, jako jsou správní, vzdělávací a zdravotnická zařízení; c) dekarbonizaci vytápění a chlazení.</w:t>
      </w:r>
    </w:p>
    <w:p w14:paraId="26344923" w14:textId="245EB241" w:rsidR="00237D49" w:rsidRPr="00E1272A" w:rsidRDefault="00006DA6" w:rsidP="00FF0124">
      <w:pPr>
        <w:spacing w:line="240" w:lineRule="auto"/>
        <w:jc w:val="both"/>
        <w:rPr>
          <w:rFonts w:cstheme="minorHAnsi"/>
        </w:rPr>
      </w:pPr>
      <w:r w:rsidRPr="00E1272A">
        <w:rPr>
          <w:rFonts w:cstheme="minorHAnsi"/>
          <w:b/>
          <w:bCs/>
        </w:rPr>
        <w:t>ČR – načasování</w:t>
      </w:r>
      <w:r w:rsidR="00237D49" w:rsidRPr="00E1272A">
        <w:rPr>
          <w:rFonts w:cstheme="minorHAnsi"/>
          <w:b/>
          <w:bCs/>
        </w:rPr>
        <w:t xml:space="preserve"> zveřejnění </w:t>
      </w:r>
      <w:r w:rsidR="00E1272A" w:rsidRPr="00E1272A">
        <w:rPr>
          <w:rFonts w:cstheme="minorHAnsi"/>
          <w:b/>
          <w:bCs/>
        </w:rPr>
        <w:t xml:space="preserve">strategie </w:t>
      </w:r>
      <w:r w:rsidR="00237D49" w:rsidRPr="00E1272A">
        <w:rPr>
          <w:rFonts w:cstheme="minorHAnsi"/>
          <w:b/>
          <w:bCs/>
        </w:rPr>
        <w:t>nepovažuje za vhodné</w:t>
      </w:r>
      <w:r w:rsidR="00237D49" w:rsidRPr="00E1272A">
        <w:rPr>
          <w:rFonts w:cstheme="minorHAnsi"/>
        </w:rPr>
        <w:t xml:space="preserve"> vzhledem k tomu, že ČS mají povinnost na základě čl. 2a směrnice 2010/31/EU o energetické náročnosti budov zpracovat Dlouhodobé strategie renovace budov za účelem disponovat dekarbonizovaným fondem budov do roku 2050. Tyto strategie nebyly ze strany EK vyhodnoceny a při přípravě Renovační vlny nebyly brány v potaz.</w:t>
      </w:r>
    </w:p>
    <w:p w14:paraId="3EE691DE" w14:textId="0AB021B5" w:rsidR="00237D49" w:rsidRPr="00E1272A" w:rsidRDefault="00237D49" w:rsidP="00FF0124">
      <w:pPr>
        <w:spacing w:line="240" w:lineRule="auto"/>
        <w:jc w:val="both"/>
        <w:rPr>
          <w:rFonts w:cstheme="minorHAnsi"/>
        </w:rPr>
      </w:pPr>
      <w:r w:rsidRPr="00E1272A">
        <w:rPr>
          <w:rFonts w:cstheme="minorHAnsi"/>
          <w:b/>
          <w:bCs/>
        </w:rPr>
        <w:t xml:space="preserve">ČR nepovažuje cíl navýšení počtu renovací za </w:t>
      </w:r>
      <w:r w:rsidR="00006DA6" w:rsidRPr="00E1272A">
        <w:rPr>
          <w:rFonts w:cstheme="minorHAnsi"/>
          <w:b/>
          <w:bCs/>
        </w:rPr>
        <w:t>vhodný</w:t>
      </w:r>
      <w:r w:rsidR="00006DA6" w:rsidRPr="00E1272A">
        <w:rPr>
          <w:rFonts w:cstheme="minorHAnsi"/>
        </w:rPr>
        <w:t xml:space="preserve"> – navýšení</w:t>
      </w:r>
      <w:r w:rsidRPr="00E1272A">
        <w:rPr>
          <w:rFonts w:cstheme="minorHAnsi"/>
        </w:rPr>
        <w:t xml:space="preserve"> počtu renovací může vést k realizacím, která nebudou nákladově efektivní; kvantita bude uplatňována nad kvalitu; renovační vlna nebere v potaz specifičnost fondu budov v jednotlivých ČS.</w:t>
      </w:r>
    </w:p>
    <w:p w14:paraId="45DF9D04" w14:textId="77777777" w:rsidR="009E4B04" w:rsidRPr="00D5225E" w:rsidRDefault="009E4B04" w:rsidP="009E4B04">
      <w:pPr>
        <w:spacing w:line="240" w:lineRule="auto"/>
        <w:jc w:val="both"/>
        <w:rPr>
          <w:rFonts w:cstheme="minorHAnsi"/>
          <w:lang w:val="fr-FR" w:eastAsia="en-GB"/>
        </w:rPr>
      </w:pPr>
      <w:r w:rsidRPr="00D5225E">
        <w:rPr>
          <w:rFonts w:cstheme="minorHAnsi"/>
          <w:lang w:val="fr-FR" w:eastAsia="en-GB"/>
        </w:rPr>
        <w:t xml:space="preserve">Evropská komise v říjnu </w:t>
      </w:r>
      <w:r>
        <w:rPr>
          <w:rFonts w:cstheme="minorHAnsi"/>
          <w:lang w:val="fr-FR" w:eastAsia="en-GB"/>
        </w:rPr>
        <w:t xml:space="preserve">2020 vydala </w:t>
      </w:r>
      <w:r w:rsidRPr="00D5225E">
        <w:rPr>
          <w:rFonts w:cstheme="minorHAnsi"/>
          <w:lang w:val="fr-FR" w:eastAsia="en-GB"/>
        </w:rPr>
        <w:t>zároveň Doporučení Komise 2020/1563 týkající se energetické chudoby</w:t>
      </w:r>
    </w:p>
    <w:p w14:paraId="2E97800A"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sidRPr="00D5225E">
        <w:t xml:space="preserve">energetická chudoba </w:t>
      </w:r>
      <w:r>
        <w:t>– možnost</w:t>
      </w:r>
      <w:r w:rsidRPr="00D5225E">
        <w:t xml:space="preserve"> řešen</w:t>
      </w:r>
      <w:r>
        <w:t>í</w:t>
      </w:r>
      <w:r w:rsidRPr="00D5225E">
        <w:t xml:space="preserve"> pomocí specifické podpory inovativním řešením, nikoli jen dávkami státní podpory </w:t>
      </w:r>
    </w:p>
    <w:p w14:paraId="0517D475"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sidRPr="00D5225E">
        <w:t>monitorovat rozvoj energetické chudoby, zkonzultovat s EK její doporučení k energetické chudobě, připravit specifická opatření, včetně právní definice</w:t>
      </w:r>
      <w:r w:rsidRPr="00D5225E">
        <w:rPr>
          <w:rFonts w:cstheme="minorHAnsi"/>
          <w:lang w:val="fr-FR" w:eastAsia="en-GB"/>
        </w:rPr>
        <w:t xml:space="preserve"> </w:t>
      </w:r>
    </w:p>
    <w:p w14:paraId="7E3E314A"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sidRPr="00D5225E">
        <w:t>ČR pracuje na studii</w:t>
      </w:r>
      <w:r>
        <w:t xml:space="preserve"> – bude</w:t>
      </w:r>
      <w:r w:rsidRPr="00D5225E">
        <w:t xml:space="preserve"> mimo jiné definovat energetickou chudobu a termín zranitelný zákazník, rozebírat příčiny jejich vzniku</w:t>
      </w:r>
      <w:r>
        <w:t xml:space="preserve">. </w:t>
      </w:r>
      <w:r w:rsidRPr="00D5225E">
        <w:t xml:space="preserve">Finální verze bude představena v prvním čtvrtletí roku 2021 a také byla ustanovena pracovní skupina s úkolem vyvinout certifikovanou metodologii k identifikaci energetické chudoby a zranitelnosti zákazníků.  </w:t>
      </w:r>
    </w:p>
    <w:p w14:paraId="32F5EB34"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sidRPr="00D5225E">
        <w:lastRenderedPageBreak/>
        <w:t xml:space="preserve">MPSV v tuto chvíli nemá žádné další informace ohledně možných opatření řešení energetické chudoby. MPSV by uvítalo </w:t>
      </w:r>
      <w:r w:rsidRPr="00D5225E">
        <w:rPr>
          <w:rFonts w:eastAsia="Times New Roman"/>
          <w:sz w:val="24"/>
          <w:szCs w:val="24"/>
        </w:rPr>
        <w:t>naznačení možností využití dalších opatření reagujících na předpokládané zvyšování cen energií.</w:t>
      </w:r>
    </w:p>
    <w:p w14:paraId="1F4D0588"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Pr>
          <w:rFonts w:eastAsia="Times New Roman"/>
          <w:sz w:val="24"/>
          <w:szCs w:val="24"/>
        </w:rPr>
        <w:t>n</w:t>
      </w:r>
      <w:r w:rsidRPr="00D5225E">
        <w:rPr>
          <w:rFonts w:eastAsia="Times New Roman"/>
          <w:sz w:val="24"/>
          <w:szCs w:val="24"/>
        </w:rPr>
        <w:t>ízko až středně příjmové domácnosti</w:t>
      </w:r>
      <w:r w:rsidRPr="00D5225E">
        <w:rPr>
          <w:rFonts w:cstheme="minorHAnsi"/>
          <w:lang w:val="fr-FR" w:eastAsia="en-GB"/>
        </w:rPr>
        <w:t xml:space="preserve"> </w:t>
      </w:r>
      <w:r>
        <w:rPr>
          <w:rFonts w:cstheme="minorHAnsi"/>
          <w:lang w:val="fr-FR" w:eastAsia="en-GB"/>
        </w:rPr>
        <w:t>= c</w:t>
      </w:r>
      <w:r w:rsidRPr="00D5225E">
        <w:rPr>
          <w:rFonts w:cstheme="minorHAnsi"/>
          <w:lang w:val="fr-FR" w:eastAsia="en-GB"/>
        </w:rPr>
        <w:t xml:space="preserve">ílovou skupinou, která </w:t>
      </w:r>
      <w:r w:rsidRPr="00D5225E">
        <w:rPr>
          <w:rFonts w:eastAsia="Times New Roman"/>
          <w:sz w:val="24"/>
          <w:szCs w:val="24"/>
        </w:rPr>
        <w:t xml:space="preserve">bude čelit nepříznivým dopadům environmentální politiky. </w:t>
      </w:r>
    </w:p>
    <w:p w14:paraId="68D9EB80"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sidRPr="00D5225E">
        <w:rPr>
          <w:rFonts w:cstheme="minorHAnsi"/>
          <w:lang w:val="fr-FR" w:eastAsia="en-GB"/>
        </w:rPr>
        <w:t xml:space="preserve">Jedním z dílčích  nástrojů může být dávková podpora, zaměřená na osoby, které nemají dostatek prostředků na úhradu nákladů za energie, </w:t>
      </w:r>
      <w:r>
        <w:rPr>
          <w:rFonts w:cstheme="minorHAnsi"/>
          <w:lang w:val="fr-FR" w:eastAsia="en-GB"/>
        </w:rPr>
        <w:t>či</w:t>
      </w:r>
      <w:r w:rsidRPr="00D5225E">
        <w:rPr>
          <w:rFonts w:cstheme="minorHAnsi"/>
          <w:lang w:val="fr-FR" w:eastAsia="en-GB"/>
        </w:rPr>
        <w:t xml:space="preserve"> čelí energetické chudobě (prostřednictvím dávek na bydlení). </w:t>
      </w:r>
    </w:p>
    <w:p w14:paraId="0B2C7714" w14:textId="77777777" w:rsidR="009E4B04" w:rsidRPr="00D5225E" w:rsidRDefault="009E4B04" w:rsidP="009E4B04">
      <w:pPr>
        <w:pStyle w:val="Odstavecseseznamem"/>
        <w:numPr>
          <w:ilvl w:val="0"/>
          <w:numId w:val="27"/>
        </w:numPr>
        <w:spacing w:line="240" w:lineRule="auto"/>
        <w:contextualSpacing w:val="0"/>
        <w:jc w:val="both"/>
        <w:rPr>
          <w:rFonts w:cstheme="minorHAnsi"/>
          <w:lang w:val="fr-FR" w:eastAsia="en-GB"/>
        </w:rPr>
      </w:pPr>
      <w:r w:rsidRPr="00D5225E">
        <w:rPr>
          <w:rFonts w:cstheme="minorHAnsi"/>
          <w:lang w:val="fr-FR" w:eastAsia="en-GB"/>
        </w:rPr>
        <w:t xml:space="preserve">Dvě dávky -a) příspěvek na bydlení ze systému státní sociální podpory a b) doplatek na bydlení ze systému pomoci v hmotné nouzi - obě zahrnují náklady na energie do celkových nákladů na bydlení ( zvýšení cen energií se projeví v růstu výše dávky). </w:t>
      </w:r>
    </w:p>
    <w:p w14:paraId="43E0EB1E" w14:textId="77777777" w:rsidR="009E4B04" w:rsidRDefault="009E4B04" w:rsidP="009E4B04">
      <w:pPr>
        <w:spacing w:line="240" w:lineRule="auto"/>
        <w:jc w:val="both"/>
        <w:rPr>
          <w:rFonts w:cstheme="minorHAnsi"/>
          <w:lang w:val="fr-FR" w:eastAsia="en-GB"/>
        </w:rPr>
      </w:pPr>
      <w:r w:rsidRPr="00006DA6">
        <w:rPr>
          <w:rFonts w:cstheme="minorHAnsi"/>
          <w:lang w:val="fr-FR" w:eastAsia="en-GB"/>
        </w:rPr>
        <w:t xml:space="preserve">Výdaje na dávky na bydlení jsou mandatorními výdaji státního rozpočtu, zdrojem financování je všeobecné zdanění. </w:t>
      </w:r>
    </w:p>
    <w:p w14:paraId="26A8C839" w14:textId="77777777" w:rsidR="009E4B04" w:rsidRDefault="009E4B04" w:rsidP="009E4B04">
      <w:pPr>
        <w:spacing w:line="240" w:lineRule="auto"/>
        <w:jc w:val="both"/>
        <w:rPr>
          <w:rFonts w:cstheme="minorHAnsi"/>
          <w:lang w:val="fr-FR" w:eastAsia="en-GB"/>
        </w:rPr>
      </w:pPr>
      <w:r w:rsidRPr="00006DA6">
        <w:rPr>
          <w:rFonts w:cstheme="minorHAnsi"/>
          <w:lang w:val="fr-FR" w:eastAsia="en-GB"/>
        </w:rPr>
        <w:t xml:space="preserve">V roce 2019 stát vynaložil na dávky v oblasti bydlení necelých 9 mld. Kč, </w:t>
      </w:r>
      <w:r w:rsidRPr="00006DA6">
        <w:rPr>
          <w:rFonts w:eastAsia="Times New Roman"/>
        </w:rPr>
        <w:t>část připadající na energie nelze odhadnout, údaje o struktuře nákladů na bydlení u příjemců dávek nejsou sledovány.</w:t>
      </w:r>
      <w:r>
        <w:rPr>
          <w:rFonts w:cstheme="minorHAnsi"/>
          <w:lang w:val="fr-FR" w:eastAsia="en-GB"/>
        </w:rPr>
        <w:t xml:space="preserve"> </w:t>
      </w:r>
      <w:r w:rsidRPr="00006DA6">
        <w:rPr>
          <w:rFonts w:cstheme="minorHAnsi"/>
          <w:lang w:val="fr-FR" w:eastAsia="en-GB"/>
        </w:rPr>
        <w:t xml:space="preserve">V rámci schválené Strategie sociální o začleňování 2021-2030 </w:t>
      </w:r>
      <w:r>
        <w:rPr>
          <w:rFonts w:cstheme="minorHAnsi"/>
          <w:lang w:val="fr-FR" w:eastAsia="en-GB"/>
        </w:rPr>
        <w:t xml:space="preserve">- </w:t>
      </w:r>
      <w:r w:rsidRPr="00006DA6">
        <w:rPr>
          <w:rFonts w:cstheme="minorHAnsi"/>
          <w:lang w:val="fr-FR" w:eastAsia="en-GB"/>
        </w:rPr>
        <w:t>definován cíl « Zvyšovat dostupnost bydlení pro osoby ohrožené vyloučením z bydlení nebo po jeho ztrátě », jehož součástí také je prevence energetické chudoby a ochrana zranitelných cílových skupin</w:t>
      </w:r>
      <w:r>
        <w:rPr>
          <w:rFonts w:cstheme="minorHAnsi"/>
          <w:lang w:val="fr-FR" w:eastAsia="en-GB"/>
        </w:rPr>
        <w:t>.</w:t>
      </w:r>
    </w:p>
    <w:p w14:paraId="66CC477E" w14:textId="77777777" w:rsidR="009E4B04" w:rsidRDefault="009E4B04" w:rsidP="00FF0124">
      <w:pPr>
        <w:spacing w:line="240" w:lineRule="auto"/>
        <w:jc w:val="both"/>
        <w:rPr>
          <w:rFonts w:cstheme="minorHAnsi"/>
          <w:lang w:val="fr-FR" w:eastAsia="en-GB"/>
        </w:rPr>
      </w:pPr>
    </w:p>
    <w:p w14:paraId="0D61E5AA" w14:textId="4F7C18B2" w:rsidR="007B185F" w:rsidRPr="00237D49" w:rsidRDefault="007B185F" w:rsidP="00FF0124">
      <w:pPr>
        <w:spacing w:line="240" w:lineRule="auto"/>
        <w:jc w:val="both"/>
        <w:rPr>
          <w:rFonts w:cstheme="minorHAnsi"/>
          <w:lang w:val="fr-FR" w:eastAsia="en-GB"/>
        </w:rPr>
      </w:pPr>
      <w:r w:rsidRPr="00237D49">
        <w:rPr>
          <w:rFonts w:cstheme="minorHAnsi"/>
          <w:lang w:val="fr-FR" w:eastAsia="en-GB"/>
        </w:rPr>
        <w:t xml:space="preserve">V rámci schválené Strategie sociálního začleňování 2021-2030 byl definován cíl « Zvyšovat dostupnost bydlení pro osoby ohrožené vyloučením z bydlení nebo po jeho ztrátě », jehož součástí je vytvoření a rozvoj odpovídajících finančních nástrojů k realizaci záměru sociálního bydlení. </w:t>
      </w:r>
    </w:p>
    <w:p w14:paraId="7FB46952" w14:textId="42E309D0" w:rsidR="007B185F" w:rsidRPr="00237D49" w:rsidRDefault="00E1272A" w:rsidP="002A1848">
      <w:pPr>
        <w:spacing w:line="276" w:lineRule="auto"/>
        <w:jc w:val="both"/>
        <w:rPr>
          <w:rFonts w:cstheme="minorHAnsi"/>
          <w:lang w:val="fr-FR" w:eastAsia="en-GB"/>
        </w:rPr>
      </w:pPr>
      <w:r>
        <w:rPr>
          <w:rFonts w:cstheme="minorHAnsi"/>
          <w:lang w:val="fr-FR" w:eastAsia="en-GB"/>
        </w:rPr>
        <w:t>F</w:t>
      </w:r>
      <w:r w:rsidR="007B185F" w:rsidRPr="00237D49">
        <w:rPr>
          <w:rFonts w:cstheme="minorHAnsi"/>
          <w:lang w:val="fr-FR" w:eastAsia="en-GB"/>
        </w:rPr>
        <w:t xml:space="preserve">inancování sociální práce a investičních programů na </w:t>
      </w:r>
      <w:r w:rsidR="007B185F" w:rsidRPr="00237D49">
        <w:rPr>
          <w:rFonts w:cstheme="minorHAnsi"/>
          <w:b/>
          <w:bCs/>
          <w:lang w:val="fr-FR" w:eastAsia="en-GB"/>
        </w:rPr>
        <w:t>sociální bydlení</w:t>
      </w:r>
      <w:r w:rsidR="007B185F" w:rsidRPr="00237D49">
        <w:rPr>
          <w:rFonts w:cstheme="minorHAnsi"/>
          <w:lang w:val="fr-FR" w:eastAsia="en-GB"/>
        </w:rPr>
        <w:t xml:space="preserve">, vždy integrované výzvy. Bydlením je vždy rozuměno bydlení ve standardních nesegregovaných bytech. Minimalizace dlouhodobého bydlení v substandardních formách s ohledem na bezpečí takto žijících osob. Snížení konfliktů v bydlení, řešení problematických situací a podpora spokojeného sousedství osob ohrožených sociálním vyloučením a běžné populace, mediace, rozvoj komunitní práce, domovnictví atd. Prevence energetické chudoby, ochrana zranitelných cílových skupin. </w:t>
      </w:r>
      <w:r w:rsidR="007B185F" w:rsidRPr="00237D49">
        <w:rPr>
          <w:rFonts w:cstheme="minorHAnsi"/>
          <w:b/>
          <w:bCs/>
          <w:lang w:val="fr-FR" w:eastAsia="en-GB"/>
        </w:rPr>
        <w:t xml:space="preserve">Adaptace bytového fondu na zásadní společenské výzvy (demografické stárnutí, energetická chudoba, klimatická změna) a s ohledem na rozmanitost místních podmínek bydlení. </w:t>
      </w:r>
      <w:r w:rsidR="007B185F" w:rsidRPr="00237D49">
        <w:rPr>
          <w:rFonts w:cstheme="minorHAnsi"/>
          <w:lang w:val="fr-FR" w:eastAsia="en-GB"/>
        </w:rPr>
        <w:t>Bydlení bude plnit principy solidarity, rovnosti, subsidiarity, dostupnosti a dobrovolnosti, bude kladen důraz na prevenci, efektivitu a individuálně zaměřenou sociální práci.</w:t>
      </w:r>
    </w:p>
    <w:p w14:paraId="063583DF" w14:textId="77777777" w:rsidR="004D1D72" w:rsidRPr="000F350F" w:rsidRDefault="004D1D72" w:rsidP="002A1848">
      <w:pPr>
        <w:spacing w:line="276" w:lineRule="auto"/>
        <w:jc w:val="both"/>
        <w:rPr>
          <w:rFonts w:cstheme="minorHAnsi"/>
          <w:b/>
          <w:color w:val="000000" w:themeColor="text1"/>
          <w:u w:val="single"/>
        </w:rPr>
      </w:pPr>
    </w:p>
    <w:p w14:paraId="5E0BD0BA" w14:textId="77777777" w:rsidR="00085287" w:rsidRPr="008B4FC7" w:rsidRDefault="00085287" w:rsidP="002A1848">
      <w:pPr>
        <w:pBdr>
          <w:top w:val="single" w:sz="4" w:space="1" w:color="auto"/>
          <w:left w:val="single" w:sz="4" w:space="4" w:color="auto"/>
          <w:bottom w:val="single" w:sz="4" w:space="1" w:color="auto"/>
          <w:right w:val="single" w:sz="4" w:space="4" w:color="auto"/>
        </w:pBdr>
        <w:spacing w:line="276" w:lineRule="auto"/>
        <w:jc w:val="both"/>
        <w:rPr>
          <w:rFonts w:cstheme="minorHAnsi"/>
          <w:b/>
          <w:color w:val="000000" w:themeColor="text1"/>
        </w:rPr>
      </w:pPr>
      <w:r w:rsidRPr="008B4FC7">
        <w:rPr>
          <w:rFonts w:cstheme="minorHAnsi"/>
          <w:b/>
          <w:color w:val="000000" w:themeColor="text1"/>
        </w:rPr>
        <w:t xml:space="preserve">Zhodnocení a přezkum nařízení o transevropské energetické síti </w:t>
      </w:r>
    </w:p>
    <w:p w14:paraId="05EEC397" w14:textId="77777777" w:rsidR="008355BC" w:rsidRDefault="00BB130C" w:rsidP="00FF0124">
      <w:pPr>
        <w:spacing w:line="240" w:lineRule="auto"/>
        <w:jc w:val="both"/>
        <w:rPr>
          <w:rFonts w:cstheme="minorHAnsi"/>
          <w:noProof/>
        </w:rPr>
      </w:pPr>
      <w:r w:rsidRPr="008355BC">
        <w:rPr>
          <w:rFonts w:cstheme="minorHAnsi"/>
          <w:noProof/>
        </w:rPr>
        <w:t xml:space="preserve">Veřejná i odborná konzultace revize nařízení o transevropské energetické síti spuštěné Evropskou komisí probíhaly od května do července 2020. </w:t>
      </w:r>
    </w:p>
    <w:p w14:paraId="0429B9BE" w14:textId="16D1B3E3" w:rsidR="00BB130C" w:rsidRPr="008355BC" w:rsidRDefault="00BB130C" w:rsidP="00FF0124">
      <w:pPr>
        <w:spacing w:line="240" w:lineRule="auto"/>
        <w:jc w:val="both"/>
        <w:rPr>
          <w:rFonts w:cstheme="minorHAnsi"/>
          <w:noProof/>
        </w:rPr>
      </w:pPr>
      <w:r w:rsidRPr="008355BC">
        <w:rPr>
          <w:rFonts w:cstheme="minorHAnsi"/>
          <w:noProof/>
        </w:rPr>
        <w:t xml:space="preserve">Cílem revize je záměr, aby současné nařízení EU č. 347/2013 odpovídalo plánovanému cíli dosáhnout klimatické neutrality do roku 2050. </w:t>
      </w:r>
    </w:p>
    <w:p w14:paraId="4FC76312" w14:textId="55ED1292" w:rsidR="00BB130C" w:rsidRPr="008355BC" w:rsidRDefault="00BB130C" w:rsidP="00FF0124">
      <w:pPr>
        <w:spacing w:line="240" w:lineRule="auto"/>
        <w:jc w:val="both"/>
        <w:rPr>
          <w:rFonts w:cstheme="minorHAnsi"/>
          <w:noProof/>
        </w:rPr>
      </w:pPr>
      <w:r w:rsidRPr="008355BC">
        <w:rPr>
          <w:rFonts w:cstheme="minorHAnsi"/>
          <w:noProof/>
        </w:rPr>
        <w:t>Samotné zhodnocení a přezkum nařízení o transevropské energetické síti žádné investice nevyžaduje. Výsledkem revize by ovšem měla být nová podoba nařízení, kdy lze očekávat, že na nařízení budou navázané finanční nástroje podobné finančnímu mechanismu CEF (</w:t>
      </w:r>
      <w:r w:rsidRPr="008355BC">
        <w:rPr>
          <w:rFonts w:cstheme="minorHAnsi"/>
          <w:i/>
          <w:iCs/>
          <w:noProof/>
        </w:rPr>
        <w:t>Connecting Europe Facility</w:t>
      </w:r>
      <w:r w:rsidRPr="008355BC">
        <w:rPr>
          <w:rFonts w:cstheme="minorHAnsi"/>
          <w:noProof/>
        </w:rPr>
        <w:t>), který</w:t>
      </w:r>
      <w:r w:rsidR="002935D4">
        <w:rPr>
          <w:rFonts w:cstheme="minorHAnsi"/>
          <w:noProof/>
        </w:rPr>
        <w:t xml:space="preserve"> </w:t>
      </w:r>
      <w:r w:rsidRPr="008355BC">
        <w:rPr>
          <w:rFonts w:cstheme="minorHAnsi"/>
          <w:noProof/>
        </w:rPr>
        <w:lastRenderedPageBreak/>
        <w:t xml:space="preserve">je využíván pro projekty, jež jsou součástí seznamu Projektů společného zájmu (PCI, </w:t>
      </w:r>
      <w:r w:rsidRPr="008355BC">
        <w:rPr>
          <w:rFonts w:cstheme="minorHAnsi"/>
          <w:i/>
          <w:iCs/>
          <w:noProof/>
        </w:rPr>
        <w:t>Projects of Common Interest</w:t>
      </w:r>
      <w:r w:rsidRPr="008355BC">
        <w:rPr>
          <w:rFonts w:cstheme="minorHAnsi"/>
          <w:noProof/>
        </w:rPr>
        <w:t xml:space="preserve">). V takovém případě by nařízení o transevropské energetické síti a na něj navázaných finančních nástrojů bylo možné využít ke kofinancování projektů přispívajících k dekarbonizaci české ekonomiky. </w:t>
      </w:r>
    </w:p>
    <w:p w14:paraId="1C970277" w14:textId="77777777" w:rsidR="00085287" w:rsidRDefault="00085287" w:rsidP="002A1848">
      <w:pPr>
        <w:spacing w:line="276" w:lineRule="auto"/>
        <w:jc w:val="both"/>
        <w:rPr>
          <w:rFonts w:ascii="Times New Roman" w:hAnsi="Times New Roman" w:cs="Times New Roman"/>
          <w:b/>
          <w:color w:val="000000" w:themeColor="text1"/>
          <w:u w:val="single"/>
        </w:rPr>
      </w:pPr>
    </w:p>
    <w:p w14:paraId="684643D4" w14:textId="77777777" w:rsidR="00085287" w:rsidRPr="008B4FC7" w:rsidRDefault="00085287" w:rsidP="002A18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color w:val="000000" w:themeColor="text1"/>
          <w:u w:val="single"/>
        </w:rPr>
      </w:pPr>
      <w:r w:rsidRPr="008B4FC7">
        <w:rPr>
          <w:b/>
          <w:bCs/>
        </w:rPr>
        <w:t>Strategie pro výrobu energie ve větrných elektrárnách na moři</w:t>
      </w:r>
    </w:p>
    <w:p w14:paraId="0B38AB57" w14:textId="77777777" w:rsidR="008355BC" w:rsidRDefault="00961C5F" w:rsidP="00FF0124">
      <w:pPr>
        <w:spacing w:line="240" w:lineRule="auto"/>
        <w:jc w:val="both"/>
      </w:pPr>
      <w:r w:rsidRPr="008355BC">
        <w:t>Evropská komise publikovala 19. listopadu 2020 sdělení zaměření na strategii EU v oblasti „off-shore“ větrných elektráren (</w:t>
      </w:r>
      <w:hyperlink r:id="rId11" w:history="1">
        <w:r w:rsidRPr="008355BC">
          <w:rPr>
            <w:rStyle w:val="Hypertextovodkaz"/>
            <w:color w:val="auto"/>
          </w:rPr>
          <w:t>link</w:t>
        </w:r>
      </w:hyperlink>
      <w:r w:rsidRPr="008355BC">
        <w:t xml:space="preserve">). Proběhla také veřejné konzultace v této oblasti. Probíhá také jednání pracovních skupin k této problematice, kterých se ČR účastní. </w:t>
      </w:r>
    </w:p>
    <w:p w14:paraId="45B97923" w14:textId="11C13DC1" w:rsidR="00961C5F" w:rsidRDefault="00961C5F" w:rsidP="00FF0124">
      <w:pPr>
        <w:spacing w:line="240" w:lineRule="auto"/>
        <w:jc w:val="both"/>
      </w:pPr>
      <w:r w:rsidRPr="008355BC">
        <w:t xml:space="preserve">ČR nemá možnost výstavby „off-shore“ větrných parků, na obecné úrovni tento rozvoj samozřejmě podporujeme, ale je problematické, že EK se obecně zaměřuje na konkrétní nízko emisní technologie. V tomto ohledu je snaha, aby zejména veřejné financování „off-shore“ větrných parků nešlo případně na úkor ostatních bezemisních </w:t>
      </w:r>
      <w:r w:rsidR="003372C8" w:rsidRPr="008355BC">
        <w:t>zdrojů,</w:t>
      </w:r>
      <w:r w:rsidRPr="008355BC">
        <w:t xml:space="preserve"> a tedy de facto států, které nemají k dané technologie přístup. </w:t>
      </w:r>
    </w:p>
    <w:p w14:paraId="53E3F5DE" w14:textId="77777777" w:rsidR="00214AF3" w:rsidRPr="008355BC" w:rsidRDefault="00214AF3" w:rsidP="002A1848">
      <w:pPr>
        <w:spacing w:line="276" w:lineRule="auto"/>
        <w:jc w:val="both"/>
      </w:pPr>
    </w:p>
    <w:p w14:paraId="703862CC" w14:textId="13F6BDDF" w:rsidR="00214AF3" w:rsidRDefault="00214AF3" w:rsidP="00214AF3">
      <w:pPr>
        <w:spacing w:line="276" w:lineRule="auto"/>
        <w:jc w:val="both"/>
        <w:rPr>
          <w:rFonts w:cstheme="minorHAnsi"/>
          <w:b/>
          <w:color w:val="000000" w:themeColor="text1"/>
          <w:sz w:val="32"/>
          <w:szCs w:val="32"/>
          <w:highlight w:val="cyan"/>
        </w:rPr>
      </w:pPr>
    </w:p>
    <w:p w14:paraId="7BDEE0BC" w14:textId="30608C80" w:rsidR="007213E9" w:rsidRDefault="007213E9" w:rsidP="00214AF3">
      <w:pPr>
        <w:spacing w:line="276" w:lineRule="auto"/>
        <w:jc w:val="both"/>
        <w:rPr>
          <w:rFonts w:cstheme="minorHAnsi"/>
          <w:b/>
          <w:color w:val="000000" w:themeColor="text1"/>
          <w:sz w:val="32"/>
          <w:szCs w:val="32"/>
          <w:highlight w:val="cyan"/>
        </w:rPr>
      </w:pPr>
    </w:p>
    <w:p w14:paraId="02FADC40" w14:textId="6CE03D3E" w:rsidR="007213E9" w:rsidRDefault="007213E9" w:rsidP="00214AF3">
      <w:pPr>
        <w:spacing w:line="276" w:lineRule="auto"/>
        <w:jc w:val="both"/>
        <w:rPr>
          <w:rFonts w:cstheme="minorHAnsi"/>
          <w:b/>
          <w:color w:val="000000" w:themeColor="text1"/>
          <w:sz w:val="32"/>
          <w:szCs w:val="32"/>
          <w:highlight w:val="cyan"/>
        </w:rPr>
      </w:pPr>
    </w:p>
    <w:p w14:paraId="719A63FE" w14:textId="4AFAEA67" w:rsidR="007213E9" w:rsidRDefault="007213E9" w:rsidP="00214AF3">
      <w:pPr>
        <w:spacing w:line="276" w:lineRule="auto"/>
        <w:jc w:val="both"/>
        <w:rPr>
          <w:rFonts w:cstheme="minorHAnsi"/>
          <w:b/>
          <w:color w:val="000000" w:themeColor="text1"/>
          <w:sz w:val="32"/>
          <w:szCs w:val="32"/>
          <w:highlight w:val="cyan"/>
        </w:rPr>
      </w:pPr>
    </w:p>
    <w:p w14:paraId="16FF5740" w14:textId="5CC2DFF4" w:rsidR="007213E9" w:rsidRDefault="007213E9" w:rsidP="00214AF3">
      <w:pPr>
        <w:spacing w:line="276" w:lineRule="auto"/>
        <w:jc w:val="both"/>
        <w:rPr>
          <w:rFonts w:cstheme="minorHAnsi"/>
          <w:b/>
          <w:color w:val="000000" w:themeColor="text1"/>
          <w:sz w:val="32"/>
          <w:szCs w:val="32"/>
          <w:highlight w:val="cyan"/>
        </w:rPr>
      </w:pPr>
    </w:p>
    <w:p w14:paraId="3B168C33" w14:textId="6B0D6454" w:rsidR="007213E9" w:rsidRDefault="007213E9" w:rsidP="00214AF3">
      <w:pPr>
        <w:spacing w:line="276" w:lineRule="auto"/>
        <w:jc w:val="both"/>
        <w:rPr>
          <w:rFonts w:cstheme="minorHAnsi"/>
          <w:b/>
          <w:color w:val="000000" w:themeColor="text1"/>
          <w:sz w:val="32"/>
          <w:szCs w:val="32"/>
          <w:highlight w:val="cyan"/>
        </w:rPr>
      </w:pPr>
    </w:p>
    <w:p w14:paraId="7BCEE89E" w14:textId="4BBEEA36" w:rsidR="007213E9" w:rsidRDefault="007213E9" w:rsidP="00214AF3">
      <w:pPr>
        <w:spacing w:line="276" w:lineRule="auto"/>
        <w:jc w:val="both"/>
        <w:rPr>
          <w:rFonts w:cstheme="minorHAnsi"/>
          <w:b/>
          <w:color w:val="000000" w:themeColor="text1"/>
          <w:sz w:val="32"/>
          <w:szCs w:val="32"/>
          <w:highlight w:val="cyan"/>
        </w:rPr>
      </w:pPr>
    </w:p>
    <w:p w14:paraId="762BFA59" w14:textId="10301548" w:rsidR="007213E9" w:rsidRDefault="007213E9" w:rsidP="00214AF3">
      <w:pPr>
        <w:spacing w:line="276" w:lineRule="auto"/>
        <w:jc w:val="both"/>
        <w:rPr>
          <w:rFonts w:cstheme="minorHAnsi"/>
          <w:b/>
          <w:color w:val="000000" w:themeColor="text1"/>
          <w:sz w:val="32"/>
          <w:szCs w:val="32"/>
          <w:highlight w:val="cyan"/>
        </w:rPr>
      </w:pPr>
    </w:p>
    <w:p w14:paraId="1FAD22D5" w14:textId="77777777" w:rsidR="007213E9" w:rsidRDefault="007213E9" w:rsidP="00214AF3">
      <w:pPr>
        <w:spacing w:line="276" w:lineRule="auto"/>
        <w:jc w:val="both"/>
        <w:rPr>
          <w:rFonts w:cstheme="minorHAnsi"/>
          <w:b/>
          <w:color w:val="000000" w:themeColor="text1"/>
          <w:sz w:val="32"/>
          <w:szCs w:val="32"/>
          <w:highlight w:val="cyan"/>
        </w:rPr>
      </w:pPr>
    </w:p>
    <w:p w14:paraId="4B795937" w14:textId="77777777" w:rsidR="009E4B04" w:rsidRDefault="009E4B04">
      <w:pPr>
        <w:rPr>
          <w:rFonts w:cstheme="minorHAnsi"/>
          <w:b/>
          <w:color w:val="000000" w:themeColor="text1"/>
          <w:sz w:val="32"/>
          <w:szCs w:val="32"/>
          <w:highlight w:val="cyan"/>
        </w:rPr>
      </w:pPr>
      <w:r>
        <w:rPr>
          <w:rFonts w:cstheme="minorHAnsi"/>
          <w:b/>
          <w:color w:val="000000" w:themeColor="text1"/>
          <w:sz w:val="32"/>
          <w:szCs w:val="32"/>
          <w:highlight w:val="cyan"/>
        </w:rPr>
        <w:br w:type="page"/>
      </w:r>
    </w:p>
    <w:p w14:paraId="304176E2" w14:textId="341602E2" w:rsidR="00085287" w:rsidRPr="009E4B04" w:rsidRDefault="00085287" w:rsidP="00214AF3">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color w:val="000000" w:themeColor="text1"/>
          <w:sz w:val="32"/>
          <w:szCs w:val="32"/>
        </w:rPr>
      </w:pPr>
      <w:r w:rsidRPr="009E4B04">
        <w:rPr>
          <w:rFonts w:cstheme="minorHAnsi"/>
          <w:b/>
          <w:color w:val="000000" w:themeColor="text1"/>
          <w:sz w:val="32"/>
          <w:szCs w:val="32"/>
        </w:rPr>
        <w:lastRenderedPageBreak/>
        <w:t>Průmyslová strategie pro čisté oběhové hospodářství</w:t>
      </w:r>
    </w:p>
    <w:p w14:paraId="76056F7F" w14:textId="749957FE" w:rsidR="00085287" w:rsidRDefault="00085287" w:rsidP="002A1848">
      <w:pPr>
        <w:spacing w:line="276" w:lineRule="auto"/>
        <w:jc w:val="both"/>
        <w:rPr>
          <w:rFonts w:ascii="Times New Roman" w:hAnsi="Times New Roman" w:cs="Times New Roman"/>
          <w:b/>
          <w:color w:val="000000" w:themeColor="text1"/>
          <w:u w:val="single"/>
        </w:rPr>
      </w:pPr>
    </w:p>
    <w:p w14:paraId="29B208ED" w14:textId="77777777" w:rsidR="00085287" w:rsidRPr="00B52F0E"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b/>
          <w:bCs/>
        </w:rPr>
      </w:pPr>
      <w:r w:rsidRPr="00B52F0E">
        <w:rPr>
          <w:b/>
          <w:bCs/>
        </w:rPr>
        <w:t>Průmyslová strategie EU</w:t>
      </w:r>
    </w:p>
    <w:p w14:paraId="4FE92B10" w14:textId="54FB211E" w:rsidR="00BB6FF9" w:rsidRDefault="00BB6FF9" w:rsidP="00FF0124">
      <w:pPr>
        <w:spacing w:line="240" w:lineRule="auto"/>
        <w:jc w:val="both"/>
        <w:rPr>
          <w:rFonts w:cstheme="minorHAnsi"/>
          <w:bCs/>
          <w:color w:val="000000" w:themeColor="text1"/>
        </w:rPr>
      </w:pPr>
      <w:r w:rsidRPr="00DE2CF6">
        <w:rPr>
          <w:rFonts w:cstheme="minorHAnsi"/>
          <w:bCs/>
          <w:color w:val="000000" w:themeColor="text1"/>
        </w:rPr>
        <w:t xml:space="preserve">Vydáním Nové průmyslové strategie pro Evropu dne 10. března 2020 v rámci souboru opatření, který obsahuje také dvě sdělení k vnitřnímu trhu a strategii zaměřenou na malé a střední podniky, potvrdila Evropská komise zásadní úlohu průmyslu pro ekonomiku EU, jakož i potřebu provázanosti všech souvisejících politik EU. </w:t>
      </w:r>
      <w:r w:rsidR="008355BC">
        <w:rPr>
          <w:rFonts w:cstheme="minorHAnsi"/>
          <w:bCs/>
          <w:color w:val="000000" w:themeColor="text1"/>
        </w:rPr>
        <w:t xml:space="preserve"> </w:t>
      </w:r>
      <w:r w:rsidR="00E1272A">
        <w:rPr>
          <w:rFonts w:cstheme="minorHAnsi"/>
          <w:bCs/>
          <w:color w:val="000000" w:themeColor="text1"/>
        </w:rPr>
        <w:t>Dle</w:t>
      </w:r>
      <w:r w:rsidRPr="00DE2CF6">
        <w:rPr>
          <w:rFonts w:cstheme="minorHAnsi"/>
          <w:bCs/>
          <w:color w:val="000000" w:themeColor="text1"/>
        </w:rPr>
        <w:t xml:space="preserve"> sdělení Zelená dohoda pro Evropu se má Evropa stát do roku 2050 prvním klimaticky neutrálním kontinentem</w:t>
      </w:r>
      <w:r w:rsidR="008355BC">
        <w:rPr>
          <w:rFonts w:cstheme="minorHAnsi"/>
          <w:bCs/>
          <w:color w:val="000000" w:themeColor="text1"/>
        </w:rPr>
        <w:t>, tzn. že k</w:t>
      </w:r>
      <w:r w:rsidRPr="00DE2CF6">
        <w:rPr>
          <w:rFonts w:cstheme="minorHAnsi"/>
          <w:bCs/>
          <w:color w:val="000000" w:themeColor="text1"/>
        </w:rPr>
        <w:t>aždé odvětví musí usilovat o snížení své uhlíkové stopy a urychlení ekologické transformace. Evrop</w:t>
      </w:r>
      <w:r w:rsidR="00E1272A">
        <w:rPr>
          <w:rFonts w:cstheme="minorHAnsi"/>
          <w:bCs/>
          <w:color w:val="000000" w:themeColor="text1"/>
        </w:rPr>
        <w:t xml:space="preserve">a </w:t>
      </w:r>
      <w:r w:rsidRPr="00DE2CF6">
        <w:rPr>
          <w:rFonts w:cstheme="minorHAnsi"/>
          <w:bCs/>
          <w:color w:val="000000" w:themeColor="text1"/>
        </w:rPr>
        <w:t xml:space="preserve">má být </w:t>
      </w:r>
      <w:r w:rsidR="00E1272A">
        <w:rPr>
          <w:rFonts w:cstheme="minorHAnsi"/>
          <w:bCs/>
          <w:color w:val="000000" w:themeColor="text1"/>
        </w:rPr>
        <w:t xml:space="preserve">v </w:t>
      </w:r>
      <w:r w:rsidRPr="00DE2CF6">
        <w:rPr>
          <w:rFonts w:cstheme="minorHAnsi"/>
          <w:bCs/>
          <w:color w:val="000000" w:themeColor="text1"/>
        </w:rPr>
        <w:t>postavení průkopníka na trzích s čistými technologiemi.</w:t>
      </w:r>
    </w:p>
    <w:p w14:paraId="440A1A15" w14:textId="77777777" w:rsidR="004B563D" w:rsidRPr="00DE2CF6" w:rsidRDefault="004B563D" w:rsidP="00FF0124">
      <w:pPr>
        <w:spacing w:line="240" w:lineRule="auto"/>
        <w:jc w:val="both"/>
        <w:rPr>
          <w:rFonts w:cstheme="minorHAnsi"/>
          <w:bCs/>
          <w:color w:val="000000" w:themeColor="text1"/>
        </w:rPr>
      </w:pPr>
      <w:r>
        <w:rPr>
          <w:rFonts w:cstheme="minorHAnsi"/>
          <w:bCs/>
          <w:color w:val="000000" w:themeColor="text1"/>
        </w:rPr>
        <w:t>V</w:t>
      </w:r>
      <w:r w:rsidRPr="0050680D">
        <w:rPr>
          <w:rFonts w:cstheme="minorHAnsi"/>
          <w:bCs/>
          <w:color w:val="000000" w:themeColor="text1"/>
        </w:rPr>
        <w:t xml:space="preserve"> důsledku pandemie COVID-19</w:t>
      </w:r>
      <w:r>
        <w:rPr>
          <w:rFonts w:cstheme="minorHAnsi"/>
          <w:bCs/>
          <w:color w:val="000000" w:themeColor="text1"/>
        </w:rPr>
        <w:t xml:space="preserve"> je </w:t>
      </w:r>
      <w:r w:rsidRPr="0050680D">
        <w:rPr>
          <w:rFonts w:cstheme="minorHAnsi"/>
          <w:bCs/>
          <w:color w:val="000000" w:themeColor="text1"/>
        </w:rPr>
        <w:t>záměr</w:t>
      </w:r>
      <w:r>
        <w:rPr>
          <w:rFonts w:cstheme="minorHAnsi"/>
          <w:bCs/>
          <w:color w:val="000000" w:themeColor="text1"/>
        </w:rPr>
        <w:t>em</w:t>
      </w:r>
      <w:r w:rsidRPr="0050680D">
        <w:rPr>
          <w:rFonts w:cstheme="minorHAnsi"/>
          <w:bCs/>
          <w:color w:val="000000" w:themeColor="text1"/>
        </w:rPr>
        <w:t xml:space="preserve"> Komise aktualizovat Novou průmyslovou strategii pro Evropu v průběhu 1. pololetí 2021</w:t>
      </w:r>
      <w:r>
        <w:rPr>
          <w:rFonts w:cstheme="minorHAnsi"/>
          <w:bCs/>
          <w:color w:val="000000" w:themeColor="text1"/>
        </w:rPr>
        <w:t xml:space="preserve"> (</w:t>
      </w:r>
      <w:r w:rsidRPr="0050680D">
        <w:rPr>
          <w:rFonts w:cstheme="minorHAnsi"/>
          <w:bCs/>
          <w:color w:val="000000" w:themeColor="text1"/>
        </w:rPr>
        <w:t>zmínila předsedkyně E</w:t>
      </w:r>
      <w:r>
        <w:rPr>
          <w:rFonts w:cstheme="minorHAnsi"/>
          <w:bCs/>
          <w:color w:val="000000" w:themeColor="text1"/>
        </w:rPr>
        <w:t>K</w:t>
      </w:r>
      <w:r w:rsidRPr="0050680D">
        <w:rPr>
          <w:rFonts w:cstheme="minorHAnsi"/>
          <w:bCs/>
          <w:color w:val="000000" w:themeColor="text1"/>
        </w:rPr>
        <w:t xml:space="preserve"> Ursula von der Leyenová dne 16. září 2020</w:t>
      </w:r>
      <w:r>
        <w:rPr>
          <w:rFonts w:cstheme="minorHAnsi"/>
          <w:bCs/>
          <w:color w:val="000000" w:themeColor="text1"/>
        </w:rPr>
        <w:t>).</w:t>
      </w:r>
      <w:r w:rsidRPr="0050680D">
        <w:rPr>
          <w:rFonts w:cstheme="minorHAnsi"/>
          <w:bCs/>
          <w:color w:val="000000" w:themeColor="text1"/>
        </w:rPr>
        <w:t xml:space="preserve"> </w:t>
      </w:r>
    </w:p>
    <w:p w14:paraId="51308091" w14:textId="2B355B9A" w:rsidR="008355BC" w:rsidRDefault="00BB6FF9" w:rsidP="00FF0124">
      <w:pPr>
        <w:spacing w:line="240" w:lineRule="auto"/>
        <w:jc w:val="both"/>
        <w:rPr>
          <w:rFonts w:cstheme="minorHAnsi"/>
          <w:bCs/>
          <w:color w:val="000000" w:themeColor="text1"/>
        </w:rPr>
      </w:pPr>
      <w:r w:rsidRPr="0050680D">
        <w:rPr>
          <w:rFonts w:cstheme="minorHAnsi"/>
          <w:bCs/>
          <w:color w:val="000000" w:themeColor="text1"/>
        </w:rPr>
        <w:t xml:space="preserve">Cílem strategie je podpořit konkurenceschopnost evropského průmyslu na světových trzích a pomoci evropskému průmyslu zvládnout dvojí transformaci, a to na klimatickou neutralitu a na vedoucí postavení v digitální oblasti. </w:t>
      </w:r>
    </w:p>
    <w:p w14:paraId="3F25F4FB" w14:textId="1A01C6B3" w:rsidR="00BB6FF9" w:rsidRPr="0050680D" w:rsidRDefault="00BB6FF9" w:rsidP="00FF0124">
      <w:pPr>
        <w:spacing w:line="240" w:lineRule="auto"/>
        <w:jc w:val="both"/>
        <w:rPr>
          <w:rFonts w:cstheme="minorHAnsi"/>
          <w:bCs/>
          <w:color w:val="000000" w:themeColor="text1"/>
        </w:rPr>
      </w:pPr>
      <w:r w:rsidRPr="00A149A4">
        <w:rPr>
          <w:rFonts w:cstheme="minorHAnsi"/>
          <w:bCs/>
          <w:color w:val="000000" w:themeColor="text1"/>
        </w:rPr>
        <w:t>Klíčová opatření uvádí Komise v sedmi oblastech:</w:t>
      </w:r>
      <w:r w:rsidRPr="008355BC">
        <w:rPr>
          <w:rFonts w:cstheme="minorHAnsi"/>
          <w:b/>
          <w:color w:val="000000" w:themeColor="text1"/>
        </w:rPr>
        <w:t xml:space="preserve"> </w:t>
      </w:r>
      <w:r w:rsidRPr="0050680D">
        <w:rPr>
          <w:rFonts w:cstheme="minorHAnsi"/>
          <w:bCs/>
          <w:color w:val="000000" w:themeColor="text1"/>
        </w:rPr>
        <w:t>jednotný trh; celosvětově rovné podmínky; podpora průmyslu na cestě ke klimatické neutralitě; oběhové hospodářství; průmyslové inovace; dovednosti; investice do transformace.</w:t>
      </w:r>
    </w:p>
    <w:p w14:paraId="33319242" w14:textId="2918CD90" w:rsidR="00C821E6" w:rsidRPr="00DE2CF6" w:rsidRDefault="00BB6FF9" w:rsidP="00FF0124">
      <w:pPr>
        <w:spacing w:line="240" w:lineRule="auto"/>
        <w:jc w:val="both"/>
        <w:rPr>
          <w:rFonts w:cstheme="minorHAnsi"/>
          <w:bCs/>
          <w:color w:val="000000" w:themeColor="text1"/>
        </w:rPr>
      </w:pPr>
      <w:r w:rsidRPr="00DE2CF6">
        <w:rPr>
          <w:rFonts w:cstheme="minorHAnsi"/>
          <w:bCs/>
          <w:color w:val="000000" w:themeColor="text1"/>
        </w:rPr>
        <w:t>Prioritou</w:t>
      </w:r>
      <w:r w:rsidR="00E87581">
        <w:rPr>
          <w:rFonts w:cstheme="minorHAnsi"/>
          <w:bCs/>
          <w:color w:val="000000" w:themeColor="text1"/>
        </w:rPr>
        <w:t xml:space="preserve"> přechodu na</w:t>
      </w:r>
      <w:r w:rsidRPr="00DE2CF6">
        <w:rPr>
          <w:rFonts w:cstheme="minorHAnsi"/>
          <w:bCs/>
          <w:color w:val="000000" w:themeColor="text1"/>
        </w:rPr>
        <w:t xml:space="preserve"> </w:t>
      </w:r>
      <w:r w:rsidR="00E87581">
        <w:rPr>
          <w:rFonts w:cstheme="minorHAnsi"/>
          <w:bCs/>
          <w:color w:val="000000" w:themeColor="text1"/>
        </w:rPr>
        <w:t>klimatickou neutralitu je</w:t>
      </w:r>
      <w:r w:rsidR="00C821E6">
        <w:rPr>
          <w:rFonts w:cstheme="minorHAnsi"/>
          <w:bCs/>
          <w:color w:val="000000" w:themeColor="text1"/>
        </w:rPr>
        <w:t xml:space="preserve">: </w:t>
      </w:r>
      <w:r w:rsidRPr="00DE2CF6">
        <w:rPr>
          <w:rFonts w:cstheme="minorHAnsi"/>
          <w:bCs/>
          <w:color w:val="000000" w:themeColor="text1"/>
        </w:rPr>
        <w:t>modernizace a dekarbonizace energeticky náročných odvětví</w:t>
      </w:r>
      <w:r w:rsidR="00E87581">
        <w:rPr>
          <w:rFonts w:cstheme="minorHAnsi"/>
          <w:bCs/>
          <w:color w:val="000000" w:themeColor="text1"/>
        </w:rPr>
        <w:t>;</w:t>
      </w:r>
      <w:r w:rsidRPr="00DE2CF6">
        <w:rPr>
          <w:rFonts w:cstheme="minorHAnsi"/>
          <w:bCs/>
          <w:color w:val="000000" w:themeColor="text1"/>
        </w:rPr>
        <w:t xml:space="preserve"> </w:t>
      </w:r>
      <w:r w:rsidR="00E87581" w:rsidRPr="00DE2CF6">
        <w:rPr>
          <w:rFonts w:cstheme="minorHAnsi"/>
          <w:bCs/>
          <w:color w:val="000000" w:themeColor="text1"/>
        </w:rPr>
        <w:t>nové průmyslové procesy a čistší technologie</w:t>
      </w:r>
      <w:r w:rsidR="00C821E6">
        <w:rPr>
          <w:rFonts w:cstheme="minorHAnsi"/>
          <w:bCs/>
          <w:color w:val="000000" w:themeColor="text1"/>
        </w:rPr>
        <w:t>;</w:t>
      </w:r>
      <w:r w:rsidR="00E87581" w:rsidRPr="00DE2CF6">
        <w:rPr>
          <w:rFonts w:cstheme="minorHAnsi"/>
          <w:bCs/>
          <w:color w:val="000000" w:themeColor="text1"/>
        </w:rPr>
        <w:t xml:space="preserve"> </w:t>
      </w:r>
      <w:r w:rsidR="00C821E6">
        <w:rPr>
          <w:rFonts w:cstheme="minorHAnsi"/>
          <w:bCs/>
          <w:color w:val="000000" w:themeColor="text1"/>
        </w:rPr>
        <w:t>u</w:t>
      </w:r>
      <w:r w:rsidR="00C821E6" w:rsidRPr="00DE2CF6">
        <w:rPr>
          <w:rFonts w:cstheme="minorHAnsi"/>
          <w:bCs/>
          <w:color w:val="000000" w:themeColor="text1"/>
        </w:rPr>
        <w:t>držitelnost stavebních výrobků a zastavěného prostředí</w:t>
      </w:r>
      <w:r w:rsidR="00C821E6">
        <w:rPr>
          <w:rFonts w:cstheme="minorHAnsi"/>
          <w:bCs/>
          <w:color w:val="000000" w:themeColor="text1"/>
        </w:rPr>
        <w:t xml:space="preserve">; </w:t>
      </w:r>
      <w:r w:rsidR="00C821E6" w:rsidRPr="00DE2CF6">
        <w:rPr>
          <w:rFonts w:cstheme="minorHAnsi"/>
          <w:bCs/>
          <w:color w:val="000000" w:themeColor="text1"/>
        </w:rPr>
        <w:t>zlepš</w:t>
      </w:r>
      <w:r w:rsidR="00C821E6">
        <w:rPr>
          <w:rFonts w:cstheme="minorHAnsi"/>
          <w:bCs/>
          <w:color w:val="000000" w:themeColor="text1"/>
        </w:rPr>
        <w:t>ení</w:t>
      </w:r>
      <w:r w:rsidR="00C821E6" w:rsidRPr="00DE2CF6">
        <w:rPr>
          <w:rFonts w:cstheme="minorHAnsi"/>
          <w:bCs/>
          <w:color w:val="000000" w:themeColor="text1"/>
        </w:rPr>
        <w:t xml:space="preserve"> energetick</w:t>
      </w:r>
      <w:r w:rsidR="00C821E6">
        <w:rPr>
          <w:rFonts w:cstheme="minorHAnsi"/>
          <w:bCs/>
          <w:color w:val="000000" w:themeColor="text1"/>
        </w:rPr>
        <w:t>é</w:t>
      </w:r>
      <w:r w:rsidR="00C821E6" w:rsidRPr="00DE2CF6">
        <w:rPr>
          <w:rFonts w:cstheme="minorHAnsi"/>
          <w:bCs/>
          <w:color w:val="000000" w:themeColor="text1"/>
        </w:rPr>
        <w:t xml:space="preserve"> účinnost</w:t>
      </w:r>
      <w:r w:rsidR="00C821E6">
        <w:rPr>
          <w:rFonts w:cstheme="minorHAnsi"/>
          <w:bCs/>
          <w:color w:val="000000" w:themeColor="text1"/>
        </w:rPr>
        <w:t>i</w:t>
      </w:r>
      <w:r w:rsidR="00C821E6" w:rsidRPr="00DE2CF6">
        <w:rPr>
          <w:rFonts w:cstheme="minorHAnsi"/>
          <w:bCs/>
          <w:color w:val="000000" w:themeColor="text1"/>
        </w:rPr>
        <w:t xml:space="preserve"> a environmentální výkonnost. Konkrétní kroky k dosažení udržitelnějšího zastavěného prostředí Komise provazuje s tzv. „renovační vlnou“.</w:t>
      </w:r>
    </w:p>
    <w:p w14:paraId="1F81EC6A" w14:textId="77815448" w:rsidR="00BB6FF9" w:rsidRPr="00DE2CF6" w:rsidRDefault="00744463" w:rsidP="00FF0124">
      <w:pPr>
        <w:spacing w:line="240" w:lineRule="auto"/>
        <w:jc w:val="both"/>
        <w:rPr>
          <w:rFonts w:cstheme="minorHAnsi"/>
          <w:bCs/>
          <w:color w:val="000000" w:themeColor="text1"/>
        </w:rPr>
      </w:pPr>
      <w:r>
        <w:rPr>
          <w:rFonts w:cstheme="minorHAnsi"/>
          <w:bCs/>
          <w:color w:val="000000" w:themeColor="text1"/>
        </w:rPr>
        <w:t xml:space="preserve">Podpora </w:t>
      </w:r>
      <w:r w:rsidRPr="00DE2CF6">
        <w:rPr>
          <w:rFonts w:cstheme="minorHAnsi"/>
          <w:bCs/>
          <w:color w:val="000000" w:themeColor="text1"/>
        </w:rPr>
        <w:t>technologií</w:t>
      </w:r>
      <w:r w:rsidR="00BB6FF9" w:rsidRPr="00DE2CF6">
        <w:rPr>
          <w:rFonts w:cstheme="minorHAnsi"/>
          <w:bCs/>
          <w:color w:val="000000" w:themeColor="text1"/>
        </w:rPr>
        <w:t xml:space="preserve"> výroby oceli s nulovými emisemi uhlíku</w:t>
      </w:r>
      <w:r w:rsidR="004B563D">
        <w:rPr>
          <w:rFonts w:cstheme="minorHAnsi"/>
          <w:bCs/>
          <w:color w:val="000000" w:themeColor="text1"/>
        </w:rPr>
        <w:t xml:space="preserve"> ze stran</w:t>
      </w:r>
      <w:r>
        <w:rPr>
          <w:rFonts w:cstheme="minorHAnsi"/>
          <w:bCs/>
          <w:color w:val="000000" w:themeColor="text1"/>
        </w:rPr>
        <w:t>y</w:t>
      </w:r>
      <w:r w:rsidR="004B563D">
        <w:rPr>
          <w:rFonts w:cstheme="minorHAnsi"/>
          <w:bCs/>
          <w:color w:val="000000" w:themeColor="text1"/>
        </w:rPr>
        <w:t xml:space="preserve"> EK</w:t>
      </w:r>
      <w:r w:rsidR="00BB6FF9" w:rsidRPr="00DE2CF6">
        <w:rPr>
          <w:rFonts w:cstheme="minorHAnsi"/>
          <w:bCs/>
          <w:color w:val="000000" w:themeColor="text1"/>
        </w:rPr>
        <w:t xml:space="preserve"> a počítá s novou strategií pro udržitelnost v oblasti chemických látek.</w:t>
      </w:r>
    </w:p>
    <w:p w14:paraId="726EF9FF" w14:textId="77777777" w:rsidR="00BB6FF9" w:rsidRPr="00DE2CF6" w:rsidRDefault="00BB6FF9" w:rsidP="00FF0124">
      <w:pPr>
        <w:spacing w:line="240" w:lineRule="auto"/>
        <w:jc w:val="both"/>
        <w:rPr>
          <w:rFonts w:cstheme="minorHAnsi"/>
          <w:bCs/>
          <w:color w:val="000000" w:themeColor="text1"/>
        </w:rPr>
      </w:pPr>
      <w:r w:rsidRPr="00DE2CF6">
        <w:rPr>
          <w:rFonts w:cstheme="minorHAnsi"/>
          <w:bCs/>
          <w:color w:val="000000" w:themeColor="text1"/>
        </w:rPr>
        <w:t>Sdělení zmiňuje i nutnost prosazovat při transformaci průmyslu heslo „energetická účinnost na prvním místě“, kde se zejména promítá do snižování emisí v různých průmyslových odvětvích.</w:t>
      </w:r>
    </w:p>
    <w:p w14:paraId="26799BBB" w14:textId="77777777" w:rsidR="00BB6FF9" w:rsidRPr="00DE2CF6" w:rsidRDefault="00BB6FF9" w:rsidP="00FF0124">
      <w:pPr>
        <w:spacing w:line="240" w:lineRule="auto"/>
        <w:jc w:val="both"/>
        <w:rPr>
          <w:rFonts w:cstheme="minorHAnsi"/>
          <w:bCs/>
          <w:color w:val="000000" w:themeColor="text1"/>
        </w:rPr>
      </w:pPr>
      <w:r w:rsidRPr="00DE2CF6">
        <w:rPr>
          <w:rFonts w:cstheme="minorHAnsi"/>
          <w:bCs/>
          <w:color w:val="000000" w:themeColor="text1"/>
        </w:rPr>
        <w:t>K omezení rizika úniku uhlíku Komise v roce 2021 navrhne mechanismus kompenzačních opatření mezi státy v souvislosti s uhlíkem, který bude respektovat pravidla WTO.</w:t>
      </w:r>
    </w:p>
    <w:p w14:paraId="531CE055" w14:textId="2209CFC8" w:rsidR="004B563D" w:rsidRDefault="004B563D" w:rsidP="00FF0124">
      <w:pPr>
        <w:spacing w:line="240" w:lineRule="auto"/>
        <w:jc w:val="both"/>
        <w:rPr>
          <w:rFonts w:cstheme="minorHAnsi"/>
          <w:bCs/>
          <w:color w:val="000000" w:themeColor="text1"/>
        </w:rPr>
      </w:pPr>
      <w:r w:rsidRPr="00DE2CF6">
        <w:rPr>
          <w:rFonts w:cstheme="minorHAnsi"/>
          <w:bCs/>
          <w:color w:val="000000" w:themeColor="text1"/>
        </w:rPr>
        <w:t xml:space="preserve">Průmysl </w:t>
      </w:r>
      <w:r>
        <w:rPr>
          <w:rFonts w:cstheme="minorHAnsi"/>
          <w:bCs/>
          <w:color w:val="000000" w:themeColor="text1"/>
        </w:rPr>
        <w:t>– cíl je snížit</w:t>
      </w:r>
      <w:r w:rsidR="00BB6FF9" w:rsidRPr="00DE2CF6">
        <w:rPr>
          <w:rFonts w:cstheme="minorHAnsi"/>
          <w:bCs/>
          <w:color w:val="000000" w:themeColor="text1"/>
        </w:rPr>
        <w:t xml:space="preserve"> uhlíkovou a surovinovou stopu a přeorientovat se na zásady oběhového hospodářství. Komise </w:t>
      </w:r>
      <w:r>
        <w:rPr>
          <w:rFonts w:cstheme="minorHAnsi"/>
          <w:bCs/>
          <w:color w:val="000000" w:themeColor="text1"/>
        </w:rPr>
        <w:t xml:space="preserve">vydala </w:t>
      </w:r>
      <w:r w:rsidR="00BB6FF9" w:rsidRPr="00DE2CF6">
        <w:rPr>
          <w:rFonts w:cstheme="minorHAnsi"/>
          <w:bCs/>
          <w:color w:val="000000" w:themeColor="text1"/>
        </w:rPr>
        <w:t xml:space="preserve">dne 11. 3. 2020 nový akční plán pro oběhové </w:t>
      </w:r>
      <w:r w:rsidR="00744463" w:rsidRPr="00DE2CF6">
        <w:rPr>
          <w:rFonts w:cstheme="minorHAnsi"/>
          <w:bCs/>
          <w:color w:val="000000" w:themeColor="text1"/>
        </w:rPr>
        <w:t>hospodářství, jádrem</w:t>
      </w:r>
      <w:r w:rsidR="00BB6FF9" w:rsidRPr="00DE2CF6">
        <w:rPr>
          <w:rFonts w:cstheme="minorHAnsi"/>
          <w:bCs/>
          <w:color w:val="000000" w:themeColor="text1"/>
        </w:rPr>
        <w:t xml:space="preserve"> je rámec udržitelné výrobkové politiky stanovující zásady udržitelnosti pro všechny produkty. </w:t>
      </w:r>
    </w:p>
    <w:p w14:paraId="15EB3335" w14:textId="09D5D767" w:rsidR="00BB6FF9" w:rsidRPr="00DE2CF6" w:rsidRDefault="004B563D" w:rsidP="00FF0124">
      <w:pPr>
        <w:spacing w:line="240" w:lineRule="auto"/>
        <w:jc w:val="both"/>
        <w:rPr>
          <w:rFonts w:cstheme="minorHAnsi"/>
          <w:bCs/>
          <w:color w:val="000000" w:themeColor="text1"/>
        </w:rPr>
      </w:pPr>
      <w:r>
        <w:rPr>
          <w:rFonts w:cstheme="minorHAnsi"/>
          <w:bCs/>
          <w:color w:val="000000" w:themeColor="text1"/>
        </w:rPr>
        <w:t>P</w:t>
      </w:r>
      <w:r w:rsidR="00BB6FF9" w:rsidRPr="00DE2CF6">
        <w:rPr>
          <w:rFonts w:cstheme="minorHAnsi"/>
          <w:bCs/>
          <w:color w:val="000000" w:themeColor="text1"/>
        </w:rPr>
        <w:t>ro dosažení bezemisního průmyslu je nutné, aby vstupy, zejména elektřina, byly bezemisní, a zajistit, aby průmysl zůstal i nadále konkurenceschopným a finální technologická řešení byla nákladově efektivní.</w:t>
      </w:r>
    </w:p>
    <w:p w14:paraId="6A30B013" w14:textId="3AFAFD8B" w:rsidR="00B2115E" w:rsidRDefault="00B2115E" w:rsidP="00FF0124">
      <w:pPr>
        <w:pStyle w:val="Odstavecseseznamem"/>
        <w:numPr>
          <w:ilvl w:val="0"/>
          <w:numId w:val="29"/>
        </w:numPr>
        <w:spacing w:line="240" w:lineRule="auto"/>
        <w:ind w:left="771"/>
        <w:jc w:val="both"/>
        <w:rPr>
          <w:rFonts w:cstheme="minorHAnsi"/>
          <w:bCs/>
          <w:color w:val="000000" w:themeColor="text1"/>
        </w:rPr>
      </w:pPr>
      <w:r>
        <w:rPr>
          <w:rFonts w:cstheme="minorHAnsi"/>
          <w:bCs/>
          <w:color w:val="000000" w:themeColor="text1"/>
        </w:rPr>
        <w:t xml:space="preserve">ČR </w:t>
      </w:r>
      <w:r w:rsidR="004B563D" w:rsidRPr="00B2115E">
        <w:rPr>
          <w:rFonts w:cstheme="minorHAnsi"/>
          <w:bCs/>
          <w:color w:val="000000" w:themeColor="text1"/>
        </w:rPr>
        <w:t>s</w:t>
      </w:r>
      <w:r w:rsidR="00BB6FF9" w:rsidRPr="00B2115E">
        <w:rPr>
          <w:rFonts w:cstheme="minorHAnsi"/>
          <w:bCs/>
          <w:color w:val="000000" w:themeColor="text1"/>
        </w:rPr>
        <w:t xml:space="preserve">ouhlasí s monitoringem průmyslové strategie založeným na souboru ukazatelů. Je však zdrženlivá, pokud jde o stanovení cílů. </w:t>
      </w:r>
    </w:p>
    <w:p w14:paraId="5EAC3174" w14:textId="605509C9" w:rsidR="00B2115E" w:rsidRDefault="00B2115E" w:rsidP="00FF0124">
      <w:pPr>
        <w:pStyle w:val="Odstavecseseznamem"/>
        <w:numPr>
          <w:ilvl w:val="0"/>
          <w:numId w:val="29"/>
        </w:numPr>
        <w:spacing w:line="240" w:lineRule="auto"/>
        <w:ind w:left="771"/>
        <w:jc w:val="both"/>
        <w:rPr>
          <w:rFonts w:cstheme="minorHAnsi"/>
          <w:bCs/>
          <w:color w:val="000000" w:themeColor="text1"/>
        </w:rPr>
      </w:pPr>
      <w:r>
        <w:rPr>
          <w:rFonts w:cstheme="minorHAnsi"/>
          <w:bCs/>
          <w:color w:val="000000" w:themeColor="text1"/>
        </w:rPr>
        <w:t>p</w:t>
      </w:r>
      <w:r w:rsidR="00BB6FF9" w:rsidRPr="00B2115E">
        <w:rPr>
          <w:rFonts w:cstheme="minorHAnsi"/>
          <w:bCs/>
          <w:color w:val="000000" w:themeColor="text1"/>
        </w:rPr>
        <w:t>růmyslová politika se realizuje prostřednictvím jiných politik (energetická, klimatická, digitální), ty už své cíle mají</w:t>
      </w:r>
      <w:r w:rsidR="009354C2">
        <w:rPr>
          <w:rFonts w:cstheme="minorHAnsi"/>
          <w:bCs/>
          <w:color w:val="000000" w:themeColor="text1"/>
        </w:rPr>
        <w:t>.</w:t>
      </w:r>
    </w:p>
    <w:p w14:paraId="39655683" w14:textId="308865F4" w:rsidR="009354C2" w:rsidRDefault="009354C2" w:rsidP="00FF0124">
      <w:pPr>
        <w:spacing w:line="240" w:lineRule="auto"/>
        <w:jc w:val="both"/>
        <w:rPr>
          <w:rFonts w:cstheme="minorHAnsi"/>
          <w:bCs/>
          <w:color w:val="000000" w:themeColor="text1"/>
        </w:rPr>
      </w:pPr>
    </w:p>
    <w:p w14:paraId="7BBC0EE3" w14:textId="77777777" w:rsidR="009354C2" w:rsidRPr="009354C2" w:rsidRDefault="009354C2" w:rsidP="00FF0124">
      <w:pPr>
        <w:spacing w:line="240" w:lineRule="auto"/>
        <w:jc w:val="both"/>
        <w:rPr>
          <w:rFonts w:cstheme="minorHAnsi"/>
          <w:bCs/>
          <w:color w:val="000000" w:themeColor="text1"/>
        </w:rPr>
      </w:pPr>
    </w:p>
    <w:p w14:paraId="12BB10BD" w14:textId="77777777" w:rsidR="002935D4" w:rsidRDefault="002935D4" w:rsidP="00FF0124">
      <w:pPr>
        <w:pStyle w:val="Odstavecseseznamem"/>
        <w:spacing w:line="240" w:lineRule="auto"/>
        <w:ind w:left="771"/>
        <w:jc w:val="both"/>
        <w:rPr>
          <w:rFonts w:cstheme="minorHAnsi"/>
          <w:bCs/>
          <w:color w:val="000000" w:themeColor="text1"/>
        </w:rPr>
      </w:pPr>
    </w:p>
    <w:p w14:paraId="05991F1D" w14:textId="15F92988" w:rsidR="00BB6FF9" w:rsidRDefault="00B2115E" w:rsidP="00FF0124">
      <w:pPr>
        <w:pStyle w:val="Odstavecseseznamem"/>
        <w:numPr>
          <w:ilvl w:val="0"/>
          <w:numId w:val="29"/>
        </w:numPr>
        <w:spacing w:line="240" w:lineRule="auto"/>
        <w:ind w:left="771"/>
        <w:jc w:val="both"/>
        <w:rPr>
          <w:rFonts w:cstheme="minorHAnsi"/>
          <w:bCs/>
          <w:color w:val="000000" w:themeColor="text1"/>
        </w:rPr>
      </w:pPr>
      <w:r>
        <w:rPr>
          <w:rFonts w:cstheme="minorHAnsi"/>
          <w:bCs/>
          <w:color w:val="000000" w:themeColor="text1"/>
        </w:rPr>
        <w:lastRenderedPageBreak/>
        <w:t>dle ČR p</w:t>
      </w:r>
      <w:r w:rsidR="00BB6FF9" w:rsidRPr="00B2115E">
        <w:rPr>
          <w:rFonts w:cstheme="minorHAnsi"/>
          <w:bCs/>
          <w:color w:val="000000" w:themeColor="text1"/>
        </w:rPr>
        <w:t>ožadavky na rychlou digitalizaci a dekarbonizaci by neměly zabránit přežití evropského průmyslu</w:t>
      </w:r>
      <w:r>
        <w:rPr>
          <w:rFonts w:cstheme="minorHAnsi"/>
          <w:bCs/>
          <w:color w:val="000000" w:themeColor="text1"/>
        </w:rPr>
        <w:t xml:space="preserve"> </w:t>
      </w:r>
      <w:r w:rsidR="00A149A4">
        <w:rPr>
          <w:rFonts w:cstheme="minorHAnsi"/>
          <w:bCs/>
          <w:color w:val="000000" w:themeColor="text1"/>
        </w:rPr>
        <w:t>a</w:t>
      </w:r>
      <w:r w:rsidR="00A149A4" w:rsidRPr="00B2115E">
        <w:rPr>
          <w:rFonts w:cstheme="minorHAnsi"/>
          <w:bCs/>
          <w:color w:val="000000" w:themeColor="text1"/>
        </w:rPr>
        <w:t xml:space="preserve"> aktualizace</w:t>
      </w:r>
      <w:r w:rsidR="00BB6FF9" w:rsidRPr="00B2115E">
        <w:rPr>
          <w:rFonts w:cstheme="minorHAnsi"/>
          <w:bCs/>
          <w:color w:val="000000" w:themeColor="text1"/>
        </w:rPr>
        <w:t xml:space="preserve"> </w:t>
      </w:r>
      <w:r w:rsidR="00C821E6" w:rsidRPr="00B2115E">
        <w:rPr>
          <w:rFonts w:cstheme="minorHAnsi"/>
          <w:bCs/>
          <w:color w:val="000000" w:themeColor="text1"/>
        </w:rPr>
        <w:t xml:space="preserve">by se </w:t>
      </w:r>
      <w:r w:rsidR="00BB6FF9" w:rsidRPr="00B2115E">
        <w:rPr>
          <w:rFonts w:cstheme="minorHAnsi"/>
          <w:bCs/>
          <w:color w:val="000000" w:themeColor="text1"/>
        </w:rPr>
        <w:t>měla opírat o témata typu odolnosti či strategické autonomie</w:t>
      </w:r>
    </w:p>
    <w:p w14:paraId="5E4B4485" w14:textId="651AB7B8" w:rsidR="00BB6FF9" w:rsidRPr="002935D4" w:rsidRDefault="00B2115E" w:rsidP="00FF0124">
      <w:pPr>
        <w:pStyle w:val="Odstavecseseznamem"/>
        <w:numPr>
          <w:ilvl w:val="0"/>
          <w:numId w:val="29"/>
        </w:numPr>
        <w:spacing w:line="240" w:lineRule="auto"/>
        <w:ind w:left="771"/>
        <w:jc w:val="both"/>
        <w:rPr>
          <w:rFonts w:cstheme="minorHAnsi"/>
          <w:bCs/>
          <w:color w:val="000000" w:themeColor="text1"/>
        </w:rPr>
      </w:pPr>
      <w:r>
        <w:rPr>
          <w:rFonts w:cstheme="minorHAnsi"/>
          <w:bCs/>
          <w:color w:val="000000" w:themeColor="text1"/>
        </w:rPr>
        <w:t xml:space="preserve">dle </w:t>
      </w:r>
      <w:r w:rsidR="00BB6FF9" w:rsidRPr="00B2115E">
        <w:rPr>
          <w:rFonts w:cstheme="minorHAnsi"/>
          <w:bCs/>
          <w:color w:val="000000" w:themeColor="text1"/>
        </w:rPr>
        <w:t>ČR ani průmyslová, ani jiná politika nemají být nástrojem centrálně plánovaného či řízeného hospodářství</w:t>
      </w:r>
      <w:r w:rsidR="00744463" w:rsidRPr="00B2115E">
        <w:rPr>
          <w:rFonts w:cstheme="minorHAnsi"/>
          <w:bCs/>
          <w:color w:val="000000" w:themeColor="text1"/>
        </w:rPr>
        <w:t xml:space="preserve"> </w:t>
      </w:r>
      <w:r w:rsidR="00BB6FF9" w:rsidRPr="00B2115E">
        <w:rPr>
          <w:rFonts w:cstheme="minorHAnsi"/>
          <w:bCs/>
          <w:color w:val="000000" w:themeColor="text1"/>
        </w:rPr>
        <w:t xml:space="preserve">na úrovni EU či jednotlivých členských států. Žádný orgán by neměl určovat, jaký hospodářský subjekt (členský stát) by měl produkovat či dodávat jakékoli </w:t>
      </w:r>
      <w:r w:rsidR="00BB6FF9" w:rsidRPr="002935D4">
        <w:rPr>
          <w:rFonts w:cstheme="minorHAnsi"/>
          <w:bCs/>
          <w:color w:val="000000" w:themeColor="text1"/>
        </w:rPr>
        <w:t xml:space="preserve">produkty (včetně toho, pro koho či za jakou cenu). </w:t>
      </w:r>
      <w:r w:rsidR="00A149A4" w:rsidRPr="002935D4">
        <w:rPr>
          <w:rFonts w:cstheme="minorHAnsi"/>
          <w:bCs/>
          <w:color w:val="000000" w:themeColor="text1"/>
        </w:rPr>
        <w:t>ČR zdůrazňuje</w:t>
      </w:r>
      <w:r w:rsidR="00BB6FF9" w:rsidRPr="002935D4">
        <w:rPr>
          <w:rFonts w:cstheme="minorHAnsi"/>
          <w:bCs/>
          <w:color w:val="000000" w:themeColor="text1"/>
        </w:rPr>
        <w:t xml:space="preserve"> potřebu spravedlivého trhu s obecně příznivými podmínkami pro všechny soutěžitele.</w:t>
      </w:r>
    </w:p>
    <w:p w14:paraId="089089DF" w14:textId="77777777" w:rsidR="00BB6FF9" w:rsidRPr="00B2115E" w:rsidRDefault="00BB6FF9" w:rsidP="00FF0124">
      <w:pPr>
        <w:pStyle w:val="Odstavecseseznamem"/>
        <w:numPr>
          <w:ilvl w:val="0"/>
          <w:numId w:val="29"/>
        </w:numPr>
        <w:spacing w:line="240" w:lineRule="auto"/>
        <w:ind w:left="771"/>
        <w:jc w:val="both"/>
        <w:rPr>
          <w:rFonts w:cstheme="minorHAnsi"/>
          <w:bCs/>
          <w:color w:val="000000" w:themeColor="text1"/>
        </w:rPr>
      </w:pPr>
      <w:r w:rsidRPr="00B2115E">
        <w:rPr>
          <w:rFonts w:cstheme="minorHAnsi"/>
          <w:bCs/>
          <w:color w:val="000000" w:themeColor="text1"/>
        </w:rPr>
        <w:t>ČR se v závěrech prosincové Evropské rady zavázala k cíli dosažení klimatické neutrality do roku 2050, zároveň ČR dlouhodobě prosazuje, aby členské státy měly možnost využít všechny dostupné technologie ke splnění klimatických cílů, tedy i jadernou energetiku.</w:t>
      </w:r>
    </w:p>
    <w:p w14:paraId="2C05E48A" w14:textId="77777777" w:rsidR="00BB6FF9" w:rsidRPr="00DE2CF6" w:rsidRDefault="00BB6FF9" w:rsidP="00FF0124">
      <w:pPr>
        <w:spacing w:line="240" w:lineRule="auto"/>
        <w:jc w:val="both"/>
        <w:rPr>
          <w:rFonts w:cstheme="minorHAnsi"/>
          <w:bCs/>
          <w:color w:val="000000" w:themeColor="text1"/>
        </w:rPr>
      </w:pPr>
      <w:r w:rsidRPr="00DE2CF6">
        <w:rPr>
          <w:rFonts w:cstheme="minorHAnsi"/>
          <w:bCs/>
          <w:color w:val="000000" w:themeColor="text1"/>
        </w:rPr>
        <w:t xml:space="preserve">Náklady nejsou samostatně odhadovány, budou vyčíslovány v příslušných oblastech regulace a implementace (např. energetika, klima a životní prostředí, omezování emisí, zahraniční obchod apod.). </w:t>
      </w:r>
    </w:p>
    <w:p w14:paraId="72843D7C" w14:textId="77777777" w:rsidR="00BB6FF9" w:rsidRPr="00DE2CF6" w:rsidRDefault="00BB6FF9" w:rsidP="00FF0124">
      <w:pPr>
        <w:spacing w:line="240" w:lineRule="auto"/>
        <w:jc w:val="both"/>
        <w:rPr>
          <w:rFonts w:cstheme="minorHAnsi"/>
          <w:bCs/>
          <w:color w:val="000000" w:themeColor="text1"/>
        </w:rPr>
      </w:pPr>
      <w:r w:rsidRPr="00DE2CF6">
        <w:rPr>
          <w:rFonts w:cstheme="minorHAnsi"/>
          <w:bCs/>
          <w:color w:val="000000" w:themeColor="text1"/>
        </w:rPr>
        <w:t>Náklady ponesou především podnikatelé, občané, případně stát (ev. EU), bude-li poskytovat podpůrná opatření.</w:t>
      </w:r>
    </w:p>
    <w:p w14:paraId="0B8CE66A" w14:textId="34EDFE0A" w:rsidR="007B185F" w:rsidRPr="00621644" w:rsidRDefault="007B185F" w:rsidP="00FF0124">
      <w:pPr>
        <w:spacing w:line="240" w:lineRule="auto"/>
        <w:jc w:val="both"/>
        <w:rPr>
          <w:rFonts w:cstheme="minorHAnsi"/>
          <w:lang w:val="fr-FR" w:eastAsia="en-GB"/>
        </w:rPr>
      </w:pPr>
      <w:r w:rsidRPr="00621644">
        <w:rPr>
          <w:rFonts w:cstheme="minorHAnsi"/>
          <w:lang w:val="fr-FR" w:eastAsia="en-GB"/>
        </w:rPr>
        <w:t xml:space="preserve">MPSV reflektuje vliv tzv. zelené ekonomiky na trh práce ve svém Strategickém rámci politiky zaměstnanosti do roku 2030. Predikuje, že bude posilována zaměstnanost v těch segmentech hospodářství, které mají vazbu na životní prostředí a jeho ochranu (např. v oblasti retence vody v krajině, odpadovém hospodářství, úspoře energií, apod.). </w:t>
      </w:r>
      <w:r w:rsidR="00C821E6">
        <w:rPr>
          <w:rFonts w:cstheme="minorHAnsi"/>
          <w:lang w:val="fr-FR" w:eastAsia="en-GB"/>
        </w:rPr>
        <w:t>R</w:t>
      </w:r>
      <w:r w:rsidRPr="00621644">
        <w:rPr>
          <w:rFonts w:cstheme="minorHAnsi"/>
          <w:lang w:val="fr-FR" w:eastAsia="en-GB"/>
        </w:rPr>
        <w:t>ostoucí požadavky na přijetí či rozšíření politik k ochraně životního prostředí a boje s klimatickými změnami</w:t>
      </w:r>
      <w:r w:rsidR="00C04C67">
        <w:rPr>
          <w:rFonts w:cstheme="minorHAnsi"/>
          <w:lang w:val="fr-FR" w:eastAsia="en-GB"/>
        </w:rPr>
        <w:t xml:space="preserve"> </w:t>
      </w:r>
      <w:r w:rsidRPr="00621644">
        <w:rPr>
          <w:rFonts w:cstheme="minorHAnsi"/>
          <w:lang w:val="fr-FR" w:eastAsia="en-GB"/>
        </w:rPr>
        <w:t xml:space="preserve">povedou k útlumu některých odvětví s negativním dopadem na zaměstnanost, zejména v uhelných regionech, a rovněž v regionech, kde je uhlí zpracováváno. </w:t>
      </w:r>
    </w:p>
    <w:p w14:paraId="1C0DCC50" w14:textId="77777777" w:rsidR="00C04C67" w:rsidRDefault="007B185F" w:rsidP="00FF0124">
      <w:pPr>
        <w:spacing w:line="240" w:lineRule="auto"/>
        <w:jc w:val="both"/>
        <w:rPr>
          <w:rFonts w:cstheme="minorHAnsi"/>
          <w:lang w:val="fr-FR" w:eastAsia="en-GB"/>
        </w:rPr>
      </w:pPr>
      <w:r w:rsidRPr="00621644">
        <w:rPr>
          <w:rFonts w:cstheme="minorHAnsi"/>
          <w:lang w:val="fr-FR" w:eastAsia="en-GB"/>
        </w:rPr>
        <w:t>MPSV připravuje opatření</w:t>
      </w:r>
      <w:r w:rsidR="00C04C67">
        <w:rPr>
          <w:rFonts w:cstheme="minorHAnsi"/>
          <w:lang w:val="fr-FR" w:eastAsia="en-GB"/>
        </w:rPr>
        <w:t> :</w:t>
      </w:r>
    </w:p>
    <w:p w14:paraId="5CA555AD" w14:textId="72A7B74E" w:rsidR="00C04C67" w:rsidRDefault="007B185F" w:rsidP="00FF0124">
      <w:pPr>
        <w:pStyle w:val="Odstavecseseznamem"/>
        <w:numPr>
          <w:ilvl w:val="0"/>
          <w:numId w:val="30"/>
        </w:numPr>
        <w:spacing w:line="240" w:lineRule="auto"/>
        <w:ind w:left="765" w:hanging="357"/>
        <w:jc w:val="both"/>
        <w:rPr>
          <w:rFonts w:cstheme="minorHAnsi"/>
          <w:lang w:val="fr-FR" w:eastAsia="en-GB"/>
        </w:rPr>
      </w:pPr>
      <w:r w:rsidRPr="00C04C67">
        <w:rPr>
          <w:rFonts w:cstheme="minorHAnsi"/>
          <w:lang w:val="fr-FR" w:eastAsia="en-GB"/>
        </w:rPr>
        <w:t>v oblasti podpory outplacementových aktivit podporujících transformaci dotčených odvětví a přechod pracovní síly do odvětví nových</w:t>
      </w:r>
    </w:p>
    <w:p w14:paraId="37702BA1" w14:textId="665F71F7" w:rsidR="007B185F" w:rsidRPr="00C04C67" w:rsidRDefault="007B185F" w:rsidP="00FF0124">
      <w:pPr>
        <w:pStyle w:val="Odstavecseseznamem"/>
        <w:numPr>
          <w:ilvl w:val="0"/>
          <w:numId w:val="30"/>
        </w:numPr>
        <w:spacing w:line="240" w:lineRule="auto"/>
        <w:ind w:left="765" w:hanging="357"/>
        <w:jc w:val="both"/>
        <w:rPr>
          <w:rFonts w:cstheme="minorHAnsi"/>
          <w:lang w:val="fr-FR" w:eastAsia="en-GB"/>
        </w:rPr>
      </w:pPr>
      <w:r w:rsidRPr="00C04C67">
        <w:rPr>
          <w:rFonts w:cstheme="minorHAnsi"/>
          <w:lang w:val="fr-FR" w:eastAsia="en-GB"/>
        </w:rPr>
        <w:t>dalšího vzdělávání a rekvalifikací a v oblasti predikcí trhu práce a celoživotního kariérového poradenství</w:t>
      </w:r>
    </w:p>
    <w:p w14:paraId="65467F07" w14:textId="7244DFAD" w:rsidR="007B185F" w:rsidRPr="00621644" w:rsidRDefault="00C04C67" w:rsidP="00FF0124">
      <w:pPr>
        <w:spacing w:line="240" w:lineRule="auto"/>
        <w:jc w:val="both"/>
        <w:rPr>
          <w:rFonts w:cstheme="minorHAnsi"/>
          <w:lang w:val="fr-FR" w:eastAsia="en-GB"/>
        </w:rPr>
      </w:pPr>
      <w:r>
        <w:rPr>
          <w:rFonts w:cstheme="minorHAnsi"/>
          <w:lang w:val="fr-FR" w:eastAsia="en-GB"/>
        </w:rPr>
        <w:t>P</w:t>
      </w:r>
      <w:r w:rsidR="007B185F" w:rsidRPr="00621644">
        <w:rPr>
          <w:rFonts w:cstheme="minorHAnsi"/>
          <w:lang w:val="fr-FR" w:eastAsia="en-GB"/>
        </w:rPr>
        <w:t xml:space="preserve">ožadovaná dekarbonizace </w:t>
      </w:r>
      <w:r>
        <w:rPr>
          <w:rFonts w:cstheme="minorHAnsi"/>
          <w:lang w:val="fr-FR" w:eastAsia="en-GB"/>
        </w:rPr>
        <w:t>vyžaduje</w:t>
      </w:r>
      <w:r w:rsidR="007B185F" w:rsidRPr="00621644">
        <w:rPr>
          <w:rFonts w:cstheme="minorHAnsi"/>
          <w:lang w:val="fr-FR" w:eastAsia="en-GB"/>
        </w:rPr>
        <w:t xml:space="preserve"> velmi vysoké náklady a vliv na zaměstnanost </w:t>
      </w:r>
      <w:r>
        <w:rPr>
          <w:rFonts w:cstheme="minorHAnsi"/>
          <w:lang w:val="fr-FR" w:eastAsia="en-GB"/>
        </w:rPr>
        <w:t>-</w:t>
      </w:r>
      <w:r w:rsidR="007B185F" w:rsidRPr="00621644">
        <w:rPr>
          <w:rFonts w:cstheme="minorHAnsi"/>
          <w:lang w:val="fr-FR" w:eastAsia="en-GB"/>
        </w:rPr>
        <w:t xml:space="preserve"> větší než v jiných zemích EU. MPSV vnímá klíčovou roli mechanismu resp. Fondu pro spravedlivou transformaci, který se soustředí na území a regiony, kde má transformace spjatá s klimatem větší rozsah. Fond by měl přispět ke zmírnění socioekonomických dopadů v těch regionech a odvětvích, které jsou transformací dotčeny nejvíce.</w:t>
      </w:r>
    </w:p>
    <w:p w14:paraId="5C840A94" w14:textId="77777777" w:rsidR="007B185F" w:rsidRPr="00621644" w:rsidRDefault="007B185F" w:rsidP="00FF0124">
      <w:pPr>
        <w:spacing w:line="240" w:lineRule="auto"/>
        <w:jc w:val="both"/>
        <w:rPr>
          <w:rFonts w:cstheme="minorHAnsi"/>
          <w:lang w:val="fr-FR" w:eastAsia="en-GB"/>
        </w:rPr>
      </w:pPr>
      <w:r w:rsidRPr="00621644">
        <w:rPr>
          <w:rFonts w:cstheme="minorHAnsi"/>
          <w:lang w:val="fr-FR" w:eastAsia="en-GB"/>
        </w:rPr>
        <w:t>V roce 2019 bylo v přímo dotčených odvětvích, kterých se tato část EGD dotýká zaměstnáno:</w:t>
      </w:r>
    </w:p>
    <w:p w14:paraId="5096C434" w14:textId="77777777" w:rsidR="007B185F" w:rsidRPr="00621644" w:rsidRDefault="007B185F" w:rsidP="00FF0124">
      <w:pPr>
        <w:spacing w:line="240" w:lineRule="auto"/>
        <w:contextualSpacing/>
        <w:jc w:val="both"/>
        <w:rPr>
          <w:rFonts w:cstheme="minorHAnsi"/>
          <w:lang w:val="fr-FR" w:eastAsia="en-GB"/>
        </w:rPr>
      </w:pPr>
      <w:r w:rsidRPr="00621644">
        <w:rPr>
          <w:rFonts w:cstheme="minorHAnsi"/>
          <w:lang w:val="fr-FR" w:eastAsia="en-GB"/>
        </w:rPr>
        <w:t>•</w:t>
      </w:r>
      <w:r w:rsidRPr="00621644">
        <w:rPr>
          <w:rFonts w:cstheme="minorHAnsi"/>
          <w:lang w:val="fr-FR" w:eastAsia="en-GB"/>
        </w:rPr>
        <w:tab/>
        <w:t>55,1 tisíce osob v oddílu CZ-NACE 24 - Výroba zákl. kovů, hutní zpracování kovů; slévárenství</w:t>
      </w:r>
    </w:p>
    <w:p w14:paraId="42F1E312" w14:textId="77777777" w:rsidR="007B185F" w:rsidRPr="00621644" w:rsidRDefault="007B185F" w:rsidP="00FF0124">
      <w:pPr>
        <w:spacing w:line="240" w:lineRule="auto"/>
        <w:contextualSpacing/>
        <w:jc w:val="both"/>
        <w:rPr>
          <w:rFonts w:cstheme="minorHAnsi"/>
          <w:lang w:val="fr-FR" w:eastAsia="en-GB"/>
        </w:rPr>
      </w:pPr>
      <w:r w:rsidRPr="00621644">
        <w:rPr>
          <w:rFonts w:cstheme="minorHAnsi"/>
          <w:lang w:val="fr-FR" w:eastAsia="en-GB"/>
        </w:rPr>
        <w:t>•</w:t>
      </w:r>
      <w:r w:rsidRPr="00621644">
        <w:rPr>
          <w:rFonts w:cstheme="minorHAnsi"/>
          <w:lang w:val="fr-FR" w:eastAsia="en-GB"/>
        </w:rPr>
        <w:tab/>
        <w:t>100,7 tisíce osob v oddílu CZ-NACE 22 - Výroba pryžových a plastových výrobků</w:t>
      </w:r>
    </w:p>
    <w:p w14:paraId="3161B11C" w14:textId="77777777" w:rsidR="00C04C67" w:rsidRDefault="002B16B6" w:rsidP="00FF0124">
      <w:pPr>
        <w:spacing w:line="240" w:lineRule="auto"/>
        <w:jc w:val="both"/>
        <w:rPr>
          <w:rFonts w:cstheme="minorHAnsi"/>
          <w:lang w:val="fr-FR" w:eastAsia="en-GB"/>
        </w:rPr>
      </w:pPr>
      <w:r>
        <w:rPr>
          <w:rFonts w:cstheme="minorHAnsi"/>
          <w:lang w:val="fr-FR" w:eastAsia="en-GB"/>
        </w:rPr>
        <w:t>D</w:t>
      </w:r>
      <w:r w:rsidR="007B185F" w:rsidRPr="00621644">
        <w:rPr>
          <w:rFonts w:cstheme="minorHAnsi"/>
          <w:lang w:val="fr-FR" w:eastAsia="en-GB"/>
        </w:rPr>
        <w:t xml:space="preserve">ojde k ovlivnění dalších pracovních míst v oblasti chemického či textilního průmyslu, a v oblasti těžby a zpracování fosilních paliv (zejména uhlí a energetika), jestliže nebude dostatečně zvládnut přechod na nízkouhlíkové hospodářství a dekarbonizaci těchto odvětví. </w:t>
      </w:r>
    </w:p>
    <w:p w14:paraId="54A0FDC2" w14:textId="54C47658" w:rsidR="007B185F" w:rsidRDefault="007B185F" w:rsidP="00FF0124">
      <w:pPr>
        <w:spacing w:line="240" w:lineRule="auto"/>
        <w:jc w:val="both"/>
        <w:rPr>
          <w:rFonts w:cstheme="minorHAnsi"/>
          <w:lang w:val="fr-FR" w:eastAsia="en-GB"/>
        </w:rPr>
      </w:pPr>
      <w:r w:rsidRPr="00621644">
        <w:rPr>
          <w:rFonts w:cstheme="minorHAnsi"/>
          <w:lang w:val="fr-FR" w:eastAsia="en-GB"/>
        </w:rPr>
        <w:t xml:space="preserve">Kvantifikace míry ohrožení v těchto segmentech hospodářství není v současné době možná, jelikož prováděcí dokumenty s reálným dopadem jsou teprve připravovány.  </w:t>
      </w:r>
    </w:p>
    <w:p w14:paraId="258D954A" w14:textId="3E9C71A2" w:rsidR="007B185F" w:rsidRPr="002B16B6" w:rsidRDefault="007B185F" w:rsidP="00FF0124">
      <w:pPr>
        <w:spacing w:line="240" w:lineRule="auto"/>
        <w:jc w:val="both"/>
      </w:pPr>
      <w:r w:rsidRPr="002B16B6">
        <w:t>Zaměstnavatelé a jejich zaměstnanci činní v energeticky náročných odvětvích a odvětvích významně závislých na fosilních palivech a jejich zpracování. Dotčení budou i zaměstnavatelé a jejich zaměstnanci v návazných oborech</w:t>
      </w:r>
      <w:r w:rsidR="002B16B6">
        <w:t xml:space="preserve"> </w:t>
      </w:r>
      <w:r w:rsidRPr="002B16B6">
        <w:t>v regionech, kde probíhá těžba a zpracování fosilních paliv.</w:t>
      </w:r>
    </w:p>
    <w:p w14:paraId="409BE122" w14:textId="72B1D1C2" w:rsidR="007B185F" w:rsidRPr="002B16B6" w:rsidRDefault="007B185F" w:rsidP="00FF0124">
      <w:pPr>
        <w:spacing w:line="240" w:lineRule="auto"/>
        <w:jc w:val="both"/>
      </w:pPr>
      <w:r w:rsidRPr="002B16B6">
        <w:t xml:space="preserve">Ve vztahu k politice zaměstnanosti budou náklady vznikat zejména v souvislosti s outplacementovými programy. </w:t>
      </w:r>
      <w:r w:rsidR="00FF0124" w:rsidRPr="002B16B6">
        <w:t xml:space="preserve">Náklady </w:t>
      </w:r>
      <w:r w:rsidR="00FF0124">
        <w:t>– spojené</w:t>
      </w:r>
      <w:r w:rsidRPr="002B16B6">
        <w:t xml:space="preserve"> zejména s podporou zaměstnanců z ohrožených odvětví – tedy zejména </w:t>
      </w:r>
      <w:r w:rsidRPr="002B16B6">
        <w:lastRenderedPageBreak/>
        <w:t xml:space="preserve">s jejich rekvalifikací a jinými formami dalšího odborného vzdělávání. </w:t>
      </w:r>
      <w:r w:rsidR="00C04C67">
        <w:t xml:space="preserve">Další </w:t>
      </w:r>
      <w:r w:rsidR="00FF0124">
        <w:t>n</w:t>
      </w:r>
      <w:r w:rsidR="00FF0124" w:rsidRPr="002B16B6">
        <w:t xml:space="preserve">áklady </w:t>
      </w:r>
      <w:r w:rsidR="00FF0124">
        <w:t>– přidruženými</w:t>
      </w:r>
      <w:r w:rsidRPr="002B16B6">
        <w:t xml:space="preserve"> sociálními programy kompenzujícími ztrátu zaměstnání, zejména po dobu nalezení nového pracovního uplatnění. </w:t>
      </w:r>
      <w:r w:rsidR="00C04C67">
        <w:t>Z</w:t>
      </w:r>
      <w:r w:rsidRPr="002B16B6">
        <w:t>výšení nákladů, v případě že transformace nebude odpovídat rychlosti útlumu odvětví, s rostoucí nezaměstnaností – podpora v nezaměstnanosti, výpadky příjmů veřejných financí v souvislosti s nezaměstnaností (veřejné zdravotní pojištění, sociální pojištění a pod). Dodatečné náklady lze rovněž očekávat v případě stimulace vzniku nových pracovních míst v perspektivních oborech posilující transformaci a profesní mobilitu pracovní síly.</w:t>
      </w:r>
    </w:p>
    <w:p w14:paraId="10D0B383" w14:textId="49B35006" w:rsidR="00963616" w:rsidRPr="002B16B6" w:rsidRDefault="009E4B04" w:rsidP="00FF0124">
      <w:pPr>
        <w:spacing w:line="240" w:lineRule="auto"/>
        <w:jc w:val="both"/>
        <w:rPr>
          <w:rFonts w:cstheme="minorHAnsi"/>
          <w:b/>
          <w:bCs/>
          <w:sz w:val="20"/>
          <w:szCs w:val="20"/>
        </w:rPr>
      </w:pPr>
      <w:r>
        <w:rPr>
          <w:rFonts w:cstheme="minorHAnsi"/>
          <w:b/>
          <w:bCs/>
          <w:sz w:val="20"/>
          <w:szCs w:val="20"/>
        </w:rPr>
        <w:t xml:space="preserve">K části: </w:t>
      </w:r>
      <w:r w:rsidR="00963616" w:rsidRPr="002B16B6">
        <w:rPr>
          <w:rFonts w:cstheme="minorHAnsi"/>
          <w:b/>
          <w:bCs/>
          <w:sz w:val="20"/>
          <w:szCs w:val="20"/>
        </w:rPr>
        <w:t>Mobilizace výzkumu a podpora inovací</w:t>
      </w:r>
    </w:p>
    <w:p w14:paraId="31835F83" w14:textId="349DA5F7" w:rsidR="00963616" w:rsidRPr="000B1A0F" w:rsidRDefault="002B16B6" w:rsidP="00FF0124">
      <w:pPr>
        <w:spacing w:line="240" w:lineRule="auto"/>
        <w:jc w:val="both"/>
        <w:rPr>
          <w:rFonts w:cstheme="minorHAnsi"/>
        </w:rPr>
      </w:pPr>
      <w:r w:rsidRPr="000B1A0F">
        <w:rPr>
          <w:rFonts w:cstheme="minorHAnsi"/>
        </w:rPr>
        <w:t>P</w:t>
      </w:r>
      <w:r w:rsidR="00963616" w:rsidRPr="000B1A0F">
        <w:rPr>
          <w:rFonts w:cstheme="minorHAnsi"/>
        </w:rPr>
        <w:t xml:space="preserve">rogram </w:t>
      </w:r>
      <w:r w:rsidR="00963616" w:rsidRPr="000B1A0F">
        <w:rPr>
          <w:rFonts w:cstheme="minorHAnsi"/>
          <w:b/>
          <w:bCs/>
        </w:rPr>
        <w:t xml:space="preserve">Horizon </w:t>
      </w:r>
      <w:r w:rsidR="001C6F84" w:rsidRPr="000B1A0F">
        <w:rPr>
          <w:rFonts w:cstheme="minorHAnsi"/>
          <w:b/>
          <w:bCs/>
        </w:rPr>
        <w:t>Europe</w:t>
      </w:r>
      <w:r w:rsidR="001C6F84" w:rsidRPr="000B1A0F">
        <w:rPr>
          <w:rFonts w:cstheme="minorHAnsi"/>
        </w:rPr>
        <w:t xml:space="preserve"> – by</w:t>
      </w:r>
      <w:r w:rsidR="00963616" w:rsidRPr="000B1A0F">
        <w:rPr>
          <w:rFonts w:cstheme="minorHAnsi"/>
        </w:rPr>
        <w:t xml:space="preserve"> mělo být vyhrazeno 35 % celkového rozpočtu na financování oblastí klimatu a klimatických změn. ČR podporuje programu Horizon</w:t>
      </w:r>
      <w:r w:rsidRPr="000B1A0F">
        <w:rPr>
          <w:rFonts w:cstheme="minorHAnsi"/>
        </w:rPr>
        <w:t>.</w:t>
      </w:r>
    </w:p>
    <w:p w14:paraId="17F403E7" w14:textId="3850AA80" w:rsidR="00963616" w:rsidRPr="000B1A0F" w:rsidRDefault="002B16B6" w:rsidP="00FF0124">
      <w:pPr>
        <w:spacing w:line="240" w:lineRule="auto"/>
        <w:jc w:val="both"/>
        <w:rPr>
          <w:rFonts w:cstheme="minorHAnsi"/>
          <w:color w:val="FF0000"/>
        </w:rPr>
      </w:pPr>
      <w:r w:rsidRPr="000B1A0F">
        <w:rPr>
          <w:rFonts w:cstheme="minorHAnsi"/>
        </w:rPr>
        <w:t xml:space="preserve">V </w:t>
      </w:r>
      <w:r w:rsidR="00963616" w:rsidRPr="000B1A0F">
        <w:rPr>
          <w:rFonts w:cstheme="minorHAnsi"/>
          <w:b/>
          <w:bCs/>
        </w:rPr>
        <w:t>OP VVV</w:t>
      </w:r>
      <w:r w:rsidR="00963616" w:rsidRPr="000B1A0F">
        <w:rPr>
          <w:rFonts w:cstheme="minorHAnsi"/>
        </w:rPr>
        <w:t xml:space="preserve"> </w:t>
      </w:r>
      <w:r w:rsidRPr="000B1A0F">
        <w:rPr>
          <w:rFonts w:cstheme="minorHAnsi"/>
        </w:rPr>
        <w:t>(</w:t>
      </w:r>
      <w:r w:rsidRPr="000B1A0F">
        <w:rPr>
          <w:rStyle w:val="Zdraznn"/>
          <w:rFonts w:cstheme="minorHAnsi"/>
          <w:b/>
          <w:bCs/>
          <w:i w:val="0"/>
          <w:iCs w:val="0"/>
          <w:shd w:val="clear" w:color="auto" w:fill="FFFFFF"/>
        </w:rPr>
        <w:t>Operační program</w:t>
      </w:r>
      <w:r w:rsidRPr="000B1A0F">
        <w:rPr>
          <w:rFonts w:cstheme="minorHAnsi"/>
          <w:shd w:val="clear" w:color="auto" w:fill="FFFFFF"/>
        </w:rPr>
        <w:t xml:space="preserve"> Výzkum, vývoj a </w:t>
      </w:r>
      <w:r w:rsidR="00FF0124" w:rsidRPr="000B1A0F">
        <w:rPr>
          <w:rFonts w:cstheme="minorHAnsi"/>
          <w:shd w:val="clear" w:color="auto" w:fill="FFFFFF"/>
        </w:rPr>
        <w:t>vzdělávání</w:t>
      </w:r>
      <w:r w:rsidR="00FF0124" w:rsidRPr="000B1A0F">
        <w:rPr>
          <w:rFonts w:cstheme="minorHAnsi"/>
        </w:rPr>
        <w:t>) -</w:t>
      </w:r>
      <w:r w:rsidRPr="000B1A0F">
        <w:rPr>
          <w:rFonts w:cstheme="minorHAnsi"/>
        </w:rPr>
        <w:t xml:space="preserve"> m</w:t>
      </w:r>
      <w:r w:rsidR="00963616" w:rsidRPr="000B1A0F">
        <w:rPr>
          <w:rFonts w:cstheme="minorHAnsi"/>
        </w:rPr>
        <w:t>ezi podpořenými projekty figurují i ty zaměřené na výzkum v souladu s EGD.</w:t>
      </w:r>
    </w:p>
    <w:p w14:paraId="07466A32" w14:textId="3388367E" w:rsidR="00963616" w:rsidRPr="000B1A0F" w:rsidRDefault="00963616" w:rsidP="00FF0124">
      <w:pPr>
        <w:spacing w:line="240" w:lineRule="auto"/>
        <w:jc w:val="both"/>
        <w:rPr>
          <w:rFonts w:cstheme="minorHAnsi"/>
        </w:rPr>
      </w:pPr>
      <w:r w:rsidRPr="000B1A0F">
        <w:rPr>
          <w:rFonts w:cstheme="minorHAnsi"/>
          <w:b/>
          <w:bCs/>
        </w:rPr>
        <w:t xml:space="preserve">OP JAK </w:t>
      </w:r>
      <w:r w:rsidR="002B16B6" w:rsidRPr="000B1A0F">
        <w:rPr>
          <w:rFonts w:cstheme="minorHAnsi"/>
          <w:b/>
          <w:bCs/>
        </w:rPr>
        <w:t>(</w:t>
      </w:r>
      <w:r w:rsidR="002B16B6" w:rsidRPr="000B1A0F">
        <w:rPr>
          <w:rStyle w:val="Siln"/>
          <w:rFonts w:cstheme="minorHAnsi"/>
          <w:b w:val="0"/>
          <w:bCs w:val="0"/>
          <w:shd w:val="clear" w:color="auto" w:fill="FFFFFF"/>
        </w:rPr>
        <w:t>Operační program Jan Amos Komenský</w:t>
      </w:r>
      <w:r w:rsidR="002B16B6" w:rsidRPr="000B1A0F">
        <w:rPr>
          <w:rFonts w:cstheme="minorHAnsi"/>
        </w:rPr>
        <w:t xml:space="preserve">) </w:t>
      </w:r>
      <w:r w:rsidRPr="000B1A0F">
        <w:rPr>
          <w:rFonts w:cstheme="minorHAnsi"/>
        </w:rPr>
        <w:t xml:space="preserve">předpokládá podporu synergií s Horizon Europe, podpory úspěšných, avšak nefinancovaných projektů z výzev Horizon </w:t>
      </w:r>
      <w:r w:rsidR="00FF0124" w:rsidRPr="000B1A0F">
        <w:rPr>
          <w:rFonts w:cstheme="minorHAnsi"/>
        </w:rPr>
        <w:t>Europe, např.</w:t>
      </w:r>
      <w:r w:rsidR="00D06F47" w:rsidRPr="000B1A0F">
        <w:rPr>
          <w:rFonts w:cstheme="minorHAnsi"/>
        </w:rPr>
        <w:t xml:space="preserve"> </w:t>
      </w:r>
      <w:r w:rsidRPr="000B1A0F">
        <w:rPr>
          <w:rFonts w:cstheme="minorHAnsi"/>
        </w:rPr>
        <w:t>možnosti převzetí některých nastavení (včetně zejména oblasti veřejné podpory) z Horizon Europe do operačních programů financovaných z ESIF v případě podpor projektů s pečetí Seal of Excellence či obecně projektů kvalitně hodnocených, avšak nefinancovaných z Horizon Europe z důvodu nedostatku finančních prostředků.</w:t>
      </w:r>
    </w:p>
    <w:p w14:paraId="3364B943" w14:textId="77777777" w:rsidR="00963616" w:rsidRPr="000B1A0F" w:rsidRDefault="00963616" w:rsidP="00FF0124">
      <w:pPr>
        <w:spacing w:line="240" w:lineRule="auto"/>
        <w:jc w:val="both"/>
        <w:rPr>
          <w:rFonts w:cstheme="minorHAnsi"/>
        </w:rPr>
      </w:pPr>
      <w:r w:rsidRPr="000B1A0F">
        <w:rPr>
          <w:rFonts w:cstheme="minorHAnsi"/>
        </w:rPr>
        <w:t>OP JAK zvažuje možnosti navázání vybraných intervencí na mise Horizon Europe, a to vždy v rámci hranic nastavených zaměřením OP JAK i priorit Národní výzkumné a inovační strategie pro inteligentní specializaci ČR (RIS3).</w:t>
      </w:r>
    </w:p>
    <w:p w14:paraId="3A24028D" w14:textId="6F193EBC" w:rsidR="00963616" w:rsidRPr="000B1A0F" w:rsidRDefault="00963616" w:rsidP="00FF0124">
      <w:pPr>
        <w:spacing w:line="240" w:lineRule="auto"/>
        <w:jc w:val="both"/>
        <w:rPr>
          <w:rFonts w:cstheme="minorHAnsi"/>
        </w:rPr>
      </w:pPr>
      <w:r w:rsidRPr="000B1A0F">
        <w:rPr>
          <w:rFonts w:cstheme="minorHAnsi"/>
        </w:rPr>
        <w:t xml:space="preserve">OP JAK </w:t>
      </w:r>
      <w:r w:rsidR="00D06F47" w:rsidRPr="000B1A0F">
        <w:rPr>
          <w:rFonts w:cstheme="minorHAnsi"/>
        </w:rPr>
        <w:t xml:space="preserve">zvažuje </w:t>
      </w:r>
      <w:r w:rsidRPr="000B1A0F">
        <w:rPr>
          <w:rFonts w:cstheme="minorHAnsi"/>
        </w:rPr>
        <w:t xml:space="preserve">podporu projektů orientovaného výzkumu, jež budou směřovat k cílům EGD v předpokládaném rozsahu 1 mld. Kč. </w:t>
      </w:r>
      <w:bookmarkStart w:id="6" w:name="_Hlk57143033"/>
      <w:r w:rsidRPr="000B1A0F">
        <w:rPr>
          <w:rFonts w:cstheme="minorHAnsi"/>
        </w:rPr>
        <w:t>Finální nastavení OP JAK a konkrétních intervencí však závisí na vyjednávání s </w:t>
      </w:r>
      <w:r w:rsidR="00D06F47" w:rsidRPr="000B1A0F">
        <w:rPr>
          <w:rFonts w:cstheme="minorHAnsi"/>
        </w:rPr>
        <w:t>EK</w:t>
      </w:r>
      <w:r w:rsidRPr="000B1A0F">
        <w:rPr>
          <w:rFonts w:cstheme="minorHAnsi"/>
        </w:rPr>
        <w:t xml:space="preserve"> i na finálním schválení víceletého finančního rámce a související finální alokací pro OP JAK z ESIF.</w:t>
      </w:r>
      <w:bookmarkEnd w:id="6"/>
    </w:p>
    <w:p w14:paraId="68F61320" w14:textId="7495F3BF" w:rsidR="00E60DD1" w:rsidRPr="000B1A0F" w:rsidRDefault="00FF0124" w:rsidP="00FF0124">
      <w:pPr>
        <w:spacing w:line="240" w:lineRule="auto"/>
        <w:jc w:val="both"/>
        <w:rPr>
          <w:rFonts w:cstheme="minorHAnsi"/>
        </w:rPr>
      </w:pPr>
      <w:r w:rsidRPr="000B1A0F">
        <w:rPr>
          <w:rFonts w:cstheme="minorHAnsi"/>
        </w:rPr>
        <w:t>ČR – podpora</w:t>
      </w:r>
      <w:r w:rsidR="00963616" w:rsidRPr="000B1A0F">
        <w:rPr>
          <w:rFonts w:cstheme="minorHAnsi"/>
        </w:rPr>
        <w:t xml:space="preserve"> synergii mezi Horizon Europe, národním financováním a ESIF v oblasti podpory velkých výzkumných </w:t>
      </w:r>
      <w:r w:rsidRPr="000B1A0F">
        <w:rPr>
          <w:rFonts w:cstheme="minorHAnsi"/>
        </w:rPr>
        <w:t>infrastruktur – rozvoj</w:t>
      </w:r>
      <w:r w:rsidR="00963616" w:rsidRPr="000B1A0F">
        <w:rPr>
          <w:rFonts w:cstheme="minorHAnsi"/>
        </w:rPr>
        <w:t xml:space="preserve"> celé základny VaVaI v </w:t>
      </w:r>
      <w:r w:rsidRPr="000B1A0F">
        <w:rPr>
          <w:rFonts w:cstheme="minorHAnsi"/>
        </w:rPr>
        <w:t>ČR včetně</w:t>
      </w:r>
      <w:r w:rsidR="00963616" w:rsidRPr="000B1A0F">
        <w:rPr>
          <w:rFonts w:cstheme="minorHAnsi"/>
        </w:rPr>
        <w:t xml:space="preserve"> VaVaI zaměřeného na priority EGD. </w:t>
      </w:r>
    </w:p>
    <w:p w14:paraId="1282B271" w14:textId="044BFD1D" w:rsidR="00963616" w:rsidRPr="000B1A0F" w:rsidRDefault="00963616" w:rsidP="002A1848">
      <w:pPr>
        <w:spacing w:line="276" w:lineRule="auto"/>
        <w:jc w:val="both"/>
        <w:rPr>
          <w:rFonts w:cstheme="minorHAnsi"/>
        </w:rPr>
      </w:pPr>
      <w:r w:rsidRPr="000B1A0F">
        <w:rPr>
          <w:rFonts w:cstheme="minorHAnsi"/>
        </w:rPr>
        <w:t>Cílem je navázat na úspěšnou komplementární podporu velkých výzkumných infrastruktur v současném období, kdy dochází k podpoře provozních nákladů ze státního rozpočtu ČR, investic do modernizace a update infrastruktur z ESIF a mezinárodní spolupráce prostřednictvím Horizon 2020.</w:t>
      </w:r>
    </w:p>
    <w:p w14:paraId="31710C44" w14:textId="06EB7D99" w:rsidR="00963616" w:rsidRPr="000B1A0F" w:rsidRDefault="009E4B04" w:rsidP="002A1848">
      <w:pPr>
        <w:spacing w:line="276" w:lineRule="auto"/>
        <w:jc w:val="both"/>
        <w:rPr>
          <w:rFonts w:cstheme="minorHAnsi"/>
          <w:b/>
          <w:bCs/>
        </w:rPr>
      </w:pPr>
      <w:r>
        <w:rPr>
          <w:rFonts w:cstheme="minorHAnsi"/>
          <w:b/>
          <w:bCs/>
        </w:rPr>
        <w:t xml:space="preserve">K části: </w:t>
      </w:r>
      <w:r w:rsidR="00963616" w:rsidRPr="000B1A0F">
        <w:rPr>
          <w:rFonts w:cstheme="minorHAnsi"/>
          <w:b/>
          <w:bCs/>
        </w:rPr>
        <w:t>Zapojení vzdělávání a odborné přípravy</w:t>
      </w:r>
    </w:p>
    <w:p w14:paraId="4C9312B0" w14:textId="20DD8F3A" w:rsidR="00A223D8" w:rsidRPr="000B1A0F" w:rsidRDefault="00963616" w:rsidP="001C6F84">
      <w:pPr>
        <w:spacing w:line="240" w:lineRule="auto"/>
        <w:jc w:val="both"/>
        <w:rPr>
          <w:rFonts w:cstheme="minorHAnsi"/>
        </w:rPr>
      </w:pPr>
      <w:r w:rsidRPr="000B1A0F">
        <w:rPr>
          <w:rFonts w:cstheme="minorHAnsi"/>
        </w:rPr>
        <w:t xml:space="preserve">Oblast neformálního vzdělávání a mládeže je uvedena ve Strategii 2030+ a dále v končící Koncepci podpory mládeže 2014–2020. Pro oblast vysokého školství rozpracovává obecné priority formulované Strategií 2030+ </w:t>
      </w:r>
      <w:r w:rsidR="000B1A0F" w:rsidRPr="000B1A0F">
        <w:rPr>
          <w:rFonts w:cstheme="minorHAnsi"/>
        </w:rPr>
        <w:t>- ta</w:t>
      </w:r>
      <w:r w:rsidRPr="000B1A0F">
        <w:rPr>
          <w:rFonts w:cstheme="minorHAnsi"/>
        </w:rPr>
        <w:t xml:space="preserve"> má dva hlavní strategické cíle, které se zaměřují na proměnu obsahu vzdělávání (SC1) a na snižování sociálních nerovností ve vzdělávání (SC2). </w:t>
      </w:r>
    </w:p>
    <w:p w14:paraId="26938B6F" w14:textId="18FFCDB3" w:rsidR="00A223D8" w:rsidRPr="000B1A0F" w:rsidRDefault="00963616" w:rsidP="001C6F84">
      <w:pPr>
        <w:spacing w:line="240" w:lineRule="auto"/>
        <w:jc w:val="both"/>
        <w:rPr>
          <w:rFonts w:cstheme="minorHAnsi"/>
        </w:rPr>
      </w:pPr>
      <w:r w:rsidRPr="000B1A0F">
        <w:rPr>
          <w:rFonts w:cstheme="minorHAnsi"/>
        </w:rPr>
        <w:t>Cílem je, aby si všichni osvojovali znalosti a dovednosti potřebné k prosazování udržitelného rozvoje, mimo jiné prostřednictvím vzdělávání zaměřeného na udržitelný rozvoj a udržitelný způsob života, změnu klimatu, lidská práva, genderovou rovnost, toleranci, prosazování kultury míru a nenásilí, občanství a uznávání kulturní rozmanitosti a přínosu kultury k udržitelnému rozvoji.</w:t>
      </w:r>
    </w:p>
    <w:p w14:paraId="58F04DD1" w14:textId="4348ACD5" w:rsidR="00963616" w:rsidRPr="000B1A0F" w:rsidRDefault="00A223D8" w:rsidP="001C6F84">
      <w:pPr>
        <w:spacing w:line="240" w:lineRule="auto"/>
        <w:jc w:val="both"/>
        <w:rPr>
          <w:rFonts w:cstheme="minorHAnsi"/>
        </w:rPr>
      </w:pPr>
      <w:r w:rsidRPr="000B1A0F">
        <w:rPr>
          <w:rFonts w:cstheme="minorHAnsi"/>
        </w:rPr>
        <w:t>D</w:t>
      </w:r>
      <w:r w:rsidR="00963616" w:rsidRPr="000B1A0F">
        <w:rPr>
          <w:rFonts w:cstheme="minorHAnsi"/>
        </w:rPr>
        <w:t>oplňující téma vytyčuje snižování uhlíkové stopy při provozu vysokoškolských objektů</w:t>
      </w:r>
      <w:r w:rsidR="009421CD" w:rsidRPr="000B1A0F">
        <w:rPr>
          <w:rFonts w:cstheme="minorHAnsi"/>
        </w:rPr>
        <w:t>.</w:t>
      </w:r>
      <w:r w:rsidR="00963616" w:rsidRPr="000B1A0F">
        <w:rPr>
          <w:rFonts w:cstheme="minorHAnsi"/>
        </w:rPr>
        <w:t xml:space="preserve"> </w:t>
      </w:r>
    </w:p>
    <w:p w14:paraId="15E61ED9" w14:textId="77777777" w:rsidR="00963616" w:rsidRPr="000B1A0F" w:rsidRDefault="00963616" w:rsidP="001C6F84">
      <w:pPr>
        <w:spacing w:line="240" w:lineRule="auto"/>
        <w:jc w:val="both"/>
        <w:rPr>
          <w:rFonts w:cstheme="minorHAnsi"/>
          <w:i/>
          <w:iCs/>
        </w:rPr>
      </w:pPr>
      <w:r w:rsidRPr="000B1A0F">
        <w:rPr>
          <w:rFonts w:cstheme="minorHAnsi"/>
          <w:i/>
          <w:iCs/>
        </w:rPr>
        <w:t>Erasmus+</w:t>
      </w:r>
    </w:p>
    <w:p w14:paraId="2B2D7167" w14:textId="232704B9" w:rsidR="00963616" w:rsidRPr="000B1A0F" w:rsidRDefault="00A223D8" w:rsidP="001C6F84">
      <w:pPr>
        <w:spacing w:line="240" w:lineRule="auto"/>
        <w:jc w:val="both"/>
        <w:rPr>
          <w:rFonts w:cstheme="minorHAnsi"/>
          <w:color w:val="FF0000"/>
        </w:rPr>
      </w:pPr>
      <w:r w:rsidRPr="000B1A0F">
        <w:rPr>
          <w:rFonts w:cstheme="minorHAnsi"/>
        </w:rPr>
        <w:t>Pro P</w:t>
      </w:r>
      <w:r w:rsidR="00963616" w:rsidRPr="000B1A0F">
        <w:rPr>
          <w:rFonts w:cstheme="minorHAnsi"/>
        </w:rPr>
        <w:t xml:space="preserve">rogram Erasmus+ pro nové programové období 2021-2027 </w:t>
      </w:r>
      <w:r w:rsidR="00011C5A">
        <w:rPr>
          <w:rFonts w:cstheme="minorHAnsi"/>
        </w:rPr>
        <w:t>-</w:t>
      </w:r>
      <w:r w:rsidR="00963616" w:rsidRPr="000B1A0F">
        <w:rPr>
          <w:rFonts w:cstheme="minorHAnsi"/>
        </w:rPr>
        <w:t xml:space="preserve"> klimatické změny a udržitelné životní prostředí jednou z horizontálních priorit (tzv. Green Erasmus).</w:t>
      </w:r>
    </w:p>
    <w:p w14:paraId="68E0B890" w14:textId="33978274" w:rsidR="00963616" w:rsidRPr="000B1A0F" w:rsidRDefault="000B1A0F" w:rsidP="001C6F84">
      <w:pPr>
        <w:spacing w:line="240" w:lineRule="auto"/>
        <w:jc w:val="both"/>
        <w:rPr>
          <w:rFonts w:cstheme="minorHAnsi"/>
          <w:color w:val="FF0000"/>
        </w:rPr>
      </w:pPr>
      <w:r w:rsidRPr="000B1A0F">
        <w:rPr>
          <w:rFonts w:cstheme="minorHAnsi"/>
        </w:rPr>
        <w:lastRenderedPageBreak/>
        <w:t xml:space="preserve">V souvislosti s pandemií COVID-19 došlo k </w:t>
      </w:r>
      <w:r w:rsidR="00963616" w:rsidRPr="000B1A0F">
        <w:rPr>
          <w:rFonts w:cstheme="minorHAnsi"/>
        </w:rPr>
        <w:t>zásadní</w:t>
      </w:r>
      <w:r w:rsidRPr="000B1A0F">
        <w:rPr>
          <w:rFonts w:cstheme="minorHAnsi"/>
        </w:rPr>
        <w:t>mu</w:t>
      </w:r>
      <w:r w:rsidR="00963616" w:rsidRPr="000B1A0F">
        <w:rPr>
          <w:rFonts w:cstheme="minorHAnsi"/>
        </w:rPr>
        <w:t xml:space="preserve"> ponížení rozpočtu na program Erasmus+</w:t>
      </w:r>
      <w:r w:rsidR="00A223D8" w:rsidRPr="000B1A0F">
        <w:rPr>
          <w:rFonts w:cstheme="minorHAnsi"/>
        </w:rPr>
        <w:t xml:space="preserve"> </w:t>
      </w:r>
      <w:r w:rsidR="009421CD" w:rsidRPr="000B1A0F">
        <w:rPr>
          <w:rFonts w:cstheme="minorHAnsi"/>
        </w:rPr>
        <w:t xml:space="preserve">- </w:t>
      </w:r>
      <w:r w:rsidR="00963616" w:rsidRPr="000B1A0F">
        <w:rPr>
          <w:rFonts w:cstheme="minorHAnsi"/>
        </w:rPr>
        <w:t xml:space="preserve">původní ambiciózní klimatické a environmentální cíle </w:t>
      </w:r>
      <w:r w:rsidR="009421CD" w:rsidRPr="000B1A0F">
        <w:rPr>
          <w:rFonts w:cstheme="minorHAnsi"/>
        </w:rPr>
        <w:t xml:space="preserve">zůstávají </w:t>
      </w:r>
      <w:r w:rsidR="003372C8" w:rsidRPr="000B1A0F">
        <w:rPr>
          <w:rFonts w:cstheme="minorHAnsi"/>
        </w:rPr>
        <w:t>prioritou</w:t>
      </w:r>
      <w:r w:rsidR="003372C8">
        <w:rPr>
          <w:rFonts w:cstheme="minorHAnsi"/>
        </w:rPr>
        <w:t xml:space="preserve"> – naplňování</w:t>
      </w:r>
      <w:r w:rsidR="00963616" w:rsidRPr="000B1A0F">
        <w:rPr>
          <w:rFonts w:cstheme="minorHAnsi"/>
        </w:rPr>
        <w:t xml:space="preserve"> nejen prostřednictvím programu Erasmus+, ale i programu Evropský sbor solidarity a iniciativy Discover EU. </w:t>
      </w:r>
    </w:p>
    <w:p w14:paraId="101548DA" w14:textId="785F1A1D" w:rsidR="00963616" w:rsidRPr="000B1A0F" w:rsidRDefault="000B1A0F" w:rsidP="001C6F84">
      <w:pPr>
        <w:spacing w:line="240" w:lineRule="auto"/>
        <w:jc w:val="both"/>
        <w:rPr>
          <w:rFonts w:cstheme="minorHAnsi"/>
        </w:rPr>
      </w:pPr>
      <w:r w:rsidRPr="000B1A0F">
        <w:rPr>
          <w:rFonts w:cstheme="minorHAnsi"/>
        </w:rPr>
        <w:t>R</w:t>
      </w:r>
      <w:r w:rsidR="00963616" w:rsidRPr="000B1A0F">
        <w:rPr>
          <w:rFonts w:cstheme="minorHAnsi"/>
        </w:rPr>
        <w:t>evidován</w:t>
      </w:r>
      <w:r w:rsidRPr="000B1A0F">
        <w:rPr>
          <w:rFonts w:cstheme="minorHAnsi"/>
        </w:rPr>
        <w:t xml:space="preserve"> byl</w:t>
      </w:r>
      <w:r w:rsidR="00963616" w:rsidRPr="000B1A0F">
        <w:rPr>
          <w:rFonts w:cstheme="minorHAnsi"/>
        </w:rPr>
        <w:t xml:space="preserve"> Roční pracovní plán pro rok 2020</w:t>
      </w:r>
      <w:r w:rsidR="00011C5A">
        <w:rPr>
          <w:rFonts w:cstheme="minorHAnsi"/>
        </w:rPr>
        <w:t xml:space="preserve"> </w:t>
      </w:r>
      <w:r w:rsidR="00A223D8" w:rsidRPr="000B1A0F">
        <w:rPr>
          <w:rFonts w:cstheme="minorHAnsi"/>
        </w:rPr>
        <w:t>-</w:t>
      </w:r>
      <w:r w:rsidR="00011C5A">
        <w:rPr>
          <w:rFonts w:cstheme="minorHAnsi"/>
        </w:rPr>
        <w:t>jde o</w:t>
      </w:r>
      <w:r w:rsidR="00963616" w:rsidRPr="000B1A0F">
        <w:rPr>
          <w:rFonts w:cstheme="minorHAnsi"/>
        </w:rPr>
        <w:t xml:space="preserve"> projekty zaměřené na </w:t>
      </w:r>
      <w:r w:rsidR="00A223D8" w:rsidRPr="000B1A0F">
        <w:rPr>
          <w:rFonts w:cstheme="minorHAnsi"/>
        </w:rPr>
        <w:t>r</w:t>
      </w:r>
      <w:r w:rsidR="00963616" w:rsidRPr="000B1A0F">
        <w:rPr>
          <w:rFonts w:cstheme="minorHAnsi"/>
        </w:rPr>
        <w:t xml:space="preserve">ozvoj strategií a metodik zelených sektorových dovedností. </w:t>
      </w:r>
    </w:p>
    <w:p w14:paraId="624659A9" w14:textId="29C38179" w:rsidR="00963616" w:rsidRPr="000B1A0F" w:rsidRDefault="00A223D8" w:rsidP="001C6F84">
      <w:pPr>
        <w:spacing w:line="240" w:lineRule="auto"/>
        <w:jc w:val="both"/>
        <w:rPr>
          <w:rFonts w:cstheme="minorHAnsi"/>
          <w:color w:val="FF0000"/>
        </w:rPr>
      </w:pPr>
      <w:r w:rsidRPr="000B1A0F">
        <w:rPr>
          <w:rFonts w:cstheme="minorHAnsi"/>
        </w:rPr>
        <w:t>B</w:t>
      </w:r>
      <w:r w:rsidR="00963616" w:rsidRPr="000B1A0F">
        <w:rPr>
          <w:rFonts w:cstheme="minorHAnsi"/>
        </w:rPr>
        <w:t xml:space="preserve">yla posílena podpora „zelené dimenze“ výše zmíněných EU </w:t>
      </w:r>
      <w:r w:rsidR="000B1A0F" w:rsidRPr="000B1A0F">
        <w:rPr>
          <w:rFonts w:cstheme="minorHAnsi"/>
        </w:rPr>
        <w:t>programů – Současné</w:t>
      </w:r>
      <w:r w:rsidR="00963616" w:rsidRPr="000B1A0F">
        <w:rPr>
          <w:rFonts w:cstheme="minorHAnsi"/>
        </w:rPr>
        <w:t xml:space="preserve"> nastavení programů umožňuje „zelená řešení“ pouze v omezené míře, nová generace programů by je měla plně rozvinout a integrovat. </w:t>
      </w:r>
    </w:p>
    <w:p w14:paraId="7C4C7149" w14:textId="77777777" w:rsidR="000B1A0F" w:rsidRPr="000B1A0F" w:rsidRDefault="00963616" w:rsidP="001C6F84">
      <w:pPr>
        <w:spacing w:line="240" w:lineRule="auto"/>
        <w:jc w:val="both"/>
        <w:rPr>
          <w:rFonts w:cstheme="minorHAnsi"/>
        </w:rPr>
      </w:pPr>
      <w:r w:rsidRPr="000B1A0F">
        <w:rPr>
          <w:rFonts w:cstheme="minorHAnsi"/>
        </w:rPr>
        <w:t xml:space="preserve">OP VVV </w:t>
      </w:r>
      <w:r w:rsidR="009421CD" w:rsidRPr="000B1A0F">
        <w:rPr>
          <w:rFonts w:cstheme="minorHAnsi"/>
        </w:rPr>
        <w:t xml:space="preserve">– podpora </w:t>
      </w:r>
      <w:r w:rsidRPr="000B1A0F">
        <w:rPr>
          <w:rFonts w:cstheme="minorHAnsi"/>
        </w:rPr>
        <w:t xml:space="preserve">průřezově napříč několika výzvami v rámci formálního i neformálního vzdělávání. </w:t>
      </w:r>
    </w:p>
    <w:p w14:paraId="3FEA8ED2" w14:textId="7A472CEC" w:rsidR="00963616" w:rsidRPr="000B1A0F" w:rsidRDefault="00963616" w:rsidP="001C6F84">
      <w:pPr>
        <w:spacing w:line="240" w:lineRule="auto"/>
        <w:jc w:val="both"/>
        <w:rPr>
          <w:rFonts w:cstheme="minorHAnsi"/>
        </w:rPr>
      </w:pPr>
      <w:r w:rsidRPr="000B1A0F">
        <w:rPr>
          <w:rFonts w:cstheme="minorHAnsi"/>
        </w:rPr>
        <w:t>Konkrétní náklady však není možné vyčíslit, jelikož téma je součástí větších celků (např. polytechnické vzdělávání), kde environmentální tematika je pouze jedna z volitelných možností, kterou si žadatelé mohou v projektech zvolit. Finální nastavení OP JAK a konkrétních intervencí však závisí na vyjednávání s Evropskou komisí i na finálním schválení víceletého finančního rámce a související finální alokací pro OP JAK z ESIF.</w:t>
      </w:r>
    </w:p>
    <w:p w14:paraId="2475F3BE" w14:textId="77777777" w:rsidR="00963616" w:rsidRPr="00963616" w:rsidRDefault="00963616" w:rsidP="002A1848">
      <w:pPr>
        <w:spacing w:line="276" w:lineRule="auto"/>
        <w:jc w:val="both"/>
        <w:rPr>
          <w:rFonts w:cstheme="minorHAnsi"/>
          <w:color w:val="FF0000"/>
        </w:rPr>
      </w:pPr>
    </w:p>
    <w:p w14:paraId="39591F48" w14:textId="77777777" w:rsidR="00085287" w:rsidRPr="00DE2CF6"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DE2CF6">
        <w:rPr>
          <w:rFonts w:cstheme="minorHAnsi"/>
          <w:b/>
          <w:noProof/>
          <w:color w:val="000000" w:themeColor="text1"/>
        </w:rPr>
        <w:t>Akční plán pro oběhové hospodářství včetně iniciativy pro udržitelné produkty s obzvláštním zaměřením na odvětví nejnáročnější z hlediska zdrojů – např. odvětví textilu, stavebnictví, elektroniky a plastů</w:t>
      </w:r>
    </w:p>
    <w:p w14:paraId="5C39B4BA" w14:textId="4354175B" w:rsidR="00D71386" w:rsidRPr="00DE2CF6" w:rsidRDefault="00D71386" w:rsidP="00FF0124">
      <w:pPr>
        <w:autoSpaceDE w:val="0"/>
        <w:autoSpaceDN w:val="0"/>
        <w:adjustRightInd w:val="0"/>
        <w:spacing w:line="240" w:lineRule="auto"/>
        <w:jc w:val="both"/>
        <w:rPr>
          <w:rFonts w:cstheme="minorHAnsi"/>
          <w:b/>
          <w:bCs/>
          <w:color w:val="000000" w:themeColor="text1"/>
        </w:rPr>
      </w:pPr>
      <w:r w:rsidRPr="00DE2CF6">
        <w:rPr>
          <w:rFonts w:cstheme="minorHAnsi"/>
          <w:bCs/>
          <w:color w:val="000000" w:themeColor="text1"/>
        </w:rPr>
        <w:t>Rámcová pozice k</w:t>
      </w:r>
      <w:r w:rsidRPr="00DE2CF6">
        <w:rPr>
          <w:rFonts w:cstheme="minorHAnsi"/>
          <w:b/>
          <w:bCs/>
          <w:color w:val="000000" w:themeColor="text1"/>
        </w:rPr>
        <w:t xml:space="preserve"> </w:t>
      </w:r>
      <w:r w:rsidRPr="00DE2CF6">
        <w:rPr>
          <w:rFonts w:cstheme="minorHAnsi"/>
          <w:noProof/>
          <w:color w:val="000000" w:themeColor="text1"/>
        </w:rPr>
        <w:t>Akčnímu plánu pro oběhové hospodářství je k dispozici. Navazující legislativní návrhy se očekávají v dalších letech.</w:t>
      </w:r>
    </w:p>
    <w:p w14:paraId="2CD72F65" w14:textId="7E6B1CAE" w:rsidR="00D71386" w:rsidRPr="00DE2CF6" w:rsidRDefault="00D71386" w:rsidP="00FF0124">
      <w:pPr>
        <w:spacing w:line="240" w:lineRule="auto"/>
        <w:jc w:val="both"/>
        <w:rPr>
          <w:rFonts w:cstheme="minorHAnsi"/>
          <w:bCs/>
          <w:color w:val="000000" w:themeColor="text1"/>
        </w:rPr>
      </w:pPr>
      <w:r w:rsidRPr="00DE2CF6">
        <w:rPr>
          <w:rFonts w:cstheme="minorHAnsi"/>
          <w:bCs/>
          <w:color w:val="000000" w:themeColor="text1"/>
        </w:rPr>
        <w:t>Dopady na státní rozpočet mohou mít zejména změny evropských směrnic a přijatá opatření k plnění stanovených cílů (dopady některých opatření budou uvedeny v rámcových pozicích k jednotlivým připojeným legislativním návrhům). V současnosti ovšem přesně nelze kvantifikovat dopady na státní rozpočet. Ekonomické nebo sociální dopady budou mít zejména návazné změny existujících evropských směrnic, které jsou v akčním plánu avizovány (baterie, obaly, odpady, vozidla s ukončenou životností, ROHS a další) a přijatá opatření k plnění stanovených cílů a případných nových povinností členských zemí. Dopady bude mít i případná nová legislativa (textil, potravinový odpad).</w:t>
      </w:r>
    </w:p>
    <w:p w14:paraId="5641F7C7" w14:textId="77777777" w:rsidR="00D71386" w:rsidRPr="00DE2CF6" w:rsidRDefault="00D71386" w:rsidP="00FF0124">
      <w:pPr>
        <w:spacing w:line="240" w:lineRule="auto"/>
        <w:jc w:val="both"/>
        <w:rPr>
          <w:rFonts w:cstheme="minorHAnsi"/>
          <w:bCs/>
          <w:color w:val="000000" w:themeColor="text1"/>
        </w:rPr>
      </w:pPr>
      <w:r w:rsidRPr="00DE2CF6">
        <w:rPr>
          <w:rFonts w:cstheme="minorHAnsi"/>
          <w:bCs/>
          <w:color w:val="000000" w:themeColor="text1"/>
        </w:rPr>
        <w:t>V nedávné studii (Cambridge Econometrics) se odhaduje, že uplatňování zásad oběhového hospodářství v celém hospodářství EU má potenciál zvýšit HDP EU do roku 2030 o dalších 0,5 %, čímž vznikne přibližně 700 000 nových pracovních míst. Zjevné jsou i hospodářské výhody pro jednotlivé společnosti: vzhledem k tomu, že přibližně 40 % výdajů výrobních podniků v EU představují materiály, mohou modely uzavřených oběhových cyklů zvýšit jejich ziskovost a zároveň je chránit před kolísáním cen zdrojů.</w:t>
      </w:r>
    </w:p>
    <w:p w14:paraId="3BCB6F13" w14:textId="45A140BC" w:rsidR="00D71386" w:rsidRPr="00DE2CF6" w:rsidRDefault="00D71386" w:rsidP="00FF0124">
      <w:pPr>
        <w:spacing w:line="240" w:lineRule="auto"/>
        <w:jc w:val="both"/>
        <w:rPr>
          <w:rFonts w:cstheme="minorHAnsi"/>
          <w:bCs/>
          <w:color w:val="000000" w:themeColor="text1"/>
        </w:rPr>
      </w:pPr>
      <w:r w:rsidRPr="00DE2CF6">
        <w:rPr>
          <w:rFonts w:cstheme="minorHAnsi"/>
          <w:bCs/>
          <w:color w:val="000000" w:themeColor="text1"/>
        </w:rPr>
        <w:t>Vzhledem k tomu, že akční plán pro oběhové hospodářství obsahuje pouze výčet předpokládaných aktivit, nelze specifikovat zdroje financování. Nebyla předložena studie dopadů k novému akčnímu plánu pro oběhové hospodářství.</w:t>
      </w:r>
    </w:p>
    <w:p w14:paraId="09BE7AF1" w14:textId="14F4BE15" w:rsidR="00D17A06" w:rsidRPr="00011C5A" w:rsidRDefault="00D17A06" w:rsidP="00FF0124">
      <w:pPr>
        <w:shd w:val="clear" w:color="auto" w:fill="FFFFFF"/>
        <w:spacing w:line="240" w:lineRule="auto"/>
        <w:jc w:val="both"/>
        <w:rPr>
          <w:rFonts w:eastAsia="Times New Roman" w:cstheme="minorHAnsi"/>
          <w:color w:val="000000" w:themeColor="text1"/>
          <w:lang w:eastAsia="cs-CZ"/>
        </w:rPr>
      </w:pPr>
      <w:r w:rsidRPr="00011C5A">
        <w:rPr>
          <w:rFonts w:eastAsia="Times New Roman" w:cstheme="minorHAnsi"/>
          <w:color w:val="000000" w:themeColor="text1"/>
          <w:lang w:eastAsia="cs-CZ"/>
        </w:rPr>
        <w:t xml:space="preserve">Nový Akční plánu pro oběhové hospodářství má zajistit, aby se udržitelné produkty staly v Evropské unii normou. </w:t>
      </w:r>
      <w:r w:rsidR="00174248" w:rsidRPr="00011C5A">
        <w:rPr>
          <w:rFonts w:eastAsia="Times New Roman" w:cstheme="minorHAnsi"/>
          <w:color w:val="000000" w:themeColor="text1"/>
          <w:lang w:eastAsia="cs-CZ"/>
        </w:rPr>
        <w:t>D</w:t>
      </w:r>
      <w:r w:rsidRPr="00011C5A">
        <w:rPr>
          <w:rFonts w:eastAsia="Times New Roman" w:cstheme="minorHAnsi"/>
          <w:color w:val="000000" w:themeColor="text1"/>
          <w:lang w:eastAsia="cs-CZ"/>
        </w:rPr>
        <w:t>otýká se celého životního cyklu – od výroby, po design, obaly, zpracování surovin či životnost výrobků.</w:t>
      </w:r>
    </w:p>
    <w:p w14:paraId="6B7F13E4" w14:textId="534F82C2" w:rsidR="00D17A06" w:rsidRPr="00011C5A" w:rsidRDefault="000705C1" w:rsidP="00FF0124">
      <w:pPr>
        <w:shd w:val="clear" w:color="auto" w:fill="FFFFFF"/>
        <w:spacing w:line="240" w:lineRule="auto"/>
        <w:jc w:val="both"/>
        <w:rPr>
          <w:rFonts w:eastAsia="Times New Roman" w:cstheme="minorHAnsi"/>
          <w:color w:val="000000" w:themeColor="text1"/>
          <w:lang w:eastAsia="cs-CZ"/>
        </w:rPr>
      </w:pPr>
      <w:r>
        <w:rPr>
          <w:rFonts w:eastAsia="Times New Roman" w:cstheme="minorHAnsi"/>
          <w:color w:val="000000" w:themeColor="text1"/>
          <w:lang w:eastAsia="cs-CZ"/>
        </w:rPr>
        <w:t>N</w:t>
      </w:r>
      <w:r w:rsidR="00D17A06" w:rsidRPr="00011C5A">
        <w:rPr>
          <w:rFonts w:eastAsia="Times New Roman" w:cstheme="minorHAnsi"/>
          <w:color w:val="000000" w:themeColor="text1"/>
          <w:lang w:eastAsia="cs-CZ"/>
        </w:rPr>
        <w:t>ěkteré oblasti</w:t>
      </w:r>
      <w:r>
        <w:rPr>
          <w:rFonts w:eastAsia="Times New Roman" w:cstheme="minorHAnsi"/>
          <w:color w:val="000000" w:themeColor="text1"/>
          <w:lang w:eastAsia="cs-CZ"/>
        </w:rPr>
        <w:t xml:space="preserve"> </w:t>
      </w:r>
      <w:r w:rsidR="00D17A06" w:rsidRPr="00011C5A">
        <w:rPr>
          <w:rFonts w:eastAsia="Times New Roman" w:cstheme="minorHAnsi"/>
          <w:color w:val="000000" w:themeColor="text1"/>
          <w:lang w:eastAsia="cs-CZ"/>
        </w:rPr>
        <w:t>využívají více zdrojů a mají vysoký potenciál oběhovosti, jako jsou elektronika a IKT, baterie a vozidla, obaly, plasty, textilní výrobky, konstrukce a stavby a potraviny.</w:t>
      </w:r>
    </w:p>
    <w:p w14:paraId="052AEF58" w14:textId="1F3B4F6E" w:rsidR="00D17A06" w:rsidRPr="00011C5A" w:rsidRDefault="00011C5A" w:rsidP="00FF0124">
      <w:pPr>
        <w:shd w:val="clear" w:color="auto" w:fill="FFFFFF"/>
        <w:spacing w:line="240" w:lineRule="auto"/>
        <w:jc w:val="both"/>
        <w:rPr>
          <w:rFonts w:eastAsia="Times New Roman" w:cstheme="minorHAnsi"/>
          <w:color w:val="000000" w:themeColor="text1"/>
          <w:lang w:eastAsia="cs-CZ"/>
        </w:rPr>
      </w:pPr>
      <w:r w:rsidRPr="00011C5A">
        <w:rPr>
          <w:rFonts w:eastAsia="Times New Roman" w:cstheme="minorHAnsi"/>
          <w:color w:val="000000" w:themeColor="text1"/>
          <w:lang w:eastAsia="cs-CZ"/>
        </w:rPr>
        <w:t>Cílem n</w:t>
      </w:r>
      <w:r w:rsidR="00D17A06" w:rsidRPr="00011C5A">
        <w:rPr>
          <w:rFonts w:eastAsia="Times New Roman" w:cstheme="minorHAnsi"/>
          <w:color w:val="000000" w:themeColor="text1"/>
          <w:lang w:eastAsia="cs-CZ"/>
        </w:rPr>
        <w:t>avrhovan</w:t>
      </w:r>
      <w:r w:rsidRPr="00011C5A">
        <w:rPr>
          <w:rFonts w:eastAsia="Times New Roman" w:cstheme="minorHAnsi"/>
          <w:color w:val="000000" w:themeColor="text1"/>
          <w:lang w:eastAsia="cs-CZ"/>
        </w:rPr>
        <w:t>ých</w:t>
      </w:r>
      <w:r w:rsidR="00D17A06" w:rsidRPr="00011C5A">
        <w:rPr>
          <w:rFonts w:eastAsia="Times New Roman" w:cstheme="minorHAnsi"/>
          <w:color w:val="000000" w:themeColor="text1"/>
          <w:lang w:eastAsia="cs-CZ"/>
        </w:rPr>
        <w:t xml:space="preserve"> </w:t>
      </w:r>
      <w:r w:rsidRPr="00011C5A">
        <w:rPr>
          <w:rFonts w:eastAsia="Times New Roman" w:cstheme="minorHAnsi"/>
          <w:color w:val="000000" w:themeColor="text1"/>
          <w:lang w:eastAsia="cs-CZ"/>
        </w:rPr>
        <w:t>opatření – informovat</w:t>
      </w:r>
      <w:r w:rsidR="00D17A06" w:rsidRPr="00011C5A">
        <w:rPr>
          <w:rFonts w:eastAsia="Times New Roman" w:cstheme="minorHAnsi"/>
          <w:color w:val="000000" w:themeColor="text1"/>
          <w:lang w:eastAsia="cs-CZ"/>
        </w:rPr>
        <w:t xml:space="preserve"> spotřebitele prostřednictvím zajištění přístupu ke spolehlivým informacím a zavedení skutečného „nároku na opravu“</w:t>
      </w:r>
      <w:r>
        <w:rPr>
          <w:rFonts w:eastAsia="Times New Roman" w:cstheme="minorHAnsi"/>
          <w:color w:val="000000" w:themeColor="text1"/>
          <w:lang w:eastAsia="cs-CZ"/>
        </w:rPr>
        <w:t>;</w:t>
      </w:r>
      <w:r w:rsidR="00D17A06" w:rsidRPr="00011C5A">
        <w:rPr>
          <w:rFonts w:eastAsia="Times New Roman" w:cstheme="minorHAnsi"/>
          <w:color w:val="000000" w:themeColor="text1"/>
          <w:lang w:eastAsia="cs-CZ"/>
        </w:rPr>
        <w:t xml:space="preserve"> snižovat množství odpadu </w:t>
      </w:r>
      <w:r w:rsidR="00D17A06" w:rsidRPr="00011C5A">
        <w:rPr>
          <w:rFonts w:eastAsia="Times New Roman" w:cstheme="minorHAnsi"/>
          <w:color w:val="000000" w:themeColor="text1"/>
          <w:lang w:eastAsia="cs-CZ"/>
        </w:rPr>
        <w:lastRenderedPageBreak/>
        <w:t>předcházením vzniku odpadu a jeho přeměňování na kvalitní druhotné zdroje</w:t>
      </w:r>
      <w:r>
        <w:rPr>
          <w:rFonts w:eastAsia="Times New Roman" w:cstheme="minorHAnsi"/>
          <w:color w:val="000000" w:themeColor="text1"/>
          <w:lang w:eastAsia="cs-CZ"/>
        </w:rPr>
        <w:t>;</w:t>
      </w:r>
      <w:r w:rsidR="00D17A06" w:rsidRPr="00011C5A">
        <w:rPr>
          <w:rFonts w:eastAsia="Times New Roman" w:cstheme="minorHAnsi"/>
          <w:color w:val="000000" w:themeColor="text1"/>
          <w:lang w:eastAsia="cs-CZ"/>
        </w:rPr>
        <w:t xml:space="preserve"> umožnit použitelnost oběhového hospodářství pro osoby, regiony a města</w:t>
      </w:r>
      <w:r>
        <w:rPr>
          <w:rFonts w:eastAsia="Times New Roman" w:cstheme="minorHAnsi"/>
          <w:color w:val="000000" w:themeColor="text1"/>
          <w:lang w:eastAsia="cs-CZ"/>
        </w:rPr>
        <w:t>;</w:t>
      </w:r>
      <w:r w:rsidR="00D17A06" w:rsidRPr="00011C5A">
        <w:rPr>
          <w:rFonts w:eastAsia="Times New Roman" w:cstheme="minorHAnsi"/>
          <w:color w:val="000000" w:themeColor="text1"/>
          <w:lang w:eastAsia="cs-CZ"/>
        </w:rPr>
        <w:t xml:space="preserve"> posílit úlohy normalizace</w:t>
      </w:r>
      <w:r>
        <w:rPr>
          <w:rFonts w:eastAsia="Times New Roman" w:cstheme="minorHAnsi"/>
          <w:color w:val="000000" w:themeColor="text1"/>
          <w:lang w:eastAsia="cs-CZ"/>
        </w:rPr>
        <w:t>;</w:t>
      </w:r>
      <w:r w:rsidR="00D17A06" w:rsidRPr="00011C5A">
        <w:rPr>
          <w:rFonts w:eastAsia="Times New Roman" w:cstheme="minorHAnsi"/>
          <w:color w:val="000000" w:themeColor="text1"/>
          <w:lang w:eastAsia="cs-CZ"/>
        </w:rPr>
        <w:t xml:space="preserve"> </w:t>
      </w:r>
      <w:r w:rsidR="007213E9" w:rsidRPr="00011C5A">
        <w:rPr>
          <w:rFonts w:eastAsia="Times New Roman" w:cstheme="minorHAnsi"/>
          <w:color w:val="000000" w:themeColor="text1"/>
          <w:lang w:eastAsia="cs-CZ"/>
        </w:rPr>
        <w:t xml:space="preserve">oběhovost </w:t>
      </w:r>
      <w:r w:rsidR="007213E9">
        <w:rPr>
          <w:rFonts w:eastAsia="Times New Roman" w:cstheme="minorHAnsi"/>
          <w:color w:val="000000" w:themeColor="text1"/>
          <w:lang w:eastAsia="cs-CZ"/>
        </w:rPr>
        <w:t>– předpoklad</w:t>
      </w:r>
      <w:r w:rsidR="00D17A06" w:rsidRPr="00011C5A">
        <w:rPr>
          <w:rFonts w:eastAsia="Times New Roman" w:cstheme="minorHAnsi"/>
          <w:color w:val="000000" w:themeColor="text1"/>
          <w:lang w:eastAsia="cs-CZ"/>
        </w:rPr>
        <w:t xml:space="preserve"> klimatické neutrality</w:t>
      </w:r>
      <w:r>
        <w:rPr>
          <w:rFonts w:eastAsia="Times New Roman" w:cstheme="minorHAnsi"/>
          <w:color w:val="000000" w:themeColor="text1"/>
          <w:lang w:eastAsia="cs-CZ"/>
        </w:rPr>
        <w:t>;</w:t>
      </w:r>
      <w:r w:rsidR="00D17A06" w:rsidRPr="00011C5A">
        <w:rPr>
          <w:rFonts w:eastAsia="Times New Roman" w:cstheme="minorHAnsi"/>
          <w:color w:val="000000" w:themeColor="text1"/>
          <w:lang w:eastAsia="cs-CZ"/>
        </w:rPr>
        <w:t xml:space="preserve"> opatření na globální úrovni či sledování pokroku.</w:t>
      </w:r>
    </w:p>
    <w:p w14:paraId="5B2CAA74" w14:textId="77777777" w:rsidR="00D17A06" w:rsidRPr="00011C5A" w:rsidRDefault="00D17A06" w:rsidP="00FF0124">
      <w:pPr>
        <w:autoSpaceDE w:val="0"/>
        <w:autoSpaceDN w:val="0"/>
        <w:adjustRightInd w:val="0"/>
        <w:spacing w:line="240" w:lineRule="auto"/>
        <w:jc w:val="both"/>
        <w:rPr>
          <w:rFonts w:cstheme="minorHAnsi"/>
          <w:b/>
          <w:bCs/>
          <w:color w:val="000000" w:themeColor="text1"/>
        </w:rPr>
      </w:pPr>
      <w:r w:rsidRPr="00011C5A">
        <w:rPr>
          <w:rFonts w:cstheme="minorHAnsi"/>
          <w:b/>
          <w:bCs/>
          <w:color w:val="000000" w:themeColor="text1"/>
        </w:rPr>
        <w:t>Elektronika a IKT</w:t>
      </w:r>
    </w:p>
    <w:p w14:paraId="5B9419C7" w14:textId="50425F9F" w:rsidR="00D17A06" w:rsidRPr="00011C5A" w:rsidRDefault="00011C5A" w:rsidP="00FF0124">
      <w:pPr>
        <w:shd w:val="clear" w:color="auto" w:fill="FFFFFF"/>
        <w:spacing w:line="240" w:lineRule="auto"/>
        <w:jc w:val="both"/>
        <w:rPr>
          <w:rFonts w:cstheme="minorHAnsi"/>
          <w:color w:val="000000" w:themeColor="text1"/>
        </w:rPr>
      </w:pPr>
      <w:r w:rsidRPr="00011C5A">
        <w:rPr>
          <w:rFonts w:cstheme="minorHAnsi"/>
          <w:color w:val="000000" w:themeColor="text1"/>
        </w:rPr>
        <w:t>Jeden z n</w:t>
      </w:r>
      <w:r w:rsidR="00D17A06" w:rsidRPr="00011C5A">
        <w:rPr>
          <w:rFonts w:cstheme="minorHAnsi"/>
          <w:color w:val="000000" w:themeColor="text1"/>
        </w:rPr>
        <w:t>ejrychleji rostoucích tok</w:t>
      </w:r>
      <w:r>
        <w:rPr>
          <w:rFonts w:cstheme="minorHAnsi"/>
          <w:color w:val="000000" w:themeColor="text1"/>
        </w:rPr>
        <w:t>ů</w:t>
      </w:r>
      <w:r w:rsidR="00D17A06" w:rsidRPr="00011C5A">
        <w:rPr>
          <w:rFonts w:cstheme="minorHAnsi"/>
          <w:color w:val="000000" w:themeColor="text1"/>
        </w:rPr>
        <w:t xml:space="preserve"> odpadů v</w:t>
      </w:r>
      <w:r>
        <w:rPr>
          <w:rFonts w:cstheme="minorHAnsi"/>
          <w:color w:val="000000" w:themeColor="text1"/>
        </w:rPr>
        <w:t> </w:t>
      </w:r>
      <w:r w:rsidR="00D17A06" w:rsidRPr="00011C5A">
        <w:rPr>
          <w:rFonts w:cstheme="minorHAnsi"/>
          <w:color w:val="000000" w:themeColor="text1"/>
        </w:rPr>
        <w:t>EU</w:t>
      </w:r>
      <w:r>
        <w:rPr>
          <w:rFonts w:cstheme="minorHAnsi"/>
          <w:color w:val="000000" w:themeColor="text1"/>
        </w:rPr>
        <w:t xml:space="preserve"> (</w:t>
      </w:r>
      <w:r w:rsidR="00D17A06" w:rsidRPr="00011C5A">
        <w:rPr>
          <w:rFonts w:cstheme="minorHAnsi"/>
          <w:color w:val="000000" w:themeColor="text1"/>
        </w:rPr>
        <w:t>recykluje méně než 40 % elektronického odpadu</w:t>
      </w:r>
      <w:r>
        <w:rPr>
          <w:rFonts w:cstheme="minorHAnsi"/>
          <w:color w:val="000000" w:themeColor="text1"/>
        </w:rPr>
        <w:t xml:space="preserve"> </w:t>
      </w:r>
      <w:r w:rsidRPr="00011C5A">
        <w:rPr>
          <w:rFonts w:cstheme="minorHAnsi"/>
          <w:color w:val="000000" w:themeColor="text1"/>
        </w:rPr>
        <w:t>dle odhadu).</w:t>
      </w:r>
      <w:r w:rsidR="00D17A06" w:rsidRPr="00011C5A">
        <w:rPr>
          <w:rFonts w:cstheme="minorHAnsi"/>
          <w:color w:val="000000" w:themeColor="text1"/>
        </w:rPr>
        <w:t xml:space="preserve"> Komise představí iniciativu pro elektroniku v oběhovém hospodářství má zahrnovat mimo jiné tato opatření: </w:t>
      </w:r>
    </w:p>
    <w:p w14:paraId="5BADC7E0" w14:textId="16A83B9F" w:rsidR="00D17A06" w:rsidRPr="000705C1" w:rsidRDefault="00D17A06" w:rsidP="00FF0124">
      <w:pPr>
        <w:pStyle w:val="Odstavecseseznamem"/>
        <w:numPr>
          <w:ilvl w:val="0"/>
          <w:numId w:val="17"/>
        </w:numPr>
        <w:shd w:val="clear" w:color="auto" w:fill="FFFFFF"/>
        <w:spacing w:line="240" w:lineRule="auto"/>
        <w:ind w:left="714" w:hanging="357"/>
        <w:contextualSpacing w:val="0"/>
        <w:jc w:val="both"/>
        <w:rPr>
          <w:rFonts w:cstheme="minorHAnsi"/>
          <w:color w:val="000000" w:themeColor="text1"/>
        </w:rPr>
      </w:pPr>
      <w:r w:rsidRPr="000705C1">
        <w:rPr>
          <w:rFonts w:cstheme="minorHAnsi"/>
          <w:color w:val="000000" w:themeColor="text1"/>
        </w:rPr>
        <w:t>regulační opatření pro elektroniku a IKT včetně mobilních telefonů, tabletů a laptopů podle směrnice o ekodesignu, při navrhování přístrojů zohledňova</w:t>
      </w:r>
      <w:r w:rsidR="000705C1" w:rsidRPr="000705C1">
        <w:rPr>
          <w:rFonts w:cstheme="minorHAnsi"/>
          <w:color w:val="000000" w:themeColor="text1"/>
        </w:rPr>
        <w:t>t</w:t>
      </w:r>
      <w:r w:rsidRPr="000705C1">
        <w:rPr>
          <w:rFonts w:cstheme="minorHAnsi"/>
          <w:color w:val="000000" w:themeColor="text1"/>
        </w:rPr>
        <w:t xml:space="preserve"> jejich energetick</w:t>
      </w:r>
      <w:r w:rsidR="000705C1" w:rsidRPr="000705C1">
        <w:rPr>
          <w:rFonts w:cstheme="minorHAnsi"/>
          <w:color w:val="000000" w:themeColor="text1"/>
        </w:rPr>
        <w:t>ou</w:t>
      </w:r>
      <w:r w:rsidRPr="000705C1">
        <w:rPr>
          <w:rFonts w:cstheme="minorHAnsi"/>
          <w:color w:val="000000" w:themeColor="text1"/>
        </w:rPr>
        <w:t xml:space="preserve"> účinnost a dlouh</w:t>
      </w:r>
      <w:r w:rsidR="000705C1" w:rsidRPr="000705C1">
        <w:rPr>
          <w:rFonts w:cstheme="minorHAnsi"/>
          <w:color w:val="000000" w:themeColor="text1"/>
        </w:rPr>
        <w:t>ou</w:t>
      </w:r>
      <w:r w:rsidRPr="000705C1">
        <w:rPr>
          <w:rFonts w:cstheme="minorHAnsi"/>
          <w:color w:val="000000" w:themeColor="text1"/>
        </w:rPr>
        <w:t xml:space="preserve"> životnost, opravitelnost, možnost modernizace, údržb</w:t>
      </w:r>
      <w:r w:rsidR="000705C1" w:rsidRPr="000705C1">
        <w:rPr>
          <w:rFonts w:cstheme="minorHAnsi"/>
          <w:color w:val="000000" w:themeColor="text1"/>
        </w:rPr>
        <w:t>y</w:t>
      </w:r>
      <w:r w:rsidRPr="000705C1">
        <w:rPr>
          <w:rFonts w:cstheme="minorHAnsi"/>
          <w:color w:val="000000" w:themeColor="text1"/>
        </w:rPr>
        <w:t>, opětovné použití a recyklace.</w:t>
      </w:r>
    </w:p>
    <w:p w14:paraId="34D9BB63" w14:textId="77777777" w:rsidR="00D17A06" w:rsidRPr="000705C1" w:rsidRDefault="00D17A06" w:rsidP="00FF0124">
      <w:pPr>
        <w:pStyle w:val="Odstavecseseznamem"/>
        <w:numPr>
          <w:ilvl w:val="0"/>
          <w:numId w:val="17"/>
        </w:numPr>
        <w:shd w:val="clear" w:color="auto" w:fill="FFFFFF"/>
        <w:spacing w:line="240" w:lineRule="auto"/>
        <w:ind w:left="714" w:hanging="357"/>
        <w:contextualSpacing w:val="0"/>
        <w:jc w:val="both"/>
        <w:rPr>
          <w:rFonts w:cstheme="minorHAnsi"/>
          <w:color w:val="000000" w:themeColor="text1"/>
        </w:rPr>
      </w:pPr>
      <w:r w:rsidRPr="000705C1">
        <w:rPr>
          <w:rFonts w:cstheme="minorHAnsi"/>
          <w:color w:val="000000" w:themeColor="text1"/>
        </w:rPr>
        <w:t>stanovení elektroniky a IKT jako prioritního odvětví pro uplatňování „práva na opravu“, včetně práva na aktualizaci zastaralého softwaru</w:t>
      </w:r>
    </w:p>
    <w:p w14:paraId="1FF684BB" w14:textId="77777777" w:rsidR="00D17A06" w:rsidRPr="000705C1" w:rsidRDefault="00D17A06" w:rsidP="00FF0124">
      <w:pPr>
        <w:pStyle w:val="Odstavecseseznamem"/>
        <w:numPr>
          <w:ilvl w:val="0"/>
          <w:numId w:val="17"/>
        </w:numPr>
        <w:shd w:val="clear" w:color="auto" w:fill="FFFFFF"/>
        <w:spacing w:line="240" w:lineRule="auto"/>
        <w:ind w:left="714" w:hanging="357"/>
        <w:contextualSpacing w:val="0"/>
        <w:jc w:val="both"/>
        <w:rPr>
          <w:rFonts w:cstheme="minorHAnsi"/>
          <w:color w:val="000000" w:themeColor="text1"/>
        </w:rPr>
      </w:pPr>
      <w:r w:rsidRPr="000705C1">
        <w:rPr>
          <w:rFonts w:cstheme="minorHAnsi"/>
          <w:color w:val="000000" w:themeColor="text1"/>
        </w:rPr>
        <w:t>regulační opatření týkající se nabíječek pro mobilní telefony a podobných zařízení, včetně zavedení společné nabíječky, zlepšení doby použitelnosti nabíjecích kabelů a pobídek k oddělení nákupu nabíječek od nákupu nových zařízení</w:t>
      </w:r>
    </w:p>
    <w:p w14:paraId="4F4EC383" w14:textId="3234FA4B" w:rsidR="00D17A06" w:rsidRPr="000705C1" w:rsidRDefault="00D17A06" w:rsidP="00FF0124">
      <w:pPr>
        <w:pStyle w:val="Odstavecseseznamem"/>
        <w:numPr>
          <w:ilvl w:val="0"/>
          <w:numId w:val="17"/>
        </w:numPr>
        <w:shd w:val="clear" w:color="auto" w:fill="FFFFFF"/>
        <w:spacing w:line="240" w:lineRule="auto"/>
        <w:ind w:left="714" w:hanging="357"/>
        <w:contextualSpacing w:val="0"/>
        <w:jc w:val="both"/>
        <w:rPr>
          <w:rFonts w:cstheme="minorHAnsi"/>
          <w:color w:val="000000" w:themeColor="text1"/>
        </w:rPr>
      </w:pPr>
      <w:r w:rsidRPr="000705C1">
        <w:rPr>
          <w:rFonts w:cstheme="minorHAnsi"/>
          <w:color w:val="000000" w:themeColor="text1"/>
        </w:rPr>
        <w:t>zlepšení sběru a zpracování odpadních elektrických a elektronických zařízení, mimo jiné prozkoumáním možností zavedení celoevropského vratného systému pro zpětný odběr nebo zpětný odprodej starých mobilních telefonů, tabletů a nabíječek</w:t>
      </w:r>
    </w:p>
    <w:p w14:paraId="1BAF60AB" w14:textId="77777777" w:rsidR="00D17A06" w:rsidRPr="000705C1" w:rsidRDefault="00D17A06" w:rsidP="00FF0124">
      <w:pPr>
        <w:pStyle w:val="Odstavecseseznamem"/>
        <w:numPr>
          <w:ilvl w:val="0"/>
          <w:numId w:val="17"/>
        </w:numPr>
        <w:shd w:val="clear" w:color="auto" w:fill="FFFFFF"/>
        <w:spacing w:line="240" w:lineRule="auto"/>
        <w:ind w:left="714" w:hanging="357"/>
        <w:contextualSpacing w:val="0"/>
        <w:jc w:val="both"/>
        <w:rPr>
          <w:rFonts w:cstheme="minorHAnsi"/>
          <w:color w:val="000000" w:themeColor="text1"/>
        </w:rPr>
      </w:pPr>
      <w:r w:rsidRPr="000705C1">
        <w:rPr>
          <w:rFonts w:cstheme="minorHAnsi"/>
          <w:color w:val="000000" w:themeColor="text1"/>
        </w:rPr>
        <w:t xml:space="preserve">přezkum pravidel EU týkajících se omezení nebezpečných látek v elektrických a elektronických zařízeních a vypracování pokynů pro zlepšení soudržnosti s příslušnými právními předpisy, včetně nařízení REACH a nařízení o ekodesignu. </w:t>
      </w:r>
    </w:p>
    <w:p w14:paraId="321C3F10" w14:textId="77777777" w:rsidR="00D17A06" w:rsidRPr="00174248" w:rsidRDefault="00D17A06" w:rsidP="00FF0124">
      <w:pPr>
        <w:autoSpaceDE w:val="0"/>
        <w:autoSpaceDN w:val="0"/>
        <w:adjustRightInd w:val="0"/>
        <w:spacing w:line="240" w:lineRule="auto"/>
        <w:jc w:val="both"/>
        <w:rPr>
          <w:rFonts w:cstheme="minorHAnsi"/>
          <w:b/>
          <w:bCs/>
        </w:rPr>
      </w:pPr>
      <w:r w:rsidRPr="00174248">
        <w:rPr>
          <w:rFonts w:cstheme="minorHAnsi"/>
          <w:b/>
          <w:bCs/>
        </w:rPr>
        <w:t>Baterie a vozidla</w:t>
      </w:r>
    </w:p>
    <w:p w14:paraId="00AC1279" w14:textId="213E31A4" w:rsidR="00D17A06" w:rsidRPr="00174248" w:rsidRDefault="00D17A06" w:rsidP="00FF0124">
      <w:pPr>
        <w:spacing w:line="240" w:lineRule="auto"/>
        <w:jc w:val="both"/>
        <w:rPr>
          <w:rFonts w:cstheme="minorHAnsi"/>
        </w:rPr>
      </w:pPr>
      <w:r w:rsidRPr="00174248">
        <w:rPr>
          <w:rFonts w:cstheme="minorHAnsi"/>
        </w:rPr>
        <w:t xml:space="preserve">Nový regulační rámec pro baterie bude vycházet z hodnocení směrnice o bateriích5 a z činnosti Evropské bateriové aliance </w:t>
      </w:r>
      <w:r w:rsidR="000705C1">
        <w:rPr>
          <w:rFonts w:cstheme="minorHAnsi"/>
        </w:rPr>
        <w:t>–</w:t>
      </w:r>
      <w:r w:rsidRPr="00174248">
        <w:rPr>
          <w:rFonts w:cstheme="minorHAnsi"/>
        </w:rPr>
        <w:t xml:space="preserve"> </w:t>
      </w:r>
      <w:r w:rsidR="000705C1">
        <w:rPr>
          <w:rFonts w:cstheme="minorHAnsi"/>
        </w:rPr>
        <w:t xml:space="preserve">bude </w:t>
      </w:r>
      <w:r w:rsidRPr="00174248">
        <w:rPr>
          <w:rFonts w:cstheme="minorHAnsi"/>
        </w:rPr>
        <w:t>zohledňovat pravidla týkající se obsahu recyklovaného materiálu a opatření ke zlepšení sběru a recyklace všech baterií, zajištění opětovného využití cenných materiálů a poskytnutí pokynů pro spotřebitele, řešení problematiky baterií neschopných opětovného nabití s cílem postupně odstranit jejich používání, pokud existují alternativy a požadavky udržitelnosti a transparentnosti pro baterie, které zohledňují například uhlíkovou stopu při výrobě baterií, etické získávání surovin a bezpečnost dodávek, a usnadňují opětovné použití, nové využití a recyklaci.</w:t>
      </w:r>
    </w:p>
    <w:p w14:paraId="644D4E46" w14:textId="2236E84E" w:rsidR="00D17A06" w:rsidRPr="00174248" w:rsidRDefault="00D17A06" w:rsidP="00FF0124">
      <w:pPr>
        <w:spacing w:line="240" w:lineRule="auto"/>
        <w:jc w:val="both"/>
        <w:rPr>
          <w:rFonts w:cstheme="minorHAnsi"/>
        </w:rPr>
      </w:pPr>
      <w:r w:rsidRPr="00174248">
        <w:rPr>
          <w:rFonts w:cstheme="minorHAnsi"/>
        </w:rPr>
        <w:t xml:space="preserve">Bude navrhována revize předpisu o vozidlech s ukončenou životností s cílem prosazovat obchodní modely přispívající k větší </w:t>
      </w:r>
      <w:r w:rsidR="00937AAD" w:rsidRPr="00174248">
        <w:rPr>
          <w:rFonts w:cstheme="minorHAnsi"/>
        </w:rPr>
        <w:t xml:space="preserve">oběhovosti </w:t>
      </w:r>
      <w:r w:rsidR="00937AAD">
        <w:rPr>
          <w:rFonts w:cstheme="minorHAnsi"/>
        </w:rPr>
        <w:t>– design</w:t>
      </w:r>
      <w:r w:rsidRPr="00174248">
        <w:rPr>
          <w:rFonts w:cstheme="minorHAnsi"/>
        </w:rPr>
        <w:t xml:space="preserve"> propojí se zpracováním na konci životního cyklu produktu, zváží pravidla pro povinný recyklovaný obsah v některých materiálech a zlepší účinnost recyklace.</w:t>
      </w:r>
    </w:p>
    <w:p w14:paraId="04C0B49E" w14:textId="7E3E8BF8" w:rsidR="00D17A06" w:rsidRPr="00174248" w:rsidRDefault="00D17A06" w:rsidP="00FF0124">
      <w:pPr>
        <w:autoSpaceDE w:val="0"/>
        <w:autoSpaceDN w:val="0"/>
        <w:adjustRightInd w:val="0"/>
        <w:spacing w:line="240" w:lineRule="auto"/>
        <w:jc w:val="both"/>
        <w:rPr>
          <w:rFonts w:cstheme="minorHAnsi"/>
          <w:b/>
          <w:bCs/>
        </w:rPr>
      </w:pPr>
      <w:r w:rsidRPr="00174248">
        <w:rPr>
          <w:rFonts w:cstheme="minorHAnsi"/>
          <w:b/>
          <w:bCs/>
        </w:rPr>
        <w:t>Obaly</w:t>
      </w:r>
    </w:p>
    <w:p w14:paraId="6FDDC087" w14:textId="702C9A93" w:rsidR="00D17A06" w:rsidRPr="00174248" w:rsidRDefault="00D17A06" w:rsidP="00FF0124">
      <w:pPr>
        <w:spacing w:line="240" w:lineRule="auto"/>
        <w:jc w:val="both"/>
        <w:rPr>
          <w:rFonts w:cstheme="minorHAnsi"/>
          <w:b/>
          <w:bCs/>
        </w:rPr>
      </w:pPr>
      <w:r w:rsidRPr="00174248">
        <w:rPr>
          <w:rFonts w:cstheme="minorHAnsi"/>
        </w:rPr>
        <w:t xml:space="preserve">Cíl </w:t>
      </w:r>
      <w:r w:rsidR="00937AAD" w:rsidRPr="00174248">
        <w:rPr>
          <w:rFonts w:cstheme="minorHAnsi"/>
        </w:rPr>
        <w:t>EU – všechny</w:t>
      </w:r>
      <w:r w:rsidRPr="00174248">
        <w:rPr>
          <w:rFonts w:cstheme="minorHAnsi"/>
        </w:rPr>
        <w:t xml:space="preserve"> obaly na trhu EU do roku 2030 opětovně použitelné nebo recyklovatelné způsobem, který je z ekonomického hlediska přijatelný</w:t>
      </w:r>
      <w:r w:rsidR="000705C1">
        <w:rPr>
          <w:rFonts w:cstheme="minorHAnsi"/>
        </w:rPr>
        <w:t>.</w:t>
      </w:r>
      <w:r w:rsidRPr="00174248">
        <w:rPr>
          <w:rFonts w:cstheme="minorHAnsi"/>
        </w:rPr>
        <w:t xml:space="preserve"> Komise zreviduje směrnici 94/62/ES27 s cílem zpřísnit povinné základní požadavky na obalové materiály</w:t>
      </w:r>
      <w:r w:rsidR="000705C1">
        <w:rPr>
          <w:rFonts w:cstheme="minorHAnsi"/>
        </w:rPr>
        <w:t xml:space="preserve"> povoleny </w:t>
      </w:r>
      <w:r w:rsidRPr="00174248">
        <w:rPr>
          <w:rFonts w:cstheme="minorHAnsi"/>
        </w:rPr>
        <w:t xml:space="preserve">na trhu EU, snížení (nadměrného) balení a odpadu z obalů, podporu </w:t>
      </w:r>
      <w:r w:rsidR="00937AAD" w:rsidRPr="00174248">
        <w:rPr>
          <w:rFonts w:cstheme="minorHAnsi"/>
        </w:rPr>
        <w:t>designu</w:t>
      </w:r>
      <w:r w:rsidR="00937AAD">
        <w:rPr>
          <w:rFonts w:cstheme="minorHAnsi"/>
        </w:rPr>
        <w:t xml:space="preserve"> – bude</w:t>
      </w:r>
      <w:r w:rsidR="000705C1">
        <w:rPr>
          <w:rFonts w:cstheme="minorHAnsi"/>
        </w:rPr>
        <w:t xml:space="preserve"> </w:t>
      </w:r>
      <w:r w:rsidRPr="00174248">
        <w:rPr>
          <w:rFonts w:cstheme="minorHAnsi"/>
        </w:rPr>
        <w:t xml:space="preserve">zohledňovat opětovné používání a recyklovatelnost obalů a na možnosti snížení komplexnosti obalových materiálů, včetně množství použitých materiálů a polymerů. </w:t>
      </w:r>
      <w:r w:rsidR="000705C1">
        <w:rPr>
          <w:rFonts w:cstheme="minorHAnsi"/>
        </w:rPr>
        <w:t>S</w:t>
      </w:r>
      <w:r w:rsidRPr="00174248">
        <w:rPr>
          <w:rFonts w:cstheme="minorHAnsi"/>
        </w:rPr>
        <w:t xml:space="preserve">tanovena pravidla bezpečné recyklace materiálů </w:t>
      </w:r>
      <w:r w:rsidR="000705C1">
        <w:rPr>
          <w:rFonts w:cstheme="minorHAnsi"/>
        </w:rPr>
        <w:t xml:space="preserve">ve </w:t>
      </w:r>
      <w:r w:rsidRPr="00174248">
        <w:rPr>
          <w:rFonts w:cstheme="minorHAnsi"/>
        </w:rPr>
        <w:t>styku s potravinami a podporována směrnice o pitné vodě, aby byla pitná voda z vodovodu dostupná na veřejných místech.</w:t>
      </w:r>
    </w:p>
    <w:p w14:paraId="4DF7F46A" w14:textId="77777777" w:rsidR="009E4B04" w:rsidRDefault="009E4B04">
      <w:pPr>
        <w:rPr>
          <w:rFonts w:cstheme="minorHAnsi"/>
          <w:b/>
          <w:bCs/>
        </w:rPr>
      </w:pPr>
      <w:r>
        <w:rPr>
          <w:rFonts w:cstheme="minorHAnsi"/>
          <w:b/>
          <w:bCs/>
        </w:rPr>
        <w:br w:type="page"/>
      </w:r>
    </w:p>
    <w:p w14:paraId="292FDE8D" w14:textId="133E0950" w:rsidR="00D17A06" w:rsidRPr="00174248" w:rsidRDefault="00D17A06" w:rsidP="00FF0124">
      <w:pPr>
        <w:autoSpaceDE w:val="0"/>
        <w:autoSpaceDN w:val="0"/>
        <w:adjustRightInd w:val="0"/>
        <w:spacing w:line="240" w:lineRule="auto"/>
        <w:jc w:val="both"/>
        <w:rPr>
          <w:rFonts w:cstheme="minorHAnsi"/>
          <w:b/>
          <w:bCs/>
        </w:rPr>
      </w:pPr>
      <w:r w:rsidRPr="00174248">
        <w:rPr>
          <w:rFonts w:cstheme="minorHAnsi"/>
          <w:b/>
          <w:bCs/>
        </w:rPr>
        <w:lastRenderedPageBreak/>
        <w:t>Plasty</w:t>
      </w:r>
    </w:p>
    <w:p w14:paraId="5EB91B10" w14:textId="04D564CB" w:rsidR="00174248" w:rsidRPr="00174248" w:rsidRDefault="00D17A06" w:rsidP="00FF0124">
      <w:pPr>
        <w:spacing w:line="240" w:lineRule="auto"/>
        <w:jc w:val="both"/>
        <w:rPr>
          <w:rFonts w:cstheme="minorHAnsi"/>
        </w:rPr>
      </w:pPr>
      <w:r w:rsidRPr="00174248">
        <w:rPr>
          <w:rFonts w:cstheme="minorHAnsi"/>
        </w:rPr>
        <w:t xml:space="preserve">V rámci strategie EU pro plasty v oběhovém hospodářství již byla zahájena celá řada iniciativ. Spotřeba plastů se má stále zvyšovat, Komise přijme další cílená opatření k řešení problémů, které tento všudypřítomný materiál v oblasti udržitelnosti představuje, </w:t>
      </w:r>
      <w:r w:rsidR="00937AAD">
        <w:rPr>
          <w:rFonts w:cstheme="minorHAnsi"/>
        </w:rPr>
        <w:t xml:space="preserve">opatření </w:t>
      </w:r>
      <w:r w:rsidRPr="00174248">
        <w:rPr>
          <w:rFonts w:cstheme="minorHAnsi"/>
        </w:rPr>
        <w:t xml:space="preserve">na celosvětové </w:t>
      </w:r>
      <w:r w:rsidR="001C6F84" w:rsidRPr="00174248">
        <w:rPr>
          <w:rFonts w:cstheme="minorHAnsi"/>
        </w:rPr>
        <w:t xml:space="preserve">úrovni </w:t>
      </w:r>
      <w:r w:rsidR="001C6F84">
        <w:rPr>
          <w:rFonts w:cstheme="minorHAnsi"/>
        </w:rPr>
        <w:t>– podporovat</w:t>
      </w:r>
      <w:r w:rsidRPr="00174248">
        <w:rPr>
          <w:rFonts w:cstheme="minorHAnsi"/>
        </w:rPr>
        <w:t xml:space="preserve"> společný přístup v boji proti znečišťování plasty.  </w:t>
      </w:r>
    </w:p>
    <w:p w14:paraId="2C798318" w14:textId="35BB67F5" w:rsidR="00D17A06" w:rsidRPr="00174248" w:rsidRDefault="00174248" w:rsidP="00FF0124">
      <w:pPr>
        <w:spacing w:line="240" w:lineRule="auto"/>
        <w:jc w:val="both"/>
        <w:rPr>
          <w:rFonts w:cstheme="minorHAnsi"/>
        </w:rPr>
      </w:pPr>
      <w:r w:rsidRPr="00174248">
        <w:rPr>
          <w:rFonts w:cstheme="minorHAnsi"/>
        </w:rPr>
        <w:t>C</w:t>
      </w:r>
      <w:r w:rsidR="00D17A06" w:rsidRPr="00174248">
        <w:rPr>
          <w:rFonts w:cstheme="minorHAnsi"/>
        </w:rPr>
        <w:t xml:space="preserve">ílem </w:t>
      </w:r>
      <w:r w:rsidRPr="00174248">
        <w:rPr>
          <w:rFonts w:cstheme="minorHAnsi"/>
        </w:rPr>
        <w:t xml:space="preserve">je </w:t>
      </w:r>
      <w:r w:rsidR="00D17A06" w:rsidRPr="00174248">
        <w:rPr>
          <w:rFonts w:cstheme="minorHAnsi"/>
        </w:rPr>
        <w:t>zvýšit využívání recyklovaných plastů a přispět k udržitelnějšímu používání plastů</w:t>
      </w:r>
      <w:r w:rsidRPr="00174248">
        <w:rPr>
          <w:rFonts w:cstheme="minorHAnsi"/>
        </w:rPr>
        <w:t>, EK</w:t>
      </w:r>
      <w:r w:rsidR="00D17A06" w:rsidRPr="00174248">
        <w:rPr>
          <w:rFonts w:cstheme="minorHAnsi"/>
        </w:rPr>
        <w:t xml:space="preserve"> navrhne závazné požadavky na obsah recyklovaného materiálu a opatření ke snížení množství odpadu pro klíčové výrobky, jako jsou obalové materiály, stavební materiály a vozidla, a zohlední činnosti Aliance pro plasty v oběhovém hospodářství.</w:t>
      </w:r>
    </w:p>
    <w:p w14:paraId="4CA6E837" w14:textId="77777777" w:rsidR="00D17A06" w:rsidRPr="00174248" w:rsidRDefault="00D17A06" w:rsidP="00FF0124">
      <w:pPr>
        <w:autoSpaceDE w:val="0"/>
        <w:autoSpaceDN w:val="0"/>
        <w:adjustRightInd w:val="0"/>
        <w:spacing w:line="240" w:lineRule="auto"/>
        <w:jc w:val="both"/>
        <w:rPr>
          <w:rFonts w:cstheme="minorHAnsi"/>
          <w:b/>
          <w:bCs/>
        </w:rPr>
      </w:pPr>
      <w:r w:rsidRPr="00174248">
        <w:rPr>
          <w:rFonts w:cstheme="minorHAnsi"/>
          <w:b/>
          <w:bCs/>
        </w:rPr>
        <w:t>Textilní výrobky</w:t>
      </w:r>
    </w:p>
    <w:p w14:paraId="3A275E2C" w14:textId="67125BE2" w:rsidR="00D17A06" w:rsidRPr="00174248" w:rsidRDefault="00D17A06" w:rsidP="00FF0124">
      <w:pPr>
        <w:spacing w:line="240" w:lineRule="auto"/>
        <w:jc w:val="both"/>
        <w:rPr>
          <w:rFonts w:cstheme="minorHAnsi"/>
        </w:rPr>
      </w:pPr>
      <w:r w:rsidRPr="00174248">
        <w:rPr>
          <w:rFonts w:cstheme="minorHAnsi"/>
        </w:rPr>
        <w:t>Komise zohlední složitost textilního hodnotového řetězce a navrhne komplexní strategii EU pro textilní výrobky</w:t>
      </w:r>
      <w:r w:rsidR="00443937">
        <w:rPr>
          <w:rFonts w:cstheme="minorHAnsi"/>
        </w:rPr>
        <w:t xml:space="preserve">. </w:t>
      </w:r>
      <w:r w:rsidRPr="00174248">
        <w:rPr>
          <w:rFonts w:cstheme="minorHAnsi"/>
        </w:rPr>
        <w:t xml:space="preserve"> </w:t>
      </w:r>
      <w:r w:rsidR="00443937">
        <w:rPr>
          <w:rFonts w:cstheme="minorHAnsi"/>
        </w:rPr>
        <w:t>Cílem je</w:t>
      </w:r>
      <w:r w:rsidRPr="00174248">
        <w:rPr>
          <w:rFonts w:cstheme="minorHAnsi"/>
        </w:rPr>
        <w:t xml:space="preserve"> posílení průmyslové konkurenceschopnosti a inovací v tomto odvětví, podporu trhu EU pro udržitelné a oběhové textilní výrobky, včetně trhu pro opětovné využití textilu, jakož i na řešení problematiky tzv. rychlé módy a podporu nových obchodních modelů</w:t>
      </w:r>
    </w:p>
    <w:p w14:paraId="13548FCF" w14:textId="71B79812" w:rsidR="00D17A06" w:rsidRPr="00174248" w:rsidRDefault="00D17A06" w:rsidP="00FF0124">
      <w:pPr>
        <w:autoSpaceDE w:val="0"/>
        <w:autoSpaceDN w:val="0"/>
        <w:adjustRightInd w:val="0"/>
        <w:spacing w:line="240" w:lineRule="auto"/>
        <w:jc w:val="both"/>
        <w:rPr>
          <w:rFonts w:cstheme="minorHAnsi"/>
          <w:b/>
          <w:bCs/>
        </w:rPr>
      </w:pPr>
      <w:r w:rsidRPr="00174248">
        <w:rPr>
          <w:rFonts w:cstheme="minorHAnsi"/>
          <w:b/>
          <w:bCs/>
        </w:rPr>
        <w:t>Konstrukce a stavby</w:t>
      </w:r>
    </w:p>
    <w:p w14:paraId="2E1DB92A" w14:textId="7ECD75AD" w:rsidR="00D17A06" w:rsidRPr="00174248" w:rsidRDefault="00174248" w:rsidP="00FF0124">
      <w:pPr>
        <w:spacing w:line="240" w:lineRule="auto"/>
        <w:jc w:val="both"/>
        <w:rPr>
          <w:rFonts w:cstheme="minorHAnsi"/>
        </w:rPr>
      </w:pPr>
      <w:r>
        <w:rPr>
          <w:rFonts w:cstheme="minorHAnsi"/>
        </w:rPr>
        <w:t>S</w:t>
      </w:r>
      <w:r w:rsidR="00D17A06" w:rsidRPr="00174248">
        <w:rPr>
          <w:rFonts w:cstheme="minorHAnsi"/>
        </w:rPr>
        <w:t xml:space="preserve">tavebnictví produkuje až 35% celkové produkce odpadů , přičemž 95% je recyklovatelných, a výroba stavebních materiálů, výstavba a renovace produkují 5 -12 % emisí, chápe stavebnictví jako jeden ze základních sektorů pro změnu ve využívání zdrojů a </w:t>
      </w:r>
      <w:r w:rsidR="00443937">
        <w:rPr>
          <w:rFonts w:cstheme="minorHAnsi"/>
        </w:rPr>
        <w:t xml:space="preserve">cílem je </w:t>
      </w:r>
      <w:r w:rsidR="00443937" w:rsidRPr="00174248">
        <w:rPr>
          <w:rFonts w:cstheme="minorHAnsi"/>
        </w:rPr>
        <w:t>příprav</w:t>
      </w:r>
      <w:r w:rsidR="00443937">
        <w:rPr>
          <w:rFonts w:cstheme="minorHAnsi"/>
        </w:rPr>
        <w:t>a</w:t>
      </w:r>
      <w:r w:rsidR="00D17A06" w:rsidRPr="00174248">
        <w:rPr>
          <w:rFonts w:cstheme="minorHAnsi"/>
        </w:rPr>
        <w:t xml:space="preserve"> nov</w:t>
      </w:r>
      <w:r w:rsidR="00443937">
        <w:rPr>
          <w:rFonts w:cstheme="minorHAnsi"/>
        </w:rPr>
        <w:t>é</w:t>
      </w:r>
      <w:r w:rsidR="00D17A06" w:rsidRPr="00174248">
        <w:rPr>
          <w:rFonts w:cstheme="minorHAnsi"/>
        </w:rPr>
        <w:t xml:space="preserve"> Strategii pro udržitelnost zastavěného prostředí, která by měla zajistit soudržnost v oblastech klimatu, energetické účinnosti, účinného využívání zdrojů, řízení stavebního a demoličního odpadu, dostupnosti, digitalizace a dovedností.</w:t>
      </w:r>
    </w:p>
    <w:p w14:paraId="73748506" w14:textId="77777777" w:rsidR="00D17A06" w:rsidRPr="00174248" w:rsidRDefault="00D17A06" w:rsidP="00FF0124">
      <w:pPr>
        <w:autoSpaceDE w:val="0"/>
        <w:autoSpaceDN w:val="0"/>
        <w:adjustRightInd w:val="0"/>
        <w:spacing w:line="240" w:lineRule="auto"/>
        <w:jc w:val="both"/>
        <w:rPr>
          <w:rFonts w:cstheme="minorHAnsi"/>
          <w:b/>
          <w:bCs/>
        </w:rPr>
      </w:pPr>
      <w:r w:rsidRPr="00174248">
        <w:rPr>
          <w:rFonts w:cstheme="minorHAnsi"/>
          <w:b/>
          <w:bCs/>
        </w:rPr>
        <w:t>Potraviny</w:t>
      </w:r>
    </w:p>
    <w:p w14:paraId="5820227A" w14:textId="3424E346" w:rsidR="00D17A06" w:rsidRPr="00174248" w:rsidRDefault="00D17A06" w:rsidP="00FF0124">
      <w:pPr>
        <w:spacing w:line="240" w:lineRule="auto"/>
        <w:jc w:val="both"/>
        <w:rPr>
          <w:rFonts w:cstheme="minorHAnsi"/>
        </w:rPr>
      </w:pPr>
      <w:r w:rsidRPr="00174248">
        <w:rPr>
          <w:rFonts w:cstheme="minorHAnsi"/>
        </w:rPr>
        <w:t xml:space="preserve">Ačkoli potravinový hodnotový řetězec představuje pro zdroje a životní prostředí významnou zátěž, 20 % celkového množství potravin se podle odhadů v EU ztratí nebo </w:t>
      </w:r>
      <w:r w:rsidR="001C6F84" w:rsidRPr="00174248">
        <w:rPr>
          <w:rFonts w:cstheme="minorHAnsi"/>
        </w:rPr>
        <w:t xml:space="preserve">vyhodí </w:t>
      </w:r>
      <w:r w:rsidR="001C6F84">
        <w:rPr>
          <w:rFonts w:cstheme="minorHAnsi"/>
        </w:rPr>
        <w:t>– Komisí</w:t>
      </w:r>
      <w:r w:rsidRPr="00174248">
        <w:rPr>
          <w:rFonts w:cstheme="minorHAnsi"/>
        </w:rPr>
        <w:t xml:space="preserve"> </w:t>
      </w:r>
      <w:r w:rsidR="00937AAD">
        <w:rPr>
          <w:rFonts w:cstheme="minorHAnsi"/>
        </w:rPr>
        <w:t xml:space="preserve">je </w:t>
      </w:r>
      <w:r w:rsidRPr="00174248">
        <w:rPr>
          <w:rFonts w:cstheme="minorHAnsi"/>
        </w:rPr>
        <w:t>navrhován cíl snížení potravinového odpadu</w:t>
      </w:r>
      <w:r w:rsidR="00937AAD">
        <w:rPr>
          <w:rFonts w:cstheme="minorHAnsi"/>
        </w:rPr>
        <w:t xml:space="preserve"> jako</w:t>
      </w:r>
      <w:r w:rsidRPr="00174248">
        <w:rPr>
          <w:rFonts w:cstheme="minorHAnsi"/>
        </w:rPr>
        <w:t xml:space="preserve"> klíčové opatření v rámci připravované strategie EU „od zemědělce ke spotřebiteli“, která se bude komplexně zabývat potravinovým hodnotovým řetězcem. Další plánovaná opatření je nahrazení obalů, stolního nádobí a příborů na jedno použití opětovně použitelnými výrobky, usnadnění opětovné využívání vody jak v zemědělství, tak i v průmyslových procesech.</w:t>
      </w:r>
    </w:p>
    <w:p w14:paraId="11642477" w14:textId="77777777" w:rsidR="001C6F84" w:rsidRDefault="001C6F84" w:rsidP="002A1848">
      <w:pPr>
        <w:spacing w:line="276" w:lineRule="auto"/>
        <w:jc w:val="both"/>
        <w:rPr>
          <w:rFonts w:ascii="Times New Roman" w:hAnsi="Times New Roman" w:cs="Times New Roman"/>
          <w:bCs/>
          <w:color w:val="000000" w:themeColor="text1"/>
        </w:rPr>
      </w:pPr>
    </w:p>
    <w:p w14:paraId="25ABF58E" w14:textId="77777777" w:rsidR="00085287" w:rsidRPr="00542F14"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542F14">
        <w:rPr>
          <w:rFonts w:cstheme="minorHAnsi"/>
          <w:b/>
          <w:noProof/>
          <w:color w:val="000000" w:themeColor="text1"/>
        </w:rPr>
        <w:t>Iniciativy pro stimulaci vedoucích trhů s klimaticky neutrálními a oběhovými produkty v energeticky náročných průmyslových odvětvích</w:t>
      </w:r>
    </w:p>
    <w:p w14:paraId="631B9084" w14:textId="3537EC5B" w:rsidR="00D47A5D" w:rsidRPr="00542F14" w:rsidRDefault="00D47A5D" w:rsidP="00FF0124">
      <w:pPr>
        <w:spacing w:line="240" w:lineRule="auto"/>
        <w:jc w:val="both"/>
        <w:rPr>
          <w:rFonts w:cstheme="minorHAnsi"/>
          <w:bCs/>
          <w:color w:val="000000"/>
        </w:rPr>
      </w:pPr>
      <w:r w:rsidRPr="00542F14">
        <w:rPr>
          <w:rFonts w:cstheme="minorHAnsi"/>
          <w:bCs/>
          <w:color w:val="000000"/>
        </w:rPr>
        <w:t>Dle ČR jsou energeticky náročná průmyslová odvětví</w:t>
      </w:r>
      <w:r w:rsidR="00096943">
        <w:rPr>
          <w:rFonts w:cstheme="minorHAnsi"/>
          <w:bCs/>
          <w:color w:val="000000"/>
        </w:rPr>
        <w:t xml:space="preserve"> </w:t>
      </w:r>
      <w:r w:rsidR="00096943" w:rsidRPr="00096943">
        <w:rPr>
          <w:rFonts w:cstheme="minorHAnsi"/>
          <w:bCs/>
          <w:color w:val="000000"/>
        </w:rPr>
        <w:t>(</w:t>
      </w:r>
      <w:r w:rsidR="00096943" w:rsidRPr="00096943">
        <w:rPr>
          <w:rFonts w:cstheme="minorHAnsi"/>
          <w:color w:val="202124"/>
          <w:shd w:val="clear" w:color="auto" w:fill="FFFFFF"/>
        </w:rPr>
        <w:t>zpracování železa a oceli, chemický průmysl, zpracování nekovových minerálů, strojírenství a výroba papíru, buničiny)</w:t>
      </w:r>
      <w:r w:rsidR="00096943">
        <w:rPr>
          <w:rFonts w:cstheme="minorHAnsi"/>
          <w:color w:val="202124"/>
          <w:shd w:val="clear" w:color="auto" w:fill="FFFFFF"/>
        </w:rPr>
        <w:t>,</w:t>
      </w:r>
      <w:r w:rsidRPr="00542F14">
        <w:rPr>
          <w:rFonts w:cstheme="minorHAnsi"/>
          <w:bCs/>
          <w:color w:val="000000"/>
        </w:rPr>
        <w:t xml:space="preserve"> na nichž závisí další odvětví, pro evropskou ekonomiku nepostradatelná, proto je jejich modernizace a dekarbonizace prioritní. Pro</w:t>
      </w:r>
      <w:r w:rsidR="009354C2">
        <w:rPr>
          <w:rFonts w:cstheme="minorHAnsi"/>
          <w:bCs/>
          <w:color w:val="000000"/>
        </w:rPr>
        <w:t xml:space="preserve"> </w:t>
      </w:r>
      <w:r w:rsidRPr="00542F14">
        <w:rPr>
          <w:rFonts w:cstheme="minorHAnsi"/>
          <w:bCs/>
          <w:color w:val="000000"/>
        </w:rPr>
        <w:t xml:space="preserve">tato odvětví je další významnější snižování emisí skleníkových plynů velkou výzvou a současně hrozbou z hlediska mezinárodní konkurence. Pro zachování konkurenceschopnosti musí být pravidelně hodnocena stávající opatření a popřípadě přijata adekvátní opatření nová pro jejich modernizaci a zároveň i ochranu. Dle ČR je nezbytné, aby klimatické úsilí EU bylo doprovázeno globálním zapojením největších znečišťovatelů, a zároveň je třeba, aby Unie podnikala konkrétní kroky, které k tomuto zapojení povedou (obchodní dohody, celosvětové rozšiřování trhu s uhlíkem apod.). </w:t>
      </w:r>
    </w:p>
    <w:p w14:paraId="2354865D" w14:textId="3C6862BF" w:rsidR="009E4B04" w:rsidRDefault="009E4B04">
      <w:pPr>
        <w:rPr>
          <w:rFonts w:ascii="Times New Roman" w:hAnsi="Times New Roman" w:cs="Times New Roman"/>
          <w:i/>
          <w:color w:val="000000" w:themeColor="text1"/>
        </w:rPr>
      </w:pPr>
      <w:r>
        <w:rPr>
          <w:rFonts w:ascii="Times New Roman" w:hAnsi="Times New Roman" w:cs="Times New Roman"/>
          <w:i/>
          <w:color w:val="000000" w:themeColor="text1"/>
        </w:rPr>
        <w:br w:type="page"/>
      </w:r>
    </w:p>
    <w:p w14:paraId="7CB35335" w14:textId="77777777" w:rsidR="00085287" w:rsidRPr="00542F14"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542F14">
        <w:rPr>
          <w:rFonts w:cstheme="minorHAnsi"/>
          <w:b/>
          <w:noProof/>
          <w:color w:val="000000" w:themeColor="text1"/>
        </w:rPr>
        <w:lastRenderedPageBreak/>
        <w:t>Návrh na podporu výrobních procesů oceli s nulovými emisemi uhlíku do roku 2030</w:t>
      </w:r>
    </w:p>
    <w:p w14:paraId="62F0DBE3" w14:textId="3B1E2441" w:rsidR="00067F41" w:rsidRPr="00542F14" w:rsidRDefault="00067F41" w:rsidP="00FF0124">
      <w:pPr>
        <w:tabs>
          <w:tab w:val="left" w:pos="0"/>
        </w:tabs>
        <w:spacing w:line="240" w:lineRule="auto"/>
        <w:jc w:val="both"/>
        <w:rPr>
          <w:rFonts w:cstheme="minorHAnsi"/>
          <w:bCs/>
          <w:color w:val="000000"/>
        </w:rPr>
      </w:pPr>
      <w:r w:rsidRPr="00542F14">
        <w:rPr>
          <w:rFonts w:cstheme="minorHAnsi"/>
          <w:bCs/>
          <w:color w:val="000000"/>
        </w:rPr>
        <w:t xml:space="preserve">Komise bude podporovat přelomové technologie výroby čisté oceli.  ČR kvituje záměr Komise předložit Strategii EU pro čistou ocel a strategii pro udržitelnost v oblasti chemických látek. Oceňuje, že další rozsáhlé inovativní projekty na podporu čistých výrobků ve všech energeticky náročných odvětvích pomůže realizovat Inovační fond v systému EU ETS. </w:t>
      </w:r>
    </w:p>
    <w:p w14:paraId="52A17AFD" w14:textId="075E83C4" w:rsidR="00085287" w:rsidRDefault="008E32A3" w:rsidP="00FF0124">
      <w:pPr>
        <w:spacing w:line="240" w:lineRule="auto"/>
        <w:jc w:val="both"/>
      </w:pPr>
      <w:r>
        <w:t xml:space="preserve">EK navrhuje zahrnutí výzkumných činností v rámci spoluprogramovaných evropských partnerství mezi financovatelné činnosti. Tato partnerství by mohla zejména podpořit výzkum v ocelářství rozvojem procesů výroby oceli s téměř nulovými emisemi uhlíku do roku 2030 a modernizací zařízení těchto technologií, aby byla využitelná </w:t>
      </w:r>
      <w:r w:rsidR="00096943">
        <w:t>n</w:t>
      </w:r>
      <w:r>
        <w:t>a průmyslové úrovni.</w:t>
      </w:r>
    </w:p>
    <w:p w14:paraId="2EFF8AD6" w14:textId="77777777" w:rsidR="00FF71FB" w:rsidRDefault="00FF71FB" w:rsidP="002A1848">
      <w:pPr>
        <w:spacing w:line="276" w:lineRule="auto"/>
        <w:jc w:val="both"/>
        <w:rPr>
          <w:rFonts w:ascii="Times New Roman" w:hAnsi="Times New Roman" w:cs="Times New Roman"/>
          <w:b/>
          <w:color w:val="000000" w:themeColor="text1"/>
          <w:u w:val="single"/>
        </w:rPr>
      </w:pPr>
    </w:p>
    <w:p w14:paraId="17F82F9A" w14:textId="77777777" w:rsidR="00085287" w:rsidRPr="008B4FC7"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8B4FC7">
        <w:rPr>
          <w:rFonts w:cstheme="minorHAnsi"/>
          <w:b/>
          <w:noProof/>
          <w:color w:val="000000" w:themeColor="text1"/>
        </w:rPr>
        <w:t>Právní předpisy o bateriích na podporu strategického akčního plánu pro baterie a oběhového hospodářství</w:t>
      </w:r>
    </w:p>
    <w:p w14:paraId="47CFF6FC" w14:textId="77777777" w:rsidR="00443937" w:rsidRPr="00174248" w:rsidRDefault="0013656B" w:rsidP="00FC4017">
      <w:pPr>
        <w:spacing w:line="240" w:lineRule="auto"/>
        <w:jc w:val="both"/>
        <w:rPr>
          <w:rFonts w:cstheme="minorHAnsi"/>
        </w:rPr>
      </w:pPr>
      <w:r w:rsidRPr="00443937">
        <w:rPr>
          <w:color w:val="000000" w:themeColor="text1"/>
          <w:lang w:eastAsia="cs-CZ"/>
        </w:rPr>
        <w:t>EK by měla zveřejnit 9.12</w:t>
      </w:r>
      <w:r w:rsidR="00443937" w:rsidRPr="00443937">
        <w:rPr>
          <w:color w:val="000000" w:themeColor="text1"/>
          <w:lang w:eastAsia="cs-CZ"/>
        </w:rPr>
        <w:t>.2020</w:t>
      </w:r>
      <w:r w:rsidR="00443937">
        <w:rPr>
          <w:lang w:eastAsia="cs-CZ"/>
        </w:rPr>
        <w:t xml:space="preserve">. </w:t>
      </w:r>
      <w:r w:rsidR="00443937" w:rsidRPr="00174248">
        <w:rPr>
          <w:rFonts w:cstheme="minorHAnsi"/>
        </w:rPr>
        <w:t>Nový regulační rámec pro baterie bude vycházet z hodnocení směrnice o bateriích5 a z činnosti Evropské bateriové aliance a bude zohledňovat pravidla týkající se obsahu recyklovaného materiálu a opatření ke zlepšení míry sběru a recyklace všech baterií, zajištění opětovného využití cenných materiálů a poskytnutí pokynů pro spotřebitele, řešení problematiky baterií neschopných opětovného nabití s cílem postupně odstranit jejich používání, pokud existují alternativy a požadavky udržitelnosti a transparentnosti pro baterie, které zohledňují například uhlíkovou stopu při výrobě baterií, etické získávání surovin a bezpečnost dodávek, a usnadňují opětovné použití, nové využití a recyklaci.</w:t>
      </w:r>
    </w:p>
    <w:p w14:paraId="185A48EA" w14:textId="77777777" w:rsidR="007213E9" w:rsidRPr="008D7F3D" w:rsidRDefault="007213E9" w:rsidP="002A1848">
      <w:pPr>
        <w:spacing w:line="276" w:lineRule="auto"/>
        <w:jc w:val="both"/>
        <w:rPr>
          <w:rFonts w:ascii="Times New Roman" w:hAnsi="Times New Roman" w:cs="Times New Roman"/>
          <w:i/>
          <w:color w:val="000000" w:themeColor="text1"/>
        </w:rPr>
      </w:pPr>
    </w:p>
    <w:p w14:paraId="5851427A" w14:textId="77777777" w:rsidR="00085287" w:rsidRPr="00917A31"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917A31">
        <w:rPr>
          <w:rFonts w:cstheme="minorHAnsi"/>
          <w:b/>
          <w:noProof/>
          <w:color w:val="000000" w:themeColor="text1"/>
        </w:rPr>
        <w:t>Návrh reformy právních předpisů v oblasti odpadů</w:t>
      </w:r>
    </w:p>
    <w:p w14:paraId="19814238" w14:textId="4D29AC7E" w:rsidR="0013656B" w:rsidRPr="00C95471" w:rsidRDefault="0013656B" w:rsidP="00FC4017">
      <w:pPr>
        <w:spacing w:line="240" w:lineRule="auto"/>
        <w:jc w:val="both"/>
        <w:rPr>
          <w:lang w:eastAsia="cs-CZ"/>
        </w:rPr>
      </w:pPr>
      <w:r w:rsidRPr="00687E1E">
        <w:rPr>
          <w:lang w:eastAsia="cs-CZ"/>
        </w:rPr>
        <w:t xml:space="preserve">V roce 2021 by měla být zveřejněna legislativa k bateriím, k vozidlům s ukončenou činností, směrnice k obalům a obalovým odpadům. Rovněž je plánována změna nařízení o přepravě odpadů (předpoklad 1.Q 2021). V roce 2021 se očekává se také revize směrnice RoHS (nebezpečné látky v odpadech – gesce MPO, ale projednává se na PS pro životní prostředí).  Dále je možné předpokládat zveřejnění legislativy k novým oblastem, řada z nich vychází </w:t>
      </w:r>
      <w:r w:rsidR="00096943">
        <w:rPr>
          <w:lang w:eastAsia="cs-CZ"/>
        </w:rPr>
        <w:t xml:space="preserve">z </w:t>
      </w:r>
      <w:r w:rsidRPr="00687E1E">
        <w:rPr>
          <w:lang w:eastAsia="cs-CZ"/>
        </w:rPr>
        <w:t xml:space="preserve">revizních </w:t>
      </w:r>
      <w:r w:rsidR="003372C8" w:rsidRPr="00687E1E">
        <w:rPr>
          <w:lang w:eastAsia="cs-CZ"/>
        </w:rPr>
        <w:t>klauzulí</w:t>
      </w:r>
      <w:r w:rsidRPr="00687E1E">
        <w:rPr>
          <w:lang w:eastAsia="cs-CZ"/>
        </w:rPr>
        <w:t xml:space="preserve"> již platné legislativy, dle kterých má EK na předložení konkrétní termín – textil, odpadní oleje (do 2022), bioodpady (do 2023), stavebnictví, potraviny, mikroplasty. Evropská komise rovněž avizuje přípravu celé řady strategií (textil, stavebnictví, elektronika, živiny a další). </w:t>
      </w:r>
    </w:p>
    <w:p w14:paraId="5612F429" w14:textId="302DA069" w:rsidR="008D5B46" w:rsidRDefault="008D5B46" w:rsidP="002A1848">
      <w:pPr>
        <w:autoSpaceDE w:val="0"/>
        <w:autoSpaceDN w:val="0"/>
        <w:adjustRightInd w:val="0"/>
        <w:spacing w:line="276" w:lineRule="auto"/>
        <w:jc w:val="both"/>
        <w:rPr>
          <w:rFonts w:ascii="Times New Roman" w:hAnsi="Times New Roman" w:cs="Times New Roman"/>
          <w:bCs/>
          <w:color w:val="000000" w:themeColor="text1"/>
        </w:rPr>
      </w:pPr>
    </w:p>
    <w:p w14:paraId="1FB5B275" w14:textId="3F8C513C" w:rsidR="008D5B46" w:rsidRDefault="008D5B46" w:rsidP="002A1848">
      <w:pPr>
        <w:autoSpaceDE w:val="0"/>
        <w:autoSpaceDN w:val="0"/>
        <w:adjustRightInd w:val="0"/>
        <w:spacing w:line="276" w:lineRule="auto"/>
        <w:jc w:val="both"/>
        <w:rPr>
          <w:rFonts w:ascii="Times New Roman" w:hAnsi="Times New Roman" w:cs="Times New Roman"/>
          <w:bCs/>
          <w:color w:val="000000" w:themeColor="text1"/>
        </w:rPr>
      </w:pPr>
    </w:p>
    <w:p w14:paraId="05152E16" w14:textId="452CC2CA" w:rsidR="00CB0962" w:rsidRDefault="00CB0962" w:rsidP="002A1848">
      <w:pPr>
        <w:spacing w:line="276" w:lineRule="auto"/>
        <w:jc w:val="both"/>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1DD22D3C" w14:textId="77777777" w:rsidR="00B768D6" w:rsidRDefault="00B768D6" w:rsidP="002A1848">
      <w:pPr>
        <w:autoSpaceDE w:val="0"/>
        <w:autoSpaceDN w:val="0"/>
        <w:adjustRightInd w:val="0"/>
        <w:spacing w:line="276" w:lineRule="auto"/>
        <w:jc w:val="both"/>
        <w:rPr>
          <w:rFonts w:ascii="Times New Roman" w:hAnsi="Times New Roman" w:cs="Times New Roman"/>
          <w:bCs/>
          <w:color w:val="000000" w:themeColor="text1"/>
        </w:rPr>
      </w:pPr>
    </w:p>
    <w:p w14:paraId="01A18372" w14:textId="77777777" w:rsidR="00085287" w:rsidRPr="009E4B04"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142" w:right="139"/>
        <w:jc w:val="both"/>
        <w:rPr>
          <w:rFonts w:cstheme="minorHAnsi"/>
          <w:b/>
          <w:color w:val="000000" w:themeColor="text1"/>
          <w:sz w:val="32"/>
          <w:szCs w:val="32"/>
        </w:rPr>
      </w:pPr>
      <w:r w:rsidRPr="009E4B04">
        <w:rPr>
          <w:rFonts w:cstheme="minorHAnsi"/>
          <w:b/>
          <w:color w:val="000000" w:themeColor="text1"/>
          <w:sz w:val="32"/>
          <w:szCs w:val="32"/>
        </w:rPr>
        <w:t>Udržitelná a inteligentní mobilita</w:t>
      </w:r>
    </w:p>
    <w:p w14:paraId="4A775992" w14:textId="77777777" w:rsidR="00085287" w:rsidRDefault="00085287" w:rsidP="002A1848">
      <w:pPr>
        <w:spacing w:line="276" w:lineRule="auto"/>
        <w:jc w:val="both"/>
        <w:rPr>
          <w:rFonts w:ascii="Times New Roman" w:hAnsi="Times New Roman" w:cs="Times New Roman"/>
          <w:i/>
          <w:color w:val="000000" w:themeColor="text1"/>
        </w:rPr>
      </w:pPr>
    </w:p>
    <w:p w14:paraId="24B2EE6F" w14:textId="77777777" w:rsidR="00085287" w:rsidRPr="00BC1304"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BC1304">
        <w:rPr>
          <w:rFonts w:cstheme="minorHAnsi"/>
          <w:b/>
          <w:noProof/>
          <w:color w:val="000000" w:themeColor="text1"/>
        </w:rPr>
        <w:t>Strategie pro udržitelnou a inteligentní mobilitu</w:t>
      </w:r>
    </w:p>
    <w:p w14:paraId="4D349510" w14:textId="4A3E1C47" w:rsidR="00224FD2" w:rsidRDefault="004C1A41" w:rsidP="00FC4017">
      <w:pPr>
        <w:spacing w:line="240" w:lineRule="auto"/>
        <w:jc w:val="both"/>
        <w:rPr>
          <w:rFonts w:cstheme="minorHAnsi"/>
        </w:rPr>
      </w:pPr>
      <w:r w:rsidRPr="00BC1304">
        <w:rPr>
          <w:rFonts w:cstheme="minorHAnsi"/>
        </w:rPr>
        <w:t xml:space="preserve">Klíčovým dokumentem pro sektor dopravy bude Strategie pro udržitelnou a inteligentní mobilitu, </w:t>
      </w:r>
      <w:r>
        <w:rPr>
          <w:rFonts w:cstheme="minorHAnsi"/>
        </w:rPr>
        <w:t xml:space="preserve">která </w:t>
      </w:r>
      <w:r w:rsidR="0012282F">
        <w:rPr>
          <w:rFonts w:cstheme="minorHAnsi"/>
        </w:rPr>
        <w:t>bude zveřejněna</w:t>
      </w:r>
      <w:r>
        <w:rPr>
          <w:rFonts w:cstheme="minorHAnsi"/>
        </w:rPr>
        <w:t xml:space="preserve"> 9. prosince </w:t>
      </w:r>
      <w:r w:rsidRPr="00BC1304">
        <w:rPr>
          <w:rFonts w:cstheme="minorHAnsi"/>
        </w:rPr>
        <w:t>2020</w:t>
      </w:r>
      <w:r w:rsidR="00224FD2">
        <w:rPr>
          <w:rFonts w:cstheme="minorHAnsi"/>
        </w:rPr>
        <w:t xml:space="preserve"> (naváže </w:t>
      </w:r>
      <w:r w:rsidRPr="00BC1304">
        <w:rPr>
          <w:rFonts w:cstheme="minorHAnsi"/>
        </w:rPr>
        <w:t>na Bílou knihu dopravy z roku 2011</w:t>
      </w:r>
      <w:r w:rsidR="00224FD2">
        <w:rPr>
          <w:rFonts w:cstheme="minorHAnsi"/>
        </w:rPr>
        <w:t>)</w:t>
      </w:r>
      <w:r w:rsidRPr="00BC1304">
        <w:rPr>
          <w:rFonts w:cstheme="minorHAnsi"/>
        </w:rPr>
        <w:t xml:space="preserve">. </w:t>
      </w:r>
    </w:p>
    <w:p w14:paraId="62A1FC6A" w14:textId="23CA768F" w:rsidR="00363FBD" w:rsidRDefault="00F60E47" w:rsidP="00FC4017">
      <w:pPr>
        <w:spacing w:line="240" w:lineRule="auto"/>
        <w:jc w:val="both"/>
        <w:rPr>
          <w:rFonts w:cstheme="minorHAnsi"/>
        </w:rPr>
      </w:pPr>
      <w:r>
        <w:t xml:space="preserve">Základním cílem evropské dopravní politiky je </w:t>
      </w:r>
      <w:r w:rsidR="00D3265E">
        <w:t>podpora</w:t>
      </w:r>
      <w:r>
        <w:t xml:space="preserve"> evropsk</w:t>
      </w:r>
      <w:r w:rsidR="0031669E">
        <w:t>ého</w:t>
      </w:r>
      <w:r>
        <w:t xml:space="preserve"> hospodářsk</w:t>
      </w:r>
      <w:r w:rsidR="0031669E">
        <w:t>ého</w:t>
      </w:r>
      <w:r>
        <w:t xml:space="preserve"> pokrok</w:t>
      </w:r>
      <w:r w:rsidR="0031669E">
        <w:t>u</w:t>
      </w:r>
      <w:r>
        <w:t>, zv</w:t>
      </w:r>
      <w:r w:rsidR="000F4A50">
        <w:t>ý</w:t>
      </w:r>
      <w:r>
        <w:t>š</w:t>
      </w:r>
      <w:r w:rsidR="0031669E">
        <w:t>ení</w:t>
      </w:r>
      <w:r>
        <w:t xml:space="preserve"> konkurenceschopnost</w:t>
      </w:r>
      <w:r w:rsidR="0031669E">
        <w:t>i</w:t>
      </w:r>
      <w:r>
        <w:t xml:space="preserve"> a vysoce kvalitní služby mobility a účinněj</w:t>
      </w:r>
      <w:r w:rsidR="0031669E">
        <w:t xml:space="preserve">ší </w:t>
      </w:r>
      <w:r>
        <w:t>využívá</w:t>
      </w:r>
      <w:r w:rsidR="0031669E">
        <w:t>ní</w:t>
      </w:r>
      <w:r>
        <w:t xml:space="preserve"> zdroj</w:t>
      </w:r>
      <w:r w:rsidR="0031669E">
        <w:t>ů</w:t>
      </w:r>
      <w:r>
        <w:t xml:space="preserve">. </w:t>
      </w:r>
      <w:r w:rsidR="000F4A50">
        <w:t xml:space="preserve">Důležité je, aby </w:t>
      </w:r>
      <w:r>
        <w:t xml:space="preserve">doprava využívala méně </w:t>
      </w:r>
      <w:r w:rsidR="008E32A3">
        <w:t>energie,</w:t>
      </w:r>
      <w:r>
        <w:t xml:space="preserve"> a </w:t>
      </w:r>
      <w:r w:rsidR="000F4E72">
        <w:t>především</w:t>
      </w:r>
      <w:r>
        <w:t xml:space="preserve"> čistou energii, aby lépe využívala moderní infrastrukturu a snižovala svůj negativní dopad na životní </w:t>
      </w:r>
      <w:r w:rsidR="00AD2A0E">
        <w:t>prostředí – přírodní</w:t>
      </w:r>
      <w:r>
        <w:t xml:space="preserve"> zdroje jako vodu, půdu a ekosystémy.</w:t>
      </w:r>
    </w:p>
    <w:p w14:paraId="5B4C0A70" w14:textId="3B55D52A" w:rsidR="00BB0E3A" w:rsidRPr="00BC1304" w:rsidRDefault="00BB0E3A" w:rsidP="00FC4017">
      <w:pPr>
        <w:spacing w:line="240" w:lineRule="auto"/>
        <w:jc w:val="both"/>
        <w:rPr>
          <w:rFonts w:cstheme="minorHAnsi"/>
        </w:rPr>
      </w:pPr>
      <w:r w:rsidRPr="00BC1304">
        <w:rPr>
          <w:rFonts w:cstheme="minorHAnsi"/>
        </w:rPr>
        <w:t>MD v současnosti není schopno vyčíslit náklady přímo spojené s</w:t>
      </w:r>
      <w:r>
        <w:rPr>
          <w:rFonts w:cstheme="minorHAnsi"/>
        </w:rPr>
        <w:t xml:space="preserve">e </w:t>
      </w:r>
      <w:proofErr w:type="gramStart"/>
      <w:r>
        <w:rPr>
          <w:rFonts w:cstheme="minorHAnsi"/>
        </w:rPr>
        <w:t>Zelenou</w:t>
      </w:r>
      <w:proofErr w:type="gramEnd"/>
      <w:r>
        <w:rPr>
          <w:rFonts w:cstheme="minorHAnsi"/>
        </w:rPr>
        <w:t xml:space="preserve"> dohodou pro Evropu</w:t>
      </w:r>
      <w:r w:rsidRPr="00BC1304">
        <w:rPr>
          <w:rFonts w:cstheme="minorHAnsi"/>
        </w:rPr>
        <w:t>, neboť není známé konkrétní nastavení cílů a politik, které by měla představit Strategie pro udržitelnou a inteligentní mobilitu. První rámcové</w:t>
      </w:r>
      <w:r w:rsidR="000F4A50">
        <w:rPr>
          <w:rFonts w:cstheme="minorHAnsi"/>
        </w:rPr>
        <w:t xml:space="preserve"> </w:t>
      </w:r>
      <w:r w:rsidRPr="00BC1304">
        <w:rPr>
          <w:rFonts w:cstheme="minorHAnsi"/>
        </w:rPr>
        <w:t xml:space="preserve">vyčíslení nových politik bude </w:t>
      </w:r>
      <w:r w:rsidR="0071475F">
        <w:rPr>
          <w:rFonts w:cstheme="minorHAnsi"/>
        </w:rPr>
        <w:t xml:space="preserve">možné </w:t>
      </w:r>
      <w:r w:rsidRPr="00BC1304">
        <w:rPr>
          <w:rFonts w:cstheme="minorHAnsi"/>
        </w:rPr>
        <w:t>prezentovat na počátku roku 2021.</w:t>
      </w:r>
    </w:p>
    <w:p w14:paraId="1C4C405D" w14:textId="5EC753E9" w:rsidR="002F7574" w:rsidRPr="00BC1304" w:rsidRDefault="00224FD2" w:rsidP="00FC4017">
      <w:pPr>
        <w:spacing w:line="240" w:lineRule="auto"/>
        <w:jc w:val="both"/>
        <w:rPr>
          <w:rFonts w:cstheme="minorHAnsi"/>
        </w:rPr>
      </w:pPr>
      <w:r>
        <w:rPr>
          <w:rFonts w:cstheme="minorHAnsi"/>
        </w:rPr>
        <w:t>K</w:t>
      </w:r>
      <w:r w:rsidR="002F7574" w:rsidRPr="00BC1304">
        <w:rPr>
          <w:rFonts w:cstheme="minorHAnsi"/>
        </w:rPr>
        <w:t>líčov</w:t>
      </w:r>
      <w:r>
        <w:rPr>
          <w:rFonts w:cstheme="minorHAnsi"/>
        </w:rPr>
        <w:t>é</w:t>
      </w:r>
      <w:r w:rsidR="002F7574" w:rsidRPr="00BC1304">
        <w:rPr>
          <w:rFonts w:cstheme="minorHAnsi"/>
        </w:rPr>
        <w:t xml:space="preserve"> návrh</w:t>
      </w:r>
      <w:r>
        <w:rPr>
          <w:rFonts w:cstheme="minorHAnsi"/>
        </w:rPr>
        <w:t>y</w:t>
      </w:r>
      <w:r w:rsidR="002F7574" w:rsidRPr="00BC1304">
        <w:rPr>
          <w:rFonts w:cstheme="minorHAnsi"/>
        </w:rPr>
        <w:t xml:space="preserve"> </w:t>
      </w:r>
      <w:r w:rsidR="0071475F">
        <w:rPr>
          <w:rFonts w:cstheme="minorHAnsi"/>
        </w:rPr>
        <w:t>jako je</w:t>
      </w:r>
      <w:r w:rsidR="002F7574" w:rsidRPr="00BC1304">
        <w:rPr>
          <w:rFonts w:cstheme="minorHAnsi"/>
        </w:rPr>
        <w:t xml:space="preserve"> revize směrnice o infrastruktuře pro alternativní paliva, revize nařízení o nákladních železničních koridorech, případně další revize nařízení o emisích CO</w:t>
      </w:r>
      <w:r w:rsidR="002F7574" w:rsidRPr="00BC1304">
        <w:rPr>
          <w:rFonts w:cstheme="minorHAnsi"/>
          <w:vertAlign w:val="subscript"/>
        </w:rPr>
        <w:t>2</w:t>
      </w:r>
      <w:r w:rsidR="002F7574" w:rsidRPr="00BC1304">
        <w:rPr>
          <w:rFonts w:cstheme="minorHAnsi"/>
        </w:rPr>
        <w:t xml:space="preserve"> v silniční dopravě se očekávají v roce 2021. </w:t>
      </w:r>
    </w:p>
    <w:p w14:paraId="62D1C1FF" w14:textId="2B96EAA4" w:rsidR="002F7574" w:rsidRPr="000F4A50" w:rsidRDefault="00D4150C" w:rsidP="00FC4017">
      <w:pPr>
        <w:spacing w:line="240" w:lineRule="auto"/>
        <w:jc w:val="both"/>
      </w:pPr>
      <w:r w:rsidRPr="000F4A50">
        <w:t xml:space="preserve">22. </w:t>
      </w:r>
      <w:r w:rsidR="002F7574" w:rsidRPr="000F4A50">
        <w:t xml:space="preserve">září 2020 </w:t>
      </w:r>
      <w:r w:rsidRPr="000F4A50">
        <w:t xml:space="preserve">Evropská komise navrhla modernizaci regulačního rámce pro jednotné evropské nebe. Cílem je modernizovat uspořádání evropského vzdušného prostoru a vytvořit udržitelnější a účinnější letové trasy. To pomůže snížit emise CO2 z letecké dopravy až o 10 % </w:t>
      </w:r>
      <w:r w:rsidR="007A1AFB" w:rsidRPr="000F4A50">
        <w:t>v důsledku lepšího řízení letových tras, ale také podpořit digitální inovace otevřením trhu pro datové služby v tomto odvětví</w:t>
      </w:r>
      <w:r w:rsidR="007A1AFB" w:rsidRPr="000F4A50">
        <w:rPr>
          <w:i/>
          <w:iCs/>
        </w:rPr>
        <w:t>. </w:t>
      </w:r>
      <w:r w:rsidR="002F7574" w:rsidRPr="000F4A50">
        <w:t xml:space="preserve"> </w:t>
      </w:r>
      <w:r w:rsidR="0071475F" w:rsidRPr="000F4A50">
        <w:t>R</w:t>
      </w:r>
      <w:r w:rsidR="002F7574" w:rsidRPr="000F4A50">
        <w:t xml:space="preserve">evize současného právního rámce je nutná, ČR podporuje aktualizaci tohoto nařízení. </w:t>
      </w:r>
      <w:r w:rsidR="000F4A50">
        <w:t xml:space="preserve"> </w:t>
      </w:r>
      <w:r w:rsidR="002F7574" w:rsidRPr="000F4E72">
        <w:rPr>
          <w:rFonts w:cstheme="minorHAnsi"/>
        </w:rPr>
        <w:t xml:space="preserve">Od 1. ledna 2021 začne pilotní fáze systému kompenzace a snižování emisí uhlíku v mezinárodní letecké dopravě (CORSIA) sjednaného v rámci Mezinárodní organizace pro civilní letectví. </w:t>
      </w:r>
    </w:p>
    <w:p w14:paraId="7080DF3C" w14:textId="055CD3E0" w:rsidR="002F7574" w:rsidRPr="00BC1304" w:rsidRDefault="0012282F" w:rsidP="00FC4017">
      <w:pPr>
        <w:spacing w:line="240" w:lineRule="auto"/>
        <w:jc w:val="both"/>
        <w:rPr>
          <w:rFonts w:cstheme="minorHAnsi"/>
        </w:rPr>
      </w:pPr>
      <w:r>
        <w:rPr>
          <w:rFonts w:cstheme="minorHAnsi"/>
        </w:rPr>
        <w:t xml:space="preserve">EGD </w:t>
      </w:r>
      <w:r w:rsidRPr="00BC1304">
        <w:rPr>
          <w:rFonts w:cstheme="minorHAnsi"/>
        </w:rPr>
        <w:t>obsahuje</w:t>
      </w:r>
      <w:r>
        <w:rPr>
          <w:rFonts w:cstheme="minorHAnsi"/>
        </w:rPr>
        <w:t xml:space="preserve"> </w:t>
      </w:r>
      <w:r w:rsidR="0071475F">
        <w:rPr>
          <w:rFonts w:cstheme="minorHAnsi"/>
        </w:rPr>
        <w:t>n</w:t>
      </w:r>
      <w:r w:rsidR="002F7574" w:rsidRPr="00BC1304">
        <w:rPr>
          <w:rFonts w:cstheme="minorHAnsi"/>
        </w:rPr>
        <w:t>ávrh snížení emisí CO</w:t>
      </w:r>
      <w:r w:rsidR="002F7574" w:rsidRPr="00BC1304">
        <w:rPr>
          <w:rFonts w:cstheme="minorHAnsi"/>
          <w:vertAlign w:val="subscript"/>
        </w:rPr>
        <w:t>2</w:t>
      </w:r>
      <w:r w:rsidR="002F7574" w:rsidRPr="00BC1304">
        <w:rPr>
          <w:rFonts w:cstheme="minorHAnsi"/>
        </w:rPr>
        <w:t xml:space="preserve"> z dopravy o 90 % do roku 2050, </w:t>
      </w:r>
      <w:r w:rsidR="00D4150C">
        <w:rPr>
          <w:rFonts w:cstheme="minorHAnsi"/>
        </w:rPr>
        <w:t>dále</w:t>
      </w:r>
      <w:r w:rsidR="007A1AFB">
        <w:rPr>
          <w:rFonts w:cstheme="minorHAnsi"/>
        </w:rPr>
        <w:t xml:space="preserve"> </w:t>
      </w:r>
      <w:r w:rsidR="002F7574" w:rsidRPr="00BC1304">
        <w:rPr>
          <w:rFonts w:cstheme="minorHAnsi"/>
        </w:rPr>
        <w:t>přesun 75 % nákladní dopravy ze silniční dopravy směrem k udržitelným druhům dopravy (železniční a vodní) a 1 milion dobíjecích a plnicích stanic pro 13 milionů vozidel s nulovými a nízkými emisemi do roku 2025.</w:t>
      </w:r>
    </w:p>
    <w:p w14:paraId="1B00E3B4" w14:textId="5538EE2C" w:rsidR="002F7574" w:rsidRPr="00BC1304" w:rsidRDefault="0071475F" w:rsidP="00FC4017">
      <w:pPr>
        <w:spacing w:line="240" w:lineRule="auto"/>
        <w:jc w:val="both"/>
        <w:rPr>
          <w:rFonts w:cstheme="minorHAnsi"/>
        </w:rPr>
      </w:pPr>
      <w:r>
        <w:rPr>
          <w:rFonts w:cstheme="minorHAnsi"/>
        </w:rPr>
        <w:t>S</w:t>
      </w:r>
      <w:r w:rsidR="002F7574" w:rsidRPr="00BC1304">
        <w:rPr>
          <w:rFonts w:cstheme="minorHAnsi"/>
        </w:rPr>
        <w:t>nížení emisí z dopravy až o 90 % nebylo podrobněji vysvětleno</w:t>
      </w:r>
      <w:r>
        <w:rPr>
          <w:rFonts w:cstheme="minorHAnsi"/>
        </w:rPr>
        <w:t xml:space="preserve"> a dle </w:t>
      </w:r>
      <w:r w:rsidR="002F7574" w:rsidRPr="00BC1304">
        <w:rPr>
          <w:rFonts w:cstheme="minorHAnsi"/>
        </w:rPr>
        <w:t>ČR může být takový pokles v praxi obtížně realizovatelný. Bílá kniha o dopravě z roku 2011 počítala se snížením emisí o 60 % a ani její naplňování není úspěšné.</w:t>
      </w:r>
    </w:p>
    <w:p w14:paraId="0C2C413E" w14:textId="74943043" w:rsidR="002F7574" w:rsidRPr="00BC1304" w:rsidRDefault="0054336C" w:rsidP="00FC4017">
      <w:pPr>
        <w:spacing w:line="240" w:lineRule="auto"/>
        <w:jc w:val="both"/>
        <w:rPr>
          <w:rFonts w:cstheme="minorHAnsi"/>
        </w:rPr>
      </w:pPr>
      <w:r>
        <w:rPr>
          <w:rFonts w:cstheme="minorHAnsi"/>
        </w:rPr>
        <w:t>Z</w:t>
      </w:r>
      <w:r w:rsidR="002F7574" w:rsidRPr="00BC1304">
        <w:rPr>
          <w:rFonts w:cstheme="minorHAnsi"/>
        </w:rPr>
        <w:t xml:space="preserve">a současného technologického poznání není možné snížit emise o 90 % ve všech dopravních módech. Železniční doprava by měla být schopna v tomto horizontu cíl splnit (pokračující elektrizace, využití bateriových či vodíkových jednotek). Silniční doprava může tento cíl do roku 2050 se značnými obtížemi také </w:t>
      </w:r>
      <w:r w:rsidR="000F4A50" w:rsidRPr="00BC1304">
        <w:rPr>
          <w:rFonts w:cstheme="minorHAnsi"/>
        </w:rPr>
        <w:t>splnit</w:t>
      </w:r>
      <w:r w:rsidR="000F4A50">
        <w:rPr>
          <w:rFonts w:cstheme="minorHAnsi"/>
        </w:rPr>
        <w:t xml:space="preserve"> – kombinací</w:t>
      </w:r>
      <w:r w:rsidR="002F7574" w:rsidRPr="00BC1304">
        <w:rPr>
          <w:rFonts w:cstheme="minorHAnsi"/>
        </w:rPr>
        <w:t xml:space="preserve"> alternativních paliv v osobní dopravě a využití vodíku v nákladní dopravě. </w:t>
      </w:r>
      <w:r w:rsidR="0071475F">
        <w:rPr>
          <w:rFonts w:cstheme="minorHAnsi"/>
        </w:rPr>
        <w:t>V</w:t>
      </w:r>
      <w:r w:rsidR="002F7574" w:rsidRPr="00BC1304">
        <w:rPr>
          <w:rFonts w:cstheme="minorHAnsi"/>
        </w:rPr>
        <w:t xml:space="preserve"> námořní a letecké dopravě s ohledem na prozatím neexistující technologie tohoto cíle nelze dosáhnout. </w:t>
      </w:r>
    </w:p>
    <w:p w14:paraId="280AA4DB" w14:textId="44F5A817" w:rsidR="002F7574" w:rsidRPr="00BC1304" w:rsidRDefault="002F7574" w:rsidP="00FC4017">
      <w:pPr>
        <w:spacing w:line="240" w:lineRule="auto"/>
        <w:jc w:val="both"/>
        <w:rPr>
          <w:rFonts w:cstheme="minorHAnsi"/>
        </w:rPr>
      </w:pPr>
      <w:r w:rsidRPr="00BC1304">
        <w:rPr>
          <w:rFonts w:cstheme="minorHAnsi"/>
        </w:rPr>
        <w:t>ČR</w:t>
      </w:r>
      <w:r w:rsidR="0012282F">
        <w:rPr>
          <w:rFonts w:cstheme="minorHAnsi"/>
        </w:rPr>
        <w:t xml:space="preserve"> bude</w:t>
      </w:r>
      <w:r w:rsidRPr="00BC1304">
        <w:rPr>
          <w:rFonts w:cstheme="minorHAnsi"/>
        </w:rPr>
        <w:t xml:space="preserve"> investovat do udržitelné dopravní infrastruktury (zejména modernizace železniční infrastruktury)</w:t>
      </w:r>
      <w:r w:rsidR="00224FD2">
        <w:rPr>
          <w:rFonts w:cstheme="minorHAnsi"/>
        </w:rPr>
        <w:t xml:space="preserve"> - </w:t>
      </w:r>
      <w:r w:rsidRPr="00BC1304">
        <w:rPr>
          <w:rFonts w:cstheme="minorHAnsi"/>
        </w:rPr>
        <w:t xml:space="preserve">jedním z cílů EGD. </w:t>
      </w:r>
      <w:r w:rsidR="0071475F">
        <w:rPr>
          <w:rFonts w:cstheme="minorHAnsi"/>
        </w:rPr>
        <w:t>T</w:t>
      </w:r>
      <w:r w:rsidRPr="00BC1304">
        <w:rPr>
          <w:rFonts w:cstheme="minorHAnsi"/>
        </w:rPr>
        <w:t>yto investice byly plánovány i bez EGD</w:t>
      </w:r>
      <w:r w:rsidR="000F4A50">
        <w:rPr>
          <w:rFonts w:cstheme="minorHAnsi"/>
        </w:rPr>
        <w:t xml:space="preserve">, </w:t>
      </w:r>
      <w:r w:rsidRPr="00BC1304">
        <w:rPr>
          <w:rFonts w:cstheme="minorHAnsi"/>
        </w:rPr>
        <w:t xml:space="preserve">proto je nelze počítat jako výdaje přímo spojené s EGD. </w:t>
      </w:r>
    </w:p>
    <w:p w14:paraId="283CFB0B" w14:textId="77777777" w:rsidR="001A3D54" w:rsidRDefault="001A3D54" w:rsidP="002A1848">
      <w:pPr>
        <w:spacing w:line="276" w:lineRule="auto"/>
        <w:jc w:val="both"/>
        <w:rPr>
          <w:rFonts w:cstheme="minorHAnsi"/>
        </w:rPr>
      </w:pPr>
    </w:p>
    <w:p w14:paraId="7650525F" w14:textId="77777777" w:rsidR="001A3D54" w:rsidRDefault="001A3D54" w:rsidP="002A1848">
      <w:pPr>
        <w:spacing w:line="276" w:lineRule="auto"/>
        <w:jc w:val="both"/>
        <w:rPr>
          <w:rFonts w:cstheme="minorHAnsi"/>
        </w:rPr>
      </w:pPr>
    </w:p>
    <w:p w14:paraId="1C92C270" w14:textId="618C95A1" w:rsidR="002F7574" w:rsidRPr="00BC1304" w:rsidRDefault="00224FD2" w:rsidP="00FC4017">
      <w:pPr>
        <w:spacing w:line="240" w:lineRule="auto"/>
        <w:jc w:val="both"/>
        <w:rPr>
          <w:rFonts w:cstheme="minorHAnsi"/>
        </w:rPr>
      </w:pPr>
      <w:r>
        <w:rPr>
          <w:rFonts w:cstheme="minorHAnsi"/>
        </w:rPr>
        <w:lastRenderedPageBreak/>
        <w:t>S</w:t>
      </w:r>
      <w:r w:rsidRPr="00BC1304">
        <w:rPr>
          <w:rFonts w:cstheme="minorHAnsi"/>
        </w:rPr>
        <w:t>trukturální fondy</w:t>
      </w:r>
      <w:r>
        <w:rPr>
          <w:rFonts w:cstheme="minorHAnsi"/>
        </w:rPr>
        <w:t xml:space="preserve"> </w:t>
      </w:r>
      <w:r w:rsidR="00D3265E">
        <w:rPr>
          <w:rFonts w:cstheme="minorHAnsi"/>
        </w:rPr>
        <w:t xml:space="preserve">jsou </w:t>
      </w:r>
      <w:r w:rsidR="00D3265E" w:rsidRPr="00BC1304">
        <w:rPr>
          <w:rFonts w:cstheme="minorHAnsi"/>
        </w:rPr>
        <w:t>důležitými</w:t>
      </w:r>
      <w:r w:rsidR="002F7574" w:rsidRPr="00BC1304">
        <w:rPr>
          <w:rFonts w:cstheme="minorHAnsi"/>
        </w:rPr>
        <w:t xml:space="preserve"> nástroji financování sektoru doprav</w:t>
      </w:r>
      <w:r w:rsidR="000F4A50">
        <w:rPr>
          <w:rFonts w:cstheme="minorHAnsi"/>
        </w:rPr>
        <w:t>y</w:t>
      </w:r>
      <w:r>
        <w:rPr>
          <w:rFonts w:cstheme="minorHAnsi"/>
        </w:rPr>
        <w:t xml:space="preserve"> (</w:t>
      </w:r>
      <w:r w:rsidR="002F7574" w:rsidRPr="00BC1304">
        <w:rPr>
          <w:rFonts w:cstheme="minorHAnsi"/>
        </w:rPr>
        <w:t xml:space="preserve">pro výstavbu infrastruktury nebo pro modernizaci odvětví </w:t>
      </w:r>
      <w:r>
        <w:rPr>
          <w:rFonts w:cstheme="minorHAnsi"/>
        </w:rPr>
        <w:t>- n</w:t>
      </w:r>
      <w:r w:rsidR="002F7574" w:rsidRPr="00BC1304">
        <w:rPr>
          <w:rFonts w:cstheme="minorHAnsi"/>
        </w:rPr>
        <w:t>apř. nákup ekologických vozidel pro veřejnou dopravu z IROP). Tyto zdroje jsou dále doplňovány prostředky z národních zdrojů.</w:t>
      </w:r>
    </w:p>
    <w:p w14:paraId="453A0573" w14:textId="2660181C" w:rsidR="002F7574" w:rsidRPr="00BC1304" w:rsidRDefault="002F7574" w:rsidP="00FC4017">
      <w:pPr>
        <w:spacing w:line="240" w:lineRule="auto"/>
        <w:jc w:val="both"/>
        <w:rPr>
          <w:rFonts w:cstheme="minorHAnsi"/>
        </w:rPr>
      </w:pPr>
      <w:r w:rsidRPr="00BC1304">
        <w:rPr>
          <w:rFonts w:cstheme="minorHAnsi"/>
        </w:rPr>
        <w:t xml:space="preserve">V rámci OPD3 </w:t>
      </w:r>
      <w:r w:rsidR="0071475F">
        <w:rPr>
          <w:rFonts w:cstheme="minorHAnsi"/>
        </w:rPr>
        <w:t>(</w:t>
      </w:r>
      <w:r w:rsidR="0071475F">
        <w:rPr>
          <w:color w:val="000000"/>
          <w:shd w:val="clear" w:color="auto" w:fill="FFFFFF"/>
        </w:rPr>
        <w:t xml:space="preserve">Operačního programu Doprava) </w:t>
      </w:r>
      <w:r w:rsidRPr="00BC1304">
        <w:rPr>
          <w:rFonts w:cstheme="minorHAnsi"/>
        </w:rPr>
        <w:t>bude umožněna podpora modernizace železniční infrastruktury, výstavba plnících stanic na alternativní paliva a také realizace projektů v oblasti inteligentních telematických systémů pro řízení dopravního proudu, celkem cca 35-40 mld. Kč z evropského zdroje.</w:t>
      </w:r>
    </w:p>
    <w:p w14:paraId="5DEFE08C" w14:textId="77777777" w:rsidR="002F7574" w:rsidRPr="00BC1304" w:rsidRDefault="002F7574" w:rsidP="00FC4017">
      <w:pPr>
        <w:spacing w:line="240" w:lineRule="auto"/>
        <w:jc w:val="both"/>
        <w:rPr>
          <w:rFonts w:cstheme="minorHAnsi"/>
        </w:rPr>
      </w:pPr>
      <w:r w:rsidRPr="00BC1304">
        <w:rPr>
          <w:rFonts w:cstheme="minorHAnsi"/>
        </w:rPr>
        <w:t>EU se zaměřuje ve svém Nástroji pro propojení Evropy (CEF) primárně na udržitelné druhy dopravy, rozvoj infrastruktury pro alternativní paliva a digitalizaci sektoru. Část prostředků v rámci CEF je alokována v národních obálkách, část je otevřená soutěži všem tzv. kohezním státům a o zbylou část mohou usilovat všechny členské státy EU. Zatím není zřejmý objem prostředků využitelný v ČR.</w:t>
      </w:r>
    </w:p>
    <w:p w14:paraId="29AFBDC5" w14:textId="6E420D55" w:rsidR="008E32A3" w:rsidRPr="00224FD2" w:rsidRDefault="008E32A3" w:rsidP="00FC4017">
      <w:pPr>
        <w:spacing w:line="240" w:lineRule="auto"/>
        <w:jc w:val="both"/>
        <w:rPr>
          <w:rFonts w:cstheme="minorHAnsi"/>
          <w:color w:val="000000" w:themeColor="text1"/>
        </w:rPr>
      </w:pPr>
      <w:r w:rsidRPr="00224FD2">
        <w:rPr>
          <w:rFonts w:cstheme="minorHAnsi"/>
          <w:color w:val="000000" w:themeColor="text1"/>
        </w:rPr>
        <w:t xml:space="preserve">Nevylučuje se </w:t>
      </w:r>
      <w:r w:rsidR="00224FD2" w:rsidRPr="00224FD2">
        <w:rPr>
          <w:rFonts w:cstheme="minorHAnsi"/>
          <w:color w:val="000000" w:themeColor="text1"/>
        </w:rPr>
        <w:t xml:space="preserve">i </w:t>
      </w:r>
      <w:r w:rsidRPr="00224FD2">
        <w:rPr>
          <w:rFonts w:cstheme="minorHAnsi"/>
          <w:color w:val="000000" w:themeColor="text1"/>
        </w:rPr>
        <w:t>možnost, že by část prostředků mohla být využita z</w:t>
      </w:r>
      <w:r w:rsidR="00224FD2" w:rsidRPr="00224FD2">
        <w:rPr>
          <w:rFonts w:cstheme="minorHAnsi"/>
          <w:color w:val="000000" w:themeColor="text1"/>
        </w:rPr>
        <w:t> </w:t>
      </w:r>
      <w:r w:rsidRPr="00224FD2">
        <w:rPr>
          <w:rFonts w:cstheme="minorHAnsi"/>
          <w:color w:val="000000" w:themeColor="text1"/>
        </w:rPr>
        <w:t>RRF</w:t>
      </w:r>
      <w:r w:rsidR="00224FD2" w:rsidRPr="00224FD2">
        <w:rPr>
          <w:rFonts w:cstheme="minorHAnsi"/>
          <w:color w:val="000000" w:themeColor="text1"/>
        </w:rPr>
        <w:t xml:space="preserve"> </w:t>
      </w:r>
      <w:r w:rsidRPr="00224FD2">
        <w:rPr>
          <w:rFonts w:cstheme="minorHAnsi"/>
          <w:color w:val="000000" w:themeColor="text1"/>
        </w:rPr>
        <w:t xml:space="preserve">(Recovery and Resilient Facility) a Fondu pro spravedlivou transformaci (Just Transition Fund, </w:t>
      </w:r>
      <w:r w:rsidR="001C6F84" w:rsidRPr="00224FD2">
        <w:rPr>
          <w:rFonts w:cstheme="minorHAnsi"/>
          <w:color w:val="000000" w:themeColor="text1"/>
        </w:rPr>
        <w:t>JTF) na</w:t>
      </w:r>
      <w:r w:rsidRPr="00224FD2">
        <w:rPr>
          <w:rFonts w:cstheme="minorHAnsi"/>
          <w:color w:val="000000" w:themeColor="text1"/>
        </w:rPr>
        <w:t xml:space="preserve"> dopravní projekty. </w:t>
      </w:r>
    </w:p>
    <w:p w14:paraId="54E1F7BA" w14:textId="77777777" w:rsidR="00FF71FB" w:rsidRDefault="00FF71FB" w:rsidP="00FC4017">
      <w:pPr>
        <w:spacing w:line="240" w:lineRule="auto"/>
        <w:jc w:val="both"/>
        <w:rPr>
          <w:rFonts w:cstheme="minorHAnsi"/>
          <w:b/>
          <w:bCs/>
          <w:iCs/>
          <w:u w:val="single"/>
        </w:rPr>
      </w:pPr>
    </w:p>
    <w:p w14:paraId="50BC0F88" w14:textId="1ADA6CA9" w:rsidR="00BB6FF9" w:rsidRDefault="00BB6FF9" w:rsidP="00FC4017">
      <w:pPr>
        <w:spacing w:line="240" w:lineRule="auto"/>
        <w:jc w:val="both"/>
        <w:rPr>
          <w:rFonts w:cstheme="minorHAnsi"/>
          <w:bCs/>
          <w:color w:val="000000"/>
        </w:rPr>
      </w:pPr>
      <w:r w:rsidRPr="00BC1304">
        <w:rPr>
          <w:rFonts w:cstheme="minorHAnsi"/>
          <w:bCs/>
          <w:color w:val="000000"/>
        </w:rPr>
        <w:t>ČR souhlasí, že v rámci průmyslové strategie je třeba věnovat zvláštní pozornost odvětvím spojeným s udržitelnou a inteligentní mobilitou a že je potřeba podpořit konkurenceschopnost evropského automobilového, leteckého, železničního a loďařského průmyslu. Sdělení je však v tomto ohledu velmi obecné a de facto obsahuje jen stručnou zmínku o záměru Komise předložit Komplexní strategii pro udržitelnou a inteligentní mobilitu</w:t>
      </w:r>
      <w:r w:rsidR="000F4A50">
        <w:rPr>
          <w:rFonts w:cstheme="minorHAnsi"/>
          <w:bCs/>
          <w:color w:val="000000"/>
        </w:rPr>
        <w:t xml:space="preserve">. </w:t>
      </w:r>
      <w:r w:rsidRPr="00BC1304">
        <w:rPr>
          <w:rFonts w:cstheme="minorHAnsi"/>
          <w:bCs/>
          <w:color w:val="000000"/>
        </w:rPr>
        <w:t>ČR souhlasí, že pro budoucnost zmiňovaných odvětví je zásadní, aby udržela své celosvětové technologické prvenství, zůstala na špičce ve výzkumu a inovacích, a podařilo se jim vybudovat potřebnou infrastrukturu. ČR očekává, že součástí komplexní strategie bude téma autonomní mobility, která představuje jeden z hlavních trendů v dopravě s celospolečenských potenciálem zvýšit bezpečnost dopravy a její dostupnost. Vývoj a využití technologií nezbytných pro její zavádění pak z pohledu ČR představují příležitost, jak posílit pozici evropského průmyslu a jeho sektorů s primární či sekundární vazbou na dopravu.</w:t>
      </w:r>
    </w:p>
    <w:p w14:paraId="59ACBDE7" w14:textId="1A8B29EB" w:rsidR="00BB6FF9" w:rsidRDefault="00BB6FF9" w:rsidP="00FC4017">
      <w:pPr>
        <w:spacing w:line="240" w:lineRule="auto"/>
        <w:jc w:val="both"/>
        <w:rPr>
          <w:rFonts w:cstheme="minorHAnsi"/>
        </w:rPr>
      </w:pPr>
      <w:r w:rsidRPr="00934F78">
        <w:rPr>
          <w:rFonts w:cstheme="minorHAnsi"/>
        </w:rPr>
        <w:t>Národním akčním plán čisté mobility</w:t>
      </w:r>
      <w:r w:rsidR="00AD2A0E">
        <w:rPr>
          <w:rFonts w:cstheme="minorHAnsi"/>
        </w:rPr>
        <w:t xml:space="preserve"> </w:t>
      </w:r>
      <w:r w:rsidRPr="00934F78">
        <w:rPr>
          <w:rFonts w:cstheme="minorHAnsi"/>
        </w:rPr>
        <w:t>vznikl na základě požadavku směrnice Evropského parlamentu a Rady 2014/94/EU o zavádění infrastruktury pro alternativní paliva.</w:t>
      </w:r>
      <w:r>
        <w:rPr>
          <w:rFonts w:cstheme="minorHAnsi"/>
        </w:rPr>
        <w:t xml:space="preserve"> </w:t>
      </w:r>
      <w:r w:rsidR="00AD2A0E">
        <w:rPr>
          <w:rFonts w:cstheme="minorHAnsi"/>
        </w:rPr>
        <w:t>J</w:t>
      </w:r>
      <w:r w:rsidRPr="00934F78">
        <w:rPr>
          <w:rFonts w:cstheme="minorHAnsi"/>
        </w:rPr>
        <w:t>edná</w:t>
      </w:r>
      <w:r w:rsidR="00AD2A0E">
        <w:rPr>
          <w:rFonts w:cstheme="minorHAnsi"/>
        </w:rPr>
        <w:t xml:space="preserve"> se i</w:t>
      </w:r>
      <w:r w:rsidRPr="00934F78">
        <w:rPr>
          <w:rFonts w:cstheme="minorHAnsi"/>
        </w:rPr>
        <w:t xml:space="preserve"> o podporu transformace automobilového průmyslu v souvislosti s přechodem na nízkoemisní mobilitu v souladu s Memorandem o budoucnosti automobilového průmyslu.</w:t>
      </w:r>
    </w:p>
    <w:p w14:paraId="52FE3D87" w14:textId="4A8CBDF5" w:rsidR="00BB6FF9" w:rsidRDefault="00BB6FF9" w:rsidP="00FC4017">
      <w:pPr>
        <w:spacing w:line="240" w:lineRule="auto"/>
        <w:jc w:val="both"/>
      </w:pPr>
      <w:r>
        <w:t xml:space="preserve">ČR podporuje snižování emisí technologicky neutrální cestou. Naplňování těchto priorit bude pokračovat i v roce 2021. Usnesením vlády č. 469 ze dne 27. dubna 2020 byla schválena Aktualizace Národního akčního plánu čisté mobility. Je v ní uvedeno 65 opatření na podporu čisté mobility. Odhaduje se, že v roce 2030 bude v České republice v provozu </w:t>
      </w:r>
      <w:r w:rsidR="000F4A50">
        <w:t>19–35</w:t>
      </w:r>
      <w:r>
        <w:t xml:space="preserve"> tis. dobíjecích bodů, </w:t>
      </w:r>
      <w:r w:rsidR="000F4A50">
        <w:t>350–400</w:t>
      </w:r>
      <w:r>
        <w:t xml:space="preserve"> plniček na CNG, 30 plniček na LNG a 80 vodíkových plnicích stanic. Po roce 2020 se přepokládá podpora výstavby dobíjecí a plnící infrastruktury z OP TAK, OPD, IROP, národního programu MŽP, Modernizačního fondu a Národního plánu obnovy.</w:t>
      </w:r>
    </w:p>
    <w:p w14:paraId="7E8B527C" w14:textId="0EE68DCA" w:rsidR="00BB6FF9" w:rsidRDefault="00BB6FF9" w:rsidP="00FC4017">
      <w:pPr>
        <w:spacing w:line="240" w:lineRule="auto"/>
        <w:jc w:val="both"/>
        <w:rPr>
          <w:rFonts w:cstheme="minorHAnsi"/>
          <w:bCs/>
          <w:color w:val="000000"/>
        </w:rPr>
      </w:pPr>
      <w:r w:rsidRPr="00BC1304">
        <w:rPr>
          <w:rFonts w:cstheme="minorHAnsi"/>
          <w:bCs/>
          <w:color w:val="000000"/>
        </w:rPr>
        <w:t xml:space="preserve">Náklady nejsou samostatně odhadovány, budou vyčíslovány v příslušných oblastech regulace a implementace (např. energetika, klima a životní prostředí, omezování emisí, zahraniční obchod apod.). </w:t>
      </w:r>
    </w:p>
    <w:p w14:paraId="3DDA2B44" w14:textId="77777777" w:rsidR="00FC4017" w:rsidRPr="00BC1304" w:rsidRDefault="00FC4017" w:rsidP="00FC4017">
      <w:pPr>
        <w:spacing w:line="240" w:lineRule="auto"/>
        <w:jc w:val="both"/>
        <w:rPr>
          <w:rFonts w:cstheme="minorHAnsi"/>
          <w:bCs/>
          <w:color w:val="000000"/>
        </w:rPr>
      </w:pPr>
    </w:p>
    <w:p w14:paraId="3FB9B8FD" w14:textId="77777777" w:rsidR="004A4E75" w:rsidRPr="00BC1304" w:rsidRDefault="004A4E75" w:rsidP="002A1848">
      <w:pPr>
        <w:spacing w:line="276" w:lineRule="auto"/>
        <w:jc w:val="both"/>
        <w:rPr>
          <w:rFonts w:cstheme="minorHAnsi"/>
          <w:bCs/>
          <w:color w:val="000000"/>
        </w:rPr>
      </w:pPr>
    </w:p>
    <w:p w14:paraId="3D21C5E1" w14:textId="77777777" w:rsidR="009E4B04" w:rsidRDefault="009E4B04">
      <w:pPr>
        <w:rPr>
          <w:rFonts w:cstheme="minorHAnsi"/>
          <w:b/>
          <w:noProof/>
          <w:color w:val="000000" w:themeColor="text1"/>
        </w:rPr>
      </w:pPr>
      <w:r>
        <w:rPr>
          <w:rFonts w:cstheme="minorHAnsi"/>
          <w:b/>
          <w:noProof/>
          <w:color w:val="000000" w:themeColor="text1"/>
        </w:rPr>
        <w:br w:type="page"/>
      </w:r>
    </w:p>
    <w:p w14:paraId="60DADECC" w14:textId="1304E069" w:rsidR="00085287" w:rsidRPr="005A3F2A"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5A3F2A">
        <w:rPr>
          <w:rFonts w:cstheme="minorHAnsi"/>
          <w:b/>
          <w:noProof/>
          <w:color w:val="000000" w:themeColor="text1"/>
        </w:rPr>
        <w:lastRenderedPageBreak/>
        <w:t>Výzva k financování na podporu veřejných dobíjecích a plnicích stanic v rámci infrastruktury pro alternativní paliva</w:t>
      </w:r>
    </w:p>
    <w:p w14:paraId="11DF45E0" w14:textId="6FBAD6A9" w:rsidR="002F7574" w:rsidRPr="00E07B38" w:rsidRDefault="00E27A81" w:rsidP="00FC4017">
      <w:pPr>
        <w:spacing w:line="240" w:lineRule="auto"/>
        <w:jc w:val="both"/>
        <w:rPr>
          <w:rFonts w:cstheme="minorHAnsi"/>
        </w:rPr>
      </w:pPr>
      <w:r>
        <w:rPr>
          <w:rFonts w:cstheme="minorHAnsi"/>
        </w:rPr>
        <w:t>V</w:t>
      </w:r>
      <w:r w:rsidR="002F7574" w:rsidRPr="00621644">
        <w:rPr>
          <w:rFonts w:cstheme="minorHAnsi"/>
        </w:rPr>
        <w:t xml:space="preserve"> oblast</w:t>
      </w:r>
      <w:r>
        <w:rPr>
          <w:rFonts w:cstheme="minorHAnsi"/>
        </w:rPr>
        <w:t>i</w:t>
      </w:r>
      <w:r w:rsidR="002F7574" w:rsidRPr="00621644">
        <w:rPr>
          <w:rFonts w:cstheme="minorHAnsi"/>
        </w:rPr>
        <w:t xml:space="preserve"> infrastruktury dobíjecích stanic</w:t>
      </w:r>
      <w:r>
        <w:rPr>
          <w:rFonts w:cstheme="minorHAnsi"/>
        </w:rPr>
        <w:t xml:space="preserve"> </w:t>
      </w:r>
      <w:r w:rsidR="00E07B38">
        <w:rPr>
          <w:rFonts w:cstheme="minorHAnsi"/>
        </w:rPr>
        <w:t>byl stanoven v rámci EGD</w:t>
      </w:r>
      <w:r w:rsidR="00E07B38" w:rsidRPr="00621644">
        <w:rPr>
          <w:rFonts w:cstheme="minorHAnsi"/>
        </w:rPr>
        <w:t xml:space="preserve"> </w:t>
      </w:r>
      <w:r w:rsidR="002F7574" w:rsidRPr="00621644">
        <w:rPr>
          <w:rFonts w:cstheme="minorHAnsi"/>
        </w:rPr>
        <w:t>cíl</w:t>
      </w:r>
      <w:r w:rsidR="00E07B38">
        <w:rPr>
          <w:rFonts w:cstheme="minorHAnsi"/>
        </w:rPr>
        <w:t xml:space="preserve"> </w:t>
      </w:r>
      <w:r w:rsidR="002F7574" w:rsidRPr="00621644">
        <w:rPr>
          <w:rFonts w:cstheme="minorHAnsi"/>
        </w:rPr>
        <w:t>1 mil. veřejně přístupných dobíjecích a plnících bodů do roku 2025</w:t>
      </w:r>
      <w:r w:rsidR="00E07B38">
        <w:rPr>
          <w:rFonts w:cstheme="minorHAnsi"/>
        </w:rPr>
        <w:t>. V</w:t>
      </w:r>
      <w:r w:rsidR="002F7574" w:rsidRPr="00621644">
        <w:rPr>
          <w:rFonts w:cstheme="minorHAnsi"/>
        </w:rPr>
        <w:t xml:space="preserve"> tuto chvíli </w:t>
      </w:r>
      <w:r w:rsidR="00E07B38">
        <w:rPr>
          <w:rFonts w:cstheme="minorHAnsi"/>
        </w:rPr>
        <w:t xml:space="preserve">se </w:t>
      </w:r>
      <w:r w:rsidR="002F7574" w:rsidRPr="00621644">
        <w:rPr>
          <w:rFonts w:cstheme="minorHAnsi"/>
        </w:rPr>
        <w:t>jedná o čistě celoevropský cíl</w:t>
      </w:r>
      <w:r w:rsidR="00AD2A0E">
        <w:rPr>
          <w:rFonts w:cstheme="minorHAnsi"/>
        </w:rPr>
        <w:t xml:space="preserve">. </w:t>
      </w:r>
      <w:r w:rsidR="002F7574" w:rsidRPr="00621644">
        <w:rPr>
          <w:rFonts w:cstheme="minorHAnsi"/>
        </w:rPr>
        <w:t xml:space="preserve"> </w:t>
      </w:r>
      <w:r w:rsidR="00E07B38">
        <w:rPr>
          <w:rFonts w:cstheme="minorHAnsi"/>
        </w:rPr>
        <w:t xml:space="preserve">MD </w:t>
      </w:r>
      <w:r w:rsidR="002F7574" w:rsidRPr="00621644">
        <w:rPr>
          <w:rFonts w:cstheme="minorHAnsi"/>
        </w:rPr>
        <w:t>doufá, že EK nebude mít v úmyslu do připravované revize směrnice o infrastruktuře pro alternativní paliva (tzv.</w:t>
      </w:r>
      <w:r w:rsidR="00AC6913">
        <w:rPr>
          <w:rFonts w:cstheme="minorHAnsi"/>
        </w:rPr>
        <w:t xml:space="preserve"> </w:t>
      </w:r>
      <w:r w:rsidR="002F7574" w:rsidRPr="00621644">
        <w:rPr>
          <w:rFonts w:cstheme="minorHAnsi"/>
        </w:rPr>
        <w:t>směrnice AFID) vkládat závazné cíle pro jednotlivé členské státy. Rozvoj této infrastruktury musí jít ruku v ruce s rozvojem trhu elektrických vozidel a vozidel na další alternativní paliva. V podmínkách Č</w:t>
      </w:r>
      <w:r w:rsidR="00AD2A0E">
        <w:rPr>
          <w:rFonts w:cstheme="minorHAnsi"/>
        </w:rPr>
        <w:t>R</w:t>
      </w:r>
      <w:r w:rsidR="002F7574" w:rsidRPr="00621644">
        <w:rPr>
          <w:rFonts w:cstheme="minorHAnsi"/>
        </w:rPr>
        <w:t xml:space="preserve"> se očekává, že nástup elektromobilů přijde mnohem výrazněji až po roce 2025. Projekce obsažené v analytické části Aktualizace NAP CM přitom hovoří o tom, že zatímco do roku 2030 by v ČR mohlo být ve středním scénáři vývoje 200 000 elektromobilů (čemuž odpovídá cca 18 tisíc dobíjecích stanic), v roce 2025 jich bude jen 71 tisíc (čemuž odpovídá 3 500 dobíjecích stanic). V současnosti je pak v ČR okolo 5 500 elektrických vozidel (bateriových vozidel + plug-in hybridů) a 500 dobíjecích stanic. </w:t>
      </w:r>
    </w:p>
    <w:p w14:paraId="273B3B27" w14:textId="0C9101C7" w:rsidR="00794DCB" w:rsidRPr="009A50F8" w:rsidRDefault="00794DCB" w:rsidP="00FC4017">
      <w:pPr>
        <w:shd w:val="clear" w:color="auto" w:fill="FFFFFF"/>
        <w:spacing w:line="240" w:lineRule="auto"/>
        <w:jc w:val="both"/>
        <w:rPr>
          <w:rFonts w:cstheme="minorHAnsi"/>
        </w:rPr>
      </w:pPr>
      <w:r w:rsidRPr="00621644">
        <w:rPr>
          <w:rFonts w:cstheme="minorHAnsi"/>
        </w:rPr>
        <w:t>V případě infrastruktury pro alternativní paliva je s ohledem na nerozvinutý trh s čistými vozidly zatím nutné její výstavbu spolufinancovat, čemuž napomáhají evropské fondy (</w:t>
      </w:r>
      <w:r w:rsidR="00AD2A0E" w:rsidRPr="00621644">
        <w:rPr>
          <w:rFonts w:cstheme="minorHAnsi"/>
        </w:rPr>
        <w:t>ESIF</w:t>
      </w:r>
      <w:r w:rsidR="00AD2A0E">
        <w:rPr>
          <w:rFonts w:cstheme="minorHAnsi"/>
        </w:rPr>
        <w:t xml:space="preserve"> – </w:t>
      </w:r>
      <w:r w:rsidR="00AD2A0E" w:rsidRPr="00BB3C00">
        <w:rPr>
          <w:rFonts w:cstheme="minorHAnsi"/>
          <w:color w:val="000000" w:themeColor="text1"/>
        </w:rPr>
        <w:t>Evropské</w:t>
      </w:r>
      <w:r w:rsidR="0082629A" w:rsidRPr="00BB3C00">
        <w:rPr>
          <w:rFonts w:cstheme="minorHAnsi"/>
          <w:color w:val="000000" w:themeColor="text1"/>
          <w:shd w:val="clear" w:color="auto" w:fill="FFFFFF"/>
        </w:rPr>
        <w:t xml:space="preserve"> strukturální a investiční </w:t>
      </w:r>
      <w:r w:rsidR="0082629A" w:rsidRPr="00BB3C00">
        <w:rPr>
          <w:rStyle w:val="Zdraznn"/>
          <w:rFonts w:cstheme="minorHAnsi"/>
          <w:i w:val="0"/>
          <w:iCs w:val="0"/>
          <w:color w:val="000000" w:themeColor="text1"/>
          <w:shd w:val="clear" w:color="auto" w:fill="FFFFFF"/>
        </w:rPr>
        <w:t>fondy</w:t>
      </w:r>
      <w:r w:rsidRPr="00BB3C00">
        <w:rPr>
          <w:rFonts w:cstheme="minorHAnsi"/>
          <w:color w:val="000000" w:themeColor="text1"/>
        </w:rPr>
        <w:t xml:space="preserve"> a </w:t>
      </w:r>
      <w:r w:rsidR="003372C8" w:rsidRPr="00BB3C00">
        <w:rPr>
          <w:rFonts w:cstheme="minorHAnsi"/>
          <w:color w:val="000000" w:themeColor="text1"/>
        </w:rPr>
        <w:t xml:space="preserve">CEF </w:t>
      </w:r>
      <w:r w:rsidR="003372C8" w:rsidRPr="009A50F8">
        <w:rPr>
          <w:rFonts w:cstheme="minorHAnsi"/>
        </w:rPr>
        <w:t xml:space="preserve">– </w:t>
      </w:r>
      <w:proofErr w:type="spellStart"/>
      <w:r w:rsidR="003372C8" w:rsidRPr="009A50F8">
        <w:rPr>
          <w:rFonts w:cstheme="minorHAnsi"/>
        </w:rPr>
        <w:t>Connecting</w:t>
      </w:r>
      <w:proofErr w:type="spellEnd"/>
      <w:r w:rsidR="0082629A" w:rsidRPr="009A50F8">
        <w:rPr>
          <w:rFonts w:ascii="Arial" w:eastAsia="Times New Roman" w:hAnsi="Arial" w:cs="Arial"/>
          <w:sz w:val="21"/>
          <w:szCs w:val="21"/>
          <w:lang w:eastAsia="cs-CZ"/>
        </w:rPr>
        <w:t xml:space="preserve"> </w:t>
      </w:r>
      <w:proofErr w:type="spellStart"/>
      <w:r w:rsidR="0082629A" w:rsidRPr="009A50F8">
        <w:rPr>
          <w:rFonts w:ascii="Arial" w:eastAsia="Times New Roman" w:hAnsi="Arial" w:cs="Arial"/>
          <w:sz w:val="21"/>
          <w:szCs w:val="21"/>
          <w:lang w:eastAsia="cs-CZ"/>
        </w:rPr>
        <w:t>Europe</w:t>
      </w:r>
      <w:proofErr w:type="spellEnd"/>
      <w:r w:rsidR="0082629A" w:rsidRPr="009A50F8">
        <w:rPr>
          <w:rFonts w:ascii="Arial" w:eastAsia="Times New Roman" w:hAnsi="Arial" w:cs="Arial"/>
          <w:sz w:val="21"/>
          <w:szCs w:val="21"/>
          <w:lang w:eastAsia="cs-CZ"/>
        </w:rPr>
        <w:t xml:space="preserve"> </w:t>
      </w:r>
      <w:proofErr w:type="spellStart"/>
      <w:r w:rsidR="0082629A" w:rsidRPr="009A50F8">
        <w:rPr>
          <w:rFonts w:ascii="Arial" w:eastAsia="Times New Roman" w:hAnsi="Arial" w:cs="Arial"/>
          <w:sz w:val="21"/>
          <w:szCs w:val="21"/>
          <w:lang w:eastAsia="cs-CZ"/>
        </w:rPr>
        <w:t>Facility</w:t>
      </w:r>
      <w:proofErr w:type="spellEnd"/>
      <w:r w:rsidR="0082629A" w:rsidRPr="009A50F8">
        <w:rPr>
          <w:rFonts w:ascii="Arial" w:eastAsia="Times New Roman" w:hAnsi="Arial" w:cs="Arial"/>
          <w:sz w:val="21"/>
          <w:szCs w:val="21"/>
          <w:lang w:eastAsia="cs-CZ"/>
        </w:rPr>
        <w:t xml:space="preserve">). </w:t>
      </w:r>
      <w:r w:rsidRPr="009A50F8">
        <w:rPr>
          <w:rFonts w:cstheme="minorHAnsi"/>
        </w:rPr>
        <w:t xml:space="preserve">V následujícím programovacím období se pro tento segment počítá s podporou ve výši cca 4 mld. Kč. </w:t>
      </w:r>
    </w:p>
    <w:p w14:paraId="78FD3158" w14:textId="1C8082BC" w:rsidR="00BB6FF9" w:rsidRPr="00BD1D45" w:rsidRDefault="00BB6FF9" w:rsidP="00FC4017">
      <w:pPr>
        <w:spacing w:line="240" w:lineRule="auto"/>
        <w:jc w:val="both"/>
        <w:rPr>
          <w:rFonts w:cstheme="minorHAnsi"/>
        </w:rPr>
      </w:pPr>
      <w:r w:rsidRPr="00426712">
        <w:rPr>
          <w:rFonts w:cstheme="minorHAnsi"/>
        </w:rPr>
        <w:t>V oblasti čisté mobility je jednou z priorit podpora budování infrastruktury pro alternativní paliva (CNG, LNG, vodík a elek</w:t>
      </w:r>
      <w:r w:rsidRPr="00BD1D45">
        <w:rPr>
          <w:rFonts w:cstheme="minorHAnsi"/>
        </w:rPr>
        <w:t xml:space="preserve">třina). ČR usiluje o snížení emisí v dopravě prostřednictvím opatření stanovených v Národním akčním plánu pro čistou </w:t>
      </w:r>
      <w:r w:rsidR="001C6F84" w:rsidRPr="00BD1D45">
        <w:rPr>
          <w:rFonts w:cstheme="minorHAnsi"/>
        </w:rPr>
        <w:t>mobilitu</w:t>
      </w:r>
      <w:r w:rsidR="001C6F84">
        <w:rPr>
          <w:rFonts w:cstheme="minorHAnsi"/>
        </w:rPr>
        <w:t xml:space="preserve"> – vytvořen</w:t>
      </w:r>
      <w:r w:rsidRPr="00BD1D45">
        <w:rPr>
          <w:rFonts w:cstheme="minorHAnsi"/>
        </w:rPr>
        <w:t xml:space="preserve"> na základě požadavků směrnice Evropského parlamentu a Rady 2014/94/EU k implementaci infrastruktury pro alternativní paliva. </w:t>
      </w:r>
      <w:r w:rsidR="00576C28">
        <w:rPr>
          <w:rFonts w:cstheme="minorHAnsi"/>
        </w:rPr>
        <w:t>J</w:t>
      </w:r>
      <w:r w:rsidRPr="00BD1D45">
        <w:rPr>
          <w:rFonts w:cstheme="minorHAnsi"/>
        </w:rPr>
        <w:t>de o podporu transformace automobilového průmyslu v souvislosti s přechodem na nízkoemisní mobilitu v souladu s Memorandem o budoucnosti automobilového průmyslu.</w:t>
      </w:r>
    </w:p>
    <w:p w14:paraId="245AF215" w14:textId="77777777" w:rsidR="00BB6FF9" w:rsidRPr="00D86A45" w:rsidRDefault="00BB6FF9" w:rsidP="00FC4017">
      <w:pPr>
        <w:spacing w:line="240" w:lineRule="auto"/>
        <w:jc w:val="both"/>
        <w:rPr>
          <w:rFonts w:cstheme="minorHAnsi"/>
        </w:rPr>
      </w:pPr>
      <w:r w:rsidRPr="00BD1D45">
        <w:rPr>
          <w:rFonts w:cstheme="minorHAnsi"/>
        </w:rPr>
        <w:t>V souvislosti s podporou vozidel s nízkými emisemi (elektromobily a PHEV) bude u osobních automobilů uplatněn limit 50 g CO2/km. Tento limit vychází ze směrnice Evropského parlamentu a Rady 2019/1161, kterou se mění směrnice 2009/33/ES o podpoře čistých a energeticky účinných silničních vozidel, která stanoví povinný podíl n</w:t>
      </w:r>
      <w:r w:rsidRPr="0050680D">
        <w:rPr>
          <w:rFonts w:cstheme="minorHAnsi"/>
        </w:rPr>
        <w:t xml:space="preserve">ízkoemisních a bezemisních vozidel pořízených veřejnými zadavateli. Podpora infrastruktury a vozidel na CNG/LNG je velmi důležitá z důvodu splnění povinného cíle do roku 2030, tj. dosažení 14% podílu energie v dopravě z obnovitelných zdrojů, což ČR splní zejména konzumací bio CNG. </w:t>
      </w:r>
    </w:p>
    <w:p w14:paraId="5005E5DF" w14:textId="77777777" w:rsidR="00BB6FF9" w:rsidRPr="00D9368C" w:rsidRDefault="00BB6FF9" w:rsidP="00FC4017">
      <w:pPr>
        <w:spacing w:line="240" w:lineRule="auto"/>
        <w:jc w:val="both"/>
        <w:rPr>
          <w:rFonts w:cstheme="minorHAnsi"/>
        </w:rPr>
      </w:pPr>
      <w:r w:rsidRPr="00AA64AE">
        <w:rPr>
          <w:rFonts w:cstheme="minorHAnsi"/>
        </w:rPr>
        <w:t>Směrnice 2018/2001 ze dne 11. prosince 2018 o podpoře využívání energie z obnovitelných zdrojů (RED II)</w:t>
      </w:r>
      <w:r w:rsidRPr="00D9368C">
        <w:rPr>
          <w:rFonts w:cstheme="minorHAnsi"/>
        </w:rPr>
        <w:t xml:space="preserve"> stanoví cílové podíly obnovitelné energie dodávané pro konečnou spotřebu v odvětví dopravy. V souhrnu má tento podíl v roce 2030 dosáhnout nejméně 14 % v každém členském státě (se zahrnutím multiplikátorů). </w:t>
      </w:r>
    </w:p>
    <w:p w14:paraId="0D50787A" w14:textId="6B37E171" w:rsidR="00BB6FF9" w:rsidRDefault="00BB6FF9" w:rsidP="00FC4017">
      <w:pPr>
        <w:spacing w:line="240" w:lineRule="auto"/>
        <w:jc w:val="both"/>
        <w:rPr>
          <w:rFonts w:cstheme="minorHAnsi"/>
        </w:rPr>
      </w:pPr>
      <w:r w:rsidRPr="00D9368C">
        <w:rPr>
          <w:rFonts w:cstheme="minorHAnsi"/>
        </w:rPr>
        <w:t xml:space="preserve">Dle analýzy „Návrh strategie optimálního využití obnovitelných zdrojů energie v dopravě do roku 2030“ zpracované Vysokou školou chemicko-technologickou v Praze, může být tento podíl do značné části naplněn biometanem. </w:t>
      </w:r>
      <w:r w:rsidR="00E27A81">
        <w:rPr>
          <w:rFonts w:cstheme="minorHAnsi"/>
        </w:rPr>
        <w:t>ČR</w:t>
      </w:r>
      <w:r w:rsidRPr="00D9368C">
        <w:rPr>
          <w:rFonts w:cstheme="minorHAnsi"/>
        </w:rPr>
        <w:t xml:space="preserve"> vzhledem k výsledkům této studie hodlá významně investovat do výroby a rozvoje bioplynové mobility, zejména prostřednictvím strukturálních fondů a podpořit výstavbu plnicích stanic, nákup vozidel a přestavby klasických plynových stanic na bioplynové. Uvažuje se o více jak 400 plničkách CNG/LNG a cca 45 tis. vozidel na CNG, cca 2 500 autobusech na CNG (desetina vozového parku) a přes 6 tis. kamionů LNG u tuzemských dopravců a více jak dvojnásobku těchto vozidel u zahraničních přepravců, neboť ti tvoří více jak polovinu dopravních výkonů a ČR je významná tranzitní země.</w:t>
      </w:r>
    </w:p>
    <w:p w14:paraId="632A9957" w14:textId="5863C7A9" w:rsidR="00BB6FF9" w:rsidRPr="00D9368C" w:rsidRDefault="00BB6FF9" w:rsidP="00FC4017">
      <w:pPr>
        <w:spacing w:line="240" w:lineRule="auto"/>
        <w:jc w:val="both"/>
        <w:rPr>
          <w:rFonts w:cstheme="minorHAnsi"/>
        </w:rPr>
      </w:pPr>
      <w:r w:rsidRPr="00D9368C">
        <w:rPr>
          <w:rFonts w:cstheme="minorHAnsi"/>
        </w:rPr>
        <w:t xml:space="preserve">Naplňování těchto priorit bude pokračovat i v roce 2021. Odhaduje se, že v roce 2030 bude v České republice v provozu </w:t>
      </w:r>
      <w:r w:rsidR="00E27A81" w:rsidRPr="00D9368C">
        <w:rPr>
          <w:rFonts w:cstheme="minorHAnsi"/>
        </w:rPr>
        <w:t>19–35</w:t>
      </w:r>
      <w:r w:rsidRPr="00D9368C">
        <w:rPr>
          <w:rFonts w:cstheme="minorHAnsi"/>
        </w:rPr>
        <w:t xml:space="preserve"> tis. dobíjecích bodů, </w:t>
      </w:r>
      <w:r w:rsidR="00E27A81" w:rsidRPr="00D9368C">
        <w:rPr>
          <w:rFonts w:cstheme="minorHAnsi"/>
        </w:rPr>
        <w:t>350–400</w:t>
      </w:r>
      <w:r w:rsidRPr="00D9368C">
        <w:rPr>
          <w:rFonts w:cstheme="minorHAnsi"/>
        </w:rPr>
        <w:t xml:space="preserve"> plniček na CNG, 30 plniček na LNG a 80 vodíkových plnicích stanic. Po roce 2020 se přepokládá podpora výstavby dobíjecí a plnící infrastruktury z OP TAK, OPD, IROP, národního programu MŽP, Modernizačního fondu a Národního plánu obnovy.</w:t>
      </w:r>
    </w:p>
    <w:p w14:paraId="74498135" w14:textId="41945AC2" w:rsidR="00BB6FF9" w:rsidRPr="00D9368C" w:rsidRDefault="00BB6FF9" w:rsidP="00FC4017">
      <w:pPr>
        <w:spacing w:line="240" w:lineRule="auto"/>
        <w:jc w:val="both"/>
        <w:rPr>
          <w:rFonts w:cstheme="minorHAnsi"/>
        </w:rPr>
      </w:pPr>
      <w:r w:rsidRPr="00D9368C">
        <w:rPr>
          <w:rFonts w:cstheme="minorHAnsi"/>
        </w:rPr>
        <w:lastRenderedPageBreak/>
        <w:t>V rámci připravovaného Národního plánu obnovy je navržena komponenta „Rozvoj čisté mobility“ s alokací cca 9,44 mld Kč. Předpokládá se, že by takto mohla být podpořena výstavba 6140 veřejných a 2150 dalších dobíjecích bodů.</w:t>
      </w:r>
    </w:p>
    <w:p w14:paraId="345D11FD" w14:textId="77777777" w:rsidR="00085287" w:rsidRDefault="00085287" w:rsidP="002A1848">
      <w:pPr>
        <w:spacing w:line="276" w:lineRule="auto"/>
        <w:jc w:val="both"/>
      </w:pPr>
    </w:p>
    <w:p w14:paraId="7187D732" w14:textId="77777777" w:rsidR="00085287" w:rsidRPr="005A3F2A"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bookmarkStart w:id="7" w:name="_Hlk55495002"/>
      <w:r w:rsidRPr="005A3F2A">
        <w:rPr>
          <w:rFonts w:cstheme="minorHAnsi"/>
          <w:b/>
          <w:noProof/>
          <w:color w:val="000000" w:themeColor="text1"/>
        </w:rPr>
        <w:t>Posouzení legislativních možností pro podporu výroby a dodávek udržitelných alternativních paliv pro různé druhy dopravy</w:t>
      </w:r>
    </w:p>
    <w:bookmarkEnd w:id="7"/>
    <w:p w14:paraId="5C49C7DD" w14:textId="77777777" w:rsidR="00D36D5E" w:rsidRPr="00D36D5E" w:rsidRDefault="00D36D5E" w:rsidP="002A1848">
      <w:pPr>
        <w:spacing w:line="276" w:lineRule="auto"/>
        <w:jc w:val="both"/>
        <w:rPr>
          <w:rFonts w:cstheme="minorHAnsi"/>
          <w:color w:val="000000" w:themeColor="text1"/>
        </w:rPr>
      </w:pPr>
      <w:r w:rsidRPr="00D36D5E">
        <w:rPr>
          <w:rFonts w:cstheme="minorHAnsi"/>
          <w:color w:val="000000" w:themeColor="text1"/>
          <w:shd w:val="clear" w:color="auto" w:fill="FFFFFF"/>
        </w:rPr>
        <w:t>Do června 2021 hodlá komise předložit návrhy na revizi směrnice o zavádění infrastruktury pro alternativní paliva.</w:t>
      </w:r>
    </w:p>
    <w:p w14:paraId="547D6F02" w14:textId="77777777" w:rsidR="00E27A81" w:rsidRPr="00CD3E3B" w:rsidRDefault="000D78E0" w:rsidP="002A1848">
      <w:pPr>
        <w:spacing w:line="276" w:lineRule="auto"/>
        <w:jc w:val="both"/>
        <w:rPr>
          <w:rFonts w:cstheme="minorHAnsi"/>
          <w:color w:val="000000" w:themeColor="text1"/>
        </w:rPr>
      </w:pPr>
      <w:r w:rsidRPr="00CD3E3B">
        <w:rPr>
          <w:rFonts w:cstheme="minorHAnsi"/>
          <w:color w:val="000000" w:themeColor="text1"/>
        </w:rPr>
        <w:t xml:space="preserve">ČR apeluje na implementaci evropské směrnice 2014/94/EU o zavádění infrastruktury pro alternativní paliva, která vedle elektromobility a vodíku obsahuje také cíle v oblasti CNG. </w:t>
      </w:r>
    </w:p>
    <w:p w14:paraId="6B59F7D0" w14:textId="0ABB74D3" w:rsidR="000D78E0" w:rsidRPr="00CD3E3B" w:rsidRDefault="000D78E0" w:rsidP="002A1848">
      <w:pPr>
        <w:spacing w:line="276" w:lineRule="auto"/>
        <w:jc w:val="both"/>
        <w:rPr>
          <w:rFonts w:cstheme="minorHAnsi"/>
        </w:rPr>
      </w:pPr>
      <w:r w:rsidRPr="00CD3E3B">
        <w:rPr>
          <w:rFonts w:cstheme="minorHAnsi"/>
        </w:rPr>
        <w:t>ČR na rozdíl od některých států EU implementovala opatření nejen v oblasti elektromobility, ale také v oblasti dalších alternativních paliv (CNG, v aktualizovaném plánu NAP čisté mobility také v daleko větší míře vodíkovou mobilitu). Právě “technologická neutralita” by měla být více reflektována, zejména v oblasti využívání bioCNG, který je považován na rozdíl od klasického CNG za obnovitelný zdroj, který pomůže snížit produkci CO2 a znečišťující látky. EK plánuje také revizi této směrnice tak, aby urychlila zavádění alternativních paliv v dopravě a plánovaná revize by měla být provázána s cíli OZE v dopravě a možností využití bioCNG v dopravě.</w:t>
      </w:r>
    </w:p>
    <w:p w14:paraId="7584E710" w14:textId="77777777" w:rsidR="000D78E0" w:rsidRPr="00CD3E3B" w:rsidRDefault="000D78E0" w:rsidP="002A1848">
      <w:pPr>
        <w:spacing w:line="276" w:lineRule="auto"/>
        <w:jc w:val="both"/>
        <w:rPr>
          <w:rFonts w:cstheme="minorHAnsi"/>
        </w:rPr>
      </w:pPr>
      <w:r w:rsidRPr="00CD3E3B">
        <w:rPr>
          <w:rFonts w:cstheme="minorHAnsi"/>
        </w:rPr>
        <w:t>ČR k implementaci evropské směrnice 2014/94/EU o zavádění infrastruktury pro alternativní paliva přijala Národní akční plán čisté mobility (NAP CM). V souladu s touto směrnicí byla zpráva o plnění NAP CM předána Evropské komisi (listopad 2019). Následně vláda ČR schválila v dubnu 2020 aktualizaci NAP CM.</w:t>
      </w:r>
    </w:p>
    <w:p w14:paraId="06A13E70" w14:textId="77777777" w:rsidR="000D78E0" w:rsidRPr="00CD3E3B" w:rsidRDefault="000D78E0" w:rsidP="002A1848">
      <w:pPr>
        <w:spacing w:line="276" w:lineRule="auto"/>
        <w:jc w:val="both"/>
      </w:pPr>
      <w:r w:rsidRPr="00CD3E3B">
        <w:t xml:space="preserve">V souvislosti s podporou nízkoemisních vozidel (elektromobily a PHEVs) bude v případě osobních vozidel aplikován limit 50 g CO2/km. Tento limit vychází ze Směrnice EP a Rady 2019/1161, kterou se mění směrnice 2009/33/ES o podpoře čistých a energeticky účinných silničních vozidel, která stanoví povinný podíl nízko a bezemisních vozidel pořizovaných veřejnými zadavateli. Podpora vozidel na CNG/LNG je velmi důležitá z důvodu plnění povinného cíle do roku 2030, tj. dosažení 14% podílu energie v dopravě z obnovitelných zdrojů, který bude ČR plnit zejména spotřebou bioCNG. </w:t>
      </w:r>
    </w:p>
    <w:p w14:paraId="72E4F845" w14:textId="77777777" w:rsidR="000D78E0" w:rsidRPr="00CD3E3B" w:rsidRDefault="000D78E0" w:rsidP="002A1848">
      <w:pPr>
        <w:spacing w:line="276" w:lineRule="auto"/>
        <w:jc w:val="both"/>
      </w:pPr>
      <w:r w:rsidRPr="00CD3E3B">
        <w:t xml:space="preserve">Směrnice 2018/2001 ze dne 11. prosince 2018 o podpoře využívání energie z obnovitelných zdrojů (RED II) stanoví cílové podíly obnovitelné energie dodávané pro konečnou spotřebu v odvětví dopravy. V souhrnu má tento podíl v roce 2030 dosáhnout nejméně 14 % v každém členském státě (se zahrnutím multiplikátorů). </w:t>
      </w:r>
    </w:p>
    <w:p w14:paraId="55156800" w14:textId="08F68C04" w:rsidR="000D78E0" w:rsidRPr="00D36D5E" w:rsidRDefault="000D78E0" w:rsidP="00FC4017">
      <w:pPr>
        <w:spacing w:line="240" w:lineRule="auto"/>
        <w:jc w:val="both"/>
        <w:rPr>
          <w:rFonts w:cstheme="minorHAnsi"/>
        </w:rPr>
      </w:pPr>
      <w:r w:rsidRPr="00CD3E3B">
        <w:rPr>
          <w:rFonts w:cstheme="minorHAnsi"/>
        </w:rPr>
        <w:t>Nařízení</w:t>
      </w:r>
      <w:r w:rsidR="00D36D5E" w:rsidRPr="00CD3E3B">
        <w:rPr>
          <w:rFonts w:cstheme="minorHAnsi"/>
        </w:rPr>
        <w:t>m</w:t>
      </w:r>
      <w:r w:rsidRPr="00CD3E3B">
        <w:rPr>
          <w:rFonts w:cstheme="minorHAnsi"/>
        </w:rPr>
        <w:t xml:space="preserve"> Evropského parlamentu a Rady (EU) 2019/631 ze dne 17. dubna 2019 se stanoví výkonnostní normy pro emise CO2 pro nové osobní automobily a pro nová lehká užitková vozidla</w:t>
      </w:r>
      <w:r w:rsidRPr="00BD1D45">
        <w:rPr>
          <w:rFonts w:cstheme="minorHAnsi"/>
        </w:rPr>
        <w:t xml:space="preserve"> </w:t>
      </w:r>
      <w:r w:rsidR="00D36D5E">
        <w:rPr>
          <w:rFonts w:cstheme="minorHAnsi"/>
          <w:strike/>
        </w:rPr>
        <w:t xml:space="preserve">– </w:t>
      </w:r>
      <w:r w:rsidR="00D36D5E" w:rsidRPr="00D36D5E">
        <w:rPr>
          <w:rFonts w:cstheme="minorHAnsi"/>
        </w:rPr>
        <w:t xml:space="preserve">viz str. </w:t>
      </w:r>
      <w:r w:rsidR="003372C8" w:rsidRPr="00D36D5E">
        <w:rPr>
          <w:rFonts w:cstheme="minorHAnsi"/>
        </w:rPr>
        <w:t>7–8</w:t>
      </w:r>
      <w:r w:rsidR="00CD3E3B">
        <w:rPr>
          <w:rFonts w:cstheme="minorHAnsi"/>
        </w:rPr>
        <w:t xml:space="preserve"> a </w:t>
      </w:r>
      <w:r w:rsidR="00CD3E3B" w:rsidRPr="001F3EFB">
        <w:rPr>
          <w:rFonts w:cstheme="minorHAnsi"/>
        </w:rPr>
        <w:t>Nařízením Evropského parlamentu a Rady (EU) 2019/1242 ze dne 20. června 2019, kterým se stanoví výkonnostní normy pro emise CO2 pro nová těžká vozidla a kterým se mění nařízení Evropského parlamentu a Rady (ES) č. 595/2009 a (EU) 2018/956 a směrnice Rady 96/53/</w:t>
      </w:r>
      <w:r w:rsidR="003372C8" w:rsidRPr="001F3EFB">
        <w:rPr>
          <w:rFonts w:cstheme="minorHAnsi"/>
        </w:rPr>
        <w:t>ES</w:t>
      </w:r>
      <w:r w:rsidR="003372C8">
        <w:rPr>
          <w:rFonts w:cstheme="minorHAnsi"/>
        </w:rPr>
        <w:t>.</w:t>
      </w:r>
      <w:r w:rsidR="00CD3E3B">
        <w:rPr>
          <w:rFonts w:cstheme="minorHAnsi"/>
        </w:rPr>
        <w:t xml:space="preserve"> viz str. 8</w:t>
      </w:r>
    </w:p>
    <w:p w14:paraId="570FF8D8" w14:textId="77777777" w:rsidR="00BB6FF9" w:rsidRPr="000C4971" w:rsidRDefault="00BB6FF9" w:rsidP="002A1848">
      <w:pPr>
        <w:spacing w:line="276" w:lineRule="auto"/>
        <w:jc w:val="both"/>
        <w:rPr>
          <w:rFonts w:cstheme="minorHAnsi"/>
        </w:rPr>
      </w:pPr>
    </w:p>
    <w:p w14:paraId="4E882DED" w14:textId="77777777" w:rsidR="009E4B04" w:rsidRDefault="009E4B04">
      <w:pPr>
        <w:rPr>
          <w:rFonts w:cstheme="minorHAnsi"/>
          <w:b/>
          <w:noProof/>
          <w:color w:val="000000" w:themeColor="text1"/>
        </w:rPr>
      </w:pPr>
      <w:r>
        <w:rPr>
          <w:rFonts w:cstheme="minorHAnsi"/>
          <w:b/>
          <w:noProof/>
          <w:color w:val="000000" w:themeColor="text1"/>
        </w:rPr>
        <w:br w:type="page"/>
      </w:r>
    </w:p>
    <w:p w14:paraId="51C346FB" w14:textId="53B1293F" w:rsidR="00085287" w:rsidRPr="005A3F2A"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5A3F2A">
        <w:rPr>
          <w:rFonts w:cstheme="minorHAnsi"/>
          <w:b/>
          <w:noProof/>
          <w:color w:val="000000" w:themeColor="text1"/>
        </w:rPr>
        <w:lastRenderedPageBreak/>
        <w:t>Revidovaný návrh směrnice o kombinované dopravě</w:t>
      </w:r>
    </w:p>
    <w:p w14:paraId="6965D1C1" w14:textId="77777777" w:rsidR="00862288" w:rsidRPr="00621644" w:rsidRDefault="00862288" w:rsidP="00FC4017">
      <w:pPr>
        <w:spacing w:line="240" w:lineRule="auto"/>
        <w:jc w:val="both"/>
        <w:rPr>
          <w:rFonts w:cstheme="minorHAnsi"/>
        </w:rPr>
      </w:pPr>
      <w:r w:rsidRPr="00621644">
        <w:rPr>
          <w:rFonts w:cstheme="minorHAnsi"/>
        </w:rPr>
        <w:t>Revize směrnice o kombinované dopravě, o níž EGD rovněž mluví, byla stažena ze strany EK z důvodu nenalezení shody mezi Radou a EP a odklonem od původních cílů. Očekává se upravený návrh v roce 2021. ČR bude podporovat takový návrh, který bude komplexní (bude pokrývat i železniční dopravu).</w:t>
      </w:r>
    </w:p>
    <w:p w14:paraId="022CD559" w14:textId="44294680" w:rsidR="00862288" w:rsidRPr="00621644" w:rsidRDefault="00862288" w:rsidP="00FC4017">
      <w:pPr>
        <w:spacing w:line="240" w:lineRule="auto"/>
        <w:jc w:val="both"/>
        <w:rPr>
          <w:rFonts w:cstheme="minorHAnsi"/>
        </w:rPr>
      </w:pPr>
      <w:r w:rsidRPr="00621644">
        <w:rPr>
          <w:rFonts w:cstheme="minorHAnsi"/>
        </w:rPr>
        <w:t xml:space="preserve">ČR nemůže souhlasit, zvláště za současné ekonomické situace v důsledku epidemie COVID-19, s dalším zpřísňováním emisních limitů CO2 z nových vozidel (částečně gesce MPO) již v roce 2021 (tedy více než o rok </w:t>
      </w:r>
      <w:r w:rsidR="00CD3E3B" w:rsidRPr="00621644">
        <w:rPr>
          <w:rFonts w:cstheme="minorHAnsi"/>
        </w:rPr>
        <w:t>dříve,</w:t>
      </w:r>
      <w:r w:rsidRPr="00621644">
        <w:rPr>
          <w:rFonts w:cstheme="minorHAnsi"/>
        </w:rPr>
        <w:t xml:space="preserve"> než měla být vydána zpráva o účinnosti tohoto nařízení).</w:t>
      </w:r>
    </w:p>
    <w:p w14:paraId="41315C91" w14:textId="77777777" w:rsidR="005E58D9" w:rsidRDefault="005E58D9" w:rsidP="002A1848">
      <w:pPr>
        <w:spacing w:line="276" w:lineRule="auto"/>
        <w:jc w:val="both"/>
      </w:pPr>
    </w:p>
    <w:p w14:paraId="1434A484" w14:textId="77777777" w:rsidR="00085287" w:rsidRPr="00217EA2"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217EA2">
        <w:rPr>
          <w:rFonts w:cstheme="minorHAnsi"/>
          <w:b/>
          <w:noProof/>
          <w:color w:val="000000" w:themeColor="text1"/>
        </w:rPr>
        <w:t>Přezkum směrnice o zavádění infrastruktury pro alternativní paliva a nařízení o transevropské energetické síti</w:t>
      </w:r>
    </w:p>
    <w:p w14:paraId="09CC1CC2" w14:textId="2930B3B9" w:rsidR="00B83AE6" w:rsidRDefault="00816001" w:rsidP="00FC4017">
      <w:pPr>
        <w:spacing w:line="240" w:lineRule="auto"/>
        <w:jc w:val="both"/>
        <w:rPr>
          <w:rFonts w:cstheme="minorHAnsi"/>
        </w:rPr>
      </w:pPr>
      <w:r>
        <w:rPr>
          <w:rFonts w:cstheme="minorHAnsi"/>
        </w:rPr>
        <w:t>P</w:t>
      </w:r>
      <w:r w:rsidR="000F4910" w:rsidRPr="00621644">
        <w:rPr>
          <w:rFonts w:cstheme="minorHAnsi"/>
        </w:rPr>
        <w:t>obídk</w:t>
      </w:r>
      <w:r>
        <w:rPr>
          <w:rFonts w:cstheme="minorHAnsi"/>
        </w:rPr>
        <w:t>y</w:t>
      </w:r>
      <w:r w:rsidR="000F4910" w:rsidRPr="00621644">
        <w:rPr>
          <w:rFonts w:cstheme="minorHAnsi"/>
        </w:rPr>
        <w:t xml:space="preserve"> v oblasti mobility, bez </w:t>
      </w:r>
      <w:r w:rsidR="00FF71FB" w:rsidRPr="00621644">
        <w:rPr>
          <w:rFonts w:cstheme="minorHAnsi"/>
        </w:rPr>
        <w:t>vydefinování,</w:t>
      </w:r>
      <w:r>
        <w:rPr>
          <w:rFonts w:cstheme="minorHAnsi"/>
        </w:rPr>
        <w:t xml:space="preserve"> o jaké </w:t>
      </w:r>
      <w:r w:rsidR="000F4910" w:rsidRPr="00621644">
        <w:rPr>
          <w:rFonts w:cstheme="minorHAnsi"/>
        </w:rPr>
        <w:t>typ</w:t>
      </w:r>
      <w:r>
        <w:rPr>
          <w:rFonts w:cstheme="minorHAnsi"/>
        </w:rPr>
        <w:t>y</w:t>
      </w:r>
      <w:r w:rsidR="000F4910" w:rsidRPr="00621644">
        <w:rPr>
          <w:rFonts w:cstheme="minorHAnsi"/>
        </w:rPr>
        <w:t xml:space="preserve"> pobídek by se to mělo </w:t>
      </w:r>
      <w:r>
        <w:rPr>
          <w:rFonts w:cstheme="minorHAnsi"/>
        </w:rPr>
        <w:t>jednat</w:t>
      </w:r>
      <w:r w:rsidR="000F4910" w:rsidRPr="00621644">
        <w:rPr>
          <w:rFonts w:cstheme="minorHAnsi"/>
        </w:rPr>
        <w:t xml:space="preserve">, nemůže ČR předjímat konkrétní pozici. Aktualizovaný Národní akční plán čisté mobility, schválený vládou dne 27. 4. 2020, se zaměřuje zejména na podporu výstavby plnící a dobíjecí infrastruktury a na odstranění dalších překážek v rozvoji čisté mobility (legislativní, technické, stavební atd.). </w:t>
      </w:r>
    </w:p>
    <w:p w14:paraId="1226A2A2" w14:textId="77777777" w:rsidR="00816001" w:rsidRDefault="000F4910" w:rsidP="00FC4017">
      <w:pPr>
        <w:spacing w:line="240" w:lineRule="auto"/>
        <w:jc w:val="both"/>
        <w:rPr>
          <w:rFonts w:cstheme="minorHAnsi"/>
        </w:rPr>
      </w:pPr>
      <w:r w:rsidRPr="00621644">
        <w:rPr>
          <w:rFonts w:cstheme="minorHAnsi"/>
        </w:rPr>
        <w:t xml:space="preserve">V oblasti přímé podpory na nákup vozidel s alternativním palivem ČR počítá s podporou podnikatelů a zejména veřejných zadavatelů. To se týká jak osobních či užitkových vozidel, tak zejména vozidel veřejné hromadné dopravy. Tato podpora je zásadní vzhledem k implementaci Evropské směrnice o čistých a energeticky účinných silničních vozidlech, kde pro veřejné zadavatele bude nově platit povinný podíl při nakupování nízkoemisních vozidel. </w:t>
      </w:r>
    </w:p>
    <w:p w14:paraId="17E41414" w14:textId="77777777" w:rsidR="00816001" w:rsidRDefault="000F4910" w:rsidP="00FC4017">
      <w:pPr>
        <w:spacing w:line="240" w:lineRule="auto"/>
        <w:jc w:val="both"/>
        <w:rPr>
          <w:rFonts w:cstheme="minorHAnsi"/>
        </w:rPr>
      </w:pPr>
      <w:r w:rsidRPr="00621644">
        <w:rPr>
          <w:rFonts w:cstheme="minorHAnsi"/>
        </w:rPr>
        <w:t xml:space="preserve">Směrnice by měla být v ČR implementována novým zákonem od srpna 2021. ČR zdůrazňuje princip technologické neutrality pro čistou mobilitu, zejména u nákladní dopravy (potenciál biometanu, elektrifikace, palivových článků) a také vodíku. </w:t>
      </w:r>
    </w:p>
    <w:p w14:paraId="300FB6C7" w14:textId="5D96CEEE" w:rsidR="000F4910" w:rsidRDefault="000F4910" w:rsidP="00FC4017">
      <w:pPr>
        <w:spacing w:line="240" w:lineRule="auto"/>
        <w:jc w:val="both"/>
        <w:rPr>
          <w:rFonts w:cstheme="minorHAnsi"/>
          <w:color w:val="000000"/>
        </w:rPr>
      </w:pPr>
      <w:r w:rsidRPr="00621644">
        <w:rPr>
          <w:rFonts w:cstheme="minorHAnsi"/>
        </w:rPr>
        <w:t>V souvislosti se současnou krizí spojenou s pandemií COVID</w:t>
      </w:r>
      <w:r w:rsidRPr="00621644">
        <w:rPr>
          <w:rFonts w:cstheme="minorHAnsi"/>
        </w:rPr>
        <w:noBreakHyphen/>
        <w:t>19 je také otázkou, zda daná odvětví mobility nebudou v příštích měsících a možná i letech řešit zcela jiné problémy a výzvy, než kterým automobilový průmysl a sektor dopravy čelily doposud. Jde především o otázku, zda bude k dispozici dostatek finančních prostředků k rychlému přechodu na nízkoemisní mobilitu, v prostředí ČR pak zejména vlivem možného snížen</w:t>
      </w:r>
      <w:r w:rsidR="00816001">
        <w:rPr>
          <w:rFonts w:cstheme="minorHAnsi"/>
        </w:rPr>
        <w:t>í</w:t>
      </w:r>
      <w:r w:rsidRPr="00621644">
        <w:rPr>
          <w:rFonts w:cstheme="minorHAnsi"/>
        </w:rPr>
        <w:t xml:space="preserve"> poptávky po vozidlech jako celku. </w:t>
      </w:r>
      <w:r w:rsidRPr="00621644">
        <w:rPr>
          <w:rFonts w:cstheme="minorHAnsi"/>
          <w:color w:val="000000"/>
        </w:rPr>
        <w:t>Jelikož nejsou známy žádné parametry revize právních předpisů týkajících se emisních standardů pro emise CO2 generované osobními automobily a dodávkami, zatím nedokážeme odhadnout. Bude tak možné učinit, až budou nové předpisy schváleny.</w:t>
      </w:r>
    </w:p>
    <w:p w14:paraId="03333F38" w14:textId="77777777" w:rsidR="00BB3C00" w:rsidRPr="001D659C" w:rsidRDefault="00BB3C00" w:rsidP="002A1848">
      <w:pPr>
        <w:spacing w:line="276" w:lineRule="auto"/>
        <w:jc w:val="both"/>
        <w:rPr>
          <w:highlight w:val="yellow"/>
        </w:rPr>
      </w:pPr>
    </w:p>
    <w:p w14:paraId="09E7194A" w14:textId="77777777" w:rsidR="00085287" w:rsidRPr="00D7042B"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D7042B">
        <w:rPr>
          <w:rFonts w:cstheme="minorHAnsi"/>
          <w:b/>
          <w:noProof/>
          <w:color w:val="000000" w:themeColor="text1"/>
        </w:rPr>
        <w:t>Iniciativy pro lepší řízení a navýšení kapacity železnic a vnitrozemských vodních cest</w:t>
      </w:r>
    </w:p>
    <w:p w14:paraId="03F9313D" w14:textId="062862D2" w:rsidR="00085287" w:rsidRPr="003D44AC" w:rsidRDefault="00CE70C1" w:rsidP="00FC4017">
      <w:pPr>
        <w:spacing w:line="240" w:lineRule="auto"/>
        <w:jc w:val="both"/>
        <w:rPr>
          <w:rFonts w:cstheme="minorHAnsi"/>
        </w:rPr>
      </w:pPr>
      <w:r w:rsidRPr="003D44AC">
        <w:rPr>
          <w:rFonts w:cstheme="minorHAnsi"/>
        </w:rPr>
        <w:t>V oblasti dopravy jsou cíle v EGD zatím definovány poměrně vágně (potřeba vyšší kapacity vodních cest a železnice, či vyšší digitalizace dopravy). Návrh obsahuje přesun 75 % nákladní dopravy ze silniční dopravy směrem k udržitelným druhům dopravy (železniční a vodní).</w:t>
      </w:r>
    </w:p>
    <w:p w14:paraId="0E5B84F5" w14:textId="78A5E749" w:rsidR="00CE70C1" w:rsidRPr="003D44AC" w:rsidRDefault="00816001" w:rsidP="00FC4017">
      <w:pPr>
        <w:spacing w:line="240" w:lineRule="auto"/>
        <w:jc w:val="both"/>
        <w:rPr>
          <w:rFonts w:cstheme="minorHAnsi"/>
        </w:rPr>
      </w:pPr>
      <w:r>
        <w:rPr>
          <w:rFonts w:cstheme="minorHAnsi"/>
        </w:rPr>
        <w:t>Z</w:t>
      </w:r>
      <w:r w:rsidR="00CE70C1" w:rsidRPr="003D44AC">
        <w:rPr>
          <w:rFonts w:cstheme="minorHAnsi"/>
        </w:rPr>
        <w:t xml:space="preserve">a současného technologického poznání není možné snížit emise o 90 % ve všech dopravních módech. Železniční doprava by měla být schopna v tomto horizontu cíl splnit (pokračující elektrizace, využití bateriových či vodíkových jednotek). </w:t>
      </w:r>
    </w:p>
    <w:p w14:paraId="476FD70E" w14:textId="77777777" w:rsidR="003A77D7" w:rsidRPr="003D44AC" w:rsidRDefault="003A77D7" w:rsidP="00FC4017">
      <w:pPr>
        <w:spacing w:line="240" w:lineRule="auto"/>
        <w:jc w:val="both"/>
        <w:rPr>
          <w:rFonts w:cstheme="minorHAnsi"/>
        </w:rPr>
      </w:pPr>
      <w:r w:rsidRPr="003D44AC">
        <w:rPr>
          <w:rFonts w:cstheme="minorHAnsi"/>
        </w:rPr>
        <w:t xml:space="preserve">Důležitým krokem, který pomůže vyšší udržitelnosti dopravy, bude výstavba vysokorychlostních tratí (program Rychlá spojení). Tento projekt má primárně ekonomický, ale také ekologický rozměr, protože pomůže převést významnou část osobní dopravy ze silniční dopravy (v případě dálkových tras i z letecké dopravy), zároveň zvýší kapacitu pro nákladní dopravu na současných tratích. Výstavba </w:t>
      </w:r>
      <w:r w:rsidRPr="003D44AC">
        <w:rPr>
          <w:rFonts w:cstheme="minorHAnsi"/>
        </w:rPr>
        <w:lastRenderedPageBreak/>
        <w:t xml:space="preserve">by měla začít v roce 2025. Náklady na první fázi výstavby (do roku 2030) jsou odhadovány na cca 150 mld. Kč. </w:t>
      </w:r>
    </w:p>
    <w:p w14:paraId="0275E50D" w14:textId="3393B4F5" w:rsidR="00816001" w:rsidRDefault="00816001" w:rsidP="00FC4017">
      <w:pPr>
        <w:spacing w:line="240" w:lineRule="auto"/>
        <w:jc w:val="both"/>
        <w:rPr>
          <w:rFonts w:cstheme="minorHAnsi"/>
        </w:rPr>
      </w:pPr>
      <w:r>
        <w:rPr>
          <w:rFonts w:cstheme="minorHAnsi"/>
        </w:rPr>
        <w:t>MD</w:t>
      </w:r>
      <w:r w:rsidR="00CE70C1" w:rsidRPr="003D44AC">
        <w:rPr>
          <w:rFonts w:cstheme="minorHAnsi"/>
        </w:rPr>
        <w:t xml:space="preserve"> souhlasí s potřebou přesunout významnou část vnitrozemské nákladní přepravy, kterou dnes zajišťuje silniční síť, na železnici a vodní cesty. Ovšem dosažení uvedeného cíle přesunu 75 % je v podmínkách ČR problematické (v ČR se podíl železniční dopravy drží stabilně okolo 27 %, podíl vnitrozemské plavby je zanedbatelný). Podobně jako v otázce emisí již Bílá kniha z roku 2011 počítala s vysokými cíli v oblasti přesunu nákladní přepravy (30 % nákladu nad 300 km do roku 2030). </w:t>
      </w:r>
    </w:p>
    <w:p w14:paraId="680876C1" w14:textId="0BB6E4D8" w:rsidR="00CE70C1" w:rsidRPr="003D44AC" w:rsidRDefault="00CE70C1" w:rsidP="00FC4017">
      <w:pPr>
        <w:spacing w:line="240" w:lineRule="auto"/>
        <w:jc w:val="both"/>
        <w:rPr>
          <w:rFonts w:cstheme="minorHAnsi"/>
        </w:rPr>
      </w:pPr>
      <w:r w:rsidRPr="003D44AC">
        <w:rPr>
          <w:rFonts w:cstheme="minorHAnsi"/>
        </w:rPr>
        <w:t>Vyšší využití multimodální dopravy si vyžádá investice do budování a modernizace multimodálních terminálů a železniční infrastruktury obecně. Konkrétní výši nákladů, která by byla přímo navázaná na EGD, však zatím nelze určit.</w:t>
      </w:r>
    </w:p>
    <w:p w14:paraId="627F9A5F" w14:textId="77777777" w:rsidR="00CE70C1" w:rsidRDefault="00CE70C1" w:rsidP="002A1848">
      <w:pPr>
        <w:spacing w:line="276" w:lineRule="auto"/>
        <w:jc w:val="both"/>
      </w:pPr>
    </w:p>
    <w:p w14:paraId="09E2A04C" w14:textId="77777777" w:rsidR="00085287" w:rsidRPr="003D44AC" w:rsidRDefault="00085287" w:rsidP="002A1848">
      <w:pPr>
        <w:pBdr>
          <w:top w:val="single" w:sz="4" w:space="1" w:color="auto"/>
          <w:left w:val="single" w:sz="4" w:space="4" w:color="auto"/>
          <w:bottom w:val="single" w:sz="4" w:space="1" w:color="auto"/>
          <w:right w:val="single" w:sz="4" w:space="4" w:color="auto"/>
        </w:pBdr>
        <w:spacing w:line="276" w:lineRule="auto"/>
        <w:jc w:val="both"/>
        <w:rPr>
          <w:rFonts w:cstheme="minorHAnsi"/>
          <w:b/>
          <w:noProof/>
          <w:color w:val="000000" w:themeColor="text1"/>
        </w:rPr>
      </w:pPr>
      <w:r w:rsidRPr="003D44AC">
        <w:rPr>
          <w:rFonts w:cstheme="minorHAnsi"/>
          <w:b/>
          <w:noProof/>
          <w:color w:val="000000" w:themeColor="text1"/>
        </w:rPr>
        <w:t>Návrh přísnějších norem pro emise látek znečisťujících ovzduší vozidly se spalovacím motorem</w:t>
      </w:r>
    </w:p>
    <w:p w14:paraId="0751C41A" w14:textId="77777777" w:rsidR="003704E1" w:rsidRDefault="00743BAA" w:rsidP="00FC4017">
      <w:pPr>
        <w:spacing w:line="240" w:lineRule="auto"/>
        <w:jc w:val="both"/>
        <w:rPr>
          <w:rFonts w:cstheme="minorHAnsi"/>
        </w:rPr>
      </w:pPr>
      <w:r w:rsidRPr="003D44AC">
        <w:rPr>
          <w:rFonts w:cstheme="minorHAnsi"/>
        </w:rPr>
        <w:t xml:space="preserve">V červnu 2019, tedy ještě před zveřejněním EGD, byla přijata směrnice o čistých vozidlech (hlavní gestor MMR, MD spolugestor), která má za cíl vyšší využívání nízkoemisních vozidel. </w:t>
      </w:r>
    </w:p>
    <w:p w14:paraId="4CC3F8B7" w14:textId="108AC442" w:rsidR="00743BAA" w:rsidRPr="003D44AC" w:rsidRDefault="00743BAA" w:rsidP="00FC4017">
      <w:pPr>
        <w:spacing w:line="240" w:lineRule="auto"/>
        <w:jc w:val="both"/>
        <w:rPr>
          <w:rFonts w:cstheme="minorHAnsi"/>
        </w:rPr>
      </w:pPr>
      <w:r w:rsidRPr="003D44AC">
        <w:rPr>
          <w:rFonts w:cstheme="minorHAnsi"/>
        </w:rPr>
        <w:t>Od srpna 2021 budou mít všichni veřejní zadavatelé povinnost nakupovat určitý podíl vozidel splňující přísné limity na emise CO</w:t>
      </w:r>
      <w:r w:rsidRPr="003D44AC">
        <w:rPr>
          <w:rFonts w:cstheme="minorHAnsi"/>
          <w:vertAlign w:val="subscript"/>
        </w:rPr>
        <w:t>2</w:t>
      </w:r>
      <w:r w:rsidRPr="003D44AC">
        <w:rPr>
          <w:rFonts w:cstheme="minorHAnsi"/>
        </w:rPr>
        <w:t xml:space="preserve">. ČR hlasovala proti přijetí tohoto návrhu, neboť limit byl pro ČR stanoven jako nepřiměřeně </w:t>
      </w:r>
      <w:r w:rsidR="003704E1" w:rsidRPr="003D44AC">
        <w:rPr>
          <w:rFonts w:cstheme="minorHAnsi"/>
        </w:rPr>
        <w:t>vysoký,</w:t>
      </w:r>
      <w:r w:rsidRPr="003D44AC">
        <w:rPr>
          <w:rFonts w:cstheme="minorHAnsi"/>
        </w:rPr>
        <w:t xml:space="preserve"> a navíc definice čistého vozidla nereflektovala princip technologické neutrality.</w:t>
      </w:r>
    </w:p>
    <w:p w14:paraId="00085EC3" w14:textId="565F6DE2" w:rsidR="00B53A6A" w:rsidRDefault="00B53A6A" w:rsidP="00FC4017">
      <w:pPr>
        <w:spacing w:line="240" w:lineRule="auto"/>
        <w:jc w:val="both"/>
        <w:rPr>
          <w:rFonts w:cstheme="minorHAnsi"/>
        </w:rPr>
      </w:pPr>
      <w:r w:rsidRPr="003D44AC">
        <w:rPr>
          <w:rFonts w:cstheme="minorHAnsi"/>
        </w:rPr>
        <w:t>V otázce dalšího snižování emisí CO</w:t>
      </w:r>
      <w:r w:rsidRPr="003D44AC">
        <w:rPr>
          <w:rFonts w:cstheme="minorHAnsi"/>
          <w:vertAlign w:val="subscript"/>
        </w:rPr>
        <w:t>2</w:t>
      </w:r>
      <w:r w:rsidRPr="003D44AC">
        <w:rPr>
          <w:rFonts w:cstheme="minorHAnsi"/>
        </w:rPr>
        <w:t xml:space="preserve"> u nových vozidel se lze oprávněně domnívat, že náklady budou velmi vysoké. Konkrétní vyčíslení bude záviset jak na údajích obsažených ve Strategii, dále nastavení konkrétních parametrů v návrhu EK, tak na jednáních v Radě, kde se pozice jednotlivých členských států zásadně liší.</w:t>
      </w:r>
    </w:p>
    <w:p w14:paraId="6BB14C63" w14:textId="7238128F" w:rsidR="000D78E0" w:rsidRPr="003704E1" w:rsidRDefault="000D78E0" w:rsidP="00FC4017">
      <w:pPr>
        <w:spacing w:line="240" w:lineRule="auto"/>
        <w:jc w:val="both"/>
        <w:rPr>
          <w:rFonts w:cstheme="minorHAnsi"/>
          <w:color w:val="000000" w:themeColor="text1"/>
        </w:rPr>
      </w:pPr>
      <w:r w:rsidRPr="003704E1">
        <w:rPr>
          <w:rFonts w:cstheme="minorHAnsi"/>
          <w:color w:val="000000" w:themeColor="text1"/>
        </w:rPr>
        <w:t xml:space="preserve">Pokud by zpřísnění norem pro emise látek znečisťujících ovzduší vozidly se spalovacím motorem vedlo k výraznému omezení provozu či spočívalo v zákazu uvádění těchto vozidel na trh, bude nutné </w:t>
      </w:r>
      <w:r w:rsidR="00BD5E0F">
        <w:rPr>
          <w:rFonts w:cstheme="minorHAnsi"/>
          <w:color w:val="000000" w:themeColor="text1"/>
        </w:rPr>
        <w:t>de</w:t>
      </w:r>
      <w:r w:rsidR="00BD5E0F" w:rsidRPr="00BD5E0F">
        <w:rPr>
          <w:rFonts w:cstheme="minorHAnsi"/>
          <w:color w:val="000000" w:themeColor="text1"/>
        </w:rPr>
        <w:t>r</w:t>
      </w:r>
      <w:r w:rsidRPr="00BD5E0F">
        <w:rPr>
          <w:rFonts w:cstheme="minorHAnsi"/>
          <w:color w:val="000000" w:themeColor="text1"/>
        </w:rPr>
        <w:t>ogovat</w:t>
      </w:r>
      <w:r w:rsidRPr="003704E1">
        <w:rPr>
          <w:rFonts w:cstheme="minorHAnsi"/>
          <w:color w:val="000000" w:themeColor="text1"/>
        </w:rPr>
        <w:t xml:space="preserve"> veškerou legislativu a technické předpisy týkající se těchto vozidel, včetně opatření, zmiňovaných v tomto dokumentu, tj. na podporu rozvoje infrastruktury pro alternativní paliva, zajištění povinného podílu nízkoemisních vozidel na registracích, </w:t>
      </w:r>
      <w:r w:rsidRPr="003704E1">
        <w:rPr>
          <w:color w:val="000000" w:themeColor="text1"/>
        </w:rPr>
        <w:t>povinného podílu nízkoemisních a bezemisních vozidel pořízených veřejnými zadavateli,</w:t>
      </w:r>
      <w:r w:rsidRPr="003704E1">
        <w:rPr>
          <w:rFonts w:cstheme="minorHAnsi"/>
          <w:color w:val="000000" w:themeColor="text1"/>
        </w:rPr>
        <w:t xml:space="preserve"> či dosažení 14% podílu energie v dopravě z obnovitelných zdrojů (RED II).</w:t>
      </w:r>
    </w:p>
    <w:p w14:paraId="2BD75809" w14:textId="7F592722" w:rsidR="00BF736F" w:rsidRDefault="00BF736F" w:rsidP="002A1848">
      <w:pPr>
        <w:spacing w:line="276" w:lineRule="auto"/>
        <w:jc w:val="both"/>
        <w:rPr>
          <w:rFonts w:ascii="Times New Roman" w:hAnsi="Times New Roman" w:cs="Times New Roman"/>
          <w:i/>
          <w:color w:val="000000" w:themeColor="text1"/>
        </w:rPr>
      </w:pPr>
    </w:p>
    <w:p w14:paraId="1A3F49B3" w14:textId="231E1AAF" w:rsidR="00BF736F" w:rsidRDefault="00BF736F" w:rsidP="002A1848">
      <w:pPr>
        <w:spacing w:line="276" w:lineRule="auto"/>
        <w:jc w:val="both"/>
        <w:rPr>
          <w:rFonts w:ascii="Times New Roman" w:hAnsi="Times New Roman" w:cs="Times New Roman"/>
          <w:i/>
          <w:color w:val="000000" w:themeColor="text1"/>
        </w:rPr>
      </w:pPr>
    </w:p>
    <w:p w14:paraId="54F274C7" w14:textId="5FB42575" w:rsidR="00CB0962" w:rsidRDefault="00CB0962" w:rsidP="002A1848">
      <w:pPr>
        <w:spacing w:line="276" w:lineRule="auto"/>
        <w:jc w:val="both"/>
        <w:rPr>
          <w:rFonts w:ascii="Times New Roman" w:hAnsi="Times New Roman" w:cs="Times New Roman"/>
          <w:i/>
          <w:color w:val="000000" w:themeColor="text1"/>
        </w:rPr>
      </w:pPr>
      <w:r>
        <w:rPr>
          <w:rFonts w:ascii="Times New Roman" w:hAnsi="Times New Roman" w:cs="Times New Roman"/>
          <w:i/>
          <w:color w:val="000000" w:themeColor="text1"/>
        </w:rPr>
        <w:br w:type="page"/>
      </w:r>
    </w:p>
    <w:p w14:paraId="34248194" w14:textId="77777777" w:rsidR="00085287" w:rsidRPr="009E4B04" w:rsidRDefault="00085287" w:rsidP="002A184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theme="minorHAnsi"/>
          <w:b/>
          <w:color w:val="000000" w:themeColor="text1"/>
          <w:sz w:val="32"/>
          <w:szCs w:val="32"/>
        </w:rPr>
      </w:pPr>
      <w:r w:rsidRPr="009E4B04">
        <w:rPr>
          <w:rFonts w:cstheme="minorHAnsi"/>
          <w:b/>
          <w:color w:val="000000" w:themeColor="text1"/>
          <w:sz w:val="32"/>
          <w:szCs w:val="32"/>
        </w:rPr>
        <w:lastRenderedPageBreak/>
        <w:t>Ekologizace společné zemědělské politiky / strategie „od zemědělce ke spotřebiteli“</w:t>
      </w:r>
    </w:p>
    <w:p w14:paraId="4CB40125" w14:textId="77777777" w:rsidR="00085287" w:rsidRDefault="00085287" w:rsidP="002A1848">
      <w:pPr>
        <w:spacing w:line="276" w:lineRule="auto"/>
        <w:jc w:val="both"/>
        <w:rPr>
          <w:rFonts w:ascii="Times New Roman" w:hAnsi="Times New Roman" w:cs="Times New Roman"/>
          <w:i/>
          <w:color w:val="000000" w:themeColor="text1"/>
        </w:rPr>
      </w:pPr>
    </w:p>
    <w:p w14:paraId="309CC0A2" w14:textId="77777777" w:rsidR="00085287" w:rsidRPr="00AE4903" w:rsidRDefault="00085287" w:rsidP="002A1848">
      <w:pPr>
        <w:pBdr>
          <w:top w:val="single" w:sz="4" w:space="1" w:color="auto"/>
          <w:left w:val="single" w:sz="4" w:space="4" w:color="auto"/>
          <w:bottom w:val="single" w:sz="4" w:space="1" w:color="auto"/>
          <w:right w:val="single" w:sz="4" w:space="4" w:color="auto"/>
        </w:pBdr>
        <w:spacing w:line="276" w:lineRule="auto"/>
        <w:jc w:val="both"/>
        <w:rPr>
          <w:rFonts w:cstheme="minorHAnsi"/>
          <w:b/>
          <w:noProof/>
          <w:color w:val="000000" w:themeColor="text1"/>
        </w:rPr>
      </w:pPr>
      <w:r w:rsidRPr="00AE4903">
        <w:rPr>
          <w:rFonts w:cstheme="minorHAnsi"/>
          <w:b/>
          <w:noProof/>
          <w:color w:val="000000" w:themeColor="text1"/>
        </w:rPr>
        <w:t>Vyhodnocení návrhů vnitrostátních strategických plánů s ohledem na ambice Zelené dohody pro Evropu a strategii „od zemědělce ke spotřebiteli“</w:t>
      </w:r>
    </w:p>
    <w:p w14:paraId="3FA362F9" w14:textId="77777777" w:rsidR="000134F4" w:rsidRPr="00BD5E0F" w:rsidRDefault="000134F4" w:rsidP="002A1848">
      <w:pPr>
        <w:spacing w:line="276" w:lineRule="auto"/>
        <w:jc w:val="both"/>
        <w:rPr>
          <w:rFonts w:cstheme="minorHAnsi"/>
          <w:b/>
          <w:color w:val="000000" w:themeColor="text1"/>
        </w:rPr>
      </w:pPr>
      <w:r w:rsidRPr="00BD5E0F">
        <w:rPr>
          <w:rFonts w:cstheme="minorHAnsi"/>
          <w:b/>
          <w:color w:val="000000" w:themeColor="text1"/>
        </w:rPr>
        <w:t>Společná zemědělská politika</w:t>
      </w:r>
    </w:p>
    <w:p w14:paraId="7A18AE7D" w14:textId="72768116" w:rsidR="000134F4" w:rsidRPr="00BD5E0F" w:rsidRDefault="000134F4" w:rsidP="00FC4017">
      <w:pPr>
        <w:spacing w:line="240" w:lineRule="auto"/>
        <w:jc w:val="both"/>
        <w:rPr>
          <w:rFonts w:cstheme="minorHAnsi"/>
          <w:color w:val="000000" w:themeColor="text1"/>
        </w:rPr>
      </w:pPr>
      <w:r w:rsidRPr="00BD5E0F">
        <w:rPr>
          <w:rFonts w:cstheme="minorHAnsi"/>
          <w:color w:val="000000" w:themeColor="text1"/>
        </w:rPr>
        <w:t>Reforma Společné zemědělské politiky je projednávána na půdě Rady EU od června 2018, ještě řada otázek zůstává otevřených a budou předmětem nadcházejících diskusí. Ambicí DE PRES, která se naplnila, bylo dosažení obecného přístupu v Radě v říjnu 2020 a zahájení trialogů s EP a EK ještě před koncem t.r.</w:t>
      </w:r>
    </w:p>
    <w:p w14:paraId="1FEAEEEB" w14:textId="749C0B69" w:rsidR="000134F4" w:rsidRPr="00BD5E0F" w:rsidRDefault="000134F4" w:rsidP="00FC4017">
      <w:pPr>
        <w:spacing w:line="240" w:lineRule="auto"/>
        <w:jc w:val="both"/>
        <w:rPr>
          <w:rFonts w:cstheme="minorHAnsi"/>
          <w:color w:val="000000" w:themeColor="text1"/>
        </w:rPr>
      </w:pPr>
      <w:r w:rsidRPr="00BD5E0F">
        <w:rPr>
          <w:rFonts w:cstheme="minorHAnsi"/>
          <w:color w:val="000000" w:themeColor="text1"/>
        </w:rPr>
        <w:t>Do vyjednávání podoby SZP významně zasáhla EGD představená Komisí v prosinci 2019 a na ni navazující strategie – F2F a pro biologickou rozmanitost – které byly zveřejněny po několika odkladech v květnu t.r. Obě uvedené strategie obsahují řadu velmi ambiciózních cílů, jejichž naplnění bude pro ČS skutečnou výzvou. Jak Komise deklarovala, jedná se o cíle politické a je na ně třeba nahlížet z pohledu EU jako celku – stanovené (procentní) hodnoty jednotlivých cílů se tak nevztahují vždy k jednotlivému ČS.</w:t>
      </w:r>
    </w:p>
    <w:p w14:paraId="12DC6A71" w14:textId="50123E70" w:rsidR="000134F4" w:rsidRPr="00BD5E0F" w:rsidRDefault="000134F4" w:rsidP="00FC4017">
      <w:pPr>
        <w:spacing w:line="240" w:lineRule="auto"/>
        <w:jc w:val="both"/>
        <w:rPr>
          <w:rFonts w:cstheme="minorHAnsi"/>
          <w:color w:val="000000" w:themeColor="text1"/>
        </w:rPr>
      </w:pPr>
      <w:r w:rsidRPr="003171DA">
        <w:rPr>
          <w:rFonts w:cstheme="minorHAnsi"/>
          <w:color w:val="000000" w:themeColor="text1"/>
        </w:rPr>
        <w:t xml:space="preserve">EK rozhodla s ČS zahájit tzv. strukturovaný dialog, který by měl vyústit představením doporučení EK pro jednotlivé ČS ohledně devíti specifických cílů SZP. ČR již návrh doporučení ze strany EK obdržela, jednání s EK </w:t>
      </w:r>
      <w:r w:rsidR="003171DA">
        <w:rPr>
          <w:rFonts w:cstheme="minorHAnsi"/>
          <w:color w:val="000000" w:themeColor="text1"/>
        </w:rPr>
        <w:t>proběhlo</w:t>
      </w:r>
      <w:r w:rsidRPr="003171DA">
        <w:rPr>
          <w:rFonts w:cstheme="minorHAnsi"/>
          <w:color w:val="000000" w:themeColor="text1"/>
        </w:rPr>
        <w:t xml:space="preserve"> 27. 11. 2020. Po diskusi EK doporučení oficiálně zveřejní</w:t>
      </w:r>
      <w:r w:rsidR="003171DA">
        <w:rPr>
          <w:rFonts w:cstheme="minorHAnsi"/>
          <w:color w:val="000000" w:themeColor="text1"/>
        </w:rPr>
        <w:t xml:space="preserve"> – předpokládá se konec roku 2020.</w:t>
      </w:r>
    </w:p>
    <w:p w14:paraId="2CEC25F4" w14:textId="77777777" w:rsidR="000134F4" w:rsidRPr="00BD5E0F" w:rsidRDefault="000134F4" w:rsidP="00FC4017">
      <w:pPr>
        <w:spacing w:line="240" w:lineRule="auto"/>
        <w:jc w:val="both"/>
        <w:rPr>
          <w:rFonts w:cstheme="minorHAnsi"/>
          <w:color w:val="000000" w:themeColor="text1"/>
        </w:rPr>
      </w:pPr>
      <w:r w:rsidRPr="00BD5E0F">
        <w:rPr>
          <w:rFonts w:cstheme="minorHAnsi"/>
          <w:color w:val="000000" w:themeColor="text1"/>
        </w:rPr>
        <w:t xml:space="preserve">Otevřenou otázkou i nadále zůstává legislativa k přechodnému období, která doposud nebyla přijata, ale trialogy se již blíží ke svému závěru – obecně panuje shoda na dvouletém přechodném období. </w:t>
      </w:r>
    </w:p>
    <w:p w14:paraId="7A78BE41" w14:textId="2BE52DF2" w:rsidR="000134F4" w:rsidRPr="00BD5E0F" w:rsidRDefault="00BD5E0F" w:rsidP="00FC4017">
      <w:pPr>
        <w:spacing w:line="240" w:lineRule="auto"/>
        <w:jc w:val="both"/>
        <w:rPr>
          <w:rFonts w:cstheme="minorHAnsi"/>
          <w:color w:val="000000" w:themeColor="text1"/>
        </w:rPr>
      </w:pPr>
      <w:r w:rsidRPr="00BD5E0F">
        <w:rPr>
          <w:rFonts w:cstheme="minorHAnsi"/>
          <w:color w:val="000000" w:themeColor="text1"/>
        </w:rPr>
        <w:t>S</w:t>
      </w:r>
      <w:r w:rsidR="000134F4" w:rsidRPr="00BD5E0F">
        <w:rPr>
          <w:rFonts w:cstheme="minorHAnsi"/>
          <w:color w:val="000000" w:themeColor="text1"/>
        </w:rPr>
        <w:t>tále probíhající diskuse k budoucí podobě SZP</w:t>
      </w:r>
      <w:r w:rsidR="000134F4" w:rsidRPr="00BD5E0F">
        <w:rPr>
          <w:rFonts w:cstheme="minorHAnsi"/>
          <w:i/>
          <w:color w:val="000000" w:themeColor="text1"/>
        </w:rPr>
        <w:t xml:space="preserve"> (pozn. DE PRES sice již zahájilo trialogy s EP a EK, ale tyto budou pokračovat rovněž za nadcházejícího PT PRES – optimistickým scénářem je uzavření diskusí do poloviny roku 2021)</w:t>
      </w:r>
      <w:r w:rsidR="000134F4" w:rsidRPr="00BD5E0F">
        <w:rPr>
          <w:rFonts w:cstheme="minorHAnsi"/>
          <w:color w:val="000000" w:themeColor="text1"/>
        </w:rPr>
        <w:t xml:space="preserve"> a plánované diskuse s EK k návrhu specifických cílů pro jednotlivé ČS, není v tuto chvíli reálné vyhodnocení aktuálního stavu plnění závazků, vyčíslení nákladů realizace či zdrojů financování ve vazbě na EGD a navazující strategie.</w:t>
      </w:r>
    </w:p>
    <w:p w14:paraId="61425E16" w14:textId="77777777" w:rsidR="000134F4" w:rsidRPr="00BD5E0F" w:rsidRDefault="000134F4" w:rsidP="00FC4017">
      <w:pPr>
        <w:spacing w:line="240" w:lineRule="auto"/>
        <w:jc w:val="both"/>
        <w:rPr>
          <w:rFonts w:cstheme="minorHAnsi"/>
          <w:b/>
          <w:color w:val="000000" w:themeColor="text1"/>
        </w:rPr>
      </w:pPr>
      <w:r w:rsidRPr="00BD5E0F">
        <w:rPr>
          <w:rFonts w:cstheme="minorHAnsi"/>
          <w:b/>
          <w:color w:val="000000" w:themeColor="text1"/>
        </w:rPr>
        <w:t>Společná rybářská politika</w:t>
      </w:r>
    </w:p>
    <w:p w14:paraId="4A206DEC" w14:textId="77777777" w:rsidR="000134F4" w:rsidRPr="00267636" w:rsidRDefault="000134F4" w:rsidP="00FC4017">
      <w:pPr>
        <w:spacing w:line="240" w:lineRule="auto"/>
        <w:jc w:val="both"/>
        <w:rPr>
          <w:rFonts w:cstheme="minorHAnsi"/>
          <w:color w:val="FF0000"/>
        </w:rPr>
      </w:pPr>
      <w:r w:rsidRPr="00BD5E0F">
        <w:rPr>
          <w:rFonts w:cstheme="minorHAnsi"/>
          <w:color w:val="000000" w:themeColor="text1"/>
        </w:rPr>
        <w:t xml:space="preserve">Na úrovni ČR nyní probíhá aktualizace Víceletého národního strategického plánu pro akvakulturu (VNPSA), který je podmínkou pro čerpání prostředků z Evropského námořního a rybářského fondu (ENRF). Cíle Zelené dohody pro Evropu byly ve VNSPA zohledněny. Kromě cíle zaměřeného na ekologickou akvakulturu je realizace příslušných cílů strategií v souladu s cíli stanovenými ve VNSPA a jejich naplnění se předpokládá prostřednictvím Operačního programu (OP) Rybářství 2021–2027 a také prostřednictvím národních podpor. Výši národních podpor nelze nyní upřesnit. </w:t>
      </w:r>
    </w:p>
    <w:p w14:paraId="5925E135" w14:textId="712A6A89" w:rsidR="000134F4" w:rsidRPr="00BD5E0F" w:rsidRDefault="00BD5E0F" w:rsidP="00FC4017">
      <w:pPr>
        <w:spacing w:line="240" w:lineRule="auto"/>
        <w:jc w:val="both"/>
        <w:rPr>
          <w:rFonts w:cstheme="minorHAnsi"/>
          <w:color w:val="000000" w:themeColor="text1"/>
        </w:rPr>
      </w:pPr>
      <w:r w:rsidRPr="00BD5E0F">
        <w:rPr>
          <w:rFonts w:cstheme="minorHAnsi"/>
          <w:color w:val="000000" w:themeColor="text1"/>
        </w:rPr>
        <w:t>V</w:t>
      </w:r>
      <w:r w:rsidR="000134F4" w:rsidRPr="00BD5E0F">
        <w:rPr>
          <w:rFonts w:cstheme="minorHAnsi"/>
          <w:color w:val="000000" w:themeColor="text1"/>
        </w:rPr>
        <w:t xml:space="preserve"> rámci ENRF bude pro ČR nastavena dostatečná alokace. Míra podpory, z níž vyplývá podíl soukromých zdrojů (podniků akvakultury a zpracovatelů), je nyní vyjednávána v trialozích. Její výše bude pravděpodobně činit </w:t>
      </w:r>
      <w:r w:rsidR="00B212C0" w:rsidRPr="00BD5E0F">
        <w:rPr>
          <w:rFonts w:cstheme="minorHAnsi"/>
          <w:color w:val="000000" w:themeColor="text1"/>
        </w:rPr>
        <w:t>50–60</w:t>
      </w:r>
      <w:r w:rsidR="000134F4" w:rsidRPr="00BD5E0F">
        <w:rPr>
          <w:rFonts w:cstheme="minorHAnsi"/>
          <w:color w:val="000000" w:themeColor="text1"/>
        </w:rPr>
        <w:t xml:space="preserve"> % pro investiční projekty a 75 % pro inovace. Projekty realizované veřejnými subjekty (státní správa, univerzity) by měly být podpořeny z </w:t>
      </w:r>
      <w:r w:rsidR="00B212C0" w:rsidRPr="00BD5E0F">
        <w:rPr>
          <w:rFonts w:cstheme="minorHAnsi"/>
          <w:color w:val="000000" w:themeColor="text1"/>
        </w:rPr>
        <w:t>95–100</w:t>
      </w:r>
      <w:r w:rsidR="000134F4" w:rsidRPr="00BD5E0F">
        <w:rPr>
          <w:rFonts w:cstheme="minorHAnsi"/>
          <w:color w:val="000000" w:themeColor="text1"/>
        </w:rPr>
        <w:t xml:space="preserve"> %. Míra spolufinancování je nyní rovněž v jednání a její výše by se měla pohybovat v rozmezí </w:t>
      </w:r>
      <w:r w:rsidR="00B212C0" w:rsidRPr="00BD5E0F">
        <w:rPr>
          <w:rFonts w:cstheme="minorHAnsi"/>
          <w:color w:val="000000" w:themeColor="text1"/>
        </w:rPr>
        <w:t>75–80</w:t>
      </w:r>
      <w:r w:rsidR="000134F4" w:rsidRPr="00BD5E0F">
        <w:rPr>
          <w:rFonts w:cstheme="minorHAnsi"/>
          <w:color w:val="000000" w:themeColor="text1"/>
        </w:rPr>
        <w:t xml:space="preserve"> % EU podíl. Financování z národního rozpočtu by tedy mělo být ve výši </w:t>
      </w:r>
      <w:r w:rsidR="00B212C0" w:rsidRPr="00BD5E0F">
        <w:rPr>
          <w:rFonts w:cstheme="minorHAnsi"/>
          <w:color w:val="000000" w:themeColor="text1"/>
        </w:rPr>
        <w:t>25–20</w:t>
      </w:r>
      <w:r w:rsidR="000134F4" w:rsidRPr="00BD5E0F">
        <w:rPr>
          <w:rFonts w:cstheme="minorHAnsi"/>
          <w:color w:val="000000" w:themeColor="text1"/>
        </w:rPr>
        <w:t xml:space="preserve"> %</w:t>
      </w:r>
    </w:p>
    <w:p w14:paraId="1E101F08" w14:textId="77777777" w:rsidR="00054D4E" w:rsidRDefault="00054D4E" w:rsidP="002A1848">
      <w:pPr>
        <w:spacing w:line="276" w:lineRule="auto"/>
        <w:jc w:val="both"/>
      </w:pPr>
    </w:p>
    <w:p w14:paraId="7DA7615C" w14:textId="77777777" w:rsidR="00085287" w:rsidRPr="00AE4903" w:rsidRDefault="00085287" w:rsidP="002A1848">
      <w:pPr>
        <w:pBdr>
          <w:top w:val="single" w:sz="4" w:space="1" w:color="auto"/>
          <w:left w:val="single" w:sz="4" w:space="4" w:color="auto"/>
          <w:bottom w:val="single" w:sz="4" w:space="1" w:color="auto"/>
          <w:right w:val="single" w:sz="4" w:space="4" w:color="auto"/>
        </w:pBdr>
        <w:spacing w:line="276" w:lineRule="auto"/>
        <w:ind w:left="142" w:right="139"/>
        <w:jc w:val="both"/>
        <w:rPr>
          <w:rFonts w:cstheme="minorHAnsi"/>
          <w:b/>
          <w:noProof/>
          <w:color w:val="000000" w:themeColor="text1"/>
        </w:rPr>
      </w:pPr>
      <w:r w:rsidRPr="00AE4903">
        <w:rPr>
          <w:rFonts w:cstheme="minorHAnsi"/>
          <w:b/>
          <w:noProof/>
          <w:color w:val="000000" w:themeColor="text1"/>
        </w:rPr>
        <w:lastRenderedPageBreak/>
        <w:t>Strategie „od zemědělce ke spotřebiteli“ Opatření, včetně legislativních, pro výrazné omezení množství použitých chemických pesticidů, hnojiv a antibiotik a rizik s nimi souvisejících</w:t>
      </w:r>
    </w:p>
    <w:p w14:paraId="4461B9CD" w14:textId="77777777" w:rsidR="00267636" w:rsidRPr="00FB2788" w:rsidRDefault="00267636" w:rsidP="00FC4017">
      <w:pPr>
        <w:spacing w:line="240" w:lineRule="auto"/>
        <w:jc w:val="both"/>
        <w:rPr>
          <w:rFonts w:cstheme="minorHAnsi"/>
          <w:b/>
          <w:bCs/>
        </w:rPr>
      </w:pPr>
      <w:r w:rsidRPr="00FB2788">
        <w:rPr>
          <w:rFonts w:cstheme="minorHAnsi"/>
          <w:b/>
          <w:bCs/>
          <w:i/>
        </w:rPr>
        <w:t>Omezit používání pesticidů a s ním související rizika o 50 % do roku 2030 a omezit používání nebezpečnějších pesticidů o 50 % do roku 2030</w:t>
      </w:r>
    </w:p>
    <w:p w14:paraId="7421BE78" w14:textId="70F3E98F" w:rsidR="00267636" w:rsidRPr="009208BA" w:rsidRDefault="00267636" w:rsidP="00FC4017">
      <w:pPr>
        <w:spacing w:line="240" w:lineRule="auto"/>
        <w:jc w:val="both"/>
        <w:rPr>
          <w:rFonts w:cstheme="minorHAnsi"/>
        </w:rPr>
      </w:pPr>
      <w:r>
        <w:rPr>
          <w:rFonts w:cstheme="minorHAnsi"/>
        </w:rPr>
        <w:t xml:space="preserve">ČR </w:t>
      </w:r>
      <w:r w:rsidR="002B7023">
        <w:rPr>
          <w:rFonts w:cstheme="minorHAnsi"/>
        </w:rPr>
        <w:t>p</w:t>
      </w:r>
      <w:r>
        <w:rPr>
          <w:rFonts w:cstheme="minorHAnsi"/>
        </w:rPr>
        <w:t>odporuj</w:t>
      </w:r>
      <w:r w:rsidR="002B7023">
        <w:rPr>
          <w:rFonts w:cstheme="minorHAnsi"/>
        </w:rPr>
        <w:t>e</w:t>
      </w:r>
      <w:r>
        <w:rPr>
          <w:rFonts w:cstheme="minorHAnsi"/>
        </w:rPr>
        <w:t xml:space="preserve"> omezování používání spotřeby pesticidů, které </w:t>
      </w:r>
      <w:r w:rsidRPr="002B7023">
        <w:rPr>
          <w:rFonts w:cstheme="minorHAnsi"/>
        </w:rPr>
        <w:t>definuje</w:t>
      </w:r>
      <w:r w:rsidRPr="002B7023">
        <w:rPr>
          <w:rFonts w:cstheme="minorHAnsi"/>
          <w:b/>
          <w:bCs/>
        </w:rPr>
        <w:t xml:space="preserve"> Národní akční plán k bezpečnému používání pesticidů (2018-2022), zpracovaný v souladu s čl. 4 směrnice EP a R 2009/128/ES,</w:t>
      </w:r>
      <w:r w:rsidRPr="009208BA">
        <w:rPr>
          <w:rFonts w:cstheme="minorHAnsi"/>
        </w:rPr>
        <w:t xml:space="preserve"> </w:t>
      </w:r>
      <w:r w:rsidRPr="009208BA">
        <w:rPr>
          <w:rFonts w:cstheme="minorHAnsi"/>
          <w:bCs/>
        </w:rPr>
        <w:t>kterou se stanoví rámec pro činnost Společenství za účelem dosažení udržitelného používání pesticidů</w:t>
      </w:r>
      <w:r w:rsidRPr="009208BA">
        <w:rPr>
          <w:rFonts w:cstheme="minorHAnsi"/>
        </w:rPr>
        <w:t>.</w:t>
      </w:r>
    </w:p>
    <w:p w14:paraId="4D94E8FF" w14:textId="6F89AE7D" w:rsidR="00267636" w:rsidRDefault="00267636" w:rsidP="00FC4017">
      <w:pPr>
        <w:spacing w:line="240" w:lineRule="auto"/>
        <w:jc w:val="both"/>
        <w:rPr>
          <w:rFonts w:cstheme="minorHAnsi"/>
        </w:rPr>
      </w:pPr>
      <w:r w:rsidRPr="009208BA">
        <w:rPr>
          <w:rFonts w:cstheme="minorHAnsi"/>
        </w:rPr>
        <w:t xml:space="preserve">Probíhá </w:t>
      </w:r>
      <w:r w:rsidRPr="002B7023">
        <w:rPr>
          <w:rFonts w:cstheme="minorHAnsi"/>
          <w:b/>
          <w:bCs/>
        </w:rPr>
        <w:t xml:space="preserve">novelizace zákona č. 326/2004 Sb., </w:t>
      </w:r>
      <w:r w:rsidRPr="002B7023">
        <w:rPr>
          <w:b/>
          <w:bCs/>
          <w:color w:val="000000"/>
        </w:rPr>
        <w:t>o rostlinolékařské péči a o změně některých souvisejících zákonů</w:t>
      </w:r>
      <w:r>
        <w:rPr>
          <w:rFonts w:cstheme="minorHAnsi"/>
        </w:rPr>
        <w:t xml:space="preserve">, ve znění pozdějších </w:t>
      </w:r>
      <w:r w:rsidR="002B7023">
        <w:rPr>
          <w:rFonts w:cstheme="minorHAnsi"/>
        </w:rPr>
        <w:t>předpisů – cílem</w:t>
      </w:r>
      <w:r w:rsidRPr="009208BA">
        <w:rPr>
          <w:rFonts w:cstheme="minorHAnsi"/>
        </w:rPr>
        <w:t xml:space="preserve"> je mimo jiné zavedení označování přípravků na ochranu rostlin </w:t>
      </w:r>
      <w:r>
        <w:rPr>
          <w:rFonts w:cstheme="minorHAnsi"/>
        </w:rPr>
        <w:t xml:space="preserve">(POR) </w:t>
      </w:r>
      <w:r w:rsidRPr="009208BA">
        <w:rPr>
          <w:rFonts w:cstheme="minorHAnsi"/>
        </w:rPr>
        <w:t xml:space="preserve">pro profesionální uživatele ve formě tzv. dvourozměrných čárových kódů a zasílání dat o pohybech přípravků do uložiště dat. Tímto bude možné zajistit dohledatelnost </w:t>
      </w:r>
      <w:r w:rsidR="002B7023" w:rsidRPr="009208BA">
        <w:rPr>
          <w:rFonts w:cstheme="minorHAnsi"/>
        </w:rPr>
        <w:t xml:space="preserve">původu </w:t>
      </w:r>
      <w:r w:rsidR="002B7023">
        <w:rPr>
          <w:rFonts w:cstheme="minorHAnsi"/>
        </w:rPr>
        <w:t>(</w:t>
      </w:r>
      <w:r>
        <w:rPr>
          <w:rFonts w:cstheme="minorHAnsi"/>
        </w:rPr>
        <w:t>POR)</w:t>
      </w:r>
      <w:r w:rsidR="002B7023">
        <w:rPr>
          <w:rFonts w:cstheme="minorHAnsi"/>
        </w:rPr>
        <w:t xml:space="preserve"> </w:t>
      </w:r>
      <w:r w:rsidRPr="009208BA">
        <w:rPr>
          <w:rFonts w:cstheme="minorHAnsi"/>
        </w:rPr>
        <w:t xml:space="preserve">a tedy eliminovat množství </w:t>
      </w:r>
      <w:r w:rsidR="002B7023" w:rsidRPr="009208BA">
        <w:rPr>
          <w:rFonts w:cstheme="minorHAnsi"/>
        </w:rPr>
        <w:t xml:space="preserve">nelegálních </w:t>
      </w:r>
      <w:r w:rsidR="002B7023">
        <w:rPr>
          <w:rFonts w:cstheme="minorHAnsi"/>
        </w:rPr>
        <w:t>(</w:t>
      </w:r>
      <w:r>
        <w:rPr>
          <w:rFonts w:cstheme="minorHAnsi"/>
        </w:rPr>
        <w:t xml:space="preserve">POR) </w:t>
      </w:r>
      <w:r w:rsidRPr="009208BA">
        <w:rPr>
          <w:rFonts w:cstheme="minorHAnsi"/>
        </w:rPr>
        <w:t xml:space="preserve">na trhu. Podle Úřadu Evropské unie pro duševní vlastnictví (EUIPO) v rámci EU28 představuje prodej nelegálních – falšovaných pesticidů </w:t>
      </w:r>
      <w:r>
        <w:rPr>
          <w:rFonts w:cstheme="minorHAnsi"/>
        </w:rPr>
        <w:t>podíl</w:t>
      </w:r>
      <w:r w:rsidRPr="009208BA">
        <w:rPr>
          <w:rFonts w:cstheme="minorHAnsi"/>
        </w:rPr>
        <w:t xml:space="preserve"> 13,8 % z jejich celkového prodeje. Přičemž falzifikáty dovážené do ČR činí 17,8 % z prodejů v celkové hodnotě 930 mil. Kč.</w:t>
      </w:r>
      <w:r w:rsidRPr="00621644">
        <w:rPr>
          <w:rFonts w:cstheme="minorHAnsi"/>
        </w:rPr>
        <w:t xml:space="preserve"> </w:t>
      </w:r>
    </w:p>
    <w:p w14:paraId="64BB4B96" w14:textId="49BD0CA0" w:rsidR="00267636" w:rsidRDefault="00267636" w:rsidP="00FC4017">
      <w:pPr>
        <w:spacing w:line="240" w:lineRule="auto"/>
        <w:jc w:val="both"/>
        <w:rPr>
          <w:rFonts w:cstheme="minorHAnsi"/>
        </w:rPr>
      </w:pPr>
      <w:r w:rsidRPr="00621644">
        <w:rPr>
          <w:rFonts w:cstheme="minorHAnsi"/>
        </w:rPr>
        <w:t>Byl zahájen proces</w:t>
      </w:r>
      <w:r>
        <w:rPr>
          <w:rFonts w:cstheme="minorHAnsi"/>
        </w:rPr>
        <w:t xml:space="preserve"> přípravy</w:t>
      </w:r>
      <w:r w:rsidRPr="00621644">
        <w:rPr>
          <w:rFonts w:cstheme="minorHAnsi"/>
        </w:rPr>
        <w:t xml:space="preserve"> </w:t>
      </w:r>
      <w:r w:rsidRPr="002B7023">
        <w:rPr>
          <w:rFonts w:cstheme="minorHAnsi"/>
          <w:b/>
          <w:bCs/>
        </w:rPr>
        <w:t>revize směrnice 2009/128/ES, ze dne 21. října 2009</w:t>
      </w:r>
      <w:r w:rsidRPr="00621644">
        <w:rPr>
          <w:rFonts w:cstheme="minorHAnsi"/>
          <w:bCs/>
        </w:rPr>
        <w:t xml:space="preserve">. </w:t>
      </w:r>
      <w:r w:rsidRPr="004501A0">
        <w:rPr>
          <w:rFonts w:cstheme="minorHAnsi"/>
          <w:bCs/>
        </w:rPr>
        <w:t>Od 29. května do 7. srpna</w:t>
      </w:r>
      <w:r>
        <w:rPr>
          <w:rFonts w:cstheme="minorHAnsi"/>
          <w:bCs/>
        </w:rPr>
        <w:t xml:space="preserve"> 2020</w:t>
      </w:r>
      <w:r w:rsidRPr="004501A0">
        <w:rPr>
          <w:rFonts w:cstheme="minorHAnsi"/>
          <w:bCs/>
        </w:rPr>
        <w:t xml:space="preserve"> probíhala veřejná konzultace k Roadmap revize, kam MZe zaslalo </w:t>
      </w:r>
      <w:r>
        <w:rPr>
          <w:rFonts w:cstheme="minorHAnsi"/>
          <w:bCs/>
        </w:rPr>
        <w:t xml:space="preserve">svůj </w:t>
      </w:r>
      <w:r w:rsidRPr="004501A0">
        <w:rPr>
          <w:rFonts w:cstheme="minorHAnsi"/>
          <w:bCs/>
        </w:rPr>
        <w:t>příspěvek.</w:t>
      </w:r>
      <w:r>
        <w:rPr>
          <w:rFonts w:cstheme="minorHAnsi"/>
          <w:bCs/>
        </w:rPr>
        <w:t xml:space="preserve"> </w:t>
      </w:r>
      <w:r w:rsidRPr="00027751">
        <w:rPr>
          <w:rFonts w:cstheme="minorHAnsi"/>
        </w:rPr>
        <w:t xml:space="preserve">MZe považuje za nezbytné zavést systém sledovatelnosti původu a pohybu </w:t>
      </w:r>
      <w:r>
        <w:rPr>
          <w:rFonts w:cstheme="minorHAnsi"/>
        </w:rPr>
        <w:t xml:space="preserve">POR </w:t>
      </w:r>
      <w:r w:rsidRPr="00027751">
        <w:rPr>
          <w:rFonts w:cstheme="minorHAnsi"/>
        </w:rPr>
        <w:t xml:space="preserve">na úrovni celé EU. Optimální by bylo zavedení systému, jaký již existuje pro distribuci tabákových výrobků. Celoevropské řešení bylo systémové a nejúčinnější. </w:t>
      </w:r>
    </w:p>
    <w:p w14:paraId="004FA83E" w14:textId="77777777" w:rsidR="00267636" w:rsidRPr="005B73C9" w:rsidRDefault="00267636" w:rsidP="00FC4017">
      <w:pPr>
        <w:spacing w:line="240" w:lineRule="auto"/>
        <w:jc w:val="both"/>
        <w:rPr>
          <w:rFonts w:cstheme="minorHAnsi"/>
        </w:rPr>
      </w:pPr>
      <w:r w:rsidRPr="005B73C9">
        <w:rPr>
          <w:rFonts w:cstheme="minorHAnsi"/>
        </w:rPr>
        <w:t xml:space="preserve">EK bylo vyjasněno, že cíle F2F nejsou stanoveny plošně pro všechny ČS, ale vztahují se na úroveň EU. Při jejich uplatnění by měly být brány v potaz podmínky jednotlivých ČS a jejich dosavadní úsilí. </w:t>
      </w:r>
    </w:p>
    <w:p w14:paraId="0AF5F179" w14:textId="77777777" w:rsidR="00267636" w:rsidRPr="00621644" w:rsidRDefault="00267636" w:rsidP="00FC4017">
      <w:pPr>
        <w:spacing w:line="240" w:lineRule="auto"/>
        <w:jc w:val="both"/>
        <w:rPr>
          <w:rFonts w:cstheme="minorHAnsi"/>
        </w:rPr>
      </w:pPr>
      <w:r w:rsidRPr="005B73C9">
        <w:rPr>
          <w:rFonts w:cstheme="minorHAnsi"/>
        </w:rPr>
        <w:t>Rozhodným rokem pro stanovení výchozí úrovně spotřeby je rok 2017</w:t>
      </w:r>
      <w:r>
        <w:rPr>
          <w:rFonts w:cstheme="minorHAnsi"/>
        </w:rPr>
        <w:t xml:space="preserve">. </w:t>
      </w:r>
    </w:p>
    <w:p w14:paraId="183D631D" w14:textId="77777777" w:rsidR="00267636" w:rsidRDefault="00267636" w:rsidP="00FC4017">
      <w:pPr>
        <w:spacing w:line="240" w:lineRule="auto"/>
        <w:jc w:val="both"/>
        <w:rPr>
          <w:rFonts w:cstheme="minorHAnsi"/>
        </w:rPr>
      </w:pPr>
      <w:r>
        <w:rPr>
          <w:rFonts w:cstheme="minorHAnsi"/>
        </w:rPr>
        <w:t xml:space="preserve">Podle studie, kterou zpracoval Ústav zemědělské ekonomiky a informací, se dají očekávat následující dopady na zemědělství: </w:t>
      </w:r>
    </w:p>
    <w:p w14:paraId="060FFB36" w14:textId="77777777" w:rsidR="00267636" w:rsidRPr="008B1B43" w:rsidRDefault="00267636" w:rsidP="00FC4017">
      <w:pPr>
        <w:autoSpaceDE w:val="0"/>
        <w:autoSpaceDN w:val="0"/>
        <w:adjustRightInd w:val="0"/>
        <w:spacing w:line="240" w:lineRule="auto"/>
        <w:jc w:val="both"/>
        <w:rPr>
          <w:rFonts w:cs="Calibri"/>
        </w:rPr>
      </w:pPr>
      <w:r w:rsidRPr="00E85B33">
        <w:rPr>
          <w:rFonts w:cs="Calibri"/>
          <w:color w:val="000000"/>
        </w:rPr>
        <w:t xml:space="preserve">i. Snížení </w:t>
      </w:r>
      <w:r w:rsidRPr="008B1B43">
        <w:rPr>
          <w:rFonts w:cs="Calibri"/>
        </w:rPr>
        <w:t>produkce RV a ŽV o desítky procent. Možné větší snížení je signalizováno u chmele, u ovoce a zeleniny a u květin.</w:t>
      </w:r>
    </w:p>
    <w:p w14:paraId="2E250D3D" w14:textId="77777777" w:rsidR="00267636" w:rsidRPr="00E85B33" w:rsidRDefault="00267636" w:rsidP="00FC4017">
      <w:pPr>
        <w:autoSpaceDE w:val="0"/>
        <w:autoSpaceDN w:val="0"/>
        <w:adjustRightInd w:val="0"/>
        <w:spacing w:line="240" w:lineRule="auto"/>
        <w:jc w:val="both"/>
        <w:rPr>
          <w:rFonts w:cs="Calibri"/>
          <w:color w:val="000000"/>
        </w:rPr>
      </w:pPr>
      <w:r w:rsidRPr="008B1B43">
        <w:rPr>
          <w:rFonts w:cs="Calibri"/>
        </w:rPr>
        <w:t xml:space="preserve">ii. Zvýšení nákladů RV a ŽV o </w:t>
      </w:r>
      <w:r w:rsidRPr="008B1B43">
        <w:rPr>
          <w:rFonts w:cs="Calibri,Bold"/>
          <w:bCs/>
        </w:rPr>
        <w:t>desítky procent</w:t>
      </w:r>
      <w:r w:rsidRPr="008B1B43">
        <w:rPr>
          <w:rFonts w:cs="Calibri"/>
        </w:rPr>
        <w:t xml:space="preserve"> při </w:t>
      </w:r>
      <w:r w:rsidRPr="00E85B33">
        <w:rPr>
          <w:rFonts w:cs="Calibri"/>
          <w:color w:val="000000"/>
        </w:rPr>
        <w:t>uvažování snížení vstupů a zvýšení</w:t>
      </w:r>
      <w:r>
        <w:rPr>
          <w:rFonts w:cs="Calibri"/>
          <w:color w:val="000000"/>
        </w:rPr>
        <w:t xml:space="preserve"> </w:t>
      </w:r>
      <w:r w:rsidRPr="00E85B33">
        <w:rPr>
          <w:rFonts w:cs="Calibri"/>
          <w:color w:val="000000"/>
        </w:rPr>
        <w:t>ostatních nákladů.</w:t>
      </w:r>
    </w:p>
    <w:p w14:paraId="5E79AB59" w14:textId="77777777" w:rsidR="00267636" w:rsidRPr="003D52C0" w:rsidRDefault="00267636" w:rsidP="00FC4017">
      <w:pPr>
        <w:spacing w:line="240" w:lineRule="auto"/>
        <w:jc w:val="both"/>
        <w:rPr>
          <w:rFonts w:cstheme="minorHAnsi"/>
        </w:rPr>
      </w:pPr>
      <w:r w:rsidRPr="00E85B33">
        <w:rPr>
          <w:rFonts w:cs="Calibri"/>
          <w:color w:val="000000"/>
        </w:rPr>
        <w:t>iii. Zvýšení SC potravin podle komo</w:t>
      </w:r>
      <w:r>
        <w:rPr>
          <w:rFonts w:cs="Calibri"/>
          <w:color w:val="000000"/>
        </w:rPr>
        <w:t>dit, nejvíce u ovoce a zeleniny.</w:t>
      </w:r>
    </w:p>
    <w:p w14:paraId="59AC8727" w14:textId="77777777" w:rsidR="00267636" w:rsidRPr="00621644" w:rsidRDefault="00267636" w:rsidP="00FC4017">
      <w:pPr>
        <w:spacing w:line="240" w:lineRule="auto"/>
        <w:jc w:val="both"/>
        <w:rPr>
          <w:rFonts w:cstheme="minorHAnsi"/>
        </w:rPr>
      </w:pPr>
      <w:r>
        <w:rPr>
          <w:rFonts w:cstheme="minorHAnsi"/>
          <w:bCs/>
          <w:u w:val="single"/>
        </w:rPr>
        <w:t>ČR</w:t>
      </w:r>
      <w:r w:rsidRPr="00621644">
        <w:rPr>
          <w:rFonts w:cstheme="minorHAnsi"/>
          <w:bCs/>
        </w:rPr>
        <w:t xml:space="preserve"> </w:t>
      </w:r>
      <w:r>
        <w:rPr>
          <w:rFonts w:cstheme="minorHAnsi"/>
          <w:bCs/>
        </w:rPr>
        <w:t>r</w:t>
      </w:r>
      <w:r w:rsidRPr="00621644">
        <w:rPr>
          <w:rFonts w:cstheme="minorHAnsi"/>
          <w:bCs/>
        </w:rPr>
        <w:t xml:space="preserve">evizi vítá, z pohledu MZe je revize SUD nezbytná, protože směrnice neplní svoji roli a cíle, kterých mělo </w:t>
      </w:r>
      <w:r>
        <w:rPr>
          <w:rFonts w:cstheme="minorHAnsi"/>
          <w:bCs/>
        </w:rPr>
        <w:t xml:space="preserve">být </w:t>
      </w:r>
      <w:r w:rsidRPr="00621644">
        <w:rPr>
          <w:rFonts w:cstheme="minorHAnsi"/>
          <w:bCs/>
        </w:rPr>
        <w:t>jejím prostřednictvím</w:t>
      </w:r>
      <w:r>
        <w:rPr>
          <w:rFonts w:cstheme="minorHAnsi"/>
          <w:bCs/>
        </w:rPr>
        <w:t xml:space="preserve"> </w:t>
      </w:r>
      <w:r w:rsidRPr="00621644">
        <w:rPr>
          <w:rFonts w:cstheme="minorHAnsi"/>
          <w:bCs/>
        </w:rPr>
        <w:t xml:space="preserve">dosaženo. Současně </w:t>
      </w:r>
      <w:r w:rsidRPr="00621644">
        <w:rPr>
          <w:rFonts w:cstheme="minorHAnsi"/>
        </w:rPr>
        <w:t>nesouhlasíme s navrženým snížením používání pesticidů o 50 % plošně ve všech členských státech.</w:t>
      </w:r>
    </w:p>
    <w:p w14:paraId="5AED6BD2" w14:textId="77777777" w:rsidR="00FC4017" w:rsidRPr="00621644" w:rsidRDefault="00FC4017" w:rsidP="00FC4017">
      <w:pPr>
        <w:spacing w:line="240" w:lineRule="auto"/>
        <w:ind w:left="720" w:hanging="360"/>
        <w:jc w:val="both"/>
        <w:rPr>
          <w:rFonts w:cstheme="minorHAnsi"/>
        </w:rPr>
      </w:pPr>
    </w:p>
    <w:p w14:paraId="3C8697CF" w14:textId="27F34A5C" w:rsidR="00267636" w:rsidRDefault="00267636" w:rsidP="00FC4017">
      <w:pPr>
        <w:spacing w:line="240" w:lineRule="auto"/>
        <w:jc w:val="both"/>
        <w:rPr>
          <w:rFonts w:cstheme="minorHAnsi"/>
          <w:b/>
          <w:bCs/>
          <w:i/>
        </w:rPr>
      </w:pPr>
      <w:r w:rsidRPr="00FB2788">
        <w:rPr>
          <w:rFonts w:cstheme="minorHAnsi"/>
          <w:b/>
          <w:bCs/>
          <w:i/>
        </w:rPr>
        <w:t xml:space="preserve">Snížit celkové prodeje antimikrobiálních látek používaných pro hospodářská zvířata </w:t>
      </w:r>
      <w:r w:rsidRPr="00FB2788">
        <w:rPr>
          <w:rFonts w:cstheme="minorHAnsi"/>
          <w:b/>
          <w:bCs/>
          <w:i/>
        </w:rPr>
        <w:br/>
        <w:t>a akvakulturu v EU o 50 % do roku 2030</w:t>
      </w:r>
    </w:p>
    <w:p w14:paraId="127AA536" w14:textId="6D67CB2C" w:rsidR="00267636" w:rsidRPr="00F66E84" w:rsidRDefault="00267636" w:rsidP="00FC4017">
      <w:pPr>
        <w:spacing w:line="240" w:lineRule="auto"/>
        <w:jc w:val="both"/>
        <w:rPr>
          <w:rFonts w:cstheme="minorHAnsi"/>
        </w:rPr>
      </w:pPr>
      <w:r w:rsidRPr="00F66E84">
        <w:rPr>
          <w:rFonts w:cstheme="minorHAnsi"/>
        </w:rPr>
        <w:t xml:space="preserve">Opatření, mechanizmy a akce jsou definovány </w:t>
      </w:r>
      <w:r w:rsidRPr="002B7023">
        <w:rPr>
          <w:rFonts w:cstheme="minorHAnsi"/>
          <w:b/>
          <w:bCs/>
        </w:rPr>
        <w:t xml:space="preserve">Akčním plánem Národního antibiotického programu </w:t>
      </w:r>
      <w:r w:rsidR="003372C8" w:rsidRPr="002B7023">
        <w:rPr>
          <w:rFonts w:cstheme="minorHAnsi"/>
          <w:b/>
          <w:bCs/>
        </w:rPr>
        <w:t>2019–2022</w:t>
      </w:r>
      <w:r w:rsidRPr="002B7023">
        <w:rPr>
          <w:rFonts w:cstheme="minorHAnsi"/>
          <w:b/>
          <w:bCs/>
        </w:rPr>
        <w:t xml:space="preserve"> (AP NAP)</w:t>
      </w:r>
      <w:r w:rsidR="002B7023">
        <w:rPr>
          <w:rFonts w:cstheme="minorHAnsi"/>
        </w:rPr>
        <w:t xml:space="preserve"> - </w:t>
      </w:r>
      <w:r w:rsidRPr="00F66E84">
        <w:rPr>
          <w:rFonts w:cstheme="minorHAnsi"/>
        </w:rPr>
        <w:t>navržena konkrétní realizační opatření s delegovanými úkoly na jednotlivé účastníky</w:t>
      </w:r>
      <w:r>
        <w:rPr>
          <w:rFonts w:cstheme="minorHAnsi"/>
        </w:rPr>
        <w:t xml:space="preserve">, </w:t>
      </w:r>
      <w:r w:rsidRPr="00CA3C7B">
        <w:rPr>
          <w:rFonts w:cstheme="minorHAnsi"/>
        </w:rPr>
        <w:t>kter</w:t>
      </w:r>
      <w:r>
        <w:rPr>
          <w:rFonts w:cstheme="minorHAnsi"/>
        </w:rPr>
        <w:t>á</w:t>
      </w:r>
      <w:r w:rsidRPr="00CA3C7B">
        <w:rPr>
          <w:rFonts w:cstheme="minorHAnsi"/>
        </w:rPr>
        <w:t xml:space="preserve"> přispějí ke splnění cílů strategie v oblasti omezení používání antimikrobiálních látek u hospodářských zvířat, a to například formou podpory vakcinace prasat a kura domácího. </w:t>
      </w:r>
      <w:r w:rsidRPr="00CA3C7B">
        <w:rPr>
          <w:rFonts w:eastAsia="Calibri" w:cstheme="minorHAnsi"/>
          <w:bCs/>
          <w:lang w:eastAsia="cs-CZ"/>
        </w:rPr>
        <w:t>Vakcíny proti virovým onemocněním pomáhají snižovat spotřebu ATB.</w:t>
      </w:r>
    </w:p>
    <w:p w14:paraId="3289031F" w14:textId="4547C90B" w:rsidR="00267636" w:rsidRPr="00F66E84" w:rsidRDefault="00267636" w:rsidP="00FC4017">
      <w:pPr>
        <w:spacing w:line="240" w:lineRule="auto"/>
        <w:jc w:val="both"/>
        <w:rPr>
          <w:rFonts w:cstheme="minorHAnsi"/>
          <w:bCs/>
          <w:color w:val="000000"/>
        </w:rPr>
      </w:pPr>
      <w:r w:rsidRPr="00F66E84">
        <w:rPr>
          <w:rFonts w:cstheme="minorHAnsi"/>
        </w:rPr>
        <w:lastRenderedPageBreak/>
        <w:t xml:space="preserve">V současné době již probíhá </w:t>
      </w:r>
      <w:r w:rsidRPr="002B7023">
        <w:rPr>
          <w:rFonts w:cstheme="minorHAnsi"/>
          <w:b/>
          <w:bCs/>
          <w:color w:val="000000" w:themeColor="text1"/>
        </w:rPr>
        <w:t xml:space="preserve">novelizace zákona č. 378/2007 Sb., </w:t>
      </w:r>
      <w:r w:rsidRPr="002B7023">
        <w:rPr>
          <w:b/>
          <w:bCs/>
          <w:color w:val="000000" w:themeColor="text1"/>
        </w:rPr>
        <w:t>o léčivech</w:t>
      </w:r>
      <w:r w:rsidRPr="002B7023">
        <w:rPr>
          <w:color w:val="000000" w:themeColor="text1"/>
        </w:rPr>
        <w:t xml:space="preserve"> </w:t>
      </w:r>
      <w:r>
        <w:rPr>
          <w:color w:val="000000"/>
        </w:rPr>
        <w:t xml:space="preserve">a o změnách některých souvisejících zákonů (zákon o léčivech), ve znění pozdějších předpisů </w:t>
      </w:r>
      <w:r w:rsidRPr="00F66E84">
        <w:rPr>
          <w:rFonts w:cstheme="minorHAnsi"/>
        </w:rPr>
        <w:t>a jeho prováděcích předpisů, který bude obsahovat jednak ustanovení adekvátní přímo implementovatelný</w:t>
      </w:r>
      <w:r>
        <w:rPr>
          <w:rFonts w:cstheme="minorHAnsi"/>
        </w:rPr>
        <w:t>m</w:t>
      </w:r>
      <w:r w:rsidRPr="00F66E84">
        <w:rPr>
          <w:rFonts w:cstheme="minorHAnsi"/>
        </w:rPr>
        <w:t xml:space="preserve"> předpisů</w:t>
      </w:r>
      <w:r>
        <w:rPr>
          <w:rFonts w:cstheme="minorHAnsi"/>
        </w:rPr>
        <w:t>m</w:t>
      </w:r>
      <w:r w:rsidRPr="00F66E84">
        <w:rPr>
          <w:rFonts w:cstheme="minorHAnsi"/>
        </w:rPr>
        <w:t xml:space="preserve"> (nařízení 2019/6/EU o veterinárních léčivých přípravcích a nařízení (EU) 2019/4 o medikovaných krmivech) a vybraná ustanovení zpřísňující podmínky používání antimikrob</w:t>
      </w:r>
      <w:r>
        <w:rPr>
          <w:rFonts w:cstheme="minorHAnsi"/>
        </w:rPr>
        <w:t>iál</w:t>
      </w:r>
      <w:r w:rsidRPr="00F66E84">
        <w:rPr>
          <w:rFonts w:cstheme="minorHAnsi"/>
        </w:rPr>
        <w:t xml:space="preserve">ních veterinárních léčivých přípravcích, která jsou dle nového nařízení v kompetenci každého členského státu. </w:t>
      </w:r>
    </w:p>
    <w:p w14:paraId="1AF65649" w14:textId="77777777" w:rsidR="00267636" w:rsidRPr="00621644" w:rsidRDefault="00267636" w:rsidP="00FC4017">
      <w:pPr>
        <w:spacing w:line="240" w:lineRule="auto"/>
        <w:jc w:val="both"/>
        <w:rPr>
          <w:rFonts w:cstheme="minorHAnsi"/>
          <w:b/>
          <w:bCs/>
          <w:color w:val="000000"/>
        </w:rPr>
      </w:pPr>
      <w:r w:rsidRPr="00F66E84">
        <w:rPr>
          <w:rFonts w:cstheme="minorHAnsi"/>
        </w:rPr>
        <w:t>Dle R</w:t>
      </w:r>
      <w:r>
        <w:rPr>
          <w:rFonts w:cstheme="minorHAnsi"/>
        </w:rPr>
        <w:t xml:space="preserve">ámcové </w:t>
      </w:r>
      <w:r w:rsidRPr="00F66E84">
        <w:rPr>
          <w:rFonts w:cstheme="minorHAnsi"/>
        </w:rPr>
        <w:t>P</w:t>
      </w:r>
      <w:r>
        <w:rPr>
          <w:rFonts w:cstheme="minorHAnsi"/>
        </w:rPr>
        <w:t>ozice</w:t>
      </w:r>
      <w:r w:rsidRPr="00F66E84">
        <w:rPr>
          <w:rFonts w:cstheme="minorHAnsi"/>
        </w:rPr>
        <w:t xml:space="preserve"> ČR bude dopady cílů nutné podrobit dopadovým studiím na úrovni EU i ČS, široké mezirezortní a veřejné diskuzi a analyzovat specifické dopady na ČR, tzn. konkrétní vyčíslení</w:t>
      </w:r>
      <w:r>
        <w:rPr>
          <w:rFonts w:cstheme="minorHAnsi"/>
        </w:rPr>
        <w:t xml:space="preserve"> nákladů</w:t>
      </w:r>
      <w:r w:rsidRPr="00F66E84">
        <w:rPr>
          <w:rFonts w:cstheme="minorHAnsi"/>
        </w:rPr>
        <w:t xml:space="preserve"> bude možné </w:t>
      </w:r>
      <w:r>
        <w:rPr>
          <w:rFonts w:cstheme="minorHAnsi"/>
        </w:rPr>
        <w:t>až po provedení těchto studií</w:t>
      </w:r>
      <w:r w:rsidRPr="00F66E84">
        <w:rPr>
          <w:rFonts w:cstheme="minorHAnsi"/>
        </w:rPr>
        <w:t>.</w:t>
      </w:r>
      <w:r w:rsidRPr="00621644">
        <w:rPr>
          <w:rFonts w:cstheme="minorHAnsi"/>
        </w:rPr>
        <w:t xml:space="preserve"> </w:t>
      </w:r>
    </w:p>
    <w:p w14:paraId="27A0A849" w14:textId="13CD4D68" w:rsidR="00267636" w:rsidRPr="00621644" w:rsidRDefault="00267636" w:rsidP="00FC4017">
      <w:pPr>
        <w:spacing w:line="240" w:lineRule="auto"/>
        <w:jc w:val="both"/>
        <w:rPr>
          <w:rFonts w:cstheme="minorHAnsi"/>
        </w:rPr>
      </w:pPr>
      <w:r w:rsidRPr="00621644">
        <w:rPr>
          <w:rFonts w:cstheme="minorHAnsi"/>
        </w:rPr>
        <w:t>Česká republika již zredukovala používání antimikrobik od roku 2008 do roku 2018 o 50 % (v mg/PCU, tj. mg celkově použitých antimikrob</w:t>
      </w:r>
      <w:r>
        <w:rPr>
          <w:rFonts w:cstheme="minorHAnsi"/>
        </w:rPr>
        <w:t>iál</w:t>
      </w:r>
      <w:r w:rsidRPr="00621644">
        <w:rPr>
          <w:rFonts w:cstheme="minorHAnsi"/>
        </w:rPr>
        <w:t xml:space="preserve">ních látek v ČR vztažené na jednotku populace chovaných hospodářských zvířat vypočtenou podle jednotné metodiky EU). </w:t>
      </w:r>
    </w:p>
    <w:p w14:paraId="5964BDAD" w14:textId="77777777" w:rsidR="00267636" w:rsidRPr="00621644" w:rsidRDefault="00267636" w:rsidP="00FC4017">
      <w:pPr>
        <w:spacing w:line="240" w:lineRule="auto"/>
        <w:jc w:val="both"/>
        <w:rPr>
          <w:rFonts w:cstheme="minorHAnsi"/>
        </w:rPr>
      </w:pPr>
      <w:r w:rsidRPr="00621644">
        <w:rPr>
          <w:rFonts w:cstheme="minorHAnsi"/>
        </w:rPr>
        <w:t xml:space="preserve">ČR je tak výrazně pod průměrem EU ve spotřebách antimikrobik (data 2017, ČR 63,6 mg/PCU; EU průměr 107,0 mg/PCU). </w:t>
      </w:r>
    </w:p>
    <w:p w14:paraId="08CD88CB" w14:textId="41ED7CF7" w:rsidR="00267636" w:rsidRPr="00621644" w:rsidRDefault="00267636" w:rsidP="00FC4017">
      <w:pPr>
        <w:spacing w:line="240" w:lineRule="auto"/>
        <w:jc w:val="both"/>
        <w:rPr>
          <w:rFonts w:cstheme="minorHAnsi"/>
          <w:b/>
          <w:bCs/>
          <w:color w:val="000000"/>
        </w:rPr>
      </w:pPr>
      <w:r w:rsidRPr="00621644">
        <w:rPr>
          <w:rFonts w:cstheme="minorHAnsi"/>
          <w:bCs/>
          <w:u w:val="single"/>
        </w:rPr>
        <w:t>ČR</w:t>
      </w:r>
      <w:r>
        <w:rPr>
          <w:rFonts w:cstheme="minorHAnsi"/>
          <w:bCs/>
          <w:u w:val="single"/>
        </w:rPr>
        <w:t xml:space="preserve"> </w:t>
      </w:r>
      <w:r w:rsidRPr="00621644">
        <w:rPr>
          <w:rFonts w:cstheme="minorHAnsi"/>
        </w:rPr>
        <w:t xml:space="preserve">podporuje racionální a odůvodněné snižování spotřeby antimikrobik, které však musí být doprovázeno adekvátními opatřeními (včetně jejich profinancování) pro udržení dobrého zdravotního stavu a welfare chovaných zvířat. </w:t>
      </w:r>
      <w:r w:rsidRPr="000B5935">
        <w:rPr>
          <w:rFonts w:cstheme="minorHAnsi"/>
          <w:b/>
          <w:bCs/>
        </w:rPr>
        <w:t>ČR nesouhlasí s tlakem na další snížení prodejů antimikrobik</w:t>
      </w:r>
      <w:r w:rsidRPr="00621644">
        <w:rPr>
          <w:rFonts w:cstheme="minorHAnsi"/>
        </w:rPr>
        <w:t xml:space="preserve"> </w:t>
      </w:r>
      <w:r w:rsidRPr="000B5935">
        <w:rPr>
          <w:rFonts w:cstheme="minorHAnsi"/>
          <w:b/>
          <w:bCs/>
        </w:rPr>
        <w:t>v rámci ČR o 50 %,</w:t>
      </w:r>
      <w:r w:rsidRPr="00621644">
        <w:rPr>
          <w:rFonts w:cstheme="minorHAnsi"/>
        </w:rPr>
        <w:t xml:space="preserve"> ale spíše s re</w:t>
      </w:r>
      <w:r>
        <w:rPr>
          <w:rFonts w:cstheme="minorHAnsi"/>
        </w:rPr>
        <w:t>álnými</w:t>
      </w:r>
      <w:r w:rsidRPr="00621644">
        <w:rPr>
          <w:rFonts w:cstheme="minorHAnsi"/>
        </w:rPr>
        <w:t xml:space="preserve"> limity snížení (na 50 mg/PCU, snížení u kriticky významných antimikrobik).</w:t>
      </w:r>
    </w:p>
    <w:p w14:paraId="50057949" w14:textId="77777777" w:rsidR="00267636" w:rsidRDefault="00267636" w:rsidP="00FC4017">
      <w:pPr>
        <w:spacing w:line="240" w:lineRule="auto"/>
        <w:jc w:val="both"/>
        <w:rPr>
          <w:rFonts w:cstheme="minorHAnsi"/>
        </w:rPr>
      </w:pPr>
      <w:r>
        <w:rPr>
          <w:rFonts w:cstheme="minorHAnsi"/>
        </w:rPr>
        <w:t xml:space="preserve">Podle studie, kterou zpracoval Ústav zemědělské ekonomiky a informací, se dají očekávat následující dopady na zemědělství: </w:t>
      </w:r>
    </w:p>
    <w:p w14:paraId="7D0ABF6E" w14:textId="77777777" w:rsidR="00267636" w:rsidRPr="008B1B43" w:rsidRDefault="00267636" w:rsidP="00FC4017">
      <w:pPr>
        <w:autoSpaceDE w:val="0"/>
        <w:autoSpaceDN w:val="0"/>
        <w:adjustRightInd w:val="0"/>
        <w:spacing w:line="240" w:lineRule="auto"/>
        <w:jc w:val="both"/>
        <w:rPr>
          <w:rFonts w:cs="Calibri,Bold"/>
          <w:bCs/>
        </w:rPr>
      </w:pPr>
      <w:r w:rsidRPr="00E85B33">
        <w:rPr>
          <w:rFonts w:cs="Calibri"/>
          <w:color w:val="000000"/>
        </w:rPr>
        <w:t xml:space="preserve">i. </w:t>
      </w:r>
      <w:r w:rsidRPr="008B1B43">
        <w:rPr>
          <w:rFonts w:cs="Calibri"/>
        </w:rPr>
        <w:t>Snížení produkce ŽV</w:t>
      </w:r>
    </w:p>
    <w:p w14:paraId="205EDDF7" w14:textId="77777777" w:rsidR="00267636" w:rsidRPr="008B1B43" w:rsidRDefault="00267636" w:rsidP="00FC4017">
      <w:pPr>
        <w:autoSpaceDE w:val="0"/>
        <w:autoSpaceDN w:val="0"/>
        <w:adjustRightInd w:val="0"/>
        <w:spacing w:line="240" w:lineRule="auto"/>
        <w:jc w:val="both"/>
        <w:rPr>
          <w:rFonts w:cs="Calibri,Bold"/>
          <w:bCs/>
        </w:rPr>
      </w:pPr>
      <w:r w:rsidRPr="008B1B43">
        <w:rPr>
          <w:rFonts w:cs="Calibri"/>
        </w:rPr>
        <w:t>ii. Zvýšení nákladů ŽV</w:t>
      </w:r>
    </w:p>
    <w:p w14:paraId="72762212" w14:textId="77777777" w:rsidR="00267636" w:rsidRPr="00E85B33" w:rsidRDefault="00267636" w:rsidP="00FC4017">
      <w:pPr>
        <w:spacing w:line="240" w:lineRule="auto"/>
        <w:jc w:val="both"/>
        <w:rPr>
          <w:rFonts w:cstheme="minorHAnsi"/>
        </w:rPr>
      </w:pPr>
      <w:r w:rsidRPr="008B1B43">
        <w:rPr>
          <w:rFonts w:cs="Calibri"/>
        </w:rPr>
        <w:t xml:space="preserve">iii. Minimální dopady do </w:t>
      </w:r>
      <w:r w:rsidRPr="00E85B33">
        <w:rPr>
          <w:rFonts w:cs="Calibri"/>
          <w:color w:val="000000"/>
        </w:rPr>
        <w:t>SC cen potravin</w:t>
      </w:r>
      <w:r w:rsidRPr="00E85B33">
        <w:rPr>
          <w:rFonts w:cstheme="minorHAnsi"/>
        </w:rPr>
        <w:t xml:space="preserve"> </w:t>
      </w:r>
    </w:p>
    <w:p w14:paraId="3D170007" w14:textId="14EBA313" w:rsidR="00267636" w:rsidRPr="009F3F14" w:rsidRDefault="00267636" w:rsidP="00FC4017">
      <w:pPr>
        <w:spacing w:line="240" w:lineRule="auto"/>
        <w:jc w:val="both"/>
        <w:rPr>
          <w:rFonts w:cstheme="minorHAnsi"/>
          <w:b/>
          <w:bCs/>
          <w:i/>
          <w:iCs/>
        </w:rPr>
      </w:pPr>
      <w:r w:rsidRPr="009F3F14">
        <w:rPr>
          <w:rFonts w:cstheme="minorHAnsi"/>
          <w:b/>
          <w:bCs/>
          <w:i/>
          <w:iCs/>
        </w:rPr>
        <w:t>Doplnění ke klíčovému opatření: redukce úniku živin a hnojiv</w:t>
      </w:r>
    </w:p>
    <w:p w14:paraId="3668E389" w14:textId="1013D148" w:rsidR="00267636" w:rsidRPr="00621644" w:rsidRDefault="00267636" w:rsidP="00FC4017">
      <w:pPr>
        <w:spacing w:line="240" w:lineRule="auto"/>
        <w:jc w:val="both"/>
        <w:rPr>
          <w:rFonts w:cstheme="minorHAnsi"/>
        </w:rPr>
      </w:pPr>
      <w:r w:rsidRPr="00621644">
        <w:rPr>
          <w:rFonts w:cstheme="minorHAnsi"/>
        </w:rPr>
        <w:t>Komise indikovala svůj záměr předložit v roce 2021 Akční plán pro integrované hospodaření s živinami. Cíle</w:t>
      </w:r>
      <w:r>
        <w:rPr>
          <w:rFonts w:cstheme="minorHAnsi"/>
        </w:rPr>
        <w:t xml:space="preserve">m </w:t>
      </w:r>
      <w:r w:rsidRPr="00621644">
        <w:rPr>
          <w:rFonts w:cstheme="minorHAnsi"/>
        </w:rPr>
        <w:t xml:space="preserve">Komise je snížit únik živin alespoň o 50 %, aby zároveň nedošlo ke zhoršení úrodnosti půdy. </w:t>
      </w:r>
      <w:r w:rsidR="000B5935">
        <w:rPr>
          <w:rFonts w:cstheme="minorHAnsi"/>
        </w:rPr>
        <w:t>D</w:t>
      </w:r>
      <w:r w:rsidRPr="00621644">
        <w:rPr>
          <w:rFonts w:cstheme="minorHAnsi"/>
        </w:rPr>
        <w:t xml:space="preserve">le Komise </w:t>
      </w:r>
      <w:r w:rsidR="000B5935">
        <w:rPr>
          <w:rFonts w:cstheme="minorHAnsi"/>
        </w:rPr>
        <w:t xml:space="preserve">by se </w:t>
      </w:r>
      <w:r w:rsidRPr="00621644">
        <w:rPr>
          <w:rFonts w:cstheme="minorHAnsi"/>
        </w:rPr>
        <w:t>mělo do roku 2030 omezit používání hnojiv alespoň o 20 %. Komise bude rovněž spolupracovat s členskými státy na rozšíření uplatňování technik hnojení a udržitelných zemědělských postupů, zejména v oblastech s intenzivním chovem hospodářských zvířat, a recyklace organického odpadu na hnojiva z obnovitelných zdrojů.</w:t>
      </w:r>
    </w:p>
    <w:p w14:paraId="1F65A8C6" w14:textId="64466CDE" w:rsidR="000B5935" w:rsidRPr="00B832B1" w:rsidRDefault="00267636" w:rsidP="00FC4017">
      <w:pPr>
        <w:spacing w:line="240" w:lineRule="auto"/>
        <w:jc w:val="both"/>
        <w:rPr>
          <w:rFonts w:cstheme="minorHAnsi"/>
          <w:b/>
        </w:rPr>
      </w:pPr>
      <w:r w:rsidRPr="000B5935">
        <w:rPr>
          <w:rFonts w:cstheme="minorHAnsi"/>
          <w:b/>
        </w:rPr>
        <w:t>ČR s návrhem případného plošného snížení používání hnojiv o 20 % na úrovni ČS nesouhlasí</w:t>
      </w:r>
      <w:r w:rsidRPr="00621644">
        <w:rPr>
          <w:rFonts w:cstheme="minorHAnsi"/>
          <w:bCs/>
        </w:rPr>
        <w:t xml:space="preserve">. Snahou ČR je zajistit používání hnojiv v zemědělství pouze v nezbytně nutné míře, a tak zároveň minimalizovat možné riziko jejich úniku. Spotřeba hnojiv je v ČR pod průměrem EU, paušální snížení by znevýhodnilo některé členské státy, včetně </w:t>
      </w:r>
      <w:r w:rsidR="005B3AF9" w:rsidRPr="00621644">
        <w:rPr>
          <w:rFonts w:cstheme="minorHAnsi"/>
          <w:bCs/>
        </w:rPr>
        <w:t>ČR</w:t>
      </w:r>
      <w:r w:rsidR="005B3AF9">
        <w:rPr>
          <w:rFonts w:cstheme="minorHAnsi"/>
          <w:bCs/>
        </w:rPr>
        <w:t xml:space="preserve"> – přihlédnout</w:t>
      </w:r>
      <w:r w:rsidRPr="00621644">
        <w:rPr>
          <w:rFonts w:cstheme="minorHAnsi"/>
          <w:bCs/>
        </w:rPr>
        <w:t xml:space="preserve"> k místním poměrům v jednotlivých členských státech. Největší redukci mají provést ČS s nejvyšší spotřebou hnojiv na hektar zemědělské půdy. Průměrně je v EU aplikováno hnojivy 136 kg/ha dusíku, nejvyšší dávky jsou aplikovány v Nizozemsku (369 kg/ha), Belgii (309 kg/ha) a na Maltě (267 kg/ha).  Naopak nejnižší dávky jsou využívány v Rumunsku (65 kg/ha) a v Estonsku (74 kg/ha). </w:t>
      </w:r>
      <w:r w:rsidRPr="000B5935">
        <w:rPr>
          <w:rFonts w:cstheme="minorHAnsi"/>
          <w:b/>
        </w:rPr>
        <w:t xml:space="preserve">V ČR se hnojiv aplikuje mírně nad průměrem EU, konkrétně 164 kg/ha. ČR </w:t>
      </w:r>
      <w:proofErr w:type="gramStart"/>
      <w:r w:rsidR="003372C8" w:rsidRPr="000B5935">
        <w:rPr>
          <w:rFonts w:cstheme="minorHAnsi"/>
          <w:b/>
        </w:rPr>
        <w:t>spíše,</w:t>
      </w:r>
      <w:proofErr w:type="gramEnd"/>
      <w:r w:rsidRPr="000B5935">
        <w:rPr>
          <w:rFonts w:cstheme="minorHAnsi"/>
          <w:b/>
        </w:rPr>
        <w:t xml:space="preserve"> než absolutní snižování spotřeby živin podporuje preferenci vhodné formy aplikace živin</w:t>
      </w:r>
      <w:r w:rsidRPr="00621644">
        <w:rPr>
          <w:rFonts w:cstheme="minorHAnsi"/>
          <w:bCs/>
        </w:rPr>
        <w:t xml:space="preserve">, </w:t>
      </w:r>
      <w:r w:rsidRPr="000B5935">
        <w:rPr>
          <w:rFonts w:cstheme="minorHAnsi"/>
          <w:b/>
        </w:rPr>
        <w:t>vyvážené hnojení a bilanci živin, která by byla co nejblíže nule, a to s využitím moderních technologií jako precizního zemědělství a digitálních prvků.</w:t>
      </w:r>
      <w:r w:rsidRPr="00621644">
        <w:rPr>
          <w:rFonts w:cstheme="minorHAnsi"/>
          <w:bCs/>
        </w:rPr>
        <w:t xml:space="preserve"> </w:t>
      </w:r>
      <w:r w:rsidR="005B3AF9" w:rsidRPr="00621644">
        <w:rPr>
          <w:rFonts w:cstheme="minorHAnsi"/>
          <w:bCs/>
        </w:rPr>
        <w:t xml:space="preserve">ČR </w:t>
      </w:r>
      <w:r w:rsidR="005B3AF9">
        <w:rPr>
          <w:rFonts w:cstheme="minorHAnsi"/>
          <w:bCs/>
        </w:rPr>
        <w:t>– snížení</w:t>
      </w:r>
      <w:r w:rsidRPr="00621644">
        <w:rPr>
          <w:rFonts w:cstheme="minorHAnsi"/>
          <w:bCs/>
        </w:rPr>
        <w:t xml:space="preserve"> aplikace kvalitních organických hnojiv může mít negativní dopad na udržování vyrovnané či pozitivní bilance organické složky v půdě a jde tak o kontradikci s řešením obnovy půdních ekosystémů v této strategii. </w:t>
      </w:r>
      <w:r w:rsidRPr="000B5935">
        <w:rPr>
          <w:rFonts w:cstheme="minorHAnsi"/>
          <w:b/>
        </w:rPr>
        <w:t xml:space="preserve">Novela zákona č.156/1998 Sb. o hnojivech zavádí povinnost elektronické evidence, na základě, které bude možno zjistit, jaké </w:t>
      </w:r>
      <w:r w:rsidRPr="000B5935">
        <w:rPr>
          <w:rFonts w:cstheme="minorHAnsi"/>
          <w:b/>
        </w:rPr>
        <w:lastRenderedPageBreak/>
        <w:t>množství hnojiv je aplikováno. V rámci NV č. 262/2012 Sb., o stanovení zranitelných oblastí a akčním programu, již nyní platí limity dusíku k plodinám</w:t>
      </w:r>
      <w:r w:rsidRPr="00621644">
        <w:rPr>
          <w:rFonts w:cstheme="minorHAnsi"/>
          <w:bCs/>
        </w:rPr>
        <w:t>, to se týká cca 50 % výměry ZPF a na této ploše bude toto kontrolováno.</w:t>
      </w:r>
      <w:r w:rsidR="000B5935">
        <w:rPr>
          <w:rFonts w:cstheme="minorHAnsi"/>
          <w:bCs/>
        </w:rPr>
        <w:t xml:space="preserve"> </w:t>
      </w:r>
    </w:p>
    <w:p w14:paraId="6EF211F9" w14:textId="3ECB7C20" w:rsidR="00267636" w:rsidRPr="00621644" w:rsidRDefault="000B5935" w:rsidP="00FC4017">
      <w:pPr>
        <w:spacing w:line="240" w:lineRule="auto"/>
        <w:jc w:val="both"/>
        <w:rPr>
          <w:rFonts w:cstheme="minorHAnsi"/>
          <w:bCs/>
        </w:rPr>
      </w:pPr>
      <w:r>
        <w:rPr>
          <w:rFonts w:cstheme="minorHAnsi"/>
          <w:bCs/>
        </w:rPr>
        <w:t>C</w:t>
      </w:r>
      <w:r w:rsidR="00267636" w:rsidRPr="00621644">
        <w:rPr>
          <w:rFonts w:cstheme="minorHAnsi"/>
          <w:bCs/>
        </w:rPr>
        <w:t>íl</w:t>
      </w:r>
      <w:r>
        <w:rPr>
          <w:rFonts w:cstheme="minorHAnsi"/>
          <w:bCs/>
        </w:rPr>
        <w:t>em je</w:t>
      </w:r>
      <w:r w:rsidR="00267636" w:rsidRPr="00621644">
        <w:rPr>
          <w:rFonts w:cstheme="minorHAnsi"/>
          <w:bCs/>
        </w:rPr>
        <w:t xml:space="preserve"> snížit zátěž životního prostředí a docílit tzv. udržitelného zemědělského hospodaření, zejména snížení emisí dusičnanů do povrchových a podzemních vod.</w:t>
      </w:r>
    </w:p>
    <w:p w14:paraId="2CA95C31" w14:textId="77777777" w:rsidR="00267636" w:rsidRDefault="00267636" w:rsidP="00FC4017">
      <w:pPr>
        <w:spacing w:line="240" w:lineRule="auto"/>
        <w:jc w:val="both"/>
        <w:rPr>
          <w:rFonts w:cstheme="minorHAnsi"/>
          <w:bCs/>
          <w:color w:val="000000"/>
        </w:rPr>
      </w:pPr>
      <w:r w:rsidRPr="008320BC">
        <w:rPr>
          <w:rFonts w:cstheme="minorHAnsi"/>
          <w:bCs/>
          <w:color w:val="000000"/>
        </w:rPr>
        <w:t>V</w:t>
      </w:r>
      <w:r>
        <w:rPr>
          <w:rFonts w:cstheme="minorHAnsi"/>
          <w:bCs/>
          <w:color w:val="000000"/>
        </w:rPr>
        <w:t> rámci národních plánů povodí byla k omezení negativních vlivů zemědělství na povrchové a podzemní vody mimo jiné navržena následující opatření:</w:t>
      </w:r>
    </w:p>
    <w:p w14:paraId="78428DC0" w14:textId="77777777" w:rsidR="00267636" w:rsidRDefault="00267636" w:rsidP="00FC4017">
      <w:pPr>
        <w:spacing w:line="240" w:lineRule="auto"/>
        <w:jc w:val="both"/>
        <w:rPr>
          <w:rFonts w:ascii="Calibri" w:eastAsia="Times New Roman" w:hAnsi="Calibri" w:cs="Times New Roman"/>
          <w:bCs/>
          <w:color w:val="000000"/>
          <w:lang w:eastAsia="cs-CZ"/>
        </w:rPr>
      </w:pPr>
      <w:r>
        <w:rPr>
          <w:rFonts w:cstheme="minorHAnsi"/>
          <w:b/>
          <w:bCs/>
          <w:color w:val="000000"/>
        </w:rPr>
        <w:t>z</w:t>
      </w:r>
      <w:r w:rsidRPr="008320BC">
        <w:rPr>
          <w:rFonts w:cstheme="minorHAnsi"/>
          <w:b/>
          <w:bCs/>
          <w:color w:val="000000"/>
        </w:rPr>
        <w:t>ranitelné oblasti – Opatření:</w:t>
      </w:r>
      <w:r>
        <w:rPr>
          <w:rFonts w:cstheme="minorHAnsi"/>
          <w:bCs/>
          <w:color w:val="000000"/>
        </w:rPr>
        <w:t xml:space="preserve"> provádět revize zranitelných oblastí a akčního programu, redukovat používání hnojiv ve zranitelných oblastech, pořídit pasport </w:t>
      </w:r>
      <w:r>
        <w:rPr>
          <w:rFonts w:ascii="Calibri" w:eastAsia="Times New Roman" w:hAnsi="Calibri" w:cs="Times New Roman"/>
          <w:bCs/>
          <w:color w:val="000000"/>
          <w:lang w:eastAsia="cs-CZ"/>
        </w:rPr>
        <w:t>území s větším dopadem na vodní prostředí jako podklad pro analýzu účinnosti zavedených opatření a tvorbu dotačních titulů nad rámec zranitelných oblastí (např. pro hospodaření v ochranných pásmech vodních zdrojů).</w:t>
      </w:r>
    </w:p>
    <w:p w14:paraId="2C4509AB" w14:textId="77777777" w:rsidR="00267636" w:rsidRDefault="00267636" w:rsidP="00FC4017">
      <w:pPr>
        <w:spacing w:line="240" w:lineRule="auto"/>
        <w:jc w:val="both"/>
        <w:rPr>
          <w:rFonts w:ascii="Calibri" w:eastAsia="Times New Roman" w:hAnsi="Calibri" w:cs="Times New Roman"/>
          <w:bCs/>
          <w:color w:val="000000"/>
          <w:lang w:eastAsia="cs-CZ"/>
        </w:rPr>
      </w:pPr>
      <w:r>
        <w:rPr>
          <w:rFonts w:ascii="Calibri" w:eastAsia="Times New Roman" w:hAnsi="Calibri" w:cs="Times New Roman"/>
          <w:bCs/>
          <w:color w:val="000000"/>
          <w:lang w:eastAsia="cs-CZ"/>
        </w:rPr>
        <w:t>Výzkum – Opatření: Realizovat výzkum zaměřený na optimalizaci hospodaření na zemědělských pozemcích vedoucí ke snížení znečištění ze zemědělství.</w:t>
      </w:r>
    </w:p>
    <w:p w14:paraId="6F90B5F7" w14:textId="77777777" w:rsidR="00267636" w:rsidRDefault="00267636" w:rsidP="00FC4017">
      <w:pPr>
        <w:spacing w:line="240" w:lineRule="auto"/>
        <w:jc w:val="both"/>
        <w:rPr>
          <w:rFonts w:ascii="Calibri" w:eastAsia="Times New Roman" w:hAnsi="Calibri" w:cs="Times New Roman"/>
          <w:bCs/>
          <w:color w:val="000000"/>
          <w:lang w:eastAsia="cs-CZ"/>
        </w:rPr>
      </w:pPr>
      <w:r>
        <w:rPr>
          <w:rFonts w:cstheme="minorHAnsi"/>
          <w:b/>
          <w:bCs/>
          <w:color w:val="000000"/>
        </w:rPr>
        <w:t>z</w:t>
      </w:r>
      <w:r w:rsidRPr="008320BC">
        <w:rPr>
          <w:rFonts w:cstheme="minorHAnsi"/>
          <w:b/>
          <w:bCs/>
          <w:color w:val="000000"/>
        </w:rPr>
        <w:t>atravňování</w:t>
      </w:r>
      <w:r>
        <w:rPr>
          <w:rFonts w:cstheme="minorHAnsi"/>
          <w:b/>
          <w:bCs/>
          <w:color w:val="000000"/>
        </w:rPr>
        <w:t xml:space="preserve"> a zalesňování</w:t>
      </w:r>
      <w:r w:rsidRPr="008320BC">
        <w:rPr>
          <w:rFonts w:cstheme="minorHAnsi"/>
          <w:b/>
          <w:bCs/>
          <w:color w:val="000000"/>
        </w:rPr>
        <w:t xml:space="preserve"> – Opatření:</w:t>
      </w:r>
      <w:r>
        <w:rPr>
          <w:rFonts w:cstheme="minorHAnsi"/>
          <w:bCs/>
          <w:color w:val="000000"/>
        </w:rPr>
        <w:t xml:space="preserve"> zatravňovat ochranné pásy </w:t>
      </w:r>
      <w:r>
        <w:rPr>
          <w:rFonts w:ascii="Calibri" w:eastAsia="Times New Roman" w:hAnsi="Calibri" w:cs="Times New Roman"/>
          <w:bCs/>
          <w:color w:val="000000"/>
          <w:lang w:eastAsia="cs-CZ"/>
        </w:rPr>
        <w:t>kolem vodních toků nebo infiltračních zón: ve vodních útvarech s nedosažením cíle pro zlepšení stavu vodních útvarů pro dusičnanový dusík zavést restriktivní nebo dotačně motivační opatření pro hospodaření na orné půdě. Části půdních bloků v okolí vodních toků zatravňovat dle systémového návrhu zohledňujícího specifické podmínky konkrétních lokalit. Podporovat zatravňování či zalesňování zorněných údolnic (míst, kde se za srážkových epizod koncentruje voda) a erozně ohrožených ploch.</w:t>
      </w:r>
    </w:p>
    <w:p w14:paraId="1DA1C490" w14:textId="77777777" w:rsidR="00267636" w:rsidRPr="008320BC" w:rsidRDefault="00267636" w:rsidP="00FC4017">
      <w:pPr>
        <w:spacing w:line="240" w:lineRule="auto"/>
        <w:jc w:val="both"/>
        <w:rPr>
          <w:rFonts w:cstheme="minorHAnsi"/>
          <w:bCs/>
          <w:color w:val="000000"/>
        </w:rPr>
      </w:pPr>
      <w:r w:rsidRPr="008320BC">
        <w:rPr>
          <w:rFonts w:ascii="Calibri" w:eastAsia="Times New Roman" w:hAnsi="Calibri" w:cs="Times New Roman"/>
          <w:b/>
          <w:bCs/>
          <w:color w:val="000000"/>
          <w:lang w:eastAsia="cs-CZ"/>
        </w:rPr>
        <w:t>zřizování krajinných prvků – Opatření:</w:t>
      </w:r>
      <w:r>
        <w:rPr>
          <w:rFonts w:ascii="Calibri" w:eastAsia="Times New Roman" w:hAnsi="Calibri" w:cs="Times New Roman"/>
          <w:bCs/>
          <w:color w:val="000000"/>
          <w:lang w:eastAsia="cs-CZ"/>
        </w:rPr>
        <w:t xml:space="preserve"> určit DPB nebo jejich části vhodné ke zřízení krajinných prvků, zavést informační kampaň, návrh krajinných prvků sladit pomocí metodického pokynu s územně plánovací dokumentací, komplexními pozemkovými úpravami a ÚSES. Cílem je, aby byly jednoduše a plošně zřizovány a podporovány krajinné prvky v rámci budoucích rozšířených definic.</w:t>
      </w:r>
    </w:p>
    <w:p w14:paraId="7A334DD0" w14:textId="77777777" w:rsidR="00267636" w:rsidRPr="00621644" w:rsidRDefault="00267636" w:rsidP="00FC4017">
      <w:pPr>
        <w:spacing w:line="240" w:lineRule="auto"/>
        <w:jc w:val="both"/>
        <w:rPr>
          <w:rFonts w:cstheme="minorHAnsi"/>
          <w:b/>
          <w:bCs/>
          <w:color w:val="000000"/>
        </w:rPr>
      </w:pPr>
      <w:r w:rsidRPr="00621644">
        <w:rPr>
          <w:rFonts w:cstheme="minorHAnsi"/>
        </w:rPr>
        <w:t>Dle RP ČR bude dopady cílů nutné podrobit dopadovým studiím na úrovni EU i ČS, široké mezirezortní a veřejné diskuzi a analyzovat specifické dopady na ČR, tzn. konkrétní vyčíslení</w:t>
      </w:r>
      <w:r>
        <w:rPr>
          <w:rFonts w:cstheme="minorHAnsi"/>
        </w:rPr>
        <w:t xml:space="preserve"> nákladů</w:t>
      </w:r>
      <w:r w:rsidRPr="00621644">
        <w:rPr>
          <w:rFonts w:cstheme="minorHAnsi"/>
        </w:rPr>
        <w:t xml:space="preserve"> bude možné </w:t>
      </w:r>
      <w:r>
        <w:rPr>
          <w:rFonts w:cstheme="minorHAnsi"/>
        </w:rPr>
        <w:t>až</w:t>
      </w:r>
      <w:r w:rsidRPr="00621644">
        <w:rPr>
          <w:rFonts w:cstheme="minorHAnsi"/>
        </w:rPr>
        <w:t xml:space="preserve"> po provedení těchto studií. </w:t>
      </w:r>
    </w:p>
    <w:p w14:paraId="5C77A284" w14:textId="2A8137C0" w:rsidR="00267636" w:rsidRPr="007F2E5E" w:rsidRDefault="00267636" w:rsidP="00FC4017">
      <w:pPr>
        <w:spacing w:line="240" w:lineRule="auto"/>
        <w:jc w:val="both"/>
        <w:rPr>
          <w:rFonts w:cstheme="minorHAnsi"/>
          <w:b/>
          <w:bCs/>
          <w:i/>
          <w:iCs/>
        </w:rPr>
      </w:pPr>
      <w:r w:rsidRPr="007F2E5E">
        <w:rPr>
          <w:rFonts w:cstheme="minorHAnsi"/>
          <w:b/>
          <w:bCs/>
          <w:i/>
          <w:iCs/>
        </w:rPr>
        <w:t>Doplnění ke klíčovému opatření: označování potravin; redukce potravinového odpadu</w:t>
      </w:r>
    </w:p>
    <w:p w14:paraId="74A285E8" w14:textId="77777777" w:rsidR="00267636" w:rsidRPr="00621644" w:rsidRDefault="00267636" w:rsidP="00FC4017">
      <w:pPr>
        <w:spacing w:line="240" w:lineRule="auto"/>
        <w:jc w:val="both"/>
        <w:rPr>
          <w:rFonts w:cstheme="minorHAnsi"/>
        </w:rPr>
      </w:pPr>
      <w:r>
        <w:rPr>
          <w:rFonts w:cstheme="minorHAnsi"/>
        </w:rPr>
        <w:t xml:space="preserve">V rámci strategie Farm to Fork jsou zásadními iniciativami v oblasti potravinářství tyto: zavedení nového </w:t>
      </w:r>
      <w:r w:rsidRPr="00621644">
        <w:rPr>
          <w:rFonts w:cstheme="minorHAnsi"/>
        </w:rPr>
        <w:t>harmoniz</w:t>
      </w:r>
      <w:r>
        <w:rPr>
          <w:rFonts w:cstheme="minorHAnsi"/>
        </w:rPr>
        <w:t xml:space="preserve">ovaného </w:t>
      </w:r>
      <w:r w:rsidRPr="00621644">
        <w:rPr>
          <w:rFonts w:cstheme="minorHAnsi"/>
        </w:rPr>
        <w:t>označování nutričních údajů na přední straně balení</w:t>
      </w:r>
      <w:r>
        <w:rPr>
          <w:rFonts w:cstheme="minorHAnsi"/>
        </w:rPr>
        <w:t xml:space="preserve"> potravin zavedení povinného označování původu pro další druhy potravin</w:t>
      </w:r>
      <w:r w:rsidRPr="00621644">
        <w:rPr>
          <w:rFonts w:cstheme="minorHAnsi"/>
        </w:rPr>
        <w:t>, vytvoření rámce pro označování</w:t>
      </w:r>
      <w:r>
        <w:rPr>
          <w:rFonts w:cstheme="minorHAnsi"/>
        </w:rPr>
        <w:t xml:space="preserve"> udržitelnosti potravin</w:t>
      </w:r>
      <w:r w:rsidRPr="00621644">
        <w:rPr>
          <w:rFonts w:cstheme="minorHAnsi"/>
        </w:rPr>
        <w:t xml:space="preserve">, který bude zahrnovat výživové, klimatické, environmentální a sociální aspekty potravinářských výrobků, reformulace potravin, zavedení </w:t>
      </w:r>
      <w:r>
        <w:rPr>
          <w:rFonts w:cstheme="minorHAnsi"/>
        </w:rPr>
        <w:t>nutričních</w:t>
      </w:r>
      <w:r w:rsidRPr="00621644">
        <w:rPr>
          <w:rFonts w:cstheme="minorHAnsi"/>
        </w:rPr>
        <w:t xml:space="preserve"> profilů</w:t>
      </w:r>
      <w:r>
        <w:rPr>
          <w:rFonts w:cstheme="minorHAnsi"/>
        </w:rPr>
        <w:t xml:space="preserve"> a</w:t>
      </w:r>
      <w:r w:rsidRPr="00621644">
        <w:rPr>
          <w:rFonts w:cstheme="minorHAnsi"/>
        </w:rPr>
        <w:t xml:space="preserve"> snižování objemu potravinového odpadu. </w:t>
      </w:r>
    </w:p>
    <w:p w14:paraId="59637593" w14:textId="6C740983" w:rsidR="00267636" w:rsidRDefault="00267636" w:rsidP="00FC4017">
      <w:pPr>
        <w:pStyle w:val="Odstavecseseznamem"/>
        <w:spacing w:line="240" w:lineRule="auto"/>
        <w:ind w:left="0"/>
        <w:contextualSpacing w:val="0"/>
        <w:jc w:val="both"/>
        <w:rPr>
          <w:rFonts w:cstheme="minorHAnsi"/>
          <w:b/>
          <w:bCs/>
          <w:color w:val="000000"/>
        </w:rPr>
      </w:pPr>
      <w:r>
        <w:rPr>
          <w:rFonts w:cstheme="minorHAnsi"/>
          <w:b/>
          <w:bCs/>
          <w:color w:val="000000"/>
        </w:rPr>
        <w:t>O</w:t>
      </w:r>
      <w:r w:rsidRPr="00621644">
        <w:rPr>
          <w:rFonts w:cstheme="minorHAnsi"/>
          <w:b/>
          <w:bCs/>
          <w:color w:val="000000"/>
        </w:rPr>
        <w:t>značování potravin</w:t>
      </w:r>
    </w:p>
    <w:p w14:paraId="57A269CF" w14:textId="77777777" w:rsidR="00267636" w:rsidRPr="00621644" w:rsidRDefault="00267636" w:rsidP="00FC4017">
      <w:pPr>
        <w:pStyle w:val="Odstavecseseznamem"/>
        <w:spacing w:line="240" w:lineRule="auto"/>
        <w:ind w:left="0"/>
        <w:contextualSpacing w:val="0"/>
        <w:jc w:val="both"/>
        <w:rPr>
          <w:rFonts w:cstheme="minorHAnsi"/>
          <w:color w:val="000000"/>
        </w:rPr>
      </w:pPr>
      <w:r w:rsidRPr="00621644">
        <w:rPr>
          <w:rFonts w:cstheme="minorHAnsi"/>
          <w:color w:val="000000"/>
        </w:rPr>
        <w:t>Česká republika považuje současný stav označování nutričních údajů podle harmonizované legislativy za dostačující. Výživové hodnoty potravin se na obale</w:t>
      </w:r>
      <w:r>
        <w:rPr>
          <w:rFonts w:cstheme="minorHAnsi"/>
          <w:color w:val="000000"/>
        </w:rPr>
        <w:t>ch</w:t>
      </w:r>
      <w:r w:rsidRPr="00621644">
        <w:rPr>
          <w:rFonts w:cstheme="minorHAnsi"/>
          <w:color w:val="000000"/>
        </w:rPr>
        <w:t xml:space="preserve"> povinně uvád</w:t>
      </w:r>
      <w:r>
        <w:rPr>
          <w:rFonts w:cstheme="minorHAnsi"/>
          <w:color w:val="000000"/>
        </w:rPr>
        <w:t>ějí</w:t>
      </w:r>
      <w:r w:rsidRPr="00621644">
        <w:rPr>
          <w:rFonts w:cstheme="minorHAnsi"/>
          <w:color w:val="000000"/>
        </w:rPr>
        <w:t xml:space="preserve"> od roku 2016. ČR </w:t>
      </w:r>
      <w:r>
        <w:rPr>
          <w:rFonts w:cstheme="minorHAnsi"/>
          <w:color w:val="000000"/>
        </w:rPr>
        <w:t>spolu s IT, CY, EL, HU, RO a LV na Radě AGRIFISH dne 20. 9. 2020 představila společné prohlášení k označování nutričních hodnot na přední straně obalu, kde je kladen důraz na to, aby nový systém zůstal dobrovolný, neměl odsuzující charakter a nerozděloval potraviny na zdravé a méně zdravé.  Nyní DE PRES finalizuje Závěry Rady k nutričnímu označování na přední straně obalu, nutričním profilům a rozšíření povinného označování původu na další potraviny. Závěry by měly sloužit Komisi jako základ pro další kroky v přípravě nového označování a DE PRES je plánuje přijmout do konce svého předsednictví. Do této diskuze se ČR aktivně zapojuje a prosazuje své zájmy společně s podobně smýšlejícími státy.</w:t>
      </w:r>
    </w:p>
    <w:p w14:paraId="0AE53C84" w14:textId="77777777" w:rsidR="00267636" w:rsidRDefault="00267636" w:rsidP="00FC4017">
      <w:pPr>
        <w:pStyle w:val="Odstavecseseznamem"/>
        <w:spacing w:line="240" w:lineRule="auto"/>
        <w:ind w:left="0"/>
        <w:contextualSpacing w:val="0"/>
        <w:jc w:val="both"/>
        <w:rPr>
          <w:rFonts w:cstheme="minorHAnsi"/>
          <w:color w:val="000000"/>
        </w:rPr>
      </w:pPr>
      <w:r>
        <w:rPr>
          <w:rFonts w:cstheme="minorHAnsi"/>
          <w:b/>
          <w:bCs/>
          <w:color w:val="000000"/>
        </w:rPr>
        <w:lastRenderedPageBreak/>
        <w:t xml:space="preserve">Snížení potravinového odpadu o </w:t>
      </w:r>
      <w:r w:rsidRPr="00621644">
        <w:rPr>
          <w:rFonts w:cstheme="minorHAnsi"/>
          <w:b/>
          <w:bCs/>
          <w:color w:val="000000"/>
        </w:rPr>
        <w:t xml:space="preserve">50 % </w:t>
      </w:r>
      <w:r>
        <w:rPr>
          <w:rFonts w:cstheme="minorHAnsi"/>
          <w:b/>
          <w:bCs/>
          <w:color w:val="000000"/>
        </w:rPr>
        <w:t>do roku 2030</w:t>
      </w:r>
    </w:p>
    <w:p w14:paraId="174F3B4B" w14:textId="27BC33C9" w:rsidR="00267636" w:rsidRPr="00621644" w:rsidRDefault="00267636" w:rsidP="00FC4017">
      <w:pPr>
        <w:pStyle w:val="Odstavecseseznamem"/>
        <w:spacing w:line="240" w:lineRule="auto"/>
        <w:ind w:left="0"/>
        <w:contextualSpacing w:val="0"/>
        <w:jc w:val="both"/>
        <w:rPr>
          <w:rFonts w:cstheme="minorHAnsi"/>
          <w:color w:val="000000"/>
        </w:rPr>
      </w:pPr>
      <w:r w:rsidRPr="00621644">
        <w:rPr>
          <w:rFonts w:cstheme="minorHAnsi"/>
          <w:color w:val="000000"/>
        </w:rPr>
        <w:t xml:space="preserve">Vytyčený cíl vnímá ČR jako velmi ambiciózní. </w:t>
      </w:r>
      <w:r w:rsidR="0018567C">
        <w:rPr>
          <w:rFonts w:cstheme="minorHAnsi"/>
          <w:color w:val="000000"/>
        </w:rPr>
        <w:t>N</w:t>
      </w:r>
      <w:r w:rsidRPr="00621644">
        <w:rPr>
          <w:rFonts w:cstheme="minorHAnsi"/>
          <w:color w:val="000000"/>
        </w:rPr>
        <w:t>ejsou k dispozici statistická data, ze kterých by se dalo objektivně posoudit současný stav</w:t>
      </w:r>
      <w:r>
        <w:rPr>
          <w:rFonts w:cstheme="minorHAnsi"/>
          <w:color w:val="000000"/>
        </w:rPr>
        <w:t>.</w:t>
      </w:r>
      <w:r w:rsidRPr="00621644">
        <w:rPr>
          <w:rFonts w:cstheme="minorHAnsi"/>
          <w:color w:val="000000"/>
        </w:rPr>
        <w:t xml:space="preserve"> </w:t>
      </w:r>
      <w:r>
        <w:rPr>
          <w:rFonts w:cstheme="minorHAnsi"/>
          <w:color w:val="000000"/>
        </w:rPr>
        <w:t xml:space="preserve">Data a jejich hodnocení by měly být </w:t>
      </w:r>
      <w:r w:rsidRPr="00621644">
        <w:rPr>
          <w:rFonts w:cstheme="minorHAnsi"/>
          <w:color w:val="000000"/>
        </w:rPr>
        <w:t xml:space="preserve">k </w:t>
      </w:r>
      <w:r w:rsidR="005B3AF9" w:rsidRPr="00621644">
        <w:rPr>
          <w:rFonts w:cstheme="minorHAnsi"/>
          <w:color w:val="000000"/>
        </w:rPr>
        <w:t>dispozici až</w:t>
      </w:r>
      <w:r w:rsidRPr="00621644">
        <w:rPr>
          <w:rFonts w:cstheme="minorHAnsi"/>
          <w:color w:val="000000"/>
        </w:rPr>
        <w:t xml:space="preserve"> v roce 2023</w:t>
      </w:r>
      <w:r>
        <w:rPr>
          <w:rFonts w:cstheme="minorHAnsi"/>
          <w:color w:val="000000"/>
        </w:rPr>
        <w:t xml:space="preserve">, nicméně z hlediska proveditelnosti a stanovení cílů bychom je uvítali co nejdříve. </w:t>
      </w:r>
    </w:p>
    <w:p w14:paraId="55A26D95" w14:textId="77777777" w:rsidR="00267636" w:rsidRPr="0018567C" w:rsidRDefault="00267636" w:rsidP="00FC4017">
      <w:pPr>
        <w:spacing w:line="240" w:lineRule="auto"/>
        <w:jc w:val="both"/>
        <w:rPr>
          <w:rFonts w:cstheme="minorHAnsi"/>
          <w:i/>
          <w:iCs/>
          <w:color w:val="000000"/>
        </w:rPr>
      </w:pPr>
      <w:r w:rsidRPr="0018567C">
        <w:rPr>
          <w:rFonts w:cstheme="minorHAnsi"/>
          <w:i/>
          <w:iCs/>
          <w:color w:val="000000"/>
        </w:rPr>
        <w:t xml:space="preserve">Česká republika již od začátku požadovala, aby každé případné opatření v rámci strategie bylo doprovázeno finanční analýzou dopadu takového opatření, zejména na ceny potravin pro konečného spotřebitele. </w:t>
      </w:r>
    </w:p>
    <w:p w14:paraId="5352D5F4" w14:textId="77F7EE52" w:rsidR="00267636" w:rsidRPr="00621644" w:rsidRDefault="00267636" w:rsidP="00FC4017">
      <w:pPr>
        <w:spacing w:line="240" w:lineRule="auto"/>
        <w:jc w:val="both"/>
        <w:rPr>
          <w:rFonts w:cstheme="minorHAnsi"/>
          <w:color w:val="000000"/>
        </w:rPr>
      </w:pPr>
      <w:r w:rsidRPr="00923326">
        <w:rPr>
          <w:rFonts w:cstheme="minorHAnsi"/>
          <w:color w:val="000000"/>
        </w:rPr>
        <w:t>Strategie je prozatím příliš obecná. Finanční dopady na sektor budou záviset od parametrů jednotlivých opatření, jejich rozsahu a v jakém časovém horizontu případně budou přijata. V současné chvíli tedy finanční zátěž nelze kvantifikovat.</w:t>
      </w:r>
      <w:r>
        <w:rPr>
          <w:rFonts w:cstheme="minorHAnsi"/>
          <w:color w:val="000000"/>
        </w:rPr>
        <w:t xml:space="preserve"> Ministerstvo zemědělství v této souvislosti oslovilo i potravinářský průmysl, z výše uvedených důvodů však ani oni nejsou v této chvíli schopni finanční dopad kvantifikovat. </w:t>
      </w:r>
      <w:r w:rsidR="0018567C">
        <w:rPr>
          <w:rFonts w:cstheme="minorHAnsi"/>
          <w:color w:val="000000"/>
        </w:rPr>
        <w:t>N</w:t>
      </w:r>
      <w:r w:rsidRPr="00621644">
        <w:rPr>
          <w:rFonts w:cstheme="minorHAnsi"/>
          <w:color w:val="000000"/>
        </w:rPr>
        <w:t xml:space="preserve">áklady budou primárně dopadat na producenty potravin, následně lze počítat minimálně s jejich částečným přenesením prostřednictvím ceny na spotřebitele. </w:t>
      </w:r>
      <w:r w:rsidRPr="00621644">
        <w:rPr>
          <w:rFonts w:cstheme="minorHAnsi"/>
        </w:rPr>
        <w:t xml:space="preserve">Dále vzrostou náklady na provádění úřední kontroly potravin v souvislosti s rozšířením nově přijatých legislativních požadavků souvisejících se </w:t>
      </w:r>
      <w:r>
        <w:rPr>
          <w:rFonts w:cstheme="minorHAnsi"/>
        </w:rPr>
        <w:t>s</w:t>
      </w:r>
      <w:r w:rsidRPr="00621644">
        <w:rPr>
          <w:rFonts w:cstheme="minorHAnsi"/>
        </w:rPr>
        <w:t xml:space="preserve">trategií. Náklady v případě dozorových organizací vzrostou zejména v oblasti lidských zdrojů a laboratoří. </w:t>
      </w:r>
    </w:p>
    <w:p w14:paraId="2BE6CFE7" w14:textId="544D006D" w:rsidR="00267636" w:rsidRDefault="0018567C" w:rsidP="00FC4017">
      <w:pPr>
        <w:spacing w:line="240" w:lineRule="auto"/>
        <w:jc w:val="both"/>
        <w:rPr>
          <w:rFonts w:ascii="Times New Roman" w:hAnsi="Times New Roman" w:cs="Times New Roman"/>
          <w:iCs/>
          <w:color w:val="000000" w:themeColor="text1"/>
        </w:rPr>
      </w:pPr>
      <w:r>
        <w:rPr>
          <w:rFonts w:cstheme="minorHAnsi"/>
          <w:color w:val="000000"/>
        </w:rPr>
        <w:t>N</w:t>
      </w:r>
      <w:r w:rsidR="00267636" w:rsidRPr="00621644">
        <w:rPr>
          <w:rFonts w:cstheme="minorHAnsi"/>
          <w:color w:val="000000"/>
        </w:rPr>
        <w:t xml:space="preserve">áklady </w:t>
      </w:r>
      <w:r w:rsidR="00267636">
        <w:rPr>
          <w:rFonts w:cstheme="minorHAnsi"/>
          <w:color w:val="000000"/>
        </w:rPr>
        <w:t xml:space="preserve">na </w:t>
      </w:r>
      <w:r w:rsidR="00267636" w:rsidRPr="00621644">
        <w:rPr>
          <w:rFonts w:cstheme="minorHAnsi"/>
          <w:color w:val="000000"/>
        </w:rPr>
        <w:t xml:space="preserve">splnění nových požadavků </w:t>
      </w:r>
      <w:r w:rsidR="00267636" w:rsidRPr="00621644">
        <w:rPr>
          <w:rFonts w:cstheme="minorHAnsi"/>
        </w:rPr>
        <w:t xml:space="preserve">zejména </w:t>
      </w:r>
      <w:r w:rsidR="00267636" w:rsidRPr="00621644">
        <w:rPr>
          <w:rFonts w:cstheme="minorHAnsi"/>
          <w:color w:val="000000"/>
        </w:rPr>
        <w:t xml:space="preserve">na změnu obalů, budou muset financovat producenti potravin, v případě navýšení kapacity dozorových organizací pak státní rozpočet.  </w:t>
      </w:r>
    </w:p>
    <w:p w14:paraId="50C297B9" w14:textId="77777777" w:rsidR="00267636" w:rsidRPr="00500EA1" w:rsidRDefault="00267636" w:rsidP="00FC4017">
      <w:pPr>
        <w:spacing w:line="240" w:lineRule="auto"/>
        <w:jc w:val="both"/>
        <w:rPr>
          <w:rFonts w:cstheme="minorHAnsi"/>
          <w:b/>
          <w:color w:val="000000"/>
        </w:rPr>
      </w:pPr>
      <w:r w:rsidRPr="00500EA1">
        <w:rPr>
          <w:rFonts w:cstheme="minorHAnsi"/>
          <w:b/>
          <w:color w:val="000000"/>
        </w:rPr>
        <w:t>Do roku 2030 využívat nejméně 25 % zemědělské půdy v EU k ekologickému zemědělství a významně rozšířit ekologickou akvakulturu</w:t>
      </w:r>
    </w:p>
    <w:p w14:paraId="572EAD51" w14:textId="6AAEA827" w:rsidR="0018567C" w:rsidRDefault="00267636" w:rsidP="00FC4017">
      <w:pPr>
        <w:spacing w:line="240" w:lineRule="auto"/>
        <w:jc w:val="both"/>
        <w:rPr>
          <w:rFonts w:cstheme="minorHAnsi"/>
          <w:color w:val="000000"/>
        </w:rPr>
      </w:pPr>
      <w:r w:rsidRPr="00500EA1">
        <w:rPr>
          <w:rFonts w:cstheme="minorHAnsi"/>
          <w:color w:val="000000"/>
        </w:rPr>
        <w:t xml:space="preserve">V současné době je v České republice ekologické zemědělství realizováno na přibližně 16 % zemědělské půdy, z toho na 3,6 % orné půdy a 44,1 % trvalých travních porostů. Bez zajištění dostatečné finanční alokace na podporu ekologického režimu hospodaření, obzvláště pak na orné půdě, podporu investic do vybudování zpracovatelských kapacit, výzkumu, vývoje, poradenství a podporu odbytu biopotravin je cíl 25 % ploch v ekologickém zemědělství jen velmi obtížně dosažitelný. </w:t>
      </w:r>
    </w:p>
    <w:p w14:paraId="544386FF" w14:textId="6AE135DE" w:rsidR="00267636" w:rsidRPr="00500EA1" w:rsidRDefault="0018567C" w:rsidP="00FC4017">
      <w:pPr>
        <w:spacing w:line="240" w:lineRule="auto"/>
        <w:jc w:val="both"/>
        <w:rPr>
          <w:rFonts w:cstheme="minorHAnsi"/>
          <w:color w:val="000000"/>
        </w:rPr>
      </w:pPr>
      <w:r>
        <w:rPr>
          <w:rFonts w:cstheme="minorHAnsi"/>
          <w:color w:val="000000"/>
        </w:rPr>
        <w:t>V</w:t>
      </w:r>
      <w:r w:rsidR="00267636" w:rsidRPr="00500EA1">
        <w:rPr>
          <w:rFonts w:cstheme="minorHAnsi"/>
          <w:color w:val="000000"/>
        </w:rPr>
        <w:t xml:space="preserve"> EU </w:t>
      </w:r>
      <w:r>
        <w:rPr>
          <w:rFonts w:cstheme="minorHAnsi"/>
          <w:color w:val="000000"/>
        </w:rPr>
        <w:t xml:space="preserve">je </w:t>
      </w:r>
      <w:r w:rsidR="00267636" w:rsidRPr="00500EA1">
        <w:rPr>
          <w:rFonts w:cstheme="minorHAnsi"/>
          <w:color w:val="000000"/>
        </w:rPr>
        <w:t>v ekologickém režimu 7,5 % zemědělské půdy</w:t>
      </w:r>
      <w:r>
        <w:rPr>
          <w:rFonts w:cstheme="minorHAnsi"/>
          <w:color w:val="000000"/>
        </w:rPr>
        <w:t xml:space="preserve"> </w:t>
      </w:r>
      <w:r w:rsidR="003372C8">
        <w:rPr>
          <w:rFonts w:cstheme="minorHAnsi"/>
          <w:color w:val="000000"/>
        </w:rPr>
        <w:t>(</w:t>
      </w:r>
      <w:r w:rsidR="003372C8" w:rsidRPr="00500EA1">
        <w:rPr>
          <w:rFonts w:cstheme="minorHAnsi"/>
          <w:color w:val="000000"/>
        </w:rPr>
        <w:t>v</w:t>
      </w:r>
      <w:r w:rsidR="00267636" w:rsidRPr="00500EA1">
        <w:rPr>
          <w:rFonts w:cstheme="minorHAnsi"/>
          <w:color w:val="000000"/>
        </w:rPr>
        <w:t xml:space="preserve"> Rakousku (24 %), Estonsku (20,5 %) a Švédsku (20 %). Naopak nejnižší podíl zemědělské půdy v ekologickém režimu je na Maltě (0,5 %), Rumunsku (2,4 %), Bulharsku (2,5 %), Irsku (2,6</w:t>
      </w:r>
      <w:r w:rsidR="00267636">
        <w:rPr>
          <w:rFonts w:cstheme="minorHAnsi"/>
          <w:color w:val="000000"/>
        </w:rPr>
        <w:t xml:space="preserve"> %) a Nizozemí (3 %). </w:t>
      </w:r>
      <w:r w:rsidR="00267636" w:rsidRPr="00500EA1">
        <w:rPr>
          <w:rFonts w:cstheme="minorHAnsi"/>
          <w:color w:val="000000"/>
        </w:rPr>
        <w:t xml:space="preserve">V současné době Program rozvoje venkova podporuje významnou část ekologického zemědělství v ČR, a to formou plateb poskytovaných na výměru ekologicky ohospodařované zemědělské půdy. Takto je každoročně podpořeno přes 500 tis. ha zemědělské půdy. Pokračování této podpory se připravuje ve strategickém plánu.    </w:t>
      </w:r>
    </w:p>
    <w:p w14:paraId="0F908DE4" w14:textId="294C6EB1" w:rsidR="00267636" w:rsidRPr="002F12B4" w:rsidRDefault="00267636" w:rsidP="00FC4017">
      <w:pPr>
        <w:spacing w:line="240" w:lineRule="auto"/>
        <w:jc w:val="both"/>
        <w:rPr>
          <w:rFonts w:cstheme="minorHAnsi"/>
          <w:b/>
          <w:i/>
        </w:rPr>
      </w:pPr>
      <w:r w:rsidRPr="002F12B4">
        <w:rPr>
          <w:rFonts w:cstheme="minorHAnsi"/>
          <w:b/>
          <w:i/>
        </w:rPr>
        <w:t xml:space="preserve">Podpora udržitelné akvakultury </w:t>
      </w:r>
    </w:p>
    <w:p w14:paraId="37A0155B" w14:textId="31BB5F24" w:rsidR="00267636" w:rsidRDefault="00267636" w:rsidP="00FC4017">
      <w:pPr>
        <w:spacing w:line="240" w:lineRule="auto"/>
        <w:jc w:val="both"/>
        <w:rPr>
          <w:rFonts w:cstheme="minorHAnsi"/>
          <w:color w:val="000000"/>
        </w:rPr>
      </w:pPr>
      <w:r>
        <w:rPr>
          <w:rFonts w:cstheme="minorHAnsi"/>
        </w:rPr>
        <w:t>Opatření na plnění cíle u</w:t>
      </w:r>
      <w:r w:rsidRPr="00621644">
        <w:rPr>
          <w:rFonts w:cstheme="minorHAnsi"/>
        </w:rPr>
        <w:t xml:space="preserve">držitelnosti akvakultury </w:t>
      </w:r>
      <w:r>
        <w:rPr>
          <w:rFonts w:cstheme="minorHAnsi"/>
        </w:rPr>
        <w:t>jsou</w:t>
      </w:r>
      <w:r w:rsidRPr="00621644">
        <w:rPr>
          <w:rFonts w:cstheme="minorHAnsi"/>
        </w:rPr>
        <w:t xml:space="preserve"> již </w:t>
      </w:r>
      <w:r>
        <w:rPr>
          <w:rFonts w:cstheme="minorHAnsi"/>
        </w:rPr>
        <w:t xml:space="preserve">dlouhodobě realizována a cíl je ze strany </w:t>
      </w:r>
      <w:r w:rsidRPr="00621644">
        <w:rPr>
          <w:rFonts w:cstheme="minorHAnsi"/>
        </w:rPr>
        <w:t xml:space="preserve">ČR </w:t>
      </w:r>
      <w:r>
        <w:rPr>
          <w:rFonts w:cstheme="minorHAnsi"/>
        </w:rPr>
        <w:t>plněn. Financování probíhá a je i nadále plánováno z evropských i národních zdrojů.</w:t>
      </w:r>
      <w:r w:rsidRPr="00F72119">
        <w:rPr>
          <w:rFonts w:cstheme="minorHAnsi"/>
          <w:color w:val="000000"/>
        </w:rPr>
        <w:t xml:space="preserve"> </w:t>
      </w:r>
    </w:p>
    <w:p w14:paraId="69C6ADF5" w14:textId="77777777" w:rsidR="00267636" w:rsidRPr="00621644" w:rsidRDefault="00267636" w:rsidP="00FC4017">
      <w:pPr>
        <w:spacing w:line="240" w:lineRule="auto"/>
        <w:jc w:val="both"/>
        <w:rPr>
          <w:rFonts w:cstheme="minorHAnsi"/>
          <w:color w:val="000000"/>
        </w:rPr>
      </w:pPr>
      <w:r w:rsidRPr="00500EA1">
        <w:rPr>
          <w:rFonts w:cstheme="minorHAnsi"/>
          <w:color w:val="000000"/>
        </w:rPr>
        <w:t>Tradiční udržitelné rybníkářství, které zajišťuje cca 90 % produkce ryb, představuje potenciál pro dlouhodobě udržitelnou akvakulturu. Převedení významné části české produkce pod plný ekologický režim by však vedlo k navýšení cen produktů akvakultury a tím k ohrožení konkurenceschopnosti producentů. ČR by proto nemohla souhlasit s cílem významně rozšiřovat ekologickou akvakulturu, pokud by nebyla zohledněna specifika jednotlivých typů hospodaření a také situace v sektoru akvakultury v jednotlivých členských státech.</w:t>
      </w:r>
    </w:p>
    <w:p w14:paraId="060C7ADB" w14:textId="77777777" w:rsidR="00267636" w:rsidRPr="002F12B4" w:rsidRDefault="00267636" w:rsidP="00FC4017">
      <w:pPr>
        <w:spacing w:line="240" w:lineRule="auto"/>
        <w:jc w:val="both"/>
        <w:rPr>
          <w:rFonts w:cstheme="minorHAnsi"/>
          <w:b/>
          <w:i/>
        </w:rPr>
      </w:pPr>
      <w:r w:rsidRPr="002F12B4">
        <w:rPr>
          <w:rFonts w:cstheme="minorHAnsi"/>
          <w:b/>
          <w:i/>
        </w:rPr>
        <w:t>Významně rozšířit ekologickou akvakulturu</w:t>
      </w:r>
    </w:p>
    <w:p w14:paraId="27D1D7C9" w14:textId="0B8D383A" w:rsidR="00267636" w:rsidRPr="00544234" w:rsidRDefault="00267636" w:rsidP="00FC4017">
      <w:pPr>
        <w:spacing w:line="240" w:lineRule="auto"/>
        <w:jc w:val="both"/>
        <w:rPr>
          <w:rFonts w:cstheme="minorHAnsi"/>
          <w:color w:val="000000"/>
        </w:rPr>
      </w:pPr>
      <w:r w:rsidRPr="00621644">
        <w:rPr>
          <w:rFonts w:cstheme="minorHAnsi"/>
        </w:rPr>
        <w:t>Jedná se o problematický cíl, který může významně ohrozit konkurenceschopnost podniků akvakultury</w:t>
      </w:r>
      <w:r>
        <w:rPr>
          <w:rFonts w:cstheme="minorHAnsi"/>
        </w:rPr>
        <w:t xml:space="preserve"> a zachování tradičního rybníkářství</w:t>
      </w:r>
      <w:r w:rsidRPr="00621644">
        <w:rPr>
          <w:rFonts w:cstheme="minorHAnsi"/>
        </w:rPr>
        <w:t xml:space="preserve">. </w:t>
      </w:r>
      <w:r w:rsidR="001C6F84">
        <w:rPr>
          <w:rFonts w:cstheme="minorHAnsi"/>
        </w:rPr>
        <w:t>Dopady – ve</w:t>
      </w:r>
      <w:r>
        <w:rPr>
          <w:rFonts w:cstheme="minorHAnsi"/>
        </w:rPr>
        <w:t xml:space="preserve"> výrazném snížení produkce, zvýšení nákladů a tím i ceny ryb. </w:t>
      </w:r>
      <w:r w:rsidRPr="00621644">
        <w:rPr>
          <w:rFonts w:cstheme="minorHAnsi"/>
        </w:rPr>
        <w:t xml:space="preserve">Potenciál naplnění </w:t>
      </w:r>
      <w:r>
        <w:rPr>
          <w:rFonts w:cstheme="minorHAnsi"/>
        </w:rPr>
        <w:t>opatření</w:t>
      </w:r>
      <w:r w:rsidRPr="00621644">
        <w:rPr>
          <w:rFonts w:cstheme="minorHAnsi"/>
        </w:rPr>
        <w:t xml:space="preserve"> </w:t>
      </w:r>
      <w:r>
        <w:rPr>
          <w:rFonts w:cstheme="minorHAnsi"/>
        </w:rPr>
        <w:t xml:space="preserve">včetně vyčíslení nákladů </w:t>
      </w:r>
      <w:r w:rsidRPr="00621644">
        <w:rPr>
          <w:rFonts w:cstheme="minorHAnsi"/>
        </w:rPr>
        <w:t xml:space="preserve">bude možné </w:t>
      </w:r>
      <w:r>
        <w:rPr>
          <w:rFonts w:cstheme="minorHAnsi"/>
        </w:rPr>
        <w:t>určit</w:t>
      </w:r>
      <w:r w:rsidRPr="00621644">
        <w:rPr>
          <w:rFonts w:cstheme="minorHAnsi"/>
        </w:rPr>
        <w:t xml:space="preserve"> až po provedení </w:t>
      </w:r>
      <w:r w:rsidRPr="00621644">
        <w:rPr>
          <w:rFonts w:cstheme="minorHAnsi"/>
        </w:rPr>
        <w:lastRenderedPageBreak/>
        <w:t>relevantních analýz.</w:t>
      </w:r>
      <w:r>
        <w:rPr>
          <w:rFonts w:cstheme="minorHAnsi"/>
        </w:rPr>
        <w:t xml:space="preserve"> Náklady na případnou realizaci opatření bude možné spolufinancovat z OP Rybářství </w:t>
      </w:r>
      <w:r w:rsidR="001C6F84">
        <w:rPr>
          <w:rFonts w:cstheme="minorHAnsi"/>
        </w:rPr>
        <w:t>2021–2027</w:t>
      </w:r>
      <w:r>
        <w:rPr>
          <w:rFonts w:cstheme="minorHAnsi"/>
        </w:rPr>
        <w:t>.</w:t>
      </w:r>
      <w:r w:rsidRPr="00F72119">
        <w:rPr>
          <w:rFonts w:cstheme="minorHAnsi"/>
          <w:color w:val="000000"/>
        </w:rPr>
        <w:t xml:space="preserve"> </w:t>
      </w:r>
    </w:p>
    <w:p w14:paraId="385004A6" w14:textId="77777777" w:rsidR="00267636" w:rsidRPr="002F12B4" w:rsidRDefault="00267636" w:rsidP="00FC4017">
      <w:pPr>
        <w:spacing w:line="240" w:lineRule="auto"/>
        <w:jc w:val="both"/>
        <w:rPr>
          <w:rFonts w:cstheme="minorHAnsi"/>
          <w:b/>
          <w:i/>
        </w:rPr>
      </w:pPr>
      <w:r w:rsidRPr="002F12B4">
        <w:rPr>
          <w:rFonts w:cstheme="minorHAnsi"/>
          <w:b/>
          <w:i/>
        </w:rPr>
        <w:t>Podpora inovací a digitalizace</w:t>
      </w:r>
    </w:p>
    <w:p w14:paraId="70CF2AD8" w14:textId="77777777" w:rsidR="00267636" w:rsidRPr="001B34CA" w:rsidRDefault="00267636" w:rsidP="00FC4017">
      <w:pPr>
        <w:spacing w:line="240" w:lineRule="auto"/>
        <w:jc w:val="both"/>
        <w:rPr>
          <w:rFonts w:ascii="Times New Roman" w:hAnsi="Times New Roman" w:cs="Times New Roman"/>
          <w:iCs/>
          <w:color w:val="000000" w:themeColor="text1"/>
        </w:rPr>
      </w:pPr>
      <w:r>
        <w:rPr>
          <w:rFonts w:cstheme="minorHAnsi"/>
        </w:rPr>
        <w:t>Opatření je již realizováno a cíl je naplňován</w:t>
      </w:r>
      <w:r w:rsidRPr="00621644">
        <w:rPr>
          <w:rFonts w:cstheme="minorHAnsi"/>
        </w:rPr>
        <w:t xml:space="preserve">. Výzkum a vzdělávání v oblasti sladkovodní akvakultury je v ČR na velmi vysoké úrovni. Inovace jsou a budou i nadále podporovány z evropských i národních zdrojů. Digitalizace v akvakultuře se plánuje v oblasti sběru dat, očekávané investice budou </w:t>
      </w:r>
      <w:r>
        <w:rPr>
          <w:rFonts w:cstheme="minorHAnsi"/>
        </w:rPr>
        <w:t>spolu</w:t>
      </w:r>
      <w:r w:rsidRPr="00621644">
        <w:rPr>
          <w:rFonts w:cstheme="minorHAnsi"/>
        </w:rPr>
        <w:t>financovány z</w:t>
      </w:r>
      <w:r>
        <w:rPr>
          <w:rFonts w:cstheme="minorHAnsi"/>
        </w:rPr>
        <w:t> ENRF</w:t>
      </w:r>
      <w:r w:rsidRPr="00621644">
        <w:rPr>
          <w:rFonts w:cstheme="minorHAnsi"/>
        </w:rPr>
        <w:t>.</w:t>
      </w:r>
    </w:p>
    <w:p w14:paraId="56AB98CD" w14:textId="0BC602A5" w:rsidR="00267636" w:rsidRDefault="00267636" w:rsidP="00FC4017">
      <w:pPr>
        <w:spacing w:line="240" w:lineRule="auto"/>
        <w:jc w:val="both"/>
        <w:rPr>
          <w:rFonts w:ascii="Times New Roman" w:hAnsi="Times New Roman" w:cs="Times New Roman"/>
          <w:iCs/>
          <w:color w:val="000000" w:themeColor="text1"/>
        </w:rPr>
      </w:pPr>
    </w:p>
    <w:p w14:paraId="46603AF9" w14:textId="3704420C" w:rsidR="00CB0962" w:rsidRDefault="00CB0962" w:rsidP="002A1848">
      <w:pPr>
        <w:spacing w:line="276" w:lineRule="auto"/>
        <w:jc w:val="both"/>
        <w:rPr>
          <w:rFonts w:ascii="Times New Roman" w:hAnsi="Times New Roman" w:cs="Times New Roman"/>
          <w:iCs/>
          <w:color w:val="000000" w:themeColor="text1"/>
        </w:rPr>
      </w:pPr>
      <w:r>
        <w:rPr>
          <w:rFonts w:ascii="Times New Roman" w:hAnsi="Times New Roman" w:cs="Times New Roman"/>
          <w:iCs/>
          <w:color w:val="000000" w:themeColor="text1"/>
        </w:rPr>
        <w:br w:type="page"/>
      </w:r>
    </w:p>
    <w:p w14:paraId="72433DDB" w14:textId="77777777" w:rsidR="00085287" w:rsidRPr="009E4B04" w:rsidRDefault="00085287" w:rsidP="005E0E86">
      <w:pPr>
        <w:pBdr>
          <w:top w:val="single" w:sz="4" w:space="1" w:color="auto"/>
          <w:left w:val="single" w:sz="4" w:space="0" w:color="auto"/>
          <w:bottom w:val="single" w:sz="4" w:space="1" w:color="auto"/>
          <w:right w:val="single" w:sz="4" w:space="26" w:color="auto"/>
        </w:pBdr>
        <w:autoSpaceDE w:val="0"/>
        <w:autoSpaceDN w:val="0"/>
        <w:adjustRightInd w:val="0"/>
        <w:spacing w:line="276" w:lineRule="auto"/>
        <w:ind w:left="426"/>
        <w:jc w:val="both"/>
        <w:rPr>
          <w:rFonts w:cstheme="minorHAnsi"/>
          <w:b/>
          <w:color w:val="000000" w:themeColor="text1"/>
          <w:sz w:val="32"/>
          <w:szCs w:val="32"/>
        </w:rPr>
      </w:pPr>
      <w:r w:rsidRPr="009E4B04">
        <w:rPr>
          <w:rFonts w:cstheme="minorHAnsi"/>
          <w:b/>
          <w:color w:val="000000" w:themeColor="text1"/>
          <w:sz w:val="32"/>
          <w:szCs w:val="32"/>
        </w:rPr>
        <w:lastRenderedPageBreak/>
        <w:t>Zachování a ochrana biologické rozmanitosti</w:t>
      </w:r>
    </w:p>
    <w:p w14:paraId="18A8F5BE" w14:textId="1461F745" w:rsidR="00085287" w:rsidRPr="007213E9" w:rsidRDefault="00085287" w:rsidP="005E0E86">
      <w:pPr>
        <w:spacing w:line="276" w:lineRule="auto"/>
        <w:ind w:left="567"/>
        <w:jc w:val="both"/>
        <w:rPr>
          <w:rFonts w:ascii="Times New Roman" w:hAnsi="Times New Roman" w:cs="Times New Roman"/>
          <w:b/>
          <w:bCs/>
          <w:iCs/>
          <w:color w:val="000000" w:themeColor="text1"/>
        </w:rPr>
      </w:pPr>
    </w:p>
    <w:p w14:paraId="7AA6FE26" w14:textId="7F83E41B" w:rsidR="007213E9" w:rsidRPr="003D44AC" w:rsidRDefault="007213E9" w:rsidP="005E0E86">
      <w:pPr>
        <w:pBdr>
          <w:top w:val="single" w:sz="4" w:space="1" w:color="auto"/>
          <w:left w:val="single" w:sz="4" w:space="4" w:color="auto"/>
          <w:bottom w:val="single" w:sz="4" w:space="1" w:color="auto"/>
          <w:right w:val="single" w:sz="4" w:space="4" w:color="auto"/>
        </w:pBdr>
        <w:spacing w:line="276" w:lineRule="auto"/>
        <w:ind w:left="567" w:right="-428"/>
        <w:jc w:val="both"/>
        <w:rPr>
          <w:rFonts w:cstheme="minorHAnsi"/>
          <w:b/>
          <w:noProof/>
          <w:color w:val="000000" w:themeColor="text1"/>
        </w:rPr>
      </w:pPr>
      <w:r>
        <w:rPr>
          <w:rFonts w:cstheme="minorHAnsi"/>
          <w:b/>
          <w:noProof/>
          <w:color w:val="000000" w:themeColor="text1"/>
        </w:rPr>
        <w:t>Strategie EU v oblasti biologické rozmanitosti do roku 2030</w:t>
      </w:r>
    </w:p>
    <w:tbl>
      <w:tblPr>
        <w:tblW w:w="5158"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9357"/>
      </w:tblGrid>
      <w:tr w:rsidR="004138DF" w:rsidRPr="004138DF" w14:paraId="195772AD" w14:textId="77777777" w:rsidTr="007213E9">
        <w:trPr>
          <w:trHeight w:val="9170"/>
        </w:trPr>
        <w:tc>
          <w:tcPr>
            <w:tcW w:w="5000" w:type="pct"/>
            <w:tcBorders>
              <w:top w:val="nil"/>
              <w:left w:val="nil"/>
              <w:bottom w:val="nil"/>
              <w:right w:val="nil"/>
            </w:tcBorders>
          </w:tcPr>
          <w:p w14:paraId="49F7732E" w14:textId="726BBC2D" w:rsidR="0013656B" w:rsidRPr="004138DF" w:rsidRDefault="00631604" w:rsidP="00FC4017">
            <w:pPr>
              <w:spacing w:line="240" w:lineRule="auto"/>
              <w:jc w:val="both"/>
              <w:rPr>
                <w:color w:val="000000" w:themeColor="text1"/>
              </w:rPr>
            </w:pPr>
            <w:r w:rsidRPr="004138DF">
              <w:rPr>
                <w:color w:val="000000" w:themeColor="text1"/>
              </w:rPr>
              <w:t xml:space="preserve">Cílem Strategie EU v oblasti biologické rozmanitosti do roku 2030 je, že bude biologická rozmanitost v Evropě na cestě k oživení ve prospěch lidí, planety, klimatu a hospodářství, a to v souladu s Agendou pro udržitelný rozvoj 2030 a s cíli Pařížské dohody o změně klimatu. Hlavním cílem je zajistit, že do roku 2050 budou všechny světové ekosystémy obnoveny, budou odolné a přiměřeně chráněné. </w:t>
            </w:r>
            <w:r w:rsidR="0013656B" w:rsidRPr="004138DF">
              <w:rPr>
                <w:rFonts w:cstheme="minorHAnsi"/>
                <w:color w:val="000000" w:themeColor="text1"/>
              </w:rPr>
              <w:t>Rámcová pozice ke Strategii EU v oblasti biologické rozmanitosti do roku 2030 je k dispozici.</w:t>
            </w:r>
          </w:p>
          <w:p w14:paraId="71924E4B" w14:textId="591EE72A" w:rsidR="0013656B" w:rsidRPr="004138DF" w:rsidRDefault="0013656B" w:rsidP="00FC4017">
            <w:pPr>
              <w:spacing w:line="240" w:lineRule="auto"/>
              <w:jc w:val="both"/>
              <w:rPr>
                <w:rFonts w:cstheme="minorHAnsi"/>
                <w:color w:val="000000" w:themeColor="text1"/>
              </w:rPr>
            </w:pPr>
            <w:r w:rsidRPr="004138DF">
              <w:rPr>
                <w:rFonts w:cstheme="minorHAnsi"/>
                <w:color w:val="000000" w:themeColor="text1"/>
              </w:rPr>
              <w:t>Dopady na státní rozpočet mohou mít zejména změny evropských směrnic a přijatá opatření k plnění stanovených cílů (dopady některých opatření jsou uvedeny v rámcových pozicích k jednotlivým připojeným legislativním návrhům). V současnosti ovšem přesně nelze kvantifikovat dopady na státní rozpočet. Cílem sdělení je zajistit pozitivní dopad na životní prostředí a současně nepřinášet negativní hospodářské a sociální dopady. Skutečnost bude záviset na finálním znění legislativy navazující na toto sdělení</w:t>
            </w:r>
            <w:r w:rsidR="00160196" w:rsidRPr="004138DF">
              <w:rPr>
                <w:rFonts w:cstheme="minorHAnsi"/>
                <w:color w:val="000000" w:themeColor="text1"/>
              </w:rPr>
              <w:t>.</w:t>
            </w:r>
          </w:p>
          <w:p w14:paraId="536163CF" w14:textId="77777777" w:rsidR="00267636" w:rsidRPr="004138DF" w:rsidRDefault="00267636" w:rsidP="00FC4017">
            <w:pPr>
              <w:spacing w:line="240" w:lineRule="auto"/>
              <w:jc w:val="both"/>
              <w:rPr>
                <w:rFonts w:cstheme="minorHAnsi"/>
                <w:i/>
                <w:iCs/>
                <w:color w:val="000000" w:themeColor="text1"/>
              </w:rPr>
            </w:pPr>
            <w:r w:rsidRPr="004138DF">
              <w:rPr>
                <w:rFonts w:cstheme="minorHAnsi"/>
                <w:color w:val="000000" w:themeColor="text1"/>
              </w:rPr>
              <w:t>P</w:t>
            </w:r>
            <w:r w:rsidRPr="004138DF">
              <w:rPr>
                <w:rFonts w:cstheme="minorHAnsi"/>
                <w:bCs/>
                <w:color w:val="000000" w:themeColor="text1"/>
              </w:rPr>
              <w:t>rostřednictvím OP Rybářství je v současnosti podporováno vysazování úhoře říčního, a to v souladu se stanovenými Plány managementu úhoře. Podpora těchto projektů z OP Rybářství je plánována i v novém programovém období 2021–2027.</w:t>
            </w:r>
          </w:p>
          <w:p w14:paraId="50195531" w14:textId="77777777" w:rsidR="00524E25" w:rsidRPr="004138DF" w:rsidRDefault="00524E25" w:rsidP="002A1848">
            <w:pPr>
              <w:spacing w:line="276" w:lineRule="auto"/>
              <w:jc w:val="both"/>
              <w:rPr>
                <w:rFonts w:cstheme="minorHAnsi"/>
                <w:i/>
                <w:iCs/>
                <w:color w:val="000000" w:themeColor="text1"/>
              </w:rPr>
            </w:pPr>
          </w:p>
          <w:p w14:paraId="3399B150" w14:textId="5924372F" w:rsidR="00A16BE5" w:rsidRPr="004138DF" w:rsidRDefault="00524E25" w:rsidP="002A1848">
            <w:pPr>
              <w:spacing w:line="276" w:lineRule="auto"/>
              <w:jc w:val="both"/>
              <w:rPr>
                <w:rFonts w:cstheme="minorHAnsi"/>
                <w:i/>
                <w:iCs/>
                <w:color w:val="000000" w:themeColor="text1"/>
              </w:rPr>
            </w:pPr>
            <w:r w:rsidRPr="00B768D6">
              <w:rPr>
                <w:rFonts w:cstheme="minorHAnsi"/>
                <w:i/>
                <w:iCs/>
                <w:noProof/>
                <w:color w:val="000000" w:themeColor="text1"/>
              </w:rPr>
              <w:drawing>
                <wp:inline distT="0" distB="0" distL="0" distR="0" wp14:anchorId="1B1C2ACF" wp14:editId="66BE14C8">
                  <wp:extent cx="5759450" cy="3175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5A793B59" w14:textId="77777777" w:rsidR="00160196" w:rsidRPr="004138DF" w:rsidRDefault="00160196" w:rsidP="00FC4017">
            <w:pPr>
              <w:spacing w:line="240" w:lineRule="auto"/>
              <w:jc w:val="both"/>
              <w:rPr>
                <w:color w:val="000000" w:themeColor="text1"/>
              </w:rPr>
            </w:pPr>
            <w:r w:rsidRPr="004138DF">
              <w:rPr>
                <w:color w:val="000000" w:themeColor="text1"/>
              </w:rPr>
              <w:t>Úbytek biologické rozmanitosti vede ke snížení výnosů sklizní a úlovků ryb, zvýšeným ekonomickým ztrátám v důsledku záplav a jiných pohrom a ztrátě potenciálních nových zdrojů léčivých přípravků.</w:t>
            </w:r>
          </w:p>
          <w:p w14:paraId="51105422" w14:textId="3D266D7E" w:rsidR="00160196" w:rsidRPr="004138DF" w:rsidRDefault="00160196" w:rsidP="00FC4017">
            <w:pPr>
              <w:spacing w:line="240" w:lineRule="auto"/>
              <w:jc w:val="both"/>
              <w:rPr>
                <w:color w:val="000000" w:themeColor="text1"/>
              </w:rPr>
            </w:pPr>
            <w:r w:rsidRPr="004138DF">
              <w:rPr>
                <w:color w:val="000000" w:themeColor="text1"/>
              </w:rPr>
              <w:t xml:space="preserve">EU je připravena prokázat své ambice ke zvrácení úbytku biologické rozmanitosti, udávat ve světě směr svým příkladem a opatřeními. </w:t>
            </w:r>
            <w:r w:rsidR="00631604" w:rsidRPr="004138DF">
              <w:rPr>
                <w:rFonts w:cstheme="minorHAnsi"/>
                <w:color w:val="000000" w:themeColor="text1"/>
              </w:rPr>
              <w:t>Seznam klíčových opatření navržených Komisí, včetně předpokládaného harmonogramu jejich přijetí, je přílohou ke Strategii EU v oblasti biologické rozmanitosti do roku 2030, k níž je k dispozici rámcová pozice.</w:t>
            </w:r>
          </w:p>
          <w:p w14:paraId="717176BC" w14:textId="7257BE7B" w:rsidR="00631604" w:rsidRPr="004138DF" w:rsidRDefault="00631604" w:rsidP="00FC4017">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jc w:val="both"/>
              <w:rPr>
                <w:rFonts w:cstheme="minorHAnsi"/>
                <w:color w:val="000000" w:themeColor="text1"/>
              </w:rPr>
            </w:pPr>
            <w:r w:rsidRPr="004138DF">
              <w:rPr>
                <w:rFonts w:cstheme="minorHAnsi"/>
                <w:color w:val="000000" w:themeColor="text1"/>
              </w:rPr>
              <w:t>Vzhledem k tomu, že konkrétnější podoba jednotlivých opatření zatím k dispozici není, nelze v tuto chvíli podrobněji odhadovat jejich dopady.</w:t>
            </w:r>
          </w:p>
          <w:p w14:paraId="26215744" w14:textId="77777777" w:rsidR="00160196" w:rsidRPr="004138DF" w:rsidRDefault="00160196" w:rsidP="00FC4017">
            <w:pPr>
              <w:spacing w:line="240" w:lineRule="auto"/>
              <w:jc w:val="both"/>
              <w:rPr>
                <w:rFonts w:cstheme="minorHAnsi"/>
                <w:bCs/>
                <w:color w:val="000000" w:themeColor="text1"/>
              </w:rPr>
            </w:pPr>
            <w:r w:rsidRPr="004138DF">
              <w:rPr>
                <w:rFonts w:cstheme="minorHAnsi"/>
                <w:bCs/>
                <w:color w:val="000000" w:themeColor="text1"/>
              </w:rPr>
              <w:t>V rámci národních plánů povodí bylo k obnově přirozených koryt vodních toků a tím i k ochraně a zvyšování biologické rozmanitosti mimo jiné navrženo následující opatření:</w:t>
            </w:r>
          </w:p>
          <w:p w14:paraId="681D835F" w14:textId="0345F55F" w:rsidR="00160196" w:rsidRPr="004138DF" w:rsidRDefault="00160196" w:rsidP="009E4B04">
            <w:pPr>
              <w:spacing w:line="240" w:lineRule="auto"/>
              <w:jc w:val="both"/>
              <w:rPr>
                <w:bCs/>
                <w:color w:val="000000" w:themeColor="text1"/>
              </w:rPr>
            </w:pPr>
            <w:r w:rsidRPr="004138DF">
              <w:rPr>
                <w:rFonts w:cstheme="minorHAnsi"/>
                <w:b/>
                <w:bCs/>
                <w:color w:val="000000" w:themeColor="text1"/>
              </w:rPr>
              <w:t>obnova přirozených koryt vodních toků – Opatření:</w:t>
            </w:r>
            <w:r w:rsidRPr="004138DF">
              <w:rPr>
                <w:rFonts w:cstheme="minorHAnsi"/>
                <w:bCs/>
                <w:color w:val="000000" w:themeColor="text1"/>
              </w:rPr>
              <w:t xml:space="preserve"> i</w:t>
            </w:r>
            <w:r w:rsidRPr="004138DF">
              <w:rPr>
                <w:rFonts w:ascii="Calibri" w:eastAsia="Times New Roman" w:hAnsi="Calibri" w:cs="Times New Roman"/>
                <w:bCs/>
                <w:color w:val="000000" w:themeColor="text1"/>
                <w:lang w:eastAsia="cs-CZ"/>
              </w:rPr>
              <w:t xml:space="preserve">dentifikovat úseky vodních toků a niv vhodných k samovolné nebo iniciované renaturaci, revitalizaci nebo ochraně stávajícího stavu (systematický podklad pro plošné uplatňování ekologicky orientované správy vodních toků). Zohlednit majetkoprávní vztahy ve vhodně zvoleném pásu podél vodních toků. Výstupy zahrnout formou návrhů opatření do plánů dílčích povodí pro další plánovací období. Metodicky podpořit ochranu, využívání a podporu procesů samovolných renaturací vodních toků. Ke zlepšování ekologických funkcí vodních toků a ekologického stavu/potenciálu vodních útvarů prosazovat vhodné změny právní úpravy. </w:t>
            </w:r>
            <w:r w:rsidRPr="004138DF">
              <w:rPr>
                <w:color w:val="000000" w:themeColor="text1"/>
              </w:rPr>
              <w:t>Zajistit zjednodušení administrací revitalizací a renaturací vodních toků.</w:t>
            </w:r>
          </w:p>
          <w:p w14:paraId="230DDE77" w14:textId="67F091F0" w:rsidR="0042306C" w:rsidRPr="004138DF" w:rsidRDefault="0042306C" w:rsidP="002A1848">
            <w:pPr>
              <w:spacing w:line="276" w:lineRule="auto"/>
              <w:jc w:val="both"/>
              <w:rPr>
                <w:color w:val="000000" w:themeColor="text1"/>
              </w:rPr>
            </w:pPr>
            <w:r w:rsidRPr="004138DF">
              <w:rPr>
                <w:color w:val="000000" w:themeColor="text1"/>
              </w:rPr>
              <w:t xml:space="preserve">Řešení ztráty biologické rozmanitosti a obnova ekosystémů bude vyžadovat značné veřejné a soukromé investice na vnitrostátní a evropské úrovni. </w:t>
            </w:r>
          </w:p>
          <w:p w14:paraId="7B7A4246" w14:textId="718265AB" w:rsidR="0070790E" w:rsidRPr="004138DF" w:rsidRDefault="0042306C" w:rsidP="002A1848">
            <w:pPr>
              <w:spacing w:line="276" w:lineRule="auto"/>
              <w:jc w:val="both"/>
              <w:rPr>
                <w:color w:val="000000" w:themeColor="text1"/>
              </w:rPr>
            </w:pPr>
            <w:r w:rsidRPr="004138DF">
              <w:rPr>
                <w:color w:val="000000" w:themeColor="text1"/>
              </w:rPr>
              <w:lastRenderedPageBreak/>
              <w:t xml:space="preserve">Příroda a biologická rozmanitost jsou rovněž prioritou investičního plánu Zelené dohody pro Evropu. Aby se pomohly uvolnit potřebné investice, musí EU poskytnout investorům dlouhodobou jistotu a pomoci začlenit udržitelnost do finančního systému. </w:t>
            </w:r>
          </w:p>
          <w:p w14:paraId="411FA94F" w14:textId="45473A67" w:rsidR="0042306C" w:rsidRDefault="0042306C" w:rsidP="002A1848">
            <w:pPr>
              <w:spacing w:line="276" w:lineRule="auto"/>
              <w:jc w:val="both"/>
              <w:rPr>
                <w:color w:val="000000" w:themeColor="text1"/>
              </w:rPr>
            </w:pPr>
            <w:r w:rsidRPr="004138DF">
              <w:rPr>
                <w:color w:val="000000" w:themeColor="text1"/>
              </w:rPr>
              <w:t>V roce 2021 Komise přijme akt v přenesené pravomoci podle nařízení o taxonomii za účelem stanovení společné klasifikace ekonomických činností, které významně přispívají k ochraně a obnově biologické rozmanitosti a ekosystémů. To bude dále v druhé polovině roku podpořeno obnovenou strategií pro udržitelné finance, která pomůže zajistit, aby finanční systém přispíval ke zmírnění stávajících a budoucích rizik pro biologickou rozmanitost a lépe odrážel, jak úbytek biologické rozmanitosti ovlivňuje ziskovost a dlouhodobé vyhlídky podniků</w:t>
            </w:r>
            <w:r w:rsidR="00573D7D" w:rsidRPr="004138DF">
              <w:rPr>
                <w:color w:val="000000" w:themeColor="text1"/>
              </w:rPr>
              <w:t>.</w:t>
            </w:r>
          </w:p>
          <w:p w14:paraId="58986944" w14:textId="77777777" w:rsidR="00467D65" w:rsidRDefault="00467D65" w:rsidP="002A1848">
            <w:pPr>
              <w:spacing w:line="276" w:lineRule="auto"/>
              <w:jc w:val="both"/>
              <w:rPr>
                <w:color w:val="000000" w:themeColor="text1"/>
              </w:rPr>
            </w:pPr>
          </w:p>
          <w:p w14:paraId="788E94B5" w14:textId="05200BB9" w:rsidR="00467D65" w:rsidRPr="003D44AC" w:rsidRDefault="00467D65" w:rsidP="00467D65">
            <w:pPr>
              <w:pBdr>
                <w:top w:val="single" w:sz="4" w:space="1" w:color="auto"/>
                <w:left w:val="single" w:sz="4" w:space="4" w:color="auto"/>
                <w:bottom w:val="single" w:sz="4" w:space="1" w:color="auto"/>
                <w:right w:val="single" w:sz="4" w:space="4" w:color="auto"/>
              </w:pBdr>
              <w:spacing w:line="276" w:lineRule="auto"/>
              <w:ind w:left="36" w:right="174"/>
              <w:jc w:val="both"/>
              <w:rPr>
                <w:rFonts w:cstheme="minorHAnsi"/>
                <w:b/>
                <w:noProof/>
                <w:color w:val="000000" w:themeColor="text1"/>
              </w:rPr>
            </w:pPr>
            <w:r w:rsidRPr="003D44AC">
              <w:rPr>
                <w:rFonts w:cstheme="minorHAnsi"/>
                <w:b/>
                <w:noProof/>
                <w:color w:val="000000" w:themeColor="text1"/>
              </w:rPr>
              <w:t>N</w:t>
            </w:r>
            <w:r>
              <w:rPr>
                <w:rFonts w:cstheme="minorHAnsi"/>
                <w:b/>
                <w:noProof/>
                <w:color w:val="000000" w:themeColor="text1"/>
              </w:rPr>
              <w:t>ová strategie EU v oblasti lesnictví</w:t>
            </w:r>
          </w:p>
          <w:p w14:paraId="0C6AF484" w14:textId="651AE28D" w:rsidR="00DE155B" w:rsidRPr="004138DF" w:rsidRDefault="001A47CD" w:rsidP="002A1848">
            <w:pPr>
              <w:spacing w:line="276" w:lineRule="auto"/>
              <w:jc w:val="both"/>
              <w:rPr>
                <w:color w:val="000000" w:themeColor="text1"/>
              </w:rPr>
            </w:pPr>
            <w:r w:rsidRPr="004138DF">
              <w:rPr>
                <w:color w:val="000000" w:themeColor="text1"/>
              </w:rPr>
              <w:t>Komise v roce 2021 navrhne zvláštní strategii EU v oblasti lesnictví v souladu s širšími ambicemi v oblasti biologické rozmanitosti a klimatické neutrality</w:t>
            </w:r>
            <w:r w:rsidR="00D11FB6" w:rsidRPr="004138DF">
              <w:rPr>
                <w:color w:val="000000" w:themeColor="text1"/>
              </w:rPr>
              <w:t xml:space="preserve"> </w:t>
            </w:r>
            <w:r w:rsidR="009979E4" w:rsidRPr="004138DF">
              <w:rPr>
                <w:color w:val="000000" w:themeColor="text1"/>
              </w:rPr>
              <w:t>včetně</w:t>
            </w:r>
            <w:r w:rsidR="00D11FB6" w:rsidRPr="004138DF">
              <w:rPr>
                <w:color w:val="000000" w:themeColor="text1"/>
              </w:rPr>
              <w:t xml:space="preserve"> </w:t>
            </w:r>
            <w:r w:rsidR="00D11FB6" w:rsidRPr="004138DF">
              <w:rPr>
                <w:rFonts w:cstheme="minorHAnsi"/>
                <w:color w:val="000000" w:themeColor="text1"/>
              </w:rPr>
              <w:t>plán</w:t>
            </w:r>
            <w:r w:rsidR="009979E4" w:rsidRPr="004138DF">
              <w:rPr>
                <w:rFonts w:cstheme="minorHAnsi"/>
                <w:color w:val="000000" w:themeColor="text1"/>
              </w:rPr>
              <w:t>u</w:t>
            </w:r>
            <w:r w:rsidR="00D11FB6" w:rsidRPr="004138DF">
              <w:rPr>
                <w:rFonts w:cstheme="minorHAnsi"/>
                <w:color w:val="000000" w:themeColor="text1"/>
              </w:rPr>
              <w:t xml:space="preserve"> na výsadbu nejméně 3 miliard dalších stromů v EU do roku 2030</w:t>
            </w:r>
            <w:r w:rsidR="00AF5F75" w:rsidRPr="004138DF">
              <w:rPr>
                <w:color w:val="000000" w:themeColor="text1"/>
              </w:rPr>
              <w:t xml:space="preserve">.  Hlavním cílem </w:t>
            </w:r>
            <w:r w:rsidR="00DE155B" w:rsidRPr="004138DF">
              <w:rPr>
                <w:color w:val="000000" w:themeColor="text1"/>
              </w:rPr>
              <w:t xml:space="preserve">EU v oblasti lesnictví </w:t>
            </w:r>
            <w:r w:rsidR="00AF5F75" w:rsidRPr="004138DF">
              <w:rPr>
                <w:color w:val="000000" w:themeColor="text1"/>
              </w:rPr>
              <w:t>je, že musí být všechny lesy zachovány v dobrém stavu</w:t>
            </w:r>
            <w:r w:rsidR="00DE155B" w:rsidRPr="004138DF">
              <w:rPr>
                <w:color w:val="000000" w:themeColor="text1"/>
              </w:rPr>
              <w:t xml:space="preserve">, musí se zvýšit množství, kvalita a odolnost lesů, zejména proti požárům, suchu, chorobám způsobeným škůdci a dalším hrozbám, které se změnou klimatu pravděpodobně zvýší. </w:t>
            </w:r>
          </w:p>
          <w:p w14:paraId="26C8224F" w14:textId="76465DF8" w:rsidR="00267636" w:rsidRPr="004138DF" w:rsidRDefault="00267636" w:rsidP="002A1848">
            <w:pPr>
              <w:spacing w:line="276" w:lineRule="auto"/>
              <w:jc w:val="both"/>
              <w:rPr>
                <w:rFonts w:cstheme="minorHAnsi"/>
                <w:color w:val="000000" w:themeColor="text1"/>
              </w:rPr>
            </w:pPr>
            <w:r w:rsidRPr="004138DF">
              <w:rPr>
                <w:rFonts w:cstheme="minorHAnsi"/>
                <w:color w:val="000000" w:themeColor="text1"/>
              </w:rPr>
              <w:t xml:space="preserve">DE PRES na jednání červencové Pracovní skupiny pro lesnictví Rady EU sdělilo, že k nové strategii budou do konce roku 2020 vypracovány závěry Rady, které by vyjádřily postoj Rady k budoucí podobě strategie po roce 2020. Další diskuze ohledně podoby strategie by měly probíhat rovněž na úrovni Stálého lesnického výboru (SFC). Jelikož Strategie </w:t>
            </w:r>
            <w:r w:rsidR="00B54D3A" w:rsidRPr="004138DF">
              <w:rPr>
                <w:rFonts w:cstheme="minorHAnsi"/>
                <w:color w:val="000000" w:themeColor="text1"/>
              </w:rPr>
              <w:t>B</w:t>
            </w:r>
            <w:r w:rsidRPr="004138DF">
              <w:rPr>
                <w:rFonts w:cstheme="minorHAnsi"/>
                <w:color w:val="000000" w:themeColor="text1"/>
              </w:rPr>
              <w:t xml:space="preserve">yla ustavena nová pracovní skupina EK Příroda a lesy, která se bude zabývat společnými otázkami a jednotlivými definicemi.      </w:t>
            </w:r>
          </w:p>
          <w:p w14:paraId="66D8F81B" w14:textId="7926B43D" w:rsidR="00267636" w:rsidRPr="004138DF" w:rsidRDefault="00267636" w:rsidP="00467D65">
            <w:pPr>
              <w:spacing w:line="240" w:lineRule="auto"/>
              <w:jc w:val="both"/>
              <w:rPr>
                <w:rFonts w:cstheme="minorHAnsi"/>
                <w:color w:val="000000" w:themeColor="text1"/>
              </w:rPr>
            </w:pPr>
            <w:r w:rsidRPr="004138DF">
              <w:rPr>
                <w:rFonts w:cstheme="minorHAnsi"/>
                <w:color w:val="000000" w:themeColor="text1"/>
              </w:rPr>
              <w:t>ČR vítá</w:t>
            </w:r>
            <w:r w:rsidR="00B54D3A" w:rsidRPr="004138DF">
              <w:rPr>
                <w:rFonts w:cstheme="minorHAnsi"/>
                <w:color w:val="000000" w:themeColor="text1"/>
              </w:rPr>
              <w:t xml:space="preserve"> n</w:t>
            </w:r>
            <w:r w:rsidRPr="004138DF">
              <w:rPr>
                <w:rFonts w:cstheme="minorHAnsi"/>
                <w:color w:val="000000" w:themeColor="text1"/>
              </w:rPr>
              <w:t>utnost přijetí nové strategie EU pro oblast lesnictví. Nová samostatná strategie EU pro oblast lesnictví musí vyváženým způsobem zohlednit všechny environmentální, ekonomické a sociální aspekty lesního hospodářství a neměla by se zaměřit pouze na dílčí oblasti, jako je například ochrana biologické rozmanitosti. Mnohostranné funkce lesů musí být akcentovány ve všech relevantních strategiích na úrovni EU, přičemž je žádoucí, aby takové strategie byly rovnocenné a vzájemně se podporovaly. Nová strategie by měla umožnit efektivněji reagovat na nové celosvětové výzvy pro lesnictví a přispívat k boji proti celosvětovému odlesňování a znehodnocování lesů.</w:t>
            </w:r>
          </w:p>
          <w:p w14:paraId="605D69B3" w14:textId="16BFFC2E" w:rsidR="004138DF" w:rsidRPr="004138DF" w:rsidRDefault="00267636" w:rsidP="00467D65">
            <w:pPr>
              <w:spacing w:line="240" w:lineRule="auto"/>
              <w:jc w:val="both"/>
              <w:rPr>
                <w:rFonts w:cstheme="minorHAnsi"/>
                <w:color w:val="000000" w:themeColor="text1"/>
              </w:rPr>
            </w:pPr>
            <w:r w:rsidRPr="004138DF">
              <w:rPr>
                <w:rFonts w:cstheme="minorHAnsi"/>
                <w:color w:val="000000" w:themeColor="text1"/>
              </w:rPr>
              <w:t>ČR preferuje posilování role Stálého lesnického výboru (SFC) zejména plné zohledňování jeho názorů v jednotlivých politikách. Možným mechanismem je zakládání ad hoc pracovních skupin SFC, společná zasedání s jinými výbory EK, či vytváření sítí z iniciativy ČS (vzor Evropské sítě Integrate). ČR by ráda s podporou SFC rozvíjela aktivity Evropské sítě Integrate (účelná a pragmatická integrace ochrany přírody do udržitelně obhospodařovaných lesů).</w:t>
            </w:r>
          </w:p>
          <w:p w14:paraId="6A51F41F" w14:textId="4CD9B562" w:rsidR="00267636" w:rsidRPr="004138DF" w:rsidRDefault="004138DF" w:rsidP="00467D65">
            <w:pPr>
              <w:spacing w:line="240" w:lineRule="auto"/>
              <w:jc w:val="both"/>
              <w:rPr>
                <w:rFonts w:cstheme="minorHAnsi"/>
                <w:color w:val="000000" w:themeColor="text1"/>
              </w:rPr>
            </w:pPr>
            <w:r w:rsidRPr="004138DF">
              <w:rPr>
                <w:rFonts w:cstheme="minorHAnsi"/>
                <w:color w:val="000000" w:themeColor="text1"/>
              </w:rPr>
              <w:t>F</w:t>
            </w:r>
            <w:r w:rsidR="00267636" w:rsidRPr="004138DF">
              <w:rPr>
                <w:rFonts w:cstheme="minorHAnsi"/>
                <w:color w:val="000000" w:themeColor="text1"/>
              </w:rPr>
              <w:t xml:space="preserve">inancování potřebných </w:t>
            </w:r>
            <w:r w:rsidRPr="004138DF">
              <w:rPr>
                <w:rFonts w:cstheme="minorHAnsi"/>
                <w:color w:val="000000" w:themeColor="text1"/>
              </w:rPr>
              <w:t>opatření – ČR</w:t>
            </w:r>
            <w:r w:rsidR="00267636" w:rsidRPr="004138DF">
              <w:rPr>
                <w:rFonts w:cstheme="minorHAnsi"/>
                <w:color w:val="000000" w:themeColor="text1"/>
              </w:rPr>
              <w:t xml:space="preserve"> zdůrazňuje potřebu zefektivnit mechanismus národních podpor, zjednodušení jejich poskytování a procesu notifikace, umožněním blokových výjimek ze strany EK, a podporuje průzkum možnosti plateb za ekosystémové služby zaměřené zejména na změnu druhové skladby lesních porostů, přirozenou obnovu, výchovu lesních porostů a využívání šetrných technologií v lesích. ČR uvítá širší možnosti financování škod na lesích souvisejících se změnou klimatu (kalamity v lesích), které dosud předpisy EU k veřejným podporám nepředjímají.</w:t>
            </w:r>
          </w:p>
          <w:p w14:paraId="650F2E6A" w14:textId="77777777" w:rsidR="00267636" w:rsidRPr="004138DF" w:rsidRDefault="00267636" w:rsidP="00467D65">
            <w:pPr>
              <w:spacing w:line="240" w:lineRule="auto"/>
              <w:jc w:val="both"/>
              <w:rPr>
                <w:rFonts w:cstheme="minorHAnsi"/>
                <w:color w:val="000000" w:themeColor="text1"/>
              </w:rPr>
            </w:pPr>
            <w:r w:rsidRPr="004138DF">
              <w:rPr>
                <w:rFonts w:cstheme="minorHAnsi"/>
                <w:color w:val="000000" w:themeColor="text1"/>
              </w:rPr>
              <w:t xml:space="preserve">Z hlediska ochrany zemědělské půdy v ČR je důležité, aby nové </w:t>
            </w:r>
            <w:r w:rsidRPr="004138DF">
              <w:rPr>
                <w:rFonts w:cstheme="minorHAnsi"/>
                <w:b/>
                <w:bCs/>
                <w:color w:val="000000" w:themeColor="text1"/>
              </w:rPr>
              <w:t>zalesňování nebylo podporováno na nejkvalitnějších půdách I. a II. třídy ochrany a obdobně</w:t>
            </w:r>
            <w:r w:rsidRPr="004138DF">
              <w:rPr>
                <w:rFonts w:cstheme="minorHAnsi"/>
                <w:color w:val="000000" w:themeColor="text1"/>
              </w:rPr>
              <w:t xml:space="preserve">, s ohledem na ochranu biodiverzity, by nemělo být směřováno do přírodně hodnotných nelesních biotopů atp. Jelikož plocha lesů v ČR dlouhodobě </w:t>
            </w:r>
            <w:r w:rsidRPr="004138DF">
              <w:rPr>
                <w:rFonts w:cstheme="minorHAnsi"/>
                <w:color w:val="000000" w:themeColor="text1"/>
              </w:rPr>
              <w:lastRenderedPageBreak/>
              <w:t>stoupá a obnova lesů po těžbě je zákonnou povinností vlastníka, příležitost pro dodatečnou výsadbu stromů lze identifikovat především mimo pozemky určené k plnění funkcí lesa, například ve městech nebo jako součást (se synergickým efektem) opatření ke snížení eroze půdy.</w:t>
            </w:r>
          </w:p>
          <w:p w14:paraId="12747A98" w14:textId="46B2F42C" w:rsidR="00267636" w:rsidRPr="004138DF" w:rsidRDefault="004138DF" w:rsidP="00467D65">
            <w:pPr>
              <w:spacing w:line="240" w:lineRule="auto"/>
              <w:jc w:val="both"/>
              <w:rPr>
                <w:rFonts w:cstheme="minorHAnsi"/>
                <w:color w:val="000000" w:themeColor="text1"/>
              </w:rPr>
            </w:pPr>
            <w:r>
              <w:rPr>
                <w:rFonts w:cstheme="minorHAnsi"/>
                <w:color w:val="000000" w:themeColor="text1"/>
              </w:rPr>
              <w:t>Č</w:t>
            </w:r>
            <w:r w:rsidR="00267636" w:rsidRPr="004138DF">
              <w:rPr>
                <w:rFonts w:cstheme="minorHAnsi"/>
                <w:color w:val="000000" w:themeColor="text1"/>
              </w:rPr>
              <w:t>enské státy měly mít v konečném důsledku rozhodující úlohu při stanovování postupů</w:t>
            </w:r>
            <w:r>
              <w:rPr>
                <w:rFonts w:cstheme="minorHAnsi"/>
                <w:color w:val="000000" w:themeColor="text1"/>
              </w:rPr>
              <w:t xml:space="preserve"> </w:t>
            </w:r>
            <w:r w:rsidRPr="004138DF">
              <w:rPr>
                <w:rFonts w:cstheme="minorHAnsi"/>
                <w:color w:val="000000" w:themeColor="text1"/>
              </w:rPr>
              <w:t>zalesňování, obnově lesa a přírodě blízkým postupům</w:t>
            </w:r>
            <w:r w:rsidR="00267636" w:rsidRPr="004138DF">
              <w:rPr>
                <w:rFonts w:cstheme="minorHAnsi"/>
                <w:color w:val="000000" w:themeColor="text1"/>
              </w:rPr>
              <w:t xml:space="preserve">. Ve vztahu k odvětví LULUCF a klimatické neutralitě je třeba zdůraznit, že již nyní se v </w:t>
            </w:r>
            <w:r w:rsidR="00267636" w:rsidRPr="004138DF">
              <w:rPr>
                <w:rFonts w:cstheme="minorHAnsi"/>
                <w:b/>
                <w:bCs/>
                <w:color w:val="000000" w:themeColor="text1"/>
              </w:rPr>
              <w:t>ČR mění role lesního hospodářství ve smyslu propadů CO2 z důvodu nahodilých těžeb souvisejících s likvidací kůrovcové kalamity</w:t>
            </w:r>
            <w:r w:rsidR="00267636" w:rsidRPr="004138DF">
              <w:rPr>
                <w:rFonts w:cstheme="minorHAnsi"/>
                <w:color w:val="000000" w:themeColor="text1"/>
              </w:rPr>
              <w:t xml:space="preserve">. </w:t>
            </w:r>
            <w:r>
              <w:rPr>
                <w:rFonts w:cstheme="minorHAnsi"/>
                <w:color w:val="000000" w:themeColor="text1"/>
              </w:rPr>
              <w:t>D</w:t>
            </w:r>
            <w:r w:rsidR="00267636" w:rsidRPr="004138DF">
              <w:rPr>
                <w:rFonts w:cstheme="minorHAnsi"/>
                <w:color w:val="000000" w:themeColor="text1"/>
              </w:rPr>
              <w:t xml:space="preserve">očasně bude sektor lesního hospodářství vykazovat emise CO2. ČR považuje za významné, aby v nejbližších letech byl kladen důraz na </w:t>
            </w:r>
            <w:bookmarkStart w:id="8" w:name="_Hlk55502698"/>
            <w:r w:rsidR="00267636" w:rsidRPr="004138DF">
              <w:rPr>
                <w:rFonts w:cstheme="minorHAnsi"/>
                <w:color w:val="000000" w:themeColor="text1"/>
              </w:rPr>
              <w:t>obnovu postižených lesů a jejich adaptaci na změnu klimatu</w:t>
            </w:r>
            <w:bookmarkEnd w:id="8"/>
            <w:r w:rsidR="00267636" w:rsidRPr="004138DF">
              <w:rPr>
                <w:rFonts w:cstheme="minorHAnsi"/>
                <w:color w:val="000000" w:themeColor="text1"/>
              </w:rPr>
              <w:t xml:space="preserve">. </w:t>
            </w:r>
          </w:p>
          <w:p w14:paraId="3B5689BA" w14:textId="4DDC24F3" w:rsidR="00267636" w:rsidRPr="004138DF" w:rsidRDefault="00267636" w:rsidP="00467D65">
            <w:pPr>
              <w:spacing w:line="240" w:lineRule="auto"/>
              <w:jc w:val="both"/>
              <w:rPr>
                <w:rFonts w:cstheme="minorHAnsi"/>
                <w:color w:val="000000" w:themeColor="text1"/>
              </w:rPr>
            </w:pPr>
            <w:r w:rsidRPr="004138DF">
              <w:rPr>
                <w:rFonts w:cstheme="minorHAnsi"/>
                <w:color w:val="000000" w:themeColor="text1"/>
              </w:rPr>
              <w:t xml:space="preserve">Jelikož plocha lesů v ČR dlouhodobě stoupá a obnova lesů po těžbě je zákonnou povinností vlastníka, příležitost pro dodatečnou výsadbu stromů </w:t>
            </w:r>
            <w:r w:rsidR="004138DF">
              <w:rPr>
                <w:rFonts w:cstheme="minorHAnsi"/>
                <w:color w:val="000000" w:themeColor="text1"/>
              </w:rPr>
              <w:t>(</w:t>
            </w:r>
            <w:r w:rsidR="004138DF" w:rsidRPr="004138DF">
              <w:rPr>
                <w:rFonts w:cstheme="minorHAnsi"/>
                <w:color w:val="000000" w:themeColor="text1"/>
              </w:rPr>
              <w:t>plán na výsadbu nejméně 3 miliard dalších stromů v EU do roku 2030</w:t>
            </w:r>
            <w:r w:rsidR="004138DF">
              <w:rPr>
                <w:rFonts w:cstheme="minorHAnsi"/>
                <w:color w:val="000000" w:themeColor="text1"/>
              </w:rPr>
              <w:t xml:space="preserve">) </w:t>
            </w:r>
            <w:r w:rsidRPr="004138DF">
              <w:rPr>
                <w:rFonts w:cstheme="minorHAnsi"/>
                <w:color w:val="000000" w:themeColor="text1"/>
              </w:rPr>
              <w:t xml:space="preserve">lze identifikovat především mimo pozemky určené k plnění funkcí lesa, například ve městech nebo jako součást (se synergickým efektem) opatření ke snížení eroze půdy. </w:t>
            </w:r>
          </w:p>
          <w:p w14:paraId="7E75CB8B" w14:textId="77777777" w:rsidR="00267636" w:rsidRPr="004138DF" w:rsidRDefault="00267636" w:rsidP="00467D65">
            <w:pPr>
              <w:spacing w:line="240" w:lineRule="auto"/>
              <w:jc w:val="both"/>
              <w:rPr>
                <w:rFonts w:cstheme="minorHAnsi"/>
                <w:color w:val="000000" w:themeColor="text1"/>
              </w:rPr>
            </w:pPr>
            <w:r w:rsidRPr="004138DF">
              <w:rPr>
                <w:rFonts w:cstheme="minorHAnsi"/>
                <w:color w:val="000000" w:themeColor="text1"/>
              </w:rPr>
              <w:t xml:space="preserve">Nová strategie EU pro oblast lesnictví se bude nyní připravovat, včetně jednotlivých klíčových opatření, přičemž lze očekávat, že jejich financování bude uskutečněno z rozpočtu EU i z čistě národních zdrojů. </w:t>
            </w:r>
          </w:p>
          <w:p w14:paraId="080E8098" w14:textId="77777777" w:rsidR="00267636" w:rsidRPr="004138DF" w:rsidRDefault="00267636" w:rsidP="00467D65">
            <w:pPr>
              <w:spacing w:line="240" w:lineRule="auto"/>
              <w:jc w:val="both"/>
              <w:rPr>
                <w:rFonts w:cstheme="minorHAnsi"/>
                <w:color w:val="000000" w:themeColor="text1"/>
              </w:rPr>
            </w:pPr>
            <w:r w:rsidRPr="004138DF">
              <w:rPr>
                <w:rFonts w:cstheme="minorHAnsi"/>
                <w:color w:val="000000" w:themeColor="text1"/>
              </w:rPr>
              <w:t>V návaznosti na kůrovcovou kalamitu Česká republika v minulosti zdůrazňovala potřebu zefektivnit mechanismus národních podpor, zjednodušení jejich poskytování a procesu notifikace, mimo jiné umožněním blokových výjimek ze strany EK, a podporuje průzkum možnosti plateb za ekosystémové služby zaměřené zejména na změnu druhové skladby lesních porostů, přirozenou obnovu, výchovu lesních porostů a využívání šetrných technologií v lesích. Zde by ČR uvítala širší možnosti financování škod na lesích souvisejících se změnou klimatu (kalamity v lesích), které dosud předpisy EU k veřejným podporám nepředjímají.</w:t>
            </w:r>
          </w:p>
          <w:p w14:paraId="6DBB6CE5" w14:textId="77777777" w:rsidR="00B832B1" w:rsidRPr="004138DF" w:rsidRDefault="00B832B1" w:rsidP="002A1848">
            <w:pPr>
              <w:spacing w:line="276" w:lineRule="auto"/>
              <w:jc w:val="both"/>
              <w:rPr>
                <w:rFonts w:cstheme="minorHAnsi"/>
                <w:i/>
                <w:iCs/>
                <w:color w:val="000000" w:themeColor="text1"/>
              </w:rPr>
            </w:pPr>
          </w:p>
          <w:p w14:paraId="36EB5440" w14:textId="287345F7" w:rsidR="00524E25" w:rsidRPr="004138DF" w:rsidRDefault="00524E25" w:rsidP="002A1848">
            <w:pPr>
              <w:spacing w:line="276" w:lineRule="auto"/>
              <w:jc w:val="both"/>
              <w:rPr>
                <w:rFonts w:cstheme="minorHAnsi"/>
                <w:i/>
                <w:iCs/>
                <w:color w:val="000000" w:themeColor="text1"/>
              </w:rPr>
            </w:pPr>
            <w:r w:rsidRPr="004138DF">
              <w:rPr>
                <w:rFonts w:cstheme="minorHAnsi"/>
                <w:i/>
                <w:iCs/>
                <w:noProof/>
                <w:color w:val="000000" w:themeColor="text1"/>
              </w:rPr>
              <w:drawing>
                <wp:inline distT="0" distB="0" distL="0" distR="0" wp14:anchorId="2C95DE0F" wp14:editId="7F1374C2">
                  <wp:extent cx="5759450" cy="31750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710ADA99" w14:textId="4A4D7AF6" w:rsidR="00267636" w:rsidRPr="004138DF" w:rsidRDefault="00267636" w:rsidP="00467D65">
            <w:pPr>
              <w:spacing w:line="240" w:lineRule="auto"/>
              <w:jc w:val="both"/>
              <w:rPr>
                <w:rFonts w:cstheme="minorHAnsi"/>
                <w:color w:val="000000" w:themeColor="text1"/>
              </w:rPr>
            </w:pPr>
            <w:r w:rsidRPr="004138DF">
              <w:rPr>
                <w:rFonts w:cstheme="minorHAnsi"/>
                <w:color w:val="000000" w:themeColor="text1"/>
              </w:rPr>
              <w:t xml:space="preserve">Za účelem naplnění cílů Zelené dohody pro Evropu a Strategie EU pro biodiverzitu do roku 2030 je zapotřebí podpořit větší začlenění lesnictví do oběhového biohospodářství a produkci dřevěných výrobků s větší přidanou hodnotou, což by lesníkům zajistilo adekvátní příjmy a umožnilo jim investice do potřebných opatření. ČR zdůrazňuje potřebu inovací a modernizace sektoru lesnictví, příslušné infrastruktury a rozvoje systémů založených na lesnictví a hodnotových řetězců, které jsou nezbytným předpokladem pro naplnění cílů biohospodářství a oběhové ekonomiky. Z krátkodobého hlediska jsou dané inovace důležité ve vztahu k rozsáhlé kůrovcové kalamitě a převisu nabídky dříví nad poptávkou po něm. Jelikož v rámci posilování odolnosti lesů dochází k přeměně jejich druhové skladby, je z dlouhodobého hlediska důležité zkoumat možnosti využití této suroviny s ohledem na vyšší podíly listnatého dříví na trhu, které se začnou zvyšovat v době prvních výchovných zásahů do nově zalesněných ploch po nynější kalamitě. Potřeba modernizace lesnického sektoru by měla být zohledněna při vytváření nového výzkumného a inovačního rámce programu Horizont Evropa, přičemž by měly být podpořeny iniciativy členských států, jako je BIOEAST. </w:t>
            </w:r>
          </w:p>
          <w:p w14:paraId="4C7BDF69" w14:textId="4FC807CB" w:rsidR="00524E25" w:rsidRPr="004138DF" w:rsidRDefault="00524E25" w:rsidP="002A1848">
            <w:pPr>
              <w:spacing w:line="276" w:lineRule="auto"/>
              <w:jc w:val="both"/>
              <w:rPr>
                <w:rFonts w:cstheme="minorHAnsi"/>
                <w:i/>
                <w:iCs/>
                <w:color w:val="000000" w:themeColor="text1"/>
              </w:rPr>
            </w:pPr>
          </w:p>
          <w:p w14:paraId="3484FF52" w14:textId="23F466F2" w:rsidR="002B3442" w:rsidRDefault="002B3442" w:rsidP="002A1848">
            <w:pPr>
              <w:spacing w:line="276" w:lineRule="auto"/>
              <w:jc w:val="both"/>
              <w:rPr>
                <w:rFonts w:cstheme="minorHAnsi"/>
                <w:i/>
                <w:iCs/>
                <w:color w:val="000000" w:themeColor="text1"/>
              </w:rPr>
            </w:pPr>
          </w:p>
          <w:p w14:paraId="203A687F" w14:textId="77777777" w:rsidR="005E0E86" w:rsidRDefault="005E0E86" w:rsidP="002A1848">
            <w:pPr>
              <w:spacing w:line="276" w:lineRule="auto"/>
              <w:jc w:val="both"/>
              <w:rPr>
                <w:rFonts w:cstheme="minorHAnsi"/>
                <w:i/>
                <w:iCs/>
                <w:color w:val="000000" w:themeColor="text1"/>
              </w:rPr>
            </w:pPr>
          </w:p>
          <w:p w14:paraId="08315B91" w14:textId="77777777" w:rsidR="00292C30" w:rsidRPr="004138DF" w:rsidRDefault="00292C30" w:rsidP="002A1848">
            <w:pPr>
              <w:spacing w:line="276" w:lineRule="auto"/>
              <w:jc w:val="both"/>
              <w:rPr>
                <w:rFonts w:cstheme="minorHAnsi"/>
                <w:i/>
                <w:iCs/>
                <w:color w:val="000000" w:themeColor="text1"/>
              </w:rPr>
            </w:pPr>
          </w:p>
          <w:p w14:paraId="5DAA253D" w14:textId="4692597F" w:rsidR="00292C30" w:rsidRPr="0018567C" w:rsidRDefault="00292C30" w:rsidP="003A3358">
            <w:pPr>
              <w:pBdr>
                <w:top w:val="single" w:sz="4" w:space="1" w:color="auto"/>
                <w:left w:val="single" w:sz="4" w:space="0" w:color="auto"/>
                <w:bottom w:val="single" w:sz="4" w:space="1" w:color="auto"/>
                <w:right w:val="single" w:sz="4" w:space="0" w:color="auto"/>
              </w:pBdr>
              <w:autoSpaceDE w:val="0"/>
              <w:autoSpaceDN w:val="0"/>
              <w:adjustRightInd w:val="0"/>
              <w:spacing w:line="276" w:lineRule="auto"/>
              <w:ind w:right="32"/>
              <w:jc w:val="both"/>
              <w:rPr>
                <w:rFonts w:cstheme="minorHAnsi"/>
                <w:b/>
                <w:color w:val="000000" w:themeColor="text1"/>
                <w:sz w:val="32"/>
                <w:szCs w:val="32"/>
                <w:highlight w:val="cyan"/>
              </w:rPr>
            </w:pPr>
            <w:r>
              <w:rPr>
                <w:rFonts w:cstheme="minorHAnsi"/>
                <w:b/>
                <w:color w:val="000000" w:themeColor="text1"/>
                <w:sz w:val="32"/>
                <w:szCs w:val="32"/>
                <w:highlight w:val="cyan"/>
              </w:rPr>
              <w:lastRenderedPageBreak/>
              <w:t>Směrem</w:t>
            </w:r>
            <w:r w:rsidRPr="0018567C">
              <w:rPr>
                <w:rFonts w:cstheme="minorHAnsi"/>
                <w:b/>
                <w:color w:val="000000" w:themeColor="text1"/>
                <w:sz w:val="32"/>
                <w:szCs w:val="32"/>
                <w:highlight w:val="cyan"/>
              </w:rPr>
              <w:t xml:space="preserve"> </w:t>
            </w:r>
            <w:r>
              <w:rPr>
                <w:rFonts w:cstheme="minorHAnsi"/>
                <w:b/>
                <w:color w:val="000000" w:themeColor="text1"/>
                <w:sz w:val="32"/>
                <w:szCs w:val="32"/>
                <w:highlight w:val="cyan"/>
              </w:rPr>
              <w:t>k životnímu prostředí bez toxických látek díky ambicióznímu cíli nulového znečištění</w:t>
            </w:r>
            <w:r w:rsidRPr="0018567C">
              <w:rPr>
                <w:rFonts w:cstheme="minorHAnsi"/>
                <w:b/>
                <w:color w:val="000000" w:themeColor="text1"/>
                <w:sz w:val="32"/>
                <w:szCs w:val="32"/>
                <w:highlight w:val="cyan"/>
              </w:rPr>
              <w:t xml:space="preserve"> </w:t>
            </w:r>
          </w:p>
          <w:p w14:paraId="3814267C" w14:textId="4779BB19" w:rsidR="00F61A5A" w:rsidRDefault="00F61A5A" w:rsidP="003A3358">
            <w:pPr>
              <w:spacing w:line="276" w:lineRule="auto"/>
              <w:ind w:right="-109"/>
              <w:jc w:val="both"/>
              <w:rPr>
                <w:rFonts w:cstheme="minorHAnsi"/>
                <w:i/>
                <w:iCs/>
                <w:noProof/>
                <w:color w:val="000000" w:themeColor="text1"/>
              </w:rPr>
            </w:pPr>
          </w:p>
          <w:p w14:paraId="240B79C3" w14:textId="18FA9CAF" w:rsidR="003A3358" w:rsidRDefault="003A3358" w:rsidP="003A3358">
            <w:pPr>
              <w:pBdr>
                <w:top w:val="single" w:sz="4" w:space="1" w:color="auto"/>
                <w:left w:val="single" w:sz="4" w:space="4" w:color="auto"/>
                <w:bottom w:val="single" w:sz="4" w:space="1" w:color="auto"/>
                <w:right w:val="single" w:sz="4" w:space="4" w:color="auto"/>
              </w:pBdr>
              <w:spacing w:line="276" w:lineRule="auto"/>
              <w:ind w:left="36" w:right="174"/>
              <w:jc w:val="both"/>
              <w:rPr>
                <w:rFonts w:cstheme="minorHAnsi"/>
                <w:b/>
                <w:bCs/>
                <w:noProof/>
                <w:color w:val="000000" w:themeColor="text1"/>
              </w:rPr>
            </w:pPr>
            <w:r w:rsidRPr="003A3358">
              <w:rPr>
                <w:rFonts w:cstheme="minorHAnsi"/>
                <w:b/>
                <w:bCs/>
                <w:noProof/>
                <w:color w:val="000000" w:themeColor="text1"/>
              </w:rPr>
              <w:t>Strategie udržitel</w:t>
            </w:r>
            <w:r>
              <w:rPr>
                <w:rFonts w:cstheme="minorHAnsi"/>
                <w:b/>
                <w:bCs/>
                <w:noProof/>
                <w:color w:val="000000" w:themeColor="text1"/>
              </w:rPr>
              <w:t>nosti</w:t>
            </w:r>
            <w:r w:rsidRPr="003A3358">
              <w:rPr>
                <w:rFonts w:cstheme="minorHAnsi"/>
                <w:b/>
                <w:bCs/>
                <w:noProof/>
                <w:color w:val="000000" w:themeColor="text1"/>
              </w:rPr>
              <w:t xml:space="preserve"> chemických látek</w:t>
            </w:r>
          </w:p>
          <w:p w14:paraId="4C718BFF" w14:textId="36F6A748" w:rsidR="00292C30" w:rsidRPr="004138DF" w:rsidRDefault="0013656B" w:rsidP="00467D65">
            <w:pPr>
              <w:spacing w:line="240" w:lineRule="auto"/>
              <w:jc w:val="both"/>
              <w:rPr>
                <w:rFonts w:cstheme="minorHAnsi"/>
                <w:color w:val="000000" w:themeColor="text1"/>
              </w:rPr>
            </w:pPr>
            <w:r w:rsidRPr="00292C30">
              <w:rPr>
                <w:rFonts w:cstheme="minorHAnsi"/>
                <w:color w:val="000000" w:themeColor="text1"/>
              </w:rPr>
              <w:t xml:space="preserve">ČR obecně podporuje princip nulového znečištění ve smyslu snížení znečištění životního prostředí, které má původ v lidské činnosti na maximum proveditelného při zachování konkurenceschopnosti evropského hospodářství. Pro dosažení tohoto cíle ČR souhlasí s návrhem EK posílit spolupráci mezi jednotlivými agendami k chemickým látkám, efektivněji propojit vědu a </w:t>
            </w:r>
            <w:r w:rsidR="00B768D6" w:rsidRPr="00292C30">
              <w:rPr>
                <w:rFonts w:cstheme="minorHAnsi"/>
                <w:color w:val="000000" w:themeColor="text1"/>
              </w:rPr>
              <w:t>politiku a</w:t>
            </w:r>
            <w:r w:rsidRPr="00292C30">
              <w:rPr>
                <w:rFonts w:cstheme="minorHAnsi"/>
                <w:color w:val="000000" w:themeColor="text1"/>
              </w:rPr>
              <w:t xml:space="preserve"> zajistit zdroje pro financování transformace a s ní souvisejících aktivit. ČR vítá zájem EK, co nejvíce posílit i mezinárodní spolupráci v oblasti snižování rizik plynoucích z výroby a používání nebezpečných chemických látek. </w:t>
            </w:r>
            <w:r w:rsidR="00292C30" w:rsidRPr="004138DF">
              <w:rPr>
                <w:rFonts w:cstheme="minorHAnsi"/>
                <w:color w:val="000000" w:themeColor="text1"/>
              </w:rPr>
              <w:t xml:space="preserve">Strategie byla zveřejněna v říjnu 2020, schválená rámcová pozice je k dispozici. </w:t>
            </w:r>
          </w:p>
          <w:p w14:paraId="1B1AB650" w14:textId="77777777" w:rsidR="0013656B" w:rsidRPr="00292C30" w:rsidRDefault="0013656B" w:rsidP="00467D65">
            <w:pPr>
              <w:spacing w:line="240" w:lineRule="auto"/>
              <w:jc w:val="both"/>
              <w:rPr>
                <w:rFonts w:cstheme="minorHAnsi"/>
                <w:color w:val="000000" w:themeColor="text1"/>
              </w:rPr>
            </w:pPr>
            <w:r w:rsidRPr="00292C30">
              <w:rPr>
                <w:rFonts w:cstheme="minorHAnsi"/>
                <w:color w:val="000000" w:themeColor="text1"/>
              </w:rPr>
              <w:t>Z legislativního pohledu ČR považuje již existující právní akty EU v oblasti chemických látek za velmi dobrý a robustní základ a je potřeba především zajistit jejich správnou implementaci a zlepšit dosavadní kontrolu jejich plnění a dodržování ve všech členských státech. Odmítáme zásadní změny nařízení REACH a CLP.</w:t>
            </w:r>
          </w:p>
          <w:p w14:paraId="6AD0E756" w14:textId="77777777" w:rsidR="0013656B" w:rsidRPr="00292C30" w:rsidRDefault="0013656B" w:rsidP="00467D65">
            <w:pPr>
              <w:spacing w:line="240" w:lineRule="auto"/>
              <w:jc w:val="both"/>
              <w:rPr>
                <w:rFonts w:cstheme="minorHAnsi"/>
                <w:color w:val="000000" w:themeColor="text1"/>
              </w:rPr>
            </w:pPr>
            <w:r w:rsidRPr="00292C30">
              <w:rPr>
                <w:rFonts w:cstheme="minorHAnsi"/>
                <w:color w:val="000000" w:themeColor="text1"/>
              </w:rPr>
              <w:t>Dopad na státní rozpočet bude mít realizace a uplatňování legislativy, jež bude pravděpodobně přijata v návaznosti na plánovaná opatření uvedená v této strategii.</w:t>
            </w:r>
          </w:p>
          <w:p w14:paraId="78EBA94C" w14:textId="6545ABCF" w:rsidR="00D17A06" w:rsidRPr="00B768D6" w:rsidRDefault="00D17A06" w:rsidP="00467D65">
            <w:pPr>
              <w:spacing w:line="240" w:lineRule="auto"/>
              <w:jc w:val="both"/>
              <w:rPr>
                <w:rFonts w:cstheme="minorHAnsi"/>
                <w:color w:val="000000" w:themeColor="text1"/>
              </w:rPr>
            </w:pPr>
            <w:r w:rsidRPr="00B768D6">
              <w:rPr>
                <w:rFonts w:cstheme="minorHAnsi"/>
                <w:color w:val="000000" w:themeColor="text1"/>
              </w:rPr>
              <w:t xml:space="preserve">Dne 14. října 2020 Evropská komise předložila strategii EU pro udržitelnost chemických látek </w:t>
            </w:r>
            <w:r w:rsidR="003372C8" w:rsidRPr="00B768D6">
              <w:rPr>
                <w:rFonts w:cstheme="minorHAnsi"/>
                <w:color w:val="000000" w:themeColor="text1"/>
              </w:rPr>
              <w:t>COM (</w:t>
            </w:r>
            <w:r w:rsidRPr="00B768D6">
              <w:rPr>
                <w:rFonts w:cstheme="minorHAnsi"/>
                <w:color w:val="000000" w:themeColor="text1"/>
              </w:rPr>
              <w:t>2020)667.</w:t>
            </w:r>
          </w:p>
          <w:p w14:paraId="03CAC36C" w14:textId="77777777" w:rsidR="00D17A06" w:rsidRPr="00B768D6" w:rsidRDefault="00D17A06" w:rsidP="00467D65">
            <w:pPr>
              <w:spacing w:line="240" w:lineRule="auto"/>
              <w:jc w:val="both"/>
              <w:rPr>
                <w:rFonts w:cstheme="minorHAnsi"/>
                <w:color w:val="000000" w:themeColor="text1"/>
              </w:rPr>
            </w:pPr>
            <w:r w:rsidRPr="00B768D6">
              <w:rPr>
                <w:rFonts w:cstheme="minorHAnsi"/>
                <w:color w:val="000000" w:themeColor="text1"/>
              </w:rPr>
              <w:t>Navržená opatření strategie jsou rozdělena do pěti oblastí, v jejichž rámci jsou stanoveny tematické priority:</w:t>
            </w:r>
          </w:p>
          <w:p w14:paraId="14B7AEA0" w14:textId="3A7A6F83" w:rsidR="00D17A06" w:rsidRPr="00B768D6" w:rsidRDefault="00D17A06" w:rsidP="00467D65">
            <w:pPr>
              <w:numPr>
                <w:ilvl w:val="0"/>
                <w:numId w:val="18"/>
              </w:numPr>
              <w:spacing w:line="240" w:lineRule="auto"/>
              <w:ind w:left="0"/>
              <w:jc w:val="both"/>
              <w:rPr>
                <w:rFonts w:cstheme="minorHAnsi"/>
                <w:color w:val="000000" w:themeColor="text1"/>
              </w:rPr>
            </w:pPr>
            <w:r w:rsidRPr="00B768D6">
              <w:rPr>
                <w:rFonts w:cstheme="minorHAnsi"/>
                <w:b/>
                <w:color w:val="000000" w:themeColor="text1"/>
              </w:rPr>
              <w:t>inovace pro bezpečné a udržitelné chemické látky v </w:t>
            </w:r>
            <w:r w:rsidR="00B768D6" w:rsidRPr="00B768D6">
              <w:rPr>
                <w:rFonts w:cstheme="minorHAnsi"/>
                <w:b/>
                <w:color w:val="000000" w:themeColor="text1"/>
              </w:rPr>
              <w:t xml:space="preserve">EU </w:t>
            </w:r>
            <w:r w:rsidR="00B768D6" w:rsidRPr="00B768D6">
              <w:rPr>
                <w:rFonts w:cstheme="minorHAnsi"/>
                <w:color w:val="000000" w:themeColor="text1"/>
              </w:rPr>
              <w:t>– zajištění</w:t>
            </w:r>
            <w:r w:rsidRPr="00B768D6">
              <w:rPr>
                <w:rFonts w:cstheme="minorHAnsi"/>
                <w:color w:val="000000" w:themeColor="text1"/>
              </w:rPr>
              <w:t xml:space="preserve"> bezpečnosti a udržitelnosti již ve fázi návrhu výrobků, vytvoření netoxických materiálových cyklů, inovace v průmyslové výrobě chemických látek (ekologizace, digitalizace), posílení otevřené autonomie EU;</w:t>
            </w:r>
          </w:p>
          <w:p w14:paraId="65B2DFED" w14:textId="262277C2" w:rsidR="00D17A06" w:rsidRPr="00B768D6" w:rsidRDefault="00D17A06" w:rsidP="00467D65">
            <w:pPr>
              <w:numPr>
                <w:ilvl w:val="0"/>
                <w:numId w:val="18"/>
              </w:numPr>
              <w:spacing w:line="240" w:lineRule="auto"/>
              <w:ind w:left="0"/>
              <w:jc w:val="both"/>
              <w:rPr>
                <w:rFonts w:cstheme="minorHAnsi"/>
                <w:color w:val="000000" w:themeColor="text1"/>
              </w:rPr>
            </w:pPr>
            <w:r w:rsidRPr="00B768D6">
              <w:rPr>
                <w:rFonts w:cstheme="minorHAnsi"/>
                <w:b/>
                <w:color w:val="000000" w:themeColor="text1"/>
              </w:rPr>
              <w:t xml:space="preserve">silnější právní rámec EU pro řešení naléhavých environmentálních a zdravotních </w:t>
            </w:r>
            <w:r w:rsidR="00B768D6" w:rsidRPr="00B768D6">
              <w:rPr>
                <w:rFonts w:cstheme="minorHAnsi"/>
                <w:b/>
                <w:color w:val="000000" w:themeColor="text1"/>
              </w:rPr>
              <w:t>obav</w:t>
            </w:r>
            <w:r w:rsidR="00B768D6" w:rsidRPr="00B768D6">
              <w:rPr>
                <w:rFonts w:cstheme="minorHAnsi"/>
                <w:color w:val="000000" w:themeColor="text1"/>
              </w:rPr>
              <w:t xml:space="preserve"> – ochrana</w:t>
            </w:r>
            <w:r w:rsidRPr="00B768D6">
              <w:rPr>
                <w:rFonts w:cstheme="minorHAnsi"/>
                <w:color w:val="000000" w:themeColor="text1"/>
              </w:rPr>
              <w:t xml:space="preserve"> před nejškodlivějšími chemickými látkami, úprava týkající se endokrinních disruptorů a směsí chemikálií, řešení chemického znečištění v přírodním prostředí, úprava týkající se </w:t>
            </w:r>
            <w:r w:rsidR="001C6F84" w:rsidRPr="00B768D6">
              <w:rPr>
                <w:rFonts w:cstheme="minorHAnsi"/>
                <w:color w:val="000000" w:themeColor="text1"/>
              </w:rPr>
              <w:t>per – a</w:t>
            </w:r>
            <w:r w:rsidRPr="00B768D6">
              <w:rPr>
                <w:rFonts w:cstheme="minorHAnsi"/>
                <w:color w:val="000000" w:themeColor="text1"/>
              </w:rPr>
              <w:t> polyfluoralkylových látek (PFAS);</w:t>
            </w:r>
          </w:p>
          <w:p w14:paraId="1A4582F5" w14:textId="57B6587D" w:rsidR="00D17A06" w:rsidRPr="00B768D6" w:rsidRDefault="00D17A06" w:rsidP="00467D65">
            <w:pPr>
              <w:numPr>
                <w:ilvl w:val="0"/>
                <w:numId w:val="18"/>
              </w:numPr>
              <w:spacing w:line="240" w:lineRule="auto"/>
              <w:ind w:left="0"/>
              <w:jc w:val="both"/>
              <w:rPr>
                <w:rFonts w:cstheme="minorHAnsi"/>
                <w:color w:val="000000" w:themeColor="text1"/>
              </w:rPr>
            </w:pPr>
            <w:r w:rsidRPr="00B768D6">
              <w:rPr>
                <w:rFonts w:cstheme="minorHAnsi"/>
                <w:b/>
                <w:color w:val="000000" w:themeColor="text1"/>
              </w:rPr>
              <w:t xml:space="preserve">zjednodušení a konsolidace právního </w:t>
            </w:r>
            <w:r w:rsidR="00B768D6" w:rsidRPr="00B768D6">
              <w:rPr>
                <w:rFonts w:cstheme="minorHAnsi"/>
                <w:b/>
                <w:color w:val="000000" w:themeColor="text1"/>
              </w:rPr>
              <w:t>rámce</w:t>
            </w:r>
            <w:r w:rsidR="00B768D6" w:rsidRPr="00B768D6">
              <w:rPr>
                <w:rFonts w:cstheme="minorHAnsi"/>
                <w:color w:val="000000" w:themeColor="text1"/>
              </w:rPr>
              <w:t xml:space="preserve"> – jedno</w:t>
            </w:r>
            <w:r w:rsidRPr="00B768D6">
              <w:rPr>
                <w:rFonts w:cstheme="minorHAnsi"/>
                <w:color w:val="000000" w:themeColor="text1"/>
              </w:rPr>
              <w:t xml:space="preserve"> posouzení pro jednu látku, nulová tolerance v případě nedodržování pravidel;</w:t>
            </w:r>
          </w:p>
          <w:p w14:paraId="77BDAE24" w14:textId="29305904" w:rsidR="00D17A06" w:rsidRPr="00B768D6" w:rsidRDefault="00D17A06" w:rsidP="00467D65">
            <w:pPr>
              <w:numPr>
                <w:ilvl w:val="0"/>
                <w:numId w:val="18"/>
              </w:numPr>
              <w:spacing w:line="240" w:lineRule="auto"/>
              <w:ind w:left="0"/>
              <w:jc w:val="both"/>
              <w:rPr>
                <w:rFonts w:cstheme="minorHAnsi"/>
                <w:color w:val="000000" w:themeColor="text1"/>
              </w:rPr>
            </w:pPr>
            <w:r w:rsidRPr="00B768D6">
              <w:rPr>
                <w:rFonts w:cstheme="minorHAnsi"/>
                <w:b/>
                <w:color w:val="000000" w:themeColor="text1"/>
              </w:rPr>
              <w:t xml:space="preserve">vytvoření komplexní základny znalostí o chemických </w:t>
            </w:r>
            <w:r w:rsidR="00B768D6" w:rsidRPr="00B768D6">
              <w:rPr>
                <w:rFonts w:cstheme="minorHAnsi"/>
                <w:b/>
                <w:color w:val="000000" w:themeColor="text1"/>
              </w:rPr>
              <w:t>látkách</w:t>
            </w:r>
            <w:r w:rsidR="00B768D6" w:rsidRPr="00B768D6">
              <w:rPr>
                <w:rFonts w:cstheme="minorHAnsi"/>
                <w:color w:val="000000" w:themeColor="text1"/>
              </w:rPr>
              <w:t xml:space="preserve"> – zlepšení</w:t>
            </w:r>
            <w:r w:rsidRPr="00B768D6">
              <w:rPr>
                <w:rFonts w:cstheme="minorHAnsi"/>
                <w:color w:val="000000" w:themeColor="text1"/>
              </w:rPr>
              <w:t xml:space="preserve"> dostupnosti údajů prostřednictvím informačních požadavků, lepší propojení vědy a politiky;</w:t>
            </w:r>
          </w:p>
          <w:p w14:paraId="42CEA3AC" w14:textId="417E03D2" w:rsidR="00D17A06" w:rsidRPr="00B768D6" w:rsidRDefault="00D17A06" w:rsidP="00467D65">
            <w:pPr>
              <w:numPr>
                <w:ilvl w:val="0"/>
                <w:numId w:val="18"/>
              </w:numPr>
              <w:spacing w:line="240" w:lineRule="auto"/>
              <w:ind w:left="0"/>
              <w:jc w:val="both"/>
              <w:rPr>
                <w:rFonts w:cstheme="minorHAnsi"/>
                <w:color w:val="000000" w:themeColor="text1"/>
              </w:rPr>
            </w:pPr>
            <w:r w:rsidRPr="00B768D6">
              <w:rPr>
                <w:rFonts w:cstheme="minorHAnsi"/>
                <w:color w:val="000000" w:themeColor="text1"/>
              </w:rPr>
              <w:t xml:space="preserve"> </w:t>
            </w:r>
            <w:r w:rsidRPr="00B768D6">
              <w:rPr>
                <w:rFonts w:cstheme="minorHAnsi"/>
                <w:b/>
                <w:color w:val="000000" w:themeColor="text1"/>
              </w:rPr>
              <w:t xml:space="preserve">vytvoření globálního systému řádného řízení chemických </w:t>
            </w:r>
            <w:r w:rsidR="00B768D6" w:rsidRPr="00B768D6">
              <w:rPr>
                <w:rFonts w:cstheme="minorHAnsi"/>
                <w:b/>
                <w:color w:val="000000" w:themeColor="text1"/>
              </w:rPr>
              <w:t>látek</w:t>
            </w:r>
            <w:r w:rsidR="00B768D6" w:rsidRPr="00B768D6">
              <w:rPr>
                <w:rFonts w:cstheme="minorHAnsi"/>
                <w:color w:val="000000" w:themeColor="text1"/>
              </w:rPr>
              <w:t xml:space="preserve"> – posílení</w:t>
            </w:r>
            <w:r w:rsidRPr="00B768D6">
              <w:rPr>
                <w:rFonts w:cstheme="minorHAnsi"/>
                <w:color w:val="000000" w:themeColor="text1"/>
              </w:rPr>
              <w:t xml:space="preserve"> mezinárodních standardů, podpora standardů v oblasti bezpečnosti a udržitelnosti ve třetích zemích.</w:t>
            </w:r>
          </w:p>
          <w:p w14:paraId="5439D407" w14:textId="72D0BFCE" w:rsidR="00D17A06" w:rsidRPr="00B768D6" w:rsidRDefault="00D17A06" w:rsidP="00467D65">
            <w:pPr>
              <w:spacing w:line="240" w:lineRule="auto"/>
              <w:jc w:val="both"/>
              <w:rPr>
                <w:rFonts w:cstheme="minorHAnsi"/>
                <w:color w:val="000000" w:themeColor="text1"/>
              </w:rPr>
            </w:pPr>
            <w:r w:rsidRPr="00B768D6">
              <w:rPr>
                <w:rFonts w:cstheme="minorHAnsi"/>
                <w:color w:val="000000" w:themeColor="text1"/>
              </w:rPr>
              <w:t xml:space="preserve">Prioritou </w:t>
            </w:r>
            <w:r w:rsidR="009E4B04">
              <w:rPr>
                <w:rFonts w:cstheme="minorHAnsi"/>
                <w:color w:val="000000" w:themeColor="text1"/>
              </w:rPr>
              <w:t xml:space="preserve">ČR </w:t>
            </w:r>
            <w:r w:rsidRPr="00B768D6">
              <w:rPr>
                <w:rFonts w:cstheme="minorHAnsi"/>
                <w:color w:val="000000" w:themeColor="text1"/>
              </w:rPr>
              <w:t xml:space="preserve">při naplňování strategie je zachování konkurenceschopnosti evropského průmyslu. </w:t>
            </w:r>
          </w:p>
          <w:p w14:paraId="4988049B" w14:textId="1DC596B5" w:rsidR="00D17A06" w:rsidRPr="00B768D6" w:rsidRDefault="00D17A06" w:rsidP="00467D65">
            <w:pPr>
              <w:spacing w:line="240" w:lineRule="auto"/>
              <w:jc w:val="both"/>
              <w:rPr>
                <w:rFonts w:cstheme="minorHAnsi"/>
                <w:iCs/>
                <w:color w:val="000000" w:themeColor="text1"/>
              </w:rPr>
            </w:pPr>
            <w:r w:rsidRPr="00B768D6">
              <w:rPr>
                <w:rFonts w:cstheme="minorHAnsi"/>
                <w:iCs/>
                <w:color w:val="000000" w:themeColor="text1"/>
              </w:rPr>
              <w:t>Náklady, které při naplňování strategie z titulu implementace vzniknou zatím nelze ani rámcově odhadnout. Dopady lze očekávat zejména na firmy vyrábějící chemické látky, rovněž ale na firmy v celém uživatelském řetězci a na výrobky, kde se tyto látky používají. Náklady bude možno odhadnout až budou připraveny konkrétní legislativní návrhy a zpracovány dopadové studie.</w:t>
            </w:r>
          </w:p>
          <w:p w14:paraId="69A90238" w14:textId="1A9B8EB7" w:rsidR="003A5118" w:rsidRPr="004138DF" w:rsidRDefault="003A5118" w:rsidP="002A1848">
            <w:pPr>
              <w:spacing w:line="276" w:lineRule="auto"/>
              <w:jc w:val="both"/>
              <w:rPr>
                <w:rFonts w:cstheme="minorHAnsi"/>
                <w:color w:val="000000" w:themeColor="text1"/>
              </w:rPr>
            </w:pPr>
          </w:p>
          <w:p w14:paraId="586BDCD3" w14:textId="36D5D962" w:rsidR="00D93F95" w:rsidRDefault="00F657A8" w:rsidP="009E4B04">
            <w:pPr>
              <w:spacing w:line="276" w:lineRule="auto"/>
              <w:jc w:val="both"/>
              <w:rPr>
                <w:rFonts w:cstheme="minorHAnsi"/>
                <w:i/>
                <w:iCs/>
                <w:noProof/>
                <w:color w:val="000000" w:themeColor="text1"/>
              </w:rPr>
            </w:pPr>
            <w:r w:rsidRPr="004138DF">
              <w:rPr>
                <w:rFonts w:cstheme="minorHAnsi"/>
                <w:noProof/>
                <w:color w:val="000000" w:themeColor="text1"/>
              </w:rPr>
              <w:drawing>
                <wp:inline distT="0" distB="0" distL="0" distR="0" wp14:anchorId="63709F92" wp14:editId="72A69A93">
                  <wp:extent cx="5759450" cy="317500"/>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193D0F94" w14:textId="24FB05C6" w:rsidR="006F731D" w:rsidRPr="005B3AF9" w:rsidRDefault="006F731D" w:rsidP="009E4B04">
            <w:pPr>
              <w:pStyle w:val="Normlnweb"/>
              <w:spacing w:before="0" w:beforeAutospacing="0" w:after="504" w:afterAutospacing="0"/>
              <w:jc w:val="both"/>
              <w:rPr>
                <w:rFonts w:asciiTheme="minorHAnsi" w:hAnsiTheme="minorHAnsi" w:cstheme="minorHAnsi"/>
                <w:color w:val="000000"/>
                <w:sz w:val="22"/>
                <w:szCs w:val="22"/>
              </w:rPr>
            </w:pPr>
            <w:r w:rsidRPr="009E4B04">
              <w:rPr>
                <w:rFonts w:asciiTheme="minorHAnsi" w:hAnsiTheme="minorHAnsi" w:cstheme="minorHAnsi"/>
                <w:color w:val="000000" w:themeColor="text1"/>
                <w:sz w:val="22"/>
                <w:szCs w:val="22"/>
              </w:rPr>
              <w:t>Akční plán by měla EK zveřejnit v roce 2021, přičemž není zřejmé, jak dosažení „nulového znečištění“ má být dosaženo.</w:t>
            </w:r>
            <w:r w:rsidR="005B3AF9" w:rsidRPr="009E4B04">
              <w:rPr>
                <w:rFonts w:asciiTheme="minorHAnsi" w:hAnsiTheme="minorHAnsi" w:cstheme="minorHAnsi"/>
                <w:color w:val="000000" w:themeColor="text1"/>
                <w:sz w:val="22"/>
                <w:szCs w:val="22"/>
              </w:rPr>
              <w:t xml:space="preserve"> Cílem </w:t>
            </w:r>
            <w:r w:rsidR="005B3AF9" w:rsidRPr="009E4B04">
              <w:rPr>
                <w:rFonts w:asciiTheme="minorHAnsi" w:hAnsiTheme="minorHAnsi" w:cstheme="minorHAnsi"/>
                <w:color w:val="000000"/>
                <w:sz w:val="22"/>
                <w:szCs w:val="22"/>
              </w:rPr>
              <w:t xml:space="preserve">je udržení a zajištění zdravých ekosystémů a životního prostředí, které nebude negativně ovlivňovat zdraví jednotlivců i populací. Plán vychází z jednoho ze stěžejních dokumentů EU pro následující dekádu, jímž je Green Deal, a mezi jeho hlavní cíle patří lepší prevence a náprava znečištění vzduchu, vody, půdy a spotřebního zboží a produktů, začlenit cíle plánu nulového znečištění do procesu vytváření politik v rámci EU, v souladu s aktivitami a cíli OSN oddělit hospodářský růst od nárůstu znečištění, a posílit vazby mezi ochranou životního prostředí, udržitelným rozvojem a blahobytem lidí.  </w:t>
            </w:r>
            <w:r w:rsidRPr="009E4B04">
              <w:rPr>
                <w:rFonts w:asciiTheme="minorHAnsi" w:hAnsiTheme="minorHAnsi" w:cstheme="minorHAnsi"/>
                <w:color w:val="000000" w:themeColor="text1"/>
                <w:sz w:val="22"/>
                <w:szCs w:val="22"/>
              </w:rPr>
              <w:t>Lze však očekávat nemalé náklady implementace</w:t>
            </w:r>
            <w:r w:rsidRPr="009E4B04">
              <w:rPr>
                <w:rFonts w:cstheme="minorHAnsi"/>
                <w:color w:val="000000" w:themeColor="text1"/>
              </w:rPr>
              <w:t>.</w:t>
            </w:r>
          </w:p>
          <w:p w14:paraId="39CFA456" w14:textId="77777777" w:rsidR="006F731D" w:rsidRPr="00B768D6" w:rsidRDefault="006F731D" w:rsidP="00DC3767">
            <w:pPr>
              <w:pBdr>
                <w:top w:val="single" w:sz="4" w:space="1" w:color="auto"/>
                <w:left w:val="single" w:sz="4" w:space="4" w:color="auto"/>
                <w:bottom w:val="single" w:sz="4" w:space="1" w:color="auto"/>
                <w:right w:val="single" w:sz="4" w:space="4" w:color="auto"/>
              </w:pBdr>
              <w:tabs>
                <w:tab w:val="left" w:pos="8822"/>
              </w:tabs>
              <w:spacing w:line="276" w:lineRule="auto"/>
              <w:ind w:left="36" w:right="316"/>
              <w:jc w:val="both"/>
              <w:rPr>
                <w:rFonts w:cstheme="minorHAnsi"/>
                <w:color w:val="000000" w:themeColor="text1"/>
              </w:rPr>
            </w:pPr>
            <w:r>
              <w:rPr>
                <w:rFonts w:cstheme="minorHAnsi"/>
                <w:b/>
                <w:noProof/>
                <w:color w:val="000000" w:themeColor="text1"/>
              </w:rPr>
              <w:t>Revize opatření řešících problematiku znečištění z rozsáhlých průmyslových komplexů</w:t>
            </w:r>
          </w:p>
          <w:p w14:paraId="04BA98C9" w14:textId="49784971" w:rsidR="00D17A06" w:rsidRPr="006F731D" w:rsidRDefault="00D17A06" w:rsidP="00467D65">
            <w:pPr>
              <w:spacing w:line="240" w:lineRule="auto"/>
              <w:jc w:val="both"/>
              <w:rPr>
                <w:rFonts w:cstheme="minorHAnsi"/>
                <w:bCs/>
                <w:color w:val="000000" w:themeColor="text1"/>
              </w:rPr>
            </w:pPr>
            <w:r w:rsidRPr="006F731D">
              <w:rPr>
                <w:rFonts w:cstheme="minorHAnsi"/>
                <w:bCs/>
                <w:color w:val="000000" w:themeColor="text1"/>
              </w:rPr>
              <w:t>Dle Zelené dohody Komise provede přezkum opatření s cílem řešit problematiku znečištění, jež generují rozsáhlé průmyslové komplexy. Jedná se o změny právních předpisů EU týkajících se průmyslových emisí. Stěžejní bude revize směrnice Evropského parlamentu a Rady 2010/75/EU o průmyslových emisích</w:t>
            </w:r>
            <w:r w:rsidR="00DC3767">
              <w:rPr>
                <w:rFonts w:cstheme="minorHAnsi"/>
                <w:bCs/>
                <w:color w:val="000000" w:themeColor="text1"/>
              </w:rPr>
              <w:t xml:space="preserve"> </w:t>
            </w:r>
            <w:r w:rsidR="009201E6">
              <w:rPr>
                <w:rFonts w:cstheme="minorHAnsi"/>
                <w:bCs/>
                <w:color w:val="000000" w:themeColor="text1"/>
              </w:rPr>
              <w:t>(</w:t>
            </w:r>
            <w:r w:rsidR="00DC3767">
              <w:rPr>
                <w:rFonts w:cstheme="minorHAnsi"/>
                <w:bCs/>
                <w:color w:val="000000" w:themeColor="text1"/>
              </w:rPr>
              <w:t>I</w:t>
            </w:r>
            <w:r w:rsidR="009201E6">
              <w:rPr>
                <w:rFonts w:cstheme="minorHAnsi"/>
                <w:bCs/>
                <w:color w:val="000000" w:themeColor="text1"/>
              </w:rPr>
              <w:t>E</w:t>
            </w:r>
            <w:r w:rsidR="00DC3767">
              <w:rPr>
                <w:rFonts w:cstheme="minorHAnsi"/>
                <w:bCs/>
                <w:color w:val="000000" w:themeColor="text1"/>
              </w:rPr>
              <w:t>D)</w:t>
            </w:r>
            <w:r w:rsidRPr="006F731D">
              <w:rPr>
                <w:rFonts w:cstheme="minorHAnsi"/>
                <w:bCs/>
                <w:color w:val="000000" w:themeColor="text1"/>
              </w:rPr>
              <w:t>, předložení legislativního návrhu se předpokládá v roce 2021. Dosud zveřejnila Evropská komise souhrnný dokument k problematice revize směrnice o průmyslových emisích (září 2020). Nutnost revize konstatovala v následujících oblastech:</w:t>
            </w:r>
          </w:p>
          <w:p w14:paraId="05840567" w14:textId="1B7BDC1F" w:rsidR="00D17A06" w:rsidRPr="00DC3767" w:rsidRDefault="00D17A06" w:rsidP="00467D65">
            <w:pPr>
              <w:pStyle w:val="Odstavecseseznamem"/>
              <w:numPr>
                <w:ilvl w:val="0"/>
                <w:numId w:val="33"/>
              </w:numPr>
              <w:spacing w:line="240" w:lineRule="auto"/>
              <w:ind w:left="459" w:hanging="459"/>
              <w:jc w:val="both"/>
              <w:rPr>
                <w:rFonts w:cstheme="minorHAnsi"/>
                <w:bCs/>
                <w:color w:val="000000" w:themeColor="text1"/>
              </w:rPr>
            </w:pPr>
            <w:r w:rsidRPr="00DC3767">
              <w:rPr>
                <w:rFonts w:cstheme="minorHAnsi"/>
                <w:bCs/>
                <w:color w:val="000000" w:themeColor="text1"/>
              </w:rPr>
              <w:t>sjednocení aplikace závěrů o BAT (nejlepší dostupné techniky) zejména u emisních limitů, nepřímého vypouštění do vod a parametrů spojených s BAT (např. účinností)</w:t>
            </w:r>
          </w:p>
          <w:p w14:paraId="34D0049B" w14:textId="3B049B58" w:rsidR="00D17A06" w:rsidRPr="00DC3767" w:rsidRDefault="00D17A06" w:rsidP="00467D65">
            <w:pPr>
              <w:pStyle w:val="Odstavecseseznamem"/>
              <w:numPr>
                <w:ilvl w:val="0"/>
                <w:numId w:val="33"/>
              </w:numPr>
              <w:spacing w:line="240" w:lineRule="auto"/>
              <w:ind w:left="459" w:hanging="459"/>
              <w:jc w:val="both"/>
              <w:rPr>
                <w:rFonts w:cstheme="minorHAnsi"/>
                <w:bCs/>
                <w:color w:val="000000" w:themeColor="text1"/>
              </w:rPr>
            </w:pPr>
            <w:r w:rsidRPr="00DC3767">
              <w:rPr>
                <w:rFonts w:cstheme="minorHAnsi"/>
                <w:bCs/>
                <w:color w:val="000000" w:themeColor="text1"/>
              </w:rPr>
              <w:t>podpora aplikací pokročilých nově vznikajících technik</w:t>
            </w:r>
          </w:p>
          <w:p w14:paraId="2B4D6D06" w14:textId="34DE3089" w:rsidR="00D17A06" w:rsidRPr="00DC3767" w:rsidRDefault="00D17A06" w:rsidP="00467D65">
            <w:pPr>
              <w:pStyle w:val="Odstavecseseznamem"/>
              <w:numPr>
                <w:ilvl w:val="0"/>
                <w:numId w:val="33"/>
              </w:numPr>
              <w:spacing w:line="240" w:lineRule="auto"/>
              <w:ind w:left="459" w:hanging="459"/>
              <w:jc w:val="both"/>
              <w:rPr>
                <w:rFonts w:cstheme="minorHAnsi"/>
                <w:bCs/>
                <w:color w:val="000000" w:themeColor="text1"/>
              </w:rPr>
            </w:pPr>
            <w:r w:rsidRPr="00DC3767">
              <w:rPr>
                <w:rFonts w:cstheme="minorHAnsi"/>
                <w:bCs/>
                <w:color w:val="000000" w:themeColor="text1"/>
              </w:rPr>
              <w:t>větší jednoznačnost výkladu některých klíčových ustanovení</w:t>
            </w:r>
          </w:p>
          <w:p w14:paraId="545C5A4B" w14:textId="46B65D88" w:rsidR="00D17A06" w:rsidRPr="00DC3767" w:rsidRDefault="00D17A06" w:rsidP="00467D65">
            <w:pPr>
              <w:pStyle w:val="Odstavecseseznamem"/>
              <w:numPr>
                <w:ilvl w:val="0"/>
                <w:numId w:val="33"/>
              </w:numPr>
              <w:spacing w:line="240" w:lineRule="auto"/>
              <w:ind w:left="459" w:hanging="459"/>
              <w:jc w:val="both"/>
              <w:rPr>
                <w:rFonts w:cstheme="minorHAnsi"/>
                <w:bCs/>
                <w:color w:val="000000" w:themeColor="text1"/>
              </w:rPr>
            </w:pPr>
            <w:r w:rsidRPr="00DC3767">
              <w:rPr>
                <w:rFonts w:cstheme="minorHAnsi"/>
                <w:bCs/>
                <w:color w:val="000000" w:themeColor="text1"/>
              </w:rPr>
              <w:t>zvýšení synergie v oblasti snižování skleníkových plynů</w:t>
            </w:r>
          </w:p>
          <w:p w14:paraId="7600C449" w14:textId="728B967C" w:rsidR="00D17A06" w:rsidRPr="00DC3767" w:rsidRDefault="00D17A06" w:rsidP="00467D65">
            <w:pPr>
              <w:pStyle w:val="Odstavecseseznamem"/>
              <w:numPr>
                <w:ilvl w:val="0"/>
                <w:numId w:val="33"/>
              </w:numPr>
              <w:spacing w:line="240" w:lineRule="auto"/>
              <w:ind w:left="459" w:hanging="459"/>
              <w:jc w:val="both"/>
              <w:rPr>
                <w:rFonts w:cstheme="minorHAnsi"/>
                <w:bCs/>
                <w:color w:val="000000" w:themeColor="text1"/>
              </w:rPr>
            </w:pPr>
            <w:r w:rsidRPr="00DC3767">
              <w:rPr>
                <w:rFonts w:cstheme="minorHAnsi"/>
                <w:bCs/>
                <w:color w:val="000000" w:themeColor="text1"/>
              </w:rPr>
              <w:t>podpora materiálové efektivnosti a cirkulární ekonomiky</w:t>
            </w:r>
          </w:p>
          <w:p w14:paraId="16772AF2" w14:textId="75F554F5" w:rsidR="00D17A06" w:rsidRDefault="00D17A06" w:rsidP="00467D65">
            <w:pPr>
              <w:pStyle w:val="Odstavecseseznamem"/>
              <w:numPr>
                <w:ilvl w:val="0"/>
                <w:numId w:val="33"/>
              </w:numPr>
              <w:spacing w:line="240" w:lineRule="auto"/>
              <w:ind w:left="459" w:hanging="459"/>
              <w:jc w:val="both"/>
              <w:rPr>
                <w:rFonts w:cstheme="minorHAnsi"/>
                <w:bCs/>
                <w:color w:val="000000" w:themeColor="text1"/>
              </w:rPr>
            </w:pPr>
            <w:r w:rsidRPr="00DC3767">
              <w:rPr>
                <w:rFonts w:cstheme="minorHAnsi"/>
                <w:bCs/>
                <w:color w:val="000000" w:themeColor="text1"/>
              </w:rPr>
              <w:t>zlepšení dostupnosti informací a dat, zapojení veřejnosti.</w:t>
            </w:r>
          </w:p>
          <w:p w14:paraId="6BD99D8F" w14:textId="3F229936" w:rsidR="00DC3767" w:rsidRPr="009201E6" w:rsidRDefault="00DC3767" w:rsidP="009201E6">
            <w:pPr>
              <w:spacing w:line="240" w:lineRule="auto"/>
              <w:jc w:val="both"/>
              <w:rPr>
                <w:rFonts w:cstheme="minorHAnsi"/>
              </w:rPr>
            </w:pPr>
            <w:r w:rsidRPr="009201E6">
              <w:rPr>
                <w:rFonts w:cstheme="minorHAnsi"/>
                <w:iCs/>
                <w:color w:val="000000"/>
              </w:rPr>
              <w:t>Podle souhrnného dokumentu</w:t>
            </w:r>
            <w:r w:rsidRPr="009201E6">
              <w:rPr>
                <w:rStyle w:val="Znakapoznpodarou"/>
                <w:rFonts w:cstheme="minorHAnsi"/>
              </w:rPr>
              <w:footnoteReference w:id="3"/>
            </w:r>
            <w:r w:rsidRPr="009201E6">
              <w:rPr>
                <w:rFonts w:cstheme="minorHAnsi"/>
                <w:iCs/>
                <w:color w:val="000000"/>
              </w:rPr>
              <w:t xml:space="preserve"> který lze považovat za nejaktuálnější analýzu a data, se náklady na straně státu související s IED (povolování a kontroly, zajištění participace na přípravě referenčních dokumentů) v součtu za EU pohybují kolem </w:t>
            </w:r>
            <w:r w:rsidR="009201E6" w:rsidRPr="009201E6">
              <w:rPr>
                <w:rFonts w:cstheme="minorHAnsi"/>
                <w:iCs/>
                <w:color w:val="000000"/>
              </w:rPr>
              <w:t>101–130</w:t>
            </w:r>
            <w:r w:rsidRPr="009201E6">
              <w:rPr>
                <w:rFonts w:cstheme="minorHAnsi"/>
                <w:iCs/>
                <w:color w:val="000000"/>
              </w:rPr>
              <w:t xml:space="preserve"> mil.</w:t>
            </w:r>
            <w:r w:rsidRPr="009201E6">
              <w:rPr>
                <w:rFonts w:cstheme="minorHAnsi"/>
              </w:rPr>
              <w:t xml:space="preserve"> € ročně. ČR</w:t>
            </w:r>
            <w:r w:rsidR="00381B86">
              <w:rPr>
                <w:rFonts w:cstheme="minorHAnsi"/>
              </w:rPr>
              <w:t xml:space="preserve"> dle počtu zařízení </w:t>
            </w:r>
            <w:r w:rsidR="009201E6" w:rsidRPr="009201E6">
              <w:rPr>
                <w:rFonts w:cstheme="minorHAnsi"/>
              </w:rPr>
              <w:t>– lze</w:t>
            </w:r>
            <w:r w:rsidRPr="009201E6">
              <w:rPr>
                <w:rFonts w:cstheme="minorHAnsi"/>
              </w:rPr>
              <w:t xml:space="preserve"> počítat s cca 3% uvedené částky (tj. </w:t>
            </w:r>
            <w:r w:rsidR="009201E6" w:rsidRPr="009201E6">
              <w:rPr>
                <w:rFonts w:cstheme="minorHAnsi"/>
              </w:rPr>
              <w:t>3–4</w:t>
            </w:r>
            <w:r w:rsidRPr="009201E6">
              <w:rPr>
                <w:rFonts w:cstheme="minorHAnsi"/>
              </w:rPr>
              <w:t xml:space="preserve"> mil. € ročně). Na straně provozovatelů se náklady výrazně liší podle sektorů. V případě výroby železa a oceli byly náklady na implementaci IED na úrovni EU vyčísleny na 90 milionů € ročně a v energetice na 0.59 - 5.7 miliard € ročně. Na Českou republiku pak orientačně (dle počtu zařízení a podílu produkce) připadá u výroby železa a oceli a v energetice orientačně 5% uvedené částky (tj. </w:t>
            </w:r>
            <w:r w:rsidR="00381B86" w:rsidRPr="009201E6">
              <w:rPr>
                <w:rFonts w:cstheme="minorHAnsi"/>
              </w:rPr>
              <w:t>34–285</w:t>
            </w:r>
            <w:r w:rsidRPr="009201E6">
              <w:rPr>
                <w:rFonts w:cstheme="minorHAnsi"/>
              </w:rPr>
              <w:t xml:space="preserve"> mil. € ročně). </w:t>
            </w:r>
          </w:p>
          <w:p w14:paraId="51CFE5FA" w14:textId="77777777" w:rsidR="003875ED" w:rsidRDefault="00D17A06" w:rsidP="009201E6">
            <w:pPr>
              <w:spacing w:line="240" w:lineRule="auto"/>
              <w:jc w:val="both"/>
              <w:rPr>
                <w:rFonts w:cstheme="minorHAnsi"/>
                <w:iCs/>
                <w:color w:val="000000" w:themeColor="text1"/>
              </w:rPr>
            </w:pPr>
            <w:r w:rsidRPr="009201E6">
              <w:rPr>
                <w:rFonts w:cstheme="minorHAnsi"/>
                <w:color w:val="000000" w:themeColor="text1"/>
              </w:rPr>
              <w:t>Dopady opatření řešící problematiku znečištění rozsáhlých průmyslových komplexů nelze v současné době odhadnout</w:t>
            </w:r>
            <w:r w:rsidR="009201E6">
              <w:rPr>
                <w:rFonts w:cstheme="minorHAnsi"/>
                <w:color w:val="000000" w:themeColor="text1"/>
              </w:rPr>
              <w:t xml:space="preserve">, ale </w:t>
            </w:r>
            <w:r w:rsidRPr="009201E6">
              <w:rPr>
                <w:rFonts w:cstheme="minorHAnsi"/>
                <w:color w:val="000000" w:themeColor="text1"/>
              </w:rPr>
              <w:t>až po předložení</w:t>
            </w:r>
            <w:r w:rsidRPr="009201E6">
              <w:rPr>
                <w:rFonts w:cstheme="minorHAnsi"/>
                <w:iCs/>
                <w:color w:val="000000" w:themeColor="text1"/>
              </w:rPr>
              <w:t xml:space="preserve"> konkrétních legislativních návrhů a zpracování dopadových studií.</w:t>
            </w:r>
          </w:p>
          <w:p w14:paraId="28557F97" w14:textId="77777777" w:rsidR="00381B86" w:rsidRDefault="00381B86" w:rsidP="009201E6">
            <w:pPr>
              <w:spacing w:line="240" w:lineRule="auto"/>
              <w:jc w:val="both"/>
              <w:rPr>
                <w:rFonts w:cstheme="minorHAnsi"/>
                <w:iCs/>
                <w:color w:val="000000" w:themeColor="text1"/>
              </w:rPr>
            </w:pPr>
          </w:p>
          <w:p w14:paraId="63178BB4" w14:textId="2D717344" w:rsidR="00381B86" w:rsidRPr="00B832B1" w:rsidRDefault="00381B86" w:rsidP="009201E6">
            <w:pPr>
              <w:spacing w:line="240" w:lineRule="auto"/>
              <w:jc w:val="both"/>
              <w:rPr>
                <w:rFonts w:cstheme="minorHAnsi"/>
                <w:iCs/>
                <w:color w:val="000000" w:themeColor="text1"/>
              </w:rPr>
            </w:pPr>
          </w:p>
        </w:tc>
      </w:tr>
    </w:tbl>
    <w:p w14:paraId="4D27A8B9" w14:textId="77777777" w:rsidR="005F1797" w:rsidRDefault="005F1797">
      <w:r>
        <w:lastRenderedPageBreak/>
        <w:br w:type="page"/>
      </w:r>
    </w:p>
    <w:tbl>
      <w:tblPr>
        <w:tblW w:w="5158"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9357"/>
      </w:tblGrid>
      <w:tr w:rsidR="00D93F95" w:rsidRPr="002D5166" w14:paraId="5CF839F8" w14:textId="77777777" w:rsidTr="007213E9">
        <w:trPr>
          <w:trHeight w:val="4474"/>
        </w:trPr>
        <w:tc>
          <w:tcPr>
            <w:tcW w:w="5000" w:type="pct"/>
            <w:tcBorders>
              <w:top w:val="nil"/>
              <w:left w:val="nil"/>
              <w:bottom w:val="nil"/>
              <w:right w:val="nil"/>
            </w:tcBorders>
          </w:tcPr>
          <w:p w14:paraId="67C97426" w14:textId="0483BE49" w:rsidR="00D93F95" w:rsidRPr="00214AF3" w:rsidRDefault="00766569" w:rsidP="00467D65">
            <w:pPr>
              <w:pStyle w:val="Odstavecseseznamem"/>
              <w:pBdr>
                <w:top w:val="single" w:sz="4" w:space="1" w:color="auto"/>
                <w:left w:val="single" w:sz="4" w:space="4" w:color="auto"/>
                <w:bottom w:val="single" w:sz="4" w:space="1" w:color="auto"/>
                <w:right w:val="single" w:sz="4" w:space="4" w:color="auto"/>
              </w:pBdr>
              <w:spacing w:line="240" w:lineRule="auto"/>
              <w:ind w:left="177" w:right="174"/>
              <w:contextualSpacing w:val="0"/>
              <w:jc w:val="both"/>
              <w:rPr>
                <w:rFonts w:cstheme="minorHAnsi"/>
                <w:color w:val="000000"/>
                <w:sz w:val="32"/>
                <w:szCs w:val="32"/>
              </w:rPr>
            </w:pPr>
            <w:r w:rsidRPr="005F1797">
              <w:rPr>
                <w:rFonts w:cstheme="minorHAnsi"/>
                <w:b/>
                <w:bCs/>
                <w:color w:val="000000"/>
                <w:sz w:val="32"/>
                <w:szCs w:val="32"/>
              </w:rPr>
              <w:lastRenderedPageBreak/>
              <w:t>Začleňování hlediska udržitelnosti do všech politik EU</w:t>
            </w:r>
          </w:p>
          <w:p w14:paraId="79D2699D" w14:textId="6F8081BA" w:rsidR="008D6C5E" w:rsidRPr="00525E2A" w:rsidRDefault="008D6C5E" w:rsidP="00467D65">
            <w:pPr>
              <w:pStyle w:val="Odstavecseseznamem"/>
              <w:spacing w:line="240" w:lineRule="auto"/>
              <w:ind w:left="0"/>
              <w:contextualSpacing w:val="0"/>
              <w:jc w:val="both"/>
              <w:rPr>
                <w:rFonts w:cstheme="minorHAnsi"/>
                <w:color w:val="000000"/>
              </w:rPr>
            </w:pPr>
          </w:p>
          <w:p w14:paraId="382D841D" w14:textId="494BF16F" w:rsidR="00D93F95" w:rsidRPr="00525E2A" w:rsidRDefault="001372C1" w:rsidP="00467D65">
            <w:pPr>
              <w:pStyle w:val="Odstavecseseznamem"/>
              <w:spacing w:line="240" w:lineRule="auto"/>
              <w:ind w:left="0"/>
              <w:contextualSpacing w:val="0"/>
              <w:jc w:val="both"/>
              <w:rPr>
                <w:rFonts w:cstheme="minorHAnsi"/>
                <w:color w:val="000000"/>
              </w:rPr>
            </w:pPr>
            <w:bookmarkStart w:id="9" w:name="_Hlk55486783"/>
            <w:r w:rsidRPr="00525E2A">
              <w:rPr>
                <w:rFonts w:cstheme="minorHAnsi"/>
                <w:noProof/>
                <w:color w:val="000000"/>
              </w:rPr>
              <w:drawing>
                <wp:inline distT="0" distB="0" distL="0" distR="0" wp14:anchorId="432EFB18" wp14:editId="483235EF">
                  <wp:extent cx="5759450" cy="31750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1A7F1B91" w14:textId="77777777" w:rsidR="00F404DE" w:rsidRPr="00525E2A" w:rsidRDefault="00F404DE" w:rsidP="00467D65">
            <w:pPr>
              <w:spacing w:line="240" w:lineRule="auto"/>
              <w:jc w:val="both"/>
              <w:rPr>
                <w:rFonts w:cstheme="minorHAnsi"/>
                <w:bCs/>
                <w:color w:val="000000"/>
              </w:rPr>
            </w:pPr>
            <w:bookmarkStart w:id="10" w:name="_Hlk55213421"/>
            <w:r w:rsidRPr="00525E2A">
              <w:rPr>
                <w:rFonts w:cstheme="minorHAnsi"/>
                <w:bCs/>
                <w:color w:val="000000"/>
              </w:rPr>
              <w:t>Dne 8. dubna 2020 spustila Komise rozsáhlou veřejnou konzultaci, jejíž výstup by měl sloužit jako podklad pro volbu opatření, které bude Obnovené strategie pro udržitelné finance obsahovat a jak tedy ve výsledku přispěje k dosažení cílů</w:t>
            </w:r>
            <w:r w:rsidRPr="00525E2A">
              <w:rPr>
                <w:rFonts w:cstheme="minorHAnsi"/>
              </w:rPr>
              <w:t xml:space="preserve"> </w:t>
            </w:r>
            <w:r w:rsidRPr="00525E2A">
              <w:rPr>
                <w:rFonts w:cstheme="minorHAnsi"/>
                <w:bCs/>
                <w:color w:val="000000"/>
              </w:rPr>
              <w:t xml:space="preserve">Investičního plánu pro udržitelnou Evropu, tj. usnadnit udržitelné investice. Příspěvky za jednotlivé resorty byly konsolidovány a odeslány dne 15. července 2020, přičemž postoj ČR lze souhrnně zhodnotit jako spíše zdrženlivý.  </w:t>
            </w:r>
          </w:p>
          <w:p w14:paraId="195143E6" w14:textId="77777777" w:rsidR="00F404DE" w:rsidRPr="00525E2A" w:rsidRDefault="00F404DE" w:rsidP="00467D65">
            <w:pPr>
              <w:spacing w:line="240" w:lineRule="auto"/>
              <w:jc w:val="both"/>
              <w:rPr>
                <w:rFonts w:cstheme="minorHAnsi"/>
                <w:bCs/>
                <w:color w:val="000000"/>
              </w:rPr>
            </w:pPr>
            <w:r w:rsidRPr="00525E2A">
              <w:rPr>
                <w:rFonts w:cstheme="minorHAnsi"/>
                <w:bCs/>
                <w:color w:val="000000"/>
              </w:rPr>
              <w:t>Původní koncepce oblasti udržitelných opatření cílila na nasměrování privátních financí, resp. investic, do financování transformace na nízkouhlíkovou ekonomiku. Nyní však Komise (v rámci EGD) počítá s daleko širším využitím klasifikačního systému udržitelných činností (tzv. taxonomií) nebo jeho úprav i pro veřejné investice (dotační politiku, veřejné zakázky) atd.</w:t>
            </w:r>
          </w:p>
          <w:p w14:paraId="3083179D" w14:textId="381E502F" w:rsidR="00F404DE" w:rsidRPr="00525E2A" w:rsidRDefault="00F404DE" w:rsidP="00467D65">
            <w:pPr>
              <w:spacing w:line="240" w:lineRule="auto"/>
              <w:jc w:val="both"/>
              <w:rPr>
                <w:rFonts w:cstheme="minorHAnsi"/>
                <w:bCs/>
                <w:color w:val="000000"/>
              </w:rPr>
            </w:pPr>
            <w:r w:rsidRPr="00525E2A">
              <w:rPr>
                <w:rFonts w:cstheme="minorHAnsi"/>
                <w:bCs/>
                <w:color w:val="000000"/>
              </w:rPr>
              <w:t>V tuto chvíli není zřejmé, jaká opatření budou v Obnovené strategii pro udržitelné finance obsažena a jaký tedy bude ve výsledku její dopad. Nelze tudíž vyčíslit náklady realizace.</w:t>
            </w:r>
          </w:p>
          <w:p w14:paraId="22405D16" w14:textId="77777777" w:rsidR="00B832B1" w:rsidRPr="00525E2A" w:rsidRDefault="00B832B1" w:rsidP="00467D65">
            <w:pPr>
              <w:spacing w:line="240" w:lineRule="auto"/>
              <w:jc w:val="both"/>
              <w:rPr>
                <w:rFonts w:cstheme="minorHAnsi"/>
                <w:bCs/>
                <w:color w:val="000000"/>
              </w:rPr>
            </w:pPr>
          </w:p>
          <w:bookmarkEnd w:id="10"/>
          <w:p w14:paraId="2C03B5D6" w14:textId="5C9E084B" w:rsidR="00D93F95" w:rsidRPr="00525E2A" w:rsidRDefault="00521214" w:rsidP="00467D65">
            <w:pPr>
              <w:pStyle w:val="Odstavecseseznamem"/>
              <w:spacing w:line="240" w:lineRule="auto"/>
              <w:ind w:left="0"/>
              <w:contextualSpacing w:val="0"/>
              <w:jc w:val="both"/>
              <w:rPr>
                <w:rFonts w:cstheme="minorHAnsi"/>
                <w:color w:val="000000"/>
              </w:rPr>
            </w:pPr>
            <w:r w:rsidRPr="00525E2A">
              <w:rPr>
                <w:rFonts w:cstheme="minorHAnsi"/>
                <w:noProof/>
                <w:color w:val="000000"/>
              </w:rPr>
              <w:drawing>
                <wp:inline distT="0" distB="0" distL="0" distR="0" wp14:anchorId="155D5F86" wp14:editId="35CEE117">
                  <wp:extent cx="5759450" cy="31750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283CC8F2" w14:textId="77777777" w:rsidR="00F404DE" w:rsidRPr="00525E2A" w:rsidRDefault="00F404DE" w:rsidP="00467D65">
            <w:pPr>
              <w:spacing w:line="240" w:lineRule="auto"/>
              <w:jc w:val="both"/>
              <w:rPr>
                <w:rFonts w:cstheme="minorHAnsi"/>
                <w:bCs/>
                <w:color w:val="000000"/>
              </w:rPr>
            </w:pPr>
            <w:bookmarkStart w:id="11" w:name="_Hlk55213536"/>
            <w:r w:rsidRPr="00525E2A">
              <w:rPr>
                <w:rFonts w:cstheme="minorHAnsi"/>
                <w:bCs/>
                <w:color w:val="000000"/>
              </w:rPr>
              <w:t>Otevření Směrnice o nefinančním reportingu byla jednou z priorit německého předsednictví. Tyto však musely být změněny z důvodu nutnosti provedení opatření vedoucích ke snížení dopadů COVID 19 na ekonomiku EU.</w:t>
            </w:r>
          </w:p>
          <w:p w14:paraId="3EF5C59B" w14:textId="17447FC5" w:rsidR="00F404DE" w:rsidRPr="00525E2A" w:rsidRDefault="00F404DE" w:rsidP="00467D65">
            <w:pPr>
              <w:spacing w:line="240" w:lineRule="auto"/>
              <w:jc w:val="both"/>
              <w:rPr>
                <w:rFonts w:cstheme="minorHAnsi"/>
                <w:b/>
                <w:bCs/>
                <w:color w:val="000000"/>
                <w:u w:val="single"/>
              </w:rPr>
            </w:pPr>
            <w:r w:rsidRPr="00525E2A">
              <w:rPr>
                <w:rFonts w:cstheme="minorHAnsi"/>
                <w:b/>
                <w:bCs/>
                <w:color w:val="000000"/>
                <w:u w:val="single"/>
              </w:rPr>
              <w:t>Momentálně tedy není ze strany DE PRES indikována žádná iniciativa, která by vedla k otevření problematiky nefinančního reportingu a přezkumu směrnice o vykazování nefinančních informací.</w:t>
            </w:r>
          </w:p>
          <w:p w14:paraId="2B3E7AA1" w14:textId="77777777" w:rsidR="00F404DE" w:rsidRPr="00525E2A" w:rsidRDefault="00F404DE" w:rsidP="00467D65">
            <w:pPr>
              <w:spacing w:line="240" w:lineRule="auto"/>
              <w:jc w:val="both"/>
              <w:rPr>
                <w:rFonts w:cstheme="minorHAnsi"/>
                <w:bCs/>
                <w:color w:val="000000"/>
              </w:rPr>
            </w:pPr>
            <w:r w:rsidRPr="00525E2A">
              <w:rPr>
                <w:rFonts w:cstheme="minorHAnsi"/>
                <w:bCs/>
                <w:color w:val="000000"/>
              </w:rPr>
              <w:t>Co se týče aktuální pozice ČR, domníváme se, že Komisí avizovaná revize směrnice o nefinančních informacích ze strany podniků musí respektovat přínosy pro zohlednění environmentálních aspektů s administrativními náklady, které jsou s tímto spojené. Ambicióznější nástroje v podobě environmentálního podnikového účetnictví a certifikace udržitelného hospodaření by měly zůstat na dobrovolném základě.</w:t>
            </w:r>
          </w:p>
          <w:p w14:paraId="6BC5A8C1" w14:textId="2E4A9D3A" w:rsidR="00F404DE" w:rsidRDefault="00F404DE" w:rsidP="00467D65">
            <w:pPr>
              <w:spacing w:line="240" w:lineRule="auto"/>
              <w:jc w:val="both"/>
              <w:rPr>
                <w:rFonts w:cstheme="minorHAnsi"/>
                <w:bCs/>
                <w:color w:val="000000"/>
              </w:rPr>
            </w:pPr>
            <w:r w:rsidRPr="00525E2A">
              <w:rPr>
                <w:rFonts w:cstheme="minorHAnsi"/>
                <w:bCs/>
                <w:color w:val="000000"/>
              </w:rPr>
              <w:t xml:space="preserve">Náklady nelze vyčíslit. </w:t>
            </w:r>
          </w:p>
          <w:p w14:paraId="7F7E818C" w14:textId="77777777" w:rsidR="0076709C" w:rsidRPr="00525E2A" w:rsidRDefault="0076709C" w:rsidP="0076709C">
            <w:pPr>
              <w:spacing w:line="240" w:lineRule="auto"/>
              <w:ind w:left="177"/>
              <w:jc w:val="both"/>
              <w:rPr>
                <w:rFonts w:cstheme="minorHAnsi"/>
                <w:bCs/>
                <w:color w:val="000000"/>
              </w:rPr>
            </w:pPr>
          </w:p>
          <w:bookmarkEnd w:id="9"/>
          <w:bookmarkEnd w:id="11"/>
          <w:p w14:paraId="7A25F5B7" w14:textId="23EE25CF" w:rsidR="00D93F95" w:rsidRDefault="00F90A46" w:rsidP="0076709C">
            <w:pPr>
              <w:pStyle w:val="Odstavecseseznamem"/>
              <w:pBdr>
                <w:top w:val="single" w:sz="4" w:space="1" w:color="auto"/>
                <w:left w:val="single" w:sz="4" w:space="4" w:color="auto"/>
                <w:bottom w:val="single" w:sz="4" w:space="1" w:color="auto"/>
                <w:right w:val="single" w:sz="4" w:space="4" w:color="auto"/>
              </w:pBdr>
              <w:spacing w:line="240" w:lineRule="auto"/>
              <w:ind w:left="177" w:right="174"/>
              <w:contextualSpacing w:val="0"/>
              <w:jc w:val="both"/>
              <w:rPr>
                <w:rFonts w:cstheme="minorHAnsi"/>
                <w:b/>
                <w:bCs/>
                <w:color w:val="000000"/>
              </w:rPr>
            </w:pPr>
            <w:r>
              <w:rPr>
                <w:rFonts w:cstheme="minorHAnsi"/>
                <w:b/>
                <w:bCs/>
                <w:color w:val="000000"/>
              </w:rPr>
              <w:t>Iniciativy pro kontrolu a porovnání postupů při ekologickém sestavování rozpočtu ze strany členských stát</w:t>
            </w:r>
            <w:r w:rsidR="0076709C">
              <w:rPr>
                <w:rFonts w:cstheme="minorHAnsi"/>
                <w:b/>
                <w:bCs/>
                <w:color w:val="000000"/>
              </w:rPr>
              <w:t>ů a EU</w:t>
            </w:r>
          </w:p>
          <w:p w14:paraId="59398EC9" w14:textId="77777777" w:rsidR="0076709C" w:rsidRDefault="0076709C" w:rsidP="00467D65">
            <w:pPr>
              <w:spacing w:line="240" w:lineRule="auto"/>
              <w:ind w:right="455"/>
              <w:jc w:val="both"/>
              <w:rPr>
                <w:rFonts w:cstheme="minorHAnsi"/>
                <w:b/>
                <w:color w:val="000000"/>
                <w:u w:val="single"/>
              </w:rPr>
            </w:pPr>
            <w:bookmarkStart w:id="12" w:name="_Hlk55486963"/>
          </w:p>
          <w:p w14:paraId="218776DE" w14:textId="77777777" w:rsidR="00F404DE" w:rsidRPr="00525E2A" w:rsidRDefault="00F404DE" w:rsidP="00467D65">
            <w:pPr>
              <w:spacing w:line="240" w:lineRule="auto"/>
              <w:jc w:val="both"/>
              <w:rPr>
                <w:rFonts w:cstheme="minorHAnsi"/>
              </w:rPr>
            </w:pPr>
            <w:r w:rsidRPr="00525E2A">
              <w:rPr>
                <w:rFonts w:cstheme="minorHAnsi"/>
              </w:rPr>
              <w:t>Tzv. „zelené“ rozpočtování definuje Evropská komise jako rozpočtový proces, v němž jsou environmentálně relevantní příjmy a výdaje identifikovány v rozpočtových plánech a zprávách o plnění rozpočtu, a související politiky jsou sledovány specifickými výkonnostními ukazateli s cílem lepšího zohlednění environmentálních dopadů (vč. rizik) při rozhodování o rozpočtových otázkách.</w:t>
            </w:r>
          </w:p>
          <w:p w14:paraId="64E7D4EC" w14:textId="77777777" w:rsidR="00F404DE" w:rsidRPr="00525E2A" w:rsidRDefault="00F404DE" w:rsidP="00467D65">
            <w:pPr>
              <w:spacing w:line="240" w:lineRule="auto"/>
              <w:jc w:val="both"/>
              <w:rPr>
                <w:rFonts w:cstheme="minorHAnsi"/>
              </w:rPr>
            </w:pPr>
            <w:r w:rsidRPr="00525E2A">
              <w:rPr>
                <w:rFonts w:cstheme="minorHAnsi"/>
              </w:rPr>
              <w:t>Ve svém sdělení k </w:t>
            </w:r>
            <w:proofErr w:type="gramStart"/>
            <w:r w:rsidRPr="00525E2A">
              <w:rPr>
                <w:rFonts w:cstheme="minorHAnsi"/>
              </w:rPr>
              <w:t>Zelené</w:t>
            </w:r>
            <w:proofErr w:type="gramEnd"/>
            <w:r w:rsidRPr="00525E2A">
              <w:rPr>
                <w:rFonts w:cstheme="minorHAnsi"/>
              </w:rPr>
              <w:t xml:space="preserve"> dohodě pro Evropu (EGD) z prosince 2019 a znovu ve sdělení k Investičnímu plánu pro udržitelnou Evropu (SEIP) z ledna 2020 ohlásila EK, že hodlá pracovat s ČS na hodnocení (</w:t>
            </w:r>
            <w:r w:rsidRPr="00525E2A">
              <w:rPr>
                <w:rFonts w:cstheme="minorHAnsi"/>
                <w:i/>
              </w:rPr>
              <w:t>screeningu</w:t>
            </w:r>
            <w:r w:rsidRPr="00525E2A">
              <w:rPr>
                <w:rFonts w:cstheme="minorHAnsi"/>
              </w:rPr>
              <w:t xml:space="preserve">) a srovnávání </w:t>
            </w:r>
            <w:r w:rsidRPr="00525E2A">
              <w:rPr>
                <w:rFonts w:cstheme="minorHAnsi"/>
                <w:i/>
              </w:rPr>
              <w:t>(benchmarkingu</w:t>
            </w:r>
            <w:r w:rsidRPr="00525E2A">
              <w:rPr>
                <w:rFonts w:cstheme="minorHAnsi"/>
              </w:rPr>
              <w:t xml:space="preserve">) jejich postupů GB. V současnosti se tématem zabývá ad hoc skupina expertů ze členských států, která navazuje na činnost alternátů Hospodářského a finančního </w:t>
            </w:r>
            <w:r w:rsidRPr="00525E2A">
              <w:rPr>
                <w:rFonts w:cstheme="minorHAnsi"/>
              </w:rPr>
              <w:lastRenderedPageBreak/>
              <w:t>výboru. Tam zaznělo, že EK bude maximálně respektovat praxi a individuální podmínky jednotlivých ČS. Referenční rámec postupů GB, o kterém se jedná, bude považován pouze za doporučující vodítko, které Evropské komisi pomůže při srovnávání jednotlivých ČS v tom, do jaké míry mají green budgeting zaveden.</w:t>
            </w:r>
          </w:p>
          <w:p w14:paraId="2CE05D5E" w14:textId="77777777" w:rsidR="00F404DE" w:rsidRPr="00525E2A" w:rsidRDefault="00F404DE" w:rsidP="00467D65">
            <w:pPr>
              <w:spacing w:line="240" w:lineRule="auto"/>
              <w:jc w:val="both"/>
              <w:rPr>
                <w:rFonts w:cstheme="minorHAnsi"/>
              </w:rPr>
            </w:pPr>
            <w:r w:rsidRPr="00525E2A">
              <w:rPr>
                <w:rFonts w:cstheme="minorHAnsi"/>
              </w:rPr>
              <w:t xml:space="preserve">ČR zelené rozpočtování (GB) v současné době neuplatňuje, ani jeho zavedení neplánuje. ČR vnímá potřebu lepšího uchopení monitoringu výdajů veřejných rozpočtů a jejich vlivu na životní prostředí a podporuje snahu omezit environmentálně škodlivé dotace a daňové výjimky. ČR vítá sdílení zkušeností s ostatními státy EU. </w:t>
            </w:r>
          </w:p>
          <w:p w14:paraId="366AADC0" w14:textId="19FAD758" w:rsidR="00F404DE" w:rsidRPr="004D1D72" w:rsidRDefault="00F404DE" w:rsidP="00467D65">
            <w:pPr>
              <w:widowControl w:val="0"/>
              <w:spacing w:line="240" w:lineRule="auto"/>
              <w:jc w:val="both"/>
              <w:rPr>
                <w:rFonts w:cstheme="minorHAnsi"/>
                <w:shd w:val="clear" w:color="auto" w:fill="FFFFFF"/>
              </w:rPr>
            </w:pPr>
            <w:r w:rsidRPr="00525E2A">
              <w:rPr>
                <w:rFonts w:cstheme="minorHAnsi"/>
              </w:rPr>
              <w:t xml:space="preserve">Případné kroky do budoucna, jako je zřízení databáze postupů zeleného rozpočtování, by neměly znamenat administrativní zátěž pro ČS. </w:t>
            </w:r>
            <w:r w:rsidRPr="00525E2A">
              <w:rPr>
                <w:rFonts w:cstheme="minorHAnsi"/>
                <w:shd w:val="clear" w:color="auto" w:fill="FFFFFF"/>
              </w:rPr>
              <w:t>EK by měla v každém případě v maximální možné míře využívat informací, které ji ČS poskytly či poskytují zavedenými formami. Bylo by žádoucí vyhnout se duplikaci stávajících postupů (spojených např. s databází fiskálního řízení) a naopak dosáhnout maximální synergie.</w:t>
            </w:r>
          </w:p>
          <w:p w14:paraId="32B388EC" w14:textId="107E6FE3" w:rsidR="00F404DE" w:rsidRDefault="00F404DE" w:rsidP="00467D65">
            <w:pPr>
              <w:spacing w:line="240" w:lineRule="auto"/>
              <w:jc w:val="both"/>
              <w:rPr>
                <w:rFonts w:cstheme="minorHAnsi"/>
                <w:bCs/>
                <w:color w:val="000000"/>
              </w:rPr>
            </w:pPr>
            <w:r w:rsidRPr="00525E2A">
              <w:rPr>
                <w:rFonts w:cstheme="minorHAnsi"/>
                <w:bCs/>
                <w:color w:val="000000"/>
              </w:rPr>
              <w:t xml:space="preserve">Náklady nelze vyčíslit. </w:t>
            </w:r>
          </w:p>
          <w:p w14:paraId="5D972098" w14:textId="77777777" w:rsidR="00F90A46" w:rsidRPr="00525E2A" w:rsidRDefault="00F90A46" w:rsidP="00467D65">
            <w:pPr>
              <w:spacing w:line="240" w:lineRule="auto"/>
              <w:jc w:val="both"/>
              <w:rPr>
                <w:rFonts w:cstheme="minorHAnsi"/>
                <w:bCs/>
                <w:color w:val="000000"/>
              </w:rPr>
            </w:pPr>
          </w:p>
          <w:p w14:paraId="2C988221" w14:textId="3C6B5D40" w:rsidR="00F404DE" w:rsidRDefault="00F90A46" w:rsidP="00F90A46">
            <w:pPr>
              <w:pBdr>
                <w:top w:val="single" w:sz="4" w:space="1" w:color="auto"/>
                <w:left w:val="single" w:sz="4" w:space="4" w:color="auto"/>
                <w:bottom w:val="single" w:sz="4" w:space="1" w:color="auto"/>
                <w:right w:val="single" w:sz="4" w:space="4" w:color="auto"/>
              </w:pBdr>
              <w:spacing w:line="240" w:lineRule="auto"/>
              <w:ind w:left="36" w:right="174"/>
              <w:jc w:val="both"/>
              <w:rPr>
                <w:rFonts w:cstheme="minorHAnsi"/>
                <w:b/>
                <w:bCs/>
              </w:rPr>
            </w:pPr>
            <w:r>
              <w:rPr>
                <w:rFonts w:cstheme="minorHAnsi"/>
                <w:b/>
                <w:bCs/>
              </w:rPr>
              <w:t>Přezkum příslušných pokynů pro státní podporu, včetně pokynů pro státní podporu v oblasti životního prostředí a energetiky</w:t>
            </w:r>
          </w:p>
          <w:p w14:paraId="3A419ED5" w14:textId="77777777" w:rsidR="005043CD" w:rsidRPr="00525E2A" w:rsidRDefault="005043CD" w:rsidP="00467D65">
            <w:pPr>
              <w:spacing w:line="240" w:lineRule="auto"/>
              <w:jc w:val="both"/>
              <w:rPr>
                <w:rFonts w:cstheme="minorHAnsi"/>
                <w:color w:val="000000" w:themeColor="text1"/>
              </w:rPr>
            </w:pPr>
            <w:bookmarkStart w:id="13" w:name="_Hlk55496145"/>
            <w:bookmarkEnd w:id="12"/>
            <w:r w:rsidRPr="00525E2A">
              <w:rPr>
                <w:rFonts w:cstheme="minorHAnsi"/>
                <w:color w:val="000000" w:themeColor="text1"/>
              </w:rPr>
              <w:t>Revize pravidel pro veřejnou podporu v oblasti životního prostředí – Pokynů pro státní podporu v oblasti životního prostředí a energetiky na období 2014-2020.</w:t>
            </w:r>
          </w:p>
          <w:p w14:paraId="0277120C" w14:textId="77777777" w:rsidR="005043CD" w:rsidRPr="00525E2A" w:rsidRDefault="005043CD" w:rsidP="00467D65">
            <w:pPr>
              <w:spacing w:line="240" w:lineRule="auto"/>
              <w:jc w:val="both"/>
              <w:rPr>
                <w:rFonts w:cstheme="minorHAnsi"/>
                <w:color w:val="000000" w:themeColor="text1"/>
              </w:rPr>
            </w:pPr>
            <w:r w:rsidRPr="00525E2A">
              <w:rPr>
                <w:rFonts w:cstheme="minorHAnsi"/>
                <w:color w:val="000000" w:themeColor="text1"/>
              </w:rPr>
              <w:t xml:space="preserve">Dle EK zveřejněného plánu revize pravidel pro veřejnou podporu by měl být návrh nových Pokynů předložen v rámci veřejné konzultace na začátku roku 2021. </w:t>
            </w:r>
          </w:p>
          <w:p w14:paraId="5AAAD895" w14:textId="2E533459" w:rsidR="005043CD" w:rsidRPr="00525E2A" w:rsidRDefault="005043CD" w:rsidP="00467D65">
            <w:pPr>
              <w:spacing w:line="240" w:lineRule="auto"/>
              <w:jc w:val="both"/>
              <w:rPr>
                <w:rFonts w:cstheme="minorHAnsi"/>
                <w:color w:val="000000" w:themeColor="text1"/>
              </w:rPr>
            </w:pPr>
            <w:r w:rsidRPr="00525E2A">
              <w:rPr>
                <w:rFonts w:cstheme="minorHAnsi"/>
                <w:color w:val="000000" w:themeColor="text1"/>
              </w:rPr>
              <w:t xml:space="preserve">K žádnému dalšímu vývoji v této oblasti nedošlo. </w:t>
            </w:r>
          </w:p>
          <w:p w14:paraId="3AFE1595" w14:textId="77777777" w:rsidR="00503F41" w:rsidRPr="00525E2A" w:rsidRDefault="00503F41" w:rsidP="00467D65">
            <w:pPr>
              <w:pStyle w:val="Odstavecseseznamem"/>
              <w:spacing w:line="240" w:lineRule="auto"/>
              <w:ind w:left="0"/>
              <w:contextualSpacing w:val="0"/>
              <w:jc w:val="both"/>
              <w:rPr>
                <w:rFonts w:cstheme="minorHAnsi"/>
                <w:color w:val="000000"/>
              </w:rPr>
            </w:pPr>
            <w:bookmarkStart w:id="14" w:name="_Hlk55487600"/>
            <w:bookmarkEnd w:id="13"/>
          </w:p>
          <w:p w14:paraId="2C6112BA" w14:textId="7651A0D7" w:rsidR="00503F41" w:rsidRPr="00525E2A" w:rsidRDefault="00503F41" w:rsidP="00467D65">
            <w:pPr>
              <w:pStyle w:val="Odstavecseseznamem"/>
              <w:spacing w:line="240" w:lineRule="auto"/>
              <w:ind w:left="0"/>
              <w:contextualSpacing w:val="0"/>
              <w:jc w:val="both"/>
              <w:rPr>
                <w:rFonts w:cstheme="minorHAnsi"/>
                <w:color w:val="000000"/>
              </w:rPr>
            </w:pPr>
            <w:r w:rsidRPr="00525E2A">
              <w:rPr>
                <w:rFonts w:cstheme="minorHAnsi"/>
                <w:noProof/>
                <w:color w:val="000000"/>
              </w:rPr>
              <w:drawing>
                <wp:inline distT="0" distB="0" distL="0" distR="0" wp14:anchorId="44D6CE02" wp14:editId="761DF51F">
                  <wp:extent cx="5759450" cy="3175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47BFADE8" w14:textId="28FBED9B" w:rsidR="000C1BB3" w:rsidRPr="00525E2A" w:rsidRDefault="00DB59A8" w:rsidP="00467D65">
            <w:pPr>
              <w:spacing w:line="240" w:lineRule="auto"/>
              <w:jc w:val="both"/>
              <w:rPr>
                <w:rFonts w:cstheme="minorHAnsi"/>
                <w:noProof/>
              </w:rPr>
            </w:pPr>
            <w:r w:rsidRPr="00525E2A">
              <w:rPr>
                <w:rFonts w:cstheme="minorHAnsi"/>
              </w:rPr>
              <w:t xml:space="preserve">V reakci na hospodářské dopady pandemie COVID-19 Komise dne 27. května 2020 představila balíček obsahující upravený návrh víceletého finančního rámce </w:t>
            </w:r>
            <w:r w:rsidR="00C90A9D" w:rsidRPr="00525E2A">
              <w:rPr>
                <w:rFonts w:cstheme="minorHAnsi"/>
              </w:rPr>
              <w:t>2021–2027</w:t>
            </w:r>
            <w:r w:rsidRPr="00525E2A">
              <w:rPr>
                <w:rFonts w:cstheme="minorHAnsi"/>
              </w:rPr>
              <w:t xml:space="preserve"> (VFR) a nově také evropský nástroj na podporu oživení (Next Generation EU, NGEU) na pomoc evropskému hospodářství. Z hlediska velikosti navržené alokace je nejvýznamnější složkou NGEU Facilita na podporu oživení a odolnosti (Recovery and Resilience Facility, RRF) v podobě přímo řízeného unijního programu za účelem podpory </w:t>
            </w:r>
            <w:r w:rsidR="00F849B2" w:rsidRPr="00525E2A">
              <w:rPr>
                <w:rFonts w:cstheme="minorHAnsi"/>
              </w:rPr>
              <w:t>strukturálních reforem a veřejných investic jakožto pilířů hospodářské obnovy cílícího mj. na přispění</w:t>
            </w:r>
            <w:r w:rsidR="00170D52" w:rsidRPr="00525E2A">
              <w:rPr>
                <w:rFonts w:cstheme="minorHAnsi"/>
              </w:rPr>
              <w:t xml:space="preserve"> </w:t>
            </w:r>
            <w:r w:rsidR="00F849B2" w:rsidRPr="00525E2A">
              <w:rPr>
                <w:rFonts w:cstheme="minorHAnsi"/>
                <w:noProof/>
              </w:rPr>
              <w:t>k zelené (a digitální) transformaci v souladu se Zelenou dohodou pr</w:t>
            </w:r>
            <w:r w:rsidR="000C1BB3" w:rsidRPr="00525E2A">
              <w:rPr>
                <w:rFonts w:cstheme="minorHAnsi"/>
                <w:noProof/>
              </w:rPr>
              <w:t>o  Evropu. strukturálníchreforem a veřejných investic jakožto pilířů hospodářské obnovy cílícího mj. na přispění k zelené (a digitální) transformaci v souladu se Zelenou dohodou pro Evropu.</w:t>
            </w:r>
          </w:p>
          <w:p w14:paraId="4CC8F47E" w14:textId="41340571" w:rsidR="00DB59A8" w:rsidRPr="00525E2A" w:rsidRDefault="00DB59A8" w:rsidP="00467D65">
            <w:pPr>
              <w:spacing w:line="240" w:lineRule="auto"/>
              <w:jc w:val="both"/>
              <w:rPr>
                <w:rFonts w:cstheme="minorHAnsi"/>
              </w:rPr>
            </w:pPr>
            <w:r w:rsidRPr="00525E2A">
              <w:rPr>
                <w:rFonts w:cstheme="minorHAnsi"/>
              </w:rPr>
              <w:t xml:space="preserve">S odvoláním na Pařížskou dohodu, cíle udržitelného rozvoje OSN a </w:t>
            </w:r>
            <w:proofErr w:type="gramStart"/>
            <w:r w:rsidRPr="00525E2A">
              <w:rPr>
                <w:rFonts w:cstheme="minorHAnsi"/>
              </w:rPr>
              <w:t>Zelenou</w:t>
            </w:r>
            <w:proofErr w:type="gramEnd"/>
            <w:r w:rsidRPr="00525E2A">
              <w:rPr>
                <w:rFonts w:cstheme="minorHAnsi"/>
              </w:rPr>
              <w:t xml:space="preserve"> dohodu pro Evropu byl v závěrech zasedání Evropské rady ve dnech 17.- 21. července 2020 potvrzen cíl vynaložit alespoň 30 % výdajů hrazených z VFR a NGEU v souvislosti s klimatickou politikou. V kontextu rozdělení výdajů na klimatickou politiku mezi jednotlivé nástroje VFR a NGEU je navrženo, aby z výdajů hrazených z RRF bylo na klimatickou politiku na úrovni plánů jednotlivých členských států směřováno minimálně 37 %. Budou tak nastaveny mantinely členským státům v parametrech veřejných investic podporovaných z RRF. Na druhou stranu, vysoká alokace RRF představuje disponibilní prostředky, které mohou zásadním způsobem členským státům napomoci v plnění cílů Zelené dohody pro Evropu.</w:t>
            </w:r>
          </w:p>
          <w:p w14:paraId="54585845" w14:textId="490C0B08" w:rsidR="00DB59A8" w:rsidRDefault="00DB59A8" w:rsidP="00467D65">
            <w:pPr>
              <w:spacing w:line="240" w:lineRule="auto"/>
              <w:jc w:val="both"/>
              <w:rPr>
                <w:rFonts w:cstheme="minorHAnsi"/>
              </w:rPr>
            </w:pPr>
            <w:r w:rsidRPr="00525E2A">
              <w:rPr>
                <w:rFonts w:cstheme="minorHAnsi"/>
              </w:rPr>
              <w:lastRenderedPageBreak/>
              <w:t xml:space="preserve">Evropská komise plánuje začít vydávat iniciativy navazující na </w:t>
            </w:r>
            <w:proofErr w:type="gramStart"/>
            <w:r w:rsidRPr="00525E2A">
              <w:rPr>
                <w:rFonts w:cstheme="minorHAnsi"/>
              </w:rPr>
              <w:t>Zelenou</w:t>
            </w:r>
            <w:proofErr w:type="gramEnd"/>
            <w:r w:rsidRPr="00525E2A">
              <w:rPr>
                <w:rFonts w:cstheme="minorHAnsi"/>
              </w:rPr>
              <w:t xml:space="preserve"> dohodu ve větší míře od června 2021. Evropská komise provedla hodnocení dopadů Zelené dohody pouze na úrovni jednotlivých sektorů s argumentem, že nelze předjímat, co bude obsahovat navazující legislativa a jaké cesty si členské země ke klimatické neutralitě zvolí. V této chvíli za absence navazujících návrhů nelze dopady vyčíslit, lze ovšem předpokládat, že se dotknou firem i domácností, u kterých bude tlak na využívání nízko a bezuhlíkových řešení. Od června 2021 u postupného vydávání navazující legislativy v oblasti energetiky a klimatu Komise slíbila již řádné hodnocení dopadů až na úroveň členských států.</w:t>
            </w:r>
          </w:p>
          <w:p w14:paraId="6E0FFD6E" w14:textId="767A68C2" w:rsidR="005F1797" w:rsidRDefault="005F1797" w:rsidP="00467D65">
            <w:pPr>
              <w:spacing w:line="240" w:lineRule="auto"/>
              <w:jc w:val="both"/>
              <w:rPr>
                <w:rFonts w:cstheme="minorHAnsi"/>
              </w:rPr>
            </w:pPr>
          </w:p>
          <w:p w14:paraId="360516E7" w14:textId="77777777" w:rsidR="005F1797" w:rsidRPr="001C227D" w:rsidRDefault="005F1797" w:rsidP="005F1797">
            <w:pPr>
              <w:spacing w:line="276" w:lineRule="auto"/>
              <w:jc w:val="both"/>
              <w:outlineLvl w:val="0"/>
              <w:rPr>
                <w:rFonts w:cstheme="minorHAnsi"/>
                <w:b/>
                <w:u w:val="single"/>
                <w:lang w:eastAsia="en-GB"/>
              </w:rPr>
            </w:pPr>
            <w:r w:rsidRPr="001C227D">
              <w:rPr>
                <w:rFonts w:cstheme="minorHAnsi"/>
                <w:b/>
                <w:u w:val="single"/>
                <w:lang w:eastAsia="en-GB"/>
              </w:rPr>
              <w:t xml:space="preserve">Výzkum, vývoj a inovace </w:t>
            </w:r>
            <w:r>
              <w:rPr>
                <w:rFonts w:cstheme="minorHAnsi"/>
                <w:b/>
                <w:u w:val="single"/>
                <w:lang w:eastAsia="en-GB"/>
              </w:rPr>
              <w:t>dle Národní RIS3 strategie</w:t>
            </w:r>
            <w:r w:rsidRPr="001C227D">
              <w:rPr>
                <w:rFonts w:cstheme="minorHAnsi"/>
                <w:b/>
                <w:u w:val="single"/>
                <w:lang w:eastAsia="en-GB"/>
              </w:rPr>
              <w:t xml:space="preserve"> </w:t>
            </w:r>
          </w:p>
          <w:p w14:paraId="7C4C75FA" w14:textId="77777777" w:rsidR="005F1797" w:rsidRDefault="005F1797" w:rsidP="005F1797">
            <w:pPr>
              <w:spacing w:line="276" w:lineRule="auto"/>
              <w:jc w:val="both"/>
              <w:rPr>
                <w:rFonts w:cstheme="minorHAnsi"/>
              </w:rPr>
            </w:pPr>
            <w:r w:rsidRPr="0053763E">
              <w:rPr>
                <w:rFonts w:cstheme="minorHAnsi"/>
              </w:rPr>
              <w:t>Národní výzkumná a inovační strategie pro inteligentní specializaci („NRIS3“) je nástrojem výzkumné a inovační politiky</w:t>
            </w:r>
            <w:r>
              <w:rPr>
                <w:rFonts w:cstheme="minorHAnsi"/>
              </w:rPr>
              <w:t xml:space="preserve">. </w:t>
            </w:r>
            <w:r w:rsidRPr="0053763E">
              <w:rPr>
                <w:rFonts w:cstheme="minorHAnsi"/>
              </w:rPr>
              <w:t>Hlavní NRIS3 iniciativy podpory výzkumu, vývoje a inovací (</w:t>
            </w:r>
            <w:proofErr w:type="spellStart"/>
            <w:r w:rsidRPr="0053763E">
              <w:rPr>
                <w:rFonts w:cstheme="minorHAnsi"/>
              </w:rPr>
              <w:t>VaVaI</w:t>
            </w:r>
            <w:proofErr w:type="spellEnd"/>
            <w:r w:rsidRPr="0053763E">
              <w:rPr>
                <w:rFonts w:cstheme="minorHAnsi"/>
              </w:rPr>
              <w:t>) jsou namířeny průřezově přes celou tuzemskou ekonomiku</w:t>
            </w:r>
            <w:r>
              <w:rPr>
                <w:rFonts w:cstheme="minorHAnsi"/>
              </w:rPr>
              <w:t xml:space="preserve"> např.</w:t>
            </w:r>
          </w:p>
          <w:p w14:paraId="1C5704C3" w14:textId="77777777" w:rsidR="005F1797" w:rsidRDefault="005F1797" w:rsidP="005F1797">
            <w:pPr>
              <w:pStyle w:val="Odstavecseseznamem"/>
              <w:numPr>
                <w:ilvl w:val="0"/>
                <w:numId w:val="25"/>
              </w:numPr>
              <w:spacing w:line="240" w:lineRule="auto"/>
              <w:contextualSpacing w:val="0"/>
              <w:jc w:val="both"/>
              <w:rPr>
                <w:rFonts w:cstheme="minorHAnsi"/>
              </w:rPr>
            </w:pPr>
            <w:r w:rsidRPr="0053763E">
              <w:rPr>
                <w:rFonts w:cstheme="minorHAnsi"/>
              </w:rPr>
              <w:t xml:space="preserve">snížení emisí v dopravě či výroba a zavádění udržitelných alternativních paliv používaných v odvětví dopravy, </w:t>
            </w:r>
          </w:p>
          <w:p w14:paraId="515E79F1" w14:textId="77777777" w:rsidR="005F1797" w:rsidRDefault="005F1797" w:rsidP="005F1797">
            <w:pPr>
              <w:pStyle w:val="Odstavecseseznamem"/>
              <w:numPr>
                <w:ilvl w:val="0"/>
                <w:numId w:val="25"/>
              </w:numPr>
              <w:spacing w:line="240" w:lineRule="auto"/>
              <w:contextualSpacing w:val="0"/>
              <w:jc w:val="both"/>
              <w:rPr>
                <w:rFonts w:cstheme="minorHAnsi"/>
              </w:rPr>
            </w:pPr>
            <w:r w:rsidRPr="0053763E">
              <w:rPr>
                <w:rFonts w:cstheme="minorHAnsi"/>
              </w:rPr>
              <w:t xml:space="preserve">zvýšení biodiverzity či ekologického </w:t>
            </w:r>
            <w:r>
              <w:rPr>
                <w:rFonts w:cstheme="minorHAnsi"/>
              </w:rPr>
              <w:t>zemědělství</w:t>
            </w:r>
          </w:p>
          <w:p w14:paraId="3078E8DF" w14:textId="77777777" w:rsidR="005F1797" w:rsidRDefault="005F1797" w:rsidP="005F1797">
            <w:pPr>
              <w:pStyle w:val="Odstavecseseznamem"/>
              <w:numPr>
                <w:ilvl w:val="0"/>
                <w:numId w:val="25"/>
              </w:numPr>
              <w:spacing w:line="240" w:lineRule="auto"/>
              <w:contextualSpacing w:val="0"/>
              <w:jc w:val="both"/>
              <w:rPr>
                <w:rFonts w:cstheme="minorHAnsi"/>
              </w:rPr>
            </w:pPr>
            <w:r w:rsidRPr="0053763E">
              <w:rPr>
                <w:rFonts w:cstheme="minorHAnsi"/>
              </w:rPr>
              <w:t xml:space="preserve">dekarbonizace a modernizace ocelářství a výroba chemických produktů </w:t>
            </w:r>
          </w:p>
          <w:p w14:paraId="298A7014" w14:textId="77777777" w:rsidR="005F1797" w:rsidRDefault="005F1797" w:rsidP="005F1797">
            <w:pPr>
              <w:pStyle w:val="Odstavecseseznamem"/>
              <w:numPr>
                <w:ilvl w:val="0"/>
                <w:numId w:val="25"/>
              </w:numPr>
              <w:spacing w:line="240" w:lineRule="auto"/>
              <w:contextualSpacing w:val="0"/>
              <w:jc w:val="both"/>
              <w:rPr>
                <w:rFonts w:cstheme="minorHAnsi"/>
              </w:rPr>
            </w:pPr>
            <w:r>
              <w:rPr>
                <w:rFonts w:cstheme="minorHAnsi"/>
              </w:rPr>
              <w:t>p</w:t>
            </w:r>
            <w:r w:rsidRPr="0053763E">
              <w:rPr>
                <w:rFonts w:cstheme="minorHAnsi"/>
              </w:rPr>
              <w:t xml:space="preserve">růnik mezi NRIS3 a EGD v oblasti </w:t>
            </w:r>
            <w:proofErr w:type="spellStart"/>
            <w:r w:rsidRPr="0053763E">
              <w:rPr>
                <w:rFonts w:cstheme="minorHAnsi"/>
              </w:rPr>
              <w:t>megatrendů</w:t>
            </w:r>
            <w:proofErr w:type="spellEnd"/>
            <w:r>
              <w:rPr>
                <w:rFonts w:cstheme="minorHAnsi"/>
              </w:rPr>
              <w:t xml:space="preserve"> – v</w:t>
            </w:r>
            <w:r w:rsidRPr="0053763E">
              <w:rPr>
                <w:rFonts w:cstheme="minorHAnsi"/>
              </w:rPr>
              <w:t xml:space="preserve"> technologické oblasti (digitalizace ekonomiky), tak i mimo ni </w:t>
            </w:r>
          </w:p>
          <w:p w14:paraId="3EFA8A87" w14:textId="77777777" w:rsidR="005F1797" w:rsidRDefault="005F1797" w:rsidP="005F1797">
            <w:pPr>
              <w:pStyle w:val="Odstavecseseznamem"/>
              <w:numPr>
                <w:ilvl w:val="0"/>
                <w:numId w:val="25"/>
              </w:numPr>
              <w:spacing w:line="240" w:lineRule="auto"/>
              <w:contextualSpacing w:val="0"/>
              <w:jc w:val="both"/>
              <w:rPr>
                <w:rFonts w:cstheme="minorHAnsi"/>
              </w:rPr>
            </w:pPr>
            <w:r>
              <w:rPr>
                <w:rFonts w:cstheme="minorHAnsi"/>
              </w:rPr>
              <w:t>i</w:t>
            </w:r>
            <w:r w:rsidRPr="0053763E">
              <w:rPr>
                <w:rFonts w:cstheme="minorHAnsi"/>
              </w:rPr>
              <w:t xml:space="preserve">mplementace prvků umělé inteligence, digitální infrastruktury (5G, </w:t>
            </w:r>
            <w:proofErr w:type="spellStart"/>
            <w:r w:rsidRPr="0053763E">
              <w:rPr>
                <w:rFonts w:cstheme="minorHAnsi"/>
              </w:rPr>
              <w:t>cloud</w:t>
            </w:r>
            <w:proofErr w:type="spellEnd"/>
            <w:r w:rsidRPr="0053763E">
              <w:rPr>
                <w:rFonts w:cstheme="minorHAnsi"/>
              </w:rPr>
              <w:t xml:space="preserve"> </w:t>
            </w:r>
            <w:proofErr w:type="spellStart"/>
            <w:r w:rsidRPr="0053763E">
              <w:rPr>
                <w:rFonts w:cstheme="minorHAnsi"/>
              </w:rPr>
              <w:t>computing</w:t>
            </w:r>
            <w:proofErr w:type="spellEnd"/>
            <w:r w:rsidRPr="0053763E">
              <w:rPr>
                <w:rFonts w:cstheme="minorHAnsi"/>
              </w:rPr>
              <w:t xml:space="preserve">), ale i využití pokročilých materiálů a výrobních technologií, spolu s řešením společenských výzev (sucho, stárnutí populace) </w:t>
            </w:r>
            <w:r>
              <w:rPr>
                <w:rFonts w:cstheme="minorHAnsi"/>
              </w:rPr>
              <w:t xml:space="preserve">- </w:t>
            </w:r>
            <w:r w:rsidRPr="0053763E">
              <w:rPr>
                <w:rFonts w:cstheme="minorHAnsi"/>
              </w:rPr>
              <w:t>k digitální i ekologické transformaci tuzemského průmyslu, energetiky, jakožto i celé ekonomiky. Obě strategie tak spoléhají na nové technologie, udržitelná řešení a průlomové inovace.</w:t>
            </w:r>
          </w:p>
          <w:p w14:paraId="2CA14006" w14:textId="77777777" w:rsidR="005F1797" w:rsidRPr="0053763E" w:rsidRDefault="005F1797" w:rsidP="005F1797">
            <w:pPr>
              <w:pStyle w:val="Odstavecseseznamem"/>
              <w:numPr>
                <w:ilvl w:val="0"/>
                <w:numId w:val="25"/>
              </w:numPr>
              <w:spacing w:line="240" w:lineRule="auto"/>
              <w:contextualSpacing w:val="0"/>
              <w:jc w:val="both"/>
              <w:rPr>
                <w:rFonts w:cstheme="minorHAnsi"/>
              </w:rPr>
            </w:pPr>
            <w:r w:rsidRPr="0053763E">
              <w:rPr>
                <w:rFonts w:cstheme="minorHAnsi"/>
              </w:rPr>
              <w:t>flexibilita NRIS3 tak může lépe přispívat v čase se měnícím požadavkům na dosažení uhlíkové neutrality a zlepšení životního prostředí</w:t>
            </w:r>
          </w:p>
          <w:p w14:paraId="4121FDFF" w14:textId="77777777" w:rsidR="005F1797" w:rsidRPr="00621644" w:rsidRDefault="005F1797" w:rsidP="005F1797">
            <w:pPr>
              <w:spacing w:line="276" w:lineRule="auto"/>
              <w:jc w:val="both"/>
              <w:rPr>
                <w:rFonts w:cstheme="minorHAnsi"/>
              </w:rPr>
            </w:pPr>
            <w:r w:rsidRPr="00621644">
              <w:rPr>
                <w:rFonts w:cstheme="minorHAnsi"/>
              </w:rPr>
              <w:t xml:space="preserve">V současné době probíhá finalizace Národní výzkumné a inovační strategie pro inteligentní specializaci, </w:t>
            </w:r>
            <w:r>
              <w:rPr>
                <w:rFonts w:cstheme="minorHAnsi"/>
              </w:rPr>
              <w:t xml:space="preserve">měla </w:t>
            </w:r>
            <w:r w:rsidRPr="00621644">
              <w:rPr>
                <w:rFonts w:cstheme="minorHAnsi"/>
              </w:rPr>
              <w:t>by být hotova do konce roku 2020</w:t>
            </w:r>
            <w:r>
              <w:rPr>
                <w:rFonts w:cstheme="minorHAnsi"/>
              </w:rPr>
              <w:t xml:space="preserve">, </w:t>
            </w:r>
            <w:r w:rsidRPr="00621644">
              <w:rPr>
                <w:rFonts w:cstheme="minorHAnsi"/>
              </w:rPr>
              <w:t>pak</w:t>
            </w:r>
            <w:r>
              <w:rPr>
                <w:rFonts w:cstheme="minorHAnsi"/>
              </w:rPr>
              <w:t xml:space="preserve"> </w:t>
            </w:r>
            <w:r w:rsidRPr="00621644">
              <w:rPr>
                <w:rFonts w:cstheme="minorHAnsi"/>
              </w:rPr>
              <w:t>bude představena E</w:t>
            </w:r>
            <w:r>
              <w:rPr>
                <w:rFonts w:cstheme="minorHAnsi"/>
              </w:rPr>
              <w:t>K</w:t>
            </w:r>
            <w:r w:rsidRPr="00621644">
              <w:rPr>
                <w:rFonts w:cstheme="minorHAnsi"/>
              </w:rPr>
              <w:t xml:space="preserve">, a po jejím schválení bude základním dokumentem pro nastavení operačních programů EU fondů pro programové období 2021–2027 v oblasti výzkumu a inovací. </w:t>
            </w:r>
          </w:p>
          <w:p w14:paraId="5019F4FB" w14:textId="77777777" w:rsidR="005F1797" w:rsidRPr="001C227D" w:rsidRDefault="005F1797" w:rsidP="005F1797">
            <w:pPr>
              <w:spacing w:line="276" w:lineRule="auto"/>
              <w:jc w:val="both"/>
              <w:rPr>
                <w:rFonts w:cstheme="minorHAnsi"/>
              </w:rPr>
            </w:pPr>
            <w:r w:rsidRPr="001C227D">
              <w:rPr>
                <w:rFonts w:cstheme="minorHAnsi"/>
              </w:rPr>
              <w:t>Kohezní fondy 2021-2027 v cíli 1 (především OP JAK, OP TAK) v současné době budou v režimu RIS3 pro ČR alokovány prostředky ve výši cca 4,7 mld</w:t>
            </w:r>
            <w:r>
              <w:rPr>
                <w:rFonts w:cstheme="minorHAnsi"/>
              </w:rPr>
              <w:t>.</w:t>
            </w:r>
            <w:r w:rsidRPr="001C227D">
              <w:rPr>
                <w:rFonts w:cstheme="minorHAnsi"/>
              </w:rPr>
              <w:t xml:space="preserve"> EUR. </w:t>
            </w:r>
          </w:p>
          <w:p w14:paraId="0ED816C1" w14:textId="77777777" w:rsidR="005F1797" w:rsidRDefault="005F1797" w:rsidP="005F1797">
            <w:pPr>
              <w:spacing w:line="276" w:lineRule="auto"/>
              <w:jc w:val="both"/>
              <w:rPr>
                <w:rFonts w:cstheme="minorHAnsi"/>
              </w:rPr>
            </w:pPr>
            <w:r w:rsidRPr="001C227D">
              <w:rPr>
                <w:rFonts w:cstheme="minorHAnsi"/>
              </w:rPr>
              <w:t xml:space="preserve">Národní a regionální programy podpory aplikovaného výzkumu a inovací (např. Country </w:t>
            </w:r>
            <w:proofErr w:type="spellStart"/>
            <w:r w:rsidRPr="001C227D">
              <w:rPr>
                <w:rFonts w:cstheme="minorHAnsi"/>
              </w:rPr>
              <w:t>for</w:t>
            </w:r>
            <w:proofErr w:type="spellEnd"/>
            <w:r w:rsidRPr="001C227D">
              <w:rPr>
                <w:rFonts w:cstheme="minorHAnsi"/>
              </w:rPr>
              <w:t xml:space="preserve"> </w:t>
            </w:r>
            <w:proofErr w:type="spellStart"/>
            <w:r w:rsidRPr="001C227D">
              <w:rPr>
                <w:rFonts w:cstheme="minorHAnsi"/>
              </w:rPr>
              <w:t>the</w:t>
            </w:r>
            <w:proofErr w:type="spellEnd"/>
            <w:r w:rsidRPr="001C227D">
              <w:rPr>
                <w:rFonts w:cstheme="minorHAnsi"/>
              </w:rPr>
              <w:t xml:space="preserve"> </w:t>
            </w:r>
            <w:proofErr w:type="spellStart"/>
            <w:r w:rsidRPr="001C227D">
              <w:rPr>
                <w:rFonts w:cstheme="minorHAnsi"/>
              </w:rPr>
              <w:t>future</w:t>
            </w:r>
            <w:proofErr w:type="spellEnd"/>
            <w:r w:rsidRPr="001C227D">
              <w:rPr>
                <w:rFonts w:cstheme="minorHAnsi"/>
              </w:rPr>
              <w:t>, TREND, vybrané programy TAČR)</w:t>
            </w:r>
          </w:p>
          <w:p w14:paraId="5111C7CC" w14:textId="77777777" w:rsidR="005F1797" w:rsidRDefault="005F1797" w:rsidP="00467D65">
            <w:pPr>
              <w:spacing w:line="240" w:lineRule="auto"/>
              <w:jc w:val="both"/>
              <w:rPr>
                <w:rFonts w:cstheme="minorHAnsi"/>
              </w:rPr>
            </w:pPr>
          </w:p>
          <w:p w14:paraId="27AB1CD5" w14:textId="3FCBBBD0" w:rsidR="00F90A46" w:rsidRDefault="00F90A46" w:rsidP="00467D65">
            <w:pPr>
              <w:spacing w:line="240" w:lineRule="auto"/>
              <w:jc w:val="both"/>
              <w:rPr>
                <w:rFonts w:cstheme="minorHAnsi"/>
              </w:rPr>
            </w:pPr>
          </w:p>
          <w:p w14:paraId="05F0F53B" w14:textId="07FC83AC" w:rsidR="005F1797" w:rsidRDefault="005F1797" w:rsidP="00467D65">
            <w:pPr>
              <w:spacing w:line="240" w:lineRule="auto"/>
              <w:jc w:val="both"/>
              <w:rPr>
                <w:rFonts w:cstheme="minorHAnsi"/>
              </w:rPr>
            </w:pPr>
          </w:p>
          <w:p w14:paraId="7D54098A" w14:textId="77777777" w:rsidR="005F1797" w:rsidRPr="00525E2A" w:rsidRDefault="005F1797" w:rsidP="00467D65">
            <w:pPr>
              <w:spacing w:line="240" w:lineRule="auto"/>
              <w:jc w:val="both"/>
              <w:rPr>
                <w:rFonts w:cstheme="minorHAnsi"/>
              </w:rPr>
            </w:pPr>
          </w:p>
          <w:p w14:paraId="5C3F2861" w14:textId="1F61C308" w:rsidR="00DB59A8" w:rsidRDefault="00F90A46" w:rsidP="00F90A46">
            <w:pPr>
              <w:pStyle w:val="Odstavecseseznamem"/>
              <w:pBdr>
                <w:top w:val="single" w:sz="4" w:space="1" w:color="auto"/>
                <w:left w:val="single" w:sz="4" w:space="4" w:color="auto"/>
                <w:bottom w:val="single" w:sz="4" w:space="1" w:color="auto"/>
                <w:right w:val="single" w:sz="4" w:space="4" w:color="auto"/>
              </w:pBdr>
              <w:spacing w:line="240" w:lineRule="auto"/>
              <w:ind w:left="177" w:right="174"/>
              <w:contextualSpacing w:val="0"/>
              <w:jc w:val="both"/>
              <w:rPr>
                <w:rFonts w:cstheme="minorHAnsi"/>
                <w:b/>
                <w:bCs/>
                <w:color w:val="000000"/>
              </w:rPr>
            </w:pPr>
            <w:r>
              <w:rPr>
                <w:rFonts w:cstheme="minorHAnsi"/>
                <w:b/>
                <w:bCs/>
                <w:color w:val="000000"/>
              </w:rPr>
              <w:lastRenderedPageBreak/>
              <w:t>Zúčastněné strany identifikují nekonzistentní právní předpisy, které snižují efektivitu realizace Zelené dohody pro Evropu, a zajištují nápravu</w:t>
            </w:r>
          </w:p>
          <w:p w14:paraId="31ED945A" w14:textId="68AE0A99" w:rsidR="00D93F95" w:rsidRPr="00525E2A" w:rsidRDefault="00DB59A8" w:rsidP="00467D65">
            <w:pPr>
              <w:pStyle w:val="Odstavecseseznamem"/>
              <w:spacing w:line="240" w:lineRule="auto"/>
              <w:ind w:left="0"/>
              <w:contextualSpacing w:val="0"/>
              <w:jc w:val="both"/>
              <w:rPr>
                <w:rFonts w:cstheme="minorHAnsi"/>
                <w:color w:val="000000" w:themeColor="text1"/>
              </w:rPr>
            </w:pPr>
            <w:r w:rsidRPr="00525E2A">
              <w:rPr>
                <w:rFonts w:cstheme="minorHAnsi"/>
              </w:rPr>
              <w:t xml:space="preserve">Dovolujeme si jen stručně uvést, že již dnes jsou dle Better regulation guidelines a Better regulation toolbox k legislativním i nelegislativním iniciativám EK, u nichž se předpokládají významné dopady, zpracovávána posouzení dopadů. U hospodářských, sociálních a environmentálních dopadů by mělo být explicitně uvedeno, zdali jsou považovány za významné, kdo jimi a jak bude případně dotčen. Obdobně jsou již dnes dopady na životní prostředí vyhodnocovány i v rámci procesu RIA v ČR. </w:t>
            </w:r>
            <w:r w:rsidRPr="00525E2A">
              <w:rPr>
                <w:rFonts w:cstheme="minorHAnsi"/>
              </w:rPr>
              <w:br/>
            </w:r>
            <w:r w:rsidRPr="00525E2A">
              <w:rPr>
                <w:rFonts w:cstheme="minorHAnsi"/>
              </w:rPr>
              <w:br/>
              <w:t xml:space="preserve">EK ve Sdělení dále vyzývá zúčastněné strany, aby v zájmu zjednodušení právních předpisů a identifikace problematických případů využily stávající platformy, zejména internetovou stránku </w:t>
            </w:r>
            <w:r w:rsidRPr="00525E2A">
              <w:rPr>
                <w:rFonts w:cstheme="minorHAnsi"/>
                <w:color w:val="000000" w:themeColor="text1"/>
              </w:rPr>
              <w:t>"</w:t>
            </w:r>
            <w:hyperlink r:id="rId18" w:history="1">
              <w:r w:rsidRPr="00525E2A">
                <w:rPr>
                  <w:rStyle w:val="Hypertextovodkaz"/>
                  <w:rFonts w:cstheme="minorHAnsi"/>
                  <w:color w:val="000000" w:themeColor="text1"/>
                </w:rPr>
                <w:t>Podělte se o svůj názor: Navrhněte zjednodušení!</w:t>
              </w:r>
            </w:hyperlink>
            <w:r w:rsidRPr="00525E2A">
              <w:rPr>
                <w:rFonts w:cstheme="minorHAnsi"/>
                <w:color w:val="000000" w:themeColor="text1"/>
              </w:rPr>
              <w:t xml:space="preserve">". Zaslané návrhy bude následně posuzovat nově ustanovená platforma Fit for Future (rozhodnutí o jejím zřízení publikovala EK v květnu 2020, nyní se finalizuje výběr členů), která nahradila platformu REFIT. Platforma se bude skládat ze dvou skupin – vládní skupiny (1 zástupce za každý stát) a skupiny zúčastněných stran. Bližší informace na </w:t>
            </w:r>
            <w:hyperlink r:id="rId19" w:history="1">
              <w:r w:rsidRPr="00525E2A">
                <w:rPr>
                  <w:rStyle w:val="Hypertextovodkaz"/>
                  <w:rFonts w:cstheme="minorHAnsi"/>
                  <w:color w:val="000000" w:themeColor="text1"/>
                </w:rPr>
                <w:t>webu RIA</w:t>
              </w:r>
            </w:hyperlink>
            <w:r w:rsidRPr="00525E2A">
              <w:rPr>
                <w:rFonts w:cstheme="minorHAnsi"/>
                <w:color w:val="000000" w:themeColor="text1"/>
              </w:rPr>
              <w:t xml:space="preserve"> nebo na stránkách samotné </w:t>
            </w:r>
            <w:hyperlink r:id="rId20" w:history="1">
              <w:r w:rsidRPr="00525E2A">
                <w:rPr>
                  <w:rStyle w:val="Hypertextovodkaz"/>
                  <w:rFonts w:cstheme="minorHAnsi"/>
                  <w:color w:val="000000" w:themeColor="text1"/>
                </w:rPr>
                <w:t>platformy</w:t>
              </w:r>
            </w:hyperlink>
            <w:r w:rsidRPr="00525E2A">
              <w:rPr>
                <w:rFonts w:cstheme="minorHAnsi"/>
                <w:color w:val="000000" w:themeColor="text1"/>
              </w:rPr>
              <w:t xml:space="preserve">. </w:t>
            </w:r>
          </w:p>
          <w:p w14:paraId="5F13702B" w14:textId="374A6A10" w:rsidR="00D93F95" w:rsidRPr="00525E2A" w:rsidRDefault="00B83753" w:rsidP="00467D65">
            <w:pPr>
              <w:pStyle w:val="Odstavecseseznamem"/>
              <w:spacing w:line="240" w:lineRule="auto"/>
              <w:ind w:left="0"/>
              <w:contextualSpacing w:val="0"/>
              <w:jc w:val="both"/>
              <w:rPr>
                <w:rFonts w:cstheme="minorHAnsi"/>
                <w:color w:val="000000"/>
              </w:rPr>
            </w:pPr>
            <w:r w:rsidRPr="00525E2A">
              <w:rPr>
                <w:rFonts w:cstheme="minorHAnsi"/>
                <w:noProof/>
                <w:color w:val="000000"/>
              </w:rPr>
              <w:drawing>
                <wp:inline distT="0" distB="0" distL="0" distR="0" wp14:anchorId="75835CC8" wp14:editId="69853B8C">
                  <wp:extent cx="5759450" cy="3175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59450" cy="317500"/>
                          </a:xfrm>
                          <a:prstGeom prst="rect">
                            <a:avLst/>
                          </a:prstGeom>
                          <a:noFill/>
                          <a:ln>
                            <a:noFill/>
                          </a:ln>
                        </pic:spPr>
                      </pic:pic>
                    </a:graphicData>
                  </a:graphic>
                </wp:inline>
              </w:drawing>
            </w:r>
          </w:p>
          <w:p w14:paraId="7121EB40" w14:textId="77777777" w:rsidR="00DB59A8" w:rsidRPr="00525E2A" w:rsidRDefault="00DB59A8" w:rsidP="00467D65">
            <w:pPr>
              <w:spacing w:line="240" w:lineRule="auto"/>
              <w:jc w:val="both"/>
              <w:rPr>
                <w:rFonts w:cstheme="minorHAnsi"/>
              </w:rPr>
            </w:pPr>
            <w:r w:rsidRPr="00525E2A">
              <w:rPr>
                <w:rFonts w:cstheme="minorHAnsi"/>
              </w:rPr>
              <w:t xml:space="preserve">V souvislosti se </w:t>
            </w:r>
            <w:proofErr w:type="gramStart"/>
            <w:r w:rsidRPr="00525E2A">
              <w:rPr>
                <w:rFonts w:cstheme="minorHAnsi"/>
              </w:rPr>
              <w:t>Zelenou</w:t>
            </w:r>
            <w:proofErr w:type="gramEnd"/>
            <w:r w:rsidRPr="00525E2A">
              <w:rPr>
                <w:rFonts w:cstheme="minorHAnsi"/>
              </w:rPr>
              <w:t xml:space="preserve"> dohodou pro Evropu se také vyvíjí mechanismus koordinace hospodářských a sociálních politik EU, tzv. evropský semestr. Do cyklu evropského semestru roku 2020 byly nově začleněny cíle udržitelného rozvoje OSN Agendy 2030 (SDGs) – do Zprávy o zemi (Country Report) byly včleněno hledisko dimenze environmentální udržitelnosti a byla přidána samostatná statistická příloha sledující naplňování SDGs v ČR dle indikátorů Eurostatu. V Národním programu reforem (NPR) 2020 pak byla uvedena nová kapitola věnující se hodnocení pokroku naplňování SDGs (dle monitoringu české státní správy na základě hodnotící zprávy ČR k Agendě 2030). Paralelně s tím je vyhodnocován Implementační plán Strategického rámce ČR 2030, který je zastřešujícím dokumentem v oblasti udržitelného rozvoje a kvality života. Tyto aktivity jsou co do nákladů plně pokrývány interními kapacitami státní správy s pomocí kapacit financovaných z projektu Operačního programu Zaměstnanost, a tak při nich nevznikají další finanční náklady.</w:t>
            </w:r>
          </w:p>
          <w:p w14:paraId="3D4AE897" w14:textId="16546B1A" w:rsidR="00DB59A8" w:rsidRPr="00525E2A" w:rsidRDefault="00DB59A8" w:rsidP="00467D65">
            <w:pPr>
              <w:spacing w:line="240" w:lineRule="auto"/>
              <w:jc w:val="both"/>
              <w:rPr>
                <w:rFonts w:cstheme="minorHAnsi"/>
              </w:rPr>
            </w:pPr>
            <w:r w:rsidRPr="00525E2A">
              <w:rPr>
                <w:rFonts w:cstheme="minorHAnsi"/>
              </w:rPr>
              <w:t xml:space="preserve">Evropský semestr má rovněž sloužit jako základní rámec pro správu RRF, jež cílí na řešení výzev a priorit identifikovaných ve specifických doporučeních Rady (CSRs), (a kromě pokrizového oživení) na přispění k zelené a digitální transformaci v souladu se </w:t>
            </w:r>
            <w:proofErr w:type="gramStart"/>
            <w:r w:rsidRPr="00525E2A">
              <w:rPr>
                <w:rFonts w:cstheme="minorHAnsi"/>
              </w:rPr>
              <w:t>Zelenou</w:t>
            </w:r>
            <w:proofErr w:type="gramEnd"/>
            <w:r w:rsidRPr="00525E2A">
              <w:rPr>
                <w:rFonts w:cstheme="minorHAnsi"/>
              </w:rPr>
              <w:t xml:space="preserve"> dohodou pro Evropu i k odolnosti, soudržnosti a konvergenci. V rámci evropského semestru budou členské státy předkládat své národní plány na podporu oživení a odolnosti (NPO) a reportovat pokrok v provádění jejich opatření. Proto ročník evropského semestru 2021 doznává značných změn – nebude vydán Country Report 2021 (místo nich bude provedeno posouzení Komise jejich NPO) a ani nebudou vydána CSRs (kromě těch fiskálních). NPO je v současnosti mezirezortně připravován na úrovni státní správy ve spolupráci s dalšími partnery (vč. sociálních a regionálních partnerů) a jeho rámcový návrh je pravidelně konzultován s EK na pracovní úrovni. NPO bude předložen vládě společně s NPR 2021.</w:t>
            </w:r>
          </w:p>
          <w:p w14:paraId="1F0F2BA8" w14:textId="77777777" w:rsidR="00450169" w:rsidRPr="00525E2A" w:rsidRDefault="00450169" w:rsidP="00467D65">
            <w:pPr>
              <w:spacing w:line="240" w:lineRule="auto"/>
              <w:jc w:val="both"/>
              <w:rPr>
                <w:rFonts w:cstheme="minorHAnsi"/>
                <w:bCs/>
                <w:color w:val="000000"/>
              </w:rPr>
            </w:pPr>
            <w:r w:rsidRPr="00525E2A">
              <w:rPr>
                <w:rFonts w:cstheme="minorHAnsi"/>
                <w:bCs/>
                <w:color w:val="000000"/>
              </w:rPr>
              <w:t xml:space="preserve">Politikám vztahujícím se k udržitelnému rozvoji se letos v rámci evropského semestru s novým důrazem věnovaly zprávy o členských státech vydané Evropskou komisí v únoru (vedle kapitol k udržitelnosti životního prostředí, která je řazena mezi hlavní reformní priority, zprávy v nové příloze zařazují také přehled pokroku ve směru plnění cílů udržitelného rozvoje). Části k plnění cílů udržitelného rozvoje obsahují i letošní národní programy reforem zpracované jednotlivými ČS včetně ČR a předané Evropské komisi v dubnu tohoto roku. Politikám kladoucím důraz na dosažení udržitelného růstu ve střednědobém horizontu se na základě toho věnují doporučení členským státům přijatá Radou EU v červenci. ČR začlenění cílů udržitelného rozvoje ve smyslu podpory souvisejících hospodářských politik a investic do evropského semestru akceptuje. </w:t>
            </w:r>
          </w:p>
          <w:p w14:paraId="46E934ED" w14:textId="77777777" w:rsidR="00450169" w:rsidRPr="00525E2A" w:rsidRDefault="00450169" w:rsidP="00467D65">
            <w:pPr>
              <w:pStyle w:val="Default"/>
              <w:spacing w:after="160"/>
              <w:jc w:val="both"/>
              <w:rPr>
                <w:rFonts w:asciiTheme="minorHAnsi" w:hAnsiTheme="minorHAnsi" w:cstheme="minorHAnsi"/>
                <w:i/>
                <w:sz w:val="22"/>
                <w:szCs w:val="22"/>
              </w:rPr>
            </w:pPr>
            <w:r w:rsidRPr="00525E2A">
              <w:rPr>
                <w:rFonts w:asciiTheme="minorHAnsi" w:hAnsiTheme="minorHAnsi" w:cstheme="minorHAnsi"/>
                <w:bCs/>
                <w:sz w:val="22"/>
                <w:szCs w:val="22"/>
              </w:rPr>
              <w:lastRenderedPageBreak/>
              <w:t xml:space="preserve">Doporučení Rady České republice vztahující se k udržitelnému rozvoji bylo Radou EU přijato ve znění: </w:t>
            </w:r>
            <w:r w:rsidRPr="00525E2A">
              <w:rPr>
                <w:rFonts w:asciiTheme="minorHAnsi" w:hAnsiTheme="minorHAnsi" w:cstheme="minorHAnsi"/>
                <w:bCs/>
                <w:i/>
                <w:sz w:val="22"/>
                <w:szCs w:val="22"/>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p w14:paraId="4E14259A" w14:textId="77777777" w:rsidR="00450169" w:rsidRPr="00525E2A" w:rsidRDefault="00450169" w:rsidP="00467D65">
            <w:pPr>
              <w:spacing w:line="240" w:lineRule="auto"/>
              <w:jc w:val="both"/>
              <w:rPr>
                <w:rFonts w:cstheme="minorHAnsi"/>
                <w:bCs/>
                <w:color w:val="000000"/>
              </w:rPr>
            </w:pPr>
            <w:r w:rsidRPr="00525E2A">
              <w:rPr>
                <w:rFonts w:cstheme="minorHAnsi"/>
                <w:bCs/>
                <w:color w:val="000000"/>
              </w:rPr>
              <w:t>Na podzim bude pod vedením Úřadu vlády zpracována zpráva o plnění národního programu reforem z r. 2020 včetně doporučení evropského semestru, kde se předpokládá základní vyčíslení nákladů / dopadů předpokládaných opatření.</w:t>
            </w:r>
          </w:p>
          <w:p w14:paraId="133AA5B2" w14:textId="77777777" w:rsidR="00450169" w:rsidRPr="00525E2A" w:rsidRDefault="00450169" w:rsidP="00467D65">
            <w:pPr>
              <w:spacing w:line="240" w:lineRule="auto"/>
              <w:jc w:val="both"/>
              <w:rPr>
                <w:rFonts w:cstheme="minorHAnsi"/>
                <w:bCs/>
                <w:color w:val="000000"/>
              </w:rPr>
            </w:pPr>
            <w:r w:rsidRPr="00525E2A">
              <w:rPr>
                <w:rFonts w:cstheme="minorHAnsi"/>
                <w:bCs/>
                <w:color w:val="000000"/>
              </w:rPr>
              <w:t>Mezi zdroje financování plnění cílů udržitelného rozvoje reflektovaných v rámci evropského semestru by měl kromě národních zdrojů (veřejných i soukromých) patřit v odpovídajících položkách rozpočet EU, včetně Fondu pro spravedlivou transformaci.</w:t>
            </w:r>
          </w:p>
          <w:bookmarkEnd w:id="14"/>
          <w:p w14:paraId="4F12A773" w14:textId="1CF48E52" w:rsidR="002D5166" w:rsidRPr="00525E2A" w:rsidRDefault="002D5166" w:rsidP="00467D65">
            <w:pPr>
              <w:pStyle w:val="Odstavecseseznamem"/>
              <w:spacing w:line="240" w:lineRule="auto"/>
              <w:ind w:left="0"/>
              <w:contextualSpacing w:val="0"/>
              <w:jc w:val="both"/>
              <w:rPr>
                <w:rFonts w:cstheme="minorHAnsi"/>
                <w:color w:val="000000"/>
              </w:rPr>
            </w:pP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9146"/>
            </w:tblGrid>
            <w:tr w:rsidR="00F00FE9" w:rsidRPr="00525E2A" w14:paraId="742B27C3" w14:textId="77777777" w:rsidTr="00AE5BA7">
              <w:tc>
                <w:tcPr>
                  <w:tcW w:w="5000" w:type="pct"/>
                </w:tcPr>
                <w:p w14:paraId="0DB85896" w14:textId="3F63F097" w:rsidR="00A16BE5" w:rsidRPr="00214AF3" w:rsidRDefault="00A16BE5" w:rsidP="00467D65">
                  <w:pPr>
                    <w:pStyle w:val="Odstavecseseznamem"/>
                    <w:spacing w:line="240" w:lineRule="auto"/>
                    <w:ind w:left="0"/>
                    <w:contextualSpacing w:val="0"/>
                    <w:jc w:val="both"/>
                    <w:rPr>
                      <w:rFonts w:cstheme="minorHAnsi"/>
                      <w:b/>
                      <w:bCs/>
                      <w:color w:val="000000"/>
                      <w:sz w:val="32"/>
                      <w:szCs w:val="32"/>
                    </w:rPr>
                  </w:pPr>
                  <w:bookmarkStart w:id="15" w:name="_Hlk55487910"/>
                  <w:bookmarkStart w:id="16" w:name="_Hlk55487710"/>
                  <w:r w:rsidRPr="003856FE">
                    <w:rPr>
                      <w:rFonts w:cstheme="minorHAnsi"/>
                      <w:b/>
                      <w:bCs/>
                      <w:color w:val="000000"/>
                      <w:sz w:val="32"/>
                      <w:szCs w:val="32"/>
                    </w:rPr>
                    <w:t>EU jako globální lídr</w:t>
                  </w:r>
                </w:p>
              </w:tc>
            </w:tr>
          </w:tbl>
          <w:p w14:paraId="1CE5AFFB" w14:textId="77777777" w:rsidR="00647851" w:rsidRPr="00525E2A" w:rsidRDefault="00647851" w:rsidP="00467D65">
            <w:pPr>
              <w:pStyle w:val="Odstavecseseznamem"/>
              <w:spacing w:line="240" w:lineRule="auto"/>
              <w:ind w:left="0"/>
              <w:contextualSpacing w:val="0"/>
              <w:jc w:val="both"/>
              <w:rPr>
                <w:rFonts w:cstheme="minorHAnsi"/>
                <w:color w:val="000000"/>
              </w:rPr>
            </w:pPr>
          </w:p>
          <w:tbl>
            <w:tblPr>
              <w:tblStyle w:val="Mkatabulky"/>
              <w:tblW w:w="0" w:type="auto"/>
              <w:tblLayout w:type="fixed"/>
              <w:tblLook w:val="04A0" w:firstRow="1" w:lastRow="0" w:firstColumn="1" w:lastColumn="0" w:noHBand="0" w:noVBand="1"/>
            </w:tblPr>
            <w:tblGrid>
              <w:gridCol w:w="9103"/>
            </w:tblGrid>
            <w:tr w:rsidR="003224E0" w:rsidRPr="00525E2A" w14:paraId="75CAC7EF" w14:textId="77777777" w:rsidTr="004D1D72">
              <w:tc>
                <w:tcPr>
                  <w:tcW w:w="9103" w:type="dxa"/>
                </w:tcPr>
                <w:p w14:paraId="28DB07E6" w14:textId="77777777" w:rsidR="003224E0" w:rsidRPr="00525E2A" w:rsidRDefault="003224E0" w:rsidP="00467D65">
                  <w:pPr>
                    <w:spacing w:after="160"/>
                    <w:jc w:val="both"/>
                    <w:rPr>
                      <w:rFonts w:cstheme="minorHAnsi"/>
                      <w:b/>
                      <w:bCs/>
                    </w:rPr>
                  </w:pPr>
                  <w:r w:rsidRPr="00525E2A">
                    <w:rPr>
                      <w:rFonts w:cstheme="minorHAnsi"/>
                      <w:b/>
                      <w:bCs/>
                      <w:color w:val="000000"/>
                    </w:rPr>
                    <w:t>EU bude nadále v čele mezinárodních jednání o klimatu a biologické rozmanitosti, a dále tak posílí mezinárodní politický rámec</w:t>
                  </w:r>
                </w:p>
              </w:tc>
            </w:tr>
            <w:bookmarkEnd w:id="15"/>
          </w:tbl>
          <w:p w14:paraId="06424D01" w14:textId="24F95FAC" w:rsidR="003224E0" w:rsidRPr="00525E2A" w:rsidRDefault="003224E0" w:rsidP="00467D65">
            <w:pPr>
              <w:pStyle w:val="Odstavecseseznamem"/>
              <w:spacing w:line="240" w:lineRule="auto"/>
              <w:ind w:left="0"/>
              <w:contextualSpacing w:val="0"/>
              <w:jc w:val="both"/>
              <w:rPr>
                <w:rFonts w:cstheme="minorHAnsi"/>
                <w:color w:val="000000"/>
              </w:rPr>
            </w:pPr>
          </w:p>
          <w:p w14:paraId="4F4A85F1" w14:textId="4F75FB6D" w:rsidR="008F6D2E" w:rsidRPr="00525E2A" w:rsidRDefault="00363C36" w:rsidP="00467D65">
            <w:pPr>
              <w:pStyle w:val="Odstavecseseznamem"/>
              <w:spacing w:line="240" w:lineRule="auto"/>
              <w:ind w:left="0"/>
              <w:contextualSpacing w:val="0"/>
              <w:jc w:val="both"/>
              <w:rPr>
                <w:rFonts w:cstheme="minorHAnsi"/>
              </w:rPr>
            </w:pPr>
            <w:r w:rsidRPr="00525E2A">
              <w:rPr>
                <w:rFonts w:cstheme="minorHAnsi"/>
              </w:rPr>
              <w:t>EU bude nadále v čele mezinárodních jednání o klimatu a biologické rozmanitosti, a dále tak posílí mezinárodní politický rámec (od roku 2019), posílení diplomacie EU v rámci Zelené dohody ve spolupráci s členskými státy (od roku 2020), EU bude ve dvoustranných jednáních povzbuzovat své partnery, aby jednali a zajistili kompatibilitu svých opatření a politik (od roku 2020),</w:t>
            </w:r>
          </w:p>
          <w:bookmarkEnd w:id="16"/>
          <w:p w14:paraId="31A08B10" w14:textId="0F6DB97D" w:rsidR="00C47C0F" w:rsidRPr="00525E2A" w:rsidRDefault="004E7A55" w:rsidP="00467D65">
            <w:pPr>
              <w:spacing w:line="240" w:lineRule="auto"/>
              <w:jc w:val="both"/>
              <w:rPr>
                <w:rFonts w:cstheme="minorHAnsi"/>
                <w:bCs/>
                <w:color w:val="000000"/>
              </w:rPr>
            </w:pPr>
            <w:r w:rsidRPr="00525E2A">
              <w:rPr>
                <w:rFonts w:cstheme="minorHAnsi"/>
                <w:bCs/>
                <w:color w:val="000000"/>
              </w:rPr>
              <w:t>Pro</w:t>
            </w:r>
            <w:r w:rsidR="00C47C0F" w:rsidRPr="00525E2A">
              <w:rPr>
                <w:rFonts w:cstheme="minorHAnsi"/>
                <w:bCs/>
                <w:color w:val="000000"/>
              </w:rPr>
              <w:t xml:space="preserve"> efektivitu evropských finančních nástrojů a úspěšnou mobilizaci soukromých financí při naplňování závazků v oblasti udržitelného rozvoje bude klíčové mj. </w:t>
            </w:r>
            <w:r w:rsidR="00C47C0F" w:rsidRPr="00525E2A">
              <w:rPr>
                <w:rFonts w:cstheme="minorHAnsi"/>
                <w:b/>
                <w:bCs/>
                <w:color w:val="000000"/>
              </w:rPr>
              <w:t>budoucí nastavení evropské finanční architektury</w:t>
            </w:r>
            <w:r w:rsidR="00C47C0F" w:rsidRPr="00525E2A">
              <w:rPr>
                <w:rFonts w:cstheme="minorHAnsi"/>
                <w:bCs/>
                <w:color w:val="000000"/>
              </w:rPr>
              <w:t xml:space="preserve">.  </w:t>
            </w:r>
          </w:p>
          <w:p w14:paraId="623AC66E" w14:textId="77777777" w:rsidR="00C47C0F" w:rsidRPr="00525E2A" w:rsidRDefault="00C47C0F" w:rsidP="00467D65">
            <w:pPr>
              <w:pStyle w:val="Odstavecseseznamem"/>
              <w:numPr>
                <w:ilvl w:val="0"/>
                <w:numId w:val="7"/>
              </w:numPr>
              <w:spacing w:line="240" w:lineRule="auto"/>
              <w:ind w:left="0"/>
              <w:contextualSpacing w:val="0"/>
              <w:jc w:val="both"/>
              <w:rPr>
                <w:rFonts w:cstheme="minorHAnsi"/>
                <w:bCs/>
                <w:color w:val="000000"/>
                <w:u w:val="single"/>
              </w:rPr>
            </w:pPr>
            <w:r w:rsidRPr="00525E2A">
              <w:rPr>
                <w:rFonts w:cstheme="minorHAnsi"/>
                <w:bCs/>
                <w:color w:val="000000"/>
                <w:u w:val="single"/>
              </w:rPr>
              <w:t xml:space="preserve">Zpráva Skupiny moudrých osob na vysoké úrovni k evropské finanční architektuře pro rozvoj </w:t>
            </w:r>
          </w:p>
          <w:p w14:paraId="03DB4EE5" w14:textId="77777777" w:rsidR="00C47C0F" w:rsidRPr="00525E2A" w:rsidRDefault="00C47C0F" w:rsidP="00467D65">
            <w:pPr>
              <w:spacing w:line="240" w:lineRule="auto"/>
              <w:jc w:val="both"/>
              <w:rPr>
                <w:rFonts w:cstheme="minorHAnsi"/>
                <w:bCs/>
                <w:color w:val="000000"/>
              </w:rPr>
            </w:pPr>
            <w:r w:rsidRPr="00525E2A">
              <w:rPr>
                <w:rFonts w:cstheme="minorHAnsi"/>
                <w:bCs/>
                <w:color w:val="000000"/>
              </w:rPr>
              <w:t>Analýzu současné evropské finanční architektury pro rozvoj</w:t>
            </w:r>
            <w:r w:rsidRPr="00525E2A">
              <w:rPr>
                <w:rFonts w:cstheme="minorHAnsi"/>
              </w:rPr>
              <w:t xml:space="preserve"> </w:t>
            </w:r>
            <w:r w:rsidRPr="00525E2A">
              <w:rPr>
                <w:rFonts w:cstheme="minorHAnsi"/>
                <w:bCs/>
                <w:color w:val="000000"/>
              </w:rPr>
              <w:t xml:space="preserve">vypracovala tzv. Skupinou moudrých na základě zadání Rady EU. Zpráva byla představena na zasedání Rady ECOFIN v říjnu 2019 a uvádí požadavky na systém governance evropské rozvojové pomoci a požadavek na propojení a efektivní koordinaci evropských a národních aktérů. Zejména však popisuje slabiny a výhody stávajícího evropského systému, včetně role Evropské komise, fondu EFSD, postavení EIB, EBRD, národních rozvojových bank a rozvojových finančních institucí. </w:t>
            </w:r>
          </w:p>
          <w:p w14:paraId="0F6E4E02" w14:textId="77777777" w:rsidR="00C47C0F" w:rsidRPr="00525E2A" w:rsidRDefault="00C47C0F" w:rsidP="00467D65">
            <w:pPr>
              <w:spacing w:line="240" w:lineRule="auto"/>
              <w:jc w:val="both"/>
              <w:rPr>
                <w:rFonts w:cstheme="minorHAnsi"/>
                <w:bCs/>
                <w:color w:val="000000"/>
              </w:rPr>
            </w:pPr>
            <w:r w:rsidRPr="00525E2A">
              <w:rPr>
                <w:rFonts w:cstheme="minorHAnsi"/>
                <w:bCs/>
                <w:color w:val="000000"/>
              </w:rPr>
              <w:t>Zpráva vyjmenovává jako možná řešení pro evropskou finanční architekturu v oblasti rozvojové pomoci: 1/ koncentrovat evropské rozvojové financování v EBRD, která by se postupně vyvíjela směrem ke klimatické a rozvojové bance EU; 2/ sdružení vnějších činností současných institucí do sdílené nové entity s účastí EIB, EBRD, EK, ČS a možnými jinými aktéry z národních rozvojových bank; 3/ přenesení všech vnějších aktivit EIB na dceřinou společnost, která by se tak stala hlavní evropskou klimatickou a rozvojovou finanční institucí.</w:t>
            </w:r>
          </w:p>
          <w:p w14:paraId="15B359A7" w14:textId="1E7217C7" w:rsidR="00C47C0F" w:rsidRPr="00525E2A" w:rsidRDefault="00C47C0F" w:rsidP="00467D65">
            <w:pPr>
              <w:widowControl w:val="0"/>
              <w:spacing w:line="240" w:lineRule="auto"/>
              <w:jc w:val="both"/>
              <w:rPr>
                <w:rFonts w:cstheme="minorHAnsi"/>
              </w:rPr>
            </w:pPr>
            <w:r w:rsidRPr="00525E2A">
              <w:rPr>
                <w:rFonts w:cstheme="minorHAnsi"/>
              </w:rPr>
              <w:t>V návaznosti na tuto zprávu byly na zasedání Rady ECOFIN v prosinci 2019 přijaty Závěry Rady k posílení evropské finanční architektury pro rozvoj. Přijatý text byl připraven na úrovni společného pracovního formátu finančních radů a zástupců PS CODEV, kde byl také v rámci diskuzí vypuštěn scénář 2/ z</w:t>
            </w:r>
            <w:r w:rsidR="003E1940" w:rsidRPr="00525E2A">
              <w:rPr>
                <w:rFonts w:cstheme="minorHAnsi"/>
              </w:rPr>
              <w:t> </w:t>
            </w:r>
            <w:r w:rsidRPr="00525E2A">
              <w:rPr>
                <w:rFonts w:cstheme="minorHAnsi"/>
              </w:rPr>
              <w:t>dalších</w:t>
            </w:r>
            <w:r w:rsidR="003E1940" w:rsidRPr="00525E2A">
              <w:rPr>
                <w:rFonts w:cstheme="minorHAnsi"/>
              </w:rPr>
              <w:t xml:space="preserve"> </w:t>
            </w:r>
            <w:r w:rsidR="003E1940" w:rsidRPr="00525E2A">
              <w:rPr>
                <w:rFonts w:cstheme="minorHAnsi"/>
              </w:rPr>
              <w:lastRenderedPageBreak/>
              <w:t>ú</w:t>
            </w:r>
            <w:r w:rsidRPr="00525E2A">
              <w:rPr>
                <w:rFonts w:cstheme="minorHAnsi"/>
              </w:rPr>
              <w:t>vah.</w:t>
            </w:r>
            <w:r w:rsidR="00160426" w:rsidRPr="00525E2A">
              <w:rPr>
                <w:rStyle w:val="Znakapoznpodarou"/>
                <w:rFonts w:cstheme="minorHAnsi"/>
              </w:rPr>
              <w:footnoteReference w:id="4"/>
            </w:r>
            <w:r w:rsidRPr="00525E2A">
              <w:rPr>
                <w:rFonts w:cstheme="minorHAnsi"/>
              </w:rPr>
              <w:t xml:space="preserve"> Příslušné PS následně na základě Závěrů přijatých Radou a ve spolupráci s PRES, EK a ESVČ předložily návrh Terms of Reference pro nezávislou studii proveditelnosti jednotlivých variant posílení evropské finanční architektury pro rozvoj, který Rada schválila dne 12. června 2020. </w:t>
            </w:r>
          </w:p>
          <w:p w14:paraId="7298F3F1" w14:textId="77777777" w:rsidR="00C47C0F" w:rsidRPr="00525E2A" w:rsidRDefault="00C47C0F" w:rsidP="00467D65">
            <w:pPr>
              <w:keepNext/>
              <w:spacing w:line="240" w:lineRule="auto"/>
              <w:jc w:val="both"/>
              <w:rPr>
                <w:rFonts w:cstheme="minorHAnsi"/>
                <w:bCs/>
                <w:color w:val="000000"/>
              </w:rPr>
            </w:pPr>
            <w:r w:rsidRPr="00525E2A">
              <w:rPr>
                <w:rFonts w:cstheme="minorHAnsi"/>
                <w:bCs/>
                <w:color w:val="000000"/>
              </w:rPr>
              <w:t xml:space="preserve">Z hlediska proveditelnosti, časové a finanční náročnosti se jako efektivnější varianta jeví vytvoření Evropské klimatické a rozvojové banky formou dceřiné společnosti EIB, jelikož se jedná o instituci plně ovládanou ČS EU. EIB zároveň představuje banku, která již disponuje zkušenostmi s rozvojovými operacemi v nejméně rozvinutých ekonomikách. V případě transformace EBRD zůstává otázkou především pozice neevropských akcionářů. Dosažení potřebné většiny ČS EU pro prosazování strategických rozhodnutí by předpokládalo navýšení kapitálu banky bez účasti neevropských akcionářů. Ačkoli EBRD ve své studii nevyčísluje předpokládané náklady ČS EU související s navýšením kapitálu, lze předpokládat, že by se jednalo o finančně náročnější variantu než v případě EIB, která finanční nároky na ČS uvádí až v případě nejrozsáhlejšího rozšíření rozvojových operací. </w:t>
            </w:r>
          </w:p>
          <w:p w14:paraId="70D34E46" w14:textId="77777777" w:rsidR="00C47C0F" w:rsidRPr="00525E2A" w:rsidRDefault="00C47C0F" w:rsidP="00467D65">
            <w:pPr>
              <w:spacing w:line="240" w:lineRule="auto"/>
              <w:jc w:val="both"/>
              <w:rPr>
                <w:rFonts w:cstheme="minorHAnsi"/>
                <w:bCs/>
                <w:color w:val="000000"/>
              </w:rPr>
            </w:pPr>
            <w:r w:rsidRPr="00525E2A">
              <w:rPr>
                <w:rFonts w:cstheme="minorHAnsi"/>
                <w:bCs/>
                <w:color w:val="000000"/>
              </w:rPr>
              <w:t xml:space="preserve">Finální pozici k preferované variantě institucionálního řešení ovšem bude možné zaujmout až po zveřejnění výsledků nezávislé studie proveditelnosti. O výsledcích nezávislé studie proveditelnosti by měly PS informovat Radu do konce roku 2020. </w:t>
            </w:r>
          </w:p>
          <w:p w14:paraId="7E786EF4" w14:textId="77777777" w:rsidR="001A6E30" w:rsidRPr="00525E2A" w:rsidRDefault="001A6E30" w:rsidP="00467D65">
            <w:pPr>
              <w:pStyle w:val="Seznamsodrkami"/>
              <w:numPr>
                <w:ilvl w:val="0"/>
                <w:numId w:val="0"/>
              </w:numPr>
              <w:tabs>
                <w:tab w:val="left" w:pos="708"/>
              </w:tabs>
              <w:spacing w:after="160"/>
              <w:rPr>
                <w:rFonts w:asciiTheme="minorHAnsi" w:hAnsiTheme="minorHAnsi" w:cstheme="minorHAnsi"/>
                <w:sz w:val="22"/>
                <w:szCs w:val="22"/>
              </w:rPr>
            </w:pPr>
            <w:bookmarkStart w:id="17" w:name="_Hlk55487787"/>
            <w:r w:rsidRPr="00525E2A">
              <w:rPr>
                <w:rFonts w:asciiTheme="minorHAnsi" w:hAnsiTheme="minorHAnsi" w:cstheme="minorHAnsi"/>
                <w:sz w:val="22"/>
                <w:szCs w:val="22"/>
              </w:rPr>
              <w:t xml:space="preserve">Uvedená kapitola vymezuje výsostně politický rozměr mezinárodních aktivit EU, jejichž předmětem je získat širokou globální podporu mezinárodního společenství nástrojům Zelené dohody pro Evropu k dosažení klimatických cílů Pařížské dohody. Logicky se jako středobod uvedeného snažení bude posilovat „diplomacie v rámci Zelené dohody“, která svým konkrétním zaměřením výrazně vyprofiluje dosavadní „klimatickou diplomacii“ EU vůči mezinárodním organizacím a klíčovým partnerům v oblasti ochrany klimatu. </w:t>
            </w:r>
            <w:r w:rsidRPr="00525E2A">
              <w:rPr>
                <w:rFonts w:asciiTheme="minorHAnsi" w:hAnsiTheme="minorHAnsi" w:cstheme="minorHAnsi"/>
                <w:sz w:val="22"/>
                <w:szCs w:val="22"/>
                <w:u w:val="single"/>
              </w:rPr>
              <w:t>Pro zmíněné aktivity existují jak v EU, tak na širší platformě mezinárodních vztahů již zavedené mechanismy nejen vůči mezinárodním organizacím, ale i směrem k jednotlivým státům či jejich regionálním uskupením.</w:t>
            </w:r>
            <w:r w:rsidRPr="00525E2A">
              <w:rPr>
                <w:rFonts w:asciiTheme="minorHAnsi" w:hAnsiTheme="minorHAnsi" w:cstheme="minorHAnsi"/>
                <w:sz w:val="22"/>
                <w:szCs w:val="22"/>
              </w:rPr>
              <w:t xml:space="preserve"> EU bude rozvíjet silnější „diplomacii v rámci Zelené dohody“ zaměřenou na přesvědčování a podporu druhých k tomu, aby na sebe vzali svůj podíl při podpoře udržitelnějšího rozvoje. </w:t>
            </w:r>
          </w:p>
          <w:p w14:paraId="6D457A2D" w14:textId="77777777" w:rsidR="001A6E30" w:rsidRPr="00525E2A" w:rsidRDefault="001A6E30" w:rsidP="00467D65">
            <w:pPr>
              <w:pStyle w:val="Seznamsodrkami"/>
              <w:numPr>
                <w:ilvl w:val="0"/>
                <w:numId w:val="0"/>
              </w:numPr>
              <w:tabs>
                <w:tab w:val="left" w:pos="708"/>
              </w:tabs>
              <w:spacing w:after="160"/>
              <w:rPr>
                <w:rFonts w:asciiTheme="minorHAnsi" w:hAnsiTheme="minorHAnsi" w:cstheme="minorHAnsi"/>
                <w:sz w:val="22"/>
                <w:szCs w:val="22"/>
              </w:rPr>
            </w:pPr>
            <w:r w:rsidRPr="00525E2A">
              <w:rPr>
                <w:rFonts w:asciiTheme="minorHAnsi" w:hAnsiTheme="minorHAnsi" w:cstheme="minorHAnsi"/>
                <w:sz w:val="22"/>
                <w:szCs w:val="22"/>
              </w:rPr>
              <w:t xml:space="preserve">Podíl EU na celosvětových emisích klesá a pro smysluplné řešení globální výzvy v oblasti klimatu budou klíčová srovnatelná opatření a zvýšené úsilí jiných regionů. ČR souhlasí, že ekologická transformace má potenciál přetvořit geopolitiku, včetně globálních hospodářských, obchodních a bezpečnostních zájmů k lepšímu, jelikož EU bude se všemi partnery spolupracovat na zvýšení klimatické a environmentální odolnosti, aby se zabránilo tomu, že se tyto problémy stanou zdrojem konfliktů. </w:t>
            </w:r>
            <w:r w:rsidRPr="00525E2A">
              <w:rPr>
                <w:rFonts w:asciiTheme="minorHAnsi" w:hAnsiTheme="minorHAnsi" w:cstheme="minorHAnsi"/>
                <w:color w:val="000000" w:themeColor="text1"/>
                <w:sz w:val="22"/>
                <w:szCs w:val="22"/>
              </w:rPr>
              <w:t xml:space="preserve">V tomto kontextu ČR vítá záměr EU k ustavení zmocněnce pro klimatickou bezpečnost. </w:t>
            </w:r>
            <w:r w:rsidRPr="00525E2A">
              <w:rPr>
                <w:rFonts w:asciiTheme="minorHAnsi" w:hAnsiTheme="minorHAnsi" w:cstheme="minorHAnsi"/>
                <w:sz w:val="22"/>
                <w:szCs w:val="22"/>
              </w:rPr>
              <w:t xml:space="preserve">Podporujeme záměr stavět rozvíjející se klimatické vztahy na mezinárodní platformě pro udržitelné financování. ČR v tomto ohledu rovněž vítá důraz na udržitelné investice a mobilizaci veřejných i soukromých prostředků na podporu transformace partnerských zemí v oblasti klimatu. Nosnou ve sdělení je rovněž teze, aby si EU udržela bezpečnost svých dodávek a konkurenceschopnost i v případě, že ostatní nejsou ochotni jednat. </w:t>
            </w:r>
          </w:p>
          <w:p w14:paraId="1D6D1426" w14:textId="77777777" w:rsidR="001A6E30" w:rsidRPr="00525E2A" w:rsidRDefault="001A6E30" w:rsidP="00467D65">
            <w:pPr>
              <w:pStyle w:val="Seznamsodrkami"/>
              <w:numPr>
                <w:ilvl w:val="0"/>
                <w:numId w:val="0"/>
              </w:numPr>
              <w:tabs>
                <w:tab w:val="left" w:pos="708"/>
              </w:tabs>
              <w:spacing w:after="160"/>
              <w:rPr>
                <w:rFonts w:asciiTheme="minorHAnsi" w:hAnsiTheme="minorHAnsi" w:cstheme="minorHAnsi"/>
                <w:sz w:val="22"/>
                <w:szCs w:val="22"/>
              </w:rPr>
            </w:pPr>
            <w:r w:rsidRPr="00525E2A">
              <w:rPr>
                <w:rFonts w:asciiTheme="minorHAnsi" w:hAnsiTheme="minorHAnsi" w:cstheme="minorHAnsi"/>
                <w:sz w:val="22"/>
                <w:szCs w:val="22"/>
              </w:rPr>
              <w:t>EU chce využít svého vlivu, odborných znalostí a finančních prostředků, aby přiměla své sousedy a partnery připojit se k ní na této udržitelné cestě. Opatření specifikovaná ve 3. kapitole podporují implementaci závazků Zelené dohody na zahraničněpolitické platformě. EU nadále povede mezinárodní úsilí a přeje si budovat aliance s kompatibilními partnery, přičemž bude na celém světě prosazovat a provádět ambiciózní politiky v oblasti životního prostředí, klimatu a energetiky. Kvůli účelu mobilizace mezinárodních investorů chce EU také zůstat v čele úsilí o vytvoření finančního systému, který bude podporovat globální udržitelný růst.</w:t>
            </w:r>
          </w:p>
          <w:p w14:paraId="06E008A5" w14:textId="77777777" w:rsidR="00097FEC" w:rsidRPr="00525E2A" w:rsidRDefault="00097FEC" w:rsidP="00467D65">
            <w:pPr>
              <w:spacing w:line="240" w:lineRule="auto"/>
              <w:jc w:val="both"/>
              <w:rPr>
                <w:rFonts w:cstheme="minorHAnsi"/>
              </w:rPr>
            </w:pPr>
          </w:p>
          <w:p w14:paraId="4C217F7B" w14:textId="77777777" w:rsidR="00097FEC" w:rsidRPr="00525E2A" w:rsidRDefault="00097FEC" w:rsidP="00467D65">
            <w:pPr>
              <w:spacing w:line="240" w:lineRule="auto"/>
              <w:jc w:val="both"/>
              <w:rPr>
                <w:rFonts w:cstheme="minorHAnsi"/>
              </w:rPr>
            </w:pPr>
          </w:p>
          <w:p w14:paraId="7C6EBD83" w14:textId="77777777" w:rsidR="00525E2A" w:rsidRDefault="001A6E30" w:rsidP="00467D65">
            <w:pPr>
              <w:spacing w:line="240" w:lineRule="auto"/>
              <w:jc w:val="both"/>
              <w:rPr>
                <w:rFonts w:cstheme="minorHAnsi"/>
                <w:color w:val="000000"/>
              </w:rPr>
            </w:pPr>
            <w:r w:rsidRPr="00525E2A">
              <w:rPr>
                <w:rFonts w:cstheme="minorHAnsi"/>
              </w:rPr>
              <w:t xml:space="preserve">V evropských výkonných strukturách je nastaven systém komplexní spolupráce mezi příslušnými složkami EK, Rady (EEAS) a ČS na poli ochrany klimatu. </w:t>
            </w:r>
            <w:r w:rsidRPr="00525E2A">
              <w:rPr>
                <w:rFonts w:cstheme="minorHAnsi"/>
                <w:color w:val="000000"/>
              </w:rPr>
              <w:t>Existující struktury EU a ČS jsou, v kontextu řečeného, schopny se s obsahovými nároky prohloubené kvality klimatické diplomacie a s ní spojené spolupráce vyrovnat v rozsahu stávajících kapacit, které budou již zavedenými mechanismy podávat mezinárodnímu společenství její nově precizovaný obsah (viz Ad a)).</w:t>
            </w:r>
            <w:r w:rsidRPr="00525E2A">
              <w:rPr>
                <w:rFonts w:cstheme="minorHAnsi"/>
              </w:rPr>
              <w:t xml:space="preserve"> Jednotlivá opatření budou naplňována prostřednictvím </w:t>
            </w:r>
            <w:r w:rsidRPr="00525E2A">
              <w:rPr>
                <w:rFonts w:cstheme="minorHAnsi"/>
                <w:color w:val="000000"/>
              </w:rPr>
              <w:t xml:space="preserve">příslušných programů EU, na které komplexně pamatuje ve svém klimatickém rozhledu VFR. Implementace uvedených programů náleží v kontextu příslušné sektorové politiky EU do gesce příslušných resortů, s nimiž </w:t>
            </w:r>
            <w:r w:rsidRPr="00525E2A">
              <w:rPr>
                <w:rFonts w:cstheme="minorHAnsi"/>
                <w:color w:val="000000"/>
                <w:u w:val="single"/>
              </w:rPr>
              <w:t>zahraniční služba ČR provádí koordinaci pro potřeby synergického vyznění pozic ČR na všech relevantních fórech, zabývajících se klimatickou politikou na poli diplomacie</w:t>
            </w:r>
            <w:r w:rsidRPr="00525E2A">
              <w:rPr>
                <w:rFonts w:cstheme="minorHAnsi"/>
                <w:color w:val="000000"/>
              </w:rPr>
              <w:t>.</w:t>
            </w:r>
            <w:bookmarkEnd w:id="17"/>
          </w:p>
          <w:p w14:paraId="5ABA771C" w14:textId="77777777" w:rsidR="00467D65" w:rsidRDefault="00467D65" w:rsidP="00403B6A">
            <w:pPr>
              <w:pStyle w:val="Seznamsodrkami"/>
              <w:numPr>
                <w:ilvl w:val="0"/>
                <w:numId w:val="0"/>
              </w:numPr>
              <w:tabs>
                <w:tab w:val="left" w:pos="708"/>
              </w:tabs>
              <w:spacing w:after="160" w:line="276" w:lineRule="auto"/>
              <w:ind w:left="177" w:right="174"/>
              <w:rPr>
                <w:rFonts w:cstheme="minorHAnsi"/>
                <w:color w:val="000000"/>
              </w:rPr>
            </w:pPr>
          </w:p>
          <w:p w14:paraId="3B27DF85" w14:textId="5E71B185" w:rsidR="00403B6A" w:rsidRPr="00866F66" w:rsidRDefault="00403B6A" w:rsidP="0062467F">
            <w:pPr>
              <w:pStyle w:val="Seznamsodrkami"/>
              <w:numPr>
                <w:ilvl w:val="0"/>
                <w:numId w:val="0"/>
              </w:numPr>
              <w:pBdr>
                <w:top w:val="single" w:sz="4" w:space="1" w:color="auto"/>
                <w:left w:val="single" w:sz="4" w:space="4" w:color="auto"/>
                <w:bottom w:val="single" w:sz="4" w:space="1" w:color="auto"/>
                <w:right w:val="single" w:sz="4" w:space="4" w:color="auto"/>
              </w:pBdr>
              <w:tabs>
                <w:tab w:val="left" w:pos="708"/>
              </w:tabs>
              <w:spacing w:after="160" w:line="276" w:lineRule="auto"/>
              <w:ind w:left="177" w:right="174"/>
              <w:rPr>
                <w:rFonts w:asciiTheme="minorHAnsi" w:hAnsiTheme="minorHAnsi" w:cstheme="minorHAnsi"/>
                <w:b/>
                <w:bCs/>
                <w:noProof/>
                <w:color w:val="000000" w:themeColor="text1"/>
                <w:sz w:val="22"/>
                <w:szCs w:val="22"/>
              </w:rPr>
            </w:pPr>
            <w:r>
              <w:rPr>
                <w:rFonts w:asciiTheme="minorHAnsi" w:hAnsiTheme="minorHAnsi" w:cstheme="minorHAnsi"/>
                <w:b/>
                <w:bCs/>
                <w:noProof/>
                <w:color w:val="000000" w:themeColor="text1"/>
                <w:sz w:val="22"/>
                <w:szCs w:val="22"/>
              </w:rPr>
              <w:t>Posílení diplomacie EU v rámci Zelené dohody ve spolupráci s členskými státy</w:t>
            </w:r>
          </w:p>
          <w:p w14:paraId="77B45A46" w14:textId="00885EBC" w:rsidR="00403B6A" w:rsidRPr="00403B6A" w:rsidRDefault="00403B6A" w:rsidP="003856FE">
            <w:pPr>
              <w:pStyle w:val="Seznamsodrkami"/>
              <w:numPr>
                <w:ilvl w:val="0"/>
                <w:numId w:val="0"/>
              </w:numPr>
              <w:tabs>
                <w:tab w:val="left" w:pos="708"/>
              </w:tabs>
              <w:spacing w:after="160" w:line="276" w:lineRule="auto"/>
              <w:ind w:left="283" w:right="174" w:hanging="283"/>
              <w:rPr>
                <w:rFonts w:cstheme="minorHAnsi"/>
                <w:b/>
                <w:bCs/>
                <w:color w:val="000000"/>
              </w:rPr>
            </w:pPr>
          </w:p>
        </w:tc>
      </w:tr>
      <w:tr w:rsidR="00D93F95" w:rsidRPr="008D7F3D" w14:paraId="505A61DE" w14:textId="77777777" w:rsidTr="007213E9">
        <w:trPr>
          <w:trHeight w:val="1780"/>
        </w:trPr>
        <w:tc>
          <w:tcPr>
            <w:tcW w:w="5000" w:type="pct"/>
            <w:tcBorders>
              <w:top w:val="nil"/>
              <w:left w:val="nil"/>
              <w:bottom w:val="nil"/>
              <w:right w:val="nil"/>
            </w:tcBorders>
          </w:tcPr>
          <w:p w14:paraId="00076143" w14:textId="56E12CE3" w:rsidR="008F6D2E" w:rsidRDefault="008F6D2E" w:rsidP="00B17A0E">
            <w:pPr>
              <w:pStyle w:val="Odstavecseseznamem"/>
              <w:spacing w:line="240" w:lineRule="auto"/>
              <w:ind w:left="0"/>
              <w:contextualSpacing w:val="0"/>
              <w:jc w:val="both"/>
              <w:rPr>
                <w:rFonts w:cstheme="minorHAnsi"/>
                <w:color w:val="000000"/>
              </w:rPr>
            </w:pPr>
            <w:bookmarkStart w:id="18" w:name="_Hlk55487815"/>
            <w:bookmarkStart w:id="19" w:name="_Hlk55488205"/>
            <w:r>
              <w:rPr>
                <w:rFonts w:cstheme="minorHAnsi"/>
              </w:rPr>
              <w:lastRenderedPageBreak/>
              <w:t>EU</w:t>
            </w:r>
            <w:r w:rsidRPr="001D1F7D">
              <w:rPr>
                <w:rFonts w:cstheme="minorHAnsi"/>
              </w:rPr>
              <w:t xml:space="preserve"> bude posilovat „diplomaci</w:t>
            </w:r>
            <w:r>
              <w:rPr>
                <w:rFonts w:cstheme="minorHAnsi"/>
              </w:rPr>
              <w:t>i</w:t>
            </w:r>
            <w:r w:rsidRPr="001D1F7D">
              <w:rPr>
                <w:rFonts w:cstheme="minorHAnsi"/>
              </w:rPr>
              <w:t xml:space="preserve"> v rámci Zelené dohody“, která svým konkrétním zaměřením výrazně vyprofiluje dosavadní „klimatickou diplomacii“ EU vůči mezinárodním organizacím a klíčovým partnerům v oblasti ochrany klimatu.</w:t>
            </w:r>
          </w:p>
          <w:p w14:paraId="4BF6E108" w14:textId="77777777" w:rsidR="006D7E06" w:rsidRDefault="006D7E06" w:rsidP="00B17A0E">
            <w:pPr>
              <w:spacing w:line="240" w:lineRule="auto"/>
              <w:jc w:val="both"/>
              <w:rPr>
                <w:rFonts w:cstheme="minorHAnsi"/>
                <w:u w:val="single"/>
              </w:rPr>
            </w:pPr>
            <w:bookmarkStart w:id="20" w:name="_Hlk55488006"/>
            <w:bookmarkEnd w:id="18"/>
            <w:r>
              <w:rPr>
                <w:rFonts w:cstheme="minorHAnsi"/>
                <w:u w:val="single"/>
              </w:rPr>
              <w:t>O</w:t>
            </w:r>
            <w:r w:rsidRPr="006F2A7A">
              <w:rPr>
                <w:rFonts w:cstheme="minorHAnsi"/>
                <w:u w:val="single"/>
              </w:rPr>
              <w:t>bchodní politika na bilaterální úrovni</w:t>
            </w:r>
          </w:p>
          <w:p w14:paraId="4E330838" w14:textId="77777777" w:rsidR="006D7E06" w:rsidRPr="00621644" w:rsidRDefault="006D7E06" w:rsidP="00B17A0E">
            <w:pPr>
              <w:spacing w:line="240" w:lineRule="auto"/>
              <w:jc w:val="both"/>
              <w:rPr>
                <w:rFonts w:cstheme="minorHAnsi"/>
              </w:rPr>
            </w:pPr>
            <w:r w:rsidRPr="00621644">
              <w:rPr>
                <w:rFonts w:cstheme="minorHAnsi"/>
              </w:rPr>
              <w:t>V rámci DG TRADE (Generální ředitelství EK pro obchod) byl dne 24. 7. jmenován vrchní úředník pro dodržování obchodních dohod mezi EU a třetími zeměmi, kterým se stal Denis Redonnet. Jeho úkolem je zejména napomáhat vývozcům z EU co nejvíce využívat příležitostí plynoucích z dohod na partnerských trzích a vymáhat závazky v oblasti udržitelného rozvoje související s klimatickou agendou a pracovními právy.</w:t>
            </w:r>
            <w:r>
              <w:rPr>
                <w:rFonts w:cstheme="minorHAnsi"/>
              </w:rPr>
              <w:t xml:space="preserve"> </w:t>
            </w:r>
          </w:p>
          <w:p w14:paraId="16CF3924" w14:textId="743922A4" w:rsidR="006D7E06" w:rsidRDefault="00452845" w:rsidP="00B17A0E">
            <w:pPr>
              <w:spacing w:line="240" w:lineRule="auto"/>
              <w:jc w:val="both"/>
              <w:rPr>
                <w:rFonts w:cstheme="minorHAnsi"/>
              </w:rPr>
            </w:pPr>
            <w:r>
              <w:rPr>
                <w:rFonts w:cstheme="minorHAnsi"/>
              </w:rPr>
              <w:t>B</w:t>
            </w:r>
            <w:r w:rsidR="006D7E06" w:rsidRPr="00621644">
              <w:rPr>
                <w:rFonts w:cstheme="minorHAnsi"/>
              </w:rPr>
              <w:t xml:space="preserve">oj proti klimatické změně v rámci procesu UNFCCC a Pařížské dohody </w:t>
            </w:r>
            <w:r>
              <w:rPr>
                <w:rFonts w:cstheme="minorHAnsi"/>
              </w:rPr>
              <w:t xml:space="preserve">by měl být </w:t>
            </w:r>
            <w:r w:rsidR="006D7E06" w:rsidRPr="00621644">
              <w:rPr>
                <w:rFonts w:cstheme="minorHAnsi"/>
              </w:rPr>
              <w:t>zahrnut do</w:t>
            </w:r>
            <w:r w:rsidR="006D7E06">
              <w:rPr>
                <w:rFonts w:cstheme="minorHAnsi"/>
              </w:rPr>
              <w:t xml:space="preserve"> obchodní části post-brexitové</w:t>
            </w:r>
            <w:r w:rsidR="006D7E06" w:rsidRPr="00621644">
              <w:rPr>
                <w:rFonts w:cstheme="minorHAnsi"/>
              </w:rPr>
              <w:t xml:space="preserve"> dohody mezi EU a UK jako základní element. Takové podmínění by umožnilo suspendování či ukončení dohody v případě porušení závazků v oblasti klimatu. Tato dohoda je však stále předmětem vyjednávání, není tedy jasné, zda bude závazek odsouhlasen.</w:t>
            </w:r>
            <w:r w:rsidR="006D7E06">
              <w:rPr>
                <w:rFonts w:cstheme="minorHAnsi"/>
              </w:rPr>
              <w:t xml:space="preserve"> Velmi ambiciózní ustanovení k obchodu a udržitelnému rozvoji (TSD) by mohla obsahovat aktuálně projednávaná dohoda o volném obchodu (FTA) s Novým Zélandem, který se profiluje jako jeden z globálních lídrů v této oblasti. </w:t>
            </w:r>
          </w:p>
          <w:p w14:paraId="26CFEA07" w14:textId="77777777" w:rsidR="006D7E06" w:rsidRDefault="006D7E06" w:rsidP="00B17A0E">
            <w:pPr>
              <w:spacing w:line="240" w:lineRule="auto"/>
              <w:jc w:val="both"/>
              <w:rPr>
                <w:rFonts w:cstheme="minorHAnsi"/>
              </w:rPr>
            </w:pPr>
            <w:r>
              <w:rPr>
                <w:rFonts w:cstheme="minorHAnsi"/>
              </w:rPr>
              <w:t>EU zahrnuje klimatickou agendu také do obchodních dohod s méně vyspělými státy, čímž má možnost šířit své hodnoty a zároveň tím přispívá k ochraně průmyslu před produkcí s nižšími standardy. Dne 1. 8. 2020 vstoupila v platnost FTA s Vietnamem, jejíž součástí je moderní kapitola k TSD. Jedná se o první rozvojovou zemi, s níž EU uzavřela takto ambiciózní dohodu. Velmi ambiciózní závazky v této oblasti obsahuje také návrh textu na prohlubování dohody EPA, který byl sdílen se zeměmi ESA5 (Komory, Madagaskar, Mauricius, Seychely, Zimbabwe).</w:t>
            </w:r>
          </w:p>
          <w:p w14:paraId="6ACDC1A9" w14:textId="77777777" w:rsidR="00525E2A" w:rsidRDefault="006D7E06" w:rsidP="00B17A0E">
            <w:pPr>
              <w:spacing w:line="240" w:lineRule="auto"/>
              <w:jc w:val="both"/>
              <w:rPr>
                <w:rFonts w:cstheme="minorHAnsi"/>
              </w:rPr>
            </w:pPr>
            <w:r>
              <w:rPr>
                <w:rFonts w:cstheme="minorHAnsi"/>
              </w:rPr>
              <w:t xml:space="preserve">Výrazný vliv na podobu klimatické agendy EU směrem ke třetím státům bude mít revize obchodní politiky EU. Česká republika zaslala dne 13. 11. svůj vstup do veřejné konzultace, která byla k procesu spuštěna, v němž podporuje udržitelnost a otázky spojené s klimatem jako součást kapitol k TSD, jež jsou součástí dohod o volném obchodu. ČR se domnívá, že právě efektivní implementací TSD kapitol může obchodní politika nejlépe přispět k udržitelnému rozvoji a ochraně klimatu. V souvislosti s revizí </w:t>
            </w:r>
          </w:p>
          <w:p w14:paraId="1151E11E" w14:textId="23B60366" w:rsidR="006D7E06" w:rsidRDefault="006D7E06" w:rsidP="00B17A0E">
            <w:pPr>
              <w:spacing w:line="240" w:lineRule="auto"/>
              <w:jc w:val="both"/>
              <w:rPr>
                <w:rFonts w:cstheme="minorHAnsi"/>
              </w:rPr>
            </w:pPr>
            <w:r>
              <w:rPr>
                <w:rFonts w:cstheme="minorHAnsi"/>
              </w:rPr>
              <w:t xml:space="preserve">obchodní politiky Česká republika rovněž přivítala švédský dokument k problematice TSD, který volá po posílení environmentální a klimatické agendy na bilaterální i multilaterální úrovni.  </w:t>
            </w:r>
          </w:p>
          <w:p w14:paraId="0D35F5D2" w14:textId="77777777" w:rsidR="006D7E06" w:rsidRDefault="006D7E06" w:rsidP="00B17A0E">
            <w:pPr>
              <w:spacing w:line="240" w:lineRule="auto"/>
              <w:jc w:val="both"/>
              <w:rPr>
                <w:rFonts w:cstheme="minorHAnsi"/>
              </w:rPr>
            </w:pPr>
            <w:r>
              <w:rPr>
                <w:rFonts w:cstheme="minorHAnsi"/>
              </w:rPr>
              <w:lastRenderedPageBreak/>
              <w:t>N</w:t>
            </w:r>
            <w:r w:rsidRPr="00A67015">
              <w:rPr>
                <w:rFonts w:cstheme="minorHAnsi"/>
              </w:rPr>
              <w:t xml:space="preserve">áklady </w:t>
            </w:r>
            <w:r>
              <w:rPr>
                <w:rFonts w:cstheme="minorHAnsi"/>
              </w:rPr>
              <w:t xml:space="preserve">v tuto chvíli nelze </w:t>
            </w:r>
            <w:r w:rsidRPr="00A67015">
              <w:rPr>
                <w:rFonts w:cstheme="minorHAnsi"/>
              </w:rPr>
              <w:t>konkrétně vyčíslit,</w:t>
            </w:r>
            <w:r>
              <w:rPr>
                <w:rFonts w:cstheme="minorHAnsi"/>
              </w:rPr>
              <w:t xml:space="preserve"> neboť o podobě některých relevantních mechanismů stále nebylo rozhodnuto (např. CBAM, viz sekce</w:t>
            </w:r>
            <w:r w:rsidRPr="00A67015">
              <w:t xml:space="preserve"> </w:t>
            </w:r>
            <w:r w:rsidRPr="00A67015">
              <w:rPr>
                <w:rFonts w:cstheme="minorHAnsi"/>
                <w:i/>
              </w:rPr>
              <w:t>Návrh mechanismu kompenzačních opatření mezi státy v souvislosti s</w:t>
            </w:r>
            <w:r>
              <w:rPr>
                <w:rFonts w:cstheme="minorHAnsi"/>
                <w:i/>
              </w:rPr>
              <w:t> </w:t>
            </w:r>
            <w:r w:rsidRPr="00A67015">
              <w:rPr>
                <w:rFonts w:cstheme="minorHAnsi"/>
                <w:i/>
              </w:rPr>
              <w:t>uhlíkem</w:t>
            </w:r>
            <w:r>
              <w:rPr>
                <w:rFonts w:cstheme="minorHAnsi"/>
              </w:rPr>
              <w:t xml:space="preserve"> na str. 6), rovněž nejsou k dispozici související dopadové studie, příp. relevantní ekonomické modely.</w:t>
            </w:r>
          </w:p>
          <w:p w14:paraId="6A243C6C" w14:textId="77777777" w:rsidR="006D7E06" w:rsidRDefault="006D7E06" w:rsidP="00B17A0E">
            <w:pPr>
              <w:spacing w:line="240" w:lineRule="auto"/>
              <w:jc w:val="both"/>
              <w:rPr>
                <w:rFonts w:cstheme="minorHAnsi"/>
                <w:u w:val="single"/>
              </w:rPr>
            </w:pPr>
            <w:r>
              <w:rPr>
                <w:rFonts w:cstheme="minorHAnsi"/>
                <w:u w:val="single"/>
              </w:rPr>
              <w:t>O</w:t>
            </w:r>
            <w:r w:rsidRPr="006F2A7A">
              <w:rPr>
                <w:rFonts w:cstheme="minorHAnsi"/>
                <w:u w:val="single"/>
              </w:rPr>
              <w:t>bchodní politika na multilaterální úrovni</w:t>
            </w:r>
            <w:r>
              <w:rPr>
                <w:rFonts w:cstheme="minorHAnsi"/>
                <w:u w:val="single"/>
              </w:rPr>
              <w:t xml:space="preserve"> (Světová obchodní organizace – WTO)</w:t>
            </w:r>
          </w:p>
          <w:p w14:paraId="2300D9EA" w14:textId="6E4C06CA" w:rsidR="006D7E06" w:rsidRPr="00A67015" w:rsidRDefault="006D7E06" w:rsidP="00B17A0E">
            <w:pPr>
              <w:spacing w:line="240" w:lineRule="auto"/>
              <w:jc w:val="both"/>
              <w:rPr>
                <w:rFonts w:cstheme="minorHAnsi"/>
              </w:rPr>
            </w:pPr>
            <w:r w:rsidRPr="00621644">
              <w:rPr>
                <w:rFonts w:cstheme="minorHAnsi"/>
              </w:rPr>
              <w:t xml:space="preserve">EU </w:t>
            </w:r>
            <w:r>
              <w:rPr>
                <w:rFonts w:cstheme="minorHAnsi"/>
              </w:rPr>
              <w:t xml:space="preserve">prosazuje, aby se problematika obchodu, životního prostředí a stále narůstajících vzájemných vazeb stala významným tématem budoucích jednání ve WTO a součástí reformy organizace. V listopadu 2020 předložila EU se skupinou podobně smýšlejících zemí (tzv. skupina </w:t>
            </w:r>
            <w:r w:rsidR="00C90A9D">
              <w:rPr>
                <w:rFonts w:cstheme="minorHAnsi"/>
              </w:rPr>
              <w:t>FAST – Friends</w:t>
            </w:r>
            <w:r w:rsidRPr="002E3528">
              <w:rPr>
                <w:rFonts w:cstheme="minorHAnsi"/>
                <w:i/>
              </w:rPr>
              <w:t xml:space="preserve"> for Advancing Sustainable Trade</w:t>
            </w:r>
            <w:r>
              <w:rPr>
                <w:rFonts w:cstheme="minorHAnsi"/>
              </w:rPr>
              <w:t xml:space="preserve">) </w:t>
            </w:r>
            <w:r w:rsidRPr="00820972">
              <w:rPr>
                <w:rFonts w:cstheme="minorHAnsi"/>
                <w:i/>
              </w:rPr>
              <w:t>Sdělení k obchodu a udržitelnosti životního prostředí</w:t>
            </w:r>
            <w:r>
              <w:rPr>
                <w:rFonts w:cstheme="minorHAnsi"/>
              </w:rPr>
              <w:t xml:space="preserve">, odrážející vůli části členů WTO věnovat této oblasti zvýšenou pozornost. EU dále připravuje k předložení ve WTO konkrétnější iniciativu k </w:t>
            </w:r>
            <w:r>
              <w:t>obchodu a klimatické změně. Hlavním principem má být zajištění, aby mnohostranná pravidla obchodu byla nadále v souladu s klimatickými cíli a podporovala přechod ke klimatické neutralitě. Přístup má zahrnovat několik prvků z různých oblastí WTO – mj.</w:t>
            </w:r>
            <w:r>
              <w:rPr>
                <w:rFonts w:cstheme="minorHAnsi"/>
              </w:rPr>
              <w:t xml:space="preserve"> </w:t>
            </w:r>
            <w:r w:rsidRPr="00621644">
              <w:rPr>
                <w:rFonts w:cstheme="minorHAnsi"/>
              </w:rPr>
              <w:t>obnov</w:t>
            </w:r>
            <w:r>
              <w:rPr>
                <w:rFonts w:cstheme="minorHAnsi"/>
              </w:rPr>
              <w:t>u</w:t>
            </w:r>
            <w:r w:rsidRPr="00621644">
              <w:rPr>
                <w:rFonts w:cstheme="minorHAnsi"/>
              </w:rPr>
              <w:t xml:space="preserve"> jednání o liberalizaci obchodu s environmentálním zbožím a službami ve WTO v</w:t>
            </w:r>
            <w:r>
              <w:rPr>
                <w:rFonts w:cstheme="minorHAnsi"/>
              </w:rPr>
              <w:t xml:space="preserve"> </w:t>
            </w:r>
            <w:r w:rsidRPr="00621644">
              <w:rPr>
                <w:rFonts w:cstheme="minorHAnsi"/>
              </w:rPr>
              <w:t xml:space="preserve">mnohostranném </w:t>
            </w:r>
            <w:r>
              <w:rPr>
                <w:rFonts w:cstheme="minorHAnsi"/>
              </w:rPr>
              <w:t>či</w:t>
            </w:r>
            <w:r w:rsidRPr="00621644">
              <w:rPr>
                <w:rFonts w:cstheme="minorHAnsi"/>
              </w:rPr>
              <w:t xml:space="preserve"> vícestranném formátu</w:t>
            </w:r>
            <w:r>
              <w:rPr>
                <w:rFonts w:cstheme="minorHAnsi"/>
              </w:rPr>
              <w:t>, a to nejprve v omezeném počtu odvětví (mj. obnovitelná energetika, oběhové hospodářství)</w:t>
            </w:r>
            <w:r w:rsidRPr="00621644">
              <w:rPr>
                <w:rFonts w:cstheme="minorHAnsi"/>
              </w:rPr>
              <w:t xml:space="preserve">. </w:t>
            </w:r>
            <w:r>
              <w:rPr>
                <w:rFonts w:cstheme="minorHAnsi"/>
              </w:rPr>
              <w:t xml:space="preserve">Součástí návrhu je mj. i posílení transparentnosti opatření v dané oblasti obecně a specificky v oblasti subvencí do fosilních paliv. Tyto návrhy EU v rámci mnohostranného procesu koordinuje se skupinou podobně smýšlejících zemí (mj. skupina FAST a tzv. Ottawská skupina, lze předpokládat i zapojení nové administrativy USA). Politický mandát pro další jednání WTO v dané oblasti by měla přinést </w:t>
            </w:r>
            <w:r w:rsidRPr="00621644">
              <w:rPr>
                <w:rFonts w:cstheme="minorHAnsi"/>
              </w:rPr>
              <w:t>XII. Konferenc</w:t>
            </w:r>
            <w:r>
              <w:rPr>
                <w:rFonts w:cstheme="minorHAnsi"/>
              </w:rPr>
              <w:t>e</w:t>
            </w:r>
            <w:r w:rsidRPr="00621644">
              <w:rPr>
                <w:rFonts w:cstheme="minorHAnsi"/>
              </w:rPr>
              <w:t xml:space="preserve"> ministrů členů </w:t>
            </w:r>
            <w:r>
              <w:rPr>
                <w:rFonts w:cstheme="minorHAnsi"/>
              </w:rPr>
              <w:t>WTO</w:t>
            </w:r>
            <w:r w:rsidRPr="00621644">
              <w:rPr>
                <w:rFonts w:cstheme="minorHAnsi"/>
              </w:rPr>
              <w:t xml:space="preserve">, která se </w:t>
            </w:r>
            <w:r>
              <w:rPr>
                <w:rFonts w:cstheme="minorHAnsi"/>
              </w:rPr>
              <w:t>po pandemií vynuceném odložení uskuteční v roce 2021.</w:t>
            </w:r>
          </w:p>
          <w:p w14:paraId="0A98769B" w14:textId="056CC9F7" w:rsidR="00452845" w:rsidRDefault="003856FE" w:rsidP="00B17A0E">
            <w:pPr>
              <w:spacing w:line="240" w:lineRule="auto"/>
              <w:jc w:val="both"/>
              <w:rPr>
                <w:rFonts w:cstheme="minorHAnsi"/>
              </w:rPr>
            </w:pPr>
            <w:r w:rsidRPr="00621644">
              <w:rPr>
                <w:rFonts w:cstheme="minorHAnsi"/>
              </w:rPr>
              <w:t xml:space="preserve"> </w:t>
            </w:r>
            <w:r w:rsidR="00452845" w:rsidRPr="00621644">
              <w:rPr>
                <w:rFonts w:cstheme="minorHAnsi"/>
              </w:rPr>
              <w:t xml:space="preserve">„Diplomacie v rámci Zelené dohody“ se ve své snaze o financování klimatické politiky bude snažit stimulovat zahraniční partnery k příslušným investicím do klimatických opatření. Samotná diplomacie tak bude přispívat k naplňování záměrů ostatních kapitol Zelené dohody, a to </w:t>
            </w:r>
            <w:r w:rsidR="00452845">
              <w:rPr>
                <w:rFonts w:cstheme="minorHAnsi"/>
              </w:rPr>
              <w:t>  na bázi</w:t>
            </w:r>
            <w:r w:rsidR="00452845" w:rsidRPr="00621644">
              <w:rPr>
                <w:rFonts w:cstheme="minorHAnsi"/>
              </w:rPr>
              <w:t xml:space="preserve"> mezinárodní politické spolupráce</w:t>
            </w:r>
            <w:r w:rsidR="00452845">
              <w:rPr>
                <w:rFonts w:cstheme="minorHAnsi"/>
              </w:rPr>
              <w:t>, za stávajícího obsahového a institucionálního rámce</w:t>
            </w:r>
            <w:r w:rsidR="00452845" w:rsidRPr="00621644">
              <w:rPr>
                <w:rFonts w:cstheme="minorHAnsi"/>
              </w:rPr>
              <w:t xml:space="preserve"> bez přímých nároků na </w:t>
            </w:r>
            <w:r w:rsidR="00452845">
              <w:rPr>
                <w:rFonts w:cstheme="minorHAnsi"/>
              </w:rPr>
              <w:t xml:space="preserve">dodatečné </w:t>
            </w:r>
            <w:r w:rsidR="00452845" w:rsidRPr="00621644">
              <w:rPr>
                <w:rFonts w:cstheme="minorHAnsi"/>
              </w:rPr>
              <w:t>financování svých aktivit.</w:t>
            </w:r>
          </w:p>
          <w:p w14:paraId="5C788DEE" w14:textId="77777777" w:rsidR="00F90A46" w:rsidRDefault="00F90A46" w:rsidP="002A1848">
            <w:pPr>
              <w:spacing w:line="276" w:lineRule="auto"/>
              <w:jc w:val="both"/>
              <w:rPr>
                <w:rFonts w:cstheme="minorHAnsi"/>
                <w:b/>
                <w:bCs/>
                <w:lang w:eastAsia="cs-CZ"/>
              </w:rPr>
            </w:pPr>
            <w:bookmarkStart w:id="21" w:name="_Hlk55488100"/>
            <w:bookmarkEnd w:id="20"/>
          </w:p>
          <w:p w14:paraId="7A223084" w14:textId="0A7242C7" w:rsidR="00CB060B" w:rsidRDefault="00F90A46" w:rsidP="00F90A46">
            <w:pPr>
              <w:pBdr>
                <w:top w:val="single" w:sz="4" w:space="1" w:color="auto"/>
                <w:left w:val="single" w:sz="4" w:space="4" w:color="auto"/>
                <w:bottom w:val="single" w:sz="4" w:space="1" w:color="auto"/>
                <w:right w:val="single" w:sz="4" w:space="4" w:color="auto"/>
              </w:pBdr>
              <w:spacing w:line="276" w:lineRule="auto"/>
              <w:ind w:left="36" w:right="174"/>
              <w:jc w:val="both"/>
              <w:rPr>
                <w:rFonts w:cstheme="minorHAnsi"/>
                <w:b/>
                <w:bCs/>
                <w:lang w:eastAsia="cs-CZ"/>
              </w:rPr>
            </w:pPr>
            <w:r>
              <w:rPr>
                <w:rFonts w:cstheme="minorHAnsi"/>
                <w:b/>
                <w:bCs/>
                <w:lang w:eastAsia="cs-CZ"/>
              </w:rPr>
              <w:t>EU bude ve dvoustranných jednáních povzbuzovat své partnery, aby jednali a zajistili kompatibilitu svých opatření a politik</w:t>
            </w:r>
          </w:p>
          <w:p w14:paraId="5DB61AEE" w14:textId="5DEA538F" w:rsidR="00525E2A" w:rsidRDefault="001A6E30" w:rsidP="00B17A0E">
            <w:pPr>
              <w:spacing w:line="240" w:lineRule="auto"/>
              <w:jc w:val="both"/>
              <w:rPr>
                <w:rFonts w:cstheme="minorHAnsi"/>
              </w:rPr>
            </w:pPr>
            <w:r w:rsidRPr="00FB2235">
              <w:rPr>
                <w:rFonts w:cstheme="minorHAnsi"/>
              </w:rPr>
              <w:t>V rámci snahy posílit dvoustranné zapojení do opatření v oblasti klimatu s partnerskými zeměmi a regiony bude EK, vysoký představitel a členské státy primárně pracovat s ekonomikami G20 ze zemí mimo EU, které jsou odpovědné za tři čtvrtiny globálních emisí, a také s nejzranitelnějšími zeměmi při přizpůsobování se nové</w:t>
            </w:r>
            <w:r w:rsidRPr="00621644">
              <w:rPr>
                <w:rFonts w:cstheme="minorHAnsi"/>
              </w:rPr>
              <w:t xml:space="preserve"> realitě změny klimatu. Řada ve sdělení oznámených mezinárodních jednání je </w:t>
            </w:r>
            <w:r w:rsidR="00B17A0E">
              <w:rPr>
                <w:rFonts w:cstheme="minorHAnsi"/>
              </w:rPr>
              <w:t>v</w:t>
            </w:r>
            <w:r w:rsidRPr="00621644">
              <w:rPr>
                <w:rFonts w:cstheme="minorHAnsi"/>
              </w:rPr>
              <w:t>zhledem ke coronavirové krizi časově</w:t>
            </w:r>
            <w:r>
              <w:rPr>
                <w:rFonts w:cstheme="minorHAnsi"/>
              </w:rPr>
              <w:t xml:space="preserve"> </w:t>
            </w:r>
            <w:r w:rsidRPr="00621644">
              <w:rPr>
                <w:rFonts w:cstheme="minorHAnsi"/>
              </w:rPr>
              <w:t xml:space="preserve">posunuta. EU již aplikuje, aby se dodržování Pařížské dohody stalo základním prvkem ve všech komplexních </w:t>
            </w:r>
            <w:r w:rsidRPr="00621644">
              <w:rPr>
                <w:rFonts w:cstheme="minorHAnsi"/>
                <w:u w:val="single"/>
              </w:rPr>
              <w:t>obchodních dohodách</w:t>
            </w:r>
            <w:r w:rsidRPr="00621644">
              <w:rPr>
                <w:rStyle w:val="Znakapoznpodarou"/>
                <w:rFonts w:cstheme="minorHAnsi"/>
                <w:u w:val="single"/>
              </w:rPr>
              <w:footnoteReference w:id="5"/>
            </w:r>
            <w:r w:rsidRPr="00621644">
              <w:rPr>
                <w:rFonts w:cstheme="minorHAnsi"/>
              </w:rPr>
              <w:t xml:space="preserve">. </w:t>
            </w:r>
          </w:p>
          <w:p w14:paraId="3F361ADC" w14:textId="01946C52" w:rsidR="00525E2A" w:rsidRDefault="00525E2A" w:rsidP="002A1848">
            <w:pPr>
              <w:spacing w:line="276" w:lineRule="auto"/>
              <w:jc w:val="both"/>
              <w:rPr>
                <w:rFonts w:cstheme="minorHAnsi"/>
              </w:rPr>
            </w:pPr>
          </w:p>
          <w:p w14:paraId="6777D8DF" w14:textId="5B3C36D2" w:rsidR="00D93F95" w:rsidRPr="00866F66" w:rsidRDefault="00525E2A" w:rsidP="00C90A9D">
            <w:pPr>
              <w:pStyle w:val="Seznamsodrkami"/>
              <w:numPr>
                <w:ilvl w:val="0"/>
                <w:numId w:val="0"/>
              </w:numPr>
              <w:pBdr>
                <w:top w:val="single" w:sz="4" w:space="1" w:color="auto"/>
                <w:left w:val="single" w:sz="4" w:space="4" w:color="auto"/>
                <w:bottom w:val="single" w:sz="4" w:space="1" w:color="auto"/>
                <w:right w:val="single" w:sz="4" w:space="4" w:color="auto"/>
              </w:pBdr>
              <w:tabs>
                <w:tab w:val="left" w:pos="708"/>
              </w:tabs>
              <w:spacing w:after="160" w:line="276" w:lineRule="auto"/>
              <w:ind w:left="36" w:right="174"/>
              <w:rPr>
                <w:rFonts w:asciiTheme="minorHAnsi" w:hAnsiTheme="minorHAnsi" w:cstheme="minorHAnsi"/>
                <w:b/>
                <w:bCs/>
                <w:noProof/>
                <w:color w:val="000000" w:themeColor="text1"/>
                <w:sz w:val="22"/>
                <w:szCs w:val="22"/>
              </w:rPr>
            </w:pPr>
            <w:r w:rsidRPr="00866F66">
              <w:rPr>
                <w:rFonts w:asciiTheme="minorHAnsi" w:hAnsiTheme="minorHAnsi" w:cstheme="minorHAnsi"/>
                <w:b/>
                <w:bCs/>
                <w:noProof/>
                <w:color w:val="000000" w:themeColor="text1"/>
                <w:sz w:val="22"/>
                <w:szCs w:val="22"/>
              </w:rPr>
              <w:t>Zelená agenda pro západní Balkán</w:t>
            </w:r>
          </w:p>
          <w:p w14:paraId="483B5198" w14:textId="77777777" w:rsidR="001A6E30" w:rsidRPr="002060AC" w:rsidRDefault="001A6E30" w:rsidP="00B17A0E">
            <w:pPr>
              <w:pStyle w:val="Seznamsodrkami"/>
              <w:numPr>
                <w:ilvl w:val="0"/>
                <w:numId w:val="0"/>
              </w:numPr>
              <w:tabs>
                <w:tab w:val="left" w:pos="708"/>
              </w:tabs>
              <w:spacing w:after="160"/>
              <w:rPr>
                <w:rFonts w:asciiTheme="minorHAnsi" w:hAnsiTheme="minorHAnsi" w:cstheme="minorHAnsi"/>
                <w:sz w:val="22"/>
                <w:szCs w:val="22"/>
              </w:rPr>
            </w:pPr>
            <w:r w:rsidRPr="002060AC">
              <w:rPr>
                <w:rFonts w:asciiTheme="minorHAnsi" w:hAnsiTheme="minorHAnsi" w:cstheme="minorHAnsi"/>
                <w:sz w:val="22"/>
                <w:szCs w:val="22"/>
              </w:rPr>
              <w:t>Zvýšený důraz je třeba klást na podporu úsilí bezprostředních sousedů EU – v jižním sousedství, zemích východního partnerství a západním Balkánu. ČR se ztotožňuje s vnímáním dopadů politiky v oblasti klimatu jako nedílné součásti opatření EU v oblasti vnějších vztahů včetně společné bezpečnostní a obranné politiky.</w:t>
            </w:r>
          </w:p>
          <w:p w14:paraId="040C9427" w14:textId="77777777" w:rsidR="00390077" w:rsidRPr="00F51119" w:rsidRDefault="00390077" w:rsidP="00B17A0E">
            <w:pPr>
              <w:pStyle w:val="Normlnweb"/>
              <w:spacing w:before="0" w:beforeAutospacing="0" w:after="160" w:afterAutospacing="0"/>
              <w:jc w:val="both"/>
              <w:rPr>
                <w:rFonts w:asciiTheme="minorHAnsi" w:hAnsiTheme="minorHAnsi"/>
                <w:sz w:val="22"/>
                <w:szCs w:val="22"/>
              </w:rPr>
            </w:pPr>
            <w:r w:rsidRPr="00F51119">
              <w:rPr>
                <w:rFonts w:asciiTheme="minorHAnsi" w:hAnsiTheme="minorHAnsi"/>
                <w:sz w:val="22"/>
                <w:szCs w:val="22"/>
              </w:rPr>
              <w:lastRenderedPageBreak/>
              <w:t xml:space="preserve">EK dne 6. října 2020 přijala komplexní </w:t>
            </w:r>
            <w:r w:rsidRPr="00F51119">
              <w:rPr>
                <w:rFonts w:asciiTheme="minorHAnsi" w:hAnsiTheme="minorHAnsi"/>
                <w:bCs/>
                <w:sz w:val="22"/>
                <w:szCs w:val="22"/>
              </w:rPr>
              <w:t>hospodářský a investiční plán pro západní Balkán</w:t>
            </w:r>
            <w:r w:rsidRPr="00F51119">
              <w:rPr>
                <w:rFonts w:asciiTheme="minorHAnsi" w:hAnsiTheme="minorHAnsi"/>
                <w:sz w:val="22"/>
                <w:szCs w:val="22"/>
              </w:rPr>
              <w:t xml:space="preserve">, jehož </w:t>
            </w:r>
            <w:r w:rsidRPr="00F51119">
              <w:rPr>
                <w:rFonts w:asciiTheme="minorHAnsi" w:hAnsiTheme="minorHAnsi"/>
                <w:b/>
                <w:sz w:val="22"/>
                <w:szCs w:val="22"/>
              </w:rPr>
              <w:t>cílem je podnítit dlouhodobé hospodářské oživení regionu, podpořit zelenou a digitální transformaci a pomoci regionální integraci a konvergenci s EU</w:t>
            </w:r>
            <w:r w:rsidRPr="00F51119">
              <w:rPr>
                <w:rFonts w:asciiTheme="minorHAnsi" w:hAnsiTheme="minorHAnsi"/>
                <w:sz w:val="22"/>
                <w:szCs w:val="22"/>
              </w:rPr>
              <w:t xml:space="preserve">. </w:t>
            </w:r>
          </w:p>
          <w:p w14:paraId="719C4A8C" w14:textId="77777777" w:rsidR="00390077" w:rsidRPr="00F51119" w:rsidRDefault="00390077" w:rsidP="00B17A0E">
            <w:pPr>
              <w:pStyle w:val="Normlnweb"/>
              <w:spacing w:before="0" w:beforeAutospacing="0" w:after="160" w:afterAutospacing="0"/>
              <w:jc w:val="both"/>
              <w:rPr>
                <w:rFonts w:asciiTheme="minorHAnsi" w:hAnsiTheme="minorHAnsi"/>
                <w:sz w:val="22"/>
                <w:szCs w:val="22"/>
              </w:rPr>
            </w:pPr>
            <w:r w:rsidRPr="00F51119">
              <w:rPr>
                <w:rFonts w:asciiTheme="minorHAnsi" w:hAnsiTheme="minorHAnsi"/>
                <w:sz w:val="22"/>
                <w:szCs w:val="22"/>
              </w:rPr>
              <w:t xml:space="preserve">Současně s hospodářským a investičním plánem EK představila </w:t>
            </w:r>
            <w:proofErr w:type="gramStart"/>
            <w:r w:rsidRPr="00F51119">
              <w:rPr>
                <w:rFonts w:asciiTheme="minorHAnsi" w:hAnsiTheme="minorHAnsi"/>
                <w:b/>
                <w:sz w:val="22"/>
                <w:szCs w:val="22"/>
              </w:rPr>
              <w:t>Zelenou</w:t>
            </w:r>
            <w:proofErr w:type="gramEnd"/>
            <w:r w:rsidRPr="00F51119">
              <w:rPr>
                <w:rFonts w:asciiTheme="minorHAnsi" w:hAnsiTheme="minorHAnsi"/>
                <w:b/>
                <w:sz w:val="22"/>
                <w:szCs w:val="22"/>
              </w:rPr>
              <w:t xml:space="preserve"> agendu pro západní Balkán</w:t>
            </w:r>
            <w:r w:rsidRPr="00F51119">
              <w:rPr>
                <w:rFonts w:asciiTheme="minorHAnsi" w:hAnsiTheme="minorHAnsi"/>
                <w:sz w:val="22"/>
                <w:szCs w:val="22"/>
              </w:rPr>
              <w:t xml:space="preserve">, která zahrnuje 5 pilířů vycházejících ze Zelené dohody pro Evropu: 1) dekarbonizace; 2) boj proti znečištění ovzduší, vod a půdy; 3) oběhové hospodářství; 4) udržitelné potravinové systémy a venkovské oblasti a 5) ochrana biodiverzity. Zelená agenda byla potvrzena vedoucími představiteli zemí západního Balkánu na listopadovém summitu v Sofii. </w:t>
            </w:r>
          </w:p>
          <w:p w14:paraId="13E4C769" w14:textId="280F040D" w:rsidR="00390077" w:rsidRPr="00F51119" w:rsidRDefault="00390077" w:rsidP="00B17A0E">
            <w:pPr>
              <w:pStyle w:val="Normlnweb"/>
              <w:spacing w:before="0" w:beforeAutospacing="0" w:after="160" w:afterAutospacing="0"/>
              <w:jc w:val="both"/>
              <w:rPr>
                <w:rFonts w:asciiTheme="minorHAnsi" w:hAnsiTheme="minorHAnsi"/>
                <w:sz w:val="22"/>
                <w:szCs w:val="22"/>
              </w:rPr>
            </w:pPr>
            <w:r w:rsidRPr="00F51119">
              <w:rPr>
                <w:rFonts w:asciiTheme="minorHAnsi" w:hAnsiTheme="minorHAnsi"/>
                <w:sz w:val="22"/>
                <w:szCs w:val="22"/>
              </w:rPr>
              <w:t xml:space="preserve">Zelená dohoda pro Evropu je v současnosti pro EU jednou z klíčových otázek budoucího rozvoje, je podstatné, aby země připravující se na vstup do EU věnovaly rovněž náležitou pozornost Zelené agendě. </w:t>
            </w:r>
          </w:p>
          <w:p w14:paraId="4AC2C602" w14:textId="77777777" w:rsidR="00390077" w:rsidRPr="00F51119" w:rsidRDefault="00390077" w:rsidP="00B17A0E">
            <w:pPr>
              <w:pStyle w:val="Normlnweb"/>
              <w:spacing w:before="0" w:beforeAutospacing="0" w:after="160" w:afterAutospacing="0"/>
              <w:jc w:val="both"/>
              <w:rPr>
                <w:rFonts w:asciiTheme="minorHAnsi" w:hAnsiTheme="minorHAnsi"/>
                <w:sz w:val="22"/>
                <w:szCs w:val="22"/>
              </w:rPr>
            </w:pPr>
            <w:r w:rsidRPr="00F51119">
              <w:rPr>
                <w:rFonts w:asciiTheme="minorHAnsi" w:hAnsiTheme="minorHAnsi"/>
                <w:sz w:val="22"/>
                <w:szCs w:val="22"/>
              </w:rPr>
              <w:t xml:space="preserve">ČR plně podporuje všechny iniciativy uvedené v rámci prvního pilíře Zelené agendy pro západní Balkán, které jsou zaměřeny především na oblast dekarbonizace energetického systému a chytré a udržitelné dopravy, ale rovněž na podporu přizpůsobení se změně klimatu. </w:t>
            </w:r>
          </w:p>
          <w:p w14:paraId="2D3323C7" w14:textId="77777777" w:rsidR="00390077" w:rsidRPr="00863D45" w:rsidRDefault="00390077" w:rsidP="00B17A0E">
            <w:pPr>
              <w:spacing w:line="240" w:lineRule="auto"/>
              <w:jc w:val="both"/>
            </w:pPr>
            <w:r w:rsidRPr="00F51119">
              <w:t>Podle ČR je potřeba se přitom primárně zaměřit na dekarbonizaci sektoru energetiky, vzhledem k tomu, že 70 % elektřiny v tomto regionu stále pochází z uhelných elektráren. ČR proto plně podporuje iniciativu směrující k rychlému zavedení systému obchodování s emisemi v zemích západního Balkánu, včetně poskytování potřebné technické asistence. Zásadní je rovněž podpora zvyšování energetické účinnosti ve všech sektorech a rozvoje obnovitelných zdrojů energie. V těchto oblastech již ČR v zemích tohoto regionu podpořila celou řadu projektů v rámci zahraniční rozvojové spolupráce. Vzhledem k tomu, že tento region patří mezi nejvíce postižené změnou klimatu, je nezbytné se rovněž zaměřit na podporu adaptačních opatření a strategií.</w:t>
            </w:r>
          </w:p>
          <w:p w14:paraId="1DF05619" w14:textId="77777777" w:rsidR="00390077" w:rsidRDefault="00390077" w:rsidP="002A1848">
            <w:pPr>
              <w:pStyle w:val="Seznamsodrkami"/>
              <w:numPr>
                <w:ilvl w:val="0"/>
                <w:numId w:val="0"/>
              </w:numPr>
              <w:tabs>
                <w:tab w:val="left" w:pos="708"/>
              </w:tabs>
              <w:spacing w:after="160" w:line="276" w:lineRule="auto"/>
              <w:rPr>
                <w:b/>
                <w:bCs/>
                <w:noProof/>
                <w:color w:val="000000" w:themeColor="text1"/>
                <w:sz w:val="22"/>
                <w:szCs w:val="22"/>
              </w:rPr>
            </w:pPr>
          </w:p>
          <w:p w14:paraId="2823B787" w14:textId="77777777" w:rsidR="00390077" w:rsidRDefault="00390077" w:rsidP="002A1848">
            <w:pPr>
              <w:pStyle w:val="Seznamsodrkami"/>
              <w:numPr>
                <w:ilvl w:val="0"/>
                <w:numId w:val="0"/>
              </w:numPr>
              <w:tabs>
                <w:tab w:val="left" w:pos="708"/>
              </w:tabs>
              <w:spacing w:after="160" w:line="276" w:lineRule="auto"/>
              <w:rPr>
                <w:b/>
                <w:bCs/>
                <w:noProof/>
                <w:color w:val="000000" w:themeColor="text1"/>
                <w:sz w:val="22"/>
                <w:szCs w:val="22"/>
              </w:rPr>
            </w:pPr>
          </w:p>
          <w:p w14:paraId="2E109531" w14:textId="4D3832CB" w:rsidR="00020E4E" w:rsidRDefault="00020E4E" w:rsidP="002A1848">
            <w:pPr>
              <w:pStyle w:val="Seznamsodrkami"/>
              <w:numPr>
                <w:ilvl w:val="0"/>
                <w:numId w:val="0"/>
              </w:numPr>
              <w:tabs>
                <w:tab w:val="left" w:pos="708"/>
              </w:tabs>
              <w:spacing w:after="160" w:line="276" w:lineRule="auto"/>
              <w:rPr>
                <w:b/>
                <w:bCs/>
                <w:noProof/>
                <w:color w:val="000000" w:themeColor="text1"/>
                <w:sz w:val="22"/>
                <w:szCs w:val="22"/>
              </w:rPr>
            </w:pPr>
          </w:p>
          <w:p w14:paraId="00018638" w14:textId="5586B81B" w:rsidR="00020E4E" w:rsidRDefault="00020E4E" w:rsidP="002A1848">
            <w:pPr>
              <w:pStyle w:val="Seznamsodrkami"/>
              <w:numPr>
                <w:ilvl w:val="0"/>
                <w:numId w:val="0"/>
              </w:numPr>
              <w:tabs>
                <w:tab w:val="left" w:pos="708"/>
              </w:tabs>
              <w:spacing w:after="160" w:line="276" w:lineRule="auto"/>
              <w:rPr>
                <w:b/>
                <w:bCs/>
                <w:noProof/>
                <w:color w:val="000000" w:themeColor="text1"/>
                <w:sz w:val="22"/>
                <w:szCs w:val="22"/>
              </w:rPr>
            </w:pPr>
          </w:p>
          <w:bookmarkEnd w:id="21"/>
          <w:p w14:paraId="2C51D2A1" w14:textId="5A0A44A0" w:rsidR="00020E4E" w:rsidRDefault="00020E4E" w:rsidP="002A1848">
            <w:pPr>
              <w:pStyle w:val="Seznamsodrkami"/>
              <w:numPr>
                <w:ilvl w:val="0"/>
                <w:numId w:val="0"/>
              </w:numPr>
              <w:tabs>
                <w:tab w:val="left" w:pos="708"/>
              </w:tabs>
              <w:spacing w:after="160" w:line="276" w:lineRule="auto"/>
              <w:rPr>
                <w:b/>
                <w:bCs/>
                <w:noProof/>
                <w:color w:val="000000" w:themeColor="text1"/>
                <w:sz w:val="22"/>
                <w:szCs w:val="22"/>
              </w:rPr>
            </w:pPr>
          </w:p>
          <w:p w14:paraId="531CF7D2" w14:textId="2A122D54" w:rsidR="00020E4E" w:rsidRDefault="00020E4E" w:rsidP="002A1848">
            <w:pPr>
              <w:pStyle w:val="Seznamsodrkami"/>
              <w:numPr>
                <w:ilvl w:val="0"/>
                <w:numId w:val="0"/>
              </w:numPr>
              <w:tabs>
                <w:tab w:val="left" w:pos="708"/>
              </w:tabs>
              <w:spacing w:after="160" w:line="276" w:lineRule="auto"/>
              <w:rPr>
                <w:b/>
                <w:bCs/>
                <w:noProof/>
                <w:color w:val="000000" w:themeColor="text1"/>
                <w:sz w:val="22"/>
                <w:szCs w:val="22"/>
              </w:rPr>
            </w:pPr>
          </w:p>
          <w:p w14:paraId="1661B294" w14:textId="3D0CA10C" w:rsidR="00B17A0E" w:rsidRDefault="00B17A0E" w:rsidP="002A1848">
            <w:pPr>
              <w:pStyle w:val="Seznamsodrkami"/>
              <w:numPr>
                <w:ilvl w:val="0"/>
                <w:numId w:val="0"/>
              </w:numPr>
              <w:tabs>
                <w:tab w:val="left" w:pos="708"/>
              </w:tabs>
              <w:spacing w:after="160" w:line="276" w:lineRule="auto"/>
              <w:rPr>
                <w:b/>
                <w:bCs/>
                <w:noProof/>
                <w:color w:val="000000" w:themeColor="text1"/>
                <w:sz w:val="22"/>
                <w:szCs w:val="22"/>
              </w:rPr>
            </w:pPr>
          </w:p>
          <w:p w14:paraId="288B1590" w14:textId="77777777" w:rsidR="00B17A0E" w:rsidRDefault="00B17A0E" w:rsidP="002A1848">
            <w:pPr>
              <w:pStyle w:val="Seznamsodrkami"/>
              <w:numPr>
                <w:ilvl w:val="0"/>
                <w:numId w:val="0"/>
              </w:numPr>
              <w:tabs>
                <w:tab w:val="left" w:pos="708"/>
              </w:tabs>
              <w:spacing w:after="160" w:line="276" w:lineRule="auto"/>
              <w:rPr>
                <w:b/>
                <w:bCs/>
                <w:noProof/>
                <w:color w:val="000000" w:themeColor="text1"/>
                <w:sz w:val="22"/>
                <w:szCs w:val="22"/>
              </w:rPr>
            </w:pPr>
          </w:p>
          <w:p w14:paraId="321ADC5C" w14:textId="2ED64FBB" w:rsidR="00EE68FE" w:rsidRDefault="00EE68FE" w:rsidP="002A1848">
            <w:pPr>
              <w:pStyle w:val="Seznamsodrkami"/>
              <w:numPr>
                <w:ilvl w:val="0"/>
                <w:numId w:val="0"/>
              </w:numPr>
              <w:tabs>
                <w:tab w:val="left" w:pos="708"/>
              </w:tabs>
              <w:spacing w:after="160" w:line="276" w:lineRule="auto"/>
              <w:rPr>
                <w:b/>
                <w:bCs/>
                <w:noProof/>
                <w:color w:val="000000" w:themeColor="text1"/>
                <w:sz w:val="22"/>
                <w:szCs w:val="22"/>
              </w:rPr>
            </w:pPr>
          </w:p>
          <w:p w14:paraId="6EBD9551" w14:textId="70E218D6" w:rsidR="00176C12" w:rsidRDefault="00176C12" w:rsidP="002A1848">
            <w:pPr>
              <w:pStyle w:val="Seznamsodrkami"/>
              <w:numPr>
                <w:ilvl w:val="0"/>
                <w:numId w:val="0"/>
              </w:numPr>
              <w:tabs>
                <w:tab w:val="left" w:pos="708"/>
              </w:tabs>
              <w:spacing w:after="160" w:line="276" w:lineRule="auto"/>
              <w:rPr>
                <w:b/>
                <w:bCs/>
                <w:noProof/>
                <w:color w:val="000000" w:themeColor="text1"/>
                <w:sz w:val="22"/>
                <w:szCs w:val="22"/>
              </w:rPr>
            </w:pPr>
          </w:p>
          <w:p w14:paraId="2CDFC5AD" w14:textId="1FAF421C" w:rsidR="003856FE" w:rsidRDefault="003856FE" w:rsidP="002A1848">
            <w:pPr>
              <w:pStyle w:val="Seznamsodrkami"/>
              <w:numPr>
                <w:ilvl w:val="0"/>
                <w:numId w:val="0"/>
              </w:numPr>
              <w:tabs>
                <w:tab w:val="left" w:pos="708"/>
              </w:tabs>
              <w:spacing w:after="160" w:line="276" w:lineRule="auto"/>
              <w:rPr>
                <w:b/>
                <w:bCs/>
                <w:noProof/>
                <w:color w:val="000000" w:themeColor="text1"/>
                <w:sz w:val="22"/>
                <w:szCs w:val="22"/>
              </w:rPr>
            </w:pPr>
          </w:p>
          <w:p w14:paraId="2187F1DB" w14:textId="7756358C" w:rsidR="003856FE" w:rsidRDefault="003856FE" w:rsidP="002A1848">
            <w:pPr>
              <w:pStyle w:val="Seznamsodrkami"/>
              <w:numPr>
                <w:ilvl w:val="0"/>
                <w:numId w:val="0"/>
              </w:numPr>
              <w:tabs>
                <w:tab w:val="left" w:pos="708"/>
              </w:tabs>
              <w:spacing w:after="160" w:line="276" w:lineRule="auto"/>
              <w:rPr>
                <w:b/>
                <w:bCs/>
                <w:noProof/>
                <w:color w:val="000000" w:themeColor="text1"/>
                <w:sz w:val="22"/>
                <w:szCs w:val="22"/>
              </w:rPr>
            </w:pPr>
          </w:p>
          <w:p w14:paraId="415137A4" w14:textId="63D06B1D" w:rsidR="003856FE" w:rsidRDefault="003856FE" w:rsidP="002A1848">
            <w:pPr>
              <w:pStyle w:val="Seznamsodrkami"/>
              <w:numPr>
                <w:ilvl w:val="0"/>
                <w:numId w:val="0"/>
              </w:numPr>
              <w:tabs>
                <w:tab w:val="left" w:pos="708"/>
              </w:tabs>
              <w:spacing w:after="160" w:line="276" w:lineRule="auto"/>
              <w:rPr>
                <w:b/>
                <w:bCs/>
                <w:noProof/>
                <w:color w:val="000000" w:themeColor="text1"/>
                <w:sz w:val="22"/>
                <w:szCs w:val="22"/>
              </w:rPr>
            </w:pPr>
          </w:p>
          <w:p w14:paraId="4DAA1DE3" w14:textId="12496BF4" w:rsidR="003856FE" w:rsidRDefault="003856FE" w:rsidP="002A1848">
            <w:pPr>
              <w:pStyle w:val="Seznamsodrkami"/>
              <w:numPr>
                <w:ilvl w:val="0"/>
                <w:numId w:val="0"/>
              </w:numPr>
              <w:tabs>
                <w:tab w:val="left" w:pos="708"/>
              </w:tabs>
              <w:spacing w:after="160" w:line="276" w:lineRule="auto"/>
              <w:rPr>
                <w:b/>
                <w:bCs/>
                <w:noProof/>
                <w:color w:val="000000" w:themeColor="text1"/>
                <w:sz w:val="22"/>
                <w:szCs w:val="22"/>
              </w:rPr>
            </w:pPr>
          </w:p>
          <w:p w14:paraId="25BF24FE" w14:textId="30FAE457" w:rsidR="003856FE" w:rsidRDefault="003856FE" w:rsidP="002A1848">
            <w:pPr>
              <w:pStyle w:val="Seznamsodrkami"/>
              <w:numPr>
                <w:ilvl w:val="0"/>
                <w:numId w:val="0"/>
              </w:numPr>
              <w:tabs>
                <w:tab w:val="left" w:pos="708"/>
              </w:tabs>
              <w:spacing w:after="160" w:line="276" w:lineRule="auto"/>
              <w:rPr>
                <w:b/>
                <w:bCs/>
                <w:noProof/>
                <w:color w:val="000000" w:themeColor="text1"/>
                <w:sz w:val="22"/>
                <w:szCs w:val="22"/>
              </w:rPr>
            </w:pPr>
          </w:p>
          <w:p w14:paraId="24169CB2" w14:textId="77777777" w:rsidR="003856FE" w:rsidRPr="008F5922" w:rsidRDefault="003856FE" w:rsidP="002A1848">
            <w:pPr>
              <w:pStyle w:val="Seznamsodrkami"/>
              <w:numPr>
                <w:ilvl w:val="0"/>
                <w:numId w:val="0"/>
              </w:numPr>
              <w:tabs>
                <w:tab w:val="left" w:pos="708"/>
              </w:tabs>
              <w:spacing w:after="160" w:line="276" w:lineRule="auto"/>
              <w:rPr>
                <w:b/>
                <w:bCs/>
                <w:noProof/>
                <w:color w:val="000000" w:themeColor="text1"/>
                <w:sz w:val="22"/>
                <w:szCs w:val="22"/>
              </w:rPr>
            </w:pPr>
          </w:p>
          <w:p w14:paraId="6AF36AD6" w14:textId="006BE23A" w:rsidR="00933333" w:rsidRPr="003856FE" w:rsidRDefault="00933333" w:rsidP="00933333">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36" w:right="32"/>
              <w:jc w:val="both"/>
              <w:rPr>
                <w:rFonts w:cstheme="minorHAnsi"/>
                <w:b/>
                <w:color w:val="000000" w:themeColor="text1"/>
                <w:sz w:val="32"/>
                <w:szCs w:val="32"/>
              </w:rPr>
            </w:pPr>
            <w:r w:rsidRPr="003856FE">
              <w:rPr>
                <w:rFonts w:cstheme="minorHAnsi"/>
                <w:b/>
                <w:color w:val="000000" w:themeColor="text1"/>
                <w:sz w:val="32"/>
                <w:szCs w:val="32"/>
              </w:rPr>
              <w:lastRenderedPageBreak/>
              <w:t>Metody spolupráce – evropský klimatický pakt</w:t>
            </w:r>
          </w:p>
          <w:p w14:paraId="7C4DD34F" w14:textId="77777777" w:rsidR="00A15477" w:rsidRDefault="00A15477" w:rsidP="002A1848">
            <w:pPr>
              <w:pStyle w:val="Seznamsodrkami"/>
              <w:numPr>
                <w:ilvl w:val="0"/>
                <w:numId w:val="0"/>
              </w:numPr>
              <w:tabs>
                <w:tab w:val="left" w:pos="708"/>
              </w:tabs>
              <w:spacing w:after="160" w:line="276" w:lineRule="auto"/>
              <w:rPr>
                <w:noProof/>
                <w:color w:val="000000" w:themeColor="text1"/>
                <w:sz w:val="22"/>
                <w:szCs w:val="22"/>
              </w:rPr>
            </w:pPr>
          </w:p>
          <w:p w14:paraId="040F0C60" w14:textId="6C50E3E3" w:rsidR="004D5E18" w:rsidRPr="00C90A9D" w:rsidRDefault="004D5E18" w:rsidP="00C90A9D">
            <w:pPr>
              <w:pStyle w:val="Seznamsodrkami"/>
              <w:numPr>
                <w:ilvl w:val="0"/>
                <w:numId w:val="0"/>
              </w:numPr>
              <w:pBdr>
                <w:top w:val="single" w:sz="4" w:space="1" w:color="auto"/>
                <w:left w:val="single" w:sz="4" w:space="4" w:color="auto"/>
                <w:bottom w:val="single" w:sz="4" w:space="1" w:color="auto"/>
                <w:right w:val="single" w:sz="4" w:space="4" w:color="auto"/>
              </w:pBdr>
              <w:tabs>
                <w:tab w:val="left" w:pos="708"/>
              </w:tabs>
              <w:spacing w:after="160" w:line="276" w:lineRule="auto"/>
              <w:ind w:left="36" w:right="32"/>
              <w:rPr>
                <w:rFonts w:asciiTheme="minorHAnsi" w:hAnsiTheme="minorHAnsi" w:cstheme="minorHAnsi"/>
                <w:b/>
                <w:bCs/>
                <w:noProof/>
                <w:color w:val="000000" w:themeColor="text1"/>
                <w:sz w:val="22"/>
                <w:szCs w:val="22"/>
              </w:rPr>
            </w:pPr>
            <w:r>
              <w:rPr>
                <w:rFonts w:asciiTheme="minorHAnsi" w:hAnsiTheme="minorHAnsi" w:cstheme="minorHAnsi"/>
                <w:b/>
                <w:bCs/>
                <w:noProof/>
                <w:color w:val="000000" w:themeColor="text1"/>
                <w:sz w:val="22"/>
                <w:szCs w:val="22"/>
              </w:rPr>
              <w:t>Představení evropského klimatického paktu</w:t>
            </w:r>
          </w:p>
        </w:tc>
      </w:tr>
      <w:tr w:rsidR="00D93F95" w:rsidRPr="008D7F3D" w14:paraId="5FF0A959" w14:textId="77777777" w:rsidTr="003856FE">
        <w:trPr>
          <w:trHeight w:val="2869"/>
        </w:trPr>
        <w:tc>
          <w:tcPr>
            <w:tcW w:w="5000" w:type="pct"/>
            <w:tcBorders>
              <w:top w:val="nil"/>
              <w:left w:val="nil"/>
              <w:bottom w:val="nil"/>
              <w:right w:val="nil"/>
            </w:tcBorders>
          </w:tcPr>
          <w:p w14:paraId="3BDEB1D0" w14:textId="77777777" w:rsidR="00D93F95" w:rsidRDefault="00390077" w:rsidP="00B17A0E">
            <w:pPr>
              <w:autoSpaceDE w:val="0"/>
              <w:autoSpaceDN w:val="0"/>
              <w:adjustRightInd w:val="0"/>
              <w:spacing w:line="240" w:lineRule="auto"/>
              <w:jc w:val="both"/>
              <w:rPr>
                <w:rFonts w:cstheme="minorHAnsi"/>
                <w:bCs/>
              </w:rPr>
            </w:pPr>
            <w:r w:rsidRPr="00327372">
              <w:rPr>
                <w:rFonts w:cstheme="minorHAnsi"/>
                <w:bCs/>
                <w:color w:val="000000" w:themeColor="text1"/>
              </w:rPr>
              <w:lastRenderedPageBreak/>
              <w:t xml:space="preserve">Pakt by měl být zveřejněn do konce roku 2020. </w:t>
            </w:r>
            <w:r w:rsidR="00F70B5A" w:rsidRPr="00F70B5A">
              <w:rPr>
                <w:rFonts w:cstheme="minorHAnsi"/>
                <w:shd w:val="clear" w:color="auto" w:fill="FFFFFF"/>
              </w:rPr>
              <w:t>Evropský klimatický pakt si klade za cíl informovat, inspirovat a podporovat spolupráci mezi lidmi a organizacemi, a to od celostátních, regionálních a místních orgánů až po podniky, odbory, organizace občanské společnosti, vzdělávací instituce, výzkumné a inovační organizace, stejně jako skupiny spotřebitelů a jednotlivé občany.</w:t>
            </w:r>
            <w:r w:rsidR="00F70B5A" w:rsidRPr="00F70B5A">
              <w:rPr>
                <w:rFonts w:cstheme="minorHAnsi"/>
                <w:bCs/>
              </w:rPr>
              <w:t xml:space="preserve"> </w:t>
            </w:r>
          </w:p>
          <w:p w14:paraId="5F3A1EA4" w14:textId="77777777" w:rsidR="00F70B5A" w:rsidRDefault="00F70B5A" w:rsidP="00F70B5A">
            <w:pPr>
              <w:autoSpaceDE w:val="0"/>
              <w:autoSpaceDN w:val="0"/>
              <w:adjustRightInd w:val="0"/>
              <w:spacing w:line="276" w:lineRule="auto"/>
              <w:jc w:val="both"/>
              <w:rPr>
                <w:rFonts w:cstheme="minorHAnsi"/>
                <w:noProof/>
                <w:color w:val="000000" w:themeColor="text1"/>
              </w:rPr>
            </w:pPr>
          </w:p>
          <w:p w14:paraId="085C81EA" w14:textId="52B931DB" w:rsidR="004D5E18" w:rsidRPr="00C90A9D" w:rsidRDefault="004D5E18" w:rsidP="00C90A9D">
            <w:pPr>
              <w:pStyle w:val="Seznamsodrkami"/>
              <w:numPr>
                <w:ilvl w:val="0"/>
                <w:numId w:val="0"/>
              </w:numPr>
              <w:pBdr>
                <w:top w:val="single" w:sz="4" w:space="1" w:color="auto"/>
                <w:left w:val="single" w:sz="4" w:space="4" w:color="auto"/>
                <w:bottom w:val="single" w:sz="4" w:space="1" w:color="auto"/>
                <w:right w:val="single" w:sz="4" w:space="4" w:color="auto"/>
              </w:pBdr>
              <w:tabs>
                <w:tab w:val="left" w:pos="708"/>
              </w:tabs>
              <w:spacing w:after="160" w:line="276" w:lineRule="auto"/>
              <w:ind w:left="36" w:right="32"/>
              <w:rPr>
                <w:rFonts w:asciiTheme="minorHAnsi" w:hAnsiTheme="minorHAnsi" w:cstheme="minorHAnsi"/>
                <w:b/>
                <w:bCs/>
                <w:noProof/>
                <w:color w:val="000000" w:themeColor="text1"/>
                <w:sz w:val="22"/>
                <w:szCs w:val="22"/>
              </w:rPr>
            </w:pPr>
            <w:r>
              <w:rPr>
                <w:rFonts w:asciiTheme="minorHAnsi" w:hAnsiTheme="minorHAnsi" w:cstheme="minorHAnsi"/>
                <w:b/>
                <w:bCs/>
                <w:noProof/>
                <w:color w:val="000000" w:themeColor="text1"/>
                <w:sz w:val="22"/>
                <w:szCs w:val="22"/>
              </w:rPr>
              <w:t>Návrh osmého akčního programu pro životní prostředí</w:t>
            </w:r>
          </w:p>
        </w:tc>
      </w:tr>
      <w:tr w:rsidR="00D93F95" w:rsidRPr="008D7F3D" w14:paraId="2CBFA756" w14:textId="77777777" w:rsidTr="007213E9">
        <w:tc>
          <w:tcPr>
            <w:tcW w:w="5000" w:type="pct"/>
            <w:tcBorders>
              <w:top w:val="nil"/>
              <w:left w:val="nil"/>
              <w:bottom w:val="nil"/>
              <w:right w:val="nil"/>
            </w:tcBorders>
          </w:tcPr>
          <w:p w14:paraId="3243052D" w14:textId="53A29A09" w:rsidR="00390077" w:rsidRPr="00235376" w:rsidRDefault="003856FE" w:rsidP="00B17A0E">
            <w:pPr>
              <w:autoSpaceDE w:val="0"/>
              <w:autoSpaceDN w:val="0"/>
              <w:adjustRightInd w:val="0"/>
              <w:spacing w:line="240" w:lineRule="auto"/>
              <w:jc w:val="both"/>
              <w:rPr>
                <w:rFonts w:cstheme="minorHAnsi"/>
                <w:bCs/>
              </w:rPr>
            </w:pPr>
            <w:r>
              <w:rPr>
                <w:rFonts w:cstheme="minorHAnsi"/>
                <w:bCs/>
              </w:rPr>
              <w:t>N</w:t>
            </w:r>
            <w:r w:rsidR="00390077" w:rsidRPr="00235376">
              <w:rPr>
                <w:rFonts w:cstheme="minorHAnsi"/>
                <w:bCs/>
              </w:rPr>
              <w:t xml:space="preserve">ávrh 8.EAP Evropská komise předložila v říjnu 2020, rámcová pozice je k dispozici. Navrhuje </w:t>
            </w:r>
            <w:r w:rsidR="00F51119" w:rsidRPr="00235376">
              <w:rPr>
                <w:rFonts w:cstheme="minorHAnsi"/>
                <w:bCs/>
              </w:rPr>
              <w:t>priority v</w:t>
            </w:r>
            <w:r w:rsidR="00390077" w:rsidRPr="00235376">
              <w:rPr>
                <w:rFonts w:cstheme="minorHAnsi"/>
                <w:bCs/>
              </w:rPr>
              <w:t> souladu s EGD a zaměřuje se na správnou implementaci a monitoring plnění politiky ŽP.</w:t>
            </w:r>
            <w:r w:rsidR="00235376" w:rsidRPr="00235376">
              <w:rPr>
                <w:rFonts w:cstheme="minorHAnsi"/>
                <w:bCs/>
              </w:rPr>
              <w:t xml:space="preserve"> A</w:t>
            </w:r>
            <w:r w:rsidR="00235376" w:rsidRPr="00235376">
              <w:rPr>
                <w:rFonts w:cstheme="minorHAnsi"/>
                <w:shd w:val="clear" w:color="auto" w:fill="FFFFFF"/>
              </w:rPr>
              <w:t>kční program pro životní prostředí poskytuje Evropské unii politické rámce, které přinášejí výsledky a zajišťují </w:t>
            </w:r>
            <w:r w:rsidR="00235376" w:rsidRPr="00235376">
              <w:rPr>
                <w:rStyle w:val="Siln"/>
                <w:rFonts w:cstheme="minorHAnsi"/>
                <w:shd w:val="clear" w:color="auto" w:fill="FFFFFF"/>
              </w:rPr>
              <w:t>předvídatelná a koordinovaná opatření</w:t>
            </w:r>
            <w:r w:rsidR="00235376" w:rsidRPr="00235376">
              <w:rPr>
                <w:rFonts w:cstheme="minorHAnsi"/>
                <w:shd w:val="clear" w:color="auto" w:fill="FFFFFF"/>
              </w:rPr>
              <w:t> pro účely evropské politiky v oblasti životního prostředí a změny klimatu. Změna klimatu, znečištění, úbytek biologické rozmanitosti a rychle se zvyšující poptávka po přírodních zdrojích ohrožují dobré životní podmínky a vyhlídky generací stávajících i budoucích. Podtrhuje, že jsou zapotřebí další opatření na </w:t>
            </w:r>
            <w:r w:rsidR="00235376" w:rsidRPr="00235376">
              <w:rPr>
                <w:rStyle w:val="Siln"/>
                <w:rFonts w:cstheme="minorHAnsi"/>
                <w:shd w:val="clear" w:color="auto" w:fill="FFFFFF"/>
              </w:rPr>
              <w:t>ochranu a obnovu biologické rozmanitosti</w:t>
            </w:r>
            <w:r w:rsidR="00235376">
              <w:rPr>
                <w:rStyle w:val="Siln"/>
                <w:rFonts w:cstheme="minorHAnsi"/>
                <w:shd w:val="clear" w:color="auto" w:fill="FFFFFF"/>
              </w:rPr>
              <w:t>.</w:t>
            </w:r>
            <w:r w:rsidR="00235376" w:rsidRPr="00235376">
              <w:rPr>
                <w:rFonts w:cstheme="minorHAnsi"/>
                <w:shd w:val="clear" w:color="auto" w:fill="FFFFFF"/>
              </w:rPr>
              <w:t> </w:t>
            </w:r>
          </w:p>
          <w:p w14:paraId="55F4D5EC" w14:textId="77777777" w:rsidR="00D93F95" w:rsidRPr="00853C51" w:rsidRDefault="00D93F95" w:rsidP="002A1848">
            <w:pPr>
              <w:pStyle w:val="Text1"/>
              <w:spacing w:after="160" w:line="276" w:lineRule="auto"/>
              <w:ind w:left="0"/>
              <w:rPr>
                <w:rFonts w:asciiTheme="minorHAnsi" w:hAnsiTheme="minorHAnsi" w:cstheme="minorHAnsi"/>
                <w:noProof/>
                <w:color w:val="000000" w:themeColor="text1"/>
                <w:sz w:val="22"/>
                <w:szCs w:val="22"/>
              </w:rPr>
            </w:pPr>
            <w:r w:rsidRPr="00853C51">
              <w:rPr>
                <w:rFonts w:asciiTheme="minorHAnsi" w:hAnsiTheme="minorHAnsi" w:cstheme="minorHAnsi"/>
                <w:b/>
                <w:bCs/>
                <w:color w:val="000000" w:themeColor="text1"/>
                <w:sz w:val="22"/>
                <w:szCs w:val="22"/>
              </w:rPr>
              <w:t xml:space="preserve"> </w:t>
            </w:r>
          </w:p>
        </w:tc>
      </w:tr>
      <w:bookmarkEnd w:id="19"/>
    </w:tbl>
    <w:p w14:paraId="4F835799" w14:textId="77777777" w:rsidR="00085287" w:rsidRDefault="00085287" w:rsidP="002A1848">
      <w:pPr>
        <w:spacing w:line="276" w:lineRule="auto"/>
        <w:jc w:val="both"/>
        <w:rPr>
          <w:rFonts w:ascii="Times New Roman" w:hAnsi="Times New Roman" w:cs="Times New Roman"/>
          <w:b/>
          <w:color w:val="000000" w:themeColor="text1"/>
          <w:u w:val="single"/>
        </w:rPr>
      </w:pPr>
    </w:p>
    <w:p w14:paraId="526F4828" w14:textId="77777777" w:rsidR="0062619F" w:rsidRDefault="0062619F" w:rsidP="002A1848">
      <w:pPr>
        <w:spacing w:line="276" w:lineRule="auto"/>
        <w:jc w:val="both"/>
      </w:pPr>
    </w:p>
    <w:sectPr w:rsidR="0062619F" w:rsidSect="00403B6A">
      <w:footerReference w:type="default" r:id="rId22"/>
      <w:pgSz w:w="11906" w:h="16838"/>
      <w:pgMar w:top="1418" w:right="1418" w:bottom="1418" w:left="1418" w:header="9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C13D7" w14:textId="77777777" w:rsidR="00483A55" w:rsidRDefault="00483A55" w:rsidP="00085287">
      <w:pPr>
        <w:spacing w:after="0" w:line="240" w:lineRule="auto"/>
      </w:pPr>
      <w:r>
        <w:separator/>
      </w:r>
    </w:p>
  </w:endnote>
  <w:endnote w:type="continuationSeparator" w:id="0">
    <w:p w14:paraId="01211E12" w14:textId="77777777" w:rsidR="00483A55" w:rsidRDefault="00483A55" w:rsidP="0008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8417" w14:textId="77777777" w:rsidR="00483A55" w:rsidRDefault="00483A55">
    <w:pPr>
      <w:pStyle w:val="Zpat"/>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5A9B2FEC" w14:textId="77777777" w:rsidR="00483A55" w:rsidRDefault="00483A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399C1" w14:textId="77777777" w:rsidR="00483A55" w:rsidRDefault="00483A55" w:rsidP="00085287">
      <w:pPr>
        <w:spacing w:after="0" w:line="240" w:lineRule="auto"/>
      </w:pPr>
      <w:r>
        <w:separator/>
      </w:r>
    </w:p>
  </w:footnote>
  <w:footnote w:type="continuationSeparator" w:id="0">
    <w:p w14:paraId="3AE174C2" w14:textId="77777777" w:rsidR="00483A55" w:rsidRDefault="00483A55" w:rsidP="00085287">
      <w:pPr>
        <w:spacing w:after="0" w:line="240" w:lineRule="auto"/>
      </w:pPr>
      <w:r>
        <w:continuationSeparator/>
      </w:r>
    </w:p>
  </w:footnote>
  <w:footnote w:id="1">
    <w:p w14:paraId="16E53109" w14:textId="32A258F7" w:rsidR="00483A55" w:rsidRPr="00C951E0" w:rsidRDefault="00483A55" w:rsidP="007A7C72">
      <w:pPr>
        <w:pStyle w:val="Textpoznpodarou"/>
        <w:rPr>
          <w:sz w:val="16"/>
          <w:szCs w:val="16"/>
        </w:rPr>
      </w:pPr>
      <w:r w:rsidRPr="00C951E0">
        <w:rPr>
          <w:rStyle w:val="Znakapoznpodarou"/>
          <w:sz w:val="16"/>
          <w:szCs w:val="16"/>
        </w:rPr>
        <w:footnoteRef/>
      </w:r>
      <w:r w:rsidRPr="00C951E0">
        <w:rPr>
          <w:sz w:val="16"/>
          <w:szCs w:val="16"/>
        </w:rPr>
        <w:tab/>
        <w:t>COM (2020) 80 final.</w:t>
      </w:r>
    </w:p>
  </w:footnote>
  <w:footnote w:id="2">
    <w:p w14:paraId="650DD130" w14:textId="7107C68B" w:rsidR="00483A55" w:rsidRDefault="00483A55" w:rsidP="007A7C72">
      <w:pPr>
        <w:pStyle w:val="Textpoznpodarou"/>
      </w:pPr>
      <w:r w:rsidRPr="00C951E0">
        <w:rPr>
          <w:rStyle w:val="Znakapoznpodarou"/>
          <w:sz w:val="16"/>
          <w:szCs w:val="16"/>
        </w:rPr>
        <w:footnoteRef/>
      </w:r>
      <w:r w:rsidRPr="00C951E0">
        <w:rPr>
          <w:sz w:val="16"/>
          <w:szCs w:val="16"/>
        </w:rPr>
        <w:tab/>
        <w:t>COM (2019) 640 final.</w:t>
      </w:r>
    </w:p>
  </w:footnote>
  <w:footnote w:id="3">
    <w:p w14:paraId="167E6B8A" w14:textId="5E29713F" w:rsidR="00483A55" w:rsidRDefault="00483A55" w:rsidP="00DC3767">
      <w:pPr>
        <w:pStyle w:val="Textpoznpodarou"/>
      </w:pPr>
      <w:r>
        <w:rPr>
          <w:rStyle w:val="Znakapoznpodarou"/>
        </w:rPr>
        <w:t>3</w:t>
      </w:r>
      <w:r>
        <w:t xml:space="preserve"> </w:t>
      </w:r>
      <w:proofErr w:type="gramStart"/>
      <w:r w:rsidRPr="009143D3">
        <w:rPr>
          <w:rFonts w:cstheme="minorHAnsi"/>
          <w:sz w:val="18"/>
          <w:szCs w:val="18"/>
        </w:rPr>
        <w:t>SWD(</w:t>
      </w:r>
      <w:proofErr w:type="gramEnd"/>
      <w:r w:rsidRPr="009143D3">
        <w:rPr>
          <w:rFonts w:cstheme="minorHAnsi"/>
          <w:sz w:val="18"/>
          <w:szCs w:val="18"/>
        </w:rPr>
        <w:t>2020) 182 final COMMISSION STAFF WORKING DOCUMENT EXECUTIVE SUMMARY OF THE EVALUATION of the Industrial Emissions Directive (IED); Brussels, 23.9.2020</w:t>
      </w:r>
      <w:r>
        <w:t xml:space="preserve"> – str. 21, 56</w:t>
      </w:r>
    </w:p>
    <w:p w14:paraId="0AF058E4" w14:textId="77777777" w:rsidR="00483A55" w:rsidRPr="00C17AF2" w:rsidRDefault="00483A55" w:rsidP="00DC3767">
      <w:pPr>
        <w:pStyle w:val="Textpoznpodarou"/>
        <w:rPr>
          <w:lang w:val="cs-CZ"/>
        </w:rPr>
      </w:pPr>
    </w:p>
  </w:footnote>
  <w:footnote w:id="4">
    <w:p w14:paraId="1C52A10F" w14:textId="1A06FE38" w:rsidR="00483A55" w:rsidRPr="00160426" w:rsidRDefault="00483A55">
      <w:pPr>
        <w:pStyle w:val="Textpoznpodarou"/>
        <w:rPr>
          <w:lang w:val="cs-CZ"/>
        </w:rPr>
      </w:pPr>
      <w:r>
        <w:rPr>
          <w:rStyle w:val="Znakapoznpodarou"/>
        </w:rPr>
        <w:footnoteRef/>
      </w:r>
      <w:r>
        <w:t xml:space="preserve"> </w:t>
      </w:r>
      <w:r w:rsidRPr="003E1940">
        <w:rPr>
          <w:bCs/>
          <w:color w:val="000000"/>
          <w:sz w:val="16"/>
          <w:szCs w:val="16"/>
          <w:lang w:val="cs-CZ"/>
        </w:rPr>
        <w:t>Počáteční náklady na kapitálové, personální a administrativní vybavení takové instituce by byly pravděpodobně velmi vysoké a časově náročné. Mezi státy EU přitom panuje shoda, že konsolidace evropské finanční architektury je skutečně nutná a je třeba jednat v krátkém časovém období.</w:t>
      </w:r>
    </w:p>
  </w:footnote>
  <w:footnote w:id="5">
    <w:p w14:paraId="322FC5D4" w14:textId="77777777" w:rsidR="00483A55" w:rsidRPr="00187106" w:rsidRDefault="00483A55" w:rsidP="001A6E30">
      <w:pPr>
        <w:pStyle w:val="Textpoznpodarou"/>
        <w:jc w:val="both"/>
        <w:rPr>
          <w:rFonts w:ascii="Calibri" w:hAnsi="Calibri"/>
          <w:sz w:val="16"/>
          <w:szCs w:val="16"/>
          <w:lang w:val="cs-CZ"/>
        </w:rPr>
      </w:pPr>
      <w:r w:rsidRPr="00187106">
        <w:rPr>
          <w:rStyle w:val="Znakapoznpodarou"/>
          <w:sz w:val="16"/>
          <w:szCs w:val="16"/>
          <w:lang w:val="cs-CZ"/>
        </w:rPr>
        <w:footnoteRef/>
      </w:r>
      <w:r w:rsidRPr="00187106">
        <w:rPr>
          <w:sz w:val="16"/>
          <w:szCs w:val="16"/>
          <w:lang w:val="cs-CZ"/>
        </w:rPr>
        <w:t xml:space="preserve"> Viz nově uzavřená obchodní dohoda s Vietnamem. Co se týče obchodní politiky, ČR považuje propojení udržitelného rozvoje a obchodu za důležitý aspekt a podporujeme rovněž to, aby obchodní dohody přispívaly k realizaci závazků v oblasti klimatu vyplývajících z Pařížské dohody.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E120C2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54A22B5"/>
    <w:multiLevelType w:val="hybridMultilevel"/>
    <w:tmpl w:val="51629D48"/>
    <w:lvl w:ilvl="0" w:tplc="04050001">
      <w:start w:val="1"/>
      <w:numFmt w:val="bullet"/>
      <w:lvlText w:val=""/>
      <w:lvlJc w:val="left"/>
      <w:pPr>
        <w:ind w:left="1038" w:hanging="360"/>
      </w:pPr>
      <w:rPr>
        <w:rFonts w:ascii="Symbol" w:hAnsi="Symbol" w:hint="default"/>
      </w:rPr>
    </w:lvl>
    <w:lvl w:ilvl="1" w:tplc="04050003" w:tentative="1">
      <w:start w:val="1"/>
      <w:numFmt w:val="bullet"/>
      <w:lvlText w:val="o"/>
      <w:lvlJc w:val="left"/>
      <w:pPr>
        <w:ind w:left="1758" w:hanging="360"/>
      </w:pPr>
      <w:rPr>
        <w:rFonts w:ascii="Courier New" w:hAnsi="Courier New" w:cs="Courier New" w:hint="default"/>
      </w:rPr>
    </w:lvl>
    <w:lvl w:ilvl="2" w:tplc="04050005" w:tentative="1">
      <w:start w:val="1"/>
      <w:numFmt w:val="bullet"/>
      <w:lvlText w:val=""/>
      <w:lvlJc w:val="left"/>
      <w:pPr>
        <w:ind w:left="2478" w:hanging="360"/>
      </w:pPr>
      <w:rPr>
        <w:rFonts w:ascii="Wingdings" w:hAnsi="Wingdings" w:hint="default"/>
      </w:rPr>
    </w:lvl>
    <w:lvl w:ilvl="3" w:tplc="04050001" w:tentative="1">
      <w:start w:val="1"/>
      <w:numFmt w:val="bullet"/>
      <w:lvlText w:val=""/>
      <w:lvlJc w:val="left"/>
      <w:pPr>
        <w:ind w:left="3198" w:hanging="360"/>
      </w:pPr>
      <w:rPr>
        <w:rFonts w:ascii="Symbol" w:hAnsi="Symbol" w:hint="default"/>
      </w:rPr>
    </w:lvl>
    <w:lvl w:ilvl="4" w:tplc="04050003" w:tentative="1">
      <w:start w:val="1"/>
      <w:numFmt w:val="bullet"/>
      <w:lvlText w:val="o"/>
      <w:lvlJc w:val="left"/>
      <w:pPr>
        <w:ind w:left="3918" w:hanging="360"/>
      </w:pPr>
      <w:rPr>
        <w:rFonts w:ascii="Courier New" w:hAnsi="Courier New" w:cs="Courier New" w:hint="default"/>
      </w:rPr>
    </w:lvl>
    <w:lvl w:ilvl="5" w:tplc="04050005" w:tentative="1">
      <w:start w:val="1"/>
      <w:numFmt w:val="bullet"/>
      <w:lvlText w:val=""/>
      <w:lvlJc w:val="left"/>
      <w:pPr>
        <w:ind w:left="4638" w:hanging="360"/>
      </w:pPr>
      <w:rPr>
        <w:rFonts w:ascii="Wingdings" w:hAnsi="Wingdings" w:hint="default"/>
      </w:rPr>
    </w:lvl>
    <w:lvl w:ilvl="6" w:tplc="04050001" w:tentative="1">
      <w:start w:val="1"/>
      <w:numFmt w:val="bullet"/>
      <w:lvlText w:val=""/>
      <w:lvlJc w:val="left"/>
      <w:pPr>
        <w:ind w:left="5358" w:hanging="360"/>
      </w:pPr>
      <w:rPr>
        <w:rFonts w:ascii="Symbol" w:hAnsi="Symbol" w:hint="default"/>
      </w:rPr>
    </w:lvl>
    <w:lvl w:ilvl="7" w:tplc="04050003" w:tentative="1">
      <w:start w:val="1"/>
      <w:numFmt w:val="bullet"/>
      <w:lvlText w:val="o"/>
      <w:lvlJc w:val="left"/>
      <w:pPr>
        <w:ind w:left="6078" w:hanging="360"/>
      </w:pPr>
      <w:rPr>
        <w:rFonts w:ascii="Courier New" w:hAnsi="Courier New" w:cs="Courier New" w:hint="default"/>
      </w:rPr>
    </w:lvl>
    <w:lvl w:ilvl="8" w:tplc="04050005" w:tentative="1">
      <w:start w:val="1"/>
      <w:numFmt w:val="bullet"/>
      <w:lvlText w:val=""/>
      <w:lvlJc w:val="left"/>
      <w:pPr>
        <w:ind w:left="6798" w:hanging="360"/>
      </w:pPr>
      <w:rPr>
        <w:rFonts w:ascii="Wingdings" w:hAnsi="Wingdings" w:hint="default"/>
      </w:rPr>
    </w:lvl>
  </w:abstractNum>
  <w:abstractNum w:abstractNumId="2" w15:restartNumberingAfterBreak="0">
    <w:nsid w:val="1354239B"/>
    <w:multiLevelType w:val="hybridMultilevel"/>
    <w:tmpl w:val="5FA2418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5FA5F31"/>
    <w:multiLevelType w:val="hybridMultilevel"/>
    <w:tmpl w:val="71589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930EE5"/>
    <w:multiLevelType w:val="hybridMultilevel"/>
    <w:tmpl w:val="1F684D42"/>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5" w15:restartNumberingAfterBreak="0">
    <w:nsid w:val="1AE87C19"/>
    <w:multiLevelType w:val="hybridMultilevel"/>
    <w:tmpl w:val="2DA0BAC8"/>
    <w:lvl w:ilvl="0" w:tplc="8F52BB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114A59"/>
    <w:multiLevelType w:val="hybridMultilevel"/>
    <w:tmpl w:val="D578F8D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7" w15:restartNumberingAfterBreak="0">
    <w:nsid w:val="2048348E"/>
    <w:multiLevelType w:val="hybridMultilevel"/>
    <w:tmpl w:val="35627666"/>
    <w:lvl w:ilvl="0" w:tplc="57CA323A">
      <w:start w:val="1"/>
      <w:numFmt w:val="decimal"/>
      <w:lvlText w:val="Ad %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ED74D3"/>
    <w:multiLevelType w:val="hybridMultilevel"/>
    <w:tmpl w:val="0BF4D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9F6372"/>
    <w:multiLevelType w:val="hybridMultilevel"/>
    <w:tmpl w:val="9C084D42"/>
    <w:lvl w:ilvl="0" w:tplc="2C96EF8A">
      <w:start w:val="1"/>
      <w:numFmt w:val="decimal"/>
      <w:lvlText w:val="%1."/>
      <w:lvlJc w:val="left"/>
      <w:pPr>
        <w:ind w:left="720" w:hanging="360"/>
      </w:pPr>
      <w:rPr>
        <w:rFonts w:asciiTheme="minorHAnsi" w:hAnsiTheme="minorHAnsi" w:cs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FAD3AE0"/>
    <w:multiLevelType w:val="hybridMultilevel"/>
    <w:tmpl w:val="C248F1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8568" w:hanging="360"/>
      </w:pPr>
      <w:rPr>
        <w:rFonts w:ascii="Courier New" w:hAnsi="Courier New" w:cs="Courier New" w:hint="default"/>
      </w:rPr>
    </w:lvl>
    <w:lvl w:ilvl="2" w:tplc="04050005">
      <w:start w:val="1"/>
      <w:numFmt w:val="bullet"/>
      <w:lvlText w:val=""/>
      <w:lvlJc w:val="left"/>
      <w:pPr>
        <w:ind w:left="9288" w:hanging="360"/>
      </w:pPr>
      <w:rPr>
        <w:rFonts w:ascii="Wingdings" w:hAnsi="Wingdings" w:hint="default"/>
      </w:rPr>
    </w:lvl>
    <w:lvl w:ilvl="3" w:tplc="04050001">
      <w:start w:val="1"/>
      <w:numFmt w:val="bullet"/>
      <w:lvlText w:val=""/>
      <w:lvlJc w:val="left"/>
      <w:pPr>
        <w:ind w:left="10008" w:hanging="360"/>
      </w:pPr>
      <w:rPr>
        <w:rFonts w:ascii="Symbol" w:hAnsi="Symbol" w:hint="default"/>
      </w:rPr>
    </w:lvl>
    <w:lvl w:ilvl="4" w:tplc="04050003">
      <w:start w:val="1"/>
      <w:numFmt w:val="bullet"/>
      <w:lvlText w:val="o"/>
      <w:lvlJc w:val="left"/>
      <w:pPr>
        <w:ind w:left="10728" w:hanging="360"/>
      </w:pPr>
      <w:rPr>
        <w:rFonts w:ascii="Courier New" w:hAnsi="Courier New" w:cs="Courier New" w:hint="default"/>
      </w:rPr>
    </w:lvl>
    <w:lvl w:ilvl="5" w:tplc="04050005">
      <w:start w:val="1"/>
      <w:numFmt w:val="bullet"/>
      <w:lvlText w:val=""/>
      <w:lvlJc w:val="left"/>
      <w:pPr>
        <w:ind w:left="11448" w:hanging="360"/>
      </w:pPr>
      <w:rPr>
        <w:rFonts w:ascii="Wingdings" w:hAnsi="Wingdings" w:hint="default"/>
      </w:rPr>
    </w:lvl>
    <w:lvl w:ilvl="6" w:tplc="04050001">
      <w:start w:val="1"/>
      <w:numFmt w:val="bullet"/>
      <w:lvlText w:val=""/>
      <w:lvlJc w:val="left"/>
      <w:pPr>
        <w:ind w:left="12168" w:hanging="360"/>
      </w:pPr>
      <w:rPr>
        <w:rFonts w:ascii="Symbol" w:hAnsi="Symbol" w:hint="default"/>
      </w:rPr>
    </w:lvl>
    <w:lvl w:ilvl="7" w:tplc="04050003">
      <w:start w:val="1"/>
      <w:numFmt w:val="bullet"/>
      <w:lvlText w:val="o"/>
      <w:lvlJc w:val="left"/>
      <w:pPr>
        <w:ind w:left="12888" w:hanging="360"/>
      </w:pPr>
      <w:rPr>
        <w:rFonts w:ascii="Courier New" w:hAnsi="Courier New" w:cs="Courier New" w:hint="default"/>
      </w:rPr>
    </w:lvl>
    <w:lvl w:ilvl="8" w:tplc="04050005">
      <w:start w:val="1"/>
      <w:numFmt w:val="bullet"/>
      <w:lvlText w:val=""/>
      <w:lvlJc w:val="left"/>
      <w:pPr>
        <w:ind w:left="13608" w:hanging="360"/>
      </w:pPr>
      <w:rPr>
        <w:rFonts w:ascii="Wingdings" w:hAnsi="Wingdings" w:hint="default"/>
      </w:rPr>
    </w:lvl>
  </w:abstractNum>
  <w:abstractNum w:abstractNumId="11" w15:restartNumberingAfterBreak="0">
    <w:nsid w:val="30EE5393"/>
    <w:multiLevelType w:val="multilevel"/>
    <w:tmpl w:val="DD60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B60A70"/>
    <w:multiLevelType w:val="hybridMultilevel"/>
    <w:tmpl w:val="8CCAC19A"/>
    <w:lvl w:ilvl="0" w:tplc="DDF82EEC">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871CAC"/>
    <w:multiLevelType w:val="hybridMultilevel"/>
    <w:tmpl w:val="E738D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D62174"/>
    <w:multiLevelType w:val="hybridMultilevel"/>
    <w:tmpl w:val="17D6B504"/>
    <w:lvl w:ilvl="0" w:tplc="04050001">
      <w:start w:val="1"/>
      <w:numFmt w:val="bullet"/>
      <w:lvlText w:val=""/>
      <w:lvlJc w:val="left"/>
      <w:pPr>
        <w:ind w:left="720" w:hanging="360"/>
      </w:pPr>
      <w:rPr>
        <w:rFonts w:ascii="Symbol" w:hAnsi="Symbol" w:hint="default"/>
      </w:rPr>
    </w:lvl>
    <w:lvl w:ilvl="1" w:tplc="E67230C8">
      <w:numFmt w:val="bullet"/>
      <w:lvlText w:val="•"/>
      <w:lvlJc w:val="left"/>
      <w:pPr>
        <w:ind w:left="1785" w:hanging="705"/>
      </w:pPr>
      <w:rPr>
        <w:rFonts w:ascii="Calibri" w:eastAsia="Times New Roman"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28199A"/>
    <w:multiLevelType w:val="hybridMultilevel"/>
    <w:tmpl w:val="424E2A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5CB3689"/>
    <w:multiLevelType w:val="hybridMultilevel"/>
    <w:tmpl w:val="C8DAFE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5E353B1"/>
    <w:multiLevelType w:val="hybridMultilevel"/>
    <w:tmpl w:val="C30E7DD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8" w15:restartNumberingAfterBreak="0">
    <w:nsid w:val="4D0E5DDB"/>
    <w:multiLevelType w:val="hybridMultilevel"/>
    <w:tmpl w:val="17FA52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E1A982C"/>
    <w:multiLevelType w:val="multilevel"/>
    <w:tmpl w:val="F8F8C3D6"/>
    <w:name w:val="ListBulletNumbering"/>
    <w:lvl w:ilvl="0">
      <w:start w:val="1"/>
      <w:numFmt w:val="bullet"/>
      <w:pStyle w:val="Seznamsodrkami"/>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20" w15:restartNumberingAfterBreak="0">
    <w:nsid w:val="4FB523C4"/>
    <w:multiLevelType w:val="hybridMultilevel"/>
    <w:tmpl w:val="9C68B42E"/>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1" w15:restartNumberingAfterBreak="0">
    <w:nsid w:val="52846469"/>
    <w:multiLevelType w:val="hybridMultilevel"/>
    <w:tmpl w:val="094C03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630862"/>
    <w:multiLevelType w:val="hybridMultilevel"/>
    <w:tmpl w:val="9182D17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9043E90"/>
    <w:multiLevelType w:val="multilevel"/>
    <w:tmpl w:val="DC4E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10881"/>
    <w:multiLevelType w:val="hybridMultilevel"/>
    <w:tmpl w:val="33267FCA"/>
    <w:lvl w:ilvl="0" w:tplc="CEBEDD72">
      <w:start w:val="1"/>
      <w:numFmt w:val="decimal"/>
      <w:lvlText w:val="%1)"/>
      <w:lvlJc w:val="left"/>
      <w:pPr>
        <w:ind w:left="786" w:hanging="360"/>
      </w:pPr>
      <w:rPr>
        <w:rFonts w:hint="default"/>
        <w:sz w:val="16"/>
        <w:szCs w:val="16"/>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D3F0AAA"/>
    <w:multiLevelType w:val="hybridMultilevel"/>
    <w:tmpl w:val="BF52210E"/>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6" w15:restartNumberingAfterBreak="0">
    <w:nsid w:val="5D7E6720"/>
    <w:multiLevelType w:val="hybridMultilevel"/>
    <w:tmpl w:val="11F0A8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F90D1D"/>
    <w:multiLevelType w:val="hybridMultilevel"/>
    <w:tmpl w:val="F042A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DD7CED"/>
    <w:multiLevelType w:val="hybridMultilevel"/>
    <w:tmpl w:val="0A0A78B2"/>
    <w:lvl w:ilvl="0" w:tplc="C11E15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02D3B2C"/>
    <w:multiLevelType w:val="hybridMultilevel"/>
    <w:tmpl w:val="B0EA731E"/>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0" w15:restartNumberingAfterBreak="0">
    <w:nsid w:val="75712FBC"/>
    <w:multiLevelType w:val="hybridMultilevel"/>
    <w:tmpl w:val="C76AD1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90F0DF5"/>
    <w:multiLevelType w:val="hybridMultilevel"/>
    <w:tmpl w:val="52FABE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B7870CE"/>
    <w:multiLevelType w:val="hybridMultilevel"/>
    <w:tmpl w:val="983A530C"/>
    <w:lvl w:ilvl="0" w:tplc="ED1AB7B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1"/>
  </w:num>
  <w:num w:numId="2">
    <w:abstractNumId w:val="2"/>
  </w:num>
  <w:num w:numId="3">
    <w:abstractNumId w:val="19"/>
  </w:num>
  <w:num w:numId="4">
    <w:abstractNumId w:val="1"/>
  </w:num>
  <w:num w:numId="5">
    <w:abstractNumId w:val="5"/>
  </w:num>
  <w:num w:numId="6">
    <w:abstractNumId w:val="28"/>
  </w:num>
  <w:num w:numId="7">
    <w:abstractNumId w:val="10"/>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8"/>
  </w:num>
  <w:num w:numId="11">
    <w:abstractNumId w:val="24"/>
  </w:num>
  <w:num w:numId="12">
    <w:abstractNumId w:val="15"/>
  </w:num>
  <w:num w:numId="13">
    <w:abstractNumId w:val="26"/>
  </w:num>
  <w:num w:numId="14">
    <w:abstractNumId w:val="14"/>
  </w:num>
  <w:num w:numId="15">
    <w:abstractNumId w:val="12"/>
  </w:num>
  <w:num w:numId="16">
    <w:abstractNumId w:val="7"/>
  </w:num>
  <w:num w:numId="17">
    <w:abstractNumId w:val="1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8"/>
  </w:num>
  <w:num w:numId="21">
    <w:abstractNumId w:val="21"/>
  </w:num>
  <w:num w:numId="22">
    <w:abstractNumId w:val="29"/>
  </w:num>
  <w:num w:numId="23">
    <w:abstractNumId w:val="27"/>
  </w:num>
  <w:num w:numId="24">
    <w:abstractNumId w:val="6"/>
  </w:num>
  <w:num w:numId="25">
    <w:abstractNumId w:val="25"/>
  </w:num>
  <w:num w:numId="26">
    <w:abstractNumId w:val="3"/>
  </w:num>
  <w:num w:numId="27">
    <w:abstractNumId w:val="20"/>
  </w:num>
  <w:num w:numId="28">
    <w:abstractNumId w:val="17"/>
  </w:num>
  <w:num w:numId="29">
    <w:abstractNumId w:val="4"/>
  </w:num>
  <w:num w:numId="30">
    <w:abstractNumId w:val="22"/>
  </w:num>
  <w:num w:numId="31">
    <w:abstractNumId w:val="13"/>
  </w:num>
  <w:num w:numId="32">
    <w:abstractNumId w:val="30"/>
  </w:num>
  <w:num w:numId="33">
    <w:abstractNumId w:val="32"/>
  </w:num>
  <w:num w:numId="34">
    <w:abstractNumId w:val="19"/>
  </w:num>
  <w:num w:numId="35">
    <w:abstractNumId w:val="19"/>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287"/>
    <w:rsid w:val="00004A26"/>
    <w:rsid w:val="00006DA6"/>
    <w:rsid w:val="00011C5A"/>
    <w:rsid w:val="000134F4"/>
    <w:rsid w:val="00020E4E"/>
    <w:rsid w:val="000245E5"/>
    <w:rsid w:val="00024D32"/>
    <w:rsid w:val="000442D5"/>
    <w:rsid w:val="00045D0E"/>
    <w:rsid w:val="00051482"/>
    <w:rsid w:val="00051B13"/>
    <w:rsid w:val="0005431B"/>
    <w:rsid w:val="00054D4E"/>
    <w:rsid w:val="000608D9"/>
    <w:rsid w:val="00063403"/>
    <w:rsid w:val="000674CC"/>
    <w:rsid w:val="00067F41"/>
    <w:rsid w:val="000705C1"/>
    <w:rsid w:val="00072820"/>
    <w:rsid w:val="00072C7D"/>
    <w:rsid w:val="0007650A"/>
    <w:rsid w:val="00085287"/>
    <w:rsid w:val="00085445"/>
    <w:rsid w:val="00085B43"/>
    <w:rsid w:val="00086D17"/>
    <w:rsid w:val="00096943"/>
    <w:rsid w:val="00097FEC"/>
    <w:rsid w:val="000A05EF"/>
    <w:rsid w:val="000A0EE6"/>
    <w:rsid w:val="000A61E7"/>
    <w:rsid w:val="000B1A0F"/>
    <w:rsid w:val="000B25A6"/>
    <w:rsid w:val="000B2AAE"/>
    <w:rsid w:val="000B4D84"/>
    <w:rsid w:val="000B5935"/>
    <w:rsid w:val="000B650E"/>
    <w:rsid w:val="000C1BB3"/>
    <w:rsid w:val="000C4971"/>
    <w:rsid w:val="000C5626"/>
    <w:rsid w:val="000C7E8C"/>
    <w:rsid w:val="000D1CA1"/>
    <w:rsid w:val="000D64F0"/>
    <w:rsid w:val="000D78E0"/>
    <w:rsid w:val="000D7C33"/>
    <w:rsid w:val="000E0924"/>
    <w:rsid w:val="000E792A"/>
    <w:rsid w:val="000E7E63"/>
    <w:rsid w:val="000F350F"/>
    <w:rsid w:val="000F377E"/>
    <w:rsid w:val="000F4910"/>
    <w:rsid w:val="000F4A50"/>
    <w:rsid w:val="000F4A5B"/>
    <w:rsid w:val="000F4E72"/>
    <w:rsid w:val="001078A1"/>
    <w:rsid w:val="00107D89"/>
    <w:rsid w:val="001147F9"/>
    <w:rsid w:val="00114B24"/>
    <w:rsid w:val="00116C9E"/>
    <w:rsid w:val="0012282F"/>
    <w:rsid w:val="00123940"/>
    <w:rsid w:val="0013129A"/>
    <w:rsid w:val="00131803"/>
    <w:rsid w:val="0013339A"/>
    <w:rsid w:val="00136155"/>
    <w:rsid w:val="0013656B"/>
    <w:rsid w:val="001365A3"/>
    <w:rsid w:val="001372C1"/>
    <w:rsid w:val="0013792C"/>
    <w:rsid w:val="00146D6C"/>
    <w:rsid w:val="001537C3"/>
    <w:rsid w:val="00157589"/>
    <w:rsid w:val="00160196"/>
    <w:rsid w:val="00160426"/>
    <w:rsid w:val="001665A4"/>
    <w:rsid w:val="00166B09"/>
    <w:rsid w:val="001677E9"/>
    <w:rsid w:val="00170D52"/>
    <w:rsid w:val="00174248"/>
    <w:rsid w:val="00174A36"/>
    <w:rsid w:val="00176C12"/>
    <w:rsid w:val="00185171"/>
    <w:rsid w:val="0018567C"/>
    <w:rsid w:val="00187106"/>
    <w:rsid w:val="00191BD3"/>
    <w:rsid w:val="001930CD"/>
    <w:rsid w:val="001A3D54"/>
    <w:rsid w:val="001A47CD"/>
    <w:rsid w:val="001A554E"/>
    <w:rsid w:val="001A6E30"/>
    <w:rsid w:val="001B16FA"/>
    <w:rsid w:val="001B34CA"/>
    <w:rsid w:val="001B7475"/>
    <w:rsid w:val="001C3EA0"/>
    <w:rsid w:val="001C6F84"/>
    <w:rsid w:val="001D0542"/>
    <w:rsid w:val="001D0D96"/>
    <w:rsid w:val="001D1F7D"/>
    <w:rsid w:val="001D659C"/>
    <w:rsid w:val="001E1DF4"/>
    <w:rsid w:val="001E6732"/>
    <w:rsid w:val="001F2007"/>
    <w:rsid w:val="001F28B8"/>
    <w:rsid w:val="001F2EF5"/>
    <w:rsid w:val="001F3EFB"/>
    <w:rsid w:val="001F4EF3"/>
    <w:rsid w:val="00202DE4"/>
    <w:rsid w:val="00203D38"/>
    <w:rsid w:val="002060AC"/>
    <w:rsid w:val="00212A31"/>
    <w:rsid w:val="00213077"/>
    <w:rsid w:val="00214AF3"/>
    <w:rsid w:val="0021743F"/>
    <w:rsid w:val="00217EA2"/>
    <w:rsid w:val="0022020E"/>
    <w:rsid w:val="00224FD2"/>
    <w:rsid w:val="00227E11"/>
    <w:rsid w:val="00232CF2"/>
    <w:rsid w:val="00234944"/>
    <w:rsid w:val="00235376"/>
    <w:rsid w:val="00237003"/>
    <w:rsid w:val="00237D49"/>
    <w:rsid w:val="00240725"/>
    <w:rsid w:val="00247972"/>
    <w:rsid w:val="0025098A"/>
    <w:rsid w:val="00264C76"/>
    <w:rsid w:val="00267636"/>
    <w:rsid w:val="002846B8"/>
    <w:rsid w:val="002906A5"/>
    <w:rsid w:val="00292C30"/>
    <w:rsid w:val="002935D4"/>
    <w:rsid w:val="0029485D"/>
    <w:rsid w:val="002A1848"/>
    <w:rsid w:val="002B16B6"/>
    <w:rsid w:val="002B3442"/>
    <w:rsid w:val="002B7023"/>
    <w:rsid w:val="002C5127"/>
    <w:rsid w:val="002C6273"/>
    <w:rsid w:val="002D5166"/>
    <w:rsid w:val="002E0D0D"/>
    <w:rsid w:val="002E2827"/>
    <w:rsid w:val="002E44F1"/>
    <w:rsid w:val="002F44F9"/>
    <w:rsid w:val="002F7574"/>
    <w:rsid w:val="00300E5D"/>
    <w:rsid w:val="00303EA6"/>
    <w:rsid w:val="003061BE"/>
    <w:rsid w:val="00310EA2"/>
    <w:rsid w:val="003164F3"/>
    <w:rsid w:val="0031669E"/>
    <w:rsid w:val="003171DA"/>
    <w:rsid w:val="003224E0"/>
    <w:rsid w:val="00327372"/>
    <w:rsid w:val="003372C8"/>
    <w:rsid w:val="0033792E"/>
    <w:rsid w:val="003424E7"/>
    <w:rsid w:val="00342C70"/>
    <w:rsid w:val="0035522E"/>
    <w:rsid w:val="003612F7"/>
    <w:rsid w:val="00361BF8"/>
    <w:rsid w:val="0036306A"/>
    <w:rsid w:val="00363C36"/>
    <w:rsid w:val="00363FBD"/>
    <w:rsid w:val="003704E1"/>
    <w:rsid w:val="003728E3"/>
    <w:rsid w:val="00381B86"/>
    <w:rsid w:val="00381F9B"/>
    <w:rsid w:val="003856FE"/>
    <w:rsid w:val="00385DE6"/>
    <w:rsid w:val="003875ED"/>
    <w:rsid w:val="00390077"/>
    <w:rsid w:val="0039423D"/>
    <w:rsid w:val="00396343"/>
    <w:rsid w:val="003A224E"/>
    <w:rsid w:val="003A3358"/>
    <w:rsid w:val="003A5118"/>
    <w:rsid w:val="003A6936"/>
    <w:rsid w:val="003A77D7"/>
    <w:rsid w:val="003A7E4F"/>
    <w:rsid w:val="003B1D3F"/>
    <w:rsid w:val="003B33C7"/>
    <w:rsid w:val="003C54D2"/>
    <w:rsid w:val="003D44AC"/>
    <w:rsid w:val="003D72ED"/>
    <w:rsid w:val="003E1940"/>
    <w:rsid w:val="003F3E6F"/>
    <w:rsid w:val="00403833"/>
    <w:rsid w:val="00403B6A"/>
    <w:rsid w:val="0040738E"/>
    <w:rsid w:val="004138DF"/>
    <w:rsid w:val="00420542"/>
    <w:rsid w:val="00421314"/>
    <w:rsid w:val="00421632"/>
    <w:rsid w:val="0042306C"/>
    <w:rsid w:val="004247B4"/>
    <w:rsid w:val="00424CCA"/>
    <w:rsid w:val="004274CA"/>
    <w:rsid w:val="00435992"/>
    <w:rsid w:val="004401F8"/>
    <w:rsid w:val="00443937"/>
    <w:rsid w:val="00450169"/>
    <w:rsid w:val="00451A8B"/>
    <w:rsid w:val="00452845"/>
    <w:rsid w:val="00452C1F"/>
    <w:rsid w:val="00454B86"/>
    <w:rsid w:val="00460586"/>
    <w:rsid w:val="00463D56"/>
    <w:rsid w:val="00464B8F"/>
    <w:rsid w:val="00467D65"/>
    <w:rsid w:val="00471C58"/>
    <w:rsid w:val="004822D9"/>
    <w:rsid w:val="00483A55"/>
    <w:rsid w:val="004965E8"/>
    <w:rsid w:val="00497612"/>
    <w:rsid w:val="004A4E75"/>
    <w:rsid w:val="004A7631"/>
    <w:rsid w:val="004B3456"/>
    <w:rsid w:val="004B53B2"/>
    <w:rsid w:val="004B563D"/>
    <w:rsid w:val="004C0CC2"/>
    <w:rsid w:val="004C1A41"/>
    <w:rsid w:val="004C1F2F"/>
    <w:rsid w:val="004C7715"/>
    <w:rsid w:val="004D000E"/>
    <w:rsid w:val="004D1D72"/>
    <w:rsid w:val="004D260E"/>
    <w:rsid w:val="004D5239"/>
    <w:rsid w:val="004D5E18"/>
    <w:rsid w:val="004D6B23"/>
    <w:rsid w:val="004E4135"/>
    <w:rsid w:val="004E7A55"/>
    <w:rsid w:val="004F4000"/>
    <w:rsid w:val="004F412A"/>
    <w:rsid w:val="004F6C19"/>
    <w:rsid w:val="00503F41"/>
    <w:rsid w:val="005041C0"/>
    <w:rsid w:val="005043A8"/>
    <w:rsid w:val="005043CD"/>
    <w:rsid w:val="00510460"/>
    <w:rsid w:val="0051768B"/>
    <w:rsid w:val="00521214"/>
    <w:rsid w:val="00522DC9"/>
    <w:rsid w:val="00524E25"/>
    <w:rsid w:val="00525ADD"/>
    <w:rsid w:val="00525E2A"/>
    <w:rsid w:val="0053554F"/>
    <w:rsid w:val="00535F75"/>
    <w:rsid w:val="0053763E"/>
    <w:rsid w:val="00542DE5"/>
    <w:rsid w:val="00542F14"/>
    <w:rsid w:val="0054336C"/>
    <w:rsid w:val="00551470"/>
    <w:rsid w:val="00565960"/>
    <w:rsid w:val="00565F24"/>
    <w:rsid w:val="0056753E"/>
    <w:rsid w:val="00573D7D"/>
    <w:rsid w:val="0057493C"/>
    <w:rsid w:val="00576C28"/>
    <w:rsid w:val="00583A14"/>
    <w:rsid w:val="0059224A"/>
    <w:rsid w:val="0059484B"/>
    <w:rsid w:val="005A3F2A"/>
    <w:rsid w:val="005B15BA"/>
    <w:rsid w:val="005B39E1"/>
    <w:rsid w:val="005B3AF9"/>
    <w:rsid w:val="005C675A"/>
    <w:rsid w:val="005D2361"/>
    <w:rsid w:val="005D5FA0"/>
    <w:rsid w:val="005D6BC7"/>
    <w:rsid w:val="005E0E86"/>
    <w:rsid w:val="005E31A8"/>
    <w:rsid w:val="005E58D9"/>
    <w:rsid w:val="005F1797"/>
    <w:rsid w:val="005F5092"/>
    <w:rsid w:val="00601A31"/>
    <w:rsid w:val="00607B92"/>
    <w:rsid w:val="00614D8F"/>
    <w:rsid w:val="00621673"/>
    <w:rsid w:val="0062467F"/>
    <w:rsid w:val="0062501E"/>
    <w:rsid w:val="0062619F"/>
    <w:rsid w:val="00631604"/>
    <w:rsid w:val="0063323B"/>
    <w:rsid w:val="00633621"/>
    <w:rsid w:val="00641057"/>
    <w:rsid w:val="0064635E"/>
    <w:rsid w:val="00647851"/>
    <w:rsid w:val="00657FF3"/>
    <w:rsid w:val="00670513"/>
    <w:rsid w:val="00671D3A"/>
    <w:rsid w:val="00672CEE"/>
    <w:rsid w:val="00673368"/>
    <w:rsid w:val="00676816"/>
    <w:rsid w:val="006848A9"/>
    <w:rsid w:val="006851F8"/>
    <w:rsid w:val="0068554C"/>
    <w:rsid w:val="006900A3"/>
    <w:rsid w:val="00694E1E"/>
    <w:rsid w:val="006A6151"/>
    <w:rsid w:val="006B1F0A"/>
    <w:rsid w:val="006B4952"/>
    <w:rsid w:val="006C02C8"/>
    <w:rsid w:val="006C08A7"/>
    <w:rsid w:val="006C12E9"/>
    <w:rsid w:val="006C37B0"/>
    <w:rsid w:val="006D0212"/>
    <w:rsid w:val="006D052D"/>
    <w:rsid w:val="006D06C7"/>
    <w:rsid w:val="006D416C"/>
    <w:rsid w:val="006D7E06"/>
    <w:rsid w:val="006E4CEF"/>
    <w:rsid w:val="006E7041"/>
    <w:rsid w:val="006F2A7A"/>
    <w:rsid w:val="006F731D"/>
    <w:rsid w:val="0070090E"/>
    <w:rsid w:val="00704D2D"/>
    <w:rsid w:val="00705B90"/>
    <w:rsid w:val="0070790E"/>
    <w:rsid w:val="00711649"/>
    <w:rsid w:val="0071475F"/>
    <w:rsid w:val="007213E9"/>
    <w:rsid w:val="00724671"/>
    <w:rsid w:val="00724F1C"/>
    <w:rsid w:val="00730B89"/>
    <w:rsid w:val="007432EE"/>
    <w:rsid w:val="00743BAA"/>
    <w:rsid w:val="00744463"/>
    <w:rsid w:val="00746FDF"/>
    <w:rsid w:val="007543E2"/>
    <w:rsid w:val="00757A59"/>
    <w:rsid w:val="0076122F"/>
    <w:rsid w:val="0076206C"/>
    <w:rsid w:val="00766569"/>
    <w:rsid w:val="0076709C"/>
    <w:rsid w:val="00794507"/>
    <w:rsid w:val="00794DCB"/>
    <w:rsid w:val="007A1AFB"/>
    <w:rsid w:val="007A4495"/>
    <w:rsid w:val="007A7C72"/>
    <w:rsid w:val="007B185F"/>
    <w:rsid w:val="007B1DAC"/>
    <w:rsid w:val="007B3528"/>
    <w:rsid w:val="007F128A"/>
    <w:rsid w:val="007F2E5E"/>
    <w:rsid w:val="0080379E"/>
    <w:rsid w:val="00803F6B"/>
    <w:rsid w:val="00814236"/>
    <w:rsid w:val="00815B4C"/>
    <w:rsid w:val="00816001"/>
    <w:rsid w:val="00825564"/>
    <w:rsid w:val="0082629A"/>
    <w:rsid w:val="008355BC"/>
    <w:rsid w:val="00837CC8"/>
    <w:rsid w:val="0084502F"/>
    <w:rsid w:val="00853C51"/>
    <w:rsid w:val="00862288"/>
    <w:rsid w:val="00866386"/>
    <w:rsid w:val="00866F66"/>
    <w:rsid w:val="00867BBB"/>
    <w:rsid w:val="00875A8B"/>
    <w:rsid w:val="00880C74"/>
    <w:rsid w:val="00880F62"/>
    <w:rsid w:val="008858C2"/>
    <w:rsid w:val="00885F7D"/>
    <w:rsid w:val="008865EA"/>
    <w:rsid w:val="00893F5F"/>
    <w:rsid w:val="00897167"/>
    <w:rsid w:val="00897B34"/>
    <w:rsid w:val="008A2DFD"/>
    <w:rsid w:val="008B4FC7"/>
    <w:rsid w:val="008C26B1"/>
    <w:rsid w:val="008C5BAE"/>
    <w:rsid w:val="008C5E72"/>
    <w:rsid w:val="008C5FBF"/>
    <w:rsid w:val="008D5B46"/>
    <w:rsid w:val="008D6C5E"/>
    <w:rsid w:val="008E200E"/>
    <w:rsid w:val="008E32A3"/>
    <w:rsid w:val="008F1993"/>
    <w:rsid w:val="008F5BBA"/>
    <w:rsid w:val="008F6D2E"/>
    <w:rsid w:val="00902AAA"/>
    <w:rsid w:val="00903B0A"/>
    <w:rsid w:val="00905026"/>
    <w:rsid w:val="00910035"/>
    <w:rsid w:val="00917A31"/>
    <w:rsid w:val="009201E6"/>
    <w:rsid w:val="00920241"/>
    <w:rsid w:val="009208BA"/>
    <w:rsid w:val="00920B5B"/>
    <w:rsid w:val="00923F33"/>
    <w:rsid w:val="00933333"/>
    <w:rsid w:val="009333B0"/>
    <w:rsid w:val="009354C2"/>
    <w:rsid w:val="00937AAD"/>
    <w:rsid w:val="00941ECE"/>
    <w:rsid w:val="009421CD"/>
    <w:rsid w:val="00942463"/>
    <w:rsid w:val="009503E9"/>
    <w:rsid w:val="009538E5"/>
    <w:rsid w:val="00961C5F"/>
    <w:rsid w:val="00963616"/>
    <w:rsid w:val="00964BA1"/>
    <w:rsid w:val="009741C7"/>
    <w:rsid w:val="00977A3D"/>
    <w:rsid w:val="00977EC4"/>
    <w:rsid w:val="00981EEE"/>
    <w:rsid w:val="00984937"/>
    <w:rsid w:val="009979E4"/>
    <w:rsid w:val="009A50F8"/>
    <w:rsid w:val="009A73AC"/>
    <w:rsid w:val="009B2A42"/>
    <w:rsid w:val="009C0773"/>
    <w:rsid w:val="009C2994"/>
    <w:rsid w:val="009C513B"/>
    <w:rsid w:val="009C77D8"/>
    <w:rsid w:val="009D758E"/>
    <w:rsid w:val="009E0892"/>
    <w:rsid w:val="009E1395"/>
    <w:rsid w:val="009E1AF8"/>
    <w:rsid w:val="009E2649"/>
    <w:rsid w:val="009E2775"/>
    <w:rsid w:val="009E2FB3"/>
    <w:rsid w:val="009E41EC"/>
    <w:rsid w:val="009E4B04"/>
    <w:rsid w:val="009F3F14"/>
    <w:rsid w:val="00A1200B"/>
    <w:rsid w:val="00A149A4"/>
    <w:rsid w:val="00A15477"/>
    <w:rsid w:val="00A16BE5"/>
    <w:rsid w:val="00A223D8"/>
    <w:rsid w:val="00A24E73"/>
    <w:rsid w:val="00A320B8"/>
    <w:rsid w:val="00A329BE"/>
    <w:rsid w:val="00A36CFD"/>
    <w:rsid w:val="00A422C9"/>
    <w:rsid w:val="00A4280B"/>
    <w:rsid w:val="00A522DA"/>
    <w:rsid w:val="00A54EAA"/>
    <w:rsid w:val="00A667E4"/>
    <w:rsid w:val="00A86A02"/>
    <w:rsid w:val="00A8790A"/>
    <w:rsid w:val="00A90587"/>
    <w:rsid w:val="00A926DC"/>
    <w:rsid w:val="00AA18C6"/>
    <w:rsid w:val="00AA5FA0"/>
    <w:rsid w:val="00AB132E"/>
    <w:rsid w:val="00AC6913"/>
    <w:rsid w:val="00AD2A0E"/>
    <w:rsid w:val="00AD63A4"/>
    <w:rsid w:val="00AE4903"/>
    <w:rsid w:val="00AE5BA7"/>
    <w:rsid w:val="00AF3544"/>
    <w:rsid w:val="00AF3821"/>
    <w:rsid w:val="00AF5473"/>
    <w:rsid w:val="00AF5F75"/>
    <w:rsid w:val="00B012E3"/>
    <w:rsid w:val="00B12DBE"/>
    <w:rsid w:val="00B17A0E"/>
    <w:rsid w:val="00B20092"/>
    <w:rsid w:val="00B2115E"/>
    <w:rsid w:val="00B212C0"/>
    <w:rsid w:val="00B278AB"/>
    <w:rsid w:val="00B314B1"/>
    <w:rsid w:val="00B32669"/>
    <w:rsid w:val="00B35098"/>
    <w:rsid w:val="00B3694B"/>
    <w:rsid w:val="00B37DF4"/>
    <w:rsid w:val="00B45DCB"/>
    <w:rsid w:val="00B53A6A"/>
    <w:rsid w:val="00B54D3A"/>
    <w:rsid w:val="00B60238"/>
    <w:rsid w:val="00B614E1"/>
    <w:rsid w:val="00B66DB6"/>
    <w:rsid w:val="00B67F39"/>
    <w:rsid w:val="00B768D6"/>
    <w:rsid w:val="00B82420"/>
    <w:rsid w:val="00B832B1"/>
    <w:rsid w:val="00B83753"/>
    <w:rsid w:val="00B83AE6"/>
    <w:rsid w:val="00B86EC8"/>
    <w:rsid w:val="00B95BC8"/>
    <w:rsid w:val="00BA2029"/>
    <w:rsid w:val="00BA4E40"/>
    <w:rsid w:val="00BB0E3A"/>
    <w:rsid w:val="00BB0EAF"/>
    <w:rsid w:val="00BB130C"/>
    <w:rsid w:val="00BB3C00"/>
    <w:rsid w:val="00BB6FF9"/>
    <w:rsid w:val="00BC1304"/>
    <w:rsid w:val="00BC1751"/>
    <w:rsid w:val="00BC3BC1"/>
    <w:rsid w:val="00BC7290"/>
    <w:rsid w:val="00BD5E0F"/>
    <w:rsid w:val="00BD7EED"/>
    <w:rsid w:val="00BE3B6D"/>
    <w:rsid w:val="00BE44EC"/>
    <w:rsid w:val="00BF28F8"/>
    <w:rsid w:val="00BF5559"/>
    <w:rsid w:val="00BF736F"/>
    <w:rsid w:val="00C03117"/>
    <w:rsid w:val="00C041E9"/>
    <w:rsid w:val="00C04C67"/>
    <w:rsid w:val="00C112B8"/>
    <w:rsid w:val="00C16818"/>
    <w:rsid w:val="00C22CEF"/>
    <w:rsid w:val="00C25B40"/>
    <w:rsid w:val="00C3688B"/>
    <w:rsid w:val="00C419A1"/>
    <w:rsid w:val="00C47C0F"/>
    <w:rsid w:val="00C60832"/>
    <w:rsid w:val="00C60845"/>
    <w:rsid w:val="00C62D74"/>
    <w:rsid w:val="00C636BB"/>
    <w:rsid w:val="00C6410C"/>
    <w:rsid w:val="00C65495"/>
    <w:rsid w:val="00C81EDE"/>
    <w:rsid w:val="00C821E6"/>
    <w:rsid w:val="00C90A9D"/>
    <w:rsid w:val="00C92CF3"/>
    <w:rsid w:val="00C950FD"/>
    <w:rsid w:val="00C951E0"/>
    <w:rsid w:val="00CA1D59"/>
    <w:rsid w:val="00CA4F80"/>
    <w:rsid w:val="00CB060B"/>
    <w:rsid w:val="00CB0962"/>
    <w:rsid w:val="00CC1F88"/>
    <w:rsid w:val="00CC5778"/>
    <w:rsid w:val="00CC66E1"/>
    <w:rsid w:val="00CD1642"/>
    <w:rsid w:val="00CD3E3B"/>
    <w:rsid w:val="00CD6E96"/>
    <w:rsid w:val="00CE4597"/>
    <w:rsid w:val="00CE4B6E"/>
    <w:rsid w:val="00CE70C1"/>
    <w:rsid w:val="00CF1F79"/>
    <w:rsid w:val="00D0655C"/>
    <w:rsid w:val="00D06F47"/>
    <w:rsid w:val="00D11FB6"/>
    <w:rsid w:val="00D123F4"/>
    <w:rsid w:val="00D17A06"/>
    <w:rsid w:val="00D224FC"/>
    <w:rsid w:val="00D274A7"/>
    <w:rsid w:val="00D3265E"/>
    <w:rsid w:val="00D36D5E"/>
    <w:rsid w:val="00D4150C"/>
    <w:rsid w:val="00D47A5D"/>
    <w:rsid w:val="00D509C6"/>
    <w:rsid w:val="00D51B2C"/>
    <w:rsid w:val="00D5225E"/>
    <w:rsid w:val="00D55096"/>
    <w:rsid w:val="00D61D2C"/>
    <w:rsid w:val="00D7042B"/>
    <w:rsid w:val="00D71386"/>
    <w:rsid w:val="00D73BC1"/>
    <w:rsid w:val="00D87802"/>
    <w:rsid w:val="00D90737"/>
    <w:rsid w:val="00D93F95"/>
    <w:rsid w:val="00D96EAE"/>
    <w:rsid w:val="00DA1BD7"/>
    <w:rsid w:val="00DA60AB"/>
    <w:rsid w:val="00DB59A8"/>
    <w:rsid w:val="00DC2910"/>
    <w:rsid w:val="00DC3767"/>
    <w:rsid w:val="00DD6282"/>
    <w:rsid w:val="00DE155B"/>
    <w:rsid w:val="00DE2CF6"/>
    <w:rsid w:val="00DE4889"/>
    <w:rsid w:val="00DF093F"/>
    <w:rsid w:val="00DF6A11"/>
    <w:rsid w:val="00E07B38"/>
    <w:rsid w:val="00E11D7D"/>
    <w:rsid w:val="00E1272A"/>
    <w:rsid w:val="00E147CC"/>
    <w:rsid w:val="00E23A74"/>
    <w:rsid w:val="00E27A81"/>
    <w:rsid w:val="00E33126"/>
    <w:rsid w:val="00E33B21"/>
    <w:rsid w:val="00E415A5"/>
    <w:rsid w:val="00E50A8F"/>
    <w:rsid w:val="00E50C28"/>
    <w:rsid w:val="00E5233D"/>
    <w:rsid w:val="00E523F1"/>
    <w:rsid w:val="00E60DD1"/>
    <w:rsid w:val="00E64A54"/>
    <w:rsid w:val="00E75490"/>
    <w:rsid w:val="00E75ED0"/>
    <w:rsid w:val="00E75F1F"/>
    <w:rsid w:val="00E83E67"/>
    <w:rsid w:val="00E86134"/>
    <w:rsid w:val="00E87581"/>
    <w:rsid w:val="00E8793A"/>
    <w:rsid w:val="00E932DB"/>
    <w:rsid w:val="00E93909"/>
    <w:rsid w:val="00E93BE6"/>
    <w:rsid w:val="00E97E01"/>
    <w:rsid w:val="00EC3731"/>
    <w:rsid w:val="00EC67D0"/>
    <w:rsid w:val="00ED12F6"/>
    <w:rsid w:val="00ED190B"/>
    <w:rsid w:val="00ED23B8"/>
    <w:rsid w:val="00ED509D"/>
    <w:rsid w:val="00EE4AD8"/>
    <w:rsid w:val="00EE5A1C"/>
    <w:rsid w:val="00EE68FE"/>
    <w:rsid w:val="00EF07C9"/>
    <w:rsid w:val="00EF4D33"/>
    <w:rsid w:val="00F00FE9"/>
    <w:rsid w:val="00F0345E"/>
    <w:rsid w:val="00F176C0"/>
    <w:rsid w:val="00F22DB9"/>
    <w:rsid w:val="00F230E9"/>
    <w:rsid w:val="00F243B5"/>
    <w:rsid w:val="00F24D13"/>
    <w:rsid w:val="00F26CC3"/>
    <w:rsid w:val="00F33B9D"/>
    <w:rsid w:val="00F34C90"/>
    <w:rsid w:val="00F36CFA"/>
    <w:rsid w:val="00F404DE"/>
    <w:rsid w:val="00F425BA"/>
    <w:rsid w:val="00F51119"/>
    <w:rsid w:val="00F521F5"/>
    <w:rsid w:val="00F60E47"/>
    <w:rsid w:val="00F61A5A"/>
    <w:rsid w:val="00F657A8"/>
    <w:rsid w:val="00F66E84"/>
    <w:rsid w:val="00F7033E"/>
    <w:rsid w:val="00F70B5A"/>
    <w:rsid w:val="00F712B2"/>
    <w:rsid w:val="00F72FF2"/>
    <w:rsid w:val="00F73ED5"/>
    <w:rsid w:val="00F849B2"/>
    <w:rsid w:val="00F8557D"/>
    <w:rsid w:val="00F85CFA"/>
    <w:rsid w:val="00F90A46"/>
    <w:rsid w:val="00FA0324"/>
    <w:rsid w:val="00FA056D"/>
    <w:rsid w:val="00FA5C7E"/>
    <w:rsid w:val="00FB2235"/>
    <w:rsid w:val="00FB2788"/>
    <w:rsid w:val="00FB59A1"/>
    <w:rsid w:val="00FB6E03"/>
    <w:rsid w:val="00FB7213"/>
    <w:rsid w:val="00FC011B"/>
    <w:rsid w:val="00FC35AF"/>
    <w:rsid w:val="00FC4017"/>
    <w:rsid w:val="00FE4C7B"/>
    <w:rsid w:val="00FE6D2D"/>
    <w:rsid w:val="00FF0124"/>
    <w:rsid w:val="00FF161E"/>
    <w:rsid w:val="00FF443A"/>
    <w:rsid w:val="00FF48A6"/>
    <w:rsid w:val="00FF71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0E2BB"/>
  <w15:chartTrackingRefBased/>
  <w15:docId w15:val="{759DB4AA-8B29-48F1-B9F2-E785E3EE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043A8"/>
  </w:style>
  <w:style w:type="paragraph" w:styleId="Nadpis1">
    <w:name w:val="heading 1"/>
    <w:basedOn w:val="Normln"/>
    <w:next w:val="Normln"/>
    <w:link w:val="Nadpis1Char"/>
    <w:uiPriority w:val="7"/>
    <w:qFormat/>
    <w:rsid w:val="00085287"/>
    <w:pPr>
      <w:keepNext/>
      <w:keepLines/>
      <w:spacing w:before="200" w:after="200" w:line="276" w:lineRule="auto"/>
      <w:ind w:left="432" w:hanging="432"/>
      <w:jc w:val="both"/>
      <w:outlineLvl w:val="0"/>
    </w:pPr>
    <w:rPr>
      <w:rFonts w:ascii="Times New Roman" w:eastAsiaTheme="majorEastAsia" w:hAnsi="Times New Roman" w:cs="Times New Roman"/>
      <w:b/>
      <w:sz w:val="28"/>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7"/>
    <w:rsid w:val="00085287"/>
    <w:rPr>
      <w:rFonts w:ascii="Times New Roman" w:eastAsiaTheme="majorEastAsia" w:hAnsi="Times New Roman" w:cs="Times New Roman"/>
      <w:b/>
      <w:sz w:val="28"/>
      <w:szCs w:val="32"/>
      <w:lang w:eastAsia="cs-CZ"/>
    </w:r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5"/>
    <w:qFormat/>
    <w:rsid w:val="00085287"/>
    <w:pPr>
      <w:ind w:left="720"/>
      <w:contextualSpacing/>
    </w:pPr>
  </w:style>
  <w:style w:type="paragraph" w:styleId="Obsah1">
    <w:name w:val="toc 1"/>
    <w:basedOn w:val="Normln"/>
    <w:next w:val="Normln"/>
    <w:autoRedefine/>
    <w:uiPriority w:val="39"/>
    <w:unhideWhenUsed/>
    <w:rsid w:val="00085287"/>
    <w:pPr>
      <w:spacing w:after="100" w:line="256" w:lineRule="auto"/>
    </w:pPr>
    <w:rPr>
      <w:lang w:val="en-GB"/>
    </w:rPr>
  </w:style>
  <w:style w:type="paragraph" w:styleId="Nadpisobsahu">
    <w:name w:val="TOC Heading"/>
    <w:basedOn w:val="Nadpis1"/>
    <w:next w:val="Normln"/>
    <w:uiPriority w:val="39"/>
    <w:unhideWhenUsed/>
    <w:qFormat/>
    <w:rsid w:val="00085287"/>
    <w:pPr>
      <w:outlineLvl w:val="9"/>
    </w:pPr>
  </w:style>
  <w:style w:type="character" w:customStyle="1" w:styleId="Text1Char">
    <w:name w:val="Text 1 Char"/>
    <w:link w:val="Text1"/>
    <w:locked/>
    <w:rsid w:val="00085287"/>
    <w:rPr>
      <w:rFonts w:ascii="Times New Roman" w:eastAsia="Times New Roman" w:hAnsi="Times New Roman" w:cs="Times New Roman"/>
      <w:sz w:val="24"/>
      <w:szCs w:val="20"/>
    </w:rPr>
  </w:style>
  <w:style w:type="paragraph" w:customStyle="1" w:styleId="Text1">
    <w:name w:val="Text 1"/>
    <w:basedOn w:val="Normln"/>
    <w:link w:val="Text1Char"/>
    <w:rsid w:val="00085287"/>
    <w:pPr>
      <w:spacing w:after="240" w:line="240" w:lineRule="auto"/>
      <w:ind w:left="482"/>
      <w:jc w:val="both"/>
    </w:pPr>
    <w:rPr>
      <w:rFonts w:ascii="Times New Roman" w:eastAsia="Times New Roman" w:hAnsi="Times New Roman" w:cs="Times New Roman"/>
      <w:sz w:val="24"/>
      <w:szCs w:val="20"/>
    </w:rPr>
  </w:style>
  <w:style w:type="paragraph" w:styleId="Seznamsodrkami">
    <w:name w:val="List Bullet"/>
    <w:basedOn w:val="Normln"/>
    <w:unhideWhenUsed/>
    <w:rsid w:val="00085287"/>
    <w:pPr>
      <w:numPr>
        <w:numId w:val="3"/>
      </w:numPr>
      <w:spacing w:after="240" w:line="240" w:lineRule="auto"/>
      <w:jc w:val="both"/>
    </w:pPr>
    <w:rPr>
      <w:rFonts w:ascii="Times New Roman" w:eastAsia="Times New Roman" w:hAnsi="Times New Roman" w:cs="Times New Roman"/>
      <w:sz w:val="24"/>
      <w:szCs w:val="20"/>
      <w:lang w:eastAsia="en-GB"/>
    </w:rPr>
  </w:style>
  <w:style w:type="paragraph" w:customStyle="1" w:styleId="ListBulletLevel2">
    <w:name w:val="List Bullet (Level 2)"/>
    <w:basedOn w:val="Normln"/>
    <w:rsid w:val="00085287"/>
    <w:pPr>
      <w:numPr>
        <w:ilvl w:val="1"/>
        <w:numId w:val="3"/>
      </w:numPr>
      <w:spacing w:after="240" w:line="240" w:lineRule="auto"/>
      <w:jc w:val="both"/>
    </w:pPr>
    <w:rPr>
      <w:rFonts w:ascii="Times New Roman" w:eastAsia="Times New Roman" w:hAnsi="Times New Roman" w:cs="Times New Roman"/>
      <w:sz w:val="24"/>
      <w:szCs w:val="20"/>
      <w:lang w:eastAsia="en-GB"/>
    </w:rPr>
  </w:style>
  <w:style w:type="paragraph" w:customStyle="1" w:styleId="ListBulletLevel3">
    <w:name w:val="List Bullet (Level 3)"/>
    <w:basedOn w:val="Normln"/>
    <w:semiHidden/>
    <w:rsid w:val="00085287"/>
    <w:pPr>
      <w:numPr>
        <w:ilvl w:val="2"/>
        <w:numId w:val="3"/>
      </w:numPr>
      <w:spacing w:after="240" w:line="240" w:lineRule="auto"/>
      <w:jc w:val="both"/>
    </w:pPr>
    <w:rPr>
      <w:rFonts w:ascii="Times New Roman" w:eastAsia="Times New Roman" w:hAnsi="Times New Roman" w:cs="Times New Roman"/>
      <w:sz w:val="24"/>
      <w:szCs w:val="20"/>
      <w:lang w:eastAsia="en-GB"/>
    </w:rPr>
  </w:style>
  <w:style w:type="paragraph" w:customStyle="1" w:styleId="ListBulletLevel4">
    <w:name w:val="List Bullet (Level 4)"/>
    <w:basedOn w:val="Normln"/>
    <w:semiHidden/>
    <w:rsid w:val="00085287"/>
    <w:pPr>
      <w:numPr>
        <w:ilvl w:val="3"/>
        <w:numId w:val="3"/>
      </w:numPr>
      <w:spacing w:after="240" w:line="240" w:lineRule="auto"/>
      <w:jc w:val="both"/>
    </w:pPr>
    <w:rPr>
      <w:rFonts w:ascii="Times New Roman" w:eastAsia="Times New Roman" w:hAnsi="Times New Roman" w:cs="Times New Roman"/>
      <w:sz w:val="24"/>
      <w:szCs w:val="20"/>
      <w:lang w:eastAsia="en-GB"/>
    </w:rPr>
  </w:style>
  <w:style w:type="paragraph" w:styleId="Zhlav">
    <w:name w:val="header"/>
    <w:basedOn w:val="Normln"/>
    <w:link w:val="ZhlavChar"/>
    <w:uiPriority w:val="99"/>
    <w:unhideWhenUsed/>
    <w:rsid w:val="000852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5287"/>
  </w:style>
  <w:style w:type="paragraph" w:styleId="Zpat">
    <w:name w:val="footer"/>
    <w:basedOn w:val="Normln"/>
    <w:link w:val="ZpatChar"/>
    <w:uiPriority w:val="99"/>
    <w:unhideWhenUsed/>
    <w:rsid w:val="00085287"/>
    <w:pPr>
      <w:tabs>
        <w:tab w:val="center" w:pos="4536"/>
        <w:tab w:val="right" w:pos="9072"/>
      </w:tabs>
      <w:spacing w:after="0" w:line="240" w:lineRule="auto"/>
    </w:pPr>
  </w:style>
  <w:style w:type="character" w:customStyle="1" w:styleId="ZpatChar">
    <w:name w:val="Zápatí Char"/>
    <w:basedOn w:val="Standardnpsmoodstavce"/>
    <w:link w:val="Zpat"/>
    <w:uiPriority w:val="99"/>
    <w:rsid w:val="00085287"/>
  </w:style>
  <w:style w:type="paragraph" w:styleId="Textpoznpodarou">
    <w:name w:val="footnote text"/>
    <w:aliases w:val="Fußnotentext Char,fn,Footnote ak,FußnotentextE,Footnote ak Carattere,Footnote,Note de bas de page Car Car,Note de bas de page Car Car Car Car Car,Note de bas de page Car Car Car Car,Note de bas de page Car Car Car,stile 1,f,o"/>
    <w:basedOn w:val="Normln"/>
    <w:link w:val="TextpoznpodarouChar"/>
    <w:uiPriority w:val="99"/>
    <w:unhideWhenUsed/>
    <w:qFormat/>
    <w:rsid w:val="00FB2235"/>
    <w:pPr>
      <w:spacing w:after="0" w:line="240" w:lineRule="auto"/>
    </w:pPr>
    <w:rPr>
      <w:sz w:val="20"/>
      <w:szCs w:val="20"/>
      <w:lang w:val="en-GB"/>
    </w:rPr>
  </w:style>
  <w:style w:type="character" w:customStyle="1" w:styleId="TextpoznpodarouChar">
    <w:name w:val="Text pozn. pod čarou Char"/>
    <w:aliases w:val="Fußnotentext Char Char,fn Char,Footnote ak Char,FußnotentextE Char,Footnote ak Carattere Char,Footnote Char,Note de bas de page Car Car Char,Note de bas de page Car Car Car Car Car Char,Note de bas de page Car Car Car Car Char"/>
    <w:basedOn w:val="Standardnpsmoodstavce"/>
    <w:link w:val="Textpoznpodarou"/>
    <w:uiPriority w:val="99"/>
    <w:qFormat/>
    <w:rsid w:val="00FB2235"/>
    <w:rPr>
      <w:sz w:val="20"/>
      <w:szCs w:val="20"/>
      <w:lang w:val="en-GB"/>
    </w:rPr>
  </w:style>
  <w:style w:type="character" w:styleId="Znakapoznpodarou">
    <w:name w:val="footnote reference"/>
    <w:aliases w:val="number,Footnote reference number,Footnote symbol,note TESI,-E Fußnotenzeichen,SUPERS,Footnote Reference Superscript,stylish,Odwołanie przypisu,Times 10 Point,Exposant 3 Point,Voetnootverwijzing,EN Footnote Reference,Ref,BVI fnr"/>
    <w:basedOn w:val="Standardnpsmoodstavce"/>
    <w:link w:val="FootnotesymbolCarZchn"/>
    <w:uiPriority w:val="99"/>
    <w:unhideWhenUsed/>
    <w:qFormat/>
    <w:rsid w:val="00FB2235"/>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FB2235"/>
    <w:pPr>
      <w:spacing w:line="240" w:lineRule="exact"/>
      <w:jc w:val="both"/>
    </w:pPr>
    <w:rPr>
      <w:vertAlign w:val="superscript"/>
    </w:rPr>
  </w:style>
  <w:style w:type="table" w:styleId="Mkatabulky">
    <w:name w:val="Table Grid"/>
    <w:basedOn w:val="Normlntabulka"/>
    <w:uiPriority w:val="39"/>
    <w:rsid w:val="00316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83753"/>
    <w:rPr>
      <w:color w:val="0563C1" w:themeColor="hyperlink"/>
      <w:u w:val="single"/>
    </w:rPr>
  </w:style>
  <w:style w:type="character" w:styleId="Odkaznakoment">
    <w:name w:val="annotation reference"/>
    <w:basedOn w:val="Standardnpsmoodstavce"/>
    <w:uiPriority w:val="99"/>
    <w:semiHidden/>
    <w:unhideWhenUsed/>
    <w:rsid w:val="009E1AF8"/>
    <w:rPr>
      <w:sz w:val="16"/>
      <w:szCs w:val="16"/>
    </w:rPr>
  </w:style>
  <w:style w:type="paragraph" w:styleId="Textkomente">
    <w:name w:val="annotation text"/>
    <w:basedOn w:val="Normln"/>
    <w:link w:val="TextkomenteChar"/>
    <w:uiPriority w:val="99"/>
    <w:semiHidden/>
    <w:unhideWhenUsed/>
    <w:rsid w:val="009E1AF8"/>
    <w:pPr>
      <w:spacing w:line="240" w:lineRule="auto"/>
    </w:pPr>
    <w:rPr>
      <w:sz w:val="20"/>
      <w:szCs w:val="20"/>
    </w:rPr>
  </w:style>
  <w:style w:type="character" w:customStyle="1" w:styleId="TextkomenteChar">
    <w:name w:val="Text komentáře Char"/>
    <w:basedOn w:val="Standardnpsmoodstavce"/>
    <w:link w:val="Textkomente"/>
    <w:uiPriority w:val="99"/>
    <w:semiHidden/>
    <w:rsid w:val="009E1AF8"/>
    <w:rPr>
      <w:sz w:val="20"/>
      <w:szCs w:val="20"/>
    </w:rPr>
  </w:style>
  <w:style w:type="paragraph" w:styleId="Pedmtkomente">
    <w:name w:val="annotation subject"/>
    <w:basedOn w:val="Textkomente"/>
    <w:next w:val="Textkomente"/>
    <w:link w:val="PedmtkomenteChar"/>
    <w:uiPriority w:val="99"/>
    <w:semiHidden/>
    <w:unhideWhenUsed/>
    <w:rsid w:val="009E1AF8"/>
    <w:rPr>
      <w:b/>
      <w:bCs/>
    </w:rPr>
  </w:style>
  <w:style w:type="character" w:customStyle="1" w:styleId="PedmtkomenteChar">
    <w:name w:val="Předmět komentáře Char"/>
    <w:basedOn w:val="TextkomenteChar"/>
    <w:link w:val="Pedmtkomente"/>
    <w:uiPriority w:val="99"/>
    <w:semiHidden/>
    <w:rsid w:val="009E1AF8"/>
    <w:rPr>
      <w:b/>
      <w:bCs/>
      <w:sz w:val="20"/>
      <w:szCs w:val="20"/>
    </w:rPr>
  </w:style>
  <w:style w:type="paragraph" w:styleId="Textbubliny">
    <w:name w:val="Balloon Text"/>
    <w:basedOn w:val="Normln"/>
    <w:link w:val="TextbublinyChar"/>
    <w:uiPriority w:val="99"/>
    <w:semiHidden/>
    <w:unhideWhenUsed/>
    <w:rsid w:val="009E1AF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AF8"/>
    <w:rPr>
      <w:rFonts w:ascii="Segoe UI" w:hAnsi="Segoe UI" w:cs="Segoe UI"/>
      <w:sz w:val="18"/>
      <w:szCs w:val="18"/>
    </w:rPr>
  </w:style>
  <w:style w:type="paragraph" w:customStyle="1" w:styleId="Default">
    <w:name w:val="Default"/>
    <w:rsid w:val="00450169"/>
    <w:pPr>
      <w:autoSpaceDE w:val="0"/>
      <w:autoSpaceDN w:val="0"/>
      <w:adjustRightInd w:val="0"/>
      <w:spacing w:after="0" w:line="240" w:lineRule="auto"/>
    </w:pPr>
    <w:rPr>
      <w:rFonts w:ascii="TimesNewRomanPSMT" w:hAnsi="TimesNewRomanPSMT" w:cs="TimesNewRomanPSMT"/>
      <w:color w:val="000000"/>
      <w:sz w:val="24"/>
      <w:szCs w:val="24"/>
    </w:rPr>
  </w:style>
  <w:style w:type="paragraph" w:customStyle="1" w:styleId="Question">
    <w:name w:val="Question"/>
    <w:basedOn w:val="Normln"/>
    <w:rsid w:val="00CC66E1"/>
    <w:pPr>
      <w:spacing w:after="240" w:line="240" w:lineRule="auto"/>
    </w:pPr>
    <w:rPr>
      <w:rFonts w:ascii="Times New Roman" w:hAnsi="Times New Roman" w:cs="Times New Roman"/>
      <w:b/>
      <w:bCs/>
      <w:sz w:val="20"/>
      <w:szCs w:val="20"/>
      <w:lang w:eastAsia="zh-CN"/>
    </w:rPr>
  </w:style>
  <w:style w:type="paragraph" w:customStyle="1" w:styleId="Footnotenumber">
    <w:name w:val="Footnote number"/>
    <w:aliases w:val="fr"/>
    <w:basedOn w:val="Normln"/>
    <w:rsid w:val="00123940"/>
    <w:pPr>
      <w:spacing w:line="240" w:lineRule="exact"/>
    </w:pPr>
    <w:rPr>
      <w:vertAlign w:val="superscript"/>
    </w:rPr>
  </w:style>
  <w:style w:type="paragraph" w:customStyle="1" w:styleId="EPComma">
    <w:name w:val="EPComma"/>
    <w:basedOn w:val="Normln"/>
    <w:rsid w:val="00BE44EC"/>
    <w:pPr>
      <w:widowControl w:val="0"/>
      <w:spacing w:before="480" w:after="240" w:line="240" w:lineRule="auto"/>
    </w:pPr>
    <w:rPr>
      <w:rFonts w:ascii="Times New Roman" w:eastAsia="Times New Roman" w:hAnsi="Times New Roman" w:cs="Times New Roman"/>
      <w:sz w:val="24"/>
      <w:szCs w:val="20"/>
      <w:lang w:eastAsia="en-GB"/>
    </w:rPr>
  </w:style>
  <w:style w:type="paragraph" w:customStyle="1" w:styleId="NormalBold">
    <w:name w:val="NormalBold"/>
    <w:basedOn w:val="Normln"/>
    <w:rsid w:val="00BE44EC"/>
    <w:pPr>
      <w:widowControl w:val="0"/>
      <w:spacing w:after="0" w:line="240" w:lineRule="auto"/>
    </w:pPr>
    <w:rPr>
      <w:rFonts w:ascii="Times New Roman" w:eastAsia="Times New Roman" w:hAnsi="Times New Roman" w:cs="Times New Roman"/>
      <w:b/>
      <w:sz w:val="24"/>
      <w:szCs w:val="20"/>
      <w:lang w:eastAsia="en-GB"/>
    </w:rPr>
  </w:style>
  <w:style w:type="paragraph" w:customStyle="1" w:styleId="NormalHanging12a">
    <w:name w:val="NormalHanging12a"/>
    <w:basedOn w:val="Normln"/>
    <w:link w:val="NormalHanging12aChar"/>
    <w:rsid w:val="00BE44EC"/>
    <w:pPr>
      <w:widowControl w:val="0"/>
      <w:spacing w:after="240" w:line="240" w:lineRule="auto"/>
      <w:ind w:left="567" w:hanging="567"/>
    </w:pPr>
    <w:rPr>
      <w:rFonts w:ascii="Times New Roman" w:eastAsia="Times New Roman" w:hAnsi="Times New Roman" w:cs="Times New Roman"/>
      <w:sz w:val="24"/>
      <w:szCs w:val="20"/>
      <w:lang w:eastAsia="en-GB"/>
    </w:rPr>
  </w:style>
  <w:style w:type="character" w:styleId="Siln">
    <w:name w:val="Strong"/>
    <w:basedOn w:val="Standardnpsmoodstavce"/>
    <w:uiPriority w:val="22"/>
    <w:qFormat/>
    <w:rsid w:val="00BE44EC"/>
    <w:rPr>
      <w:b/>
      <w:bCs/>
    </w:rPr>
  </w:style>
  <w:style w:type="character" w:customStyle="1" w:styleId="NormalHanging12aChar">
    <w:name w:val="NormalHanging12a Char"/>
    <w:link w:val="NormalHanging12a"/>
    <w:locked/>
    <w:rsid w:val="00BE44EC"/>
    <w:rPr>
      <w:rFonts w:ascii="Times New Roman" w:eastAsia="Times New Roman" w:hAnsi="Times New Roman" w:cs="Times New Roman"/>
      <w:sz w:val="24"/>
      <w:szCs w:val="20"/>
      <w:lang w:eastAsia="en-GB"/>
    </w:rPr>
  </w:style>
  <w:style w:type="character" w:styleId="Sledovanodkaz">
    <w:name w:val="FollowedHyperlink"/>
    <w:basedOn w:val="Standardnpsmoodstavce"/>
    <w:uiPriority w:val="99"/>
    <w:semiHidden/>
    <w:unhideWhenUsed/>
    <w:rsid w:val="00614D8F"/>
    <w:rPr>
      <w:color w:val="954F72" w:themeColor="followedHyperlink"/>
      <w:u w:val="single"/>
    </w:rPr>
  </w:style>
  <w:style w:type="paragraph" w:styleId="Normlnweb">
    <w:name w:val="Normal (Web)"/>
    <w:basedOn w:val="Normln"/>
    <w:uiPriority w:val="99"/>
    <w:unhideWhenUsed/>
    <w:rsid w:val="0092024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5"/>
    <w:qFormat/>
    <w:locked/>
    <w:rsid w:val="00F425BA"/>
  </w:style>
  <w:style w:type="paragraph" w:styleId="Podnadpis">
    <w:name w:val="Subtitle"/>
    <w:basedOn w:val="Normln"/>
    <w:next w:val="Normln"/>
    <w:link w:val="PodnadpisChar"/>
    <w:uiPriority w:val="11"/>
    <w:qFormat/>
    <w:rsid w:val="008C5FBF"/>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C5FBF"/>
    <w:rPr>
      <w:rFonts w:eastAsiaTheme="minorEastAsia"/>
      <w:color w:val="5A5A5A" w:themeColor="text1" w:themeTint="A5"/>
      <w:spacing w:val="15"/>
    </w:rPr>
  </w:style>
  <w:style w:type="character" w:styleId="Zdraznn">
    <w:name w:val="Emphasis"/>
    <w:basedOn w:val="Standardnpsmoodstavce"/>
    <w:uiPriority w:val="20"/>
    <w:qFormat/>
    <w:rsid w:val="007A1AFB"/>
    <w:rPr>
      <w:i/>
      <w:iCs/>
    </w:rPr>
  </w:style>
  <w:style w:type="character" w:customStyle="1" w:styleId="acopre">
    <w:name w:val="acopre"/>
    <w:basedOn w:val="Standardnpsmoodstavce"/>
    <w:rsid w:val="0082629A"/>
  </w:style>
  <w:style w:type="paragraph" w:styleId="Bezmezer">
    <w:name w:val="No Spacing"/>
    <w:uiPriority w:val="1"/>
    <w:qFormat/>
    <w:rsid w:val="00F849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83786">
      <w:bodyDiv w:val="1"/>
      <w:marLeft w:val="0"/>
      <w:marRight w:val="0"/>
      <w:marTop w:val="0"/>
      <w:marBottom w:val="0"/>
      <w:divBdr>
        <w:top w:val="none" w:sz="0" w:space="0" w:color="auto"/>
        <w:left w:val="none" w:sz="0" w:space="0" w:color="auto"/>
        <w:bottom w:val="none" w:sz="0" w:space="0" w:color="auto"/>
        <w:right w:val="none" w:sz="0" w:space="0" w:color="auto"/>
      </w:divBdr>
    </w:div>
    <w:div w:id="116416087">
      <w:bodyDiv w:val="1"/>
      <w:marLeft w:val="0"/>
      <w:marRight w:val="0"/>
      <w:marTop w:val="0"/>
      <w:marBottom w:val="0"/>
      <w:divBdr>
        <w:top w:val="none" w:sz="0" w:space="0" w:color="auto"/>
        <w:left w:val="none" w:sz="0" w:space="0" w:color="auto"/>
        <w:bottom w:val="none" w:sz="0" w:space="0" w:color="auto"/>
        <w:right w:val="none" w:sz="0" w:space="0" w:color="auto"/>
      </w:divBdr>
    </w:div>
    <w:div w:id="148644485">
      <w:bodyDiv w:val="1"/>
      <w:marLeft w:val="0"/>
      <w:marRight w:val="0"/>
      <w:marTop w:val="0"/>
      <w:marBottom w:val="0"/>
      <w:divBdr>
        <w:top w:val="none" w:sz="0" w:space="0" w:color="auto"/>
        <w:left w:val="none" w:sz="0" w:space="0" w:color="auto"/>
        <w:bottom w:val="none" w:sz="0" w:space="0" w:color="auto"/>
        <w:right w:val="none" w:sz="0" w:space="0" w:color="auto"/>
      </w:divBdr>
    </w:div>
    <w:div w:id="155923390">
      <w:bodyDiv w:val="1"/>
      <w:marLeft w:val="0"/>
      <w:marRight w:val="0"/>
      <w:marTop w:val="0"/>
      <w:marBottom w:val="0"/>
      <w:divBdr>
        <w:top w:val="none" w:sz="0" w:space="0" w:color="auto"/>
        <w:left w:val="none" w:sz="0" w:space="0" w:color="auto"/>
        <w:bottom w:val="none" w:sz="0" w:space="0" w:color="auto"/>
        <w:right w:val="none" w:sz="0" w:space="0" w:color="auto"/>
      </w:divBdr>
    </w:div>
    <w:div w:id="173031408">
      <w:bodyDiv w:val="1"/>
      <w:marLeft w:val="0"/>
      <w:marRight w:val="0"/>
      <w:marTop w:val="0"/>
      <w:marBottom w:val="0"/>
      <w:divBdr>
        <w:top w:val="none" w:sz="0" w:space="0" w:color="auto"/>
        <w:left w:val="none" w:sz="0" w:space="0" w:color="auto"/>
        <w:bottom w:val="none" w:sz="0" w:space="0" w:color="auto"/>
        <w:right w:val="none" w:sz="0" w:space="0" w:color="auto"/>
      </w:divBdr>
    </w:div>
    <w:div w:id="562176204">
      <w:bodyDiv w:val="1"/>
      <w:marLeft w:val="0"/>
      <w:marRight w:val="0"/>
      <w:marTop w:val="0"/>
      <w:marBottom w:val="0"/>
      <w:divBdr>
        <w:top w:val="none" w:sz="0" w:space="0" w:color="auto"/>
        <w:left w:val="none" w:sz="0" w:space="0" w:color="auto"/>
        <w:bottom w:val="none" w:sz="0" w:space="0" w:color="auto"/>
        <w:right w:val="none" w:sz="0" w:space="0" w:color="auto"/>
      </w:divBdr>
      <w:divsChild>
        <w:div w:id="1843739758">
          <w:marLeft w:val="0"/>
          <w:marRight w:val="0"/>
          <w:marTop w:val="0"/>
          <w:marBottom w:val="420"/>
          <w:divBdr>
            <w:top w:val="none" w:sz="0" w:space="0" w:color="auto"/>
            <w:left w:val="none" w:sz="0" w:space="0" w:color="auto"/>
            <w:bottom w:val="none" w:sz="0" w:space="0" w:color="auto"/>
            <w:right w:val="none" w:sz="0" w:space="0" w:color="auto"/>
          </w:divBdr>
          <w:divsChild>
            <w:div w:id="1756050859">
              <w:marLeft w:val="0"/>
              <w:marRight w:val="0"/>
              <w:marTop w:val="0"/>
              <w:marBottom w:val="0"/>
              <w:divBdr>
                <w:top w:val="none" w:sz="0" w:space="0" w:color="auto"/>
                <w:left w:val="none" w:sz="0" w:space="0" w:color="auto"/>
                <w:bottom w:val="none" w:sz="0" w:space="0" w:color="auto"/>
                <w:right w:val="none" w:sz="0" w:space="0" w:color="auto"/>
              </w:divBdr>
              <w:divsChild>
                <w:div w:id="1936667778">
                  <w:marLeft w:val="0"/>
                  <w:marRight w:val="0"/>
                  <w:marTop w:val="0"/>
                  <w:marBottom w:val="0"/>
                  <w:divBdr>
                    <w:top w:val="none" w:sz="0" w:space="0" w:color="auto"/>
                    <w:left w:val="none" w:sz="0" w:space="0" w:color="auto"/>
                    <w:bottom w:val="none" w:sz="0" w:space="0" w:color="auto"/>
                    <w:right w:val="none" w:sz="0" w:space="0" w:color="auto"/>
                  </w:divBdr>
                  <w:divsChild>
                    <w:div w:id="133438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488841">
      <w:bodyDiv w:val="1"/>
      <w:marLeft w:val="0"/>
      <w:marRight w:val="0"/>
      <w:marTop w:val="0"/>
      <w:marBottom w:val="0"/>
      <w:divBdr>
        <w:top w:val="none" w:sz="0" w:space="0" w:color="auto"/>
        <w:left w:val="none" w:sz="0" w:space="0" w:color="auto"/>
        <w:bottom w:val="none" w:sz="0" w:space="0" w:color="auto"/>
        <w:right w:val="none" w:sz="0" w:space="0" w:color="auto"/>
      </w:divBdr>
    </w:div>
    <w:div w:id="607006356">
      <w:bodyDiv w:val="1"/>
      <w:marLeft w:val="0"/>
      <w:marRight w:val="0"/>
      <w:marTop w:val="0"/>
      <w:marBottom w:val="0"/>
      <w:divBdr>
        <w:top w:val="none" w:sz="0" w:space="0" w:color="auto"/>
        <w:left w:val="none" w:sz="0" w:space="0" w:color="auto"/>
        <w:bottom w:val="none" w:sz="0" w:space="0" w:color="auto"/>
        <w:right w:val="none" w:sz="0" w:space="0" w:color="auto"/>
      </w:divBdr>
    </w:div>
    <w:div w:id="632565926">
      <w:bodyDiv w:val="1"/>
      <w:marLeft w:val="0"/>
      <w:marRight w:val="0"/>
      <w:marTop w:val="0"/>
      <w:marBottom w:val="0"/>
      <w:divBdr>
        <w:top w:val="none" w:sz="0" w:space="0" w:color="auto"/>
        <w:left w:val="none" w:sz="0" w:space="0" w:color="auto"/>
        <w:bottom w:val="none" w:sz="0" w:space="0" w:color="auto"/>
        <w:right w:val="none" w:sz="0" w:space="0" w:color="auto"/>
      </w:divBdr>
    </w:div>
    <w:div w:id="732461945">
      <w:bodyDiv w:val="1"/>
      <w:marLeft w:val="0"/>
      <w:marRight w:val="0"/>
      <w:marTop w:val="0"/>
      <w:marBottom w:val="0"/>
      <w:divBdr>
        <w:top w:val="none" w:sz="0" w:space="0" w:color="auto"/>
        <w:left w:val="none" w:sz="0" w:space="0" w:color="auto"/>
        <w:bottom w:val="none" w:sz="0" w:space="0" w:color="auto"/>
        <w:right w:val="none" w:sz="0" w:space="0" w:color="auto"/>
      </w:divBdr>
    </w:div>
    <w:div w:id="1047527890">
      <w:bodyDiv w:val="1"/>
      <w:marLeft w:val="0"/>
      <w:marRight w:val="0"/>
      <w:marTop w:val="0"/>
      <w:marBottom w:val="0"/>
      <w:divBdr>
        <w:top w:val="none" w:sz="0" w:space="0" w:color="auto"/>
        <w:left w:val="none" w:sz="0" w:space="0" w:color="auto"/>
        <w:bottom w:val="none" w:sz="0" w:space="0" w:color="auto"/>
        <w:right w:val="none" w:sz="0" w:space="0" w:color="auto"/>
      </w:divBdr>
    </w:div>
    <w:div w:id="1122848287">
      <w:bodyDiv w:val="1"/>
      <w:marLeft w:val="0"/>
      <w:marRight w:val="0"/>
      <w:marTop w:val="0"/>
      <w:marBottom w:val="0"/>
      <w:divBdr>
        <w:top w:val="none" w:sz="0" w:space="0" w:color="auto"/>
        <w:left w:val="none" w:sz="0" w:space="0" w:color="auto"/>
        <w:bottom w:val="none" w:sz="0" w:space="0" w:color="auto"/>
        <w:right w:val="none" w:sz="0" w:space="0" w:color="auto"/>
      </w:divBdr>
    </w:div>
    <w:div w:id="1525439798">
      <w:bodyDiv w:val="1"/>
      <w:marLeft w:val="0"/>
      <w:marRight w:val="0"/>
      <w:marTop w:val="0"/>
      <w:marBottom w:val="0"/>
      <w:divBdr>
        <w:top w:val="none" w:sz="0" w:space="0" w:color="auto"/>
        <w:left w:val="none" w:sz="0" w:space="0" w:color="auto"/>
        <w:bottom w:val="none" w:sz="0" w:space="0" w:color="auto"/>
        <w:right w:val="none" w:sz="0" w:space="0" w:color="auto"/>
      </w:divBdr>
    </w:div>
    <w:div w:id="1675690506">
      <w:bodyDiv w:val="1"/>
      <w:marLeft w:val="0"/>
      <w:marRight w:val="0"/>
      <w:marTop w:val="0"/>
      <w:marBottom w:val="0"/>
      <w:divBdr>
        <w:top w:val="none" w:sz="0" w:space="0" w:color="auto"/>
        <w:left w:val="none" w:sz="0" w:space="0" w:color="auto"/>
        <w:bottom w:val="none" w:sz="0" w:space="0" w:color="auto"/>
        <w:right w:val="none" w:sz="0" w:space="0" w:color="auto"/>
      </w:divBdr>
    </w:div>
    <w:div w:id="1696346832">
      <w:bodyDiv w:val="1"/>
      <w:marLeft w:val="0"/>
      <w:marRight w:val="0"/>
      <w:marTop w:val="0"/>
      <w:marBottom w:val="0"/>
      <w:divBdr>
        <w:top w:val="none" w:sz="0" w:space="0" w:color="auto"/>
        <w:left w:val="none" w:sz="0" w:space="0" w:color="auto"/>
        <w:bottom w:val="none" w:sz="0" w:space="0" w:color="auto"/>
        <w:right w:val="none" w:sz="0" w:space="0" w:color="auto"/>
      </w:divBdr>
      <w:divsChild>
        <w:div w:id="1956711978">
          <w:marLeft w:val="0"/>
          <w:marRight w:val="0"/>
          <w:marTop w:val="280"/>
          <w:marBottom w:val="280"/>
          <w:divBdr>
            <w:top w:val="none" w:sz="0" w:space="0" w:color="auto"/>
            <w:left w:val="none" w:sz="0" w:space="0" w:color="auto"/>
            <w:bottom w:val="none" w:sz="0" w:space="0" w:color="auto"/>
            <w:right w:val="none" w:sz="0" w:space="0" w:color="auto"/>
          </w:divBdr>
        </w:div>
        <w:div w:id="1765606764">
          <w:marLeft w:val="0"/>
          <w:marRight w:val="0"/>
          <w:marTop w:val="280"/>
          <w:marBottom w:val="280"/>
          <w:divBdr>
            <w:top w:val="none" w:sz="0" w:space="0" w:color="auto"/>
            <w:left w:val="none" w:sz="0" w:space="0" w:color="auto"/>
            <w:bottom w:val="none" w:sz="0" w:space="0" w:color="auto"/>
            <w:right w:val="none" w:sz="0" w:space="0" w:color="auto"/>
          </w:divBdr>
        </w:div>
        <w:div w:id="89550460">
          <w:marLeft w:val="0"/>
          <w:marRight w:val="0"/>
          <w:marTop w:val="280"/>
          <w:marBottom w:val="280"/>
          <w:divBdr>
            <w:top w:val="none" w:sz="0" w:space="0" w:color="auto"/>
            <w:left w:val="none" w:sz="0" w:space="0" w:color="auto"/>
            <w:bottom w:val="none" w:sz="0" w:space="0" w:color="auto"/>
            <w:right w:val="none" w:sz="0" w:space="0" w:color="auto"/>
          </w:divBdr>
        </w:div>
        <w:div w:id="849687246">
          <w:marLeft w:val="0"/>
          <w:marRight w:val="0"/>
          <w:marTop w:val="280"/>
          <w:marBottom w:val="280"/>
          <w:divBdr>
            <w:top w:val="none" w:sz="0" w:space="0" w:color="auto"/>
            <w:left w:val="none" w:sz="0" w:space="0" w:color="auto"/>
            <w:bottom w:val="none" w:sz="0" w:space="0" w:color="auto"/>
            <w:right w:val="none" w:sz="0" w:space="0" w:color="auto"/>
          </w:divBdr>
        </w:div>
        <w:div w:id="528110787">
          <w:marLeft w:val="0"/>
          <w:marRight w:val="0"/>
          <w:marTop w:val="280"/>
          <w:marBottom w:val="280"/>
          <w:divBdr>
            <w:top w:val="none" w:sz="0" w:space="0" w:color="auto"/>
            <w:left w:val="none" w:sz="0" w:space="0" w:color="auto"/>
            <w:bottom w:val="none" w:sz="0" w:space="0" w:color="auto"/>
            <w:right w:val="none" w:sz="0" w:space="0" w:color="auto"/>
          </w:divBdr>
        </w:div>
        <w:div w:id="1345472376">
          <w:marLeft w:val="0"/>
          <w:marRight w:val="0"/>
          <w:marTop w:val="280"/>
          <w:marBottom w:val="280"/>
          <w:divBdr>
            <w:top w:val="none" w:sz="0" w:space="0" w:color="auto"/>
            <w:left w:val="none" w:sz="0" w:space="0" w:color="auto"/>
            <w:bottom w:val="none" w:sz="0" w:space="0" w:color="auto"/>
            <w:right w:val="none" w:sz="0" w:space="0" w:color="auto"/>
          </w:divBdr>
        </w:div>
        <w:div w:id="1533574057">
          <w:marLeft w:val="0"/>
          <w:marRight w:val="0"/>
          <w:marTop w:val="280"/>
          <w:marBottom w:val="280"/>
          <w:divBdr>
            <w:top w:val="none" w:sz="0" w:space="0" w:color="auto"/>
            <w:left w:val="none" w:sz="0" w:space="0" w:color="auto"/>
            <w:bottom w:val="none" w:sz="0" w:space="0" w:color="auto"/>
            <w:right w:val="none" w:sz="0" w:space="0" w:color="auto"/>
          </w:divBdr>
        </w:div>
        <w:div w:id="790438489">
          <w:marLeft w:val="0"/>
          <w:marRight w:val="0"/>
          <w:marTop w:val="280"/>
          <w:marBottom w:val="280"/>
          <w:divBdr>
            <w:top w:val="none" w:sz="0" w:space="0" w:color="auto"/>
            <w:left w:val="none" w:sz="0" w:space="0" w:color="auto"/>
            <w:bottom w:val="none" w:sz="0" w:space="0" w:color="auto"/>
            <w:right w:val="none" w:sz="0" w:space="0" w:color="auto"/>
          </w:divBdr>
        </w:div>
        <w:div w:id="982850765">
          <w:marLeft w:val="0"/>
          <w:marRight w:val="0"/>
          <w:marTop w:val="280"/>
          <w:marBottom w:val="280"/>
          <w:divBdr>
            <w:top w:val="none" w:sz="0" w:space="0" w:color="auto"/>
            <w:left w:val="none" w:sz="0" w:space="0" w:color="auto"/>
            <w:bottom w:val="none" w:sz="0" w:space="0" w:color="auto"/>
            <w:right w:val="none" w:sz="0" w:space="0" w:color="auto"/>
          </w:divBdr>
        </w:div>
        <w:div w:id="1818305006">
          <w:marLeft w:val="0"/>
          <w:marRight w:val="0"/>
          <w:marTop w:val="280"/>
          <w:marBottom w:val="280"/>
          <w:divBdr>
            <w:top w:val="none" w:sz="0" w:space="0" w:color="auto"/>
            <w:left w:val="none" w:sz="0" w:space="0" w:color="auto"/>
            <w:bottom w:val="none" w:sz="0" w:space="0" w:color="auto"/>
            <w:right w:val="none" w:sz="0" w:space="0" w:color="auto"/>
          </w:divBdr>
        </w:div>
        <w:div w:id="1204444005">
          <w:marLeft w:val="0"/>
          <w:marRight w:val="0"/>
          <w:marTop w:val="280"/>
          <w:marBottom w:val="280"/>
          <w:divBdr>
            <w:top w:val="none" w:sz="0" w:space="0" w:color="auto"/>
            <w:left w:val="none" w:sz="0" w:space="0" w:color="auto"/>
            <w:bottom w:val="none" w:sz="0" w:space="0" w:color="auto"/>
            <w:right w:val="none" w:sz="0" w:space="0" w:color="auto"/>
          </w:divBdr>
        </w:div>
      </w:divsChild>
    </w:div>
    <w:div w:id="2098289444">
      <w:bodyDiv w:val="1"/>
      <w:marLeft w:val="0"/>
      <w:marRight w:val="0"/>
      <w:marTop w:val="0"/>
      <w:marBottom w:val="0"/>
      <w:divBdr>
        <w:top w:val="none" w:sz="0" w:space="0" w:color="auto"/>
        <w:left w:val="none" w:sz="0" w:space="0" w:color="auto"/>
        <w:bottom w:val="none" w:sz="0" w:space="0" w:color="auto"/>
        <w:right w:val="none" w:sz="0" w:space="0" w:color="auto"/>
      </w:divBdr>
    </w:div>
    <w:div w:id="210888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cz/~/media/mckinsey/locations/europe%20and%20middle%20east/czech%20republic/our%20work/decarbonization_report_cz_vf.pdf" TargetMode="External"/><Relationship Id="rId13" Type="http://schemas.openxmlformats.org/officeDocument/2006/relationships/image" Target="media/image2.emf"/><Relationship Id="rId18" Type="http://schemas.openxmlformats.org/officeDocument/2006/relationships/hyperlink" Target="https://ec.europa.eu/info/law/better-regulation/have-your-say-simplify" TargetMode="Externa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ec.europa.eu/info/law/law-making-process/evaluating-and-improving-existing-laws/refit-making-eu-law-simpler-less-costly-and-future-proof/fit-future-platform-f4f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ergy/topics/renewable-energy/eu-strategy-offshore-renewable-energy_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s://ec.europa.eu/energy/topics/energy-strategy/national-energy-climate-plans/individual-assessments-and-summaries" TargetMode="External"/><Relationship Id="rId19" Type="http://schemas.openxmlformats.org/officeDocument/2006/relationships/hyperlink" Target="http://ria.vlada.cz/vznikla-platforma-fit-pro-budoucnost-nastupkyne-platformy-refit/" TargetMode="External"/><Relationship Id="rId4" Type="http://schemas.openxmlformats.org/officeDocument/2006/relationships/settings" Target="settings.xml"/><Relationship Id="rId9" Type="http://schemas.openxmlformats.org/officeDocument/2006/relationships/hyperlink" Target="https://eur-lex.europa.eu/legal-content/EN/TXT/?qid=1600339518571&amp;uri=COM%3A2020%3A564%3AFIN" TargetMode="External"/><Relationship Id="rId14" Type="http://schemas.openxmlformats.org/officeDocument/2006/relationships/image" Target="media/image3.emf"/><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AAD4C-E2BD-4C72-BCD6-5F32A3E26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2C80F0CC.dotm</Template>
  <TotalTime>1</TotalTime>
  <Pages>51</Pages>
  <Words>21789</Words>
  <Characters>128556</Characters>
  <Application>Microsoft Office Word</Application>
  <DocSecurity>0</DocSecurity>
  <Lines>1071</Lines>
  <Paragraphs>300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Nováková</dc:creator>
  <cp:keywords/>
  <dc:description/>
  <cp:lastModifiedBy>Hronza Martin</cp:lastModifiedBy>
  <cp:revision>3</cp:revision>
  <dcterms:created xsi:type="dcterms:W3CDTF">2020-12-03T14:09:00Z</dcterms:created>
  <dcterms:modified xsi:type="dcterms:W3CDTF">2020-12-03T14:14:00Z</dcterms:modified>
</cp:coreProperties>
</file>