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3C241" w14:textId="77777777" w:rsidR="00C3524B" w:rsidRPr="00F36D2B" w:rsidRDefault="00C3524B" w:rsidP="00C3524B">
      <w:pPr>
        <w:keepNext/>
        <w:keepLines/>
        <w:spacing w:after="0" w:line="240" w:lineRule="auto"/>
        <w:contextualSpacing/>
        <w:rPr>
          <w:rFonts w:ascii="Arial" w:eastAsiaTheme="majorEastAsia" w:hAnsi="Arial" w:cs="Arial"/>
          <w:spacing w:val="-10"/>
          <w:kern w:val="28"/>
          <w:sz w:val="48"/>
          <w:szCs w:val="56"/>
        </w:rPr>
      </w:pPr>
      <w:bookmarkStart w:id="0" w:name="_Hlk228176937"/>
      <w:r w:rsidRPr="00F36D2B">
        <w:rPr>
          <w:rFonts w:ascii="Arial" w:eastAsiaTheme="majorEastAsia" w:hAnsi="Arial" w:cs="Arial"/>
          <w:noProof/>
          <w:spacing w:val="-10"/>
          <w:kern w:val="28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32A541C" wp14:editId="7ABF788F">
            <wp:simplePos x="0" y="0"/>
            <wp:positionH relativeFrom="page">
              <wp:posOffset>562107</wp:posOffset>
            </wp:positionH>
            <wp:positionV relativeFrom="page">
              <wp:posOffset>557303</wp:posOffset>
            </wp:positionV>
            <wp:extent cx="1944000" cy="792000"/>
            <wp:effectExtent l="0" t="0" r="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FFDD3" w14:textId="77777777" w:rsidR="00C3524B" w:rsidRPr="00876F45" w:rsidRDefault="00C3524B" w:rsidP="00C3524B">
      <w:pPr>
        <w:rPr>
          <w:rFonts w:ascii="Arial" w:hAnsi="Arial" w:cs="Arial"/>
        </w:rPr>
      </w:pPr>
    </w:p>
    <w:p w14:paraId="625942B2" w14:textId="77777777" w:rsidR="00C3524B" w:rsidRPr="00C3524B" w:rsidRDefault="00C3524B" w:rsidP="00C3524B">
      <w:pPr>
        <w:keepNext/>
        <w:keepLines/>
        <w:spacing w:after="0" w:line="240" w:lineRule="auto"/>
        <w:contextualSpacing/>
        <w:jc w:val="right"/>
        <w:rPr>
          <w:rFonts w:ascii="Arial" w:eastAsiaTheme="majorEastAsia" w:hAnsi="Arial" w:cs="Arial"/>
          <w:spacing w:val="-10"/>
          <w:kern w:val="28"/>
        </w:rPr>
      </w:pPr>
      <w:r w:rsidRPr="00C3524B">
        <w:rPr>
          <w:rFonts w:ascii="Arial" w:eastAsiaTheme="majorEastAsia" w:hAnsi="Arial" w:cs="Arial"/>
          <w:spacing w:val="-10"/>
          <w:kern w:val="28"/>
        </w:rPr>
        <w:t>24. dubna 2026</w:t>
      </w:r>
    </w:p>
    <w:p w14:paraId="1560859A" w14:textId="77777777" w:rsidR="00C3524B" w:rsidRPr="00876F45" w:rsidRDefault="00C3524B" w:rsidP="00C3524B">
      <w:pPr>
        <w:rPr>
          <w:rFonts w:ascii="Arial" w:hAnsi="Arial" w:cs="Arial"/>
        </w:rPr>
      </w:pPr>
    </w:p>
    <w:bookmarkEnd w:id="0"/>
    <w:p w14:paraId="32F21DBE" w14:textId="77777777" w:rsidR="00C3524B" w:rsidRPr="00F36D2B" w:rsidRDefault="00C3524B" w:rsidP="00C3524B">
      <w:pPr>
        <w:rPr>
          <w:rFonts w:ascii="Arial" w:hAnsi="Arial" w:cs="Arial"/>
        </w:rPr>
      </w:pPr>
    </w:p>
    <w:p w14:paraId="0D6BCFBA" w14:textId="77777777" w:rsidR="00C3524B" w:rsidRPr="00DA5D53" w:rsidRDefault="00C3524B" w:rsidP="00C3524B">
      <w:pPr>
        <w:keepNext/>
        <w:keepLines/>
        <w:spacing w:after="120" w:line="240" w:lineRule="auto"/>
        <w:rPr>
          <w:rFonts w:ascii="Arial" w:eastAsiaTheme="majorEastAsia" w:hAnsi="Arial" w:cs="Arial"/>
          <w:spacing w:val="-10"/>
          <w:kern w:val="28"/>
          <w:sz w:val="36"/>
          <w:szCs w:val="44"/>
        </w:rPr>
      </w:pPr>
      <w:r>
        <w:rPr>
          <w:rFonts w:ascii="Arial" w:eastAsiaTheme="majorEastAsia" w:hAnsi="Arial" w:cs="Arial"/>
          <w:spacing w:val="-10"/>
          <w:kern w:val="28"/>
          <w:sz w:val="36"/>
          <w:szCs w:val="44"/>
        </w:rPr>
        <w:t>Investice státu a jejich financování v letech 2027–2029</w:t>
      </w:r>
    </w:p>
    <w:p w14:paraId="18773EDB" w14:textId="3E91C59F" w:rsidR="00C3524B" w:rsidRDefault="00C3524B" w:rsidP="00C3524B">
      <w:pPr>
        <w:numPr>
          <w:ilvl w:val="1"/>
          <w:numId w:val="0"/>
        </w:numPr>
        <w:rPr>
          <w:rFonts w:ascii="Arial" w:eastAsiaTheme="minorEastAsia" w:hAnsi="Arial" w:cs="Arial"/>
          <w:color w:val="595959" w:themeColor="text1" w:themeTint="A6"/>
          <w:spacing w:val="15"/>
          <w:szCs w:val="18"/>
        </w:rPr>
      </w:pPr>
      <w:r>
        <w:rPr>
          <w:rFonts w:ascii="Arial" w:eastAsiaTheme="minorEastAsia" w:hAnsi="Arial" w:cs="Arial"/>
          <w:color w:val="595959" w:themeColor="text1" w:themeTint="A6"/>
          <w:spacing w:val="15"/>
          <w:szCs w:val="18"/>
        </w:rPr>
        <w:t>Diskusní materiál</w:t>
      </w:r>
    </w:p>
    <w:p w14:paraId="7C0CD3E8" w14:textId="12606E61" w:rsidR="00C3524B" w:rsidRPr="00F36D2B" w:rsidRDefault="00C3524B" w:rsidP="00C3524B">
      <w:pPr>
        <w:numPr>
          <w:ilvl w:val="1"/>
          <w:numId w:val="0"/>
        </w:numPr>
        <w:rPr>
          <w:rFonts w:ascii="Arial" w:eastAsiaTheme="minorEastAsia" w:hAnsi="Arial" w:cs="Arial"/>
          <w:color w:val="595959" w:themeColor="text1" w:themeTint="A6"/>
          <w:spacing w:val="15"/>
          <w:szCs w:val="18"/>
        </w:rPr>
      </w:pPr>
      <w:r>
        <w:rPr>
          <w:rFonts w:ascii="Arial" w:eastAsiaTheme="minorEastAsia" w:hAnsi="Arial" w:cs="Arial"/>
          <w:color w:val="595959" w:themeColor="text1" w:themeTint="A6"/>
          <w:spacing w:val="15"/>
          <w:szCs w:val="18"/>
        </w:rPr>
        <w:t>Pro jednání Plenární schůze Rady hospodářské a sociální dohody České republiky</w:t>
      </w:r>
    </w:p>
    <w:p w14:paraId="112436F6" w14:textId="77777777" w:rsidR="00C3524B" w:rsidRDefault="00C3524B" w:rsidP="007D3B1B">
      <w:pPr>
        <w:spacing w:after="240"/>
      </w:pPr>
    </w:p>
    <w:p w14:paraId="22E095DA" w14:textId="77777777" w:rsidR="007D3B1B" w:rsidRDefault="007D3B1B" w:rsidP="007D3B1B">
      <w:pPr>
        <w:pStyle w:val="Nadpis1"/>
      </w:pPr>
      <w:r>
        <w:rPr>
          <w:rFonts w:ascii="Arial" w:eastAsia="Arial" w:hAnsi="Arial" w:cs="Arial"/>
          <w:bCs/>
          <w:szCs w:val="28"/>
        </w:rPr>
        <w:t>Úvod</w:t>
      </w:r>
    </w:p>
    <w:p w14:paraId="1CE183B8" w14:textId="77777777" w:rsidR="007D3B1B" w:rsidRDefault="007D3B1B" w:rsidP="00C3524B">
      <w:pPr>
        <w:spacing w:after="120" w:line="276" w:lineRule="auto"/>
        <w:jc w:val="both"/>
      </w:pPr>
      <w:r>
        <w:rPr>
          <w:rFonts w:ascii="Arial" w:eastAsia="Arial" w:hAnsi="Arial" w:cs="Arial"/>
        </w:rPr>
        <w:t xml:space="preserve">Ministerstvo průmyslu a obchodu předkládá tento materiál jako podklad k diskusi o investiční politice státu v letech 2027–2029. Cílem je potvrdit základní věcné priority veřejných investic a rámcově vymezit další postup při přípravě systému, který umožní strategické investice lépe vybírat, </w:t>
      </w:r>
      <w:proofErr w:type="spellStart"/>
      <w:r>
        <w:rPr>
          <w:rFonts w:ascii="Arial" w:eastAsia="Arial" w:hAnsi="Arial" w:cs="Arial"/>
        </w:rPr>
        <w:t>prioritizovat</w:t>
      </w:r>
      <w:proofErr w:type="spellEnd"/>
      <w:r>
        <w:rPr>
          <w:rFonts w:ascii="Arial" w:eastAsia="Arial" w:hAnsi="Arial" w:cs="Arial"/>
        </w:rPr>
        <w:t xml:space="preserve"> a financovat.</w:t>
      </w:r>
    </w:p>
    <w:p w14:paraId="1286F42D" w14:textId="77777777" w:rsidR="007D3B1B" w:rsidRPr="00C3524B" w:rsidRDefault="007D3B1B" w:rsidP="00C3524B">
      <w:pPr>
        <w:spacing w:after="120" w:line="276" w:lineRule="auto"/>
        <w:jc w:val="both"/>
      </w:pPr>
      <w:r w:rsidRPr="00C3524B">
        <w:rPr>
          <w:rFonts w:ascii="Arial" w:eastAsia="Arial" w:hAnsi="Arial" w:cs="Arial"/>
        </w:rPr>
        <w:t>Investiční politika státu má být vedena jako součást aktivní hospodářské politiky státu, nikoli jako součet resortních požadavků. Má-li Česká republika v příštích letech obnovit vyšší dynamiku růstu, je třeba soustředit veřejné prostředky především do oblastí s nejvyšším dlouhodobým přínosem pro výkon ekonomiky, kvalitu lidského kapitálu, bezpečnost státu a stabilitu podnikatelského prostředí.</w:t>
      </w:r>
    </w:p>
    <w:p w14:paraId="5E521D04" w14:textId="3E35CAC3" w:rsidR="007D3B1B" w:rsidRDefault="007D3B1B" w:rsidP="00C3524B">
      <w:pPr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Vytvoření </w:t>
      </w:r>
      <w:r>
        <w:rPr>
          <w:rFonts w:ascii="Arial" w:eastAsia="Arial" w:hAnsi="Arial" w:cs="Arial"/>
          <w:b/>
          <w:bCs/>
        </w:rPr>
        <w:t>Národního investičního plánu</w:t>
      </w:r>
      <w:r>
        <w:rPr>
          <w:rFonts w:ascii="Arial" w:eastAsia="Arial" w:hAnsi="Arial" w:cs="Arial"/>
        </w:rPr>
        <w:t xml:space="preserve"> předpokládá </w:t>
      </w:r>
      <w:r>
        <w:rPr>
          <w:rFonts w:ascii="Arial" w:eastAsia="Arial" w:hAnsi="Arial" w:cs="Arial"/>
          <w:b/>
          <w:bCs/>
        </w:rPr>
        <w:t>Hospodářská strategie Česko – Země pro budoucnost 2.0</w:t>
      </w:r>
      <w:r>
        <w:rPr>
          <w:rFonts w:ascii="Arial" w:eastAsia="Arial" w:hAnsi="Arial" w:cs="Arial"/>
        </w:rPr>
        <w:t>. Jeho cílem je zavést systematičtější výběr, prioritizaci a financování strategických investic. Konkrétní metodické a institucionální rozpracování systému bude předmětem navazujících materiálů vlády.</w:t>
      </w:r>
    </w:p>
    <w:p w14:paraId="334D795E" w14:textId="37B1AB9F" w:rsidR="007D3B1B" w:rsidRPr="007D3B1B" w:rsidRDefault="007D3B1B" w:rsidP="007D3B1B">
      <w:pPr>
        <w:spacing w:after="200" w:line="276" w:lineRule="auto"/>
        <w:rPr>
          <w:rFonts w:ascii="Arial" w:eastAsia="Arial" w:hAnsi="Arial" w:cs="Arial"/>
        </w:rPr>
      </w:pPr>
    </w:p>
    <w:p w14:paraId="0F3004EA" w14:textId="77777777" w:rsidR="007D3B1B" w:rsidRDefault="007D3B1B" w:rsidP="007D3B1B">
      <w:pPr>
        <w:pStyle w:val="Nadpis1"/>
      </w:pPr>
      <w:r>
        <w:rPr>
          <w:rFonts w:ascii="Arial" w:eastAsia="Arial" w:hAnsi="Arial" w:cs="Arial"/>
          <w:bCs/>
          <w:szCs w:val="28"/>
        </w:rPr>
        <w:t>Investiční priority</w:t>
      </w:r>
    </w:p>
    <w:p w14:paraId="40392C0C" w14:textId="77777777" w:rsidR="007D3B1B" w:rsidRPr="00C3524B" w:rsidRDefault="007D3B1B" w:rsidP="00C3524B">
      <w:pPr>
        <w:spacing w:after="120" w:line="276" w:lineRule="auto"/>
        <w:jc w:val="both"/>
      </w:pPr>
      <w:r w:rsidRPr="00C3524B">
        <w:rPr>
          <w:rFonts w:ascii="Arial" w:eastAsia="Arial" w:hAnsi="Arial" w:cs="Arial"/>
        </w:rPr>
        <w:t>Hospodářská situace, v níž budou investice v letech 2027–2029 realizovány, je zatížena významnými riziky. Zahraniční obchod je nadále limitován slabší poptávkou na hlavních trzích, vyššími obchodními bariérami a nejistotou v evropském průmyslu. Geopolitické a energetické napětí zvyšuje význam bezpečnosti dodávek energií, přepravních tras a odolnosti kritické infrastruktury. Stát proto musí v letech 2027–2029 investovat tak, aby neřešil pouze odložený infrastrukturní dluh, ale i strukturální slabiny české ekonomiky.</w:t>
      </w:r>
    </w:p>
    <w:p w14:paraId="6C5B942F" w14:textId="77777777" w:rsidR="007D3B1B" w:rsidRDefault="007D3B1B" w:rsidP="00C3524B">
      <w:pPr>
        <w:spacing w:after="120" w:line="276" w:lineRule="auto"/>
        <w:jc w:val="both"/>
      </w:pPr>
      <w:r>
        <w:rPr>
          <w:rFonts w:ascii="Arial" w:eastAsia="Arial" w:hAnsi="Arial" w:cs="Arial"/>
        </w:rPr>
        <w:t xml:space="preserve">V souladu se strategií </w:t>
      </w:r>
      <w:r>
        <w:rPr>
          <w:rFonts w:ascii="Arial" w:eastAsia="Arial" w:hAnsi="Arial" w:cs="Arial"/>
          <w:b/>
          <w:bCs/>
        </w:rPr>
        <w:t>Česko: Země pro budoucnost 2.0</w:t>
      </w:r>
      <w:r>
        <w:rPr>
          <w:rFonts w:ascii="Arial" w:eastAsia="Arial" w:hAnsi="Arial" w:cs="Arial"/>
        </w:rPr>
        <w:t xml:space="preserve"> je třeba za hlavní investiční priority státu v letech 2027–2029 považovat:</w:t>
      </w:r>
    </w:p>
    <w:p w14:paraId="1050C863" w14:textId="77777777" w:rsidR="007D3B1B" w:rsidRDefault="007D3B1B" w:rsidP="007D3B1B">
      <w:pPr>
        <w:pStyle w:val="Odstavecseseznamem"/>
        <w:numPr>
          <w:ilvl w:val="0"/>
          <w:numId w:val="37"/>
        </w:numPr>
        <w:spacing w:after="60" w:line="276" w:lineRule="auto"/>
        <w:contextualSpacing w:val="0"/>
      </w:pPr>
      <w:r>
        <w:rPr>
          <w:rFonts w:ascii="Arial" w:eastAsia="Arial" w:hAnsi="Arial" w:cs="Arial"/>
        </w:rPr>
        <w:t>energetiku a surovinovou bezpečnost,</w:t>
      </w:r>
    </w:p>
    <w:p w14:paraId="06243471" w14:textId="77777777" w:rsidR="007D3B1B" w:rsidRDefault="007D3B1B" w:rsidP="007D3B1B">
      <w:pPr>
        <w:pStyle w:val="Odstavecseseznamem"/>
        <w:numPr>
          <w:ilvl w:val="0"/>
          <w:numId w:val="37"/>
        </w:numPr>
        <w:spacing w:after="60" w:line="276" w:lineRule="auto"/>
        <w:contextualSpacing w:val="0"/>
      </w:pPr>
      <w:r>
        <w:rPr>
          <w:rFonts w:ascii="Arial" w:eastAsia="Arial" w:hAnsi="Arial" w:cs="Arial"/>
        </w:rPr>
        <w:t>vzdělávání a kvalitu lidského kapitálu,</w:t>
      </w:r>
    </w:p>
    <w:p w14:paraId="35FC888D" w14:textId="77777777" w:rsidR="007D3B1B" w:rsidRDefault="007D3B1B" w:rsidP="007D3B1B">
      <w:pPr>
        <w:pStyle w:val="Odstavecseseznamem"/>
        <w:numPr>
          <w:ilvl w:val="0"/>
          <w:numId w:val="37"/>
        </w:numPr>
        <w:spacing w:after="60" w:line="276" w:lineRule="auto"/>
        <w:contextualSpacing w:val="0"/>
      </w:pPr>
      <w:r>
        <w:rPr>
          <w:rFonts w:ascii="Arial" w:eastAsia="Arial" w:hAnsi="Arial" w:cs="Arial"/>
        </w:rPr>
        <w:t>výzkum, vývoj a inovace,</w:t>
      </w:r>
    </w:p>
    <w:p w14:paraId="340F5739" w14:textId="77777777" w:rsidR="007D3B1B" w:rsidRDefault="007D3B1B" w:rsidP="007D3B1B">
      <w:pPr>
        <w:pStyle w:val="Odstavecseseznamem"/>
        <w:numPr>
          <w:ilvl w:val="0"/>
          <w:numId w:val="37"/>
        </w:numPr>
        <w:spacing w:after="60" w:line="276" w:lineRule="auto"/>
        <w:contextualSpacing w:val="0"/>
      </w:pPr>
      <w:r>
        <w:rPr>
          <w:rFonts w:ascii="Arial" w:eastAsia="Arial" w:hAnsi="Arial" w:cs="Arial"/>
        </w:rPr>
        <w:t>dopravu,</w:t>
      </w:r>
    </w:p>
    <w:p w14:paraId="4B9202EB" w14:textId="77777777" w:rsidR="007D3B1B" w:rsidRDefault="007D3B1B" w:rsidP="007D3B1B">
      <w:pPr>
        <w:pStyle w:val="Odstavecseseznamem"/>
        <w:numPr>
          <w:ilvl w:val="0"/>
          <w:numId w:val="37"/>
        </w:numPr>
        <w:spacing w:after="60" w:line="276" w:lineRule="auto"/>
        <w:contextualSpacing w:val="0"/>
      </w:pPr>
      <w:r>
        <w:rPr>
          <w:rFonts w:ascii="Arial" w:eastAsia="Arial" w:hAnsi="Arial" w:cs="Arial"/>
        </w:rPr>
        <w:t>výstavbu a bydlení,</w:t>
      </w:r>
    </w:p>
    <w:p w14:paraId="3B86C9B6" w14:textId="77777777" w:rsidR="007D3B1B" w:rsidRDefault="007D3B1B" w:rsidP="007D3B1B">
      <w:pPr>
        <w:pStyle w:val="Odstavecseseznamem"/>
        <w:numPr>
          <w:ilvl w:val="0"/>
          <w:numId w:val="37"/>
        </w:numPr>
        <w:spacing w:after="60" w:line="276" w:lineRule="auto"/>
        <w:contextualSpacing w:val="0"/>
      </w:pPr>
      <w:r>
        <w:rPr>
          <w:rFonts w:ascii="Arial" w:eastAsia="Arial" w:hAnsi="Arial" w:cs="Arial"/>
        </w:rPr>
        <w:t>obranu a bezpečnost,</w:t>
      </w:r>
    </w:p>
    <w:p w14:paraId="3CF52AE0" w14:textId="77777777" w:rsidR="007D3B1B" w:rsidRDefault="007D3B1B" w:rsidP="007D3B1B">
      <w:pPr>
        <w:pStyle w:val="Odstavecseseznamem"/>
        <w:numPr>
          <w:ilvl w:val="0"/>
          <w:numId w:val="37"/>
        </w:numPr>
        <w:spacing w:after="60" w:line="276" w:lineRule="auto"/>
        <w:contextualSpacing w:val="0"/>
      </w:pPr>
      <w:r>
        <w:rPr>
          <w:rFonts w:ascii="Arial" w:eastAsia="Arial" w:hAnsi="Arial" w:cs="Arial"/>
        </w:rPr>
        <w:t>zdravotní a sociální infrastrukturu.</w:t>
      </w:r>
    </w:p>
    <w:p w14:paraId="247AB276" w14:textId="77777777" w:rsidR="007D3B1B" w:rsidRDefault="007D3B1B" w:rsidP="00C3524B">
      <w:pPr>
        <w:spacing w:after="120" w:line="276" w:lineRule="auto"/>
        <w:jc w:val="both"/>
      </w:pPr>
      <w:r>
        <w:rPr>
          <w:rFonts w:ascii="Arial" w:eastAsia="Arial" w:hAnsi="Arial" w:cs="Arial"/>
        </w:rPr>
        <w:lastRenderedPageBreak/>
        <w:t>Jde o oblasti, které mají zásadní význam pro konkurenceschopnost ekonomiky, odolnost státu, kvalitu lidského kapitálu a dlouhodobou životní úroveň obyvatel. Konkrétní rozsah jednotlivých projektů a opatření bude upřesněn v rámci přípravy státního rozpočtu a souvisejících systémových nástrojů.</w:t>
      </w:r>
    </w:p>
    <w:p w14:paraId="121D1F9A" w14:textId="77777777" w:rsidR="007D3B1B" w:rsidRDefault="007D3B1B" w:rsidP="00C3524B">
      <w:pPr>
        <w:pStyle w:val="Nadpis2"/>
        <w:jc w:val="both"/>
      </w:pPr>
      <w:r>
        <w:rPr>
          <w:rFonts w:ascii="Arial" w:eastAsia="Arial" w:hAnsi="Arial" w:cs="Arial"/>
          <w:bCs/>
          <w:sz w:val="24"/>
          <w:szCs w:val="24"/>
        </w:rPr>
        <w:t>Energetika a surovinová bezpečnost</w:t>
      </w:r>
    </w:p>
    <w:p w14:paraId="02521C68" w14:textId="77777777" w:rsidR="007D3B1B" w:rsidRDefault="007D3B1B" w:rsidP="00C3524B">
      <w:pPr>
        <w:spacing w:after="120" w:line="276" w:lineRule="auto"/>
        <w:jc w:val="both"/>
      </w:pPr>
      <w:r>
        <w:rPr>
          <w:rFonts w:ascii="Arial" w:eastAsia="Arial" w:hAnsi="Arial" w:cs="Arial"/>
        </w:rPr>
        <w:t>V energetice je třeba podporovat projekty, které přispívají k dostupnějším a předvídatelnějším cenám energie pro průmysl i domácnosti, posilují soběstačnost a snižují zranitelnost vůči vnějším šokům. V tomto rámci je nezbytné zachovat technologickou neutralitu a upřednostnit řešení s prokazatelným dopadem na cenu energie, stabilitu dodávek a zachování průmyslové výroby v České republice. Součástí této priority je i surovinová bezpečnost a rozvoj odpovídající infrastruktury.</w:t>
      </w:r>
    </w:p>
    <w:p w14:paraId="231883DF" w14:textId="77777777" w:rsidR="007D3B1B" w:rsidRDefault="007D3B1B" w:rsidP="00C3524B">
      <w:pPr>
        <w:pStyle w:val="Nadpis2"/>
        <w:jc w:val="both"/>
      </w:pPr>
      <w:r>
        <w:rPr>
          <w:rFonts w:ascii="Arial" w:eastAsia="Arial" w:hAnsi="Arial" w:cs="Arial"/>
          <w:bCs/>
          <w:sz w:val="24"/>
          <w:szCs w:val="24"/>
        </w:rPr>
        <w:t>Vzdělávání a kvalita lidského kapitálu</w:t>
      </w:r>
    </w:p>
    <w:p w14:paraId="7E87BD6E" w14:textId="77777777" w:rsidR="007D3B1B" w:rsidRDefault="007D3B1B" w:rsidP="00C3524B">
      <w:pPr>
        <w:spacing w:after="120" w:line="276" w:lineRule="auto"/>
        <w:jc w:val="both"/>
      </w:pPr>
      <w:r>
        <w:rPr>
          <w:rFonts w:ascii="Arial" w:eastAsia="Arial" w:hAnsi="Arial" w:cs="Arial"/>
        </w:rPr>
        <w:t>Vzdělávání představuje v rámci Hospodářské strategie jeden z objemově významných závazků státu a současně klíčový předpoklad dlouhodobé konkurenceschopnosti. Prioritou je posílení vazby vzdělávání na trh práce a technologickou transformaci ekonomiky, zvýšení uplatnitelnosti absolventů a udržení kvality vzdělávací soustavy na všech úrovních.</w:t>
      </w:r>
    </w:p>
    <w:p w14:paraId="387B1761" w14:textId="77777777" w:rsidR="007D3B1B" w:rsidRDefault="007D3B1B" w:rsidP="00C3524B">
      <w:pPr>
        <w:pStyle w:val="Nadpis2"/>
        <w:jc w:val="both"/>
      </w:pPr>
      <w:r>
        <w:rPr>
          <w:rFonts w:ascii="Arial" w:eastAsia="Arial" w:hAnsi="Arial" w:cs="Arial"/>
          <w:bCs/>
          <w:sz w:val="24"/>
          <w:szCs w:val="24"/>
        </w:rPr>
        <w:t>Výzkum, vývoj a inovace</w:t>
      </w:r>
    </w:p>
    <w:p w14:paraId="653CA5CC" w14:textId="77777777" w:rsidR="007D3B1B" w:rsidRDefault="007D3B1B" w:rsidP="00C3524B">
      <w:pPr>
        <w:spacing w:after="120" w:line="276" w:lineRule="auto"/>
        <w:jc w:val="both"/>
      </w:pPr>
      <w:r>
        <w:rPr>
          <w:rFonts w:ascii="Arial" w:eastAsia="Arial" w:hAnsi="Arial" w:cs="Arial"/>
        </w:rPr>
        <w:t>Nízká inovační výkonnost patří mezi strukturální slabiny české ekonomiky. Hospodářská strategie proto staví postupné navyšování výdajů na výzkum, vývoj a inovace mezi klíčové investiční priority státu, s výrazným zapojením soukromého sektoru. Důraz je kladen na posílení vazby mezi výzkumem a praxí, modernizaci výzkumné infrastruktury a rozvoj inovačního prostředí.</w:t>
      </w:r>
    </w:p>
    <w:p w14:paraId="62B180D6" w14:textId="77777777" w:rsidR="007D3B1B" w:rsidRDefault="007D3B1B" w:rsidP="00C3524B">
      <w:pPr>
        <w:pStyle w:val="Nadpis2"/>
        <w:jc w:val="both"/>
      </w:pPr>
      <w:r>
        <w:rPr>
          <w:rFonts w:ascii="Arial" w:eastAsia="Arial" w:hAnsi="Arial" w:cs="Arial"/>
          <w:bCs/>
          <w:sz w:val="24"/>
          <w:szCs w:val="24"/>
        </w:rPr>
        <w:t>Doprava</w:t>
      </w:r>
    </w:p>
    <w:p w14:paraId="4EA88A00" w14:textId="762A071B" w:rsidR="007D3B1B" w:rsidRPr="00C3524B" w:rsidRDefault="007D3B1B" w:rsidP="00C3524B">
      <w:pPr>
        <w:spacing w:after="120" w:line="276" w:lineRule="auto"/>
        <w:jc w:val="both"/>
      </w:pPr>
      <w:r w:rsidRPr="00C3524B">
        <w:rPr>
          <w:rFonts w:ascii="Arial" w:eastAsia="Arial" w:hAnsi="Arial" w:cs="Arial"/>
        </w:rPr>
        <w:t>V dopravní infrastruktuře je třeba soustředit hlavní úsilí na dokončení páteřní dálniční sítě, odstranění klíčových kapacitních úzkých míst, modernizaci železničních koridorů a pokračování přípravy systému rychlých železničních spojení. Propojení hlavních hospodářských center České republiky mezi sebou i se zahraničím má přímý dopad na produktivitu, mobilitu pracovní síly i</w:t>
      </w:r>
      <w:r w:rsidR="00C3524B">
        <w:rPr>
          <w:rFonts w:ascii="Arial" w:eastAsia="Arial" w:hAnsi="Arial" w:cs="Arial"/>
        </w:rPr>
        <w:t> </w:t>
      </w:r>
      <w:r w:rsidRPr="00C3524B">
        <w:rPr>
          <w:rFonts w:ascii="Arial" w:eastAsia="Arial" w:hAnsi="Arial" w:cs="Arial"/>
        </w:rPr>
        <w:t>investiční atraktivitu regionů. U vybraných projektů je vhodné zvážit i účast soukromého kapitálu formou PPP.</w:t>
      </w:r>
    </w:p>
    <w:p w14:paraId="32C3104C" w14:textId="77777777" w:rsidR="007D3B1B" w:rsidRDefault="007D3B1B" w:rsidP="00C3524B">
      <w:pPr>
        <w:pStyle w:val="Nadpis2"/>
        <w:jc w:val="both"/>
      </w:pPr>
      <w:r>
        <w:rPr>
          <w:rFonts w:ascii="Arial" w:eastAsia="Arial" w:hAnsi="Arial" w:cs="Arial"/>
          <w:bCs/>
          <w:sz w:val="24"/>
          <w:szCs w:val="24"/>
        </w:rPr>
        <w:t>Výstavba a bydlení</w:t>
      </w:r>
    </w:p>
    <w:p w14:paraId="0054F57A" w14:textId="77777777" w:rsidR="007D3B1B" w:rsidRDefault="007D3B1B" w:rsidP="00C3524B">
      <w:pPr>
        <w:spacing w:after="120" w:line="276" w:lineRule="auto"/>
        <w:jc w:val="both"/>
      </w:pPr>
      <w:r>
        <w:rPr>
          <w:rFonts w:ascii="Arial" w:eastAsia="Arial" w:hAnsi="Arial" w:cs="Arial"/>
        </w:rPr>
        <w:t>Dostupnost bydlení patří mezi dlouhodobé výzvy české ekonomiky a přímo ovlivňuje mobilitu pracovní síly, demografii i stabilitu rodin. Prioritou je odblokování výstavby, modernizace bytového fondu a postupné rozšiřování kapacit dostupného bydlení, zejména pro mladé a pro klíčové profese. V této oblasti je přirozený prostor pro kombinaci veřejných a soukromých zdrojů financování a pro zapojení obcí.</w:t>
      </w:r>
    </w:p>
    <w:p w14:paraId="5659EFD5" w14:textId="77777777" w:rsidR="007D3B1B" w:rsidRDefault="007D3B1B" w:rsidP="00C3524B">
      <w:pPr>
        <w:pStyle w:val="Nadpis2"/>
        <w:jc w:val="both"/>
      </w:pPr>
      <w:r>
        <w:rPr>
          <w:rFonts w:ascii="Arial" w:eastAsia="Arial" w:hAnsi="Arial" w:cs="Arial"/>
          <w:bCs/>
          <w:sz w:val="24"/>
          <w:szCs w:val="24"/>
        </w:rPr>
        <w:t>Obrana a bezpečnost</w:t>
      </w:r>
    </w:p>
    <w:p w14:paraId="5352A628" w14:textId="77777777" w:rsidR="007D3B1B" w:rsidRPr="00C3524B" w:rsidRDefault="007D3B1B" w:rsidP="00C3524B">
      <w:pPr>
        <w:spacing w:after="120" w:line="276" w:lineRule="auto"/>
        <w:jc w:val="both"/>
      </w:pPr>
      <w:r w:rsidRPr="00C3524B">
        <w:rPr>
          <w:rFonts w:ascii="Arial" w:eastAsia="Arial" w:hAnsi="Arial" w:cs="Arial"/>
        </w:rPr>
        <w:t>V oblasti obrany a bezpečnosti jde především o projekty, které posilují reálné schopnosti Armády České republiky, zvyšují odolnost státu vůči vnějším hrozbám a podporují zapojení domácího průmyslu do strategických zakázek. Prioritou jsou rovněž investice do kybernetické a hybridní odolnosti a ochrany kritické infrastruktury.</w:t>
      </w:r>
    </w:p>
    <w:p w14:paraId="24BD2459" w14:textId="77777777" w:rsidR="007D3B1B" w:rsidRDefault="007D3B1B" w:rsidP="00C3524B">
      <w:pPr>
        <w:pStyle w:val="Nadpis2"/>
        <w:jc w:val="both"/>
      </w:pPr>
      <w:r>
        <w:rPr>
          <w:rFonts w:ascii="Arial" w:eastAsia="Arial" w:hAnsi="Arial" w:cs="Arial"/>
          <w:bCs/>
          <w:sz w:val="24"/>
          <w:szCs w:val="24"/>
        </w:rPr>
        <w:t>Zdravotní a sociální infrastruktura</w:t>
      </w:r>
    </w:p>
    <w:p w14:paraId="07283FAE" w14:textId="77777777" w:rsidR="007D3B1B" w:rsidRDefault="007D3B1B" w:rsidP="00C3524B">
      <w:pPr>
        <w:spacing w:after="120" w:line="276" w:lineRule="auto"/>
        <w:jc w:val="both"/>
      </w:pPr>
      <w:r>
        <w:rPr>
          <w:rFonts w:ascii="Arial" w:eastAsia="Arial" w:hAnsi="Arial" w:cs="Arial"/>
        </w:rPr>
        <w:t>Investice v této oblasti reagují především na demografické stárnutí, rostoucí tlak na dostupnost péče a kapacity sociálních služeb. Prioritou je modernizace klíčových zdravotnických zařízení, posilování kapacit dlouhodobé péče a digitalizace zdravotnictví.</w:t>
      </w:r>
    </w:p>
    <w:p w14:paraId="2E1FA56B" w14:textId="77777777" w:rsidR="007D3B1B" w:rsidRDefault="007D3B1B" w:rsidP="00C3524B">
      <w:pPr>
        <w:pStyle w:val="Nadpis1"/>
        <w:jc w:val="both"/>
      </w:pPr>
      <w:r>
        <w:rPr>
          <w:rFonts w:ascii="Arial" w:eastAsia="Arial" w:hAnsi="Arial" w:cs="Arial"/>
          <w:bCs/>
          <w:szCs w:val="28"/>
        </w:rPr>
        <w:lastRenderedPageBreak/>
        <w:t>Společné principy</w:t>
      </w:r>
    </w:p>
    <w:p w14:paraId="0F19BDFC" w14:textId="77777777" w:rsidR="007D3B1B" w:rsidRDefault="007D3B1B" w:rsidP="00C3524B">
      <w:pPr>
        <w:spacing w:after="120" w:line="276" w:lineRule="auto"/>
        <w:jc w:val="both"/>
      </w:pPr>
      <w:r>
        <w:rPr>
          <w:rFonts w:ascii="Arial" w:eastAsia="Arial" w:hAnsi="Arial" w:cs="Arial"/>
        </w:rPr>
        <w:t>Pro investice ve všech prioritních oblastech je třeba uplatňovat jednotné principy, které zajistí efektivitu a dlouhodobou udržitelnost:</w:t>
      </w:r>
    </w:p>
    <w:p w14:paraId="699A244B" w14:textId="75A8FC7A" w:rsidR="007D3B1B" w:rsidRDefault="007D3B1B" w:rsidP="00C3524B">
      <w:pPr>
        <w:pStyle w:val="Odstavecseseznamem"/>
        <w:numPr>
          <w:ilvl w:val="0"/>
          <w:numId w:val="37"/>
        </w:numPr>
        <w:spacing w:after="60" w:line="276" w:lineRule="auto"/>
        <w:contextualSpacing w:val="0"/>
        <w:jc w:val="both"/>
      </w:pPr>
      <w:r>
        <w:rPr>
          <w:rFonts w:ascii="Arial" w:eastAsia="Arial" w:hAnsi="Arial" w:cs="Arial"/>
        </w:rPr>
        <w:t>stát má více podporovat soukromé investice prostřednictvím odpisových, úvěrových a</w:t>
      </w:r>
      <w:r w:rsidR="00C3524B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garančních nástrojů a méně prostřednictvím plošných, provozně orientovaných dotací</w:t>
      </w:r>
      <w:r w:rsidR="00C3524B">
        <w:rPr>
          <w:rFonts w:ascii="Arial" w:eastAsia="Arial" w:hAnsi="Arial" w:cs="Arial"/>
        </w:rPr>
        <w:t>;</w:t>
      </w:r>
    </w:p>
    <w:p w14:paraId="596F307B" w14:textId="42790660" w:rsidR="007D3B1B" w:rsidRDefault="007D3B1B" w:rsidP="00C3524B">
      <w:pPr>
        <w:pStyle w:val="Odstavecseseznamem"/>
        <w:numPr>
          <w:ilvl w:val="0"/>
          <w:numId w:val="37"/>
        </w:numPr>
        <w:spacing w:after="60" w:line="276" w:lineRule="auto"/>
        <w:contextualSpacing w:val="0"/>
        <w:jc w:val="both"/>
      </w:pPr>
      <w:r>
        <w:rPr>
          <w:rFonts w:ascii="Arial" w:eastAsia="Arial" w:hAnsi="Arial" w:cs="Arial"/>
        </w:rPr>
        <w:t>veřejné prostředky mají být směrovány tam, kde odblokují vyšší objem soukromých nebo evropských investic</w:t>
      </w:r>
      <w:r w:rsidR="00C3524B">
        <w:rPr>
          <w:rFonts w:ascii="Arial" w:eastAsia="Arial" w:hAnsi="Arial" w:cs="Arial"/>
        </w:rPr>
        <w:t>;</w:t>
      </w:r>
    </w:p>
    <w:p w14:paraId="19A3B35B" w14:textId="028B6A1D" w:rsidR="007D3B1B" w:rsidRDefault="007D3B1B" w:rsidP="00C3524B">
      <w:pPr>
        <w:pStyle w:val="Odstavecseseznamem"/>
        <w:numPr>
          <w:ilvl w:val="0"/>
          <w:numId w:val="37"/>
        </w:numPr>
        <w:spacing w:after="60" w:line="276" w:lineRule="auto"/>
        <w:contextualSpacing w:val="0"/>
        <w:jc w:val="both"/>
      </w:pPr>
      <w:r>
        <w:rPr>
          <w:rFonts w:ascii="Arial" w:eastAsia="Arial" w:hAnsi="Arial" w:cs="Arial"/>
        </w:rPr>
        <w:t>podporovány mají být zejména projekty s vysokou domácí přidanou hodnotou a měřitelným dopadem do růstu, exportu, zaměstnanosti a daňových výnosů</w:t>
      </w:r>
      <w:r w:rsidR="00C3524B">
        <w:rPr>
          <w:rFonts w:ascii="Arial" w:eastAsia="Arial" w:hAnsi="Arial" w:cs="Arial"/>
        </w:rPr>
        <w:t>;</w:t>
      </w:r>
    </w:p>
    <w:p w14:paraId="38246747" w14:textId="3F10AB39" w:rsidR="007D3B1B" w:rsidRDefault="007D3B1B" w:rsidP="00C3524B">
      <w:pPr>
        <w:pStyle w:val="Odstavecseseznamem"/>
        <w:numPr>
          <w:ilvl w:val="0"/>
          <w:numId w:val="37"/>
        </w:numPr>
        <w:spacing w:after="60" w:line="276" w:lineRule="auto"/>
        <w:contextualSpacing w:val="0"/>
        <w:jc w:val="both"/>
      </w:pPr>
      <w:r>
        <w:rPr>
          <w:rFonts w:ascii="Arial" w:eastAsia="Arial" w:hAnsi="Arial" w:cs="Arial"/>
        </w:rPr>
        <w:t>stát má v investiční politice šetřit na vlastním provozu, nikoli na infrastrukturních a</w:t>
      </w:r>
      <w:r w:rsidR="00C3524B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prorůstových výdajích</w:t>
      </w:r>
      <w:r w:rsidR="00C3524B">
        <w:rPr>
          <w:rFonts w:ascii="Arial" w:eastAsia="Arial" w:hAnsi="Arial" w:cs="Arial"/>
        </w:rPr>
        <w:t>;</w:t>
      </w:r>
    </w:p>
    <w:p w14:paraId="679AD1A0" w14:textId="5EED7CFF" w:rsidR="007D3B1B" w:rsidRDefault="007D3B1B" w:rsidP="00C3524B">
      <w:pPr>
        <w:pStyle w:val="Odstavecseseznamem"/>
        <w:numPr>
          <w:ilvl w:val="0"/>
          <w:numId w:val="37"/>
        </w:numPr>
        <w:spacing w:after="60" w:line="276" w:lineRule="auto"/>
        <w:contextualSpacing w:val="0"/>
        <w:jc w:val="both"/>
      </w:pPr>
      <w:r>
        <w:rPr>
          <w:rFonts w:ascii="Arial" w:eastAsia="Arial" w:hAnsi="Arial" w:cs="Arial"/>
        </w:rPr>
        <w:t>systematičtější přístup k prioritizaci strategických investic nepovede k oddělení těchto investic od standardního rozpočtového procesu, ale bude sloužit ke zpřehlednění systému pro politické rozhodování</w:t>
      </w:r>
      <w:r w:rsidR="00C3524B">
        <w:rPr>
          <w:rFonts w:ascii="Arial" w:eastAsia="Arial" w:hAnsi="Arial" w:cs="Arial"/>
        </w:rPr>
        <w:t>;</w:t>
      </w:r>
    </w:p>
    <w:p w14:paraId="3968E83A" w14:textId="77777777" w:rsidR="007D3B1B" w:rsidRDefault="007D3B1B" w:rsidP="00C3524B">
      <w:pPr>
        <w:pStyle w:val="Odstavecseseznamem"/>
        <w:numPr>
          <w:ilvl w:val="0"/>
          <w:numId w:val="37"/>
        </w:numPr>
        <w:spacing w:after="60" w:line="276" w:lineRule="auto"/>
        <w:contextualSpacing w:val="0"/>
        <w:jc w:val="both"/>
      </w:pPr>
      <w:r>
        <w:rPr>
          <w:rFonts w:ascii="Arial" w:eastAsia="Arial" w:hAnsi="Arial" w:cs="Arial"/>
        </w:rPr>
        <w:t>i při vyšším důrazu na strategické investice zůstane plně zachována transparentnost dluhu státu a všech souvisejících finančních závazků.</w:t>
      </w:r>
    </w:p>
    <w:p w14:paraId="08A1D1A4" w14:textId="77777777" w:rsidR="007D3B1B" w:rsidRDefault="007D3B1B" w:rsidP="00C3524B">
      <w:pPr>
        <w:pStyle w:val="Nadpis1"/>
        <w:jc w:val="both"/>
      </w:pPr>
      <w:r>
        <w:rPr>
          <w:rFonts w:ascii="Arial" w:eastAsia="Arial" w:hAnsi="Arial" w:cs="Arial"/>
          <w:bCs/>
          <w:szCs w:val="28"/>
        </w:rPr>
        <w:t>Další postup</w:t>
      </w:r>
    </w:p>
    <w:p w14:paraId="42F42884" w14:textId="77777777" w:rsidR="007D3B1B" w:rsidRDefault="007D3B1B" w:rsidP="00C3524B">
      <w:pPr>
        <w:spacing w:after="120" w:line="276" w:lineRule="auto"/>
        <w:jc w:val="both"/>
      </w:pPr>
      <w:r>
        <w:rPr>
          <w:rFonts w:ascii="Arial" w:eastAsia="Arial" w:hAnsi="Arial" w:cs="Arial"/>
        </w:rPr>
        <w:t>Zavádění systematičtějšího přístupu k prioritizaci a financování strategických investic bude postupné a bude navazovat na stávající pravidla přípravy státního rozpočtu a střednědobého výhledu. Práce na metodických a institucionálních předpokladech budou pokračovat v návaznosti na navazující materiály vlády. Cílem není oddělit strategické investice od standardního rozpočtového procesu, ale zpřehlednit jej pro politické rozhodování a posílit vazbu mezi hospodářskými prioritami státu, přípravou projektů a jejich financováním.</w:t>
      </w:r>
    </w:p>
    <w:p w14:paraId="7E080CE0" w14:textId="093B12A6" w:rsidR="00A65DB5" w:rsidRPr="00876F45" w:rsidRDefault="00A65DB5" w:rsidP="007D3B1B">
      <w:pPr>
        <w:keepNext/>
        <w:keepLines/>
        <w:spacing w:after="0" w:line="240" w:lineRule="auto"/>
        <w:contextualSpacing/>
        <w:rPr>
          <w:rFonts w:ascii="Arial" w:hAnsi="Arial" w:cs="Arial"/>
          <w:b/>
          <w:bCs/>
        </w:rPr>
      </w:pPr>
    </w:p>
    <w:sectPr w:rsidR="00A65DB5" w:rsidRPr="00876F45" w:rsidSect="00CC5E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0C196" w14:textId="77777777" w:rsidR="00740520" w:rsidRDefault="00740520" w:rsidP="00677FE0">
      <w:pPr>
        <w:spacing w:after="0" w:line="240" w:lineRule="auto"/>
      </w:pPr>
      <w:r>
        <w:separator/>
      </w:r>
    </w:p>
  </w:endnote>
  <w:endnote w:type="continuationSeparator" w:id="0">
    <w:p w14:paraId="1A3DDFD6" w14:textId="77777777" w:rsidR="00740520" w:rsidRDefault="00740520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45CA" w14:textId="77777777" w:rsidR="00677FE0" w:rsidRDefault="00677F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CB59" w14:textId="77777777" w:rsidR="00677FE0" w:rsidRDefault="00677F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8D06" w14:textId="77777777" w:rsidR="00677FE0" w:rsidRDefault="00677F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178E" w14:textId="77777777" w:rsidR="00740520" w:rsidRDefault="00740520" w:rsidP="00677FE0">
      <w:pPr>
        <w:spacing w:after="0" w:line="240" w:lineRule="auto"/>
      </w:pPr>
      <w:r>
        <w:separator/>
      </w:r>
    </w:p>
  </w:footnote>
  <w:footnote w:type="continuationSeparator" w:id="0">
    <w:p w14:paraId="689B94BF" w14:textId="77777777" w:rsidR="00740520" w:rsidRDefault="00740520" w:rsidP="0067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5282" w14:textId="77777777" w:rsidR="00677FE0" w:rsidRDefault="00677F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C30E3" w14:textId="77777777" w:rsidR="00677FE0" w:rsidRDefault="00677F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D3656" w14:textId="77777777" w:rsidR="00677FE0" w:rsidRDefault="00677F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987FCF"/>
    <w:multiLevelType w:val="multilevel"/>
    <w:tmpl w:val="0D8ABE32"/>
    <w:numStyleLink w:val="VariantaB-sla"/>
  </w:abstractNum>
  <w:abstractNum w:abstractNumId="19" w15:restartNumberingAfterBreak="0">
    <w:nsid w:val="1D3068A6"/>
    <w:multiLevelType w:val="multilevel"/>
    <w:tmpl w:val="3320A8B2"/>
    <w:numStyleLink w:val="VariantaB-odrky"/>
  </w:abstractNum>
  <w:abstractNum w:abstractNumId="20" w15:restartNumberingAfterBreak="0">
    <w:nsid w:val="1D464EC2"/>
    <w:multiLevelType w:val="multilevel"/>
    <w:tmpl w:val="E8BAE50A"/>
    <w:numStyleLink w:val="VariantaA-odrky"/>
  </w:abstractNum>
  <w:abstractNum w:abstractNumId="21" w15:restartNumberingAfterBreak="0">
    <w:nsid w:val="1EAB39CE"/>
    <w:multiLevelType w:val="multilevel"/>
    <w:tmpl w:val="E8BAE50A"/>
    <w:numStyleLink w:val="VariantaA-odrky"/>
  </w:abstractNum>
  <w:abstractNum w:abstractNumId="22" w15:restartNumberingAfterBreak="0">
    <w:nsid w:val="289A5EA2"/>
    <w:multiLevelType w:val="multilevel"/>
    <w:tmpl w:val="E8BAE50A"/>
    <w:numStyleLink w:val="VariantaA-odrky"/>
  </w:abstractNum>
  <w:abstractNum w:abstractNumId="23" w15:restartNumberingAfterBreak="0">
    <w:nsid w:val="28AB573E"/>
    <w:multiLevelType w:val="multilevel"/>
    <w:tmpl w:val="3320A8B2"/>
    <w:numStyleLink w:val="VariantaB-odrky"/>
  </w:abstractNum>
  <w:abstractNum w:abstractNumId="24" w15:restartNumberingAfterBreak="0">
    <w:nsid w:val="2A5F2D39"/>
    <w:multiLevelType w:val="multilevel"/>
    <w:tmpl w:val="E8BAE50A"/>
    <w:numStyleLink w:val="VariantaA-odrky"/>
  </w:abstractNum>
  <w:abstractNum w:abstractNumId="25" w15:restartNumberingAfterBreak="0">
    <w:nsid w:val="2DBB2CE6"/>
    <w:multiLevelType w:val="multilevel"/>
    <w:tmpl w:val="E8BAE50A"/>
    <w:numStyleLink w:val="VariantaA-odrky"/>
  </w:abstractNum>
  <w:abstractNum w:abstractNumId="26" w15:restartNumberingAfterBreak="0">
    <w:nsid w:val="355131EF"/>
    <w:multiLevelType w:val="multilevel"/>
    <w:tmpl w:val="E8A48D7C"/>
    <w:numStyleLink w:val="VariantaA-sla"/>
  </w:abstractNum>
  <w:abstractNum w:abstractNumId="27" w15:restartNumberingAfterBreak="0">
    <w:nsid w:val="4A306389"/>
    <w:multiLevelType w:val="multilevel"/>
    <w:tmpl w:val="E8BAE50A"/>
    <w:numStyleLink w:val="VariantaA-odrky"/>
  </w:abstractNum>
  <w:abstractNum w:abstractNumId="28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3290926"/>
    <w:multiLevelType w:val="multilevel"/>
    <w:tmpl w:val="E8BAE50A"/>
    <w:numStyleLink w:val="VariantaA-odrky"/>
  </w:abstractNum>
  <w:abstractNum w:abstractNumId="30" w15:restartNumberingAfterBreak="0">
    <w:nsid w:val="533902EA"/>
    <w:multiLevelType w:val="multilevel"/>
    <w:tmpl w:val="E8BAE50A"/>
    <w:numStyleLink w:val="VariantaA-odrky"/>
  </w:abstractNum>
  <w:abstractNum w:abstractNumId="31" w15:restartNumberingAfterBreak="0">
    <w:nsid w:val="571C11E2"/>
    <w:multiLevelType w:val="multilevel"/>
    <w:tmpl w:val="E8A48D7C"/>
    <w:numStyleLink w:val="VariantaA-sla"/>
  </w:abstractNum>
  <w:abstractNum w:abstractNumId="32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3" w15:restartNumberingAfterBreak="0">
    <w:nsid w:val="5AF35F43"/>
    <w:multiLevelType w:val="multilevel"/>
    <w:tmpl w:val="0D8ABE32"/>
    <w:numStyleLink w:val="VariantaB-sla"/>
  </w:abstractNum>
  <w:abstractNum w:abstractNumId="34" w15:restartNumberingAfterBreak="0">
    <w:nsid w:val="7D6C6833"/>
    <w:multiLevelType w:val="hybridMultilevel"/>
    <w:tmpl w:val="877C022A"/>
    <w:lvl w:ilvl="0" w:tplc="55A8884E">
      <w:start w:val="1"/>
      <w:numFmt w:val="bullet"/>
      <w:lvlText w:val="•"/>
      <w:lvlJc w:val="left"/>
      <w:pPr>
        <w:ind w:left="720" w:hanging="360"/>
      </w:pPr>
    </w:lvl>
    <w:lvl w:ilvl="1" w:tplc="7EB0C85E">
      <w:numFmt w:val="decimal"/>
      <w:lvlText w:val=""/>
      <w:lvlJc w:val="left"/>
    </w:lvl>
    <w:lvl w:ilvl="2" w:tplc="79D8DC88">
      <w:numFmt w:val="decimal"/>
      <w:lvlText w:val=""/>
      <w:lvlJc w:val="left"/>
    </w:lvl>
    <w:lvl w:ilvl="3" w:tplc="F4C84D26">
      <w:numFmt w:val="decimal"/>
      <w:lvlText w:val=""/>
      <w:lvlJc w:val="left"/>
    </w:lvl>
    <w:lvl w:ilvl="4" w:tplc="1310AC82">
      <w:numFmt w:val="decimal"/>
      <w:lvlText w:val=""/>
      <w:lvlJc w:val="left"/>
    </w:lvl>
    <w:lvl w:ilvl="5" w:tplc="69B82222">
      <w:numFmt w:val="decimal"/>
      <w:lvlText w:val=""/>
      <w:lvlJc w:val="left"/>
    </w:lvl>
    <w:lvl w:ilvl="6" w:tplc="BB4002A4">
      <w:numFmt w:val="decimal"/>
      <w:lvlText w:val=""/>
      <w:lvlJc w:val="left"/>
    </w:lvl>
    <w:lvl w:ilvl="7" w:tplc="C00AF07C">
      <w:numFmt w:val="decimal"/>
      <w:lvlText w:val=""/>
      <w:lvlJc w:val="left"/>
    </w:lvl>
    <w:lvl w:ilvl="8" w:tplc="4C98DB72">
      <w:numFmt w:val="decimal"/>
      <w:lvlText w:val=""/>
      <w:lvlJc w:val="left"/>
    </w:lvl>
  </w:abstractNum>
  <w:num w:numId="1" w16cid:durableId="1995140128">
    <w:abstractNumId w:val="16"/>
  </w:num>
  <w:num w:numId="2" w16cid:durableId="903488164">
    <w:abstractNumId w:val="32"/>
  </w:num>
  <w:num w:numId="3" w16cid:durableId="811873244">
    <w:abstractNumId w:val="19"/>
  </w:num>
  <w:num w:numId="4" w16cid:durableId="174854881">
    <w:abstractNumId w:val="14"/>
  </w:num>
  <w:num w:numId="5" w16cid:durableId="1783181751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 w16cid:durableId="1052509148">
    <w:abstractNumId w:val="28"/>
  </w:num>
  <w:num w:numId="7" w16cid:durableId="1832259963">
    <w:abstractNumId w:val="7"/>
  </w:num>
  <w:num w:numId="8" w16cid:durableId="1606570840">
    <w:abstractNumId w:val="31"/>
  </w:num>
  <w:num w:numId="9" w16cid:durableId="712653419">
    <w:abstractNumId w:val="5"/>
  </w:num>
  <w:num w:numId="10" w16cid:durableId="201138558">
    <w:abstractNumId w:val="2"/>
  </w:num>
  <w:num w:numId="11" w16cid:durableId="85080020">
    <w:abstractNumId w:val="1"/>
  </w:num>
  <w:num w:numId="12" w16cid:durableId="105076941">
    <w:abstractNumId w:val="0"/>
  </w:num>
  <w:num w:numId="13" w16cid:durableId="1122460152">
    <w:abstractNumId w:val="30"/>
  </w:num>
  <w:num w:numId="14" w16cid:durableId="394740275">
    <w:abstractNumId w:val="4"/>
  </w:num>
  <w:num w:numId="15" w16cid:durableId="858396207">
    <w:abstractNumId w:val="3"/>
  </w:num>
  <w:num w:numId="16" w16cid:durableId="1051274616">
    <w:abstractNumId w:val="28"/>
  </w:num>
  <w:num w:numId="17" w16cid:durableId="694769594">
    <w:abstractNumId w:val="20"/>
  </w:num>
  <w:num w:numId="18" w16cid:durableId="1144851454">
    <w:abstractNumId w:val="6"/>
  </w:num>
  <w:num w:numId="19" w16cid:durableId="998385789">
    <w:abstractNumId w:val="12"/>
  </w:num>
  <w:num w:numId="20" w16cid:durableId="951739346">
    <w:abstractNumId w:val="8"/>
  </w:num>
  <w:num w:numId="21" w16cid:durableId="306085551">
    <w:abstractNumId w:val="26"/>
  </w:num>
  <w:num w:numId="22" w16cid:durableId="630937777">
    <w:abstractNumId w:val="10"/>
  </w:num>
  <w:num w:numId="23" w16cid:durableId="751394216">
    <w:abstractNumId w:val="21"/>
  </w:num>
  <w:num w:numId="24" w16cid:durableId="1712534255">
    <w:abstractNumId w:val="11"/>
  </w:num>
  <w:num w:numId="25" w16cid:durableId="504170660">
    <w:abstractNumId w:val="15"/>
  </w:num>
  <w:num w:numId="26" w16cid:durableId="960189535">
    <w:abstractNumId w:val="27"/>
  </w:num>
  <w:num w:numId="27" w16cid:durableId="1698239946">
    <w:abstractNumId w:val="25"/>
  </w:num>
  <w:num w:numId="28" w16cid:durableId="950018381">
    <w:abstractNumId w:val="24"/>
  </w:num>
  <w:num w:numId="29" w16cid:durableId="233517564">
    <w:abstractNumId w:val="18"/>
  </w:num>
  <w:num w:numId="30" w16cid:durableId="1126965218">
    <w:abstractNumId w:val="29"/>
  </w:num>
  <w:num w:numId="31" w16cid:durableId="16591412">
    <w:abstractNumId w:val="33"/>
  </w:num>
  <w:num w:numId="32" w16cid:durableId="125898788">
    <w:abstractNumId w:val="22"/>
  </w:num>
  <w:num w:numId="33" w16cid:durableId="1000935564">
    <w:abstractNumId w:val="17"/>
  </w:num>
  <w:num w:numId="34" w16cid:durableId="1164467515">
    <w:abstractNumId w:val="9"/>
  </w:num>
  <w:num w:numId="35" w16cid:durableId="2089576928">
    <w:abstractNumId w:val="23"/>
  </w:num>
  <w:num w:numId="36" w16cid:durableId="2037387379">
    <w:abstractNumId w:val="13"/>
  </w:num>
  <w:num w:numId="37" w16cid:durableId="2079550281">
    <w:abstractNumId w:val="3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2B"/>
    <w:rsid w:val="00015306"/>
    <w:rsid w:val="0002674B"/>
    <w:rsid w:val="0004162E"/>
    <w:rsid w:val="0004786B"/>
    <w:rsid w:val="00063405"/>
    <w:rsid w:val="000809B9"/>
    <w:rsid w:val="00090B40"/>
    <w:rsid w:val="00095A0A"/>
    <w:rsid w:val="000B1B3D"/>
    <w:rsid w:val="000C4CAF"/>
    <w:rsid w:val="00121485"/>
    <w:rsid w:val="001268B0"/>
    <w:rsid w:val="0018051B"/>
    <w:rsid w:val="001B1E4A"/>
    <w:rsid w:val="001D27C0"/>
    <w:rsid w:val="001E74C3"/>
    <w:rsid w:val="001F6937"/>
    <w:rsid w:val="00220DE3"/>
    <w:rsid w:val="00221AA2"/>
    <w:rsid w:val="0025290D"/>
    <w:rsid w:val="00260372"/>
    <w:rsid w:val="00262DAF"/>
    <w:rsid w:val="00285AED"/>
    <w:rsid w:val="002E2442"/>
    <w:rsid w:val="002F0E8C"/>
    <w:rsid w:val="00310FA0"/>
    <w:rsid w:val="00320481"/>
    <w:rsid w:val="003250CB"/>
    <w:rsid w:val="003264E9"/>
    <w:rsid w:val="00363201"/>
    <w:rsid w:val="0039063C"/>
    <w:rsid w:val="003A46A8"/>
    <w:rsid w:val="003A51AA"/>
    <w:rsid w:val="003B565A"/>
    <w:rsid w:val="003D00A1"/>
    <w:rsid w:val="0041427F"/>
    <w:rsid w:val="004509E5"/>
    <w:rsid w:val="00486FB9"/>
    <w:rsid w:val="004C212A"/>
    <w:rsid w:val="00500232"/>
    <w:rsid w:val="00504668"/>
    <w:rsid w:val="00533ADE"/>
    <w:rsid w:val="005455E1"/>
    <w:rsid w:val="005502BD"/>
    <w:rsid w:val="005550B8"/>
    <w:rsid w:val="00556787"/>
    <w:rsid w:val="00582276"/>
    <w:rsid w:val="005C2560"/>
    <w:rsid w:val="005F7585"/>
    <w:rsid w:val="00605759"/>
    <w:rsid w:val="00650C6C"/>
    <w:rsid w:val="00652FE6"/>
    <w:rsid w:val="00667898"/>
    <w:rsid w:val="00677FE0"/>
    <w:rsid w:val="006D04EF"/>
    <w:rsid w:val="006E2FB0"/>
    <w:rsid w:val="006F3D5B"/>
    <w:rsid w:val="007102D2"/>
    <w:rsid w:val="00713948"/>
    <w:rsid w:val="00740520"/>
    <w:rsid w:val="00753A27"/>
    <w:rsid w:val="00762C64"/>
    <w:rsid w:val="0079342A"/>
    <w:rsid w:val="007B4949"/>
    <w:rsid w:val="007C60C5"/>
    <w:rsid w:val="007D3B1B"/>
    <w:rsid w:val="007F0BC6"/>
    <w:rsid w:val="00831374"/>
    <w:rsid w:val="0083753C"/>
    <w:rsid w:val="00857580"/>
    <w:rsid w:val="00865238"/>
    <w:rsid w:val="008667BF"/>
    <w:rsid w:val="00876F45"/>
    <w:rsid w:val="00895645"/>
    <w:rsid w:val="008A7851"/>
    <w:rsid w:val="008C3782"/>
    <w:rsid w:val="008D4A32"/>
    <w:rsid w:val="008D593A"/>
    <w:rsid w:val="008E7760"/>
    <w:rsid w:val="00922001"/>
    <w:rsid w:val="00922C17"/>
    <w:rsid w:val="00942DDD"/>
    <w:rsid w:val="009516A8"/>
    <w:rsid w:val="0097705C"/>
    <w:rsid w:val="009A6F29"/>
    <w:rsid w:val="009F393D"/>
    <w:rsid w:val="009F7F46"/>
    <w:rsid w:val="00A000BF"/>
    <w:rsid w:val="00A0587E"/>
    <w:rsid w:val="00A234BA"/>
    <w:rsid w:val="00A275BC"/>
    <w:rsid w:val="00A464B4"/>
    <w:rsid w:val="00A63D6B"/>
    <w:rsid w:val="00A65DB5"/>
    <w:rsid w:val="00A8111A"/>
    <w:rsid w:val="00A84B52"/>
    <w:rsid w:val="00A8660F"/>
    <w:rsid w:val="00A95C48"/>
    <w:rsid w:val="00AA7056"/>
    <w:rsid w:val="00AB31C6"/>
    <w:rsid w:val="00AB523B"/>
    <w:rsid w:val="00AD7E40"/>
    <w:rsid w:val="00B1477A"/>
    <w:rsid w:val="00B20993"/>
    <w:rsid w:val="00B42E96"/>
    <w:rsid w:val="00B50EE6"/>
    <w:rsid w:val="00B52185"/>
    <w:rsid w:val="00B9753A"/>
    <w:rsid w:val="00BB479C"/>
    <w:rsid w:val="00BC4720"/>
    <w:rsid w:val="00BD75A2"/>
    <w:rsid w:val="00BF160D"/>
    <w:rsid w:val="00C2017A"/>
    <w:rsid w:val="00C2026B"/>
    <w:rsid w:val="00C20470"/>
    <w:rsid w:val="00C34B2F"/>
    <w:rsid w:val="00C3524B"/>
    <w:rsid w:val="00C4641B"/>
    <w:rsid w:val="00C6690E"/>
    <w:rsid w:val="00C703C5"/>
    <w:rsid w:val="00C805F2"/>
    <w:rsid w:val="00C96EFE"/>
    <w:rsid w:val="00CC5E40"/>
    <w:rsid w:val="00CD3306"/>
    <w:rsid w:val="00D1569F"/>
    <w:rsid w:val="00D20B1E"/>
    <w:rsid w:val="00D22462"/>
    <w:rsid w:val="00D230AC"/>
    <w:rsid w:val="00D32489"/>
    <w:rsid w:val="00D3349E"/>
    <w:rsid w:val="00D73CB8"/>
    <w:rsid w:val="00D95AC8"/>
    <w:rsid w:val="00DA7591"/>
    <w:rsid w:val="00E32798"/>
    <w:rsid w:val="00E33CC8"/>
    <w:rsid w:val="00E37E67"/>
    <w:rsid w:val="00E51C91"/>
    <w:rsid w:val="00E667C1"/>
    <w:rsid w:val="00EC3F88"/>
    <w:rsid w:val="00ED36D8"/>
    <w:rsid w:val="00EE6BD7"/>
    <w:rsid w:val="00F0689D"/>
    <w:rsid w:val="00F36D2B"/>
    <w:rsid w:val="00F962BA"/>
    <w:rsid w:val="00FB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526C1"/>
  <w15:chartTrackingRefBased/>
  <w15:docId w15:val="{37F3D47E-9EB8-4601-A6AE-1960E0E2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587E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980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Hronza Martin</dc:creator>
  <cp:keywords/>
  <dc:description/>
  <cp:lastModifiedBy>OSPZV-ASO OSPZV-ASO</cp:lastModifiedBy>
  <cp:revision>2</cp:revision>
  <cp:lastPrinted>2026-04-23T15:33:00Z</cp:lastPrinted>
  <dcterms:created xsi:type="dcterms:W3CDTF">2026-05-06T06:26:00Z</dcterms:created>
  <dcterms:modified xsi:type="dcterms:W3CDTF">2026-05-06T06:26:00Z</dcterms:modified>
</cp:coreProperties>
</file>