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5D5B" w14:textId="77777777"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14:paraId="1465508A" w14:textId="04C96DA2"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9620A1">
        <w:rPr>
          <w:rFonts w:ascii="Arial" w:hAnsi="Arial" w:cs="Arial"/>
          <w:sz w:val="24"/>
          <w:szCs w:val="24"/>
        </w:rPr>
        <w:t xml:space="preserve">               </w:t>
      </w:r>
      <w:r w:rsidR="001D106B">
        <w:rPr>
          <w:rFonts w:ascii="Arial" w:hAnsi="Arial" w:cs="Arial"/>
          <w:sz w:val="24"/>
          <w:szCs w:val="24"/>
        </w:rPr>
        <w:t xml:space="preserve">V Praze dne </w:t>
      </w:r>
      <w:r w:rsidR="0008226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</w:t>
      </w:r>
      <w:r w:rsidR="00082267">
        <w:rPr>
          <w:rFonts w:ascii="Arial" w:hAnsi="Arial" w:cs="Arial"/>
          <w:sz w:val="24"/>
          <w:szCs w:val="24"/>
        </w:rPr>
        <w:t>června</w:t>
      </w:r>
      <w:r w:rsidR="001D106B">
        <w:rPr>
          <w:rFonts w:ascii="Arial" w:hAnsi="Arial" w:cs="Arial"/>
          <w:sz w:val="24"/>
          <w:szCs w:val="24"/>
        </w:rPr>
        <w:t xml:space="preserve"> 2025</w:t>
      </w:r>
    </w:p>
    <w:p w14:paraId="0DCF87DE" w14:textId="77777777"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14:paraId="6D9BF8EE" w14:textId="77777777"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14:paraId="13A9C5E3" w14:textId="77777777"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14:paraId="73196004" w14:textId="77777777"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14:paraId="2F856F64" w14:textId="77777777"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14:paraId="2D0F2592" w14:textId="77777777"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 JEDNÁNÍ RADY HOSPODÁŘSKÉ A SOCIÁLNÍ DOHODY ČR</w:t>
      </w:r>
    </w:p>
    <w:p w14:paraId="39212E80" w14:textId="77777777" w:rsidR="000C2B17" w:rsidRDefault="000C2B17" w:rsidP="00FB36FA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14:paraId="4901C3E2" w14:textId="77777777"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14:paraId="63C497B5" w14:textId="77777777"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14:paraId="07FCD618" w14:textId="77777777"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14:paraId="09AE1A4F" w14:textId="77777777"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14:paraId="7733F607" w14:textId="77777777"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14:paraId="1F7266A0" w14:textId="77777777"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14:paraId="02D7DA2D" w14:textId="66E3A0E7" w:rsidR="009620A1" w:rsidRDefault="00082267" w:rsidP="009620A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Shrnutí činnosti</w:t>
      </w:r>
      <w:r w:rsidR="009620A1">
        <w:rPr>
          <w:rFonts w:ascii="Arial" w:hAnsi="Arial" w:cs="Arial"/>
          <w:b/>
          <w:sz w:val="24"/>
          <w:szCs w:val="24"/>
        </w:rPr>
        <w:t xml:space="preserve"> </w:t>
      </w:r>
      <w:r w:rsidR="000C2B17">
        <w:rPr>
          <w:rFonts w:ascii="Arial" w:hAnsi="Arial" w:cs="Arial"/>
          <w:b/>
          <w:sz w:val="24"/>
          <w:szCs w:val="24"/>
        </w:rPr>
        <w:t>Rady hospodářské a sociální dohody ČR</w:t>
      </w:r>
      <w:r w:rsidR="009620A1">
        <w:rPr>
          <w:rFonts w:ascii="Arial" w:hAnsi="Arial" w:cs="Arial"/>
          <w:b/>
          <w:sz w:val="24"/>
          <w:szCs w:val="24"/>
        </w:rPr>
        <w:t xml:space="preserve"> </w:t>
      </w:r>
    </w:p>
    <w:p w14:paraId="2DD99FDB" w14:textId="362C4BE4" w:rsidR="00A3266F" w:rsidRDefault="00082267" w:rsidP="009620A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 tomto volebním období</w:t>
      </w:r>
    </w:p>
    <w:p w14:paraId="10D64E2F" w14:textId="77777777"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08821F58" w14:textId="77777777"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02F92447" w14:textId="77777777"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2AF158D7" w14:textId="77777777"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07E9E78F" w14:textId="77777777"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33650CF3" w14:textId="77777777"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46AEA25D" w14:textId="77777777"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3497ACB1" w14:textId="77777777" w:rsidR="006F1839" w:rsidRDefault="006F1839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39C8D326" w14:textId="77777777" w:rsidR="00E52696" w:rsidRDefault="000C2B17" w:rsidP="00E52696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0C2B17">
        <w:rPr>
          <w:rFonts w:ascii="Arial" w:hAnsi="Arial" w:cs="Arial"/>
          <w:sz w:val="24"/>
          <w:szCs w:val="24"/>
          <w:u w:val="single"/>
        </w:rPr>
        <w:t>Obsah:</w:t>
      </w:r>
    </w:p>
    <w:p w14:paraId="68593244" w14:textId="28F9B65B" w:rsidR="000C2B17" w:rsidRPr="00E52696" w:rsidRDefault="00082267" w:rsidP="00E52696">
      <w:pPr>
        <w:pStyle w:val="Bezmezer"/>
        <w:ind w:left="524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Shrnutí činnosti</w:t>
      </w:r>
      <w:r w:rsidR="000C2B17" w:rsidRPr="004927E7">
        <w:rPr>
          <w:rFonts w:ascii="Arial" w:hAnsi="Arial" w:cs="Arial"/>
          <w:sz w:val="24"/>
          <w:szCs w:val="24"/>
        </w:rPr>
        <w:t xml:space="preserve"> RHSD ČR</w:t>
      </w:r>
    </w:p>
    <w:p w14:paraId="40EA5643" w14:textId="77777777" w:rsidR="000C2B17" w:rsidRDefault="000C2B17" w:rsidP="000C2B17">
      <w:pPr>
        <w:pStyle w:val="Bezmezer"/>
        <w:ind w:left="5088"/>
        <w:rPr>
          <w:rFonts w:ascii="Arial" w:hAnsi="Arial" w:cs="Arial"/>
          <w:sz w:val="24"/>
          <w:szCs w:val="24"/>
        </w:rPr>
      </w:pPr>
    </w:p>
    <w:p w14:paraId="78FC0FF8" w14:textId="77777777" w:rsidR="000C2B17" w:rsidRDefault="000C2B17" w:rsidP="000C2B17">
      <w:pPr>
        <w:pStyle w:val="Bezmezer"/>
        <w:ind w:left="5088"/>
        <w:rPr>
          <w:rFonts w:ascii="Arial" w:hAnsi="Arial" w:cs="Arial"/>
          <w:sz w:val="24"/>
          <w:szCs w:val="24"/>
        </w:rPr>
      </w:pPr>
    </w:p>
    <w:p w14:paraId="78FD8FCE" w14:textId="77777777" w:rsidR="000C2B17" w:rsidRDefault="000C2B17" w:rsidP="000C2B17">
      <w:pPr>
        <w:pStyle w:val="Bezmezer"/>
        <w:ind w:left="5088"/>
        <w:rPr>
          <w:rFonts w:ascii="Arial" w:hAnsi="Arial" w:cs="Arial"/>
          <w:sz w:val="24"/>
          <w:szCs w:val="24"/>
        </w:rPr>
      </w:pPr>
    </w:p>
    <w:p w14:paraId="3282D5A3" w14:textId="77777777" w:rsidR="000C2B17" w:rsidRDefault="000C2B17" w:rsidP="000C2B17">
      <w:pPr>
        <w:pStyle w:val="Bezmezer"/>
        <w:ind w:left="5088"/>
        <w:jc w:val="both"/>
        <w:rPr>
          <w:rFonts w:ascii="Arial" w:hAnsi="Arial" w:cs="Arial"/>
          <w:sz w:val="24"/>
          <w:szCs w:val="24"/>
        </w:rPr>
      </w:pPr>
    </w:p>
    <w:p w14:paraId="604A952C" w14:textId="77777777" w:rsidR="000C2B17" w:rsidRDefault="000C2B17" w:rsidP="000C2B17">
      <w:pPr>
        <w:pStyle w:val="Bezmezer"/>
        <w:ind w:left="5088"/>
        <w:jc w:val="both"/>
        <w:rPr>
          <w:rFonts w:ascii="Arial" w:hAnsi="Arial" w:cs="Arial"/>
          <w:sz w:val="24"/>
          <w:szCs w:val="24"/>
        </w:rPr>
      </w:pPr>
    </w:p>
    <w:p w14:paraId="2849935A" w14:textId="77777777" w:rsidR="000C2B17" w:rsidRDefault="000C2B17" w:rsidP="000C2B17">
      <w:pPr>
        <w:pStyle w:val="Bezmezer"/>
        <w:ind w:left="5088"/>
        <w:jc w:val="both"/>
        <w:rPr>
          <w:rFonts w:ascii="Arial" w:hAnsi="Arial" w:cs="Arial"/>
          <w:sz w:val="24"/>
          <w:szCs w:val="24"/>
        </w:rPr>
      </w:pPr>
    </w:p>
    <w:p w14:paraId="29A6996C" w14:textId="77777777" w:rsidR="000C2B17" w:rsidRDefault="000C2B17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75880C6" w14:textId="77777777" w:rsidR="006F1839" w:rsidRDefault="006F1839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9512325" w14:textId="77777777" w:rsidR="006F1839" w:rsidRDefault="006F1839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58BDF59E" w14:textId="77777777" w:rsidR="006F1839" w:rsidRDefault="006F1839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0A848A90" w14:textId="77777777" w:rsidR="001D106B" w:rsidRDefault="000C2B17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Předkládá:</w:t>
      </w:r>
    </w:p>
    <w:p w14:paraId="19C479D3" w14:textId="77777777" w:rsidR="000C2B17" w:rsidRDefault="001D106B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výkonný sekretář</w:t>
      </w:r>
      <w:r w:rsidR="000C2B17">
        <w:rPr>
          <w:rFonts w:ascii="Arial" w:hAnsi="Arial" w:cs="Arial"/>
          <w:sz w:val="24"/>
          <w:szCs w:val="24"/>
        </w:rPr>
        <w:t xml:space="preserve"> RHSD ČR</w:t>
      </w:r>
    </w:p>
    <w:p w14:paraId="21826062" w14:textId="77777777" w:rsidR="000C2B17" w:rsidRDefault="000C2B17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1B84314" w14:textId="77777777" w:rsidR="000C2B17" w:rsidRDefault="000C2B17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4F227F0" w14:textId="77777777" w:rsidR="00417B4B" w:rsidRDefault="00417B4B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8F2FB94" w14:textId="77777777" w:rsidR="00E52696" w:rsidRDefault="00E5269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CAA2AFE" w14:textId="77777777" w:rsidR="00E52696" w:rsidRDefault="00E5269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7401E07" w14:textId="77777777" w:rsidR="00E52696" w:rsidRDefault="00E5269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1CCBE86" w14:textId="77777777" w:rsidR="000C728B" w:rsidRDefault="000C728B" w:rsidP="000C2B17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6B5D532" w14:textId="77777777" w:rsidR="006012FA" w:rsidRDefault="006012FA" w:rsidP="000C2B17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C0DA0C" w14:textId="77777777" w:rsidR="003D5DDB" w:rsidRDefault="003D5DDB" w:rsidP="000C2B17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979D400" w14:textId="77777777" w:rsidR="003D5DDB" w:rsidRDefault="003D5DDB" w:rsidP="000C2B17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9609B7" w14:textId="21593B91" w:rsidR="00082267" w:rsidRPr="000A1C2E" w:rsidRDefault="00082267" w:rsidP="00082267">
      <w:pPr>
        <w:jc w:val="center"/>
        <w:rPr>
          <w:b/>
          <w:bCs/>
          <w:sz w:val="28"/>
          <w:szCs w:val="28"/>
          <w:u w:val="single"/>
        </w:rPr>
      </w:pPr>
      <w:r w:rsidRPr="000A1C2E">
        <w:rPr>
          <w:b/>
          <w:bCs/>
          <w:sz w:val="28"/>
          <w:szCs w:val="28"/>
          <w:u w:val="single"/>
        </w:rPr>
        <w:t>Shrnutí činnosti Rady hospodářské a sociální dohody ČR v</w:t>
      </w:r>
      <w:r w:rsidR="00FD3876">
        <w:rPr>
          <w:b/>
          <w:bCs/>
          <w:sz w:val="28"/>
          <w:szCs w:val="28"/>
          <w:u w:val="single"/>
        </w:rPr>
        <w:t>e</w:t>
      </w:r>
      <w:r w:rsidRPr="000A1C2E">
        <w:rPr>
          <w:b/>
          <w:bCs/>
          <w:sz w:val="28"/>
          <w:szCs w:val="28"/>
          <w:u w:val="single"/>
        </w:rPr>
        <w:t xml:space="preserve"> volebním období</w:t>
      </w:r>
      <w:r w:rsidR="00FD3876">
        <w:rPr>
          <w:b/>
          <w:bCs/>
          <w:sz w:val="28"/>
          <w:szCs w:val="28"/>
          <w:u w:val="single"/>
        </w:rPr>
        <w:t xml:space="preserve"> 2021-2025</w:t>
      </w:r>
    </w:p>
    <w:p w14:paraId="79FF75D0" w14:textId="77777777" w:rsidR="00082267" w:rsidRDefault="00082267" w:rsidP="00082267"/>
    <w:p w14:paraId="58579F94" w14:textId="77777777" w:rsidR="00082267" w:rsidRDefault="00082267" w:rsidP="00082267">
      <w:pPr>
        <w:spacing w:line="360" w:lineRule="auto"/>
        <w:jc w:val="both"/>
        <w:rPr>
          <w:sz w:val="24"/>
          <w:szCs w:val="24"/>
        </w:rPr>
      </w:pPr>
      <w:r w:rsidRPr="000A1C2E">
        <w:rPr>
          <w:sz w:val="24"/>
          <w:szCs w:val="24"/>
        </w:rPr>
        <w:t>Od jmen</w:t>
      </w:r>
      <w:r>
        <w:rPr>
          <w:sz w:val="24"/>
          <w:szCs w:val="24"/>
        </w:rPr>
        <w:t>ov</w:t>
      </w:r>
      <w:r w:rsidRPr="000A1C2E">
        <w:rPr>
          <w:sz w:val="24"/>
          <w:szCs w:val="24"/>
        </w:rPr>
        <w:t>ání vlády dne</w:t>
      </w:r>
      <w:r>
        <w:rPr>
          <w:sz w:val="24"/>
          <w:szCs w:val="24"/>
        </w:rPr>
        <w:t xml:space="preserve"> 17. prosince 2021</w:t>
      </w:r>
      <w:r w:rsidRPr="000A1C2E">
        <w:rPr>
          <w:sz w:val="24"/>
          <w:szCs w:val="24"/>
        </w:rPr>
        <w:t xml:space="preserve"> se </w:t>
      </w:r>
      <w:r>
        <w:rPr>
          <w:sz w:val="24"/>
          <w:szCs w:val="24"/>
        </w:rPr>
        <w:t>Rada hospodářské a sociální dohody ČR</w:t>
      </w:r>
      <w:r w:rsidRPr="000A1C2E">
        <w:rPr>
          <w:sz w:val="24"/>
          <w:szCs w:val="24"/>
        </w:rPr>
        <w:t xml:space="preserve"> sešla</w:t>
      </w:r>
      <w:r>
        <w:rPr>
          <w:sz w:val="24"/>
          <w:szCs w:val="24"/>
        </w:rPr>
        <w:t xml:space="preserve"> na 19 řádných a 2 mimořádných plenárních schůzích, kromě toho zasedlo celkem 21krát Předsednictvo RHSD ČR, a to v běžném i rozšířeném formátu. Dne 10. července 2023 se uskutečnilo i společné jednání RHSD ČR s krajskými hospodářskými a sociálními radami.</w:t>
      </w:r>
    </w:p>
    <w:p w14:paraId="3491C3B6" w14:textId="77777777" w:rsidR="00082267" w:rsidRDefault="00082267" w:rsidP="000822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Četnost jednání plenárních schůzi v jednotlivých letech: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2267" w14:paraId="24B84F1C" w14:textId="77777777" w:rsidTr="00BA6368">
        <w:tc>
          <w:tcPr>
            <w:tcW w:w="2265" w:type="dxa"/>
          </w:tcPr>
          <w:p w14:paraId="570DF9E1" w14:textId="77777777" w:rsidR="00082267" w:rsidRDefault="00082267" w:rsidP="00BA6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265" w:type="dxa"/>
          </w:tcPr>
          <w:p w14:paraId="4E3801A2" w14:textId="77777777" w:rsidR="00082267" w:rsidRDefault="00082267" w:rsidP="00BA6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66" w:type="dxa"/>
          </w:tcPr>
          <w:p w14:paraId="55A375F9" w14:textId="77777777" w:rsidR="00082267" w:rsidRDefault="00082267" w:rsidP="00BA6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266" w:type="dxa"/>
          </w:tcPr>
          <w:p w14:paraId="7AF1AE4A" w14:textId="77777777" w:rsidR="00082267" w:rsidRDefault="00082267" w:rsidP="00BA6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082267" w14:paraId="5F963795" w14:textId="77777777" w:rsidTr="00BA6368">
        <w:trPr>
          <w:trHeight w:val="559"/>
        </w:trPr>
        <w:tc>
          <w:tcPr>
            <w:tcW w:w="2265" w:type="dxa"/>
            <w:vAlign w:val="bottom"/>
          </w:tcPr>
          <w:p w14:paraId="4DBFB352" w14:textId="77777777" w:rsidR="00082267" w:rsidRDefault="00082267" w:rsidP="00BA6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  <w:vAlign w:val="bottom"/>
          </w:tcPr>
          <w:p w14:paraId="4E4F3BF0" w14:textId="77777777" w:rsidR="00082267" w:rsidRDefault="00082267" w:rsidP="00BA6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vAlign w:val="bottom"/>
          </w:tcPr>
          <w:p w14:paraId="50BB3649" w14:textId="77777777" w:rsidR="00082267" w:rsidRDefault="00082267" w:rsidP="00BA6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  <w:vAlign w:val="bottom"/>
          </w:tcPr>
          <w:p w14:paraId="391E6F07" w14:textId="77777777" w:rsidR="00082267" w:rsidRDefault="00082267" w:rsidP="00BA6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20DF3961" w14:textId="77777777" w:rsidR="00082267" w:rsidRDefault="00082267" w:rsidP="00082267">
      <w:pPr>
        <w:spacing w:line="360" w:lineRule="auto"/>
        <w:jc w:val="both"/>
        <w:rPr>
          <w:sz w:val="24"/>
          <w:szCs w:val="24"/>
        </w:rPr>
      </w:pPr>
    </w:p>
    <w:p w14:paraId="2EA90772" w14:textId="77777777" w:rsidR="00082267" w:rsidRDefault="00082267" w:rsidP="000822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prvních zasedáních plenární schůze v roce 2022 patřila vzhledem k aktuální situaci mezi nevíce projednávaná témata spojená s aktuální epidemickou situací za účasti ministra zdravotnictví, postupně se však do popředí dostalo téma aktuální situace na Ukrajině a jejích dopadů na ČR zejména v souvislosti s uprchlickou vlnou. Projednávání těchto bodů se aktivně účastnil 1. místopředseda vlády a ministr vnitra. Mezi další hlavní body, jimž se RHSD ČR v roce 2022 věnovala, patřila příprava na předsednictví ČR v Radě EU, Strategický plán společné zemědělské politiky, flexibilita trhu práce a zaměstnávání zahraničních pracovníků a ve druhé polovině roku se do popředí dostávala agenda spojená s rostoucími cenami energií a opatřeními vlády v této oblasti.</w:t>
      </w:r>
    </w:p>
    <w:p w14:paraId="258F65A6" w14:textId="77777777" w:rsidR="00082267" w:rsidRDefault="00082267" w:rsidP="000822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2023 pokračoval při jednáních plenární schůze důraz na energetickou problematiku, respektive na opatření v oblasti cen energií a dopadů energetické situace na jednotlivé sektory hospodářství i na životní situaci obyvatel. Otázka vysokých cen energií byla diskutována i v souvislosti s ekologickou legislativou EU. Diskutována byla rovněž situace na trhu práce v kontextu demografických změn, exportní strategie a nastavení valorizačního mechanismu minimální mzdy. V průběhu roku také sociální partneři na jednání RHSD ČR vznesli podněty ve věci společného záměru podpory dalšího profesního vzdělávání jako integrální součásti systému celoživotního učení a opatření na podporu středního odborného školství, jež byly následně pravidelně diskutovány na plenárních schůzích za účasti ministra školství, mládeže </w:t>
      </w:r>
      <w:r>
        <w:rPr>
          <w:sz w:val="24"/>
          <w:szCs w:val="24"/>
        </w:rPr>
        <w:lastRenderedPageBreak/>
        <w:t>a tělovýchovy. Kromě toho byli sociální partneři pravidelně informováni o stavu příprav důchodové reformy.</w:t>
      </w:r>
    </w:p>
    <w:p w14:paraId="093B64DA" w14:textId="774EF965" w:rsidR="00082267" w:rsidRDefault="00082267" w:rsidP="000822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Tyto body byly klíčové i v následujícím roce 2024 a jejich projednávání bylo doplněno o témata strategických investic a prorůstových opatření, státní energetické koncepce, situace ve společnosti </w:t>
      </w:r>
      <w:proofErr w:type="spellStart"/>
      <w:r>
        <w:rPr>
          <w:sz w:val="24"/>
          <w:szCs w:val="24"/>
        </w:rPr>
        <w:t>Liberty</w:t>
      </w:r>
      <w:proofErr w:type="spellEnd"/>
      <w:r>
        <w:rPr>
          <w:sz w:val="24"/>
          <w:szCs w:val="24"/>
        </w:rPr>
        <w:t xml:space="preserve"> Ostrava, zavedení prvků duálního vzdělávání nebo přípravy nového </w:t>
      </w:r>
      <w:r w:rsidR="00FD3876">
        <w:rPr>
          <w:sz w:val="24"/>
          <w:szCs w:val="24"/>
        </w:rPr>
        <w:t>víceletého finančního rámce EU</w:t>
      </w:r>
      <w:r>
        <w:rPr>
          <w:sz w:val="24"/>
          <w:szCs w:val="24"/>
        </w:rPr>
        <w:t>. Plenární schůze RHSD ČR se rovněž pravidelně zabývala situací ve zdravotnictví a v zemědělství, čerpáním prostředků z fondů EU a výstavbou a investorskou přípravou významných staveb dopravní infrastruktury.</w:t>
      </w:r>
    </w:p>
    <w:p w14:paraId="4698C6FA" w14:textId="3E0801AD" w:rsidR="00082267" w:rsidRDefault="00082267" w:rsidP="000822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2025 prozatím projednávaným tématům </w:t>
      </w:r>
      <w:r w:rsidR="00FD3876">
        <w:rPr>
          <w:sz w:val="24"/>
          <w:szCs w:val="24"/>
        </w:rPr>
        <w:t xml:space="preserve">dominovala </w:t>
      </w:r>
      <w:r>
        <w:rPr>
          <w:sz w:val="24"/>
          <w:szCs w:val="24"/>
        </w:rPr>
        <w:t xml:space="preserve">změna financování nepedagogických </w:t>
      </w:r>
      <w:r w:rsidR="00FD3876">
        <w:rPr>
          <w:sz w:val="24"/>
          <w:szCs w:val="24"/>
        </w:rPr>
        <w:t xml:space="preserve">pracovníků </w:t>
      </w:r>
      <w:r>
        <w:rPr>
          <w:sz w:val="24"/>
          <w:szCs w:val="24"/>
        </w:rPr>
        <w:t>regionálního školství a zapojení českých firem do dostavby jaderné elektrárny Dukovany. Pozornost je věnována i celním opatřením americké administrativy a jejím dopadům na hospodářství ČR a probíhající revizi a zjednodušování legislativy EU a redukci nadbytečných regulací. Pokračuje také zájem sociálních partnerů na společném záměru podpory dalšího profesního vzdělávání a na rozvoji odborného vzdělávání.</w:t>
      </w:r>
    </w:p>
    <w:p w14:paraId="4D1A74A9" w14:textId="5435208A" w:rsidR="004A7515" w:rsidRDefault="004A7515" w:rsidP="000822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přes realizovaná úsporná opatření se v průběhu celého volebního období podařilo zajistit financování projektů sociálních partnerů obsahujících aktivity na podporu sociálního dialogu i opatření v oblasti prevence rizik vzniku poškození zdraví zaměstnanců následkem pracovního úrazu nebo nemoci z povolání. V kontextu Akčního plánu na podporu kolektivního vyjednávání navíc dojde od roku 2026 k navýšení objemu prostředků na podporu sociálního dialogu na částku 40 mil. Kč.</w:t>
      </w:r>
    </w:p>
    <w:p w14:paraId="6E163F1B" w14:textId="27A922A8" w:rsidR="00082267" w:rsidRDefault="00082267" w:rsidP="000822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Kromě jednání předsednictva a plenární schůze probíhala na expertní úrovni i činnost pracovních týmů RHSD ČR pokrývajících prakticky všechny oblasti zájmu sociálních partnerů a působících téměř při všech resortech. Mezi nejaktivnější pracovní týmy patřily například Pracovní tým pro hospodářskou politiku při MPO, Pracovní tým pro vzdělávání a lidské zdroje při MŠMT a Pracovní tým pro místní rozvoj a fondy EU při MMR</w:t>
      </w:r>
      <w:r w:rsidR="00FD3876">
        <w:rPr>
          <w:sz w:val="24"/>
          <w:szCs w:val="24"/>
        </w:rPr>
        <w:t>.</w:t>
      </w:r>
    </w:p>
    <w:p w14:paraId="667FEA4A" w14:textId="77777777" w:rsidR="00082267" w:rsidRPr="000A1C2E" w:rsidRDefault="00082267" w:rsidP="000822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Vedle celostátní Rady hospodářské a sociální dohody pokračovala v průběhu celého volebního období ve všech krajích s výjimkou kraje Jihočeského i činnost krajských hospodářských a sociálních rad, přičemž sociální dialog na regionální úrovni nebyl přerušen ani krajskými volbami a ve všech krajích s výše uvedenou výjimkou byly po volbách krajské tripartity znovu </w:t>
      </w:r>
      <w:r>
        <w:rPr>
          <w:sz w:val="24"/>
          <w:szCs w:val="24"/>
        </w:rPr>
        <w:lastRenderedPageBreak/>
        <w:t>ustaveny. Jako excelentní lze v tomto směru označit činnost hospodářských a sociálních rad například ve Zlínském, Středočeském a Ústeckém kraji nebo v Kraji Vysočina.</w:t>
      </w:r>
    </w:p>
    <w:p w14:paraId="15BD066B" w14:textId="77777777" w:rsidR="00517CE8" w:rsidRPr="00F209DE" w:rsidRDefault="00517CE8" w:rsidP="00082267">
      <w:pPr>
        <w:pStyle w:val="Bezmezer"/>
        <w:jc w:val="center"/>
        <w:rPr>
          <w:rFonts w:ascii="Arial" w:hAnsi="Arial" w:cs="Arial"/>
          <w:sz w:val="24"/>
          <w:szCs w:val="24"/>
        </w:rPr>
      </w:pPr>
    </w:p>
    <w:sectPr w:rsidR="00517CE8" w:rsidRPr="00F209DE" w:rsidSect="003D5DDB">
      <w:headerReference w:type="default" r:id="rId8"/>
      <w:headerReference w:type="first" r:id="rId9"/>
      <w:pgSz w:w="11906" w:h="16838"/>
      <w:pgMar w:top="42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9669" w14:textId="77777777" w:rsidR="00762F90" w:rsidRDefault="00762F90" w:rsidP="007F1F77">
      <w:pPr>
        <w:spacing w:after="0" w:line="240" w:lineRule="auto"/>
      </w:pPr>
      <w:r>
        <w:separator/>
      </w:r>
    </w:p>
  </w:endnote>
  <w:endnote w:type="continuationSeparator" w:id="0">
    <w:p w14:paraId="361B37C4" w14:textId="77777777" w:rsidR="00762F90" w:rsidRDefault="00762F90" w:rsidP="007F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2165" w14:textId="77777777" w:rsidR="00762F90" w:rsidRDefault="00762F90" w:rsidP="007F1F77">
      <w:pPr>
        <w:spacing w:after="0" w:line="240" w:lineRule="auto"/>
      </w:pPr>
      <w:r>
        <w:separator/>
      </w:r>
    </w:p>
  </w:footnote>
  <w:footnote w:type="continuationSeparator" w:id="0">
    <w:p w14:paraId="6A3FC0F7" w14:textId="77777777" w:rsidR="00762F90" w:rsidRDefault="00762F90" w:rsidP="007F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BA20" w14:textId="77777777" w:rsidR="007F1F77" w:rsidRPr="00A94081" w:rsidRDefault="007F1F77" w:rsidP="007F1F77">
    <w:pPr>
      <w:pStyle w:val="Zhlav"/>
      <w:rPr>
        <w:rFonts w:ascii="Arial" w:hAnsi="Arial" w:cs="Arial"/>
      </w:rPr>
    </w:pPr>
  </w:p>
  <w:p w14:paraId="6A9A34D7" w14:textId="77777777" w:rsidR="007F1F77" w:rsidRDefault="007F1F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7F1F77" w14:paraId="1EEF05F0" w14:textId="77777777" w:rsidTr="00BB538C">
      <w:tc>
        <w:tcPr>
          <w:tcW w:w="6345" w:type="dxa"/>
          <w:shd w:val="clear" w:color="auto" w:fill="auto"/>
        </w:tcPr>
        <w:p w14:paraId="05057A23" w14:textId="77777777" w:rsidR="007F1F77" w:rsidRPr="00F76890" w:rsidRDefault="007F1F77" w:rsidP="007F1F77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Rada hospodářské a sociální dohody ČR</w:t>
          </w:r>
        </w:p>
      </w:tc>
      <w:tc>
        <w:tcPr>
          <w:tcW w:w="3544" w:type="dxa"/>
          <w:shd w:val="clear" w:color="auto" w:fill="auto"/>
        </w:tcPr>
        <w:p w14:paraId="3E2B51D4" w14:textId="77777777" w:rsidR="007F1F77" w:rsidRDefault="007F1F77" w:rsidP="00BB538C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  <w:lang w:eastAsia="cs-CZ"/>
            </w:rPr>
            <w:drawing>
              <wp:inline distT="0" distB="0" distL="0" distR="0" wp14:anchorId="5FAA1D24" wp14:editId="1C2CD482">
                <wp:extent cx="1800225" cy="523875"/>
                <wp:effectExtent l="0" t="0" r="9525" b="9525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C38C72" w14:textId="77777777" w:rsidR="007F1F77" w:rsidRPr="00A94081" w:rsidRDefault="007F1F77" w:rsidP="007F1F77">
    <w:pPr>
      <w:pStyle w:val="Zhlav"/>
      <w:rPr>
        <w:rFonts w:ascii="Arial" w:hAnsi="Arial" w:cs="Arial"/>
      </w:rPr>
    </w:pPr>
  </w:p>
  <w:p w14:paraId="32EFDD76" w14:textId="77777777" w:rsidR="007F1F77" w:rsidRDefault="007F1F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4E6"/>
    <w:multiLevelType w:val="hybridMultilevel"/>
    <w:tmpl w:val="90F21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1EE"/>
    <w:multiLevelType w:val="hybridMultilevel"/>
    <w:tmpl w:val="AD46F648"/>
    <w:lvl w:ilvl="0" w:tplc="2D6617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87EFD"/>
    <w:multiLevelType w:val="hybridMultilevel"/>
    <w:tmpl w:val="0116F5C8"/>
    <w:lvl w:ilvl="0" w:tplc="6EC4D50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678D3"/>
    <w:multiLevelType w:val="hybridMultilevel"/>
    <w:tmpl w:val="34E0E20E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3AD70D94"/>
    <w:multiLevelType w:val="hybridMultilevel"/>
    <w:tmpl w:val="6C043F74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56658"/>
    <w:multiLevelType w:val="hybridMultilevel"/>
    <w:tmpl w:val="76DEC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26E7E"/>
    <w:multiLevelType w:val="hybridMultilevel"/>
    <w:tmpl w:val="8B52631C"/>
    <w:lvl w:ilvl="0" w:tplc="0405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5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32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0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47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4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6164" w:hanging="360"/>
      </w:pPr>
      <w:rPr>
        <w:rFonts w:ascii="Wingdings" w:hAnsi="Wingdings" w:hint="default"/>
      </w:rPr>
    </w:lvl>
  </w:abstractNum>
  <w:abstractNum w:abstractNumId="7" w15:restartNumberingAfterBreak="0">
    <w:nsid w:val="7A4A3C94"/>
    <w:multiLevelType w:val="hybridMultilevel"/>
    <w:tmpl w:val="86329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25899">
    <w:abstractNumId w:val="7"/>
  </w:num>
  <w:num w:numId="2" w16cid:durableId="1579901499">
    <w:abstractNumId w:val="6"/>
  </w:num>
  <w:num w:numId="3" w16cid:durableId="942541135">
    <w:abstractNumId w:val="5"/>
  </w:num>
  <w:num w:numId="4" w16cid:durableId="50006523">
    <w:abstractNumId w:val="3"/>
  </w:num>
  <w:num w:numId="5" w16cid:durableId="1681197425">
    <w:abstractNumId w:val="0"/>
  </w:num>
  <w:num w:numId="6" w16cid:durableId="1810634411">
    <w:abstractNumId w:val="4"/>
  </w:num>
  <w:num w:numId="7" w16cid:durableId="1682659660">
    <w:abstractNumId w:val="1"/>
  </w:num>
  <w:num w:numId="8" w16cid:durableId="1424376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17"/>
    <w:rsid w:val="0006276E"/>
    <w:rsid w:val="00062BEE"/>
    <w:rsid w:val="00082267"/>
    <w:rsid w:val="0008428C"/>
    <w:rsid w:val="000B2EC1"/>
    <w:rsid w:val="000C2B17"/>
    <w:rsid w:val="000C7174"/>
    <w:rsid w:val="000C728B"/>
    <w:rsid w:val="000D3D9C"/>
    <w:rsid w:val="000E6293"/>
    <w:rsid w:val="000F2699"/>
    <w:rsid w:val="0014792D"/>
    <w:rsid w:val="001767C3"/>
    <w:rsid w:val="001835B6"/>
    <w:rsid w:val="00187D1C"/>
    <w:rsid w:val="001C244E"/>
    <w:rsid w:val="001D106B"/>
    <w:rsid w:val="001D5D55"/>
    <w:rsid w:val="001F3E91"/>
    <w:rsid w:val="00202BE2"/>
    <w:rsid w:val="0022002E"/>
    <w:rsid w:val="00252828"/>
    <w:rsid w:val="00252AFC"/>
    <w:rsid w:val="00276B58"/>
    <w:rsid w:val="002A0B8E"/>
    <w:rsid w:val="002A48B2"/>
    <w:rsid w:val="002A72D0"/>
    <w:rsid w:val="002C0A2C"/>
    <w:rsid w:val="002C25A7"/>
    <w:rsid w:val="002F2835"/>
    <w:rsid w:val="00305F39"/>
    <w:rsid w:val="00312F1B"/>
    <w:rsid w:val="00326FF4"/>
    <w:rsid w:val="003468F0"/>
    <w:rsid w:val="0035102D"/>
    <w:rsid w:val="00355309"/>
    <w:rsid w:val="00375B3D"/>
    <w:rsid w:val="003B64EE"/>
    <w:rsid w:val="003D07D7"/>
    <w:rsid w:val="003D171B"/>
    <w:rsid w:val="003D1EB1"/>
    <w:rsid w:val="003D56DE"/>
    <w:rsid w:val="003D5DDB"/>
    <w:rsid w:val="00401C94"/>
    <w:rsid w:val="00417B4B"/>
    <w:rsid w:val="00455EE4"/>
    <w:rsid w:val="00484C33"/>
    <w:rsid w:val="00490A05"/>
    <w:rsid w:val="004927E7"/>
    <w:rsid w:val="004A7515"/>
    <w:rsid w:val="004E41B8"/>
    <w:rsid w:val="004F1B3D"/>
    <w:rsid w:val="00517CE8"/>
    <w:rsid w:val="00531F40"/>
    <w:rsid w:val="0055120D"/>
    <w:rsid w:val="00561213"/>
    <w:rsid w:val="00563F6C"/>
    <w:rsid w:val="00587D41"/>
    <w:rsid w:val="005E4566"/>
    <w:rsid w:val="006012FA"/>
    <w:rsid w:val="00685F2C"/>
    <w:rsid w:val="006A0EEF"/>
    <w:rsid w:val="006C1B64"/>
    <w:rsid w:val="006E1AA3"/>
    <w:rsid w:val="006F1839"/>
    <w:rsid w:val="006F5A98"/>
    <w:rsid w:val="00741231"/>
    <w:rsid w:val="00741B66"/>
    <w:rsid w:val="00762F90"/>
    <w:rsid w:val="0079158E"/>
    <w:rsid w:val="007B17D2"/>
    <w:rsid w:val="007F1F77"/>
    <w:rsid w:val="0080799C"/>
    <w:rsid w:val="00852036"/>
    <w:rsid w:val="008522F1"/>
    <w:rsid w:val="00852AB0"/>
    <w:rsid w:val="00860220"/>
    <w:rsid w:val="008B6DA1"/>
    <w:rsid w:val="008D5A5A"/>
    <w:rsid w:val="009142A5"/>
    <w:rsid w:val="00914832"/>
    <w:rsid w:val="009473C5"/>
    <w:rsid w:val="009620A1"/>
    <w:rsid w:val="00970283"/>
    <w:rsid w:val="009D6288"/>
    <w:rsid w:val="009F0C34"/>
    <w:rsid w:val="009F673E"/>
    <w:rsid w:val="00A02458"/>
    <w:rsid w:val="00A3266F"/>
    <w:rsid w:val="00A33D13"/>
    <w:rsid w:val="00A658C5"/>
    <w:rsid w:val="00A67CEF"/>
    <w:rsid w:val="00A91015"/>
    <w:rsid w:val="00A96EDA"/>
    <w:rsid w:val="00AA4A87"/>
    <w:rsid w:val="00AB1854"/>
    <w:rsid w:val="00AD7B1E"/>
    <w:rsid w:val="00AE7F50"/>
    <w:rsid w:val="00B2201D"/>
    <w:rsid w:val="00B46E86"/>
    <w:rsid w:val="00B659DB"/>
    <w:rsid w:val="00BC6C86"/>
    <w:rsid w:val="00C254BB"/>
    <w:rsid w:val="00C46E34"/>
    <w:rsid w:val="00C61E0E"/>
    <w:rsid w:val="00C639DC"/>
    <w:rsid w:val="00C81696"/>
    <w:rsid w:val="00CB24C8"/>
    <w:rsid w:val="00CD26E3"/>
    <w:rsid w:val="00CF1987"/>
    <w:rsid w:val="00D43B48"/>
    <w:rsid w:val="00D45153"/>
    <w:rsid w:val="00D45311"/>
    <w:rsid w:val="00D750CA"/>
    <w:rsid w:val="00D979B8"/>
    <w:rsid w:val="00DE0CDB"/>
    <w:rsid w:val="00DE0D86"/>
    <w:rsid w:val="00E206F5"/>
    <w:rsid w:val="00E52696"/>
    <w:rsid w:val="00E55EFA"/>
    <w:rsid w:val="00E560F6"/>
    <w:rsid w:val="00E82DD6"/>
    <w:rsid w:val="00E91D75"/>
    <w:rsid w:val="00ED1959"/>
    <w:rsid w:val="00EF1748"/>
    <w:rsid w:val="00F018B4"/>
    <w:rsid w:val="00F209DE"/>
    <w:rsid w:val="00F35DD9"/>
    <w:rsid w:val="00F63D93"/>
    <w:rsid w:val="00F66289"/>
    <w:rsid w:val="00F83599"/>
    <w:rsid w:val="00FA4B8E"/>
    <w:rsid w:val="00FB36FA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8105"/>
  <w15:docId w15:val="{F055100D-81AE-4AB1-8163-E7C4784E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2B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F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F77"/>
  </w:style>
  <w:style w:type="paragraph" w:styleId="Zpat">
    <w:name w:val="footer"/>
    <w:basedOn w:val="Normln"/>
    <w:link w:val="ZpatChar"/>
    <w:uiPriority w:val="99"/>
    <w:unhideWhenUsed/>
    <w:rsid w:val="007F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F77"/>
  </w:style>
  <w:style w:type="paragraph" w:styleId="Textbubliny">
    <w:name w:val="Balloon Text"/>
    <w:basedOn w:val="Normln"/>
    <w:link w:val="TextbublinyChar"/>
    <w:uiPriority w:val="99"/>
    <w:semiHidden/>
    <w:unhideWhenUsed/>
    <w:rsid w:val="007F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F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D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5153"/>
    <w:pPr>
      <w:ind w:left="720"/>
      <w:contextualSpacing/>
    </w:pPr>
  </w:style>
  <w:style w:type="paragraph" w:styleId="Revize">
    <w:name w:val="Revision"/>
    <w:hidden/>
    <w:uiPriority w:val="99"/>
    <w:semiHidden/>
    <w:rsid w:val="00FD3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AAD9-C5F0-4139-9DF5-700E6995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Jukl Ondřej PhDr. (MPSV)</dc:creator>
  <cp:lastModifiedBy>Kadečka David</cp:lastModifiedBy>
  <cp:revision>4</cp:revision>
  <cp:lastPrinted>2022-06-01T14:22:00Z</cp:lastPrinted>
  <dcterms:created xsi:type="dcterms:W3CDTF">2025-06-24T11:50:00Z</dcterms:created>
  <dcterms:modified xsi:type="dcterms:W3CDTF">2025-06-24T11:50:00Z</dcterms:modified>
</cp:coreProperties>
</file>