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30DA" w14:textId="77777777" w:rsidR="00424E0A" w:rsidRPr="00424E0A" w:rsidRDefault="00424E0A" w:rsidP="00424E0A">
      <w:pPr>
        <w:jc w:val="center"/>
        <w:rPr>
          <w:b/>
          <w:sz w:val="36"/>
        </w:rPr>
      </w:pPr>
      <w:r w:rsidRPr="00424E0A">
        <w:rPr>
          <w:b/>
          <w:sz w:val="36"/>
        </w:rPr>
        <w:t xml:space="preserve">Studie dekarbonizace ekonomiky v ČR (část průmysl) Průběžná zpráva </w:t>
      </w:r>
      <w:r w:rsidR="00BD5BF1">
        <w:rPr>
          <w:b/>
          <w:sz w:val="36"/>
        </w:rPr>
        <w:t>k 2</w:t>
      </w:r>
      <w:r w:rsidRPr="00424E0A">
        <w:rPr>
          <w:b/>
          <w:sz w:val="36"/>
        </w:rPr>
        <w:t>. 9. 2020</w:t>
      </w:r>
    </w:p>
    <w:p w14:paraId="15672537" w14:textId="77777777" w:rsidR="00424E0A" w:rsidRPr="00424E0A" w:rsidRDefault="00424E0A" w:rsidP="00424E0A">
      <w:pPr>
        <w:jc w:val="center"/>
        <w:rPr>
          <w:b/>
          <w:sz w:val="36"/>
        </w:rPr>
      </w:pPr>
      <w:r w:rsidRPr="00424E0A">
        <w:rPr>
          <w:b/>
          <w:sz w:val="36"/>
        </w:rPr>
        <w:t>Manažerské shrnutí</w:t>
      </w:r>
    </w:p>
    <w:p w14:paraId="310B78F0" w14:textId="77777777" w:rsidR="0050318E" w:rsidRDefault="0050318E" w:rsidP="0090281E"/>
    <w:p w14:paraId="202B4D61" w14:textId="77777777" w:rsidR="0090281E" w:rsidRDefault="0090281E" w:rsidP="0090281E">
      <w:r>
        <w:t>Z dosavadního sběru dat, který provedlo Ministerstvo průmyslu a obchodu mezi odvětvovými svazy a asociacemi</w:t>
      </w:r>
      <w:r w:rsidR="00BD5BF1">
        <w:t xml:space="preserve"> </w:t>
      </w:r>
      <w:r w:rsidR="001126F8">
        <w:t>do 31.8.2020</w:t>
      </w:r>
      <w:r>
        <w:t xml:space="preserve">, vyplynula řada dílčích zjištění. </w:t>
      </w:r>
    </w:p>
    <w:p w14:paraId="384452F0" w14:textId="77777777" w:rsidR="001126F8" w:rsidRDefault="001126F8" w:rsidP="0090281E"/>
    <w:p w14:paraId="302E8CB7" w14:textId="77777777" w:rsidR="0090281E" w:rsidRDefault="0090281E" w:rsidP="0090281E">
      <w:r>
        <w:t>Se současnou úrovní znalostí není možné odpovědět na jednoduchou otázku: „Kolik to celé bude stát?“, protože do hry vstupuje velmi mnoho parametrů. I kdybychom chtěli počítat jen s technologiemi, které jsou dnes známé, tak velkou neznámou zůstávají následující důležité parametry:</w:t>
      </w:r>
    </w:p>
    <w:p w14:paraId="04D925EC" w14:textId="77777777" w:rsidR="0090281E" w:rsidRDefault="0090281E" w:rsidP="00424E0A">
      <w:pPr>
        <w:pStyle w:val="Odstavecseseznamem"/>
        <w:numPr>
          <w:ilvl w:val="0"/>
          <w:numId w:val="49"/>
        </w:numPr>
      </w:pPr>
      <w:r>
        <w:t>vývoj ceny zelené elektrické energie a její dostupnost</w:t>
      </w:r>
    </w:p>
    <w:p w14:paraId="19906F42" w14:textId="77777777" w:rsidR="0090281E" w:rsidRDefault="0090281E" w:rsidP="00424E0A">
      <w:pPr>
        <w:pStyle w:val="Odstavecseseznamem"/>
        <w:numPr>
          <w:ilvl w:val="0"/>
          <w:numId w:val="49"/>
        </w:numPr>
      </w:pPr>
      <w:r>
        <w:t>vývoj ceny a dostupnost biomasy</w:t>
      </w:r>
    </w:p>
    <w:p w14:paraId="5508E402" w14:textId="77777777" w:rsidR="0090281E" w:rsidRDefault="0090281E" w:rsidP="00424E0A">
      <w:pPr>
        <w:pStyle w:val="Odstavecseseznamem"/>
        <w:numPr>
          <w:ilvl w:val="0"/>
          <w:numId w:val="49"/>
        </w:numPr>
      </w:pPr>
      <w:r>
        <w:t>vývoj ceny a dostupnost zeleného vodíku</w:t>
      </w:r>
    </w:p>
    <w:p w14:paraId="512000EF" w14:textId="77777777" w:rsidR="0090281E" w:rsidRDefault="0090281E" w:rsidP="00424E0A">
      <w:pPr>
        <w:pStyle w:val="Odstavecseseznamem"/>
        <w:numPr>
          <w:ilvl w:val="0"/>
          <w:numId w:val="49"/>
        </w:numPr>
      </w:pPr>
      <w:r>
        <w:t>vývoj ceny a dostupnost biometanu</w:t>
      </w:r>
    </w:p>
    <w:p w14:paraId="53D0B35B" w14:textId="77777777" w:rsidR="0090281E" w:rsidRDefault="0090281E" w:rsidP="00424E0A">
      <w:pPr>
        <w:pStyle w:val="Odstavecseseznamem"/>
        <w:numPr>
          <w:ilvl w:val="0"/>
          <w:numId w:val="49"/>
        </w:numPr>
      </w:pPr>
      <w:r>
        <w:t>vývoj ceny emisních povolenek</w:t>
      </w:r>
    </w:p>
    <w:p w14:paraId="087D7E6E" w14:textId="77777777" w:rsidR="0090281E" w:rsidRDefault="0090281E" w:rsidP="00424E0A">
      <w:pPr>
        <w:pStyle w:val="Odstavecseseznamem"/>
        <w:numPr>
          <w:ilvl w:val="0"/>
          <w:numId w:val="49"/>
        </w:numPr>
      </w:pPr>
      <w:r>
        <w:t>rozdělení snižování emisí CO</w:t>
      </w:r>
      <w:r w:rsidRPr="00BD6C2A">
        <w:rPr>
          <w:vertAlign w:val="subscript"/>
        </w:rPr>
        <w:t>2</w:t>
      </w:r>
      <w:r>
        <w:t xml:space="preserve"> mezi EU ETS a non-EU ETS </w:t>
      </w:r>
    </w:p>
    <w:p w14:paraId="516809AB" w14:textId="77777777" w:rsidR="0090281E" w:rsidRDefault="0090281E" w:rsidP="0090281E">
      <w:r>
        <w:t xml:space="preserve">Variabilita těchto šesti základních vstupů dělá velmi obtížnou tvorbu scénářů, protože vytváří příliš mnoho možností pro vyhodnocování. </w:t>
      </w:r>
    </w:p>
    <w:p w14:paraId="1F47B872" w14:textId="77777777" w:rsidR="0090281E" w:rsidRDefault="0090281E" w:rsidP="0090281E"/>
    <w:p w14:paraId="1D7BA04B" w14:textId="77777777" w:rsidR="0090281E" w:rsidRDefault="0090281E" w:rsidP="0090281E">
      <w:r>
        <w:t>Situace v jednotlivých odvětvích je velmi rozdílná a vychází ze specifik a historického vývoje v dané oblasti. Všeobecně je možné říci, že většina podniků vyu</w:t>
      </w:r>
      <w:r w:rsidR="00BD5BF1">
        <w:t>žívá velmi moderní technologie,</w:t>
      </w:r>
      <w:r>
        <w:t xml:space="preserve"> v minulých letech udělala velký pokrok na cestě ke snižování emisí CO</w:t>
      </w:r>
      <w:r w:rsidRPr="00402605">
        <w:rPr>
          <w:vertAlign w:val="subscript"/>
        </w:rPr>
        <w:t>2</w:t>
      </w:r>
      <w:r w:rsidR="001126F8">
        <w:rPr>
          <w:vertAlign w:val="subscript"/>
        </w:rPr>
        <w:t xml:space="preserve"> </w:t>
      </w:r>
      <w:r w:rsidR="001126F8">
        <w:t xml:space="preserve">a má </w:t>
      </w:r>
      <w:r w:rsidR="00BD5BF1">
        <w:t>připraveny plány dalšího snižování.</w:t>
      </w:r>
    </w:p>
    <w:p w14:paraId="2AC11D89" w14:textId="77777777" w:rsidR="0090281E" w:rsidRDefault="00DF265A" w:rsidP="00424E0A">
      <w:pPr>
        <w:pStyle w:val="Odstavecseseznamem"/>
        <w:numPr>
          <w:ilvl w:val="0"/>
          <w:numId w:val="48"/>
        </w:numPr>
      </w:pPr>
      <w:r>
        <w:t>N</w:t>
      </w:r>
      <w:r w:rsidR="0090281E">
        <w:t>ejblíže má k dosažení uhlíkové neutrality papírenský průmysl, což je dáno hlavně extenzivním využitím dostupné biomasy. Také ostatní technologie pro snižování uhlíkové stopy v tomto odvětví jsou známé a jejich nasazení je jen otázkou peněz.</w:t>
      </w:r>
    </w:p>
    <w:p w14:paraId="4D96E4C3" w14:textId="77777777" w:rsidR="0090281E" w:rsidRDefault="00DF265A" w:rsidP="00424E0A">
      <w:pPr>
        <w:pStyle w:val="Odstavecseseznamem"/>
        <w:numPr>
          <w:ilvl w:val="0"/>
          <w:numId w:val="48"/>
        </w:numPr>
      </w:pPr>
      <w:r>
        <w:t>V</w:t>
      </w:r>
      <w:r w:rsidR="0090281E">
        <w:t> hutnictví známe technologie pro snížení uhlíkové stopy, nicméně jejich nasazení by dramaticky zvýšilo požadavky na zelenou elektřinu a zelený vodík. Tyto obnovitelné zdroje, které by nahradily uhlí, není možné v blízké budoucnosti zajistit ani v rámci České republiky ani dovozem ze zahraničí.</w:t>
      </w:r>
    </w:p>
    <w:p w14:paraId="30D2FE6F" w14:textId="77777777" w:rsidR="0090281E" w:rsidRDefault="00DF265A" w:rsidP="00424E0A">
      <w:pPr>
        <w:pStyle w:val="Odstavecseseznamem"/>
        <w:numPr>
          <w:ilvl w:val="0"/>
          <w:numId w:val="48"/>
        </w:numPr>
      </w:pPr>
      <w:r>
        <w:t>V</w:t>
      </w:r>
      <w:r w:rsidR="0090281E">
        <w:t> oblasti energetiky dnes nemůžeme vytvořit žádné závazné plány, protože se čeká na rozhodnutí tzv. Uhelné komise, na jejímž základě se bude česká energetika transformovat v příštích letech.</w:t>
      </w:r>
      <w:r w:rsidR="001126F8">
        <w:t xml:space="preserve"> K jejímu rozhodnutí by mělo dojít na podzim 2020.</w:t>
      </w:r>
    </w:p>
    <w:p w14:paraId="2977A9E3" w14:textId="77777777" w:rsidR="0090281E" w:rsidRDefault="00DF265A" w:rsidP="00424E0A">
      <w:pPr>
        <w:pStyle w:val="Odstavecseseznamem"/>
        <w:numPr>
          <w:ilvl w:val="0"/>
          <w:numId w:val="48"/>
        </w:numPr>
      </w:pPr>
      <w:r>
        <w:t>N</w:t>
      </w:r>
      <w:r w:rsidR="0090281E">
        <w:t>ejsložitější je situace v chemickém průmyslu, což je dáno velkým počtem různých zpracovávaných produktů. V mnoha případech je uhlík nedílnou součástí procesu výroby a není možné ho ničím nahradit.</w:t>
      </w:r>
    </w:p>
    <w:p w14:paraId="6EBD40D4" w14:textId="77777777" w:rsidR="00DF265A" w:rsidRDefault="00DF265A" w:rsidP="0090281E"/>
    <w:p w14:paraId="6D6CFD46" w14:textId="77777777" w:rsidR="00DF265A" w:rsidRDefault="00DF265A" w:rsidP="00DF265A">
      <w:pPr>
        <w:pStyle w:val="Nadpis2-mimoobsah"/>
        <w:rPr>
          <w:sz w:val="28"/>
        </w:rPr>
      </w:pPr>
      <w:r w:rsidRPr="001147E2">
        <w:rPr>
          <w:sz w:val="28"/>
        </w:rPr>
        <w:t>Energetika</w:t>
      </w:r>
    </w:p>
    <w:p w14:paraId="093D54CE" w14:textId="77777777" w:rsidR="001147E2" w:rsidRDefault="001147E2" w:rsidP="001147E2">
      <w:r>
        <w:t xml:space="preserve">V tomto sektoru je zaměstnáno </w:t>
      </w:r>
      <w:r w:rsidR="00696102">
        <w:t>34 000</w:t>
      </w:r>
      <w:r w:rsidR="001F43F4">
        <w:t xml:space="preserve"> lidí,</w:t>
      </w:r>
      <w:r w:rsidR="00696102">
        <w:t xml:space="preserve"> odvětví tvoří 79 494</w:t>
      </w:r>
      <w:r>
        <w:t xml:space="preserve"> mld. Kč tržeb a emituje </w:t>
      </w:r>
      <w:r w:rsidR="0032624D">
        <w:t xml:space="preserve">47,9 </w:t>
      </w:r>
      <w:r>
        <w:t>mil. t CO</w:t>
      </w:r>
      <w:r w:rsidRPr="001147E2">
        <w:rPr>
          <w:vertAlign w:val="subscript"/>
        </w:rPr>
        <w:t>2</w:t>
      </w:r>
      <w:r w:rsidRPr="001147E2">
        <w:t>, což představuje</w:t>
      </w:r>
      <w:r w:rsidR="00696102">
        <w:t xml:space="preserve"> </w:t>
      </w:r>
      <w:proofErr w:type="gramStart"/>
      <w:r w:rsidR="00696102">
        <w:t>43</w:t>
      </w:r>
      <w:r w:rsidRPr="001147E2">
        <w:t>%</w:t>
      </w:r>
      <w:proofErr w:type="gramEnd"/>
      <w:r>
        <w:t xml:space="preserve"> celkových emisí.</w:t>
      </w:r>
    </w:p>
    <w:p w14:paraId="10EB0562" w14:textId="77777777" w:rsidR="001147E2" w:rsidRPr="001147E2" w:rsidRDefault="001147E2" w:rsidP="001147E2"/>
    <w:p w14:paraId="233A29F7" w14:textId="77777777" w:rsidR="00DF265A" w:rsidRDefault="00DF265A" w:rsidP="0090281E">
      <w:r>
        <w:t xml:space="preserve">Dopady </w:t>
      </w:r>
      <w:r w:rsidRPr="009748FB">
        <w:t>energeticko-klimatických cíl</w:t>
      </w:r>
      <w:r w:rsidR="001126F8">
        <w:t xml:space="preserve">ů </w:t>
      </w:r>
      <w:r w:rsidRPr="009748FB">
        <w:t>jsou poměrně detailně popsány v rámci Vnitrostátního plánu ČR v oblasti energetiky a klimatu.</w:t>
      </w:r>
      <w:r w:rsidR="00424E0A">
        <w:t xml:space="preserve"> I</w:t>
      </w:r>
      <w:r w:rsidR="001126F8">
        <w:t>nvestice byly detailněji</w:t>
      </w:r>
      <w:r w:rsidRPr="009748FB">
        <w:t xml:space="preserve"> vyčísleny s ohledem na plnění cíle v oblasti OZE a energetické účinnosti. Celkové náklady spojené s rozvojem obnovitelných zdrojů </w:t>
      </w:r>
      <w:r w:rsidRPr="009748FB">
        <w:lastRenderedPageBreak/>
        <w:t>energie odpovídají téměř 900 mld. Kč. V tomto ohledu je účelné zdůraznit, že se jedná o náklady na úrovni veřejné podpory, celkové investice budou vyšší než uvedená částka.</w:t>
      </w:r>
      <w:r w:rsidR="00424E0A">
        <w:t xml:space="preserve"> Tyto náklady nezahrnují náklady na odstavování zdrojů, přestavbu energetických sítí, výstavbu jaderných elektráren</w:t>
      </w:r>
      <w:r w:rsidR="00BD5BF1">
        <w:t>, ukládání CO</w:t>
      </w:r>
      <w:r w:rsidR="00BD5BF1" w:rsidRPr="00BD5BF1">
        <w:rPr>
          <w:vertAlign w:val="subscript"/>
        </w:rPr>
        <w:t>2</w:t>
      </w:r>
      <w:r w:rsidR="00424E0A">
        <w:t xml:space="preserve"> a další spojené náklady. Celkové náklady je v této fázi možné odhadnou na nižší jednotky bilionů korun.</w:t>
      </w:r>
    </w:p>
    <w:p w14:paraId="0968A666" w14:textId="77777777" w:rsidR="00DF265A" w:rsidRDefault="00DF265A" w:rsidP="0090281E"/>
    <w:p w14:paraId="0EC45D57" w14:textId="77777777" w:rsidR="00DF265A" w:rsidRDefault="00DF265A" w:rsidP="00DF265A">
      <w:r w:rsidRPr="00687929">
        <w:t>Technologie pro snížení emisní skleníkových plynů v sektoru energetiky jsou poměrně jasně známy. Jedná se o obnovitelné zdroje energie, jadernou energii a přechodně fosilní paliva s relativně nižším obsahem uhlíku v porovnání s uhlím (zemní plyn). Dále se jedná o technologii zachytávání a ukládání (respektive využití) CO</w:t>
      </w:r>
      <w:r w:rsidRPr="00687929">
        <w:rPr>
          <w:vertAlign w:val="subscript"/>
        </w:rPr>
        <w:t>2</w:t>
      </w:r>
      <w:r w:rsidRPr="00687929">
        <w:t>. Důležitou roli ve snižování emisí skleníkových plynů také hrají opatření na straně spotřeby, tedy zejména technologie a opatření vedoucí ke zvyšování energetické účinnosti.</w:t>
      </w:r>
    </w:p>
    <w:p w14:paraId="1E3D949F" w14:textId="77777777" w:rsidR="00163AE8" w:rsidRPr="0064661C" w:rsidRDefault="00163AE8" w:rsidP="00DF265A"/>
    <w:p w14:paraId="3B7B4C36" w14:textId="77777777" w:rsidR="00DF265A" w:rsidRDefault="00DF265A" w:rsidP="0043444A">
      <w:r w:rsidRPr="00033911">
        <w:t>Vnitrostátní plán ČR počítá s postupným poklesem využití uhlí, pokud by však bylo možné dále snížit toto využití, vedlo by to k dalšímu poklesu emisí skleníkových plynů.</w:t>
      </w:r>
      <w:r w:rsidR="00163AE8">
        <w:t xml:space="preserve"> Podle plánu ale nedochází k úplnému ukončení výroby energie z uhlí. Takovýto požadavek by znamenal změnu schváleného plánu. K posouzení možností dalšího vývoje v oblasti těžby a využití uhlí</w:t>
      </w:r>
      <w:r w:rsidRPr="00033911">
        <w:t xml:space="preserve"> </w:t>
      </w:r>
      <w:r w:rsidR="00163AE8">
        <w:t xml:space="preserve">byla </w:t>
      </w:r>
      <w:r w:rsidRPr="00033911">
        <w:t>v červenci 2019 založena tzv. Uhelná komise, která by měla analyzovat možnosti budoucího odklonu od využití uhlí ve spalovacích zdrojích včetně vyhodnocení souvisejících dopadů. Výstupy měly být původně předloženy v září 2020, ale z důvodu COVID-19 je jejich předložení odloženo na listopad/prosinec 2020. V tomto ohledu byla již provedena řada analýz možného dřívějšího útlumu využití uhlí, včetně možného dopadů na emise skleníkových plynů, tyto analýzy jsou však v tomto bodě stále pracovní.</w:t>
      </w:r>
    </w:p>
    <w:p w14:paraId="04279328" w14:textId="77777777" w:rsidR="0043444A" w:rsidRDefault="0043444A" w:rsidP="0043444A"/>
    <w:p w14:paraId="7D450958" w14:textId="77777777" w:rsidR="00DF265A" w:rsidRDefault="00DF265A" w:rsidP="0043444A">
      <w:pPr>
        <w:pStyle w:val="Nadpis2-mimoobsah"/>
        <w:rPr>
          <w:sz w:val="28"/>
        </w:rPr>
      </w:pPr>
      <w:r w:rsidRPr="001147E2">
        <w:rPr>
          <w:sz w:val="28"/>
        </w:rPr>
        <w:t>Hutnictví</w:t>
      </w:r>
    </w:p>
    <w:p w14:paraId="5C846E6D" w14:textId="77777777" w:rsidR="0032624D" w:rsidRDefault="0032624D" w:rsidP="0032624D">
      <w:r>
        <w:t xml:space="preserve">V tomto </w:t>
      </w:r>
      <w:r w:rsidR="00696102">
        <w:t>sektoru je zaměstnáno 44 000</w:t>
      </w:r>
      <w:r w:rsidR="001F43F4">
        <w:t xml:space="preserve"> lidí,</w:t>
      </w:r>
      <w:r>
        <w:t xml:space="preserve"> odvětví </w:t>
      </w:r>
      <w:r w:rsidR="00696102">
        <w:t>tvoří 206 380</w:t>
      </w:r>
      <w:r>
        <w:t xml:space="preserve"> mld. Kč tržeb a emituje </w:t>
      </w:r>
      <w:r w:rsidR="00696102">
        <w:t>9,1</w:t>
      </w:r>
      <w:r>
        <w:t xml:space="preserve"> mil. t CO</w:t>
      </w:r>
      <w:r w:rsidRPr="001147E2">
        <w:rPr>
          <w:vertAlign w:val="subscript"/>
        </w:rPr>
        <w:t>2</w:t>
      </w:r>
      <w:r w:rsidRPr="001147E2">
        <w:t>, což představuje</w:t>
      </w:r>
      <w:r w:rsidR="00696102">
        <w:t xml:space="preserve"> </w:t>
      </w:r>
      <w:proofErr w:type="gramStart"/>
      <w:r w:rsidR="00696102">
        <w:t>8</w:t>
      </w:r>
      <w:r w:rsidRPr="001147E2">
        <w:t>%</w:t>
      </w:r>
      <w:proofErr w:type="gramEnd"/>
      <w:r>
        <w:t xml:space="preserve"> celkových emisí.</w:t>
      </w:r>
    </w:p>
    <w:p w14:paraId="5F8D365E" w14:textId="77777777" w:rsidR="0032624D" w:rsidRPr="0032624D" w:rsidRDefault="0032624D" w:rsidP="0032624D"/>
    <w:p w14:paraId="476BAE22" w14:textId="77777777" w:rsidR="00163AE8" w:rsidRDefault="00163AE8" w:rsidP="0090281E">
      <w:r>
        <w:t xml:space="preserve">Evropské ocelářství je lídrem v </w:t>
      </w:r>
      <w:proofErr w:type="spellStart"/>
      <w:r>
        <w:t>mitigaci</w:t>
      </w:r>
      <w:proofErr w:type="spellEnd"/>
      <w:r>
        <w:t xml:space="preserve"> dopadů na životní prostředí a v zavádění inovací. I přes dosažené pokroky však díky inherentním chemickým a fyzikálním procesům při výrobě oceli zůstává výroba a zpracování oceli energeticky a emisně náročnou činností, přičemž další významné snížení emisí CO</w:t>
      </w:r>
      <w:r w:rsidRPr="003C2843">
        <w:rPr>
          <w:vertAlign w:val="subscript"/>
        </w:rPr>
        <w:t>2</w:t>
      </w:r>
      <w:r>
        <w:t xml:space="preserve"> si vyžádá kompletní transformaci odvětví v podobě na</w:t>
      </w:r>
      <w:r w:rsidR="003C2843">
        <w:t>sazení zcela nových technologií.</w:t>
      </w:r>
    </w:p>
    <w:p w14:paraId="09041D1B" w14:textId="77777777" w:rsidR="00163AE8" w:rsidRDefault="00163AE8" w:rsidP="0090281E"/>
    <w:p w14:paraId="7DDD449C" w14:textId="77777777" w:rsidR="00163AE8" w:rsidRDefault="00163AE8" w:rsidP="00163AE8">
      <w:r>
        <w:t>Naplnění cílů současné environmentální politiky EU znamená pro celé odvětví obrovské přímé i nepřímé náklady, které by mohly fatálně poškodit jejich globální konkurenceschopnost, protože výrobci oceli mimo EU takové náklady nenesou. Protože evropská i světová poptávka po oceli nezanikne, znamenalo by oslabení konkurenceschopnosti místních podniků zvyšování dovozu ze třetích zemí a přesun výroby za hranice EU. To by vedlo ke konci již značně ekologizovaných hutí v EU a paradoxně také k navýšení globálních emisí skleníkových plynů (tzv. únik uhlíku).</w:t>
      </w:r>
    </w:p>
    <w:p w14:paraId="2C9E1088" w14:textId="77777777" w:rsidR="00163AE8" w:rsidRDefault="00163AE8" w:rsidP="0090281E"/>
    <w:p w14:paraId="46ECEE9F" w14:textId="77777777" w:rsidR="0043444A" w:rsidRDefault="0043444A" w:rsidP="0043444A">
      <w:r w:rsidRPr="00B214D4">
        <w:t xml:space="preserve">Významného snížení emisí lze v sektoru dosáhnout dvěma základními cestami: technologicky přímo v procesu výroby anebo zachycením emisí a jejich využitím či geologickým uložením. Evropská komise i evropské sdružení </w:t>
      </w:r>
      <w:proofErr w:type="spellStart"/>
      <w:r w:rsidRPr="00B214D4">
        <w:t>Eurofer</w:t>
      </w:r>
      <w:proofErr w:type="spellEnd"/>
      <w:r w:rsidRPr="00B214D4">
        <w:t xml:space="preserve"> se shodují na hlavních způsobech možné </w:t>
      </w:r>
      <w:proofErr w:type="spellStart"/>
      <w:r w:rsidRPr="00B214D4">
        <w:t>mitigace</w:t>
      </w:r>
      <w:proofErr w:type="spellEnd"/>
      <w:r w:rsidRPr="00B214D4">
        <w:t xml:space="preserve"> emisí CO</w:t>
      </w:r>
      <w:r w:rsidRPr="00E239DD">
        <w:rPr>
          <w:vertAlign w:val="subscript"/>
        </w:rPr>
        <w:t>2</w:t>
      </w:r>
      <w:r w:rsidRPr="00B214D4">
        <w:t>:</w:t>
      </w:r>
    </w:p>
    <w:p w14:paraId="0A8B32F7" w14:textId="77777777" w:rsidR="0043444A" w:rsidRDefault="0043444A" w:rsidP="00424E0A">
      <w:pPr>
        <w:pStyle w:val="Odstavecseseznamem"/>
        <w:numPr>
          <w:ilvl w:val="0"/>
          <w:numId w:val="45"/>
        </w:numPr>
      </w:pPr>
      <w:r w:rsidRPr="00B214D4">
        <w:t>elektrifikace sektoru (tj. včetně navýšení podílu výroby oceli ze šrotu či indukční ohřev při některých typech zpracováních oceli</w:t>
      </w:r>
      <w:r>
        <w:t>);</w:t>
      </w:r>
    </w:p>
    <w:p w14:paraId="192EE21C" w14:textId="77777777" w:rsidR="0043444A" w:rsidRPr="00B214D4" w:rsidRDefault="0043444A" w:rsidP="00424E0A">
      <w:pPr>
        <w:pStyle w:val="Odstavecseseznamem"/>
        <w:numPr>
          <w:ilvl w:val="0"/>
          <w:numId w:val="45"/>
        </w:numPr>
      </w:pPr>
      <w:r w:rsidRPr="00B214D4">
        <w:t>přímá redukce železné rudy (vodíkem, plynem), procesní integrace (modifikace současných výrobních procesů), CCU a CCS.</w:t>
      </w:r>
    </w:p>
    <w:p w14:paraId="36A4FE60" w14:textId="77777777" w:rsidR="0043444A" w:rsidRDefault="0043444A" w:rsidP="0090281E">
      <w:r w:rsidRPr="0043444A">
        <w:lastRenderedPageBreak/>
        <w:t>V měřítku ČR, kde jednoznačně dominuje primární výroba oceli (t</w:t>
      </w:r>
      <w:r w:rsidR="003C2843">
        <w:t xml:space="preserve">j. výroba z rud), lze </w:t>
      </w:r>
      <w:r w:rsidRPr="0043444A">
        <w:t xml:space="preserve">čekat navyšování podílu výroby oceli ze šrotu (viz např. plánovaný projekt hybridních pecí v </w:t>
      </w:r>
      <w:proofErr w:type="spellStart"/>
      <w:r w:rsidRPr="0043444A">
        <w:t>Liberty</w:t>
      </w:r>
      <w:proofErr w:type="spellEnd"/>
      <w:r w:rsidRPr="0043444A">
        <w:t xml:space="preserve"> Ostrava), nicméně nikoliv úplný přechod na takovou výrobu. Na evropské úrovni bude klíčové regulatorně zajistit, aby se šrot z EU nevyvážel do třetích zemí.</w:t>
      </w:r>
    </w:p>
    <w:p w14:paraId="72BF772C" w14:textId="77777777" w:rsidR="0043444A" w:rsidRDefault="0043444A" w:rsidP="0090281E"/>
    <w:p w14:paraId="364BCC12" w14:textId="77777777" w:rsidR="00163AE8" w:rsidRDefault="0043444A" w:rsidP="0090281E">
      <w:r w:rsidRPr="00B214D4">
        <w:t xml:space="preserve">Zcela klíčovým předpokladem pro úspěšnou dekarbonizaci ocelářství je dostupnost nízkoemisní či ideálně bezemisní elektřiny </w:t>
      </w:r>
      <w:r w:rsidR="003C2843">
        <w:t xml:space="preserve">a zeleného vodíku </w:t>
      </w:r>
      <w:r w:rsidRPr="00B214D4">
        <w:t>za globálně konkurenceschopné ceny a existence související infr</w:t>
      </w:r>
      <w:r>
        <w:t>astruktury (zd</w:t>
      </w:r>
      <w:r w:rsidR="003C2843">
        <w:t>roje, sítě)</w:t>
      </w:r>
      <w:r>
        <w:t xml:space="preserve">. Nicméně výroba množství vodíku, které by nahradilo uhlí, bude vyžadovat obrovské množství obnovitelné energie a i </w:t>
      </w:r>
      <w:r w:rsidR="003C2843">
        <w:t>vody, které nebudou dostupné</w:t>
      </w:r>
      <w:r>
        <w:t xml:space="preserve">. </w:t>
      </w:r>
    </w:p>
    <w:p w14:paraId="14E09666" w14:textId="77777777" w:rsidR="001147E2" w:rsidRDefault="001147E2" w:rsidP="0043444A">
      <w:pPr>
        <w:pStyle w:val="Nadpis2-mimoobsah"/>
      </w:pPr>
    </w:p>
    <w:p w14:paraId="06F681F4" w14:textId="77777777" w:rsidR="001147E2" w:rsidRDefault="001147E2" w:rsidP="0043444A">
      <w:pPr>
        <w:pStyle w:val="Nadpis2-mimoobsah"/>
        <w:rPr>
          <w:sz w:val="28"/>
        </w:rPr>
      </w:pPr>
      <w:r w:rsidRPr="001147E2">
        <w:rPr>
          <w:sz w:val="28"/>
        </w:rPr>
        <w:t>Nekovové minerální výrobky</w:t>
      </w:r>
    </w:p>
    <w:p w14:paraId="39E41847" w14:textId="77777777" w:rsidR="001147E2" w:rsidRDefault="001147E2" w:rsidP="001147E2">
      <w:r>
        <w:t xml:space="preserve">V tomto </w:t>
      </w:r>
      <w:r w:rsidR="00696102">
        <w:t>sektoru je zaměstnáno 53 000</w:t>
      </w:r>
      <w:r w:rsidR="001F43F4">
        <w:t xml:space="preserve"> lidí,</w:t>
      </w:r>
      <w:r>
        <w:t xml:space="preserve"> odvětví </w:t>
      </w:r>
      <w:r w:rsidR="001F5ACD">
        <w:t xml:space="preserve">tvoří </w:t>
      </w:r>
      <w:r w:rsidR="00696102">
        <w:t>145 320</w:t>
      </w:r>
      <w:r>
        <w:t xml:space="preserve"> mld. Kč tržeb a emituje </w:t>
      </w:r>
      <w:r w:rsidR="00696102">
        <w:t xml:space="preserve">5,6 </w:t>
      </w:r>
      <w:r>
        <w:t>mil. t CO</w:t>
      </w:r>
      <w:r w:rsidRPr="001147E2">
        <w:rPr>
          <w:vertAlign w:val="subscript"/>
        </w:rPr>
        <w:t>2</w:t>
      </w:r>
      <w:r w:rsidRPr="001147E2">
        <w:t>, což představuje</w:t>
      </w:r>
      <w:r w:rsidR="00696102">
        <w:t xml:space="preserve"> </w:t>
      </w:r>
      <w:proofErr w:type="gramStart"/>
      <w:r w:rsidR="00696102">
        <w:t>5</w:t>
      </w:r>
      <w:r w:rsidRPr="001147E2">
        <w:t>%</w:t>
      </w:r>
      <w:proofErr w:type="gramEnd"/>
      <w:r>
        <w:t xml:space="preserve"> celkových emisí.</w:t>
      </w:r>
    </w:p>
    <w:p w14:paraId="7E841CD4" w14:textId="77777777" w:rsidR="001147E2" w:rsidRPr="001147E2" w:rsidRDefault="001147E2" w:rsidP="001147E2"/>
    <w:p w14:paraId="2D52E455" w14:textId="77777777" w:rsidR="00DF265A" w:rsidRDefault="00DF265A" w:rsidP="0043444A">
      <w:pPr>
        <w:pStyle w:val="Nadpis2-mimoobsah"/>
      </w:pPr>
      <w:r>
        <w:t>Výroba cementu</w:t>
      </w:r>
    </w:p>
    <w:p w14:paraId="600E5955" w14:textId="77777777" w:rsidR="0043444A" w:rsidRDefault="0043444A" w:rsidP="0043444A">
      <w:r>
        <w:t xml:space="preserve">Obor výroby cementu není ze své chemické podstaty schopen dosáhnout emisní neutrality, k tomu je zapotřebí řada návazných stavebních opatření, které přinesou úspory v celém technologickém cyklu výroby cementu, betonu a provádění staveb. </w:t>
      </w:r>
      <w:r w:rsidR="009A3985">
        <w:t xml:space="preserve">Nové technologie dosud nepoužívané ve výrobě cementu umožňující snižování emisí skleníkových plynů jsou CCS/CCU. Tyto technologie jsou ale energeticky vysoce náročné a potřebují buď vhodný zdroj ukládání do země anebo zdroj dalšího technologického uplatnění. V konečném důsledku ani tyto technologie nejsou schopny zachytit </w:t>
      </w:r>
      <w:proofErr w:type="gramStart"/>
      <w:r w:rsidR="009A3985">
        <w:t>100%</w:t>
      </w:r>
      <w:proofErr w:type="gramEnd"/>
      <w:r w:rsidR="009A3985">
        <w:t xml:space="preserve"> </w:t>
      </w:r>
      <w:r w:rsidR="003C2843">
        <w:t>vnikajícího CO</w:t>
      </w:r>
      <w:r w:rsidR="003C2843" w:rsidRPr="00B84F54">
        <w:rPr>
          <w:vertAlign w:val="subscript"/>
        </w:rPr>
        <w:t>2</w:t>
      </w:r>
      <w:r w:rsidR="003C2843">
        <w:t>. P</w:t>
      </w:r>
      <w:r w:rsidR="009A3985">
        <w:t>roto k zajištění uhlíkové neutrality odvětví</w:t>
      </w:r>
      <w:r w:rsidR="003C2843">
        <w:t xml:space="preserve"> je nutné</w:t>
      </w:r>
      <w:r w:rsidR="009A3985">
        <w:t xml:space="preserve"> zohlednit princip </w:t>
      </w:r>
      <w:proofErr w:type="spellStart"/>
      <w:r w:rsidR="009A3985">
        <w:t>rekarbonizace</w:t>
      </w:r>
      <w:proofErr w:type="spellEnd"/>
      <w:r w:rsidR="009A3985">
        <w:t>, kdy beton v průběhu svého životního cyklu pohlcuje určité množství CO</w:t>
      </w:r>
      <w:r w:rsidR="009A3985" w:rsidRPr="009A3985">
        <w:rPr>
          <w:vertAlign w:val="subscript"/>
        </w:rPr>
        <w:t>2</w:t>
      </w:r>
      <w:r w:rsidR="009A3985">
        <w:t xml:space="preserve"> z atmosféry.</w:t>
      </w:r>
    </w:p>
    <w:p w14:paraId="21860485" w14:textId="77777777" w:rsidR="0043444A" w:rsidRDefault="0043444A" w:rsidP="0090281E"/>
    <w:p w14:paraId="2D6838B6" w14:textId="77777777" w:rsidR="009A3985" w:rsidRDefault="009A3985" w:rsidP="009A3985">
      <w:r>
        <w:t xml:space="preserve">Základní scénář snižování emisí vypracoval evropský cementářský svaz </w:t>
      </w:r>
      <w:proofErr w:type="spellStart"/>
      <w:r>
        <w:t>Cembureau</w:t>
      </w:r>
      <w:proofErr w:type="spellEnd"/>
      <w:r>
        <w:t xml:space="preserve"> v červnu 2020, tedy model a cestu – </w:t>
      </w:r>
      <w:proofErr w:type="spellStart"/>
      <w:r>
        <w:t>Carbon</w:t>
      </w:r>
      <w:proofErr w:type="spellEnd"/>
      <w:r>
        <w:t xml:space="preserve"> Neutrality </w:t>
      </w:r>
      <w:proofErr w:type="spellStart"/>
      <w:r>
        <w:t>Roadmap</w:t>
      </w:r>
      <w:proofErr w:type="spellEnd"/>
      <w:r>
        <w:t xml:space="preserve"> jako odpověď na plán Evropské Komise Green </w:t>
      </w:r>
      <w:proofErr w:type="spellStart"/>
      <w:r>
        <w:t>Deal</w:t>
      </w:r>
      <w:proofErr w:type="spellEnd"/>
      <w:r>
        <w:t xml:space="preserve">. </w:t>
      </w:r>
    </w:p>
    <w:p w14:paraId="12546228" w14:textId="77777777" w:rsidR="0043444A" w:rsidRDefault="0043444A" w:rsidP="0090281E"/>
    <w:p w14:paraId="4A46494F" w14:textId="77777777" w:rsidR="00DF265A" w:rsidRDefault="00DF265A" w:rsidP="0043444A">
      <w:pPr>
        <w:pStyle w:val="Nadpis2-mimoobsah"/>
      </w:pPr>
      <w:r>
        <w:t>Výroba cihel</w:t>
      </w:r>
    </w:p>
    <w:p w14:paraId="05773F0F" w14:textId="77777777" w:rsidR="0043444A" w:rsidRDefault="001147E2" w:rsidP="0043444A">
      <w:r>
        <w:t xml:space="preserve">Energetické nároky </w:t>
      </w:r>
      <w:r w:rsidR="003C2843">
        <w:t>budov</w:t>
      </w:r>
      <w:r w:rsidR="0043444A" w:rsidRPr="00335A66">
        <w:t xml:space="preserve"> představují téměř 40% spotřeby všech energií. Použitím cihel a novou výstavbou v NZEB standardu již po 5 letech dojd</w:t>
      </w:r>
      <w:r w:rsidR="00B84F54">
        <w:t>e k bodu zvratu, tedy cihly</w:t>
      </w:r>
      <w:r w:rsidR="0043444A" w:rsidRPr="00335A66">
        <w:t xml:space="preserve"> ušetří více energie, než bylo vynaloženo na jejich výrobu tj. počáteční </w:t>
      </w:r>
      <w:proofErr w:type="gramStart"/>
      <w:r w:rsidR="0043444A" w:rsidRPr="00335A66">
        <w:t>„ investice</w:t>
      </w:r>
      <w:proofErr w:type="gramEnd"/>
      <w:r w:rsidR="0043444A" w:rsidRPr="00335A66">
        <w:t xml:space="preserve"> do uhlíku“ lze odepisovat velmi dlouhou dobu. </w:t>
      </w:r>
    </w:p>
    <w:p w14:paraId="4ABAD061" w14:textId="77777777" w:rsidR="0043444A" w:rsidRDefault="0043444A" w:rsidP="0043444A"/>
    <w:p w14:paraId="7BD90056" w14:textId="77777777" w:rsidR="0043444A" w:rsidRDefault="0043444A" w:rsidP="0043444A">
      <w:r w:rsidRPr="004B33A6">
        <w:t>Málokterý obor doznal za posledních 30 let tak dynamických změn jako cihlařina. Předně došlo ke značné koncentraci výroby z mnoha desítek malých a neekologických provozů do větších celků, ve kterých byla instalována moderní technologie. Z pevných paliv a mazutu přešly všichni výrobci v rámci státního energetického programu na zemní plyn.</w:t>
      </w:r>
    </w:p>
    <w:p w14:paraId="4EEEE10C" w14:textId="77777777" w:rsidR="009A3985" w:rsidRDefault="009A3985" w:rsidP="0043444A"/>
    <w:p w14:paraId="3D3C624D" w14:textId="77777777" w:rsidR="009A3985" w:rsidRDefault="009A3985" w:rsidP="009A3985">
      <w:r w:rsidRPr="004B33A6">
        <w:t xml:space="preserve">Kompletní přechod na elektrickou energii je teoreticky možný, ale vzhledem k požadovanému příkonu extrémně ekonomicky </w:t>
      </w:r>
      <w:proofErr w:type="gramStart"/>
      <w:r w:rsidRPr="004B33A6">
        <w:t>náročný</w:t>
      </w:r>
      <w:proofErr w:type="gramEnd"/>
      <w:r w:rsidRPr="004B33A6">
        <w:t xml:space="preserve"> a to ještě za předpokladu vyřešení její </w:t>
      </w:r>
      <w:r>
        <w:t xml:space="preserve">distribuce. </w:t>
      </w:r>
      <w:r w:rsidRPr="004B33A6">
        <w:t>Naším cílem</w:t>
      </w:r>
      <w:r>
        <w:t xml:space="preserve"> je využití 100% obnovitelné e-</w:t>
      </w:r>
      <w:r w:rsidRPr="004B33A6">
        <w:t>energie.</w:t>
      </w:r>
    </w:p>
    <w:p w14:paraId="5093EEC0" w14:textId="77777777" w:rsidR="009A3985" w:rsidRDefault="009A3985" w:rsidP="009A3985"/>
    <w:p w14:paraId="563B203A" w14:textId="77777777" w:rsidR="009A3985" w:rsidRPr="00335A66" w:rsidRDefault="009A3985" w:rsidP="0043444A">
      <w:r>
        <w:lastRenderedPageBreak/>
        <w:t>Cihlářský svaz</w:t>
      </w:r>
      <w:r w:rsidRPr="009A3985">
        <w:t xml:space="preserve"> si je plně vědom významu problematiky spojené se snižováním skleníkových plynů. Řadu opatření jako je plný přechod na plyn a elektrickou energii, snížení měrné spotřeby energie o více jak </w:t>
      </w:r>
      <w:proofErr w:type="gramStart"/>
      <w:r w:rsidRPr="009A3985">
        <w:t>40%</w:t>
      </w:r>
      <w:proofErr w:type="gramEnd"/>
      <w:r w:rsidRPr="009A3985">
        <w:t>, snížení exploatace přírodních surovin změnou sortimentu ve prospěch vylehčených materiálů, zvýšení ekologie výroby (EPD) či zavedení robotizace a automatizace výroby uskutečnili cihláři již v průběhu posledních desetiletí, svým způsobem předběhli dobu. Ve svém úsilí jsou připraveni pokračovat, ovšem jednak postupně a jednak za podpory státu. Skokové snížení alokací a současné zdražení emisních povolenek by narušilo tržní situaci, a to ve prospěch alternativních stavebních materiálů představujících během svého životního cyklu mnohem větší zatížení skleníkovými plyny s diskutabilním vlivem na zdraví populace. Považujeme za férové, aby se pro posuzování emisní zátěže výrobků braly v úvahu nejen emise spojené s jejich výrobou, ale i s jejich dlouhodobým využitím (délkou životního cyklu). LCA nebo emisní bilance cihelných výrobků je z tohoto pohledu vysoce pozitivní.</w:t>
      </w:r>
    </w:p>
    <w:p w14:paraId="3550412A" w14:textId="77777777" w:rsidR="0043444A" w:rsidRDefault="0043444A" w:rsidP="0090281E"/>
    <w:p w14:paraId="62E0B7E8" w14:textId="77777777" w:rsidR="0043444A" w:rsidRDefault="0043444A" w:rsidP="009E2400">
      <w:pPr>
        <w:pStyle w:val="Nadpis2-mimoobsah"/>
      </w:pPr>
      <w:r>
        <w:t>Výroba vápna</w:t>
      </w:r>
    </w:p>
    <w:p w14:paraId="61FC1C57" w14:textId="77777777" w:rsidR="0043444A" w:rsidRPr="003C3FEE" w:rsidRDefault="0043444A" w:rsidP="0043444A">
      <w:r w:rsidRPr="004D078F">
        <w:t xml:space="preserve">Vápno a vápenný hydrát mají široké využití. Celosvětově je největší spotřeba vápna a dolomitického vápna při výrobě železa a oceli. Dále je všeobecně známé použití vápna ve stavebnictví, včetně inženýrské výstavby (dálnice, </w:t>
      </w:r>
      <w:r w:rsidRPr="006448A3">
        <w:t>ž</w:t>
      </w:r>
      <w:r w:rsidRPr="004D078F">
        <w:t>eleznice, zemní práce při zakládání budov, …). Významné je využití vápna v ekologii při odsiřovacích procesech, úpravě pitné vody, úpravě a neutralizaci odpadních, průmyslových a důlních vod apod. Vápenaté produkty se používají při výrobě skla a skleněných vláken, v chemickém a papírenském průmyslu, v zemědělství a lesnictví a mnoha dalších odvětvích.</w:t>
      </w:r>
    </w:p>
    <w:p w14:paraId="1FD82660" w14:textId="77777777" w:rsidR="0043444A" w:rsidRDefault="0043444A" w:rsidP="0043444A"/>
    <w:p w14:paraId="4244F283" w14:textId="77777777" w:rsidR="005870A8" w:rsidRPr="0046165E" w:rsidRDefault="005870A8" w:rsidP="005870A8">
      <w:r>
        <w:t>M</w:t>
      </w:r>
      <w:r w:rsidRPr="0046165E">
        <w:t xml:space="preserve">ožné scénáře </w:t>
      </w:r>
      <w:r>
        <w:t xml:space="preserve">lze </w:t>
      </w:r>
      <w:r w:rsidRPr="0046165E">
        <w:t>rámcově definovat jako:</w:t>
      </w:r>
    </w:p>
    <w:p w14:paraId="6A1869EC" w14:textId="77777777" w:rsidR="005870A8" w:rsidRPr="0046165E" w:rsidRDefault="005870A8" w:rsidP="00424E0A">
      <w:pPr>
        <w:pStyle w:val="Odstavecseseznamem"/>
        <w:numPr>
          <w:ilvl w:val="0"/>
          <w:numId w:val="46"/>
        </w:numPr>
      </w:pPr>
      <w:r w:rsidRPr="0046165E">
        <w:t xml:space="preserve">opatření v oblasti energetické účinnosti a při výrobě, manipulaci i dopravě vápenných výrobků </w:t>
      </w:r>
    </w:p>
    <w:p w14:paraId="45A476E0" w14:textId="77777777" w:rsidR="005870A8" w:rsidRPr="0046165E" w:rsidRDefault="005870A8" w:rsidP="00424E0A">
      <w:pPr>
        <w:pStyle w:val="Odstavecseseznamem"/>
        <w:numPr>
          <w:ilvl w:val="0"/>
          <w:numId w:val="46"/>
        </w:numPr>
      </w:pPr>
      <w:r w:rsidRPr="0046165E">
        <w:t xml:space="preserve">postupné zvyšování podílu biomasy a vodíkového paliva v palivovém mixu a přechod na využití elektrické energie z obnovitelných zdrojů, popř. investice do vybudování těchto obnovitelných zdrojů energie. Tento krok předpokládá dostupnost biomasy nebo vodíku na českém trhu. </w:t>
      </w:r>
    </w:p>
    <w:p w14:paraId="517137AE" w14:textId="77777777" w:rsidR="005870A8" w:rsidRPr="0046165E" w:rsidRDefault="005870A8" w:rsidP="00424E0A">
      <w:pPr>
        <w:pStyle w:val="Odstavecseseznamem"/>
        <w:numPr>
          <w:ilvl w:val="0"/>
          <w:numId w:val="46"/>
        </w:numPr>
      </w:pPr>
      <w:r w:rsidRPr="0046165E">
        <w:t>posilování využití vápna pro aplikace, které umožňují zpětný záchyt vzdušného CO2 a tím snížení podílu pr</w:t>
      </w:r>
      <w:r w:rsidR="003C2843">
        <w:t>ocesních emisí při výrobě vápna.</w:t>
      </w:r>
    </w:p>
    <w:p w14:paraId="7F71F2E9" w14:textId="77777777" w:rsidR="005870A8" w:rsidRPr="0046165E" w:rsidRDefault="005870A8" w:rsidP="00424E0A">
      <w:pPr>
        <w:pStyle w:val="Odstavecseseznamem"/>
        <w:numPr>
          <w:ilvl w:val="0"/>
          <w:numId w:val="46"/>
        </w:numPr>
      </w:pPr>
      <w:r w:rsidRPr="0046165E">
        <w:t>realizace investic v celém sektoru výroby vápna do technologií záchytu a ukládání nebo využití CO</w:t>
      </w:r>
      <w:r w:rsidRPr="003C2843">
        <w:rPr>
          <w:vertAlign w:val="subscript"/>
        </w:rPr>
        <w:t>2</w:t>
      </w:r>
      <w:r w:rsidRPr="0046165E">
        <w:t xml:space="preserve"> (CCS/CCU) za předpokladu, že existuje následná infrastruktura. Tyto technologie jsou investičně i provozně velmi náročné a budou klást další nároky na zajištění potřebného příkonu zelené elektrické energie.  </w:t>
      </w:r>
    </w:p>
    <w:p w14:paraId="5180D9A4" w14:textId="77777777" w:rsidR="005870A8" w:rsidRDefault="005870A8" w:rsidP="00424E0A">
      <w:pPr>
        <w:pStyle w:val="Odstavecseseznamem"/>
        <w:numPr>
          <w:ilvl w:val="0"/>
          <w:numId w:val="46"/>
        </w:numPr>
      </w:pPr>
      <w:r w:rsidRPr="0046165E">
        <w:t xml:space="preserve">další dodatečná opatření např. v oblasti výsadby a pěstování stromů, záchytu a zpracování emisí z biomasy apod. </w:t>
      </w:r>
    </w:p>
    <w:p w14:paraId="572A524D" w14:textId="77777777" w:rsidR="0043444A" w:rsidRDefault="0043444A" w:rsidP="0090281E"/>
    <w:p w14:paraId="0DA43921" w14:textId="77777777" w:rsidR="005870A8" w:rsidRDefault="00DF265A" w:rsidP="005870A8">
      <w:pPr>
        <w:pStyle w:val="Nadpis2-mimoobsah"/>
        <w:rPr>
          <w:sz w:val="28"/>
        </w:rPr>
      </w:pPr>
      <w:r w:rsidRPr="001147E2">
        <w:rPr>
          <w:sz w:val="28"/>
        </w:rPr>
        <w:t>Chemický průmysl</w:t>
      </w:r>
    </w:p>
    <w:p w14:paraId="703062B4" w14:textId="77777777" w:rsidR="001147E2" w:rsidRDefault="001147E2" w:rsidP="001147E2">
      <w:r>
        <w:t xml:space="preserve">V tomto </w:t>
      </w:r>
      <w:r w:rsidR="00696102">
        <w:t>sektoru je zaměstnáno 31 000</w:t>
      </w:r>
      <w:r w:rsidR="001F43F4">
        <w:t xml:space="preserve"> lidí,</w:t>
      </w:r>
      <w:r>
        <w:t xml:space="preserve"> odvětví </w:t>
      </w:r>
      <w:r w:rsidR="00696102">
        <w:t xml:space="preserve">tvoří 276 956 </w:t>
      </w:r>
      <w:r>
        <w:t xml:space="preserve">mld. Kč tržeb a emituje </w:t>
      </w:r>
      <w:r w:rsidR="00696102">
        <w:t xml:space="preserve">6,6 </w:t>
      </w:r>
      <w:r>
        <w:t>mil. t CO</w:t>
      </w:r>
      <w:r w:rsidRPr="001147E2">
        <w:rPr>
          <w:vertAlign w:val="subscript"/>
        </w:rPr>
        <w:t>2</w:t>
      </w:r>
      <w:r w:rsidRPr="001147E2">
        <w:t>, což představuje</w:t>
      </w:r>
      <w:r w:rsidR="00696102">
        <w:t xml:space="preserve"> </w:t>
      </w:r>
      <w:proofErr w:type="gramStart"/>
      <w:r w:rsidR="00696102">
        <w:t>5,5</w:t>
      </w:r>
      <w:r w:rsidRPr="001147E2">
        <w:t>%</w:t>
      </w:r>
      <w:proofErr w:type="gramEnd"/>
      <w:r>
        <w:t xml:space="preserve"> celkových emisí.</w:t>
      </w:r>
    </w:p>
    <w:p w14:paraId="0B478AAE" w14:textId="77777777" w:rsidR="001147E2" w:rsidRPr="001147E2" w:rsidRDefault="001147E2" w:rsidP="001147E2"/>
    <w:p w14:paraId="529FEF48" w14:textId="77777777" w:rsidR="005870A8" w:rsidRDefault="005870A8" w:rsidP="005870A8">
      <w:r>
        <w:t xml:space="preserve">Naprostá většina v současné době používaných technologií v chemii se nachází </w:t>
      </w:r>
      <w:r w:rsidR="003C2843">
        <w:t>na úrovni BAT (Nejlepší dostupné</w:t>
      </w:r>
      <w:r>
        <w:t xml:space="preserve"> technologie) a nejsou </w:t>
      </w:r>
      <w:r w:rsidRPr="00745E9D">
        <w:t>znám</w:t>
      </w:r>
      <w:r>
        <w:t>y</w:t>
      </w:r>
      <w:r w:rsidRPr="00745E9D">
        <w:t xml:space="preserve"> alternativní technologie výroby, ani úsporná opatření s</w:t>
      </w:r>
      <w:r w:rsidR="003C2843">
        <w:t> možností dosažení</w:t>
      </w:r>
      <w:r w:rsidRPr="00745E9D">
        <w:t xml:space="preserve"> úspor na energiích v řádu desítek </w:t>
      </w:r>
      <w:r>
        <w:t>procent.</w:t>
      </w:r>
    </w:p>
    <w:p w14:paraId="5CAB6E3A" w14:textId="77777777" w:rsidR="005870A8" w:rsidRDefault="005870A8" w:rsidP="005870A8"/>
    <w:p w14:paraId="37B09571" w14:textId="77777777" w:rsidR="005870A8" w:rsidRDefault="005870A8" w:rsidP="005870A8">
      <w:r w:rsidRPr="00745E9D">
        <w:t>Pokud bychom dále uvažovali i o zachycování CO</w:t>
      </w:r>
      <w:r w:rsidRPr="00745E9D">
        <w:rPr>
          <w:vertAlign w:val="subscript"/>
        </w:rPr>
        <w:t>2</w:t>
      </w:r>
      <w:r>
        <w:t xml:space="preserve"> ze spalin nebo procesů,</w:t>
      </w:r>
      <w:r w:rsidRPr="00745E9D">
        <w:t xml:space="preserve"> </w:t>
      </w:r>
      <w:r>
        <w:t xml:space="preserve">pak se opět jedná o významné investice (řádu desítek miliard Kč) s přihlédnutím na skutečnost, že se </w:t>
      </w:r>
      <w:r w:rsidR="003C2843">
        <w:t>jde</w:t>
      </w:r>
      <w:r>
        <w:t xml:space="preserve"> </w:t>
      </w:r>
      <w:r w:rsidRPr="00745E9D">
        <w:t>o energeticky náročné procesy.</w:t>
      </w:r>
      <w:r>
        <w:t xml:space="preserve"> U řady společností se ukazuje, že produkce emisí skleníkových plynů není spojena jen s energetikou, ale </w:t>
      </w:r>
      <w:r w:rsidRPr="002E2551">
        <w:t>často vznikají i jako procesní emise, kde v současné době neexistují ani teoretické projekty na jejich eliminaci – dekarbonizace není technologicky možná. Probíhá výzkum, jehož výsledky lze očekávat ve střednědobém horizontu</w:t>
      </w:r>
      <w:r>
        <w:t xml:space="preserve">. </w:t>
      </w:r>
    </w:p>
    <w:p w14:paraId="0C61D8E2" w14:textId="77777777" w:rsidR="005870A8" w:rsidRDefault="005870A8" w:rsidP="005870A8"/>
    <w:p w14:paraId="20CA1EDC" w14:textId="77777777" w:rsidR="005870A8" w:rsidRDefault="005870A8" w:rsidP="0090281E">
      <w:r>
        <w:t xml:space="preserve">Řada společností využívá v rámci výrobního procesu páru, v současné době již probíhá přechod od uhlí na výrobu elektřiny a tepla na kotlích plynových. V rámci chemie existují úvahy o cestě k dekarbonizaci pomocí technologie </w:t>
      </w:r>
      <w:proofErr w:type="spellStart"/>
      <w:r>
        <w:t>Power</w:t>
      </w:r>
      <w:proofErr w:type="spellEnd"/>
      <w:r>
        <w:t xml:space="preserve"> to </w:t>
      </w:r>
      <w:proofErr w:type="spellStart"/>
      <w:r>
        <w:t>Gas</w:t>
      </w:r>
      <w:proofErr w:type="spellEnd"/>
      <w:r>
        <w:t>.</w:t>
      </w:r>
      <w:r w:rsidR="003C2843">
        <w:t xml:space="preserve"> </w:t>
      </w:r>
      <w:r>
        <w:t xml:space="preserve">Ze současného průzkumu je jasné, že chemie v tuto chvíli nemá šanci dosáhnout nulových emisí skleníkových plynů a v případě takových požadavků </w:t>
      </w:r>
      <w:r w:rsidR="001147E2">
        <w:t xml:space="preserve">by chemická výroba </w:t>
      </w:r>
      <w:r>
        <w:t xml:space="preserve">byla nucena opustit EU nebo razantně změnit portfolio výrobků. </w:t>
      </w:r>
    </w:p>
    <w:p w14:paraId="050E9FB6" w14:textId="77777777" w:rsidR="003C2843" w:rsidRDefault="003C2843" w:rsidP="0090281E"/>
    <w:p w14:paraId="1D11CF07" w14:textId="77777777" w:rsidR="00DF265A" w:rsidRDefault="00DF265A" w:rsidP="005870A8">
      <w:pPr>
        <w:pStyle w:val="Nadpis2-mimoobsah"/>
        <w:rPr>
          <w:sz w:val="28"/>
        </w:rPr>
      </w:pPr>
      <w:r w:rsidRPr="001147E2">
        <w:rPr>
          <w:sz w:val="28"/>
        </w:rPr>
        <w:t>Papírenský průmysl</w:t>
      </w:r>
    </w:p>
    <w:p w14:paraId="4F400513" w14:textId="77777777" w:rsidR="001147E2" w:rsidRDefault="001147E2" w:rsidP="001147E2">
      <w:r>
        <w:t xml:space="preserve">V tomto </w:t>
      </w:r>
      <w:r w:rsidR="00696102">
        <w:t>sektoru je zaměstnáno 20 000</w:t>
      </w:r>
      <w:r w:rsidR="001F43F4">
        <w:t xml:space="preserve"> lidí,</w:t>
      </w:r>
      <w:r>
        <w:t xml:space="preserve"> odvětví </w:t>
      </w:r>
      <w:r w:rsidR="00696102">
        <w:t xml:space="preserve">tvoří </w:t>
      </w:r>
      <w:r w:rsidR="00BB05C4">
        <w:t>79 394</w:t>
      </w:r>
      <w:r>
        <w:t xml:space="preserve"> mld. Kč tržeb a emituje </w:t>
      </w:r>
      <w:r w:rsidR="00696102">
        <w:t xml:space="preserve">0,4 </w:t>
      </w:r>
      <w:r>
        <w:t>mil. t CO</w:t>
      </w:r>
      <w:r w:rsidRPr="001147E2">
        <w:rPr>
          <w:vertAlign w:val="subscript"/>
        </w:rPr>
        <w:t>2</w:t>
      </w:r>
      <w:r w:rsidRPr="001147E2">
        <w:t>, což představuje</w:t>
      </w:r>
      <w:r w:rsidR="00696102">
        <w:t xml:space="preserve"> </w:t>
      </w:r>
      <w:proofErr w:type="gramStart"/>
      <w:r w:rsidR="00696102">
        <w:t>0,4</w:t>
      </w:r>
      <w:r w:rsidRPr="001147E2">
        <w:t>%</w:t>
      </w:r>
      <w:proofErr w:type="gramEnd"/>
      <w:r>
        <w:t xml:space="preserve"> celkových emisí.</w:t>
      </w:r>
    </w:p>
    <w:p w14:paraId="660F9952" w14:textId="77777777" w:rsidR="001147E2" w:rsidRPr="001147E2" w:rsidRDefault="001147E2" w:rsidP="001147E2"/>
    <w:p w14:paraId="7F79BC72" w14:textId="77777777" w:rsidR="005870A8" w:rsidRDefault="005870A8" w:rsidP="005870A8">
      <w:r w:rsidRPr="005870A8">
        <w:t>V horizontu příštích 10 let připadá v úvahu realizace následujících technologií:</w:t>
      </w:r>
    </w:p>
    <w:p w14:paraId="7C3F6390" w14:textId="77777777" w:rsidR="005870A8" w:rsidRPr="001147E2" w:rsidRDefault="005870A8" w:rsidP="00424E0A">
      <w:pPr>
        <w:pStyle w:val="Odstavecseseznamem"/>
        <w:numPr>
          <w:ilvl w:val="0"/>
          <w:numId w:val="47"/>
        </w:numPr>
      </w:pPr>
      <w:r w:rsidRPr="001147E2">
        <w:t>Nahrazení uhlí biomasou: Úplným nahrazením uhlí biomasou lze v sektoru papírenství ušetřit ročně více než 300 000 tun CO</w:t>
      </w:r>
      <w:r w:rsidRPr="001147E2">
        <w:rPr>
          <w:vertAlign w:val="subscript"/>
          <w:lang w:val="sk-SK"/>
        </w:rPr>
        <w:t>2</w:t>
      </w:r>
      <w:r w:rsidRPr="001147E2">
        <w:t>. Investiční náklady jsou v tomto případě odhadovány na přibližně 120 mil. EUR, což odpovídá jednotkovým nákladům ve výši přibližně 400 EUR na tunu ušetřeného CO</w:t>
      </w:r>
      <w:r w:rsidRPr="001147E2">
        <w:rPr>
          <w:vertAlign w:val="subscript"/>
        </w:rPr>
        <w:t>2</w:t>
      </w:r>
      <w:r w:rsidRPr="001147E2">
        <w:t>.</w:t>
      </w:r>
    </w:p>
    <w:p w14:paraId="26DB78C9" w14:textId="77777777" w:rsidR="005870A8" w:rsidRPr="001147E2" w:rsidRDefault="005870A8" w:rsidP="00424E0A">
      <w:pPr>
        <w:pStyle w:val="Odstavecseseznamem"/>
        <w:numPr>
          <w:ilvl w:val="0"/>
          <w:numId w:val="47"/>
        </w:numPr>
      </w:pPr>
      <w:r w:rsidRPr="001147E2">
        <w:t xml:space="preserve">Zvyšování účinnosti stávající </w:t>
      </w:r>
      <w:proofErr w:type="gramStart"/>
      <w:r w:rsidRPr="001147E2">
        <w:t>technologií  -</w:t>
      </w:r>
      <w:proofErr w:type="gramEnd"/>
      <w:r w:rsidRPr="001147E2">
        <w:t xml:space="preserve"> rekuperace tepelné energie: Zvýšením účinnosti stávajících technologických celků zejména prostřednictvím rekuperace tepelné energie lze ušetřit přibližně 70 000 tun CO</w:t>
      </w:r>
      <w:r w:rsidRPr="001147E2">
        <w:rPr>
          <w:vertAlign w:val="subscript"/>
          <w:lang w:val="sk-SK"/>
        </w:rPr>
        <w:t>2</w:t>
      </w:r>
      <w:r w:rsidRPr="001147E2">
        <w:rPr>
          <w:lang w:val="sk-SK"/>
        </w:rPr>
        <w:t xml:space="preserve"> </w:t>
      </w:r>
      <w:r w:rsidRPr="001147E2">
        <w:t>ročně. Jednotkové náklady se v případě rekuperace pohybují kolem 100 EUR na tunu ušetřeného CO</w:t>
      </w:r>
      <w:r w:rsidRPr="001147E2">
        <w:rPr>
          <w:vertAlign w:val="subscript"/>
        </w:rPr>
        <w:t>2</w:t>
      </w:r>
      <w:r w:rsidRPr="001147E2">
        <w:t>. </w:t>
      </w:r>
    </w:p>
    <w:p w14:paraId="4CB57908" w14:textId="77777777" w:rsidR="005870A8" w:rsidRPr="001147E2" w:rsidRDefault="005870A8" w:rsidP="00424E0A">
      <w:pPr>
        <w:pStyle w:val="Odstavecseseznamem"/>
        <w:numPr>
          <w:ilvl w:val="0"/>
          <w:numId w:val="47"/>
        </w:numPr>
      </w:pPr>
      <w:r w:rsidRPr="001147E2">
        <w:t>KVET</w:t>
      </w:r>
      <w:r w:rsidR="003C2843" w:rsidRPr="001147E2">
        <w:t xml:space="preserve"> </w:t>
      </w:r>
      <w:r w:rsidRPr="001147E2">
        <w:t>(Kombinovaná výroba elektřiny a tepla): Nasazení technologie pro KVET umožnuje výrazné zvýšení účinnosti využívání primárních paliv a přeneseně snížení emisí na jednotku výstupu. Vyrobené teplo a elektřina bývá nejčastěji spotřebovány přímo v místě výroby, popřípadě může být dodána do sítě. Další rozvoj technologie pro KVET je kvůli vysokým investičním nákladům podmíněn zachováním veřejné podpory pro KVET.</w:t>
      </w:r>
    </w:p>
    <w:p w14:paraId="68F102B8" w14:textId="77777777" w:rsidR="005870A8" w:rsidRPr="001147E2" w:rsidRDefault="005870A8" w:rsidP="00424E0A">
      <w:pPr>
        <w:pStyle w:val="Odstavecseseznamem"/>
        <w:numPr>
          <w:ilvl w:val="0"/>
          <w:numId w:val="47"/>
        </w:numPr>
      </w:pPr>
      <w:r w:rsidRPr="001147E2">
        <w:t>Využití kalových vod a vedlejších technologických produktů pro výrobu bioplynu/biometanu: Využití kalových vod a vedlejších technologických produktů z výroby papíru a buničiny pro výrobu bioplynu představuje další z </w:t>
      </w:r>
      <w:proofErr w:type="gramStart"/>
      <w:r w:rsidRPr="001147E2">
        <w:t>možností</w:t>
      </w:r>
      <w:proofErr w:type="gramEnd"/>
      <w:r w:rsidRPr="001147E2">
        <w:t xml:space="preserve"> jak výrazně zefektivnit nakládání s energetickými vstupy. Kvůli vysokým investičním a provozním nákladům je však rozvoj technologie pro čištění biometanu závislý na zavedení vhodné podpory výroby biometanu.</w:t>
      </w:r>
    </w:p>
    <w:p w14:paraId="01022C62" w14:textId="77777777" w:rsidR="00DF265A" w:rsidRPr="001147E2" w:rsidRDefault="005870A8" w:rsidP="00424E0A">
      <w:pPr>
        <w:pStyle w:val="Odstavecseseznamem"/>
        <w:numPr>
          <w:ilvl w:val="0"/>
          <w:numId w:val="47"/>
        </w:numPr>
      </w:pPr>
      <w:r w:rsidRPr="001147E2">
        <w:t>CCS: Technologie pro zachycování a ukládání uhlíku by umožnila výrazné snížení emisí bez ohledu na využívané palivo a technologickou část výroby. Masivnějšímu rozvoji technologie prozatím brání vysoké investiční náklady. Podle studie Evropské komise by se náklady na instalaci a provoz technologie CCS vyplatili při ceně emisní povolenky v intervalu 60-80 EUR/tCO</w:t>
      </w:r>
      <w:r w:rsidRPr="001147E2">
        <w:rPr>
          <w:vertAlign w:val="subscript"/>
        </w:rPr>
        <w:t>2</w:t>
      </w:r>
      <w:r w:rsidRPr="001147E2">
        <w:t xml:space="preserve">, IEA pak </w:t>
      </w:r>
      <w:r w:rsidR="00424E0A" w:rsidRPr="001147E2">
        <w:t>uvádí cenu v rozmezí 30-50 USD/t</w:t>
      </w:r>
      <w:r w:rsidRPr="001147E2">
        <w:t>CO</w:t>
      </w:r>
      <w:r w:rsidRPr="001147E2">
        <w:rPr>
          <w:vertAlign w:val="subscript"/>
        </w:rPr>
        <w:t>2</w:t>
      </w:r>
    </w:p>
    <w:p w14:paraId="4B6D4F6B" w14:textId="77777777" w:rsidR="00DF265A" w:rsidRDefault="00DF265A" w:rsidP="0090281E"/>
    <w:p w14:paraId="3B8C8EF8" w14:textId="77777777" w:rsidR="00713948" w:rsidRPr="00605759" w:rsidRDefault="0090281E" w:rsidP="00605759">
      <w:r>
        <w:t xml:space="preserve">Jednotlivé oborové svazy uvítaly iniciativu MPO spojenou s přípravou této studie. Jsou připraveny pokračovat v dialogu a dalším iterativním upřesňování jejich možností. Na základě vzájemného </w:t>
      </w:r>
      <w:r>
        <w:lastRenderedPageBreak/>
        <w:t>dialogu bude možné upřesňovat další nutné kroky na straně průmyslu, definovat požadavky, které je nutné splnit, a podporu, kterou je nutné zajistit, abychom společně mohli pokračovat v cestě k dalšímu snižování emisí CO</w:t>
      </w:r>
      <w:r w:rsidRPr="000968B1">
        <w:rPr>
          <w:vertAlign w:val="subscript"/>
        </w:rPr>
        <w:t>2</w:t>
      </w:r>
      <w:r>
        <w:t>, tak jak je vytýčena v </w:t>
      </w:r>
      <w:proofErr w:type="gramStart"/>
      <w:r>
        <w:t>Zelené</w:t>
      </w:r>
      <w:proofErr w:type="gramEnd"/>
      <w:r>
        <w:t xml:space="preserve"> dohodě pro Evropu.</w:t>
      </w:r>
    </w:p>
    <w:sectPr w:rsidR="00713948" w:rsidRPr="00605759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13EB" w14:textId="77777777" w:rsidR="005634F0" w:rsidRDefault="005634F0" w:rsidP="00677FE0">
      <w:pPr>
        <w:spacing w:line="240" w:lineRule="auto"/>
      </w:pPr>
      <w:r>
        <w:separator/>
      </w:r>
    </w:p>
  </w:endnote>
  <w:endnote w:type="continuationSeparator" w:id="0">
    <w:p w14:paraId="4C6111BB" w14:textId="77777777" w:rsidR="005634F0" w:rsidRDefault="005634F0" w:rsidP="00677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077670"/>
      <w:docPartObj>
        <w:docPartGallery w:val="Page Numbers (Bottom of Page)"/>
        <w:docPartUnique/>
      </w:docPartObj>
    </w:sdtPr>
    <w:sdtEndPr/>
    <w:sdtContent>
      <w:p w14:paraId="6F57D500" w14:textId="77777777" w:rsidR="00BD5BF1" w:rsidRDefault="00BD5B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F54">
          <w:rPr>
            <w:noProof/>
          </w:rPr>
          <w:t>3</w:t>
        </w:r>
        <w:r>
          <w:fldChar w:fldCharType="end"/>
        </w:r>
      </w:p>
    </w:sdtContent>
  </w:sdt>
  <w:p w14:paraId="179359B7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22EC" w14:textId="77777777" w:rsidR="005634F0" w:rsidRDefault="005634F0" w:rsidP="00677FE0">
      <w:pPr>
        <w:spacing w:line="240" w:lineRule="auto"/>
      </w:pPr>
      <w:r>
        <w:separator/>
      </w:r>
    </w:p>
  </w:footnote>
  <w:footnote w:type="continuationSeparator" w:id="0">
    <w:p w14:paraId="4FE9E982" w14:textId="77777777" w:rsidR="005634F0" w:rsidRDefault="005634F0" w:rsidP="00677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F12624E"/>
    <w:multiLevelType w:val="hybridMultilevel"/>
    <w:tmpl w:val="45F2C694"/>
    <w:lvl w:ilvl="0" w:tplc="0CB272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3AE5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C68781A"/>
    <w:multiLevelType w:val="multilevel"/>
    <w:tmpl w:val="4244BE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0FE7953"/>
    <w:multiLevelType w:val="hybridMultilevel"/>
    <w:tmpl w:val="4F3AB862"/>
    <w:lvl w:ilvl="0" w:tplc="0CB272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2E134287"/>
    <w:multiLevelType w:val="hybridMultilevel"/>
    <w:tmpl w:val="E1C6EDBA"/>
    <w:lvl w:ilvl="0" w:tplc="0CB272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D40E82"/>
    <w:multiLevelType w:val="hybridMultilevel"/>
    <w:tmpl w:val="68783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39594BF9"/>
    <w:multiLevelType w:val="hybridMultilevel"/>
    <w:tmpl w:val="CD4C74D6"/>
    <w:lvl w:ilvl="0" w:tplc="0CB272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0348A"/>
    <w:multiLevelType w:val="hybridMultilevel"/>
    <w:tmpl w:val="838640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A306389"/>
    <w:multiLevelType w:val="multilevel"/>
    <w:tmpl w:val="E8BAE50A"/>
    <w:numStyleLink w:val="VariantaA-odrky"/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2D4358"/>
    <w:multiLevelType w:val="hybridMultilevel"/>
    <w:tmpl w:val="8F3EA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59B6A31"/>
    <w:multiLevelType w:val="hybridMultilevel"/>
    <w:tmpl w:val="CD06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1C11E2"/>
    <w:multiLevelType w:val="multilevel"/>
    <w:tmpl w:val="E8A48D7C"/>
    <w:numStyleLink w:val="VariantaA-sla"/>
  </w:abstractNum>
  <w:abstractNum w:abstractNumId="4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2" w15:restartNumberingAfterBreak="0">
    <w:nsid w:val="5AF35F43"/>
    <w:multiLevelType w:val="multilevel"/>
    <w:tmpl w:val="0D8ABE32"/>
    <w:numStyleLink w:val="VariantaB-sla"/>
  </w:abstractNum>
  <w:abstractNum w:abstractNumId="43" w15:restartNumberingAfterBreak="0">
    <w:nsid w:val="677E1470"/>
    <w:multiLevelType w:val="hybridMultilevel"/>
    <w:tmpl w:val="85A44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E1A6B"/>
    <w:multiLevelType w:val="hybridMultilevel"/>
    <w:tmpl w:val="3F6EE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AE5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42710"/>
    <w:multiLevelType w:val="hybridMultilevel"/>
    <w:tmpl w:val="8CB2289C"/>
    <w:lvl w:ilvl="0" w:tplc="0CB272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AD70BF"/>
    <w:multiLevelType w:val="hybridMultilevel"/>
    <w:tmpl w:val="1D34D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21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40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2"/>
  </w:num>
  <w:num w:numId="18">
    <w:abstractNumId w:val="6"/>
  </w:num>
  <w:num w:numId="19">
    <w:abstractNumId w:val="12"/>
  </w:num>
  <w:num w:numId="20">
    <w:abstractNumId w:val="8"/>
  </w:num>
  <w:num w:numId="21">
    <w:abstractNumId w:val="31"/>
  </w:num>
  <w:num w:numId="22">
    <w:abstractNumId w:val="10"/>
  </w:num>
  <w:num w:numId="23">
    <w:abstractNumId w:val="23"/>
  </w:num>
  <w:num w:numId="24">
    <w:abstractNumId w:val="11"/>
  </w:num>
  <w:num w:numId="25">
    <w:abstractNumId w:val="16"/>
  </w:num>
  <w:num w:numId="26">
    <w:abstractNumId w:val="34"/>
  </w:num>
  <w:num w:numId="27">
    <w:abstractNumId w:val="28"/>
  </w:num>
  <w:num w:numId="28">
    <w:abstractNumId w:val="27"/>
  </w:num>
  <w:num w:numId="29">
    <w:abstractNumId w:val="19"/>
  </w:num>
  <w:num w:numId="30">
    <w:abstractNumId w:val="37"/>
  </w:num>
  <w:num w:numId="31">
    <w:abstractNumId w:val="42"/>
  </w:num>
  <w:num w:numId="32">
    <w:abstractNumId w:val="25"/>
  </w:num>
  <w:num w:numId="33">
    <w:abstractNumId w:val="18"/>
  </w:num>
  <w:num w:numId="34">
    <w:abstractNumId w:val="9"/>
  </w:num>
  <w:num w:numId="35">
    <w:abstractNumId w:val="26"/>
  </w:num>
  <w:num w:numId="36">
    <w:abstractNumId w:val="14"/>
  </w:num>
  <w:num w:numId="37">
    <w:abstractNumId w:val="20"/>
  </w:num>
  <w:num w:numId="38">
    <w:abstractNumId w:val="43"/>
  </w:num>
  <w:num w:numId="39">
    <w:abstractNumId w:val="33"/>
  </w:num>
  <w:num w:numId="40">
    <w:abstractNumId w:val="30"/>
  </w:num>
  <w:num w:numId="41">
    <w:abstractNumId w:val="39"/>
  </w:num>
  <w:num w:numId="42">
    <w:abstractNumId w:val="44"/>
  </w:num>
  <w:num w:numId="43">
    <w:abstractNumId w:val="46"/>
  </w:num>
  <w:num w:numId="44">
    <w:abstractNumId w:val="36"/>
  </w:num>
  <w:num w:numId="45">
    <w:abstractNumId w:val="29"/>
  </w:num>
  <w:num w:numId="46">
    <w:abstractNumId w:val="13"/>
  </w:num>
  <w:num w:numId="47">
    <w:abstractNumId w:val="32"/>
  </w:num>
  <w:num w:numId="48">
    <w:abstractNumId w:val="45"/>
  </w:num>
  <w:num w:numId="4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1E"/>
    <w:rsid w:val="00015306"/>
    <w:rsid w:val="0002674B"/>
    <w:rsid w:val="0004162E"/>
    <w:rsid w:val="0004786B"/>
    <w:rsid w:val="00063405"/>
    <w:rsid w:val="00071165"/>
    <w:rsid w:val="000809B9"/>
    <w:rsid w:val="00090B40"/>
    <w:rsid w:val="00095A0A"/>
    <w:rsid w:val="000B1B3D"/>
    <w:rsid w:val="000C4CAF"/>
    <w:rsid w:val="001126F8"/>
    <w:rsid w:val="001147E2"/>
    <w:rsid w:val="00121485"/>
    <w:rsid w:val="001268B0"/>
    <w:rsid w:val="00163AE8"/>
    <w:rsid w:val="0018051B"/>
    <w:rsid w:val="001B1E4A"/>
    <w:rsid w:val="001D27C0"/>
    <w:rsid w:val="001E74C3"/>
    <w:rsid w:val="001F43F4"/>
    <w:rsid w:val="001F5ACD"/>
    <w:rsid w:val="001F6937"/>
    <w:rsid w:val="00220DE3"/>
    <w:rsid w:val="002425C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2624D"/>
    <w:rsid w:val="00363201"/>
    <w:rsid w:val="0039063C"/>
    <w:rsid w:val="003A46A8"/>
    <w:rsid w:val="003A51AA"/>
    <w:rsid w:val="003B565A"/>
    <w:rsid w:val="003C2843"/>
    <w:rsid w:val="003D00A1"/>
    <w:rsid w:val="0041427F"/>
    <w:rsid w:val="00424E0A"/>
    <w:rsid w:val="0043444A"/>
    <w:rsid w:val="004508E2"/>
    <w:rsid w:val="004509E5"/>
    <w:rsid w:val="00486FB9"/>
    <w:rsid w:val="004C212A"/>
    <w:rsid w:val="00500232"/>
    <w:rsid w:val="0050318E"/>
    <w:rsid w:val="00504668"/>
    <w:rsid w:val="005455E1"/>
    <w:rsid w:val="005502BD"/>
    <w:rsid w:val="00556787"/>
    <w:rsid w:val="005634F0"/>
    <w:rsid w:val="00582276"/>
    <w:rsid w:val="005870A8"/>
    <w:rsid w:val="005C2560"/>
    <w:rsid w:val="005F7585"/>
    <w:rsid w:val="00605759"/>
    <w:rsid w:val="00650C6C"/>
    <w:rsid w:val="00652FE6"/>
    <w:rsid w:val="00667898"/>
    <w:rsid w:val="00677FE0"/>
    <w:rsid w:val="00696102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0281E"/>
    <w:rsid w:val="00922001"/>
    <w:rsid w:val="00922C17"/>
    <w:rsid w:val="00942DDD"/>
    <w:rsid w:val="009516A8"/>
    <w:rsid w:val="0097705C"/>
    <w:rsid w:val="009A3985"/>
    <w:rsid w:val="009E2400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B9E"/>
    <w:rsid w:val="00B42E96"/>
    <w:rsid w:val="00B50EE6"/>
    <w:rsid w:val="00B52185"/>
    <w:rsid w:val="00B84F54"/>
    <w:rsid w:val="00B9753A"/>
    <w:rsid w:val="00BB05C4"/>
    <w:rsid w:val="00BB479C"/>
    <w:rsid w:val="00BC4720"/>
    <w:rsid w:val="00BD5BF1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F265A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04AE"/>
  <w15:chartTrackingRefBased/>
  <w15:docId w15:val="{B2A8A6F0-A8D8-4BA3-8023-A2DF8EAD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81E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5"/>
    <w:qFormat/>
    <w:locked/>
    <w:rsid w:val="0090281E"/>
    <w:rPr>
      <w:color w:val="000000" w:themeColor="text1"/>
    </w:rPr>
  </w:style>
  <w:style w:type="paragraph" w:styleId="Textpoznpodarou">
    <w:name w:val="footnote text"/>
    <w:aliases w:val="Footnote Text Char3,Footnote Text Char1 Char1,Footnote Text Char2 Char Char,Footnote Text Char1 Char1 Char Char,Footnote Text Char2 Char Char Char Char,Footnote Text Char1 Char1 Char Char Char Char Char,-E Fußnotentext,Fußnotentextf"/>
    <w:basedOn w:val="Normln"/>
    <w:link w:val="TextpoznpodarouChar"/>
    <w:uiPriority w:val="99"/>
    <w:unhideWhenUsed/>
    <w:qFormat/>
    <w:rsid w:val="005870A8"/>
    <w:rPr>
      <w:sz w:val="20"/>
      <w:szCs w:val="20"/>
    </w:rPr>
  </w:style>
  <w:style w:type="character" w:customStyle="1" w:styleId="TextpoznpodarouChar">
    <w:name w:val="Text pozn. pod čarou Char"/>
    <w:aliases w:val="Footnote Text Char3 Char,Footnote Text Char1 Char1 Char,Footnote Text Char2 Char Char Char,Footnote Text Char1 Char1 Char Char Char,Footnote Text Char2 Char Char Char Char Char,-E Fußnotentext Char,Fußnotentextf Char"/>
    <w:basedOn w:val="Standardnpsmoodstavce"/>
    <w:link w:val="Textpoznpodarou"/>
    <w:uiPriority w:val="99"/>
    <w:qFormat/>
    <w:rsid w:val="005870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,SUPERS"/>
    <w:basedOn w:val="Standardnpsmoodstavce"/>
    <w:uiPriority w:val="99"/>
    <w:unhideWhenUsed/>
    <w:rsid w:val="005870A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6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B81F-5553-471F-9F40-974CB43E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2232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Mervart Petr</dc:creator>
  <cp:keywords/>
  <dc:description/>
  <cp:lastModifiedBy>Irma</cp:lastModifiedBy>
  <cp:revision>2</cp:revision>
  <cp:lastPrinted>2020-09-07T12:57:00Z</cp:lastPrinted>
  <dcterms:created xsi:type="dcterms:W3CDTF">2020-09-11T18:23:00Z</dcterms:created>
  <dcterms:modified xsi:type="dcterms:W3CDTF">2020-09-11T18:23:00Z</dcterms:modified>
</cp:coreProperties>
</file>