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10" w:rsidRPr="00087914" w:rsidRDefault="00087914" w:rsidP="007C4632">
      <w:pPr>
        <w:pStyle w:val="Nadpis1"/>
        <w:jc w:val="both"/>
        <w:rPr>
          <w:b/>
          <w:sz w:val="28"/>
          <w:szCs w:val="28"/>
        </w:rPr>
      </w:pPr>
      <w:r w:rsidRPr="00087914">
        <w:rPr>
          <w:b/>
          <w:sz w:val="28"/>
          <w:szCs w:val="28"/>
        </w:rPr>
        <w:t>Stanovení</w:t>
      </w:r>
      <w:r w:rsidR="009A7A18" w:rsidRPr="00087914">
        <w:rPr>
          <w:b/>
          <w:sz w:val="28"/>
          <w:szCs w:val="28"/>
        </w:rPr>
        <w:t xml:space="preserve"> dopadu změny poplatku za </w:t>
      </w:r>
      <w:r w:rsidR="00326B2F" w:rsidRPr="00087914">
        <w:rPr>
          <w:b/>
          <w:sz w:val="28"/>
          <w:szCs w:val="28"/>
        </w:rPr>
        <w:t xml:space="preserve">odběr </w:t>
      </w:r>
      <w:r w:rsidR="009A7A18" w:rsidRPr="00087914">
        <w:rPr>
          <w:b/>
          <w:sz w:val="28"/>
          <w:szCs w:val="28"/>
        </w:rPr>
        <w:t>povrchov</w:t>
      </w:r>
      <w:r w:rsidR="00326B2F" w:rsidRPr="00087914">
        <w:rPr>
          <w:b/>
          <w:sz w:val="28"/>
          <w:szCs w:val="28"/>
        </w:rPr>
        <w:t>é</w:t>
      </w:r>
      <w:r w:rsidR="009A7A18" w:rsidRPr="00087914">
        <w:rPr>
          <w:b/>
          <w:sz w:val="28"/>
          <w:szCs w:val="28"/>
        </w:rPr>
        <w:t xml:space="preserve"> a podzemní</w:t>
      </w:r>
      <w:r w:rsidR="007C6BA9" w:rsidRPr="00087914">
        <w:rPr>
          <w:b/>
          <w:sz w:val="28"/>
          <w:szCs w:val="28"/>
        </w:rPr>
        <w:t xml:space="preserve"> vody</w:t>
      </w:r>
    </w:p>
    <w:p w:rsidR="009A7A18" w:rsidRDefault="009A7A18" w:rsidP="00DC6883">
      <w:pPr>
        <w:spacing w:after="0"/>
        <w:jc w:val="both"/>
      </w:pPr>
    </w:p>
    <w:p w:rsidR="009A7A18" w:rsidRDefault="009A7A18" w:rsidP="007C4632">
      <w:pPr>
        <w:pStyle w:val="Nadpis2"/>
        <w:numPr>
          <w:ilvl w:val="0"/>
          <w:numId w:val="3"/>
        </w:numPr>
        <w:ind w:left="709"/>
        <w:jc w:val="both"/>
      </w:pPr>
      <w:r>
        <w:t>Východiska</w:t>
      </w:r>
    </w:p>
    <w:p w:rsidR="009A7A18" w:rsidRPr="009A7A18" w:rsidRDefault="009A7A18" w:rsidP="007C4632">
      <w:pPr>
        <w:pStyle w:val="Odstavecseseznamem"/>
        <w:numPr>
          <w:ilvl w:val="0"/>
          <w:numId w:val="2"/>
        </w:numPr>
        <w:ind w:left="709" w:hanging="357"/>
        <w:contextualSpacing w:val="0"/>
        <w:jc w:val="both"/>
      </w:pPr>
      <w:r>
        <w:t xml:space="preserve">Změna </w:t>
      </w:r>
      <w:r w:rsidR="00087914">
        <w:t>platby a poplatku za odběr povrchové a podzemní vody na jednotný poplatek o</w:t>
      </w:r>
      <w:r>
        <w:t xml:space="preserve"> hodnot</w:t>
      </w:r>
      <w:r w:rsidR="00087914">
        <w:t>ě</w:t>
      </w:r>
      <w:r>
        <w:t xml:space="preserve"> 3,5 Kč/m</w:t>
      </w:r>
      <w:r w:rsidRPr="009A7A18">
        <w:rPr>
          <w:vertAlign w:val="superscript"/>
        </w:rPr>
        <w:t>3</w:t>
      </w:r>
      <w:r w:rsidR="00764D93">
        <w:t>.</w:t>
      </w:r>
    </w:p>
    <w:p w:rsidR="009A7A18" w:rsidRDefault="00087914" w:rsidP="007C4632">
      <w:pPr>
        <w:pStyle w:val="Odstavecseseznamem"/>
        <w:numPr>
          <w:ilvl w:val="0"/>
          <w:numId w:val="2"/>
        </w:numPr>
        <w:ind w:left="709" w:hanging="357"/>
        <w:contextualSpacing w:val="0"/>
        <w:jc w:val="both"/>
      </w:pPr>
      <w:r>
        <w:t>Stanovení dopadu je založené na porovnání</w:t>
      </w:r>
      <w:r w:rsidR="00031202">
        <w:t xml:space="preserve"> dat evidovaných na </w:t>
      </w:r>
      <w:proofErr w:type="spellStart"/>
      <w:r w:rsidR="000E6373">
        <w:t>MZe</w:t>
      </w:r>
      <w:proofErr w:type="spellEnd"/>
      <w:r w:rsidR="000E6373">
        <w:t xml:space="preserve"> z vybraných údajů provozní evidence</w:t>
      </w:r>
      <w:r w:rsidR="00587268">
        <w:t xml:space="preserve"> (VÚPE)</w:t>
      </w:r>
      <w:r w:rsidR="000E6373">
        <w:t xml:space="preserve"> – část stavby pro úpravu vody za rok 2017</w:t>
      </w:r>
      <w:r w:rsidR="00507A8A">
        <w:t xml:space="preserve">, které obsahují informace </w:t>
      </w:r>
      <w:r w:rsidR="00031202">
        <w:t>o množství a druhu</w:t>
      </w:r>
      <w:r w:rsidR="00BD1305">
        <w:t xml:space="preserve"> (podzemní/povrchová)</w:t>
      </w:r>
      <w:r w:rsidR="00031202">
        <w:t xml:space="preserve"> surové vody využité pro výrobu vody pitné prostřednictvím jednotlivých evidovaných staveb</w:t>
      </w:r>
      <w:r w:rsidR="007C4632">
        <w:t xml:space="preserve"> (úpravny vody, čerpací stanice)</w:t>
      </w:r>
      <w:r w:rsidR="00D04B23">
        <w:t>.</w:t>
      </w:r>
      <w:r w:rsidR="00031202">
        <w:t xml:space="preserve"> </w:t>
      </w:r>
      <w:r w:rsidR="00D04B23">
        <w:t>B</w:t>
      </w:r>
      <w:r w:rsidR="00031202">
        <w:t xml:space="preserve">ylo </w:t>
      </w:r>
      <w:r w:rsidR="00D04B23">
        <w:t xml:space="preserve">tak </w:t>
      </w:r>
      <w:r w:rsidR="00031202">
        <w:t xml:space="preserve">možné stanovit vliv změny výše poplatku na náklady na nákup surové vody, používané dále pro výrobu. </w:t>
      </w:r>
    </w:p>
    <w:p w:rsidR="00031202" w:rsidRDefault="00031202" w:rsidP="007C4632">
      <w:pPr>
        <w:pStyle w:val="Odstavecseseznamem"/>
        <w:numPr>
          <w:ilvl w:val="0"/>
          <w:numId w:val="2"/>
        </w:numPr>
        <w:ind w:left="709" w:hanging="357"/>
        <w:contextualSpacing w:val="0"/>
        <w:jc w:val="both"/>
      </w:pPr>
      <w:r>
        <w:t xml:space="preserve">Vzhledem </w:t>
      </w:r>
      <w:r w:rsidR="00BD1305">
        <w:t>k</w:t>
      </w:r>
      <w:r>
        <w:t xml:space="preserve"> rozsah</w:t>
      </w:r>
      <w:r w:rsidR="00BD1305">
        <w:t>u</w:t>
      </w:r>
      <w:r>
        <w:t xml:space="preserve"> evidovaných dat, která neobsahují informac</w:t>
      </w:r>
      <w:r w:rsidR="00BD1305">
        <w:t>e</w:t>
      </w:r>
      <w:r>
        <w:t xml:space="preserve"> o místě odbytiště vyrobené a distribuované vody, bylo možné stanovit předpokládanou výši nákladů jenom na nákup surové vody v místě </w:t>
      </w:r>
      <w:r w:rsidR="00BD1305">
        <w:t xml:space="preserve">jejího </w:t>
      </w:r>
      <w:r>
        <w:t>odběru</w:t>
      </w:r>
      <w:r w:rsidR="00587268">
        <w:t xml:space="preserve"> (čerpání)</w:t>
      </w:r>
      <w:r>
        <w:t xml:space="preserve">. </w:t>
      </w:r>
    </w:p>
    <w:p w:rsidR="00AB7174" w:rsidRDefault="00AB7174" w:rsidP="007C4632">
      <w:pPr>
        <w:pStyle w:val="Odstavecseseznamem"/>
        <w:numPr>
          <w:ilvl w:val="0"/>
          <w:numId w:val="2"/>
        </w:numPr>
        <w:ind w:left="709" w:hanging="357"/>
        <w:contextualSpacing w:val="0"/>
        <w:jc w:val="both"/>
      </w:pPr>
      <w:r>
        <w:t>Pro výpočet průměrných hodnot</w:t>
      </w:r>
      <w:r w:rsidR="00BD1305">
        <w:t xml:space="preserve"> dopadu změny poplatku</w:t>
      </w:r>
      <w:r>
        <w:t xml:space="preserve"> pro jednotlivé kraje byl použit vážený průměr (objem vyrobené vody byl použit jako váha).</w:t>
      </w:r>
    </w:p>
    <w:p w:rsidR="0060447F" w:rsidRDefault="0060447F" w:rsidP="007C4632">
      <w:pPr>
        <w:pStyle w:val="Odstavecseseznamem"/>
        <w:numPr>
          <w:ilvl w:val="0"/>
          <w:numId w:val="2"/>
        </w:numPr>
        <w:ind w:left="709" w:hanging="357"/>
        <w:contextualSpacing w:val="0"/>
        <w:jc w:val="both"/>
      </w:pPr>
      <w:r>
        <w:t>Při hodnocení změny výše poplatku bylo přihlíženo k umístění jednotlivých staveb pro úpravu vody k jednotlivým povodím</w:t>
      </w:r>
      <w:r w:rsidR="00BD1305">
        <w:t xml:space="preserve"> tak, aby mohla být do výpočtu zahrnuta aktuální cena povrchové vody</w:t>
      </w:r>
      <w:r>
        <w:t>:</w:t>
      </w:r>
    </w:p>
    <w:tbl>
      <w:tblPr>
        <w:tblW w:w="3710" w:type="dxa"/>
        <w:jc w:val="center"/>
        <w:tblCellMar>
          <w:left w:w="70" w:type="dxa"/>
          <w:right w:w="70" w:type="dxa"/>
        </w:tblCellMar>
        <w:tblLook w:val="04A0"/>
      </w:tblPr>
      <w:tblGrid>
        <w:gridCol w:w="1975"/>
        <w:gridCol w:w="1735"/>
      </w:tblGrid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1735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POVODÍ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Hlavní město Praha</w:t>
            </w:r>
          </w:p>
        </w:tc>
        <w:tc>
          <w:tcPr>
            <w:tcW w:w="1735" w:type="dxa"/>
            <w:tcBorders>
              <w:top w:val="nil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Vltavy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4472C4"/>
              <w:bottom w:val="single" w:sz="4" w:space="0" w:color="4472C4"/>
              <w:right w:val="nil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1735" w:type="dxa"/>
            <w:tcBorders>
              <w:top w:val="nil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Vltavy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Jihomoravský kraj</w:t>
            </w:r>
          </w:p>
        </w:tc>
        <w:tc>
          <w:tcPr>
            <w:tcW w:w="1735" w:type="dxa"/>
            <w:tcBorders>
              <w:top w:val="nil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Moravy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Karlovarský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Ohře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Vltavy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Kraj Vysočina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Labe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Moravy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Vltavy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4472C4"/>
              <w:bottom w:val="single" w:sz="4" w:space="0" w:color="4472C4"/>
              <w:right w:val="nil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1735" w:type="dxa"/>
            <w:tcBorders>
              <w:top w:val="nil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Labe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Labe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Ohře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Moravy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Odry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Moravy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Odry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Labe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Moravy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Plzeňský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Vltavy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Středočeský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Labe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Ohře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Vltavy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Labe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60447F" w:rsidRPr="00DC688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DC68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Ohře</w:t>
            </w:r>
          </w:p>
        </w:tc>
      </w:tr>
      <w:tr w:rsidR="0060447F" w:rsidRPr="00D04B23" w:rsidTr="00D04B23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DDEBF7"/>
            <w:noWrap/>
            <w:vAlign w:val="center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1735" w:type="dxa"/>
            <w:tcBorders>
              <w:top w:val="nil"/>
              <w:left w:val="single" w:sz="4" w:space="0" w:color="4472C4"/>
              <w:bottom w:val="single" w:sz="8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60447F" w:rsidRPr="00D04B23" w:rsidRDefault="0060447F" w:rsidP="007C46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D04B2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Moravy</w:t>
            </w:r>
          </w:p>
        </w:tc>
      </w:tr>
    </w:tbl>
    <w:p w:rsidR="0060447F" w:rsidRDefault="0060447F" w:rsidP="007C4632">
      <w:pPr>
        <w:pStyle w:val="Odstavecseseznamem"/>
        <w:ind w:left="709"/>
        <w:contextualSpacing w:val="0"/>
        <w:jc w:val="both"/>
      </w:pPr>
    </w:p>
    <w:p w:rsidR="0060447F" w:rsidRDefault="0060447F" w:rsidP="007C4632">
      <w:pPr>
        <w:pStyle w:val="Odstavecseseznamem"/>
        <w:ind w:left="709"/>
        <w:contextualSpacing w:val="0"/>
        <w:jc w:val="both"/>
      </w:pPr>
    </w:p>
    <w:p w:rsidR="00031202" w:rsidRDefault="00031202" w:rsidP="007C4632">
      <w:pPr>
        <w:pStyle w:val="Odstavecseseznamem"/>
        <w:numPr>
          <w:ilvl w:val="0"/>
          <w:numId w:val="2"/>
        </w:numPr>
        <w:ind w:left="709" w:hanging="357"/>
        <w:contextualSpacing w:val="0"/>
        <w:jc w:val="both"/>
      </w:pPr>
      <w:r>
        <w:lastRenderedPageBreak/>
        <w:t xml:space="preserve">V současnosti je rozdílná výše </w:t>
      </w:r>
      <w:r w:rsidR="00BD1305">
        <w:t xml:space="preserve">ceny </w:t>
      </w:r>
      <w:r>
        <w:t>za odběr povrchových vod</w:t>
      </w:r>
      <w:r w:rsidR="00391D40">
        <w:t xml:space="preserve"> v jednotlivých povodích, </w:t>
      </w:r>
      <w:r w:rsidR="00BD1305">
        <w:t xml:space="preserve">kterou dosud </w:t>
      </w:r>
      <w:r w:rsidR="00391D40">
        <w:t>stanov</w:t>
      </w:r>
      <w:r w:rsidR="00BD1305">
        <w:t>ují</w:t>
      </w:r>
      <w:r w:rsidR="00391D40">
        <w:t xml:space="preserve"> správci povodí</w:t>
      </w:r>
      <w:r w:rsidR="00BD1305">
        <w:t xml:space="preserve"> pro každý kalendářní rok</w:t>
      </w:r>
      <w:r>
        <w:t xml:space="preserve">. </w:t>
      </w:r>
      <w:r w:rsidR="00391D40">
        <w:t xml:space="preserve">Přehled </w:t>
      </w:r>
      <w:r w:rsidR="00BD1305">
        <w:t xml:space="preserve">cen </w:t>
      </w:r>
      <w:r w:rsidR="00391D40">
        <w:t>platných v roce 2017</w:t>
      </w:r>
      <w:r w:rsidR="00BD1305">
        <w:t xml:space="preserve"> je uveden</w:t>
      </w:r>
      <w:r w:rsidR="00391D40">
        <w:t xml:space="preserve"> v</w:t>
      </w:r>
      <w:r w:rsidR="00BD1305">
        <w:t xml:space="preserve"> následující </w:t>
      </w:r>
      <w:r w:rsidR="00391D40">
        <w:t xml:space="preserve">tabulce: </w:t>
      </w:r>
    </w:p>
    <w:p w:rsidR="00B71959" w:rsidRDefault="00B71959" w:rsidP="007C4632">
      <w:pPr>
        <w:pStyle w:val="Odstavecseseznamem"/>
        <w:ind w:left="709"/>
        <w:contextualSpacing w:val="0"/>
        <w:jc w:val="both"/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/>
      </w:tblPr>
      <w:tblGrid>
        <w:gridCol w:w="3180"/>
        <w:gridCol w:w="960"/>
      </w:tblGrid>
      <w:tr w:rsidR="00391D40" w:rsidRPr="00D04B23" w:rsidTr="00391D40">
        <w:trPr>
          <w:trHeight w:val="315"/>
          <w:jc w:val="center"/>
        </w:trPr>
        <w:tc>
          <w:tcPr>
            <w:tcW w:w="31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cs-CZ"/>
              </w:rPr>
              <w:t>Státní podnik Povodí / Kč/m</w:t>
            </w:r>
            <w:r w:rsidRPr="00DC688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cs-CZ"/>
              </w:rPr>
              <w:t>2017</w:t>
            </w:r>
          </w:p>
        </w:tc>
      </w:tr>
      <w:tr w:rsidR="00391D40" w:rsidRPr="00D04B23" w:rsidTr="00391D40">
        <w:trPr>
          <w:trHeight w:val="315"/>
          <w:jc w:val="center"/>
        </w:trPr>
        <w:tc>
          <w:tcPr>
            <w:tcW w:w="3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Labe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4,58</w:t>
            </w:r>
          </w:p>
        </w:tc>
      </w:tr>
      <w:tr w:rsidR="00391D40" w:rsidRPr="00D04B23" w:rsidTr="00391D40">
        <w:trPr>
          <w:trHeight w:val="300"/>
          <w:jc w:val="center"/>
        </w:trPr>
        <w:tc>
          <w:tcPr>
            <w:tcW w:w="3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Vltavy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3,84</w:t>
            </w:r>
          </w:p>
        </w:tc>
      </w:tr>
      <w:tr w:rsidR="00391D40" w:rsidRPr="00D04B23" w:rsidTr="00391D40">
        <w:trPr>
          <w:trHeight w:val="300"/>
          <w:jc w:val="center"/>
        </w:trPr>
        <w:tc>
          <w:tcPr>
            <w:tcW w:w="3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Ohře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4,92</w:t>
            </w:r>
          </w:p>
        </w:tc>
      </w:tr>
      <w:tr w:rsidR="00391D40" w:rsidRPr="00D04B23" w:rsidTr="00391D40">
        <w:trPr>
          <w:trHeight w:val="300"/>
          <w:jc w:val="center"/>
        </w:trPr>
        <w:tc>
          <w:tcPr>
            <w:tcW w:w="3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Odry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4,46</w:t>
            </w:r>
          </w:p>
        </w:tc>
      </w:tr>
      <w:tr w:rsidR="00391D40" w:rsidRPr="00D04B23" w:rsidTr="00391D40">
        <w:trPr>
          <w:trHeight w:val="300"/>
          <w:jc w:val="center"/>
        </w:trPr>
        <w:tc>
          <w:tcPr>
            <w:tcW w:w="3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Moravy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6,68</w:t>
            </w:r>
          </w:p>
        </w:tc>
      </w:tr>
      <w:tr w:rsidR="00391D40" w:rsidRPr="00D04B23" w:rsidTr="00391D40">
        <w:trPr>
          <w:trHeight w:val="300"/>
          <w:jc w:val="center"/>
        </w:trPr>
        <w:tc>
          <w:tcPr>
            <w:tcW w:w="3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Průměrná cena*)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4,9</w:t>
            </w:r>
            <w:r w:rsid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91D40" w:rsidRPr="00D04B23" w:rsidTr="00677FD1">
        <w:trPr>
          <w:trHeight w:val="300"/>
          <w:jc w:val="center"/>
        </w:trPr>
        <w:tc>
          <w:tcPr>
            <w:tcW w:w="414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</w:tcPr>
          <w:p w:rsidR="00391D40" w:rsidRPr="00D04B23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Pozn.: Jednotková cena za m</w:t>
            </w:r>
            <w:r w:rsidRPr="00DC688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je uváděna bez daně z</w:t>
            </w:r>
            <w:r w:rsid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D04B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přidané hodnoty.</w:t>
            </w:r>
          </w:p>
          <w:p w:rsidR="00391D40" w:rsidRPr="00A23267" w:rsidRDefault="00391D40" w:rsidP="007C4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232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*) Vypočteno váženým průměrem.</w:t>
            </w:r>
          </w:p>
        </w:tc>
      </w:tr>
    </w:tbl>
    <w:p w:rsidR="00391D40" w:rsidRDefault="00391D40" w:rsidP="007C4632">
      <w:pPr>
        <w:pStyle w:val="Odstavecseseznamem"/>
        <w:ind w:left="709"/>
        <w:jc w:val="both"/>
      </w:pPr>
    </w:p>
    <w:p w:rsidR="00B71959" w:rsidRDefault="00334435" w:rsidP="007C4632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Při </w:t>
      </w:r>
      <w:r w:rsidR="00B749FA">
        <w:t>výpočtu</w:t>
      </w:r>
      <w:r>
        <w:t xml:space="preserve"> dopadu změny </w:t>
      </w:r>
      <w:r w:rsidR="00B749FA">
        <w:t xml:space="preserve">cen </w:t>
      </w:r>
      <w:r>
        <w:t>na osobu byly použity údaje o specifickém množství vody fakturované zjištěné pro jednotlivé kraje v roce 201</w:t>
      </w:r>
      <w:r w:rsidR="00B749FA">
        <w:t>7</w:t>
      </w:r>
      <w:r>
        <w:t xml:space="preserve"> Českým statistickým úřadem. Specifické množství vody fakturované domácnostem (v tabulkách označováno i jako denní specifick</w:t>
      </w:r>
      <w:r w:rsidR="00BD1305">
        <w:t>á</w:t>
      </w:r>
      <w:r>
        <w:t xml:space="preserve"> spotřeba vody domácností na obyvatele) představuje podíl vody fakturované domácnostem na jednoho napojeného obyvatele za den a ukazuje, kolik litrů ze spotřeby vody domácností (vody fakturované domácnostem) připadá na jednoho napojeného obyvatele. </w:t>
      </w:r>
    </w:p>
    <w:p w:rsidR="00D1221B" w:rsidRDefault="00D1221B" w:rsidP="007C4632">
      <w:pPr>
        <w:pStyle w:val="Odstavecseseznamem"/>
        <w:ind w:left="426"/>
        <w:jc w:val="both"/>
      </w:pPr>
    </w:p>
    <w:p w:rsidR="00587268" w:rsidRDefault="001038BD" w:rsidP="007C4632">
      <w:pPr>
        <w:pStyle w:val="Nadpis2"/>
        <w:numPr>
          <w:ilvl w:val="0"/>
          <w:numId w:val="3"/>
        </w:numPr>
        <w:ind w:left="709"/>
        <w:jc w:val="both"/>
      </w:pPr>
      <w:r>
        <w:t>Výpočet</w:t>
      </w:r>
      <w:r w:rsidR="00B60C06">
        <w:t xml:space="preserve"> d</w:t>
      </w:r>
      <w:r w:rsidR="008D5217">
        <w:t>opad</w:t>
      </w:r>
      <w:r w:rsidR="00B60C06">
        <w:t>u</w:t>
      </w:r>
      <w:r w:rsidR="008D5217">
        <w:t xml:space="preserve"> </w:t>
      </w:r>
      <w:r w:rsidR="00B60C06">
        <w:t xml:space="preserve">změny výše poplatku </w:t>
      </w:r>
      <w:r w:rsidR="00587268">
        <w:t xml:space="preserve">za odběr surové vody do nákladů na nákup surové vody </w:t>
      </w:r>
    </w:p>
    <w:p w:rsidR="00587268" w:rsidRDefault="00587268" w:rsidP="007C4632">
      <w:pPr>
        <w:pStyle w:val="Nadpis2"/>
        <w:ind w:left="-11"/>
        <w:jc w:val="both"/>
      </w:pPr>
    </w:p>
    <w:p w:rsidR="00B702F6" w:rsidRDefault="00587268" w:rsidP="007C4632">
      <w:pPr>
        <w:jc w:val="both"/>
      </w:pPr>
      <w:r>
        <w:t>Na základě informací o umístění staveb pro úpravu vody podle katastrů bylo možné</w:t>
      </w:r>
      <w:r w:rsidR="00FA58DE">
        <w:t xml:space="preserve"> ke každé takové stavbě</w:t>
      </w:r>
      <w:r>
        <w:t xml:space="preserve"> </w:t>
      </w:r>
      <w:r w:rsidR="00FA58DE">
        <w:t>přiřadit</w:t>
      </w:r>
      <w:r>
        <w:t xml:space="preserve"> informaci o příslušnosti k jednotlivým povodím</w:t>
      </w:r>
      <w:r w:rsidR="00FA58DE">
        <w:t xml:space="preserve"> a cenám surové povrchové vody</w:t>
      </w:r>
      <w:r>
        <w:t xml:space="preserve"> </w:t>
      </w:r>
      <w:r w:rsidR="00FA58DE">
        <w:t xml:space="preserve"> za</w:t>
      </w:r>
      <w:r>
        <w:t xml:space="preserve"> rok 2017</w:t>
      </w:r>
      <w:r w:rsidR="00FA58DE">
        <w:t>, viz předchozí tabulka</w:t>
      </w:r>
      <w:r>
        <w:t>.</w:t>
      </w:r>
    </w:p>
    <w:p w:rsidR="0057189C" w:rsidRDefault="00587268" w:rsidP="007C4632">
      <w:pPr>
        <w:jc w:val="both"/>
      </w:pPr>
      <w:r>
        <w:t>Ke každé stavbě pro úprav</w:t>
      </w:r>
      <w:r w:rsidR="00FA58DE">
        <w:t>u</w:t>
      </w:r>
      <w:r>
        <w:t xml:space="preserve"> vody jsou ve VÚPE vedeny i bilanční údaje </w:t>
      </w:r>
      <w:r w:rsidR="00B702F6">
        <w:t xml:space="preserve">obsahující data o množství vody vyrobené a také o zdrojích surové vody (povrchový, podzemní, infiltrace), z které byla </w:t>
      </w:r>
      <w:r w:rsidR="00FA58DE">
        <w:t xml:space="preserve">pitná </w:t>
      </w:r>
      <w:r w:rsidR="00B702F6">
        <w:t xml:space="preserve">voda vyrobená. Voda vyrobená celkem (ve vlastní stavbě pro úpravu vody) zahrnuje celkové množství vody vyrobené ve vlastním vodohospodářském zařízení a dodávané do sítě včetně vody nefakturované, ztráty vody v trubní síti, vlastní potřeby a ostatní nefakturované vody. </w:t>
      </w:r>
      <w:r w:rsidR="00FA58DE">
        <w:t>To znamená, že výpočet</w:t>
      </w:r>
      <w:r w:rsidR="00B702F6">
        <w:t xml:space="preserve"> </w:t>
      </w:r>
      <w:r w:rsidR="006C51E2">
        <w:t xml:space="preserve">dopadu </w:t>
      </w:r>
      <w:r w:rsidR="00FA58DE">
        <w:t>změny výše poplatku bylo</w:t>
      </w:r>
      <w:r w:rsidR="00B702F6">
        <w:t xml:space="preserve"> možné realizovat na celkové množství vody surové použité pro výrobu pitné vody v </w:t>
      </w:r>
      <w:r w:rsidR="006C51E2">
        <w:t>roce 2017</w:t>
      </w:r>
      <w:r w:rsidR="00B702F6">
        <w:t xml:space="preserve">. </w:t>
      </w:r>
    </w:p>
    <w:p w:rsidR="006C51E2" w:rsidRDefault="006C51E2" w:rsidP="007C4632">
      <w:pPr>
        <w:jc w:val="both"/>
      </w:pPr>
      <w:r>
        <w:t>Při vyhodnocení dopadu však nebylo možné stanovit vliv na spotřebitele, který vyrobenou vodu nakonec spotřebuj</w:t>
      </w:r>
      <w:r w:rsidR="00FA58DE">
        <w:t>e</w:t>
      </w:r>
      <w:r>
        <w:t xml:space="preserve">. </w:t>
      </w:r>
      <w:r w:rsidR="00FA58DE">
        <w:t>Data</w:t>
      </w:r>
      <w:r w:rsidR="000236EF">
        <w:t xml:space="preserve">, která má </w:t>
      </w:r>
      <w:proofErr w:type="spellStart"/>
      <w:r w:rsidR="000236EF">
        <w:t>MZe</w:t>
      </w:r>
      <w:proofErr w:type="spellEnd"/>
      <w:r w:rsidR="000236EF">
        <w:t xml:space="preserve"> k dispozici,</w:t>
      </w:r>
      <w:r w:rsidR="00A321B6">
        <w:t xml:space="preserve"> </w:t>
      </w:r>
      <w:r w:rsidR="000236EF">
        <w:t>neobsahují</w:t>
      </w:r>
      <w:r>
        <w:t xml:space="preserve"> informace o místě a množství </w:t>
      </w:r>
      <w:r w:rsidR="000236EF">
        <w:t xml:space="preserve">konečného </w:t>
      </w:r>
      <w:r>
        <w:t xml:space="preserve">odběru vyrobené vody. Proto bylo možné </w:t>
      </w:r>
      <w:r w:rsidR="000236EF">
        <w:t>vypočítat</w:t>
      </w:r>
      <w:r>
        <w:t xml:space="preserve"> </w:t>
      </w:r>
      <w:r w:rsidR="000236EF">
        <w:t xml:space="preserve">pouze </w:t>
      </w:r>
      <w:r>
        <w:t xml:space="preserve">dopad </w:t>
      </w:r>
      <w:r w:rsidR="000236EF">
        <w:t>změny ceny poplatku pro</w:t>
      </w:r>
      <w:r w:rsidR="00A23267">
        <w:t xml:space="preserve"> </w:t>
      </w:r>
      <w:r>
        <w:t>jednotliv</w:t>
      </w:r>
      <w:r w:rsidR="000236EF">
        <w:t>é</w:t>
      </w:r>
      <w:r>
        <w:t xml:space="preserve"> kraj</w:t>
      </w:r>
      <w:r w:rsidR="000236EF">
        <w:t>e</w:t>
      </w:r>
      <w:r>
        <w:t>, v kterých se</w:t>
      </w:r>
      <w:r w:rsidR="000236EF">
        <w:t xml:space="preserve"> příslušné</w:t>
      </w:r>
      <w:r>
        <w:t xml:space="preserve"> stavby na úpravu vody nacházejí. </w:t>
      </w:r>
      <w:r w:rsidR="000236EF">
        <w:t>Výpočet je proto zatížen nepřesností, která je však s ohledem ne celkový výsledek zanedbatelná.</w:t>
      </w:r>
    </w:p>
    <w:p w:rsidR="006C51E2" w:rsidRDefault="00196C9E" w:rsidP="007C4632">
      <w:pPr>
        <w:jc w:val="both"/>
      </w:pPr>
      <w:r>
        <w:t>Dopad n</w:t>
      </w:r>
      <w:r w:rsidR="0038089D">
        <w:t>avýšení poplatku</w:t>
      </w:r>
      <w:r>
        <w:t xml:space="preserve"> za vodu podzemní z</w:t>
      </w:r>
      <w:r w:rsidR="0038089D">
        <w:t xml:space="preserve"> 2 na 3,5</w:t>
      </w:r>
      <w:r w:rsidR="000236EF">
        <w:t>0</w:t>
      </w:r>
      <w:r w:rsidR="0038089D">
        <w:t xml:space="preserve"> Kč/m</w:t>
      </w:r>
      <w:r w:rsidR="0038089D" w:rsidRPr="00DC6883">
        <w:rPr>
          <w:vertAlign w:val="superscript"/>
        </w:rPr>
        <w:t>3</w:t>
      </w:r>
      <w:r w:rsidR="0038089D">
        <w:t xml:space="preserve"> je částečně </w:t>
      </w:r>
      <w:r w:rsidR="000236EF">
        <w:t>kompenzován</w:t>
      </w:r>
      <w:r w:rsidR="0038089D">
        <w:t xml:space="preserve"> snížením poplatků </w:t>
      </w:r>
      <w:r w:rsidR="00144846">
        <w:t>za odběr povrchové vody</w:t>
      </w:r>
      <w:r w:rsidR="000236EF">
        <w:t>, protože v žádném z povodí není cena povrchové vody vyšší než 3,50 Kč/m</w:t>
      </w:r>
      <w:r w:rsidR="000236EF">
        <w:rPr>
          <w:vertAlign w:val="superscript"/>
        </w:rPr>
        <w:t>3</w:t>
      </w:r>
      <w:r w:rsidR="000236EF">
        <w:t>.</w:t>
      </w:r>
      <w:r w:rsidR="00144846">
        <w:t xml:space="preserve"> </w:t>
      </w:r>
    </w:p>
    <w:p w:rsidR="0038089D" w:rsidRDefault="00BB26B4" w:rsidP="007C4632">
      <w:pPr>
        <w:jc w:val="both"/>
      </w:pPr>
      <w:r>
        <w:lastRenderedPageBreak/>
        <w:t xml:space="preserve">Z následujících tabulek vyplývá, že </w:t>
      </w:r>
      <w:r w:rsidRPr="005C3D9D">
        <w:rPr>
          <w:i/>
        </w:rPr>
        <w:t>celkové náklady na nákup surové vody po úpravě výše poplatků v celé ČR</w:t>
      </w:r>
      <w:r>
        <w:t xml:space="preserve"> mírně </w:t>
      </w:r>
      <w:r w:rsidR="007D1556">
        <w:t>vzrostou (o 4,5%)</w:t>
      </w:r>
      <w:r>
        <w:t xml:space="preserve">. Průměrné náklady na surovou vodu se zvýší o </w:t>
      </w:r>
      <w:r w:rsidR="00AB7174">
        <w:t>0,15</w:t>
      </w:r>
      <w:r>
        <w:t xml:space="preserve"> Kč/m</w:t>
      </w:r>
      <w:r w:rsidRPr="00BB26B4">
        <w:rPr>
          <w:vertAlign w:val="superscript"/>
        </w:rPr>
        <w:t>3</w:t>
      </w:r>
      <w:r>
        <w:t xml:space="preserve">. </w:t>
      </w:r>
      <w:r w:rsidR="003E049D">
        <w:t>Lze</w:t>
      </w:r>
      <w:r>
        <w:t xml:space="preserve"> předpokládat, že úprava výše poplatků se v průměru projeví na zvýšení </w:t>
      </w:r>
      <w:r w:rsidR="00BD0427">
        <w:t xml:space="preserve">výdajů o </w:t>
      </w:r>
      <w:r w:rsidR="00205DB2">
        <w:t>4,9</w:t>
      </w:r>
      <w:r w:rsidR="00523E50">
        <w:t>0</w:t>
      </w:r>
      <w:r w:rsidR="00BD0427">
        <w:t xml:space="preserve"> </w:t>
      </w:r>
      <w:r>
        <w:t>Kč ročně na obyvatele</w:t>
      </w:r>
      <w:r w:rsidR="00523E50">
        <w:t>.</w:t>
      </w:r>
      <w:r>
        <w:t xml:space="preserve"> </w:t>
      </w:r>
    </w:p>
    <w:p w:rsidR="00360D16" w:rsidRPr="007D1556" w:rsidRDefault="007D1556" w:rsidP="007C4632">
      <w:pPr>
        <w:jc w:val="both"/>
        <w:rPr>
          <w:i/>
        </w:rPr>
      </w:pPr>
      <w:r w:rsidRPr="007D1556">
        <w:rPr>
          <w:i/>
        </w:rPr>
        <w:t>Tabulka č. 1 – změna celkových nákladů na nákup surové vody a změna průměrných jednotkových nákladů na nákup surové vody podle jednotlivých krajů při zohlednění</w:t>
      </w:r>
      <w:r w:rsidR="00523E50">
        <w:rPr>
          <w:i/>
        </w:rPr>
        <w:t xml:space="preserve"> cen povrchové vody podle</w:t>
      </w:r>
      <w:r w:rsidRPr="007D1556">
        <w:rPr>
          <w:i/>
        </w:rPr>
        <w:t xml:space="preserve"> povodí: </w:t>
      </w:r>
    </w:p>
    <w:p w:rsidR="007D1556" w:rsidRDefault="00CB4EBA" w:rsidP="007C4632">
      <w:pPr>
        <w:jc w:val="both"/>
      </w:pPr>
      <w:r w:rsidRPr="00CB4EBA">
        <w:rPr>
          <w:noProof/>
          <w:lang w:eastAsia="cs-CZ"/>
        </w:rPr>
        <w:drawing>
          <wp:inline distT="0" distB="0" distL="0" distR="0">
            <wp:extent cx="6008040" cy="2862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68" cy="28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D1" w:rsidRDefault="00F36FAC" w:rsidP="00806BB3">
      <w:pPr>
        <w:jc w:val="both"/>
      </w:pPr>
      <w:r>
        <w:t xml:space="preserve">Tabulka obsahuje barevně odlišené kraje podle dopadu změny poplatku. Zeleně označené kraje budou mít po úpravě poplatku celkově nižší cenu surové vody. Jedná se o kraje Středočeský, Moravskoslezský, Ústecký, Zlínský, Karlovarský a kraj Vysočina. Tmavě modrá barva označuje kraje, kde ke snížení ceny dojde jen v některých z okresů. Jedná se o kraje Jihomoravský, Plzeňský, Královéhradecký a Liberecký. Zbývající kraje označené světle modrou barvou budou mít po úpravě poplatku cenu surové vody vyšší. Jsou to kraje Pardubický, Jihočeský, Olomoucký a hlavní město Praha. </w:t>
      </w:r>
    </w:p>
    <w:p w:rsidR="003530D1" w:rsidRDefault="003530D1" w:rsidP="007C4632">
      <w:pPr>
        <w:jc w:val="both"/>
      </w:pPr>
      <w:r>
        <w:t>Údaje o množství a zdrojích surové vody v jednotlivých krajích jsou uvedené v tabulce č. 2.</w:t>
      </w:r>
    </w:p>
    <w:p w:rsidR="00B71959" w:rsidRDefault="00B71959" w:rsidP="007C4632">
      <w:pPr>
        <w:jc w:val="both"/>
        <w:rPr>
          <w:i/>
        </w:rPr>
      </w:pPr>
      <w:r>
        <w:rPr>
          <w:i/>
        </w:rPr>
        <w:br w:type="page"/>
      </w:r>
    </w:p>
    <w:p w:rsidR="001726C4" w:rsidRDefault="002F2C34" w:rsidP="007C4632">
      <w:pPr>
        <w:jc w:val="both"/>
        <w:rPr>
          <w:noProof/>
        </w:rPr>
      </w:pPr>
      <w:r w:rsidRPr="007D1556">
        <w:rPr>
          <w:i/>
        </w:rPr>
        <w:lastRenderedPageBreak/>
        <w:t xml:space="preserve">Tabulka č. </w:t>
      </w:r>
      <w:r>
        <w:rPr>
          <w:i/>
        </w:rPr>
        <w:t>2</w:t>
      </w:r>
      <w:r w:rsidRPr="007D1556">
        <w:rPr>
          <w:i/>
        </w:rPr>
        <w:t xml:space="preserve"> – </w:t>
      </w:r>
      <w:r>
        <w:rPr>
          <w:i/>
        </w:rPr>
        <w:t>množství vody vyrobené a množství surového vody odebrané v roce 2017 z povrchových a podzemních zdrojů v jednotlivých krajích</w:t>
      </w:r>
      <w:r>
        <w:rPr>
          <w:noProof/>
        </w:rPr>
        <w:t xml:space="preserve"> </w:t>
      </w:r>
    </w:p>
    <w:p w:rsidR="00D43BA1" w:rsidRDefault="001821C9" w:rsidP="007C4632">
      <w:pPr>
        <w:jc w:val="both"/>
        <w:rPr>
          <w:noProof/>
        </w:rPr>
      </w:pPr>
      <w:r w:rsidRPr="001821C9">
        <w:rPr>
          <w:noProof/>
        </w:rPr>
        <w:t xml:space="preserve"> </w:t>
      </w:r>
      <w:r w:rsidRPr="001821C9">
        <w:rPr>
          <w:noProof/>
          <w:lang w:eastAsia="cs-CZ"/>
        </w:rPr>
        <w:drawing>
          <wp:inline distT="0" distB="0" distL="0" distR="0">
            <wp:extent cx="5464175" cy="452056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05" w:rsidRDefault="001C5205" w:rsidP="007C4632">
      <w:pPr>
        <w:jc w:val="both"/>
        <w:rPr>
          <w:noProof/>
        </w:rPr>
      </w:pPr>
    </w:p>
    <w:p w:rsidR="009A1758" w:rsidRDefault="00806BB3" w:rsidP="007C4632">
      <w:pPr>
        <w:pStyle w:val="Nadpis2"/>
        <w:numPr>
          <w:ilvl w:val="0"/>
          <w:numId w:val="3"/>
        </w:numPr>
        <w:ind w:left="709"/>
        <w:jc w:val="both"/>
      </w:pPr>
      <w:r>
        <w:t>Výpočet</w:t>
      </w:r>
      <w:r w:rsidR="009A1758">
        <w:t xml:space="preserve"> vlivu změny poplatků za odběr surové vody na konečného spotřebitele (domácnosti), stanoven</w:t>
      </w:r>
      <w:r>
        <w:t>ý</w:t>
      </w:r>
      <w:r w:rsidR="009A1758">
        <w:t xml:space="preserve"> na základě roční specifické spotřeby (resp. specifického množství vody fakturované domácnostem)</w:t>
      </w:r>
    </w:p>
    <w:p w:rsidR="009A1758" w:rsidRPr="009A1758" w:rsidRDefault="009A1758" w:rsidP="007C4632">
      <w:pPr>
        <w:jc w:val="both"/>
      </w:pPr>
    </w:p>
    <w:p w:rsidR="00E30969" w:rsidRDefault="007C6BA9" w:rsidP="007C4632">
      <w:pPr>
        <w:jc w:val="both"/>
        <w:rPr>
          <w:noProof/>
        </w:rPr>
      </w:pPr>
      <w:r>
        <w:rPr>
          <w:noProof/>
        </w:rPr>
        <w:t>V násl</w:t>
      </w:r>
      <w:r w:rsidR="009A1758">
        <w:rPr>
          <w:noProof/>
        </w:rPr>
        <w:t>e</w:t>
      </w:r>
      <w:r>
        <w:rPr>
          <w:noProof/>
        </w:rPr>
        <w:t>dující tabulce je vyjádřen odhad změny poplatků za odběr surové vody na osobu a den podle specifické spotřeby v roce 201</w:t>
      </w:r>
      <w:r w:rsidR="00DC6883">
        <w:rPr>
          <w:noProof/>
        </w:rPr>
        <w:t>7</w:t>
      </w:r>
      <w:r>
        <w:rPr>
          <w:noProof/>
        </w:rPr>
        <w:t xml:space="preserve"> pro jednotlivé kraje. </w:t>
      </w:r>
      <w:r w:rsidR="00E30969">
        <w:rPr>
          <w:noProof/>
        </w:rPr>
        <w:t>Jak již bylo uvedeno v p</w:t>
      </w:r>
      <w:r w:rsidR="00806BB3">
        <w:rPr>
          <w:noProof/>
        </w:rPr>
        <w:t>r</w:t>
      </w:r>
      <w:r w:rsidR="00E30969">
        <w:rPr>
          <w:noProof/>
        </w:rPr>
        <w:t xml:space="preserve">ůměru se denní náklady na osobu zvýší o přibližně </w:t>
      </w:r>
      <w:r w:rsidR="00781F75">
        <w:rPr>
          <w:noProof/>
        </w:rPr>
        <w:t>0,013</w:t>
      </w:r>
      <w:r w:rsidR="00E30969">
        <w:rPr>
          <w:noProof/>
        </w:rPr>
        <w:t xml:space="preserve"> Kč. </w:t>
      </w:r>
    </w:p>
    <w:p w:rsidR="009A1758" w:rsidRDefault="00E30969" w:rsidP="007C4632">
      <w:pPr>
        <w:jc w:val="both"/>
        <w:rPr>
          <w:noProof/>
        </w:rPr>
      </w:pPr>
      <w:r>
        <w:rPr>
          <w:noProof/>
        </w:rPr>
        <w:t>Nejvíce se změna poplatků projeví na nárůstu váženého průměru nákladů u obyvatel zásobených ze staveb pro úpravu vody nacház</w:t>
      </w:r>
      <w:r w:rsidR="00781F75">
        <w:rPr>
          <w:noProof/>
        </w:rPr>
        <w:t>ejících se v</w:t>
      </w:r>
      <w:r w:rsidR="00D220D1">
        <w:rPr>
          <w:noProof/>
        </w:rPr>
        <w:t xml:space="preserve"> Olomouckém</w:t>
      </w:r>
      <w:r w:rsidR="00781F75">
        <w:rPr>
          <w:noProof/>
        </w:rPr>
        <w:t xml:space="preserve"> kraji </w:t>
      </w:r>
      <w:r>
        <w:rPr>
          <w:noProof/>
        </w:rPr>
        <w:t xml:space="preserve"> (nárůst o 0,</w:t>
      </w:r>
      <w:r w:rsidR="00D220D1">
        <w:rPr>
          <w:noProof/>
        </w:rPr>
        <w:t>098</w:t>
      </w:r>
      <w:r>
        <w:rPr>
          <w:noProof/>
        </w:rPr>
        <w:t xml:space="preserve"> Kč na osobu a den; </w:t>
      </w:r>
      <w:r w:rsidR="009A1758">
        <w:rPr>
          <w:noProof/>
        </w:rPr>
        <w:t>co</w:t>
      </w:r>
      <w:r w:rsidR="00806BB3">
        <w:rPr>
          <w:noProof/>
        </w:rPr>
        <w:t>ž</w:t>
      </w:r>
      <w:r w:rsidR="009A1758">
        <w:rPr>
          <w:noProof/>
        </w:rPr>
        <w:t xml:space="preserve"> při specifické </w:t>
      </w:r>
      <w:r w:rsidR="00781F75">
        <w:rPr>
          <w:noProof/>
        </w:rPr>
        <w:t>roční</w:t>
      </w:r>
      <w:r w:rsidR="009A1758">
        <w:rPr>
          <w:noProof/>
        </w:rPr>
        <w:t xml:space="preserve"> spotřebě </w:t>
      </w:r>
      <w:r w:rsidR="00A7673B">
        <w:rPr>
          <w:noProof/>
        </w:rPr>
        <w:t>30,368</w:t>
      </w:r>
      <w:r w:rsidR="009A1758">
        <w:rPr>
          <w:noProof/>
        </w:rPr>
        <w:t xml:space="preserve"> </w:t>
      </w:r>
      <w:r w:rsidR="00781F75">
        <w:rPr>
          <w:noProof/>
        </w:rPr>
        <w:t>m</w:t>
      </w:r>
      <w:r w:rsidR="00781F75" w:rsidRPr="00781F75">
        <w:rPr>
          <w:noProof/>
          <w:vertAlign w:val="superscript"/>
        </w:rPr>
        <w:t>3</w:t>
      </w:r>
      <w:r w:rsidR="009A1758">
        <w:rPr>
          <w:noProof/>
        </w:rPr>
        <w:t xml:space="preserve">/osobu představuje přibližně </w:t>
      </w:r>
      <w:r w:rsidR="00A7673B">
        <w:rPr>
          <w:noProof/>
        </w:rPr>
        <w:t>35,86</w:t>
      </w:r>
      <w:r w:rsidR="00781F75">
        <w:rPr>
          <w:noProof/>
        </w:rPr>
        <w:t xml:space="preserve"> Kč  na osobu</w:t>
      </w:r>
      <w:r w:rsidR="00570535">
        <w:rPr>
          <w:noProof/>
        </w:rPr>
        <w:t>/rok</w:t>
      </w:r>
      <w:r w:rsidR="009A1758">
        <w:rPr>
          <w:noProof/>
        </w:rPr>
        <w:t>)</w:t>
      </w:r>
      <w:r>
        <w:rPr>
          <w:noProof/>
        </w:rPr>
        <w:t>.</w:t>
      </w:r>
      <w:r w:rsidR="00781F75">
        <w:rPr>
          <w:noProof/>
        </w:rPr>
        <w:t xml:space="preserve"> Podobná situace může nastat i u obyvatel </w:t>
      </w:r>
      <w:r w:rsidR="00D220D1">
        <w:rPr>
          <w:noProof/>
        </w:rPr>
        <w:t>Pardubického</w:t>
      </w:r>
      <w:r w:rsidR="00781F75">
        <w:rPr>
          <w:noProof/>
        </w:rPr>
        <w:t xml:space="preserve"> kraje, kde denní náklady na nákup surové vody pro jednu osobu nar</w:t>
      </w:r>
      <w:r w:rsidR="00570535">
        <w:rPr>
          <w:noProof/>
        </w:rPr>
        <w:t>o</w:t>
      </w:r>
      <w:r w:rsidR="00781F75">
        <w:rPr>
          <w:noProof/>
        </w:rPr>
        <w:t xml:space="preserve">stou o </w:t>
      </w:r>
      <w:r w:rsidR="00D220D1">
        <w:rPr>
          <w:noProof/>
        </w:rPr>
        <w:t xml:space="preserve">0,096 </w:t>
      </w:r>
      <w:r w:rsidR="00781F75">
        <w:rPr>
          <w:noProof/>
        </w:rPr>
        <w:t>Kč, co</w:t>
      </w:r>
      <w:r w:rsidR="00570535">
        <w:rPr>
          <w:noProof/>
        </w:rPr>
        <w:t>ž</w:t>
      </w:r>
      <w:r w:rsidR="00781F75">
        <w:rPr>
          <w:noProof/>
        </w:rPr>
        <w:t xml:space="preserve"> při roční specifcké spotřebě </w:t>
      </w:r>
      <w:r w:rsidR="00A7673B">
        <w:rPr>
          <w:noProof/>
        </w:rPr>
        <w:t>29,091</w:t>
      </w:r>
      <w:r w:rsidR="00781F75">
        <w:rPr>
          <w:noProof/>
        </w:rPr>
        <w:t xml:space="preserve"> m</w:t>
      </w:r>
      <w:r w:rsidR="00781F75" w:rsidRPr="00DC6883">
        <w:rPr>
          <w:noProof/>
          <w:vertAlign w:val="superscript"/>
        </w:rPr>
        <w:t>3</w:t>
      </w:r>
      <w:r w:rsidR="00781F75">
        <w:rPr>
          <w:noProof/>
        </w:rPr>
        <w:t xml:space="preserve"> představuje přibližně </w:t>
      </w:r>
      <w:r w:rsidR="00A7673B">
        <w:rPr>
          <w:noProof/>
        </w:rPr>
        <w:t>35,21</w:t>
      </w:r>
      <w:r w:rsidR="00781F75">
        <w:rPr>
          <w:noProof/>
        </w:rPr>
        <w:t xml:space="preserve"> Kč ročně na osobu. </w:t>
      </w:r>
    </w:p>
    <w:p w:rsidR="001726C4" w:rsidRDefault="00E30969" w:rsidP="007C4632">
      <w:pPr>
        <w:jc w:val="both"/>
        <w:rPr>
          <w:noProof/>
        </w:rPr>
      </w:pPr>
      <w:r>
        <w:rPr>
          <w:noProof/>
        </w:rPr>
        <w:t>Naopak změna by se měla kladně projevit u obyvatel zásobených z vodních zdrojů situovaných v</w:t>
      </w:r>
      <w:r w:rsidR="00A7673B">
        <w:rPr>
          <w:noProof/>
        </w:rPr>
        <w:t> kraji Vysočina</w:t>
      </w:r>
      <w:r>
        <w:rPr>
          <w:noProof/>
        </w:rPr>
        <w:t xml:space="preserve">. </w:t>
      </w:r>
      <w:r w:rsidR="009A1758">
        <w:rPr>
          <w:noProof/>
        </w:rPr>
        <w:t>Snížení průměr</w:t>
      </w:r>
      <w:r w:rsidR="00025D85">
        <w:rPr>
          <w:noProof/>
        </w:rPr>
        <w:t xml:space="preserve">ných denních </w:t>
      </w:r>
      <w:r w:rsidR="009A1758">
        <w:rPr>
          <w:noProof/>
        </w:rPr>
        <w:t xml:space="preserve">nákladů </w:t>
      </w:r>
      <w:r w:rsidR="00025D85">
        <w:rPr>
          <w:noProof/>
        </w:rPr>
        <w:t xml:space="preserve">na jednu osobu </w:t>
      </w:r>
      <w:r w:rsidR="009A1758">
        <w:rPr>
          <w:noProof/>
        </w:rPr>
        <w:t>o 0,</w:t>
      </w:r>
      <w:r w:rsidR="00A7673B">
        <w:rPr>
          <w:noProof/>
        </w:rPr>
        <w:t>094</w:t>
      </w:r>
      <w:r w:rsidR="00570535">
        <w:rPr>
          <w:noProof/>
        </w:rPr>
        <w:t xml:space="preserve"> </w:t>
      </w:r>
      <w:r w:rsidR="009A1758">
        <w:rPr>
          <w:noProof/>
        </w:rPr>
        <w:t xml:space="preserve">Kč, by mohlo přinést průměrnou úsporu nákladů přibližně </w:t>
      </w:r>
      <w:r w:rsidR="00A7673B">
        <w:rPr>
          <w:noProof/>
        </w:rPr>
        <w:t>34,36</w:t>
      </w:r>
      <w:r w:rsidR="00025D85">
        <w:rPr>
          <w:noProof/>
        </w:rPr>
        <w:t xml:space="preserve"> Kč na  osobu</w:t>
      </w:r>
      <w:r w:rsidR="00570535">
        <w:rPr>
          <w:noProof/>
        </w:rPr>
        <w:t>/rok</w:t>
      </w:r>
      <w:r w:rsidR="00025D85">
        <w:rPr>
          <w:noProof/>
        </w:rPr>
        <w:t>.</w:t>
      </w:r>
      <w:r w:rsidR="009A1758">
        <w:rPr>
          <w:noProof/>
        </w:rPr>
        <w:t xml:space="preserve"> </w:t>
      </w:r>
    </w:p>
    <w:p w:rsidR="009A1758" w:rsidRDefault="00570535" w:rsidP="007C4632">
      <w:pPr>
        <w:jc w:val="both"/>
        <w:rPr>
          <w:noProof/>
        </w:rPr>
      </w:pPr>
      <w:r>
        <w:rPr>
          <w:noProof/>
        </w:rPr>
        <w:lastRenderedPageBreak/>
        <w:t>Vypočítaná</w:t>
      </w:r>
      <w:r w:rsidR="009A1758">
        <w:rPr>
          <w:noProof/>
        </w:rPr>
        <w:t xml:space="preserve"> změna denních nákladů na nákup surové vody na osobu v jednotlivých krajích je uveden</w:t>
      </w:r>
      <w:r w:rsidR="00A7673B">
        <w:rPr>
          <w:noProof/>
        </w:rPr>
        <w:t>a</w:t>
      </w:r>
      <w:r w:rsidR="009A1758">
        <w:rPr>
          <w:noProof/>
        </w:rPr>
        <w:t xml:space="preserve"> v následující tabulce. </w:t>
      </w:r>
    </w:p>
    <w:p w:rsidR="00360D16" w:rsidRDefault="001726C4" w:rsidP="007C4632">
      <w:pPr>
        <w:jc w:val="both"/>
        <w:rPr>
          <w:i/>
        </w:rPr>
      </w:pPr>
      <w:r w:rsidRPr="007D1556">
        <w:rPr>
          <w:i/>
        </w:rPr>
        <w:t xml:space="preserve">Tabulka č. </w:t>
      </w:r>
      <w:r>
        <w:rPr>
          <w:i/>
        </w:rPr>
        <w:t xml:space="preserve">3 </w:t>
      </w:r>
      <w:r w:rsidRPr="007D1556">
        <w:rPr>
          <w:i/>
        </w:rPr>
        <w:t xml:space="preserve">– </w:t>
      </w:r>
      <w:r w:rsidR="007C6BA9">
        <w:rPr>
          <w:i/>
        </w:rPr>
        <w:t>porovnání hodnot</w:t>
      </w:r>
      <w:r>
        <w:rPr>
          <w:i/>
        </w:rPr>
        <w:t xml:space="preserve"> váženého průměru nákladů na vodu surovou přepočtenou na osobu a den při použití </w:t>
      </w:r>
      <w:r w:rsidR="007C6BA9">
        <w:rPr>
          <w:i/>
        </w:rPr>
        <w:t xml:space="preserve">hodnot specifické spotřeby v litrech/osobu/den podle jednotlivých krajů v roce 2017 a po změně poplatků za odběr surové vody </w:t>
      </w:r>
    </w:p>
    <w:p w:rsidR="007B4A95" w:rsidRDefault="009E3DA9" w:rsidP="007C4632">
      <w:pPr>
        <w:jc w:val="both"/>
        <w:rPr>
          <w:i/>
        </w:rPr>
      </w:pPr>
      <w:r w:rsidRPr="009E3DA9">
        <w:rPr>
          <w:noProof/>
          <w:lang w:eastAsia="cs-CZ"/>
        </w:rPr>
        <w:drawing>
          <wp:inline distT="0" distB="0" distL="0" distR="0">
            <wp:extent cx="5760720" cy="346504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CA" w:rsidRDefault="007B4A95" w:rsidP="007C4632">
      <w:pPr>
        <w:jc w:val="both"/>
      </w:pPr>
      <w:r>
        <w:t xml:space="preserve">Na závěr lze konstatovat, že uvažovaná změna poplatků </w:t>
      </w:r>
      <w:r w:rsidR="00BA0ACA">
        <w:t>na hodnotu 3,5</w:t>
      </w:r>
      <w:r w:rsidR="00570535">
        <w:t>0</w:t>
      </w:r>
      <w:r w:rsidR="00BA0ACA">
        <w:t xml:space="preserve"> Kč/m</w:t>
      </w:r>
      <w:r w:rsidR="00BA0ACA" w:rsidRPr="00DC6883">
        <w:rPr>
          <w:vertAlign w:val="superscript"/>
        </w:rPr>
        <w:t>3</w:t>
      </w:r>
      <w:r w:rsidR="00BA0ACA">
        <w:t xml:space="preserve"> bez ohledu na zdroj surové vody, sjednocuje podmínky přístupu všech spotřebitelů v ČR k pitné vodě. Zároveň </w:t>
      </w:r>
      <w:r w:rsidR="00570535">
        <w:t xml:space="preserve">to </w:t>
      </w:r>
      <w:r w:rsidR="00BA0ACA">
        <w:t xml:space="preserve">znamená zavedení principu solidarity na </w:t>
      </w:r>
      <w:r w:rsidR="00570535">
        <w:t xml:space="preserve">národní </w:t>
      </w:r>
      <w:r w:rsidR="00BA0ACA">
        <w:t>úrovni</w:t>
      </w:r>
      <w:r w:rsidR="00570535">
        <w:t>. V praxi to bude znamenat</w:t>
      </w:r>
      <w:r w:rsidR="00BA0ACA">
        <w:t>, že</w:t>
      </w:r>
      <w:r w:rsidR="00570535">
        <w:t xml:space="preserve"> na rozdíl od stávajícího systému, kde každé povodí má vlastní cenu povrchové vody, budou</w:t>
      </w:r>
      <w:r w:rsidR="00BA0ACA">
        <w:t xml:space="preserve"> všichni obyvatelé </w:t>
      </w:r>
      <w:r w:rsidR="00570535">
        <w:t>spravedlivě</w:t>
      </w:r>
      <w:r w:rsidR="00BA0ACA">
        <w:t xml:space="preserve"> zatížení náklady na nákup surové vody. </w:t>
      </w:r>
    </w:p>
    <w:p w:rsidR="00D1221B" w:rsidRDefault="002449EE" w:rsidP="007C4632">
      <w:pPr>
        <w:jc w:val="both"/>
        <w:rPr>
          <w:iCs/>
        </w:rPr>
      </w:pPr>
      <w:r>
        <w:rPr>
          <w:iCs/>
        </w:rPr>
        <w:t>Jestliže</w:t>
      </w:r>
      <w:r w:rsidR="00462531" w:rsidRPr="00DC6883">
        <w:rPr>
          <w:iCs/>
        </w:rPr>
        <w:t xml:space="preserve"> obec zajišťuje zásobování obyvatel </w:t>
      </w:r>
      <w:r w:rsidRPr="00DC6883">
        <w:rPr>
          <w:iCs/>
        </w:rPr>
        <w:t>z vlastního zdroje surové vody a roční odběr nepřesáhne hranici 6</w:t>
      </w:r>
      <w:r w:rsidR="009E3DA9">
        <w:rPr>
          <w:iCs/>
        </w:rPr>
        <w:t xml:space="preserve"> </w:t>
      </w:r>
      <w:r w:rsidRPr="00DC6883">
        <w:rPr>
          <w:iCs/>
        </w:rPr>
        <w:t>000 m</w:t>
      </w:r>
      <w:r w:rsidRPr="00DC6883">
        <w:rPr>
          <w:iCs/>
          <w:vertAlign w:val="superscript"/>
        </w:rPr>
        <w:t>3</w:t>
      </w:r>
      <w:r w:rsidRPr="00DC6883">
        <w:rPr>
          <w:iCs/>
        </w:rPr>
        <w:t>, nebo 500 m</w:t>
      </w:r>
      <w:r w:rsidRPr="00DC6883">
        <w:rPr>
          <w:iCs/>
          <w:vertAlign w:val="superscript"/>
        </w:rPr>
        <w:t>3</w:t>
      </w:r>
      <w:r w:rsidRPr="00DC6883">
        <w:rPr>
          <w:iCs/>
        </w:rPr>
        <w:t xml:space="preserve"> za </w:t>
      </w:r>
      <w:r w:rsidRPr="00213753">
        <w:rPr>
          <w:iCs/>
        </w:rPr>
        <w:t>měsíc</w:t>
      </w:r>
      <w:r w:rsidR="00213753" w:rsidRPr="00213753">
        <w:rPr>
          <w:iCs/>
        </w:rPr>
        <w:t xml:space="preserve"> </w:t>
      </w:r>
      <w:r w:rsidR="00ED65A8" w:rsidRPr="00213753">
        <w:rPr>
          <w:iCs/>
        </w:rPr>
        <w:t>(což odpovídá zhruba 200 obyvatelům)</w:t>
      </w:r>
      <w:r w:rsidRPr="00213753">
        <w:rPr>
          <w:iCs/>
        </w:rPr>
        <w:t xml:space="preserve">, </w:t>
      </w:r>
      <w:r w:rsidRPr="00DC6883">
        <w:rPr>
          <w:iCs/>
        </w:rPr>
        <w:t>ú</w:t>
      </w:r>
      <w:r w:rsidR="00D1221B" w:rsidRPr="00DC6883">
        <w:rPr>
          <w:iCs/>
        </w:rPr>
        <w:t>prava výše poplatku nebude mít žádný vliv na náklady na nákup surové vody pro obyvatele,</w:t>
      </w:r>
      <w:r w:rsidRPr="00DC6883">
        <w:rPr>
          <w:iCs/>
        </w:rPr>
        <w:t xml:space="preserve"> protože v takovém případě je odběr povrchové a podzemní vody osvobozen od poplatku</w:t>
      </w:r>
      <w:r w:rsidRPr="002449EE">
        <w:rPr>
          <w:iCs/>
        </w:rPr>
        <w:t xml:space="preserve"> </w:t>
      </w:r>
      <w:r w:rsidRPr="0098795F">
        <w:rPr>
          <w:iCs/>
        </w:rPr>
        <w:t>podle podmínek stanovených v §88b) a §101 odst. 2), zákona č. 254/2001 Sb</w:t>
      </w:r>
      <w:r w:rsidR="00D1221B" w:rsidRPr="00DC6883">
        <w:rPr>
          <w:iCs/>
        </w:rPr>
        <w:t>.</w:t>
      </w:r>
      <w:r w:rsidR="00607739" w:rsidRPr="00DC6883">
        <w:rPr>
          <w:iCs/>
        </w:rPr>
        <w:t xml:space="preserve"> </w:t>
      </w:r>
      <w:bookmarkStart w:id="0" w:name="_GoBack"/>
      <w:bookmarkEnd w:id="0"/>
    </w:p>
    <w:p w:rsidR="001F4CCA" w:rsidRDefault="001F4CCA" w:rsidP="007C4632">
      <w:pPr>
        <w:jc w:val="both"/>
        <w:rPr>
          <w:iCs/>
        </w:rPr>
      </w:pPr>
    </w:p>
    <w:p w:rsidR="001F4CCA" w:rsidRDefault="001F4CCA" w:rsidP="007C4632">
      <w:pPr>
        <w:jc w:val="both"/>
        <w:rPr>
          <w:iCs/>
        </w:rPr>
      </w:pPr>
    </w:p>
    <w:p w:rsidR="001F4CCA" w:rsidRDefault="001F4CCA" w:rsidP="007C4632">
      <w:pPr>
        <w:jc w:val="both"/>
      </w:pPr>
    </w:p>
    <w:p w:rsidR="00213753" w:rsidRDefault="00213753" w:rsidP="007C4632">
      <w:pPr>
        <w:jc w:val="both"/>
      </w:pPr>
    </w:p>
    <w:p w:rsidR="00213753" w:rsidRDefault="00213753" w:rsidP="007C4632">
      <w:pPr>
        <w:jc w:val="both"/>
      </w:pPr>
    </w:p>
    <w:p w:rsidR="00213753" w:rsidRDefault="00213753" w:rsidP="007C4632">
      <w:pPr>
        <w:jc w:val="both"/>
      </w:pPr>
    </w:p>
    <w:p w:rsidR="00213753" w:rsidRDefault="00213753" w:rsidP="007C4632">
      <w:pPr>
        <w:jc w:val="both"/>
      </w:pPr>
    </w:p>
    <w:p w:rsidR="001F4CCA" w:rsidRDefault="001F4CCA" w:rsidP="007C4632">
      <w:pPr>
        <w:jc w:val="both"/>
        <w:rPr>
          <w:iCs/>
        </w:rPr>
      </w:pPr>
      <w:r w:rsidRPr="001F4CCA">
        <w:rPr>
          <w:noProof/>
          <w:lang w:eastAsia="cs-CZ"/>
        </w:rPr>
        <w:lastRenderedPageBreak/>
        <w:drawing>
          <wp:inline distT="0" distB="0" distL="0" distR="0">
            <wp:extent cx="5760720" cy="285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CA" w:rsidRDefault="001F4CCA" w:rsidP="007C4632">
      <w:pPr>
        <w:jc w:val="both"/>
        <w:rPr>
          <w:iCs/>
        </w:rPr>
      </w:pPr>
    </w:p>
    <w:p w:rsidR="001F4CCA" w:rsidRPr="002449EE" w:rsidRDefault="001F4CCA" w:rsidP="007C4632">
      <w:pPr>
        <w:jc w:val="both"/>
        <w:rPr>
          <w:iCs/>
        </w:rPr>
      </w:pPr>
    </w:p>
    <w:p w:rsidR="00D1221B" w:rsidRDefault="001F4829" w:rsidP="00DC6883">
      <w:pPr>
        <w:rPr>
          <w:i/>
        </w:rPr>
      </w:pPr>
      <w:r w:rsidRPr="001F4829">
        <w:rPr>
          <w:noProof/>
          <w:lang w:eastAsia="cs-CZ"/>
        </w:rPr>
        <w:drawing>
          <wp:inline distT="0" distB="0" distL="0" distR="0">
            <wp:extent cx="5760720" cy="35763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21B" w:rsidSect="0003248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65" w:rsidRDefault="00C97F65" w:rsidP="009A7A18">
      <w:pPr>
        <w:spacing w:after="0" w:line="240" w:lineRule="auto"/>
      </w:pPr>
      <w:r>
        <w:separator/>
      </w:r>
    </w:p>
  </w:endnote>
  <w:endnote w:type="continuationSeparator" w:id="0">
    <w:p w:rsidR="00C97F65" w:rsidRDefault="00C97F65" w:rsidP="009A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81986"/>
      <w:docPartObj>
        <w:docPartGallery w:val="Page Numbers (Bottom of Page)"/>
        <w:docPartUnique/>
      </w:docPartObj>
    </w:sdtPr>
    <w:sdtContent>
      <w:p w:rsidR="00FF7EAA" w:rsidRDefault="001258FD" w:rsidP="001258FD">
        <w:pPr>
          <w:pStyle w:val="Zpat"/>
        </w:pPr>
        <w:r>
          <w:tab/>
        </w:r>
        <w:r>
          <w:tab/>
        </w:r>
        <w:r w:rsidR="0003248E">
          <w:fldChar w:fldCharType="begin"/>
        </w:r>
        <w:r w:rsidR="00FF7EAA">
          <w:instrText>PAGE   \* MERGEFORMAT</w:instrText>
        </w:r>
        <w:r w:rsidR="0003248E">
          <w:fldChar w:fldCharType="separate"/>
        </w:r>
        <w:r w:rsidR="00494C60">
          <w:rPr>
            <w:noProof/>
          </w:rPr>
          <w:t>1</w:t>
        </w:r>
        <w:r w:rsidR="0003248E">
          <w:fldChar w:fldCharType="end"/>
        </w:r>
      </w:p>
    </w:sdtContent>
  </w:sdt>
  <w:p w:rsidR="00FF7EAA" w:rsidRDefault="00FF7E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65" w:rsidRDefault="00C97F65" w:rsidP="009A7A18">
      <w:pPr>
        <w:spacing w:after="0" w:line="240" w:lineRule="auto"/>
      </w:pPr>
      <w:r>
        <w:separator/>
      </w:r>
    </w:p>
  </w:footnote>
  <w:footnote w:type="continuationSeparator" w:id="0">
    <w:p w:rsidR="00C97F65" w:rsidRDefault="00C97F65" w:rsidP="009A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2F" w:rsidRPr="009A7A18" w:rsidRDefault="00326B2F" w:rsidP="009A7A18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4EAA"/>
    <w:multiLevelType w:val="hybridMultilevel"/>
    <w:tmpl w:val="2FEA8AE4"/>
    <w:lvl w:ilvl="0" w:tplc="52CA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361"/>
    <w:multiLevelType w:val="hybridMultilevel"/>
    <w:tmpl w:val="12F839A8"/>
    <w:lvl w:ilvl="0" w:tplc="C9B4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E03D4"/>
    <w:multiLevelType w:val="hybridMultilevel"/>
    <w:tmpl w:val="5224B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206E"/>
    <w:multiLevelType w:val="hybridMultilevel"/>
    <w:tmpl w:val="38A6823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A18"/>
    <w:rsid w:val="00015B86"/>
    <w:rsid w:val="000236EF"/>
    <w:rsid w:val="00025D85"/>
    <w:rsid w:val="00031202"/>
    <w:rsid w:val="0003248E"/>
    <w:rsid w:val="00057073"/>
    <w:rsid w:val="000647F6"/>
    <w:rsid w:val="00087914"/>
    <w:rsid w:val="000C0AAA"/>
    <w:rsid w:val="000D0FD9"/>
    <w:rsid w:val="000E6373"/>
    <w:rsid w:val="000F1BE1"/>
    <w:rsid w:val="000F7875"/>
    <w:rsid w:val="001038BD"/>
    <w:rsid w:val="001258FD"/>
    <w:rsid w:val="001320EA"/>
    <w:rsid w:val="00144846"/>
    <w:rsid w:val="001726C4"/>
    <w:rsid w:val="001821C9"/>
    <w:rsid w:val="00194571"/>
    <w:rsid w:val="00196C9E"/>
    <w:rsid w:val="00196FD5"/>
    <w:rsid w:val="001A00BE"/>
    <w:rsid w:val="001C5200"/>
    <w:rsid w:val="001C5205"/>
    <w:rsid w:val="001F4829"/>
    <w:rsid w:val="001F4CCA"/>
    <w:rsid w:val="00205DB2"/>
    <w:rsid w:val="00213753"/>
    <w:rsid w:val="002200E6"/>
    <w:rsid w:val="002449EE"/>
    <w:rsid w:val="002A1902"/>
    <w:rsid w:val="002F2C34"/>
    <w:rsid w:val="002F6EA3"/>
    <w:rsid w:val="00326B2F"/>
    <w:rsid w:val="00334435"/>
    <w:rsid w:val="003530D1"/>
    <w:rsid w:val="00360D16"/>
    <w:rsid w:val="0038089D"/>
    <w:rsid w:val="00391D40"/>
    <w:rsid w:val="003A012B"/>
    <w:rsid w:val="003A04D9"/>
    <w:rsid w:val="003A76D6"/>
    <w:rsid w:val="003D377C"/>
    <w:rsid w:val="003E049D"/>
    <w:rsid w:val="004452E0"/>
    <w:rsid w:val="00446E4D"/>
    <w:rsid w:val="00462531"/>
    <w:rsid w:val="00475647"/>
    <w:rsid w:val="00494C60"/>
    <w:rsid w:val="00507A8A"/>
    <w:rsid w:val="00523E50"/>
    <w:rsid w:val="00570535"/>
    <w:rsid w:val="0057189C"/>
    <w:rsid w:val="00587268"/>
    <w:rsid w:val="005C3D9D"/>
    <w:rsid w:val="005E2B1F"/>
    <w:rsid w:val="0060447F"/>
    <w:rsid w:val="00607739"/>
    <w:rsid w:val="00636CA8"/>
    <w:rsid w:val="006C51E2"/>
    <w:rsid w:val="006E1ED5"/>
    <w:rsid w:val="006E56E8"/>
    <w:rsid w:val="007056E4"/>
    <w:rsid w:val="00715D8F"/>
    <w:rsid w:val="00721F40"/>
    <w:rsid w:val="00764D93"/>
    <w:rsid w:val="00781F75"/>
    <w:rsid w:val="007B4A95"/>
    <w:rsid w:val="007C4632"/>
    <w:rsid w:val="007C6BA9"/>
    <w:rsid w:val="007D1556"/>
    <w:rsid w:val="00800640"/>
    <w:rsid w:val="00806BB3"/>
    <w:rsid w:val="0081394C"/>
    <w:rsid w:val="00837861"/>
    <w:rsid w:val="0084224D"/>
    <w:rsid w:val="00845B88"/>
    <w:rsid w:val="008D5217"/>
    <w:rsid w:val="00903709"/>
    <w:rsid w:val="00947BE9"/>
    <w:rsid w:val="009A1758"/>
    <w:rsid w:val="009A4659"/>
    <w:rsid w:val="009A7A18"/>
    <w:rsid w:val="009E3DA9"/>
    <w:rsid w:val="009F3DC4"/>
    <w:rsid w:val="00A23267"/>
    <w:rsid w:val="00A321B6"/>
    <w:rsid w:val="00A55BAE"/>
    <w:rsid w:val="00A7673B"/>
    <w:rsid w:val="00AB7174"/>
    <w:rsid w:val="00B44F23"/>
    <w:rsid w:val="00B60C06"/>
    <w:rsid w:val="00B702F6"/>
    <w:rsid w:val="00B71959"/>
    <w:rsid w:val="00B749FA"/>
    <w:rsid w:val="00BA0ACA"/>
    <w:rsid w:val="00BB26B4"/>
    <w:rsid w:val="00BC2532"/>
    <w:rsid w:val="00BD0427"/>
    <w:rsid w:val="00BD1305"/>
    <w:rsid w:val="00BD6410"/>
    <w:rsid w:val="00C13B24"/>
    <w:rsid w:val="00C40741"/>
    <w:rsid w:val="00C97F65"/>
    <w:rsid w:val="00CB4EBA"/>
    <w:rsid w:val="00D04B23"/>
    <w:rsid w:val="00D1221B"/>
    <w:rsid w:val="00D220D1"/>
    <w:rsid w:val="00D43BA1"/>
    <w:rsid w:val="00DB2ECC"/>
    <w:rsid w:val="00DC6883"/>
    <w:rsid w:val="00E1480C"/>
    <w:rsid w:val="00E30969"/>
    <w:rsid w:val="00E5318C"/>
    <w:rsid w:val="00E66F3C"/>
    <w:rsid w:val="00E95A2D"/>
    <w:rsid w:val="00EB01BB"/>
    <w:rsid w:val="00ED65A8"/>
    <w:rsid w:val="00EF70E8"/>
    <w:rsid w:val="00F36FAC"/>
    <w:rsid w:val="00FA58DE"/>
    <w:rsid w:val="00FF649F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48E"/>
  </w:style>
  <w:style w:type="paragraph" w:styleId="Nadpis1">
    <w:name w:val="heading 1"/>
    <w:basedOn w:val="Normln"/>
    <w:next w:val="Normln"/>
    <w:link w:val="Nadpis1Char"/>
    <w:uiPriority w:val="9"/>
    <w:qFormat/>
    <w:rsid w:val="009A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7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A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A18"/>
  </w:style>
  <w:style w:type="paragraph" w:styleId="Zpat">
    <w:name w:val="footer"/>
    <w:basedOn w:val="Normln"/>
    <w:link w:val="ZpatChar"/>
    <w:uiPriority w:val="99"/>
    <w:unhideWhenUsed/>
    <w:rsid w:val="009A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A18"/>
  </w:style>
  <w:style w:type="paragraph" w:styleId="Odstavecseseznamem">
    <w:name w:val="List Paragraph"/>
    <w:basedOn w:val="Normln"/>
    <w:uiPriority w:val="34"/>
    <w:qFormat/>
    <w:rsid w:val="009A7A1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A7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C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3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E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E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E50"/>
    <w:rPr>
      <w:b/>
      <w:bCs/>
      <w:sz w:val="20"/>
      <w:szCs w:val="20"/>
    </w:rPr>
  </w:style>
  <w:style w:type="table" w:customStyle="1" w:styleId="Tabulkaseznamu3zvraznn11">
    <w:name w:val="Tabulka seznamu 3 – zvýraznění 11"/>
    <w:basedOn w:val="Normlntabulka"/>
    <w:uiPriority w:val="48"/>
    <w:rsid w:val="00CB4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CB4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CB4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CB4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CB4E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7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A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A18"/>
  </w:style>
  <w:style w:type="paragraph" w:styleId="Zpat">
    <w:name w:val="footer"/>
    <w:basedOn w:val="Normln"/>
    <w:link w:val="ZpatChar"/>
    <w:uiPriority w:val="99"/>
    <w:unhideWhenUsed/>
    <w:rsid w:val="009A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A18"/>
  </w:style>
  <w:style w:type="paragraph" w:styleId="Odstavecseseznamem">
    <w:name w:val="List Paragraph"/>
    <w:basedOn w:val="Normln"/>
    <w:uiPriority w:val="34"/>
    <w:qFormat/>
    <w:rsid w:val="009A7A1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A7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C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3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E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E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E50"/>
    <w:rPr>
      <w:b/>
      <w:bCs/>
      <w:sz w:val="20"/>
      <w:szCs w:val="20"/>
    </w:rPr>
  </w:style>
  <w:style w:type="table" w:customStyle="1" w:styleId="Tabulkaseznamu3zvraznn11">
    <w:name w:val="Tabulka seznamu 3 – zvýraznění 11"/>
    <w:basedOn w:val="Normlntabulka"/>
    <w:uiPriority w:val="48"/>
    <w:rsid w:val="00CB4E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CB4E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CB4E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CB4E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CB4E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FE1C-3AE2-4580-8D79-22A1C9F2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Želmíra</dc:creator>
  <cp:lastModifiedBy>OSPZV3 ospzv3</cp:lastModifiedBy>
  <cp:revision>2</cp:revision>
  <cp:lastPrinted>2019-07-22T10:19:00Z</cp:lastPrinted>
  <dcterms:created xsi:type="dcterms:W3CDTF">2019-09-05T08:03:00Z</dcterms:created>
  <dcterms:modified xsi:type="dcterms:W3CDTF">2019-09-05T08:03:00Z</dcterms:modified>
</cp:coreProperties>
</file>