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EB" w:rsidRDefault="00B049EB"/>
    <w:p w:rsidR="00B049EB" w:rsidRDefault="00B049EB"/>
    <w:p w:rsidR="00B049EB" w:rsidRDefault="00B049EB"/>
    <w:p w:rsidR="00B049EB" w:rsidRDefault="00B049EB"/>
    <w:p w:rsidR="003C12C4" w:rsidRDefault="003C12C4" w:rsidP="009A5C82">
      <w:pPr>
        <w:rPr>
          <w:b/>
          <w:sz w:val="36"/>
        </w:rPr>
      </w:pPr>
    </w:p>
    <w:p w:rsidR="003C12C4" w:rsidRDefault="003C12C4" w:rsidP="00B049EB">
      <w:pPr>
        <w:jc w:val="center"/>
        <w:rPr>
          <w:b/>
          <w:sz w:val="36"/>
        </w:rPr>
      </w:pPr>
    </w:p>
    <w:p w:rsidR="009A5C82" w:rsidRPr="009A5C82" w:rsidRDefault="009A5C82" w:rsidP="009A5C82">
      <w:pPr>
        <w:spacing w:line="254" w:lineRule="auto"/>
        <w:jc w:val="center"/>
        <w:rPr>
          <w:rFonts w:ascii="Calibri" w:eastAsia="Calibri" w:hAnsi="Calibri" w:cs="Times New Roman"/>
          <w:b/>
          <w:sz w:val="36"/>
        </w:rPr>
      </w:pPr>
      <w:bookmarkStart w:id="0" w:name="_GoBack"/>
      <w:r w:rsidRPr="009A5C82">
        <w:rPr>
          <w:rFonts w:ascii="Calibri" w:eastAsia="Calibri" w:hAnsi="Calibri" w:cs="Times New Roman"/>
          <w:b/>
          <w:sz w:val="36"/>
        </w:rPr>
        <w:t>Souhrnný akční plán Programu RE:START</w:t>
      </w:r>
    </w:p>
    <w:bookmarkEnd w:id="0"/>
    <w:p w:rsidR="009A5C82" w:rsidRPr="009A5C82" w:rsidRDefault="009A5C82" w:rsidP="009A5C82">
      <w:pPr>
        <w:spacing w:line="254" w:lineRule="auto"/>
        <w:jc w:val="center"/>
        <w:rPr>
          <w:rFonts w:ascii="Calibri" w:eastAsia="Calibri" w:hAnsi="Calibri" w:cs="Times New Roman"/>
          <w:sz w:val="28"/>
          <w:szCs w:val="28"/>
        </w:rPr>
      </w:pPr>
      <w:r w:rsidRPr="009A5C82">
        <w:rPr>
          <w:rFonts w:ascii="Calibri" w:eastAsia="Calibri" w:hAnsi="Calibri" w:cs="Times New Roman"/>
          <w:sz w:val="28"/>
          <w:szCs w:val="28"/>
        </w:rPr>
        <w:t>Podklad pro jednání 151. Plenární schůze RHSD ČR</w:t>
      </w:r>
    </w:p>
    <w:p w:rsidR="009A5C82" w:rsidRPr="009A5C82" w:rsidRDefault="009A5C82" w:rsidP="009A5C82">
      <w:pPr>
        <w:spacing w:line="254" w:lineRule="auto"/>
        <w:jc w:val="center"/>
        <w:rPr>
          <w:rFonts w:ascii="Calibri" w:eastAsia="Calibri" w:hAnsi="Calibri" w:cs="Times New Roman"/>
          <w:b/>
          <w:sz w:val="36"/>
        </w:rPr>
      </w:pPr>
    </w:p>
    <w:p w:rsidR="009A5C82" w:rsidRPr="009A5C82" w:rsidRDefault="009A5C82" w:rsidP="009A5C82">
      <w:pPr>
        <w:spacing w:line="254" w:lineRule="auto"/>
        <w:jc w:val="center"/>
        <w:rPr>
          <w:rFonts w:ascii="Calibri" w:eastAsia="Calibri" w:hAnsi="Calibri" w:cs="Times New Roman"/>
          <w:b/>
          <w:sz w:val="36"/>
        </w:rPr>
      </w:pPr>
    </w:p>
    <w:p w:rsidR="009A5C82" w:rsidRPr="009A5C82" w:rsidRDefault="009A5C82" w:rsidP="009A5C82">
      <w:pPr>
        <w:spacing w:line="254" w:lineRule="auto"/>
        <w:jc w:val="center"/>
        <w:rPr>
          <w:rFonts w:ascii="Calibri" w:eastAsia="Calibri" w:hAnsi="Calibri" w:cs="Calibri"/>
          <w:b/>
        </w:rPr>
      </w:pPr>
      <w:r w:rsidRPr="009A5C82">
        <w:rPr>
          <w:rFonts w:ascii="Calibri" w:eastAsia="Calibri" w:hAnsi="Calibri" w:cs="Calibri"/>
          <w:b/>
        </w:rPr>
        <w:t>ZPRÁVA O REALIZACI OPATŘENÍ SOUHRNNÝCH AKČNÍCH PLÁNŮ HOSPODÁŘSKÉ RESTRUKTURALIZACE ÚK, MSK A KVK</w:t>
      </w:r>
    </w:p>
    <w:p w:rsidR="009A5C82" w:rsidRPr="009A5C82" w:rsidRDefault="009A5C82" w:rsidP="009A5C82">
      <w:pPr>
        <w:spacing w:line="254" w:lineRule="auto"/>
        <w:jc w:val="center"/>
        <w:rPr>
          <w:rFonts w:ascii="Calibri" w:eastAsia="Calibri" w:hAnsi="Calibri" w:cs="Calibri"/>
          <w:b/>
        </w:rPr>
      </w:pPr>
      <w:r w:rsidRPr="009A5C82">
        <w:rPr>
          <w:rFonts w:ascii="Calibri" w:eastAsia="Calibri" w:hAnsi="Calibri" w:cs="Calibri"/>
          <w:b/>
        </w:rPr>
        <w:t>01. 01. 2018 - 30. 9. 2019</w:t>
      </w:r>
    </w:p>
    <w:p w:rsidR="00B049EB" w:rsidRDefault="00B049EB">
      <w:pPr>
        <w:rPr>
          <w:rFonts w:asciiTheme="majorHAnsi" w:eastAsiaTheme="majorEastAsia" w:hAnsiTheme="majorHAnsi" w:cstheme="majorBidi"/>
          <w:b/>
          <w:bCs/>
          <w:noProof/>
          <w:color w:val="2E74B5" w:themeColor="accent1" w:themeShade="BF"/>
          <w:sz w:val="28"/>
          <w:szCs w:val="28"/>
        </w:rPr>
      </w:pPr>
    </w:p>
    <w:p w:rsidR="00B049EB" w:rsidRDefault="00B049EB">
      <w:pPr>
        <w:rPr>
          <w:rFonts w:asciiTheme="majorHAnsi" w:eastAsiaTheme="majorEastAsia" w:hAnsiTheme="majorHAnsi" w:cstheme="majorBidi"/>
          <w:b/>
          <w:bCs/>
          <w:noProof/>
          <w:color w:val="2E74B5" w:themeColor="accent1" w:themeShade="BF"/>
          <w:sz w:val="28"/>
          <w:szCs w:val="28"/>
        </w:rPr>
      </w:pPr>
      <w:r>
        <w:br w:type="page"/>
      </w:r>
    </w:p>
    <w:sdt>
      <w:sdtPr>
        <w:rPr>
          <w:rFonts w:asciiTheme="minorHAnsi" w:eastAsiaTheme="minorHAnsi" w:hAnsiTheme="minorHAnsi" w:cstheme="minorBidi"/>
          <w:color w:val="auto"/>
          <w:sz w:val="22"/>
          <w:szCs w:val="22"/>
          <w:lang w:eastAsia="en-US"/>
        </w:rPr>
        <w:id w:val="-632562866"/>
        <w:docPartObj>
          <w:docPartGallery w:val="Table of Contents"/>
          <w:docPartUnique/>
        </w:docPartObj>
      </w:sdtPr>
      <w:sdtEndPr>
        <w:rPr>
          <w:b/>
          <w:bCs/>
        </w:rPr>
      </w:sdtEndPr>
      <w:sdtContent>
        <w:p w:rsidR="00B049EB" w:rsidRDefault="00B049EB">
          <w:pPr>
            <w:pStyle w:val="Nadpisobsahu"/>
          </w:pPr>
          <w:r>
            <w:t>Obsah</w:t>
          </w:r>
        </w:p>
        <w:p w:rsidR="002F7119" w:rsidRDefault="00D97B65">
          <w:pPr>
            <w:pStyle w:val="Obsah1"/>
            <w:tabs>
              <w:tab w:val="right" w:leader="dot" w:pos="9062"/>
            </w:tabs>
            <w:rPr>
              <w:rFonts w:eastAsiaTheme="minorEastAsia"/>
              <w:noProof/>
              <w:lang w:eastAsia="cs-CZ"/>
            </w:rPr>
          </w:pPr>
          <w:r>
            <w:rPr>
              <w:b/>
              <w:bCs/>
            </w:rPr>
            <w:fldChar w:fldCharType="begin"/>
          </w:r>
          <w:r w:rsidR="00B049EB">
            <w:rPr>
              <w:b/>
              <w:bCs/>
            </w:rPr>
            <w:instrText xml:space="preserve"> TOC \o "1-3" \h \z \u </w:instrText>
          </w:r>
          <w:r>
            <w:rPr>
              <w:b/>
              <w:bCs/>
            </w:rPr>
            <w:fldChar w:fldCharType="separate"/>
          </w:r>
          <w:hyperlink w:anchor="_Toc22021559" w:history="1">
            <w:r w:rsidR="002F7119" w:rsidRPr="003C0F6D">
              <w:rPr>
                <w:rStyle w:val="Hypertextovodkaz"/>
                <w:noProof/>
              </w:rPr>
              <w:t>Úvod</w:t>
            </w:r>
            <w:r w:rsidR="002F7119">
              <w:rPr>
                <w:noProof/>
                <w:webHidden/>
              </w:rPr>
              <w:tab/>
            </w:r>
            <w:r>
              <w:rPr>
                <w:noProof/>
                <w:webHidden/>
              </w:rPr>
              <w:fldChar w:fldCharType="begin"/>
            </w:r>
            <w:r w:rsidR="002F7119">
              <w:rPr>
                <w:noProof/>
                <w:webHidden/>
              </w:rPr>
              <w:instrText xml:space="preserve"> PAGEREF _Toc22021559 \h </w:instrText>
            </w:r>
            <w:r>
              <w:rPr>
                <w:noProof/>
                <w:webHidden/>
              </w:rPr>
            </w:r>
            <w:r>
              <w:rPr>
                <w:noProof/>
                <w:webHidden/>
              </w:rPr>
              <w:fldChar w:fldCharType="separate"/>
            </w:r>
            <w:r w:rsidR="00FD2ED5">
              <w:rPr>
                <w:noProof/>
                <w:webHidden/>
              </w:rPr>
              <w:t>2</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60" w:history="1">
            <w:r w:rsidR="002F7119" w:rsidRPr="003C0F6D">
              <w:rPr>
                <w:rStyle w:val="Hypertextovodkaz"/>
                <w:noProof/>
              </w:rPr>
              <w:t>Aktuální stav naplňování akčních plánů</w:t>
            </w:r>
            <w:r w:rsidR="002F7119">
              <w:rPr>
                <w:noProof/>
                <w:webHidden/>
              </w:rPr>
              <w:tab/>
            </w:r>
            <w:r>
              <w:rPr>
                <w:noProof/>
                <w:webHidden/>
              </w:rPr>
              <w:fldChar w:fldCharType="begin"/>
            </w:r>
            <w:r w:rsidR="002F7119">
              <w:rPr>
                <w:noProof/>
                <w:webHidden/>
              </w:rPr>
              <w:instrText xml:space="preserve"> PAGEREF _Toc22021560 \h </w:instrText>
            </w:r>
            <w:r>
              <w:rPr>
                <w:noProof/>
                <w:webHidden/>
              </w:rPr>
            </w:r>
            <w:r>
              <w:rPr>
                <w:noProof/>
                <w:webHidden/>
              </w:rPr>
              <w:fldChar w:fldCharType="separate"/>
            </w:r>
            <w:r w:rsidR="00FD2ED5">
              <w:rPr>
                <w:noProof/>
                <w:webHidden/>
              </w:rPr>
              <w:t>3</w:t>
            </w:r>
            <w:r>
              <w:rPr>
                <w:noProof/>
                <w:webHidden/>
              </w:rPr>
              <w:fldChar w:fldCharType="end"/>
            </w:r>
          </w:hyperlink>
        </w:p>
        <w:p w:rsidR="002F7119" w:rsidRDefault="00D97B65">
          <w:pPr>
            <w:pStyle w:val="Obsah2"/>
            <w:tabs>
              <w:tab w:val="right" w:leader="dot" w:pos="9062"/>
            </w:tabs>
            <w:rPr>
              <w:rFonts w:eastAsiaTheme="minorEastAsia"/>
              <w:noProof/>
              <w:lang w:eastAsia="cs-CZ"/>
            </w:rPr>
          </w:pPr>
          <w:hyperlink w:anchor="_Toc22021561" w:history="1">
            <w:r w:rsidR="002F7119" w:rsidRPr="003C0F6D">
              <w:rPr>
                <w:rStyle w:val="Hypertextovodkaz"/>
                <w:noProof/>
              </w:rPr>
              <w:t>Realizace projektů</w:t>
            </w:r>
            <w:r w:rsidR="002F7119">
              <w:rPr>
                <w:noProof/>
                <w:webHidden/>
              </w:rPr>
              <w:tab/>
            </w:r>
            <w:r>
              <w:rPr>
                <w:noProof/>
                <w:webHidden/>
              </w:rPr>
              <w:fldChar w:fldCharType="begin"/>
            </w:r>
            <w:r w:rsidR="002F7119">
              <w:rPr>
                <w:noProof/>
                <w:webHidden/>
              </w:rPr>
              <w:instrText xml:space="preserve"> PAGEREF _Toc22021561 \h </w:instrText>
            </w:r>
            <w:r>
              <w:rPr>
                <w:noProof/>
                <w:webHidden/>
              </w:rPr>
            </w:r>
            <w:r>
              <w:rPr>
                <w:noProof/>
                <w:webHidden/>
              </w:rPr>
              <w:fldChar w:fldCharType="separate"/>
            </w:r>
            <w:r w:rsidR="00FD2ED5">
              <w:rPr>
                <w:noProof/>
                <w:webHidden/>
              </w:rPr>
              <w:t>5</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62" w:history="1">
            <w:r w:rsidR="002F7119" w:rsidRPr="003C0F6D">
              <w:rPr>
                <w:rStyle w:val="Hypertextovodkaz"/>
                <w:rFonts w:asciiTheme="majorHAnsi" w:eastAsiaTheme="majorEastAsia" w:hAnsiTheme="majorHAnsi" w:cstheme="majorBidi"/>
                <w:b/>
                <w:bCs/>
                <w:noProof/>
              </w:rPr>
              <w:t>Výhled pro rok 2019</w:t>
            </w:r>
            <w:r w:rsidR="002F7119">
              <w:rPr>
                <w:noProof/>
                <w:webHidden/>
              </w:rPr>
              <w:tab/>
            </w:r>
            <w:r>
              <w:rPr>
                <w:noProof/>
                <w:webHidden/>
              </w:rPr>
              <w:fldChar w:fldCharType="begin"/>
            </w:r>
            <w:r w:rsidR="002F7119">
              <w:rPr>
                <w:noProof/>
                <w:webHidden/>
              </w:rPr>
              <w:instrText xml:space="preserve"> PAGEREF _Toc22021562 \h </w:instrText>
            </w:r>
            <w:r>
              <w:rPr>
                <w:noProof/>
                <w:webHidden/>
              </w:rPr>
            </w:r>
            <w:r>
              <w:rPr>
                <w:noProof/>
                <w:webHidden/>
              </w:rPr>
              <w:fldChar w:fldCharType="separate"/>
            </w:r>
            <w:r w:rsidR="00FD2ED5">
              <w:rPr>
                <w:noProof/>
                <w:webHidden/>
              </w:rPr>
              <w:t>6</w:t>
            </w:r>
            <w:r>
              <w:rPr>
                <w:noProof/>
                <w:webHidden/>
              </w:rPr>
              <w:fldChar w:fldCharType="end"/>
            </w:r>
          </w:hyperlink>
        </w:p>
        <w:p w:rsidR="002F7119" w:rsidRDefault="00D97B65">
          <w:pPr>
            <w:pStyle w:val="Obsah2"/>
            <w:tabs>
              <w:tab w:val="right" w:leader="dot" w:pos="9062"/>
            </w:tabs>
            <w:rPr>
              <w:rFonts w:eastAsiaTheme="minorEastAsia"/>
              <w:noProof/>
              <w:lang w:eastAsia="cs-CZ"/>
            </w:rPr>
          </w:pPr>
          <w:hyperlink w:anchor="_Toc22021563" w:history="1">
            <w:r w:rsidR="002F7119" w:rsidRPr="003C0F6D">
              <w:rPr>
                <w:rStyle w:val="Hypertextovodkaz"/>
                <w:rFonts w:asciiTheme="majorHAnsi" w:eastAsiaTheme="majorEastAsia" w:hAnsiTheme="majorHAnsi" w:cstheme="majorBidi"/>
                <w:noProof/>
              </w:rPr>
              <w:t>Aktuálně dostupné a připravované výzvy</w:t>
            </w:r>
            <w:r w:rsidR="002F7119">
              <w:rPr>
                <w:noProof/>
                <w:webHidden/>
              </w:rPr>
              <w:tab/>
            </w:r>
            <w:r>
              <w:rPr>
                <w:noProof/>
                <w:webHidden/>
              </w:rPr>
              <w:fldChar w:fldCharType="begin"/>
            </w:r>
            <w:r w:rsidR="002F7119">
              <w:rPr>
                <w:noProof/>
                <w:webHidden/>
              </w:rPr>
              <w:instrText xml:space="preserve"> PAGEREF _Toc22021563 \h </w:instrText>
            </w:r>
            <w:r>
              <w:rPr>
                <w:noProof/>
                <w:webHidden/>
              </w:rPr>
            </w:r>
            <w:r>
              <w:rPr>
                <w:noProof/>
                <w:webHidden/>
              </w:rPr>
              <w:fldChar w:fldCharType="separate"/>
            </w:r>
            <w:r w:rsidR="00FD2ED5">
              <w:rPr>
                <w:noProof/>
                <w:webHidden/>
              </w:rPr>
              <w:t>6</w:t>
            </w:r>
            <w:r>
              <w:rPr>
                <w:noProof/>
                <w:webHidden/>
              </w:rPr>
              <w:fldChar w:fldCharType="end"/>
            </w:r>
          </w:hyperlink>
        </w:p>
        <w:p w:rsidR="002F7119" w:rsidRDefault="00D97B65">
          <w:pPr>
            <w:pStyle w:val="Obsah3"/>
            <w:tabs>
              <w:tab w:val="right" w:leader="dot" w:pos="9062"/>
            </w:tabs>
            <w:rPr>
              <w:rFonts w:eastAsiaTheme="minorEastAsia"/>
              <w:noProof/>
              <w:lang w:eastAsia="cs-CZ"/>
            </w:rPr>
          </w:pPr>
          <w:hyperlink w:anchor="_Toc22021564" w:history="1">
            <w:r w:rsidR="002F7119" w:rsidRPr="003C0F6D">
              <w:rPr>
                <w:rStyle w:val="Hypertextovodkaz"/>
                <w:rFonts w:asciiTheme="majorHAnsi" w:eastAsiaTheme="majorEastAsia" w:hAnsiTheme="majorHAnsi" w:cstheme="majorBidi"/>
                <w:noProof/>
              </w:rPr>
              <w:t>ESIF</w:t>
            </w:r>
            <w:r w:rsidR="002F7119">
              <w:rPr>
                <w:noProof/>
                <w:webHidden/>
              </w:rPr>
              <w:tab/>
            </w:r>
            <w:r>
              <w:rPr>
                <w:noProof/>
                <w:webHidden/>
              </w:rPr>
              <w:fldChar w:fldCharType="begin"/>
            </w:r>
            <w:r w:rsidR="002F7119">
              <w:rPr>
                <w:noProof/>
                <w:webHidden/>
              </w:rPr>
              <w:instrText xml:space="preserve"> PAGEREF _Toc22021564 \h </w:instrText>
            </w:r>
            <w:r>
              <w:rPr>
                <w:noProof/>
                <w:webHidden/>
              </w:rPr>
            </w:r>
            <w:r>
              <w:rPr>
                <w:noProof/>
                <w:webHidden/>
              </w:rPr>
              <w:fldChar w:fldCharType="separate"/>
            </w:r>
            <w:r w:rsidR="00FD2ED5">
              <w:rPr>
                <w:noProof/>
                <w:webHidden/>
              </w:rPr>
              <w:t>6</w:t>
            </w:r>
            <w:r>
              <w:rPr>
                <w:noProof/>
                <w:webHidden/>
              </w:rPr>
              <w:fldChar w:fldCharType="end"/>
            </w:r>
          </w:hyperlink>
        </w:p>
        <w:p w:rsidR="002F7119" w:rsidRDefault="00D97B65">
          <w:pPr>
            <w:pStyle w:val="Obsah3"/>
            <w:tabs>
              <w:tab w:val="right" w:leader="dot" w:pos="9062"/>
            </w:tabs>
            <w:rPr>
              <w:rFonts w:eastAsiaTheme="minorEastAsia"/>
              <w:noProof/>
              <w:lang w:eastAsia="cs-CZ"/>
            </w:rPr>
          </w:pPr>
          <w:hyperlink w:anchor="_Toc22021565" w:history="1">
            <w:r w:rsidR="002F7119" w:rsidRPr="003C0F6D">
              <w:rPr>
                <w:rStyle w:val="Hypertextovodkaz"/>
                <w:rFonts w:asciiTheme="majorHAnsi" w:eastAsiaTheme="majorEastAsia" w:hAnsiTheme="majorHAnsi" w:cstheme="majorBidi"/>
                <w:noProof/>
              </w:rPr>
              <w:t>Národní dotační tituly</w:t>
            </w:r>
            <w:r w:rsidR="002F7119">
              <w:rPr>
                <w:noProof/>
                <w:webHidden/>
              </w:rPr>
              <w:tab/>
            </w:r>
            <w:r>
              <w:rPr>
                <w:noProof/>
                <w:webHidden/>
              </w:rPr>
              <w:fldChar w:fldCharType="begin"/>
            </w:r>
            <w:r w:rsidR="002F7119">
              <w:rPr>
                <w:noProof/>
                <w:webHidden/>
              </w:rPr>
              <w:instrText xml:space="preserve"> PAGEREF _Toc22021565 \h </w:instrText>
            </w:r>
            <w:r>
              <w:rPr>
                <w:noProof/>
                <w:webHidden/>
              </w:rPr>
            </w:r>
            <w:r>
              <w:rPr>
                <w:noProof/>
                <w:webHidden/>
              </w:rPr>
              <w:fldChar w:fldCharType="separate"/>
            </w:r>
            <w:r w:rsidR="00FD2ED5">
              <w:rPr>
                <w:noProof/>
                <w:webHidden/>
              </w:rPr>
              <w:t>6</w:t>
            </w:r>
            <w:r>
              <w:rPr>
                <w:noProof/>
                <w:webHidden/>
              </w:rPr>
              <w:fldChar w:fldCharType="end"/>
            </w:r>
          </w:hyperlink>
        </w:p>
        <w:p w:rsidR="002F7119" w:rsidRDefault="00D97B65">
          <w:pPr>
            <w:pStyle w:val="Obsah2"/>
            <w:tabs>
              <w:tab w:val="right" w:leader="dot" w:pos="9062"/>
            </w:tabs>
            <w:rPr>
              <w:rFonts w:eastAsiaTheme="minorEastAsia"/>
              <w:noProof/>
              <w:lang w:eastAsia="cs-CZ"/>
            </w:rPr>
          </w:pPr>
          <w:hyperlink w:anchor="_Toc22021566" w:history="1">
            <w:r w:rsidR="002F7119" w:rsidRPr="003C0F6D">
              <w:rPr>
                <w:rStyle w:val="Hypertextovodkaz"/>
                <w:noProof/>
              </w:rPr>
              <w:t>Plán činnosti pro AP4</w:t>
            </w:r>
            <w:r w:rsidR="002F7119">
              <w:rPr>
                <w:noProof/>
                <w:webHidden/>
              </w:rPr>
              <w:tab/>
            </w:r>
            <w:r>
              <w:rPr>
                <w:noProof/>
                <w:webHidden/>
              </w:rPr>
              <w:fldChar w:fldCharType="begin"/>
            </w:r>
            <w:r w:rsidR="002F7119">
              <w:rPr>
                <w:noProof/>
                <w:webHidden/>
              </w:rPr>
              <w:instrText xml:space="preserve"> PAGEREF _Toc22021566 \h </w:instrText>
            </w:r>
            <w:r>
              <w:rPr>
                <w:noProof/>
                <w:webHidden/>
              </w:rPr>
            </w:r>
            <w:r>
              <w:rPr>
                <w:noProof/>
                <w:webHidden/>
              </w:rPr>
              <w:fldChar w:fldCharType="separate"/>
            </w:r>
            <w:r w:rsidR="00FD2ED5">
              <w:rPr>
                <w:noProof/>
                <w:webHidden/>
              </w:rPr>
              <w:t>7</w:t>
            </w:r>
            <w:r>
              <w:rPr>
                <w:noProof/>
                <w:webHidden/>
              </w:rPr>
              <w:fldChar w:fldCharType="end"/>
            </w:r>
          </w:hyperlink>
        </w:p>
        <w:p w:rsidR="002F7119" w:rsidRDefault="00D97B65">
          <w:pPr>
            <w:pStyle w:val="Obsah2"/>
            <w:tabs>
              <w:tab w:val="right" w:leader="dot" w:pos="9062"/>
            </w:tabs>
            <w:rPr>
              <w:rFonts w:eastAsiaTheme="minorEastAsia"/>
              <w:noProof/>
              <w:lang w:eastAsia="cs-CZ"/>
            </w:rPr>
          </w:pPr>
          <w:hyperlink w:anchor="_Toc22021567" w:history="1">
            <w:r w:rsidR="002F7119" w:rsidRPr="003C0F6D">
              <w:rPr>
                <w:rStyle w:val="Hypertextovodkaz"/>
                <w:noProof/>
              </w:rPr>
              <w:t>Bariéry a rizika</w:t>
            </w:r>
            <w:r w:rsidR="002F7119">
              <w:rPr>
                <w:noProof/>
                <w:webHidden/>
              </w:rPr>
              <w:tab/>
            </w:r>
            <w:r>
              <w:rPr>
                <w:noProof/>
                <w:webHidden/>
              </w:rPr>
              <w:fldChar w:fldCharType="begin"/>
            </w:r>
            <w:r w:rsidR="002F7119">
              <w:rPr>
                <w:noProof/>
                <w:webHidden/>
              </w:rPr>
              <w:instrText xml:space="preserve"> PAGEREF _Toc22021567 \h </w:instrText>
            </w:r>
            <w:r>
              <w:rPr>
                <w:noProof/>
                <w:webHidden/>
              </w:rPr>
            </w:r>
            <w:r>
              <w:rPr>
                <w:noProof/>
                <w:webHidden/>
              </w:rPr>
              <w:fldChar w:fldCharType="separate"/>
            </w:r>
            <w:r w:rsidR="00FD2ED5">
              <w:rPr>
                <w:noProof/>
                <w:webHidden/>
              </w:rPr>
              <w:t>7</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68" w:history="1">
            <w:r w:rsidR="002F7119" w:rsidRPr="003C0F6D">
              <w:rPr>
                <w:rStyle w:val="Hypertextovodkaz"/>
                <w:noProof/>
              </w:rPr>
              <w:t>Platforma pro uhelné regiony v transformaci</w:t>
            </w:r>
            <w:r w:rsidR="002F7119">
              <w:rPr>
                <w:noProof/>
                <w:webHidden/>
              </w:rPr>
              <w:tab/>
            </w:r>
            <w:r>
              <w:rPr>
                <w:noProof/>
                <w:webHidden/>
              </w:rPr>
              <w:fldChar w:fldCharType="begin"/>
            </w:r>
            <w:r w:rsidR="002F7119">
              <w:rPr>
                <w:noProof/>
                <w:webHidden/>
              </w:rPr>
              <w:instrText xml:space="preserve"> PAGEREF _Toc22021568 \h </w:instrText>
            </w:r>
            <w:r>
              <w:rPr>
                <w:noProof/>
                <w:webHidden/>
              </w:rPr>
            </w:r>
            <w:r>
              <w:rPr>
                <w:noProof/>
                <w:webHidden/>
              </w:rPr>
              <w:fldChar w:fldCharType="separate"/>
            </w:r>
            <w:r w:rsidR="00FD2ED5">
              <w:rPr>
                <w:noProof/>
                <w:webHidden/>
              </w:rPr>
              <w:t>9</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69" w:history="1">
            <w:r w:rsidR="002F7119" w:rsidRPr="003C0F6D">
              <w:rPr>
                <w:rStyle w:val="Hypertextovodkaz"/>
                <w:noProof/>
              </w:rPr>
              <w:t>Uhelná komise</w:t>
            </w:r>
            <w:r w:rsidR="002F7119">
              <w:rPr>
                <w:noProof/>
                <w:webHidden/>
              </w:rPr>
              <w:tab/>
            </w:r>
            <w:r>
              <w:rPr>
                <w:noProof/>
                <w:webHidden/>
              </w:rPr>
              <w:fldChar w:fldCharType="begin"/>
            </w:r>
            <w:r w:rsidR="002F7119">
              <w:rPr>
                <w:noProof/>
                <w:webHidden/>
              </w:rPr>
              <w:instrText xml:space="preserve"> PAGEREF _Toc22021569 \h </w:instrText>
            </w:r>
            <w:r>
              <w:rPr>
                <w:noProof/>
                <w:webHidden/>
              </w:rPr>
            </w:r>
            <w:r>
              <w:rPr>
                <w:noProof/>
                <w:webHidden/>
              </w:rPr>
              <w:fldChar w:fldCharType="separate"/>
            </w:r>
            <w:r w:rsidR="00FD2ED5">
              <w:rPr>
                <w:noProof/>
                <w:webHidden/>
              </w:rPr>
              <w:t>9</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70" w:history="1">
            <w:r w:rsidR="002F7119" w:rsidRPr="003C0F6D">
              <w:rPr>
                <w:rStyle w:val="Hypertextovodkaz"/>
                <w:noProof/>
              </w:rPr>
              <w:t>Závěr</w:t>
            </w:r>
            <w:r w:rsidR="002F7119">
              <w:rPr>
                <w:noProof/>
                <w:webHidden/>
              </w:rPr>
              <w:tab/>
            </w:r>
            <w:r>
              <w:rPr>
                <w:noProof/>
                <w:webHidden/>
              </w:rPr>
              <w:fldChar w:fldCharType="begin"/>
            </w:r>
            <w:r w:rsidR="002F7119">
              <w:rPr>
                <w:noProof/>
                <w:webHidden/>
              </w:rPr>
              <w:instrText xml:space="preserve"> PAGEREF _Toc22021570 \h </w:instrText>
            </w:r>
            <w:r>
              <w:rPr>
                <w:noProof/>
                <w:webHidden/>
              </w:rPr>
            </w:r>
            <w:r>
              <w:rPr>
                <w:noProof/>
                <w:webHidden/>
              </w:rPr>
              <w:fldChar w:fldCharType="separate"/>
            </w:r>
            <w:r w:rsidR="00FD2ED5">
              <w:rPr>
                <w:noProof/>
                <w:webHidden/>
              </w:rPr>
              <w:t>10</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71" w:history="1">
            <w:r w:rsidR="002F7119" w:rsidRPr="003C0F6D">
              <w:rPr>
                <w:rStyle w:val="Hypertextovodkaz"/>
                <w:noProof/>
              </w:rPr>
              <w:t>Seznam použitých zkratek</w:t>
            </w:r>
            <w:r w:rsidR="002F7119">
              <w:rPr>
                <w:noProof/>
                <w:webHidden/>
              </w:rPr>
              <w:tab/>
            </w:r>
            <w:r>
              <w:rPr>
                <w:noProof/>
                <w:webHidden/>
              </w:rPr>
              <w:fldChar w:fldCharType="begin"/>
            </w:r>
            <w:r w:rsidR="002F7119">
              <w:rPr>
                <w:noProof/>
                <w:webHidden/>
              </w:rPr>
              <w:instrText xml:space="preserve"> PAGEREF _Toc22021571 \h </w:instrText>
            </w:r>
            <w:r>
              <w:rPr>
                <w:noProof/>
                <w:webHidden/>
              </w:rPr>
            </w:r>
            <w:r>
              <w:rPr>
                <w:noProof/>
                <w:webHidden/>
              </w:rPr>
              <w:fldChar w:fldCharType="separate"/>
            </w:r>
            <w:r w:rsidR="00FD2ED5">
              <w:rPr>
                <w:noProof/>
                <w:webHidden/>
              </w:rPr>
              <w:t>11</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72" w:history="1">
            <w:r w:rsidR="002F7119" w:rsidRPr="003C0F6D">
              <w:rPr>
                <w:rStyle w:val="Hypertextovodkaz"/>
                <w:noProof/>
              </w:rPr>
              <w:t>Seznam tabulek</w:t>
            </w:r>
            <w:r w:rsidR="002F7119">
              <w:rPr>
                <w:noProof/>
                <w:webHidden/>
              </w:rPr>
              <w:tab/>
            </w:r>
            <w:r>
              <w:rPr>
                <w:noProof/>
                <w:webHidden/>
              </w:rPr>
              <w:fldChar w:fldCharType="begin"/>
            </w:r>
            <w:r w:rsidR="002F7119">
              <w:rPr>
                <w:noProof/>
                <w:webHidden/>
              </w:rPr>
              <w:instrText xml:space="preserve"> PAGEREF _Toc22021572 \h </w:instrText>
            </w:r>
            <w:r>
              <w:rPr>
                <w:noProof/>
                <w:webHidden/>
              </w:rPr>
            </w:r>
            <w:r>
              <w:rPr>
                <w:noProof/>
                <w:webHidden/>
              </w:rPr>
              <w:fldChar w:fldCharType="separate"/>
            </w:r>
            <w:r w:rsidR="00FD2ED5">
              <w:rPr>
                <w:noProof/>
                <w:webHidden/>
              </w:rPr>
              <w:t>11</w:t>
            </w:r>
            <w:r>
              <w:rPr>
                <w:noProof/>
                <w:webHidden/>
              </w:rPr>
              <w:fldChar w:fldCharType="end"/>
            </w:r>
          </w:hyperlink>
        </w:p>
        <w:p w:rsidR="002F7119" w:rsidRDefault="00D97B65">
          <w:pPr>
            <w:pStyle w:val="Obsah1"/>
            <w:tabs>
              <w:tab w:val="right" w:leader="dot" w:pos="9062"/>
            </w:tabs>
            <w:rPr>
              <w:rFonts w:eastAsiaTheme="minorEastAsia"/>
              <w:noProof/>
              <w:lang w:eastAsia="cs-CZ"/>
            </w:rPr>
          </w:pPr>
          <w:hyperlink w:anchor="_Toc22021573" w:history="1">
            <w:r w:rsidR="002F7119" w:rsidRPr="003C0F6D">
              <w:rPr>
                <w:rStyle w:val="Hypertextovodkaz"/>
                <w:noProof/>
              </w:rPr>
              <w:t>Přílohy</w:t>
            </w:r>
            <w:r w:rsidR="002F7119">
              <w:rPr>
                <w:noProof/>
                <w:webHidden/>
              </w:rPr>
              <w:tab/>
            </w:r>
            <w:r>
              <w:rPr>
                <w:noProof/>
                <w:webHidden/>
              </w:rPr>
              <w:fldChar w:fldCharType="begin"/>
            </w:r>
            <w:r w:rsidR="002F7119">
              <w:rPr>
                <w:noProof/>
                <w:webHidden/>
              </w:rPr>
              <w:instrText xml:space="preserve"> PAGEREF _Toc22021573 \h </w:instrText>
            </w:r>
            <w:r>
              <w:rPr>
                <w:noProof/>
                <w:webHidden/>
              </w:rPr>
            </w:r>
            <w:r>
              <w:rPr>
                <w:noProof/>
                <w:webHidden/>
              </w:rPr>
              <w:fldChar w:fldCharType="separate"/>
            </w:r>
            <w:r w:rsidR="00FD2ED5">
              <w:rPr>
                <w:noProof/>
                <w:webHidden/>
              </w:rPr>
              <w:t>11</w:t>
            </w:r>
            <w:r>
              <w:rPr>
                <w:noProof/>
                <w:webHidden/>
              </w:rPr>
              <w:fldChar w:fldCharType="end"/>
            </w:r>
          </w:hyperlink>
        </w:p>
        <w:p w:rsidR="00B049EB" w:rsidRDefault="00D97B65">
          <w:r>
            <w:rPr>
              <w:b/>
              <w:bCs/>
            </w:rPr>
            <w:fldChar w:fldCharType="end"/>
          </w:r>
        </w:p>
      </w:sdtContent>
    </w:sdt>
    <w:p w:rsidR="00FA1F7C" w:rsidRDefault="005A3D47" w:rsidP="0099699B">
      <w:pPr>
        <w:pStyle w:val="Nadpis1"/>
      </w:pPr>
      <w:bookmarkStart w:id="1" w:name="_Toc22021559"/>
      <w:r w:rsidRPr="005A3D47">
        <w:t>Úvod</w:t>
      </w:r>
      <w:bookmarkEnd w:id="1"/>
    </w:p>
    <w:p w:rsidR="00555426" w:rsidRDefault="002A40D7" w:rsidP="00390EDF">
      <w:pPr>
        <w:jc w:val="both"/>
      </w:pPr>
      <w:r w:rsidRPr="00EA0FAD">
        <w:t xml:space="preserve">Předložená Zpráva o realizaci opatření </w:t>
      </w:r>
      <w:r w:rsidR="00C9535A">
        <w:t>Souhrn</w:t>
      </w:r>
      <w:r w:rsidR="002B497A">
        <w:t>ných</w:t>
      </w:r>
      <w:r w:rsidR="00C9535A">
        <w:t xml:space="preserve"> </w:t>
      </w:r>
      <w:r w:rsidRPr="00EA0FAD">
        <w:t>Akční</w:t>
      </w:r>
      <w:r w:rsidR="002B497A">
        <w:t>ch</w:t>
      </w:r>
      <w:r w:rsidRPr="00EA0FAD">
        <w:t xml:space="preserve"> plán</w:t>
      </w:r>
      <w:r w:rsidR="002B497A">
        <w:t>ů</w:t>
      </w:r>
      <w:r w:rsidRPr="00EA0FAD">
        <w:t xml:space="preserve"> (dále jen Zpráva o realizaci) se vztahuje </w:t>
      </w:r>
      <w:r w:rsidR="0052733A">
        <w:t xml:space="preserve">k již schváleným 3 </w:t>
      </w:r>
      <w:r w:rsidR="00C9535A">
        <w:t>Souhrnným a</w:t>
      </w:r>
      <w:r w:rsidRPr="00EA0FAD">
        <w:t>kčním plán</w:t>
      </w:r>
      <w:r w:rsidR="003846E7">
        <w:t>ům</w:t>
      </w:r>
      <w:r w:rsidRPr="00EA0FAD">
        <w:t xml:space="preserve"> hospodářské restrukturalizace </w:t>
      </w:r>
      <w:r w:rsidR="005A5670" w:rsidRPr="00EA0FAD">
        <w:t xml:space="preserve">Ústeckého </w:t>
      </w:r>
      <w:r w:rsidR="005A5670">
        <w:t xml:space="preserve">, </w:t>
      </w:r>
      <w:r w:rsidRPr="00EA0FAD">
        <w:t xml:space="preserve">Moravskoslezského </w:t>
      </w:r>
      <w:r>
        <w:t>a Karlovarského kraje (dále jen „Akční plán</w:t>
      </w:r>
      <w:r w:rsidR="003846E7">
        <w:t>y</w:t>
      </w:r>
      <w:r>
        <w:t xml:space="preserve">“), </w:t>
      </w:r>
      <w:r w:rsidRPr="00EA0FAD">
        <w:t>kter</w:t>
      </w:r>
      <w:r w:rsidR="003846E7">
        <w:t>é</w:t>
      </w:r>
      <w:r w:rsidRPr="00EA0FAD">
        <w:t xml:space="preserve"> byl</w:t>
      </w:r>
      <w:r w:rsidR="00134242">
        <w:t>y</w:t>
      </w:r>
      <w:r w:rsidRPr="00EA0FAD">
        <w:t xml:space="preserve"> </w:t>
      </w:r>
      <w:r w:rsidR="001F5B35">
        <w:t>potvrzeny</w:t>
      </w:r>
      <w:r w:rsidR="0052733A">
        <w:t xml:space="preserve"> vládou ČR. </w:t>
      </w:r>
    </w:p>
    <w:p w:rsidR="00390EDF" w:rsidRDefault="0052733A" w:rsidP="00390EDF">
      <w:pPr>
        <w:jc w:val="both"/>
      </w:pPr>
      <w:r>
        <w:t>V roce 2018</w:t>
      </w:r>
      <w:r w:rsidR="00390EDF">
        <w:t xml:space="preserve"> došlo k aktualizaci implementačních zásad,</w:t>
      </w:r>
      <w:r w:rsidR="00390EDF" w:rsidRPr="00390EDF">
        <w:t xml:space="preserve"> </w:t>
      </w:r>
      <w:r w:rsidR="00390EDF">
        <w:t>které vstoupily v platnost 1. ledna 2019. Na jejich základě došlo k transformaci organizační struktury a přechodu řízení programu RE:START z Úřadu zmocněnce vlády do gesce Ministerstva pro místní rozvoj a jím zřízeného Národního výkonného týmu RE:START. Současně s těmito změnami došlo pro odstranění disproporcí v implementaci programu RE:START k posílení regionálních RSK pro posílení a zajištění individuálního přístupu při zlepšování absorpční kapacity v regionech.</w:t>
      </w:r>
    </w:p>
    <w:p w:rsidR="0052733A" w:rsidRPr="00555426" w:rsidRDefault="0052733A" w:rsidP="00AA00E5">
      <w:pPr>
        <w:jc w:val="both"/>
        <w:rPr>
          <w:i/>
          <w:u w:val="single"/>
        </w:rPr>
      </w:pPr>
      <w:r w:rsidRPr="00555426">
        <w:rPr>
          <w:i/>
          <w:u w:val="single"/>
        </w:rPr>
        <w:t xml:space="preserve">Tato průběžná zpráva je vytvořena pro účely jednání Rady hospodářské a </w:t>
      </w:r>
      <w:r w:rsidR="007E661E">
        <w:rPr>
          <w:i/>
          <w:u w:val="single"/>
        </w:rPr>
        <w:t xml:space="preserve">sociální </w:t>
      </w:r>
      <w:r w:rsidRPr="00555426">
        <w:rPr>
          <w:i/>
          <w:u w:val="single"/>
        </w:rPr>
        <w:t>dohody</w:t>
      </w:r>
      <w:r w:rsidR="00B74B4C">
        <w:rPr>
          <w:i/>
          <w:u w:val="single"/>
        </w:rPr>
        <w:t xml:space="preserve"> ČR.</w:t>
      </w:r>
    </w:p>
    <w:p w:rsidR="00AA00E5" w:rsidRPr="00EA0FAD" w:rsidRDefault="00AA00E5" w:rsidP="00DA75D6">
      <w:pPr>
        <w:jc w:val="both"/>
      </w:pPr>
    </w:p>
    <w:p w:rsidR="0099699B" w:rsidRPr="00A93172" w:rsidRDefault="00D7458B" w:rsidP="0099699B">
      <w:pPr>
        <w:pStyle w:val="Nadpis1"/>
        <w:shd w:val="clear" w:color="auto" w:fill="C9C9C9" w:themeFill="accent3" w:themeFillTint="99"/>
      </w:pPr>
      <w:bookmarkStart w:id="2" w:name="_Toc22021560"/>
      <w:r>
        <w:rPr>
          <w:rStyle w:val="Nadpis1Char"/>
        </w:rPr>
        <w:lastRenderedPageBreak/>
        <w:t>Aktuální stav naplňování akčních plánů</w:t>
      </w:r>
      <w:bookmarkEnd w:id="2"/>
      <w:r>
        <w:rPr>
          <w:rStyle w:val="Nadpis1Char"/>
        </w:rPr>
        <w:t xml:space="preserve"> </w:t>
      </w:r>
    </w:p>
    <w:p w:rsidR="0099699B" w:rsidRDefault="0099699B" w:rsidP="00984CB8">
      <w:pPr>
        <w:spacing w:after="0"/>
        <w:jc w:val="both"/>
      </w:pPr>
      <w:r>
        <w:t xml:space="preserve">Program RE:START neboli proces </w:t>
      </w:r>
      <w:r w:rsidRPr="003539E5">
        <w:t>restrukturalizace výše uvedených regionů je vymezen 7 tematickými pilíři</w:t>
      </w:r>
      <w:r>
        <w:t>:</w:t>
      </w:r>
    </w:p>
    <w:p w:rsidR="0099699B" w:rsidRDefault="0099699B" w:rsidP="0099699B">
      <w:pPr>
        <w:pStyle w:val="Odstavecseseznamem"/>
        <w:numPr>
          <w:ilvl w:val="0"/>
          <w:numId w:val="5"/>
        </w:numPr>
        <w:jc w:val="both"/>
      </w:pPr>
      <w:r>
        <w:t xml:space="preserve">Podnikání a inovace, </w:t>
      </w:r>
    </w:p>
    <w:p w:rsidR="0099699B" w:rsidRDefault="0099699B" w:rsidP="0099699B">
      <w:pPr>
        <w:pStyle w:val="Odstavecseseznamem"/>
        <w:numPr>
          <w:ilvl w:val="0"/>
          <w:numId w:val="5"/>
        </w:numPr>
        <w:jc w:val="both"/>
      </w:pPr>
      <w:r>
        <w:t xml:space="preserve">Přímé investice, </w:t>
      </w:r>
    </w:p>
    <w:p w:rsidR="0099699B" w:rsidRDefault="0099699B" w:rsidP="0099699B">
      <w:pPr>
        <w:pStyle w:val="Odstavecseseznamem"/>
        <w:numPr>
          <w:ilvl w:val="0"/>
          <w:numId w:val="5"/>
        </w:numPr>
        <w:jc w:val="both"/>
      </w:pPr>
      <w:r>
        <w:t xml:space="preserve">Výzkum a vývoj, </w:t>
      </w:r>
    </w:p>
    <w:p w:rsidR="0099699B" w:rsidRDefault="0099699B" w:rsidP="0099699B">
      <w:pPr>
        <w:pStyle w:val="Odstavecseseznamem"/>
        <w:numPr>
          <w:ilvl w:val="0"/>
          <w:numId w:val="5"/>
        </w:numPr>
        <w:jc w:val="both"/>
      </w:pPr>
      <w:r>
        <w:t xml:space="preserve">Lidské zdroje, </w:t>
      </w:r>
    </w:p>
    <w:p w:rsidR="0099699B" w:rsidRDefault="0099699B" w:rsidP="0099699B">
      <w:pPr>
        <w:pStyle w:val="Odstavecseseznamem"/>
        <w:numPr>
          <w:ilvl w:val="0"/>
          <w:numId w:val="5"/>
        </w:numPr>
        <w:jc w:val="both"/>
      </w:pPr>
      <w:r>
        <w:t xml:space="preserve">Sociální stabilizace, </w:t>
      </w:r>
    </w:p>
    <w:p w:rsidR="0099699B" w:rsidRDefault="0099699B" w:rsidP="0099699B">
      <w:pPr>
        <w:pStyle w:val="Odstavecseseznamem"/>
        <w:numPr>
          <w:ilvl w:val="0"/>
          <w:numId w:val="5"/>
        </w:numPr>
        <w:jc w:val="both"/>
      </w:pPr>
      <w:r>
        <w:t xml:space="preserve">Životní prostředí, </w:t>
      </w:r>
    </w:p>
    <w:p w:rsidR="0099699B" w:rsidRDefault="0099699B" w:rsidP="0099699B">
      <w:pPr>
        <w:pStyle w:val="Odstavecseseznamem"/>
        <w:numPr>
          <w:ilvl w:val="0"/>
          <w:numId w:val="5"/>
        </w:numPr>
        <w:jc w:val="both"/>
      </w:pPr>
      <w:r>
        <w:t>Infrastruktura a veřejná správa</w:t>
      </w:r>
    </w:p>
    <w:p w:rsidR="007A04AD" w:rsidRPr="007A04AD" w:rsidRDefault="007A04AD" w:rsidP="007A04AD">
      <w:pPr>
        <w:jc w:val="both"/>
        <w:rPr>
          <w:b/>
        </w:rPr>
      </w:pPr>
      <w:r w:rsidRPr="007A04AD">
        <w:rPr>
          <w:rFonts w:ascii="Calibri" w:hAnsi="Calibri"/>
          <w:b/>
        </w:rPr>
        <w:t>Schválením 3. Akčního plánu došlo k aktualizaci některých opatřen</w:t>
      </w:r>
      <w:r w:rsidR="000B4253">
        <w:rPr>
          <w:rFonts w:ascii="Calibri" w:hAnsi="Calibri"/>
          <w:b/>
        </w:rPr>
        <w:t>í</w:t>
      </w:r>
      <w:r w:rsidRPr="007A04AD">
        <w:rPr>
          <w:rFonts w:ascii="Calibri" w:hAnsi="Calibri"/>
          <w:b/>
        </w:rPr>
        <w:t xml:space="preserve"> či jejich sloučení do jednoho atp. </w:t>
      </w:r>
      <w:r w:rsidRPr="007A04AD">
        <w:rPr>
          <w:b/>
        </w:rPr>
        <w:t>V rámci těchto pilířů je na základě 1. až 3. Akčního plánu realizováno k datu 30. 9. 2019:</w:t>
      </w:r>
    </w:p>
    <w:p w:rsidR="007A04AD" w:rsidRDefault="007A04AD" w:rsidP="007A04AD">
      <w:pPr>
        <w:pStyle w:val="Titulek"/>
      </w:pPr>
      <w:bookmarkStart w:id="3" w:name="_Toc21980557"/>
      <w:r>
        <w:t xml:space="preserve">Tabulka </w:t>
      </w:r>
      <w:r w:rsidR="00D97B65">
        <w:fldChar w:fldCharType="begin"/>
      </w:r>
      <w:r w:rsidR="009A5C82">
        <w:instrText xml:space="preserve"> SEQ Tabulka \* ARABIC </w:instrText>
      </w:r>
      <w:r w:rsidR="00D97B65">
        <w:fldChar w:fldCharType="separate"/>
      </w:r>
      <w:r w:rsidR="00FD2ED5">
        <w:rPr>
          <w:noProof/>
        </w:rPr>
        <w:t>1</w:t>
      </w:r>
      <w:r w:rsidR="00D97B65">
        <w:rPr>
          <w:noProof/>
        </w:rPr>
        <w:fldChar w:fldCharType="end"/>
      </w:r>
      <w:r>
        <w:t xml:space="preserve"> – Přehled </w:t>
      </w:r>
      <w:r w:rsidR="00B74B4C">
        <w:t xml:space="preserve">naplňování </w:t>
      </w:r>
      <w:r>
        <w:t>opatření po schválení 3. Akčního plánu</w:t>
      </w:r>
      <w:r w:rsidR="00265A61">
        <w:t xml:space="preserve"> v MSK, ÚK a KVK</w:t>
      </w:r>
      <w:bookmarkEnd w:id="3"/>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684"/>
        <w:gridCol w:w="1984"/>
        <w:gridCol w:w="4144"/>
      </w:tblGrid>
      <w:tr w:rsidR="007A04AD" w:rsidRPr="00BE3195" w:rsidTr="007A04AD">
        <w:trPr>
          <w:trHeight w:val="396"/>
        </w:trPr>
        <w:tc>
          <w:tcPr>
            <w:tcW w:w="2684" w:type="dxa"/>
            <w:shd w:val="clear" w:color="auto" w:fill="D9D9D9" w:themeFill="background1" w:themeFillShade="D9"/>
            <w:tcMar>
              <w:top w:w="72" w:type="dxa"/>
              <w:left w:w="144" w:type="dxa"/>
              <w:bottom w:w="72" w:type="dxa"/>
              <w:right w:w="144" w:type="dxa"/>
            </w:tcMar>
            <w:hideMark/>
          </w:tcPr>
          <w:p w:rsidR="00BE3195" w:rsidRPr="00BE3195" w:rsidRDefault="00BE3195" w:rsidP="00BE3195">
            <w:pPr>
              <w:spacing w:after="0" w:line="240" w:lineRule="auto"/>
              <w:jc w:val="both"/>
              <w:rPr>
                <w:rFonts w:ascii="Calibri" w:hAnsi="Calibri"/>
                <w:b/>
              </w:rPr>
            </w:pPr>
            <w:r w:rsidRPr="00BE3195">
              <w:rPr>
                <w:rFonts w:ascii="Calibri" w:hAnsi="Calibri"/>
                <w:b/>
                <w:bCs/>
              </w:rPr>
              <w:t>POČET OPATŘENÍ CELKEM</w:t>
            </w:r>
          </w:p>
        </w:tc>
        <w:tc>
          <w:tcPr>
            <w:tcW w:w="1984" w:type="dxa"/>
            <w:shd w:val="clear" w:color="auto" w:fill="D9D9D9" w:themeFill="background1" w:themeFillShade="D9"/>
            <w:tcMar>
              <w:top w:w="72" w:type="dxa"/>
              <w:left w:w="144" w:type="dxa"/>
              <w:bottom w:w="72" w:type="dxa"/>
              <w:right w:w="144" w:type="dxa"/>
            </w:tcMar>
            <w:hideMark/>
          </w:tcPr>
          <w:p w:rsidR="00BE3195" w:rsidRPr="00BE3195" w:rsidRDefault="00BE3195" w:rsidP="00BE3195">
            <w:pPr>
              <w:spacing w:after="0" w:line="240" w:lineRule="auto"/>
              <w:jc w:val="both"/>
              <w:rPr>
                <w:rFonts w:ascii="Calibri" w:hAnsi="Calibri"/>
                <w:b/>
              </w:rPr>
            </w:pPr>
            <w:r w:rsidRPr="00BE3195">
              <w:rPr>
                <w:rFonts w:ascii="Calibri" w:hAnsi="Calibri"/>
                <w:b/>
                <w:bCs/>
              </w:rPr>
              <w:t>ALOKACE</w:t>
            </w:r>
          </w:p>
        </w:tc>
        <w:tc>
          <w:tcPr>
            <w:tcW w:w="4144" w:type="dxa"/>
            <w:shd w:val="clear" w:color="auto" w:fill="D9D9D9" w:themeFill="background1" w:themeFillShade="D9"/>
            <w:tcMar>
              <w:top w:w="72" w:type="dxa"/>
              <w:left w:w="144" w:type="dxa"/>
              <w:bottom w:w="72" w:type="dxa"/>
              <w:right w:w="144" w:type="dxa"/>
            </w:tcMar>
            <w:hideMark/>
          </w:tcPr>
          <w:p w:rsidR="00BE3195" w:rsidRPr="00BE3195" w:rsidRDefault="00BE3195" w:rsidP="00BE3195">
            <w:pPr>
              <w:spacing w:after="0" w:line="240" w:lineRule="auto"/>
              <w:jc w:val="both"/>
              <w:rPr>
                <w:rFonts w:ascii="Calibri" w:hAnsi="Calibri"/>
                <w:b/>
              </w:rPr>
            </w:pPr>
            <w:r w:rsidRPr="00BE3195">
              <w:rPr>
                <w:rFonts w:ascii="Calibri" w:hAnsi="Calibri"/>
                <w:b/>
                <w:bCs/>
              </w:rPr>
              <w:t>REALIZACE</w:t>
            </w:r>
          </w:p>
        </w:tc>
      </w:tr>
      <w:tr w:rsidR="007A04AD" w:rsidRPr="00BE3195" w:rsidTr="007A04AD">
        <w:trPr>
          <w:trHeight w:val="134"/>
        </w:trPr>
        <w:tc>
          <w:tcPr>
            <w:tcW w:w="2684" w:type="dxa"/>
            <w:shd w:val="clear" w:color="auto" w:fill="D9D9D9" w:themeFill="background1" w:themeFillShade="D9"/>
            <w:tcMar>
              <w:top w:w="72" w:type="dxa"/>
              <w:left w:w="144" w:type="dxa"/>
              <w:bottom w:w="72" w:type="dxa"/>
              <w:right w:w="144" w:type="dxa"/>
            </w:tcMar>
            <w:vAlign w:val="center"/>
            <w:hideMark/>
          </w:tcPr>
          <w:p w:rsidR="00BE3195" w:rsidRPr="00BE3195" w:rsidRDefault="00BE3195" w:rsidP="00BE3195">
            <w:pPr>
              <w:spacing w:after="0" w:line="240" w:lineRule="auto"/>
              <w:jc w:val="both"/>
              <w:rPr>
                <w:rFonts w:ascii="Calibri" w:hAnsi="Calibri"/>
                <w:b/>
              </w:rPr>
            </w:pPr>
            <w:r w:rsidRPr="00BE3195">
              <w:rPr>
                <w:rFonts w:ascii="Calibri" w:hAnsi="Calibri"/>
                <w:b/>
                <w:bCs/>
              </w:rPr>
              <w:t>9</w:t>
            </w:r>
            <w:r>
              <w:rPr>
                <w:rFonts w:ascii="Calibri" w:hAnsi="Calibri"/>
                <w:b/>
                <w:bCs/>
              </w:rPr>
              <w:t>4</w:t>
            </w:r>
          </w:p>
        </w:tc>
        <w:tc>
          <w:tcPr>
            <w:tcW w:w="1984" w:type="dxa"/>
            <w:shd w:val="clear" w:color="auto" w:fill="D9D9D9" w:themeFill="background1" w:themeFillShade="D9"/>
            <w:tcMar>
              <w:top w:w="72" w:type="dxa"/>
              <w:left w:w="144" w:type="dxa"/>
              <w:bottom w:w="72" w:type="dxa"/>
              <w:right w:w="144" w:type="dxa"/>
            </w:tcMar>
            <w:vAlign w:val="center"/>
            <w:hideMark/>
          </w:tcPr>
          <w:p w:rsidR="00BE3195" w:rsidRPr="00BE3195" w:rsidRDefault="00BE3195" w:rsidP="00BE3195">
            <w:pPr>
              <w:spacing w:after="0" w:line="240" w:lineRule="auto"/>
              <w:jc w:val="both"/>
              <w:rPr>
                <w:rFonts w:ascii="Calibri" w:hAnsi="Calibri"/>
                <w:b/>
              </w:rPr>
            </w:pPr>
            <w:r w:rsidRPr="00BE3195">
              <w:rPr>
                <w:rFonts w:ascii="Calibri" w:hAnsi="Calibri"/>
                <w:b/>
                <w:bCs/>
              </w:rPr>
              <w:t>Cca 6</w:t>
            </w:r>
            <w:r>
              <w:rPr>
                <w:rFonts w:ascii="Calibri" w:hAnsi="Calibri"/>
                <w:b/>
                <w:bCs/>
              </w:rPr>
              <w:t>8</w:t>
            </w:r>
            <w:r w:rsidRPr="00BE3195">
              <w:rPr>
                <w:rFonts w:ascii="Calibri" w:hAnsi="Calibri"/>
                <w:b/>
                <w:bCs/>
              </w:rPr>
              <w:t xml:space="preserve"> mld. Kč</w:t>
            </w:r>
          </w:p>
        </w:tc>
        <w:tc>
          <w:tcPr>
            <w:tcW w:w="4144" w:type="dxa"/>
            <w:shd w:val="clear" w:color="auto" w:fill="D9D9D9" w:themeFill="background1" w:themeFillShade="D9"/>
            <w:tcMar>
              <w:top w:w="72" w:type="dxa"/>
              <w:left w:w="144" w:type="dxa"/>
              <w:bottom w:w="72" w:type="dxa"/>
              <w:right w:w="144" w:type="dxa"/>
            </w:tcMar>
            <w:vAlign w:val="center"/>
            <w:hideMark/>
          </w:tcPr>
          <w:p w:rsidR="00BE3195" w:rsidRPr="00BE3195" w:rsidRDefault="00BE3195" w:rsidP="00BE3195">
            <w:pPr>
              <w:spacing w:after="0" w:line="240" w:lineRule="auto"/>
              <w:jc w:val="both"/>
              <w:rPr>
                <w:rFonts w:ascii="Calibri" w:hAnsi="Calibri"/>
                <w:b/>
              </w:rPr>
            </w:pPr>
            <w:r w:rsidRPr="00BE3195">
              <w:rPr>
                <w:rFonts w:ascii="Calibri" w:hAnsi="Calibri"/>
                <w:b/>
                <w:bCs/>
              </w:rPr>
              <w:t>2017 - 2030</w:t>
            </w:r>
          </w:p>
        </w:tc>
      </w:tr>
      <w:tr w:rsidR="00BE3195" w:rsidRPr="00BE3195" w:rsidTr="007A04AD">
        <w:trPr>
          <w:trHeight w:val="282"/>
        </w:trPr>
        <w:tc>
          <w:tcPr>
            <w:tcW w:w="2684" w:type="dxa"/>
            <w:shd w:val="clear" w:color="auto" w:fill="D9D9D9" w:themeFill="background1" w:themeFillShade="D9"/>
            <w:tcMar>
              <w:top w:w="72" w:type="dxa"/>
              <w:left w:w="144" w:type="dxa"/>
              <w:bottom w:w="72" w:type="dxa"/>
              <w:right w:w="144" w:type="dxa"/>
            </w:tcMar>
            <w:hideMark/>
          </w:tcPr>
          <w:p w:rsidR="00BE3195" w:rsidRPr="00BE3195" w:rsidRDefault="00BE3195" w:rsidP="00BE3195">
            <w:pPr>
              <w:spacing w:after="0" w:line="240" w:lineRule="auto"/>
              <w:jc w:val="both"/>
              <w:rPr>
                <w:rFonts w:ascii="Calibri" w:hAnsi="Calibri"/>
                <w:b/>
              </w:rPr>
            </w:pPr>
            <w:r w:rsidRPr="00BE3195">
              <w:rPr>
                <w:rFonts w:ascii="Calibri" w:hAnsi="Calibri"/>
                <w:b/>
                <w:bCs/>
              </w:rPr>
              <w:t>Fáze implementace</w:t>
            </w:r>
          </w:p>
        </w:tc>
        <w:tc>
          <w:tcPr>
            <w:tcW w:w="6128" w:type="dxa"/>
            <w:gridSpan w:val="2"/>
            <w:shd w:val="clear" w:color="auto" w:fill="D9D9D9" w:themeFill="background1" w:themeFillShade="D9"/>
            <w:tcMar>
              <w:top w:w="72" w:type="dxa"/>
              <w:left w:w="144" w:type="dxa"/>
              <w:bottom w:w="72" w:type="dxa"/>
              <w:right w:w="144" w:type="dxa"/>
            </w:tcMar>
            <w:hideMark/>
          </w:tcPr>
          <w:p w:rsidR="00BE3195" w:rsidRPr="00BE3195" w:rsidRDefault="00265A61" w:rsidP="00BE3195">
            <w:pPr>
              <w:spacing w:after="0" w:line="240" w:lineRule="auto"/>
              <w:jc w:val="both"/>
              <w:rPr>
                <w:rFonts w:ascii="Calibri" w:hAnsi="Calibri"/>
                <w:b/>
              </w:rPr>
            </w:pPr>
            <w:r>
              <w:rPr>
                <w:rFonts w:ascii="Calibri" w:hAnsi="Calibri"/>
                <w:b/>
                <w:bCs/>
              </w:rPr>
              <w:t>94</w:t>
            </w:r>
          </w:p>
        </w:tc>
      </w:tr>
      <w:tr w:rsidR="00BE3195" w:rsidRPr="00BE3195" w:rsidTr="00BE3195">
        <w:trPr>
          <w:trHeight w:val="260"/>
        </w:trPr>
        <w:tc>
          <w:tcPr>
            <w:tcW w:w="2684" w:type="dxa"/>
            <w:shd w:val="clear" w:color="auto" w:fill="auto"/>
            <w:tcMar>
              <w:top w:w="72" w:type="dxa"/>
              <w:left w:w="144" w:type="dxa"/>
              <w:bottom w:w="72" w:type="dxa"/>
              <w:right w:w="144" w:type="dxa"/>
            </w:tcMar>
            <w:hideMark/>
          </w:tcPr>
          <w:p w:rsidR="00BE3195" w:rsidRPr="00BE3195" w:rsidRDefault="007E661E" w:rsidP="00BE3195">
            <w:pPr>
              <w:spacing w:after="0" w:line="240" w:lineRule="auto"/>
              <w:jc w:val="both"/>
              <w:rPr>
                <w:rFonts w:ascii="Calibri" w:hAnsi="Calibri"/>
                <w:b/>
              </w:rPr>
            </w:pPr>
            <w:r>
              <w:rPr>
                <w:rFonts w:ascii="Calibri" w:hAnsi="Calibri"/>
                <w:b/>
              </w:rPr>
              <w:t>P</w:t>
            </w:r>
            <w:r w:rsidR="00BE3195" w:rsidRPr="00BE3195">
              <w:rPr>
                <w:rFonts w:ascii="Calibri" w:hAnsi="Calibri"/>
                <w:b/>
              </w:rPr>
              <w:t>říprava</w:t>
            </w:r>
            <w:r w:rsidR="00BE3195">
              <w:rPr>
                <w:rFonts w:ascii="Calibri" w:hAnsi="Calibri"/>
                <w:b/>
              </w:rPr>
              <w:t xml:space="preserve"> a rozpracování</w:t>
            </w:r>
          </w:p>
        </w:tc>
        <w:tc>
          <w:tcPr>
            <w:tcW w:w="6128" w:type="dxa"/>
            <w:gridSpan w:val="2"/>
            <w:shd w:val="clear" w:color="auto" w:fill="auto"/>
            <w:tcMar>
              <w:top w:w="72" w:type="dxa"/>
              <w:left w:w="144" w:type="dxa"/>
              <w:bottom w:w="72" w:type="dxa"/>
              <w:right w:w="144" w:type="dxa"/>
            </w:tcMar>
            <w:hideMark/>
          </w:tcPr>
          <w:p w:rsidR="00BE3195" w:rsidRPr="00BE3195" w:rsidRDefault="00BE3195" w:rsidP="00265A61">
            <w:pPr>
              <w:spacing w:after="0" w:line="240" w:lineRule="auto"/>
              <w:jc w:val="both"/>
              <w:rPr>
                <w:rFonts w:ascii="Calibri" w:hAnsi="Calibri"/>
                <w:b/>
                <w:bCs/>
              </w:rPr>
            </w:pPr>
            <w:r>
              <w:rPr>
                <w:rFonts w:ascii="Calibri" w:hAnsi="Calibri"/>
                <w:b/>
                <w:bCs/>
              </w:rPr>
              <w:t>6</w:t>
            </w:r>
            <w:r w:rsidR="00265A61">
              <w:rPr>
                <w:rFonts w:ascii="Calibri" w:hAnsi="Calibri"/>
                <w:b/>
                <w:bCs/>
              </w:rPr>
              <w:t>7</w:t>
            </w:r>
          </w:p>
        </w:tc>
      </w:tr>
      <w:tr w:rsidR="00BE3195" w:rsidRPr="00BE3195" w:rsidTr="00BE3195">
        <w:trPr>
          <w:trHeight w:val="265"/>
        </w:trPr>
        <w:tc>
          <w:tcPr>
            <w:tcW w:w="2684" w:type="dxa"/>
            <w:shd w:val="clear" w:color="auto" w:fill="auto"/>
            <w:tcMar>
              <w:top w:w="72" w:type="dxa"/>
              <w:left w:w="144" w:type="dxa"/>
              <w:bottom w:w="72" w:type="dxa"/>
              <w:right w:w="144" w:type="dxa"/>
            </w:tcMar>
            <w:hideMark/>
          </w:tcPr>
          <w:p w:rsidR="00BE3195" w:rsidRPr="00BE3195" w:rsidRDefault="00B74B4C" w:rsidP="00BE3195">
            <w:pPr>
              <w:spacing w:after="0" w:line="240" w:lineRule="auto"/>
              <w:jc w:val="both"/>
              <w:rPr>
                <w:rFonts w:ascii="Calibri" w:hAnsi="Calibri"/>
                <w:b/>
              </w:rPr>
            </w:pPr>
            <w:r>
              <w:rPr>
                <w:rFonts w:ascii="Calibri" w:hAnsi="Calibri"/>
                <w:b/>
              </w:rPr>
              <w:t>F</w:t>
            </w:r>
            <w:r w:rsidR="00265A61">
              <w:rPr>
                <w:rFonts w:ascii="Calibri" w:hAnsi="Calibri"/>
                <w:b/>
              </w:rPr>
              <w:t>inalizace</w:t>
            </w:r>
            <w:r>
              <w:rPr>
                <w:rFonts w:ascii="Calibri" w:hAnsi="Calibri"/>
                <w:b/>
              </w:rPr>
              <w:t>/realizace</w:t>
            </w:r>
          </w:p>
        </w:tc>
        <w:tc>
          <w:tcPr>
            <w:tcW w:w="6128" w:type="dxa"/>
            <w:gridSpan w:val="2"/>
            <w:shd w:val="clear" w:color="auto" w:fill="auto"/>
            <w:tcMar>
              <w:top w:w="72" w:type="dxa"/>
              <w:left w:w="144" w:type="dxa"/>
              <w:bottom w:w="72" w:type="dxa"/>
              <w:right w:w="144" w:type="dxa"/>
            </w:tcMar>
            <w:hideMark/>
          </w:tcPr>
          <w:p w:rsidR="00BE3195" w:rsidRPr="00BE3195" w:rsidRDefault="00BE3195" w:rsidP="006B397E">
            <w:pPr>
              <w:spacing w:after="0" w:line="240" w:lineRule="auto"/>
              <w:jc w:val="both"/>
              <w:rPr>
                <w:rFonts w:ascii="Calibri" w:hAnsi="Calibri"/>
                <w:b/>
              </w:rPr>
            </w:pPr>
            <w:r>
              <w:rPr>
                <w:rFonts w:ascii="Calibri" w:hAnsi="Calibri"/>
                <w:b/>
                <w:bCs/>
              </w:rPr>
              <w:t>2</w:t>
            </w:r>
            <w:r w:rsidR="00265A61">
              <w:rPr>
                <w:rFonts w:ascii="Calibri" w:hAnsi="Calibri"/>
                <w:b/>
                <w:bCs/>
              </w:rPr>
              <w:t>7</w:t>
            </w:r>
          </w:p>
        </w:tc>
      </w:tr>
    </w:tbl>
    <w:p w:rsidR="00BE3195" w:rsidRDefault="00BE3195" w:rsidP="0099699B">
      <w:pPr>
        <w:jc w:val="both"/>
        <w:rPr>
          <w:rFonts w:ascii="Calibri" w:hAnsi="Calibri"/>
          <w:b/>
        </w:rPr>
      </w:pPr>
    </w:p>
    <w:p w:rsidR="0099699B" w:rsidRDefault="0099699B" w:rsidP="0099699B">
      <w:pPr>
        <w:pStyle w:val="Titulek"/>
        <w:spacing w:after="0"/>
      </w:pPr>
      <w:bookmarkStart w:id="4" w:name="_Toc508898589"/>
      <w:bookmarkStart w:id="5" w:name="_Toc21980558"/>
      <w:r w:rsidRPr="004523EB">
        <w:t xml:space="preserve">Tabulka </w:t>
      </w:r>
      <w:r w:rsidR="00D97B65">
        <w:rPr>
          <w:noProof/>
        </w:rPr>
        <w:fldChar w:fldCharType="begin"/>
      </w:r>
      <w:r w:rsidR="0069266A">
        <w:rPr>
          <w:noProof/>
        </w:rPr>
        <w:instrText xml:space="preserve"> SEQ Tabulka \* ARABIC </w:instrText>
      </w:r>
      <w:r w:rsidR="00D97B65">
        <w:rPr>
          <w:noProof/>
        </w:rPr>
        <w:fldChar w:fldCharType="separate"/>
      </w:r>
      <w:r w:rsidR="00FD2ED5">
        <w:rPr>
          <w:noProof/>
        </w:rPr>
        <w:t>2</w:t>
      </w:r>
      <w:r w:rsidR="00D97B65">
        <w:rPr>
          <w:noProof/>
        </w:rPr>
        <w:fldChar w:fldCharType="end"/>
      </w:r>
      <w:r w:rsidRPr="004523EB">
        <w:t xml:space="preserve"> – Přehled finančních zdrojů související</w:t>
      </w:r>
      <w:r w:rsidR="007E661E">
        <w:t>ch</w:t>
      </w:r>
      <w:r w:rsidRPr="004523EB">
        <w:t xml:space="preserve"> s realizací opatření</w:t>
      </w:r>
      <w:bookmarkEnd w:id="4"/>
      <w:bookmarkEnd w:id="5"/>
    </w:p>
    <w:tbl>
      <w:tblPr>
        <w:tblW w:w="9960" w:type="dxa"/>
        <w:jc w:val="center"/>
        <w:tblCellMar>
          <w:left w:w="70" w:type="dxa"/>
          <w:right w:w="70" w:type="dxa"/>
        </w:tblCellMar>
        <w:tblLook w:val="04A0"/>
      </w:tblPr>
      <w:tblGrid>
        <w:gridCol w:w="3120"/>
        <w:gridCol w:w="960"/>
        <w:gridCol w:w="2120"/>
        <w:gridCol w:w="1380"/>
        <w:gridCol w:w="1140"/>
        <w:gridCol w:w="1240"/>
      </w:tblGrid>
      <w:tr w:rsidR="005B7EDB" w:rsidRPr="005B7EDB" w:rsidTr="00F75778">
        <w:trPr>
          <w:trHeight w:val="1570"/>
          <w:jc w:val="center"/>
        </w:trPr>
        <w:tc>
          <w:tcPr>
            <w:tcW w:w="3120" w:type="dxa"/>
            <w:tcBorders>
              <w:top w:val="single" w:sz="8" w:space="0" w:color="auto"/>
              <w:left w:val="single" w:sz="8" w:space="0" w:color="auto"/>
              <w:bottom w:val="nil"/>
              <w:right w:val="single" w:sz="8" w:space="0" w:color="auto"/>
            </w:tcBorders>
            <w:shd w:val="clear" w:color="000000" w:fill="F2F2F2"/>
            <w:vAlign w:val="center"/>
            <w:hideMark/>
          </w:tcPr>
          <w:p w:rsidR="005B7EDB" w:rsidRPr="005B7EDB" w:rsidRDefault="005B7EDB" w:rsidP="005B7EDB">
            <w:pPr>
              <w:spacing w:after="0" w:line="240" w:lineRule="auto"/>
              <w:jc w:val="center"/>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Popis k 30.9.2019</w:t>
            </w:r>
          </w:p>
        </w:tc>
        <w:tc>
          <w:tcPr>
            <w:tcW w:w="960" w:type="dxa"/>
            <w:tcBorders>
              <w:top w:val="single" w:sz="8" w:space="0" w:color="auto"/>
              <w:left w:val="nil"/>
              <w:bottom w:val="nil"/>
              <w:right w:val="single" w:sz="8" w:space="0" w:color="auto"/>
            </w:tcBorders>
            <w:shd w:val="clear" w:color="000000" w:fill="F2F2F2"/>
            <w:vAlign w:val="center"/>
            <w:hideMark/>
          </w:tcPr>
          <w:p w:rsidR="005B7EDB" w:rsidRPr="005B7EDB" w:rsidRDefault="005B7EDB" w:rsidP="005B7EDB">
            <w:pPr>
              <w:spacing w:after="0" w:line="240" w:lineRule="auto"/>
              <w:jc w:val="center"/>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Alokace daného opatření v mil. Kč</w:t>
            </w:r>
          </w:p>
        </w:tc>
        <w:tc>
          <w:tcPr>
            <w:tcW w:w="2120" w:type="dxa"/>
            <w:tcBorders>
              <w:top w:val="single" w:sz="8" w:space="0" w:color="auto"/>
              <w:left w:val="nil"/>
              <w:bottom w:val="nil"/>
              <w:right w:val="single" w:sz="8" w:space="0" w:color="auto"/>
            </w:tcBorders>
            <w:shd w:val="clear" w:color="000000" w:fill="F2F2F2"/>
            <w:vAlign w:val="center"/>
            <w:hideMark/>
          </w:tcPr>
          <w:p w:rsidR="005B7EDB" w:rsidRPr="005B7EDB" w:rsidRDefault="005B7EDB" w:rsidP="005B7EDB">
            <w:pPr>
              <w:spacing w:after="0" w:line="240" w:lineRule="auto"/>
              <w:jc w:val="center"/>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Již bylo přiřazeno ke konkrétním projektům v mil. Kč v roce 2017-2018</w:t>
            </w:r>
          </w:p>
        </w:tc>
        <w:tc>
          <w:tcPr>
            <w:tcW w:w="1380" w:type="dxa"/>
            <w:tcBorders>
              <w:top w:val="single" w:sz="8" w:space="0" w:color="auto"/>
              <w:left w:val="nil"/>
              <w:bottom w:val="nil"/>
              <w:right w:val="single" w:sz="8" w:space="0" w:color="auto"/>
            </w:tcBorders>
            <w:shd w:val="clear" w:color="000000" w:fill="F2F2F2"/>
            <w:vAlign w:val="center"/>
            <w:hideMark/>
          </w:tcPr>
          <w:p w:rsidR="005B7EDB" w:rsidRPr="005B7EDB" w:rsidRDefault="005B7EDB" w:rsidP="005B7EDB">
            <w:pPr>
              <w:spacing w:after="0" w:line="240" w:lineRule="auto"/>
              <w:jc w:val="center"/>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Již bylo přiřazeno ke konkrétním projektům v mil. Kč v roce 2019</w:t>
            </w:r>
            <w:r w:rsidR="007E215A">
              <w:rPr>
                <w:rFonts w:ascii="Calibri" w:eastAsia="Times New Roman" w:hAnsi="Calibri" w:cs="Calibri"/>
                <w:b/>
                <w:bCs/>
                <w:color w:val="000000"/>
                <w:sz w:val="20"/>
                <w:szCs w:val="20"/>
                <w:lang w:eastAsia="cs-CZ"/>
              </w:rPr>
              <w:t xml:space="preserve"> (včetně realokací – zásobníky IROP)</w:t>
            </w:r>
          </w:p>
        </w:tc>
        <w:tc>
          <w:tcPr>
            <w:tcW w:w="1140" w:type="dxa"/>
            <w:tcBorders>
              <w:top w:val="single" w:sz="8" w:space="0" w:color="auto"/>
              <w:left w:val="nil"/>
              <w:bottom w:val="nil"/>
              <w:right w:val="single" w:sz="8" w:space="0" w:color="auto"/>
            </w:tcBorders>
            <w:shd w:val="clear" w:color="000000" w:fill="F2F2F2"/>
            <w:vAlign w:val="center"/>
            <w:hideMark/>
          </w:tcPr>
          <w:p w:rsidR="005B7EDB" w:rsidRPr="005B7EDB" w:rsidRDefault="005B7EDB" w:rsidP="005B7EDB">
            <w:pPr>
              <w:spacing w:after="0" w:line="240" w:lineRule="auto"/>
              <w:jc w:val="center"/>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 xml:space="preserve">Výzvy s vyhlášením v roce 2019 </w:t>
            </w:r>
          </w:p>
        </w:tc>
        <w:tc>
          <w:tcPr>
            <w:tcW w:w="1240" w:type="dxa"/>
            <w:tcBorders>
              <w:top w:val="single" w:sz="8" w:space="0" w:color="auto"/>
              <w:left w:val="nil"/>
              <w:bottom w:val="nil"/>
              <w:right w:val="single" w:sz="8" w:space="0" w:color="auto"/>
            </w:tcBorders>
            <w:shd w:val="clear" w:color="000000" w:fill="F2F2F2"/>
            <w:vAlign w:val="center"/>
            <w:hideMark/>
          </w:tcPr>
          <w:p w:rsidR="005B7EDB" w:rsidRPr="005B7EDB" w:rsidRDefault="005B7EDB" w:rsidP="005B7EDB">
            <w:pPr>
              <w:spacing w:after="0" w:line="240" w:lineRule="auto"/>
              <w:jc w:val="center"/>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Celková zbývající alokace opatření v mil. Kč na 2020+</w:t>
            </w:r>
          </w:p>
        </w:tc>
      </w:tr>
      <w:tr w:rsidR="00DF0939" w:rsidRPr="005B7EDB" w:rsidTr="000761E9">
        <w:trPr>
          <w:trHeight w:val="270"/>
          <w:jc w:val="center"/>
        </w:trPr>
        <w:tc>
          <w:tcPr>
            <w:tcW w:w="31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DF0939" w:rsidRPr="005B7EDB" w:rsidRDefault="00DF0939" w:rsidP="00DF0939">
            <w:pPr>
              <w:spacing w:after="0" w:line="240" w:lineRule="auto"/>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Realizovaných</w:t>
            </w:r>
            <w:r>
              <w:rPr>
                <w:rFonts w:ascii="Calibri" w:eastAsia="Times New Roman" w:hAnsi="Calibri" w:cs="Calibri"/>
                <w:b/>
                <w:bCs/>
                <w:color w:val="000000"/>
                <w:sz w:val="20"/>
                <w:szCs w:val="20"/>
                <w:lang w:eastAsia="cs-CZ"/>
              </w:rPr>
              <w:t>/</w:t>
            </w:r>
            <w:proofErr w:type="spellStart"/>
            <w:r>
              <w:rPr>
                <w:rFonts w:ascii="Calibri" w:eastAsia="Times New Roman" w:hAnsi="Calibri" w:cs="Calibri"/>
                <w:b/>
                <w:bCs/>
                <w:color w:val="000000"/>
                <w:sz w:val="20"/>
                <w:szCs w:val="20"/>
                <w:lang w:eastAsia="cs-CZ"/>
              </w:rPr>
              <w:t>finalizovaných</w:t>
            </w:r>
            <w:proofErr w:type="spellEnd"/>
            <w:r w:rsidRPr="005B7EDB">
              <w:rPr>
                <w:rFonts w:ascii="Calibri" w:eastAsia="Times New Roman" w:hAnsi="Calibri" w:cs="Calibri"/>
                <w:b/>
                <w:bCs/>
                <w:color w:val="000000"/>
                <w:sz w:val="20"/>
                <w:szCs w:val="20"/>
                <w:lang w:eastAsia="cs-CZ"/>
              </w:rPr>
              <w:t xml:space="preserve"> 2</w:t>
            </w:r>
            <w:r>
              <w:rPr>
                <w:rFonts w:ascii="Calibri" w:eastAsia="Times New Roman" w:hAnsi="Calibri" w:cs="Calibri"/>
                <w:b/>
                <w:bCs/>
                <w:color w:val="000000"/>
                <w:sz w:val="20"/>
                <w:szCs w:val="20"/>
                <w:lang w:eastAsia="cs-CZ"/>
              </w:rPr>
              <w:t>7</w:t>
            </w:r>
            <w:r w:rsidRPr="005B7EDB">
              <w:rPr>
                <w:rFonts w:ascii="Calibri" w:eastAsia="Times New Roman" w:hAnsi="Calibri" w:cs="Calibri"/>
                <w:b/>
                <w:bCs/>
                <w:color w:val="000000"/>
                <w:sz w:val="20"/>
                <w:szCs w:val="20"/>
                <w:lang w:eastAsia="cs-CZ"/>
              </w:rPr>
              <w:t xml:space="preserve"> opatření celkem</w:t>
            </w:r>
          </w:p>
        </w:tc>
        <w:tc>
          <w:tcPr>
            <w:tcW w:w="960" w:type="dxa"/>
            <w:tcBorders>
              <w:top w:val="single" w:sz="8" w:space="0" w:color="auto"/>
              <w:left w:val="nil"/>
              <w:bottom w:val="single" w:sz="8" w:space="0" w:color="auto"/>
              <w:right w:val="single" w:sz="8" w:space="0" w:color="auto"/>
            </w:tcBorders>
            <w:shd w:val="clear" w:color="auto" w:fill="auto"/>
            <w:noWrap/>
            <w:hideMark/>
          </w:tcPr>
          <w:p w:rsidR="00DF0939" w:rsidRPr="005B7EDB" w:rsidRDefault="00DF0939" w:rsidP="00DF0939">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26 317</w:t>
            </w:r>
          </w:p>
        </w:tc>
        <w:tc>
          <w:tcPr>
            <w:tcW w:w="2120" w:type="dxa"/>
            <w:tcBorders>
              <w:top w:val="single" w:sz="8" w:space="0" w:color="auto"/>
              <w:left w:val="nil"/>
              <w:bottom w:val="single" w:sz="8" w:space="0" w:color="auto"/>
              <w:right w:val="single" w:sz="8" w:space="0" w:color="auto"/>
            </w:tcBorders>
            <w:shd w:val="clear" w:color="auto" w:fill="auto"/>
            <w:noWrap/>
            <w:hideMark/>
          </w:tcPr>
          <w:p w:rsidR="00DF0939" w:rsidRPr="005B7EDB" w:rsidRDefault="00DF0939" w:rsidP="007E215A">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6 7</w:t>
            </w:r>
            <w:r w:rsidR="007E215A">
              <w:rPr>
                <w:rFonts w:ascii="Calibri" w:hAnsi="Calibri" w:cs="Calibri"/>
                <w:color w:val="000000"/>
                <w:sz w:val="20"/>
                <w:szCs w:val="20"/>
              </w:rPr>
              <w:t>8</w:t>
            </w:r>
            <w:r>
              <w:rPr>
                <w:rFonts w:ascii="Calibri" w:hAnsi="Calibri" w:cs="Calibri"/>
                <w:color w:val="000000"/>
                <w:sz w:val="20"/>
                <w:szCs w:val="20"/>
              </w:rPr>
              <w:t>1</w:t>
            </w:r>
          </w:p>
        </w:tc>
        <w:tc>
          <w:tcPr>
            <w:tcW w:w="1380" w:type="dxa"/>
            <w:tcBorders>
              <w:top w:val="single" w:sz="8" w:space="0" w:color="auto"/>
              <w:left w:val="nil"/>
              <w:bottom w:val="single" w:sz="8" w:space="0" w:color="auto"/>
              <w:right w:val="single" w:sz="8" w:space="0" w:color="auto"/>
            </w:tcBorders>
            <w:shd w:val="clear" w:color="auto" w:fill="auto"/>
            <w:noWrap/>
            <w:hideMark/>
          </w:tcPr>
          <w:p w:rsidR="00DF0939" w:rsidRDefault="007E215A" w:rsidP="00DF0939">
            <w:pPr>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6B397E">
              <w:rPr>
                <w:rFonts w:ascii="Calibri" w:hAnsi="Calibri" w:cs="Calibri"/>
                <w:color w:val="000000"/>
                <w:sz w:val="20"/>
                <w:szCs w:val="20"/>
              </w:rPr>
              <w:t>155</w:t>
            </w:r>
          </w:p>
          <w:p w:rsidR="007E215A" w:rsidRPr="005B7EDB" w:rsidRDefault="007E215A" w:rsidP="00DF0939">
            <w:pPr>
              <w:spacing w:after="0" w:line="240" w:lineRule="auto"/>
              <w:jc w:val="right"/>
              <w:rPr>
                <w:rFonts w:ascii="Calibri" w:eastAsia="Times New Roman" w:hAnsi="Calibri" w:cs="Calibri"/>
                <w:color w:val="000000"/>
                <w:sz w:val="20"/>
                <w:szCs w:val="20"/>
                <w:lang w:eastAsia="cs-CZ"/>
              </w:rPr>
            </w:pPr>
          </w:p>
        </w:tc>
        <w:tc>
          <w:tcPr>
            <w:tcW w:w="1140" w:type="dxa"/>
            <w:tcBorders>
              <w:top w:val="single" w:sz="8" w:space="0" w:color="auto"/>
              <w:left w:val="nil"/>
              <w:bottom w:val="single" w:sz="8" w:space="0" w:color="auto"/>
              <w:right w:val="single" w:sz="8" w:space="0" w:color="auto"/>
            </w:tcBorders>
            <w:shd w:val="clear" w:color="auto" w:fill="auto"/>
            <w:noWrap/>
            <w:hideMark/>
          </w:tcPr>
          <w:p w:rsidR="00DF0939" w:rsidRPr="005B7EDB" w:rsidRDefault="00DF0939" w:rsidP="000761E9">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 xml:space="preserve">6 </w:t>
            </w:r>
            <w:r w:rsidR="000761E9">
              <w:rPr>
                <w:rFonts w:ascii="Calibri" w:hAnsi="Calibri" w:cs="Calibri"/>
                <w:color w:val="000000"/>
                <w:sz w:val="20"/>
                <w:szCs w:val="20"/>
              </w:rPr>
              <w:t>3</w:t>
            </w:r>
            <w:r>
              <w:rPr>
                <w:rFonts w:ascii="Calibri" w:hAnsi="Calibri" w:cs="Calibri"/>
                <w:color w:val="000000"/>
                <w:sz w:val="20"/>
                <w:szCs w:val="20"/>
              </w:rPr>
              <w:t>58</w:t>
            </w:r>
          </w:p>
        </w:tc>
        <w:tc>
          <w:tcPr>
            <w:tcW w:w="1240" w:type="dxa"/>
            <w:tcBorders>
              <w:top w:val="single" w:sz="8" w:space="0" w:color="auto"/>
              <w:left w:val="nil"/>
              <w:bottom w:val="single" w:sz="8" w:space="0" w:color="auto"/>
              <w:right w:val="single" w:sz="8" w:space="0" w:color="auto"/>
            </w:tcBorders>
            <w:shd w:val="clear" w:color="auto" w:fill="auto"/>
            <w:noWrap/>
            <w:hideMark/>
          </w:tcPr>
          <w:p w:rsidR="00DF0939" w:rsidRPr="005B7EDB" w:rsidRDefault="00DF0939" w:rsidP="007E215A">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 xml:space="preserve">11 </w:t>
            </w:r>
            <w:r w:rsidR="007E215A">
              <w:rPr>
                <w:rFonts w:ascii="Calibri" w:hAnsi="Calibri" w:cs="Calibri"/>
                <w:color w:val="000000"/>
                <w:sz w:val="20"/>
                <w:szCs w:val="20"/>
              </w:rPr>
              <w:t>190</w:t>
            </w:r>
          </w:p>
        </w:tc>
      </w:tr>
      <w:tr w:rsidR="00DF0939" w:rsidRPr="005B7EDB" w:rsidTr="000761E9">
        <w:trPr>
          <w:trHeight w:val="270"/>
          <w:jc w:val="center"/>
        </w:trPr>
        <w:tc>
          <w:tcPr>
            <w:tcW w:w="3120" w:type="dxa"/>
            <w:tcBorders>
              <w:top w:val="nil"/>
              <w:left w:val="single" w:sz="8" w:space="0" w:color="auto"/>
              <w:bottom w:val="single" w:sz="8" w:space="0" w:color="auto"/>
              <w:right w:val="single" w:sz="8" w:space="0" w:color="auto"/>
            </w:tcBorders>
            <w:shd w:val="clear" w:color="000000" w:fill="F2F2F2"/>
            <w:vAlign w:val="center"/>
            <w:hideMark/>
          </w:tcPr>
          <w:p w:rsidR="00DF0939" w:rsidRPr="005B7EDB" w:rsidRDefault="00DF0939" w:rsidP="00DF0939">
            <w:pPr>
              <w:spacing w:after="0" w:line="240" w:lineRule="auto"/>
              <w:rPr>
                <w:rFonts w:ascii="Calibri" w:eastAsia="Times New Roman" w:hAnsi="Calibri" w:cs="Calibri"/>
                <w:b/>
                <w:bCs/>
                <w:color w:val="000000"/>
                <w:sz w:val="20"/>
                <w:szCs w:val="20"/>
                <w:lang w:eastAsia="cs-CZ"/>
              </w:rPr>
            </w:pPr>
            <w:r w:rsidRPr="005B7EDB">
              <w:rPr>
                <w:rFonts w:ascii="Calibri" w:eastAsia="Times New Roman" w:hAnsi="Calibri" w:cs="Calibri"/>
                <w:b/>
                <w:bCs/>
                <w:color w:val="000000"/>
                <w:sz w:val="20"/>
                <w:szCs w:val="20"/>
                <w:lang w:eastAsia="cs-CZ"/>
              </w:rPr>
              <w:t>Z toho I. G.1.1</w:t>
            </w:r>
            <w:r>
              <w:rPr>
                <w:rFonts w:ascii="Calibri" w:eastAsia="Times New Roman" w:hAnsi="Calibri" w:cs="Calibri"/>
                <w:b/>
                <w:bCs/>
                <w:color w:val="000000"/>
                <w:sz w:val="20"/>
                <w:szCs w:val="20"/>
                <w:lang w:eastAsia="cs-CZ"/>
              </w:rPr>
              <w:t xml:space="preserve"> (dálnice a silnice I.třídy)</w:t>
            </w:r>
            <w:r>
              <w:rPr>
                <w:rStyle w:val="Znakapoznpodarou"/>
                <w:rFonts w:ascii="Calibri" w:eastAsia="Times New Roman" w:hAnsi="Calibri" w:cs="Calibri"/>
                <w:b/>
                <w:bCs/>
                <w:color w:val="000000"/>
                <w:sz w:val="20"/>
                <w:szCs w:val="20"/>
                <w:lang w:eastAsia="cs-CZ"/>
              </w:rPr>
              <w:footnoteReference w:id="1"/>
            </w:r>
          </w:p>
        </w:tc>
        <w:tc>
          <w:tcPr>
            <w:tcW w:w="960" w:type="dxa"/>
            <w:tcBorders>
              <w:top w:val="nil"/>
              <w:left w:val="nil"/>
              <w:bottom w:val="single" w:sz="8" w:space="0" w:color="auto"/>
              <w:right w:val="single" w:sz="8" w:space="0" w:color="auto"/>
            </w:tcBorders>
            <w:shd w:val="clear" w:color="auto" w:fill="auto"/>
            <w:noWrap/>
            <w:hideMark/>
          </w:tcPr>
          <w:p w:rsidR="00DF0939" w:rsidRPr="005B7EDB" w:rsidRDefault="00DF0939" w:rsidP="00DF0939">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11 300</w:t>
            </w:r>
          </w:p>
        </w:tc>
        <w:tc>
          <w:tcPr>
            <w:tcW w:w="2120" w:type="dxa"/>
            <w:tcBorders>
              <w:top w:val="nil"/>
              <w:left w:val="nil"/>
              <w:bottom w:val="single" w:sz="8" w:space="0" w:color="auto"/>
              <w:right w:val="single" w:sz="8" w:space="0" w:color="auto"/>
            </w:tcBorders>
            <w:shd w:val="clear" w:color="auto" w:fill="auto"/>
            <w:hideMark/>
          </w:tcPr>
          <w:p w:rsidR="00DF0939" w:rsidRPr="005B7EDB" w:rsidRDefault="00DF0939" w:rsidP="00DF0939">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3 986</w:t>
            </w:r>
          </w:p>
        </w:tc>
        <w:tc>
          <w:tcPr>
            <w:tcW w:w="1380" w:type="dxa"/>
            <w:tcBorders>
              <w:top w:val="nil"/>
              <w:left w:val="nil"/>
              <w:bottom w:val="single" w:sz="8" w:space="0" w:color="auto"/>
              <w:right w:val="single" w:sz="8" w:space="0" w:color="auto"/>
            </w:tcBorders>
            <w:shd w:val="clear" w:color="auto" w:fill="auto"/>
            <w:hideMark/>
          </w:tcPr>
          <w:p w:rsidR="00DF0939" w:rsidRPr="005B7EDB" w:rsidRDefault="00DF0939" w:rsidP="00DF0939">
            <w:pPr>
              <w:spacing w:after="0" w:line="240" w:lineRule="auto"/>
              <w:jc w:val="right"/>
              <w:rPr>
                <w:rFonts w:ascii="Calibri" w:eastAsia="Times New Roman" w:hAnsi="Calibri" w:cs="Calibri"/>
                <w:color w:val="000000"/>
                <w:sz w:val="20"/>
                <w:szCs w:val="20"/>
                <w:lang w:eastAsia="cs-CZ"/>
              </w:rPr>
            </w:pPr>
          </w:p>
        </w:tc>
        <w:tc>
          <w:tcPr>
            <w:tcW w:w="1140" w:type="dxa"/>
            <w:tcBorders>
              <w:top w:val="nil"/>
              <w:left w:val="nil"/>
              <w:bottom w:val="single" w:sz="8" w:space="0" w:color="auto"/>
              <w:right w:val="single" w:sz="8" w:space="0" w:color="auto"/>
            </w:tcBorders>
            <w:shd w:val="clear" w:color="auto" w:fill="auto"/>
            <w:hideMark/>
          </w:tcPr>
          <w:p w:rsidR="00DF0939" w:rsidRPr="005B7EDB" w:rsidRDefault="00DF0939" w:rsidP="00DF0939">
            <w:pPr>
              <w:spacing w:after="0" w:line="240" w:lineRule="auto"/>
              <w:jc w:val="right"/>
              <w:rPr>
                <w:rFonts w:ascii="Calibri" w:eastAsia="Times New Roman" w:hAnsi="Calibri" w:cs="Calibri"/>
                <w:color w:val="000000"/>
                <w:sz w:val="20"/>
                <w:szCs w:val="20"/>
                <w:lang w:eastAsia="cs-CZ"/>
              </w:rPr>
            </w:pPr>
          </w:p>
        </w:tc>
        <w:tc>
          <w:tcPr>
            <w:tcW w:w="1240" w:type="dxa"/>
            <w:tcBorders>
              <w:top w:val="nil"/>
              <w:left w:val="nil"/>
              <w:bottom w:val="single" w:sz="8" w:space="0" w:color="auto"/>
              <w:right w:val="single" w:sz="8" w:space="0" w:color="auto"/>
            </w:tcBorders>
            <w:shd w:val="clear" w:color="auto" w:fill="auto"/>
            <w:noWrap/>
            <w:hideMark/>
          </w:tcPr>
          <w:p w:rsidR="00DF0939" w:rsidRPr="005B7EDB" w:rsidRDefault="00DF0939" w:rsidP="00DF0939">
            <w:pPr>
              <w:spacing w:after="0" w:line="240" w:lineRule="auto"/>
              <w:jc w:val="right"/>
              <w:rPr>
                <w:rFonts w:ascii="Calibri" w:eastAsia="Times New Roman" w:hAnsi="Calibri" w:cs="Calibri"/>
                <w:color w:val="000000"/>
                <w:sz w:val="20"/>
                <w:szCs w:val="20"/>
                <w:lang w:eastAsia="cs-CZ"/>
              </w:rPr>
            </w:pPr>
            <w:r>
              <w:rPr>
                <w:rFonts w:ascii="Calibri" w:hAnsi="Calibri" w:cs="Calibri"/>
                <w:color w:val="000000"/>
                <w:sz w:val="20"/>
                <w:szCs w:val="20"/>
              </w:rPr>
              <w:t>7 314</w:t>
            </w:r>
          </w:p>
        </w:tc>
      </w:tr>
    </w:tbl>
    <w:p w:rsidR="00555426" w:rsidRDefault="00F75778" w:rsidP="0052733A">
      <w:pPr>
        <w:jc w:val="both"/>
        <w:rPr>
          <w:rFonts w:ascii="Calibri" w:hAnsi="Calibri"/>
        </w:rPr>
      </w:pPr>
      <w:r w:rsidRPr="00555426">
        <w:rPr>
          <w:rFonts w:ascii="Calibri" w:hAnsi="Calibri"/>
          <w:b/>
        </w:rPr>
        <w:lastRenderedPageBreak/>
        <w:t>V roce 2019 byly podpořeny konkrétní projekty</w:t>
      </w:r>
      <w:r>
        <w:rPr>
          <w:rFonts w:ascii="Calibri" w:hAnsi="Calibri"/>
        </w:rPr>
        <w:t xml:space="preserve"> v programu Demolice budov v</w:t>
      </w:r>
      <w:r w:rsidR="00C86248">
        <w:rPr>
          <w:rFonts w:ascii="Calibri" w:hAnsi="Calibri"/>
        </w:rPr>
        <w:t> </w:t>
      </w:r>
      <w:r w:rsidR="005A5670">
        <w:rPr>
          <w:rFonts w:ascii="Calibri" w:hAnsi="Calibri"/>
        </w:rPr>
        <w:t>s</w:t>
      </w:r>
      <w:r w:rsidR="00C86248">
        <w:rPr>
          <w:rFonts w:ascii="Calibri" w:hAnsi="Calibri"/>
        </w:rPr>
        <w:t>ociálně vyloučených lokalitách</w:t>
      </w:r>
      <w:r w:rsidR="00F20DF0">
        <w:rPr>
          <w:rFonts w:ascii="Calibri" w:hAnsi="Calibri"/>
        </w:rPr>
        <w:t xml:space="preserve"> (MMR)</w:t>
      </w:r>
      <w:r w:rsidR="00C86248">
        <w:rPr>
          <w:rFonts w:ascii="Calibri" w:hAnsi="Calibri"/>
        </w:rPr>
        <w:t xml:space="preserve"> a dále z programu </w:t>
      </w:r>
      <w:r w:rsidR="00C86248" w:rsidRPr="00C86248">
        <w:rPr>
          <w:rFonts w:ascii="Calibri" w:hAnsi="Calibri"/>
        </w:rPr>
        <w:t xml:space="preserve">OP ŽP - výzva č. 136 - </w:t>
      </w:r>
      <w:r w:rsidR="00F20DF0" w:rsidRPr="00F20DF0">
        <w:rPr>
          <w:rFonts w:ascii="Calibri" w:hAnsi="Calibri"/>
        </w:rPr>
        <w:t>Snížit emise stacionárních zdrojů</w:t>
      </w:r>
      <w:r w:rsidR="007E215A">
        <w:rPr>
          <w:rFonts w:ascii="Calibri" w:hAnsi="Calibri"/>
        </w:rPr>
        <w:t>,</w:t>
      </w:r>
      <w:r w:rsidR="00F20DF0" w:rsidRPr="00F20DF0">
        <w:rPr>
          <w:rFonts w:ascii="Calibri" w:hAnsi="Calibri"/>
        </w:rPr>
        <w:t xml:space="preserve"> podílející se na expozici obyvatelstva nadlimitní koncentrací znečišťujících látek v uhelných regionech</w:t>
      </w:r>
      <w:r w:rsidR="00C86248">
        <w:rPr>
          <w:rFonts w:ascii="Calibri" w:hAnsi="Calibri"/>
        </w:rPr>
        <w:t xml:space="preserve">. </w:t>
      </w:r>
      <w:r w:rsidR="007E215A">
        <w:rPr>
          <w:rFonts w:ascii="Calibri" w:hAnsi="Calibri"/>
        </w:rPr>
        <w:t>Dále také</w:t>
      </w:r>
      <w:r w:rsidR="005A5670">
        <w:rPr>
          <w:rFonts w:ascii="Calibri" w:hAnsi="Calibri"/>
        </w:rPr>
        <w:t xml:space="preserve"> v rámci</w:t>
      </w:r>
      <w:r w:rsidR="007E215A">
        <w:rPr>
          <w:rFonts w:ascii="Calibri" w:hAnsi="Calibri"/>
        </w:rPr>
        <w:t xml:space="preserve"> realokace v programu IROP týkající se zásobníků již uzavřených výzev a podpory projektů ze strukturálně postižených regionů.</w:t>
      </w:r>
    </w:p>
    <w:p w:rsidR="00265A61" w:rsidRPr="00F75778" w:rsidRDefault="00E81BA8" w:rsidP="0052733A">
      <w:pPr>
        <w:jc w:val="both"/>
        <w:rPr>
          <w:rFonts w:ascii="Calibri" w:hAnsi="Calibri"/>
        </w:rPr>
      </w:pPr>
      <w:r>
        <w:rPr>
          <w:rFonts w:ascii="Calibri" w:hAnsi="Calibri"/>
          <w:b/>
        </w:rPr>
        <w:t>V</w:t>
      </w:r>
      <w:r w:rsidR="00C86248" w:rsidRPr="00555426">
        <w:rPr>
          <w:rFonts w:ascii="Calibri" w:hAnsi="Calibri"/>
          <w:b/>
        </w:rPr>
        <w:t>yhlášen</w:t>
      </w:r>
      <w:r>
        <w:rPr>
          <w:rFonts w:ascii="Calibri" w:hAnsi="Calibri"/>
          <w:b/>
        </w:rPr>
        <w:t xml:space="preserve">é a plánované výzvy pro rok </w:t>
      </w:r>
      <w:r w:rsidR="00C86248" w:rsidRPr="00555426">
        <w:rPr>
          <w:rFonts w:ascii="Calibri" w:hAnsi="Calibri"/>
          <w:b/>
        </w:rPr>
        <w:t>2019</w:t>
      </w:r>
      <w:r w:rsidR="00C86248">
        <w:rPr>
          <w:rFonts w:ascii="Calibri" w:hAnsi="Calibri"/>
        </w:rPr>
        <w:t xml:space="preserve"> </w:t>
      </w:r>
      <w:r>
        <w:rPr>
          <w:rFonts w:ascii="Calibri" w:hAnsi="Calibri"/>
        </w:rPr>
        <w:t xml:space="preserve">uvádíme níže v přehledu aktuálně dostupných a připravovaných výzev (str. 6 -7). </w:t>
      </w:r>
      <w:r w:rsidR="00C86248">
        <w:rPr>
          <w:rFonts w:ascii="Calibri" w:hAnsi="Calibri"/>
        </w:rPr>
        <w:t xml:space="preserve"> </w:t>
      </w:r>
    </w:p>
    <w:p w:rsidR="0052733A" w:rsidRPr="004F6019" w:rsidRDefault="0052733A" w:rsidP="00FA4A66">
      <w:pPr>
        <w:jc w:val="both"/>
        <w:rPr>
          <w:i/>
        </w:rPr>
      </w:pPr>
    </w:p>
    <w:p w:rsidR="00FA3B43" w:rsidRPr="00EC04C8" w:rsidRDefault="00FA3B43" w:rsidP="00FA3B43">
      <w:pPr>
        <w:shd w:val="clear" w:color="auto" w:fill="EDEDED" w:themeFill="accent3" w:themeFillTint="33"/>
        <w:jc w:val="both"/>
        <w:rPr>
          <w:rFonts w:ascii="Calibri" w:hAnsi="Calibri"/>
          <w:b/>
        </w:rPr>
      </w:pPr>
      <w:r w:rsidRPr="00EC04C8">
        <w:rPr>
          <w:rFonts w:ascii="Calibri" w:hAnsi="Calibri"/>
          <w:b/>
        </w:rPr>
        <w:t>Výčet 2</w:t>
      </w:r>
      <w:r w:rsidR="00390EDF">
        <w:rPr>
          <w:rFonts w:ascii="Calibri" w:hAnsi="Calibri"/>
          <w:b/>
        </w:rPr>
        <w:t xml:space="preserve">7 </w:t>
      </w:r>
      <w:r w:rsidRPr="00EC04C8">
        <w:rPr>
          <w:rFonts w:ascii="Calibri" w:hAnsi="Calibri"/>
          <w:b/>
        </w:rPr>
        <w:t>opatření, jež lze označit za splněné či v</w:t>
      </w:r>
      <w:r>
        <w:rPr>
          <w:rFonts w:ascii="Calibri" w:hAnsi="Calibri"/>
          <w:b/>
        </w:rPr>
        <w:t xml:space="preserve"> probíhající</w:t>
      </w:r>
      <w:r w:rsidRPr="00EC04C8">
        <w:rPr>
          <w:rFonts w:ascii="Calibri" w:hAnsi="Calibri"/>
          <w:b/>
        </w:rPr>
        <w:t xml:space="preserve"> realizaci: </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I.B.2.1</w:t>
      </w:r>
      <w:r w:rsidRPr="00B322F9">
        <w:rPr>
          <w:rFonts w:ascii="Calibri" w:hAnsi="Calibri"/>
          <w:b/>
        </w:rPr>
        <w:tab/>
        <w:t>Program na regeneraci a podnikatelské využití brownfieldů vč. navýšení alokace tohoto programu</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I.C.1.3</w:t>
      </w:r>
      <w:r w:rsidRPr="00B322F9">
        <w:rPr>
          <w:rFonts w:ascii="Calibri" w:hAnsi="Calibri"/>
          <w:b/>
        </w:rPr>
        <w:tab/>
        <w:t>Podpora bilaterární a multilaterální spolupráce v aplikovaném výzkumu (program EPSILON)</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I.C.1.9</w:t>
      </w:r>
      <w:r w:rsidRPr="00B322F9">
        <w:rPr>
          <w:rFonts w:ascii="Calibri" w:hAnsi="Calibri"/>
          <w:b/>
        </w:rPr>
        <w:tab/>
        <w:t>Vytvoření Národní inovační platformy pro chemii (NIP VIII. Chemie)</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I.C.2.1</w:t>
      </w:r>
      <w:r w:rsidRPr="00B322F9">
        <w:rPr>
          <w:rFonts w:ascii="Calibri" w:hAnsi="Calibri"/>
          <w:b/>
        </w:rPr>
        <w:tab/>
        <w:t>Program na podporu aplikovaného společenskovědního a humanitního výzkumu, experimentálního vývoje a inovací (program ÉTA)</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I.C.2.3</w:t>
      </w:r>
      <w:r w:rsidRPr="00B322F9">
        <w:rPr>
          <w:rFonts w:ascii="Calibri" w:hAnsi="Calibri"/>
          <w:b/>
        </w:rPr>
        <w:tab/>
        <w:t>Program získávání expertů pro krajskou VaV excelenci</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I.C.2.5</w:t>
      </w:r>
      <w:r w:rsidRPr="00B322F9">
        <w:rPr>
          <w:rFonts w:ascii="Calibri" w:hAnsi="Calibri"/>
          <w:b/>
        </w:rPr>
        <w:tab/>
        <w:t>Testování autonomních silničních vozidel v reálném (nebo téměř reálném) silničním provozu města Ústí nad Labem - U "SMART" ZONE</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I.D.1.3</w:t>
      </w:r>
      <w:r w:rsidRPr="00B322F9">
        <w:rPr>
          <w:rFonts w:ascii="Calibri" w:hAnsi="Calibri"/>
          <w:b/>
        </w:rPr>
        <w:tab/>
        <w:t>Cílené komplementární výzvy z Operačního programu Výzkum, vývoj a vzdělávání pro VŠ ve strukturálně postižených regionech</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I.D.2.4</w:t>
      </w:r>
      <w:r w:rsidRPr="00B322F9">
        <w:rPr>
          <w:rFonts w:ascii="Calibri" w:hAnsi="Calibri"/>
          <w:b/>
        </w:rPr>
        <w:tab/>
        <w:t>Rozvoj predikčního systému trhu práce prostřednictvím projektu KOMPAS</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I.D.2.6</w:t>
      </w:r>
      <w:r w:rsidRPr="00B322F9">
        <w:rPr>
          <w:rFonts w:ascii="Calibri" w:hAnsi="Calibri"/>
          <w:b/>
        </w:rPr>
        <w:tab/>
        <w:t>Intenzivní využívání NSP v činnosti ÚP ČR (zprostředkování, poradenství, rekvalifikace)</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I.D.2.7</w:t>
      </w:r>
      <w:r w:rsidRPr="00B322F9">
        <w:rPr>
          <w:rFonts w:ascii="Calibri" w:hAnsi="Calibri"/>
          <w:b/>
        </w:rPr>
        <w:tab/>
        <w:t>V souladu se zákonnými postupy při zadávání veřejných zakázek bude ÚP ČR při výběru dodavatelů poradenských služeb akceptovat nabídky a aktivně oslovovat řemeslné inkubátory</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I.D.2.8</w:t>
      </w:r>
      <w:r w:rsidRPr="00B322F9">
        <w:rPr>
          <w:rFonts w:ascii="Calibri" w:hAnsi="Calibri"/>
          <w:b/>
        </w:rPr>
        <w:tab/>
        <w:t>Intenzifikace využití zvolené rekvalifikace – cílené využívání ustanovení § 109a Zákona o zaměstnanosti</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I.D.2.9</w:t>
      </w:r>
      <w:r w:rsidRPr="00B322F9">
        <w:rPr>
          <w:rFonts w:ascii="Calibri" w:hAnsi="Calibri"/>
          <w:b/>
        </w:rPr>
        <w:tab/>
        <w:t>Zpracování analýzy možnosti zavedení podpory v rekvalifikaci i v případě § 109a Zákona o zaměstnanosti</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I.D.2.10</w:t>
      </w:r>
      <w:r>
        <w:rPr>
          <w:rFonts w:ascii="Calibri" w:hAnsi="Calibri"/>
          <w:b/>
        </w:rPr>
        <w:t xml:space="preserve"> </w:t>
      </w:r>
      <w:r w:rsidRPr="00B322F9">
        <w:rPr>
          <w:rFonts w:ascii="Calibri" w:hAnsi="Calibri"/>
          <w:b/>
        </w:rPr>
        <w:t>Realizace stávajících preventivních opatření v MSK a vyhodnocení jejich účinnosti na cílovou skupinu</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I.D.2.11</w:t>
      </w:r>
      <w:r>
        <w:rPr>
          <w:rFonts w:ascii="Calibri" w:hAnsi="Calibri"/>
          <w:b/>
        </w:rPr>
        <w:t xml:space="preserve"> </w:t>
      </w:r>
      <w:r w:rsidRPr="00B322F9">
        <w:rPr>
          <w:rFonts w:ascii="Calibri" w:hAnsi="Calibri"/>
          <w:b/>
        </w:rPr>
        <w:t>Zpracování analýzy možnosti vytvoření nových či přizpůsobení stávajících nástrojů podporujících přizpůsobení podniků a jejich zaměstnanců technologickým změnám v prostředí 4. průmyslové revoluce při zachování maximální možné míry zaměstnanosti</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I.D.3.6</w:t>
      </w:r>
      <w:r w:rsidRPr="00B322F9">
        <w:rPr>
          <w:rFonts w:ascii="Calibri" w:hAnsi="Calibri"/>
          <w:b/>
        </w:rPr>
        <w:tab/>
        <w:t>Realizovat a průběžně vyhodnocovat příspěvek na podporu regionální mobility</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lastRenderedPageBreak/>
        <w:t>I.E.1.4</w:t>
      </w:r>
      <w:r w:rsidRPr="00B322F9">
        <w:rPr>
          <w:rFonts w:ascii="Calibri" w:hAnsi="Calibri"/>
          <w:b/>
        </w:rPr>
        <w:tab/>
        <w:t xml:space="preserve">Analýza potenciálu stříbrné ekonomiky pro rozvoj Ústeckého, Karlovarského a Moravskoslezského kraje  </w:t>
      </w:r>
    </w:p>
    <w:p w:rsidR="00FA3B43" w:rsidRPr="00B322F9" w:rsidRDefault="00FA3B43" w:rsidP="00FA3B43">
      <w:pPr>
        <w:pStyle w:val="Odstavecseseznamem"/>
        <w:numPr>
          <w:ilvl w:val="0"/>
          <w:numId w:val="6"/>
        </w:numPr>
        <w:shd w:val="clear" w:color="auto" w:fill="EDEDED" w:themeFill="accent3" w:themeFillTint="33"/>
        <w:jc w:val="both"/>
        <w:rPr>
          <w:rFonts w:ascii="Calibri" w:hAnsi="Calibri"/>
          <w:b/>
        </w:rPr>
      </w:pPr>
      <w:r w:rsidRPr="00B322F9">
        <w:rPr>
          <w:rFonts w:ascii="Calibri" w:hAnsi="Calibri"/>
          <w:b/>
        </w:rPr>
        <w:t>I.F.2.1</w:t>
      </w:r>
      <w:r w:rsidRPr="00B322F9">
        <w:rPr>
          <w:rFonts w:ascii="Calibri" w:hAnsi="Calibri"/>
          <w:b/>
        </w:rPr>
        <w:tab/>
        <w:t>Zhodnocení a případná úprava podmínek programu Demolice v sociálně vyloučených lokalitách vč. navýšení alokace tohoto programu</w:t>
      </w:r>
    </w:p>
    <w:p w:rsidR="00FA3B43" w:rsidRDefault="00FA3B43" w:rsidP="00FA3B43">
      <w:pPr>
        <w:pStyle w:val="Odstavecseseznamem"/>
        <w:numPr>
          <w:ilvl w:val="0"/>
          <w:numId w:val="6"/>
        </w:numPr>
        <w:shd w:val="clear" w:color="auto" w:fill="EDEDED" w:themeFill="accent3" w:themeFillTint="33"/>
        <w:jc w:val="both"/>
        <w:rPr>
          <w:rFonts w:ascii="Calibri" w:hAnsi="Calibri"/>
          <w:b/>
        </w:rPr>
      </w:pPr>
      <w:r w:rsidRPr="003D1197">
        <w:rPr>
          <w:rFonts w:ascii="Calibri" w:hAnsi="Calibri"/>
          <w:b/>
        </w:rPr>
        <w:t>I.F.2.2</w:t>
      </w:r>
      <w:r w:rsidRPr="003D1197">
        <w:rPr>
          <w:rFonts w:ascii="Calibri" w:hAnsi="Calibri"/>
          <w:b/>
        </w:rPr>
        <w:tab/>
      </w:r>
      <w:r w:rsidR="005A5670" w:rsidRPr="00790F3E">
        <w:rPr>
          <w:b/>
        </w:rPr>
        <w:t>Vznik dotačního programu zaměřeného na regeneraci brownfieldů v intravilánech obcí pro další nepodnikatelské využití revitalizovaných ploch</w:t>
      </w:r>
    </w:p>
    <w:p w:rsidR="005B7EDB" w:rsidRPr="003D1197" w:rsidRDefault="005B7EDB" w:rsidP="005B7EDB">
      <w:pPr>
        <w:pStyle w:val="Odstavecseseznamem"/>
        <w:numPr>
          <w:ilvl w:val="0"/>
          <w:numId w:val="6"/>
        </w:numPr>
        <w:shd w:val="clear" w:color="auto" w:fill="EDEDED" w:themeFill="accent3" w:themeFillTint="33"/>
        <w:jc w:val="both"/>
        <w:rPr>
          <w:rFonts w:ascii="Calibri" w:hAnsi="Calibri"/>
          <w:b/>
        </w:rPr>
      </w:pPr>
      <w:r w:rsidRPr="005B7EDB">
        <w:rPr>
          <w:rFonts w:ascii="Calibri" w:hAnsi="Calibri"/>
          <w:b/>
        </w:rPr>
        <w:t>I.F.2.3</w:t>
      </w:r>
      <w:r w:rsidRPr="005B7EDB">
        <w:rPr>
          <w:rFonts w:ascii="Calibri" w:hAnsi="Calibri"/>
          <w:b/>
        </w:rPr>
        <w:tab/>
        <w:t xml:space="preserve">Integrovaný </w:t>
      </w:r>
      <w:r w:rsidR="005A5670">
        <w:rPr>
          <w:rFonts w:ascii="Calibri" w:hAnsi="Calibri"/>
          <w:b/>
        </w:rPr>
        <w:t>p</w:t>
      </w:r>
      <w:r w:rsidRPr="005B7EDB">
        <w:rPr>
          <w:rFonts w:ascii="Calibri" w:hAnsi="Calibri"/>
          <w:b/>
        </w:rPr>
        <w:t>rojekt celkové úpravy a využití prostor východního nádraží v Děčíně a budovy rakouské dráhy v jeho rámci</w:t>
      </w:r>
    </w:p>
    <w:p w:rsidR="00FA3B43" w:rsidRPr="003D1197" w:rsidRDefault="00FA3B43" w:rsidP="00FA3B43">
      <w:pPr>
        <w:pStyle w:val="Odstavecseseznamem"/>
        <w:numPr>
          <w:ilvl w:val="0"/>
          <w:numId w:val="6"/>
        </w:numPr>
        <w:shd w:val="clear" w:color="auto" w:fill="EDEDED" w:themeFill="accent3" w:themeFillTint="33"/>
        <w:jc w:val="both"/>
        <w:rPr>
          <w:rFonts w:ascii="Calibri" w:hAnsi="Calibri"/>
          <w:b/>
        </w:rPr>
      </w:pPr>
      <w:r w:rsidRPr="003D1197">
        <w:rPr>
          <w:rFonts w:ascii="Calibri" w:hAnsi="Calibri"/>
          <w:b/>
        </w:rPr>
        <w:t>I.F.1.5</w:t>
      </w:r>
      <w:r w:rsidRPr="003D1197">
        <w:rPr>
          <w:rFonts w:ascii="Calibri" w:hAnsi="Calibri"/>
          <w:b/>
        </w:rPr>
        <w:tab/>
        <w:t>Akcelerace a urychlení čerpání alokace programu na řešení ekologických škod dle Usnesení vlády ČR č. 50/2002 Sb. na území Ústeckého a Karlovarského kraje</w:t>
      </w:r>
    </w:p>
    <w:p w:rsidR="00FA3B43" w:rsidRPr="003D1197" w:rsidRDefault="00FA3B43" w:rsidP="00FA3B43">
      <w:pPr>
        <w:pStyle w:val="Odstavecseseznamem"/>
        <w:numPr>
          <w:ilvl w:val="0"/>
          <w:numId w:val="6"/>
        </w:numPr>
        <w:shd w:val="clear" w:color="auto" w:fill="EDEDED" w:themeFill="accent3" w:themeFillTint="33"/>
        <w:jc w:val="both"/>
        <w:rPr>
          <w:rFonts w:ascii="Calibri" w:hAnsi="Calibri"/>
          <w:b/>
        </w:rPr>
      </w:pPr>
      <w:r w:rsidRPr="003D1197">
        <w:rPr>
          <w:rFonts w:ascii="Calibri" w:hAnsi="Calibri"/>
          <w:b/>
        </w:rPr>
        <w:t>I.F.1.6</w:t>
      </w:r>
      <w:r w:rsidRPr="003D1197">
        <w:rPr>
          <w:rFonts w:ascii="Calibri" w:hAnsi="Calibri"/>
          <w:b/>
        </w:rPr>
        <w:tab/>
        <w:t>Podpora programu Revitalizace Krušných hor (Ústecký i Karlovarský kraj)</w:t>
      </w:r>
    </w:p>
    <w:p w:rsidR="00FA3B43" w:rsidRDefault="00FA3B43" w:rsidP="00FA3B43">
      <w:pPr>
        <w:pStyle w:val="Odstavecseseznamem"/>
        <w:numPr>
          <w:ilvl w:val="0"/>
          <w:numId w:val="6"/>
        </w:numPr>
        <w:shd w:val="clear" w:color="auto" w:fill="EDEDED" w:themeFill="accent3" w:themeFillTint="33"/>
        <w:jc w:val="both"/>
        <w:rPr>
          <w:rFonts w:ascii="Calibri" w:hAnsi="Calibri"/>
          <w:b/>
        </w:rPr>
      </w:pPr>
      <w:r w:rsidRPr="00777314">
        <w:rPr>
          <w:rFonts w:ascii="Calibri" w:hAnsi="Calibri"/>
          <w:b/>
        </w:rPr>
        <w:t>I.F.2.4</w:t>
      </w:r>
      <w:r w:rsidRPr="00777314">
        <w:rPr>
          <w:rFonts w:ascii="Calibri" w:hAnsi="Calibri"/>
          <w:b/>
        </w:rPr>
        <w:tab/>
        <w:t>Analýza rozvojových příležitostí a výsled</w:t>
      </w:r>
      <w:r w:rsidR="001E3E11">
        <w:rPr>
          <w:rFonts w:ascii="Calibri" w:hAnsi="Calibri"/>
          <w:b/>
        </w:rPr>
        <w:t>k</w:t>
      </w:r>
      <w:r w:rsidRPr="00777314">
        <w:rPr>
          <w:rFonts w:ascii="Calibri" w:hAnsi="Calibri"/>
          <w:b/>
        </w:rPr>
        <w:t>ů dosavadních rozvojových projektů města Terezín</w:t>
      </w:r>
    </w:p>
    <w:p w:rsidR="00FA3B43" w:rsidRDefault="00FA3B43" w:rsidP="00FA3B43">
      <w:pPr>
        <w:pStyle w:val="Odstavecseseznamem"/>
        <w:numPr>
          <w:ilvl w:val="0"/>
          <w:numId w:val="6"/>
        </w:numPr>
        <w:shd w:val="clear" w:color="auto" w:fill="EDEDED" w:themeFill="accent3" w:themeFillTint="33"/>
        <w:jc w:val="both"/>
        <w:rPr>
          <w:rFonts w:ascii="Calibri" w:hAnsi="Calibri"/>
          <w:b/>
        </w:rPr>
      </w:pPr>
      <w:r w:rsidRPr="00777314">
        <w:rPr>
          <w:rFonts w:ascii="Calibri" w:hAnsi="Calibri"/>
          <w:b/>
        </w:rPr>
        <w:t>G.1.1 Komplex opatření k dobudování významných dopravních úseků - dálnic a silnic I. třídy</w:t>
      </w:r>
    </w:p>
    <w:p w:rsidR="00FA3B43" w:rsidRDefault="00FA3B43" w:rsidP="00FA3B43">
      <w:pPr>
        <w:pStyle w:val="Odstavecseseznamem"/>
        <w:numPr>
          <w:ilvl w:val="0"/>
          <w:numId w:val="6"/>
        </w:numPr>
        <w:shd w:val="clear" w:color="auto" w:fill="EDEDED" w:themeFill="accent3" w:themeFillTint="33"/>
        <w:jc w:val="both"/>
        <w:rPr>
          <w:rFonts w:ascii="Calibri" w:hAnsi="Calibri"/>
          <w:b/>
        </w:rPr>
      </w:pPr>
      <w:r w:rsidRPr="00777314">
        <w:rPr>
          <w:rFonts w:ascii="Calibri" w:hAnsi="Calibri"/>
          <w:b/>
        </w:rPr>
        <w:t>G.1.3 Komplex opatření ke zkapacitnění a modernizaci železničních tratí</w:t>
      </w:r>
    </w:p>
    <w:p w:rsidR="005B7EDB" w:rsidRDefault="005B7EDB" w:rsidP="00390EDF">
      <w:pPr>
        <w:pStyle w:val="Odstavecseseznamem"/>
        <w:numPr>
          <w:ilvl w:val="0"/>
          <w:numId w:val="6"/>
        </w:numPr>
        <w:shd w:val="clear" w:color="auto" w:fill="F2F2F2" w:themeFill="background1" w:themeFillShade="F2"/>
        <w:jc w:val="both"/>
        <w:rPr>
          <w:rFonts w:ascii="Calibri" w:hAnsi="Calibri"/>
          <w:b/>
        </w:rPr>
      </w:pPr>
      <w:r w:rsidRPr="005B7EDB">
        <w:rPr>
          <w:rFonts w:ascii="Calibri" w:hAnsi="Calibri"/>
          <w:b/>
        </w:rPr>
        <w:t>II.A.1.1</w:t>
      </w:r>
      <w:r w:rsidRPr="005B7EDB">
        <w:rPr>
          <w:rFonts w:ascii="Calibri" w:hAnsi="Calibri"/>
          <w:b/>
        </w:rPr>
        <w:tab/>
        <w:t>Podpora rozvoje podnikatelských aktivit ve strukturálně postižených regionech prostřednictvím investic do nemovitého majetku (bonifikace výzev OPPIK - Nemovitosti)</w:t>
      </w:r>
    </w:p>
    <w:p w:rsidR="00390EDF" w:rsidRPr="00390EDF" w:rsidRDefault="00390EDF" w:rsidP="00390EDF">
      <w:pPr>
        <w:pStyle w:val="Odstavecseseznamem"/>
        <w:numPr>
          <w:ilvl w:val="0"/>
          <w:numId w:val="6"/>
        </w:numPr>
        <w:shd w:val="clear" w:color="auto" w:fill="F2F2F2" w:themeFill="background1" w:themeFillShade="F2"/>
        <w:rPr>
          <w:rFonts w:ascii="Calibri" w:hAnsi="Calibri"/>
          <w:b/>
        </w:rPr>
      </w:pPr>
      <w:r w:rsidRPr="00390EDF">
        <w:rPr>
          <w:rFonts w:ascii="Calibri" w:hAnsi="Calibri"/>
          <w:b/>
        </w:rPr>
        <w:t xml:space="preserve">II.F.1.1 Zlepšit kvalitu ovzduší  </w:t>
      </w:r>
    </w:p>
    <w:p w:rsidR="00FA3B43" w:rsidRPr="00984CB8" w:rsidRDefault="005B7EDB" w:rsidP="00390EDF">
      <w:pPr>
        <w:pStyle w:val="Odstavecseseznamem"/>
        <w:numPr>
          <w:ilvl w:val="0"/>
          <w:numId w:val="6"/>
        </w:numPr>
        <w:shd w:val="clear" w:color="auto" w:fill="F2F2F2" w:themeFill="background1" w:themeFillShade="F2"/>
        <w:jc w:val="both"/>
        <w:rPr>
          <w:rFonts w:asciiTheme="majorHAnsi" w:eastAsiaTheme="majorEastAsia" w:hAnsiTheme="majorHAnsi" w:cstheme="majorBidi"/>
          <w:color w:val="2E74B5" w:themeColor="accent1" w:themeShade="BF"/>
          <w:sz w:val="26"/>
          <w:szCs w:val="26"/>
        </w:rPr>
      </w:pPr>
      <w:r w:rsidRPr="00984CB8">
        <w:rPr>
          <w:rFonts w:ascii="Calibri" w:hAnsi="Calibri"/>
          <w:b/>
        </w:rPr>
        <w:t>II.G.1.3</w:t>
      </w:r>
      <w:r w:rsidRPr="00984CB8">
        <w:rPr>
          <w:rFonts w:ascii="Calibri" w:hAnsi="Calibri"/>
          <w:b/>
        </w:rPr>
        <w:tab/>
        <w:t>Napojení Podkrušnohorské výsypky u Sokolova na veřejnou dopravní infrastrukturu v Karlovarském kraji z důvodu umožnění její revitalizace</w:t>
      </w:r>
      <w:r w:rsidR="00FA3B43">
        <w:t xml:space="preserve"> </w:t>
      </w:r>
    </w:p>
    <w:p w:rsidR="00D7458B" w:rsidRDefault="00D7458B" w:rsidP="00D7458B">
      <w:pPr>
        <w:pStyle w:val="Nadpis2"/>
      </w:pPr>
      <w:bookmarkStart w:id="6" w:name="_Toc22021561"/>
      <w:r>
        <w:t>Realizace projektů</w:t>
      </w:r>
      <w:bookmarkEnd w:id="6"/>
    </w:p>
    <w:p w:rsidR="003D1197" w:rsidRDefault="003775A6" w:rsidP="0099699B">
      <w:pPr>
        <w:jc w:val="both"/>
      </w:pPr>
      <w:r>
        <w:t xml:space="preserve">K datu </w:t>
      </w:r>
      <w:r w:rsidR="005B7EDB">
        <w:t>30</w:t>
      </w:r>
      <w:r>
        <w:t>.</w:t>
      </w:r>
      <w:r w:rsidR="00D80BD6">
        <w:t xml:space="preserve"> </w:t>
      </w:r>
      <w:r w:rsidR="005B7EDB">
        <w:t>9</w:t>
      </w:r>
      <w:r>
        <w:t>.</w:t>
      </w:r>
      <w:r w:rsidR="00D80BD6">
        <w:t xml:space="preserve"> </w:t>
      </w:r>
      <w:r>
        <w:t>201</w:t>
      </w:r>
      <w:r w:rsidR="005B7EDB">
        <w:t>9</w:t>
      </w:r>
      <w:r w:rsidR="003D1197">
        <w:t xml:space="preserve"> byla v regionech podpořena řada projektů</w:t>
      </w:r>
      <w:r w:rsidR="00D7458B">
        <w:t xml:space="preserve"> v rámci již vyhlášených výzev z výše uvedených programů a opatření a došlo k čerpání na konkrétní projekty</w:t>
      </w:r>
      <w:r w:rsidR="009B0072">
        <w:t xml:space="preserve"> v jednotlivých regionech.</w:t>
      </w:r>
    </w:p>
    <w:p w:rsidR="00F72D5A" w:rsidRDefault="00F72D5A" w:rsidP="00F72D5A">
      <w:pPr>
        <w:pStyle w:val="Titulek"/>
      </w:pPr>
      <w:bookmarkStart w:id="7" w:name="_Toc21980559"/>
      <w:r>
        <w:t xml:space="preserve">Tabulka </w:t>
      </w:r>
      <w:r w:rsidR="00D97B65">
        <w:rPr>
          <w:noProof/>
        </w:rPr>
        <w:fldChar w:fldCharType="begin"/>
      </w:r>
      <w:r w:rsidR="00783FF1">
        <w:rPr>
          <w:noProof/>
        </w:rPr>
        <w:instrText xml:space="preserve"> SEQ Tabulka \* ARABIC </w:instrText>
      </w:r>
      <w:r w:rsidR="00D97B65">
        <w:rPr>
          <w:noProof/>
        </w:rPr>
        <w:fldChar w:fldCharType="separate"/>
      </w:r>
      <w:r w:rsidR="00FD2ED5">
        <w:rPr>
          <w:noProof/>
        </w:rPr>
        <w:t>3</w:t>
      </w:r>
      <w:r w:rsidR="00D97B65">
        <w:rPr>
          <w:noProof/>
        </w:rPr>
        <w:fldChar w:fldCharType="end"/>
      </w:r>
      <w:r>
        <w:t xml:space="preserve"> – Přehled čerpání dotačních prostředků v regionech od zahájení programu RE:START</w:t>
      </w:r>
      <w:r w:rsidR="003775A6">
        <w:t xml:space="preserve"> do </w:t>
      </w:r>
      <w:r w:rsidR="00FA3B43">
        <w:t>3</w:t>
      </w:r>
      <w:r w:rsidR="002F3109">
        <w:t>0</w:t>
      </w:r>
      <w:r w:rsidR="00FA3B43">
        <w:t xml:space="preserve">. </w:t>
      </w:r>
      <w:r w:rsidR="002F3109">
        <w:t>9</w:t>
      </w:r>
      <w:r w:rsidR="00FA3B43">
        <w:t>. 201</w:t>
      </w:r>
      <w:r w:rsidR="002F3109">
        <w:t>9</w:t>
      </w:r>
      <w:r w:rsidR="000172AA">
        <w:t xml:space="preserve"> v Kč</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822"/>
        <w:gridCol w:w="1621"/>
        <w:gridCol w:w="1374"/>
        <w:gridCol w:w="1574"/>
        <w:gridCol w:w="1361"/>
        <w:gridCol w:w="1608"/>
      </w:tblGrid>
      <w:tr w:rsidR="000172AA" w:rsidRPr="003D1197" w:rsidTr="002F3109">
        <w:trPr>
          <w:trHeight w:val="597"/>
        </w:trPr>
        <w:tc>
          <w:tcPr>
            <w:tcW w:w="973" w:type="pct"/>
            <w:shd w:val="clear" w:color="auto" w:fill="BFBFBF" w:themeFill="background1" w:themeFillShade="BF"/>
            <w:tcMar>
              <w:top w:w="72" w:type="dxa"/>
              <w:left w:w="144" w:type="dxa"/>
              <w:bottom w:w="72" w:type="dxa"/>
              <w:right w:w="144" w:type="dxa"/>
            </w:tcMar>
            <w:vAlign w:val="center"/>
            <w:hideMark/>
          </w:tcPr>
          <w:p w:rsidR="003D1197" w:rsidRPr="000172AA" w:rsidRDefault="003D1197" w:rsidP="00F72D5A">
            <w:pPr>
              <w:spacing w:after="0" w:line="240" w:lineRule="auto"/>
              <w:jc w:val="both"/>
              <w:rPr>
                <w:sz w:val="18"/>
                <w:szCs w:val="18"/>
              </w:rPr>
            </w:pPr>
            <w:r w:rsidRPr="000172AA">
              <w:rPr>
                <w:b/>
                <w:bCs/>
                <w:sz w:val="18"/>
                <w:szCs w:val="18"/>
              </w:rPr>
              <w:t>Region</w:t>
            </w:r>
          </w:p>
        </w:tc>
        <w:tc>
          <w:tcPr>
            <w:tcW w:w="866" w:type="pct"/>
            <w:shd w:val="clear" w:color="auto" w:fill="BFBFBF" w:themeFill="background1" w:themeFillShade="BF"/>
            <w:tcMar>
              <w:top w:w="72" w:type="dxa"/>
              <w:left w:w="144" w:type="dxa"/>
              <w:bottom w:w="72" w:type="dxa"/>
              <w:right w:w="144" w:type="dxa"/>
            </w:tcMar>
            <w:vAlign w:val="center"/>
            <w:hideMark/>
          </w:tcPr>
          <w:p w:rsidR="003D1197" w:rsidRPr="000172AA" w:rsidRDefault="003D1197" w:rsidP="00F72D5A">
            <w:pPr>
              <w:spacing w:after="0" w:line="240" w:lineRule="auto"/>
              <w:jc w:val="both"/>
              <w:rPr>
                <w:sz w:val="18"/>
                <w:szCs w:val="18"/>
              </w:rPr>
            </w:pPr>
            <w:r w:rsidRPr="000172AA">
              <w:rPr>
                <w:b/>
                <w:bCs/>
                <w:sz w:val="18"/>
                <w:szCs w:val="18"/>
              </w:rPr>
              <w:t>NUTS II</w:t>
            </w:r>
          </w:p>
          <w:p w:rsidR="003D1197" w:rsidRPr="000172AA" w:rsidRDefault="003D1197" w:rsidP="00F72D5A">
            <w:pPr>
              <w:spacing w:after="0" w:line="240" w:lineRule="auto"/>
              <w:jc w:val="both"/>
              <w:rPr>
                <w:sz w:val="18"/>
                <w:szCs w:val="18"/>
              </w:rPr>
            </w:pPr>
            <w:proofErr w:type="spellStart"/>
            <w:r w:rsidRPr="000172AA">
              <w:rPr>
                <w:b/>
                <w:bCs/>
                <w:sz w:val="18"/>
                <w:szCs w:val="18"/>
              </w:rPr>
              <w:t>Moravskoslezsko</w:t>
            </w:r>
            <w:proofErr w:type="spellEnd"/>
          </w:p>
        </w:tc>
        <w:tc>
          <w:tcPr>
            <w:tcW w:w="734" w:type="pct"/>
            <w:shd w:val="clear" w:color="auto" w:fill="BFBFBF" w:themeFill="background1" w:themeFillShade="BF"/>
            <w:tcMar>
              <w:top w:w="72" w:type="dxa"/>
              <w:left w:w="144" w:type="dxa"/>
              <w:bottom w:w="72" w:type="dxa"/>
              <w:right w:w="144" w:type="dxa"/>
            </w:tcMar>
            <w:vAlign w:val="center"/>
            <w:hideMark/>
          </w:tcPr>
          <w:p w:rsidR="003D1197" w:rsidRPr="000172AA" w:rsidRDefault="003D1197" w:rsidP="00F72D5A">
            <w:pPr>
              <w:spacing w:after="0" w:line="240" w:lineRule="auto"/>
              <w:jc w:val="both"/>
              <w:rPr>
                <w:sz w:val="18"/>
                <w:szCs w:val="18"/>
              </w:rPr>
            </w:pPr>
            <w:r w:rsidRPr="000172AA">
              <w:rPr>
                <w:b/>
                <w:bCs/>
                <w:sz w:val="18"/>
                <w:szCs w:val="18"/>
              </w:rPr>
              <w:t>NUTS II</w:t>
            </w:r>
          </w:p>
          <w:p w:rsidR="003D1197" w:rsidRPr="000172AA" w:rsidRDefault="003D1197" w:rsidP="00F72D5A">
            <w:pPr>
              <w:spacing w:after="0" w:line="240" w:lineRule="auto"/>
              <w:jc w:val="both"/>
              <w:rPr>
                <w:sz w:val="18"/>
                <w:szCs w:val="18"/>
              </w:rPr>
            </w:pPr>
            <w:r w:rsidRPr="000172AA">
              <w:rPr>
                <w:b/>
                <w:bCs/>
                <w:sz w:val="18"/>
                <w:szCs w:val="18"/>
              </w:rPr>
              <w:t>Severozápad</w:t>
            </w:r>
          </w:p>
        </w:tc>
        <w:tc>
          <w:tcPr>
            <w:tcW w:w="841" w:type="pct"/>
            <w:shd w:val="clear" w:color="auto" w:fill="BFBFBF" w:themeFill="background1" w:themeFillShade="BF"/>
            <w:tcMar>
              <w:top w:w="72" w:type="dxa"/>
              <w:left w:w="144" w:type="dxa"/>
              <w:bottom w:w="72" w:type="dxa"/>
              <w:right w:w="144" w:type="dxa"/>
            </w:tcMar>
            <w:vAlign w:val="center"/>
            <w:hideMark/>
          </w:tcPr>
          <w:p w:rsidR="003D1197" w:rsidRPr="000172AA" w:rsidRDefault="0047364B" w:rsidP="00F72D5A">
            <w:pPr>
              <w:spacing w:after="0" w:line="240" w:lineRule="auto"/>
              <w:jc w:val="both"/>
              <w:rPr>
                <w:sz w:val="18"/>
                <w:szCs w:val="18"/>
              </w:rPr>
            </w:pPr>
            <w:r>
              <w:rPr>
                <w:b/>
                <w:bCs/>
                <w:sz w:val="18"/>
                <w:szCs w:val="18"/>
              </w:rPr>
              <w:t>Ústecký</w:t>
            </w:r>
          </w:p>
        </w:tc>
        <w:tc>
          <w:tcPr>
            <w:tcW w:w="727" w:type="pct"/>
            <w:shd w:val="clear" w:color="auto" w:fill="BFBFBF" w:themeFill="background1" w:themeFillShade="BF"/>
            <w:tcMar>
              <w:top w:w="72" w:type="dxa"/>
              <w:left w:w="144" w:type="dxa"/>
              <w:bottom w:w="72" w:type="dxa"/>
              <w:right w:w="144" w:type="dxa"/>
            </w:tcMar>
            <w:vAlign w:val="center"/>
            <w:hideMark/>
          </w:tcPr>
          <w:p w:rsidR="003D1197" w:rsidRPr="000172AA" w:rsidRDefault="0047364B" w:rsidP="00F72D5A">
            <w:pPr>
              <w:spacing w:after="0" w:line="240" w:lineRule="auto"/>
              <w:jc w:val="both"/>
              <w:rPr>
                <w:sz w:val="18"/>
                <w:szCs w:val="18"/>
              </w:rPr>
            </w:pPr>
            <w:r>
              <w:rPr>
                <w:b/>
                <w:bCs/>
                <w:sz w:val="18"/>
                <w:szCs w:val="18"/>
              </w:rPr>
              <w:t>Karlovarský</w:t>
            </w:r>
          </w:p>
        </w:tc>
        <w:tc>
          <w:tcPr>
            <w:tcW w:w="859" w:type="pct"/>
            <w:shd w:val="clear" w:color="auto" w:fill="BFBFBF" w:themeFill="background1" w:themeFillShade="BF"/>
            <w:tcMar>
              <w:top w:w="72" w:type="dxa"/>
              <w:left w:w="144" w:type="dxa"/>
              <w:bottom w:w="72" w:type="dxa"/>
              <w:right w:w="144" w:type="dxa"/>
            </w:tcMar>
            <w:vAlign w:val="center"/>
            <w:hideMark/>
          </w:tcPr>
          <w:p w:rsidR="003D1197" w:rsidRPr="000172AA" w:rsidRDefault="0047364B" w:rsidP="00F72D5A">
            <w:pPr>
              <w:spacing w:after="0" w:line="240" w:lineRule="auto"/>
              <w:jc w:val="both"/>
              <w:rPr>
                <w:sz w:val="18"/>
                <w:szCs w:val="18"/>
              </w:rPr>
            </w:pPr>
            <w:r>
              <w:rPr>
                <w:b/>
                <w:bCs/>
                <w:sz w:val="18"/>
                <w:szCs w:val="18"/>
              </w:rPr>
              <w:t>Moravskoslezský</w:t>
            </w:r>
          </w:p>
        </w:tc>
      </w:tr>
      <w:tr w:rsidR="00DF0939" w:rsidRPr="003D1197" w:rsidTr="000761E9">
        <w:trPr>
          <w:trHeight w:val="346"/>
        </w:trPr>
        <w:tc>
          <w:tcPr>
            <w:tcW w:w="973" w:type="pct"/>
            <w:shd w:val="clear" w:color="auto" w:fill="auto"/>
            <w:tcMar>
              <w:top w:w="72" w:type="dxa"/>
              <w:left w:w="144" w:type="dxa"/>
              <w:bottom w:w="72" w:type="dxa"/>
              <w:right w:w="144" w:type="dxa"/>
            </w:tcMar>
            <w:vAlign w:val="center"/>
            <w:hideMark/>
          </w:tcPr>
          <w:p w:rsidR="00DF0939" w:rsidRPr="000172AA" w:rsidRDefault="00DF0939" w:rsidP="00DF0939">
            <w:pPr>
              <w:spacing w:after="0" w:line="240" w:lineRule="auto"/>
              <w:jc w:val="both"/>
              <w:rPr>
                <w:sz w:val="18"/>
                <w:szCs w:val="18"/>
              </w:rPr>
            </w:pPr>
            <w:r w:rsidRPr="000172AA">
              <w:rPr>
                <w:b/>
                <w:bCs/>
                <w:sz w:val="18"/>
                <w:szCs w:val="18"/>
              </w:rPr>
              <w:t>Celkem v Kč</w:t>
            </w:r>
          </w:p>
        </w:tc>
        <w:tc>
          <w:tcPr>
            <w:tcW w:w="866" w:type="pct"/>
            <w:shd w:val="clear" w:color="auto" w:fill="auto"/>
            <w:tcMar>
              <w:top w:w="72" w:type="dxa"/>
              <w:left w:w="144" w:type="dxa"/>
              <w:bottom w:w="72" w:type="dxa"/>
              <w:right w:w="144" w:type="dxa"/>
            </w:tcMar>
          </w:tcPr>
          <w:p w:rsidR="00DF0939" w:rsidRPr="00CD5319" w:rsidRDefault="00DF0939" w:rsidP="00DF0939">
            <w:pPr>
              <w:spacing w:after="0" w:line="240" w:lineRule="auto"/>
              <w:jc w:val="both"/>
              <w:rPr>
                <w:b/>
                <w:bCs/>
                <w:sz w:val="18"/>
                <w:szCs w:val="18"/>
              </w:rPr>
            </w:pPr>
            <w:r w:rsidRPr="00DF0939">
              <w:rPr>
                <w:b/>
                <w:bCs/>
                <w:sz w:val="18"/>
                <w:szCs w:val="18"/>
              </w:rPr>
              <w:t>2 687 354 449</w:t>
            </w:r>
          </w:p>
        </w:tc>
        <w:tc>
          <w:tcPr>
            <w:tcW w:w="734" w:type="pct"/>
            <w:shd w:val="clear" w:color="auto" w:fill="auto"/>
            <w:tcMar>
              <w:top w:w="72" w:type="dxa"/>
              <w:left w:w="144" w:type="dxa"/>
              <w:bottom w:w="72" w:type="dxa"/>
              <w:right w:w="144" w:type="dxa"/>
            </w:tcMar>
          </w:tcPr>
          <w:p w:rsidR="00DF0939" w:rsidRPr="00CD5319" w:rsidRDefault="006B397E" w:rsidP="00DF0939">
            <w:pPr>
              <w:spacing w:after="0" w:line="240" w:lineRule="auto"/>
              <w:jc w:val="both"/>
              <w:rPr>
                <w:b/>
                <w:bCs/>
                <w:sz w:val="18"/>
                <w:szCs w:val="18"/>
              </w:rPr>
            </w:pPr>
            <w:r>
              <w:rPr>
                <w:b/>
                <w:bCs/>
                <w:sz w:val="18"/>
                <w:szCs w:val="18"/>
              </w:rPr>
              <w:t>2 263 659 640</w:t>
            </w:r>
          </w:p>
        </w:tc>
        <w:tc>
          <w:tcPr>
            <w:tcW w:w="841" w:type="pct"/>
            <w:shd w:val="clear" w:color="auto" w:fill="auto"/>
            <w:tcMar>
              <w:top w:w="72" w:type="dxa"/>
              <w:left w:w="144" w:type="dxa"/>
              <w:bottom w:w="72" w:type="dxa"/>
              <w:right w:w="144" w:type="dxa"/>
            </w:tcMar>
          </w:tcPr>
          <w:p w:rsidR="00DF0939" w:rsidRPr="00CD5319" w:rsidRDefault="00DF0939" w:rsidP="00DF0939">
            <w:pPr>
              <w:spacing w:after="0" w:line="240" w:lineRule="auto"/>
              <w:jc w:val="both"/>
              <w:rPr>
                <w:b/>
                <w:bCs/>
                <w:sz w:val="18"/>
                <w:szCs w:val="18"/>
              </w:rPr>
            </w:pPr>
            <w:r w:rsidRPr="00DF0939">
              <w:rPr>
                <w:b/>
                <w:bCs/>
                <w:sz w:val="18"/>
                <w:szCs w:val="18"/>
              </w:rPr>
              <w:t>1 888 158 509</w:t>
            </w:r>
          </w:p>
        </w:tc>
        <w:tc>
          <w:tcPr>
            <w:tcW w:w="727" w:type="pct"/>
            <w:shd w:val="clear" w:color="auto" w:fill="auto"/>
            <w:tcMar>
              <w:top w:w="72" w:type="dxa"/>
              <w:left w:w="144" w:type="dxa"/>
              <w:bottom w:w="72" w:type="dxa"/>
              <w:right w:w="144" w:type="dxa"/>
            </w:tcMar>
          </w:tcPr>
          <w:p w:rsidR="00DF0939" w:rsidRPr="00CD5319" w:rsidRDefault="006B397E" w:rsidP="00DF0939">
            <w:pPr>
              <w:spacing w:after="0" w:line="240" w:lineRule="auto"/>
              <w:jc w:val="both"/>
              <w:rPr>
                <w:b/>
                <w:bCs/>
                <w:sz w:val="18"/>
                <w:szCs w:val="18"/>
              </w:rPr>
            </w:pPr>
            <w:r>
              <w:rPr>
                <w:b/>
                <w:bCs/>
                <w:sz w:val="18"/>
                <w:szCs w:val="18"/>
              </w:rPr>
              <w:t>375 501 131</w:t>
            </w:r>
          </w:p>
        </w:tc>
        <w:tc>
          <w:tcPr>
            <w:tcW w:w="859" w:type="pct"/>
            <w:shd w:val="clear" w:color="auto" w:fill="auto"/>
            <w:tcMar>
              <w:top w:w="72" w:type="dxa"/>
              <w:left w:w="144" w:type="dxa"/>
              <w:bottom w:w="72" w:type="dxa"/>
              <w:right w:w="144" w:type="dxa"/>
            </w:tcMar>
          </w:tcPr>
          <w:p w:rsidR="00DF0939" w:rsidRPr="00CD5319" w:rsidRDefault="00DF0939" w:rsidP="00DF0939">
            <w:pPr>
              <w:spacing w:after="0" w:line="240" w:lineRule="auto"/>
              <w:jc w:val="both"/>
              <w:rPr>
                <w:b/>
                <w:bCs/>
                <w:sz w:val="18"/>
                <w:szCs w:val="18"/>
              </w:rPr>
            </w:pPr>
            <w:r w:rsidRPr="00DF0939">
              <w:rPr>
                <w:b/>
                <w:bCs/>
                <w:sz w:val="18"/>
                <w:szCs w:val="18"/>
              </w:rPr>
              <w:t>2 687 354 449</w:t>
            </w:r>
          </w:p>
        </w:tc>
      </w:tr>
    </w:tbl>
    <w:p w:rsidR="0019368E" w:rsidRPr="0019368E" w:rsidRDefault="0019368E" w:rsidP="00C53647">
      <w:pPr>
        <w:pStyle w:val="Textpoznpodarou"/>
        <w:jc w:val="both"/>
        <w:rPr>
          <w:i/>
          <w:u w:val="single"/>
        </w:rPr>
      </w:pPr>
      <w:r w:rsidRPr="0019368E">
        <w:rPr>
          <w:i/>
          <w:u w:val="single"/>
        </w:rPr>
        <w:t>Tato tabulka obsahuje vyčíslení prostředků, které byly již v rámci regionů rozděleny konkrétním žadatelům  v</w:t>
      </w:r>
      <w:r w:rsidR="001E3E11">
        <w:rPr>
          <w:i/>
          <w:u w:val="single"/>
        </w:rPr>
        <w:t xml:space="preserve"> </w:t>
      </w:r>
      <w:r w:rsidRPr="0019368E">
        <w:rPr>
          <w:i/>
          <w:u w:val="single"/>
        </w:rPr>
        <w:t xml:space="preserve">dotačních výzvách </w:t>
      </w:r>
      <w:r w:rsidR="009B0072">
        <w:rPr>
          <w:i/>
          <w:u w:val="single"/>
        </w:rPr>
        <w:t xml:space="preserve">ve vazbě na </w:t>
      </w:r>
      <w:r w:rsidRPr="0019368E">
        <w:rPr>
          <w:i/>
          <w:u w:val="single"/>
        </w:rPr>
        <w:t xml:space="preserve"> program RE:START, nezahrnuje tak prostředky vynaložené na výstavbu dálnic a silnic I. třídy. </w:t>
      </w:r>
      <w:r w:rsidR="00C53647">
        <w:rPr>
          <w:i/>
          <w:u w:val="single"/>
        </w:rPr>
        <w:t>Dále také neobsahuje alokace</w:t>
      </w:r>
      <w:r w:rsidR="009B0072">
        <w:rPr>
          <w:i/>
          <w:u w:val="single"/>
        </w:rPr>
        <w:t xml:space="preserve"> aktuálně vyhlášených</w:t>
      </w:r>
      <w:r w:rsidR="00C53647">
        <w:rPr>
          <w:i/>
          <w:u w:val="single"/>
        </w:rPr>
        <w:t xml:space="preserve"> výzev, jejichž proces hodnocení nebyl ještě ukončen.</w:t>
      </w:r>
    </w:p>
    <w:p w:rsidR="002F3109" w:rsidRDefault="00F72D5A" w:rsidP="0099699B">
      <w:pPr>
        <w:jc w:val="both"/>
      </w:pPr>
      <w:r>
        <w:t xml:space="preserve">Podrobnější přehled </w:t>
      </w:r>
      <w:r w:rsidR="007E52D4">
        <w:t>čerpání jednotlivých dotačních programů v jednotlivých regionech</w:t>
      </w:r>
      <w:r>
        <w:t xml:space="preserve"> </w:t>
      </w:r>
      <w:r w:rsidR="00D7458B">
        <w:t xml:space="preserve">viz </w:t>
      </w:r>
      <w:r w:rsidR="00FA3B43">
        <w:t>„P</w:t>
      </w:r>
      <w:r>
        <w:t>říloha</w:t>
      </w:r>
      <w:r w:rsidR="00777314">
        <w:t xml:space="preserve"> č. </w:t>
      </w:r>
      <w:r w:rsidR="002F3109">
        <w:t>1</w:t>
      </w:r>
      <w:r w:rsidR="00DD54FC">
        <w:t xml:space="preserve"> </w:t>
      </w:r>
      <w:r w:rsidR="003D4EC2">
        <w:t>–</w:t>
      </w:r>
      <w:r w:rsidR="00DD54FC">
        <w:t xml:space="preserve"> </w:t>
      </w:r>
      <w:r w:rsidR="007E52D4">
        <w:t xml:space="preserve">čerpání </w:t>
      </w:r>
      <w:r w:rsidR="00AA00E5">
        <w:t xml:space="preserve">dotačních programů v rámci strategie </w:t>
      </w:r>
      <w:r w:rsidR="00324830">
        <w:t>RE:START</w:t>
      </w:r>
      <w:r w:rsidR="00DD54FC">
        <w:t>“</w:t>
      </w:r>
      <w:r w:rsidR="00324830">
        <w:t>.</w:t>
      </w:r>
      <w:r>
        <w:t xml:space="preserve"> </w:t>
      </w:r>
    </w:p>
    <w:p w:rsidR="008739AE" w:rsidRPr="008739AE" w:rsidRDefault="008739AE" w:rsidP="008739AE">
      <w:pPr>
        <w:keepNext/>
        <w:keepLines/>
        <w:spacing w:before="480" w:after="0" w:line="276" w:lineRule="auto"/>
        <w:outlineLvl w:val="0"/>
        <w:rPr>
          <w:rFonts w:asciiTheme="majorHAnsi" w:eastAsiaTheme="majorEastAsia" w:hAnsiTheme="majorHAnsi" w:cstheme="majorBidi"/>
          <w:b/>
          <w:bCs/>
          <w:noProof/>
          <w:color w:val="2E74B5" w:themeColor="accent1" w:themeShade="BF"/>
          <w:sz w:val="28"/>
          <w:szCs w:val="28"/>
        </w:rPr>
      </w:pPr>
      <w:bookmarkStart w:id="8" w:name="_Toc22021562"/>
      <w:r w:rsidRPr="008739AE">
        <w:rPr>
          <w:rFonts w:asciiTheme="majorHAnsi" w:eastAsiaTheme="majorEastAsia" w:hAnsiTheme="majorHAnsi" w:cstheme="majorBidi"/>
          <w:b/>
          <w:bCs/>
          <w:noProof/>
          <w:color w:val="2E74B5" w:themeColor="accent1" w:themeShade="BF"/>
          <w:sz w:val="28"/>
          <w:szCs w:val="28"/>
        </w:rPr>
        <w:lastRenderedPageBreak/>
        <w:t>Výhled pro rok 2019</w:t>
      </w:r>
      <w:bookmarkEnd w:id="8"/>
    </w:p>
    <w:p w:rsidR="008739AE" w:rsidRPr="008739AE" w:rsidRDefault="00CC61B8" w:rsidP="008739AE">
      <w:pPr>
        <w:keepNext/>
        <w:keepLines/>
        <w:spacing w:before="40" w:after="0"/>
        <w:outlineLvl w:val="1"/>
        <w:rPr>
          <w:rFonts w:asciiTheme="majorHAnsi" w:eastAsiaTheme="majorEastAsia" w:hAnsiTheme="majorHAnsi" w:cstheme="majorBidi"/>
          <w:color w:val="2E74B5" w:themeColor="accent1" w:themeShade="BF"/>
          <w:sz w:val="26"/>
          <w:szCs w:val="26"/>
        </w:rPr>
      </w:pPr>
      <w:bookmarkStart w:id="9" w:name="_Toc22021563"/>
      <w:r>
        <w:rPr>
          <w:rFonts w:asciiTheme="majorHAnsi" w:eastAsiaTheme="majorEastAsia" w:hAnsiTheme="majorHAnsi" w:cstheme="majorBidi"/>
          <w:color w:val="2E74B5" w:themeColor="accent1" w:themeShade="BF"/>
          <w:sz w:val="26"/>
          <w:szCs w:val="26"/>
        </w:rPr>
        <w:t>Aktuálně dostupné a připravované v</w:t>
      </w:r>
      <w:r w:rsidR="008739AE" w:rsidRPr="008739AE">
        <w:rPr>
          <w:rFonts w:asciiTheme="majorHAnsi" w:eastAsiaTheme="majorEastAsia" w:hAnsiTheme="majorHAnsi" w:cstheme="majorBidi"/>
          <w:color w:val="2E74B5" w:themeColor="accent1" w:themeShade="BF"/>
          <w:sz w:val="26"/>
          <w:szCs w:val="26"/>
        </w:rPr>
        <w:t>ýzvy</w:t>
      </w:r>
      <w:bookmarkEnd w:id="9"/>
      <w:r w:rsidR="008739AE" w:rsidRPr="008739AE">
        <w:rPr>
          <w:rFonts w:asciiTheme="majorHAnsi" w:eastAsiaTheme="majorEastAsia" w:hAnsiTheme="majorHAnsi" w:cstheme="majorBidi"/>
          <w:color w:val="2E74B5" w:themeColor="accent1" w:themeShade="BF"/>
          <w:sz w:val="26"/>
          <w:szCs w:val="26"/>
        </w:rPr>
        <w:t xml:space="preserve"> </w:t>
      </w:r>
    </w:p>
    <w:p w:rsidR="008739AE" w:rsidRPr="008739AE" w:rsidRDefault="008739AE" w:rsidP="008739AE">
      <w:r w:rsidRPr="008739AE">
        <w:t>V současné době je celá řada opatření v přípravě či v průběžné realizaci. V rámci programu RE:START jsou v roce 2019 otevřeny či plánovány</w:t>
      </w:r>
      <w:r w:rsidR="009B0072">
        <w:t xml:space="preserve"> následující výzvy:</w:t>
      </w:r>
    </w:p>
    <w:p w:rsidR="008739AE" w:rsidRPr="008739AE" w:rsidRDefault="008739AE" w:rsidP="008739A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0" w:name="_Toc22021564"/>
      <w:r w:rsidRPr="008739AE">
        <w:rPr>
          <w:rFonts w:asciiTheme="majorHAnsi" w:eastAsiaTheme="majorEastAsia" w:hAnsiTheme="majorHAnsi" w:cstheme="majorBidi"/>
          <w:color w:val="1F4D78" w:themeColor="accent1" w:themeShade="7F"/>
          <w:sz w:val="24"/>
          <w:szCs w:val="24"/>
        </w:rPr>
        <w:t>ESIF</w:t>
      </w:r>
      <w:bookmarkEnd w:id="10"/>
    </w:p>
    <w:p w:rsidR="008739AE" w:rsidRPr="008739AE" w:rsidRDefault="008739AE" w:rsidP="008739AE">
      <w:pPr>
        <w:numPr>
          <w:ilvl w:val="0"/>
          <w:numId w:val="12"/>
        </w:numPr>
        <w:autoSpaceDE w:val="0"/>
        <w:autoSpaceDN w:val="0"/>
        <w:spacing w:after="0" w:line="240" w:lineRule="auto"/>
        <w:jc w:val="both"/>
        <w:rPr>
          <w:rFonts w:ascii="Calibri" w:hAnsi="Calibri" w:cs="Calibri"/>
          <w:lang w:eastAsia="cs-CZ"/>
        </w:rPr>
      </w:pPr>
      <w:r w:rsidRPr="008739AE">
        <w:rPr>
          <w:rFonts w:ascii="Calibri" w:hAnsi="Calibri" w:cs="Calibri"/>
          <w:b/>
          <w:u w:val="single"/>
          <w:lang w:eastAsia="cs-CZ"/>
        </w:rPr>
        <w:t>OP VVV –</w:t>
      </w:r>
      <w:r w:rsidRPr="008739AE">
        <w:rPr>
          <w:rFonts w:ascii="Calibri" w:hAnsi="Calibri" w:cs="Calibri"/>
          <w:b/>
          <w:bCs/>
          <w:u w:val="single"/>
          <w:lang w:eastAsia="cs-CZ"/>
        </w:rPr>
        <w:t xml:space="preserve"> Smart A</w:t>
      </w:r>
      <w:r w:rsidR="009B0072">
        <w:rPr>
          <w:rFonts w:ascii="Calibri" w:hAnsi="Calibri" w:cs="Calibri"/>
          <w:b/>
          <w:bCs/>
          <w:u w:val="single"/>
          <w:lang w:eastAsia="cs-CZ"/>
        </w:rPr>
        <w:t>k</w:t>
      </w:r>
      <w:r w:rsidRPr="008739AE">
        <w:rPr>
          <w:rFonts w:ascii="Calibri" w:hAnsi="Calibri" w:cs="Calibri"/>
          <w:b/>
          <w:bCs/>
          <w:u w:val="single"/>
          <w:lang w:eastAsia="cs-CZ"/>
        </w:rPr>
        <w:t>celerátor II</w:t>
      </w:r>
      <w:r w:rsidRPr="008739AE">
        <w:rPr>
          <w:rFonts w:ascii="Calibri" w:hAnsi="Calibri" w:cs="Calibri"/>
          <w:b/>
          <w:bCs/>
          <w:lang w:eastAsia="cs-CZ"/>
        </w:rPr>
        <w:t xml:space="preserve"> – </w:t>
      </w:r>
      <w:r w:rsidRPr="008739AE">
        <w:rPr>
          <w:rFonts w:ascii="Calibri" w:hAnsi="Calibri" w:cs="Calibri"/>
          <w:bCs/>
          <w:lang w:eastAsia="cs-CZ"/>
        </w:rPr>
        <w:t>v této výzvě došlo ke specifickému zvýhodnění strukturálně postižených krajů navýšením maximální výše dotace pro každý kraj o 20 mil. Kč.</w:t>
      </w:r>
      <w:r w:rsidRPr="008739AE">
        <w:rPr>
          <w:rFonts w:ascii="Calibri" w:hAnsi="Calibri" w:cs="Calibri"/>
          <w:b/>
          <w:bCs/>
          <w:lang w:eastAsia="cs-CZ"/>
        </w:rPr>
        <w:t xml:space="preserve"> Termín pro předkládání žádostí – 31. 10. 2019 (průběžná výzva).</w:t>
      </w:r>
    </w:p>
    <w:p w:rsidR="008739AE" w:rsidRPr="008739AE" w:rsidRDefault="008739AE" w:rsidP="00F20DF0">
      <w:pPr>
        <w:widowControl w:val="0"/>
        <w:numPr>
          <w:ilvl w:val="0"/>
          <w:numId w:val="12"/>
        </w:numPr>
        <w:autoSpaceDE w:val="0"/>
        <w:autoSpaceDN w:val="0"/>
        <w:adjustRightInd w:val="0"/>
        <w:spacing w:after="0" w:line="240" w:lineRule="auto"/>
        <w:jc w:val="both"/>
        <w:rPr>
          <w:rFonts w:ascii="Calibri" w:hAnsi="Calibri" w:cs="Calibri"/>
          <w:bCs/>
          <w:lang w:eastAsia="cs-CZ"/>
        </w:rPr>
      </w:pPr>
      <w:r w:rsidRPr="008739AE">
        <w:rPr>
          <w:rFonts w:ascii="Calibri" w:hAnsi="Calibri" w:cs="Calibri"/>
          <w:b/>
          <w:bCs/>
          <w:u w:val="single"/>
          <w:lang w:eastAsia="cs-CZ"/>
        </w:rPr>
        <w:t>OP VVV - Implementace krajských akčních plánů II</w:t>
      </w:r>
      <w:r w:rsidRPr="008739AE">
        <w:rPr>
          <w:rFonts w:ascii="Calibri" w:hAnsi="Calibri" w:cs="Calibri"/>
          <w:bCs/>
          <w:lang w:eastAsia="cs-CZ"/>
        </w:rPr>
        <w:t xml:space="preserve"> – v této výzvě dojde ke specifickému zvýhodnění strukturálně postižených krajů navýšením maximální výše dotace na jednoho žáka oproti ostatním krajům. Termín pro předkládání žádostí je plánovaný od 31. 10. 2019 do 31. 5. 2021 (průběžná výzva</w:t>
      </w:r>
      <w:r w:rsidR="00FE3C4F">
        <w:rPr>
          <w:rFonts w:ascii="Calibri" w:hAnsi="Calibri" w:cs="Calibri"/>
          <w:bCs/>
          <w:lang w:eastAsia="cs-CZ"/>
        </w:rPr>
        <w:t xml:space="preserve"> – alokace pro strukturálně postižené kraje 851 mil. Kč</w:t>
      </w:r>
      <w:r w:rsidRPr="008739AE">
        <w:rPr>
          <w:rFonts w:ascii="Calibri" w:hAnsi="Calibri" w:cs="Calibri"/>
          <w:bCs/>
          <w:lang w:eastAsia="cs-CZ"/>
        </w:rPr>
        <w:t>).</w:t>
      </w:r>
    </w:p>
    <w:p w:rsidR="008739AE" w:rsidRPr="008739AE" w:rsidRDefault="008739AE" w:rsidP="00F20DF0">
      <w:pPr>
        <w:numPr>
          <w:ilvl w:val="0"/>
          <w:numId w:val="16"/>
        </w:numPr>
        <w:spacing w:after="0" w:line="240" w:lineRule="auto"/>
        <w:ind w:left="714" w:hanging="357"/>
        <w:jc w:val="both"/>
      </w:pPr>
      <w:r w:rsidRPr="008739AE">
        <w:rPr>
          <w:b/>
        </w:rPr>
        <w:t>Integrovaný regionální operační program (IROP)/realokace</w:t>
      </w:r>
      <w:r w:rsidRPr="008739AE">
        <w:t xml:space="preserve"> – připravovaná výzva na </w:t>
      </w:r>
      <w:proofErr w:type="spellStart"/>
      <w:r w:rsidRPr="008739AE">
        <w:t>Nízkoemisní</w:t>
      </w:r>
      <w:proofErr w:type="spellEnd"/>
      <w:r w:rsidRPr="008739AE">
        <w:t xml:space="preserve"> a bezemisní vozidla – ve výši 1,8 mld. Kč a také uspokojení zásobníku předchozí výzvy č. 20 s žádostmi ze strukturálně postižených regionů za cca 150 mil. Kč.  (</w:t>
      </w:r>
      <w:r w:rsidRPr="008739AE">
        <w:rPr>
          <w:i/>
        </w:rPr>
        <w:t>1. výzva za 1 mld. Kč již byla ukončena 2. 10. 2019</w:t>
      </w:r>
      <w:r w:rsidR="00052676">
        <w:rPr>
          <w:i/>
        </w:rPr>
        <w:t>,</w:t>
      </w:r>
      <w:r w:rsidRPr="008739AE">
        <w:rPr>
          <w:i/>
        </w:rPr>
        <w:t xml:space="preserve"> podáno bylo 35 projektů s alokací 4,3 mld. Kč</w:t>
      </w:r>
      <w:r w:rsidR="009B0072">
        <w:rPr>
          <w:i/>
        </w:rPr>
        <w:t>, probíhá hodnocení</w:t>
      </w:r>
      <w:r w:rsidRPr="008739AE">
        <w:t>).</w:t>
      </w:r>
    </w:p>
    <w:p w:rsidR="008739AE" w:rsidRPr="008739AE" w:rsidRDefault="008739AE" w:rsidP="008739AE">
      <w:pPr>
        <w:numPr>
          <w:ilvl w:val="0"/>
          <w:numId w:val="16"/>
        </w:numPr>
        <w:spacing w:after="0" w:line="240" w:lineRule="auto"/>
        <w:ind w:left="714" w:hanging="357"/>
        <w:jc w:val="both"/>
      </w:pPr>
      <w:r w:rsidRPr="008739AE">
        <w:rPr>
          <w:b/>
        </w:rPr>
        <w:t>Integrovaný regionální operační program (IROP)/realokace</w:t>
      </w:r>
      <w:r w:rsidRPr="008739AE">
        <w:t xml:space="preserve"> – připravovaná výzva na Modernizaci </w:t>
      </w:r>
      <w:r w:rsidR="00F20DF0">
        <w:t>z</w:t>
      </w:r>
      <w:r w:rsidRPr="008739AE">
        <w:t>ákladních škol s předpokládanou alokací 265 mil. Kč a uspokojení části zásobníků z výzvy č. 46 a 47 ve výši 44 mil. Kč pro projekty ze strukturálně postižených krajů.</w:t>
      </w:r>
    </w:p>
    <w:p w:rsidR="00CE7020" w:rsidRPr="00CE7020" w:rsidRDefault="008739AE" w:rsidP="00CE7020">
      <w:pPr>
        <w:numPr>
          <w:ilvl w:val="0"/>
          <w:numId w:val="12"/>
        </w:numPr>
        <w:spacing w:after="0" w:line="240" w:lineRule="auto"/>
        <w:contextualSpacing/>
        <w:jc w:val="both"/>
        <w:rPr>
          <w:rFonts w:ascii="Calibri" w:hAnsi="Calibri" w:cs="Calibri"/>
          <w:bCs/>
          <w:noProof/>
        </w:rPr>
      </w:pPr>
      <w:r w:rsidRPr="008739AE">
        <w:rPr>
          <w:b/>
          <w:noProof/>
        </w:rPr>
        <w:t>Operační program Podnikání a inovace pro konkurenceschopnost (OP PIK)/realokace</w:t>
      </w:r>
      <w:r w:rsidRPr="008739AE">
        <w:rPr>
          <w:noProof/>
        </w:rPr>
        <w:t xml:space="preserve"> </w:t>
      </w:r>
    </w:p>
    <w:p w:rsidR="008739AE" w:rsidRPr="00CE7020" w:rsidRDefault="00CE7020" w:rsidP="00052676">
      <w:pPr>
        <w:numPr>
          <w:ilvl w:val="1"/>
          <w:numId w:val="12"/>
        </w:numPr>
        <w:spacing w:after="0" w:line="240" w:lineRule="auto"/>
        <w:contextualSpacing/>
        <w:jc w:val="both"/>
        <w:rPr>
          <w:rFonts w:ascii="Calibri" w:hAnsi="Calibri" w:cs="Calibri"/>
          <w:bCs/>
          <w:noProof/>
        </w:rPr>
      </w:pPr>
      <w:r>
        <w:rPr>
          <w:noProof/>
        </w:rPr>
        <w:t>N</w:t>
      </w:r>
      <w:r w:rsidR="008739AE" w:rsidRPr="008739AE">
        <w:rPr>
          <w:noProof/>
        </w:rPr>
        <w:t xml:space="preserve">EMOVITOSTI </w:t>
      </w:r>
      <w:r>
        <w:rPr>
          <w:noProof/>
        </w:rPr>
        <w:t>je vyhlášena</w:t>
      </w:r>
      <w:r w:rsidR="008739AE" w:rsidRPr="008739AE">
        <w:rPr>
          <w:noProof/>
        </w:rPr>
        <w:t xml:space="preserve"> výzva pouze pro strukturálně postižené regiony v min. výši 1,4 </w:t>
      </w:r>
      <w:r>
        <w:rPr>
          <w:noProof/>
        </w:rPr>
        <w:t xml:space="preserve">– 2 </w:t>
      </w:r>
      <w:r w:rsidR="008739AE" w:rsidRPr="008739AE">
        <w:rPr>
          <w:noProof/>
        </w:rPr>
        <w:t>mld. Kč pro projekty ze strukturálně postižených regionů.</w:t>
      </w:r>
      <w:r w:rsidR="008739AE" w:rsidRPr="008739AE">
        <w:rPr>
          <w:rFonts w:ascii="Calibri" w:hAnsi="Calibri" w:cs="Calibri"/>
          <w:b/>
          <w:noProof/>
          <w:u w:val="single"/>
        </w:rPr>
        <w:t>Žádosti je možné podávat od 16.10.2019 – 16.3.2020</w:t>
      </w:r>
    </w:p>
    <w:p w:rsidR="00CE7020" w:rsidRPr="00CE7020" w:rsidRDefault="00CE7020" w:rsidP="00052676">
      <w:pPr>
        <w:numPr>
          <w:ilvl w:val="1"/>
          <w:numId w:val="12"/>
        </w:numPr>
        <w:spacing w:after="0" w:line="240" w:lineRule="auto"/>
        <w:contextualSpacing/>
        <w:jc w:val="both"/>
        <w:rPr>
          <w:rFonts w:ascii="Arial" w:hAnsi="Arial" w:cs="Arial"/>
          <w:sz w:val="20"/>
          <w:szCs w:val="20"/>
        </w:rPr>
      </w:pPr>
      <w:r w:rsidRPr="00CE7020">
        <w:rPr>
          <w:rFonts w:ascii="Arial" w:hAnsi="Arial" w:cs="Arial"/>
          <w:sz w:val="20"/>
          <w:szCs w:val="20"/>
        </w:rPr>
        <w:t>INOVACE – výzva VII. Zahájení příjmu žádostí je od 15.10.2019 do 15.1.2020. Alokace výzvy je 3 mld. Kč.</w:t>
      </w:r>
      <w:r w:rsidR="00F166A4">
        <w:rPr>
          <w:rFonts w:ascii="Arial" w:hAnsi="Arial" w:cs="Arial"/>
          <w:sz w:val="20"/>
          <w:szCs w:val="20"/>
        </w:rPr>
        <w:t xml:space="preserve"> </w:t>
      </w:r>
      <w:r w:rsidR="00F166A4" w:rsidRPr="00F166A4">
        <w:rPr>
          <w:rFonts w:ascii="Arial" w:hAnsi="Arial" w:cs="Arial"/>
          <w:i/>
          <w:sz w:val="20"/>
          <w:szCs w:val="20"/>
        </w:rPr>
        <w:t>Obsahuje díky programu RE:START bodovou bonifikaci 5 bodů pro projekty s prokazatelnými dopady do strukturálně postižených regionů</w:t>
      </w:r>
      <w:r w:rsidR="00F166A4">
        <w:rPr>
          <w:rFonts w:ascii="Arial" w:hAnsi="Arial" w:cs="Arial"/>
          <w:sz w:val="20"/>
          <w:szCs w:val="20"/>
        </w:rPr>
        <w:t>.</w:t>
      </w:r>
    </w:p>
    <w:p w:rsidR="00CE7020" w:rsidRPr="00CE7020" w:rsidRDefault="00CE7020" w:rsidP="00052676">
      <w:pPr>
        <w:pStyle w:val="Odstavecseseznamem"/>
        <w:numPr>
          <w:ilvl w:val="1"/>
          <w:numId w:val="12"/>
        </w:numPr>
        <w:jc w:val="both"/>
        <w:rPr>
          <w:rFonts w:ascii="Arial" w:hAnsi="Arial" w:cs="Arial"/>
          <w:sz w:val="20"/>
          <w:szCs w:val="20"/>
        </w:rPr>
      </w:pPr>
      <w:r w:rsidRPr="00CE7020">
        <w:rPr>
          <w:rFonts w:ascii="Arial" w:hAnsi="Arial" w:cs="Arial"/>
          <w:sz w:val="20"/>
          <w:szCs w:val="20"/>
        </w:rPr>
        <w:t>APLIKACE – výzva VII. Zahájení příjmu žádostí je od 16.10.2019 do 15.1.2020. Alokace výzvy je 3 mld. Kč</w:t>
      </w:r>
      <w:r w:rsidR="00F166A4">
        <w:rPr>
          <w:rFonts w:ascii="Arial" w:hAnsi="Arial" w:cs="Arial"/>
          <w:sz w:val="20"/>
          <w:szCs w:val="20"/>
        </w:rPr>
        <w:t>.</w:t>
      </w:r>
      <w:r w:rsidRPr="00CE7020">
        <w:rPr>
          <w:rFonts w:ascii="Arial" w:hAnsi="Arial" w:cs="Arial"/>
          <w:sz w:val="20"/>
          <w:szCs w:val="20"/>
        </w:rPr>
        <w:t xml:space="preserve"> </w:t>
      </w:r>
      <w:r w:rsidR="00F166A4" w:rsidRPr="00F166A4">
        <w:rPr>
          <w:rFonts w:ascii="Arial" w:hAnsi="Arial" w:cs="Arial"/>
          <w:i/>
          <w:sz w:val="20"/>
          <w:szCs w:val="20"/>
        </w:rPr>
        <w:t>Obsahuje díky programu RE:START bodovou bonifikaci 5 bodů pro projekty s prokazatelnými dopady do strukturálně postižených regionů</w:t>
      </w:r>
      <w:r w:rsidR="00F166A4">
        <w:rPr>
          <w:rFonts w:ascii="Arial" w:hAnsi="Arial" w:cs="Arial"/>
          <w:sz w:val="20"/>
          <w:szCs w:val="20"/>
        </w:rPr>
        <w:t>.</w:t>
      </w:r>
    </w:p>
    <w:p w:rsidR="00F166A4" w:rsidRPr="00F166A4" w:rsidRDefault="00CE7020" w:rsidP="00052676">
      <w:pPr>
        <w:pStyle w:val="Odstavecseseznamem"/>
        <w:numPr>
          <w:ilvl w:val="1"/>
          <w:numId w:val="12"/>
        </w:numPr>
        <w:jc w:val="both"/>
        <w:rPr>
          <w:rFonts w:ascii="Arial" w:hAnsi="Arial" w:cs="Arial"/>
          <w:i/>
          <w:sz w:val="20"/>
          <w:szCs w:val="20"/>
        </w:rPr>
      </w:pPr>
      <w:r w:rsidRPr="00CE7020">
        <w:rPr>
          <w:rFonts w:ascii="Arial" w:hAnsi="Arial" w:cs="Arial"/>
          <w:sz w:val="20"/>
          <w:szCs w:val="20"/>
        </w:rPr>
        <w:t>POTENCIÁL – výzva VI. Zahájení příjmu žádostí je od 1.10.2019 do 16.12.2020. Alokace výzvy je 1 mld. Kč</w:t>
      </w:r>
      <w:r w:rsidR="00F166A4">
        <w:rPr>
          <w:rFonts w:ascii="Arial" w:hAnsi="Arial" w:cs="Arial"/>
          <w:sz w:val="20"/>
          <w:szCs w:val="20"/>
        </w:rPr>
        <w:t xml:space="preserve">. </w:t>
      </w:r>
      <w:r w:rsidR="00F166A4" w:rsidRPr="00F166A4">
        <w:rPr>
          <w:rFonts w:ascii="Arial" w:hAnsi="Arial" w:cs="Arial"/>
          <w:i/>
          <w:sz w:val="20"/>
          <w:szCs w:val="20"/>
        </w:rPr>
        <w:t>Obsahuje díky programu RE:START bodovou bonifikaci 5 bodů pro projekty s prokazatelnými dopady do strukturálně postižených regionů.</w:t>
      </w:r>
    </w:p>
    <w:p w:rsidR="00CE7020" w:rsidRPr="0074560B" w:rsidRDefault="0074560B" w:rsidP="00052676">
      <w:pPr>
        <w:pStyle w:val="Odstavecseseznamem"/>
        <w:numPr>
          <w:ilvl w:val="0"/>
          <w:numId w:val="12"/>
        </w:numPr>
        <w:jc w:val="both"/>
        <w:rPr>
          <w:rFonts w:ascii="Arial" w:hAnsi="Arial" w:cs="Arial"/>
          <w:sz w:val="20"/>
          <w:szCs w:val="20"/>
        </w:rPr>
      </w:pPr>
      <w:r w:rsidRPr="0074560B">
        <w:rPr>
          <w:rFonts w:ascii="Arial" w:hAnsi="Arial" w:cs="Arial"/>
          <w:b/>
          <w:sz w:val="20"/>
          <w:szCs w:val="20"/>
        </w:rPr>
        <w:t xml:space="preserve">Operační program životní prostředí </w:t>
      </w:r>
      <w:r w:rsidRPr="0074560B">
        <w:rPr>
          <w:rFonts w:ascii="Arial" w:hAnsi="Arial" w:cs="Arial"/>
          <w:sz w:val="20"/>
          <w:szCs w:val="20"/>
        </w:rPr>
        <w:t xml:space="preserve">– </w:t>
      </w:r>
      <w:r w:rsidR="000F2BD0">
        <w:rPr>
          <w:rFonts w:ascii="Arial" w:hAnsi="Arial" w:cs="Arial"/>
          <w:sz w:val="20"/>
          <w:szCs w:val="20"/>
        </w:rPr>
        <w:t xml:space="preserve">tzv. </w:t>
      </w:r>
      <w:r w:rsidRPr="0074560B">
        <w:rPr>
          <w:rFonts w:ascii="Arial" w:hAnsi="Arial" w:cs="Arial"/>
          <w:sz w:val="20"/>
          <w:szCs w:val="20"/>
        </w:rPr>
        <w:t>Kotlíko</w:t>
      </w:r>
      <w:r w:rsidR="000F2BD0">
        <w:rPr>
          <w:rFonts w:ascii="Arial" w:hAnsi="Arial" w:cs="Arial"/>
          <w:sz w:val="20"/>
          <w:szCs w:val="20"/>
        </w:rPr>
        <w:t>v</w:t>
      </w:r>
      <w:r w:rsidRPr="0074560B">
        <w:rPr>
          <w:rFonts w:ascii="Arial" w:hAnsi="Arial" w:cs="Arial"/>
          <w:sz w:val="20"/>
          <w:szCs w:val="20"/>
        </w:rPr>
        <w:t>é dotace – alokace pro strukturálně postižené regiony cca 737 mil. Kč. – probíhá proces hodnocení</w:t>
      </w:r>
      <w:r>
        <w:rPr>
          <w:rFonts w:ascii="Arial" w:hAnsi="Arial" w:cs="Arial"/>
          <w:sz w:val="20"/>
          <w:szCs w:val="20"/>
        </w:rPr>
        <w:t xml:space="preserve"> uzavřených výzev v jednotlivých krajích</w:t>
      </w:r>
      <w:r w:rsidRPr="0074560B">
        <w:rPr>
          <w:rFonts w:ascii="Arial" w:hAnsi="Arial" w:cs="Arial"/>
          <w:sz w:val="20"/>
          <w:szCs w:val="20"/>
        </w:rPr>
        <w:t>.</w:t>
      </w:r>
    </w:p>
    <w:p w:rsidR="008739AE" w:rsidRPr="008739AE" w:rsidRDefault="008739AE" w:rsidP="008739AE">
      <w:pPr>
        <w:autoSpaceDE w:val="0"/>
        <w:autoSpaceDN w:val="0"/>
        <w:spacing w:after="0" w:line="240" w:lineRule="auto"/>
        <w:jc w:val="both"/>
        <w:rPr>
          <w:rFonts w:ascii="Calibri" w:hAnsi="Calibri" w:cs="Calibri"/>
          <w:bCs/>
          <w:lang w:eastAsia="cs-CZ"/>
        </w:rPr>
      </w:pPr>
    </w:p>
    <w:p w:rsidR="008739AE" w:rsidRPr="008739AE" w:rsidRDefault="008739AE" w:rsidP="008739A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 w:name="_Toc22021565"/>
      <w:r w:rsidRPr="008739AE">
        <w:rPr>
          <w:rFonts w:asciiTheme="majorHAnsi" w:eastAsiaTheme="majorEastAsia" w:hAnsiTheme="majorHAnsi" w:cstheme="majorBidi"/>
          <w:color w:val="1F4D78" w:themeColor="accent1" w:themeShade="7F"/>
          <w:sz w:val="24"/>
          <w:szCs w:val="24"/>
        </w:rPr>
        <w:t>Národní dotační tituly</w:t>
      </w:r>
      <w:bookmarkEnd w:id="11"/>
    </w:p>
    <w:p w:rsidR="008739AE" w:rsidRPr="008739AE" w:rsidRDefault="008739AE" w:rsidP="008739AE">
      <w:pPr>
        <w:numPr>
          <w:ilvl w:val="0"/>
          <w:numId w:val="12"/>
        </w:numPr>
        <w:autoSpaceDE w:val="0"/>
        <w:autoSpaceDN w:val="0"/>
        <w:spacing w:after="0" w:line="240" w:lineRule="auto"/>
        <w:jc w:val="both"/>
        <w:rPr>
          <w:rFonts w:ascii="Calibri" w:hAnsi="Calibri" w:cs="Calibri"/>
          <w:lang w:eastAsia="cs-CZ"/>
        </w:rPr>
      </w:pPr>
      <w:r w:rsidRPr="008739AE">
        <w:rPr>
          <w:rFonts w:ascii="Calibri" w:hAnsi="Calibri" w:cs="Calibri"/>
          <w:b/>
          <w:u w:val="single"/>
          <w:lang w:eastAsia="cs-CZ"/>
        </w:rPr>
        <w:t xml:space="preserve">Program Regenerace a podnikatelské využití </w:t>
      </w:r>
      <w:proofErr w:type="spellStart"/>
      <w:r w:rsidRPr="008739AE">
        <w:rPr>
          <w:rFonts w:ascii="Calibri" w:hAnsi="Calibri" w:cs="Calibri"/>
          <w:b/>
          <w:u w:val="single"/>
          <w:lang w:eastAsia="cs-CZ"/>
        </w:rPr>
        <w:t>brownfieldů</w:t>
      </w:r>
      <w:proofErr w:type="spellEnd"/>
      <w:r w:rsidRPr="008739AE">
        <w:rPr>
          <w:rFonts w:ascii="Calibri" w:hAnsi="Calibri" w:cs="Calibri"/>
          <w:lang w:eastAsia="cs-CZ"/>
        </w:rPr>
        <w:t xml:space="preserve"> – národní dotační program Ministerstva průmyslu a obchodu – aktuálně probíhá hodnocení III. výzvy.</w:t>
      </w:r>
      <w:r w:rsidR="00147938">
        <w:rPr>
          <w:rFonts w:ascii="Calibri" w:hAnsi="Calibri" w:cs="Calibri"/>
          <w:lang w:eastAsia="cs-CZ"/>
        </w:rPr>
        <w:t xml:space="preserve"> Výzva č. IV se plánuje v 1.</w:t>
      </w:r>
      <w:r w:rsidR="0007692B">
        <w:rPr>
          <w:rFonts w:ascii="Calibri" w:hAnsi="Calibri" w:cs="Calibri"/>
          <w:lang w:eastAsia="cs-CZ"/>
        </w:rPr>
        <w:t xml:space="preserve"> </w:t>
      </w:r>
      <w:r w:rsidR="00147938">
        <w:rPr>
          <w:rFonts w:ascii="Calibri" w:hAnsi="Calibri" w:cs="Calibri"/>
          <w:lang w:eastAsia="cs-CZ"/>
        </w:rPr>
        <w:t>polovině roku 2020</w:t>
      </w:r>
      <w:r w:rsidR="00DF0939">
        <w:rPr>
          <w:rFonts w:ascii="Calibri" w:hAnsi="Calibri" w:cs="Calibri"/>
          <w:lang w:eastAsia="cs-CZ"/>
        </w:rPr>
        <w:t xml:space="preserve"> s alokací 260 mil. Kč</w:t>
      </w:r>
      <w:r w:rsidR="00147938">
        <w:rPr>
          <w:rFonts w:ascii="Calibri" w:hAnsi="Calibri" w:cs="Calibri"/>
          <w:lang w:eastAsia="cs-CZ"/>
        </w:rPr>
        <w:t>.</w:t>
      </w:r>
      <w:r w:rsidRPr="008739AE">
        <w:rPr>
          <w:rFonts w:ascii="Calibri" w:hAnsi="Calibri" w:cs="Calibri"/>
          <w:lang w:eastAsia="cs-CZ"/>
        </w:rPr>
        <w:t xml:space="preserve"> </w:t>
      </w:r>
    </w:p>
    <w:p w:rsidR="008739AE" w:rsidRPr="008739AE" w:rsidRDefault="008739AE" w:rsidP="008739AE">
      <w:pPr>
        <w:numPr>
          <w:ilvl w:val="0"/>
          <w:numId w:val="12"/>
        </w:numPr>
        <w:spacing w:after="200" w:line="276" w:lineRule="auto"/>
        <w:contextualSpacing/>
        <w:jc w:val="both"/>
        <w:rPr>
          <w:noProof/>
        </w:rPr>
      </w:pPr>
      <w:r w:rsidRPr="008739AE">
        <w:rPr>
          <w:b/>
          <w:noProof/>
          <w:u w:val="single"/>
        </w:rPr>
        <w:t xml:space="preserve">Program Demolice v sociálně vyloučených lokalitách </w:t>
      </w:r>
      <w:r w:rsidRPr="00790F3E">
        <w:rPr>
          <w:noProof/>
        </w:rPr>
        <w:t>–</w:t>
      </w:r>
      <w:r w:rsidRPr="008739AE">
        <w:rPr>
          <w:noProof/>
        </w:rPr>
        <w:t xml:space="preserve"> </w:t>
      </w:r>
      <w:r w:rsidR="000F2BD0">
        <w:rPr>
          <w:noProof/>
        </w:rPr>
        <w:t>další výzva se plánuje</w:t>
      </w:r>
      <w:r w:rsidRPr="008739AE">
        <w:rPr>
          <w:noProof/>
        </w:rPr>
        <w:t xml:space="preserve"> s předběžným termínem vyhlášení konec roku 2019.</w:t>
      </w:r>
    </w:p>
    <w:p w:rsidR="008739AE" w:rsidRPr="00D769DB" w:rsidRDefault="008739AE" w:rsidP="00F20DF0">
      <w:pPr>
        <w:numPr>
          <w:ilvl w:val="0"/>
          <w:numId w:val="12"/>
        </w:numPr>
        <w:spacing w:after="0" w:line="240" w:lineRule="auto"/>
        <w:ind w:left="714" w:hanging="357"/>
        <w:contextualSpacing/>
        <w:jc w:val="both"/>
        <w:rPr>
          <w:rFonts w:ascii="Calibri" w:hAnsi="Calibri" w:cs="Calibri"/>
          <w:bCs/>
          <w:noProof/>
        </w:rPr>
      </w:pPr>
      <w:r w:rsidRPr="008739AE">
        <w:rPr>
          <w:rFonts w:ascii="Calibri" w:hAnsi="Calibri" w:cs="Calibri"/>
          <w:b/>
          <w:noProof/>
          <w:u w:val="single"/>
        </w:rPr>
        <w:lastRenderedPageBreak/>
        <w:t xml:space="preserve">Program Regenerace brownfieldů pro nepodnikatelské využití </w:t>
      </w:r>
      <w:r w:rsidR="0074560B" w:rsidRPr="00790F3E">
        <w:rPr>
          <w:rFonts w:ascii="Calibri" w:hAnsi="Calibri" w:cs="Calibri"/>
          <w:noProof/>
        </w:rPr>
        <w:t>–</w:t>
      </w:r>
      <w:r w:rsidRPr="00790F3E">
        <w:rPr>
          <w:rFonts w:ascii="Calibri" w:hAnsi="Calibri" w:cs="Calibri"/>
          <w:noProof/>
        </w:rPr>
        <w:t xml:space="preserve"> </w:t>
      </w:r>
      <w:r w:rsidR="0074560B" w:rsidRPr="00790F3E">
        <w:rPr>
          <w:rFonts w:ascii="Calibri" w:hAnsi="Calibri" w:cs="Calibri"/>
          <w:noProof/>
        </w:rPr>
        <w:t xml:space="preserve">1. výzva je </w:t>
      </w:r>
      <w:r w:rsidR="003F78B9" w:rsidRPr="00790F3E">
        <w:rPr>
          <w:rFonts w:ascii="Calibri" w:hAnsi="Calibri" w:cs="Calibri"/>
          <w:noProof/>
        </w:rPr>
        <w:t xml:space="preserve">vyhodnocena </w:t>
      </w:r>
      <w:r w:rsidR="0074560B" w:rsidRPr="00790F3E">
        <w:rPr>
          <w:rFonts w:ascii="Calibri" w:hAnsi="Calibri" w:cs="Calibri"/>
          <w:noProof/>
        </w:rPr>
        <w:t xml:space="preserve">a </w:t>
      </w:r>
      <w:r w:rsidRPr="0074560B">
        <w:rPr>
          <w:noProof/>
        </w:rPr>
        <w:t xml:space="preserve">2. výzva </w:t>
      </w:r>
      <w:r w:rsidR="0074560B" w:rsidRPr="0074560B">
        <w:rPr>
          <w:noProof/>
        </w:rPr>
        <w:t xml:space="preserve">je plánována </w:t>
      </w:r>
      <w:r w:rsidRPr="0074560B">
        <w:rPr>
          <w:noProof/>
        </w:rPr>
        <w:t>s předběžným termínem vyhláše</w:t>
      </w:r>
      <w:r w:rsidRPr="008739AE">
        <w:rPr>
          <w:noProof/>
        </w:rPr>
        <w:t>ní konec roku 2019.</w:t>
      </w:r>
    </w:p>
    <w:p w:rsidR="00D769DB" w:rsidRPr="00D769DB" w:rsidRDefault="00F166A4" w:rsidP="00F20DF0">
      <w:pPr>
        <w:pStyle w:val="Odstavecseseznamem"/>
        <w:numPr>
          <w:ilvl w:val="0"/>
          <w:numId w:val="12"/>
        </w:numPr>
        <w:spacing w:after="0" w:line="240" w:lineRule="auto"/>
        <w:ind w:left="714" w:hanging="357"/>
        <w:jc w:val="both"/>
        <w:rPr>
          <w:rFonts w:cstheme="minorHAnsi"/>
          <w:b/>
        </w:rPr>
      </w:pPr>
      <w:r w:rsidRPr="00D769DB">
        <w:rPr>
          <w:rFonts w:cstheme="minorHAnsi"/>
          <w:b/>
          <w:lang/>
        </w:rPr>
        <w:t xml:space="preserve"> ÉTA ( TA ČR) </w:t>
      </w:r>
      <w:r w:rsidR="00D769DB">
        <w:rPr>
          <w:rFonts w:cstheme="minorHAnsi"/>
          <w:b/>
        </w:rPr>
        <w:t>vyhlášená 3. veřejná soutěž</w:t>
      </w:r>
      <w:r w:rsidRPr="00D769DB">
        <w:rPr>
          <w:rFonts w:cstheme="minorHAnsi"/>
          <w:b/>
        </w:rPr>
        <w:t>. Z celkových 580 mil. Kč</w:t>
      </w:r>
      <w:r w:rsidRPr="00D769DB">
        <w:rPr>
          <w:rFonts w:cstheme="minorHAnsi"/>
        </w:rPr>
        <w:t xml:space="preserve">, které rozdělí Technologická agentura ČR na podporu společenskovědního výzkumu, </w:t>
      </w:r>
      <w:r w:rsidRPr="00D769DB">
        <w:rPr>
          <w:rFonts w:cstheme="minorHAnsi"/>
          <w:u w:val="single"/>
        </w:rPr>
        <w:t>připadn</w:t>
      </w:r>
      <w:r w:rsidR="003F78B9">
        <w:rPr>
          <w:rFonts w:cstheme="minorHAnsi"/>
          <w:u w:val="single"/>
        </w:rPr>
        <w:t>ě</w:t>
      </w:r>
      <w:r w:rsidRPr="00D769DB">
        <w:rPr>
          <w:rFonts w:cstheme="minorHAnsi"/>
          <w:u w:val="single"/>
        </w:rPr>
        <w:t xml:space="preserve"> výhradně pro MSK, ÚK a KVK ve specifické alokaci 45 mil.</w:t>
      </w:r>
      <w:r w:rsidR="003F78B9">
        <w:rPr>
          <w:rFonts w:cstheme="minorHAnsi"/>
          <w:u w:val="single"/>
        </w:rPr>
        <w:t>Kč.</w:t>
      </w:r>
      <w:r w:rsidRPr="00D769DB">
        <w:rPr>
          <w:rFonts w:cstheme="minorHAnsi"/>
          <w:u w:val="single"/>
        </w:rPr>
        <w:t xml:space="preserve"> </w:t>
      </w:r>
      <w:r w:rsidRPr="00D769DB">
        <w:rPr>
          <w:rFonts w:cstheme="minorHAnsi"/>
        </w:rPr>
        <w:t>Konec soutěžní lhůty: 31. 10. 2019</w:t>
      </w:r>
    </w:p>
    <w:p w:rsidR="00F166A4" w:rsidRPr="00D769DB" w:rsidRDefault="00F166A4" w:rsidP="00F20DF0">
      <w:pPr>
        <w:pStyle w:val="Odstavecseseznamem"/>
        <w:numPr>
          <w:ilvl w:val="0"/>
          <w:numId w:val="12"/>
        </w:numPr>
        <w:spacing w:after="0" w:line="240" w:lineRule="auto"/>
        <w:ind w:left="714" w:hanging="357"/>
        <w:jc w:val="both"/>
        <w:rPr>
          <w:rFonts w:cstheme="minorHAnsi"/>
        </w:rPr>
      </w:pPr>
      <w:r w:rsidRPr="00D769DB">
        <w:rPr>
          <w:rFonts w:cstheme="minorHAnsi"/>
          <w:b/>
        </w:rPr>
        <w:t>THÉTA</w:t>
      </w:r>
      <w:r w:rsidR="00D769DB" w:rsidRPr="00D769DB">
        <w:rPr>
          <w:rFonts w:cstheme="minorHAnsi"/>
          <w:b/>
        </w:rPr>
        <w:t xml:space="preserve"> (TA ČR)</w:t>
      </w:r>
      <w:r w:rsidRPr="00D769DB">
        <w:rPr>
          <w:rFonts w:cstheme="minorHAnsi"/>
          <w:b/>
        </w:rPr>
        <w:t xml:space="preserve"> k připravované 3. veřejné soutěži:</w:t>
      </w:r>
      <w:r w:rsidR="00D769DB" w:rsidRPr="00D769DB">
        <w:rPr>
          <w:rFonts w:cstheme="minorHAnsi"/>
          <w:b/>
        </w:rPr>
        <w:t xml:space="preserve"> </w:t>
      </w:r>
      <w:r w:rsidRPr="00D769DB">
        <w:rPr>
          <w:rFonts w:cstheme="minorHAnsi"/>
        </w:rPr>
        <w:t>- zaměření programu vychází z aktualizované Státní energetické koncepce ČR, - podpora výzkumu, vývoje a inovací v oblasti energetiky má 3 podprogramy PP1 - Výzkum ve veřejném zájmu, PP2 – Strategické energetické technologie, PP3 - Dlouhodobé technologické perspektivy</w:t>
      </w:r>
      <w:r w:rsidR="00D769DB" w:rsidRPr="00D769DB">
        <w:rPr>
          <w:rFonts w:cstheme="minorHAnsi"/>
        </w:rPr>
        <w:t xml:space="preserve"> </w:t>
      </w:r>
      <w:r w:rsidRPr="00D769DB">
        <w:rPr>
          <w:rFonts w:cstheme="minorHAnsi"/>
        </w:rPr>
        <w:t>- plánovaný termín vyhlášení 23. 10. 2019, soutěžní lhůta 24. 10. – 19. 12. 2019.</w:t>
      </w:r>
      <w:r w:rsidR="00D769DB">
        <w:rPr>
          <w:rFonts w:cstheme="minorHAnsi"/>
        </w:rPr>
        <w:t xml:space="preserve">  C</w:t>
      </w:r>
      <w:r w:rsidRPr="00D769DB">
        <w:rPr>
          <w:rFonts w:cstheme="minorHAnsi"/>
        </w:rPr>
        <w:t>elková alokace 735 mil. Kč, podpora: PP1 90%, PP2 60%, PP3 90%.</w:t>
      </w:r>
      <w:r w:rsidR="0074560B">
        <w:rPr>
          <w:rFonts w:cstheme="minorHAnsi"/>
        </w:rPr>
        <w:t xml:space="preserve"> </w:t>
      </w:r>
      <w:r w:rsidR="0074560B" w:rsidRPr="00F20DF0">
        <w:rPr>
          <w:rFonts w:cstheme="minorHAnsi"/>
          <w:u w:val="single"/>
        </w:rPr>
        <w:t>Specifická alokace pro MSK, ÚK a KVK bude 60 mil. Kč</w:t>
      </w:r>
      <w:r w:rsidR="0074560B">
        <w:rPr>
          <w:rFonts w:cstheme="minorHAnsi"/>
        </w:rPr>
        <w:t>.</w:t>
      </w:r>
    </w:p>
    <w:p w:rsidR="00B75876" w:rsidRPr="008739AE" w:rsidRDefault="000F2BD0" w:rsidP="008739AE">
      <w:pPr>
        <w:numPr>
          <w:ilvl w:val="0"/>
          <w:numId w:val="12"/>
        </w:numPr>
        <w:spacing w:after="200" w:line="276" w:lineRule="auto"/>
        <w:contextualSpacing/>
        <w:jc w:val="both"/>
        <w:rPr>
          <w:rFonts w:ascii="Calibri" w:hAnsi="Calibri" w:cs="Calibri"/>
          <w:bCs/>
          <w:noProof/>
        </w:rPr>
      </w:pPr>
      <w:r w:rsidRPr="00F20DF0">
        <w:rPr>
          <w:rFonts w:ascii="Calibri" w:hAnsi="Calibri" w:cs="Calibri"/>
          <w:b/>
          <w:bCs/>
          <w:noProof/>
          <w:u w:val="single"/>
        </w:rPr>
        <w:t>Státní fond životního prostředí</w:t>
      </w:r>
      <w:r>
        <w:rPr>
          <w:rFonts w:ascii="Calibri" w:hAnsi="Calibri" w:cs="Calibri"/>
          <w:bCs/>
          <w:noProof/>
        </w:rPr>
        <w:t xml:space="preserve"> tzv. Kotlíkové dotace – pro strukturálně postižené regiony možnost čerpat bezúročn</w:t>
      </w:r>
      <w:r w:rsidR="003F78B9">
        <w:rPr>
          <w:rFonts w:ascii="Calibri" w:hAnsi="Calibri" w:cs="Calibri"/>
          <w:bCs/>
          <w:noProof/>
        </w:rPr>
        <w:t>é</w:t>
      </w:r>
      <w:r>
        <w:rPr>
          <w:rFonts w:ascii="Calibri" w:hAnsi="Calibri" w:cs="Calibri"/>
          <w:bCs/>
          <w:noProof/>
        </w:rPr>
        <w:t xml:space="preserve"> půjč</w:t>
      </w:r>
      <w:r w:rsidR="003F78B9">
        <w:rPr>
          <w:rFonts w:ascii="Calibri" w:hAnsi="Calibri" w:cs="Calibri"/>
          <w:bCs/>
          <w:noProof/>
        </w:rPr>
        <w:t>ky</w:t>
      </w:r>
      <w:r>
        <w:rPr>
          <w:rFonts w:ascii="Calibri" w:hAnsi="Calibri" w:cs="Calibri"/>
          <w:bCs/>
          <w:noProof/>
        </w:rPr>
        <w:t xml:space="preserve"> s alokací 740 mil. Kč.</w:t>
      </w:r>
    </w:p>
    <w:p w:rsidR="008739AE" w:rsidRPr="008739AE" w:rsidRDefault="00CC61B8" w:rsidP="00CC61B8">
      <w:pPr>
        <w:pStyle w:val="Nadpis2"/>
      </w:pPr>
      <w:bookmarkStart w:id="12" w:name="_Toc22021566"/>
      <w:r>
        <w:t xml:space="preserve">Plán činnosti </w:t>
      </w:r>
      <w:r w:rsidR="008739AE" w:rsidRPr="008739AE">
        <w:t>pro AP4</w:t>
      </w:r>
      <w:bookmarkEnd w:id="12"/>
    </w:p>
    <w:p w:rsidR="008739AE" w:rsidRPr="008739AE" w:rsidRDefault="008739AE" w:rsidP="000F2BD0">
      <w:pPr>
        <w:numPr>
          <w:ilvl w:val="0"/>
          <w:numId w:val="22"/>
        </w:numPr>
        <w:spacing w:after="200" w:line="276" w:lineRule="auto"/>
        <w:contextualSpacing/>
        <w:jc w:val="both"/>
        <w:rPr>
          <w:noProof/>
        </w:rPr>
      </w:pPr>
      <w:r w:rsidRPr="008739AE">
        <w:rPr>
          <w:noProof/>
        </w:rPr>
        <w:t>V roce 2019/2020 prob</w:t>
      </w:r>
      <w:r w:rsidR="00FC1F0A">
        <w:rPr>
          <w:noProof/>
        </w:rPr>
        <w:t>ěhne</w:t>
      </w:r>
      <w:r w:rsidRPr="008739AE">
        <w:rPr>
          <w:noProof/>
        </w:rPr>
        <w:t xml:space="preserve"> aktualizace Vstupní analýzy a také Aktualizace Strategického rámce. Jedná se o pravidelný 3 letý cyklus, který zajištuje ověřování změny stavu ve strukturálně postižených regionech a také aktuálnost nastavení a rozsahu 7 definovaných pilířů. </w:t>
      </w:r>
      <w:r w:rsidR="00CC61B8">
        <w:rPr>
          <w:noProof/>
        </w:rPr>
        <w:t>Tato ak</w:t>
      </w:r>
      <w:r w:rsidR="003F78B9">
        <w:rPr>
          <w:noProof/>
        </w:rPr>
        <w:t>t</w:t>
      </w:r>
      <w:r w:rsidR="00CC61B8">
        <w:rPr>
          <w:noProof/>
        </w:rPr>
        <w:t>ualizace bude realizována i ve vazbě na výstupy Uhelné komise České republiky.</w:t>
      </w:r>
    </w:p>
    <w:p w:rsidR="008739AE" w:rsidRPr="008739AE" w:rsidRDefault="00CC61B8" w:rsidP="000F2BD0">
      <w:pPr>
        <w:numPr>
          <w:ilvl w:val="0"/>
          <w:numId w:val="22"/>
        </w:numPr>
        <w:spacing w:after="200" w:line="276" w:lineRule="auto"/>
        <w:contextualSpacing/>
        <w:jc w:val="both"/>
        <w:rPr>
          <w:noProof/>
        </w:rPr>
      </w:pPr>
      <w:r w:rsidRPr="008739AE">
        <w:rPr>
          <w:noProof/>
        </w:rPr>
        <w:t>V roce 2019/2020 pro</w:t>
      </w:r>
      <w:r w:rsidR="00FC1F0A">
        <w:rPr>
          <w:noProof/>
        </w:rPr>
        <w:t>běhne</w:t>
      </w:r>
      <w:r w:rsidR="008739AE" w:rsidRPr="008739AE">
        <w:rPr>
          <w:noProof/>
        </w:rPr>
        <w:t xml:space="preserve"> </w:t>
      </w:r>
      <w:r>
        <w:rPr>
          <w:noProof/>
        </w:rPr>
        <w:t xml:space="preserve">příprava </w:t>
      </w:r>
      <w:r w:rsidR="008739AE" w:rsidRPr="008739AE">
        <w:rPr>
          <w:noProof/>
        </w:rPr>
        <w:t>metodiky pro výběr strategických projektů včetně metodiky jejich hodnocení a možné podpory různých fází připravenosti.</w:t>
      </w:r>
    </w:p>
    <w:p w:rsidR="008739AE" w:rsidRPr="008739AE" w:rsidRDefault="008739AE" w:rsidP="008739AE">
      <w:pPr>
        <w:numPr>
          <w:ilvl w:val="0"/>
          <w:numId w:val="10"/>
        </w:numPr>
        <w:spacing w:after="200" w:line="276" w:lineRule="auto"/>
        <w:contextualSpacing/>
        <w:jc w:val="both"/>
        <w:rPr>
          <w:noProof/>
        </w:rPr>
      </w:pPr>
      <w:r w:rsidRPr="008739AE">
        <w:rPr>
          <w:noProof/>
        </w:rPr>
        <w:t>Dále probíhá příprava 4. Akčního plánu</w:t>
      </w:r>
      <w:r w:rsidR="00CC61B8">
        <w:rPr>
          <w:noProof/>
        </w:rPr>
        <w:t>,</w:t>
      </w:r>
      <w:r w:rsidRPr="008739AE">
        <w:rPr>
          <w:noProof/>
        </w:rPr>
        <w:t xml:space="preserve"> jehož cílem bude zejména hodnocení implementace stávajících akčních plánů a případná aktualizace již schválených opatření tak, aby lépe odpovídal</w:t>
      </w:r>
      <w:r w:rsidR="005A5670">
        <w:rPr>
          <w:noProof/>
        </w:rPr>
        <w:t>a</w:t>
      </w:r>
      <w:r w:rsidRPr="008739AE">
        <w:rPr>
          <w:noProof/>
        </w:rPr>
        <w:t xml:space="preserve"> potřebám strukturálně postižených regionů. </w:t>
      </w:r>
    </w:p>
    <w:p w:rsidR="008739AE" w:rsidRPr="008739AE" w:rsidRDefault="00CC61B8" w:rsidP="008739AE">
      <w:pPr>
        <w:numPr>
          <w:ilvl w:val="0"/>
          <w:numId w:val="10"/>
        </w:numPr>
        <w:spacing w:after="200" w:line="276" w:lineRule="auto"/>
        <w:contextualSpacing/>
        <w:jc w:val="both"/>
        <w:rPr>
          <w:noProof/>
        </w:rPr>
      </w:pPr>
      <w:r>
        <w:rPr>
          <w:noProof/>
        </w:rPr>
        <w:t>Probíh</w:t>
      </w:r>
      <w:r w:rsidR="003F78B9">
        <w:rPr>
          <w:noProof/>
        </w:rPr>
        <w:t>a</w:t>
      </w:r>
      <w:r>
        <w:rPr>
          <w:noProof/>
        </w:rPr>
        <w:t xml:space="preserve">jí jednání s NOK a ŘO o </w:t>
      </w:r>
      <w:r w:rsidR="008739AE" w:rsidRPr="008739AE">
        <w:rPr>
          <w:noProof/>
        </w:rPr>
        <w:t>promítn</w:t>
      </w:r>
      <w:r>
        <w:rPr>
          <w:noProof/>
        </w:rPr>
        <w:t xml:space="preserve">utí potřeb strukturálně postižených regionů a strategie RE:START </w:t>
      </w:r>
      <w:r w:rsidR="00F20DF0">
        <w:rPr>
          <w:noProof/>
        </w:rPr>
        <w:t xml:space="preserve">v rámci územní dimenze </w:t>
      </w:r>
      <w:r>
        <w:rPr>
          <w:noProof/>
        </w:rPr>
        <w:t xml:space="preserve">do nových </w:t>
      </w:r>
      <w:r w:rsidR="008739AE" w:rsidRPr="008739AE">
        <w:rPr>
          <w:noProof/>
        </w:rPr>
        <w:t>operačních programů v programovém období 202</w:t>
      </w:r>
      <w:r w:rsidR="00F20DF0">
        <w:rPr>
          <w:noProof/>
        </w:rPr>
        <w:t>1</w:t>
      </w:r>
      <w:r w:rsidR="008739AE" w:rsidRPr="008739AE">
        <w:rPr>
          <w:noProof/>
        </w:rPr>
        <w:t>+.</w:t>
      </w:r>
    </w:p>
    <w:p w:rsidR="008739AE" w:rsidRDefault="008739AE" w:rsidP="000B4253"/>
    <w:p w:rsidR="00FA4A66" w:rsidRDefault="00FA4A66" w:rsidP="00FA4A66">
      <w:pPr>
        <w:pStyle w:val="Nadpis2"/>
      </w:pPr>
      <w:bookmarkStart w:id="13" w:name="_Toc22021567"/>
      <w:r>
        <w:t>Bariéry a rizika</w:t>
      </w:r>
      <w:bookmarkEnd w:id="13"/>
    </w:p>
    <w:p w:rsidR="00FB3EFA" w:rsidRPr="00AD0D4D" w:rsidRDefault="00FB3EFA" w:rsidP="00FB3EFA">
      <w:pPr>
        <w:rPr>
          <w:bCs/>
          <w:u w:val="single"/>
        </w:rPr>
      </w:pPr>
      <w:r w:rsidRPr="00AD0D4D">
        <w:rPr>
          <w:bCs/>
          <w:u w:val="single"/>
        </w:rPr>
        <w:t>Oblasti, na něž je třeba se zaměřit:</w:t>
      </w:r>
    </w:p>
    <w:p w:rsidR="00FB3EFA" w:rsidRPr="0045597A" w:rsidRDefault="00FB3EFA" w:rsidP="0045597A">
      <w:pPr>
        <w:pStyle w:val="Odstavecseseznamem"/>
        <w:numPr>
          <w:ilvl w:val="0"/>
          <w:numId w:val="17"/>
        </w:numPr>
        <w:spacing w:after="160" w:line="259" w:lineRule="auto"/>
        <w:jc w:val="both"/>
        <w:rPr>
          <w:b/>
        </w:rPr>
      </w:pPr>
      <w:r w:rsidRPr="0032287C">
        <w:rPr>
          <w:b/>
        </w:rPr>
        <w:t>Některá opatření nejsou ze strany příslušných re</w:t>
      </w:r>
      <w:r w:rsidR="0045597A">
        <w:rPr>
          <w:b/>
        </w:rPr>
        <w:t>s</w:t>
      </w:r>
      <w:r w:rsidRPr="0032287C">
        <w:rPr>
          <w:b/>
        </w:rPr>
        <w:t>ortů plněna</w:t>
      </w:r>
      <w:r w:rsidRPr="00AD0D4D">
        <w:t>.</w:t>
      </w:r>
      <w:r w:rsidRPr="0032287C">
        <w:rPr>
          <w:b/>
        </w:rPr>
        <w:t xml:space="preserve"> </w:t>
      </w:r>
      <w:r>
        <w:t xml:space="preserve">Hlavním problémem je </w:t>
      </w:r>
      <w:r w:rsidRPr="00AD0D4D">
        <w:t xml:space="preserve">delší časová prodleva či </w:t>
      </w:r>
      <w:r>
        <w:t>ne</w:t>
      </w:r>
      <w:r w:rsidRPr="00AD0D4D">
        <w:t>poskytnutí zpětné vazby od resortů k nastavení harmonogramu</w:t>
      </w:r>
      <w:r>
        <w:t xml:space="preserve">. V některých případech dochází k odmítnutí splnění úkolu vyplývajícího z usnesení vlády  s odvoláním na nedostatek finančních zdrojů, či jiné důvody. </w:t>
      </w:r>
      <w:r w:rsidRPr="0045597A">
        <w:t>Návrh řešení:</w:t>
      </w:r>
      <w:r w:rsidRPr="004F4198">
        <w:t xml:space="preserve"> </w:t>
      </w:r>
      <w:r w:rsidRPr="00AD0D4D">
        <w:t>vláda bude průběžně informována a bude vyhodnocovat schopnost naplňování. Současně bude díky posílení výkonné role v území průběžně vyhodnocováno naplňování</w:t>
      </w:r>
      <w:r>
        <w:t xml:space="preserve"> i na úrovni konkrétních projektů</w:t>
      </w:r>
      <w:r w:rsidRPr="00AD0D4D">
        <w:t>.</w:t>
      </w:r>
    </w:p>
    <w:p w:rsidR="00FB3EFA" w:rsidRPr="00AD0D4D" w:rsidRDefault="00FB3EFA" w:rsidP="00FB3EFA">
      <w:pPr>
        <w:pStyle w:val="Odstavecseseznamem"/>
        <w:numPr>
          <w:ilvl w:val="0"/>
          <w:numId w:val="17"/>
        </w:numPr>
        <w:spacing w:after="160" w:line="259" w:lineRule="auto"/>
        <w:jc w:val="both"/>
      </w:pPr>
      <w:r w:rsidRPr="00675B49">
        <w:rPr>
          <w:b/>
        </w:rPr>
        <w:t>Ve výzvách přetrvávají bariéry, které snižují možnost čerpání i efekty v území</w:t>
      </w:r>
      <w:r w:rsidRPr="00AD0D4D">
        <w:t xml:space="preserve">.           </w:t>
      </w:r>
    </w:p>
    <w:p w:rsidR="00FB3EFA" w:rsidRPr="00AD0D4D" w:rsidRDefault="00FB3EFA" w:rsidP="00FB3EFA">
      <w:pPr>
        <w:pStyle w:val="Odstavecseseznamem"/>
        <w:jc w:val="both"/>
      </w:pPr>
      <w:r w:rsidRPr="00790F3E">
        <w:lastRenderedPageBreak/>
        <w:t>Návrh řešení:</w:t>
      </w:r>
      <w:r w:rsidRPr="00AD0D4D">
        <w:t xml:space="preserve"> </w:t>
      </w:r>
      <w:r w:rsidR="005A5670">
        <w:t>b</w:t>
      </w:r>
      <w:r w:rsidRPr="00AD0D4D">
        <w:t>ude dle možností OP kladen důraz na specifické výzvy</w:t>
      </w:r>
      <w:r>
        <w:t>, které umožní zohlednění potřeb dotčených krajů a efektivnější zacílení prostředků.</w:t>
      </w:r>
    </w:p>
    <w:p w:rsidR="00FB3EFA" w:rsidRPr="00675B49" w:rsidRDefault="00FB3EFA" w:rsidP="00FB3EFA">
      <w:pPr>
        <w:pStyle w:val="Odstavecseseznamem"/>
        <w:numPr>
          <w:ilvl w:val="0"/>
          <w:numId w:val="17"/>
        </w:numPr>
        <w:spacing w:after="160" w:line="259" w:lineRule="auto"/>
        <w:jc w:val="both"/>
        <w:rPr>
          <w:b/>
        </w:rPr>
      </w:pPr>
      <w:r w:rsidRPr="00675B49">
        <w:rPr>
          <w:b/>
        </w:rPr>
        <w:t xml:space="preserve">Návrhy z území pro aktualizace akčních plánů mnohdy nesouvisí s cíli hospodářské restrukturalizace nebo jsou poptávána řešení, která již dostatečně nabízí stávající celoplošné programy. </w:t>
      </w:r>
    </w:p>
    <w:p w:rsidR="00FB3EFA" w:rsidRPr="00AD0D4D" w:rsidRDefault="00FB3EFA" w:rsidP="00FB3EFA">
      <w:pPr>
        <w:pStyle w:val="Odstavecseseznamem"/>
        <w:jc w:val="both"/>
      </w:pPr>
      <w:r w:rsidRPr="00AD0D4D">
        <w:t>Návrh řešení: díky posílení výkonné role v území bude zlepšena komunikace a posílena informovanost regionálních aktérů.</w:t>
      </w:r>
      <w:r w:rsidR="00FC1F0A">
        <w:t xml:space="preserve"> Dále je žádoucí v rámci aktualizace strategického rámce přesněji definovat, jaké aktivity jsou pro naplnění cílů restruk</w:t>
      </w:r>
      <w:r w:rsidR="0045597A">
        <w:t>t</w:t>
      </w:r>
      <w:r w:rsidR="00FC1F0A">
        <w:t>uralizace klíčové a jaké lze označit za doprovodné.</w:t>
      </w:r>
    </w:p>
    <w:p w:rsidR="00FB3EFA" w:rsidRPr="00AD0D4D" w:rsidRDefault="00FB3EFA" w:rsidP="00FB3EFA">
      <w:pPr>
        <w:pStyle w:val="Odstavecseseznamem"/>
        <w:numPr>
          <w:ilvl w:val="0"/>
          <w:numId w:val="17"/>
        </w:numPr>
        <w:spacing w:after="160" w:line="259" w:lineRule="auto"/>
        <w:jc w:val="both"/>
      </w:pPr>
      <w:r w:rsidRPr="00675B49">
        <w:rPr>
          <w:b/>
        </w:rPr>
        <w:t>Nedostatečná připravenost konkrétních projektů v území</w:t>
      </w:r>
      <w:r w:rsidRPr="00AD0D4D">
        <w:t>.</w:t>
      </w:r>
    </w:p>
    <w:p w:rsidR="00FB3EFA" w:rsidRPr="00AD0D4D" w:rsidRDefault="00FB3EFA" w:rsidP="00FB3EFA">
      <w:pPr>
        <w:pStyle w:val="Odstavecseseznamem"/>
        <w:jc w:val="both"/>
      </w:pPr>
      <w:r w:rsidRPr="00AD0D4D">
        <w:t xml:space="preserve">Návrh řešení: zajistit finanční i lidské zdroje na přípravu a development </w:t>
      </w:r>
      <w:r>
        <w:t xml:space="preserve">projektů </w:t>
      </w:r>
      <w:r w:rsidRPr="00AD0D4D">
        <w:t>přímo v</w:t>
      </w:r>
      <w:r w:rsidR="00DD54FC">
        <w:t> </w:t>
      </w:r>
      <w:r w:rsidRPr="00AD0D4D">
        <w:t>území</w:t>
      </w:r>
      <w:r w:rsidR="00DD54FC">
        <w:t>.</w:t>
      </w:r>
    </w:p>
    <w:p w:rsidR="00FB3EFA" w:rsidRPr="00AD0D4D" w:rsidRDefault="00FB3EFA" w:rsidP="00FB3EFA">
      <w:pPr>
        <w:pStyle w:val="Odstavecseseznamem"/>
        <w:numPr>
          <w:ilvl w:val="0"/>
          <w:numId w:val="17"/>
        </w:numPr>
        <w:spacing w:after="160" w:line="259" w:lineRule="auto"/>
        <w:jc w:val="both"/>
      </w:pPr>
      <w:r w:rsidRPr="00675B49">
        <w:rPr>
          <w:b/>
        </w:rPr>
        <w:t>Stávající pravidla evropských dotačních programů neumožňující realizaci některých typů aktivit</w:t>
      </w:r>
      <w:r w:rsidRPr="00AD0D4D">
        <w:t>.</w:t>
      </w:r>
    </w:p>
    <w:p w:rsidR="00FB3EFA" w:rsidRDefault="00FB3EFA" w:rsidP="00FB3EFA">
      <w:pPr>
        <w:pStyle w:val="Odstavecseseznamem"/>
        <w:jc w:val="both"/>
      </w:pPr>
      <w:r w:rsidRPr="00AD0D4D">
        <w:t>Návrh řešení: větší aktivita řídících orgánů</w:t>
      </w:r>
      <w:r>
        <w:t xml:space="preserve"> </w:t>
      </w:r>
      <w:r w:rsidR="0060612D">
        <w:t>(</w:t>
      </w:r>
      <w:r w:rsidR="00C7621D">
        <w:t xml:space="preserve">v koordinaci s </w:t>
      </w:r>
      <w:r>
        <w:t>Národní</w:t>
      </w:r>
      <w:r w:rsidR="00C7621D">
        <w:t>m</w:t>
      </w:r>
      <w:r>
        <w:t xml:space="preserve"> orgán</w:t>
      </w:r>
      <w:r w:rsidR="00C7621D">
        <w:t>em</w:t>
      </w:r>
      <w:r>
        <w:t xml:space="preserve"> pro koordinaci</w:t>
      </w:r>
      <w:r w:rsidR="0060612D">
        <w:t>)</w:t>
      </w:r>
      <w:r>
        <w:t xml:space="preserve"> s cílem v odůvodněných případech </w:t>
      </w:r>
      <w:r w:rsidRPr="00AD0D4D">
        <w:t>vyjednat s EK změnu podmínek i v průběhu probíhajícího programového období</w:t>
      </w:r>
      <w:r>
        <w:t xml:space="preserve"> a adekvátně zohlednit implementaci programu RE:START v programovém období 2021+.</w:t>
      </w:r>
    </w:p>
    <w:p w:rsidR="00FB3EFA" w:rsidRDefault="00FB3EFA" w:rsidP="00FB3EFA">
      <w:pPr>
        <w:pStyle w:val="Odstavecseseznamem"/>
        <w:numPr>
          <w:ilvl w:val="0"/>
          <w:numId w:val="17"/>
        </w:numPr>
        <w:spacing w:after="160" w:line="259" w:lineRule="auto"/>
        <w:jc w:val="both"/>
      </w:pPr>
      <w:r w:rsidRPr="00675B49">
        <w:rPr>
          <w:b/>
        </w:rPr>
        <w:t>Skrze RE</w:t>
      </w:r>
      <w:r w:rsidR="0045597A">
        <w:rPr>
          <w:b/>
        </w:rPr>
        <w:t>:</w:t>
      </w:r>
      <w:r w:rsidRPr="00675B49">
        <w:rPr>
          <w:b/>
        </w:rPr>
        <w:t>START není možné podporovat konkrétní projekty, šlo by o formu účelové dotace.</w:t>
      </w:r>
      <w:r w:rsidRPr="00BE61C1">
        <w:t xml:space="preserve"> Návrh řešení: Národní výkonný tým navrhne novou metodiku pro hodnocení a výběr konkrétních projektů, po konzultaci v Poradním týmu </w:t>
      </w:r>
      <w:r w:rsidR="0045597A">
        <w:t xml:space="preserve">ministryně </w:t>
      </w:r>
      <w:r w:rsidRPr="00BE61C1">
        <w:t>bude předložena vládě v příštím roce.</w:t>
      </w:r>
    </w:p>
    <w:p w:rsidR="00F20DF0" w:rsidRPr="00F20DF0" w:rsidRDefault="0007692B" w:rsidP="0007692B">
      <w:pPr>
        <w:pStyle w:val="Odstavecseseznamem"/>
        <w:numPr>
          <w:ilvl w:val="0"/>
          <w:numId w:val="17"/>
        </w:numPr>
        <w:spacing w:after="160" w:line="259" w:lineRule="auto"/>
        <w:jc w:val="both"/>
      </w:pPr>
      <w:r>
        <w:rPr>
          <w:b/>
        </w:rPr>
        <w:t>I přes relativně úspěšnou implementaci není širokou veřejností vnímán dostatečně pozitivní přínos programu RE:START</w:t>
      </w:r>
      <w:r w:rsidR="0045597A">
        <w:rPr>
          <w:b/>
        </w:rPr>
        <w:t>.</w:t>
      </w:r>
      <w:r>
        <w:rPr>
          <w:b/>
        </w:rPr>
        <w:t xml:space="preserve"> </w:t>
      </w:r>
    </w:p>
    <w:p w:rsidR="0007692B" w:rsidRDefault="00F20DF0" w:rsidP="00F20DF0">
      <w:pPr>
        <w:pStyle w:val="Odstavecseseznamem"/>
        <w:spacing w:after="160" w:line="259" w:lineRule="auto"/>
        <w:jc w:val="both"/>
      </w:pPr>
      <w:r w:rsidRPr="00F20DF0">
        <w:t>Návrh na řešení</w:t>
      </w:r>
      <w:r>
        <w:t>:</w:t>
      </w:r>
      <w:r w:rsidR="0007692B">
        <w:rPr>
          <w:b/>
        </w:rPr>
        <w:t xml:space="preserve"> </w:t>
      </w:r>
      <w:r w:rsidR="0007692B" w:rsidRPr="0007692B">
        <w:t>posí</w:t>
      </w:r>
      <w:r w:rsidR="00FC1F0A">
        <w:t xml:space="preserve">lit  proces realizace zejména u zatím neplněných opatření a také </w:t>
      </w:r>
      <w:r w:rsidR="0007692B" w:rsidRPr="0007692B">
        <w:t xml:space="preserve"> všeobecné povědomí o cílech a výsledcích programu RE:START</w:t>
      </w:r>
      <w:r w:rsidR="00FC1F0A">
        <w:t>. V</w:t>
      </w:r>
      <w:r w:rsidR="0007692B" w:rsidRPr="0007692B">
        <w:t> souvislosti s tím, posíl</w:t>
      </w:r>
      <w:r w:rsidR="00FC1F0A">
        <w:t>i</w:t>
      </w:r>
      <w:r w:rsidR="0007692B" w:rsidRPr="0007692B">
        <w:t>t odkaz</w:t>
      </w:r>
      <w:r w:rsidR="0045597A">
        <w:t>y</w:t>
      </w:r>
      <w:r w:rsidR="0007692B" w:rsidRPr="0007692B">
        <w:t xml:space="preserve"> na program RE:START i v rámci publicity souvisej</w:t>
      </w:r>
      <w:r w:rsidR="0045597A">
        <w:t>í</w:t>
      </w:r>
      <w:r w:rsidR="0007692B" w:rsidRPr="0007692B">
        <w:t>cích dotačních titulů ze strany jednotlivých odpovědnýc</w:t>
      </w:r>
      <w:r w:rsidR="0045597A">
        <w:t>h</w:t>
      </w:r>
      <w:r w:rsidR="0007692B" w:rsidRPr="0007692B">
        <w:t xml:space="preserve"> resortů</w:t>
      </w:r>
      <w:r w:rsidR="0007692B" w:rsidRPr="00790F3E">
        <w:t>.</w:t>
      </w:r>
    </w:p>
    <w:p w:rsidR="00390EDF" w:rsidRDefault="00390EDF" w:rsidP="00FB3EFA">
      <w:pPr>
        <w:jc w:val="both"/>
        <w:rPr>
          <w:u w:val="single"/>
        </w:rPr>
      </w:pPr>
    </w:p>
    <w:p w:rsidR="00FB3EFA" w:rsidRPr="00AD0D4D" w:rsidRDefault="00FB3EFA" w:rsidP="00FB3EFA">
      <w:pPr>
        <w:jc w:val="both"/>
        <w:rPr>
          <w:u w:val="single"/>
        </w:rPr>
      </w:pPr>
      <w:r w:rsidRPr="00AD0D4D">
        <w:rPr>
          <w:u w:val="single"/>
        </w:rPr>
        <w:t>Za nejvýznamnější rizika procesu hospodářské restrukturalizace lze považovat:</w:t>
      </w:r>
    </w:p>
    <w:p w:rsidR="0032287C" w:rsidRDefault="00FB3EFA" w:rsidP="00390EDF">
      <w:pPr>
        <w:pStyle w:val="Odstavecseseznamem"/>
        <w:numPr>
          <w:ilvl w:val="0"/>
          <w:numId w:val="17"/>
        </w:numPr>
        <w:spacing w:after="160" w:line="259" w:lineRule="auto"/>
        <w:jc w:val="both"/>
      </w:pPr>
      <w:r w:rsidRPr="0032287C">
        <w:rPr>
          <w:b/>
        </w:rPr>
        <w:t>Přerušení procesu hospodářské restrukturalizace</w:t>
      </w:r>
      <w:r w:rsidRPr="00AD0D4D">
        <w:t xml:space="preserve">, zvláště když se již podařilo vzbudit zájem krajských </w:t>
      </w:r>
      <w:r>
        <w:t>aktérů</w:t>
      </w:r>
      <w:r w:rsidRPr="00AD0D4D">
        <w:t xml:space="preserve"> a </w:t>
      </w:r>
      <w:r>
        <w:t>aktivovat</w:t>
      </w:r>
      <w:r w:rsidRPr="00AD0D4D">
        <w:t xml:space="preserve"> je. Znovuzískání důvěry by bylo velice obtížné.</w:t>
      </w:r>
    </w:p>
    <w:p w:rsidR="00FB3EFA" w:rsidRDefault="00FB3EFA" w:rsidP="00390EDF">
      <w:pPr>
        <w:pStyle w:val="Odstavecseseznamem"/>
        <w:numPr>
          <w:ilvl w:val="0"/>
          <w:numId w:val="17"/>
        </w:numPr>
        <w:spacing w:after="160" w:line="259" w:lineRule="auto"/>
        <w:jc w:val="both"/>
      </w:pPr>
      <w:r w:rsidRPr="0032287C">
        <w:rPr>
          <w:b/>
        </w:rPr>
        <w:t>Nezajištění potřebných finančních zdrojů</w:t>
      </w:r>
      <w:r w:rsidRPr="00AD0D4D">
        <w:t xml:space="preserve"> nebo poskytování finančních zdrojů opatřením ad hoc či významné výkyvy v dostupnosti finančních zdrojů. Všechny tři případy </w:t>
      </w:r>
      <w:r>
        <w:t xml:space="preserve">by měly </w:t>
      </w:r>
      <w:r w:rsidRPr="00AD0D4D">
        <w:t>za následek ztrátu důvěry krajských subjektů</w:t>
      </w:r>
      <w:r>
        <w:t xml:space="preserve"> a rozmělnění celého procesu restrukturalizace.</w:t>
      </w:r>
    </w:p>
    <w:p w:rsidR="00D7458B" w:rsidRDefault="00D7458B" w:rsidP="00FB3EFA">
      <w:pPr>
        <w:pStyle w:val="Nadpis1"/>
      </w:pPr>
      <w:bookmarkStart w:id="14" w:name="_Toc22021568"/>
      <w:r>
        <w:lastRenderedPageBreak/>
        <w:t>Platforma pro uhelné regiony v transformaci</w:t>
      </w:r>
      <w:bookmarkEnd w:id="14"/>
    </w:p>
    <w:p w:rsidR="001913EE" w:rsidRDefault="001913EE" w:rsidP="002F3109">
      <w:pPr>
        <w:pStyle w:val="Odstavecseseznamem"/>
        <w:numPr>
          <w:ilvl w:val="0"/>
          <w:numId w:val="17"/>
        </w:numPr>
        <w:tabs>
          <w:tab w:val="num" w:pos="1440"/>
        </w:tabs>
        <w:jc w:val="both"/>
      </w:pPr>
      <w:r w:rsidRPr="00465C2C">
        <w:t>Platforma je</w:t>
      </w:r>
      <w:r>
        <w:t xml:space="preserve"> jedním z hlavních doprovodných opatření balíčku „Čistá energie pro všechny Evropany (</w:t>
      </w:r>
      <w:r w:rsidRPr="00465C2C">
        <w:t>IP/16/4009)</w:t>
      </w:r>
      <w:r w:rsidR="00DD54FC">
        <w:t>“</w:t>
      </w:r>
      <w:r>
        <w:t>, který byl představen v listopadu 2016.</w:t>
      </w:r>
    </w:p>
    <w:p w:rsidR="001913EE" w:rsidRDefault="001913EE" w:rsidP="002F3109">
      <w:pPr>
        <w:pStyle w:val="Odstavecseseznamem"/>
        <w:numPr>
          <w:ilvl w:val="0"/>
          <w:numId w:val="17"/>
        </w:numPr>
        <w:tabs>
          <w:tab w:val="num" w:pos="1440"/>
        </w:tabs>
        <w:jc w:val="both"/>
      </w:pPr>
      <w:r>
        <w:t>V praxi jsou aktivity Platformy doposud naplňovány především realizac</w:t>
      </w:r>
      <w:r w:rsidR="003775A6">
        <w:t>í</w:t>
      </w:r>
      <w:r>
        <w:t xml:space="preserve"> multilaterálních i bilaterálních dialogů na půdě Evropské komise i přímo v </w:t>
      </w:r>
      <w:r w:rsidR="002F3109">
        <w:t>jednotlivých uhelných regionech</w:t>
      </w:r>
      <w:r>
        <w:t xml:space="preserve">. </w:t>
      </w:r>
    </w:p>
    <w:p w:rsidR="001913EE" w:rsidRDefault="001913EE" w:rsidP="002F3109">
      <w:pPr>
        <w:pStyle w:val="Odstavecseseznamem"/>
        <w:numPr>
          <w:ilvl w:val="0"/>
          <w:numId w:val="17"/>
        </w:numPr>
        <w:tabs>
          <w:tab w:val="num" w:pos="1440"/>
        </w:tabs>
        <w:jc w:val="both"/>
      </w:pPr>
      <w:r w:rsidRPr="002F3109">
        <w:rPr>
          <w:b/>
        </w:rPr>
        <w:t>Česká republika byla zařazena mezi pilotní země Platformy na jaře 2018 a to právě na základě</w:t>
      </w:r>
      <w:r w:rsidR="003775A6" w:rsidRPr="002F3109">
        <w:rPr>
          <w:b/>
        </w:rPr>
        <w:t xml:space="preserve"> realizované </w:t>
      </w:r>
      <w:r w:rsidRPr="002F3109">
        <w:rPr>
          <w:b/>
        </w:rPr>
        <w:t xml:space="preserve">Strategie hospodářské restrukturalizace </w:t>
      </w:r>
      <w:r w:rsidR="005A5670" w:rsidRPr="002F3109">
        <w:rPr>
          <w:b/>
        </w:rPr>
        <w:t>Ústeckého</w:t>
      </w:r>
      <w:r w:rsidR="005A5670">
        <w:rPr>
          <w:b/>
        </w:rPr>
        <w:t xml:space="preserve">, </w:t>
      </w:r>
      <w:r w:rsidRPr="002F3109">
        <w:rPr>
          <w:b/>
        </w:rPr>
        <w:t>Moravskoslezského</w:t>
      </w:r>
      <w:r w:rsidR="00790F3E">
        <w:rPr>
          <w:b/>
        </w:rPr>
        <w:t xml:space="preserve"> </w:t>
      </w:r>
      <w:r w:rsidRPr="002F3109">
        <w:rPr>
          <w:b/>
        </w:rPr>
        <w:t>a Karlovarského kraje</w:t>
      </w:r>
      <w:r w:rsidRPr="00465C2C">
        <w:t>.</w:t>
      </w:r>
      <w:r>
        <w:t xml:space="preserve"> Zástupci Národního výkonného týmu programu RE:START se účastní všech relevantních jednání organizovaných Platformou.</w:t>
      </w:r>
    </w:p>
    <w:p w:rsidR="00F20DF0" w:rsidRDefault="00F20DF0" w:rsidP="002F3109">
      <w:pPr>
        <w:pStyle w:val="Odstavecseseznamem"/>
        <w:numPr>
          <w:ilvl w:val="0"/>
          <w:numId w:val="17"/>
        </w:numPr>
        <w:tabs>
          <w:tab w:val="num" w:pos="1440"/>
        </w:tabs>
        <w:jc w:val="both"/>
      </w:pPr>
      <w:r>
        <w:t xml:space="preserve">V současné době se řeší podoba tzv. </w:t>
      </w:r>
      <w:r w:rsidRPr="00F20DF0">
        <w:rPr>
          <w:b/>
        </w:rPr>
        <w:t>Transformačního fondu. Z pohl</w:t>
      </w:r>
      <w:r w:rsidR="0045597A">
        <w:rPr>
          <w:b/>
        </w:rPr>
        <w:t>e</w:t>
      </w:r>
      <w:r w:rsidRPr="00F20DF0">
        <w:rPr>
          <w:b/>
        </w:rPr>
        <w:t xml:space="preserve">du EK se by se mělo jednat o nástroj, který </w:t>
      </w:r>
      <w:r w:rsidR="0045597A">
        <w:rPr>
          <w:b/>
        </w:rPr>
        <w:t xml:space="preserve">kromě </w:t>
      </w:r>
      <w:r w:rsidRPr="00F20DF0">
        <w:rPr>
          <w:b/>
        </w:rPr>
        <w:t>uhe</w:t>
      </w:r>
      <w:r w:rsidR="0045597A">
        <w:rPr>
          <w:b/>
        </w:rPr>
        <w:t>l</w:t>
      </w:r>
      <w:r w:rsidRPr="00F20DF0">
        <w:rPr>
          <w:b/>
        </w:rPr>
        <w:t>ných regionů bude podporovat také území směřující k dodržení závazku nulové uhlíkové stopy</w:t>
      </w:r>
      <w:r>
        <w:t xml:space="preserve">, zatímco </w:t>
      </w:r>
      <w:r w:rsidRPr="00F20DF0">
        <w:rPr>
          <w:b/>
        </w:rPr>
        <w:t>jednotlivé členské země považují za optimální variantu využití tohoto fondu pouze na transformaci uhelných regionů</w:t>
      </w:r>
      <w:r>
        <w:t>. V této věci se tak stále vedou jednání o konečné podobě a možnostech tohoto Transformačního fondu</w:t>
      </w:r>
      <w:r w:rsidR="00B35EC8">
        <w:t xml:space="preserve"> včetně </w:t>
      </w:r>
      <w:r w:rsidR="00B35EC8" w:rsidRPr="00B35EC8">
        <w:rPr>
          <w:b/>
        </w:rPr>
        <w:t>diskuze zda bude realizován v rámci kohezní politiky či nad její rámec</w:t>
      </w:r>
      <w:r w:rsidR="00B35EC8">
        <w:t>.</w:t>
      </w:r>
    </w:p>
    <w:p w:rsidR="001913EE" w:rsidRPr="007F5DCA" w:rsidRDefault="001913EE" w:rsidP="001913EE">
      <w:pPr>
        <w:tabs>
          <w:tab w:val="num" w:pos="1440"/>
        </w:tabs>
        <w:jc w:val="both"/>
        <w:rPr>
          <w:u w:val="single"/>
        </w:rPr>
      </w:pPr>
      <w:r w:rsidRPr="007F5DCA">
        <w:rPr>
          <w:u w:val="single"/>
        </w:rPr>
        <w:t xml:space="preserve">Hlavní a očekávané přínosy zařazení českých strukturálně postižených / uhelných regionů: </w:t>
      </w:r>
    </w:p>
    <w:p w:rsidR="001913EE" w:rsidRPr="00D81430" w:rsidRDefault="001913EE" w:rsidP="001913EE">
      <w:pPr>
        <w:numPr>
          <w:ilvl w:val="0"/>
          <w:numId w:val="11"/>
        </w:numPr>
        <w:tabs>
          <w:tab w:val="num" w:pos="1440"/>
        </w:tabs>
        <w:spacing w:after="0" w:line="240" w:lineRule="auto"/>
        <w:jc w:val="both"/>
      </w:pPr>
      <w:r w:rsidRPr="00D81430">
        <w:t>Větší podpora ze strany E</w:t>
      </w:r>
      <w:r>
        <w:t>vropské komise</w:t>
      </w:r>
      <w:r w:rsidRPr="00D81430">
        <w:t xml:space="preserve"> celému </w:t>
      </w:r>
      <w:r>
        <w:t xml:space="preserve">transformačnímu </w:t>
      </w:r>
      <w:r w:rsidRPr="00D81430">
        <w:t xml:space="preserve">procesu </w:t>
      </w:r>
      <w:r>
        <w:t>– a to jak nepřímá</w:t>
      </w:r>
      <w:r w:rsidR="004F4198">
        <w:t>,</w:t>
      </w:r>
      <w:r>
        <w:t xml:space="preserve"> prostřednictvím intenzivní konzultační podpory na úrovni jednotlivých opatření programu RE:START, tak přímá prostřednictvím finanční podpory z úrovně </w:t>
      </w:r>
      <w:r w:rsidRPr="00D81430">
        <w:t>ESIF (viz</w:t>
      </w:r>
      <w:r w:rsidR="004F4198">
        <w:t>.</w:t>
      </w:r>
      <w:r w:rsidRPr="00D81430">
        <w:t xml:space="preserve"> </w:t>
      </w:r>
      <w:r>
        <w:t xml:space="preserve">dále v tomto materiálu řešená problematika </w:t>
      </w:r>
      <w:r w:rsidRPr="00D81430">
        <w:t>realokac</w:t>
      </w:r>
      <w:r>
        <w:t xml:space="preserve">í, kdy z úrovně EK byly na konci roku 2018 </w:t>
      </w:r>
      <w:r w:rsidRPr="009B71FB">
        <w:t>potvrzeny realokace ESIF</w:t>
      </w:r>
      <w:r>
        <w:t xml:space="preserve"> z nevyužitých prostředků na podporu rozvoje vysokorychlostního internetu ve prospěch strukturálně postižených regionů a to prostřednictvím IROP, OPPIK a OPŽP</w:t>
      </w:r>
      <w:r w:rsidRPr="00D81430">
        <w:t>)</w:t>
      </w:r>
      <w:r w:rsidR="00DD54FC">
        <w:t>.</w:t>
      </w:r>
    </w:p>
    <w:p w:rsidR="001913EE" w:rsidRPr="00D81430" w:rsidRDefault="001913EE" w:rsidP="001913EE">
      <w:pPr>
        <w:numPr>
          <w:ilvl w:val="0"/>
          <w:numId w:val="11"/>
        </w:numPr>
        <w:tabs>
          <w:tab w:val="num" w:pos="1440"/>
        </w:tabs>
        <w:spacing w:after="0" w:line="240" w:lineRule="auto"/>
        <w:jc w:val="both"/>
      </w:pPr>
      <w:r>
        <w:t>Možnost aktivní v</w:t>
      </w:r>
      <w:r w:rsidRPr="00D81430">
        <w:t>ýměn</w:t>
      </w:r>
      <w:r>
        <w:t>y</w:t>
      </w:r>
      <w:r w:rsidRPr="00D81430">
        <w:t xml:space="preserve"> zkušeností mezi regiony</w:t>
      </w:r>
      <w:r>
        <w:t>, rozvoj vzájemné spolupráce a možnost tvorby společných projektů</w:t>
      </w:r>
      <w:r w:rsidR="00DD54FC">
        <w:t>.</w:t>
      </w:r>
    </w:p>
    <w:p w:rsidR="001913EE" w:rsidRPr="00D81430" w:rsidRDefault="001913EE" w:rsidP="001913EE">
      <w:pPr>
        <w:numPr>
          <w:ilvl w:val="0"/>
          <w:numId w:val="11"/>
        </w:numPr>
        <w:tabs>
          <w:tab w:val="num" w:pos="1440"/>
        </w:tabs>
        <w:spacing w:after="0" w:line="240" w:lineRule="auto"/>
        <w:jc w:val="both"/>
      </w:pPr>
      <w:r w:rsidRPr="00D81430">
        <w:t>Posílení schopnosti ČR využí</w:t>
      </w:r>
      <w:r>
        <w:t>va</w:t>
      </w:r>
      <w:r w:rsidRPr="00D81430">
        <w:t xml:space="preserve">t </w:t>
      </w:r>
      <w:r>
        <w:t xml:space="preserve">potenciál tzv. </w:t>
      </w:r>
      <w:r w:rsidRPr="00D81430">
        <w:t>komunitární</w:t>
      </w:r>
      <w:r>
        <w:t>ch</w:t>
      </w:r>
      <w:r w:rsidRPr="00D81430">
        <w:t xml:space="preserve"> program</w:t>
      </w:r>
      <w:r>
        <w:t>ů</w:t>
      </w:r>
      <w:r w:rsidR="00DD54FC">
        <w:t>.</w:t>
      </w:r>
    </w:p>
    <w:p w:rsidR="001913EE" w:rsidRPr="00D81430" w:rsidRDefault="001913EE" w:rsidP="001913EE">
      <w:pPr>
        <w:numPr>
          <w:ilvl w:val="0"/>
          <w:numId w:val="11"/>
        </w:numPr>
        <w:tabs>
          <w:tab w:val="num" w:pos="1440"/>
        </w:tabs>
        <w:spacing w:after="120" w:line="240" w:lineRule="auto"/>
        <w:ind w:left="714" w:hanging="357"/>
        <w:jc w:val="both"/>
      </w:pPr>
      <w:r w:rsidRPr="00D81430">
        <w:t>Vytvoření nových nástrojů přímo zaměřených na uhelné regiony včetně vyčlenění finančních prostředků</w:t>
      </w:r>
      <w:r w:rsidR="005A5670">
        <w:t>,</w:t>
      </w:r>
      <w:r>
        <w:t xml:space="preserve"> a to se specifickým důrazem</w:t>
      </w:r>
      <w:r w:rsidR="005A5670">
        <w:t xml:space="preserve"> na</w:t>
      </w:r>
      <w:r>
        <w:t xml:space="preserve"> programové</w:t>
      </w:r>
      <w:r w:rsidR="00790F3E">
        <w:t xml:space="preserve"> </w:t>
      </w:r>
      <w:r>
        <w:t>období EU 2021 – 2027, ve vztahu k němuž lze identifikovat potenciál pro navýšení celkového objemu finančních prostředků, které by – právě ve prospěch strukturálně postižených, resp. uhelných regionů – měla mít Česká republika šanci v tomto příštím programovém období čerpat.</w:t>
      </w:r>
    </w:p>
    <w:p w:rsidR="00DA2962" w:rsidRPr="007F5DCA" w:rsidRDefault="001913EE" w:rsidP="001913EE">
      <w:pPr>
        <w:tabs>
          <w:tab w:val="num" w:pos="1440"/>
        </w:tabs>
        <w:jc w:val="both"/>
        <w:rPr>
          <w:u w:val="single"/>
        </w:rPr>
      </w:pPr>
      <w:r w:rsidRPr="007F5DCA">
        <w:rPr>
          <w:u w:val="single"/>
        </w:rPr>
        <w:t xml:space="preserve">V únoru 2019 byla realizována návštěva zástupců Platformy, resp. EK v Moravskoslezském kraji, návštěva Ústeckého a Karlovarského kraje </w:t>
      </w:r>
      <w:r w:rsidR="00984CB8" w:rsidRPr="007F5DCA">
        <w:rPr>
          <w:u w:val="single"/>
        </w:rPr>
        <w:t>proběhla v</w:t>
      </w:r>
      <w:r w:rsidRPr="007F5DCA">
        <w:rPr>
          <w:u w:val="single"/>
        </w:rPr>
        <w:t xml:space="preserve"> květn</w:t>
      </w:r>
      <w:r w:rsidR="00984CB8" w:rsidRPr="007F5DCA">
        <w:rPr>
          <w:u w:val="single"/>
        </w:rPr>
        <w:t>u</w:t>
      </w:r>
      <w:r w:rsidRPr="007F5DCA">
        <w:rPr>
          <w:u w:val="single"/>
        </w:rPr>
        <w:t xml:space="preserve"> 2019. </w:t>
      </w:r>
    </w:p>
    <w:p w:rsidR="0091319D" w:rsidRDefault="0091319D" w:rsidP="0007692B">
      <w:pPr>
        <w:pStyle w:val="Nadpis1"/>
        <w:jc w:val="both"/>
      </w:pPr>
      <w:bookmarkStart w:id="15" w:name="_Toc22021569"/>
      <w:r>
        <w:t>Uhelná komise</w:t>
      </w:r>
      <w:bookmarkEnd w:id="15"/>
    </w:p>
    <w:p w:rsidR="0091319D" w:rsidRDefault="0091319D" w:rsidP="0007692B">
      <w:pPr>
        <w:pStyle w:val="Odstavecseseznamem"/>
        <w:numPr>
          <w:ilvl w:val="0"/>
          <w:numId w:val="23"/>
        </w:numPr>
        <w:jc w:val="both"/>
      </w:pPr>
      <w:r>
        <w:t>Dne 30. července 2019 byla vládním usnesením č. 565 ustanovena Uhelná komise, kter</w:t>
      </w:r>
      <w:r w:rsidR="004F4198">
        <w:t>á</w:t>
      </w:r>
      <w:r>
        <w:t xml:space="preserve"> by měla řešit problematiku útlumu těžby a jeho dopadů do strukturálně postižených regionů a také na energetickou situaci v celé ČR. </w:t>
      </w:r>
    </w:p>
    <w:p w:rsidR="0091319D" w:rsidRDefault="0091319D" w:rsidP="0007692B">
      <w:pPr>
        <w:pStyle w:val="Odstavecseseznamem"/>
        <w:numPr>
          <w:ilvl w:val="0"/>
          <w:numId w:val="23"/>
        </w:numPr>
        <w:jc w:val="both"/>
      </w:pPr>
      <w:r>
        <w:lastRenderedPageBreak/>
        <w:t>Činnosti komise jsou vázány také na program RE:START zejména v oblasti kvantifikace nákladů a dopadů odklonu od využití uhlí a související strukturální změny v dotčených regionech.</w:t>
      </w:r>
      <w:r w:rsidR="008271ED">
        <w:t xml:space="preserve"> </w:t>
      </w:r>
    </w:p>
    <w:p w:rsidR="008271ED" w:rsidRPr="0091319D" w:rsidRDefault="008271ED" w:rsidP="0007692B">
      <w:pPr>
        <w:pStyle w:val="Odstavecseseznamem"/>
        <w:numPr>
          <w:ilvl w:val="0"/>
          <w:numId w:val="23"/>
        </w:numPr>
        <w:jc w:val="both"/>
      </w:pPr>
      <w:r>
        <w:t xml:space="preserve">MMR je do činnosti uhelné komise zapojeno mimo jiné jako vedoucí pracovní skupiny řešící </w:t>
      </w:r>
      <w:r w:rsidRPr="008271ED">
        <w:t>Identifikací sociálních a ekonomických dopadů</w:t>
      </w:r>
      <w:r>
        <w:t xml:space="preserve"> do jednotlivých regionů</w:t>
      </w:r>
      <w:r w:rsidR="0007692B">
        <w:t>, a to v úzké spolupráci s kraji</w:t>
      </w:r>
      <w:r>
        <w:t>.</w:t>
      </w:r>
    </w:p>
    <w:p w:rsidR="003D1197" w:rsidRPr="003D1197" w:rsidRDefault="003D1197" w:rsidP="003D1197">
      <w:pPr>
        <w:pStyle w:val="Nadpis1"/>
      </w:pPr>
      <w:bookmarkStart w:id="16" w:name="_Toc22021570"/>
      <w:r>
        <w:t>Závěr</w:t>
      </w:r>
      <w:bookmarkEnd w:id="16"/>
    </w:p>
    <w:p w:rsidR="008C14C5" w:rsidRDefault="005B3763" w:rsidP="0007692B">
      <w:pPr>
        <w:jc w:val="both"/>
      </w:pPr>
      <w:bookmarkStart w:id="17" w:name="_Toc4760948"/>
      <w:r>
        <w:t xml:space="preserve">Realizace opatření 1. Akčního plánu </w:t>
      </w:r>
      <w:r w:rsidR="00DF2BD5">
        <w:t>až</w:t>
      </w:r>
      <w:r>
        <w:t xml:space="preserve"> </w:t>
      </w:r>
      <w:r w:rsidR="00DF2BD5">
        <w:t>3</w:t>
      </w:r>
      <w:r>
        <w:t xml:space="preserve">. Akčního plánu Strategie hospodářské restrukturalizace </w:t>
      </w:r>
      <w:r w:rsidR="005A5670" w:rsidRPr="00EA0FAD">
        <w:t>Ústeckého</w:t>
      </w:r>
      <w:r w:rsidR="005A5670">
        <w:t xml:space="preserve">, </w:t>
      </w:r>
      <w:r w:rsidRPr="00EA0FAD">
        <w:t xml:space="preserve">Moravskoslezského </w:t>
      </w:r>
      <w:r>
        <w:t xml:space="preserve">a Karlovarského kraje </w:t>
      </w:r>
      <w:r w:rsidR="008C14C5">
        <w:t xml:space="preserve">ve sledovaném období </w:t>
      </w:r>
      <w:r w:rsidR="00FC1F0A">
        <w:t>zahrnuje</w:t>
      </w:r>
      <w:r w:rsidR="008C14C5" w:rsidRPr="008C14C5">
        <w:rPr>
          <w:i/>
        </w:rPr>
        <w:t xml:space="preserve"> 9</w:t>
      </w:r>
      <w:r w:rsidR="0091319D">
        <w:rPr>
          <w:i/>
        </w:rPr>
        <w:t>4</w:t>
      </w:r>
      <w:r w:rsidR="008C14C5" w:rsidRPr="008C14C5">
        <w:rPr>
          <w:i/>
        </w:rPr>
        <w:t xml:space="preserve"> opatření </w:t>
      </w:r>
      <w:r w:rsidR="008C14C5">
        <w:rPr>
          <w:i/>
        </w:rPr>
        <w:t xml:space="preserve">s plánovanou realizací </w:t>
      </w:r>
      <w:r w:rsidR="008C14C5" w:rsidRPr="008C14C5">
        <w:rPr>
          <w:i/>
        </w:rPr>
        <w:t>do roku</w:t>
      </w:r>
      <w:r w:rsidR="0091319D">
        <w:rPr>
          <w:i/>
        </w:rPr>
        <w:t xml:space="preserve"> 2030 s předpokládanou hodnotou 68 m</w:t>
      </w:r>
      <w:r w:rsidR="008C14C5" w:rsidRPr="008C14C5">
        <w:rPr>
          <w:i/>
        </w:rPr>
        <w:t>ld. Kč. Dosud se podařil</w:t>
      </w:r>
      <w:r w:rsidR="008C14C5">
        <w:rPr>
          <w:i/>
        </w:rPr>
        <w:t xml:space="preserve">o zpřístupnit programy s alokací cca </w:t>
      </w:r>
      <w:r w:rsidR="00603807">
        <w:rPr>
          <w:i/>
        </w:rPr>
        <w:t>2</w:t>
      </w:r>
      <w:r w:rsidR="0091319D">
        <w:rPr>
          <w:i/>
        </w:rPr>
        <w:t>6</w:t>
      </w:r>
      <w:r w:rsidR="008C14C5" w:rsidRPr="008C14C5">
        <w:rPr>
          <w:i/>
        </w:rPr>
        <w:t xml:space="preserve"> mld. Kč, z nich</w:t>
      </w:r>
      <w:r w:rsidR="005A5670">
        <w:rPr>
          <w:i/>
        </w:rPr>
        <w:t>ž</w:t>
      </w:r>
      <w:r w:rsidR="008C14C5" w:rsidRPr="008C14C5">
        <w:rPr>
          <w:i/>
        </w:rPr>
        <w:t xml:space="preserve"> </w:t>
      </w:r>
      <w:r w:rsidR="008C14C5">
        <w:rPr>
          <w:i/>
        </w:rPr>
        <w:t>byl</w:t>
      </w:r>
      <w:r w:rsidR="0007692B">
        <w:rPr>
          <w:i/>
        </w:rPr>
        <w:t>o</w:t>
      </w:r>
      <w:r w:rsidR="008C14C5">
        <w:rPr>
          <w:i/>
        </w:rPr>
        <w:t xml:space="preserve"> do regionů k </w:t>
      </w:r>
      <w:r w:rsidR="0007692B">
        <w:rPr>
          <w:i/>
        </w:rPr>
        <w:t>30</w:t>
      </w:r>
      <w:r w:rsidR="008C14C5">
        <w:rPr>
          <w:i/>
        </w:rPr>
        <w:t>.</w:t>
      </w:r>
      <w:r w:rsidR="00603807">
        <w:rPr>
          <w:i/>
        </w:rPr>
        <w:t xml:space="preserve"> </w:t>
      </w:r>
      <w:r w:rsidR="0007692B">
        <w:rPr>
          <w:i/>
        </w:rPr>
        <w:t>9</w:t>
      </w:r>
      <w:r w:rsidR="008C14C5">
        <w:rPr>
          <w:i/>
        </w:rPr>
        <w:t>.</w:t>
      </w:r>
      <w:r w:rsidR="00603807">
        <w:rPr>
          <w:i/>
        </w:rPr>
        <w:t xml:space="preserve"> </w:t>
      </w:r>
      <w:r w:rsidR="008C14C5">
        <w:rPr>
          <w:i/>
        </w:rPr>
        <w:t>20</w:t>
      </w:r>
      <w:r w:rsidR="0007692B">
        <w:rPr>
          <w:i/>
        </w:rPr>
        <w:t>19</w:t>
      </w:r>
      <w:r w:rsidR="008C14C5">
        <w:rPr>
          <w:i/>
        </w:rPr>
        <w:t xml:space="preserve"> </w:t>
      </w:r>
      <w:r w:rsidR="0007692B">
        <w:rPr>
          <w:i/>
        </w:rPr>
        <w:t>přiděleno</w:t>
      </w:r>
      <w:r w:rsidR="008C14C5">
        <w:rPr>
          <w:i/>
        </w:rPr>
        <w:t xml:space="preserve"> téměř </w:t>
      </w:r>
      <w:r w:rsidR="0007692B">
        <w:rPr>
          <w:i/>
        </w:rPr>
        <w:t>5</w:t>
      </w:r>
      <w:r w:rsidR="008C14C5" w:rsidRPr="008C14C5">
        <w:rPr>
          <w:i/>
        </w:rPr>
        <w:t xml:space="preserve"> mld. Kč</w:t>
      </w:r>
      <w:r w:rsidR="00FC1F0A">
        <w:rPr>
          <w:i/>
        </w:rPr>
        <w:t xml:space="preserve"> v rámci dotačních výzev a téměř 4 mld. Kč v rámci realizace dálnic a silnic I. tříd</w:t>
      </w:r>
      <w:r w:rsidR="008C14C5" w:rsidRPr="008C14C5">
        <w:rPr>
          <w:i/>
        </w:rPr>
        <w:t>. Další výzvy jsou průběžně připravovány jak z fondů EU, tak z národních dotačních programů.</w:t>
      </w:r>
      <w:r w:rsidR="008C14C5">
        <w:rPr>
          <w:i/>
        </w:rPr>
        <w:t xml:space="preserve"> </w:t>
      </w:r>
    </w:p>
    <w:p w:rsidR="005B3763" w:rsidRDefault="005B3763" w:rsidP="005B3763">
      <w:pPr>
        <w:jc w:val="both"/>
      </w:pPr>
      <w:r>
        <w:t>Pozitivně lze hodnotit i přístup Evropské komise, která vnímá program RE:START jako příklad dobré praxe pro ostatní evropské státy a aktivně prezentuje tuto činnost České republiky jako vzor pro ostatní země.</w:t>
      </w:r>
    </w:p>
    <w:p w:rsidR="00901506" w:rsidRDefault="00901506" w:rsidP="005B3763">
      <w:pPr>
        <w:jc w:val="both"/>
      </w:pPr>
      <w:r>
        <w:t>Národní výkonný tým programu RE:START</w:t>
      </w:r>
      <w:r w:rsidR="00DD54FC">
        <w:t>,</w:t>
      </w:r>
      <w:r>
        <w:t xml:space="preserve"> i přes relativně úspěšnou implementaci programu</w:t>
      </w:r>
      <w:r w:rsidR="00DD54FC">
        <w:t>,</w:t>
      </w:r>
      <w:r>
        <w:t xml:space="preserve"> </w:t>
      </w:r>
      <w:r w:rsidR="00DD54FC">
        <w:t>identifikoval</w:t>
      </w:r>
      <w:r>
        <w:t xml:space="preserve"> aktuální bariéry a b</w:t>
      </w:r>
      <w:r w:rsidR="00FA3B43">
        <w:t>u</w:t>
      </w:r>
      <w:r>
        <w:t>doucí rizika včetně návrhu jejich řešení.</w:t>
      </w:r>
    </w:p>
    <w:p w:rsidR="005B3763" w:rsidRDefault="005B3763" w:rsidP="00FA3B43">
      <w:pPr>
        <w:jc w:val="both"/>
      </w:pPr>
      <w:r>
        <w:t xml:space="preserve">Následující období bude věnováno pokračování naplňování vládních úkolů dle nastavených postupů, prohlubování spolupráce v rámci regionů a příslušných resortů, identifikaci rizik a návrhům na jejich eliminaci. Dále bude </w:t>
      </w:r>
      <w:r w:rsidR="00D04FB4">
        <w:t xml:space="preserve">v souvislosti </w:t>
      </w:r>
      <w:r w:rsidR="00FB3EFA">
        <w:t xml:space="preserve">s vládním usnesením č. </w:t>
      </w:r>
      <w:r w:rsidR="00A032B9">
        <w:t xml:space="preserve">3/2017 </w:t>
      </w:r>
      <w:r>
        <w:t>připravena aktualizace Stra</w:t>
      </w:r>
      <w:r w:rsidR="00901506">
        <w:t>tegického rámce</w:t>
      </w:r>
      <w:r w:rsidR="00FA3B43">
        <w:t xml:space="preserve"> hospodářské restrukturalizace Ústeckého, Moravskoslezského a Karlovarského kraje</w:t>
      </w:r>
      <w:r w:rsidR="00901506">
        <w:t>.</w:t>
      </w:r>
      <w:r>
        <w:t xml:space="preserve"> </w:t>
      </w:r>
    </w:p>
    <w:p w:rsidR="005B3763" w:rsidRDefault="005B3763" w:rsidP="005B3763">
      <w:pPr>
        <w:jc w:val="both"/>
      </w:pPr>
      <w:r>
        <w:t xml:space="preserve">Obecně lze konstatovat, že </w:t>
      </w:r>
      <w:r w:rsidR="00901506">
        <w:t>implementace programu RE:START probíhá až na dílčí výše uvedené v</w:t>
      </w:r>
      <w:r w:rsidR="00FB3EFA">
        <w:t>ý</w:t>
      </w:r>
      <w:r w:rsidR="00901506">
        <w:t>j</w:t>
      </w:r>
      <w:r w:rsidR="00FA3B43">
        <w:t>i</w:t>
      </w:r>
      <w:r w:rsidR="00901506">
        <w:t>mky v souladu s plánovaný</w:t>
      </w:r>
      <w:r w:rsidR="0091319D">
        <w:t>m</w:t>
      </w:r>
      <w:r w:rsidR="00901506">
        <w:t xml:space="preserve"> harmonogra</w:t>
      </w:r>
      <w:r w:rsidR="0007692B">
        <w:t>mem a Implementačními zásadami, je však potřeba zajistit jeho systémové financování v rámci nového programového období</w:t>
      </w:r>
      <w:r w:rsidR="00FC1F0A">
        <w:t>, podpořit přípravu kvalitních projektů v území dotčených regionů</w:t>
      </w:r>
      <w:r w:rsidR="0007692B">
        <w:t xml:space="preserve"> a celkově posíl</w:t>
      </w:r>
      <w:r w:rsidR="00D04FB4">
        <w:t>i</w:t>
      </w:r>
      <w:r w:rsidR="0007692B">
        <w:t>t povědomí o implementaci programu RE:START.</w:t>
      </w:r>
    </w:p>
    <w:p w:rsidR="006D1DBA" w:rsidRDefault="006D1DBA">
      <w:pPr>
        <w:rPr>
          <w:rFonts w:asciiTheme="majorHAnsi" w:eastAsiaTheme="majorEastAsia" w:hAnsiTheme="majorHAnsi" w:cstheme="majorBidi"/>
          <w:b/>
          <w:bCs/>
          <w:noProof/>
          <w:color w:val="2E74B5" w:themeColor="accent1" w:themeShade="BF"/>
          <w:sz w:val="28"/>
          <w:szCs w:val="28"/>
        </w:rPr>
      </w:pPr>
      <w:r>
        <w:br w:type="page"/>
      </w:r>
    </w:p>
    <w:p w:rsidR="00134242" w:rsidRDefault="00134242" w:rsidP="00134242">
      <w:pPr>
        <w:pStyle w:val="Nadpis1"/>
      </w:pPr>
      <w:bookmarkStart w:id="18" w:name="_Toc22021571"/>
      <w:r>
        <w:lastRenderedPageBreak/>
        <w:t>Seznam použitých zkratek</w:t>
      </w:r>
      <w:bookmarkEnd w:id="17"/>
      <w:bookmarkEnd w:id="18"/>
    </w:p>
    <w:tbl>
      <w:tblPr>
        <w:tblW w:w="5500" w:type="dxa"/>
        <w:tblCellMar>
          <w:left w:w="70" w:type="dxa"/>
          <w:right w:w="70" w:type="dxa"/>
        </w:tblCellMar>
        <w:tblLook w:val="04A0"/>
      </w:tblPr>
      <w:tblGrid>
        <w:gridCol w:w="960"/>
        <w:gridCol w:w="4540"/>
      </w:tblGrid>
      <w:tr w:rsidR="00134242" w:rsidRPr="008055BD" w:rsidTr="009807C4">
        <w:trPr>
          <w:trHeight w:val="300"/>
        </w:trPr>
        <w:tc>
          <w:tcPr>
            <w:tcW w:w="960" w:type="dxa"/>
            <w:shd w:val="clear" w:color="auto" w:fill="auto"/>
            <w:noWrap/>
            <w:vAlign w:val="bottom"/>
            <w:hideMark/>
          </w:tcPr>
          <w:p w:rsidR="00134242" w:rsidRPr="008055BD" w:rsidRDefault="00134242" w:rsidP="009807C4">
            <w:pPr>
              <w:spacing w:after="0"/>
              <w:rPr>
                <w:rFonts w:ascii="Calibri" w:eastAsia="Times New Roman" w:hAnsi="Calibri" w:cs="Times New Roman"/>
                <w:b/>
                <w:color w:val="000000"/>
                <w:lang w:eastAsia="cs-CZ"/>
              </w:rPr>
            </w:pPr>
            <w:r w:rsidRPr="008055BD">
              <w:rPr>
                <w:rFonts w:ascii="Calibri" w:eastAsia="Times New Roman" w:hAnsi="Calibri" w:cs="Times New Roman"/>
                <w:b/>
                <w:color w:val="000000"/>
                <w:lang w:eastAsia="cs-CZ"/>
              </w:rPr>
              <w:t>Zkratka</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b/>
                <w:color w:val="000000"/>
                <w:lang w:eastAsia="cs-CZ"/>
              </w:rPr>
            </w:pPr>
            <w:r w:rsidRPr="008055BD">
              <w:rPr>
                <w:rFonts w:ascii="Calibri" w:eastAsia="Times New Roman" w:hAnsi="Calibri" w:cs="Times New Roman"/>
                <w:b/>
                <w:color w:val="000000"/>
                <w:lang w:eastAsia="cs-CZ"/>
              </w:rPr>
              <w:t>Význam</w:t>
            </w:r>
          </w:p>
        </w:tc>
      </w:tr>
      <w:tr w:rsidR="00134242" w:rsidRPr="008055BD" w:rsidTr="009807C4">
        <w:trPr>
          <w:trHeight w:val="300"/>
        </w:trPr>
        <w:tc>
          <w:tcPr>
            <w:tcW w:w="960" w:type="dxa"/>
            <w:shd w:val="clear" w:color="auto" w:fill="auto"/>
            <w:noWrap/>
            <w:vAlign w:val="center"/>
          </w:tcPr>
          <w:p w:rsidR="00134242" w:rsidRPr="008055BD" w:rsidRDefault="00134242" w:rsidP="009807C4">
            <w:pPr>
              <w:spacing w:after="0"/>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AOPK</w:t>
            </w:r>
          </w:p>
        </w:tc>
        <w:tc>
          <w:tcPr>
            <w:tcW w:w="4540" w:type="dxa"/>
            <w:shd w:val="clear" w:color="auto" w:fill="auto"/>
            <w:noWrap/>
            <w:vAlign w:val="bottom"/>
          </w:tcPr>
          <w:p w:rsidR="00134242" w:rsidRDefault="00134242" w:rsidP="009807C4">
            <w:pPr>
              <w:spacing w:after="0"/>
              <w:rPr>
                <w:rFonts w:ascii="Calibri" w:eastAsia="Times New Roman" w:hAnsi="Calibri" w:cs="Times New Roman"/>
                <w:color w:val="000000"/>
                <w:lang w:eastAsia="cs-CZ"/>
              </w:rPr>
            </w:pPr>
            <w:r>
              <w:rPr>
                <w:rFonts w:ascii="Calibri" w:eastAsia="Times New Roman" w:hAnsi="Calibri" w:cs="Times New Roman"/>
                <w:color w:val="000000"/>
                <w:lang w:eastAsia="cs-CZ"/>
              </w:rPr>
              <w:t>Agentura ochrany přírody a krajiny</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AP</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Pr>
                <w:rFonts w:ascii="Calibri" w:eastAsia="Times New Roman" w:hAnsi="Calibri" w:cs="Times New Roman"/>
                <w:color w:val="000000"/>
                <w:lang w:eastAsia="cs-CZ"/>
              </w:rPr>
              <w:t>Akční plán</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ESIF</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Evropské strukturální a investiční fondy</w:t>
            </w:r>
          </w:p>
        </w:tc>
      </w:tr>
      <w:tr w:rsidR="00134242" w:rsidRPr="008055BD" w:rsidTr="009807C4">
        <w:trPr>
          <w:trHeight w:val="300"/>
        </w:trPr>
        <w:tc>
          <w:tcPr>
            <w:tcW w:w="960" w:type="dxa"/>
            <w:shd w:val="clear" w:color="auto" w:fill="auto"/>
            <w:noWrap/>
            <w:vAlign w:val="center"/>
          </w:tcPr>
          <w:p w:rsidR="00134242" w:rsidRPr="008055BD" w:rsidRDefault="00134242" w:rsidP="009807C4">
            <w:pPr>
              <w:spacing w:after="0"/>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IROP</w:t>
            </w:r>
          </w:p>
        </w:tc>
        <w:tc>
          <w:tcPr>
            <w:tcW w:w="4540" w:type="dxa"/>
            <w:shd w:val="clear" w:color="auto" w:fill="auto"/>
            <w:noWrap/>
            <w:vAlign w:val="bottom"/>
          </w:tcPr>
          <w:p w:rsidR="00134242" w:rsidRPr="008055BD" w:rsidRDefault="00134242" w:rsidP="009807C4">
            <w:pPr>
              <w:spacing w:after="0"/>
              <w:rPr>
                <w:rFonts w:ascii="Calibri" w:eastAsia="Times New Roman" w:hAnsi="Calibri" w:cs="Times New Roman"/>
                <w:color w:val="000000"/>
                <w:lang w:eastAsia="cs-CZ"/>
              </w:rPr>
            </w:pPr>
            <w:r>
              <w:rPr>
                <w:rFonts w:ascii="Calibri" w:eastAsia="Times New Roman" w:hAnsi="Calibri" w:cs="Times New Roman"/>
                <w:color w:val="000000"/>
                <w:lang w:eastAsia="cs-CZ"/>
              </w:rPr>
              <w:t>Integrovaný regionální operační program</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KVK</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Karlovarský kraj</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MD</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dopravy</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MF</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financí</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MK</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kultury</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MMR</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pro místní rozvoj</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MPO</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průmyslu a obchodu</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MPSV</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práce a sociálních věcí</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MSK</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Moravskoslezský kraj</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MŠMT</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školství mládeže a tělovýchovy</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MZ</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zdravotnictví</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proofErr w:type="spellStart"/>
            <w:r>
              <w:rPr>
                <w:rFonts w:ascii="Calibri" w:eastAsia="Times New Roman" w:hAnsi="Calibri" w:cs="Times New Roman"/>
                <w:b/>
                <w:bCs/>
                <w:color w:val="000000"/>
                <w:lang w:eastAsia="cs-CZ"/>
              </w:rPr>
              <w:t>MZ</w:t>
            </w:r>
            <w:r w:rsidRPr="008055BD">
              <w:rPr>
                <w:rFonts w:ascii="Calibri" w:eastAsia="Times New Roman" w:hAnsi="Calibri" w:cs="Times New Roman"/>
                <w:b/>
                <w:bCs/>
                <w:color w:val="000000"/>
                <w:lang w:eastAsia="cs-CZ"/>
              </w:rPr>
              <w:t>e</w:t>
            </w:r>
            <w:proofErr w:type="spellEnd"/>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zemědělství</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MŽP</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Ministerstvo životního prostředí</w:t>
            </w:r>
          </w:p>
        </w:tc>
      </w:tr>
      <w:tr w:rsidR="00134242" w:rsidRPr="008055BD" w:rsidTr="009807C4">
        <w:trPr>
          <w:trHeight w:val="300"/>
        </w:trPr>
        <w:tc>
          <w:tcPr>
            <w:tcW w:w="960" w:type="dxa"/>
            <w:shd w:val="clear" w:color="auto" w:fill="auto"/>
            <w:noWrap/>
            <w:vAlign w:val="center"/>
          </w:tcPr>
          <w:p w:rsidR="00134242" w:rsidRPr="008055BD" w:rsidRDefault="00134242" w:rsidP="009807C4">
            <w:pPr>
              <w:spacing w:after="0"/>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NVT</w:t>
            </w:r>
          </w:p>
        </w:tc>
        <w:tc>
          <w:tcPr>
            <w:tcW w:w="4540" w:type="dxa"/>
            <w:shd w:val="clear" w:color="auto" w:fill="auto"/>
            <w:noWrap/>
            <w:vAlign w:val="bottom"/>
          </w:tcPr>
          <w:p w:rsidR="00134242" w:rsidRPr="008055BD" w:rsidRDefault="00134242" w:rsidP="009807C4">
            <w:pPr>
              <w:spacing w:after="0"/>
              <w:rPr>
                <w:rFonts w:ascii="Calibri" w:eastAsia="Times New Roman" w:hAnsi="Calibri" w:cs="Times New Roman"/>
                <w:color w:val="000000"/>
                <w:lang w:eastAsia="cs-CZ"/>
              </w:rPr>
            </w:pPr>
            <w:r>
              <w:rPr>
                <w:rFonts w:ascii="Calibri" w:eastAsia="Times New Roman" w:hAnsi="Calibri" w:cs="Times New Roman"/>
                <w:color w:val="000000"/>
                <w:lang w:eastAsia="cs-CZ"/>
              </w:rPr>
              <w:t>Národní výkonný tým</w:t>
            </w:r>
          </w:p>
        </w:tc>
      </w:tr>
      <w:tr w:rsidR="00134242" w:rsidRPr="008055BD" w:rsidTr="009807C4">
        <w:trPr>
          <w:trHeight w:val="300"/>
        </w:trPr>
        <w:tc>
          <w:tcPr>
            <w:tcW w:w="960" w:type="dxa"/>
            <w:shd w:val="clear" w:color="auto" w:fill="auto"/>
            <w:noWrap/>
            <w:vAlign w:val="center"/>
          </w:tcPr>
          <w:p w:rsidR="00134242" w:rsidRPr="008055BD" w:rsidRDefault="00134242" w:rsidP="009807C4">
            <w:pPr>
              <w:spacing w:after="0"/>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OPPIK</w:t>
            </w:r>
          </w:p>
        </w:tc>
        <w:tc>
          <w:tcPr>
            <w:tcW w:w="4540" w:type="dxa"/>
            <w:shd w:val="clear" w:color="auto" w:fill="auto"/>
            <w:noWrap/>
            <w:vAlign w:val="bottom"/>
          </w:tcPr>
          <w:p w:rsidR="00134242" w:rsidRPr="008055BD" w:rsidRDefault="00134242" w:rsidP="009807C4">
            <w:pPr>
              <w:spacing w:after="0"/>
              <w:rPr>
                <w:rFonts w:ascii="Calibri" w:eastAsia="Times New Roman" w:hAnsi="Calibri" w:cs="Times New Roman"/>
                <w:color w:val="000000"/>
                <w:lang w:eastAsia="cs-CZ"/>
              </w:rPr>
            </w:pPr>
            <w:r>
              <w:rPr>
                <w:rFonts w:ascii="Calibri" w:eastAsia="Times New Roman" w:hAnsi="Calibri" w:cs="Times New Roman"/>
                <w:color w:val="000000"/>
                <w:lang w:eastAsia="cs-CZ"/>
              </w:rPr>
              <w:t>Operační program podnikání a inovace</w:t>
            </w:r>
          </w:p>
        </w:tc>
      </w:tr>
      <w:tr w:rsidR="00134242" w:rsidRPr="008055BD" w:rsidTr="009807C4">
        <w:trPr>
          <w:trHeight w:val="300"/>
        </w:trPr>
        <w:tc>
          <w:tcPr>
            <w:tcW w:w="960" w:type="dxa"/>
            <w:shd w:val="clear" w:color="auto" w:fill="auto"/>
            <w:noWrap/>
            <w:vAlign w:val="center"/>
          </w:tcPr>
          <w:p w:rsidR="00134242" w:rsidRPr="008055BD" w:rsidRDefault="00134242" w:rsidP="009807C4">
            <w:pPr>
              <w:spacing w:after="0"/>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OPŽP</w:t>
            </w:r>
          </w:p>
        </w:tc>
        <w:tc>
          <w:tcPr>
            <w:tcW w:w="4540" w:type="dxa"/>
            <w:shd w:val="clear" w:color="auto" w:fill="auto"/>
            <w:noWrap/>
            <w:vAlign w:val="bottom"/>
          </w:tcPr>
          <w:p w:rsidR="00134242" w:rsidRPr="008055BD" w:rsidRDefault="00134242" w:rsidP="009807C4">
            <w:pPr>
              <w:spacing w:after="0"/>
              <w:rPr>
                <w:rFonts w:ascii="Calibri" w:eastAsia="Times New Roman" w:hAnsi="Calibri" w:cs="Times New Roman"/>
                <w:color w:val="000000"/>
                <w:lang w:eastAsia="cs-CZ"/>
              </w:rPr>
            </w:pPr>
            <w:r>
              <w:rPr>
                <w:rFonts w:ascii="Calibri" w:eastAsia="Times New Roman" w:hAnsi="Calibri" w:cs="Times New Roman"/>
                <w:color w:val="000000"/>
                <w:lang w:eastAsia="cs-CZ"/>
              </w:rPr>
              <w:t>Operační program životní prostředí</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SFDI</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Státní fond dopravní infrastruktury</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TAČR</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Technologická agentura České republiky</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ÚK</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Ústecký kraj</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ÚP</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úřad práce</w:t>
            </w:r>
          </w:p>
        </w:tc>
      </w:tr>
      <w:tr w:rsidR="00134242" w:rsidRPr="008055BD" w:rsidTr="009807C4">
        <w:trPr>
          <w:trHeight w:val="300"/>
        </w:trPr>
        <w:tc>
          <w:tcPr>
            <w:tcW w:w="960" w:type="dxa"/>
            <w:shd w:val="clear" w:color="auto" w:fill="auto"/>
            <w:noWrap/>
            <w:vAlign w:val="bottom"/>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UV RVVI</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Úřad vlády – Rada pro výzkum, vývoj a inovace</w:t>
            </w:r>
          </w:p>
        </w:tc>
      </w:tr>
      <w:tr w:rsidR="00134242" w:rsidRPr="008055BD" w:rsidTr="009807C4">
        <w:trPr>
          <w:trHeight w:val="300"/>
        </w:trPr>
        <w:tc>
          <w:tcPr>
            <w:tcW w:w="960" w:type="dxa"/>
            <w:shd w:val="clear" w:color="auto" w:fill="auto"/>
            <w:noWrap/>
            <w:vAlign w:val="center"/>
            <w:hideMark/>
          </w:tcPr>
          <w:p w:rsidR="00134242" w:rsidRPr="008055BD" w:rsidRDefault="00134242" w:rsidP="009807C4">
            <w:pPr>
              <w:spacing w:after="0"/>
              <w:rPr>
                <w:rFonts w:ascii="Calibri" w:eastAsia="Times New Roman" w:hAnsi="Calibri" w:cs="Times New Roman"/>
                <w:b/>
                <w:bCs/>
                <w:color w:val="000000"/>
                <w:lang w:eastAsia="cs-CZ"/>
              </w:rPr>
            </w:pPr>
            <w:r w:rsidRPr="008055BD">
              <w:rPr>
                <w:rFonts w:ascii="Calibri" w:eastAsia="Times New Roman" w:hAnsi="Calibri" w:cs="Times New Roman"/>
                <w:b/>
                <w:bCs/>
                <w:color w:val="000000"/>
                <w:lang w:eastAsia="cs-CZ"/>
              </w:rPr>
              <w:t>ŽP</w:t>
            </w:r>
          </w:p>
        </w:tc>
        <w:tc>
          <w:tcPr>
            <w:tcW w:w="4540" w:type="dxa"/>
            <w:shd w:val="clear" w:color="auto" w:fill="auto"/>
            <w:noWrap/>
            <w:vAlign w:val="bottom"/>
            <w:hideMark/>
          </w:tcPr>
          <w:p w:rsidR="00134242" w:rsidRPr="008055BD" w:rsidRDefault="00134242" w:rsidP="009807C4">
            <w:pPr>
              <w:spacing w:after="0"/>
              <w:rPr>
                <w:rFonts w:ascii="Calibri" w:eastAsia="Times New Roman" w:hAnsi="Calibri" w:cs="Times New Roman"/>
                <w:color w:val="000000"/>
                <w:lang w:eastAsia="cs-CZ"/>
              </w:rPr>
            </w:pPr>
            <w:r w:rsidRPr="008055BD">
              <w:rPr>
                <w:rFonts w:ascii="Calibri" w:eastAsia="Times New Roman" w:hAnsi="Calibri" w:cs="Times New Roman"/>
                <w:color w:val="000000"/>
                <w:lang w:eastAsia="cs-CZ"/>
              </w:rPr>
              <w:t>životní prostředí</w:t>
            </w:r>
          </w:p>
        </w:tc>
      </w:tr>
    </w:tbl>
    <w:p w:rsidR="00134242" w:rsidRPr="00F73765" w:rsidRDefault="00134242" w:rsidP="00134242">
      <w:pPr>
        <w:pStyle w:val="Nadpis1"/>
      </w:pPr>
      <w:bookmarkStart w:id="19" w:name="_Toc22021572"/>
      <w:r>
        <w:t>Seznam tabulek</w:t>
      </w:r>
      <w:bookmarkEnd w:id="19"/>
      <w:r>
        <w:t xml:space="preserve"> </w:t>
      </w:r>
    </w:p>
    <w:bookmarkStart w:id="20" w:name="_Toc4760949"/>
    <w:p w:rsidR="00D97F59" w:rsidRDefault="00D97B65">
      <w:pPr>
        <w:pStyle w:val="Seznamobrzk"/>
        <w:tabs>
          <w:tab w:val="right" w:leader="dot" w:pos="9062"/>
        </w:tabs>
        <w:rPr>
          <w:rFonts w:eastAsiaTheme="minorEastAsia"/>
          <w:noProof/>
          <w:lang w:eastAsia="cs-CZ"/>
        </w:rPr>
      </w:pPr>
      <w:r w:rsidRPr="00D97B65">
        <w:fldChar w:fldCharType="begin"/>
      </w:r>
      <w:r w:rsidR="00134242">
        <w:instrText xml:space="preserve"> TOC \h \z \c "Tabulka" </w:instrText>
      </w:r>
      <w:r w:rsidRPr="00D97B65">
        <w:fldChar w:fldCharType="separate"/>
      </w:r>
      <w:hyperlink w:anchor="_Toc21980557" w:history="1">
        <w:r w:rsidR="00D97F59" w:rsidRPr="00EE342C">
          <w:rPr>
            <w:rStyle w:val="Hypertextovodkaz"/>
            <w:noProof/>
          </w:rPr>
          <w:t>Tabulka 1 – Přehled naplňování opatření po schválení 3. Akčního plánu v MSK, ÚK a KVK</w:t>
        </w:r>
        <w:r w:rsidR="00D97F59">
          <w:rPr>
            <w:noProof/>
            <w:webHidden/>
          </w:rPr>
          <w:tab/>
        </w:r>
        <w:r>
          <w:rPr>
            <w:noProof/>
            <w:webHidden/>
          </w:rPr>
          <w:fldChar w:fldCharType="begin"/>
        </w:r>
        <w:r w:rsidR="00D97F59">
          <w:rPr>
            <w:noProof/>
            <w:webHidden/>
          </w:rPr>
          <w:instrText xml:space="preserve"> PAGEREF _Toc21980557 \h </w:instrText>
        </w:r>
        <w:r>
          <w:rPr>
            <w:noProof/>
            <w:webHidden/>
          </w:rPr>
        </w:r>
        <w:r>
          <w:rPr>
            <w:noProof/>
            <w:webHidden/>
          </w:rPr>
          <w:fldChar w:fldCharType="separate"/>
        </w:r>
        <w:r w:rsidR="00FD2ED5">
          <w:rPr>
            <w:noProof/>
            <w:webHidden/>
          </w:rPr>
          <w:t>3</w:t>
        </w:r>
        <w:r>
          <w:rPr>
            <w:noProof/>
            <w:webHidden/>
          </w:rPr>
          <w:fldChar w:fldCharType="end"/>
        </w:r>
      </w:hyperlink>
    </w:p>
    <w:p w:rsidR="00D97F59" w:rsidRDefault="00D97B65">
      <w:pPr>
        <w:pStyle w:val="Seznamobrzk"/>
        <w:tabs>
          <w:tab w:val="right" w:leader="dot" w:pos="9062"/>
        </w:tabs>
        <w:rPr>
          <w:rFonts w:eastAsiaTheme="minorEastAsia"/>
          <w:noProof/>
          <w:lang w:eastAsia="cs-CZ"/>
        </w:rPr>
      </w:pPr>
      <w:hyperlink w:anchor="_Toc21980558" w:history="1">
        <w:r w:rsidR="00D97F59" w:rsidRPr="00EE342C">
          <w:rPr>
            <w:rStyle w:val="Hypertextovodkaz"/>
            <w:noProof/>
          </w:rPr>
          <w:t>Tabulka 2 – Přehled finančních zdrojů související</w:t>
        </w:r>
        <w:r w:rsidR="00D04FB4">
          <w:rPr>
            <w:rStyle w:val="Hypertextovodkaz"/>
            <w:noProof/>
          </w:rPr>
          <w:t>ch</w:t>
        </w:r>
        <w:r w:rsidR="00D97F59" w:rsidRPr="00EE342C">
          <w:rPr>
            <w:rStyle w:val="Hypertextovodkaz"/>
            <w:noProof/>
          </w:rPr>
          <w:t xml:space="preserve"> s realizací opatření</w:t>
        </w:r>
        <w:r w:rsidR="00D97F59">
          <w:rPr>
            <w:noProof/>
            <w:webHidden/>
          </w:rPr>
          <w:tab/>
        </w:r>
        <w:r>
          <w:rPr>
            <w:noProof/>
            <w:webHidden/>
          </w:rPr>
          <w:fldChar w:fldCharType="begin"/>
        </w:r>
        <w:r w:rsidR="00D97F59">
          <w:rPr>
            <w:noProof/>
            <w:webHidden/>
          </w:rPr>
          <w:instrText xml:space="preserve"> PAGEREF _Toc21980558 \h </w:instrText>
        </w:r>
        <w:r>
          <w:rPr>
            <w:noProof/>
            <w:webHidden/>
          </w:rPr>
        </w:r>
        <w:r>
          <w:rPr>
            <w:noProof/>
            <w:webHidden/>
          </w:rPr>
          <w:fldChar w:fldCharType="separate"/>
        </w:r>
        <w:r w:rsidR="00FD2ED5">
          <w:rPr>
            <w:noProof/>
            <w:webHidden/>
          </w:rPr>
          <w:t>3</w:t>
        </w:r>
        <w:r>
          <w:rPr>
            <w:noProof/>
            <w:webHidden/>
          </w:rPr>
          <w:fldChar w:fldCharType="end"/>
        </w:r>
      </w:hyperlink>
    </w:p>
    <w:p w:rsidR="00D97F59" w:rsidRDefault="00D97B65">
      <w:pPr>
        <w:pStyle w:val="Seznamobrzk"/>
        <w:tabs>
          <w:tab w:val="right" w:leader="dot" w:pos="9062"/>
        </w:tabs>
        <w:rPr>
          <w:rFonts w:eastAsiaTheme="minorEastAsia"/>
          <w:noProof/>
          <w:lang w:eastAsia="cs-CZ"/>
        </w:rPr>
      </w:pPr>
      <w:hyperlink w:anchor="_Toc21980559" w:history="1">
        <w:r w:rsidR="00D97F59" w:rsidRPr="00EE342C">
          <w:rPr>
            <w:rStyle w:val="Hypertextovodkaz"/>
            <w:noProof/>
          </w:rPr>
          <w:t>Tabulka 3 – Přehled čerpání dotačních prostředků v regionech od zahájení programu RE:START do 30. 9. 2019 v Kč</w:t>
        </w:r>
        <w:r w:rsidR="00D97F59">
          <w:rPr>
            <w:noProof/>
            <w:webHidden/>
          </w:rPr>
          <w:tab/>
        </w:r>
        <w:r>
          <w:rPr>
            <w:noProof/>
            <w:webHidden/>
          </w:rPr>
          <w:fldChar w:fldCharType="begin"/>
        </w:r>
        <w:r w:rsidR="00D97F59">
          <w:rPr>
            <w:noProof/>
            <w:webHidden/>
          </w:rPr>
          <w:instrText xml:space="preserve"> PAGEREF _Toc21980559 \h </w:instrText>
        </w:r>
        <w:r>
          <w:rPr>
            <w:noProof/>
            <w:webHidden/>
          </w:rPr>
        </w:r>
        <w:r>
          <w:rPr>
            <w:noProof/>
            <w:webHidden/>
          </w:rPr>
          <w:fldChar w:fldCharType="separate"/>
        </w:r>
        <w:r w:rsidR="00FD2ED5">
          <w:rPr>
            <w:noProof/>
            <w:webHidden/>
          </w:rPr>
          <w:t>5</w:t>
        </w:r>
        <w:r>
          <w:rPr>
            <w:noProof/>
            <w:webHidden/>
          </w:rPr>
          <w:fldChar w:fldCharType="end"/>
        </w:r>
      </w:hyperlink>
    </w:p>
    <w:p w:rsidR="00134242" w:rsidRDefault="00D97B65" w:rsidP="00134242">
      <w:pPr>
        <w:pStyle w:val="Nadpis1"/>
      </w:pPr>
      <w:r>
        <w:fldChar w:fldCharType="end"/>
      </w:r>
      <w:bookmarkStart w:id="21" w:name="_Toc4760950"/>
      <w:bookmarkStart w:id="22" w:name="_Toc22021573"/>
      <w:bookmarkEnd w:id="20"/>
      <w:r w:rsidR="00134242" w:rsidRPr="004E01F5">
        <w:t>Přílohy</w:t>
      </w:r>
      <w:bookmarkEnd w:id="21"/>
      <w:bookmarkEnd w:id="22"/>
    </w:p>
    <w:p w:rsidR="00ED3B5F" w:rsidRDefault="00ED3B5F" w:rsidP="00ED3B5F">
      <w:r>
        <w:t xml:space="preserve">Tabulka I – </w:t>
      </w:r>
      <w:r w:rsidR="00D769DB">
        <w:t>čerpání dotačních programů ve strategii RE:START</w:t>
      </w:r>
    </w:p>
    <w:sectPr w:rsidR="00ED3B5F" w:rsidSect="00D97B65">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5C" w:rsidRDefault="00F26A5C" w:rsidP="0099699B">
      <w:pPr>
        <w:spacing w:after="0" w:line="240" w:lineRule="auto"/>
      </w:pPr>
      <w:r>
        <w:separator/>
      </w:r>
    </w:p>
  </w:endnote>
  <w:endnote w:type="continuationSeparator" w:id="0">
    <w:p w:rsidR="00F26A5C" w:rsidRDefault="00F26A5C" w:rsidP="00996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58236"/>
      <w:docPartObj>
        <w:docPartGallery w:val="Page Numbers (Bottom of Page)"/>
        <w:docPartUnique/>
      </w:docPartObj>
    </w:sdtPr>
    <w:sdtContent>
      <w:p w:rsidR="000761E9" w:rsidRDefault="000761E9" w:rsidP="009807C4">
        <w:pPr>
          <w:pStyle w:val="Zpat"/>
        </w:pPr>
      </w:p>
      <w:p w:rsidR="000761E9" w:rsidRDefault="000761E9" w:rsidP="009807C4">
        <w:pPr>
          <w:pStyle w:val="Zpat"/>
          <w:jc w:val="center"/>
          <w:rPr>
            <w:b/>
            <w:color w:val="002060"/>
          </w:rPr>
        </w:pPr>
        <w:r w:rsidRPr="00317AEB">
          <w:rPr>
            <w:b/>
            <w:color w:val="002060"/>
            <w:lang w:eastAsia="cs-CZ"/>
          </w:rPr>
          <w:drawing>
            <wp:inline distT="0" distB="0" distL="0" distR="0">
              <wp:extent cx="3295650" cy="568920"/>
              <wp:effectExtent l="0" t="0" r="0" b="3175"/>
              <wp:docPr id="1" name="Obrázek 1" descr="C:\Users\soumil\Documents\!!!SR a AP\!!2018\AP3\Prezentace_loga MMR\RESTART_NVT - formuláře_final\Logolink-OPTP-Logo-MMR\RGB\JPG\OPT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mil\Documents\!!!SR a AP\!!2018\AP3\Prezentace_loga MMR\RESTART_NVT - formuláře_final\Logolink-OPTP-Logo-MMR\RGB\JPG\OPTP_CZ_RO_B_C 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6952" cy="570871"/>
                      </a:xfrm>
                      <a:prstGeom prst="rect">
                        <a:avLst/>
                      </a:prstGeom>
                      <a:noFill/>
                      <a:ln>
                        <a:noFill/>
                      </a:ln>
                    </pic:spPr>
                  </pic:pic>
                </a:graphicData>
              </a:graphic>
            </wp:inline>
          </w:drawing>
        </w:r>
      </w:p>
      <w:p w:rsidR="000761E9" w:rsidRDefault="00D97B65" w:rsidP="009807C4">
        <w:pPr>
          <w:pStyle w:val="Zpat"/>
          <w:jc w:val="center"/>
          <w:rPr>
            <w:b/>
            <w:color w:val="002060"/>
          </w:rPr>
        </w:pPr>
        <w:hyperlink r:id="rId2" w:history="1">
          <w:r w:rsidR="000761E9" w:rsidRPr="004267DF">
            <w:rPr>
              <w:rStyle w:val="Hypertextovodkaz"/>
              <w:b/>
            </w:rPr>
            <w:t>www.restartregionu.cz</w:t>
          </w:r>
        </w:hyperlink>
        <w:r w:rsidR="000761E9">
          <w:rPr>
            <w:b/>
            <w:color w:val="002060"/>
          </w:rPr>
          <w:t xml:space="preserve"> </w:t>
        </w:r>
      </w:p>
      <w:p w:rsidR="000761E9" w:rsidRDefault="00D97B65" w:rsidP="009807C4">
        <w:pPr>
          <w:pStyle w:val="Zpat"/>
          <w:jc w:val="right"/>
        </w:pPr>
        <w:sdt>
          <w:sdtPr>
            <w:id w:val="-1131168681"/>
            <w:docPartObj>
              <w:docPartGallery w:val="Page Numbers (Top of Page)"/>
              <w:docPartUnique/>
            </w:docPartObj>
          </w:sdtPr>
          <w:sdtContent>
            <w:r>
              <w:rPr>
                <w:b/>
                <w:bCs/>
                <w:sz w:val="24"/>
                <w:szCs w:val="24"/>
              </w:rPr>
              <w:fldChar w:fldCharType="begin"/>
            </w:r>
            <w:r w:rsidR="000761E9">
              <w:rPr>
                <w:b/>
                <w:bCs/>
              </w:rPr>
              <w:instrText>PAGE</w:instrText>
            </w:r>
            <w:r>
              <w:rPr>
                <w:b/>
                <w:bCs/>
                <w:sz w:val="24"/>
                <w:szCs w:val="24"/>
              </w:rPr>
              <w:fldChar w:fldCharType="separate"/>
            </w:r>
            <w:r w:rsidR="00FD2ED5">
              <w:rPr>
                <w:b/>
                <w:bCs/>
              </w:rPr>
              <w:t>1</w:t>
            </w:r>
            <w:r>
              <w:rPr>
                <w:b/>
                <w:bCs/>
                <w:sz w:val="24"/>
                <w:szCs w:val="24"/>
              </w:rPr>
              <w:fldChar w:fldCharType="end"/>
            </w:r>
            <w:r w:rsidR="000761E9">
              <w:t xml:space="preserve"> / </w:t>
            </w:r>
            <w:r>
              <w:rPr>
                <w:b/>
                <w:bCs/>
                <w:sz w:val="24"/>
                <w:szCs w:val="24"/>
              </w:rPr>
              <w:fldChar w:fldCharType="begin"/>
            </w:r>
            <w:r w:rsidR="000761E9">
              <w:rPr>
                <w:b/>
                <w:bCs/>
              </w:rPr>
              <w:instrText>NUMPAGES</w:instrText>
            </w:r>
            <w:r>
              <w:rPr>
                <w:b/>
                <w:bCs/>
                <w:sz w:val="24"/>
                <w:szCs w:val="24"/>
              </w:rPr>
              <w:fldChar w:fldCharType="separate"/>
            </w:r>
            <w:r w:rsidR="00FD2ED5">
              <w:rPr>
                <w:b/>
                <w:bCs/>
              </w:rPr>
              <w:t>11</w:t>
            </w:r>
            <w:r>
              <w:rPr>
                <w:b/>
                <w:bCs/>
                <w:sz w:val="24"/>
                <w:szCs w:val="24"/>
              </w:rPr>
              <w:fldChar w:fldCharType="end"/>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E9" w:rsidRDefault="000761E9" w:rsidP="009807C4">
    <w:pPr>
      <w:pStyle w:val="Zpat"/>
      <w:jc w:val="center"/>
      <w:rPr>
        <w:b/>
        <w:color w:val="002060"/>
      </w:rPr>
    </w:pPr>
    <w:r w:rsidRPr="00DA7B41">
      <w:rPr>
        <w:lang w:eastAsia="cs-CZ"/>
      </w:rPr>
      <w:drawing>
        <wp:anchor distT="0" distB="0" distL="114300" distR="114300" simplePos="0" relativeHeight="251659264" behindDoc="1" locked="0" layoutInCell="1" allowOverlap="1">
          <wp:simplePos x="0" y="0"/>
          <wp:positionH relativeFrom="margin">
            <wp:align>center</wp:align>
          </wp:positionH>
          <wp:positionV relativeFrom="paragraph">
            <wp:posOffset>177165</wp:posOffset>
          </wp:positionV>
          <wp:extent cx="3759200" cy="648335"/>
          <wp:effectExtent l="0" t="0" r="0" b="0"/>
          <wp:wrapTight wrapText="bothSides">
            <wp:wrapPolygon edited="0">
              <wp:start x="0" y="0"/>
              <wp:lineTo x="0" y="20944"/>
              <wp:lineTo x="21454" y="20944"/>
              <wp:lineTo x="21454" y="0"/>
              <wp:lineTo x="0" y="0"/>
            </wp:wrapPolygon>
          </wp:wrapTight>
          <wp:docPr id="28" name="Obrázek 28" descr="C:\Users\lanand\AppData\Local\Temp\7zO8335775A\OPT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and\AppData\Local\Temp\7zO8335775A\OPTP_CZ_RO_B_C RG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9200" cy="648335"/>
                  </a:xfrm>
                  <a:prstGeom prst="rect">
                    <a:avLst/>
                  </a:prstGeom>
                  <a:noFill/>
                  <a:ln>
                    <a:noFill/>
                  </a:ln>
                </pic:spPr>
              </pic:pic>
            </a:graphicData>
          </a:graphic>
        </wp:anchor>
      </w:drawing>
    </w:r>
  </w:p>
  <w:p w:rsidR="000761E9" w:rsidRPr="005F34A6" w:rsidRDefault="000761E9" w:rsidP="005F34A6">
    <w:pPr>
      <w:pStyle w:val="Zhlav"/>
      <w:tabs>
        <w:tab w:val="left" w:pos="1920"/>
      </w:tabs>
      <w:jc w:val="center"/>
      <w:rPr>
        <w:rFonts w:ascii="Arial" w:hAnsi="Arial" w:cs="Arial"/>
        <w:b/>
        <w:color w:val="2E74B5" w:themeColor="accent1" w:themeShade="BF"/>
        <w:sz w:val="16"/>
        <w:szCs w:val="16"/>
      </w:rPr>
    </w:pPr>
    <w:r w:rsidRPr="005F34A6">
      <w:rPr>
        <w:rStyle w:val="Hypertextovodkaz"/>
        <w:rFonts w:ascii="Arial" w:hAnsi="Arial" w:cs="Arial"/>
        <w:b/>
        <w:color w:val="2E74B5" w:themeColor="accent1" w:themeShade="BF"/>
        <w:sz w:val="16"/>
        <w:szCs w:val="16"/>
        <w:u w:val="none"/>
      </w:rPr>
      <w:t>www.restartregionu.cz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5C" w:rsidRDefault="00F26A5C" w:rsidP="0099699B">
      <w:pPr>
        <w:spacing w:after="0" w:line="240" w:lineRule="auto"/>
      </w:pPr>
      <w:r>
        <w:separator/>
      </w:r>
    </w:p>
  </w:footnote>
  <w:footnote w:type="continuationSeparator" w:id="0">
    <w:p w:rsidR="00F26A5C" w:rsidRDefault="00F26A5C" w:rsidP="0099699B">
      <w:pPr>
        <w:spacing w:after="0" w:line="240" w:lineRule="auto"/>
      </w:pPr>
      <w:r>
        <w:continuationSeparator/>
      </w:r>
    </w:p>
  </w:footnote>
  <w:footnote w:id="1">
    <w:p w:rsidR="000761E9" w:rsidRDefault="000761E9">
      <w:pPr>
        <w:pStyle w:val="Textpoznpodarou"/>
      </w:pPr>
      <w:r>
        <w:rPr>
          <w:rStyle w:val="Znakapoznpodarou"/>
        </w:rPr>
        <w:footnoteRef/>
      </w:r>
      <w:r>
        <w:t xml:space="preserve"> </w:t>
      </w:r>
      <w:r w:rsidRPr="004F6019">
        <w:rPr>
          <w:i/>
        </w:rPr>
        <w:t xml:space="preserve">Prostředky určené na I.G.1.1 Komplex opatření k dobudování významných dopravních úseků – dálnic a silnic I. třídy dopravní infrastruktury jsou realizovány v souladu s aktuálně platnou Dopravní sektorovou strategií 2. fáze. </w:t>
      </w:r>
      <w:r w:rsidRPr="004F6019">
        <w:rPr>
          <w:i/>
          <w:u w:val="single"/>
        </w:rPr>
        <w:t>U ostatních opatření se jedná o prostředky, o které se ucházeli žadatelé ve vyhlášených dotačních výzvách vyhlášených pod záštitou programu RE:START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E9" w:rsidRDefault="000761E9" w:rsidP="00317AEB">
    <w:pPr>
      <w:pStyle w:val="Zhlav"/>
      <w:tabs>
        <w:tab w:val="clear" w:pos="9072"/>
        <w:tab w:val="left" w:pos="6585"/>
      </w:tabs>
      <w:jc w:val="center"/>
    </w:pPr>
    <w:r w:rsidRPr="00604B21">
      <w:rPr>
        <w:lang w:eastAsia="cs-CZ"/>
      </w:rPr>
      <w:drawing>
        <wp:inline distT="0" distB="0" distL="0" distR="0">
          <wp:extent cx="2012950" cy="676575"/>
          <wp:effectExtent l="0" t="0" r="6350" b="9525"/>
          <wp:docPr id="2" name="Obrázek 2" descr="C:\Users\soumil\Documents\!!!SR a AP\!!2018\AP3\Prezentace_loga MMR\RESTART_NVT - formuláře_final\RESTART v3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mil\Documents\!!!SR a AP\!!2018\AP3\Prezentace_loga MMR\RESTART_NVT - formuláře_final\RESTART v3_ba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572" cy="685187"/>
                  </a:xfrm>
                  <a:prstGeom prst="rect">
                    <a:avLst/>
                  </a:prstGeom>
                  <a:noFill/>
                  <a:ln>
                    <a:noFill/>
                  </a:ln>
                </pic:spPr>
              </pic:pic>
            </a:graphicData>
          </a:graphic>
        </wp:inline>
      </w:drawing>
    </w:r>
    <w:r>
      <w:t xml:space="preserve">                                                                    </w:t>
    </w:r>
  </w:p>
  <w:p w:rsidR="000761E9" w:rsidRDefault="000761E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E9" w:rsidRDefault="000761E9" w:rsidP="005F34A6">
    <w:pPr>
      <w:pStyle w:val="Zhlav"/>
      <w:tabs>
        <w:tab w:val="clear" w:pos="9072"/>
        <w:tab w:val="left" w:pos="6585"/>
      </w:tabs>
      <w:jc w:val="center"/>
    </w:pPr>
    <w:r w:rsidRPr="00BA0E8F">
      <w:rPr>
        <w:lang w:eastAsia="cs-CZ"/>
      </w:rPr>
      <w:drawing>
        <wp:inline distT="0" distB="0" distL="0" distR="0">
          <wp:extent cx="1924050" cy="826272"/>
          <wp:effectExtent l="0" t="0" r="0" b="0"/>
          <wp:docPr id="27" name="Obrázek 27" descr="C:\Users\lanand\Desktop\MMMR - formuláře\NVT - návrh formulářů\NT RESTART v3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and\Desktop\MMMR - formuláře\NVT - návrh formulářů\NT RESTART v3_ba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6148" cy="857234"/>
                  </a:xfrm>
                  <a:prstGeom prst="rect">
                    <a:avLst/>
                  </a:prstGeom>
                  <a:noFill/>
                  <a:ln>
                    <a:noFill/>
                  </a:ln>
                </pic:spPr>
              </pic:pic>
            </a:graphicData>
          </a:graphic>
        </wp:inline>
      </w:drawing>
    </w:r>
    <w:r>
      <w:t xml:space="preserve">                          </w:t>
    </w:r>
  </w:p>
  <w:p w:rsidR="000761E9" w:rsidRPr="00D32E95" w:rsidRDefault="000761E9" w:rsidP="009807C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6069B0"/>
    <w:lvl w:ilvl="0">
      <w:numFmt w:val="bullet"/>
      <w:lvlText w:val="*"/>
      <w:lvlJc w:val="left"/>
    </w:lvl>
  </w:abstractNum>
  <w:abstractNum w:abstractNumId="1">
    <w:nsid w:val="01FC4B6E"/>
    <w:multiLevelType w:val="hybridMultilevel"/>
    <w:tmpl w:val="19927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6E41B1"/>
    <w:multiLevelType w:val="hybridMultilevel"/>
    <w:tmpl w:val="D3308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F22B5E"/>
    <w:multiLevelType w:val="hybridMultilevel"/>
    <w:tmpl w:val="50C4D5C2"/>
    <w:lvl w:ilvl="0" w:tplc="04050001">
      <w:start w:val="1"/>
      <w:numFmt w:val="bullet"/>
      <w:lvlText w:val=""/>
      <w:lvlJc w:val="left"/>
      <w:pPr>
        <w:tabs>
          <w:tab w:val="num" w:pos="720"/>
        </w:tabs>
        <w:ind w:left="720" w:hanging="360"/>
      </w:pPr>
      <w:rPr>
        <w:rFonts w:ascii="Symbol" w:hAnsi="Symbol" w:hint="default"/>
      </w:rPr>
    </w:lvl>
    <w:lvl w:ilvl="1" w:tplc="FB4C5F5A" w:tentative="1">
      <w:start w:val="1"/>
      <w:numFmt w:val="bullet"/>
      <w:lvlText w:val="•"/>
      <w:lvlJc w:val="left"/>
      <w:pPr>
        <w:tabs>
          <w:tab w:val="num" w:pos="1440"/>
        </w:tabs>
        <w:ind w:left="1440" w:hanging="360"/>
      </w:pPr>
      <w:rPr>
        <w:rFonts w:ascii="Arial" w:hAnsi="Arial" w:hint="default"/>
      </w:rPr>
    </w:lvl>
    <w:lvl w:ilvl="2" w:tplc="6640023A" w:tentative="1">
      <w:start w:val="1"/>
      <w:numFmt w:val="bullet"/>
      <w:lvlText w:val="•"/>
      <w:lvlJc w:val="left"/>
      <w:pPr>
        <w:tabs>
          <w:tab w:val="num" w:pos="2160"/>
        </w:tabs>
        <w:ind w:left="2160" w:hanging="360"/>
      </w:pPr>
      <w:rPr>
        <w:rFonts w:ascii="Arial" w:hAnsi="Arial" w:hint="default"/>
      </w:rPr>
    </w:lvl>
    <w:lvl w:ilvl="3" w:tplc="D0607F24" w:tentative="1">
      <w:start w:val="1"/>
      <w:numFmt w:val="bullet"/>
      <w:lvlText w:val="•"/>
      <w:lvlJc w:val="left"/>
      <w:pPr>
        <w:tabs>
          <w:tab w:val="num" w:pos="2880"/>
        </w:tabs>
        <w:ind w:left="2880" w:hanging="360"/>
      </w:pPr>
      <w:rPr>
        <w:rFonts w:ascii="Arial" w:hAnsi="Arial" w:hint="default"/>
      </w:rPr>
    </w:lvl>
    <w:lvl w:ilvl="4" w:tplc="2E3E840E" w:tentative="1">
      <w:start w:val="1"/>
      <w:numFmt w:val="bullet"/>
      <w:lvlText w:val="•"/>
      <w:lvlJc w:val="left"/>
      <w:pPr>
        <w:tabs>
          <w:tab w:val="num" w:pos="3600"/>
        </w:tabs>
        <w:ind w:left="3600" w:hanging="360"/>
      </w:pPr>
      <w:rPr>
        <w:rFonts w:ascii="Arial" w:hAnsi="Arial" w:hint="default"/>
      </w:rPr>
    </w:lvl>
    <w:lvl w:ilvl="5" w:tplc="95348F8E" w:tentative="1">
      <w:start w:val="1"/>
      <w:numFmt w:val="bullet"/>
      <w:lvlText w:val="•"/>
      <w:lvlJc w:val="left"/>
      <w:pPr>
        <w:tabs>
          <w:tab w:val="num" w:pos="4320"/>
        </w:tabs>
        <w:ind w:left="4320" w:hanging="360"/>
      </w:pPr>
      <w:rPr>
        <w:rFonts w:ascii="Arial" w:hAnsi="Arial" w:hint="default"/>
      </w:rPr>
    </w:lvl>
    <w:lvl w:ilvl="6" w:tplc="D270D34C" w:tentative="1">
      <w:start w:val="1"/>
      <w:numFmt w:val="bullet"/>
      <w:lvlText w:val="•"/>
      <w:lvlJc w:val="left"/>
      <w:pPr>
        <w:tabs>
          <w:tab w:val="num" w:pos="5040"/>
        </w:tabs>
        <w:ind w:left="5040" w:hanging="360"/>
      </w:pPr>
      <w:rPr>
        <w:rFonts w:ascii="Arial" w:hAnsi="Arial" w:hint="default"/>
      </w:rPr>
    </w:lvl>
    <w:lvl w:ilvl="7" w:tplc="9E325A9E" w:tentative="1">
      <w:start w:val="1"/>
      <w:numFmt w:val="bullet"/>
      <w:lvlText w:val="•"/>
      <w:lvlJc w:val="left"/>
      <w:pPr>
        <w:tabs>
          <w:tab w:val="num" w:pos="5760"/>
        </w:tabs>
        <w:ind w:left="5760" w:hanging="360"/>
      </w:pPr>
      <w:rPr>
        <w:rFonts w:ascii="Arial" w:hAnsi="Arial" w:hint="default"/>
      </w:rPr>
    </w:lvl>
    <w:lvl w:ilvl="8" w:tplc="E488BCF0" w:tentative="1">
      <w:start w:val="1"/>
      <w:numFmt w:val="bullet"/>
      <w:lvlText w:val="•"/>
      <w:lvlJc w:val="left"/>
      <w:pPr>
        <w:tabs>
          <w:tab w:val="num" w:pos="6480"/>
        </w:tabs>
        <w:ind w:left="6480" w:hanging="360"/>
      </w:pPr>
      <w:rPr>
        <w:rFonts w:ascii="Arial" w:hAnsi="Arial" w:hint="default"/>
      </w:rPr>
    </w:lvl>
  </w:abstractNum>
  <w:abstractNum w:abstractNumId="4">
    <w:nsid w:val="1DF863E6"/>
    <w:multiLevelType w:val="hybridMultilevel"/>
    <w:tmpl w:val="FB049522"/>
    <w:lvl w:ilvl="0" w:tplc="5420D19C">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F0704F6"/>
    <w:multiLevelType w:val="hybridMultilevel"/>
    <w:tmpl w:val="E0EA2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6B220D"/>
    <w:multiLevelType w:val="hybridMultilevel"/>
    <w:tmpl w:val="1F8EE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011EE4"/>
    <w:multiLevelType w:val="hybridMultilevel"/>
    <w:tmpl w:val="3E2EF6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307F29"/>
    <w:multiLevelType w:val="hybridMultilevel"/>
    <w:tmpl w:val="4C862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1B1518"/>
    <w:multiLevelType w:val="hybridMultilevel"/>
    <w:tmpl w:val="A53210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F00D7C"/>
    <w:multiLevelType w:val="hybridMultilevel"/>
    <w:tmpl w:val="FBAA3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001D36"/>
    <w:multiLevelType w:val="hybridMultilevel"/>
    <w:tmpl w:val="154EB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135F24"/>
    <w:multiLevelType w:val="hybridMultilevel"/>
    <w:tmpl w:val="43547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9B0CC3"/>
    <w:multiLevelType w:val="hybridMultilevel"/>
    <w:tmpl w:val="DE249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05700D"/>
    <w:multiLevelType w:val="hybridMultilevel"/>
    <w:tmpl w:val="E40EA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4209DE"/>
    <w:multiLevelType w:val="hybridMultilevel"/>
    <w:tmpl w:val="68748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1E5810"/>
    <w:multiLevelType w:val="hybridMultilevel"/>
    <w:tmpl w:val="36362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2526EA"/>
    <w:multiLevelType w:val="hybridMultilevel"/>
    <w:tmpl w:val="2E04CB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690013C"/>
    <w:multiLevelType w:val="hybridMultilevel"/>
    <w:tmpl w:val="1E308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4471E7"/>
    <w:multiLevelType w:val="hybridMultilevel"/>
    <w:tmpl w:val="3754FE1C"/>
    <w:lvl w:ilvl="0" w:tplc="264818BC">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D27BC8"/>
    <w:multiLevelType w:val="hybridMultilevel"/>
    <w:tmpl w:val="028E6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9D833FD"/>
    <w:multiLevelType w:val="hybridMultilevel"/>
    <w:tmpl w:val="5270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9F74E43"/>
    <w:multiLevelType w:val="hybridMultilevel"/>
    <w:tmpl w:val="899A51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4"/>
  </w:num>
  <w:num w:numId="6">
    <w:abstractNumId w:val="19"/>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17"/>
  </w:num>
  <w:num w:numId="9">
    <w:abstractNumId w:val="18"/>
  </w:num>
  <w:num w:numId="10">
    <w:abstractNumId w:val="10"/>
  </w:num>
  <w:num w:numId="11">
    <w:abstractNumId w:val="3"/>
  </w:num>
  <w:num w:numId="12">
    <w:abstractNumId w:val="22"/>
  </w:num>
  <w:num w:numId="13">
    <w:abstractNumId w:val="21"/>
  </w:num>
  <w:num w:numId="14">
    <w:abstractNumId w:val="8"/>
  </w:num>
  <w:num w:numId="15">
    <w:abstractNumId w:val="1"/>
  </w:num>
  <w:num w:numId="16">
    <w:abstractNumId w:val="15"/>
  </w:num>
  <w:num w:numId="17">
    <w:abstractNumId w:val="13"/>
  </w:num>
  <w:num w:numId="18">
    <w:abstractNumId w:val="20"/>
  </w:num>
  <w:num w:numId="19">
    <w:abstractNumId w:val="2"/>
  </w:num>
  <w:num w:numId="20">
    <w:abstractNumId w:val="12"/>
  </w:num>
  <w:num w:numId="21">
    <w:abstractNumId w:val="16"/>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56498"/>
    <w:rsid w:val="000009A7"/>
    <w:rsid w:val="00014028"/>
    <w:rsid w:val="000172AA"/>
    <w:rsid w:val="0005176C"/>
    <w:rsid w:val="00052676"/>
    <w:rsid w:val="00056D95"/>
    <w:rsid w:val="000761E9"/>
    <w:rsid w:val="0007692B"/>
    <w:rsid w:val="00087EA7"/>
    <w:rsid w:val="00094387"/>
    <w:rsid w:val="000A360E"/>
    <w:rsid w:val="000B4253"/>
    <w:rsid w:val="000B7780"/>
    <w:rsid w:val="000B7ABE"/>
    <w:rsid w:val="000D1AA3"/>
    <w:rsid w:val="000F2BD0"/>
    <w:rsid w:val="00114F5C"/>
    <w:rsid w:val="00134242"/>
    <w:rsid w:val="00147938"/>
    <w:rsid w:val="00163518"/>
    <w:rsid w:val="0017039D"/>
    <w:rsid w:val="001913EE"/>
    <w:rsid w:val="0019368E"/>
    <w:rsid w:val="001A39A2"/>
    <w:rsid w:val="001B502F"/>
    <w:rsid w:val="001D7C2D"/>
    <w:rsid w:val="001E3E11"/>
    <w:rsid w:val="001F02E7"/>
    <w:rsid w:val="001F5B35"/>
    <w:rsid w:val="00246698"/>
    <w:rsid w:val="00256002"/>
    <w:rsid w:val="00265A61"/>
    <w:rsid w:val="00295186"/>
    <w:rsid w:val="002A40D7"/>
    <w:rsid w:val="002A7EE5"/>
    <w:rsid w:val="002B497A"/>
    <w:rsid w:val="002C311C"/>
    <w:rsid w:val="002E64CF"/>
    <w:rsid w:val="002F3109"/>
    <w:rsid w:val="002F7119"/>
    <w:rsid w:val="00313A97"/>
    <w:rsid w:val="00317AEB"/>
    <w:rsid w:val="0032287C"/>
    <w:rsid w:val="00324830"/>
    <w:rsid w:val="00332CAD"/>
    <w:rsid w:val="00351DC3"/>
    <w:rsid w:val="003775A6"/>
    <w:rsid w:val="003846E7"/>
    <w:rsid w:val="00390EDF"/>
    <w:rsid w:val="003A3D14"/>
    <w:rsid w:val="003B3809"/>
    <w:rsid w:val="003C12C4"/>
    <w:rsid w:val="003C2BC4"/>
    <w:rsid w:val="003D1197"/>
    <w:rsid w:val="003D1E35"/>
    <w:rsid w:val="003D4EC2"/>
    <w:rsid w:val="003F78B9"/>
    <w:rsid w:val="00433F51"/>
    <w:rsid w:val="004523EB"/>
    <w:rsid w:val="0045597A"/>
    <w:rsid w:val="00465B51"/>
    <w:rsid w:val="00470230"/>
    <w:rsid w:val="0047364B"/>
    <w:rsid w:val="004963C6"/>
    <w:rsid w:val="004C26B0"/>
    <w:rsid w:val="004F4198"/>
    <w:rsid w:val="004F6019"/>
    <w:rsid w:val="005065F6"/>
    <w:rsid w:val="00507D10"/>
    <w:rsid w:val="005166C0"/>
    <w:rsid w:val="0052733A"/>
    <w:rsid w:val="005508CC"/>
    <w:rsid w:val="00553E53"/>
    <w:rsid w:val="00555426"/>
    <w:rsid w:val="00584723"/>
    <w:rsid w:val="005A3D47"/>
    <w:rsid w:val="005A5670"/>
    <w:rsid w:val="005A79E2"/>
    <w:rsid w:val="005B3763"/>
    <w:rsid w:val="005B7EDB"/>
    <w:rsid w:val="005F34A6"/>
    <w:rsid w:val="00603807"/>
    <w:rsid w:val="006038FA"/>
    <w:rsid w:val="0060464F"/>
    <w:rsid w:val="00604B21"/>
    <w:rsid w:val="0060612D"/>
    <w:rsid w:val="00607F1C"/>
    <w:rsid w:val="00637251"/>
    <w:rsid w:val="006404A0"/>
    <w:rsid w:val="00645870"/>
    <w:rsid w:val="00656498"/>
    <w:rsid w:val="00676B26"/>
    <w:rsid w:val="00690AD0"/>
    <w:rsid w:val="0069266A"/>
    <w:rsid w:val="00692A68"/>
    <w:rsid w:val="006A3122"/>
    <w:rsid w:val="006B0B0A"/>
    <w:rsid w:val="006B397E"/>
    <w:rsid w:val="006C5CE6"/>
    <w:rsid w:val="006D1DBA"/>
    <w:rsid w:val="00704B54"/>
    <w:rsid w:val="007406F9"/>
    <w:rsid w:val="0074560B"/>
    <w:rsid w:val="00746259"/>
    <w:rsid w:val="007641CB"/>
    <w:rsid w:val="007767B7"/>
    <w:rsid w:val="00777314"/>
    <w:rsid w:val="00783FF1"/>
    <w:rsid w:val="00790F3E"/>
    <w:rsid w:val="007A04AD"/>
    <w:rsid w:val="007E215A"/>
    <w:rsid w:val="007E52D4"/>
    <w:rsid w:val="007E661E"/>
    <w:rsid w:val="007F056D"/>
    <w:rsid w:val="007F5DCA"/>
    <w:rsid w:val="008043D0"/>
    <w:rsid w:val="00804AD6"/>
    <w:rsid w:val="00813DA0"/>
    <w:rsid w:val="008271ED"/>
    <w:rsid w:val="00837C4C"/>
    <w:rsid w:val="00851EFD"/>
    <w:rsid w:val="00872A68"/>
    <w:rsid w:val="008739AE"/>
    <w:rsid w:val="00885B24"/>
    <w:rsid w:val="008A2202"/>
    <w:rsid w:val="008A5738"/>
    <w:rsid w:val="008C14C5"/>
    <w:rsid w:val="008F704F"/>
    <w:rsid w:val="00901506"/>
    <w:rsid w:val="0091319D"/>
    <w:rsid w:val="00914872"/>
    <w:rsid w:val="00927233"/>
    <w:rsid w:val="0094238E"/>
    <w:rsid w:val="0097546F"/>
    <w:rsid w:val="009807C4"/>
    <w:rsid w:val="009845B0"/>
    <w:rsid w:val="00984CB8"/>
    <w:rsid w:val="009932B0"/>
    <w:rsid w:val="0099699B"/>
    <w:rsid w:val="009A5C82"/>
    <w:rsid w:val="009B0072"/>
    <w:rsid w:val="009B5590"/>
    <w:rsid w:val="009C4692"/>
    <w:rsid w:val="009F061D"/>
    <w:rsid w:val="00A032B9"/>
    <w:rsid w:val="00A05FF2"/>
    <w:rsid w:val="00A51167"/>
    <w:rsid w:val="00A62831"/>
    <w:rsid w:val="00A80A6B"/>
    <w:rsid w:val="00A81102"/>
    <w:rsid w:val="00AA00E5"/>
    <w:rsid w:val="00AD013A"/>
    <w:rsid w:val="00AD453C"/>
    <w:rsid w:val="00AE55D7"/>
    <w:rsid w:val="00AF6110"/>
    <w:rsid w:val="00AF6A14"/>
    <w:rsid w:val="00B049EB"/>
    <w:rsid w:val="00B10AC4"/>
    <w:rsid w:val="00B27B94"/>
    <w:rsid w:val="00B322F9"/>
    <w:rsid w:val="00B35EC8"/>
    <w:rsid w:val="00B74B4C"/>
    <w:rsid w:val="00B75876"/>
    <w:rsid w:val="00BC6F92"/>
    <w:rsid w:val="00BE3195"/>
    <w:rsid w:val="00BF533E"/>
    <w:rsid w:val="00C34629"/>
    <w:rsid w:val="00C53647"/>
    <w:rsid w:val="00C536EA"/>
    <w:rsid w:val="00C563BE"/>
    <w:rsid w:val="00C67C52"/>
    <w:rsid w:val="00C7621D"/>
    <w:rsid w:val="00C85428"/>
    <w:rsid w:val="00C86248"/>
    <w:rsid w:val="00C86E32"/>
    <w:rsid w:val="00C9535A"/>
    <w:rsid w:val="00CA61FB"/>
    <w:rsid w:val="00CB0471"/>
    <w:rsid w:val="00CB16BA"/>
    <w:rsid w:val="00CC61B8"/>
    <w:rsid w:val="00CC6BCD"/>
    <w:rsid w:val="00CD5160"/>
    <w:rsid w:val="00CD5319"/>
    <w:rsid w:val="00CE0253"/>
    <w:rsid w:val="00CE7020"/>
    <w:rsid w:val="00CF1CA4"/>
    <w:rsid w:val="00CF4B8A"/>
    <w:rsid w:val="00D04FB4"/>
    <w:rsid w:val="00D46903"/>
    <w:rsid w:val="00D641DF"/>
    <w:rsid w:val="00D6768A"/>
    <w:rsid w:val="00D7458B"/>
    <w:rsid w:val="00D769DB"/>
    <w:rsid w:val="00D80BD6"/>
    <w:rsid w:val="00D97B65"/>
    <w:rsid w:val="00D97F59"/>
    <w:rsid w:val="00DA2962"/>
    <w:rsid w:val="00DA75D6"/>
    <w:rsid w:val="00DB7E11"/>
    <w:rsid w:val="00DD54A4"/>
    <w:rsid w:val="00DD54FC"/>
    <w:rsid w:val="00DE1021"/>
    <w:rsid w:val="00DE7B31"/>
    <w:rsid w:val="00DF0939"/>
    <w:rsid w:val="00DF2BD5"/>
    <w:rsid w:val="00DF362A"/>
    <w:rsid w:val="00DF578E"/>
    <w:rsid w:val="00E02099"/>
    <w:rsid w:val="00E1724A"/>
    <w:rsid w:val="00E72DE4"/>
    <w:rsid w:val="00E81BA8"/>
    <w:rsid w:val="00EC04C8"/>
    <w:rsid w:val="00EC20BB"/>
    <w:rsid w:val="00ED3B5F"/>
    <w:rsid w:val="00ED4BC7"/>
    <w:rsid w:val="00F10673"/>
    <w:rsid w:val="00F166A4"/>
    <w:rsid w:val="00F20DF0"/>
    <w:rsid w:val="00F26A5C"/>
    <w:rsid w:val="00F4415E"/>
    <w:rsid w:val="00F44D08"/>
    <w:rsid w:val="00F45981"/>
    <w:rsid w:val="00F50027"/>
    <w:rsid w:val="00F55BCF"/>
    <w:rsid w:val="00F72D5A"/>
    <w:rsid w:val="00F73CFF"/>
    <w:rsid w:val="00F75778"/>
    <w:rsid w:val="00F94D5F"/>
    <w:rsid w:val="00FA1F7C"/>
    <w:rsid w:val="00FA3B43"/>
    <w:rsid w:val="00FA4A66"/>
    <w:rsid w:val="00FB3EFA"/>
    <w:rsid w:val="00FC1F0A"/>
    <w:rsid w:val="00FC5357"/>
    <w:rsid w:val="00FD2ED5"/>
    <w:rsid w:val="00FE3C4F"/>
    <w:rsid w:val="00FE5D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47"/>
  </w:style>
  <w:style w:type="paragraph" w:styleId="Nadpis1">
    <w:name w:val="heading 1"/>
    <w:basedOn w:val="Normln"/>
    <w:next w:val="Normln"/>
    <w:link w:val="Nadpis1Char"/>
    <w:uiPriority w:val="9"/>
    <w:qFormat/>
    <w:rsid w:val="0099699B"/>
    <w:pPr>
      <w:keepNext/>
      <w:keepLines/>
      <w:spacing w:before="480" w:after="0" w:line="276" w:lineRule="auto"/>
      <w:outlineLvl w:val="0"/>
    </w:pPr>
    <w:rPr>
      <w:rFonts w:asciiTheme="majorHAnsi" w:eastAsiaTheme="majorEastAsia" w:hAnsiTheme="majorHAnsi" w:cstheme="majorBidi"/>
      <w:b/>
      <w:bCs/>
      <w:noProof/>
      <w:color w:val="2E74B5" w:themeColor="accent1" w:themeShade="BF"/>
      <w:sz w:val="28"/>
      <w:szCs w:val="28"/>
    </w:rPr>
  </w:style>
  <w:style w:type="paragraph" w:styleId="Nadpis2">
    <w:name w:val="heading 2"/>
    <w:basedOn w:val="Normln"/>
    <w:next w:val="Normln"/>
    <w:link w:val="Nadpis2Char"/>
    <w:uiPriority w:val="9"/>
    <w:unhideWhenUsed/>
    <w:qFormat/>
    <w:rsid w:val="006458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342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1D7C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699B"/>
    <w:rPr>
      <w:rFonts w:asciiTheme="majorHAnsi" w:eastAsiaTheme="majorEastAsia" w:hAnsiTheme="majorHAnsi" w:cstheme="majorBidi"/>
      <w:b/>
      <w:bCs/>
      <w:noProof/>
      <w:color w:val="2E74B5" w:themeColor="accent1" w:themeShade="BF"/>
      <w:sz w:val="28"/>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9699B"/>
    <w:pPr>
      <w:spacing w:after="200" w:line="276" w:lineRule="auto"/>
      <w:ind w:left="720"/>
      <w:contextualSpacing/>
    </w:pPr>
    <w:rPr>
      <w:noProof/>
    </w:rPr>
  </w:style>
  <w:style w:type="paragraph" w:styleId="Titulek">
    <w:name w:val="caption"/>
    <w:basedOn w:val="Normln"/>
    <w:next w:val="Normln"/>
    <w:uiPriority w:val="35"/>
    <w:unhideWhenUsed/>
    <w:qFormat/>
    <w:rsid w:val="0099699B"/>
    <w:pPr>
      <w:spacing w:after="200" w:line="240" w:lineRule="auto"/>
    </w:pPr>
    <w:rPr>
      <w:i/>
      <w:iCs/>
      <w:color w:val="44546A" w:themeColor="text2"/>
      <w:sz w:val="18"/>
      <w:szCs w:val="18"/>
    </w:rPr>
  </w:style>
  <w:style w:type="paragraph" w:styleId="Zhlav">
    <w:name w:val="header"/>
    <w:basedOn w:val="Normln"/>
    <w:link w:val="ZhlavChar"/>
    <w:uiPriority w:val="99"/>
    <w:unhideWhenUsed/>
    <w:rsid w:val="0099699B"/>
    <w:pPr>
      <w:tabs>
        <w:tab w:val="center" w:pos="4536"/>
        <w:tab w:val="right" w:pos="9072"/>
      </w:tabs>
      <w:spacing w:after="0" w:line="240" w:lineRule="auto"/>
    </w:pPr>
    <w:rPr>
      <w:noProof/>
    </w:rPr>
  </w:style>
  <w:style w:type="character" w:customStyle="1" w:styleId="ZhlavChar">
    <w:name w:val="Záhlaví Char"/>
    <w:basedOn w:val="Standardnpsmoodstavce"/>
    <w:link w:val="Zhlav"/>
    <w:uiPriority w:val="99"/>
    <w:rsid w:val="0099699B"/>
    <w:rPr>
      <w:noProof/>
    </w:rPr>
  </w:style>
  <w:style w:type="paragraph" w:styleId="Zpat">
    <w:name w:val="footer"/>
    <w:basedOn w:val="Normln"/>
    <w:link w:val="ZpatChar"/>
    <w:uiPriority w:val="99"/>
    <w:unhideWhenUsed/>
    <w:rsid w:val="0099699B"/>
    <w:pPr>
      <w:tabs>
        <w:tab w:val="center" w:pos="4536"/>
        <w:tab w:val="right" w:pos="9072"/>
      </w:tabs>
      <w:spacing w:after="0" w:line="240" w:lineRule="auto"/>
    </w:pPr>
    <w:rPr>
      <w:noProof/>
    </w:rPr>
  </w:style>
  <w:style w:type="character" w:customStyle="1" w:styleId="ZpatChar">
    <w:name w:val="Zápatí Char"/>
    <w:basedOn w:val="Standardnpsmoodstavce"/>
    <w:link w:val="Zpat"/>
    <w:uiPriority w:val="99"/>
    <w:rsid w:val="0099699B"/>
    <w:rPr>
      <w:noProof/>
    </w:rPr>
  </w:style>
  <w:style w:type="character" w:styleId="Hypertextovodkaz">
    <w:name w:val="Hyperlink"/>
    <w:basedOn w:val="Standardnpsmoodstavce"/>
    <w:uiPriority w:val="99"/>
    <w:unhideWhenUsed/>
    <w:rsid w:val="0099699B"/>
    <w:rPr>
      <w:color w:val="0563C1" w:themeColor="hyperlink"/>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9699B"/>
    <w:rPr>
      <w:noProof/>
    </w:rPr>
  </w:style>
  <w:style w:type="table" w:customStyle="1" w:styleId="Tmavtabulkasmkou5zvraznn31">
    <w:name w:val="Tmavá tabulka s mřížkou 5 – zvýraznění 31"/>
    <w:basedOn w:val="Normlntabulka"/>
    <w:uiPriority w:val="50"/>
    <w:rsid w:val="0099699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unhideWhenUsed/>
    <w:qFormat/>
    <w:rsid w:val="0099699B"/>
    <w:pPr>
      <w:spacing w:after="0" w:line="240" w:lineRule="auto"/>
    </w:pPr>
    <w:rPr>
      <w:noProof/>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99699B"/>
    <w:rPr>
      <w:noProof/>
      <w:sz w:val="20"/>
      <w:szCs w:val="20"/>
    </w:rPr>
  </w:style>
  <w:style w:type="character" w:styleId="Znakapoznpodarou">
    <w:name w:val="footnote reference"/>
    <w:basedOn w:val="Standardnpsmoodstavce"/>
    <w:uiPriority w:val="99"/>
    <w:unhideWhenUsed/>
    <w:rsid w:val="0099699B"/>
    <w:rPr>
      <w:vertAlign w:val="superscript"/>
    </w:rPr>
  </w:style>
  <w:style w:type="character" w:customStyle="1" w:styleId="Nadpis2Char">
    <w:name w:val="Nadpis 2 Char"/>
    <w:basedOn w:val="Standardnpsmoodstavce"/>
    <w:link w:val="Nadpis2"/>
    <w:uiPriority w:val="9"/>
    <w:rsid w:val="00645870"/>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2A40D7"/>
    <w:rPr>
      <w:sz w:val="16"/>
      <w:szCs w:val="16"/>
    </w:rPr>
  </w:style>
  <w:style w:type="paragraph" w:styleId="Textkomente">
    <w:name w:val="annotation text"/>
    <w:basedOn w:val="Normln"/>
    <w:link w:val="TextkomenteChar"/>
    <w:uiPriority w:val="99"/>
    <w:semiHidden/>
    <w:unhideWhenUsed/>
    <w:rsid w:val="002A40D7"/>
    <w:pPr>
      <w:spacing w:line="240" w:lineRule="auto"/>
    </w:pPr>
    <w:rPr>
      <w:sz w:val="20"/>
      <w:szCs w:val="20"/>
    </w:rPr>
  </w:style>
  <w:style w:type="character" w:customStyle="1" w:styleId="TextkomenteChar">
    <w:name w:val="Text komentáře Char"/>
    <w:basedOn w:val="Standardnpsmoodstavce"/>
    <w:link w:val="Textkomente"/>
    <w:uiPriority w:val="99"/>
    <w:semiHidden/>
    <w:rsid w:val="002A40D7"/>
    <w:rPr>
      <w:sz w:val="20"/>
      <w:szCs w:val="20"/>
    </w:rPr>
  </w:style>
  <w:style w:type="paragraph" w:styleId="Textbubliny">
    <w:name w:val="Balloon Text"/>
    <w:basedOn w:val="Normln"/>
    <w:link w:val="TextbublinyChar"/>
    <w:uiPriority w:val="99"/>
    <w:semiHidden/>
    <w:unhideWhenUsed/>
    <w:rsid w:val="002A40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40D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02099"/>
    <w:rPr>
      <w:b/>
      <w:bCs/>
    </w:rPr>
  </w:style>
  <w:style w:type="character" w:customStyle="1" w:styleId="PedmtkomenteChar">
    <w:name w:val="Předmět komentáře Char"/>
    <w:basedOn w:val="TextkomenteChar"/>
    <w:link w:val="Pedmtkomente"/>
    <w:uiPriority w:val="99"/>
    <w:semiHidden/>
    <w:rsid w:val="00E02099"/>
    <w:rPr>
      <w:b/>
      <w:bCs/>
      <w:sz w:val="20"/>
      <w:szCs w:val="20"/>
    </w:rPr>
  </w:style>
  <w:style w:type="paragraph" w:styleId="Nadpisobsahu">
    <w:name w:val="TOC Heading"/>
    <w:basedOn w:val="Nadpis1"/>
    <w:next w:val="Normln"/>
    <w:uiPriority w:val="39"/>
    <w:unhideWhenUsed/>
    <w:qFormat/>
    <w:rsid w:val="00B049EB"/>
    <w:pPr>
      <w:spacing w:before="240" w:line="259" w:lineRule="auto"/>
      <w:outlineLvl w:val="9"/>
    </w:pPr>
    <w:rPr>
      <w:b w:val="0"/>
      <w:bCs w:val="0"/>
      <w:noProof w:val="0"/>
      <w:sz w:val="32"/>
      <w:szCs w:val="32"/>
      <w:lang w:eastAsia="cs-CZ"/>
    </w:rPr>
  </w:style>
  <w:style w:type="paragraph" w:styleId="Obsah1">
    <w:name w:val="toc 1"/>
    <w:basedOn w:val="Normln"/>
    <w:next w:val="Normln"/>
    <w:autoRedefine/>
    <w:uiPriority w:val="39"/>
    <w:unhideWhenUsed/>
    <w:rsid w:val="00B049EB"/>
    <w:pPr>
      <w:spacing w:after="100"/>
    </w:pPr>
  </w:style>
  <w:style w:type="paragraph" w:styleId="Obsah2">
    <w:name w:val="toc 2"/>
    <w:basedOn w:val="Normln"/>
    <w:next w:val="Normln"/>
    <w:autoRedefine/>
    <w:uiPriority w:val="39"/>
    <w:unhideWhenUsed/>
    <w:rsid w:val="00B049EB"/>
    <w:pPr>
      <w:spacing w:after="100"/>
      <w:ind w:left="220"/>
    </w:pPr>
  </w:style>
  <w:style w:type="paragraph" w:customStyle="1" w:styleId="Default">
    <w:name w:val="Default"/>
    <w:basedOn w:val="Normln"/>
    <w:rsid w:val="007641CB"/>
    <w:pPr>
      <w:autoSpaceDE w:val="0"/>
      <w:autoSpaceDN w:val="0"/>
      <w:spacing w:after="0" w:line="240" w:lineRule="auto"/>
    </w:pPr>
    <w:rPr>
      <w:rFonts w:ascii="Arial" w:hAnsi="Arial" w:cs="Arial"/>
      <w:color w:val="000000"/>
      <w:sz w:val="24"/>
      <w:szCs w:val="24"/>
      <w:lang w:eastAsia="cs-CZ"/>
    </w:rPr>
  </w:style>
  <w:style w:type="paragraph" w:styleId="Seznamobrzk">
    <w:name w:val="table of figures"/>
    <w:basedOn w:val="Normln"/>
    <w:next w:val="Normln"/>
    <w:uiPriority w:val="99"/>
    <w:unhideWhenUsed/>
    <w:rsid w:val="00134242"/>
    <w:pPr>
      <w:spacing w:after="0" w:line="240" w:lineRule="auto"/>
    </w:pPr>
  </w:style>
  <w:style w:type="character" w:customStyle="1" w:styleId="Nadpis3Char">
    <w:name w:val="Nadpis 3 Char"/>
    <w:basedOn w:val="Standardnpsmoodstavce"/>
    <w:link w:val="Nadpis3"/>
    <w:uiPriority w:val="9"/>
    <w:rsid w:val="00134242"/>
    <w:rPr>
      <w:rFonts w:asciiTheme="majorHAnsi" w:eastAsiaTheme="majorEastAsia" w:hAnsiTheme="majorHAnsi" w:cstheme="majorBidi"/>
      <w:color w:val="1F4D78" w:themeColor="accent1" w:themeShade="7F"/>
      <w:sz w:val="24"/>
      <w:szCs w:val="24"/>
    </w:rPr>
  </w:style>
  <w:style w:type="paragraph" w:styleId="Revize">
    <w:name w:val="Revision"/>
    <w:hidden/>
    <w:uiPriority w:val="99"/>
    <w:semiHidden/>
    <w:rsid w:val="001A39A2"/>
    <w:pPr>
      <w:spacing w:after="0" w:line="240" w:lineRule="auto"/>
    </w:pPr>
  </w:style>
  <w:style w:type="character" w:customStyle="1" w:styleId="Nadpis4Char">
    <w:name w:val="Nadpis 4 Char"/>
    <w:basedOn w:val="Standardnpsmoodstavce"/>
    <w:link w:val="Nadpis4"/>
    <w:uiPriority w:val="9"/>
    <w:rsid w:val="001D7C2D"/>
    <w:rPr>
      <w:rFonts w:asciiTheme="majorHAnsi" w:eastAsiaTheme="majorEastAsia" w:hAnsiTheme="majorHAnsi" w:cstheme="majorBidi"/>
      <w:i/>
      <w:iCs/>
      <w:color w:val="2E74B5" w:themeColor="accent1" w:themeShade="BF"/>
    </w:rPr>
  </w:style>
  <w:style w:type="paragraph" w:styleId="Obsah3">
    <w:name w:val="toc 3"/>
    <w:basedOn w:val="Normln"/>
    <w:next w:val="Normln"/>
    <w:autoRedefine/>
    <w:uiPriority w:val="39"/>
    <w:unhideWhenUsed/>
    <w:rsid w:val="001D7C2D"/>
    <w:pPr>
      <w:spacing w:after="100"/>
      <w:ind w:left="440"/>
    </w:pPr>
  </w:style>
  <w:style w:type="paragraph" w:styleId="Normlnweb">
    <w:name w:val="Normal (Web)"/>
    <w:basedOn w:val="Normln"/>
    <w:uiPriority w:val="99"/>
    <w:unhideWhenUsed/>
    <w:rsid w:val="00F166A4"/>
    <w:pPr>
      <w:spacing w:before="100" w:beforeAutospacing="1" w:after="100" w:afterAutospacing="1"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semiHidden/>
    <w:unhideWhenUsed/>
    <w:rsid w:val="00F166A4"/>
    <w:pPr>
      <w:spacing w:after="0" w:line="240" w:lineRule="auto"/>
    </w:pPr>
    <w:rPr>
      <w:rFonts w:ascii="Arial" w:hAnsi="Arial" w:cs="Arial"/>
      <w:sz w:val="20"/>
      <w:szCs w:val="20"/>
    </w:rPr>
  </w:style>
  <w:style w:type="character" w:customStyle="1" w:styleId="ProsttextChar">
    <w:name w:val="Prostý text Char"/>
    <w:basedOn w:val="Standardnpsmoodstavce"/>
    <w:link w:val="Prosttext"/>
    <w:uiPriority w:val="99"/>
    <w:semiHidden/>
    <w:rsid w:val="00F166A4"/>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76258902">
      <w:bodyDiv w:val="1"/>
      <w:marLeft w:val="0"/>
      <w:marRight w:val="0"/>
      <w:marTop w:val="0"/>
      <w:marBottom w:val="0"/>
      <w:divBdr>
        <w:top w:val="none" w:sz="0" w:space="0" w:color="auto"/>
        <w:left w:val="none" w:sz="0" w:space="0" w:color="auto"/>
        <w:bottom w:val="none" w:sz="0" w:space="0" w:color="auto"/>
        <w:right w:val="none" w:sz="0" w:space="0" w:color="auto"/>
      </w:divBdr>
    </w:div>
    <w:div w:id="903295119">
      <w:bodyDiv w:val="1"/>
      <w:marLeft w:val="0"/>
      <w:marRight w:val="0"/>
      <w:marTop w:val="0"/>
      <w:marBottom w:val="0"/>
      <w:divBdr>
        <w:top w:val="none" w:sz="0" w:space="0" w:color="auto"/>
        <w:left w:val="none" w:sz="0" w:space="0" w:color="auto"/>
        <w:bottom w:val="none" w:sz="0" w:space="0" w:color="auto"/>
        <w:right w:val="none" w:sz="0" w:space="0" w:color="auto"/>
      </w:divBdr>
    </w:div>
    <w:div w:id="1148087865">
      <w:bodyDiv w:val="1"/>
      <w:marLeft w:val="0"/>
      <w:marRight w:val="0"/>
      <w:marTop w:val="0"/>
      <w:marBottom w:val="0"/>
      <w:divBdr>
        <w:top w:val="none" w:sz="0" w:space="0" w:color="auto"/>
        <w:left w:val="none" w:sz="0" w:space="0" w:color="auto"/>
        <w:bottom w:val="none" w:sz="0" w:space="0" w:color="auto"/>
        <w:right w:val="none" w:sz="0" w:space="0" w:color="auto"/>
      </w:divBdr>
    </w:div>
    <w:div w:id="1503356222">
      <w:bodyDiv w:val="1"/>
      <w:marLeft w:val="0"/>
      <w:marRight w:val="0"/>
      <w:marTop w:val="0"/>
      <w:marBottom w:val="0"/>
      <w:divBdr>
        <w:top w:val="none" w:sz="0" w:space="0" w:color="auto"/>
        <w:left w:val="none" w:sz="0" w:space="0" w:color="auto"/>
        <w:bottom w:val="none" w:sz="0" w:space="0" w:color="auto"/>
        <w:right w:val="none" w:sz="0" w:space="0" w:color="auto"/>
      </w:divBdr>
    </w:div>
    <w:div w:id="1933125102">
      <w:bodyDiv w:val="1"/>
      <w:marLeft w:val="0"/>
      <w:marRight w:val="0"/>
      <w:marTop w:val="0"/>
      <w:marBottom w:val="0"/>
      <w:divBdr>
        <w:top w:val="none" w:sz="0" w:space="0" w:color="auto"/>
        <w:left w:val="none" w:sz="0" w:space="0" w:color="auto"/>
        <w:bottom w:val="none" w:sz="0" w:space="0" w:color="auto"/>
        <w:right w:val="none" w:sz="0" w:space="0" w:color="auto"/>
      </w:divBdr>
    </w:div>
    <w:div w:id="19371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startregionu.cz"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8418-AFB0-4D01-BB9C-25252630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3316</Words>
  <Characters>19566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 Miloš</dc:creator>
  <cp:lastModifiedBy>OSPZV3 ospzv3</cp:lastModifiedBy>
  <cp:revision>2</cp:revision>
  <cp:lastPrinted>2019-11-07T10:29:00Z</cp:lastPrinted>
  <dcterms:created xsi:type="dcterms:W3CDTF">2019-11-07T10:30:00Z</dcterms:created>
  <dcterms:modified xsi:type="dcterms:W3CDTF">2019-11-07T10:30:00Z</dcterms:modified>
</cp:coreProperties>
</file>