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Ind w:w="-318" w:type="dxa"/>
        <w:tblLook w:val="04A0"/>
      </w:tblPr>
      <w:tblGrid>
        <w:gridCol w:w="3261"/>
        <w:gridCol w:w="10959"/>
      </w:tblGrid>
      <w:tr w:rsidR="00B56EB4" w:rsidTr="00B56EB4">
        <w:trPr>
          <w:trHeight w:val="300"/>
        </w:trPr>
        <w:tc>
          <w:tcPr>
            <w:tcW w:w="3261" w:type="dxa"/>
            <w:vAlign w:val="center"/>
          </w:tcPr>
          <w:p w:rsidR="00B56EB4" w:rsidRPr="00D065BB" w:rsidRDefault="00B56EB4" w:rsidP="0003032B">
            <w:pPr>
              <w:jc w:val="center"/>
              <w:rPr>
                <w:b/>
              </w:rPr>
            </w:pPr>
            <w:r w:rsidRPr="00D065BB">
              <w:rPr>
                <w:b/>
                <w:sz w:val="24"/>
              </w:rPr>
              <w:t>Právní institut</w:t>
            </w:r>
          </w:p>
        </w:tc>
        <w:tc>
          <w:tcPr>
            <w:tcW w:w="10959" w:type="dxa"/>
            <w:vAlign w:val="center"/>
          </w:tcPr>
          <w:p w:rsidR="00B56EB4" w:rsidRPr="00D065BB" w:rsidRDefault="00B56EB4" w:rsidP="0003032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Stručný popis navrhovaného právního institutu</w:t>
            </w:r>
          </w:p>
        </w:tc>
      </w:tr>
      <w:tr w:rsidR="00B56EB4" w:rsidTr="00B56EB4">
        <w:trPr>
          <w:trHeight w:val="150"/>
        </w:trPr>
        <w:tc>
          <w:tcPr>
            <w:tcW w:w="3261" w:type="dxa"/>
            <w:vAlign w:val="center"/>
          </w:tcPr>
          <w:p w:rsidR="00124B37" w:rsidRDefault="00124B37" w:rsidP="00124B37">
            <w:pPr>
              <w:tabs>
                <w:tab w:val="left" w:pos="2445"/>
              </w:tabs>
              <w:jc w:val="center"/>
            </w:pPr>
            <w:r>
              <w:t>Řešení</w:t>
            </w:r>
            <w:r w:rsidR="00566C61">
              <w:t xml:space="preserve"> tzv. plurality odborových organizací</w:t>
            </w:r>
          </w:p>
          <w:p w:rsidR="00B56EB4" w:rsidRPr="001660E3" w:rsidRDefault="00E9163A" w:rsidP="00903743">
            <w:pPr>
              <w:tabs>
                <w:tab w:val="left" w:pos="2445"/>
              </w:tabs>
              <w:jc w:val="center"/>
            </w:pPr>
            <w:r w:rsidRPr="001660E3">
              <w:t xml:space="preserve">při nemožnosti dosažení </w:t>
            </w:r>
            <w:r w:rsidR="00DF7D3C">
              <w:t xml:space="preserve">jejich </w:t>
            </w:r>
            <w:r w:rsidRPr="001660E3">
              <w:t>shody</w:t>
            </w:r>
            <w:r w:rsidR="001660E3" w:rsidRPr="001660E3">
              <w:t xml:space="preserve"> </w:t>
            </w:r>
            <w:r w:rsidR="00903743">
              <w:t>na</w:t>
            </w:r>
            <w:r w:rsidR="00566C61">
              <w:t xml:space="preserve"> uzavření kolektivní smlouvy</w:t>
            </w:r>
            <w:r w:rsidRPr="001660E3">
              <w:t xml:space="preserve"> </w:t>
            </w:r>
            <w:r w:rsidR="001660E3">
              <w:t>(§ </w:t>
            </w:r>
            <w:r w:rsidR="001660E3" w:rsidRPr="001660E3">
              <w:t>24)</w:t>
            </w:r>
          </w:p>
        </w:tc>
        <w:tc>
          <w:tcPr>
            <w:tcW w:w="10959" w:type="dxa"/>
            <w:vAlign w:val="center"/>
          </w:tcPr>
          <w:p w:rsidR="00124B37" w:rsidRPr="005744AB" w:rsidRDefault="00124B37" w:rsidP="00F717FB">
            <w:pPr>
              <w:jc w:val="both"/>
              <w:rPr>
                <w:u w:val="single"/>
              </w:rPr>
            </w:pPr>
            <w:r w:rsidRPr="005744AB">
              <w:rPr>
                <w:u w:val="single"/>
              </w:rPr>
              <w:t>Řešení by mělo být předloženo ve 2 variantách:</w:t>
            </w:r>
          </w:p>
          <w:p w:rsidR="00B56EB4" w:rsidRDefault="00124B37" w:rsidP="00F717FB">
            <w:pPr>
              <w:jc w:val="both"/>
            </w:pPr>
            <w:r w:rsidRPr="005744AB">
              <w:rPr>
                <w:u w:val="single"/>
              </w:rPr>
              <w:t xml:space="preserve">Var. I (MPSV) </w:t>
            </w:r>
            <w:r w:rsidR="00566C61">
              <w:t>–</w:t>
            </w:r>
            <w:r>
              <w:t xml:space="preserve"> </w:t>
            </w:r>
            <w:r w:rsidR="00566C61">
              <w:t>Neshodnou-li se</w:t>
            </w:r>
            <w:r w:rsidR="00BC296D" w:rsidRPr="00F717FB">
              <w:t xml:space="preserve"> odborové organizace do 30 dnů od zahájení vzájemných jednání na tom, že </w:t>
            </w:r>
            <w:r w:rsidR="00664388" w:rsidRPr="00F717FB">
              <w:t>v</w:t>
            </w:r>
            <w:r w:rsidR="00BC296D" w:rsidRPr="00F717FB">
              <w:t>ystupují a jednají s právními důsledky pro všechny zaměstnance</w:t>
            </w:r>
            <w:r w:rsidR="00664388" w:rsidRPr="00F717FB">
              <w:t xml:space="preserve"> společně a ve vzájemné shodě nebo na jiném způsobu jednání za zaměstnance s cílem uzavřít kolektivní smlouvu, budou mít jedna nebo více odborových organizací, které mají největší počet členů u zaměstnavatele, oprávnění jednat se zaměstnavatelem. Toto oprávnění nabydou tehdy</w:t>
            </w:r>
            <w:r w:rsidR="00F717FB" w:rsidRPr="00F717FB">
              <w:t xml:space="preserve">, </w:t>
            </w:r>
            <w:r w:rsidR="00664388" w:rsidRPr="00F717FB">
              <w:t>pokud do 15 dnů od informování o nemožnosti dosažení shody mezi odborovými organizace</w:t>
            </w:r>
            <w:r w:rsidR="00F717FB" w:rsidRPr="00F717FB">
              <w:t>mi neurčí nadpoloviční většina všech zaměstnanců</w:t>
            </w:r>
            <w:r>
              <w:t xml:space="preserve"> v pracovním poměru</w:t>
            </w:r>
            <w:r w:rsidR="00F717FB" w:rsidRPr="00F717FB">
              <w:t xml:space="preserve">, že si přeje, aby oprávnění ke sjednání kolektivní smlouvy se zaměstnavatelem měly jiná odborová organizace či skupina odborových organizací.  </w:t>
            </w:r>
            <w:r w:rsidR="00664388" w:rsidRPr="00F717FB">
              <w:t xml:space="preserve"> </w:t>
            </w:r>
          </w:p>
          <w:p w:rsidR="00566C61" w:rsidRPr="00F717FB" w:rsidRDefault="00566C61" w:rsidP="005C2281">
            <w:pPr>
              <w:jc w:val="both"/>
            </w:pPr>
            <w:r w:rsidRPr="005744AB">
              <w:rPr>
                <w:u w:val="single"/>
              </w:rPr>
              <w:t>Var. II (ČMKOS)</w:t>
            </w:r>
            <w:r>
              <w:t xml:space="preserve"> – Neshodnou-li se odborové organizace </w:t>
            </w:r>
            <w:r w:rsidR="00DF7D3C" w:rsidRPr="00F717FB">
              <w:t>na tom, že vystupují a jednají s právními důsledky pro všechny zaměstnance společně a ve vzájemné shodě nebo na jiném způsobu jednání za zaměstnance s cílem uzavřít kolektivní smlouvu</w:t>
            </w:r>
            <w:r w:rsidR="00DF7D3C">
              <w:t>, bude zaměstnavatel oprávněn uzavřít kolektivní smlouvu s odborovou organizací nebo odborovými organizacemi, které mají největší počet členů u zaměstnavatele. Ostatní odborové organizace mají mít právo na informování o zahájení vyjednávání a projednání předloženého a závěrečného návrhu kolektivní smlouvy.</w:t>
            </w:r>
          </w:p>
        </w:tc>
      </w:tr>
      <w:tr w:rsidR="00B56EB4" w:rsidTr="00850A6F">
        <w:trPr>
          <w:trHeight w:val="150"/>
        </w:trPr>
        <w:tc>
          <w:tcPr>
            <w:tcW w:w="3261" w:type="dxa"/>
            <w:vAlign w:val="center"/>
          </w:tcPr>
          <w:p w:rsidR="00B56EB4" w:rsidRDefault="00F717FB" w:rsidP="0003032B">
            <w:pPr>
              <w:jc w:val="center"/>
            </w:pPr>
            <w:r w:rsidRPr="00824E38">
              <w:t>Nová úprava závaznosti KSVS při uzavření KSVS organizací zaměstnavatelů</w:t>
            </w:r>
          </w:p>
          <w:p w:rsidR="00824E38" w:rsidRPr="00824E38" w:rsidRDefault="00575819" w:rsidP="0003032B">
            <w:pPr>
              <w:jc w:val="center"/>
            </w:pPr>
            <w:r>
              <w:t>[</w:t>
            </w:r>
            <w:r w:rsidR="00824E38">
              <w:t xml:space="preserve">§ 25 odst. 2 </w:t>
            </w:r>
            <w:r w:rsidR="007F1ECA">
              <w:t>písm. a)</w:t>
            </w:r>
            <w:r>
              <w:t>]</w:t>
            </w:r>
          </w:p>
        </w:tc>
        <w:tc>
          <w:tcPr>
            <w:tcW w:w="10959" w:type="dxa"/>
            <w:vAlign w:val="center"/>
          </w:tcPr>
          <w:p w:rsidR="00B56EB4" w:rsidRPr="00824E38" w:rsidRDefault="00124B37" w:rsidP="00124B37">
            <w:pPr>
              <w:jc w:val="both"/>
            </w:pPr>
            <w:r>
              <w:t>K</w:t>
            </w:r>
            <w:r w:rsidR="00F717FB" w:rsidRPr="00824E38">
              <w:t xml:space="preserve">olektivní smlouva vyššího stupně uzavřená organizací zaměstnavatelů </w:t>
            </w:r>
            <w:r>
              <w:t xml:space="preserve">má být </w:t>
            </w:r>
            <w:r w:rsidR="007F1ECA">
              <w:t xml:space="preserve">závazná </w:t>
            </w:r>
            <w:r w:rsidR="00F717FB" w:rsidRPr="00824E38">
              <w:t xml:space="preserve">pouze pro zaměstnavatele sdružené v této organizaci zaměstnavatelů, za které tato organizace zaměstnavatelů byla oprávněna kolektivní smlouvu vyššího stupně uzavřít, a nikoliv </w:t>
            </w:r>
            <w:r w:rsidR="007F1ECA">
              <w:t>pro</w:t>
            </w:r>
            <w:r w:rsidR="00F717FB" w:rsidRPr="00824E38">
              <w:t xml:space="preserve"> všechny zaměstnavatele, kteří jsou členy organizace zaměstnavatelů. Pokud organizace zaměstnavatelů za příslušného zaměstnavatele kolektivní smlouvu </w:t>
            </w:r>
            <w:r w:rsidR="00575819">
              <w:t xml:space="preserve">vyššího stupně </w:t>
            </w:r>
            <w:r w:rsidR="00F717FB" w:rsidRPr="00824E38">
              <w:t>uzavře, bude pro něj účinná a vztahovat se na něj i za situace, kdy</w:t>
            </w:r>
            <w:r w:rsidR="00675C12">
              <w:t xml:space="preserve"> </w:t>
            </w:r>
            <w:r w:rsidR="00824E38" w:rsidRPr="00824E38">
              <w:t>by</w:t>
            </w:r>
            <w:r w:rsidR="00F717FB" w:rsidRPr="00824E38">
              <w:t xml:space="preserve"> po uzavření kolektivní smlouvy vyššího </w:t>
            </w:r>
            <w:r w:rsidR="00824E38" w:rsidRPr="00824E38">
              <w:t xml:space="preserve">stupně z organizace zaměstnavatelů vystoupil. </w:t>
            </w:r>
            <w:r w:rsidR="00F717FB" w:rsidRPr="00824E38">
              <w:t xml:space="preserve">  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t>Výpověď při přechodu</w:t>
            </w:r>
            <w:r w:rsidR="00F97C1F">
              <w:t xml:space="preserve"> práv a povinností</w:t>
            </w:r>
            <w:r w:rsidRPr="001D360D">
              <w:t xml:space="preserve"> (§ 51a)</w:t>
            </w:r>
          </w:p>
        </w:tc>
        <w:tc>
          <w:tcPr>
            <w:tcW w:w="10959" w:type="dxa"/>
          </w:tcPr>
          <w:p w:rsidR="00C133C2" w:rsidRPr="00850A6F" w:rsidRDefault="00850A6F" w:rsidP="006D2848">
            <w:pPr>
              <w:jc w:val="both"/>
            </w:pPr>
            <w:r w:rsidRPr="00850A6F">
              <w:t>Zachování možnosti zaměstnance vypovědět pracovní poměr v souvislosti s přechodem,</w:t>
            </w:r>
            <w:r w:rsidR="006D2848">
              <w:t xml:space="preserve"> za stanovení</w:t>
            </w:r>
            <w:r w:rsidRPr="00850A6F">
              <w:t xml:space="preserve"> lhůty, v níž lze takovou výpověď, kde dochází k modifikaci délky výpovědní doby, dát. Zároveň se nově zakotvuje možnost zaměstnance dát výpověď se zkrácenou výpovědní dobou 15 dnů, nebyl-li o přechodu informován.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813C7F" w:rsidRDefault="00813C7F" w:rsidP="0003032B">
            <w:pPr>
              <w:jc w:val="center"/>
            </w:pPr>
            <w:r>
              <w:t>Upřesnění § 73 odst. 2 a 3</w:t>
            </w:r>
          </w:p>
          <w:p w:rsidR="00813C7F" w:rsidRDefault="00813C7F" w:rsidP="0003032B">
            <w:pPr>
              <w:jc w:val="center"/>
            </w:pPr>
          </w:p>
          <w:p w:rsidR="00813C7F" w:rsidRPr="001D360D" w:rsidRDefault="00C133C2" w:rsidP="006D2848">
            <w:pPr>
              <w:jc w:val="center"/>
            </w:pPr>
            <w:r w:rsidRPr="001D360D">
              <w:t>Odvolání nebo vzdání se pracovního místa (§ 73a)</w:t>
            </w:r>
          </w:p>
        </w:tc>
        <w:tc>
          <w:tcPr>
            <w:tcW w:w="10959" w:type="dxa"/>
          </w:tcPr>
          <w:p w:rsidR="00813C7F" w:rsidRPr="00C54BAB" w:rsidRDefault="00641F10" w:rsidP="00813C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13C7F" w:rsidRPr="00C54BAB">
              <w:rPr>
                <w:rFonts w:cstheme="minorHAnsi"/>
              </w:rPr>
              <w:t>osílení kogentní povahy ustanovení § 73 odst. 2 a 3, vymezení dvou okruhů vedoucích pracovních míst, na něž lze se zaměstnanci sjednat dohodu o odvolání</w:t>
            </w:r>
            <w:r w:rsidR="00091539">
              <w:rPr>
                <w:rFonts w:cstheme="minorHAnsi"/>
              </w:rPr>
              <w:t xml:space="preserve"> s tím, že odvolatelnost lze sjednat pouze u vedoucích pracovních míst uvedených v § 73 odst. 3</w:t>
            </w:r>
            <w:r w:rsidR="00813C7F" w:rsidRPr="00C54BAB">
              <w:rPr>
                <w:rFonts w:cstheme="minorHAnsi"/>
              </w:rPr>
              <w:t>.</w:t>
            </w:r>
          </w:p>
          <w:p w:rsidR="00813C7F" w:rsidRPr="00C54BAB" w:rsidRDefault="00813C7F" w:rsidP="00813C7F">
            <w:pPr>
              <w:jc w:val="both"/>
              <w:rPr>
                <w:rFonts w:cstheme="minorHAnsi"/>
              </w:rPr>
            </w:pPr>
          </w:p>
          <w:p w:rsidR="00C133C2" w:rsidRPr="00C54BAB" w:rsidRDefault="00850A6F" w:rsidP="00813C7F">
            <w:pPr>
              <w:jc w:val="both"/>
              <w:rPr>
                <w:rFonts w:cstheme="minorHAnsi"/>
              </w:rPr>
            </w:pPr>
            <w:r w:rsidRPr="00C54BAB">
              <w:rPr>
                <w:rFonts w:cstheme="minorHAnsi"/>
              </w:rPr>
              <w:t>Řeší se poslední den výkonu funkce při odvolání nebo vzdání se funkce</w:t>
            </w:r>
            <w:r w:rsidR="00813C7F" w:rsidRPr="00C54BAB">
              <w:rPr>
                <w:rFonts w:cstheme="minorHAnsi"/>
              </w:rPr>
              <w:t>.</w:t>
            </w:r>
          </w:p>
        </w:tc>
      </w:tr>
      <w:tr w:rsidR="00C133C2" w:rsidTr="00850A6F">
        <w:trPr>
          <w:trHeight w:val="569"/>
        </w:trPr>
        <w:tc>
          <w:tcPr>
            <w:tcW w:w="3261" w:type="dxa"/>
            <w:vAlign w:val="center"/>
          </w:tcPr>
          <w:p w:rsidR="00C133C2" w:rsidRPr="006D2848" w:rsidRDefault="00C133C2" w:rsidP="0003032B">
            <w:pPr>
              <w:jc w:val="center"/>
            </w:pPr>
            <w:r w:rsidRPr="006D2848">
              <w:t>Dohody [§ 77</w:t>
            </w:r>
            <w:r w:rsidR="00091539">
              <w:t xml:space="preserve"> odst. 2</w:t>
            </w:r>
            <w:r w:rsidRPr="006D2848">
              <w:t xml:space="preserve"> písm. h) - odměňování]</w:t>
            </w:r>
          </w:p>
        </w:tc>
        <w:tc>
          <w:tcPr>
            <w:tcW w:w="10959" w:type="dxa"/>
          </w:tcPr>
          <w:p w:rsidR="004F033D" w:rsidRPr="00C54BAB" w:rsidRDefault="00C54BAB" w:rsidP="00850A6F">
            <w:pPr>
              <w:jc w:val="both"/>
              <w:rPr>
                <w:rFonts w:cstheme="minorHAnsi"/>
                <w:lang w:eastAsia="cs-CZ"/>
              </w:rPr>
            </w:pPr>
            <w:r w:rsidRPr="00C54BAB">
              <w:rPr>
                <w:rFonts w:cstheme="minorHAnsi"/>
              </w:rPr>
              <w:t xml:space="preserve">Úprava se navrhuje v </w:t>
            </w:r>
            <w:r w:rsidR="004F033D" w:rsidRPr="00C54BAB">
              <w:rPr>
                <w:rFonts w:eastAsia="Times New Roman" w:cstheme="minorHAnsi"/>
                <w:lang w:eastAsia="cs-CZ"/>
              </w:rPr>
              <w:t>návaznosti na změnu § 111 a § 112</w:t>
            </w:r>
            <w:r>
              <w:rPr>
                <w:rFonts w:eastAsia="Times New Roman" w:cstheme="minorHAnsi"/>
                <w:lang w:eastAsia="cs-CZ"/>
              </w:rPr>
              <w:t>.</w:t>
            </w:r>
            <w:r w:rsidR="004F033D" w:rsidRPr="00C54BAB">
              <w:rPr>
                <w:rFonts w:eastAsia="Times New Roman" w:cstheme="minorHAnsi"/>
                <w:lang w:eastAsia="cs-CZ"/>
              </w:rPr>
              <w:t xml:space="preserve"> </w:t>
            </w:r>
            <w:r>
              <w:rPr>
                <w:rFonts w:eastAsia="Times New Roman" w:cstheme="minorHAnsi"/>
                <w:lang w:eastAsia="cs-CZ"/>
              </w:rPr>
              <w:t>C</w:t>
            </w:r>
            <w:r w:rsidRPr="00C54BAB">
              <w:rPr>
                <w:rFonts w:eastAsia="Times New Roman" w:cstheme="minorHAnsi"/>
                <w:lang w:eastAsia="cs-CZ"/>
              </w:rPr>
              <w:t xml:space="preserve">ílem je </w:t>
            </w:r>
            <w:r w:rsidR="004F033D" w:rsidRPr="00C54BAB">
              <w:rPr>
                <w:rFonts w:eastAsia="Times New Roman" w:cstheme="minorHAnsi"/>
                <w:lang w:eastAsia="cs-CZ"/>
              </w:rPr>
              <w:t>posílení ochrany nejnižší přípustné výše odměny z dohody prostřednictvím nejnižších úrovní zaručené mzdy</w:t>
            </w:r>
            <w:r w:rsidRPr="00C54BAB">
              <w:rPr>
                <w:rFonts w:eastAsia="Times New Roman" w:cstheme="minorHAnsi"/>
                <w:lang w:eastAsia="cs-CZ"/>
              </w:rPr>
              <w:t xml:space="preserve">. </w:t>
            </w:r>
            <w:r w:rsidR="004F033D" w:rsidRPr="00C54BAB">
              <w:rPr>
                <w:rFonts w:cstheme="minorHAnsi"/>
                <w:lang w:eastAsia="cs-CZ"/>
              </w:rPr>
              <w:t>Skutečnost, že se na odměnu z dohody bude vztahovat zvýšená ochrana prostřednictvím zaručené mzdy,  je výslovně uvedena v § 112 odst. 2.</w:t>
            </w:r>
          </w:p>
        </w:tc>
      </w:tr>
      <w:tr w:rsidR="00C133C2" w:rsidTr="00850A6F">
        <w:trPr>
          <w:trHeight w:val="569"/>
        </w:trPr>
        <w:tc>
          <w:tcPr>
            <w:tcW w:w="3261" w:type="dxa"/>
            <w:vAlign w:val="center"/>
          </w:tcPr>
          <w:p w:rsidR="00C133C2" w:rsidRPr="006D2848" w:rsidRDefault="00C133C2" w:rsidP="0003032B">
            <w:pPr>
              <w:jc w:val="center"/>
            </w:pPr>
            <w:r w:rsidRPr="006D2848">
              <w:rPr>
                <w:rFonts w:eastAsia="Times New Roman" w:cs="Arial"/>
                <w:color w:val="000000"/>
                <w:lang w:eastAsia="cs-CZ"/>
              </w:rPr>
              <w:t xml:space="preserve">Odstranění nerovnosti mezi dosavadními „zástupci </w:t>
            </w:r>
            <w:r w:rsidRPr="006D2848">
              <w:rPr>
                <w:rFonts w:eastAsia="Times New Roman" w:cs="Arial"/>
                <w:color w:val="000000"/>
                <w:lang w:eastAsia="cs-CZ"/>
              </w:rPr>
              <w:lastRenderedPageBreak/>
              <w:t>zaměstnanců“ a členy evropské rady zaměstnanců a evropského vyjednávacího výboru při překážce v práci v pružném rozvržení PD (§ 97 odst. 2)</w:t>
            </w:r>
          </w:p>
        </w:tc>
        <w:tc>
          <w:tcPr>
            <w:tcW w:w="10959" w:type="dxa"/>
          </w:tcPr>
          <w:p w:rsidR="00C133C2" w:rsidRPr="00850A6F" w:rsidRDefault="00850A6F" w:rsidP="00850A6F">
            <w:pPr>
              <w:jc w:val="both"/>
            </w:pPr>
            <w:r w:rsidRPr="00850A6F">
              <w:lastRenderedPageBreak/>
              <w:t>Zrovnoprávnění postavení členů vyjednávacího výboru nebo evropské rady zaměstnanců se zástupci odborů a ostatními zástupci zaměstnanců, tak jak vyžaduje evropská legislativa</w:t>
            </w:r>
            <w:r>
              <w:t>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6D2848" w:rsidRDefault="00C133C2" w:rsidP="0003032B">
            <w:pPr>
              <w:jc w:val="center"/>
            </w:pPr>
            <w:r w:rsidRPr="006D2848">
              <w:lastRenderedPageBreak/>
              <w:t xml:space="preserve">Valorizační mechanismus MM </w:t>
            </w:r>
          </w:p>
          <w:p w:rsidR="00C133C2" w:rsidRPr="006D2848" w:rsidRDefault="00C133C2" w:rsidP="0003032B">
            <w:pPr>
              <w:jc w:val="center"/>
            </w:pPr>
            <w:r w:rsidRPr="006D2848">
              <w:t>(§ 111)</w:t>
            </w:r>
          </w:p>
        </w:tc>
        <w:tc>
          <w:tcPr>
            <w:tcW w:w="10959" w:type="dxa"/>
          </w:tcPr>
          <w:p w:rsidR="0022070C" w:rsidRDefault="00E90E01" w:rsidP="00850A6F">
            <w:pPr>
              <w:jc w:val="both"/>
            </w:pPr>
            <w:r>
              <w:t>M</w:t>
            </w:r>
            <w:r w:rsidR="00850A6F" w:rsidRPr="00850A6F">
              <w:t>echanismus valorizace minimální mzdy a podmínky pro stanovení nejnižších úrovní zaručené mzdy</w:t>
            </w:r>
            <w:r>
              <w:t xml:space="preserve"> se </w:t>
            </w:r>
            <w:r w:rsidR="00981E51">
              <w:t xml:space="preserve">v souladu s Programovým prohlášením vlády </w:t>
            </w:r>
            <w:r>
              <w:t xml:space="preserve">navrhují </w:t>
            </w:r>
            <w:r w:rsidR="00850A6F" w:rsidRPr="00850A6F">
              <w:t>nastav</w:t>
            </w:r>
            <w:r>
              <w:t>it</w:t>
            </w:r>
            <w:r w:rsidR="00850A6F" w:rsidRPr="00850A6F">
              <w:t xml:space="preserve"> </w:t>
            </w:r>
            <w:r>
              <w:t>tak, aby</w:t>
            </w:r>
            <w:r w:rsidR="00850A6F" w:rsidRPr="00850A6F">
              <w:t xml:space="preserve"> byla minimální mzda zvyšovaná pravidelně, nedocházelo k výrazným výkyvům v jejím vývoji a její výše byla jednoduše a dostatečně včas odhadnutelná. Při stanovování minimální mzdy se proto navrhuje vycházet ze zaznamenaného skutečného vývoje průměrné hrubé mzdy</w:t>
            </w:r>
            <w:r>
              <w:t xml:space="preserve"> za předminulý kalendářní rok</w:t>
            </w:r>
            <w:r w:rsidR="0022070C">
              <w:t xml:space="preserve">. </w:t>
            </w:r>
          </w:p>
          <w:p w:rsidR="00C133C2" w:rsidRPr="00850A6F" w:rsidRDefault="0022070C" w:rsidP="00334036">
            <w:pPr>
              <w:jc w:val="both"/>
            </w:pPr>
            <w:r w:rsidRPr="00981E51">
              <w:rPr>
                <w:u w:val="single"/>
              </w:rPr>
              <w:t>Dosud nepanuje shoda nad hodnotou koeficientu pro přepočet průměrné mzdy na minimální mzd</w:t>
            </w:r>
            <w:r w:rsidR="00334036" w:rsidRPr="00981E51">
              <w:rPr>
                <w:u w:val="single"/>
              </w:rPr>
              <w:t>u</w:t>
            </w:r>
            <w:r w:rsidRPr="00981E51">
              <w:rPr>
                <w:u w:val="single"/>
              </w:rPr>
              <w:t>.</w:t>
            </w:r>
            <w:r>
              <w:t xml:space="preserve"> Koeficient ve verzi předložené do meziresortního připomínkového řízení je konstruován tak,</w:t>
            </w:r>
            <w:r w:rsidR="00850A6F" w:rsidRPr="00850A6F">
              <w:t xml:space="preserve"> aby minim</w:t>
            </w:r>
            <w:r>
              <w:t xml:space="preserve">ální mzda činila přibližně 50 % </w:t>
            </w:r>
            <w:r w:rsidR="00850A6F" w:rsidRPr="00850A6F">
              <w:t>aktuální výše</w:t>
            </w:r>
            <w:r>
              <w:t xml:space="preserve"> průměrné mzdy</w:t>
            </w:r>
            <w:r w:rsidR="00850A6F" w:rsidRPr="00850A6F">
              <w:t>.</w:t>
            </w:r>
            <w:r w:rsidRPr="00850A6F">
              <w:t xml:space="preserve"> </w:t>
            </w:r>
          </w:p>
        </w:tc>
      </w:tr>
      <w:tr w:rsidR="00C133C2" w:rsidTr="00850A6F">
        <w:trPr>
          <w:trHeight w:val="569"/>
        </w:trPr>
        <w:tc>
          <w:tcPr>
            <w:tcW w:w="3261" w:type="dxa"/>
            <w:vAlign w:val="center"/>
          </w:tcPr>
          <w:p w:rsidR="00C133C2" w:rsidRPr="004F033D" w:rsidRDefault="00C133C2" w:rsidP="0003032B">
            <w:pPr>
              <w:jc w:val="center"/>
            </w:pPr>
            <w:r w:rsidRPr="004F033D">
              <w:t>Minimální výše odměny z dohody (§ 112 odst. 2 a 5)</w:t>
            </w:r>
          </w:p>
        </w:tc>
        <w:tc>
          <w:tcPr>
            <w:tcW w:w="10959" w:type="dxa"/>
          </w:tcPr>
          <w:p w:rsidR="00850A6F" w:rsidRPr="004F033D" w:rsidRDefault="00850A6F" w:rsidP="00850A6F">
            <w:pPr>
              <w:jc w:val="both"/>
            </w:pPr>
            <w:r w:rsidRPr="004F033D">
              <w:t>Převedení zaměstnanců činných na základě dohod o pracích konaných mimo pracovní poměr pod režim zaručené mzdy za účelem posílení rovnosti v jejich odměňování.</w:t>
            </w:r>
          </w:p>
          <w:p w:rsidR="00C133C2" w:rsidRPr="004F033D" w:rsidRDefault="00C133C2" w:rsidP="00850A6F">
            <w:pPr>
              <w:jc w:val="both"/>
            </w:pP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4F033D" w:rsidRDefault="00C133C2" w:rsidP="0003032B">
            <w:pPr>
              <w:jc w:val="center"/>
            </w:pPr>
            <w:r w:rsidRPr="004F033D">
              <w:t>Plat nebo náhradní volno za práci přesčas (§ 127 odst. 3)</w:t>
            </w:r>
          </w:p>
        </w:tc>
        <w:tc>
          <w:tcPr>
            <w:tcW w:w="10959" w:type="dxa"/>
          </w:tcPr>
          <w:p w:rsidR="00C133C2" w:rsidRPr="004F033D" w:rsidRDefault="00850A6F" w:rsidP="00850A6F">
            <w:pPr>
              <w:jc w:val="both"/>
            </w:pPr>
            <w:r w:rsidRPr="004F033D">
              <w:t>Cílem navrhované úpravy je odstranění administrativní zátěže zaměstnavatelů při vedení dvojí evidence práce přesčas u zaměstnanců, kterým přísluší příplatek za vedení</w:t>
            </w:r>
            <w:r w:rsidR="00667763" w:rsidRPr="004F033D">
              <w:t>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Default="00C133C2" w:rsidP="0003032B">
            <w:pPr>
              <w:jc w:val="center"/>
            </w:pPr>
            <w:r>
              <w:t xml:space="preserve">Dovolená </w:t>
            </w:r>
          </w:p>
          <w:p w:rsidR="00C133C2" w:rsidRDefault="00C133C2" w:rsidP="0003032B">
            <w:pPr>
              <w:jc w:val="center"/>
            </w:pPr>
            <w:r>
              <w:t>(§ 212 a</w:t>
            </w:r>
            <w:r w:rsidR="00091539">
              <w:t xml:space="preserve"> </w:t>
            </w:r>
            <w:r>
              <w:t>n</w:t>
            </w:r>
            <w:r w:rsidR="00091539">
              <w:t>ásl</w:t>
            </w:r>
            <w:r>
              <w:t>.)</w:t>
            </w:r>
          </w:p>
        </w:tc>
        <w:tc>
          <w:tcPr>
            <w:tcW w:w="10959" w:type="dxa"/>
          </w:tcPr>
          <w:p w:rsidR="00C133C2" w:rsidRPr="00850A6F" w:rsidRDefault="00850A6F" w:rsidP="006D2848">
            <w:pPr>
              <w:jc w:val="both"/>
            </w:pPr>
            <w:r w:rsidRPr="00850A6F">
              <w:t>Zásadní koncepční změna podmínek vzniku práva na dovolenou a její čerpání; opuštění úpravy dovolené za odpracované dny a přechod na dovolenou za odpracovanou týdenní pracovní dobu; umožnění převodu nevyčerpané dovolené do následujícího období, zrušení krácení dovolené s výjimkou neomluvené absence. Odstranění duplicitní úhrady za dovolenou v reakci na existenci dovolenkových pokladen v některých členských státech EU, pokud jde o zaměstnance ve stavebnictví vysílaných do těchto členských států.</w:t>
            </w:r>
          </w:p>
        </w:tc>
      </w:tr>
      <w:tr w:rsidR="00694041" w:rsidTr="00850A6F">
        <w:trPr>
          <w:trHeight w:val="602"/>
        </w:trPr>
        <w:tc>
          <w:tcPr>
            <w:tcW w:w="3261" w:type="dxa"/>
            <w:vAlign w:val="center"/>
          </w:tcPr>
          <w:p w:rsidR="00694041" w:rsidRDefault="00694041" w:rsidP="0003032B">
            <w:pPr>
              <w:jc w:val="center"/>
            </w:pPr>
            <w:r>
              <w:t>Odvracení škody hrozící zaměstnavateli</w:t>
            </w:r>
          </w:p>
          <w:p w:rsidR="00694041" w:rsidRDefault="00694041" w:rsidP="0003032B">
            <w:pPr>
              <w:jc w:val="center"/>
            </w:pPr>
            <w:r>
              <w:t>(§ 249 odst. 2)</w:t>
            </w:r>
          </w:p>
        </w:tc>
        <w:tc>
          <w:tcPr>
            <w:tcW w:w="10959" w:type="dxa"/>
          </w:tcPr>
          <w:p w:rsidR="00694041" w:rsidRPr="00850A6F" w:rsidRDefault="00694041" w:rsidP="006D2848">
            <w:pPr>
              <w:jc w:val="both"/>
            </w:pPr>
            <w:r>
              <w:t xml:space="preserve">Cílem úpravy je odstranit nedostatky stávající právní úpravy, kdy zaměstnanec nemusí plnit </w:t>
            </w:r>
            <w:proofErr w:type="spellStart"/>
            <w:r>
              <w:t>zakročovací</w:t>
            </w:r>
            <w:proofErr w:type="spellEnd"/>
            <w:r>
              <w:t xml:space="preserve"> povinnost k odvrácení hrozící škody. Nově bude výluka ze </w:t>
            </w:r>
            <w:proofErr w:type="spellStart"/>
            <w:r>
              <w:t>zakročovací</w:t>
            </w:r>
            <w:proofErr w:type="spellEnd"/>
            <w:r>
              <w:t xml:space="preserve"> povinnosti dána vždy, když by mohlo dojít k ohrožení jiné fyzické osoby (bez ohledu na skutečnost, že se jedná/nejedná o osobu blízkou či jiného zaměstnance).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t>Zvýšení náhrady – pomník, deska</w:t>
            </w:r>
          </w:p>
          <w:p w:rsidR="00C133C2" w:rsidRPr="001D360D" w:rsidRDefault="00C133C2" w:rsidP="0003032B">
            <w:pPr>
              <w:jc w:val="center"/>
            </w:pPr>
            <w:r w:rsidRPr="001D360D">
              <w:t>(§ 271g)</w:t>
            </w:r>
          </w:p>
        </w:tc>
        <w:tc>
          <w:tcPr>
            <w:tcW w:w="10959" w:type="dxa"/>
          </w:tcPr>
          <w:p w:rsidR="00C133C2" w:rsidRPr="00850A6F" w:rsidRDefault="00ED0FCB" w:rsidP="00F97C1F">
            <w:pPr>
              <w:jc w:val="both"/>
            </w:pPr>
            <w:r>
              <w:t>Nastavení automatického valorizačního mechanismu</w:t>
            </w:r>
            <w:r w:rsidR="00813C7F">
              <w:t xml:space="preserve"> náhrady pozůstalým za zřízení pomníku a desky</w:t>
            </w:r>
            <w:r w:rsidR="006D2848">
              <w:t>, a to</w:t>
            </w:r>
            <w:r w:rsidR="00813C7F">
              <w:t xml:space="preserve"> </w:t>
            </w:r>
            <w:r w:rsidR="00F97C1F">
              <w:t>ve výši</w:t>
            </w:r>
            <w:r w:rsidR="00813C7F">
              <w:t> </w:t>
            </w:r>
            <w:r w:rsidR="006D2848">
              <w:t xml:space="preserve">nejméně </w:t>
            </w:r>
            <w:r w:rsidR="00813C7F">
              <w:t>1,5násobku průměrné hrubé mzdy v národním hospodářství</w:t>
            </w:r>
            <w:r w:rsidR="00F97C1F">
              <w:t xml:space="preserve"> za 1. až 3. čtvrtletí</w:t>
            </w:r>
            <w:r w:rsidR="00813C7F">
              <w:t>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F97C1F" w:rsidP="0003032B">
            <w:pPr>
              <w:jc w:val="center"/>
            </w:pPr>
            <w:r>
              <w:t>Jednorázové o</w:t>
            </w:r>
            <w:r w:rsidR="00C133C2" w:rsidRPr="001D360D">
              <w:t xml:space="preserve">dškodnění pozůstalých </w:t>
            </w:r>
          </w:p>
          <w:p w:rsidR="00C133C2" w:rsidRPr="001D360D" w:rsidRDefault="00C133C2" w:rsidP="0003032B">
            <w:pPr>
              <w:jc w:val="center"/>
            </w:pPr>
            <w:r w:rsidRPr="001D360D">
              <w:t>(§ 271i)</w:t>
            </w:r>
          </w:p>
        </w:tc>
        <w:tc>
          <w:tcPr>
            <w:tcW w:w="10959" w:type="dxa"/>
          </w:tcPr>
          <w:p w:rsidR="00C133C2" w:rsidRPr="00850A6F" w:rsidRDefault="00ED0FCB" w:rsidP="00813C7F">
            <w:pPr>
              <w:jc w:val="both"/>
            </w:pPr>
            <w:r>
              <w:t xml:space="preserve">Nastavení automatického valorizačního mechanismu </w:t>
            </w:r>
            <w:r w:rsidR="00813C7F">
              <w:t>náhrady nákladů na výživu pozůstalých - jednorázové</w:t>
            </w:r>
            <w:r w:rsidR="00850A6F" w:rsidRPr="00850A6F">
              <w:t xml:space="preserve"> odškodnění pozůstalých</w:t>
            </w:r>
            <w:r w:rsidR="006D2848">
              <w:t>, a to</w:t>
            </w:r>
            <w:r w:rsidR="00850A6F" w:rsidRPr="00850A6F">
              <w:t xml:space="preserve"> </w:t>
            </w:r>
            <w:r w:rsidR="00813C7F">
              <w:t xml:space="preserve">ve výši </w:t>
            </w:r>
            <w:r w:rsidR="006D2848">
              <w:t xml:space="preserve">nejméně </w:t>
            </w:r>
            <w:r w:rsidR="00813C7F">
              <w:t>20násobku průměrné hrubé mzdy v národním hospodářství</w:t>
            </w:r>
            <w:r w:rsidR="00F97C1F">
              <w:t xml:space="preserve"> za 1. až 3. čtvrtletí</w:t>
            </w:r>
            <w:r w:rsidR="00813C7F">
              <w:t xml:space="preserve">. </w:t>
            </w:r>
          </w:p>
        </w:tc>
      </w:tr>
      <w:tr w:rsidR="00C133C2" w:rsidRPr="008C3F3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lastRenderedPageBreak/>
              <w:t xml:space="preserve">Potvrzení o zaměstnání </w:t>
            </w:r>
          </w:p>
          <w:p w:rsidR="00C133C2" w:rsidRPr="001D360D" w:rsidRDefault="00C133C2" w:rsidP="0003032B">
            <w:pPr>
              <w:jc w:val="center"/>
            </w:pPr>
            <w:r w:rsidRPr="001D360D">
              <w:t>(§ 313)</w:t>
            </w:r>
          </w:p>
        </w:tc>
        <w:tc>
          <w:tcPr>
            <w:tcW w:w="10959" w:type="dxa"/>
          </w:tcPr>
          <w:p w:rsidR="00C133C2" w:rsidRPr="00850A6F" w:rsidRDefault="00850A6F" w:rsidP="00F97C1F">
            <w:pPr>
              <w:jc w:val="both"/>
            </w:pPr>
            <w:r w:rsidRPr="00850A6F">
              <w:t>Zrušení potvrzení o zaměstnání, jde-li o skončení dohody o provedení práce, ledaže tato dohoda založila účast zaměstnance na nemocenském pojištění</w:t>
            </w:r>
            <w:r w:rsidR="00813C7F">
              <w:t>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t xml:space="preserve">Sdílené pracovní místo </w:t>
            </w:r>
          </w:p>
          <w:p w:rsidR="00C133C2" w:rsidRPr="001D360D" w:rsidRDefault="00C133C2" w:rsidP="0003032B">
            <w:pPr>
              <w:jc w:val="center"/>
            </w:pPr>
            <w:r w:rsidRPr="001D360D">
              <w:t>(§ 317a)</w:t>
            </w:r>
          </w:p>
        </w:tc>
        <w:tc>
          <w:tcPr>
            <w:tcW w:w="10959" w:type="dxa"/>
          </w:tcPr>
          <w:p w:rsidR="00C133C2" w:rsidRPr="00850A6F" w:rsidRDefault="00850A6F" w:rsidP="00981E51">
            <w:pPr>
              <w:jc w:val="both"/>
            </w:pPr>
            <w:r w:rsidRPr="00850A6F">
              <w:t>Institut sdíleného pracovního místa se zavádí v souladu s</w:t>
            </w:r>
            <w:r w:rsidR="00981E51">
              <w:t xml:space="preserve"> Programovým prohlášením vlády </w:t>
            </w:r>
            <w:r w:rsidRPr="00850A6F">
              <w:t>a na základě požadavků praxe. Jedná se o novou formu flexibilního režimu práce, která by měla přispět ke sladění rodinného a pracovního života zaměstnanců. Nejméně dva zaměstnanci si budou moci sami po předchozí dohodě se zaměstnavatelem rozvrhovat svou pracovní dobu ve vzájemné spolupráci podle svých osobních potřeb.</w:t>
            </w:r>
          </w:p>
        </w:tc>
      </w:tr>
      <w:tr w:rsidR="00DF7D3C" w:rsidTr="00850A6F">
        <w:trPr>
          <w:trHeight w:val="602"/>
        </w:trPr>
        <w:tc>
          <w:tcPr>
            <w:tcW w:w="3261" w:type="dxa"/>
            <w:vAlign w:val="center"/>
          </w:tcPr>
          <w:p w:rsidR="00DF7D3C" w:rsidRPr="001D360D" w:rsidRDefault="00DF7D3C" w:rsidP="00AC129B">
            <w:pPr>
              <w:jc w:val="center"/>
            </w:pPr>
            <w:r>
              <w:t>Prevence pracovních úrazů a</w:t>
            </w:r>
            <w:r w:rsidR="00AC129B">
              <w:t> </w:t>
            </w:r>
            <w:r>
              <w:t xml:space="preserve">nemocí z povolání </w:t>
            </w:r>
            <w:r w:rsidR="00AC129B">
              <w:rPr>
                <w:lang w:val="en-US"/>
              </w:rPr>
              <w:t>[</w:t>
            </w:r>
            <w:r>
              <w:t>(§ 320</w:t>
            </w:r>
            <w:r w:rsidR="00AC129B">
              <w:t xml:space="preserve">a písm. </w:t>
            </w:r>
            <w:r>
              <w:t>b)</w:t>
            </w:r>
            <w:r w:rsidR="00AC129B">
              <w:t>]</w:t>
            </w:r>
            <w:bookmarkStart w:id="0" w:name="_GoBack"/>
            <w:bookmarkEnd w:id="0"/>
          </w:p>
        </w:tc>
        <w:tc>
          <w:tcPr>
            <w:tcW w:w="10959" w:type="dxa"/>
          </w:tcPr>
          <w:p w:rsidR="00DF7D3C" w:rsidRPr="00850A6F" w:rsidRDefault="00DF7D3C" w:rsidP="00981E51">
            <w:pPr>
              <w:jc w:val="both"/>
            </w:pPr>
            <w:r>
              <w:t xml:space="preserve">Zakotvení příspěvku </w:t>
            </w:r>
            <w:r w:rsidR="005744AB">
              <w:t xml:space="preserve">odborovým organizacím a </w:t>
            </w:r>
            <w:r w:rsidR="00A23A46">
              <w:t>organizacím zaměstnavatelů</w:t>
            </w:r>
            <w:r w:rsidR="005744AB">
              <w:t xml:space="preserve"> na opatření, kterými by se předešlo poškození zdraví zaměstnanců pracovním úrazem nebo nemocí z povolání.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t xml:space="preserve">Stavení lhůty </w:t>
            </w:r>
          </w:p>
          <w:p w:rsidR="00C133C2" w:rsidRPr="001D360D" w:rsidRDefault="00C133C2" w:rsidP="0003032B">
            <w:pPr>
              <w:jc w:val="center"/>
            </w:pPr>
            <w:r w:rsidRPr="001D360D">
              <w:t>(§ 329)</w:t>
            </w:r>
          </w:p>
        </w:tc>
        <w:tc>
          <w:tcPr>
            <w:tcW w:w="10959" w:type="dxa"/>
          </w:tcPr>
          <w:p w:rsidR="00C133C2" w:rsidRPr="00850A6F" w:rsidRDefault="00850A6F" w:rsidP="00850A6F">
            <w:pPr>
              <w:jc w:val="both"/>
            </w:pPr>
            <w:r w:rsidRPr="00850A6F">
              <w:t>Výluka ustanovení OZ ohledně prodlužování běhu promlčecích a prekluzivních lhůt v pracovněprávních vztazích</w:t>
            </w:r>
            <w:r w:rsidR="009900F6">
              <w:t>.</w:t>
            </w:r>
          </w:p>
        </w:tc>
      </w:tr>
      <w:tr w:rsidR="00C133C2" w:rsidTr="00850A6F">
        <w:trPr>
          <w:trHeight w:val="569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t>Doručování</w:t>
            </w:r>
          </w:p>
          <w:p w:rsidR="00C133C2" w:rsidRPr="001D360D" w:rsidRDefault="00C133C2" w:rsidP="0003032B">
            <w:pPr>
              <w:jc w:val="center"/>
            </w:pPr>
            <w:r w:rsidRPr="001D360D">
              <w:t xml:space="preserve"> (§ 334</w:t>
            </w:r>
            <w:r>
              <w:t xml:space="preserve"> </w:t>
            </w:r>
            <w:r w:rsidRPr="001D360D">
              <w:t>-</w:t>
            </w:r>
            <w:r>
              <w:t xml:space="preserve"> </w:t>
            </w:r>
            <w:r w:rsidRPr="001D360D">
              <w:t>337)</w:t>
            </w:r>
          </w:p>
        </w:tc>
        <w:tc>
          <w:tcPr>
            <w:tcW w:w="10959" w:type="dxa"/>
          </w:tcPr>
          <w:p w:rsidR="00C133C2" w:rsidRPr="00B772D5" w:rsidRDefault="009900F6" w:rsidP="006D2848">
            <w:pPr>
              <w:jc w:val="both"/>
              <w:rPr>
                <w:rFonts w:cstheme="minorHAnsi"/>
              </w:rPr>
            </w:pPr>
            <w:r w:rsidRPr="00B772D5">
              <w:rPr>
                <w:rFonts w:cstheme="minorHAnsi"/>
              </w:rPr>
              <w:t>Z</w:t>
            </w:r>
            <w:r w:rsidR="00850A6F" w:rsidRPr="00B772D5">
              <w:rPr>
                <w:rFonts w:cstheme="minorHAnsi"/>
              </w:rPr>
              <w:t>jednodušuje se doručování písemností zaměstnavatelem a řeší obtíže s doručováním zaměstnavateli</w:t>
            </w:r>
            <w:r w:rsidRPr="00B772D5">
              <w:rPr>
                <w:rFonts w:cstheme="minorHAnsi"/>
              </w:rPr>
              <w:t xml:space="preserve"> včetně doručování datovou schránkou.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03032B">
            <w:pPr>
              <w:jc w:val="center"/>
            </w:pPr>
            <w:r w:rsidRPr="001D360D">
              <w:t>Přechod práv</w:t>
            </w:r>
            <w:r w:rsidR="005744AB">
              <w:t xml:space="preserve"> </w:t>
            </w:r>
            <w:r w:rsidRPr="001D360D">
              <w:t xml:space="preserve">a povinností </w:t>
            </w:r>
          </w:p>
          <w:p w:rsidR="00C133C2" w:rsidRPr="001D360D" w:rsidRDefault="00C133C2" w:rsidP="00091539">
            <w:pPr>
              <w:jc w:val="center"/>
            </w:pPr>
            <w:r w:rsidRPr="001D360D">
              <w:t>(§ 338 a</w:t>
            </w:r>
            <w:r w:rsidR="00091539">
              <w:t xml:space="preserve"> </w:t>
            </w:r>
            <w:r w:rsidRPr="001D360D">
              <w:t>n</w:t>
            </w:r>
            <w:r w:rsidR="00091539">
              <w:t>ásl.</w:t>
            </w:r>
            <w:r w:rsidRPr="001D360D">
              <w:t>)</w:t>
            </w:r>
          </w:p>
        </w:tc>
        <w:tc>
          <w:tcPr>
            <w:tcW w:w="10959" w:type="dxa"/>
          </w:tcPr>
          <w:p w:rsidR="00C133C2" w:rsidRPr="00B772D5" w:rsidRDefault="009900F6" w:rsidP="009900F6">
            <w:pPr>
              <w:jc w:val="both"/>
              <w:rPr>
                <w:rFonts w:cstheme="minorHAnsi"/>
              </w:rPr>
            </w:pPr>
            <w:r w:rsidRPr="00B772D5">
              <w:rPr>
                <w:rFonts w:cstheme="minorHAnsi"/>
              </w:rPr>
              <w:t>V oblasti p</w:t>
            </w:r>
            <w:r w:rsidR="00850A6F" w:rsidRPr="00B772D5">
              <w:rPr>
                <w:rFonts w:cstheme="minorHAnsi"/>
              </w:rPr>
              <w:t>řechod</w:t>
            </w:r>
            <w:r w:rsidRPr="00B772D5">
              <w:rPr>
                <w:rFonts w:cstheme="minorHAnsi"/>
              </w:rPr>
              <w:t>u</w:t>
            </w:r>
            <w:r w:rsidR="00850A6F" w:rsidRPr="00B772D5">
              <w:rPr>
                <w:rFonts w:cstheme="minorHAnsi"/>
              </w:rPr>
              <w:t xml:space="preserve"> práv a povinnost</w:t>
            </w:r>
            <w:r w:rsidRPr="00B772D5">
              <w:rPr>
                <w:rFonts w:cstheme="minorHAnsi"/>
              </w:rPr>
              <w:t>í z pracovněprávních vztahů se reaguje</w:t>
            </w:r>
            <w:r w:rsidR="00850A6F" w:rsidRPr="00B772D5">
              <w:rPr>
                <w:rFonts w:cstheme="minorHAnsi"/>
              </w:rPr>
              <w:t xml:space="preserve"> na judikaturu SD EU, která stanoví podmínky pro </w:t>
            </w:r>
            <w:r w:rsidRPr="00B772D5">
              <w:rPr>
                <w:rFonts w:cstheme="minorHAnsi"/>
              </w:rPr>
              <w:t>převod činnosti zaměstnavatele.</w:t>
            </w:r>
          </w:p>
        </w:tc>
      </w:tr>
      <w:tr w:rsidR="00C133C2" w:rsidTr="00850A6F">
        <w:trPr>
          <w:trHeight w:val="602"/>
        </w:trPr>
        <w:tc>
          <w:tcPr>
            <w:tcW w:w="3261" w:type="dxa"/>
            <w:vAlign w:val="center"/>
          </w:tcPr>
          <w:p w:rsidR="00C133C2" w:rsidRPr="001D360D" w:rsidRDefault="00C133C2" w:rsidP="00B772D5">
            <w:pPr>
              <w:jc w:val="center"/>
            </w:pPr>
            <w:r w:rsidRPr="006D2848">
              <w:t>Nejnižší úroveň zaručené mzdy u</w:t>
            </w:r>
            <w:r w:rsidR="00B772D5" w:rsidRPr="006D2848">
              <w:t> </w:t>
            </w:r>
            <w:r w:rsidR="005C2281">
              <w:t>průměrného výdělku (§ 357 </w:t>
            </w:r>
            <w:r w:rsidRPr="006D2848">
              <w:t>odst. 1)</w:t>
            </w:r>
          </w:p>
        </w:tc>
        <w:tc>
          <w:tcPr>
            <w:tcW w:w="10959" w:type="dxa"/>
          </w:tcPr>
          <w:p w:rsidR="00FA7601" w:rsidRPr="00B772D5" w:rsidRDefault="00E90E01" w:rsidP="005C2281">
            <w:pPr>
              <w:jc w:val="both"/>
              <w:rPr>
                <w:rFonts w:cstheme="minorHAnsi"/>
              </w:rPr>
            </w:pPr>
            <w:r w:rsidRPr="00E90E01">
              <w:rPr>
                <w:rFonts w:ascii="Calibri" w:hAnsi="Calibri" w:cs="Calibri"/>
              </w:rPr>
              <w:t xml:space="preserve">Navrhuje se zvýšit ochranu zaměstnance proti nepřiměřeně nízkým příjmům i prostřednictvím nejnižších úrovní zaručené mzdy. </w:t>
            </w:r>
            <w:r w:rsidR="004F033D" w:rsidRPr="00B772D5">
              <w:rPr>
                <w:rFonts w:cstheme="minorHAnsi"/>
              </w:rPr>
              <w:t>Při realizaci uvedené právní úpravy dojde k přiblížení průměrného výdělku zaměstnance ke skutečné výši jeho odměny za práci.</w:t>
            </w:r>
          </w:p>
        </w:tc>
      </w:tr>
    </w:tbl>
    <w:p w:rsidR="00C133C2" w:rsidRDefault="00C133C2" w:rsidP="00C133C2"/>
    <w:p w:rsidR="00006822" w:rsidRDefault="00006822"/>
    <w:sectPr w:rsidR="00006822" w:rsidSect="00D822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B9" w:rsidRDefault="000D07B9" w:rsidP="00C133C2">
      <w:pPr>
        <w:spacing w:after="0" w:line="240" w:lineRule="auto"/>
      </w:pPr>
      <w:r>
        <w:separator/>
      </w:r>
    </w:p>
  </w:endnote>
  <w:endnote w:type="continuationSeparator" w:id="0">
    <w:p w:rsidR="000D07B9" w:rsidRDefault="000D07B9" w:rsidP="00C13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9A" w:rsidRDefault="0036739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013623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9755F2" w:rsidRDefault="003A2A92">
            <w:pPr>
              <w:pStyle w:val="Zpat"/>
              <w:jc w:val="center"/>
            </w:pPr>
            <w:r>
              <w:t xml:space="preserve">Stránka </w:t>
            </w:r>
            <w:r w:rsidR="00B76B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76BCA">
              <w:rPr>
                <w:b/>
                <w:bCs/>
                <w:sz w:val="24"/>
                <w:szCs w:val="24"/>
              </w:rPr>
              <w:fldChar w:fldCharType="separate"/>
            </w:r>
            <w:r w:rsidR="00690240">
              <w:rPr>
                <w:b/>
                <w:bCs/>
                <w:noProof/>
              </w:rPr>
              <w:t>3</w:t>
            </w:r>
            <w:r w:rsidR="00B76BC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76BC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76BCA">
              <w:rPr>
                <w:b/>
                <w:bCs/>
                <w:sz w:val="24"/>
                <w:szCs w:val="24"/>
              </w:rPr>
              <w:fldChar w:fldCharType="separate"/>
            </w:r>
            <w:r w:rsidR="00690240">
              <w:rPr>
                <w:b/>
                <w:bCs/>
                <w:noProof/>
              </w:rPr>
              <w:t>3</w:t>
            </w:r>
            <w:r w:rsidR="00B76B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55F2" w:rsidRDefault="000D07B9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9A" w:rsidRDefault="0036739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B9" w:rsidRDefault="000D07B9" w:rsidP="00C133C2">
      <w:pPr>
        <w:spacing w:after="0" w:line="240" w:lineRule="auto"/>
      </w:pPr>
      <w:r>
        <w:separator/>
      </w:r>
    </w:p>
  </w:footnote>
  <w:footnote w:type="continuationSeparator" w:id="0">
    <w:p w:rsidR="000D07B9" w:rsidRDefault="000D07B9" w:rsidP="00C13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9A" w:rsidRDefault="0036739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C2" w:rsidRDefault="00F97C1F">
    <w:pPr>
      <w:pStyle w:val="Zhlav"/>
    </w:pPr>
    <w:r w:rsidRPr="00CC695C">
      <w:rPr>
        <w:b/>
      </w:rPr>
      <w:t xml:space="preserve">Souhrn hlavních témat </w:t>
    </w:r>
    <w:r w:rsidR="00C133C2" w:rsidRPr="00CC695C">
      <w:rPr>
        <w:b/>
      </w:rPr>
      <w:t xml:space="preserve">návrhu novely zákoníku práce </w:t>
    </w:r>
    <w:r w:rsidRPr="00CC695C">
      <w:rPr>
        <w:b/>
      </w:rPr>
      <w:t xml:space="preserve">po jednání </w:t>
    </w:r>
    <w:r w:rsidR="005C2281">
      <w:rPr>
        <w:b/>
      </w:rPr>
      <w:t xml:space="preserve">expertní </w:t>
    </w:r>
    <w:r w:rsidR="00CC695C" w:rsidRPr="00CC695C">
      <w:rPr>
        <w:b/>
      </w:rPr>
      <w:t xml:space="preserve">pracovní skupiny </w:t>
    </w:r>
    <w:r w:rsidR="00C133C2" w:rsidRPr="00CC695C">
      <w:rPr>
        <w:b/>
      </w:rPr>
      <w:t xml:space="preserve">dne </w:t>
    </w:r>
    <w:r w:rsidR="00124B37">
      <w:rPr>
        <w:b/>
      </w:rPr>
      <w:t>19</w:t>
    </w:r>
    <w:r w:rsidR="00694041">
      <w:rPr>
        <w:b/>
      </w:rPr>
      <w:t>. 2</w:t>
    </w:r>
    <w:r w:rsidR="00C133C2" w:rsidRPr="00CC695C">
      <w:rPr>
        <w:b/>
      </w:rPr>
      <w:t>. 2019</w:t>
    </w:r>
    <w:r w:rsidR="00CC695C">
      <w:tab/>
    </w:r>
    <w:r w:rsidR="00CC695C">
      <w:tab/>
      <w:t xml:space="preserve">        </w:t>
    </w:r>
    <w:r w:rsidR="0036739A">
      <w:tab/>
    </w:r>
    <w:r w:rsidR="0036739A">
      <w:tab/>
    </w:r>
    <w:r w:rsidR="0036739A">
      <w:tab/>
      <w:t>Příloha</w:t>
    </w:r>
  </w:p>
  <w:p w:rsidR="009755F2" w:rsidRDefault="000D07B9" w:rsidP="009755F2">
    <w:pPr>
      <w:pStyle w:val="Zhlav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39A" w:rsidRDefault="0036739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5BB0"/>
    <w:multiLevelType w:val="hybridMultilevel"/>
    <w:tmpl w:val="01C66A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CA4847"/>
    <w:multiLevelType w:val="hybridMultilevel"/>
    <w:tmpl w:val="5B16E220"/>
    <w:lvl w:ilvl="0" w:tplc="7CF42B2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3C2"/>
    <w:rsid w:val="00006822"/>
    <w:rsid w:val="00090168"/>
    <w:rsid w:val="00091539"/>
    <w:rsid w:val="000D07B9"/>
    <w:rsid w:val="000E3D22"/>
    <w:rsid w:val="00124B37"/>
    <w:rsid w:val="001660E3"/>
    <w:rsid w:val="001935D7"/>
    <w:rsid w:val="001B70DD"/>
    <w:rsid w:val="0022070C"/>
    <w:rsid w:val="00281F60"/>
    <w:rsid w:val="002C2617"/>
    <w:rsid w:val="00320972"/>
    <w:rsid w:val="00334036"/>
    <w:rsid w:val="00364259"/>
    <w:rsid w:val="0036739A"/>
    <w:rsid w:val="00383AA1"/>
    <w:rsid w:val="003A2A92"/>
    <w:rsid w:val="003C54AD"/>
    <w:rsid w:val="003C5832"/>
    <w:rsid w:val="004F033D"/>
    <w:rsid w:val="00566C61"/>
    <w:rsid w:val="005744AB"/>
    <w:rsid w:val="00575819"/>
    <w:rsid w:val="005777BE"/>
    <w:rsid w:val="005C2281"/>
    <w:rsid w:val="00614D69"/>
    <w:rsid w:val="00641F10"/>
    <w:rsid w:val="00664388"/>
    <w:rsid w:val="00667763"/>
    <w:rsid w:val="00675C12"/>
    <w:rsid w:val="00690240"/>
    <w:rsid w:val="00694041"/>
    <w:rsid w:val="006A4BF3"/>
    <w:rsid w:val="006D2848"/>
    <w:rsid w:val="006D34CB"/>
    <w:rsid w:val="007F1ECA"/>
    <w:rsid w:val="00813C7F"/>
    <w:rsid w:val="00824E38"/>
    <w:rsid w:val="00850A6F"/>
    <w:rsid w:val="00886BCD"/>
    <w:rsid w:val="00903743"/>
    <w:rsid w:val="00981E51"/>
    <w:rsid w:val="009900F6"/>
    <w:rsid w:val="00A14486"/>
    <w:rsid w:val="00A23A46"/>
    <w:rsid w:val="00AC129B"/>
    <w:rsid w:val="00AE697B"/>
    <w:rsid w:val="00B146F4"/>
    <w:rsid w:val="00B56EB4"/>
    <w:rsid w:val="00B76BCA"/>
    <w:rsid w:val="00B772D5"/>
    <w:rsid w:val="00BC296D"/>
    <w:rsid w:val="00C133C2"/>
    <w:rsid w:val="00C54BAB"/>
    <w:rsid w:val="00C67E4C"/>
    <w:rsid w:val="00CC695C"/>
    <w:rsid w:val="00D602B8"/>
    <w:rsid w:val="00D83290"/>
    <w:rsid w:val="00DF7D3C"/>
    <w:rsid w:val="00E90E01"/>
    <w:rsid w:val="00E9163A"/>
    <w:rsid w:val="00ED0FCB"/>
    <w:rsid w:val="00F717FB"/>
    <w:rsid w:val="00F97C1F"/>
    <w:rsid w:val="00FA7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3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3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aliases w:val="1 odstavecH"/>
    <w:basedOn w:val="Normln"/>
    <w:link w:val="OdstavecseseznamemChar"/>
    <w:uiPriority w:val="34"/>
    <w:qFormat/>
    <w:rsid w:val="00C133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3C2"/>
  </w:style>
  <w:style w:type="paragraph" w:styleId="Zpat">
    <w:name w:val="footer"/>
    <w:basedOn w:val="Normln"/>
    <w:link w:val="ZpatChar"/>
    <w:uiPriority w:val="99"/>
    <w:unhideWhenUsed/>
    <w:rsid w:val="00C1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3C2"/>
  </w:style>
  <w:style w:type="paragraph" w:styleId="Textbubliny">
    <w:name w:val="Balloon Text"/>
    <w:basedOn w:val="Normln"/>
    <w:link w:val="TextbublinyChar"/>
    <w:uiPriority w:val="99"/>
    <w:semiHidden/>
    <w:unhideWhenUsed/>
    <w:rsid w:val="00C1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3C2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1 odstavecH Char"/>
    <w:link w:val="Odstavecseseznamem"/>
    <w:uiPriority w:val="34"/>
    <w:rsid w:val="00FA7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3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1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1 odstavecH"/>
    <w:basedOn w:val="Normln"/>
    <w:link w:val="OdstavecseseznamemChar"/>
    <w:uiPriority w:val="34"/>
    <w:qFormat/>
    <w:rsid w:val="00C133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1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33C2"/>
  </w:style>
  <w:style w:type="paragraph" w:styleId="Zpat">
    <w:name w:val="footer"/>
    <w:basedOn w:val="Normln"/>
    <w:link w:val="ZpatChar"/>
    <w:uiPriority w:val="99"/>
    <w:unhideWhenUsed/>
    <w:rsid w:val="00C13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33C2"/>
  </w:style>
  <w:style w:type="paragraph" w:styleId="Textbubliny">
    <w:name w:val="Balloon Text"/>
    <w:basedOn w:val="Normln"/>
    <w:link w:val="TextbublinyChar"/>
    <w:uiPriority w:val="99"/>
    <w:semiHidden/>
    <w:unhideWhenUsed/>
    <w:rsid w:val="00C1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33C2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1 odstavecH Char"/>
    <w:link w:val="Odstavecseseznamem"/>
    <w:uiPriority w:val="34"/>
    <w:rsid w:val="00FA76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</dc:creator>
  <cp:lastModifiedBy>OSPZV3 ospzv3</cp:lastModifiedBy>
  <cp:revision>2</cp:revision>
  <cp:lastPrinted>2019-03-12T08:43:00Z</cp:lastPrinted>
  <dcterms:created xsi:type="dcterms:W3CDTF">2019-03-12T08:43:00Z</dcterms:created>
  <dcterms:modified xsi:type="dcterms:W3CDTF">2019-03-12T08:43:00Z</dcterms:modified>
</cp:coreProperties>
</file>