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EF1176" w14:textId="77777777" w:rsidR="0083578F" w:rsidRPr="0083578F" w:rsidRDefault="0083578F" w:rsidP="0083578F">
      <w:pPr>
        <w:keepNext/>
        <w:overflowPunct w:val="0"/>
        <w:autoSpaceDE w:val="0"/>
        <w:autoSpaceDN w:val="0"/>
        <w:adjustRightInd w:val="0"/>
        <w:spacing w:after="0" w:line="240" w:lineRule="auto"/>
        <w:jc w:val="both"/>
        <w:outlineLvl w:val="0"/>
        <w:rPr>
          <w:rFonts w:ascii="Calibri" w:eastAsia="Times New Roman" w:hAnsi="Calibri" w:cs="Times New Roman"/>
          <w:b/>
          <w:bCs/>
          <w:color w:val="auto"/>
          <w:sz w:val="28"/>
          <w:szCs w:val="20"/>
          <w:lang w:eastAsia="cs-CZ"/>
        </w:rPr>
      </w:pPr>
      <w:r w:rsidRPr="0083578F">
        <w:rPr>
          <w:rFonts w:ascii="Calibri" w:eastAsia="Times New Roman" w:hAnsi="Calibri" w:cs="Times New Roman"/>
          <w:b/>
          <w:bCs/>
          <w:color w:val="auto"/>
          <w:sz w:val="28"/>
          <w:szCs w:val="20"/>
          <w:lang w:eastAsia="cs-CZ"/>
        </w:rPr>
        <w:t>Ministerstvo průmyslu a obchodu</w:t>
      </w:r>
    </w:p>
    <w:p w14:paraId="3A7DAF1D" w14:textId="77777777" w:rsidR="0083578F" w:rsidRPr="0083578F" w:rsidRDefault="0083578F" w:rsidP="0083578F">
      <w:pPr>
        <w:overflowPunct w:val="0"/>
        <w:autoSpaceDE w:val="0"/>
        <w:autoSpaceDN w:val="0"/>
        <w:adjustRightInd w:val="0"/>
        <w:spacing w:after="0" w:line="240" w:lineRule="auto"/>
        <w:jc w:val="both"/>
        <w:rPr>
          <w:rFonts w:ascii="Calibri" w:eastAsia="Times New Roman" w:hAnsi="Calibri" w:cs="Times New Roman"/>
          <w:color w:val="auto"/>
          <w:sz w:val="24"/>
          <w:szCs w:val="20"/>
          <w:lang w:eastAsia="cs-CZ"/>
        </w:rPr>
      </w:pPr>
    </w:p>
    <w:p w14:paraId="02B3BDCF" w14:textId="77777777" w:rsidR="0083578F" w:rsidRPr="0083578F" w:rsidRDefault="0083578F" w:rsidP="0083578F">
      <w:pPr>
        <w:overflowPunct w:val="0"/>
        <w:autoSpaceDE w:val="0"/>
        <w:autoSpaceDN w:val="0"/>
        <w:adjustRightInd w:val="0"/>
        <w:spacing w:after="0" w:line="240" w:lineRule="auto"/>
        <w:jc w:val="both"/>
        <w:rPr>
          <w:rFonts w:ascii="Calibri" w:eastAsia="Times New Roman" w:hAnsi="Calibri" w:cs="Times New Roman"/>
          <w:color w:val="auto"/>
          <w:sz w:val="24"/>
          <w:szCs w:val="20"/>
          <w:lang w:eastAsia="cs-CZ"/>
        </w:rPr>
      </w:pPr>
    </w:p>
    <w:p w14:paraId="4485729C" w14:textId="77777777" w:rsidR="0083578F" w:rsidRPr="0083578F" w:rsidRDefault="0083578F" w:rsidP="0083578F">
      <w:pPr>
        <w:overflowPunct w:val="0"/>
        <w:autoSpaceDE w:val="0"/>
        <w:autoSpaceDN w:val="0"/>
        <w:adjustRightInd w:val="0"/>
        <w:spacing w:after="0" w:line="240" w:lineRule="auto"/>
        <w:jc w:val="both"/>
        <w:rPr>
          <w:rFonts w:ascii="Calibri" w:eastAsia="Times New Roman" w:hAnsi="Calibri" w:cs="Times New Roman"/>
          <w:color w:val="auto"/>
          <w:sz w:val="24"/>
          <w:szCs w:val="20"/>
          <w:lang w:eastAsia="cs-CZ"/>
        </w:rPr>
      </w:pPr>
    </w:p>
    <w:p w14:paraId="4E8A9E4B" w14:textId="77777777" w:rsidR="0083578F" w:rsidRPr="0083578F" w:rsidRDefault="0083578F" w:rsidP="0083578F">
      <w:pPr>
        <w:overflowPunct w:val="0"/>
        <w:autoSpaceDE w:val="0"/>
        <w:autoSpaceDN w:val="0"/>
        <w:adjustRightInd w:val="0"/>
        <w:spacing w:after="0" w:line="240" w:lineRule="auto"/>
        <w:jc w:val="both"/>
        <w:rPr>
          <w:rFonts w:ascii="Calibri" w:eastAsia="Times New Roman" w:hAnsi="Calibri" w:cs="Times New Roman"/>
          <w:color w:val="auto"/>
          <w:sz w:val="24"/>
          <w:szCs w:val="20"/>
          <w:lang w:eastAsia="cs-CZ"/>
        </w:rPr>
      </w:pPr>
    </w:p>
    <w:p w14:paraId="36E78900" w14:textId="31BB3128" w:rsidR="0083578F" w:rsidRPr="0083578F" w:rsidRDefault="0083578F" w:rsidP="0083578F">
      <w:pPr>
        <w:overflowPunct w:val="0"/>
        <w:autoSpaceDE w:val="0"/>
        <w:autoSpaceDN w:val="0"/>
        <w:adjustRightInd w:val="0"/>
        <w:spacing w:after="0" w:line="240" w:lineRule="auto"/>
        <w:jc w:val="both"/>
        <w:rPr>
          <w:rFonts w:ascii="Calibri" w:eastAsia="Times New Roman" w:hAnsi="Calibri" w:cs="Times New Roman"/>
          <w:color w:val="auto"/>
          <w:sz w:val="24"/>
          <w:szCs w:val="20"/>
          <w:lang w:eastAsia="cs-CZ"/>
        </w:rPr>
      </w:pPr>
      <w:r w:rsidRPr="0083578F">
        <w:rPr>
          <w:rFonts w:ascii="Calibri" w:eastAsia="Times New Roman" w:hAnsi="Calibri" w:cs="Times New Roman"/>
          <w:color w:val="auto"/>
          <w:sz w:val="24"/>
          <w:szCs w:val="20"/>
          <w:lang w:eastAsia="cs-CZ"/>
        </w:rPr>
        <w:tab/>
      </w:r>
      <w:r w:rsidRPr="0083578F">
        <w:rPr>
          <w:rFonts w:ascii="Calibri" w:eastAsia="Times New Roman" w:hAnsi="Calibri" w:cs="Times New Roman"/>
          <w:color w:val="auto"/>
          <w:sz w:val="24"/>
          <w:szCs w:val="20"/>
          <w:lang w:eastAsia="cs-CZ"/>
        </w:rPr>
        <w:tab/>
      </w:r>
      <w:r w:rsidRPr="0083578F">
        <w:rPr>
          <w:rFonts w:ascii="Calibri" w:eastAsia="Times New Roman" w:hAnsi="Calibri" w:cs="Times New Roman"/>
          <w:color w:val="auto"/>
          <w:sz w:val="24"/>
          <w:szCs w:val="20"/>
          <w:lang w:eastAsia="cs-CZ"/>
        </w:rPr>
        <w:tab/>
      </w:r>
      <w:r w:rsidRPr="0083578F">
        <w:rPr>
          <w:rFonts w:ascii="Calibri" w:eastAsia="Times New Roman" w:hAnsi="Calibri" w:cs="Times New Roman"/>
          <w:color w:val="auto"/>
          <w:sz w:val="24"/>
          <w:szCs w:val="20"/>
          <w:lang w:eastAsia="cs-CZ"/>
        </w:rPr>
        <w:tab/>
      </w:r>
      <w:r w:rsidRPr="0083578F">
        <w:rPr>
          <w:rFonts w:ascii="Calibri" w:eastAsia="Times New Roman" w:hAnsi="Calibri" w:cs="Times New Roman"/>
          <w:color w:val="auto"/>
          <w:sz w:val="24"/>
          <w:szCs w:val="20"/>
          <w:lang w:eastAsia="cs-CZ"/>
        </w:rPr>
        <w:tab/>
      </w:r>
      <w:r w:rsidRPr="0083578F">
        <w:rPr>
          <w:rFonts w:ascii="Calibri" w:eastAsia="Times New Roman" w:hAnsi="Calibri" w:cs="Times New Roman"/>
          <w:color w:val="auto"/>
          <w:sz w:val="24"/>
          <w:szCs w:val="20"/>
          <w:lang w:eastAsia="cs-CZ"/>
        </w:rPr>
        <w:tab/>
      </w:r>
      <w:r w:rsidRPr="0083578F">
        <w:rPr>
          <w:rFonts w:ascii="Calibri" w:eastAsia="Times New Roman" w:hAnsi="Calibri" w:cs="Times New Roman"/>
          <w:color w:val="auto"/>
          <w:sz w:val="24"/>
          <w:szCs w:val="20"/>
          <w:lang w:eastAsia="cs-CZ"/>
        </w:rPr>
        <w:tab/>
      </w:r>
      <w:r w:rsidRPr="0083578F">
        <w:rPr>
          <w:rFonts w:ascii="Calibri" w:eastAsia="Times New Roman" w:hAnsi="Calibri" w:cs="Times New Roman"/>
          <w:color w:val="auto"/>
          <w:sz w:val="24"/>
          <w:szCs w:val="20"/>
          <w:lang w:eastAsia="cs-CZ"/>
        </w:rPr>
        <w:tab/>
        <w:t xml:space="preserve">  </w:t>
      </w:r>
      <w:r w:rsidR="00CE50EA">
        <w:rPr>
          <w:rFonts w:ascii="Calibri" w:eastAsia="Times New Roman" w:hAnsi="Calibri" w:cs="Times New Roman"/>
          <w:color w:val="auto"/>
          <w:sz w:val="24"/>
          <w:szCs w:val="20"/>
          <w:lang w:eastAsia="cs-CZ"/>
        </w:rPr>
        <w:t xml:space="preserve">                           </w:t>
      </w:r>
      <w:r w:rsidRPr="0083578F">
        <w:rPr>
          <w:rFonts w:ascii="Calibri" w:eastAsia="Times New Roman" w:hAnsi="Calibri" w:cs="Times New Roman"/>
          <w:color w:val="auto"/>
          <w:sz w:val="24"/>
          <w:szCs w:val="20"/>
          <w:lang w:eastAsia="cs-CZ"/>
        </w:rPr>
        <w:t xml:space="preserve">V Praze dne </w:t>
      </w:r>
      <w:r w:rsidR="00525AF3">
        <w:rPr>
          <w:rFonts w:ascii="Calibri" w:eastAsia="Times New Roman" w:hAnsi="Calibri" w:cs="Times New Roman"/>
          <w:color w:val="auto"/>
          <w:sz w:val="24"/>
          <w:szCs w:val="20"/>
          <w:lang w:eastAsia="cs-CZ"/>
        </w:rPr>
        <w:t>2</w:t>
      </w:r>
      <w:r w:rsidRPr="0083578F">
        <w:rPr>
          <w:rFonts w:ascii="Calibri" w:eastAsia="Times New Roman" w:hAnsi="Calibri" w:cs="Times New Roman"/>
          <w:color w:val="auto"/>
          <w:sz w:val="24"/>
          <w:szCs w:val="20"/>
          <w:lang w:eastAsia="cs-CZ"/>
        </w:rPr>
        <w:t xml:space="preserve">. </w:t>
      </w:r>
      <w:r>
        <w:rPr>
          <w:rFonts w:ascii="Calibri" w:eastAsia="Times New Roman" w:hAnsi="Calibri" w:cs="Times New Roman"/>
          <w:color w:val="auto"/>
          <w:sz w:val="24"/>
          <w:szCs w:val="20"/>
          <w:lang w:eastAsia="cs-CZ"/>
        </w:rPr>
        <w:t>září</w:t>
      </w:r>
      <w:r w:rsidRPr="0083578F">
        <w:rPr>
          <w:rFonts w:ascii="Calibri" w:eastAsia="Times New Roman" w:hAnsi="Calibri" w:cs="Times New Roman"/>
          <w:color w:val="auto"/>
          <w:sz w:val="24"/>
          <w:szCs w:val="20"/>
          <w:lang w:eastAsia="cs-CZ"/>
        </w:rPr>
        <w:t xml:space="preserve"> 2020</w:t>
      </w:r>
    </w:p>
    <w:p w14:paraId="6B7F9219" w14:textId="77777777" w:rsidR="0083578F" w:rsidRPr="0083578F" w:rsidRDefault="0083578F" w:rsidP="0083578F">
      <w:pPr>
        <w:overflowPunct w:val="0"/>
        <w:autoSpaceDE w:val="0"/>
        <w:autoSpaceDN w:val="0"/>
        <w:adjustRightInd w:val="0"/>
        <w:spacing w:after="0" w:line="240" w:lineRule="auto"/>
        <w:jc w:val="both"/>
        <w:rPr>
          <w:rFonts w:ascii="Calibri" w:eastAsia="Times New Roman" w:hAnsi="Calibri" w:cs="Times New Roman"/>
          <w:color w:val="auto"/>
          <w:sz w:val="24"/>
          <w:szCs w:val="20"/>
          <w:lang w:eastAsia="cs-CZ"/>
        </w:rPr>
      </w:pPr>
      <w:r w:rsidRPr="0083578F">
        <w:rPr>
          <w:rFonts w:ascii="Calibri" w:eastAsia="Times New Roman" w:hAnsi="Calibri" w:cs="Times New Roman"/>
          <w:color w:val="auto"/>
          <w:sz w:val="24"/>
          <w:szCs w:val="20"/>
          <w:lang w:eastAsia="cs-CZ"/>
        </w:rPr>
        <w:tab/>
      </w:r>
      <w:r w:rsidRPr="0083578F">
        <w:rPr>
          <w:rFonts w:ascii="Calibri" w:eastAsia="Times New Roman" w:hAnsi="Calibri" w:cs="Times New Roman"/>
          <w:color w:val="auto"/>
          <w:sz w:val="24"/>
          <w:szCs w:val="20"/>
          <w:lang w:eastAsia="cs-CZ"/>
        </w:rPr>
        <w:tab/>
      </w:r>
      <w:r w:rsidRPr="0083578F">
        <w:rPr>
          <w:rFonts w:ascii="Calibri" w:eastAsia="Times New Roman" w:hAnsi="Calibri" w:cs="Times New Roman"/>
          <w:color w:val="auto"/>
          <w:sz w:val="24"/>
          <w:szCs w:val="20"/>
          <w:lang w:eastAsia="cs-CZ"/>
        </w:rPr>
        <w:tab/>
      </w:r>
      <w:r w:rsidRPr="0083578F">
        <w:rPr>
          <w:rFonts w:ascii="Calibri" w:eastAsia="Times New Roman" w:hAnsi="Calibri" w:cs="Times New Roman"/>
          <w:color w:val="auto"/>
          <w:sz w:val="24"/>
          <w:szCs w:val="20"/>
          <w:lang w:eastAsia="cs-CZ"/>
        </w:rPr>
        <w:tab/>
      </w:r>
      <w:r w:rsidRPr="0083578F">
        <w:rPr>
          <w:rFonts w:ascii="Calibri" w:eastAsia="Times New Roman" w:hAnsi="Calibri" w:cs="Times New Roman"/>
          <w:color w:val="auto"/>
          <w:sz w:val="24"/>
          <w:szCs w:val="20"/>
          <w:lang w:eastAsia="cs-CZ"/>
        </w:rPr>
        <w:tab/>
      </w:r>
      <w:r w:rsidRPr="0083578F">
        <w:rPr>
          <w:rFonts w:ascii="Calibri" w:eastAsia="Times New Roman" w:hAnsi="Calibri" w:cs="Times New Roman"/>
          <w:color w:val="auto"/>
          <w:sz w:val="24"/>
          <w:szCs w:val="20"/>
          <w:lang w:eastAsia="cs-CZ"/>
        </w:rPr>
        <w:tab/>
      </w:r>
      <w:r w:rsidRPr="0083578F">
        <w:rPr>
          <w:rFonts w:ascii="Calibri" w:eastAsia="Times New Roman" w:hAnsi="Calibri" w:cs="Times New Roman"/>
          <w:color w:val="auto"/>
          <w:sz w:val="24"/>
          <w:szCs w:val="20"/>
          <w:lang w:eastAsia="cs-CZ"/>
        </w:rPr>
        <w:tab/>
      </w:r>
      <w:r w:rsidRPr="0083578F">
        <w:rPr>
          <w:rFonts w:ascii="Calibri" w:eastAsia="Times New Roman" w:hAnsi="Calibri" w:cs="Times New Roman"/>
          <w:color w:val="auto"/>
          <w:sz w:val="24"/>
          <w:szCs w:val="20"/>
          <w:lang w:eastAsia="cs-CZ"/>
        </w:rPr>
        <w:tab/>
        <w:t xml:space="preserve">  </w:t>
      </w:r>
    </w:p>
    <w:p w14:paraId="1814C5C4" w14:textId="77777777" w:rsidR="0083578F" w:rsidRPr="0083578F" w:rsidRDefault="0083578F" w:rsidP="0083578F">
      <w:pPr>
        <w:overflowPunct w:val="0"/>
        <w:autoSpaceDE w:val="0"/>
        <w:autoSpaceDN w:val="0"/>
        <w:adjustRightInd w:val="0"/>
        <w:spacing w:after="0" w:line="240" w:lineRule="auto"/>
        <w:jc w:val="both"/>
        <w:rPr>
          <w:rFonts w:ascii="Calibri" w:eastAsia="Times New Roman" w:hAnsi="Calibri" w:cs="Times New Roman"/>
          <w:color w:val="auto"/>
          <w:sz w:val="24"/>
          <w:szCs w:val="20"/>
          <w:lang w:eastAsia="cs-CZ"/>
        </w:rPr>
      </w:pPr>
    </w:p>
    <w:p w14:paraId="6FF3AD44" w14:textId="77777777" w:rsidR="0083578F" w:rsidRPr="0083578F" w:rsidRDefault="0083578F" w:rsidP="0083578F">
      <w:pPr>
        <w:overflowPunct w:val="0"/>
        <w:autoSpaceDE w:val="0"/>
        <w:autoSpaceDN w:val="0"/>
        <w:adjustRightInd w:val="0"/>
        <w:spacing w:after="0" w:line="240" w:lineRule="auto"/>
        <w:jc w:val="both"/>
        <w:rPr>
          <w:rFonts w:ascii="Calibri" w:eastAsia="Times New Roman" w:hAnsi="Calibri" w:cs="Times New Roman"/>
          <w:color w:val="auto"/>
          <w:sz w:val="24"/>
          <w:szCs w:val="20"/>
          <w:lang w:eastAsia="cs-CZ"/>
        </w:rPr>
      </w:pPr>
    </w:p>
    <w:p w14:paraId="724B0B54" w14:textId="77777777" w:rsidR="0083578F" w:rsidRPr="0083578F" w:rsidRDefault="0083578F" w:rsidP="0083578F">
      <w:pPr>
        <w:overflowPunct w:val="0"/>
        <w:autoSpaceDE w:val="0"/>
        <w:autoSpaceDN w:val="0"/>
        <w:adjustRightInd w:val="0"/>
        <w:spacing w:after="0" w:line="240" w:lineRule="auto"/>
        <w:jc w:val="both"/>
        <w:rPr>
          <w:rFonts w:ascii="Calibri" w:eastAsia="Times New Roman" w:hAnsi="Calibri" w:cs="Times New Roman"/>
          <w:color w:val="auto"/>
          <w:sz w:val="24"/>
          <w:szCs w:val="20"/>
          <w:lang w:eastAsia="cs-CZ"/>
        </w:rPr>
      </w:pPr>
    </w:p>
    <w:p w14:paraId="43FE78A5" w14:textId="77777777" w:rsidR="0083578F" w:rsidRPr="0083578F" w:rsidRDefault="0083578F" w:rsidP="0083578F">
      <w:pPr>
        <w:overflowPunct w:val="0"/>
        <w:autoSpaceDE w:val="0"/>
        <w:autoSpaceDN w:val="0"/>
        <w:adjustRightInd w:val="0"/>
        <w:spacing w:after="0" w:line="240" w:lineRule="auto"/>
        <w:jc w:val="both"/>
        <w:rPr>
          <w:rFonts w:ascii="Calibri" w:eastAsia="Times New Roman" w:hAnsi="Calibri" w:cs="Times New Roman"/>
          <w:color w:val="auto"/>
          <w:sz w:val="24"/>
          <w:szCs w:val="20"/>
          <w:lang w:eastAsia="cs-CZ"/>
        </w:rPr>
      </w:pPr>
    </w:p>
    <w:p w14:paraId="146737C6" w14:textId="77777777" w:rsidR="0083578F" w:rsidRPr="0083578F" w:rsidRDefault="0083578F" w:rsidP="0083578F">
      <w:pPr>
        <w:overflowPunct w:val="0"/>
        <w:autoSpaceDE w:val="0"/>
        <w:autoSpaceDN w:val="0"/>
        <w:adjustRightInd w:val="0"/>
        <w:spacing w:after="0" w:line="240" w:lineRule="auto"/>
        <w:jc w:val="both"/>
        <w:rPr>
          <w:rFonts w:ascii="Calibri" w:eastAsia="Times New Roman" w:hAnsi="Calibri" w:cs="Times New Roman"/>
          <w:color w:val="auto"/>
          <w:sz w:val="24"/>
          <w:szCs w:val="20"/>
          <w:lang w:eastAsia="cs-CZ"/>
        </w:rPr>
      </w:pPr>
    </w:p>
    <w:p w14:paraId="56D354A3" w14:textId="77777777" w:rsidR="0083578F" w:rsidRPr="0083578F" w:rsidRDefault="0083578F" w:rsidP="0083578F">
      <w:pPr>
        <w:overflowPunct w:val="0"/>
        <w:autoSpaceDE w:val="0"/>
        <w:autoSpaceDN w:val="0"/>
        <w:adjustRightInd w:val="0"/>
        <w:spacing w:after="0" w:line="240" w:lineRule="auto"/>
        <w:jc w:val="both"/>
        <w:rPr>
          <w:rFonts w:ascii="Calibri" w:eastAsia="Times New Roman" w:hAnsi="Calibri" w:cs="Times New Roman"/>
          <w:color w:val="auto"/>
          <w:sz w:val="24"/>
          <w:szCs w:val="20"/>
          <w:lang w:eastAsia="cs-CZ"/>
        </w:rPr>
      </w:pPr>
    </w:p>
    <w:p w14:paraId="0462C36A" w14:textId="35B47740" w:rsidR="0083578F" w:rsidRPr="0083578F" w:rsidRDefault="0083578F" w:rsidP="0083578F">
      <w:pPr>
        <w:keepNext/>
        <w:overflowPunct w:val="0"/>
        <w:autoSpaceDE w:val="0"/>
        <w:autoSpaceDN w:val="0"/>
        <w:adjustRightInd w:val="0"/>
        <w:spacing w:after="0" w:line="240" w:lineRule="auto"/>
        <w:jc w:val="center"/>
        <w:outlineLvl w:val="1"/>
        <w:rPr>
          <w:rFonts w:ascii="Calibri" w:eastAsia="Times New Roman" w:hAnsi="Calibri" w:cs="Times New Roman"/>
          <w:b/>
          <w:bCs/>
          <w:color w:val="auto"/>
          <w:sz w:val="28"/>
          <w:szCs w:val="20"/>
          <w:lang w:eastAsia="cs-CZ"/>
        </w:rPr>
      </w:pPr>
      <w:r w:rsidRPr="0083578F">
        <w:rPr>
          <w:rFonts w:ascii="Calibri" w:eastAsia="Times New Roman" w:hAnsi="Calibri" w:cs="Times New Roman"/>
          <w:b/>
          <w:bCs/>
          <w:color w:val="auto"/>
          <w:sz w:val="28"/>
          <w:szCs w:val="20"/>
          <w:lang w:eastAsia="cs-CZ"/>
        </w:rPr>
        <w:t>PRO JEDNÁNÍ 15</w:t>
      </w:r>
      <w:r>
        <w:rPr>
          <w:rFonts w:ascii="Calibri" w:eastAsia="Times New Roman" w:hAnsi="Calibri" w:cs="Times New Roman"/>
          <w:b/>
          <w:bCs/>
          <w:color w:val="auto"/>
          <w:sz w:val="28"/>
          <w:szCs w:val="20"/>
          <w:lang w:eastAsia="cs-CZ"/>
        </w:rPr>
        <w:t>4</w:t>
      </w:r>
      <w:r w:rsidRPr="0083578F">
        <w:rPr>
          <w:rFonts w:ascii="Calibri" w:eastAsia="Times New Roman" w:hAnsi="Calibri" w:cs="Times New Roman"/>
          <w:b/>
          <w:bCs/>
          <w:color w:val="auto"/>
          <w:sz w:val="28"/>
          <w:szCs w:val="20"/>
          <w:lang w:eastAsia="cs-CZ"/>
        </w:rPr>
        <w:t xml:space="preserve">. PLENÁRNÍ SCHŮZE </w:t>
      </w:r>
    </w:p>
    <w:p w14:paraId="5BEF76F3" w14:textId="77777777" w:rsidR="0083578F" w:rsidRPr="0083578F" w:rsidRDefault="0083578F" w:rsidP="0083578F">
      <w:pPr>
        <w:overflowPunct w:val="0"/>
        <w:autoSpaceDE w:val="0"/>
        <w:autoSpaceDN w:val="0"/>
        <w:adjustRightInd w:val="0"/>
        <w:spacing w:after="0" w:line="240" w:lineRule="auto"/>
        <w:jc w:val="center"/>
        <w:rPr>
          <w:rFonts w:ascii="Calibri" w:eastAsia="Times New Roman" w:hAnsi="Calibri" w:cs="Times New Roman"/>
          <w:b/>
          <w:bCs/>
          <w:color w:val="auto"/>
          <w:sz w:val="28"/>
          <w:szCs w:val="20"/>
          <w:lang w:eastAsia="cs-CZ"/>
        </w:rPr>
      </w:pPr>
      <w:r w:rsidRPr="0083578F">
        <w:rPr>
          <w:rFonts w:ascii="Calibri" w:eastAsia="Times New Roman" w:hAnsi="Calibri" w:cs="Times New Roman"/>
          <w:b/>
          <w:bCs/>
          <w:color w:val="auto"/>
          <w:sz w:val="28"/>
          <w:szCs w:val="20"/>
          <w:lang w:eastAsia="cs-CZ"/>
        </w:rPr>
        <w:t>RADY HOSPODÁŘSKÉ A SOCIÁLNÍ DOHODY ČR</w:t>
      </w:r>
    </w:p>
    <w:p w14:paraId="0CB32006" w14:textId="77777777" w:rsidR="0083578F" w:rsidRPr="0083578F" w:rsidRDefault="0083578F" w:rsidP="0083578F">
      <w:pPr>
        <w:overflowPunct w:val="0"/>
        <w:autoSpaceDE w:val="0"/>
        <w:autoSpaceDN w:val="0"/>
        <w:adjustRightInd w:val="0"/>
        <w:spacing w:after="0" w:line="240" w:lineRule="auto"/>
        <w:jc w:val="both"/>
        <w:rPr>
          <w:rFonts w:ascii="Calibri" w:eastAsia="Times New Roman" w:hAnsi="Calibri" w:cs="Times New Roman"/>
          <w:color w:val="auto"/>
          <w:sz w:val="24"/>
          <w:szCs w:val="20"/>
          <w:lang w:eastAsia="cs-CZ"/>
        </w:rPr>
      </w:pPr>
    </w:p>
    <w:p w14:paraId="4EE02E31" w14:textId="1D0A5DB4" w:rsidR="0083578F" w:rsidRPr="0083578F" w:rsidRDefault="0083578F" w:rsidP="0083578F">
      <w:pPr>
        <w:overflowPunct w:val="0"/>
        <w:autoSpaceDE w:val="0"/>
        <w:autoSpaceDN w:val="0"/>
        <w:adjustRightInd w:val="0"/>
        <w:spacing w:after="0" w:line="240" w:lineRule="auto"/>
        <w:jc w:val="center"/>
        <w:rPr>
          <w:rFonts w:ascii="Calibri" w:eastAsia="Times New Roman" w:hAnsi="Calibri" w:cs="Times New Roman"/>
          <w:b/>
          <w:noProof/>
          <w:color w:val="auto"/>
          <w:sz w:val="28"/>
          <w:szCs w:val="28"/>
          <w:lang w:eastAsia="cs-CZ"/>
        </w:rPr>
      </w:pPr>
      <w:r w:rsidRPr="0083578F">
        <w:rPr>
          <w:rFonts w:ascii="Calibri" w:eastAsia="Times New Roman" w:hAnsi="Calibri" w:cs="Times New Roman"/>
          <w:b/>
          <w:noProof/>
          <w:color w:val="auto"/>
          <w:sz w:val="28"/>
          <w:szCs w:val="28"/>
          <w:lang w:eastAsia="cs-CZ"/>
        </w:rPr>
        <w:t>bod 1.</w:t>
      </w:r>
      <w:r>
        <w:rPr>
          <w:rFonts w:ascii="Calibri" w:eastAsia="Times New Roman" w:hAnsi="Calibri" w:cs="Times New Roman"/>
          <w:b/>
          <w:noProof/>
          <w:color w:val="auto"/>
          <w:sz w:val="28"/>
          <w:szCs w:val="28"/>
          <w:lang w:eastAsia="cs-CZ"/>
        </w:rPr>
        <w:t>3</w:t>
      </w:r>
    </w:p>
    <w:p w14:paraId="0958E77E" w14:textId="77777777" w:rsidR="0083578F" w:rsidRPr="0083578F" w:rsidRDefault="0083578F" w:rsidP="0083578F">
      <w:pPr>
        <w:overflowPunct w:val="0"/>
        <w:autoSpaceDE w:val="0"/>
        <w:autoSpaceDN w:val="0"/>
        <w:adjustRightInd w:val="0"/>
        <w:spacing w:after="0" w:line="240" w:lineRule="auto"/>
        <w:jc w:val="both"/>
        <w:rPr>
          <w:rFonts w:ascii="Calibri" w:eastAsia="Times New Roman" w:hAnsi="Calibri" w:cs="Times New Roman"/>
          <w:color w:val="auto"/>
          <w:sz w:val="24"/>
          <w:szCs w:val="20"/>
          <w:lang w:eastAsia="cs-CZ"/>
        </w:rPr>
      </w:pPr>
    </w:p>
    <w:p w14:paraId="32B59082" w14:textId="09743E85" w:rsidR="0083578F" w:rsidRPr="0083578F" w:rsidRDefault="0083578F" w:rsidP="0083578F">
      <w:pPr>
        <w:overflowPunct w:val="0"/>
        <w:autoSpaceDE w:val="0"/>
        <w:autoSpaceDN w:val="0"/>
        <w:adjustRightInd w:val="0"/>
        <w:spacing w:after="0" w:line="240" w:lineRule="auto"/>
        <w:jc w:val="center"/>
        <w:rPr>
          <w:rFonts w:ascii="Calibri" w:eastAsia="Times New Roman" w:hAnsi="Calibri" w:cs="Times New Roman"/>
          <w:b/>
          <w:noProof/>
          <w:color w:val="auto"/>
          <w:sz w:val="28"/>
          <w:szCs w:val="28"/>
          <w:lang w:eastAsia="cs-CZ"/>
        </w:rPr>
      </w:pPr>
      <w:r w:rsidRPr="0083578F">
        <w:rPr>
          <w:rFonts w:ascii="Calibri" w:eastAsia="Times New Roman" w:hAnsi="Calibri" w:cs="Times New Roman"/>
          <w:b/>
          <w:noProof/>
          <w:color w:val="auto"/>
          <w:sz w:val="28"/>
          <w:szCs w:val="28"/>
          <w:lang w:eastAsia="cs-CZ"/>
        </w:rPr>
        <w:t xml:space="preserve">Sociální </w:t>
      </w:r>
      <w:r w:rsidR="00A84FAC">
        <w:rPr>
          <w:rFonts w:ascii="Calibri" w:eastAsia="Times New Roman" w:hAnsi="Calibri" w:cs="Times New Roman"/>
          <w:b/>
          <w:noProof/>
          <w:color w:val="auto"/>
          <w:sz w:val="28"/>
          <w:szCs w:val="28"/>
          <w:lang w:eastAsia="cs-CZ"/>
        </w:rPr>
        <w:t>opatření</w:t>
      </w:r>
      <w:r w:rsidRPr="0083578F">
        <w:rPr>
          <w:rFonts w:ascii="Calibri" w:eastAsia="Times New Roman" w:hAnsi="Calibri" w:cs="Times New Roman"/>
          <w:b/>
          <w:noProof/>
          <w:color w:val="auto"/>
          <w:sz w:val="28"/>
          <w:szCs w:val="28"/>
          <w:lang w:eastAsia="cs-CZ"/>
        </w:rPr>
        <w:t xml:space="preserve"> </w:t>
      </w:r>
      <w:r w:rsidR="00A84FAC">
        <w:rPr>
          <w:rFonts w:ascii="Calibri" w:eastAsia="Times New Roman" w:hAnsi="Calibri" w:cs="Times New Roman"/>
          <w:b/>
          <w:noProof/>
          <w:color w:val="auto"/>
          <w:sz w:val="28"/>
          <w:szCs w:val="28"/>
          <w:lang w:eastAsia="cs-CZ"/>
        </w:rPr>
        <w:t>v souvislosti s útlumem těžby uhlí</w:t>
      </w:r>
      <w:r w:rsidRPr="0083578F">
        <w:rPr>
          <w:rFonts w:ascii="Calibri" w:eastAsia="Times New Roman" w:hAnsi="Calibri" w:cs="Times New Roman"/>
          <w:b/>
          <w:noProof/>
          <w:color w:val="auto"/>
          <w:sz w:val="28"/>
          <w:szCs w:val="28"/>
          <w:lang w:eastAsia="cs-CZ"/>
        </w:rPr>
        <w:t xml:space="preserve"> (v návaznosti na výstupy</w:t>
      </w:r>
      <w:r w:rsidR="00A84FAC">
        <w:rPr>
          <w:rFonts w:ascii="Calibri" w:eastAsia="Times New Roman" w:hAnsi="Calibri" w:cs="Times New Roman"/>
          <w:b/>
          <w:noProof/>
          <w:color w:val="auto"/>
          <w:sz w:val="28"/>
          <w:szCs w:val="28"/>
          <w:lang w:eastAsia="cs-CZ"/>
        </w:rPr>
        <w:t xml:space="preserve"> z jednání</w:t>
      </w:r>
      <w:r w:rsidRPr="0083578F">
        <w:rPr>
          <w:rFonts w:ascii="Calibri" w:eastAsia="Times New Roman" w:hAnsi="Calibri" w:cs="Times New Roman"/>
          <w:b/>
          <w:noProof/>
          <w:color w:val="auto"/>
          <w:sz w:val="28"/>
          <w:szCs w:val="28"/>
          <w:lang w:eastAsia="cs-CZ"/>
        </w:rPr>
        <w:t xml:space="preserve"> Uhelné</w:t>
      </w:r>
      <w:r>
        <w:rPr>
          <w:rFonts w:ascii="Calibri" w:eastAsia="Times New Roman" w:hAnsi="Calibri" w:cs="Times New Roman"/>
          <w:b/>
          <w:noProof/>
          <w:color w:val="auto"/>
          <w:sz w:val="28"/>
          <w:szCs w:val="28"/>
          <w:lang w:eastAsia="cs-CZ"/>
        </w:rPr>
        <w:t> </w:t>
      </w:r>
      <w:r w:rsidRPr="0083578F">
        <w:rPr>
          <w:rFonts w:ascii="Calibri" w:eastAsia="Times New Roman" w:hAnsi="Calibri" w:cs="Times New Roman"/>
          <w:b/>
          <w:noProof/>
          <w:color w:val="auto"/>
          <w:sz w:val="28"/>
          <w:szCs w:val="28"/>
          <w:lang w:eastAsia="cs-CZ"/>
        </w:rPr>
        <w:t>komise)</w:t>
      </w:r>
    </w:p>
    <w:p w14:paraId="7A75ACDB" w14:textId="77777777" w:rsidR="0083578F" w:rsidRPr="0083578F" w:rsidRDefault="0083578F" w:rsidP="0083578F">
      <w:pPr>
        <w:overflowPunct w:val="0"/>
        <w:autoSpaceDE w:val="0"/>
        <w:autoSpaceDN w:val="0"/>
        <w:adjustRightInd w:val="0"/>
        <w:spacing w:after="0" w:line="240" w:lineRule="auto"/>
        <w:jc w:val="center"/>
        <w:rPr>
          <w:rFonts w:ascii="Calibri" w:eastAsia="Times New Roman" w:hAnsi="Calibri" w:cs="Times New Roman"/>
          <w:color w:val="auto"/>
          <w:sz w:val="28"/>
          <w:szCs w:val="20"/>
          <w:lang w:eastAsia="cs-CZ"/>
        </w:rPr>
      </w:pPr>
    </w:p>
    <w:p w14:paraId="0F754167" w14:textId="77777777" w:rsidR="0083578F" w:rsidRPr="0083578F" w:rsidRDefault="0083578F" w:rsidP="0083578F">
      <w:pPr>
        <w:overflowPunct w:val="0"/>
        <w:autoSpaceDE w:val="0"/>
        <w:autoSpaceDN w:val="0"/>
        <w:adjustRightInd w:val="0"/>
        <w:spacing w:after="0" w:line="240" w:lineRule="auto"/>
        <w:jc w:val="center"/>
        <w:rPr>
          <w:rFonts w:ascii="Calibri" w:eastAsia="Times New Roman" w:hAnsi="Calibri" w:cs="Times New Roman"/>
          <w:color w:val="auto"/>
          <w:sz w:val="28"/>
          <w:szCs w:val="20"/>
          <w:lang w:eastAsia="cs-CZ"/>
        </w:rPr>
      </w:pPr>
    </w:p>
    <w:p w14:paraId="205AB901" w14:textId="77777777" w:rsidR="0083578F" w:rsidRPr="0083578F" w:rsidRDefault="0083578F" w:rsidP="0083578F">
      <w:pPr>
        <w:overflowPunct w:val="0"/>
        <w:autoSpaceDE w:val="0"/>
        <w:autoSpaceDN w:val="0"/>
        <w:adjustRightInd w:val="0"/>
        <w:spacing w:after="0" w:line="240" w:lineRule="auto"/>
        <w:jc w:val="center"/>
        <w:rPr>
          <w:rFonts w:ascii="Calibri" w:eastAsia="Times New Roman" w:hAnsi="Calibri" w:cs="Times New Roman"/>
          <w:color w:val="auto"/>
          <w:sz w:val="28"/>
          <w:szCs w:val="20"/>
          <w:lang w:eastAsia="cs-CZ"/>
        </w:rPr>
      </w:pPr>
    </w:p>
    <w:p w14:paraId="537811C3" w14:textId="77777777" w:rsidR="0083578F" w:rsidRPr="0083578F" w:rsidRDefault="0083578F" w:rsidP="0083578F">
      <w:pPr>
        <w:overflowPunct w:val="0"/>
        <w:autoSpaceDE w:val="0"/>
        <w:autoSpaceDN w:val="0"/>
        <w:adjustRightInd w:val="0"/>
        <w:spacing w:after="0" w:line="240" w:lineRule="auto"/>
        <w:jc w:val="center"/>
        <w:rPr>
          <w:rFonts w:ascii="Calibri" w:eastAsia="Times New Roman" w:hAnsi="Calibri" w:cs="Times New Roman"/>
          <w:color w:val="auto"/>
          <w:sz w:val="28"/>
          <w:szCs w:val="20"/>
          <w:lang w:eastAsia="cs-CZ"/>
        </w:rPr>
      </w:pPr>
    </w:p>
    <w:p w14:paraId="404E3ABC" w14:textId="77777777" w:rsidR="0083578F" w:rsidRPr="0083578F" w:rsidRDefault="0083578F" w:rsidP="0083578F">
      <w:pPr>
        <w:overflowPunct w:val="0"/>
        <w:autoSpaceDE w:val="0"/>
        <w:autoSpaceDN w:val="0"/>
        <w:adjustRightInd w:val="0"/>
        <w:spacing w:after="0" w:line="240" w:lineRule="auto"/>
        <w:jc w:val="center"/>
        <w:rPr>
          <w:rFonts w:ascii="Calibri" w:eastAsia="Times New Roman" w:hAnsi="Calibri" w:cs="Times New Roman"/>
          <w:color w:val="auto"/>
          <w:sz w:val="28"/>
          <w:szCs w:val="20"/>
          <w:lang w:eastAsia="cs-CZ"/>
        </w:rPr>
      </w:pPr>
    </w:p>
    <w:p w14:paraId="1430106C" w14:textId="77777777" w:rsidR="0083578F" w:rsidRPr="0083578F" w:rsidRDefault="0083578F" w:rsidP="0083578F">
      <w:pPr>
        <w:overflowPunct w:val="0"/>
        <w:autoSpaceDE w:val="0"/>
        <w:autoSpaceDN w:val="0"/>
        <w:adjustRightInd w:val="0"/>
        <w:spacing w:after="0" w:line="240" w:lineRule="auto"/>
        <w:jc w:val="center"/>
        <w:rPr>
          <w:rFonts w:ascii="Calibri" w:eastAsia="Times New Roman" w:hAnsi="Calibri" w:cs="Times New Roman"/>
          <w:color w:val="auto"/>
          <w:sz w:val="28"/>
          <w:szCs w:val="20"/>
          <w:lang w:eastAsia="cs-CZ"/>
        </w:rPr>
      </w:pPr>
    </w:p>
    <w:p w14:paraId="12F2B5B6" w14:textId="77777777" w:rsidR="0083578F" w:rsidRPr="0083578F" w:rsidRDefault="0083578F" w:rsidP="0083578F">
      <w:pPr>
        <w:overflowPunct w:val="0"/>
        <w:autoSpaceDE w:val="0"/>
        <w:autoSpaceDN w:val="0"/>
        <w:adjustRightInd w:val="0"/>
        <w:spacing w:after="0" w:line="240" w:lineRule="auto"/>
        <w:jc w:val="center"/>
        <w:rPr>
          <w:rFonts w:ascii="Calibri" w:eastAsia="Times New Roman" w:hAnsi="Calibri" w:cs="Times New Roman"/>
          <w:color w:val="auto"/>
          <w:sz w:val="28"/>
          <w:szCs w:val="20"/>
          <w:lang w:eastAsia="cs-CZ"/>
        </w:rPr>
      </w:pPr>
    </w:p>
    <w:p w14:paraId="0431BC9F" w14:textId="77777777" w:rsidR="0083578F" w:rsidRPr="0083578F" w:rsidRDefault="0083578F" w:rsidP="0083578F">
      <w:pPr>
        <w:overflowPunct w:val="0"/>
        <w:autoSpaceDE w:val="0"/>
        <w:autoSpaceDN w:val="0"/>
        <w:adjustRightInd w:val="0"/>
        <w:spacing w:after="0" w:line="240" w:lineRule="auto"/>
        <w:jc w:val="center"/>
        <w:rPr>
          <w:rFonts w:ascii="Calibri" w:eastAsia="Times New Roman" w:hAnsi="Calibri" w:cs="Times New Roman"/>
          <w:color w:val="auto"/>
          <w:sz w:val="28"/>
          <w:szCs w:val="20"/>
          <w:lang w:eastAsia="cs-CZ"/>
        </w:rPr>
      </w:pPr>
    </w:p>
    <w:p w14:paraId="031DC767" w14:textId="77777777" w:rsidR="0083578F" w:rsidRPr="0083578F" w:rsidRDefault="0083578F" w:rsidP="0083578F">
      <w:pPr>
        <w:overflowPunct w:val="0"/>
        <w:autoSpaceDE w:val="0"/>
        <w:autoSpaceDN w:val="0"/>
        <w:adjustRightInd w:val="0"/>
        <w:spacing w:after="0" w:line="240" w:lineRule="auto"/>
        <w:jc w:val="center"/>
        <w:rPr>
          <w:rFonts w:ascii="Calibri" w:eastAsia="Times New Roman" w:hAnsi="Calibri" w:cs="Times New Roman"/>
          <w:color w:val="auto"/>
          <w:sz w:val="28"/>
          <w:szCs w:val="20"/>
          <w:lang w:eastAsia="cs-CZ"/>
        </w:rPr>
      </w:pPr>
    </w:p>
    <w:p w14:paraId="28777144" w14:textId="77777777" w:rsidR="0083578F" w:rsidRPr="0083578F" w:rsidRDefault="0083578F" w:rsidP="0083578F">
      <w:pPr>
        <w:overflowPunct w:val="0"/>
        <w:autoSpaceDE w:val="0"/>
        <w:autoSpaceDN w:val="0"/>
        <w:adjustRightInd w:val="0"/>
        <w:spacing w:after="0" w:line="240" w:lineRule="auto"/>
        <w:jc w:val="center"/>
        <w:rPr>
          <w:rFonts w:ascii="Calibri" w:eastAsia="Times New Roman" w:hAnsi="Calibri" w:cs="Times New Roman"/>
          <w:color w:val="auto"/>
          <w:sz w:val="28"/>
          <w:szCs w:val="20"/>
          <w:lang w:eastAsia="cs-CZ"/>
        </w:rPr>
      </w:pPr>
    </w:p>
    <w:p w14:paraId="0941160D" w14:textId="77777777" w:rsidR="0083578F" w:rsidRPr="0083578F" w:rsidRDefault="0083578F" w:rsidP="0083578F">
      <w:pPr>
        <w:overflowPunct w:val="0"/>
        <w:autoSpaceDE w:val="0"/>
        <w:autoSpaceDN w:val="0"/>
        <w:adjustRightInd w:val="0"/>
        <w:spacing w:after="0" w:line="240" w:lineRule="auto"/>
        <w:jc w:val="center"/>
        <w:rPr>
          <w:rFonts w:ascii="Calibri" w:eastAsia="Times New Roman" w:hAnsi="Calibri" w:cs="Times New Roman"/>
          <w:color w:val="auto"/>
          <w:sz w:val="28"/>
          <w:szCs w:val="20"/>
          <w:lang w:eastAsia="cs-CZ"/>
        </w:rPr>
      </w:pPr>
    </w:p>
    <w:p w14:paraId="20F79AC2" w14:textId="77777777" w:rsidR="0083578F" w:rsidRPr="0083578F" w:rsidRDefault="0083578F" w:rsidP="0083578F">
      <w:pPr>
        <w:overflowPunct w:val="0"/>
        <w:autoSpaceDE w:val="0"/>
        <w:autoSpaceDN w:val="0"/>
        <w:adjustRightInd w:val="0"/>
        <w:spacing w:after="0" w:line="240" w:lineRule="auto"/>
        <w:jc w:val="center"/>
        <w:rPr>
          <w:rFonts w:ascii="Calibri" w:eastAsia="Times New Roman" w:hAnsi="Calibri" w:cs="Times New Roman"/>
          <w:color w:val="auto"/>
          <w:sz w:val="28"/>
          <w:szCs w:val="20"/>
          <w:lang w:eastAsia="cs-CZ"/>
        </w:rPr>
      </w:pPr>
    </w:p>
    <w:p w14:paraId="55F8DA7E" w14:textId="77777777" w:rsidR="0083578F" w:rsidRPr="0083578F" w:rsidRDefault="0083578F" w:rsidP="0083578F">
      <w:pPr>
        <w:overflowPunct w:val="0"/>
        <w:autoSpaceDE w:val="0"/>
        <w:autoSpaceDN w:val="0"/>
        <w:adjustRightInd w:val="0"/>
        <w:spacing w:after="0" w:line="240" w:lineRule="auto"/>
        <w:jc w:val="center"/>
        <w:rPr>
          <w:rFonts w:ascii="Calibri" w:eastAsia="Times New Roman" w:hAnsi="Calibri" w:cs="Times New Roman"/>
          <w:color w:val="auto"/>
          <w:sz w:val="28"/>
          <w:szCs w:val="20"/>
          <w:lang w:eastAsia="cs-CZ"/>
        </w:rPr>
      </w:pPr>
    </w:p>
    <w:p w14:paraId="46E301B1" w14:textId="77777777" w:rsidR="0083578F" w:rsidRPr="0083578F" w:rsidRDefault="0083578F" w:rsidP="0083578F">
      <w:pPr>
        <w:overflowPunct w:val="0"/>
        <w:autoSpaceDE w:val="0"/>
        <w:autoSpaceDN w:val="0"/>
        <w:adjustRightInd w:val="0"/>
        <w:spacing w:after="0" w:line="240" w:lineRule="auto"/>
        <w:rPr>
          <w:rFonts w:ascii="Calibri" w:eastAsia="Times New Roman" w:hAnsi="Calibri" w:cs="Times New Roman"/>
          <w:color w:val="auto"/>
          <w:sz w:val="28"/>
          <w:szCs w:val="20"/>
          <w:lang w:eastAsia="cs-CZ"/>
        </w:rPr>
      </w:pPr>
    </w:p>
    <w:p w14:paraId="0DC4CF0D" w14:textId="77777777" w:rsidR="0083578F" w:rsidRPr="0083578F" w:rsidRDefault="0083578F" w:rsidP="0083578F">
      <w:pPr>
        <w:overflowPunct w:val="0"/>
        <w:autoSpaceDE w:val="0"/>
        <w:autoSpaceDN w:val="0"/>
        <w:adjustRightInd w:val="0"/>
        <w:spacing w:after="0" w:line="240" w:lineRule="auto"/>
        <w:rPr>
          <w:rFonts w:ascii="Calibri" w:eastAsia="Times New Roman" w:hAnsi="Calibri" w:cs="Times New Roman"/>
          <w:color w:val="auto"/>
          <w:sz w:val="24"/>
          <w:szCs w:val="24"/>
          <w:lang w:eastAsia="cs-CZ"/>
        </w:rPr>
      </w:pPr>
    </w:p>
    <w:p w14:paraId="5247E0D7" w14:textId="77777777" w:rsidR="0083578F" w:rsidRPr="0083578F" w:rsidRDefault="0083578F" w:rsidP="0083578F">
      <w:pPr>
        <w:overflowPunct w:val="0"/>
        <w:autoSpaceDE w:val="0"/>
        <w:autoSpaceDN w:val="0"/>
        <w:adjustRightInd w:val="0"/>
        <w:spacing w:after="0" w:line="240" w:lineRule="auto"/>
        <w:rPr>
          <w:rFonts w:ascii="Calibri" w:eastAsia="Times New Roman" w:hAnsi="Calibri" w:cs="Times New Roman"/>
          <w:color w:val="auto"/>
          <w:sz w:val="24"/>
          <w:szCs w:val="24"/>
          <w:lang w:eastAsia="cs-CZ"/>
        </w:rPr>
      </w:pPr>
    </w:p>
    <w:p w14:paraId="2A897E02" w14:textId="77777777" w:rsidR="0083578F" w:rsidRPr="0083578F" w:rsidRDefault="0083578F" w:rsidP="0083578F">
      <w:pPr>
        <w:overflowPunct w:val="0"/>
        <w:autoSpaceDE w:val="0"/>
        <w:autoSpaceDN w:val="0"/>
        <w:adjustRightInd w:val="0"/>
        <w:spacing w:after="0" w:line="240" w:lineRule="auto"/>
        <w:rPr>
          <w:rFonts w:ascii="Calibri" w:eastAsia="Times New Roman" w:hAnsi="Calibri" w:cs="Times New Roman"/>
          <w:color w:val="auto"/>
          <w:sz w:val="24"/>
          <w:szCs w:val="24"/>
          <w:lang w:eastAsia="cs-CZ"/>
        </w:rPr>
      </w:pPr>
    </w:p>
    <w:p w14:paraId="77B3EDC3" w14:textId="77777777" w:rsidR="0083578F" w:rsidRPr="0083578F" w:rsidRDefault="0083578F" w:rsidP="0083578F">
      <w:pPr>
        <w:overflowPunct w:val="0"/>
        <w:autoSpaceDE w:val="0"/>
        <w:autoSpaceDN w:val="0"/>
        <w:adjustRightInd w:val="0"/>
        <w:spacing w:after="0" w:line="240" w:lineRule="auto"/>
        <w:rPr>
          <w:rFonts w:ascii="Calibri" w:eastAsia="Times New Roman" w:hAnsi="Calibri" w:cs="Times New Roman"/>
          <w:color w:val="auto"/>
          <w:sz w:val="24"/>
          <w:szCs w:val="24"/>
          <w:lang w:eastAsia="cs-CZ"/>
        </w:rPr>
      </w:pPr>
    </w:p>
    <w:p w14:paraId="4CB54647" w14:textId="77777777" w:rsidR="0083578F" w:rsidRPr="0083578F" w:rsidRDefault="0083578F" w:rsidP="0083578F">
      <w:pPr>
        <w:overflowPunct w:val="0"/>
        <w:autoSpaceDE w:val="0"/>
        <w:autoSpaceDN w:val="0"/>
        <w:adjustRightInd w:val="0"/>
        <w:spacing w:after="0" w:line="240" w:lineRule="auto"/>
        <w:rPr>
          <w:rFonts w:ascii="Calibri" w:eastAsia="Times New Roman" w:hAnsi="Calibri" w:cs="Times New Roman"/>
          <w:color w:val="auto"/>
          <w:sz w:val="24"/>
          <w:szCs w:val="24"/>
          <w:lang w:eastAsia="cs-CZ"/>
        </w:rPr>
      </w:pPr>
    </w:p>
    <w:p w14:paraId="6155F61F" w14:textId="77777777" w:rsidR="0083578F" w:rsidRPr="0083578F" w:rsidRDefault="0083578F" w:rsidP="0083578F">
      <w:pPr>
        <w:overflowPunct w:val="0"/>
        <w:autoSpaceDE w:val="0"/>
        <w:autoSpaceDN w:val="0"/>
        <w:adjustRightInd w:val="0"/>
        <w:spacing w:after="0" w:line="240" w:lineRule="auto"/>
        <w:rPr>
          <w:rFonts w:ascii="Calibri" w:eastAsia="Times New Roman" w:hAnsi="Calibri" w:cs="Times New Roman"/>
          <w:b/>
          <w:color w:val="auto"/>
          <w:sz w:val="24"/>
          <w:szCs w:val="24"/>
          <w:lang w:eastAsia="cs-CZ"/>
        </w:rPr>
      </w:pPr>
      <w:r w:rsidRPr="0083578F">
        <w:rPr>
          <w:rFonts w:ascii="Calibri" w:eastAsia="Times New Roman" w:hAnsi="Calibri" w:cs="Times New Roman"/>
          <w:b/>
          <w:color w:val="auto"/>
          <w:sz w:val="24"/>
          <w:szCs w:val="24"/>
          <w:lang w:eastAsia="cs-CZ"/>
        </w:rPr>
        <w:t>Předkládá:</w:t>
      </w:r>
    </w:p>
    <w:p w14:paraId="39CFE56B" w14:textId="77777777" w:rsidR="0083578F" w:rsidRPr="0083578F" w:rsidRDefault="0083578F" w:rsidP="0083578F">
      <w:pPr>
        <w:keepNext/>
        <w:overflowPunct w:val="0"/>
        <w:autoSpaceDE w:val="0"/>
        <w:autoSpaceDN w:val="0"/>
        <w:adjustRightInd w:val="0"/>
        <w:spacing w:after="0" w:line="240" w:lineRule="auto"/>
        <w:outlineLvl w:val="3"/>
        <w:rPr>
          <w:rFonts w:ascii="Calibri" w:eastAsia="Times New Roman" w:hAnsi="Calibri" w:cs="Times New Roman"/>
          <w:bCs/>
          <w:color w:val="auto"/>
          <w:sz w:val="24"/>
          <w:szCs w:val="24"/>
          <w:lang w:eastAsia="cs-CZ"/>
        </w:rPr>
      </w:pPr>
      <w:r w:rsidRPr="0083578F">
        <w:rPr>
          <w:rFonts w:ascii="Calibri" w:eastAsia="Times New Roman" w:hAnsi="Calibri" w:cs="Times New Roman"/>
          <w:bCs/>
          <w:color w:val="auto"/>
          <w:sz w:val="24"/>
          <w:szCs w:val="24"/>
          <w:lang w:eastAsia="cs-CZ"/>
        </w:rPr>
        <w:t>doc. Ing. Karel Havlíček, Ph.D., MBA</w:t>
      </w:r>
    </w:p>
    <w:p w14:paraId="77A111C2" w14:textId="77777777" w:rsidR="0083578F" w:rsidRPr="0083578F" w:rsidRDefault="0083578F" w:rsidP="0083578F">
      <w:pPr>
        <w:overflowPunct w:val="0"/>
        <w:autoSpaceDE w:val="0"/>
        <w:autoSpaceDN w:val="0"/>
        <w:adjustRightInd w:val="0"/>
        <w:spacing w:after="0" w:line="240" w:lineRule="auto"/>
        <w:rPr>
          <w:rFonts w:ascii="Calibri" w:eastAsia="Times New Roman" w:hAnsi="Calibri" w:cs="Times New Roman"/>
          <w:color w:val="auto"/>
          <w:sz w:val="24"/>
          <w:szCs w:val="24"/>
          <w:lang w:eastAsia="cs-CZ"/>
        </w:rPr>
      </w:pPr>
      <w:r w:rsidRPr="0083578F">
        <w:rPr>
          <w:rFonts w:ascii="Calibri" w:eastAsia="Times New Roman" w:hAnsi="Calibri" w:cs="Times New Roman"/>
          <w:color w:val="auto"/>
          <w:sz w:val="24"/>
          <w:szCs w:val="24"/>
          <w:lang w:eastAsia="cs-CZ"/>
        </w:rPr>
        <w:t>místopředseda vlády, ministr průmyslu a obchodu a ministr dopravy</w:t>
      </w:r>
      <w:r w:rsidRPr="0083578F">
        <w:rPr>
          <w:rFonts w:ascii="Times New Roman" w:eastAsia="Times New Roman" w:hAnsi="Times New Roman" w:cs="Times New Roman"/>
          <w:bCs/>
          <w:color w:val="auto"/>
          <w:sz w:val="20"/>
          <w:szCs w:val="20"/>
          <w:lang w:eastAsia="cs-CZ"/>
        </w:rPr>
        <w:t xml:space="preserve"> </w:t>
      </w:r>
    </w:p>
    <w:p w14:paraId="33CD7AFF" w14:textId="77777777" w:rsidR="00504284" w:rsidRDefault="00504284">
      <w:pPr>
        <w:spacing w:after="200" w:line="276" w:lineRule="auto"/>
        <w:rPr>
          <w:rFonts w:ascii="Times New Roman" w:hAnsi="Times New Roman" w:cs="Times New Roman"/>
          <w:i/>
          <w:sz w:val="28"/>
        </w:rPr>
        <w:sectPr w:rsidR="00504284" w:rsidSect="00CC5E40">
          <w:pgSz w:w="11906" w:h="16838"/>
          <w:pgMar w:top="1134" w:right="1134" w:bottom="1134" w:left="1134" w:header="709" w:footer="709" w:gutter="0"/>
          <w:cols w:space="708"/>
          <w:docGrid w:linePitch="360"/>
        </w:sectPr>
      </w:pPr>
    </w:p>
    <w:p w14:paraId="6584374A" w14:textId="0984F6A8" w:rsidR="00ED6A05" w:rsidRPr="00525AF3" w:rsidRDefault="00ED6A05" w:rsidP="00ED6A05">
      <w:pPr>
        <w:spacing w:after="200" w:line="276" w:lineRule="auto"/>
        <w:jc w:val="both"/>
        <w:rPr>
          <w:rFonts w:cstheme="minorHAnsi"/>
          <w:b/>
        </w:rPr>
      </w:pPr>
      <w:r w:rsidRPr="00525AF3">
        <w:rPr>
          <w:rFonts w:cstheme="minorHAnsi"/>
          <w:b/>
        </w:rPr>
        <w:lastRenderedPageBreak/>
        <w:t>Sociální dopady útlumu těžby a využití uhlí (v návaznosti na výstupy Uhelné komise)</w:t>
      </w:r>
    </w:p>
    <w:p w14:paraId="24687DA6" w14:textId="4EF8143B" w:rsidR="00CA4D89" w:rsidRPr="00525AF3" w:rsidRDefault="00CA4D89" w:rsidP="00CA4D89">
      <w:pPr>
        <w:spacing w:after="200" w:line="276" w:lineRule="auto"/>
        <w:jc w:val="both"/>
        <w:rPr>
          <w:rFonts w:cstheme="minorHAnsi"/>
        </w:rPr>
      </w:pPr>
      <w:r w:rsidRPr="00525AF3">
        <w:rPr>
          <w:rFonts w:cstheme="minorHAnsi"/>
        </w:rPr>
        <w:t xml:space="preserve">Uhelná komise (dále také UK) byla zřízena </w:t>
      </w:r>
      <w:r w:rsidRPr="00525AF3">
        <w:rPr>
          <w:rFonts w:cstheme="minorHAnsi"/>
          <w:b/>
        </w:rPr>
        <w:t>usnesením vlády č. 565 ze dne 30. července 2019</w:t>
      </w:r>
      <w:r w:rsidRPr="00525AF3">
        <w:rPr>
          <w:rFonts w:cstheme="minorHAnsi"/>
        </w:rPr>
        <w:t xml:space="preserve"> jako </w:t>
      </w:r>
      <w:r w:rsidRPr="00525AF3">
        <w:rPr>
          <w:rFonts w:cstheme="minorHAnsi"/>
          <w:b/>
        </w:rPr>
        <w:t>poradní orgán vlády</w:t>
      </w:r>
      <w:r w:rsidRPr="00525AF3">
        <w:rPr>
          <w:rFonts w:cstheme="minorHAnsi"/>
        </w:rPr>
        <w:t xml:space="preserve">. Předsedy komise jsou </w:t>
      </w:r>
      <w:r w:rsidRPr="00525AF3">
        <w:rPr>
          <w:rFonts w:cstheme="minorHAnsi"/>
          <w:b/>
        </w:rPr>
        <w:t>ministr průmyslu a obchodu a ministr životního prostředí</w:t>
      </w:r>
      <w:r w:rsidRPr="00525AF3">
        <w:rPr>
          <w:rFonts w:cstheme="minorHAnsi"/>
        </w:rPr>
        <w:t xml:space="preserve">. Komise má celkem </w:t>
      </w:r>
      <w:r w:rsidRPr="00525AF3">
        <w:rPr>
          <w:rFonts w:cstheme="minorHAnsi"/>
          <w:b/>
        </w:rPr>
        <w:t>19 členů</w:t>
      </w:r>
      <w:r w:rsidRPr="00525AF3">
        <w:rPr>
          <w:rFonts w:cstheme="minorHAnsi"/>
        </w:rPr>
        <w:t>, kterými jsou dva předsedové komise a dalších 17 členů komise.</w:t>
      </w:r>
    </w:p>
    <w:p w14:paraId="0AC80162" w14:textId="07173102" w:rsidR="00CA4D89" w:rsidRPr="00525AF3" w:rsidRDefault="00CA4D89" w:rsidP="00CA4D89">
      <w:pPr>
        <w:spacing w:after="200" w:line="276" w:lineRule="auto"/>
        <w:jc w:val="both"/>
        <w:rPr>
          <w:rFonts w:cstheme="minorHAnsi"/>
        </w:rPr>
      </w:pPr>
      <w:r w:rsidRPr="00525AF3">
        <w:rPr>
          <w:rFonts w:cstheme="minorHAnsi"/>
        </w:rPr>
        <w:t xml:space="preserve">Hlavním cílem komise je poskytnout vládě ČR, </w:t>
      </w:r>
      <w:r w:rsidRPr="00525AF3">
        <w:rPr>
          <w:rFonts w:cstheme="minorHAnsi"/>
          <w:b/>
        </w:rPr>
        <w:t>objektivní a v maximální možné míře konsensuální výstupy s ohledem na budoucí využití hnědého uhlí v ČR včetně všech souvisejících aspektů.</w:t>
      </w:r>
    </w:p>
    <w:p w14:paraId="62A8E94B" w14:textId="3B595C9C" w:rsidR="00ED6A05" w:rsidRPr="00525AF3" w:rsidRDefault="00CA4D89" w:rsidP="00CA4D89">
      <w:pPr>
        <w:spacing w:after="200" w:line="276" w:lineRule="auto"/>
        <w:jc w:val="both"/>
        <w:rPr>
          <w:rFonts w:cstheme="minorHAnsi"/>
        </w:rPr>
      </w:pPr>
      <w:r w:rsidRPr="00525AF3">
        <w:rPr>
          <w:rFonts w:cstheme="minorHAnsi"/>
        </w:rPr>
        <w:t xml:space="preserve">Pracovní orgány Rady vlády tvoří </w:t>
      </w:r>
      <w:r w:rsidRPr="00525AF3">
        <w:rPr>
          <w:rFonts w:cstheme="minorHAnsi"/>
          <w:b/>
        </w:rPr>
        <w:t>3 pracovní skupiny</w:t>
      </w:r>
      <w:r w:rsidRPr="00525AF3">
        <w:rPr>
          <w:rFonts w:cstheme="minorHAnsi"/>
        </w:rPr>
        <w:t xml:space="preserve">, jedná se o pracovní skupiny: i) pro stanovení harmonogramu útlumu využití uhlí, a to v celkovém kontextu energetického mixu ČR a ochrany klimatu; </w:t>
      </w:r>
      <w:proofErr w:type="spellStart"/>
      <w:r w:rsidRPr="00525AF3">
        <w:rPr>
          <w:rFonts w:cstheme="minorHAnsi"/>
        </w:rPr>
        <w:t>ii</w:t>
      </w:r>
      <w:proofErr w:type="spellEnd"/>
      <w:r w:rsidRPr="00525AF3">
        <w:rPr>
          <w:rFonts w:cstheme="minorHAnsi"/>
        </w:rPr>
        <w:t xml:space="preserve">) pro stanovení parametrů pro případný útlum zdrojů a problematiku legislativy a </w:t>
      </w:r>
      <w:proofErr w:type="spellStart"/>
      <w:r w:rsidRPr="00525AF3">
        <w:rPr>
          <w:rFonts w:cstheme="minorHAnsi"/>
        </w:rPr>
        <w:t>iii</w:t>
      </w:r>
      <w:proofErr w:type="spellEnd"/>
      <w:r w:rsidRPr="00525AF3">
        <w:rPr>
          <w:rFonts w:cstheme="minorHAnsi"/>
        </w:rPr>
        <w:t>) pro identifikaci sociálních a ekonomických dopadů.</w:t>
      </w:r>
    </w:p>
    <w:p w14:paraId="4CA8474C" w14:textId="0181185C" w:rsidR="00CA4D89" w:rsidRPr="00525AF3" w:rsidRDefault="00CA4D89" w:rsidP="00CA4D89">
      <w:pPr>
        <w:spacing w:after="200" w:line="276" w:lineRule="auto"/>
        <w:jc w:val="both"/>
        <w:rPr>
          <w:rFonts w:cstheme="minorHAnsi"/>
        </w:rPr>
      </w:pPr>
      <w:r w:rsidRPr="00525AF3">
        <w:rPr>
          <w:rFonts w:cstheme="minorHAnsi"/>
        </w:rPr>
        <w:t xml:space="preserve">Poslední jednání Uhelné komise proběhlo </w:t>
      </w:r>
      <w:r w:rsidRPr="00525AF3">
        <w:rPr>
          <w:rFonts w:cstheme="minorHAnsi"/>
          <w:b/>
        </w:rPr>
        <w:t>5. června 2020</w:t>
      </w:r>
      <w:r w:rsidRPr="00525AF3">
        <w:rPr>
          <w:rFonts w:cstheme="minorHAnsi"/>
        </w:rPr>
        <w:t xml:space="preserve">. V rámci tohoto jednání bylo mimo jiné </w:t>
      </w:r>
      <w:r w:rsidRPr="00525AF3">
        <w:rPr>
          <w:rFonts w:cstheme="minorHAnsi"/>
          <w:b/>
        </w:rPr>
        <w:t>schváleno kritérium útlumu jednotlivých zdrojů na základě tzv. emisní intenzity a byly prezentovány dílčí výstupy modelování útlumu</w:t>
      </w:r>
      <w:r w:rsidRPr="00525AF3">
        <w:rPr>
          <w:rFonts w:cstheme="minorHAnsi"/>
        </w:rPr>
        <w:t xml:space="preserve">. V rámci tohoto jednání také došlo k dílčímu posunutí termínu předložení výsledků vládě ČR, původně měli být tyto výstupy předloženy v září 2020, členové UK se shodli, že </w:t>
      </w:r>
      <w:r w:rsidRPr="00525AF3">
        <w:rPr>
          <w:rFonts w:cstheme="minorHAnsi"/>
          <w:b/>
        </w:rPr>
        <w:t>souhrnné výstupy budou předloženy až v listopadu/prosinci 2020</w:t>
      </w:r>
      <w:r w:rsidRPr="00525AF3">
        <w:rPr>
          <w:rFonts w:cstheme="minorHAnsi"/>
        </w:rPr>
        <w:t>.</w:t>
      </w:r>
    </w:p>
    <w:p w14:paraId="5066396E" w14:textId="6CC3E80D" w:rsidR="00CA4D89" w:rsidRPr="00525AF3" w:rsidRDefault="00504284" w:rsidP="00CA4D89">
      <w:pPr>
        <w:spacing w:after="200" w:line="276" w:lineRule="auto"/>
        <w:jc w:val="both"/>
        <w:rPr>
          <w:rFonts w:cstheme="minorHAnsi"/>
          <w:b/>
        </w:rPr>
      </w:pPr>
      <w:r w:rsidRPr="00525AF3">
        <w:rPr>
          <w:rFonts w:cstheme="minorHAnsi"/>
          <w:b/>
        </w:rPr>
        <w:t>Sociálními a ekonomickými dopady se specifiky zabývá pracovní skupina č. 3</w:t>
      </w:r>
      <w:r w:rsidRPr="00525AF3">
        <w:rPr>
          <w:rFonts w:cstheme="minorHAnsi"/>
        </w:rPr>
        <w:t xml:space="preserve">, které předsedá pan </w:t>
      </w:r>
      <w:proofErr w:type="spellStart"/>
      <w:r w:rsidRPr="00525AF3">
        <w:rPr>
          <w:rFonts w:cstheme="minorHAnsi"/>
        </w:rPr>
        <w:t>Koppitz</w:t>
      </w:r>
      <w:proofErr w:type="spellEnd"/>
      <w:r w:rsidRPr="00525AF3">
        <w:rPr>
          <w:rFonts w:cstheme="minorHAnsi"/>
        </w:rPr>
        <w:t xml:space="preserve"> (Ministerstvo pro místní rozvoj) a paní </w:t>
      </w:r>
      <w:proofErr w:type="spellStart"/>
      <w:r w:rsidRPr="00525AF3">
        <w:rPr>
          <w:rFonts w:cstheme="minorHAnsi"/>
        </w:rPr>
        <w:t>Vildumetzová-Mračková</w:t>
      </w:r>
      <w:proofErr w:type="spellEnd"/>
      <w:r w:rsidRPr="00525AF3">
        <w:rPr>
          <w:rFonts w:cstheme="minorHAnsi"/>
        </w:rPr>
        <w:t xml:space="preserve"> (Ústecký kraj). Činnost pracovních skupin je však do velké míry provázána a pracovní skupina č. 3 a pro určení a kvantifikaci sociálních a ekonomických dopadů je nutné mít vstupy z prvních dvou pracovních skupin. </w:t>
      </w:r>
      <w:r w:rsidRPr="00525AF3">
        <w:rPr>
          <w:rFonts w:cstheme="minorHAnsi"/>
          <w:b/>
        </w:rPr>
        <w:t>V tuto chvíli tak není možné předložit ucelené sociální a ekonomické dopady útlumu těžby a využití uhlí. V tomto ohledu budě nutné vyčkat na souhrnné výstupy UK.</w:t>
      </w:r>
    </w:p>
    <w:p w14:paraId="7DEA25FA" w14:textId="4006BB00" w:rsidR="00CA4D89" w:rsidRPr="00525AF3" w:rsidRDefault="00504284" w:rsidP="00ED6A05">
      <w:pPr>
        <w:spacing w:after="200" w:line="276" w:lineRule="auto"/>
        <w:jc w:val="both"/>
        <w:rPr>
          <w:rFonts w:cstheme="minorHAnsi"/>
        </w:rPr>
      </w:pPr>
      <w:r w:rsidRPr="00525AF3">
        <w:rPr>
          <w:rFonts w:cstheme="minorHAnsi"/>
        </w:rPr>
        <w:t xml:space="preserve">V tomto ohledu je účelné zdůraznit, že </w:t>
      </w:r>
      <w:r w:rsidRPr="00525AF3">
        <w:rPr>
          <w:rFonts w:cstheme="minorHAnsi"/>
          <w:b/>
        </w:rPr>
        <w:t>sociální partneři jsou zastoupeni jako v rámci Uhelné komise</w:t>
      </w:r>
      <w:r w:rsidRPr="00525AF3">
        <w:rPr>
          <w:rFonts w:cstheme="minorHAnsi"/>
        </w:rPr>
        <w:t>, tak v rámci příslušných pracovních skupin a měli by tedy mít přístup k průběžným výstupům.</w:t>
      </w:r>
    </w:p>
    <w:p w14:paraId="33F37819" w14:textId="77777777" w:rsidR="00ED6A05" w:rsidRDefault="00ED6A05">
      <w:pPr>
        <w:spacing w:after="200" w:line="276" w:lineRule="auto"/>
        <w:rPr>
          <w:rFonts w:ascii="Times New Roman" w:hAnsi="Times New Roman" w:cs="Times New Roman"/>
          <w:b/>
          <w:szCs w:val="24"/>
        </w:rPr>
      </w:pPr>
      <w:r>
        <w:rPr>
          <w:rFonts w:ascii="Times New Roman" w:hAnsi="Times New Roman" w:cs="Times New Roman"/>
          <w:b/>
          <w:szCs w:val="24"/>
        </w:rPr>
        <w:br w:type="page"/>
      </w:r>
    </w:p>
    <w:p w14:paraId="5C6EB829" w14:textId="53490937" w:rsidR="00ED6A05" w:rsidRPr="00525AF3" w:rsidRDefault="00ED6A05" w:rsidP="00ED6A05">
      <w:pPr>
        <w:spacing w:after="200" w:line="276" w:lineRule="auto"/>
        <w:jc w:val="both"/>
        <w:rPr>
          <w:rFonts w:cstheme="minorHAnsi"/>
          <w:b/>
        </w:rPr>
      </w:pPr>
      <w:r w:rsidRPr="00525AF3">
        <w:rPr>
          <w:rFonts w:cstheme="minorHAnsi"/>
          <w:b/>
        </w:rPr>
        <w:lastRenderedPageBreak/>
        <w:t>Sociální opatření související s útlumem těžby ve společnosti OKD a společnosti Sokolovská uhelná a.s.</w:t>
      </w:r>
    </w:p>
    <w:p w14:paraId="27C770E7" w14:textId="05493BB5" w:rsidR="00ED6A05" w:rsidRPr="00525AF3" w:rsidRDefault="00ED6A05" w:rsidP="00ED6A05">
      <w:pPr>
        <w:spacing w:after="200" w:line="276" w:lineRule="auto"/>
        <w:jc w:val="both"/>
        <w:rPr>
          <w:rFonts w:cstheme="minorHAnsi"/>
        </w:rPr>
      </w:pPr>
      <w:r w:rsidRPr="00525AF3">
        <w:rPr>
          <w:rFonts w:cstheme="minorHAnsi"/>
        </w:rPr>
        <w:t xml:space="preserve">Od nového roku bylo avizováno hromadné propouštění zaměstnanců hornických společností OKD, a. s. (OKD) a Sokolovská uhelná, právní nástupce, a.s. (SU), z důvodu toho, že se společnost dostala do ekonomických problémů. </w:t>
      </w:r>
    </w:p>
    <w:p w14:paraId="2943139A" w14:textId="77777777" w:rsidR="00ED6A05" w:rsidRPr="00525AF3" w:rsidRDefault="00ED6A05" w:rsidP="00ED6A05">
      <w:pPr>
        <w:spacing w:after="200" w:line="276" w:lineRule="auto"/>
        <w:jc w:val="both"/>
        <w:rPr>
          <w:rFonts w:cstheme="minorHAnsi"/>
        </w:rPr>
      </w:pPr>
      <w:r w:rsidRPr="00525AF3">
        <w:rPr>
          <w:rFonts w:cstheme="minorHAnsi"/>
        </w:rPr>
        <w:t xml:space="preserve">K výraznému zhoršení ekonomické situace OKD došlo především v důsledku </w:t>
      </w:r>
      <w:proofErr w:type="spellStart"/>
      <w:r w:rsidRPr="00525AF3">
        <w:rPr>
          <w:rFonts w:cstheme="minorHAnsi"/>
        </w:rPr>
        <w:t>koronavirové</w:t>
      </w:r>
      <w:proofErr w:type="spellEnd"/>
      <w:r w:rsidRPr="00525AF3">
        <w:rPr>
          <w:rFonts w:cstheme="minorHAnsi"/>
        </w:rPr>
        <w:t xml:space="preserve"> krize, kdy OKD byla nucena omezit provoz (snížením směnnosti, nedostatkem tzv. </w:t>
      </w:r>
      <w:proofErr w:type="spellStart"/>
      <w:r w:rsidRPr="00525AF3">
        <w:rPr>
          <w:rFonts w:cstheme="minorHAnsi"/>
        </w:rPr>
        <w:t>pendlerů</w:t>
      </w:r>
      <w:proofErr w:type="spellEnd"/>
      <w:r w:rsidRPr="00525AF3">
        <w:rPr>
          <w:rFonts w:cstheme="minorHAnsi"/>
        </w:rPr>
        <w:t>, přijetím omezujících opatření v oblasti bezpečnosti, aj.) a zároveň čelila dalšímu výraznému poklesu cen na trhu s uhlím a snížení poptávky v důsledku COVID-19.</w:t>
      </w:r>
    </w:p>
    <w:p w14:paraId="0D53D1F1" w14:textId="77777777" w:rsidR="00ED6A05" w:rsidRPr="00525AF3" w:rsidRDefault="00ED6A05" w:rsidP="00ED6A05">
      <w:pPr>
        <w:spacing w:after="200" w:line="276" w:lineRule="auto"/>
        <w:jc w:val="both"/>
        <w:rPr>
          <w:rFonts w:cstheme="minorHAnsi"/>
        </w:rPr>
      </w:pPr>
      <w:r w:rsidRPr="00525AF3">
        <w:rPr>
          <w:rFonts w:cstheme="minorHAnsi"/>
        </w:rPr>
        <w:t>A v Karlovarském kraji dojde k odstavování tlakové (paroplynové) plynárny Vřesová především z důvodu vysoké ceny emisních povolenek, jejichž růst se do ekonomiky společnosti SU negativně promítá již několik let.</w:t>
      </w:r>
    </w:p>
    <w:p w14:paraId="63A9B99B" w14:textId="77777777" w:rsidR="00ED6A05" w:rsidRPr="00525AF3" w:rsidRDefault="00ED6A05" w:rsidP="00ED6A05">
      <w:pPr>
        <w:spacing w:after="200" w:line="276" w:lineRule="auto"/>
        <w:jc w:val="both"/>
        <w:rPr>
          <w:rFonts w:cstheme="minorHAnsi"/>
        </w:rPr>
      </w:pPr>
      <w:r w:rsidRPr="00525AF3">
        <w:rPr>
          <w:rFonts w:cstheme="minorHAnsi"/>
        </w:rPr>
        <w:t>V zájmu udržení sociálního smíru, protože se obě společnosti nacházejí v regionech s největším počtem nezaměstnaných (moravskoslezský a karlovarský), rozhodla se vláda ČR přijmout taková opatření, která by alespoň částečně snížila negativní sociální dopady na propouštěné zaměstnance a jejich rodinné příslušníky, např. tím, že vytvoří potřebný časový prostor k hledání nového pracovního uplatnění propouštěných zaměstnanců. Toto opatření také ovlivní i ekonomické a obchodní prostředí obou regionů díky vyplácení tzv. restrukturalizačního příspěvku (jehož výše a délka pobírání závisí na druhu pracovní činnosti podzemí x povrch, délce zaměstnání u těžební organizace a věku jednotlivých zaměstnanců), čímž se alespoň částečně podpoří podnikatelské prostředí v obou regionech.</w:t>
      </w:r>
    </w:p>
    <w:p w14:paraId="01424BD9" w14:textId="77777777" w:rsidR="00ED6A05" w:rsidRPr="00525AF3" w:rsidRDefault="00ED6A05" w:rsidP="00ED6A05">
      <w:pPr>
        <w:spacing w:after="200" w:line="276" w:lineRule="auto"/>
        <w:jc w:val="both"/>
        <w:rPr>
          <w:rFonts w:cstheme="minorHAnsi"/>
        </w:rPr>
      </w:pPr>
      <w:r w:rsidRPr="00525AF3">
        <w:rPr>
          <w:rFonts w:cstheme="minorHAnsi"/>
          <w:b/>
        </w:rPr>
        <w:t xml:space="preserve">Ministerstvo průmyslu a obchodu </w:t>
      </w:r>
      <w:r w:rsidRPr="00525AF3">
        <w:rPr>
          <w:rFonts w:cstheme="minorHAnsi"/>
        </w:rPr>
        <w:t>zpracovalo novelu dvou nařízení vlády z roku 2016, které se budou moci aplikovat pro propuštěné pracovníky obou společností:</w:t>
      </w:r>
    </w:p>
    <w:p w14:paraId="676483D2" w14:textId="77777777" w:rsidR="00ED6A05" w:rsidRPr="00525AF3" w:rsidRDefault="00ED6A05" w:rsidP="00ED6A05">
      <w:pPr>
        <w:pStyle w:val="Odstavecseseznamem"/>
        <w:numPr>
          <w:ilvl w:val="0"/>
          <w:numId w:val="40"/>
        </w:numPr>
        <w:spacing w:after="200" w:line="276" w:lineRule="auto"/>
        <w:jc w:val="both"/>
        <w:rPr>
          <w:rFonts w:cstheme="minorHAnsi"/>
        </w:rPr>
      </w:pPr>
      <w:r w:rsidRPr="00525AF3">
        <w:rPr>
          <w:rFonts w:cstheme="minorHAnsi"/>
        </w:rPr>
        <w:t xml:space="preserve">nařízení vlády, kterým se mění nařízení vlády č. </w:t>
      </w:r>
      <w:r w:rsidRPr="00525AF3">
        <w:rPr>
          <w:rFonts w:cstheme="minorHAnsi"/>
          <w:b/>
        </w:rPr>
        <w:t>167/2016 Sb.</w:t>
      </w:r>
      <w:r w:rsidRPr="00525AF3">
        <w:rPr>
          <w:rFonts w:cstheme="minorHAnsi"/>
        </w:rPr>
        <w:t>, o příspěvku ke zmírnění sociálních dopadů souvisejících s restrukturalizací a útlumem činnosti právnických osob v insolvenci zabývajících se těžbou černého uhlí,</w:t>
      </w:r>
    </w:p>
    <w:p w14:paraId="1621EDC7" w14:textId="77777777" w:rsidR="00ED6A05" w:rsidRPr="00525AF3" w:rsidRDefault="00ED6A05" w:rsidP="00ED6A05">
      <w:pPr>
        <w:pStyle w:val="Odstavecseseznamem"/>
        <w:numPr>
          <w:ilvl w:val="0"/>
          <w:numId w:val="40"/>
        </w:numPr>
        <w:spacing w:after="200" w:line="276" w:lineRule="auto"/>
        <w:jc w:val="both"/>
        <w:rPr>
          <w:rFonts w:cstheme="minorHAnsi"/>
        </w:rPr>
      </w:pPr>
      <w:r w:rsidRPr="00525AF3">
        <w:rPr>
          <w:rFonts w:cstheme="minorHAnsi"/>
        </w:rPr>
        <w:t xml:space="preserve">nařízení vlády, kterým se mění nařízení vlády č. </w:t>
      </w:r>
      <w:r w:rsidRPr="00525AF3">
        <w:rPr>
          <w:rFonts w:cstheme="minorHAnsi"/>
          <w:b/>
        </w:rPr>
        <w:t>342/2016 Sb.</w:t>
      </w:r>
      <w:r w:rsidRPr="00525AF3">
        <w:rPr>
          <w:rFonts w:cstheme="minorHAnsi"/>
        </w:rPr>
        <w:t>, o příspěvku ke zmírnění sociálních dopadů souvisejících s restrukturalizací nebo útlumem činnosti právnických osob zabývajících se těžbou uhlí nebo uranu.</w:t>
      </w:r>
    </w:p>
    <w:p w14:paraId="2EABAC1B" w14:textId="77777777" w:rsidR="00ED6A05" w:rsidRPr="00525AF3" w:rsidRDefault="00ED6A05" w:rsidP="00ED6A05">
      <w:pPr>
        <w:spacing w:after="200" w:line="276" w:lineRule="auto"/>
        <w:jc w:val="both"/>
        <w:rPr>
          <w:rFonts w:cstheme="minorHAnsi"/>
        </w:rPr>
      </w:pPr>
      <w:r w:rsidRPr="00525AF3">
        <w:rPr>
          <w:rFonts w:cstheme="minorHAnsi"/>
        </w:rPr>
        <w:t>První novela nařízení vlády prošla připomínkovým řízením a v současné době čeká na stanovisko Legislativní rady vlády, aby následně mohla být předložena členům vlády k projednání. Toto nařízení vlády bude předkládáno společně s Ministerstvem financí.</w:t>
      </w:r>
    </w:p>
    <w:p w14:paraId="0AF66639" w14:textId="77777777" w:rsidR="00ED6A05" w:rsidRPr="00525AF3" w:rsidRDefault="00ED6A05" w:rsidP="00ED6A05">
      <w:pPr>
        <w:spacing w:after="200" w:line="276" w:lineRule="auto"/>
        <w:jc w:val="both"/>
        <w:rPr>
          <w:rFonts w:cstheme="minorHAnsi"/>
        </w:rPr>
      </w:pPr>
      <w:r w:rsidRPr="00525AF3">
        <w:rPr>
          <w:rFonts w:cstheme="minorHAnsi"/>
        </w:rPr>
        <w:t>U druhého nařízení vlády v současné době probíhá mezirezortní připomínkové řízení, které bude ukončeno 20. srpna 2020. Následně proběhne vypořádání připomínek a novela bude také zaslána ke stanovisku Legislativní radě vlády a poté členům vlády k projednání.</w:t>
      </w:r>
    </w:p>
    <w:p w14:paraId="29BC4717" w14:textId="77777777" w:rsidR="00ED6A05" w:rsidRPr="00525AF3" w:rsidRDefault="00ED6A05" w:rsidP="00ED6A05">
      <w:pPr>
        <w:pStyle w:val="Nadpis1"/>
        <w:numPr>
          <w:ilvl w:val="0"/>
          <w:numId w:val="42"/>
        </w:numPr>
        <w:spacing w:before="0" w:after="200" w:line="276" w:lineRule="auto"/>
        <w:ind w:left="567" w:hanging="567"/>
        <w:jc w:val="both"/>
        <w:rPr>
          <w:rFonts w:asciiTheme="minorHAnsi" w:hAnsiTheme="minorHAnsi" w:cstheme="minorHAnsi"/>
          <w:sz w:val="22"/>
          <w:szCs w:val="22"/>
        </w:rPr>
      </w:pPr>
      <w:bookmarkStart w:id="0" w:name="_Toc47593849"/>
      <w:r w:rsidRPr="00525AF3">
        <w:rPr>
          <w:rFonts w:asciiTheme="minorHAnsi" w:hAnsiTheme="minorHAnsi" w:cstheme="minorHAnsi"/>
          <w:sz w:val="22"/>
          <w:szCs w:val="22"/>
        </w:rPr>
        <w:t xml:space="preserve"> Nařízení vlády, kterým se mění nařízení vlády č. 167/2016 Sb., o příspěvku ke zmírnění sociálních dopadů souvisejících s restrukturalizací a útlumem činnosti právnických osob v insolvenci zabývajících se těžbou černého uhlí</w:t>
      </w:r>
      <w:bookmarkEnd w:id="0"/>
    </w:p>
    <w:p w14:paraId="3700018B" w14:textId="77777777" w:rsidR="00ED6A05" w:rsidRPr="00525AF3" w:rsidRDefault="00ED6A05" w:rsidP="00ED6A05">
      <w:pPr>
        <w:spacing w:after="200" w:line="276" w:lineRule="auto"/>
        <w:jc w:val="both"/>
        <w:rPr>
          <w:rFonts w:cstheme="minorHAnsi"/>
          <w:color w:val="auto"/>
        </w:rPr>
      </w:pPr>
      <w:r w:rsidRPr="00525AF3">
        <w:rPr>
          <w:rFonts w:cstheme="minorHAnsi"/>
          <w:color w:val="auto"/>
        </w:rPr>
        <w:t xml:space="preserve">Původní nařízení vlády, jehož novelizace se navrhuje, bylo přijato v roce 2016 jako reakce na vstup tehdejší společnosti OKD, a.s. do insolvence v důsledku její ekonomické situace. Následkem tohoto stavu bylo výrazné snižování počtu pracovníků společnosti. Výplata příspěvků, které byly na základě tohoto nařízení vlády </w:t>
      </w:r>
      <w:r w:rsidRPr="00525AF3">
        <w:rPr>
          <w:rFonts w:cstheme="minorHAnsi"/>
          <w:color w:val="auto"/>
        </w:rPr>
        <w:lastRenderedPageBreak/>
        <w:t>příslušným zaměstnancům poskytnuty, přitom dosud probíhá s tím, že bude ukončena v období let 2022 až 2023.</w:t>
      </w:r>
    </w:p>
    <w:p w14:paraId="1647F037" w14:textId="77777777" w:rsidR="00ED6A05" w:rsidRPr="00525AF3" w:rsidRDefault="00ED6A05" w:rsidP="00ED6A05">
      <w:pPr>
        <w:pStyle w:val="Normln0"/>
        <w:spacing w:after="200" w:line="276" w:lineRule="auto"/>
        <w:rPr>
          <w:rFonts w:asciiTheme="minorHAnsi" w:hAnsiTheme="minorHAnsi" w:cstheme="minorHAnsi"/>
          <w:sz w:val="22"/>
          <w:szCs w:val="22"/>
        </w:rPr>
      </w:pPr>
      <w:r w:rsidRPr="00525AF3">
        <w:rPr>
          <w:rFonts w:asciiTheme="minorHAnsi" w:hAnsiTheme="minorHAnsi" w:cstheme="minorHAnsi"/>
          <w:sz w:val="22"/>
          <w:szCs w:val="22"/>
        </w:rPr>
        <w:t xml:space="preserve">Stávající společnost OKD, a.s., která představuje subjekt vzniklý na základě realizace restrukturalizačního plánu původní společnosti, se v současné době nachází v obdobné ekonomické situaci, jako tomu bylo v roce 2016. Objektivním důsledkem je tak výrazné postupné </w:t>
      </w:r>
      <w:r w:rsidRPr="00525AF3">
        <w:rPr>
          <w:rFonts w:asciiTheme="minorHAnsi" w:hAnsiTheme="minorHAnsi" w:cstheme="minorHAnsi"/>
          <w:b/>
          <w:sz w:val="22"/>
          <w:szCs w:val="22"/>
        </w:rPr>
        <w:t>snižování počtu pracovníků v návaznosti na snižující se těžbu</w:t>
      </w:r>
      <w:r w:rsidRPr="00525AF3">
        <w:rPr>
          <w:rFonts w:asciiTheme="minorHAnsi" w:hAnsiTheme="minorHAnsi" w:cstheme="minorHAnsi"/>
          <w:sz w:val="22"/>
          <w:szCs w:val="22"/>
        </w:rPr>
        <w:t xml:space="preserve">, které by mělo v průběhu cca 5 až 6 let znamenat její ukončení. Důvody předložení novely původního nařízení vlády č. 167/2016 Sb. jsou de facto obdobné, jako tomu bylo v roce 2016. </w:t>
      </w:r>
    </w:p>
    <w:p w14:paraId="60D722BA" w14:textId="77777777" w:rsidR="00ED6A05" w:rsidRPr="00525AF3" w:rsidRDefault="00ED6A05" w:rsidP="00ED6A05">
      <w:pPr>
        <w:spacing w:after="200" w:line="276" w:lineRule="auto"/>
        <w:jc w:val="both"/>
        <w:rPr>
          <w:rFonts w:cstheme="minorHAnsi"/>
          <w:color w:val="auto"/>
        </w:rPr>
      </w:pPr>
      <w:r w:rsidRPr="00525AF3">
        <w:rPr>
          <w:rFonts w:cstheme="minorHAnsi"/>
          <w:color w:val="auto"/>
        </w:rPr>
        <w:t>S ohledem na ekonomický vývoj společnosti OKD, a.s. se současně předpokládá, že ještě v průběhu roku 2020 bude zahájen převod vlastnického práva, resp. prodej nebo jiný převod části závodu tvořící samostatnou organizační složku ve smyslu ustanovení § 2175 a násl. zákona č. 89/2012 Sb., občanský zákoník, ve znění pozdějších předpisů, na nového vlastníka. Podle ustanovení § 338 zákona č. 262/2006 Sb., zákoník práce, ve znění pozdějších předpisů, na předpokládaného kupujícího (DIAMO, s. p.) zároveň přejdou práva a povinnosti z pracovněprávních vztahů. Vzhledem k tomu, že následně budou s bývalými zaměstnanci společnosti OKD, a.s. a budoucími zaměstnanci státního podniku DIAMO ze strany tohoto subjektu postupně, v návaznosti na postup sanací a rekultivací území dotčeného těžbou černého uhlí, rovněž rozvazovány jejich uzavřené pracovní poměry, je žádoucí, aby současně se změnou zaměstnavatele neztratili nárok na poskytnutí příspěvku podle tohoto nařízení vlády. Navrhuje se proto, aby byl do přílohy č. 1 jako druhá určená těžební společnost zařazena vnitřní organizační jednotka státního podniku DIAMO, na níž budou již uvedená vlastnická práva k majetku převedena = budoucí nově vzniklý samostatný odštěpný závod státního podniku DIAMO.</w:t>
      </w:r>
    </w:p>
    <w:p w14:paraId="385C34FA" w14:textId="77777777" w:rsidR="00ED6A05" w:rsidRPr="00525AF3" w:rsidRDefault="00ED6A05" w:rsidP="00ED6A05">
      <w:pPr>
        <w:spacing w:after="200" w:line="276" w:lineRule="auto"/>
        <w:jc w:val="both"/>
        <w:rPr>
          <w:rFonts w:cstheme="minorHAnsi"/>
          <w:color w:val="auto"/>
        </w:rPr>
      </w:pPr>
      <w:r w:rsidRPr="00525AF3">
        <w:rPr>
          <w:rFonts w:cstheme="minorHAnsi"/>
          <w:color w:val="auto"/>
        </w:rPr>
        <w:t xml:space="preserve">Cílem novely nařízení je tedy upravit znění stávajícího nařízení vlády tak, aby odpovídalo stávajícím podmínkám a potřebám a umožnilo tak výplatu tzv. restrukturalizačního příspěvku všem oprávněným žadatelům o jeho poskytnutí. Vedle </w:t>
      </w:r>
      <w:r w:rsidRPr="00525AF3">
        <w:rPr>
          <w:rFonts w:cstheme="minorHAnsi"/>
        </w:rPr>
        <w:t xml:space="preserve">úpravy názvu nařízení vlády tak, aby mohlo být využito vůči zaměstnancům stávající společnosti OKD, a.s., tzn. právnické osoby zabývající se těžbou černého uhlí, která však není v insolvenci, se jako zásadní úprava navrhla sjednocení výše příspěvku pro všechny zaměstnance těžebních společností a subjektů, které jsou vymezeny v nařízení vlády č.167/2016 Sb. i v nařízení vlády č. 342/2016 Sb., </w:t>
      </w:r>
      <w:r w:rsidRPr="00525AF3">
        <w:rPr>
          <w:rFonts w:cstheme="minorHAnsi"/>
          <w:b/>
        </w:rPr>
        <w:t>s převažujícím výkonem práce na povrchu</w:t>
      </w:r>
      <w:r w:rsidRPr="00525AF3">
        <w:rPr>
          <w:rFonts w:cstheme="minorHAnsi"/>
        </w:rPr>
        <w:t xml:space="preserve">, a to </w:t>
      </w:r>
      <w:r w:rsidRPr="00525AF3">
        <w:rPr>
          <w:rFonts w:cstheme="minorHAnsi"/>
          <w:b/>
        </w:rPr>
        <w:t>na 5 300,- Kč/měsíc</w:t>
      </w:r>
      <w:r w:rsidRPr="00525AF3">
        <w:rPr>
          <w:rFonts w:cstheme="minorHAnsi"/>
        </w:rPr>
        <w:t xml:space="preserve">. Současně se však zachovává původní výše již přiznaného příspěvku pro bývalé zaměstnance </w:t>
      </w:r>
      <w:r w:rsidRPr="00525AF3">
        <w:rPr>
          <w:rFonts w:cstheme="minorHAnsi"/>
          <w:b/>
        </w:rPr>
        <w:t>s převažujícím výkonem činnosti v podzemí, tzn. 7 000,- Kč/měsíc</w:t>
      </w:r>
      <w:r w:rsidRPr="00525AF3">
        <w:rPr>
          <w:rFonts w:cstheme="minorHAnsi"/>
        </w:rPr>
        <w:t xml:space="preserve">. Ostatní zásadní podmínky pro přiznávání příspěvku i podmínky, za nichž nárok na příspěvek zaniká, zůstávají v platnosti. Jedná se o převažující charakter pracovního zařazení (povrch x podzemí), délku zaměstnání, věk zaměstnance a počet odpracovaných směn. Z hlediska věcného a legislativně technického se umožňuje zasílání příspěvku formou poštovní poukázky nejenom na adresu trvalého pobytu oprávněné osoby, ale i na adresu jejího bydliště nebo doručovací adresy a nahrazuje se odkaz na již zrušený zákon č. 101/2000 Sb., o ochraně osobních údajů, ve znění pozdějších předpisů, platným právním předpisem, kterým je nyní zákon č. 110/2019 Sb., o zpracování osobních údajů. </w:t>
      </w:r>
    </w:p>
    <w:p w14:paraId="44693AE1" w14:textId="77777777" w:rsidR="00ED6A05" w:rsidRPr="00525AF3" w:rsidRDefault="00ED6A05" w:rsidP="00ED6A05">
      <w:pPr>
        <w:spacing w:after="200" w:line="276" w:lineRule="auto"/>
        <w:jc w:val="both"/>
        <w:rPr>
          <w:rFonts w:cstheme="minorHAnsi"/>
        </w:rPr>
      </w:pPr>
      <w:r w:rsidRPr="00525AF3">
        <w:rPr>
          <w:rFonts w:cstheme="minorHAnsi"/>
          <w:color w:val="auto"/>
        </w:rPr>
        <w:t>Na základě kvantifikace provedené podle číselných údajů společnosti OKD, a.s. lze ekonomické dopady na státní rozpočet, v případě schválení předkládané novely, charakterizovat následovně:</w:t>
      </w:r>
    </w:p>
    <w:p w14:paraId="14049E56" w14:textId="77777777" w:rsidR="00ED6A05" w:rsidRPr="00525AF3" w:rsidRDefault="00ED6A05" w:rsidP="00ED6A05">
      <w:pPr>
        <w:pStyle w:val="Odstavecseseznamem"/>
        <w:numPr>
          <w:ilvl w:val="0"/>
          <w:numId w:val="39"/>
        </w:numPr>
        <w:spacing w:after="200" w:line="276" w:lineRule="auto"/>
        <w:ind w:left="284" w:hanging="283"/>
        <w:jc w:val="both"/>
        <w:rPr>
          <w:rFonts w:cstheme="minorHAnsi"/>
          <w:i/>
        </w:rPr>
      </w:pPr>
      <w:r w:rsidRPr="00525AF3">
        <w:rPr>
          <w:rFonts w:cstheme="minorHAnsi"/>
          <w:i/>
        </w:rPr>
        <w:t xml:space="preserve">Výše nákladů v jednotlivých letech </w:t>
      </w:r>
      <w:r w:rsidRPr="00525AF3">
        <w:rPr>
          <w:rFonts w:cstheme="minorHAnsi"/>
          <w:i/>
          <w:u w:val="single"/>
        </w:rPr>
        <w:t>podle roku vzniku nároku</w:t>
      </w:r>
      <w:r w:rsidRPr="00525AF3">
        <w:rPr>
          <w:rFonts w:cstheme="minorHAnsi"/>
          <w:i/>
        </w:rPr>
        <w:t xml:space="preserve"> (předpoklad OKD):</w:t>
      </w:r>
    </w:p>
    <w:p w14:paraId="720DEE55" w14:textId="3BBD91BE" w:rsidR="00ED6A05" w:rsidRPr="00525AF3" w:rsidRDefault="00ED6A05" w:rsidP="00ED6A05">
      <w:pPr>
        <w:pStyle w:val="Titulek"/>
        <w:keepNext/>
        <w:rPr>
          <w:rFonts w:cstheme="minorHAnsi"/>
          <w:color w:val="auto"/>
          <w:sz w:val="22"/>
          <w:szCs w:val="22"/>
        </w:rPr>
      </w:pPr>
      <w:r w:rsidRPr="00525AF3">
        <w:rPr>
          <w:rFonts w:cstheme="minorHAnsi"/>
          <w:b/>
          <w:i w:val="0"/>
          <w:color w:val="auto"/>
          <w:sz w:val="22"/>
          <w:szCs w:val="22"/>
        </w:rPr>
        <w:t xml:space="preserve">Tabulka č. </w:t>
      </w:r>
      <w:r w:rsidRPr="00525AF3">
        <w:rPr>
          <w:rFonts w:cstheme="minorHAnsi"/>
          <w:b/>
          <w:i w:val="0"/>
          <w:color w:val="auto"/>
          <w:sz w:val="22"/>
          <w:szCs w:val="22"/>
        </w:rPr>
        <w:fldChar w:fldCharType="begin"/>
      </w:r>
      <w:r w:rsidRPr="00525AF3">
        <w:rPr>
          <w:rFonts w:cstheme="minorHAnsi"/>
          <w:b/>
          <w:i w:val="0"/>
          <w:color w:val="auto"/>
          <w:sz w:val="22"/>
          <w:szCs w:val="22"/>
        </w:rPr>
        <w:instrText xml:space="preserve"> SEQ Tabulka_č. \* ARABIC </w:instrText>
      </w:r>
      <w:r w:rsidRPr="00525AF3">
        <w:rPr>
          <w:rFonts w:cstheme="minorHAnsi"/>
          <w:b/>
          <w:i w:val="0"/>
          <w:color w:val="auto"/>
          <w:sz w:val="22"/>
          <w:szCs w:val="22"/>
        </w:rPr>
        <w:fldChar w:fldCharType="separate"/>
      </w:r>
      <w:r w:rsidR="00F24B26">
        <w:rPr>
          <w:rFonts w:cstheme="minorHAnsi"/>
          <w:b/>
          <w:i w:val="0"/>
          <w:noProof/>
          <w:color w:val="auto"/>
          <w:sz w:val="22"/>
          <w:szCs w:val="22"/>
        </w:rPr>
        <w:t>1</w:t>
      </w:r>
      <w:r w:rsidRPr="00525AF3">
        <w:rPr>
          <w:rFonts w:cstheme="minorHAnsi"/>
          <w:b/>
          <w:i w:val="0"/>
          <w:color w:val="auto"/>
          <w:sz w:val="22"/>
          <w:szCs w:val="22"/>
        </w:rPr>
        <w:fldChar w:fldCharType="end"/>
      </w:r>
      <w:r w:rsidRPr="00525AF3">
        <w:rPr>
          <w:rFonts w:cstheme="minorHAnsi"/>
          <w:b/>
          <w:i w:val="0"/>
          <w:color w:val="auto"/>
          <w:sz w:val="22"/>
          <w:szCs w:val="22"/>
        </w:rPr>
        <w:t>:</w:t>
      </w:r>
      <w:r w:rsidRPr="00525AF3">
        <w:rPr>
          <w:rFonts w:cstheme="minorHAnsi"/>
          <w:color w:val="auto"/>
          <w:sz w:val="22"/>
          <w:szCs w:val="22"/>
        </w:rPr>
        <w:t xml:space="preserve"> Výše nákladů v jednotlivých letech podle roku vzniku nárok (v tis. Kč)</w:t>
      </w:r>
    </w:p>
    <w:tbl>
      <w:tblPr>
        <w:tblStyle w:val="Mkatabulky"/>
        <w:tblW w:w="5000" w:type="pct"/>
        <w:tblLook w:val="04A0" w:firstRow="1" w:lastRow="0" w:firstColumn="1" w:lastColumn="0" w:noHBand="0" w:noVBand="1"/>
      </w:tblPr>
      <w:tblGrid>
        <w:gridCol w:w="1203"/>
        <w:gridCol w:w="1203"/>
        <w:gridCol w:w="1203"/>
        <w:gridCol w:w="1203"/>
        <w:gridCol w:w="1204"/>
        <w:gridCol w:w="1204"/>
        <w:gridCol w:w="1204"/>
        <w:gridCol w:w="1204"/>
      </w:tblGrid>
      <w:tr w:rsidR="00ED6A05" w:rsidRPr="00525AF3" w14:paraId="2DA5881C" w14:textId="77777777" w:rsidTr="008B40A4">
        <w:tc>
          <w:tcPr>
            <w:tcW w:w="625" w:type="pct"/>
          </w:tcPr>
          <w:p w14:paraId="42684BBB" w14:textId="77777777" w:rsidR="00ED6A05" w:rsidRPr="00525AF3" w:rsidRDefault="00ED6A05" w:rsidP="00ED6A05">
            <w:pPr>
              <w:spacing w:after="200" w:line="276" w:lineRule="auto"/>
              <w:jc w:val="both"/>
              <w:rPr>
                <w:rFonts w:asciiTheme="minorHAnsi" w:hAnsiTheme="minorHAnsi" w:cstheme="minorHAnsi"/>
                <w:b/>
                <w:sz w:val="22"/>
                <w:szCs w:val="22"/>
              </w:rPr>
            </w:pPr>
            <w:r w:rsidRPr="00525AF3">
              <w:rPr>
                <w:rFonts w:asciiTheme="minorHAnsi" w:hAnsiTheme="minorHAnsi" w:cstheme="minorHAnsi"/>
                <w:b/>
                <w:sz w:val="22"/>
                <w:szCs w:val="22"/>
              </w:rPr>
              <w:t>Rok 2020</w:t>
            </w:r>
          </w:p>
        </w:tc>
        <w:tc>
          <w:tcPr>
            <w:tcW w:w="625" w:type="pct"/>
          </w:tcPr>
          <w:p w14:paraId="362E1F4C" w14:textId="77777777" w:rsidR="00ED6A05" w:rsidRPr="00525AF3" w:rsidRDefault="00ED6A05" w:rsidP="00ED6A05">
            <w:pPr>
              <w:spacing w:after="200" w:line="276" w:lineRule="auto"/>
              <w:jc w:val="both"/>
              <w:rPr>
                <w:rFonts w:asciiTheme="minorHAnsi" w:hAnsiTheme="minorHAnsi" w:cstheme="minorHAnsi"/>
                <w:b/>
                <w:sz w:val="22"/>
                <w:szCs w:val="22"/>
              </w:rPr>
            </w:pPr>
            <w:r w:rsidRPr="00525AF3">
              <w:rPr>
                <w:rFonts w:asciiTheme="minorHAnsi" w:hAnsiTheme="minorHAnsi" w:cstheme="minorHAnsi"/>
                <w:b/>
                <w:sz w:val="22"/>
                <w:szCs w:val="22"/>
              </w:rPr>
              <w:t>Rok 2021</w:t>
            </w:r>
          </w:p>
        </w:tc>
        <w:tc>
          <w:tcPr>
            <w:tcW w:w="625" w:type="pct"/>
          </w:tcPr>
          <w:p w14:paraId="227382B3" w14:textId="77777777" w:rsidR="00ED6A05" w:rsidRPr="00525AF3" w:rsidRDefault="00ED6A05" w:rsidP="00ED6A05">
            <w:pPr>
              <w:spacing w:after="200" w:line="276" w:lineRule="auto"/>
              <w:jc w:val="both"/>
              <w:rPr>
                <w:rFonts w:asciiTheme="minorHAnsi" w:hAnsiTheme="minorHAnsi" w:cstheme="minorHAnsi"/>
                <w:b/>
                <w:sz w:val="22"/>
                <w:szCs w:val="22"/>
              </w:rPr>
            </w:pPr>
            <w:r w:rsidRPr="00525AF3">
              <w:rPr>
                <w:rFonts w:asciiTheme="minorHAnsi" w:hAnsiTheme="minorHAnsi" w:cstheme="minorHAnsi"/>
                <w:b/>
                <w:sz w:val="22"/>
                <w:szCs w:val="22"/>
              </w:rPr>
              <w:t>Rok 2022</w:t>
            </w:r>
          </w:p>
        </w:tc>
        <w:tc>
          <w:tcPr>
            <w:tcW w:w="625" w:type="pct"/>
          </w:tcPr>
          <w:p w14:paraId="4469C992" w14:textId="77777777" w:rsidR="00ED6A05" w:rsidRPr="00525AF3" w:rsidRDefault="00ED6A05" w:rsidP="00ED6A05">
            <w:pPr>
              <w:spacing w:after="200" w:line="276" w:lineRule="auto"/>
              <w:jc w:val="both"/>
              <w:rPr>
                <w:rFonts w:asciiTheme="minorHAnsi" w:hAnsiTheme="minorHAnsi" w:cstheme="minorHAnsi"/>
                <w:b/>
                <w:sz w:val="22"/>
                <w:szCs w:val="22"/>
              </w:rPr>
            </w:pPr>
            <w:r w:rsidRPr="00525AF3">
              <w:rPr>
                <w:rFonts w:asciiTheme="minorHAnsi" w:hAnsiTheme="minorHAnsi" w:cstheme="minorHAnsi"/>
                <w:b/>
                <w:sz w:val="22"/>
                <w:szCs w:val="22"/>
              </w:rPr>
              <w:t>Rok 2023</w:t>
            </w:r>
          </w:p>
        </w:tc>
        <w:tc>
          <w:tcPr>
            <w:tcW w:w="625" w:type="pct"/>
          </w:tcPr>
          <w:p w14:paraId="2966B6E3" w14:textId="77777777" w:rsidR="00ED6A05" w:rsidRPr="00525AF3" w:rsidRDefault="00ED6A05" w:rsidP="00ED6A05">
            <w:pPr>
              <w:spacing w:after="200" w:line="276" w:lineRule="auto"/>
              <w:jc w:val="both"/>
              <w:rPr>
                <w:rFonts w:asciiTheme="minorHAnsi" w:hAnsiTheme="minorHAnsi" w:cstheme="minorHAnsi"/>
                <w:b/>
                <w:sz w:val="22"/>
                <w:szCs w:val="22"/>
              </w:rPr>
            </w:pPr>
            <w:r w:rsidRPr="00525AF3">
              <w:rPr>
                <w:rFonts w:asciiTheme="minorHAnsi" w:hAnsiTheme="minorHAnsi" w:cstheme="minorHAnsi"/>
                <w:b/>
                <w:sz w:val="22"/>
                <w:szCs w:val="22"/>
              </w:rPr>
              <w:t>Rok 2024</w:t>
            </w:r>
          </w:p>
        </w:tc>
        <w:tc>
          <w:tcPr>
            <w:tcW w:w="625" w:type="pct"/>
          </w:tcPr>
          <w:p w14:paraId="6482FBED" w14:textId="77777777" w:rsidR="00ED6A05" w:rsidRPr="00525AF3" w:rsidRDefault="00ED6A05" w:rsidP="00ED6A05">
            <w:pPr>
              <w:spacing w:after="200" w:line="276" w:lineRule="auto"/>
              <w:jc w:val="both"/>
              <w:rPr>
                <w:rFonts w:asciiTheme="minorHAnsi" w:hAnsiTheme="minorHAnsi" w:cstheme="minorHAnsi"/>
                <w:b/>
                <w:sz w:val="22"/>
                <w:szCs w:val="22"/>
              </w:rPr>
            </w:pPr>
            <w:r w:rsidRPr="00525AF3">
              <w:rPr>
                <w:rFonts w:asciiTheme="minorHAnsi" w:hAnsiTheme="minorHAnsi" w:cstheme="minorHAnsi"/>
                <w:b/>
                <w:sz w:val="22"/>
                <w:szCs w:val="22"/>
              </w:rPr>
              <w:t>Rok 2025</w:t>
            </w:r>
          </w:p>
        </w:tc>
        <w:tc>
          <w:tcPr>
            <w:tcW w:w="625" w:type="pct"/>
          </w:tcPr>
          <w:p w14:paraId="1007AEA8" w14:textId="77777777" w:rsidR="00ED6A05" w:rsidRPr="00525AF3" w:rsidRDefault="00ED6A05" w:rsidP="00ED6A05">
            <w:pPr>
              <w:spacing w:after="200" w:line="276" w:lineRule="auto"/>
              <w:jc w:val="both"/>
              <w:rPr>
                <w:rFonts w:asciiTheme="minorHAnsi" w:hAnsiTheme="minorHAnsi" w:cstheme="minorHAnsi"/>
                <w:b/>
                <w:sz w:val="22"/>
                <w:szCs w:val="22"/>
              </w:rPr>
            </w:pPr>
            <w:r w:rsidRPr="00525AF3">
              <w:rPr>
                <w:rFonts w:asciiTheme="minorHAnsi" w:hAnsiTheme="minorHAnsi" w:cstheme="minorHAnsi"/>
                <w:b/>
                <w:sz w:val="22"/>
                <w:szCs w:val="22"/>
              </w:rPr>
              <w:t>Rok 2026</w:t>
            </w:r>
          </w:p>
        </w:tc>
        <w:tc>
          <w:tcPr>
            <w:tcW w:w="625" w:type="pct"/>
          </w:tcPr>
          <w:p w14:paraId="11C42AAA" w14:textId="77777777" w:rsidR="00ED6A05" w:rsidRPr="00525AF3" w:rsidRDefault="00ED6A05" w:rsidP="00ED6A05">
            <w:pPr>
              <w:spacing w:after="200" w:line="276" w:lineRule="auto"/>
              <w:jc w:val="both"/>
              <w:rPr>
                <w:rFonts w:asciiTheme="minorHAnsi" w:hAnsiTheme="minorHAnsi" w:cstheme="minorHAnsi"/>
                <w:b/>
                <w:sz w:val="22"/>
                <w:szCs w:val="22"/>
              </w:rPr>
            </w:pPr>
            <w:r w:rsidRPr="00525AF3">
              <w:rPr>
                <w:rFonts w:asciiTheme="minorHAnsi" w:hAnsiTheme="minorHAnsi" w:cstheme="minorHAnsi"/>
                <w:b/>
                <w:sz w:val="22"/>
                <w:szCs w:val="22"/>
              </w:rPr>
              <w:t>Celkem</w:t>
            </w:r>
          </w:p>
        </w:tc>
      </w:tr>
      <w:tr w:rsidR="00ED6A05" w:rsidRPr="00525AF3" w14:paraId="439272CF" w14:textId="77777777" w:rsidTr="008B40A4">
        <w:tc>
          <w:tcPr>
            <w:tcW w:w="625" w:type="pct"/>
          </w:tcPr>
          <w:p w14:paraId="42637788" w14:textId="77777777" w:rsidR="00ED6A05" w:rsidRPr="00525AF3" w:rsidRDefault="00ED6A05" w:rsidP="00ED6A05">
            <w:pPr>
              <w:spacing w:after="200" w:line="276" w:lineRule="auto"/>
              <w:jc w:val="both"/>
              <w:rPr>
                <w:rFonts w:asciiTheme="minorHAnsi" w:hAnsiTheme="minorHAnsi" w:cstheme="minorHAnsi"/>
                <w:sz w:val="22"/>
                <w:szCs w:val="22"/>
              </w:rPr>
            </w:pPr>
            <w:r w:rsidRPr="00525AF3">
              <w:rPr>
                <w:rFonts w:asciiTheme="minorHAnsi" w:hAnsiTheme="minorHAnsi" w:cstheme="minorHAnsi"/>
                <w:sz w:val="22"/>
                <w:szCs w:val="22"/>
              </w:rPr>
              <w:t>69 837,2</w:t>
            </w:r>
          </w:p>
        </w:tc>
        <w:tc>
          <w:tcPr>
            <w:tcW w:w="625" w:type="pct"/>
          </w:tcPr>
          <w:p w14:paraId="7CED82AE" w14:textId="77777777" w:rsidR="00ED6A05" w:rsidRPr="00525AF3" w:rsidRDefault="00ED6A05" w:rsidP="00ED6A05">
            <w:pPr>
              <w:spacing w:after="200" w:line="276" w:lineRule="auto"/>
              <w:jc w:val="both"/>
              <w:rPr>
                <w:rFonts w:asciiTheme="minorHAnsi" w:hAnsiTheme="minorHAnsi" w:cstheme="minorHAnsi"/>
                <w:sz w:val="22"/>
                <w:szCs w:val="22"/>
              </w:rPr>
            </w:pPr>
            <w:r w:rsidRPr="00525AF3">
              <w:rPr>
                <w:rFonts w:asciiTheme="minorHAnsi" w:hAnsiTheme="minorHAnsi" w:cstheme="minorHAnsi"/>
                <w:sz w:val="22"/>
                <w:szCs w:val="22"/>
              </w:rPr>
              <w:t>117 010,8</w:t>
            </w:r>
          </w:p>
        </w:tc>
        <w:tc>
          <w:tcPr>
            <w:tcW w:w="625" w:type="pct"/>
          </w:tcPr>
          <w:p w14:paraId="3EBB4B17" w14:textId="77777777" w:rsidR="00ED6A05" w:rsidRPr="00525AF3" w:rsidRDefault="00ED6A05" w:rsidP="00ED6A05">
            <w:pPr>
              <w:spacing w:after="200" w:line="276" w:lineRule="auto"/>
              <w:jc w:val="both"/>
              <w:rPr>
                <w:rFonts w:asciiTheme="minorHAnsi" w:hAnsiTheme="minorHAnsi" w:cstheme="minorHAnsi"/>
                <w:sz w:val="22"/>
                <w:szCs w:val="22"/>
              </w:rPr>
            </w:pPr>
            <w:r w:rsidRPr="00525AF3">
              <w:rPr>
                <w:rFonts w:asciiTheme="minorHAnsi" w:hAnsiTheme="minorHAnsi" w:cstheme="minorHAnsi"/>
                <w:sz w:val="22"/>
                <w:szCs w:val="22"/>
              </w:rPr>
              <w:t>34 907.0</w:t>
            </w:r>
          </w:p>
        </w:tc>
        <w:tc>
          <w:tcPr>
            <w:tcW w:w="625" w:type="pct"/>
          </w:tcPr>
          <w:p w14:paraId="323C9131" w14:textId="77777777" w:rsidR="00ED6A05" w:rsidRPr="00525AF3" w:rsidRDefault="00ED6A05" w:rsidP="00ED6A05">
            <w:pPr>
              <w:spacing w:after="200" w:line="276" w:lineRule="auto"/>
              <w:jc w:val="both"/>
              <w:rPr>
                <w:rFonts w:asciiTheme="minorHAnsi" w:hAnsiTheme="minorHAnsi" w:cstheme="minorHAnsi"/>
                <w:sz w:val="22"/>
                <w:szCs w:val="22"/>
              </w:rPr>
            </w:pPr>
            <w:r w:rsidRPr="00525AF3">
              <w:rPr>
                <w:rFonts w:asciiTheme="minorHAnsi" w:hAnsiTheme="minorHAnsi" w:cstheme="minorHAnsi"/>
                <w:sz w:val="22"/>
                <w:szCs w:val="22"/>
              </w:rPr>
              <w:t>99 402,9</w:t>
            </w:r>
          </w:p>
        </w:tc>
        <w:tc>
          <w:tcPr>
            <w:tcW w:w="625" w:type="pct"/>
          </w:tcPr>
          <w:p w14:paraId="589AC47D" w14:textId="77777777" w:rsidR="00ED6A05" w:rsidRPr="00525AF3" w:rsidRDefault="00ED6A05" w:rsidP="00ED6A05">
            <w:pPr>
              <w:spacing w:after="200" w:line="276" w:lineRule="auto"/>
              <w:jc w:val="both"/>
              <w:rPr>
                <w:rFonts w:asciiTheme="minorHAnsi" w:hAnsiTheme="minorHAnsi" w:cstheme="minorHAnsi"/>
                <w:sz w:val="22"/>
                <w:szCs w:val="22"/>
              </w:rPr>
            </w:pPr>
            <w:r w:rsidRPr="00525AF3">
              <w:rPr>
                <w:rFonts w:asciiTheme="minorHAnsi" w:hAnsiTheme="minorHAnsi" w:cstheme="minorHAnsi"/>
                <w:sz w:val="22"/>
                <w:szCs w:val="22"/>
              </w:rPr>
              <w:t>48 558,2</w:t>
            </w:r>
          </w:p>
        </w:tc>
        <w:tc>
          <w:tcPr>
            <w:tcW w:w="625" w:type="pct"/>
          </w:tcPr>
          <w:p w14:paraId="4470D862" w14:textId="77777777" w:rsidR="00ED6A05" w:rsidRPr="00525AF3" w:rsidRDefault="00ED6A05" w:rsidP="00ED6A05">
            <w:pPr>
              <w:spacing w:after="200" w:line="276" w:lineRule="auto"/>
              <w:jc w:val="both"/>
              <w:rPr>
                <w:rFonts w:asciiTheme="minorHAnsi" w:hAnsiTheme="minorHAnsi" w:cstheme="minorHAnsi"/>
                <w:sz w:val="22"/>
                <w:szCs w:val="22"/>
              </w:rPr>
            </w:pPr>
            <w:r w:rsidRPr="00525AF3">
              <w:rPr>
                <w:rFonts w:asciiTheme="minorHAnsi" w:hAnsiTheme="minorHAnsi" w:cstheme="minorHAnsi"/>
                <w:sz w:val="22"/>
                <w:szCs w:val="22"/>
              </w:rPr>
              <w:t>66 541,7</w:t>
            </w:r>
          </w:p>
        </w:tc>
        <w:tc>
          <w:tcPr>
            <w:tcW w:w="625" w:type="pct"/>
          </w:tcPr>
          <w:p w14:paraId="382A13CC" w14:textId="77777777" w:rsidR="00ED6A05" w:rsidRPr="00525AF3" w:rsidRDefault="00ED6A05" w:rsidP="00ED6A05">
            <w:pPr>
              <w:spacing w:after="200" w:line="276" w:lineRule="auto"/>
              <w:jc w:val="both"/>
              <w:rPr>
                <w:rFonts w:asciiTheme="minorHAnsi" w:hAnsiTheme="minorHAnsi" w:cstheme="minorHAnsi"/>
                <w:sz w:val="22"/>
                <w:szCs w:val="22"/>
              </w:rPr>
            </w:pPr>
            <w:r w:rsidRPr="00525AF3">
              <w:rPr>
                <w:rFonts w:asciiTheme="minorHAnsi" w:hAnsiTheme="minorHAnsi" w:cstheme="minorHAnsi"/>
                <w:sz w:val="22"/>
                <w:szCs w:val="22"/>
              </w:rPr>
              <w:t>368 600,8</w:t>
            </w:r>
          </w:p>
        </w:tc>
        <w:tc>
          <w:tcPr>
            <w:tcW w:w="625" w:type="pct"/>
          </w:tcPr>
          <w:p w14:paraId="41465E0A" w14:textId="77777777" w:rsidR="00ED6A05" w:rsidRPr="00525AF3" w:rsidRDefault="00ED6A05" w:rsidP="00ED6A05">
            <w:pPr>
              <w:spacing w:after="200" w:line="276" w:lineRule="auto"/>
              <w:jc w:val="both"/>
              <w:rPr>
                <w:rFonts w:asciiTheme="minorHAnsi" w:hAnsiTheme="minorHAnsi" w:cstheme="minorHAnsi"/>
                <w:sz w:val="22"/>
                <w:szCs w:val="22"/>
              </w:rPr>
            </w:pPr>
            <w:r w:rsidRPr="00525AF3">
              <w:rPr>
                <w:rFonts w:asciiTheme="minorHAnsi" w:hAnsiTheme="minorHAnsi" w:cstheme="minorHAnsi"/>
                <w:sz w:val="22"/>
                <w:szCs w:val="22"/>
              </w:rPr>
              <w:t>804 858,6</w:t>
            </w:r>
          </w:p>
        </w:tc>
      </w:tr>
    </w:tbl>
    <w:p w14:paraId="644B4C7C" w14:textId="77777777" w:rsidR="00ED6A05" w:rsidRPr="00525AF3" w:rsidRDefault="00ED6A05" w:rsidP="00ED6A05">
      <w:pPr>
        <w:pStyle w:val="Odstavecseseznamem"/>
        <w:numPr>
          <w:ilvl w:val="0"/>
          <w:numId w:val="39"/>
        </w:numPr>
        <w:spacing w:before="200" w:after="200" w:line="276" w:lineRule="auto"/>
        <w:ind w:left="360"/>
        <w:jc w:val="both"/>
        <w:rPr>
          <w:rFonts w:cstheme="minorHAnsi"/>
          <w:i/>
        </w:rPr>
      </w:pPr>
      <w:r w:rsidRPr="00525AF3">
        <w:rPr>
          <w:rFonts w:cstheme="minorHAnsi"/>
          <w:i/>
        </w:rPr>
        <w:lastRenderedPageBreak/>
        <w:t xml:space="preserve">Výše nákladů </w:t>
      </w:r>
      <w:r w:rsidRPr="00525AF3">
        <w:rPr>
          <w:rFonts w:cstheme="minorHAnsi"/>
          <w:i/>
          <w:u w:val="single"/>
        </w:rPr>
        <w:t>v jednotlivých letech</w:t>
      </w:r>
      <w:r w:rsidRPr="00525AF3">
        <w:rPr>
          <w:rFonts w:cstheme="minorHAnsi"/>
          <w:i/>
        </w:rPr>
        <w:t xml:space="preserve"> (předpoklad OKD):</w:t>
      </w:r>
    </w:p>
    <w:p w14:paraId="0590BA7D" w14:textId="4811F05F" w:rsidR="00504284" w:rsidRPr="00525AF3" w:rsidRDefault="00504284" w:rsidP="00504284">
      <w:pPr>
        <w:pStyle w:val="Titulek"/>
        <w:keepNext/>
        <w:rPr>
          <w:rFonts w:cstheme="minorHAnsi"/>
          <w:color w:val="auto"/>
          <w:sz w:val="22"/>
          <w:szCs w:val="22"/>
        </w:rPr>
      </w:pPr>
      <w:r w:rsidRPr="00525AF3">
        <w:rPr>
          <w:rFonts w:cstheme="minorHAnsi"/>
          <w:b/>
          <w:i w:val="0"/>
          <w:color w:val="auto"/>
          <w:sz w:val="22"/>
          <w:szCs w:val="22"/>
        </w:rPr>
        <w:t xml:space="preserve">Tabulka č. </w:t>
      </w:r>
      <w:r w:rsidRPr="00525AF3">
        <w:rPr>
          <w:rFonts w:cstheme="minorHAnsi"/>
          <w:b/>
          <w:i w:val="0"/>
          <w:color w:val="auto"/>
          <w:sz w:val="22"/>
          <w:szCs w:val="22"/>
        </w:rPr>
        <w:fldChar w:fldCharType="begin"/>
      </w:r>
      <w:r w:rsidRPr="00525AF3">
        <w:rPr>
          <w:rFonts w:cstheme="minorHAnsi"/>
          <w:b/>
          <w:i w:val="0"/>
          <w:color w:val="auto"/>
          <w:sz w:val="22"/>
          <w:szCs w:val="22"/>
        </w:rPr>
        <w:instrText xml:space="preserve"> SEQ Tabulka_č. \* ARABIC </w:instrText>
      </w:r>
      <w:r w:rsidRPr="00525AF3">
        <w:rPr>
          <w:rFonts w:cstheme="minorHAnsi"/>
          <w:b/>
          <w:i w:val="0"/>
          <w:color w:val="auto"/>
          <w:sz w:val="22"/>
          <w:szCs w:val="22"/>
        </w:rPr>
        <w:fldChar w:fldCharType="separate"/>
      </w:r>
      <w:r w:rsidR="00F24B26">
        <w:rPr>
          <w:rFonts w:cstheme="minorHAnsi"/>
          <w:b/>
          <w:i w:val="0"/>
          <w:noProof/>
          <w:color w:val="auto"/>
          <w:sz w:val="22"/>
          <w:szCs w:val="22"/>
        </w:rPr>
        <w:t>2</w:t>
      </w:r>
      <w:r w:rsidRPr="00525AF3">
        <w:rPr>
          <w:rFonts w:cstheme="minorHAnsi"/>
          <w:b/>
          <w:i w:val="0"/>
          <w:color w:val="auto"/>
          <w:sz w:val="22"/>
          <w:szCs w:val="22"/>
        </w:rPr>
        <w:fldChar w:fldCharType="end"/>
      </w:r>
      <w:r w:rsidRPr="00525AF3">
        <w:rPr>
          <w:rFonts w:cstheme="minorHAnsi"/>
          <w:b/>
          <w:i w:val="0"/>
          <w:color w:val="auto"/>
          <w:sz w:val="22"/>
          <w:szCs w:val="22"/>
        </w:rPr>
        <w:t xml:space="preserve">: </w:t>
      </w:r>
      <w:r w:rsidRPr="00525AF3">
        <w:rPr>
          <w:rFonts w:cstheme="minorHAnsi"/>
          <w:color w:val="auto"/>
          <w:sz w:val="22"/>
          <w:szCs w:val="22"/>
        </w:rPr>
        <w:t>Výše nákladů v jednotlivých letech (v tis. Kč)</w:t>
      </w:r>
    </w:p>
    <w:tbl>
      <w:tblPr>
        <w:tblStyle w:val="Mkatabulky"/>
        <w:tblW w:w="5000" w:type="pct"/>
        <w:tblLook w:val="04A0" w:firstRow="1" w:lastRow="0" w:firstColumn="1" w:lastColumn="0" w:noHBand="0" w:noVBand="1"/>
      </w:tblPr>
      <w:tblGrid>
        <w:gridCol w:w="1506"/>
        <w:gridCol w:w="8122"/>
      </w:tblGrid>
      <w:tr w:rsidR="00ED6A05" w:rsidRPr="00525AF3" w14:paraId="1354A8D7" w14:textId="77777777" w:rsidTr="00ED6A05">
        <w:trPr>
          <w:trHeight w:val="405"/>
        </w:trPr>
        <w:tc>
          <w:tcPr>
            <w:tcW w:w="782" w:type="pct"/>
          </w:tcPr>
          <w:p w14:paraId="2AFA4EB3" w14:textId="77777777" w:rsidR="00ED6A05" w:rsidRPr="00525AF3" w:rsidRDefault="00ED6A05" w:rsidP="00ED6A05">
            <w:pPr>
              <w:pStyle w:val="Odstavecseseznamem"/>
              <w:spacing w:after="200" w:line="276" w:lineRule="auto"/>
              <w:ind w:left="0"/>
              <w:jc w:val="both"/>
              <w:rPr>
                <w:rFonts w:asciiTheme="minorHAnsi" w:hAnsiTheme="minorHAnsi" w:cstheme="minorHAnsi"/>
                <w:sz w:val="22"/>
                <w:szCs w:val="22"/>
              </w:rPr>
            </w:pPr>
            <w:r w:rsidRPr="00525AF3">
              <w:rPr>
                <w:rFonts w:asciiTheme="minorHAnsi" w:hAnsiTheme="minorHAnsi" w:cstheme="minorHAnsi"/>
                <w:sz w:val="22"/>
                <w:szCs w:val="22"/>
              </w:rPr>
              <w:t>Výše potřeb v letech</w:t>
            </w:r>
          </w:p>
        </w:tc>
        <w:tc>
          <w:tcPr>
            <w:tcW w:w="4218" w:type="pct"/>
          </w:tcPr>
          <w:p w14:paraId="5FA9E21F" w14:textId="77777777" w:rsidR="00ED6A05" w:rsidRPr="00525AF3" w:rsidRDefault="00ED6A05" w:rsidP="00ED6A05">
            <w:pPr>
              <w:pStyle w:val="Odstavecseseznamem"/>
              <w:spacing w:after="200" w:line="276" w:lineRule="auto"/>
              <w:ind w:left="0"/>
              <w:jc w:val="both"/>
              <w:rPr>
                <w:rFonts w:asciiTheme="minorHAnsi" w:hAnsiTheme="minorHAnsi" w:cstheme="minorHAnsi"/>
                <w:sz w:val="22"/>
                <w:szCs w:val="22"/>
              </w:rPr>
            </w:pPr>
            <w:r w:rsidRPr="00525AF3">
              <w:rPr>
                <w:rFonts w:asciiTheme="minorHAnsi" w:hAnsiTheme="minorHAnsi" w:cstheme="minorHAnsi"/>
                <w:sz w:val="22"/>
                <w:szCs w:val="22"/>
              </w:rPr>
              <w:t>Bližší specifikace potřeb podle roku vniku nároku</w:t>
            </w:r>
          </w:p>
        </w:tc>
      </w:tr>
      <w:tr w:rsidR="00ED6A05" w:rsidRPr="00525AF3" w14:paraId="6B7853B0" w14:textId="77777777" w:rsidTr="00ED6A05">
        <w:trPr>
          <w:trHeight w:val="403"/>
        </w:trPr>
        <w:tc>
          <w:tcPr>
            <w:tcW w:w="782" w:type="pct"/>
          </w:tcPr>
          <w:p w14:paraId="31DDF0F6" w14:textId="77777777" w:rsidR="00ED6A05" w:rsidRPr="00525AF3" w:rsidRDefault="00ED6A05" w:rsidP="00ED6A05">
            <w:pPr>
              <w:pStyle w:val="Odstavecseseznamem"/>
              <w:spacing w:after="200" w:line="276" w:lineRule="auto"/>
              <w:ind w:left="0"/>
              <w:contextualSpacing w:val="0"/>
              <w:jc w:val="both"/>
              <w:rPr>
                <w:rFonts w:asciiTheme="minorHAnsi" w:hAnsiTheme="minorHAnsi" w:cstheme="minorHAnsi"/>
                <w:sz w:val="22"/>
                <w:szCs w:val="22"/>
              </w:rPr>
            </w:pPr>
            <w:r w:rsidRPr="00525AF3">
              <w:rPr>
                <w:rFonts w:asciiTheme="minorHAnsi" w:hAnsiTheme="minorHAnsi" w:cstheme="minorHAnsi"/>
                <w:sz w:val="22"/>
                <w:szCs w:val="22"/>
              </w:rPr>
              <w:t>Rok 2020</w:t>
            </w:r>
          </w:p>
        </w:tc>
        <w:tc>
          <w:tcPr>
            <w:tcW w:w="4218" w:type="pct"/>
          </w:tcPr>
          <w:p w14:paraId="2A71D154" w14:textId="77777777" w:rsidR="00ED6A05" w:rsidRPr="00525AF3" w:rsidRDefault="00ED6A05" w:rsidP="00ED6A05">
            <w:pPr>
              <w:pStyle w:val="Odstavecseseznamem"/>
              <w:spacing w:after="200" w:line="276" w:lineRule="auto"/>
              <w:ind w:left="0"/>
              <w:jc w:val="both"/>
              <w:rPr>
                <w:rFonts w:asciiTheme="minorHAnsi" w:hAnsiTheme="minorHAnsi" w:cstheme="minorHAnsi"/>
                <w:sz w:val="22"/>
                <w:szCs w:val="22"/>
              </w:rPr>
            </w:pPr>
            <w:r w:rsidRPr="00525AF3">
              <w:rPr>
                <w:rFonts w:asciiTheme="minorHAnsi" w:hAnsiTheme="minorHAnsi" w:cstheme="minorHAnsi"/>
                <w:b/>
                <w:sz w:val="22"/>
                <w:szCs w:val="22"/>
              </w:rPr>
              <w:t>25 091,5</w:t>
            </w:r>
            <w:r w:rsidRPr="00525AF3">
              <w:rPr>
                <w:rFonts w:asciiTheme="minorHAnsi" w:hAnsiTheme="minorHAnsi" w:cstheme="minorHAnsi"/>
                <w:sz w:val="22"/>
                <w:szCs w:val="22"/>
              </w:rPr>
              <w:t xml:space="preserve"> tis. Kč</w:t>
            </w:r>
          </w:p>
        </w:tc>
      </w:tr>
      <w:tr w:rsidR="00ED6A05" w:rsidRPr="00525AF3" w14:paraId="05059C19" w14:textId="77777777" w:rsidTr="00ED6A05">
        <w:trPr>
          <w:trHeight w:val="403"/>
        </w:trPr>
        <w:tc>
          <w:tcPr>
            <w:tcW w:w="782" w:type="pct"/>
          </w:tcPr>
          <w:p w14:paraId="022F6E6B" w14:textId="77777777" w:rsidR="00ED6A05" w:rsidRPr="00525AF3" w:rsidRDefault="00ED6A05" w:rsidP="00ED6A05">
            <w:pPr>
              <w:pStyle w:val="Odstavecseseznamem"/>
              <w:spacing w:after="200" w:line="276" w:lineRule="auto"/>
              <w:ind w:left="0"/>
              <w:jc w:val="both"/>
              <w:rPr>
                <w:rFonts w:asciiTheme="minorHAnsi" w:hAnsiTheme="minorHAnsi" w:cstheme="minorHAnsi"/>
                <w:sz w:val="22"/>
                <w:szCs w:val="22"/>
              </w:rPr>
            </w:pPr>
            <w:r w:rsidRPr="00525AF3">
              <w:rPr>
                <w:rFonts w:asciiTheme="minorHAnsi" w:hAnsiTheme="minorHAnsi" w:cstheme="minorHAnsi"/>
                <w:sz w:val="22"/>
                <w:szCs w:val="22"/>
              </w:rPr>
              <w:t>Rok 2021</w:t>
            </w:r>
          </w:p>
        </w:tc>
        <w:tc>
          <w:tcPr>
            <w:tcW w:w="4218" w:type="pct"/>
          </w:tcPr>
          <w:p w14:paraId="70ABAC80" w14:textId="77777777" w:rsidR="00ED6A05" w:rsidRPr="00525AF3" w:rsidRDefault="00ED6A05" w:rsidP="00ED6A05">
            <w:pPr>
              <w:pStyle w:val="Odstavecseseznamem"/>
              <w:spacing w:after="200" w:line="276" w:lineRule="auto"/>
              <w:ind w:left="0"/>
              <w:jc w:val="both"/>
              <w:rPr>
                <w:rFonts w:asciiTheme="minorHAnsi" w:hAnsiTheme="minorHAnsi" w:cstheme="minorHAnsi"/>
                <w:sz w:val="22"/>
                <w:szCs w:val="22"/>
              </w:rPr>
            </w:pPr>
            <w:r w:rsidRPr="00525AF3">
              <w:rPr>
                <w:rFonts w:asciiTheme="minorHAnsi" w:hAnsiTheme="minorHAnsi" w:cstheme="minorHAnsi"/>
                <w:sz w:val="22"/>
                <w:szCs w:val="22"/>
              </w:rPr>
              <w:t xml:space="preserve">70 245,5 tis. Kč = 25 091,5 + </w:t>
            </w:r>
            <w:r w:rsidRPr="00525AF3">
              <w:rPr>
                <w:rFonts w:asciiTheme="minorHAnsi" w:hAnsiTheme="minorHAnsi" w:cstheme="minorHAnsi"/>
                <w:b/>
                <w:sz w:val="22"/>
                <w:szCs w:val="22"/>
              </w:rPr>
              <w:t>45 153,9</w:t>
            </w:r>
          </w:p>
        </w:tc>
      </w:tr>
      <w:tr w:rsidR="00ED6A05" w:rsidRPr="00525AF3" w14:paraId="28987FE7" w14:textId="77777777" w:rsidTr="00ED6A05">
        <w:trPr>
          <w:trHeight w:val="403"/>
        </w:trPr>
        <w:tc>
          <w:tcPr>
            <w:tcW w:w="782" w:type="pct"/>
          </w:tcPr>
          <w:p w14:paraId="43421D5C" w14:textId="77777777" w:rsidR="00ED6A05" w:rsidRPr="00525AF3" w:rsidRDefault="00ED6A05" w:rsidP="00ED6A05">
            <w:pPr>
              <w:pStyle w:val="Odstavecseseznamem"/>
              <w:spacing w:after="200" w:line="276" w:lineRule="auto"/>
              <w:ind w:left="0"/>
              <w:jc w:val="both"/>
              <w:rPr>
                <w:rFonts w:asciiTheme="minorHAnsi" w:hAnsiTheme="minorHAnsi" w:cstheme="minorHAnsi"/>
                <w:sz w:val="22"/>
                <w:szCs w:val="22"/>
              </w:rPr>
            </w:pPr>
            <w:r w:rsidRPr="00525AF3">
              <w:rPr>
                <w:rFonts w:asciiTheme="minorHAnsi" w:hAnsiTheme="minorHAnsi" w:cstheme="minorHAnsi"/>
                <w:sz w:val="22"/>
                <w:szCs w:val="22"/>
              </w:rPr>
              <w:t>Rok 2022</w:t>
            </w:r>
          </w:p>
        </w:tc>
        <w:tc>
          <w:tcPr>
            <w:tcW w:w="4218" w:type="pct"/>
          </w:tcPr>
          <w:p w14:paraId="5A6D27B0" w14:textId="77777777" w:rsidR="00ED6A05" w:rsidRPr="00525AF3" w:rsidRDefault="00ED6A05" w:rsidP="00ED6A05">
            <w:pPr>
              <w:pStyle w:val="Odstavecseseznamem"/>
              <w:spacing w:after="200" w:line="276" w:lineRule="auto"/>
              <w:ind w:left="0"/>
              <w:jc w:val="both"/>
              <w:rPr>
                <w:rFonts w:asciiTheme="minorHAnsi" w:hAnsiTheme="minorHAnsi" w:cstheme="minorHAnsi"/>
                <w:sz w:val="22"/>
                <w:szCs w:val="22"/>
              </w:rPr>
            </w:pPr>
            <w:r w:rsidRPr="00525AF3">
              <w:rPr>
                <w:rFonts w:asciiTheme="minorHAnsi" w:hAnsiTheme="minorHAnsi" w:cstheme="minorHAnsi"/>
                <w:sz w:val="22"/>
                <w:szCs w:val="22"/>
              </w:rPr>
              <w:t xml:space="preserve">69 428,5 tis. Kč = 13 242,3 + 45 153,9 + </w:t>
            </w:r>
            <w:r w:rsidRPr="00525AF3">
              <w:rPr>
                <w:rFonts w:asciiTheme="minorHAnsi" w:hAnsiTheme="minorHAnsi" w:cstheme="minorHAnsi"/>
                <w:b/>
                <w:sz w:val="22"/>
                <w:szCs w:val="22"/>
              </w:rPr>
              <w:t>11 032,3</w:t>
            </w:r>
          </w:p>
        </w:tc>
      </w:tr>
      <w:tr w:rsidR="00ED6A05" w:rsidRPr="00525AF3" w14:paraId="3DD114F7" w14:textId="77777777" w:rsidTr="00ED6A05">
        <w:trPr>
          <w:trHeight w:val="403"/>
        </w:trPr>
        <w:tc>
          <w:tcPr>
            <w:tcW w:w="782" w:type="pct"/>
          </w:tcPr>
          <w:p w14:paraId="7D6F8925" w14:textId="77777777" w:rsidR="00ED6A05" w:rsidRPr="00525AF3" w:rsidRDefault="00ED6A05" w:rsidP="00ED6A05">
            <w:pPr>
              <w:pStyle w:val="Odstavecseseznamem"/>
              <w:spacing w:after="200" w:line="276" w:lineRule="auto"/>
              <w:ind w:left="0"/>
              <w:jc w:val="both"/>
              <w:rPr>
                <w:rFonts w:asciiTheme="minorHAnsi" w:hAnsiTheme="minorHAnsi" w:cstheme="minorHAnsi"/>
                <w:sz w:val="22"/>
                <w:szCs w:val="22"/>
              </w:rPr>
            </w:pPr>
            <w:r w:rsidRPr="00525AF3">
              <w:rPr>
                <w:rFonts w:asciiTheme="minorHAnsi" w:hAnsiTheme="minorHAnsi" w:cstheme="minorHAnsi"/>
                <w:sz w:val="22"/>
                <w:szCs w:val="22"/>
              </w:rPr>
              <w:t>Rok 2023</w:t>
            </w:r>
          </w:p>
        </w:tc>
        <w:tc>
          <w:tcPr>
            <w:tcW w:w="4218" w:type="pct"/>
          </w:tcPr>
          <w:p w14:paraId="3AED548A" w14:textId="77777777" w:rsidR="00ED6A05" w:rsidRPr="00525AF3" w:rsidRDefault="00ED6A05" w:rsidP="00ED6A05">
            <w:pPr>
              <w:pStyle w:val="Odstavecseseznamem"/>
              <w:spacing w:after="200" w:line="276" w:lineRule="auto"/>
              <w:ind w:left="0"/>
              <w:jc w:val="both"/>
              <w:rPr>
                <w:rFonts w:asciiTheme="minorHAnsi" w:hAnsiTheme="minorHAnsi" w:cstheme="minorHAnsi"/>
                <w:sz w:val="22"/>
                <w:szCs w:val="22"/>
              </w:rPr>
            </w:pPr>
            <w:r w:rsidRPr="00525AF3">
              <w:rPr>
                <w:rFonts w:asciiTheme="minorHAnsi" w:hAnsiTheme="minorHAnsi" w:cstheme="minorHAnsi"/>
                <w:sz w:val="22"/>
                <w:szCs w:val="22"/>
              </w:rPr>
              <w:t xml:space="preserve">77 421,3 tis. Kč = 6 411,8 + 19 162,9 + 11 032,3 + </w:t>
            </w:r>
            <w:r w:rsidRPr="00525AF3">
              <w:rPr>
                <w:rFonts w:asciiTheme="minorHAnsi" w:hAnsiTheme="minorHAnsi" w:cstheme="minorHAnsi"/>
                <w:b/>
                <w:sz w:val="22"/>
                <w:szCs w:val="22"/>
              </w:rPr>
              <w:t>40 814,3</w:t>
            </w:r>
            <w:r w:rsidRPr="00525AF3">
              <w:rPr>
                <w:rFonts w:asciiTheme="minorHAnsi" w:hAnsiTheme="minorHAnsi" w:cstheme="minorHAnsi"/>
                <w:sz w:val="22"/>
                <w:szCs w:val="22"/>
              </w:rPr>
              <w:t xml:space="preserve"> </w:t>
            </w:r>
          </w:p>
        </w:tc>
      </w:tr>
      <w:tr w:rsidR="00ED6A05" w:rsidRPr="00525AF3" w14:paraId="729D97CB" w14:textId="77777777" w:rsidTr="00ED6A05">
        <w:trPr>
          <w:trHeight w:val="403"/>
        </w:trPr>
        <w:tc>
          <w:tcPr>
            <w:tcW w:w="782" w:type="pct"/>
          </w:tcPr>
          <w:p w14:paraId="191E119D" w14:textId="77777777" w:rsidR="00ED6A05" w:rsidRPr="00525AF3" w:rsidRDefault="00ED6A05" w:rsidP="00ED6A05">
            <w:pPr>
              <w:pStyle w:val="Odstavecseseznamem"/>
              <w:spacing w:after="200" w:line="276" w:lineRule="auto"/>
              <w:ind w:left="0"/>
              <w:jc w:val="both"/>
              <w:rPr>
                <w:rFonts w:asciiTheme="minorHAnsi" w:hAnsiTheme="minorHAnsi" w:cstheme="minorHAnsi"/>
                <w:sz w:val="22"/>
                <w:szCs w:val="22"/>
              </w:rPr>
            </w:pPr>
            <w:r w:rsidRPr="00525AF3">
              <w:rPr>
                <w:rFonts w:asciiTheme="minorHAnsi" w:hAnsiTheme="minorHAnsi" w:cstheme="minorHAnsi"/>
                <w:sz w:val="22"/>
                <w:szCs w:val="22"/>
              </w:rPr>
              <w:t>Rok 2024</w:t>
            </w:r>
          </w:p>
        </w:tc>
        <w:tc>
          <w:tcPr>
            <w:tcW w:w="4218" w:type="pct"/>
          </w:tcPr>
          <w:p w14:paraId="31966B42" w14:textId="77777777" w:rsidR="00ED6A05" w:rsidRPr="00525AF3" w:rsidRDefault="00ED6A05" w:rsidP="00ED6A05">
            <w:pPr>
              <w:pStyle w:val="Odstavecseseznamem"/>
              <w:spacing w:after="200" w:line="276" w:lineRule="auto"/>
              <w:ind w:left="0"/>
              <w:jc w:val="both"/>
              <w:rPr>
                <w:rFonts w:asciiTheme="minorHAnsi" w:hAnsiTheme="minorHAnsi" w:cstheme="minorHAnsi"/>
                <w:sz w:val="22"/>
                <w:szCs w:val="22"/>
              </w:rPr>
            </w:pPr>
            <w:r w:rsidRPr="00525AF3">
              <w:rPr>
                <w:rFonts w:asciiTheme="minorHAnsi" w:hAnsiTheme="minorHAnsi" w:cstheme="minorHAnsi"/>
                <w:sz w:val="22"/>
                <w:szCs w:val="22"/>
              </w:rPr>
              <w:t>76 452,8 tis. Kč = 7 540,0 + 7 952,7 + 40 814,3</w:t>
            </w:r>
            <w:r w:rsidRPr="00525AF3">
              <w:rPr>
                <w:rFonts w:asciiTheme="minorHAnsi" w:hAnsiTheme="minorHAnsi" w:cstheme="minorHAnsi"/>
                <w:b/>
                <w:sz w:val="22"/>
                <w:szCs w:val="22"/>
              </w:rPr>
              <w:t xml:space="preserve"> + 20 145,8</w:t>
            </w:r>
          </w:p>
        </w:tc>
      </w:tr>
      <w:tr w:rsidR="00ED6A05" w:rsidRPr="00525AF3" w14:paraId="651175F7" w14:textId="77777777" w:rsidTr="00ED6A05">
        <w:trPr>
          <w:trHeight w:val="403"/>
        </w:trPr>
        <w:tc>
          <w:tcPr>
            <w:tcW w:w="782" w:type="pct"/>
          </w:tcPr>
          <w:p w14:paraId="22D53844" w14:textId="77777777" w:rsidR="00ED6A05" w:rsidRPr="00525AF3" w:rsidRDefault="00ED6A05" w:rsidP="00ED6A05">
            <w:pPr>
              <w:pStyle w:val="Odstavecseseznamem"/>
              <w:spacing w:after="200" w:line="276" w:lineRule="auto"/>
              <w:ind w:left="0"/>
              <w:jc w:val="both"/>
              <w:rPr>
                <w:rFonts w:asciiTheme="minorHAnsi" w:hAnsiTheme="minorHAnsi" w:cstheme="minorHAnsi"/>
                <w:sz w:val="22"/>
                <w:szCs w:val="22"/>
              </w:rPr>
            </w:pPr>
            <w:r w:rsidRPr="00525AF3">
              <w:rPr>
                <w:rFonts w:asciiTheme="minorHAnsi" w:hAnsiTheme="minorHAnsi" w:cstheme="minorHAnsi"/>
                <w:sz w:val="22"/>
                <w:szCs w:val="22"/>
              </w:rPr>
              <w:t>Rok 2025</w:t>
            </w:r>
          </w:p>
        </w:tc>
        <w:tc>
          <w:tcPr>
            <w:tcW w:w="4218" w:type="pct"/>
          </w:tcPr>
          <w:p w14:paraId="68DC435F" w14:textId="77777777" w:rsidR="00ED6A05" w:rsidRPr="00525AF3" w:rsidRDefault="00ED6A05" w:rsidP="00ED6A05">
            <w:pPr>
              <w:pStyle w:val="Odstavecseseznamem"/>
              <w:spacing w:after="200" w:line="276" w:lineRule="auto"/>
              <w:ind w:left="0"/>
              <w:jc w:val="both"/>
              <w:rPr>
                <w:rFonts w:asciiTheme="minorHAnsi" w:hAnsiTheme="minorHAnsi" w:cstheme="minorHAnsi"/>
                <w:sz w:val="22"/>
                <w:szCs w:val="22"/>
              </w:rPr>
            </w:pPr>
            <w:r w:rsidRPr="00525AF3">
              <w:rPr>
                <w:rFonts w:asciiTheme="minorHAnsi" w:hAnsiTheme="minorHAnsi" w:cstheme="minorHAnsi"/>
                <w:sz w:val="22"/>
                <w:szCs w:val="22"/>
              </w:rPr>
              <w:t xml:space="preserve">66 156,5 tis. Kč = 4 889,7 + 14 078,5 + 20 145,9 + </w:t>
            </w:r>
            <w:r w:rsidRPr="00525AF3">
              <w:rPr>
                <w:rFonts w:asciiTheme="minorHAnsi" w:hAnsiTheme="minorHAnsi" w:cstheme="minorHAnsi"/>
                <w:b/>
                <w:sz w:val="22"/>
                <w:szCs w:val="22"/>
              </w:rPr>
              <w:t>26 042,4</w:t>
            </w:r>
          </w:p>
        </w:tc>
      </w:tr>
      <w:tr w:rsidR="00ED6A05" w:rsidRPr="00525AF3" w14:paraId="4168B5AD" w14:textId="77777777" w:rsidTr="00ED6A05">
        <w:trPr>
          <w:trHeight w:val="403"/>
        </w:trPr>
        <w:tc>
          <w:tcPr>
            <w:tcW w:w="782" w:type="pct"/>
          </w:tcPr>
          <w:p w14:paraId="69E7787E" w14:textId="77777777" w:rsidR="00ED6A05" w:rsidRPr="00525AF3" w:rsidRDefault="00ED6A05" w:rsidP="00ED6A05">
            <w:pPr>
              <w:pStyle w:val="Odstavecseseznamem"/>
              <w:spacing w:after="200" w:line="276" w:lineRule="auto"/>
              <w:ind w:left="0"/>
              <w:jc w:val="both"/>
              <w:rPr>
                <w:rFonts w:asciiTheme="minorHAnsi" w:hAnsiTheme="minorHAnsi" w:cstheme="minorHAnsi"/>
                <w:sz w:val="22"/>
                <w:szCs w:val="22"/>
              </w:rPr>
            </w:pPr>
            <w:r w:rsidRPr="00525AF3">
              <w:rPr>
                <w:rFonts w:asciiTheme="minorHAnsi" w:hAnsiTheme="minorHAnsi" w:cstheme="minorHAnsi"/>
                <w:sz w:val="22"/>
                <w:szCs w:val="22"/>
              </w:rPr>
              <w:t>Rok 2026</w:t>
            </w:r>
          </w:p>
        </w:tc>
        <w:tc>
          <w:tcPr>
            <w:tcW w:w="4218" w:type="pct"/>
          </w:tcPr>
          <w:p w14:paraId="70066BF6" w14:textId="77777777" w:rsidR="00ED6A05" w:rsidRPr="00525AF3" w:rsidRDefault="00ED6A05" w:rsidP="00ED6A05">
            <w:pPr>
              <w:pStyle w:val="Odstavecseseznamem"/>
              <w:spacing w:after="200" w:line="276" w:lineRule="auto"/>
              <w:ind w:left="0"/>
              <w:jc w:val="both"/>
              <w:rPr>
                <w:rFonts w:asciiTheme="minorHAnsi" w:hAnsiTheme="minorHAnsi" w:cstheme="minorHAnsi"/>
                <w:sz w:val="22"/>
                <w:szCs w:val="22"/>
              </w:rPr>
            </w:pPr>
            <w:r w:rsidRPr="00525AF3">
              <w:rPr>
                <w:rFonts w:asciiTheme="minorHAnsi" w:hAnsiTheme="minorHAnsi" w:cstheme="minorHAnsi"/>
                <w:sz w:val="22"/>
                <w:szCs w:val="22"/>
              </w:rPr>
              <w:t xml:space="preserve">186 901,9 tis. Kč = 3 695,9 + 7 431,7 + 26 042,4 + </w:t>
            </w:r>
            <w:r w:rsidRPr="00525AF3">
              <w:rPr>
                <w:rFonts w:asciiTheme="minorHAnsi" w:hAnsiTheme="minorHAnsi" w:cstheme="minorHAnsi"/>
                <w:b/>
                <w:sz w:val="22"/>
                <w:szCs w:val="22"/>
              </w:rPr>
              <w:t>149 731,8</w:t>
            </w:r>
          </w:p>
        </w:tc>
      </w:tr>
      <w:tr w:rsidR="00ED6A05" w:rsidRPr="00525AF3" w14:paraId="73BA91AF" w14:textId="77777777" w:rsidTr="00ED6A05">
        <w:trPr>
          <w:trHeight w:val="403"/>
        </w:trPr>
        <w:tc>
          <w:tcPr>
            <w:tcW w:w="782" w:type="pct"/>
          </w:tcPr>
          <w:p w14:paraId="690E8AAE" w14:textId="77777777" w:rsidR="00ED6A05" w:rsidRPr="00525AF3" w:rsidRDefault="00ED6A05" w:rsidP="00ED6A05">
            <w:pPr>
              <w:pStyle w:val="Odstavecseseznamem"/>
              <w:spacing w:after="200" w:line="276" w:lineRule="auto"/>
              <w:ind w:left="0"/>
              <w:jc w:val="both"/>
              <w:rPr>
                <w:rFonts w:asciiTheme="minorHAnsi" w:hAnsiTheme="minorHAnsi" w:cstheme="minorHAnsi"/>
                <w:sz w:val="22"/>
                <w:szCs w:val="22"/>
              </w:rPr>
            </w:pPr>
            <w:r w:rsidRPr="00525AF3">
              <w:rPr>
                <w:rFonts w:asciiTheme="minorHAnsi" w:hAnsiTheme="minorHAnsi" w:cstheme="minorHAnsi"/>
                <w:sz w:val="22"/>
                <w:szCs w:val="22"/>
              </w:rPr>
              <w:t>Rok 2027</w:t>
            </w:r>
          </w:p>
        </w:tc>
        <w:tc>
          <w:tcPr>
            <w:tcW w:w="4218" w:type="pct"/>
          </w:tcPr>
          <w:p w14:paraId="6DEB376F" w14:textId="77777777" w:rsidR="00ED6A05" w:rsidRPr="00525AF3" w:rsidRDefault="00ED6A05" w:rsidP="00ED6A05">
            <w:pPr>
              <w:pStyle w:val="Odstavecseseznamem"/>
              <w:spacing w:after="200" w:line="276" w:lineRule="auto"/>
              <w:ind w:left="0"/>
              <w:jc w:val="both"/>
              <w:rPr>
                <w:rFonts w:asciiTheme="minorHAnsi" w:hAnsiTheme="minorHAnsi" w:cstheme="minorHAnsi"/>
                <w:sz w:val="22"/>
                <w:szCs w:val="22"/>
              </w:rPr>
            </w:pPr>
            <w:r w:rsidRPr="00525AF3">
              <w:rPr>
                <w:rFonts w:asciiTheme="minorHAnsi" w:hAnsiTheme="minorHAnsi" w:cstheme="minorHAnsi"/>
                <w:sz w:val="22"/>
                <w:szCs w:val="22"/>
              </w:rPr>
              <w:t>161 165,6 tis. Kč = 834,8 + 10 599,0 + 149 731,8</w:t>
            </w:r>
          </w:p>
        </w:tc>
      </w:tr>
      <w:tr w:rsidR="00ED6A05" w:rsidRPr="00525AF3" w14:paraId="735890F5" w14:textId="77777777" w:rsidTr="00ED6A05">
        <w:trPr>
          <w:trHeight w:val="403"/>
        </w:trPr>
        <w:tc>
          <w:tcPr>
            <w:tcW w:w="782" w:type="pct"/>
          </w:tcPr>
          <w:p w14:paraId="5773EA39" w14:textId="77777777" w:rsidR="00ED6A05" w:rsidRPr="00525AF3" w:rsidRDefault="00ED6A05" w:rsidP="00ED6A05">
            <w:pPr>
              <w:pStyle w:val="Odstavecseseznamem"/>
              <w:spacing w:after="200" w:line="276" w:lineRule="auto"/>
              <w:ind w:left="0"/>
              <w:jc w:val="both"/>
              <w:rPr>
                <w:rFonts w:asciiTheme="minorHAnsi" w:hAnsiTheme="minorHAnsi" w:cstheme="minorHAnsi"/>
                <w:sz w:val="22"/>
                <w:szCs w:val="22"/>
              </w:rPr>
            </w:pPr>
            <w:r w:rsidRPr="00525AF3">
              <w:rPr>
                <w:rFonts w:asciiTheme="minorHAnsi" w:hAnsiTheme="minorHAnsi" w:cstheme="minorHAnsi"/>
                <w:sz w:val="22"/>
                <w:szCs w:val="22"/>
              </w:rPr>
              <w:t>Rok 2028</w:t>
            </w:r>
          </w:p>
        </w:tc>
        <w:tc>
          <w:tcPr>
            <w:tcW w:w="4218" w:type="pct"/>
          </w:tcPr>
          <w:p w14:paraId="14ED6C18" w14:textId="77777777" w:rsidR="00ED6A05" w:rsidRPr="00525AF3" w:rsidRDefault="00ED6A05" w:rsidP="00ED6A05">
            <w:pPr>
              <w:pStyle w:val="Odstavecseseznamem"/>
              <w:spacing w:after="200" w:line="276" w:lineRule="auto"/>
              <w:ind w:left="0"/>
              <w:jc w:val="both"/>
              <w:rPr>
                <w:rFonts w:asciiTheme="minorHAnsi" w:hAnsiTheme="minorHAnsi" w:cstheme="minorHAnsi"/>
                <w:sz w:val="22"/>
                <w:szCs w:val="22"/>
              </w:rPr>
            </w:pPr>
            <w:r w:rsidRPr="00525AF3">
              <w:rPr>
                <w:rFonts w:asciiTheme="minorHAnsi" w:hAnsiTheme="minorHAnsi" w:cstheme="minorHAnsi"/>
                <w:sz w:val="22"/>
                <w:szCs w:val="22"/>
              </w:rPr>
              <w:t>58 765,5 tis. Kč = 3 857,8 + 54 907,7</w:t>
            </w:r>
          </w:p>
        </w:tc>
      </w:tr>
      <w:tr w:rsidR="00ED6A05" w:rsidRPr="00525AF3" w14:paraId="5C687C2B" w14:textId="77777777" w:rsidTr="00ED6A05">
        <w:trPr>
          <w:trHeight w:val="403"/>
        </w:trPr>
        <w:tc>
          <w:tcPr>
            <w:tcW w:w="782" w:type="pct"/>
          </w:tcPr>
          <w:p w14:paraId="27BE08B5" w14:textId="77777777" w:rsidR="00ED6A05" w:rsidRPr="00525AF3" w:rsidRDefault="00ED6A05" w:rsidP="00ED6A05">
            <w:pPr>
              <w:pStyle w:val="Odstavecseseznamem"/>
              <w:spacing w:after="200" w:line="276" w:lineRule="auto"/>
              <w:ind w:left="0"/>
              <w:jc w:val="both"/>
              <w:rPr>
                <w:rFonts w:asciiTheme="minorHAnsi" w:hAnsiTheme="minorHAnsi" w:cstheme="minorHAnsi"/>
                <w:sz w:val="22"/>
                <w:szCs w:val="22"/>
              </w:rPr>
            </w:pPr>
            <w:r w:rsidRPr="00525AF3">
              <w:rPr>
                <w:rFonts w:asciiTheme="minorHAnsi" w:hAnsiTheme="minorHAnsi" w:cstheme="minorHAnsi"/>
                <w:sz w:val="22"/>
                <w:szCs w:val="22"/>
              </w:rPr>
              <w:t>Rok 2029</w:t>
            </w:r>
          </w:p>
        </w:tc>
        <w:tc>
          <w:tcPr>
            <w:tcW w:w="4218" w:type="pct"/>
          </w:tcPr>
          <w:p w14:paraId="4060CB6A" w14:textId="77777777" w:rsidR="00ED6A05" w:rsidRPr="00525AF3" w:rsidRDefault="00ED6A05" w:rsidP="00ED6A05">
            <w:pPr>
              <w:pStyle w:val="Odstavecseseznamem"/>
              <w:spacing w:after="200" w:line="276" w:lineRule="auto"/>
              <w:ind w:left="0"/>
              <w:jc w:val="both"/>
              <w:rPr>
                <w:rFonts w:asciiTheme="minorHAnsi" w:hAnsiTheme="minorHAnsi" w:cstheme="minorHAnsi"/>
                <w:sz w:val="22"/>
                <w:szCs w:val="22"/>
              </w:rPr>
            </w:pPr>
            <w:r w:rsidRPr="00525AF3">
              <w:rPr>
                <w:rFonts w:asciiTheme="minorHAnsi" w:hAnsiTheme="minorHAnsi" w:cstheme="minorHAnsi"/>
                <w:sz w:val="22"/>
                <w:szCs w:val="22"/>
              </w:rPr>
              <w:t>14 229,4 tis. Kč</w:t>
            </w:r>
          </w:p>
        </w:tc>
      </w:tr>
      <w:tr w:rsidR="00ED6A05" w:rsidRPr="00525AF3" w14:paraId="3F379E92" w14:textId="77777777" w:rsidTr="00ED6A05">
        <w:trPr>
          <w:trHeight w:val="403"/>
        </w:trPr>
        <w:tc>
          <w:tcPr>
            <w:tcW w:w="782" w:type="pct"/>
          </w:tcPr>
          <w:p w14:paraId="2F707595" w14:textId="77777777" w:rsidR="00ED6A05" w:rsidRPr="00525AF3" w:rsidRDefault="00ED6A05" w:rsidP="00ED6A05">
            <w:pPr>
              <w:pStyle w:val="Odstavecseseznamem"/>
              <w:spacing w:after="200" w:line="276" w:lineRule="auto"/>
              <w:ind w:left="0"/>
              <w:jc w:val="both"/>
              <w:rPr>
                <w:rFonts w:asciiTheme="minorHAnsi" w:hAnsiTheme="minorHAnsi" w:cstheme="minorHAnsi"/>
                <w:b/>
                <w:sz w:val="22"/>
                <w:szCs w:val="22"/>
              </w:rPr>
            </w:pPr>
            <w:r w:rsidRPr="00525AF3">
              <w:rPr>
                <w:rFonts w:asciiTheme="minorHAnsi" w:hAnsiTheme="minorHAnsi" w:cstheme="minorHAnsi"/>
                <w:b/>
                <w:sz w:val="22"/>
                <w:szCs w:val="22"/>
              </w:rPr>
              <w:t>Celkem</w:t>
            </w:r>
          </w:p>
        </w:tc>
        <w:tc>
          <w:tcPr>
            <w:tcW w:w="4218" w:type="pct"/>
          </w:tcPr>
          <w:p w14:paraId="085BA78E" w14:textId="77777777" w:rsidR="00ED6A05" w:rsidRPr="00525AF3" w:rsidRDefault="00ED6A05" w:rsidP="00ED6A05">
            <w:pPr>
              <w:pStyle w:val="Odstavecseseznamem"/>
              <w:spacing w:after="200" w:line="276" w:lineRule="auto"/>
              <w:ind w:left="0"/>
              <w:jc w:val="both"/>
              <w:rPr>
                <w:rFonts w:asciiTheme="minorHAnsi" w:hAnsiTheme="minorHAnsi" w:cstheme="minorHAnsi"/>
                <w:b/>
                <w:sz w:val="22"/>
                <w:szCs w:val="22"/>
              </w:rPr>
            </w:pPr>
            <w:r w:rsidRPr="00525AF3">
              <w:rPr>
                <w:rFonts w:asciiTheme="minorHAnsi" w:hAnsiTheme="minorHAnsi" w:cstheme="minorHAnsi"/>
                <w:b/>
                <w:sz w:val="22"/>
                <w:szCs w:val="22"/>
              </w:rPr>
              <w:t>804 858,6 tis. Kč</w:t>
            </w:r>
          </w:p>
        </w:tc>
      </w:tr>
    </w:tbl>
    <w:p w14:paraId="308E625F" w14:textId="64263F72" w:rsidR="00ED6A05" w:rsidRPr="00525AF3" w:rsidRDefault="00ED6A05" w:rsidP="00ED6A05">
      <w:pPr>
        <w:pStyle w:val="Odstavecseseznamem"/>
        <w:spacing w:after="200" w:line="276" w:lineRule="auto"/>
        <w:ind w:left="0"/>
        <w:jc w:val="both"/>
        <w:rPr>
          <w:rFonts w:cstheme="minorHAnsi"/>
          <w:i/>
        </w:rPr>
      </w:pPr>
      <w:r w:rsidRPr="00525AF3">
        <w:rPr>
          <w:rFonts w:cstheme="minorHAnsi"/>
          <w:i/>
          <w:u w:val="single"/>
        </w:rPr>
        <w:t xml:space="preserve">Pozn.: </w:t>
      </w:r>
      <w:r w:rsidRPr="00525AF3">
        <w:rPr>
          <w:rFonts w:cstheme="minorHAnsi"/>
          <w:i/>
        </w:rPr>
        <w:t>Zvýrazněny jsou částky připadající na nároky daného roku; ostatní částky představují finanční prostředky vyplývající z nároků let minulých.</w:t>
      </w:r>
    </w:p>
    <w:p w14:paraId="53BF30DC" w14:textId="77777777" w:rsidR="00ED6A05" w:rsidRPr="00525AF3" w:rsidRDefault="00ED6A05" w:rsidP="00ED6A05">
      <w:pPr>
        <w:pStyle w:val="Nadpis1"/>
        <w:numPr>
          <w:ilvl w:val="0"/>
          <w:numId w:val="42"/>
        </w:numPr>
        <w:spacing w:before="0" w:after="200" w:line="276" w:lineRule="auto"/>
        <w:ind w:left="567" w:hanging="567"/>
        <w:jc w:val="both"/>
        <w:rPr>
          <w:rFonts w:asciiTheme="minorHAnsi" w:hAnsiTheme="minorHAnsi" w:cstheme="minorHAnsi"/>
          <w:sz w:val="22"/>
          <w:szCs w:val="22"/>
        </w:rPr>
      </w:pPr>
      <w:bookmarkStart w:id="1" w:name="_Toc47593850"/>
      <w:r w:rsidRPr="00525AF3">
        <w:rPr>
          <w:rFonts w:asciiTheme="minorHAnsi" w:hAnsiTheme="minorHAnsi" w:cstheme="minorHAnsi"/>
          <w:sz w:val="22"/>
          <w:szCs w:val="22"/>
        </w:rPr>
        <w:t xml:space="preserve"> Nařízení vlády, kterým se mění nařízení vlády č. 342/2016 Sb., o příspěvku ke zmírnění sociálních dopadů souvisejících s restrukturalizací nebo útlumem činnosti právnických osob zabývajících se těžbou uhlí nebo uranu</w:t>
      </w:r>
      <w:bookmarkEnd w:id="1"/>
    </w:p>
    <w:p w14:paraId="68C24F2C" w14:textId="77777777" w:rsidR="00ED6A05" w:rsidRPr="00525AF3" w:rsidRDefault="00ED6A05" w:rsidP="00ED6A05">
      <w:pPr>
        <w:spacing w:after="200" w:line="276" w:lineRule="auto"/>
        <w:jc w:val="both"/>
        <w:rPr>
          <w:rFonts w:cstheme="minorHAnsi"/>
        </w:rPr>
      </w:pPr>
      <w:r w:rsidRPr="00525AF3">
        <w:rPr>
          <w:rFonts w:cstheme="minorHAnsi"/>
        </w:rPr>
        <w:t xml:space="preserve">Sokolovská uhelná je jedním z největších nezávislých výrobců elektrické energie v České republice a zároveň nejmenší hnědouhelnou těžební společností. </w:t>
      </w:r>
    </w:p>
    <w:p w14:paraId="0164305E" w14:textId="77777777" w:rsidR="00ED6A05" w:rsidRPr="00525AF3" w:rsidRDefault="00ED6A05" w:rsidP="00ED6A05">
      <w:pPr>
        <w:pStyle w:val="StylStylramecekvzorekdn"/>
        <w:rPr>
          <w:rFonts w:asciiTheme="minorHAnsi" w:hAnsiTheme="minorHAnsi" w:cstheme="minorHAnsi"/>
          <w:szCs w:val="22"/>
        </w:rPr>
      </w:pPr>
      <w:r w:rsidRPr="00525AF3">
        <w:rPr>
          <w:rFonts w:asciiTheme="minorHAnsi" w:hAnsiTheme="minorHAnsi" w:cstheme="minorHAnsi"/>
          <w:szCs w:val="22"/>
        </w:rPr>
        <w:t xml:space="preserve">Pokud dojde ke schválení předkládaného návrhu novely, budou se moci propouštění zaměstnanci stát příjemci příspěvku. Předpokládaný postupný útlum činnosti v letech 2020 a 2021 by se měl týkat cca 680 uvolňovaných osob ze zaměstnaneckého vztahu, s nimiž bude pracovní poměr rozvazován souladu se zákoníkem práce, tzn. z důvodů, na jejichž základě vzniká nárok na příspěvek. Zbývajících cca 330 zaměstnanců v tomto období ukončí svůj pracovní poměr z jiných důvodů. Vzhledem k charakteru činnosti se bude jednat o příspěvek ve výši </w:t>
      </w:r>
      <w:r w:rsidRPr="00525AF3">
        <w:rPr>
          <w:rFonts w:asciiTheme="minorHAnsi" w:hAnsiTheme="minorHAnsi" w:cstheme="minorHAnsi"/>
          <w:b/>
          <w:szCs w:val="22"/>
        </w:rPr>
        <w:t>5 300,- Kč/měsíc</w:t>
      </w:r>
      <w:r w:rsidRPr="00525AF3">
        <w:rPr>
          <w:rFonts w:asciiTheme="minorHAnsi" w:hAnsiTheme="minorHAnsi" w:cstheme="minorHAnsi"/>
          <w:szCs w:val="22"/>
        </w:rPr>
        <w:t xml:space="preserve">, neboť se jedná o osoby s převažující pracovní činností na povrchu, a to po stanovenou dobu </w:t>
      </w:r>
      <w:r w:rsidRPr="00525AF3">
        <w:rPr>
          <w:rFonts w:asciiTheme="minorHAnsi" w:hAnsiTheme="minorHAnsi" w:cstheme="minorHAnsi"/>
          <w:b/>
          <w:szCs w:val="22"/>
        </w:rPr>
        <w:t>3 až 36 měsíců,</w:t>
      </w:r>
      <w:r w:rsidRPr="00525AF3">
        <w:rPr>
          <w:rFonts w:asciiTheme="minorHAnsi" w:hAnsiTheme="minorHAnsi" w:cstheme="minorHAnsi"/>
          <w:szCs w:val="22"/>
        </w:rPr>
        <w:t xml:space="preserve"> resp. z hlediska zaměstnanosti u nejrizikovější skupiny (nepřetržité zaměstnání u SU</w:t>
      </w:r>
      <w:r w:rsidRPr="00525AF3">
        <w:rPr>
          <w:rFonts w:asciiTheme="minorHAnsi" w:hAnsiTheme="minorHAnsi" w:cstheme="minorHAnsi"/>
          <w:strike/>
          <w:szCs w:val="22"/>
        </w:rPr>
        <w:t xml:space="preserve">. </w:t>
      </w:r>
      <w:r w:rsidRPr="00525AF3">
        <w:rPr>
          <w:rFonts w:asciiTheme="minorHAnsi" w:hAnsiTheme="minorHAnsi" w:cstheme="minorHAnsi"/>
          <w:szCs w:val="22"/>
        </w:rPr>
        <w:t xml:space="preserve">25 let a dosažení věku alespoň 55 let) až </w:t>
      </w:r>
      <w:r w:rsidRPr="00525AF3">
        <w:rPr>
          <w:rFonts w:asciiTheme="minorHAnsi" w:hAnsiTheme="minorHAnsi" w:cstheme="minorHAnsi"/>
          <w:b/>
          <w:szCs w:val="22"/>
        </w:rPr>
        <w:t>60 měsíců</w:t>
      </w:r>
      <w:r w:rsidRPr="00525AF3">
        <w:rPr>
          <w:rFonts w:asciiTheme="minorHAnsi" w:hAnsiTheme="minorHAnsi" w:cstheme="minorHAnsi"/>
          <w:szCs w:val="22"/>
        </w:rPr>
        <w:t xml:space="preserve">.  </w:t>
      </w:r>
    </w:p>
    <w:p w14:paraId="7BA03068" w14:textId="77777777" w:rsidR="00ED6A05" w:rsidRPr="00525AF3" w:rsidRDefault="00ED6A05" w:rsidP="00ED6A05">
      <w:pPr>
        <w:pStyle w:val="StylStylramecekvzorekdn"/>
        <w:rPr>
          <w:rFonts w:asciiTheme="minorHAnsi" w:hAnsiTheme="minorHAnsi" w:cstheme="minorHAnsi"/>
          <w:szCs w:val="22"/>
        </w:rPr>
      </w:pPr>
      <w:r w:rsidRPr="00525AF3">
        <w:rPr>
          <w:rFonts w:asciiTheme="minorHAnsi" w:hAnsiTheme="minorHAnsi" w:cstheme="minorHAnsi"/>
          <w:szCs w:val="22"/>
        </w:rPr>
        <w:t>Z uskutečněných propočtů na základě podkladů SU vyplynulo, že by celkové náklady státního rozpočtu spojené s očekávaným propouštěním již uvedených 680 zaměstnanců SU</w:t>
      </w:r>
      <w:r w:rsidRPr="00525AF3">
        <w:rPr>
          <w:rFonts w:asciiTheme="minorHAnsi" w:hAnsiTheme="minorHAnsi" w:cstheme="minorHAnsi"/>
          <w:strike/>
          <w:szCs w:val="22"/>
        </w:rPr>
        <w:t xml:space="preserve"> </w:t>
      </w:r>
      <w:r w:rsidRPr="00525AF3">
        <w:rPr>
          <w:rFonts w:asciiTheme="minorHAnsi" w:hAnsiTheme="minorHAnsi" w:cstheme="minorHAnsi"/>
          <w:szCs w:val="22"/>
        </w:rPr>
        <w:t xml:space="preserve">měly </w:t>
      </w:r>
      <w:r w:rsidRPr="00525AF3">
        <w:rPr>
          <w:rFonts w:asciiTheme="minorHAnsi" w:hAnsiTheme="minorHAnsi" w:cstheme="minorHAnsi"/>
          <w:b/>
          <w:szCs w:val="22"/>
        </w:rPr>
        <w:t xml:space="preserve">v letech 2020 až 2026 </w:t>
      </w:r>
      <w:r w:rsidRPr="00525AF3">
        <w:rPr>
          <w:rFonts w:asciiTheme="minorHAnsi" w:hAnsiTheme="minorHAnsi" w:cstheme="minorHAnsi"/>
          <w:szCs w:val="22"/>
        </w:rPr>
        <w:t xml:space="preserve">dosáhnout maximální výše v rozmezí cca </w:t>
      </w:r>
      <w:r w:rsidRPr="00525AF3">
        <w:rPr>
          <w:rFonts w:asciiTheme="minorHAnsi" w:hAnsiTheme="minorHAnsi" w:cstheme="minorHAnsi"/>
          <w:b/>
          <w:szCs w:val="22"/>
        </w:rPr>
        <w:t>137,0 mil. Kč</w:t>
      </w:r>
      <w:r w:rsidRPr="00525AF3">
        <w:rPr>
          <w:rFonts w:asciiTheme="minorHAnsi" w:hAnsiTheme="minorHAnsi" w:cstheme="minorHAnsi"/>
          <w:szCs w:val="22"/>
        </w:rPr>
        <w:t xml:space="preserve">. </w:t>
      </w:r>
    </w:p>
    <w:p w14:paraId="4B6DF0B4" w14:textId="77777777" w:rsidR="00ED6A05" w:rsidRPr="00525AF3" w:rsidRDefault="00ED6A05" w:rsidP="00ED6A05">
      <w:pPr>
        <w:spacing w:after="200" w:line="276" w:lineRule="auto"/>
        <w:jc w:val="both"/>
        <w:rPr>
          <w:rFonts w:eastAsia="Times New Roman" w:cstheme="minorHAnsi"/>
          <w:color w:val="auto"/>
        </w:rPr>
      </w:pPr>
      <w:r w:rsidRPr="00525AF3">
        <w:rPr>
          <w:rFonts w:eastAsia="Times New Roman" w:cstheme="minorHAnsi"/>
          <w:color w:val="auto"/>
        </w:rPr>
        <w:lastRenderedPageBreak/>
        <w:t>Pro výpočet finančních nároků na státní rozpočet se vycházelo z údajů o již uvedeném počtu zaměstnanců a jejich věkové struktuře, vůči nimž by bylo postupně nařízení vlády uplatňováno. Z těchto údajů vyplynulo, že by celková výše nároku na příspěvek měla pro zaměstnance SU, a.s. představovat částku cca 136,2 mil. Kč (konkrétně 136 210 000,- Kč), přičemž by se v jednotlivých letech mělo jednat přibližně o následující potřeby:</w:t>
      </w:r>
    </w:p>
    <w:p w14:paraId="53B8168F" w14:textId="77777777" w:rsidR="00ED6A05" w:rsidRPr="00525AF3" w:rsidRDefault="00ED6A05" w:rsidP="00504284">
      <w:pPr>
        <w:pStyle w:val="Odstavecseseznamem"/>
        <w:numPr>
          <w:ilvl w:val="0"/>
          <w:numId w:val="41"/>
        </w:numPr>
        <w:spacing w:after="200" w:line="276" w:lineRule="auto"/>
        <w:ind w:left="284" w:hanging="284"/>
        <w:contextualSpacing w:val="0"/>
        <w:jc w:val="both"/>
        <w:rPr>
          <w:rFonts w:cstheme="minorHAnsi"/>
          <w:i/>
        </w:rPr>
      </w:pPr>
      <w:r w:rsidRPr="00525AF3">
        <w:rPr>
          <w:rFonts w:cstheme="minorHAnsi"/>
          <w:i/>
        </w:rPr>
        <w:t xml:space="preserve">Výše nákladů v jednotlivých letech </w:t>
      </w:r>
      <w:r w:rsidRPr="00525AF3">
        <w:rPr>
          <w:rFonts w:cstheme="minorHAnsi"/>
          <w:i/>
          <w:u w:val="single"/>
        </w:rPr>
        <w:t>podle roku vzniku nároku</w:t>
      </w:r>
      <w:r w:rsidRPr="00525AF3">
        <w:rPr>
          <w:rFonts w:cstheme="minorHAnsi"/>
          <w:i/>
        </w:rPr>
        <w:t xml:space="preserve"> (předpoklad SU):</w:t>
      </w:r>
    </w:p>
    <w:p w14:paraId="6F743D78" w14:textId="6F935E6A" w:rsidR="008B40A4" w:rsidRPr="00525AF3" w:rsidRDefault="008B40A4" w:rsidP="008B40A4">
      <w:pPr>
        <w:pStyle w:val="Titulek"/>
        <w:keepNext/>
        <w:rPr>
          <w:rFonts w:cstheme="minorHAnsi"/>
          <w:color w:val="auto"/>
          <w:sz w:val="22"/>
          <w:szCs w:val="22"/>
        </w:rPr>
      </w:pPr>
      <w:r w:rsidRPr="00525AF3">
        <w:rPr>
          <w:rFonts w:cstheme="minorHAnsi"/>
          <w:b/>
          <w:i w:val="0"/>
          <w:color w:val="auto"/>
          <w:sz w:val="22"/>
          <w:szCs w:val="22"/>
        </w:rPr>
        <w:t xml:space="preserve">Tabulka č. </w:t>
      </w:r>
      <w:r w:rsidRPr="00525AF3">
        <w:rPr>
          <w:rFonts w:cstheme="minorHAnsi"/>
          <w:b/>
          <w:i w:val="0"/>
          <w:color w:val="auto"/>
          <w:sz w:val="22"/>
          <w:szCs w:val="22"/>
        </w:rPr>
        <w:fldChar w:fldCharType="begin"/>
      </w:r>
      <w:r w:rsidRPr="00525AF3">
        <w:rPr>
          <w:rFonts w:cstheme="minorHAnsi"/>
          <w:b/>
          <w:i w:val="0"/>
          <w:color w:val="auto"/>
          <w:sz w:val="22"/>
          <w:szCs w:val="22"/>
        </w:rPr>
        <w:instrText xml:space="preserve"> SEQ Tabulka_č. \* ARABIC </w:instrText>
      </w:r>
      <w:r w:rsidRPr="00525AF3">
        <w:rPr>
          <w:rFonts w:cstheme="minorHAnsi"/>
          <w:b/>
          <w:i w:val="0"/>
          <w:color w:val="auto"/>
          <w:sz w:val="22"/>
          <w:szCs w:val="22"/>
        </w:rPr>
        <w:fldChar w:fldCharType="separate"/>
      </w:r>
      <w:r w:rsidR="00F24B26">
        <w:rPr>
          <w:rFonts w:cstheme="minorHAnsi"/>
          <w:b/>
          <w:i w:val="0"/>
          <w:noProof/>
          <w:color w:val="auto"/>
          <w:sz w:val="22"/>
          <w:szCs w:val="22"/>
        </w:rPr>
        <w:t>3</w:t>
      </w:r>
      <w:r w:rsidRPr="00525AF3">
        <w:rPr>
          <w:rFonts w:cstheme="minorHAnsi"/>
          <w:b/>
          <w:i w:val="0"/>
          <w:color w:val="auto"/>
          <w:sz w:val="22"/>
          <w:szCs w:val="22"/>
        </w:rPr>
        <w:fldChar w:fldCharType="end"/>
      </w:r>
      <w:r w:rsidRPr="00525AF3">
        <w:rPr>
          <w:rFonts w:cstheme="minorHAnsi"/>
          <w:b/>
          <w:i w:val="0"/>
          <w:color w:val="auto"/>
          <w:sz w:val="22"/>
          <w:szCs w:val="22"/>
        </w:rPr>
        <w:t xml:space="preserve">: </w:t>
      </w:r>
      <w:r w:rsidRPr="00525AF3">
        <w:rPr>
          <w:rFonts w:cstheme="minorHAnsi"/>
          <w:color w:val="auto"/>
          <w:sz w:val="22"/>
          <w:szCs w:val="22"/>
        </w:rPr>
        <w:t>Výše nákladů v jednotlivých letech podle roku vzniku nároku (v tis. Kč)</w:t>
      </w:r>
    </w:p>
    <w:tbl>
      <w:tblPr>
        <w:tblStyle w:val="Mkatabulky"/>
        <w:tblW w:w="5000" w:type="pct"/>
        <w:tblLook w:val="04A0" w:firstRow="1" w:lastRow="0" w:firstColumn="1" w:lastColumn="0" w:noHBand="0" w:noVBand="1"/>
      </w:tblPr>
      <w:tblGrid>
        <w:gridCol w:w="4814"/>
        <w:gridCol w:w="4814"/>
      </w:tblGrid>
      <w:tr w:rsidR="00ED6A05" w:rsidRPr="00525AF3" w14:paraId="1EAD5CFE" w14:textId="77777777" w:rsidTr="00ED6A05">
        <w:tc>
          <w:tcPr>
            <w:tcW w:w="5000" w:type="pct"/>
            <w:gridSpan w:val="2"/>
          </w:tcPr>
          <w:p w14:paraId="58465EBD" w14:textId="77777777" w:rsidR="00ED6A05" w:rsidRPr="00525AF3" w:rsidRDefault="00ED6A05" w:rsidP="00ED6A05">
            <w:pPr>
              <w:spacing w:after="200" w:line="276" w:lineRule="auto"/>
              <w:jc w:val="both"/>
              <w:rPr>
                <w:rFonts w:asciiTheme="minorHAnsi" w:hAnsiTheme="minorHAnsi" w:cstheme="minorHAnsi"/>
                <w:b/>
                <w:sz w:val="22"/>
                <w:szCs w:val="22"/>
              </w:rPr>
            </w:pPr>
            <w:r w:rsidRPr="00525AF3">
              <w:rPr>
                <w:rFonts w:asciiTheme="minorHAnsi" w:hAnsiTheme="minorHAnsi" w:cstheme="minorHAnsi"/>
                <w:b/>
                <w:sz w:val="22"/>
                <w:szCs w:val="22"/>
              </w:rPr>
              <w:t>Rok vzniku nároku (tis. Kč)</w:t>
            </w:r>
          </w:p>
        </w:tc>
      </w:tr>
      <w:tr w:rsidR="00ED6A05" w:rsidRPr="00525AF3" w14:paraId="253FB490" w14:textId="77777777" w:rsidTr="00ED6A05">
        <w:tc>
          <w:tcPr>
            <w:tcW w:w="2500" w:type="pct"/>
          </w:tcPr>
          <w:p w14:paraId="7BD53810" w14:textId="77777777" w:rsidR="00ED6A05" w:rsidRPr="00525AF3" w:rsidRDefault="00ED6A05" w:rsidP="00ED6A05">
            <w:pPr>
              <w:spacing w:after="200" w:line="276" w:lineRule="auto"/>
              <w:jc w:val="both"/>
              <w:rPr>
                <w:rFonts w:asciiTheme="minorHAnsi" w:hAnsiTheme="minorHAnsi" w:cstheme="minorHAnsi"/>
                <w:b/>
                <w:sz w:val="22"/>
                <w:szCs w:val="22"/>
              </w:rPr>
            </w:pPr>
            <w:r w:rsidRPr="00525AF3">
              <w:rPr>
                <w:rFonts w:asciiTheme="minorHAnsi" w:hAnsiTheme="minorHAnsi" w:cstheme="minorHAnsi"/>
                <w:b/>
                <w:sz w:val="22"/>
                <w:szCs w:val="22"/>
              </w:rPr>
              <w:t>2020</w:t>
            </w:r>
          </w:p>
        </w:tc>
        <w:tc>
          <w:tcPr>
            <w:tcW w:w="2500" w:type="pct"/>
          </w:tcPr>
          <w:p w14:paraId="3DD4BC11" w14:textId="77777777" w:rsidR="00ED6A05" w:rsidRPr="00525AF3" w:rsidRDefault="00ED6A05" w:rsidP="00ED6A05">
            <w:pPr>
              <w:spacing w:after="200" w:line="276" w:lineRule="auto"/>
              <w:jc w:val="both"/>
              <w:rPr>
                <w:rFonts w:asciiTheme="minorHAnsi" w:hAnsiTheme="minorHAnsi" w:cstheme="minorHAnsi"/>
                <w:b/>
                <w:sz w:val="22"/>
                <w:szCs w:val="22"/>
              </w:rPr>
            </w:pPr>
            <w:r w:rsidRPr="00525AF3">
              <w:rPr>
                <w:rFonts w:asciiTheme="minorHAnsi" w:hAnsiTheme="minorHAnsi" w:cstheme="minorHAnsi"/>
                <w:b/>
                <w:sz w:val="22"/>
                <w:szCs w:val="22"/>
              </w:rPr>
              <w:t>2021</w:t>
            </w:r>
          </w:p>
        </w:tc>
      </w:tr>
      <w:tr w:rsidR="00ED6A05" w:rsidRPr="00525AF3" w14:paraId="2CED7C93" w14:textId="77777777" w:rsidTr="00ED6A05">
        <w:tc>
          <w:tcPr>
            <w:tcW w:w="2500" w:type="pct"/>
          </w:tcPr>
          <w:p w14:paraId="17FED0BB" w14:textId="77777777" w:rsidR="00ED6A05" w:rsidRPr="00525AF3" w:rsidRDefault="00ED6A05" w:rsidP="00ED6A05">
            <w:pPr>
              <w:spacing w:after="200" w:line="276" w:lineRule="auto"/>
              <w:jc w:val="both"/>
              <w:rPr>
                <w:rFonts w:asciiTheme="minorHAnsi" w:hAnsiTheme="minorHAnsi" w:cstheme="minorHAnsi"/>
                <w:sz w:val="22"/>
                <w:szCs w:val="22"/>
              </w:rPr>
            </w:pPr>
            <w:r w:rsidRPr="00525AF3">
              <w:rPr>
                <w:rFonts w:asciiTheme="minorHAnsi" w:hAnsiTheme="minorHAnsi" w:cstheme="minorHAnsi"/>
                <w:sz w:val="22"/>
                <w:szCs w:val="22"/>
              </w:rPr>
              <w:t>113 155,0</w:t>
            </w:r>
          </w:p>
        </w:tc>
        <w:tc>
          <w:tcPr>
            <w:tcW w:w="2500" w:type="pct"/>
          </w:tcPr>
          <w:p w14:paraId="259A564D" w14:textId="77777777" w:rsidR="00ED6A05" w:rsidRPr="00525AF3" w:rsidRDefault="00ED6A05" w:rsidP="00ED6A05">
            <w:pPr>
              <w:spacing w:after="200" w:line="276" w:lineRule="auto"/>
              <w:jc w:val="both"/>
              <w:rPr>
                <w:rFonts w:asciiTheme="minorHAnsi" w:hAnsiTheme="minorHAnsi" w:cstheme="minorHAnsi"/>
                <w:sz w:val="22"/>
                <w:szCs w:val="22"/>
              </w:rPr>
            </w:pPr>
            <w:r w:rsidRPr="00525AF3">
              <w:rPr>
                <w:rFonts w:asciiTheme="minorHAnsi" w:hAnsiTheme="minorHAnsi" w:cstheme="minorHAnsi"/>
                <w:sz w:val="22"/>
                <w:szCs w:val="22"/>
              </w:rPr>
              <w:t>23 055,0</w:t>
            </w:r>
          </w:p>
        </w:tc>
      </w:tr>
      <w:tr w:rsidR="00ED6A05" w:rsidRPr="00525AF3" w14:paraId="405B9587" w14:textId="77777777" w:rsidTr="00ED6A05">
        <w:tc>
          <w:tcPr>
            <w:tcW w:w="5000" w:type="pct"/>
            <w:gridSpan w:val="2"/>
          </w:tcPr>
          <w:p w14:paraId="2DD0DA83" w14:textId="77777777" w:rsidR="00ED6A05" w:rsidRPr="00525AF3" w:rsidRDefault="00ED6A05" w:rsidP="00ED6A05">
            <w:pPr>
              <w:spacing w:after="200" w:line="276" w:lineRule="auto"/>
              <w:jc w:val="both"/>
              <w:rPr>
                <w:rFonts w:asciiTheme="minorHAnsi" w:hAnsiTheme="minorHAnsi" w:cstheme="minorHAnsi"/>
                <w:b/>
                <w:sz w:val="22"/>
                <w:szCs w:val="22"/>
              </w:rPr>
            </w:pPr>
            <w:r w:rsidRPr="00525AF3">
              <w:rPr>
                <w:rFonts w:asciiTheme="minorHAnsi" w:hAnsiTheme="minorHAnsi" w:cstheme="minorHAnsi"/>
                <w:b/>
                <w:sz w:val="22"/>
                <w:szCs w:val="22"/>
              </w:rPr>
              <w:t>CELKEM: 136 210,0</w:t>
            </w:r>
          </w:p>
        </w:tc>
      </w:tr>
    </w:tbl>
    <w:p w14:paraId="14842FE4" w14:textId="77777777" w:rsidR="00ED6A05" w:rsidRPr="00525AF3" w:rsidRDefault="00ED6A05" w:rsidP="008B40A4">
      <w:pPr>
        <w:pStyle w:val="Odstavecseseznamem"/>
        <w:numPr>
          <w:ilvl w:val="0"/>
          <w:numId w:val="41"/>
        </w:numPr>
        <w:spacing w:before="200" w:after="200" w:line="276" w:lineRule="auto"/>
        <w:ind w:left="284" w:hanging="284"/>
        <w:contextualSpacing w:val="0"/>
        <w:jc w:val="both"/>
        <w:rPr>
          <w:rFonts w:cstheme="minorHAnsi"/>
          <w:i/>
        </w:rPr>
      </w:pPr>
      <w:r w:rsidRPr="00525AF3">
        <w:rPr>
          <w:rFonts w:cstheme="minorHAnsi"/>
          <w:i/>
        </w:rPr>
        <w:t xml:space="preserve">Výše nákladů </w:t>
      </w:r>
      <w:r w:rsidRPr="00525AF3">
        <w:rPr>
          <w:rFonts w:cstheme="minorHAnsi"/>
          <w:i/>
          <w:u w:val="single"/>
        </w:rPr>
        <w:t>v jednotlivých letech</w:t>
      </w:r>
      <w:r w:rsidRPr="00525AF3">
        <w:rPr>
          <w:rFonts w:cstheme="minorHAnsi"/>
          <w:i/>
        </w:rPr>
        <w:t xml:space="preserve"> (předpoklad SU):</w:t>
      </w:r>
    </w:p>
    <w:p w14:paraId="2C40DAFD" w14:textId="69DEA173" w:rsidR="008B40A4" w:rsidRPr="00525AF3" w:rsidRDefault="008B40A4" w:rsidP="008B40A4">
      <w:pPr>
        <w:pStyle w:val="Titulek"/>
        <w:keepNext/>
        <w:rPr>
          <w:rFonts w:cstheme="minorHAnsi"/>
          <w:color w:val="auto"/>
          <w:sz w:val="22"/>
          <w:szCs w:val="22"/>
        </w:rPr>
      </w:pPr>
      <w:r w:rsidRPr="00525AF3">
        <w:rPr>
          <w:rFonts w:cstheme="minorHAnsi"/>
          <w:b/>
          <w:i w:val="0"/>
          <w:color w:val="auto"/>
          <w:sz w:val="22"/>
          <w:szCs w:val="22"/>
        </w:rPr>
        <w:t xml:space="preserve">Tabulka č. </w:t>
      </w:r>
      <w:r w:rsidRPr="00525AF3">
        <w:rPr>
          <w:rFonts w:cstheme="minorHAnsi"/>
          <w:b/>
          <w:i w:val="0"/>
          <w:color w:val="auto"/>
          <w:sz w:val="22"/>
          <w:szCs w:val="22"/>
        </w:rPr>
        <w:fldChar w:fldCharType="begin"/>
      </w:r>
      <w:r w:rsidRPr="00525AF3">
        <w:rPr>
          <w:rFonts w:cstheme="minorHAnsi"/>
          <w:b/>
          <w:i w:val="0"/>
          <w:color w:val="auto"/>
          <w:sz w:val="22"/>
          <w:szCs w:val="22"/>
        </w:rPr>
        <w:instrText xml:space="preserve"> SEQ Tabulka_č. \* ARABIC </w:instrText>
      </w:r>
      <w:r w:rsidRPr="00525AF3">
        <w:rPr>
          <w:rFonts w:cstheme="minorHAnsi"/>
          <w:b/>
          <w:i w:val="0"/>
          <w:color w:val="auto"/>
          <w:sz w:val="22"/>
          <w:szCs w:val="22"/>
        </w:rPr>
        <w:fldChar w:fldCharType="separate"/>
      </w:r>
      <w:r w:rsidR="00F24B26">
        <w:rPr>
          <w:rFonts w:cstheme="minorHAnsi"/>
          <w:b/>
          <w:i w:val="0"/>
          <w:noProof/>
          <w:color w:val="auto"/>
          <w:sz w:val="22"/>
          <w:szCs w:val="22"/>
        </w:rPr>
        <w:t>4</w:t>
      </w:r>
      <w:r w:rsidRPr="00525AF3">
        <w:rPr>
          <w:rFonts w:cstheme="minorHAnsi"/>
          <w:b/>
          <w:i w:val="0"/>
          <w:color w:val="auto"/>
          <w:sz w:val="22"/>
          <w:szCs w:val="22"/>
        </w:rPr>
        <w:fldChar w:fldCharType="end"/>
      </w:r>
      <w:r w:rsidRPr="00525AF3">
        <w:rPr>
          <w:rFonts w:cstheme="minorHAnsi"/>
          <w:b/>
          <w:i w:val="0"/>
          <w:color w:val="auto"/>
          <w:sz w:val="22"/>
          <w:szCs w:val="22"/>
        </w:rPr>
        <w:t xml:space="preserve">: </w:t>
      </w:r>
      <w:r w:rsidRPr="00525AF3">
        <w:rPr>
          <w:rFonts w:cstheme="minorHAnsi"/>
          <w:color w:val="auto"/>
          <w:sz w:val="22"/>
          <w:szCs w:val="22"/>
        </w:rPr>
        <w:t>Výše nákladů v jednotlivých letech (v tis. Kč)</w:t>
      </w:r>
    </w:p>
    <w:tbl>
      <w:tblPr>
        <w:tblStyle w:val="Mkatabulky"/>
        <w:tblW w:w="5000" w:type="pct"/>
        <w:tblLook w:val="04A0" w:firstRow="1" w:lastRow="0" w:firstColumn="1" w:lastColumn="0" w:noHBand="0" w:noVBand="1"/>
      </w:tblPr>
      <w:tblGrid>
        <w:gridCol w:w="1203"/>
        <w:gridCol w:w="1203"/>
        <w:gridCol w:w="1203"/>
        <w:gridCol w:w="1203"/>
        <w:gridCol w:w="1204"/>
        <w:gridCol w:w="1204"/>
        <w:gridCol w:w="1204"/>
        <w:gridCol w:w="1204"/>
      </w:tblGrid>
      <w:tr w:rsidR="00ED6A05" w:rsidRPr="00525AF3" w14:paraId="0AC8A0E4" w14:textId="77777777" w:rsidTr="00ED6A05">
        <w:tc>
          <w:tcPr>
            <w:tcW w:w="625" w:type="pct"/>
          </w:tcPr>
          <w:p w14:paraId="35079E11" w14:textId="77777777" w:rsidR="00ED6A05" w:rsidRPr="00525AF3" w:rsidRDefault="00ED6A05" w:rsidP="00ED6A05">
            <w:pPr>
              <w:spacing w:after="200" w:line="276" w:lineRule="auto"/>
              <w:jc w:val="both"/>
              <w:rPr>
                <w:rFonts w:asciiTheme="minorHAnsi" w:hAnsiTheme="minorHAnsi" w:cstheme="minorHAnsi"/>
                <w:b/>
                <w:sz w:val="22"/>
                <w:szCs w:val="22"/>
              </w:rPr>
            </w:pPr>
            <w:r w:rsidRPr="00525AF3">
              <w:rPr>
                <w:rFonts w:asciiTheme="minorHAnsi" w:hAnsiTheme="minorHAnsi" w:cstheme="minorHAnsi"/>
                <w:b/>
                <w:sz w:val="22"/>
                <w:szCs w:val="22"/>
              </w:rPr>
              <w:t>Rok 2020</w:t>
            </w:r>
          </w:p>
        </w:tc>
        <w:tc>
          <w:tcPr>
            <w:tcW w:w="625" w:type="pct"/>
          </w:tcPr>
          <w:p w14:paraId="0047C8CC" w14:textId="77777777" w:rsidR="00ED6A05" w:rsidRPr="00525AF3" w:rsidRDefault="00ED6A05" w:rsidP="00ED6A05">
            <w:pPr>
              <w:spacing w:after="200" w:line="276" w:lineRule="auto"/>
              <w:jc w:val="both"/>
              <w:rPr>
                <w:rFonts w:asciiTheme="minorHAnsi" w:hAnsiTheme="minorHAnsi" w:cstheme="minorHAnsi"/>
                <w:b/>
                <w:sz w:val="22"/>
                <w:szCs w:val="22"/>
              </w:rPr>
            </w:pPr>
            <w:r w:rsidRPr="00525AF3">
              <w:rPr>
                <w:rFonts w:asciiTheme="minorHAnsi" w:hAnsiTheme="minorHAnsi" w:cstheme="minorHAnsi"/>
                <w:b/>
                <w:sz w:val="22"/>
                <w:szCs w:val="22"/>
              </w:rPr>
              <w:t>Rok 2021</w:t>
            </w:r>
          </w:p>
        </w:tc>
        <w:tc>
          <w:tcPr>
            <w:tcW w:w="625" w:type="pct"/>
          </w:tcPr>
          <w:p w14:paraId="5CEEECAF" w14:textId="77777777" w:rsidR="00ED6A05" w:rsidRPr="00525AF3" w:rsidRDefault="00ED6A05" w:rsidP="00ED6A05">
            <w:pPr>
              <w:spacing w:after="200" w:line="276" w:lineRule="auto"/>
              <w:jc w:val="both"/>
              <w:rPr>
                <w:rFonts w:asciiTheme="minorHAnsi" w:hAnsiTheme="minorHAnsi" w:cstheme="minorHAnsi"/>
                <w:b/>
                <w:sz w:val="22"/>
                <w:szCs w:val="22"/>
              </w:rPr>
            </w:pPr>
            <w:r w:rsidRPr="00525AF3">
              <w:rPr>
                <w:rFonts w:asciiTheme="minorHAnsi" w:hAnsiTheme="minorHAnsi" w:cstheme="minorHAnsi"/>
                <w:b/>
                <w:sz w:val="22"/>
                <w:szCs w:val="22"/>
              </w:rPr>
              <w:t>Rok 2022</w:t>
            </w:r>
          </w:p>
        </w:tc>
        <w:tc>
          <w:tcPr>
            <w:tcW w:w="625" w:type="pct"/>
          </w:tcPr>
          <w:p w14:paraId="54FAE6B7" w14:textId="77777777" w:rsidR="00ED6A05" w:rsidRPr="00525AF3" w:rsidRDefault="00ED6A05" w:rsidP="00ED6A05">
            <w:pPr>
              <w:spacing w:after="200" w:line="276" w:lineRule="auto"/>
              <w:jc w:val="both"/>
              <w:rPr>
                <w:rFonts w:asciiTheme="minorHAnsi" w:hAnsiTheme="minorHAnsi" w:cstheme="minorHAnsi"/>
                <w:b/>
                <w:sz w:val="22"/>
                <w:szCs w:val="22"/>
              </w:rPr>
            </w:pPr>
            <w:r w:rsidRPr="00525AF3">
              <w:rPr>
                <w:rFonts w:asciiTheme="minorHAnsi" w:hAnsiTheme="minorHAnsi" w:cstheme="minorHAnsi"/>
                <w:b/>
                <w:sz w:val="22"/>
                <w:szCs w:val="22"/>
              </w:rPr>
              <w:t>Rok 2023</w:t>
            </w:r>
          </w:p>
        </w:tc>
        <w:tc>
          <w:tcPr>
            <w:tcW w:w="625" w:type="pct"/>
          </w:tcPr>
          <w:p w14:paraId="3871ED59" w14:textId="77777777" w:rsidR="00ED6A05" w:rsidRPr="00525AF3" w:rsidRDefault="00ED6A05" w:rsidP="00ED6A05">
            <w:pPr>
              <w:spacing w:after="200" w:line="276" w:lineRule="auto"/>
              <w:jc w:val="both"/>
              <w:rPr>
                <w:rFonts w:asciiTheme="minorHAnsi" w:hAnsiTheme="minorHAnsi" w:cstheme="minorHAnsi"/>
                <w:b/>
                <w:sz w:val="22"/>
                <w:szCs w:val="22"/>
              </w:rPr>
            </w:pPr>
            <w:r w:rsidRPr="00525AF3">
              <w:rPr>
                <w:rFonts w:asciiTheme="minorHAnsi" w:hAnsiTheme="minorHAnsi" w:cstheme="minorHAnsi"/>
                <w:b/>
                <w:sz w:val="22"/>
                <w:szCs w:val="22"/>
              </w:rPr>
              <w:t>Rok 2024</w:t>
            </w:r>
          </w:p>
        </w:tc>
        <w:tc>
          <w:tcPr>
            <w:tcW w:w="625" w:type="pct"/>
          </w:tcPr>
          <w:p w14:paraId="05AB3445" w14:textId="77777777" w:rsidR="00ED6A05" w:rsidRPr="00525AF3" w:rsidRDefault="00ED6A05" w:rsidP="00ED6A05">
            <w:pPr>
              <w:spacing w:after="200" w:line="276" w:lineRule="auto"/>
              <w:jc w:val="both"/>
              <w:rPr>
                <w:rFonts w:asciiTheme="minorHAnsi" w:hAnsiTheme="minorHAnsi" w:cstheme="minorHAnsi"/>
                <w:b/>
                <w:sz w:val="22"/>
                <w:szCs w:val="22"/>
              </w:rPr>
            </w:pPr>
            <w:r w:rsidRPr="00525AF3">
              <w:rPr>
                <w:rFonts w:asciiTheme="minorHAnsi" w:hAnsiTheme="minorHAnsi" w:cstheme="minorHAnsi"/>
                <w:b/>
                <w:sz w:val="22"/>
                <w:szCs w:val="22"/>
              </w:rPr>
              <w:t>Rok 2025</w:t>
            </w:r>
          </w:p>
        </w:tc>
        <w:tc>
          <w:tcPr>
            <w:tcW w:w="625" w:type="pct"/>
          </w:tcPr>
          <w:p w14:paraId="1400F2BE" w14:textId="77777777" w:rsidR="00ED6A05" w:rsidRPr="00525AF3" w:rsidRDefault="00ED6A05" w:rsidP="00ED6A05">
            <w:pPr>
              <w:spacing w:after="200" w:line="276" w:lineRule="auto"/>
              <w:jc w:val="both"/>
              <w:rPr>
                <w:rFonts w:asciiTheme="minorHAnsi" w:hAnsiTheme="minorHAnsi" w:cstheme="minorHAnsi"/>
                <w:b/>
                <w:sz w:val="22"/>
                <w:szCs w:val="22"/>
              </w:rPr>
            </w:pPr>
            <w:r w:rsidRPr="00525AF3">
              <w:rPr>
                <w:rFonts w:asciiTheme="minorHAnsi" w:hAnsiTheme="minorHAnsi" w:cstheme="minorHAnsi"/>
                <w:b/>
                <w:sz w:val="22"/>
                <w:szCs w:val="22"/>
              </w:rPr>
              <w:t>Rok 2026</w:t>
            </w:r>
          </w:p>
        </w:tc>
        <w:tc>
          <w:tcPr>
            <w:tcW w:w="625" w:type="pct"/>
          </w:tcPr>
          <w:p w14:paraId="036D14EE" w14:textId="77777777" w:rsidR="00ED6A05" w:rsidRPr="00525AF3" w:rsidRDefault="00ED6A05" w:rsidP="00ED6A05">
            <w:pPr>
              <w:spacing w:after="200" w:line="276" w:lineRule="auto"/>
              <w:jc w:val="both"/>
              <w:rPr>
                <w:rFonts w:asciiTheme="minorHAnsi" w:hAnsiTheme="minorHAnsi" w:cstheme="minorHAnsi"/>
                <w:b/>
                <w:sz w:val="22"/>
                <w:szCs w:val="22"/>
              </w:rPr>
            </w:pPr>
            <w:r w:rsidRPr="00525AF3">
              <w:rPr>
                <w:rFonts w:asciiTheme="minorHAnsi" w:hAnsiTheme="minorHAnsi" w:cstheme="minorHAnsi"/>
                <w:b/>
                <w:sz w:val="22"/>
                <w:szCs w:val="22"/>
              </w:rPr>
              <w:t>CELKEM</w:t>
            </w:r>
          </w:p>
        </w:tc>
      </w:tr>
      <w:tr w:rsidR="00ED6A05" w:rsidRPr="00525AF3" w14:paraId="5D9C01A1" w14:textId="77777777" w:rsidTr="00ED6A05">
        <w:tc>
          <w:tcPr>
            <w:tcW w:w="625" w:type="pct"/>
          </w:tcPr>
          <w:p w14:paraId="4DD107AB" w14:textId="77777777" w:rsidR="00ED6A05" w:rsidRPr="00525AF3" w:rsidRDefault="00ED6A05" w:rsidP="00ED6A05">
            <w:pPr>
              <w:spacing w:after="200" w:line="276" w:lineRule="auto"/>
              <w:jc w:val="both"/>
              <w:rPr>
                <w:rFonts w:asciiTheme="minorHAnsi" w:hAnsiTheme="minorHAnsi" w:cstheme="minorHAnsi"/>
                <w:sz w:val="22"/>
                <w:szCs w:val="22"/>
              </w:rPr>
            </w:pPr>
            <w:r w:rsidRPr="00525AF3">
              <w:rPr>
                <w:rFonts w:asciiTheme="minorHAnsi" w:hAnsiTheme="minorHAnsi" w:cstheme="minorHAnsi"/>
                <w:sz w:val="22"/>
                <w:szCs w:val="22"/>
              </w:rPr>
              <w:t>10 388,0</w:t>
            </w:r>
          </w:p>
        </w:tc>
        <w:tc>
          <w:tcPr>
            <w:tcW w:w="625" w:type="pct"/>
          </w:tcPr>
          <w:p w14:paraId="672017D7" w14:textId="77777777" w:rsidR="00ED6A05" w:rsidRPr="00525AF3" w:rsidRDefault="00ED6A05" w:rsidP="00ED6A05">
            <w:pPr>
              <w:spacing w:after="200" w:line="276" w:lineRule="auto"/>
              <w:jc w:val="both"/>
              <w:rPr>
                <w:rFonts w:asciiTheme="minorHAnsi" w:hAnsiTheme="minorHAnsi" w:cstheme="minorHAnsi"/>
                <w:sz w:val="22"/>
                <w:szCs w:val="22"/>
              </w:rPr>
            </w:pPr>
            <w:r w:rsidRPr="00525AF3">
              <w:rPr>
                <w:rFonts w:asciiTheme="minorHAnsi" w:hAnsiTheme="minorHAnsi" w:cstheme="minorHAnsi"/>
                <w:sz w:val="22"/>
                <w:szCs w:val="22"/>
              </w:rPr>
              <w:t>34 614,3</w:t>
            </w:r>
          </w:p>
        </w:tc>
        <w:tc>
          <w:tcPr>
            <w:tcW w:w="625" w:type="pct"/>
          </w:tcPr>
          <w:p w14:paraId="553F8273" w14:textId="77777777" w:rsidR="00ED6A05" w:rsidRPr="00525AF3" w:rsidRDefault="00ED6A05" w:rsidP="00ED6A05">
            <w:pPr>
              <w:spacing w:after="200" w:line="276" w:lineRule="auto"/>
              <w:jc w:val="both"/>
              <w:rPr>
                <w:rFonts w:asciiTheme="minorHAnsi" w:hAnsiTheme="minorHAnsi" w:cstheme="minorHAnsi"/>
                <w:sz w:val="22"/>
                <w:szCs w:val="22"/>
              </w:rPr>
            </w:pPr>
            <w:r w:rsidRPr="00525AF3">
              <w:rPr>
                <w:rFonts w:asciiTheme="minorHAnsi" w:hAnsiTheme="minorHAnsi" w:cstheme="minorHAnsi"/>
                <w:sz w:val="22"/>
                <w:szCs w:val="22"/>
              </w:rPr>
              <w:t>36 119,5</w:t>
            </w:r>
          </w:p>
        </w:tc>
        <w:tc>
          <w:tcPr>
            <w:tcW w:w="625" w:type="pct"/>
          </w:tcPr>
          <w:p w14:paraId="007C4C79" w14:textId="77777777" w:rsidR="00ED6A05" w:rsidRPr="00525AF3" w:rsidRDefault="00ED6A05" w:rsidP="00ED6A05">
            <w:pPr>
              <w:spacing w:after="200" w:line="276" w:lineRule="auto"/>
              <w:jc w:val="both"/>
              <w:rPr>
                <w:rFonts w:asciiTheme="minorHAnsi" w:hAnsiTheme="minorHAnsi" w:cstheme="minorHAnsi"/>
                <w:sz w:val="22"/>
                <w:szCs w:val="22"/>
              </w:rPr>
            </w:pPr>
            <w:r w:rsidRPr="00525AF3">
              <w:rPr>
                <w:rFonts w:asciiTheme="minorHAnsi" w:hAnsiTheme="minorHAnsi" w:cstheme="minorHAnsi"/>
                <w:sz w:val="22"/>
                <w:szCs w:val="22"/>
              </w:rPr>
              <w:t>19 779,6</w:t>
            </w:r>
          </w:p>
        </w:tc>
        <w:tc>
          <w:tcPr>
            <w:tcW w:w="625" w:type="pct"/>
          </w:tcPr>
          <w:p w14:paraId="3B8E7781" w14:textId="77777777" w:rsidR="00ED6A05" w:rsidRPr="00525AF3" w:rsidRDefault="00ED6A05" w:rsidP="00ED6A05">
            <w:pPr>
              <w:spacing w:after="200" w:line="276" w:lineRule="auto"/>
              <w:jc w:val="both"/>
              <w:rPr>
                <w:rFonts w:asciiTheme="minorHAnsi" w:hAnsiTheme="minorHAnsi" w:cstheme="minorHAnsi"/>
                <w:sz w:val="22"/>
                <w:szCs w:val="22"/>
              </w:rPr>
            </w:pPr>
            <w:r w:rsidRPr="00525AF3">
              <w:rPr>
                <w:rFonts w:asciiTheme="minorHAnsi" w:hAnsiTheme="minorHAnsi" w:cstheme="minorHAnsi"/>
                <w:sz w:val="22"/>
                <w:szCs w:val="22"/>
              </w:rPr>
              <w:t>17 299,2</w:t>
            </w:r>
          </w:p>
        </w:tc>
        <w:tc>
          <w:tcPr>
            <w:tcW w:w="625" w:type="pct"/>
          </w:tcPr>
          <w:p w14:paraId="638B5685" w14:textId="77777777" w:rsidR="00ED6A05" w:rsidRPr="00525AF3" w:rsidRDefault="00ED6A05" w:rsidP="00ED6A05">
            <w:pPr>
              <w:spacing w:after="200" w:line="276" w:lineRule="auto"/>
              <w:jc w:val="both"/>
              <w:rPr>
                <w:rFonts w:asciiTheme="minorHAnsi" w:hAnsiTheme="minorHAnsi" w:cstheme="minorHAnsi"/>
                <w:sz w:val="22"/>
                <w:szCs w:val="22"/>
              </w:rPr>
            </w:pPr>
            <w:r w:rsidRPr="00525AF3">
              <w:rPr>
                <w:rFonts w:asciiTheme="minorHAnsi" w:hAnsiTheme="minorHAnsi" w:cstheme="minorHAnsi"/>
                <w:sz w:val="22"/>
                <w:szCs w:val="22"/>
              </w:rPr>
              <w:t>13 409,0</w:t>
            </w:r>
          </w:p>
        </w:tc>
        <w:tc>
          <w:tcPr>
            <w:tcW w:w="625" w:type="pct"/>
          </w:tcPr>
          <w:p w14:paraId="73831CA2" w14:textId="77777777" w:rsidR="00ED6A05" w:rsidRPr="00525AF3" w:rsidRDefault="00ED6A05" w:rsidP="00ED6A05">
            <w:pPr>
              <w:spacing w:after="200" w:line="276" w:lineRule="auto"/>
              <w:jc w:val="both"/>
              <w:rPr>
                <w:rFonts w:asciiTheme="minorHAnsi" w:hAnsiTheme="minorHAnsi" w:cstheme="minorHAnsi"/>
                <w:sz w:val="22"/>
                <w:szCs w:val="22"/>
              </w:rPr>
            </w:pPr>
            <w:r w:rsidRPr="00525AF3">
              <w:rPr>
                <w:rFonts w:asciiTheme="minorHAnsi" w:hAnsiTheme="minorHAnsi" w:cstheme="minorHAnsi"/>
                <w:sz w:val="22"/>
                <w:szCs w:val="22"/>
              </w:rPr>
              <w:t>4 600,4</w:t>
            </w:r>
          </w:p>
        </w:tc>
        <w:tc>
          <w:tcPr>
            <w:tcW w:w="625" w:type="pct"/>
          </w:tcPr>
          <w:p w14:paraId="07EE5769" w14:textId="77777777" w:rsidR="00ED6A05" w:rsidRPr="00525AF3" w:rsidRDefault="00ED6A05" w:rsidP="00ED6A05">
            <w:pPr>
              <w:spacing w:after="200" w:line="276" w:lineRule="auto"/>
              <w:jc w:val="both"/>
              <w:rPr>
                <w:rFonts w:asciiTheme="minorHAnsi" w:hAnsiTheme="minorHAnsi" w:cstheme="minorHAnsi"/>
                <w:sz w:val="22"/>
                <w:szCs w:val="22"/>
              </w:rPr>
            </w:pPr>
            <w:r w:rsidRPr="00525AF3">
              <w:rPr>
                <w:rFonts w:asciiTheme="minorHAnsi" w:hAnsiTheme="minorHAnsi" w:cstheme="minorHAnsi"/>
                <w:sz w:val="22"/>
                <w:szCs w:val="22"/>
              </w:rPr>
              <w:t>136 210,0</w:t>
            </w:r>
          </w:p>
        </w:tc>
      </w:tr>
    </w:tbl>
    <w:p w14:paraId="44F756F4" w14:textId="77777777" w:rsidR="00ED6A05" w:rsidRPr="00525AF3" w:rsidRDefault="00ED6A05" w:rsidP="00ED6A05">
      <w:pPr>
        <w:pStyle w:val="StylStylramecekvzorekdn"/>
        <w:rPr>
          <w:rFonts w:asciiTheme="minorHAnsi" w:hAnsiTheme="minorHAnsi" w:cstheme="minorHAnsi"/>
          <w:szCs w:val="22"/>
        </w:rPr>
      </w:pPr>
      <w:r w:rsidRPr="00525AF3">
        <w:rPr>
          <w:rFonts w:asciiTheme="minorHAnsi" w:hAnsiTheme="minorHAnsi" w:cstheme="minorHAnsi"/>
          <w:szCs w:val="22"/>
        </w:rPr>
        <w:t>Navrhovaná novela nařízení vlády č. 342/2016 Sb. ve své podstatě spočívá pouze v </w:t>
      </w:r>
      <w:r w:rsidRPr="00525AF3">
        <w:rPr>
          <w:rFonts w:asciiTheme="minorHAnsi" w:hAnsiTheme="minorHAnsi" w:cstheme="minorHAnsi"/>
          <w:b/>
          <w:szCs w:val="22"/>
        </w:rPr>
        <w:t>rozšíření počtu 10 subjektů</w:t>
      </w:r>
      <w:r w:rsidRPr="00525AF3">
        <w:rPr>
          <w:rFonts w:asciiTheme="minorHAnsi" w:hAnsiTheme="minorHAnsi" w:cstheme="minorHAnsi"/>
          <w:szCs w:val="22"/>
        </w:rPr>
        <w:t xml:space="preserve"> (z regionu severních Čech, severní Moravy a Vysočiny) </w:t>
      </w:r>
      <w:r w:rsidRPr="00525AF3">
        <w:rPr>
          <w:rFonts w:asciiTheme="minorHAnsi" w:hAnsiTheme="minorHAnsi" w:cstheme="minorHAnsi"/>
          <w:b/>
          <w:szCs w:val="22"/>
        </w:rPr>
        <w:t xml:space="preserve">na 11 </w:t>
      </w:r>
      <w:r w:rsidRPr="00525AF3">
        <w:rPr>
          <w:rFonts w:asciiTheme="minorHAnsi" w:hAnsiTheme="minorHAnsi" w:cstheme="minorHAnsi"/>
          <w:szCs w:val="22"/>
        </w:rPr>
        <w:t>(</w:t>
      </w:r>
      <w:r w:rsidRPr="00525AF3">
        <w:rPr>
          <w:rFonts w:asciiTheme="minorHAnsi" w:hAnsiTheme="minorHAnsi" w:cstheme="minorHAnsi"/>
          <w:b/>
          <w:szCs w:val="22"/>
        </w:rPr>
        <w:t>doplněna by byla společnost Sokolovská uhelná, právní nástupce, a.s.</w:t>
      </w:r>
      <w:r w:rsidRPr="00525AF3">
        <w:rPr>
          <w:rFonts w:asciiTheme="minorHAnsi" w:hAnsiTheme="minorHAnsi" w:cstheme="minorHAnsi"/>
          <w:szCs w:val="22"/>
        </w:rPr>
        <w:t xml:space="preserve"> z Karlovarského kraje).</w:t>
      </w:r>
    </w:p>
    <w:p w14:paraId="5FCFA3D5" w14:textId="77777777" w:rsidR="00ED6A05" w:rsidRPr="00525AF3" w:rsidRDefault="00ED6A05" w:rsidP="00ED6A05">
      <w:pPr>
        <w:spacing w:after="200" w:line="276" w:lineRule="auto"/>
        <w:jc w:val="both"/>
        <w:rPr>
          <w:rFonts w:cstheme="minorHAnsi"/>
          <w:b/>
        </w:rPr>
      </w:pPr>
      <w:r w:rsidRPr="00525AF3">
        <w:rPr>
          <w:rFonts w:cstheme="minorHAnsi"/>
          <w:b/>
        </w:rPr>
        <w:t>Z hlediska splnění předpokladů toho, aby se nařízení vlády č. 342/2016 Sb. mohlo vztahovat na společnost Sokolovská uhelná, právní nástupce a.s., lze konstatovat:</w:t>
      </w:r>
    </w:p>
    <w:p w14:paraId="3BCD1060" w14:textId="77777777" w:rsidR="00ED6A05" w:rsidRPr="00525AF3" w:rsidRDefault="00ED6A05" w:rsidP="00ED6A05">
      <w:pPr>
        <w:pStyle w:val="Odstavecseseznamem"/>
        <w:numPr>
          <w:ilvl w:val="0"/>
          <w:numId w:val="37"/>
        </w:numPr>
        <w:spacing w:after="200" w:line="276" w:lineRule="auto"/>
        <w:ind w:left="284" w:hanging="284"/>
        <w:jc w:val="both"/>
        <w:rPr>
          <w:rStyle w:val="preformatted"/>
          <w:rFonts w:cstheme="minorHAnsi"/>
          <w:b/>
        </w:rPr>
      </w:pPr>
      <w:r w:rsidRPr="00525AF3">
        <w:rPr>
          <w:rFonts w:cstheme="minorHAnsi"/>
          <w:b/>
        </w:rPr>
        <w:t xml:space="preserve">jedná se o společnost zabývající se těžbou uhlí podle § 1 odst. 1 NV </w:t>
      </w:r>
      <w:r w:rsidRPr="00525AF3">
        <w:rPr>
          <w:rFonts w:cstheme="minorHAnsi"/>
        </w:rPr>
        <w:t>(viz předmět činnosti společnosti =</w:t>
      </w:r>
      <w:r w:rsidRPr="00525AF3">
        <w:rPr>
          <w:rFonts w:cstheme="minorHAnsi"/>
          <w:b/>
        </w:rPr>
        <w:t xml:space="preserve"> </w:t>
      </w:r>
      <w:r w:rsidRPr="00525AF3">
        <w:rPr>
          <w:rStyle w:val="preformatted"/>
          <w:rFonts w:cstheme="minorHAnsi"/>
        </w:rPr>
        <w:t>hornická činnost (podle zákona č. 61/1988 Sb. o hornické činnosti, výbušninách a o státní báňské správě, ve znění pozdějších předpisů)</w:t>
      </w:r>
    </w:p>
    <w:p w14:paraId="44F9FF3A" w14:textId="77777777" w:rsidR="00ED6A05" w:rsidRPr="00525AF3" w:rsidRDefault="00ED6A05" w:rsidP="00ED6A05">
      <w:pPr>
        <w:spacing w:after="200" w:line="276" w:lineRule="auto"/>
        <w:ind w:left="426"/>
        <w:jc w:val="both"/>
        <w:rPr>
          <w:rFonts w:cstheme="minorHAnsi"/>
        </w:rPr>
      </w:pPr>
      <w:r w:rsidRPr="00525AF3">
        <w:rPr>
          <w:rFonts w:cstheme="minorHAnsi"/>
        </w:rPr>
        <w:t xml:space="preserve">Z hlediska organizačního uspořádání společnosti lze uvést, že se vnitřně společnost člení na </w:t>
      </w:r>
    </w:p>
    <w:p w14:paraId="45C1316E" w14:textId="77777777" w:rsidR="00ED6A05" w:rsidRPr="00525AF3" w:rsidRDefault="00ED6A05" w:rsidP="00ED6A05">
      <w:pPr>
        <w:pStyle w:val="Odstavecseseznamem"/>
        <w:numPr>
          <w:ilvl w:val="0"/>
          <w:numId w:val="38"/>
        </w:numPr>
        <w:spacing w:after="200" w:line="276" w:lineRule="auto"/>
        <w:ind w:left="709" w:hanging="283"/>
        <w:jc w:val="both"/>
        <w:rPr>
          <w:rFonts w:cstheme="minorHAnsi"/>
        </w:rPr>
      </w:pPr>
      <w:r w:rsidRPr="00525AF3">
        <w:rPr>
          <w:rFonts w:cstheme="minorHAnsi"/>
        </w:rPr>
        <w:t xml:space="preserve">Těžební část </w:t>
      </w:r>
    </w:p>
    <w:p w14:paraId="1F922F3E" w14:textId="77777777" w:rsidR="00ED6A05" w:rsidRPr="00525AF3" w:rsidRDefault="00ED6A05" w:rsidP="00ED6A05">
      <w:pPr>
        <w:pStyle w:val="Odstavecseseznamem"/>
        <w:numPr>
          <w:ilvl w:val="0"/>
          <w:numId w:val="38"/>
        </w:numPr>
        <w:spacing w:after="200" w:line="276" w:lineRule="auto"/>
        <w:ind w:left="709" w:hanging="283"/>
        <w:jc w:val="both"/>
        <w:rPr>
          <w:rFonts w:cstheme="minorHAnsi"/>
        </w:rPr>
      </w:pPr>
      <w:r w:rsidRPr="00525AF3">
        <w:rPr>
          <w:rFonts w:cstheme="minorHAnsi"/>
        </w:rPr>
        <w:t>Zpracovatelskou část zahrnující také Zpracovatelský kombinát ve Vřesové, který obsahuje kromě tlakového zplynění i paroplynovou elektrárnu a teplárnu, úpravu uhlí, technologie pro čištění odpadních vod a likvidaci plynných emisí = celkem 7 sekcí, vč. sekce Teplárny</w:t>
      </w:r>
    </w:p>
    <w:p w14:paraId="462B0EAD" w14:textId="77777777" w:rsidR="00ED6A05" w:rsidRPr="00525AF3" w:rsidRDefault="00ED6A05" w:rsidP="00ED6A05">
      <w:pPr>
        <w:pStyle w:val="Odstavecseseznamem"/>
        <w:numPr>
          <w:ilvl w:val="0"/>
          <w:numId w:val="38"/>
        </w:numPr>
        <w:spacing w:after="200" w:line="276" w:lineRule="auto"/>
        <w:ind w:left="709" w:hanging="284"/>
        <w:contextualSpacing w:val="0"/>
        <w:jc w:val="both"/>
        <w:rPr>
          <w:rStyle w:val="preformatted"/>
          <w:rFonts w:cstheme="minorHAnsi"/>
        </w:rPr>
      </w:pPr>
      <w:r w:rsidRPr="00525AF3">
        <w:rPr>
          <w:rFonts w:cstheme="minorHAnsi"/>
        </w:rPr>
        <w:t>Provozní a správní úsek</w:t>
      </w:r>
    </w:p>
    <w:p w14:paraId="7CDEE2AD" w14:textId="77777777" w:rsidR="00ED6A05" w:rsidRPr="00525AF3" w:rsidRDefault="00ED6A05" w:rsidP="00ED6A05">
      <w:pPr>
        <w:pStyle w:val="Odstavecseseznamem"/>
        <w:numPr>
          <w:ilvl w:val="0"/>
          <w:numId w:val="37"/>
        </w:numPr>
        <w:spacing w:after="200" w:line="276" w:lineRule="auto"/>
        <w:ind w:left="284" w:hanging="284"/>
        <w:jc w:val="both"/>
        <w:rPr>
          <w:rFonts w:cstheme="minorHAnsi"/>
          <w:b/>
        </w:rPr>
      </w:pPr>
      <w:r w:rsidRPr="00525AF3">
        <w:rPr>
          <w:rFonts w:cstheme="minorHAnsi"/>
          <w:b/>
        </w:rPr>
        <w:t xml:space="preserve">jednalo by se o společnost splňující podmínku restrukturalizace nebo útlumu činnosti podle § 1 odst. 3 NV </w:t>
      </w:r>
      <w:r w:rsidRPr="00525AF3">
        <w:rPr>
          <w:rFonts w:cstheme="minorHAnsi"/>
        </w:rPr>
        <w:t>(viz definice restrukturalizace a útlumu činnosti),</w:t>
      </w:r>
    </w:p>
    <w:p w14:paraId="0DAB1344" w14:textId="77777777" w:rsidR="00ED6A05" w:rsidRPr="00525AF3" w:rsidRDefault="00ED6A05" w:rsidP="00ED6A05">
      <w:pPr>
        <w:pStyle w:val="Odstavecseseznamem"/>
        <w:numPr>
          <w:ilvl w:val="0"/>
          <w:numId w:val="37"/>
        </w:numPr>
        <w:spacing w:after="200" w:line="276" w:lineRule="auto"/>
        <w:ind w:left="284" w:hanging="284"/>
        <w:jc w:val="both"/>
        <w:rPr>
          <w:rFonts w:cstheme="minorHAnsi"/>
          <w:b/>
        </w:rPr>
      </w:pPr>
      <w:r w:rsidRPr="00525AF3">
        <w:rPr>
          <w:rFonts w:cstheme="minorHAnsi"/>
          <w:b/>
        </w:rPr>
        <w:t xml:space="preserve">lze předpokládat splnění podmínky podle § 2 odst. 2 </w:t>
      </w:r>
      <w:r w:rsidRPr="00525AF3">
        <w:rPr>
          <w:rFonts w:cstheme="minorHAnsi"/>
        </w:rPr>
        <w:t>(podmínka, že v kraji, v němž měla oprávněná osoba místo výkonu práce u určené těžební společnosti, byl v kalendářním pololetí předcházejícím dni skončení jejího pracovního poměru průměrný podíl nezaměstnaných osob podle statistiky MPSV vyšší nebo roven průměrnému podílu nezaměstnaných osob v České republice),</w:t>
      </w:r>
    </w:p>
    <w:p w14:paraId="50F85CE7" w14:textId="2ABF21D1" w:rsidR="00ED6A05" w:rsidRPr="00525AF3" w:rsidRDefault="00ED6A05" w:rsidP="00A96C8D">
      <w:pPr>
        <w:pStyle w:val="Odstavecseseznamem"/>
        <w:numPr>
          <w:ilvl w:val="0"/>
          <w:numId w:val="37"/>
        </w:numPr>
        <w:spacing w:before="200" w:after="200" w:line="276" w:lineRule="auto"/>
        <w:ind w:left="284" w:hanging="284"/>
        <w:jc w:val="both"/>
        <w:rPr>
          <w:rFonts w:cstheme="minorHAnsi"/>
        </w:rPr>
      </w:pPr>
      <w:r w:rsidRPr="00525AF3">
        <w:rPr>
          <w:rFonts w:cstheme="minorHAnsi"/>
          <w:b/>
        </w:rPr>
        <w:lastRenderedPageBreak/>
        <w:t xml:space="preserve">lze předpokládat splnění podmínky podle § 7 NV </w:t>
      </w:r>
      <w:r w:rsidRPr="00525AF3">
        <w:rPr>
          <w:rFonts w:cstheme="minorHAnsi"/>
        </w:rPr>
        <w:t>(oznámení MPO nejméně 3 měsíce před předpokládaným dnem zahájení snižování počtu zaměstnanců plán postupu při snižování počtu zaměstnanců).</w:t>
      </w:r>
    </w:p>
    <w:sectPr w:rsidR="00ED6A05" w:rsidRPr="00525AF3" w:rsidSect="00504284">
      <w:footerReference w:type="default" r:id="rId8"/>
      <w:pgSz w:w="11906" w:h="16838"/>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13B677" w14:textId="77777777" w:rsidR="00994F51" w:rsidRDefault="00994F51" w:rsidP="00677FE0">
      <w:pPr>
        <w:spacing w:after="0" w:line="240" w:lineRule="auto"/>
      </w:pPr>
      <w:r>
        <w:separator/>
      </w:r>
    </w:p>
  </w:endnote>
  <w:endnote w:type="continuationSeparator" w:id="0">
    <w:p w14:paraId="19BD1A20" w14:textId="77777777" w:rsidR="00994F51" w:rsidRDefault="00994F51" w:rsidP="00677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36316812"/>
      <w:docPartObj>
        <w:docPartGallery w:val="Page Numbers (Bottom of Page)"/>
        <w:docPartUnique/>
      </w:docPartObj>
    </w:sdtPr>
    <w:sdtEndPr/>
    <w:sdtContent>
      <w:p w14:paraId="04E406CD" w14:textId="27A62E9E" w:rsidR="00504284" w:rsidRDefault="00504284">
        <w:pPr>
          <w:pStyle w:val="Zpat"/>
          <w:jc w:val="center"/>
        </w:pPr>
        <w:r>
          <w:t>-</w:t>
        </w:r>
        <w:r>
          <w:fldChar w:fldCharType="begin"/>
        </w:r>
        <w:r>
          <w:instrText>PAGE   \* MERGEFORMAT</w:instrText>
        </w:r>
        <w:r>
          <w:fldChar w:fldCharType="separate"/>
        </w:r>
        <w:r w:rsidR="000508A6">
          <w:rPr>
            <w:noProof/>
          </w:rPr>
          <w:t>1</w:t>
        </w:r>
        <w:r>
          <w:fldChar w:fldCharType="end"/>
        </w:r>
        <w:r>
          <w:t>-</w:t>
        </w:r>
      </w:p>
    </w:sdtContent>
  </w:sdt>
  <w:p w14:paraId="3AE59215" w14:textId="77777777" w:rsidR="00504284" w:rsidRDefault="0050428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33062A" w14:textId="77777777" w:rsidR="00994F51" w:rsidRDefault="00994F51" w:rsidP="00677FE0">
      <w:pPr>
        <w:spacing w:after="0" w:line="240" w:lineRule="auto"/>
      </w:pPr>
      <w:r>
        <w:separator/>
      </w:r>
    </w:p>
  </w:footnote>
  <w:footnote w:type="continuationSeparator" w:id="0">
    <w:p w14:paraId="56A53E6C" w14:textId="77777777" w:rsidR="00994F51" w:rsidRDefault="00994F51" w:rsidP="00677F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8068BAF2"/>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EC04007A"/>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644E8BC8"/>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EDE89452"/>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7EEA4E58"/>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08C23B5"/>
    <w:multiLevelType w:val="multilevel"/>
    <w:tmpl w:val="E8A48D7C"/>
    <w:numStyleLink w:val="VariantaA-sla"/>
  </w:abstractNum>
  <w:abstractNum w:abstractNumId="6" w15:restartNumberingAfterBreak="0">
    <w:nsid w:val="02E83A8B"/>
    <w:multiLevelType w:val="multilevel"/>
    <w:tmpl w:val="E8BAE50A"/>
    <w:numStyleLink w:val="VariantaA-odrky"/>
  </w:abstractNum>
  <w:abstractNum w:abstractNumId="7" w15:restartNumberingAfterBreak="0">
    <w:nsid w:val="0402680D"/>
    <w:multiLevelType w:val="multilevel"/>
    <w:tmpl w:val="E8BAE50A"/>
    <w:numStyleLink w:val="VariantaA-odrky"/>
  </w:abstractNum>
  <w:abstractNum w:abstractNumId="8" w15:restartNumberingAfterBreak="0">
    <w:nsid w:val="040D1B93"/>
    <w:multiLevelType w:val="multilevel"/>
    <w:tmpl w:val="E8A48D7C"/>
    <w:styleLink w:val="VariantaA-sla"/>
    <w:lvl w:ilvl="0">
      <w:start w:val="1"/>
      <w:numFmt w:val="decimal"/>
      <w:pStyle w:val="slovanseznam"/>
      <w:lvlText w:val="%1."/>
      <w:lvlJc w:val="left"/>
      <w:pPr>
        <w:ind w:left="357" w:hanging="357"/>
      </w:pPr>
      <w:rPr>
        <w:rFonts w:hint="default"/>
      </w:rPr>
    </w:lvl>
    <w:lvl w:ilvl="1">
      <w:start w:val="1"/>
      <w:numFmt w:val="decimal"/>
      <w:pStyle w:val="slovanseznam2"/>
      <w:lvlText w:val="%1.%2."/>
      <w:lvlJc w:val="left"/>
      <w:pPr>
        <w:ind w:left="851" w:hanging="494"/>
      </w:pPr>
      <w:rPr>
        <w:rFonts w:hint="default"/>
      </w:rPr>
    </w:lvl>
    <w:lvl w:ilvl="2">
      <w:start w:val="1"/>
      <w:numFmt w:val="decimal"/>
      <w:pStyle w:val="slovanseznam3"/>
      <w:lvlText w:val="%1.%2.%3."/>
      <w:lvlJc w:val="left"/>
      <w:pPr>
        <w:ind w:left="1474" w:hanging="623"/>
      </w:pPr>
      <w:rPr>
        <w:rFonts w:hint="default"/>
      </w:rPr>
    </w:lvl>
    <w:lvl w:ilvl="3">
      <w:start w:val="1"/>
      <w:numFmt w:val="decimal"/>
      <w:pStyle w:val="slovanseznam4"/>
      <w:lvlText w:val="%1.%2.%3.%4."/>
      <w:lvlJc w:val="left"/>
      <w:pPr>
        <w:tabs>
          <w:tab w:val="num" w:pos="1474"/>
        </w:tabs>
        <w:ind w:left="2268" w:hanging="794"/>
      </w:pPr>
      <w:rPr>
        <w:rFonts w:hint="default"/>
      </w:rPr>
    </w:lvl>
    <w:lvl w:ilvl="4">
      <w:start w:val="1"/>
      <w:numFmt w:val="decimal"/>
      <w:pStyle w:val="slovanseznam5"/>
      <w:lvlText w:val="%1.%2.%3.%4.%5."/>
      <w:lvlJc w:val="left"/>
      <w:pPr>
        <w:ind w:left="3232" w:hanging="964"/>
      </w:pPr>
      <w:rPr>
        <w:rFonts w:hint="default"/>
      </w:rPr>
    </w:lvl>
    <w:lvl w:ilvl="5">
      <w:start w:val="1"/>
      <w:numFmt w:val="decimal"/>
      <w:lvlText w:val="%1.%2.%3.%4.%5.%6."/>
      <w:lvlJc w:val="left"/>
      <w:pPr>
        <w:ind w:left="4366" w:hanging="1134"/>
      </w:pPr>
      <w:rPr>
        <w:rFonts w:hint="default"/>
      </w:rPr>
    </w:lvl>
    <w:lvl w:ilvl="6">
      <w:start w:val="1"/>
      <w:numFmt w:val="decimal"/>
      <w:lvlText w:val="%1.%2.%3.%4.%5.%6.%7."/>
      <w:lvlJc w:val="left"/>
      <w:pPr>
        <w:tabs>
          <w:tab w:val="num" w:pos="3232"/>
        </w:tabs>
        <w:ind w:left="4536" w:hanging="1304"/>
      </w:pPr>
      <w:rPr>
        <w:rFonts w:hint="default"/>
      </w:rPr>
    </w:lvl>
    <w:lvl w:ilvl="7">
      <w:start w:val="1"/>
      <w:numFmt w:val="decimal"/>
      <w:lvlText w:val="%1.%2.%3.%4.%5.%6.%7.%8."/>
      <w:lvlJc w:val="left"/>
      <w:pPr>
        <w:tabs>
          <w:tab w:val="num" w:pos="3232"/>
        </w:tabs>
        <w:ind w:left="4706" w:hanging="1474"/>
      </w:pPr>
      <w:rPr>
        <w:rFonts w:hint="default"/>
      </w:rPr>
    </w:lvl>
    <w:lvl w:ilvl="8">
      <w:start w:val="1"/>
      <w:numFmt w:val="decimal"/>
      <w:lvlText w:val="%1.%2.%3.%4.%5.%6.%7.%8.%9."/>
      <w:lvlJc w:val="left"/>
      <w:pPr>
        <w:ind w:left="4876" w:hanging="1644"/>
      </w:pPr>
      <w:rPr>
        <w:rFonts w:hint="default"/>
      </w:rPr>
    </w:lvl>
  </w:abstractNum>
  <w:abstractNum w:abstractNumId="9" w15:restartNumberingAfterBreak="0">
    <w:nsid w:val="0479347F"/>
    <w:multiLevelType w:val="multilevel"/>
    <w:tmpl w:val="3320A8B2"/>
    <w:numStyleLink w:val="VariantaB-odrky"/>
  </w:abstractNum>
  <w:abstractNum w:abstractNumId="10" w15:restartNumberingAfterBreak="0">
    <w:nsid w:val="04D643EE"/>
    <w:multiLevelType w:val="multilevel"/>
    <w:tmpl w:val="E8A48D7C"/>
    <w:numStyleLink w:val="VariantaA-sla"/>
  </w:abstractNum>
  <w:abstractNum w:abstractNumId="11" w15:restartNumberingAfterBreak="0">
    <w:nsid w:val="0BDD4BBA"/>
    <w:multiLevelType w:val="multilevel"/>
    <w:tmpl w:val="E8BAE50A"/>
    <w:numStyleLink w:val="VariantaA-odrky"/>
  </w:abstractNum>
  <w:abstractNum w:abstractNumId="12" w15:restartNumberingAfterBreak="0">
    <w:nsid w:val="0D786F4D"/>
    <w:multiLevelType w:val="multilevel"/>
    <w:tmpl w:val="0A5A7CA2"/>
    <w:lvl w:ilvl="0">
      <w:start w:val="1"/>
      <w:numFmt w:val="decimal"/>
      <w:lvlText w:val="%1."/>
      <w:lvlJc w:val="left"/>
      <w:pPr>
        <w:ind w:left="357" w:hanging="357"/>
      </w:pPr>
      <w:rPr>
        <w:rFonts w:hint="default"/>
      </w:rPr>
    </w:lvl>
    <w:lvl w:ilvl="1">
      <w:start w:val="1"/>
      <w:numFmt w:val="decimal"/>
      <w:lvlText w:val="%1.%2."/>
      <w:lvlJc w:val="left"/>
      <w:pPr>
        <w:ind w:left="851" w:hanging="494"/>
      </w:pPr>
      <w:rPr>
        <w:rFonts w:hint="default"/>
      </w:rPr>
    </w:lvl>
    <w:lvl w:ilvl="2">
      <w:start w:val="1"/>
      <w:numFmt w:val="decimal"/>
      <w:lvlText w:val="%1.%2.%3."/>
      <w:lvlJc w:val="left"/>
      <w:pPr>
        <w:ind w:left="1474" w:hanging="623"/>
      </w:pPr>
      <w:rPr>
        <w:rFonts w:hint="default"/>
      </w:rPr>
    </w:lvl>
    <w:lvl w:ilvl="3">
      <w:start w:val="1"/>
      <w:numFmt w:val="decimal"/>
      <w:lvlText w:val="%1.%2.%3.%4."/>
      <w:lvlJc w:val="left"/>
      <w:pPr>
        <w:tabs>
          <w:tab w:val="num" w:pos="1474"/>
        </w:tabs>
        <w:ind w:left="2211" w:hanging="737"/>
      </w:pPr>
      <w:rPr>
        <w:rFonts w:hint="default"/>
      </w:rPr>
    </w:lvl>
    <w:lvl w:ilvl="4">
      <w:start w:val="1"/>
      <w:numFmt w:val="decimal"/>
      <w:lvlText w:val="%1.%2.%3.%4.%5."/>
      <w:lvlJc w:val="left"/>
      <w:pPr>
        <w:ind w:left="3175" w:hanging="964"/>
      </w:pPr>
      <w:rPr>
        <w:rFonts w:hint="default"/>
      </w:rPr>
    </w:lvl>
    <w:lvl w:ilvl="5">
      <w:start w:val="1"/>
      <w:numFmt w:val="decimal"/>
      <w:lvlText w:val="%1.%2.%3.%4.%5.%6."/>
      <w:lvlJc w:val="left"/>
      <w:pPr>
        <w:ind w:left="4309" w:hanging="1134"/>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13" w15:restartNumberingAfterBreak="0">
    <w:nsid w:val="0FB65904"/>
    <w:multiLevelType w:val="hybridMultilevel"/>
    <w:tmpl w:val="916C76BE"/>
    <w:lvl w:ilvl="0" w:tplc="853AABC4">
      <w:start w:val="1"/>
      <w:numFmt w:val="lowerLetter"/>
      <w:lvlText w:val="%1)"/>
      <w:lvlJc w:val="left"/>
      <w:pPr>
        <w:ind w:left="76" w:hanging="360"/>
      </w:pPr>
      <w:rPr>
        <w:rFonts w:hint="default"/>
      </w:rPr>
    </w:lvl>
    <w:lvl w:ilvl="1" w:tplc="04050019" w:tentative="1">
      <w:start w:val="1"/>
      <w:numFmt w:val="lowerLetter"/>
      <w:lvlText w:val="%2."/>
      <w:lvlJc w:val="left"/>
      <w:pPr>
        <w:ind w:left="872" w:hanging="360"/>
      </w:pPr>
    </w:lvl>
    <w:lvl w:ilvl="2" w:tplc="0405001B" w:tentative="1">
      <w:start w:val="1"/>
      <w:numFmt w:val="lowerRoman"/>
      <w:lvlText w:val="%3."/>
      <w:lvlJc w:val="right"/>
      <w:pPr>
        <w:ind w:left="1592" w:hanging="180"/>
      </w:pPr>
    </w:lvl>
    <w:lvl w:ilvl="3" w:tplc="0405000F" w:tentative="1">
      <w:start w:val="1"/>
      <w:numFmt w:val="decimal"/>
      <w:lvlText w:val="%4."/>
      <w:lvlJc w:val="left"/>
      <w:pPr>
        <w:ind w:left="2312" w:hanging="360"/>
      </w:pPr>
    </w:lvl>
    <w:lvl w:ilvl="4" w:tplc="04050019" w:tentative="1">
      <w:start w:val="1"/>
      <w:numFmt w:val="lowerLetter"/>
      <w:lvlText w:val="%5."/>
      <w:lvlJc w:val="left"/>
      <w:pPr>
        <w:ind w:left="3032" w:hanging="360"/>
      </w:pPr>
    </w:lvl>
    <w:lvl w:ilvl="5" w:tplc="0405001B" w:tentative="1">
      <w:start w:val="1"/>
      <w:numFmt w:val="lowerRoman"/>
      <w:lvlText w:val="%6."/>
      <w:lvlJc w:val="right"/>
      <w:pPr>
        <w:ind w:left="3752" w:hanging="180"/>
      </w:pPr>
    </w:lvl>
    <w:lvl w:ilvl="6" w:tplc="0405000F" w:tentative="1">
      <w:start w:val="1"/>
      <w:numFmt w:val="decimal"/>
      <w:lvlText w:val="%7."/>
      <w:lvlJc w:val="left"/>
      <w:pPr>
        <w:ind w:left="4472" w:hanging="360"/>
      </w:pPr>
    </w:lvl>
    <w:lvl w:ilvl="7" w:tplc="04050019" w:tentative="1">
      <w:start w:val="1"/>
      <w:numFmt w:val="lowerLetter"/>
      <w:lvlText w:val="%8."/>
      <w:lvlJc w:val="left"/>
      <w:pPr>
        <w:ind w:left="5192" w:hanging="360"/>
      </w:pPr>
    </w:lvl>
    <w:lvl w:ilvl="8" w:tplc="0405001B" w:tentative="1">
      <w:start w:val="1"/>
      <w:numFmt w:val="lowerRoman"/>
      <w:lvlText w:val="%9."/>
      <w:lvlJc w:val="right"/>
      <w:pPr>
        <w:ind w:left="5912" w:hanging="180"/>
      </w:pPr>
    </w:lvl>
  </w:abstractNum>
  <w:abstractNum w:abstractNumId="14" w15:restartNumberingAfterBreak="0">
    <w:nsid w:val="130316F8"/>
    <w:multiLevelType w:val="multilevel"/>
    <w:tmpl w:val="3320A8B2"/>
    <w:numStyleLink w:val="VariantaB-odrky"/>
  </w:abstractNum>
  <w:abstractNum w:abstractNumId="15" w15:restartNumberingAfterBreak="0">
    <w:nsid w:val="13FB2F1F"/>
    <w:multiLevelType w:val="multilevel"/>
    <w:tmpl w:val="E8BAE50A"/>
    <w:numStyleLink w:val="VariantaA-odrky"/>
  </w:abstractNum>
  <w:abstractNum w:abstractNumId="16" w15:restartNumberingAfterBreak="0">
    <w:nsid w:val="15587B24"/>
    <w:multiLevelType w:val="multilevel"/>
    <w:tmpl w:val="E8BAE50A"/>
    <w:numStyleLink w:val="VariantaA-odrky"/>
  </w:abstractNum>
  <w:abstractNum w:abstractNumId="17" w15:restartNumberingAfterBreak="0">
    <w:nsid w:val="1615572B"/>
    <w:multiLevelType w:val="multilevel"/>
    <w:tmpl w:val="3320A8B2"/>
    <w:styleLink w:val="VariantaB-odrky"/>
    <w:lvl w:ilvl="0">
      <w:start w:val="1"/>
      <w:numFmt w:val="bullet"/>
      <w:pStyle w:val="SeznamsodrkamiB"/>
      <w:lvlText w:val="—"/>
      <w:lvlJc w:val="left"/>
      <w:pPr>
        <w:ind w:left="357" w:hanging="357"/>
      </w:pPr>
      <w:rPr>
        <w:rFonts w:ascii="Calibri" w:hAnsi="Calibri" w:hint="default"/>
        <w:sz w:val="16"/>
      </w:rPr>
    </w:lvl>
    <w:lvl w:ilvl="1">
      <w:start w:val="1"/>
      <w:numFmt w:val="bullet"/>
      <w:pStyle w:val="SeznamsodrkamiB2"/>
      <w:lvlText w:val=""/>
      <w:lvlJc w:val="left"/>
      <w:pPr>
        <w:ind w:left="714" w:hanging="357"/>
      </w:pPr>
      <w:rPr>
        <w:rFonts w:ascii="Wingdings" w:hAnsi="Wingdings" w:hint="default"/>
        <w:sz w:val="14"/>
      </w:rPr>
    </w:lvl>
    <w:lvl w:ilvl="2">
      <w:start w:val="1"/>
      <w:numFmt w:val="bullet"/>
      <w:pStyle w:val="SeznamsodrkamiB3"/>
      <w:lvlText w:val=""/>
      <w:lvlJc w:val="left"/>
      <w:pPr>
        <w:ind w:left="1071" w:hanging="357"/>
      </w:pPr>
      <w:rPr>
        <w:rFonts w:ascii="Wingdings 2" w:hAnsi="Wingdings 2" w:hint="default"/>
      </w:rPr>
    </w:lvl>
    <w:lvl w:ilvl="3">
      <w:start w:val="1"/>
      <w:numFmt w:val="bullet"/>
      <w:pStyle w:val="SeznamsodrkamiB4"/>
      <w:lvlText w:val=""/>
      <w:lvlJc w:val="left"/>
      <w:pPr>
        <w:ind w:left="1428" w:hanging="357"/>
      </w:pPr>
      <w:rPr>
        <w:rFonts w:ascii="Wingdings 2" w:hAnsi="Wingdings 2" w:hint="default"/>
      </w:rPr>
    </w:lvl>
    <w:lvl w:ilvl="4">
      <w:start w:val="1"/>
      <w:numFmt w:val="bullet"/>
      <w:pStyle w:val="SeznamsodrkamiB5"/>
      <w:lvlText w:val=""/>
      <w:lvlJc w:val="left"/>
      <w:pPr>
        <w:ind w:left="1785" w:hanging="357"/>
      </w:pPr>
      <w:rPr>
        <w:rFonts w:ascii="Wingdings 2" w:hAnsi="Wingdings 2" w:hint="default"/>
      </w:rPr>
    </w:lvl>
    <w:lvl w:ilvl="5">
      <w:start w:val="1"/>
      <w:numFmt w:val="bullet"/>
      <w:lvlText w:val=""/>
      <w:lvlJc w:val="left"/>
      <w:pPr>
        <w:ind w:left="2142" w:hanging="357"/>
      </w:pPr>
      <w:rPr>
        <w:rFonts w:ascii="Wingdings 2" w:hAnsi="Wingdings 2" w:cs="Times New Roman" w:hint="default"/>
      </w:rPr>
    </w:lvl>
    <w:lvl w:ilvl="6">
      <w:start w:val="1"/>
      <w:numFmt w:val="bullet"/>
      <w:lvlText w:val=""/>
      <w:lvlJc w:val="left"/>
      <w:pPr>
        <w:ind w:left="2499" w:hanging="357"/>
      </w:pPr>
      <w:rPr>
        <w:rFonts w:ascii="Wingdings 2" w:hAnsi="Wingdings 2" w:cs="Times New Roman" w:hint="default"/>
      </w:rPr>
    </w:lvl>
    <w:lvl w:ilvl="7">
      <w:start w:val="1"/>
      <w:numFmt w:val="bullet"/>
      <w:lvlText w:val=""/>
      <w:lvlJc w:val="left"/>
      <w:pPr>
        <w:ind w:left="2856" w:hanging="357"/>
      </w:pPr>
      <w:rPr>
        <w:rFonts w:ascii="Wingdings 2" w:hAnsi="Wingdings 2" w:cs="Times New Roman" w:hint="default"/>
      </w:rPr>
    </w:lvl>
    <w:lvl w:ilvl="8">
      <w:start w:val="1"/>
      <w:numFmt w:val="bullet"/>
      <w:lvlText w:val=""/>
      <w:lvlJc w:val="left"/>
      <w:pPr>
        <w:ind w:left="3213" w:hanging="357"/>
      </w:pPr>
      <w:rPr>
        <w:rFonts w:ascii="Wingdings 2" w:hAnsi="Wingdings 2" w:cs="Times New Roman" w:hint="default"/>
      </w:rPr>
    </w:lvl>
  </w:abstractNum>
  <w:abstractNum w:abstractNumId="18" w15:restartNumberingAfterBreak="0">
    <w:nsid w:val="191872DA"/>
    <w:multiLevelType w:val="multilevel"/>
    <w:tmpl w:val="E8A48D7C"/>
    <w:numStyleLink w:val="VariantaA-sla"/>
  </w:abstractNum>
  <w:abstractNum w:abstractNumId="19" w15:restartNumberingAfterBreak="0">
    <w:nsid w:val="19987FCF"/>
    <w:multiLevelType w:val="multilevel"/>
    <w:tmpl w:val="0D8ABE32"/>
    <w:numStyleLink w:val="VariantaB-sla"/>
  </w:abstractNum>
  <w:abstractNum w:abstractNumId="20" w15:restartNumberingAfterBreak="0">
    <w:nsid w:val="1D3068A6"/>
    <w:multiLevelType w:val="multilevel"/>
    <w:tmpl w:val="3320A8B2"/>
    <w:numStyleLink w:val="VariantaB-odrky"/>
  </w:abstractNum>
  <w:abstractNum w:abstractNumId="21" w15:restartNumberingAfterBreak="0">
    <w:nsid w:val="1D464EC2"/>
    <w:multiLevelType w:val="multilevel"/>
    <w:tmpl w:val="E8BAE50A"/>
    <w:numStyleLink w:val="VariantaA-odrky"/>
  </w:abstractNum>
  <w:abstractNum w:abstractNumId="22" w15:restartNumberingAfterBreak="0">
    <w:nsid w:val="1E9D327C"/>
    <w:multiLevelType w:val="hybridMultilevel"/>
    <w:tmpl w:val="F678DFC4"/>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3" w15:restartNumberingAfterBreak="0">
    <w:nsid w:val="1EAB39CE"/>
    <w:multiLevelType w:val="multilevel"/>
    <w:tmpl w:val="E8BAE50A"/>
    <w:numStyleLink w:val="VariantaA-odrky"/>
  </w:abstractNum>
  <w:abstractNum w:abstractNumId="24" w15:restartNumberingAfterBreak="0">
    <w:nsid w:val="20550C40"/>
    <w:multiLevelType w:val="hybridMultilevel"/>
    <w:tmpl w:val="3048B6A4"/>
    <w:lvl w:ilvl="0" w:tplc="434ABA6C">
      <w:start w:val="1"/>
      <w:numFmt w:val="decimal"/>
      <w:lvlText w:val="ad %1."/>
      <w:lvlJc w:val="left"/>
      <w:pPr>
        <w:ind w:left="870" w:hanging="360"/>
      </w:pPr>
      <w:rPr>
        <w:rFonts w:hint="default"/>
      </w:rPr>
    </w:lvl>
    <w:lvl w:ilvl="1" w:tplc="04050019" w:tentative="1">
      <w:start w:val="1"/>
      <w:numFmt w:val="lowerLetter"/>
      <w:lvlText w:val="%2."/>
      <w:lvlJc w:val="left"/>
      <w:pPr>
        <w:ind w:left="1233" w:hanging="360"/>
      </w:pPr>
    </w:lvl>
    <w:lvl w:ilvl="2" w:tplc="0405001B" w:tentative="1">
      <w:start w:val="1"/>
      <w:numFmt w:val="lowerRoman"/>
      <w:lvlText w:val="%3."/>
      <w:lvlJc w:val="right"/>
      <w:pPr>
        <w:ind w:left="1953" w:hanging="180"/>
      </w:pPr>
    </w:lvl>
    <w:lvl w:ilvl="3" w:tplc="0405000F" w:tentative="1">
      <w:start w:val="1"/>
      <w:numFmt w:val="decimal"/>
      <w:lvlText w:val="%4."/>
      <w:lvlJc w:val="left"/>
      <w:pPr>
        <w:ind w:left="2673" w:hanging="360"/>
      </w:pPr>
    </w:lvl>
    <w:lvl w:ilvl="4" w:tplc="04050019" w:tentative="1">
      <w:start w:val="1"/>
      <w:numFmt w:val="lowerLetter"/>
      <w:lvlText w:val="%5."/>
      <w:lvlJc w:val="left"/>
      <w:pPr>
        <w:ind w:left="3393" w:hanging="360"/>
      </w:pPr>
    </w:lvl>
    <w:lvl w:ilvl="5" w:tplc="0405001B" w:tentative="1">
      <w:start w:val="1"/>
      <w:numFmt w:val="lowerRoman"/>
      <w:lvlText w:val="%6."/>
      <w:lvlJc w:val="right"/>
      <w:pPr>
        <w:ind w:left="4113" w:hanging="180"/>
      </w:pPr>
    </w:lvl>
    <w:lvl w:ilvl="6" w:tplc="0405000F" w:tentative="1">
      <w:start w:val="1"/>
      <w:numFmt w:val="decimal"/>
      <w:lvlText w:val="%7."/>
      <w:lvlJc w:val="left"/>
      <w:pPr>
        <w:ind w:left="4833" w:hanging="360"/>
      </w:pPr>
    </w:lvl>
    <w:lvl w:ilvl="7" w:tplc="04050019" w:tentative="1">
      <w:start w:val="1"/>
      <w:numFmt w:val="lowerLetter"/>
      <w:lvlText w:val="%8."/>
      <w:lvlJc w:val="left"/>
      <w:pPr>
        <w:ind w:left="5553" w:hanging="360"/>
      </w:pPr>
    </w:lvl>
    <w:lvl w:ilvl="8" w:tplc="0405001B" w:tentative="1">
      <w:start w:val="1"/>
      <w:numFmt w:val="lowerRoman"/>
      <w:lvlText w:val="%9."/>
      <w:lvlJc w:val="right"/>
      <w:pPr>
        <w:ind w:left="6273" w:hanging="180"/>
      </w:pPr>
    </w:lvl>
  </w:abstractNum>
  <w:abstractNum w:abstractNumId="25" w15:restartNumberingAfterBreak="0">
    <w:nsid w:val="289A5EA2"/>
    <w:multiLevelType w:val="multilevel"/>
    <w:tmpl w:val="E8BAE50A"/>
    <w:numStyleLink w:val="VariantaA-odrky"/>
  </w:abstractNum>
  <w:abstractNum w:abstractNumId="26" w15:restartNumberingAfterBreak="0">
    <w:nsid w:val="28AB573E"/>
    <w:multiLevelType w:val="multilevel"/>
    <w:tmpl w:val="3320A8B2"/>
    <w:numStyleLink w:val="VariantaB-odrky"/>
  </w:abstractNum>
  <w:abstractNum w:abstractNumId="27" w15:restartNumberingAfterBreak="0">
    <w:nsid w:val="2A5F2D39"/>
    <w:multiLevelType w:val="multilevel"/>
    <w:tmpl w:val="E8BAE50A"/>
    <w:numStyleLink w:val="VariantaA-odrky"/>
  </w:abstractNum>
  <w:abstractNum w:abstractNumId="28" w15:restartNumberingAfterBreak="0">
    <w:nsid w:val="2DBB2CE6"/>
    <w:multiLevelType w:val="multilevel"/>
    <w:tmpl w:val="E8BAE50A"/>
    <w:numStyleLink w:val="VariantaA-odrky"/>
  </w:abstractNum>
  <w:abstractNum w:abstractNumId="29" w15:restartNumberingAfterBreak="0">
    <w:nsid w:val="355131EF"/>
    <w:multiLevelType w:val="multilevel"/>
    <w:tmpl w:val="E8A48D7C"/>
    <w:numStyleLink w:val="VariantaA-sla"/>
  </w:abstractNum>
  <w:abstractNum w:abstractNumId="30" w15:restartNumberingAfterBreak="0">
    <w:nsid w:val="4A306389"/>
    <w:multiLevelType w:val="multilevel"/>
    <w:tmpl w:val="E8BAE50A"/>
    <w:numStyleLink w:val="VariantaA-odrky"/>
  </w:abstractNum>
  <w:abstractNum w:abstractNumId="31" w15:restartNumberingAfterBreak="0">
    <w:nsid w:val="4F89775E"/>
    <w:multiLevelType w:val="multilevel"/>
    <w:tmpl w:val="0D8ABE32"/>
    <w:styleLink w:val="VariantaB-sla"/>
    <w:lvl w:ilvl="0">
      <w:start w:val="1"/>
      <w:numFmt w:val="decimal"/>
      <w:pStyle w:val="slovanseznamB"/>
      <w:lvlText w:val="%1)"/>
      <w:lvlJc w:val="left"/>
      <w:pPr>
        <w:ind w:left="360" w:hanging="360"/>
      </w:pPr>
      <w:rPr>
        <w:rFonts w:hint="default"/>
      </w:rPr>
    </w:lvl>
    <w:lvl w:ilvl="1">
      <w:start w:val="1"/>
      <w:numFmt w:val="lowerLetter"/>
      <w:pStyle w:val="slovanseznamB2"/>
      <w:lvlText w:val="%2)"/>
      <w:lvlJc w:val="left"/>
      <w:pPr>
        <w:ind w:left="720" w:hanging="360"/>
      </w:pPr>
      <w:rPr>
        <w:rFonts w:hint="default"/>
      </w:rPr>
    </w:lvl>
    <w:lvl w:ilvl="2">
      <w:start w:val="1"/>
      <w:numFmt w:val="lowerRoman"/>
      <w:pStyle w:val="slovanseznamB3"/>
      <w:lvlText w:val="%3)"/>
      <w:lvlJc w:val="left"/>
      <w:pPr>
        <w:ind w:left="1080" w:hanging="360"/>
      </w:pPr>
      <w:rPr>
        <w:rFonts w:hint="default"/>
      </w:rPr>
    </w:lvl>
    <w:lvl w:ilvl="3">
      <w:start w:val="1"/>
      <w:numFmt w:val="decimal"/>
      <w:pStyle w:val="slovanseznamB4"/>
      <w:lvlText w:val="(%4)"/>
      <w:lvlJc w:val="left"/>
      <w:pPr>
        <w:ind w:left="1440" w:hanging="360"/>
      </w:pPr>
      <w:rPr>
        <w:rFonts w:hint="default"/>
      </w:rPr>
    </w:lvl>
    <w:lvl w:ilvl="4">
      <w:start w:val="1"/>
      <w:numFmt w:val="lowerLetter"/>
      <w:pStyle w:val="slovanseznamB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53290926"/>
    <w:multiLevelType w:val="multilevel"/>
    <w:tmpl w:val="E8BAE50A"/>
    <w:numStyleLink w:val="VariantaA-odrky"/>
  </w:abstractNum>
  <w:abstractNum w:abstractNumId="33" w15:restartNumberingAfterBreak="0">
    <w:nsid w:val="533902EA"/>
    <w:multiLevelType w:val="multilevel"/>
    <w:tmpl w:val="E8BAE50A"/>
    <w:numStyleLink w:val="VariantaA-odrky"/>
  </w:abstractNum>
  <w:abstractNum w:abstractNumId="34" w15:restartNumberingAfterBreak="0">
    <w:nsid w:val="571C11E2"/>
    <w:multiLevelType w:val="multilevel"/>
    <w:tmpl w:val="E8A48D7C"/>
    <w:numStyleLink w:val="VariantaA-sla"/>
  </w:abstractNum>
  <w:abstractNum w:abstractNumId="35" w15:restartNumberingAfterBreak="0">
    <w:nsid w:val="58A321E4"/>
    <w:multiLevelType w:val="multilevel"/>
    <w:tmpl w:val="E8BAE50A"/>
    <w:styleLink w:val="VariantaA-odrky"/>
    <w:lvl w:ilvl="0">
      <w:start w:val="1"/>
      <w:numFmt w:val="bullet"/>
      <w:pStyle w:val="Seznamsodrkami"/>
      <w:lvlText w:val=""/>
      <w:lvlJc w:val="left"/>
      <w:pPr>
        <w:ind w:left="357" w:hanging="357"/>
      </w:pPr>
      <w:rPr>
        <w:rFonts w:ascii="Wingdings" w:hAnsi="Wingdings" w:hint="default"/>
        <w:sz w:val="16"/>
      </w:rPr>
    </w:lvl>
    <w:lvl w:ilvl="1">
      <w:start w:val="1"/>
      <w:numFmt w:val="bullet"/>
      <w:pStyle w:val="Seznamsodrkami2"/>
      <w:lvlText w:val=""/>
      <w:lvlJc w:val="left"/>
      <w:pPr>
        <w:ind w:left="714" w:hanging="357"/>
      </w:pPr>
      <w:rPr>
        <w:rFonts w:ascii="Wingdings" w:hAnsi="Wingdings" w:hint="default"/>
        <w:sz w:val="14"/>
      </w:rPr>
    </w:lvl>
    <w:lvl w:ilvl="2">
      <w:start w:val="1"/>
      <w:numFmt w:val="bullet"/>
      <w:pStyle w:val="Seznamsodrkami3"/>
      <w:lvlText w:val=""/>
      <w:lvlJc w:val="left"/>
      <w:pPr>
        <w:ind w:left="1071" w:hanging="357"/>
      </w:pPr>
      <w:rPr>
        <w:rFonts w:ascii="Wingdings" w:hAnsi="Wingdings" w:hint="default"/>
        <w:sz w:val="10"/>
      </w:rPr>
    </w:lvl>
    <w:lvl w:ilvl="3">
      <w:start w:val="1"/>
      <w:numFmt w:val="bullet"/>
      <w:pStyle w:val="Seznamsodrkami4"/>
      <w:lvlText w:val=""/>
      <w:lvlJc w:val="left"/>
      <w:pPr>
        <w:ind w:left="1428" w:hanging="357"/>
      </w:pPr>
      <w:rPr>
        <w:rFonts w:ascii="Wingdings" w:hAnsi="Wingdings" w:hint="default"/>
        <w:sz w:val="10"/>
      </w:rPr>
    </w:lvl>
    <w:lvl w:ilvl="4">
      <w:start w:val="1"/>
      <w:numFmt w:val="bullet"/>
      <w:pStyle w:val="Seznamsodrkami5"/>
      <w:lvlText w:val=""/>
      <w:lvlJc w:val="left"/>
      <w:pPr>
        <w:ind w:left="1785" w:hanging="357"/>
      </w:pPr>
      <w:rPr>
        <w:rFonts w:ascii="Wingdings" w:hAnsi="Wingdings" w:hint="default"/>
        <w:sz w:val="10"/>
      </w:rPr>
    </w:lvl>
    <w:lvl w:ilvl="5">
      <w:start w:val="1"/>
      <w:numFmt w:val="bullet"/>
      <w:lvlText w:val=""/>
      <w:lvlJc w:val="left"/>
      <w:pPr>
        <w:ind w:left="2142" w:hanging="357"/>
      </w:pPr>
      <w:rPr>
        <w:rFonts w:ascii="Wingdings" w:hAnsi="Wingdings" w:hint="default"/>
        <w:sz w:val="10"/>
      </w:rPr>
    </w:lvl>
    <w:lvl w:ilvl="6">
      <w:start w:val="1"/>
      <w:numFmt w:val="bullet"/>
      <w:lvlText w:val=""/>
      <w:lvlJc w:val="left"/>
      <w:pPr>
        <w:ind w:left="2499" w:hanging="357"/>
      </w:pPr>
      <w:rPr>
        <w:rFonts w:ascii="Wingdings" w:hAnsi="Wingdings" w:hint="default"/>
        <w:sz w:val="10"/>
      </w:rPr>
    </w:lvl>
    <w:lvl w:ilvl="7">
      <w:start w:val="1"/>
      <w:numFmt w:val="bullet"/>
      <w:lvlText w:val=""/>
      <w:lvlJc w:val="left"/>
      <w:pPr>
        <w:ind w:left="2856" w:hanging="357"/>
      </w:pPr>
      <w:rPr>
        <w:rFonts w:ascii="Wingdings" w:hAnsi="Wingdings" w:hint="default"/>
        <w:sz w:val="10"/>
      </w:rPr>
    </w:lvl>
    <w:lvl w:ilvl="8">
      <w:start w:val="1"/>
      <w:numFmt w:val="bullet"/>
      <w:lvlText w:val=""/>
      <w:lvlJc w:val="left"/>
      <w:pPr>
        <w:ind w:left="3213" w:hanging="357"/>
      </w:pPr>
      <w:rPr>
        <w:rFonts w:ascii="Wingdings" w:hAnsi="Wingdings" w:hint="default"/>
        <w:color w:val="000000" w:themeColor="text1"/>
        <w:sz w:val="10"/>
      </w:rPr>
    </w:lvl>
  </w:abstractNum>
  <w:abstractNum w:abstractNumId="36" w15:restartNumberingAfterBreak="0">
    <w:nsid w:val="5AF35F43"/>
    <w:multiLevelType w:val="multilevel"/>
    <w:tmpl w:val="0D8ABE32"/>
    <w:numStyleLink w:val="VariantaB-sla"/>
  </w:abstractNum>
  <w:abstractNum w:abstractNumId="37" w15:restartNumberingAfterBreak="0">
    <w:nsid w:val="6DC6104D"/>
    <w:multiLevelType w:val="hybridMultilevel"/>
    <w:tmpl w:val="99DAB6F0"/>
    <w:lvl w:ilvl="0" w:tplc="EB0CBC84">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38" w15:restartNumberingAfterBreak="0">
    <w:nsid w:val="77664C27"/>
    <w:multiLevelType w:val="hybridMultilevel"/>
    <w:tmpl w:val="5210898C"/>
    <w:lvl w:ilvl="0" w:tplc="329A9A92">
      <w:start w:val="1"/>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7FA835ED"/>
    <w:multiLevelType w:val="hybridMultilevel"/>
    <w:tmpl w:val="35F4320C"/>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num w:numId="1">
    <w:abstractNumId w:val="17"/>
  </w:num>
  <w:num w:numId="2">
    <w:abstractNumId w:val="35"/>
  </w:num>
  <w:num w:numId="3">
    <w:abstractNumId w:val="20"/>
  </w:num>
  <w:num w:numId="4">
    <w:abstractNumId w:val="15"/>
  </w:num>
  <w:num w:numId="5">
    <w:abstractNumId w:val="5"/>
    <w:lvlOverride w:ilvl="0">
      <w:lvl w:ilvl="0">
        <w:start w:val="1"/>
        <w:numFmt w:val="decimal"/>
        <w:lvlText w:val="%1."/>
        <w:lvlJc w:val="left"/>
        <w:pPr>
          <w:ind w:left="357" w:hanging="357"/>
        </w:pPr>
        <w:rPr>
          <w:rFonts w:hint="default"/>
        </w:rPr>
      </w:lvl>
    </w:lvlOverride>
    <w:lvlOverride w:ilvl="1">
      <w:lvl w:ilvl="1">
        <w:start w:val="1"/>
        <w:numFmt w:val="decimal"/>
        <w:lvlText w:val="%1.%2."/>
        <w:lvlJc w:val="left"/>
        <w:pPr>
          <w:ind w:left="851" w:hanging="494"/>
        </w:pPr>
        <w:rPr>
          <w:rFonts w:hint="default"/>
        </w:rPr>
      </w:lvl>
    </w:lvlOverride>
    <w:lvlOverride w:ilvl="2">
      <w:lvl w:ilvl="2">
        <w:start w:val="1"/>
        <w:numFmt w:val="decimal"/>
        <w:lvlText w:val="%1.%2.%3."/>
        <w:lvlJc w:val="left"/>
        <w:pPr>
          <w:ind w:left="1474" w:hanging="623"/>
        </w:pPr>
        <w:rPr>
          <w:rFonts w:hint="default"/>
        </w:rPr>
      </w:lvl>
    </w:lvlOverride>
    <w:lvlOverride w:ilvl="3">
      <w:lvl w:ilvl="3">
        <w:start w:val="1"/>
        <w:numFmt w:val="decimal"/>
        <w:lvlText w:val="%1.%2.%3.%4."/>
        <w:lvlJc w:val="left"/>
        <w:pPr>
          <w:tabs>
            <w:tab w:val="num" w:pos="1474"/>
          </w:tabs>
          <w:ind w:left="2211" w:hanging="737"/>
        </w:pPr>
        <w:rPr>
          <w:rFonts w:hint="default"/>
        </w:rPr>
      </w:lvl>
    </w:lvlOverride>
    <w:lvlOverride w:ilvl="4">
      <w:lvl w:ilvl="4">
        <w:start w:val="1"/>
        <w:numFmt w:val="decimal"/>
        <w:lvlText w:val="%1.%2.%3.%4.%5."/>
        <w:lvlJc w:val="left"/>
        <w:pPr>
          <w:ind w:left="3175" w:hanging="964"/>
        </w:pPr>
        <w:rPr>
          <w:rFonts w:hint="default"/>
        </w:rPr>
      </w:lvl>
    </w:lvlOverride>
    <w:lvlOverride w:ilvl="5">
      <w:lvl w:ilvl="5">
        <w:start w:val="1"/>
        <w:numFmt w:val="decimal"/>
        <w:lvlText w:val="%1.%2.%3.%4.%5.%6."/>
        <w:lvlJc w:val="left"/>
        <w:pPr>
          <w:ind w:left="4309" w:hanging="1134"/>
        </w:pPr>
        <w:rPr>
          <w:rFonts w:hint="default"/>
        </w:rPr>
      </w:lvl>
    </w:lvlOverride>
    <w:lvlOverride w:ilvl="6">
      <w:lvl w:ilvl="6">
        <w:start w:val="1"/>
        <w:numFmt w:val="decimal"/>
        <w:lvlText w:val="%1.%2.%3.%4.%5.%6.%7."/>
        <w:lvlJc w:val="left"/>
        <w:pPr>
          <w:ind w:left="2499" w:hanging="357"/>
        </w:pPr>
        <w:rPr>
          <w:rFonts w:hint="default"/>
        </w:rPr>
      </w:lvl>
    </w:lvlOverride>
    <w:lvlOverride w:ilvl="7">
      <w:lvl w:ilvl="7">
        <w:start w:val="1"/>
        <w:numFmt w:val="decimal"/>
        <w:lvlText w:val="%1.%2.%3.%4.%5.%6.%7.%8."/>
        <w:lvlJc w:val="left"/>
        <w:pPr>
          <w:ind w:left="2856" w:hanging="357"/>
        </w:pPr>
        <w:rPr>
          <w:rFonts w:hint="default"/>
        </w:rPr>
      </w:lvl>
    </w:lvlOverride>
    <w:lvlOverride w:ilvl="8">
      <w:lvl w:ilvl="8">
        <w:start w:val="1"/>
        <w:numFmt w:val="decimal"/>
        <w:lvlText w:val="%1.%2.%3.%4.%5.%6.%7.%8.%9."/>
        <w:lvlJc w:val="left"/>
        <w:pPr>
          <w:ind w:left="3213" w:hanging="357"/>
        </w:pPr>
        <w:rPr>
          <w:rFonts w:hint="default"/>
        </w:rPr>
      </w:lvl>
    </w:lvlOverride>
  </w:num>
  <w:num w:numId="6">
    <w:abstractNumId w:val="31"/>
  </w:num>
  <w:num w:numId="7">
    <w:abstractNumId w:val="7"/>
  </w:num>
  <w:num w:numId="8">
    <w:abstractNumId w:val="34"/>
  </w:num>
  <w:num w:numId="9">
    <w:abstractNumId w:val="5"/>
    <w:lvlOverride w:ilvl="5">
      <w:lvl w:ilvl="5">
        <w:start w:val="1"/>
        <w:numFmt w:val="decimal"/>
        <w:lvlText w:val="%1.%2.%3.%4.%5.%6."/>
        <w:lvlJc w:val="left"/>
        <w:pPr>
          <w:ind w:left="3969" w:hanging="794"/>
        </w:pPr>
        <w:rPr>
          <w:rFonts w:hint="default"/>
        </w:rPr>
      </w:lvl>
    </w:lvlOverride>
  </w:num>
  <w:num w:numId="10">
    <w:abstractNumId w:val="2"/>
  </w:num>
  <w:num w:numId="11">
    <w:abstractNumId w:val="1"/>
  </w:num>
  <w:num w:numId="12">
    <w:abstractNumId w:val="0"/>
  </w:num>
  <w:num w:numId="13">
    <w:abstractNumId w:val="33"/>
  </w:num>
  <w:num w:numId="14">
    <w:abstractNumId w:val="4"/>
  </w:num>
  <w:num w:numId="15">
    <w:abstractNumId w:val="3"/>
  </w:num>
  <w:num w:numId="16">
    <w:abstractNumId w:val="31"/>
  </w:num>
  <w:num w:numId="17">
    <w:abstractNumId w:val="21"/>
  </w:num>
  <w:num w:numId="18">
    <w:abstractNumId w:val="6"/>
  </w:num>
  <w:num w:numId="19">
    <w:abstractNumId w:val="12"/>
  </w:num>
  <w:num w:numId="20">
    <w:abstractNumId w:val="8"/>
  </w:num>
  <w:num w:numId="21">
    <w:abstractNumId w:val="29"/>
  </w:num>
  <w:num w:numId="22">
    <w:abstractNumId w:val="10"/>
  </w:num>
  <w:num w:numId="23">
    <w:abstractNumId w:val="23"/>
  </w:num>
  <w:num w:numId="24">
    <w:abstractNumId w:val="11"/>
  </w:num>
  <w:num w:numId="25">
    <w:abstractNumId w:val="16"/>
  </w:num>
  <w:num w:numId="26">
    <w:abstractNumId w:val="30"/>
  </w:num>
  <w:num w:numId="27">
    <w:abstractNumId w:val="28"/>
  </w:num>
  <w:num w:numId="28">
    <w:abstractNumId w:val="27"/>
  </w:num>
  <w:num w:numId="29">
    <w:abstractNumId w:val="19"/>
  </w:num>
  <w:num w:numId="30">
    <w:abstractNumId w:val="32"/>
  </w:num>
  <w:num w:numId="31">
    <w:abstractNumId w:val="36"/>
  </w:num>
  <w:num w:numId="32">
    <w:abstractNumId w:val="25"/>
  </w:num>
  <w:num w:numId="33">
    <w:abstractNumId w:val="18"/>
  </w:num>
  <w:num w:numId="34">
    <w:abstractNumId w:val="9"/>
  </w:num>
  <w:num w:numId="35">
    <w:abstractNumId w:val="26"/>
  </w:num>
  <w:num w:numId="36">
    <w:abstractNumId w:val="14"/>
  </w:num>
  <w:num w:numId="37">
    <w:abstractNumId w:val="38"/>
  </w:num>
  <w:num w:numId="38">
    <w:abstractNumId w:val="39"/>
  </w:num>
  <w:num w:numId="39">
    <w:abstractNumId w:val="37"/>
  </w:num>
  <w:num w:numId="40">
    <w:abstractNumId w:val="22"/>
  </w:num>
  <w:num w:numId="41">
    <w:abstractNumId w:val="13"/>
  </w:num>
  <w:num w:numId="42">
    <w:abstractNumId w:val="2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proofState w:spelling="clean" w:grammar="clean"/>
  <w:stylePaneFormatFilter w:val="D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1"/>
  <w:defaultTabStop w:val="708"/>
  <w:hyphenationZone w:val="425"/>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C36"/>
    <w:rsid w:val="00015306"/>
    <w:rsid w:val="00021579"/>
    <w:rsid w:val="0002674B"/>
    <w:rsid w:val="0004162E"/>
    <w:rsid w:val="0004786B"/>
    <w:rsid w:val="000508A6"/>
    <w:rsid w:val="00063405"/>
    <w:rsid w:val="000809B9"/>
    <w:rsid w:val="00090B40"/>
    <w:rsid w:val="00095A0A"/>
    <w:rsid w:val="000B1B3D"/>
    <w:rsid w:val="000C4CAF"/>
    <w:rsid w:val="000E73CF"/>
    <w:rsid w:val="00121485"/>
    <w:rsid w:val="001268B0"/>
    <w:rsid w:val="0018051B"/>
    <w:rsid w:val="001B1E4A"/>
    <w:rsid w:val="001D27C0"/>
    <w:rsid w:val="001E74C3"/>
    <w:rsid w:val="001F6937"/>
    <w:rsid w:val="00220DE3"/>
    <w:rsid w:val="00234ED3"/>
    <w:rsid w:val="0025290D"/>
    <w:rsid w:val="00260372"/>
    <w:rsid w:val="00262DAF"/>
    <w:rsid w:val="0028462C"/>
    <w:rsid w:val="00285AED"/>
    <w:rsid w:val="002E2442"/>
    <w:rsid w:val="002F0E8C"/>
    <w:rsid w:val="00310FA0"/>
    <w:rsid w:val="00320481"/>
    <w:rsid w:val="003250CB"/>
    <w:rsid w:val="00363201"/>
    <w:rsid w:val="0036680B"/>
    <w:rsid w:val="0039063C"/>
    <w:rsid w:val="003A46A8"/>
    <w:rsid w:val="003A51AA"/>
    <w:rsid w:val="003B565A"/>
    <w:rsid w:val="003D00A1"/>
    <w:rsid w:val="0041427F"/>
    <w:rsid w:val="004509E5"/>
    <w:rsid w:val="00486FB9"/>
    <w:rsid w:val="004C212A"/>
    <w:rsid w:val="00500232"/>
    <w:rsid w:val="00504284"/>
    <w:rsid w:val="00504668"/>
    <w:rsid w:val="00525AF3"/>
    <w:rsid w:val="005455E1"/>
    <w:rsid w:val="005502BD"/>
    <w:rsid w:val="00556787"/>
    <w:rsid w:val="00582276"/>
    <w:rsid w:val="005C2560"/>
    <w:rsid w:val="005F7585"/>
    <w:rsid w:val="00605759"/>
    <w:rsid w:val="00650C6C"/>
    <w:rsid w:val="00652FE6"/>
    <w:rsid w:val="00667898"/>
    <w:rsid w:val="00677FE0"/>
    <w:rsid w:val="006D04EF"/>
    <w:rsid w:val="006E2FB0"/>
    <w:rsid w:val="007102D2"/>
    <w:rsid w:val="007113F2"/>
    <w:rsid w:val="00713948"/>
    <w:rsid w:val="00734C36"/>
    <w:rsid w:val="00753A27"/>
    <w:rsid w:val="0079342A"/>
    <w:rsid w:val="007B4949"/>
    <w:rsid w:val="007F0BC6"/>
    <w:rsid w:val="0080164F"/>
    <w:rsid w:val="00831374"/>
    <w:rsid w:val="0083578F"/>
    <w:rsid w:val="00857580"/>
    <w:rsid w:val="00865238"/>
    <w:rsid w:val="008667BF"/>
    <w:rsid w:val="00895645"/>
    <w:rsid w:val="008A7851"/>
    <w:rsid w:val="008B40A4"/>
    <w:rsid w:val="008C3782"/>
    <w:rsid w:val="008D4A32"/>
    <w:rsid w:val="008D593A"/>
    <w:rsid w:val="008E7760"/>
    <w:rsid w:val="00922001"/>
    <w:rsid w:val="00922C17"/>
    <w:rsid w:val="00942DDD"/>
    <w:rsid w:val="009516A8"/>
    <w:rsid w:val="0097705C"/>
    <w:rsid w:val="00990E2D"/>
    <w:rsid w:val="00994F51"/>
    <w:rsid w:val="009F393D"/>
    <w:rsid w:val="009F7F46"/>
    <w:rsid w:val="00A000BF"/>
    <w:rsid w:val="00A0587E"/>
    <w:rsid w:val="00A275BC"/>
    <w:rsid w:val="00A464B4"/>
    <w:rsid w:val="00A63D6B"/>
    <w:rsid w:val="00A84B52"/>
    <w:rsid w:val="00A84FAC"/>
    <w:rsid w:val="00A8660F"/>
    <w:rsid w:val="00A95C48"/>
    <w:rsid w:val="00AA7056"/>
    <w:rsid w:val="00AB31C6"/>
    <w:rsid w:val="00AB523B"/>
    <w:rsid w:val="00AB7D83"/>
    <w:rsid w:val="00AD7E40"/>
    <w:rsid w:val="00B1477A"/>
    <w:rsid w:val="00B20993"/>
    <w:rsid w:val="00B42E96"/>
    <w:rsid w:val="00B50EE6"/>
    <w:rsid w:val="00B52185"/>
    <w:rsid w:val="00B9753A"/>
    <w:rsid w:val="00BB479C"/>
    <w:rsid w:val="00BC4720"/>
    <w:rsid w:val="00BD75A2"/>
    <w:rsid w:val="00BD7CF7"/>
    <w:rsid w:val="00C2017A"/>
    <w:rsid w:val="00C2026B"/>
    <w:rsid w:val="00C20470"/>
    <w:rsid w:val="00C34B2F"/>
    <w:rsid w:val="00C4641B"/>
    <w:rsid w:val="00C6690E"/>
    <w:rsid w:val="00C703C5"/>
    <w:rsid w:val="00C805F2"/>
    <w:rsid w:val="00C96EFE"/>
    <w:rsid w:val="00CA4D89"/>
    <w:rsid w:val="00CC5E40"/>
    <w:rsid w:val="00CE50EA"/>
    <w:rsid w:val="00D011B5"/>
    <w:rsid w:val="00D1569F"/>
    <w:rsid w:val="00D20B1E"/>
    <w:rsid w:val="00D22462"/>
    <w:rsid w:val="00D230AC"/>
    <w:rsid w:val="00D26FE1"/>
    <w:rsid w:val="00D32489"/>
    <w:rsid w:val="00D3349E"/>
    <w:rsid w:val="00D73CB8"/>
    <w:rsid w:val="00DA7591"/>
    <w:rsid w:val="00E32798"/>
    <w:rsid w:val="00E33CC8"/>
    <w:rsid w:val="00E51C91"/>
    <w:rsid w:val="00E667C1"/>
    <w:rsid w:val="00EC3F88"/>
    <w:rsid w:val="00ED36D8"/>
    <w:rsid w:val="00ED6A05"/>
    <w:rsid w:val="00EE6BD7"/>
    <w:rsid w:val="00F0689D"/>
    <w:rsid w:val="00F24B26"/>
    <w:rsid w:val="00FB01B5"/>
    <w:rsid w:val="00FC087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BB76B6"/>
  <w15:docId w15:val="{C7BB4D9C-768E-4BD2-A5DE-A27F9D146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7"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7"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qFormat="1"/>
    <w:lsdException w:name="List Bullet 3" w:semiHidden="1" w:unhideWhenUsed="1" w:qFormat="1"/>
    <w:lsdException w:name="List Bullet 4" w:semiHidden="1" w:unhideWhenUsed="1" w:qFormat="1"/>
    <w:lsdException w:name="List Bullet 5" w:semiHidden="1" w:unhideWhenUsed="1" w:qFormat="1"/>
    <w:lsdException w:name="List Number 2" w:qFormat="1"/>
    <w:lsdException w:name="List Number 3" w:qFormat="1"/>
    <w:lsdException w:name="List Number 4" w:qFormat="1"/>
    <w:lsdException w:name="List Number 5" w:qFormat="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semiHidden="1" w:unhideWhenUsed="1" w:qFormat="1"/>
    <w:lsdException w:name="Bibliography" w:semiHidden="1" w:uiPriority="3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0587E"/>
    <w:pPr>
      <w:spacing w:after="160" w:line="293" w:lineRule="auto"/>
    </w:pPr>
    <w:rPr>
      <w:color w:val="000000" w:themeColor="text1"/>
    </w:rPr>
  </w:style>
  <w:style w:type="paragraph" w:styleId="Nadpis1">
    <w:name w:val="heading 1"/>
    <w:basedOn w:val="Normln"/>
    <w:next w:val="Normln"/>
    <w:link w:val="Nadpis1Char"/>
    <w:uiPriority w:val="7"/>
    <w:qFormat/>
    <w:rsid w:val="00831374"/>
    <w:pPr>
      <w:keepNext/>
      <w:keepLines/>
      <w:spacing w:before="160" w:after="0"/>
      <w:outlineLvl w:val="0"/>
    </w:pPr>
    <w:rPr>
      <w:rFonts w:asciiTheme="majorHAnsi" w:eastAsiaTheme="majorEastAsia" w:hAnsiTheme="majorHAnsi" w:cstheme="majorBidi"/>
      <w:b/>
      <w:sz w:val="28"/>
      <w:szCs w:val="32"/>
    </w:rPr>
  </w:style>
  <w:style w:type="paragraph" w:styleId="Nadpis2">
    <w:name w:val="heading 2"/>
    <w:basedOn w:val="Normln"/>
    <w:next w:val="Normln"/>
    <w:link w:val="Nadpis2Char"/>
    <w:uiPriority w:val="7"/>
    <w:unhideWhenUsed/>
    <w:qFormat/>
    <w:rsid w:val="00063405"/>
    <w:pPr>
      <w:keepNext/>
      <w:keepLines/>
      <w:spacing w:before="80" w:after="0"/>
      <w:outlineLvl w:val="1"/>
    </w:pPr>
    <w:rPr>
      <w:rFonts w:asciiTheme="majorHAnsi" w:eastAsiaTheme="majorEastAsia" w:hAnsiTheme="majorHAnsi" w:cstheme="majorBidi"/>
      <w:b/>
      <w:sz w:val="26"/>
      <w:szCs w:val="26"/>
    </w:rPr>
  </w:style>
  <w:style w:type="paragraph" w:styleId="Nadpis3">
    <w:name w:val="heading 3"/>
    <w:basedOn w:val="Normln"/>
    <w:next w:val="Normln"/>
    <w:link w:val="Nadpis3Char"/>
    <w:uiPriority w:val="7"/>
    <w:unhideWhenUsed/>
    <w:qFormat/>
    <w:rsid w:val="00504668"/>
    <w:pPr>
      <w:keepNext/>
      <w:keepLines/>
      <w:spacing w:before="40" w:after="0"/>
      <w:outlineLvl w:val="2"/>
    </w:pPr>
    <w:rPr>
      <w:rFonts w:asciiTheme="majorHAnsi" w:eastAsiaTheme="majorEastAsia" w:hAnsiTheme="majorHAnsi" w:cstheme="majorBidi"/>
      <w:b/>
      <w:sz w:val="24"/>
      <w:szCs w:val="24"/>
    </w:rPr>
  </w:style>
  <w:style w:type="paragraph" w:styleId="Nadpis4">
    <w:name w:val="heading 4"/>
    <w:basedOn w:val="Normln"/>
    <w:next w:val="Normln"/>
    <w:link w:val="Nadpis4Char"/>
    <w:uiPriority w:val="7"/>
    <w:unhideWhenUsed/>
    <w:qFormat/>
    <w:rsid w:val="00C6690E"/>
    <w:pPr>
      <w:keepNext/>
      <w:keepLines/>
      <w:spacing w:before="40" w:after="0"/>
      <w:outlineLvl w:val="3"/>
    </w:pPr>
    <w:rPr>
      <w:rFonts w:asciiTheme="majorHAnsi" w:eastAsiaTheme="majorEastAsia" w:hAnsiTheme="majorHAnsi" w:cstheme="majorBidi"/>
      <w:i/>
      <w:iCs/>
      <w:sz w:val="24"/>
    </w:rPr>
  </w:style>
  <w:style w:type="paragraph" w:styleId="Nadpis5">
    <w:name w:val="heading 5"/>
    <w:basedOn w:val="Normln"/>
    <w:next w:val="Normln"/>
    <w:link w:val="Nadpis5Char"/>
    <w:uiPriority w:val="7"/>
    <w:unhideWhenUsed/>
    <w:qFormat/>
    <w:rsid w:val="00C6690E"/>
    <w:pPr>
      <w:keepNext/>
      <w:keepLines/>
      <w:spacing w:before="40" w:after="0"/>
      <w:outlineLvl w:val="4"/>
    </w:pPr>
    <w:rPr>
      <w:rFonts w:asciiTheme="majorHAnsi" w:eastAsiaTheme="majorEastAsia" w:hAnsiTheme="majorHAnsi" w:cstheme="majorBidi"/>
      <w:b/>
    </w:rPr>
  </w:style>
  <w:style w:type="paragraph" w:styleId="Nadpis6">
    <w:name w:val="heading 6"/>
    <w:basedOn w:val="Normln"/>
    <w:next w:val="Normln"/>
    <w:link w:val="Nadpis6Char"/>
    <w:uiPriority w:val="7"/>
    <w:unhideWhenUsed/>
    <w:qFormat/>
    <w:rsid w:val="00C6690E"/>
    <w:pPr>
      <w:keepNext/>
      <w:keepLines/>
      <w:spacing w:before="40" w:after="0"/>
      <w:outlineLvl w:val="5"/>
    </w:pPr>
    <w:rPr>
      <w:rFonts w:asciiTheme="majorHAnsi" w:eastAsiaTheme="majorEastAsia" w:hAnsiTheme="majorHAnsi" w:cstheme="majorBidi"/>
      <w:i/>
    </w:rPr>
  </w:style>
  <w:style w:type="paragraph" w:styleId="Nadpis7">
    <w:name w:val="heading 7"/>
    <w:basedOn w:val="Normln"/>
    <w:next w:val="Normln"/>
    <w:link w:val="Nadpis7Char"/>
    <w:uiPriority w:val="7"/>
    <w:unhideWhenUsed/>
    <w:qFormat/>
    <w:rsid w:val="00C6690E"/>
    <w:pPr>
      <w:keepNext/>
      <w:keepLines/>
      <w:spacing w:before="40" w:after="0"/>
      <w:outlineLvl w:val="6"/>
    </w:pPr>
    <w:rPr>
      <w:rFonts w:asciiTheme="majorHAnsi" w:eastAsiaTheme="majorEastAsia" w:hAnsiTheme="majorHAnsi" w:cstheme="majorBidi"/>
      <w:iCs/>
    </w:rPr>
  </w:style>
  <w:style w:type="paragraph" w:styleId="Nadpis8">
    <w:name w:val="heading 8"/>
    <w:basedOn w:val="Normln"/>
    <w:next w:val="Normln"/>
    <w:link w:val="Nadpis8Char"/>
    <w:uiPriority w:val="7"/>
    <w:unhideWhenUsed/>
    <w:qFormat/>
    <w:rsid w:val="00A95C48"/>
    <w:pPr>
      <w:keepNext/>
      <w:keepLines/>
      <w:spacing w:before="40" w:after="0"/>
      <w:outlineLvl w:val="7"/>
    </w:pPr>
    <w:rPr>
      <w:rFonts w:asciiTheme="majorHAnsi" w:eastAsiaTheme="majorEastAsia" w:hAnsiTheme="majorHAnsi" w:cstheme="majorBidi"/>
      <w:b/>
      <w:color w:val="272727" w:themeColor="text1" w:themeTint="D8"/>
      <w:szCs w:val="21"/>
    </w:rPr>
  </w:style>
  <w:style w:type="paragraph" w:styleId="Nadpis9">
    <w:name w:val="heading 9"/>
    <w:basedOn w:val="Normln"/>
    <w:next w:val="Normln"/>
    <w:link w:val="Nadpis9Char"/>
    <w:uiPriority w:val="7"/>
    <w:unhideWhenUsed/>
    <w:qFormat/>
    <w:rsid w:val="00A95C48"/>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unhideWhenUsed/>
    <w:qFormat/>
    <w:rsid w:val="009F7F46"/>
    <w:pPr>
      <w:ind w:left="720"/>
      <w:contextualSpacing/>
    </w:pPr>
  </w:style>
  <w:style w:type="numbering" w:customStyle="1" w:styleId="VariantaB-odrky">
    <w:name w:val="Varianta B - odrážky"/>
    <w:uiPriority w:val="99"/>
    <w:rsid w:val="007102D2"/>
    <w:pPr>
      <w:numPr>
        <w:numId w:val="1"/>
      </w:numPr>
    </w:pPr>
  </w:style>
  <w:style w:type="character" w:customStyle="1" w:styleId="Nadpis1Char">
    <w:name w:val="Nadpis 1 Char"/>
    <w:basedOn w:val="Standardnpsmoodstavce"/>
    <w:link w:val="Nadpis1"/>
    <w:uiPriority w:val="7"/>
    <w:rsid w:val="003250CB"/>
    <w:rPr>
      <w:rFonts w:asciiTheme="majorHAnsi" w:eastAsiaTheme="majorEastAsia" w:hAnsiTheme="majorHAnsi" w:cstheme="majorBidi"/>
      <w:b/>
      <w:color w:val="000000" w:themeColor="text1"/>
      <w:sz w:val="28"/>
      <w:szCs w:val="32"/>
    </w:rPr>
  </w:style>
  <w:style w:type="numbering" w:customStyle="1" w:styleId="VariantaA-odrky">
    <w:name w:val="Varianta A - odrážky"/>
    <w:uiPriority w:val="99"/>
    <w:rsid w:val="00262DAF"/>
    <w:pPr>
      <w:numPr>
        <w:numId w:val="2"/>
      </w:numPr>
    </w:pPr>
  </w:style>
  <w:style w:type="character" w:customStyle="1" w:styleId="Nadpis2Char">
    <w:name w:val="Nadpis 2 Char"/>
    <w:basedOn w:val="Standardnpsmoodstavce"/>
    <w:link w:val="Nadpis2"/>
    <w:uiPriority w:val="7"/>
    <w:rsid w:val="003250CB"/>
    <w:rPr>
      <w:rFonts w:asciiTheme="majorHAnsi" w:eastAsiaTheme="majorEastAsia" w:hAnsiTheme="majorHAnsi" w:cstheme="majorBidi"/>
      <w:b/>
      <w:color w:val="000000" w:themeColor="text1"/>
      <w:sz w:val="26"/>
      <w:szCs w:val="26"/>
    </w:rPr>
  </w:style>
  <w:style w:type="numbering" w:customStyle="1" w:styleId="VariantaA-sla">
    <w:name w:val="Varianta A - čísla"/>
    <w:uiPriority w:val="99"/>
    <w:rsid w:val="00B50EE6"/>
    <w:pPr>
      <w:numPr>
        <w:numId w:val="20"/>
      </w:numPr>
    </w:pPr>
  </w:style>
  <w:style w:type="numbering" w:customStyle="1" w:styleId="VariantaB-sla">
    <w:name w:val="Varianta B - čísla"/>
    <w:uiPriority w:val="99"/>
    <w:rsid w:val="009F7F46"/>
    <w:pPr>
      <w:numPr>
        <w:numId w:val="6"/>
      </w:numPr>
    </w:pPr>
  </w:style>
  <w:style w:type="character" w:customStyle="1" w:styleId="Nadpis3Char">
    <w:name w:val="Nadpis 3 Char"/>
    <w:basedOn w:val="Standardnpsmoodstavce"/>
    <w:link w:val="Nadpis3"/>
    <w:uiPriority w:val="7"/>
    <w:rsid w:val="003250CB"/>
    <w:rPr>
      <w:rFonts w:asciiTheme="majorHAnsi" w:eastAsiaTheme="majorEastAsia" w:hAnsiTheme="majorHAnsi" w:cstheme="majorBidi"/>
      <w:b/>
      <w:color w:val="000000" w:themeColor="text1"/>
      <w:sz w:val="24"/>
      <w:szCs w:val="24"/>
    </w:rPr>
  </w:style>
  <w:style w:type="character" w:customStyle="1" w:styleId="Nadpis4Char">
    <w:name w:val="Nadpis 4 Char"/>
    <w:basedOn w:val="Standardnpsmoodstavce"/>
    <w:link w:val="Nadpis4"/>
    <w:uiPriority w:val="7"/>
    <w:rsid w:val="003250CB"/>
    <w:rPr>
      <w:rFonts w:asciiTheme="majorHAnsi" w:eastAsiaTheme="majorEastAsia" w:hAnsiTheme="majorHAnsi" w:cstheme="majorBidi"/>
      <w:i/>
      <w:iCs/>
      <w:color w:val="000000" w:themeColor="text1"/>
      <w:sz w:val="24"/>
    </w:rPr>
  </w:style>
  <w:style w:type="character" w:customStyle="1" w:styleId="Nadpis5Char">
    <w:name w:val="Nadpis 5 Char"/>
    <w:basedOn w:val="Standardnpsmoodstavce"/>
    <w:link w:val="Nadpis5"/>
    <w:uiPriority w:val="7"/>
    <w:rsid w:val="003250CB"/>
    <w:rPr>
      <w:rFonts w:asciiTheme="majorHAnsi" w:eastAsiaTheme="majorEastAsia" w:hAnsiTheme="majorHAnsi" w:cstheme="majorBidi"/>
      <w:b/>
      <w:color w:val="000000" w:themeColor="text1"/>
    </w:rPr>
  </w:style>
  <w:style w:type="character" w:customStyle="1" w:styleId="Nadpis6Char">
    <w:name w:val="Nadpis 6 Char"/>
    <w:basedOn w:val="Standardnpsmoodstavce"/>
    <w:link w:val="Nadpis6"/>
    <w:uiPriority w:val="7"/>
    <w:rsid w:val="003250CB"/>
    <w:rPr>
      <w:rFonts w:asciiTheme="majorHAnsi" w:eastAsiaTheme="majorEastAsia" w:hAnsiTheme="majorHAnsi" w:cstheme="majorBidi"/>
      <w:i/>
      <w:color w:val="000000" w:themeColor="text1"/>
    </w:rPr>
  </w:style>
  <w:style w:type="character" w:customStyle="1" w:styleId="Nadpis7Char">
    <w:name w:val="Nadpis 7 Char"/>
    <w:basedOn w:val="Standardnpsmoodstavce"/>
    <w:link w:val="Nadpis7"/>
    <w:uiPriority w:val="7"/>
    <w:rsid w:val="003250CB"/>
    <w:rPr>
      <w:rFonts w:asciiTheme="majorHAnsi" w:eastAsiaTheme="majorEastAsia" w:hAnsiTheme="majorHAnsi" w:cstheme="majorBidi"/>
      <w:iCs/>
      <w:color w:val="000000" w:themeColor="text1"/>
    </w:rPr>
  </w:style>
  <w:style w:type="character" w:customStyle="1" w:styleId="Nadpis8Char">
    <w:name w:val="Nadpis 8 Char"/>
    <w:basedOn w:val="Standardnpsmoodstavce"/>
    <w:link w:val="Nadpis8"/>
    <w:uiPriority w:val="7"/>
    <w:rsid w:val="003250CB"/>
    <w:rPr>
      <w:rFonts w:asciiTheme="majorHAnsi" w:eastAsiaTheme="majorEastAsia" w:hAnsiTheme="majorHAnsi" w:cstheme="majorBidi"/>
      <w:b/>
      <w:color w:val="272727" w:themeColor="text1" w:themeTint="D8"/>
      <w:szCs w:val="21"/>
    </w:rPr>
  </w:style>
  <w:style w:type="character" w:customStyle="1" w:styleId="Nadpis9Char">
    <w:name w:val="Nadpis 9 Char"/>
    <w:basedOn w:val="Standardnpsmoodstavce"/>
    <w:link w:val="Nadpis9"/>
    <w:uiPriority w:val="7"/>
    <w:rsid w:val="003250CB"/>
    <w:rPr>
      <w:rFonts w:asciiTheme="majorHAnsi" w:eastAsiaTheme="majorEastAsia" w:hAnsiTheme="majorHAnsi" w:cstheme="majorBidi"/>
      <w:i/>
      <w:iCs/>
      <w:color w:val="272727" w:themeColor="text1" w:themeTint="D8"/>
      <w:sz w:val="21"/>
      <w:szCs w:val="21"/>
    </w:rPr>
  </w:style>
  <w:style w:type="paragraph" w:styleId="Nzev">
    <w:name w:val="Title"/>
    <w:basedOn w:val="Normln"/>
    <w:next w:val="Normln"/>
    <w:link w:val="NzevChar"/>
    <w:uiPriority w:val="4"/>
    <w:qFormat/>
    <w:rsid w:val="00A63D6B"/>
    <w:pPr>
      <w:keepNext/>
      <w:keepLines/>
      <w:spacing w:after="0" w:line="240" w:lineRule="auto"/>
      <w:contextualSpacing/>
    </w:pPr>
    <w:rPr>
      <w:rFonts w:asciiTheme="majorHAnsi" w:eastAsiaTheme="majorEastAsia" w:hAnsiTheme="majorHAnsi" w:cstheme="majorBidi"/>
      <w:spacing w:val="-10"/>
      <w:kern w:val="28"/>
      <w:sz w:val="48"/>
      <w:szCs w:val="56"/>
    </w:rPr>
  </w:style>
  <w:style w:type="character" w:customStyle="1" w:styleId="NzevChar">
    <w:name w:val="Název Char"/>
    <w:basedOn w:val="Standardnpsmoodstavce"/>
    <w:link w:val="Nzev"/>
    <w:uiPriority w:val="4"/>
    <w:rsid w:val="003250CB"/>
    <w:rPr>
      <w:rFonts w:asciiTheme="majorHAnsi" w:eastAsiaTheme="majorEastAsia" w:hAnsiTheme="majorHAnsi" w:cstheme="majorBidi"/>
      <w:color w:val="000000" w:themeColor="text1"/>
      <w:spacing w:val="-10"/>
      <w:kern w:val="28"/>
      <w:sz w:val="48"/>
      <w:szCs w:val="56"/>
    </w:rPr>
  </w:style>
  <w:style w:type="character" w:styleId="Zdraznnintenzivn">
    <w:name w:val="Intense Emphasis"/>
    <w:basedOn w:val="Standardnpsmoodstavce"/>
    <w:uiPriority w:val="21"/>
    <w:qFormat/>
    <w:rsid w:val="00EE6BD7"/>
    <w:rPr>
      <w:b/>
      <w:i/>
      <w:iCs/>
      <w:color w:val="000000" w:themeColor="text1"/>
    </w:rPr>
  </w:style>
  <w:style w:type="paragraph" w:styleId="Vrazncitt">
    <w:name w:val="Intense Quote"/>
    <w:basedOn w:val="Normln"/>
    <w:next w:val="Normln"/>
    <w:link w:val="VrazncittChar"/>
    <w:uiPriority w:val="28"/>
    <w:qFormat/>
    <w:rsid w:val="00713948"/>
    <w:pPr>
      <w:keepLines/>
      <w:pBdr>
        <w:top w:val="single" w:sz="4" w:space="10" w:color="000000" w:themeColor="text1"/>
        <w:bottom w:val="single" w:sz="4" w:space="10" w:color="000000" w:themeColor="text1"/>
      </w:pBdr>
      <w:spacing w:before="240" w:after="240"/>
      <w:ind w:left="357" w:right="357"/>
    </w:pPr>
    <w:rPr>
      <w:i/>
      <w:iCs/>
    </w:rPr>
  </w:style>
  <w:style w:type="character" w:customStyle="1" w:styleId="VrazncittChar">
    <w:name w:val="Výrazný citát Char"/>
    <w:basedOn w:val="Standardnpsmoodstavce"/>
    <w:link w:val="Vrazncitt"/>
    <w:uiPriority w:val="28"/>
    <w:rsid w:val="00713948"/>
    <w:rPr>
      <w:i/>
      <w:iCs/>
      <w:color w:val="000000" w:themeColor="text1"/>
    </w:rPr>
  </w:style>
  <w:style w:type="character" w:styleId="Odkazintenzivn">
    <w:name w:val="Intense Reference"/>
    <w:basedOn w:val="Standardnpsmoodstavce"/>
    <w:uiPriority w:val="24"/>
    <w:qFormat/>
    <w:rsid w:val="0039063C"/>
    <w:rPr>
      <w:b/>
      <w:bCs/>
      <w:smallCaps/>
      <w:color w:val="000000" w:themeColor="text1"/>
      <w:spacing w:val="5"/>
    </w:rPr>
  </w:style>
  <w:style w:type="paragraph" w:styleId="slovanseznam">
    <w:name w:val="List Number"/>
    <w:aliases w:val="Číslovaný seznam A"/>
    <w:basedOn w:val="Normln"/>
    <w:uiPriority w:val="15"/>
    <w:qFormat/>
    <w:rsid w:val="001B1E4A"/>
    <w:pPr>
      <w:numPr>
        <w:numId w:val="33"/>
      </w:numPr>
      <w:spacing w:after="0"/>
    </w:pPr>
  </w:style>
  <w:style w:type="paragraph" w:styleId="slovanseznam2">
    <w:name w:val="List Number 2"/>
    <w:aliases w:val="Číslovaný seznam A 2"/>
    <w:basedOn w:val="Normln"/>
    <w:uiPriority w:val="15"/>
    <w:qFormat/>
    <w:rsid w:val="001B1E4A"/>
    <w:pPr>
      <w:numPr>
        <w:ilvl w:val="1"/>
        <w:numId w:val="33"/>
      </w:numPr>
      <w:spacing w:after="0"/>
      <w:contextualSpacing/>
    </w:pPr>
  </w:style>
  <w:style w:type="paragraph" w:styleId="slovanseznam3">
    <w:name w:val="List Number 3"/>
    <w:aliases w:val="Číslovaný seznam A 3"/>
    <w:basedOn w:val="Normln"/>
    <w:uiPriority w:val="15"/>
    <w:qFormat/>
    <w:rsid w:val="001B1E4A"/>
    <w:pPr>
      <w:numPr>
        <w:ilvl w:val="2"/>
        <w:numId w:val="33"/>
      </w:numPr>
      <w:spacing w:after="0"/>
      <w:contextualSpacing/>
    </w:pPr>
  </w:style>
  <w:style w:type="paragraph" w:styleId="slovanseznam4">
    <w:name w:val="List Number 4"/>
    <w:aliases w:val="Číslovaný seznam A 4"/>
    <w:basedOn w:val="Normln"/>
    <w:uiPriority w:val="15"/>
    <w:qFormat/>
    <w:rsid w:val="001B1E4A"/>
    <w:pPr>
      <w:numPr>
        <w:ilvl w:val="3"/>
        <w:numId w:val="33"/>
      </w:numPr>
      <w:spacing w:after="0"/>
      <w:contextualSpacing/>
    </w:pPr>
  </w:style>
  <w:style w:type="paragraph" w:styleId="slovanseznam5">
    <w:name w:val="List Number 5"/>
    <w:aliases w:val="Číslovaný seznam A 5"/>
    <w:basedOn w:val="Normln"/>
    <w:uiPriority w:val="15"/>
    <w:qFormat/>
    <w:rsid w:val="001B1E4A"/>
    <w:pPr>
      <w:numPr>
        <w:ilvl w:val="4"/>
        <w:numId w:val="33"/>
      </w:numPr>
      <w:spacing w:after="0"/>
      <w:contextualSpacing/>
    </w:pPr>
  </w:style>
  <w:style w:type="paragraph" w:customStyle="1" w:styleId="slovanseznamB">
    <w:name w:val="Číslovaný seznam B"/>
    <w:basedOn w:val="Normln"/>
    <w:uiPriority w:val="16"/>
    <w:qFormat/>
    <w:rsid w:val="009F7F46"/>
    <w:pPr>
      <w:numPr>
        <w:numId w:val="31"/>
      </w:numPr>
      <w:spacing w:after="0"/>
    </w:pPr>
  </w:style>
  <w:style w:type="paragraph" w:customStyle="1" w:styleId="slovanseznamB2">
    <w:name w:val="Číslovaný seznam B 2"/>
    <w:basedOn w:val="Normln"/>
    <w:uiPriority w:val="16"/>
    <w:qFormat/>
    <w:rsid w:val="009F7F46"/>
    <w:pPr>
      <w:numPr>
        <w:ilvl w:val="1"/>
        <w:numId w:val="31"/>
      </w:numPr>
      <w:spacing w:after="0"/>
    </w:pPr>
  </w:style>
  <w:style w:type="paragraph" w:customStyle="1" w:styleId="slovanseznamB3">
    <w:name w:val="Číslovaný seznam B 3"/>
    <w:basedOn w:val="Normln"/>
    <w:uiPriority w:val="16"/>
    <w:qFormat/>
    <w:rsid w:val="009F7F46"/>
    <w:pPr>
      <w:numPr>
        <w:ilvl w:val="2"/>
        <w:numId w:val="31"/>
      </w:numPr>
      <w:spacing w:after="0"/>
    </w:pPr>
  </w:style>
  <w:style w:type="paragraph" w:customStyle="1" w:styleId="slovanseznamB4">
    <w:name w:val="Číslovaný seznam B 4"/>
    <w:basedOn w:val="Normln"/>
    <w:uiPriority w:val="16"/>
    <w:qFormat/>
    <w:rsid w:val="009F7F46"/>
    <w:pPr>
      <w:numPr>
        <w:ilvl w:val="3"/>
        <w:numId w:val="31"/>
      </w:numPr>
      <w:spacing w:after="0"/>
    </w:pPr>
  </w:style>
  <w:style w:type="paragraph" w:customStyle="1" w:styleId="slovanseznamB5">
    <w:name w:val="Číslovaný seznam B 5"/>
    <w:basedOn w:val="Normln"/>
    <w:uiPriority w:val="16"/>
    <w:qFormat/>
    <w:rsid w:val="009F7F46"/>
    <w:pPr>
      <w:numPr>
        <w:ilvl w:val="4"/>
        <w:numId w:val="31"/>
      </w:numPr>
      <w:spacing w:after="0"/>
    </w:pPr>
  </w:style>
  <w:style w:type="paragraph" w:styleId="Seznamsodrkami3">
    <w:name w:val="List Bullet 3"/>
    <w:aliases w:val="Seznam s odrážkami A 3"/>
    <w:basedOn w:val="Normln"/>
    <w:uiPriority w:val="10"/>
    <w:qFormat/>
    <w:rsid w:val="00262DAF"/>
    <w:pPr>
      <w:numPr>
        <w:ilvl w:val="2"/>
        <w:numId w:val="32"/>
      </w:numPr>
      <w:spacing w:after="0"/>
      <w:contextualSpacing/>
    </w:pPr>
  </w:style>
  <w:style w:type="paragraph" w:styleId="Seznamsodrkami4">
    <w:name w:val="List Bullet 4"/>
    <w:aliases w:val="Seznam s odrážkami A 4"/>
    <w:basedOn w:val="Normln"/>
    <w:uiPriority w:val="10"/>
    <w:qFormat/>
    <w:rsid w:val="00262DAF"/>
    <w:pPr>
      <w:numPr>
        <w:ilvl w:val="3"/>
        <w:numId w:val="32"/>
      </w:numPr>
      <w:spacing w:after="0"/>
      <w:contextualSpacing/>
    </w:pPr>
  </w:style>
  <w:style w:type="paragraph" w:styleId="Seznamsodrkami5">
    <w:name w:val="List Bullet 5"/>
    <w:aliases w:val="Seznam s odrážkami A 5"/>
    <w:basedOn w:val="Normln"/>
    <w:uiPriority w:val="10"/>
    <w:qFormat/>
    <w:rsid w:val="00262DAF"/>
    <w:pPr>
      <w:numPr>
        <w:ilvl w:val="4"/>
        <w:numId w:val="32"/>
      </w:numPr>
      <w:spacing w:after="0"/>
    </w:pPr>
  </w:style>
  <w:style w:type="paragraph" w:styleId="Seznamsodrkami">
    <w:name w:val="List Bullet"/>
    <w:aliases w:val="Seznam s odrážkami A"/>
    <w:basedOn w:val="Normln"/>
    <w:uiPriority w:val="10"/>
    <w:qFormat/>
    <w:rsid w:val="00262DAF"/>
    <w:pPr>
      <w:numPr>
        <w:numId w:val="32"/>
      </w:numPr>
      <w:spacing w:after="0"/>
      <w:contextualSpacing/>
    </w:pPr>
  </w:style>
  <w:style w:type="paragraph" w:styleId="Seznamsodrkami2">
    <w:name w:val="List Bullet 2"/>
    <w:aliases w:val="Seznam s odrážkami A 2"/>
    <w:basedOn w:val="Normln"/>
    <w:uiPriority w:val="10"/>
    <w:qFormat/>
    <w:rsid w:val="00262DAF"/>
    <w:pPr>
      <w:numPr>
        <w:ilvl w:val="1"/>
        <w:numId w:val="32"/>
      </w:numPr>
      <w:spacing w:after="0"/>
      <w:contextualSpacing/>
    </w:pPr>
  </w:style>
  <w:style w:type="paragraph" w:customStyle="1" w:styleId="Nadpis1-mimoobsah">
    <w:name w:val="Nadpis 1 - mimo obsah"/>
    <w:basedOn w:val="Normln"/>
    <w:next w:val="Normln"/>
    <w:uiPriority w:val="8"/>
    <w:qFormat/>
    <w:rsid w:val="00831374"/>
    <w:pPr>
      <w:keepNext/>
      <w:keepLines/>
      <w:spacing w:before="160" w:after="0"/>
    </w:pPr>
    <w:rPr>
      <w:rFonts w:asciiTheme="majorHAnsi" w:hAnsiTheme="majorHAnsi"/>
      <w:b/>
      <w:sz w:val="28"/>
    </w:rPr>
  </w:style>
  <w:style w:type="paragraph" w:customStyle="1" w:styleId="Nadpis2-mimoobsah">
    <w:name w:val="Nadpis 2 - mimo obsah"/>
    <w:basedOn w:val="Normln"/>
    <w:next w:val="Normln"/>
    <w:uiPriority w:val="8"/>
    <w:qFormat/>
    <w:rsid w:val="00AB523B"/>
    <w:pPr>
      <w:keepNext/>
      <w:keepLines/>
      <w:spacing w:before="80" w:after="0"/>
    </w:pPr>
    <w:rPr>
      <w:rFonts w:asciiTheme="majorHAnsi" w:hAnsiTheme="majorHAnsi"/>
      <w:b/>
      <w:sz w:val="26"/>
    </w:rPr>
  </w:style>
  <w:style w:type="paragraph" w:customStyle="1" w:styleId="Nadpis3-mimoobsah">
    <w:name w:val="Nadpis 3 - mimo obsah"/>
    <w:basedOn w:val="Normln"/>
    <w:next w:val="Normln"/>
    <w:uiPriority w:val="8"/>
    <w:qFormat/>
    <w:rsid w:val="00BB479C"/>
    <w:pPr>
      <w:keepNext/>
      <w:keepLines/>
      <w:spacing w:before="40" w:after="0"/>
    </w:pPr>
    <w:rPr>
      <w:rFonts w:asciiTheme="majorHAnsi" w:hAnsiTheme="majorHAnsi"/>
      <w:b/>
      <w:sz w:val="24"/>
    </w:rPr>
  </w:style>
  <w:style w:type="paragraph" w:customStyle="1" w:styleId="Nadpis4-mimoobsah">
    <w:name w:val="Nadpis 4 - mimo obsah"/>
    <w:basedOn w:val="Normln"/>
    <w:next w:val="Normln"/>
    <w:uiPriority w:val="8"/>
    <w:qFormat/>
    <w:rsid w:val="00BB479C"/>
    <w:pPr>
      <w:keepNext/>
      <w:keepLines/>
      <w:spacing w:before="40" w:after="0"/>
    </w:pPr>
    <w:rPr>
      <w:rFonts w:asciiTheme="majorHAnsi" w:hAnsiTheme="majorHAnsi"/>
      <w:i/>
      <w:sz w:val="24"/>
    </w:rPr>
  </w:style>
  <w:style w:type="paragraph" w:customStyle="1" w:styleId="Nadpis5-mimoobsah">
    <w:name w:val="Nadpis 5 - mimo obsah"/>
    <w:basedOn w:val="Normln"/>
    <w:next w:val="Normln"/>
    <w:uiPriority w:val="8"/>
    <w:qFormat/>
    <w:rsid w:val="00BB479C"/>
    <w:pPr>
      <w:keepNext/>
      <w:keepLines/>
      <w:spacing w:before="40" w:after="0"/>
    </w:pPr>
    <w:rPr>
      <w:rFonts w:asciiTheme="majorHAnsi" w:hAnsiTheme="majorHAnsi"/>
      <w:b/>
    </w:rPr>
  </w:style>
  <w:style w:type="paragraph" w:customStyle="1" w:styleId="Nadpis7mimoobsah">
    <w:name w:val="Nadpis 7 mimo obsah"/>
    <w:basedOn w:val="Normln"/>
    <w:next w:val="Normln"/>
    <w:uiPriority w:val="8"/>
    <w:qFormat/>
    <w:rsid w:val="00BB479C"/>
    <w:pPr>
      <w:keepNext/>
      <w:keepLines/>
      <w:spacing w:before="40" w:after="0"/>
    </w:pPr>
    <w:rPr>
      <w:rFonts w:asciiTheme="majorHAnsi" w:hAnsiTheme="majorHAnsi"/>
    </w:rPr>
  </w:style>
  <w:style w:type="paragraph" w:customStyle="1" w:styleId="Nadpis6mimoobsah">
    <w:name w:val="Nadpis 6 mimo obsah"/>
    <w:basedOn w:val="Normln"/>
    <w:next w:val="Normln"/>
    <w:uiPriority w:val="8"/>
    <w:qFormat/>
    <w:rsid w:val="00A95C48"/>
    <w:pPr>
      <w:keepNext/>
      <w:keepLines/>
      <w:spacing w:before="40" w:after="0"/>
    </w:pPr>
    <w:rPr>
      <w:rFonts w:asciiTheme="majorHAnsi" w:hAnsiTheme="majorHAnsi"/>
      <w:i/>
    </w:rPr>
  </w:style>
  <w:style w:type="paragraph" w:customStyle="1" w:styleId="Nadpis8mimoobsah">
    <w:name w:val="Nadpis 8 mimo obsah"/>
    <w:basedOn w:val="Normln"/>
    <w:next w:val="Normln"/>
    <w:uiPriority w:val="8"/>
    <w:qFormat/>
    <w:rsid w:val="00A95C48"/>
    <w:pPr>
      <w:keepNext/>
      <w:keepLines/>
      <w:spacing w:before="40" w:after="0"/>
    </w:pPr>
    <w:rPr>
      <w:rFonts w:asciiTheme="majorHAnsi" w:hAnsiTheme="majorHAnsi"/>
      <w:b/>
      <w:sz w:val="21"/>
      <w:szCs w:val="21"/>
    </w:rPr>
  </w:style>
  <w:style w:type="paragraph" w:customStyle="1" w:styleId="Nadpis9mimoobsah">
    <w:name w:val="Nadpis 9 mimo obsah"/>
    <w:basedOn w:val="Normln"/>
    <w:next w:val="Normln"/>
    <w:uiPriority w:val="8"/>
    <w:qFormat/>
    <w:rsid w:val="00A95C48"/>
    <w:pPr>
      <w:keepNext/>
      <w:keepLines/>
      <w:spacing w:before="40" w:after="0"/>
    </w:pPr>
    <w:rPr>
      <w:rFonts w:asciiTheme="majorHAnsi" w:hAnsiTheme="majorHAnsi"/>
      <w:i/>
      <w:sz w:val="21"/>
      <w:szCs w:val="21"/>
    </w:rPr>
  </w:style>
  <w:style w:type="paragraph" w:styleId="Podnadpis">
    <w:name w:val="Subtitle"/>
    <w:basedOn w:val="Normln"/>
    <w:next w:val="Normln"/>
    <w:link w:val="PodnadpisChar"/>
    <w:uiPriority w:val="5"/>
    <w:qFormat/>
    <w:rsid w:val="008D4A32"/>
    <w:pPr>
      <w:numPr>
        <w:ilvl w:val="1"/>
      </w:numPr>
    </w:pPr>
    <w:rPr>
      <w:rFonts w:eastAsiaTheme="minorEastAsia"/>
      <w:color w:val="595959" w:themeColor="text1" w:themeTint="A6"/>
      <w:spacing w:val="15"/>
      <w:sz w:val="28"/>
    </w:rPr>
  </w:style>
  <w:style w:type="character" w:customStyle="1" w:styleId="PodnadpisChar">
    <w:name w:val="Podnadpis Char"/>
    <w:basedOn w:val="Standardnpsmoodstavce"/>
    <w:link w:val="Podnadpis"/>
    <w:uiPriority w:val="5"/>
    <w:rsid w:val="003250CB"/>
    <w:rPr>
      <w:rFonts w:eastAsiaTheme="minorEastAsia"/>
      <w:color w:val="595959" w:themeColor="text1" w:themeTint="A6"/>
      <w:spacing w:val="15"/>
      <w:sz w:val="28"/>
    </w:rPr>
  </w:style>
  <w:style w:type="paragraph" w:styleId="Obsah1">
    <w:name w:val="toc 1"/>
    <w:basedOn w:val="Normln"/>
    <w:next w:val="Normln"/>
    <w:autoRedefine/>
    <w:uiPriority w:val="39"/>
    <w:unhideWhenUsed/>
    <w:rsid w:val="00D22462"/>
    <w:pPr>
      <w:spacing w:after="100"/>
    </w:pPr>
  </w:style>
  <w:style w:type="paragraph" w:styleId="Obsah2">
    <w:name w:val="toc 2"/>
    <w:basedOn w:val="Normln"/>
    <w:next w:val="Normln"/>
    <w:autoRedefine/>
    <w:uiPriority w:val="39"/>
    <w:unhideWhenUsed/>
    <w:rsid w:val="00D22462"/>
    <w:pPr>
      <w:spacing w:after="100"/>
      <w:ind w:left="220"/>
    </w:pPr>
  </w:style>
  <w:style w:type="paragraph" w:styleId="Obsah3">
    <w:name w:val="toc 3"/>
    <w:basedOn w:val="Normln"/>
    <w:next w:val="Normln"/>
    <w:autoRedefine/>
    <w:uiPriority w:val="39"/>
    <w:unhideWhenUsed/>
    <w:rsid w:val="00D22462"/>
    <w:pPr>
      <w:spacing w:after="100"/>
      <w:ind w:left="440"/>
    </w:pPr>
  </w:style>
  <w:style w:type="paragraph" w:styleId="Obsah4">
    <w:name w:val="toc 4"/>
    <w:basedOn w:val="Normln"/>
    <w:next w:val="Normln"/>
    <w:autoRedefine/>
    <w:uiPriority w:val="39"/>
    <w:unhideWhenUsed/>
    <w:rsid w:val="00D22462"/>
    <w:pPr>
      <w:spacing w:after="100"/>
      <w:ind w:left="660"/>
    </w:pPr>
  </w:style>
  <w:style w:type="paragraph" w:styleId="Obsah5">
    <w:name w:val="toc 5"/>
    <w:basedOn w:val="Normln"/>
    <w:next w:val="Normln"/>
    <w:autoRedefine/>
    <w:uiPriority w:val="39"/>
    <w:unhideWhenUsed/>
    <w:rsid w:val="00D22462"/>
    <w:pPr>
      <w:spacing w:after="100"/>
      <w:ind w:left="880"/>
    </w:pPr>
  </w:style>
  <w:style w:type="paragraph" w:styleId="Obsah6">
    <w:name w:val="toc 6"/>
    <w:basedOn w:val="Normln"/>
    <w:next w:val="Normln"/>
    <w:autoRedefine/>
    <w:uiPriority w:val="39"/>
    <w:unhideWhenUsed/>
    <w:rsid w:val="00D22462"/>
    <w:pPr>
      <w:spacing w:after="100"/>
      <w:ind w:left="1100"/>
    </w:pPr>
  </w:style>
  <w:style w:type="paragraph" w:styleId="Obsah7">
    <w:name w:val="toc 7"/>
    <w:basedOn w:val="Normln"/>
    <w:next w:val="Normln"/>
    <w:autoRedefine/>
    <w:uiPriority w:val="39"/>
    <w:unhideWhenUsed/>
    <w:rsid w:val="00D22462"/>
    <w:pPr>
      <w:spacing w:after="100"/>
      <w:ind w:left="1320"/>
    </w:pPr>
  </w:style>
  <w:style w:type="paragraph" w:styleId="Obsah8">
    <w:name w:val="toc 8"/>
    <w:basedOn w:val="Normln"/>
    <w:next w:val="Normln"/>
    <w:autoRedefine/>
    <w:uiPriority w:val="39"/>
    <w:unhideWhenUsed/>
    <w:rsid w:val="00D22462"/>
    <w:pPr>
      <w:spacing w:after="100"/>
      <w:ind w:left="1540"/>
    </w:pPr>
  </w:style>
  <w:style w:type="paragraph" w:styleId="Obsah9">
    <w:name w:val="toc 9"/>
    <w:basedOn w:val="Normln"/>
    <w:next w:val="Normln"/>
    <w:autoRedefine/>
    <w:uiPriority w:val="39"/>
    <w:unhideWhenUsed/>
    <w:rsid w:val="00D22462"/>
    <w:pPr>
      <w:spacing w:after="100"/>
      <w:ind w:left="1760"/>
    </w:pPr>
  </w:style>
  <w:style w:type="character" w:styleId="Hypertextovodkaz">
    <w:name w:val="Hyperlink"/>
    <w:basedOn w:val="Standardnpsmoodstavce"/>
    <w:uiPriority w:val="99"/>
    <w:unhideWhenUsed/>
    <w:rsid w:val="00D22462"/>
    <w:rPr>
      <w:color w:val="004B8D" w:themeColor="hyperlink"/>
      <w:u w:val="single"/>
    </w:rPr>
  </w:style>
  <w:style w:type="character" w:styleId="Zdraznnjemn">
    <w:name w:val="Subtle Emphasis"/>
    <w:basedOn w:val="Standardnpsmoodstavce"/>
    <w:uiPriority w:val="19"/>
    <w:qFormat/>
    <w:rsid w:val="00A275BC"/>
    <w:rPr>
      <w:i/>
      <w:iCs/>
      <w:color w:val="595959" w:themeColor="text1" w:themeTint="A6"/>
    </w:rPr>
  </w:style>
  <w:style w:type="character" w:styleId="Odkazjemn">
    <w:name w:val="Subtle Reference"/>
    <w:basedOn w:val="Standardnpsmoodstavce"/>
    <w:uiPriority w:val="23"/>
    <w:qFormat/>
    <w:rsid w:val="00A275BC"/>
    <w:rPr>
      <w:smallCaps/>
      <w:color w:val="5A5A5A" w:themeColor="text1" w:themeTint="A5"/>
    </w:rPr>
  </w:style>
  <w:style w:type="paragraph" w:styleId="Citt">
    <w:name w:val="Quote"/>
    <w:basedOn w:val="Normln"/>
    <w:next w:val="Normln"/>
    <w:link w:val="CittChar"/>
    <w:uiPriority w:val="27"/>
    <w:qFormat/>
    <w:rsid w:val="00713948"/>
    <w:pPr>
      <w:keepLines/>
      <w:spacing w:before="240"/>
      <w:ind w:left="357" w:right="357"/>
    </w:pPr>
    <w:rPr>
      <w:i/>
      <w:iCs/>
      <w:color w:val="595959" w:themeColor="text1" w:themeTint="A6"/>
    </w:rPr>
  </w:style>
  <w:style w:type="character" w:customStyle="1" w:styleId="CittChar">
    <w:name w:val="Citát Char"/>
    <w:basedOn w:val="Standardnpsmoodstavce"/>
    <w:link w:val="Citt"/>
    <w:uiPriority w:val="27"/>
    <w:rsid w:val="00713948"/>
    <w:rPr>
      <w:i/>
      <w:iCs/>
      <w:color w:val="595959" w:themeColor="text1" w:themeTint="A6"/>
    </w:rPr>
  </w:style>
  <w:style w:type="character" w:styleId="Zdraznn">
    <w:name w:val="Emphasis"/>
    <w:basedOn w:val="Standardnpsmoodstavce"/>
    <w:uiPriority w:val="20"/>
    <w:qFormat/>
    <w:rsid w:val="00713948"/>
    <w:rPr>
      <w:i/>
      <w:iCs/>
    </w:rPr>
  </w:style>
  <w:style w:type="paragraph" w:styleId="Nadpisobsahu">
    <w:name w:val="TOC Heading"/>
    <w:basedOn w:val="Nadpis1-mimoobsah"/>
    <w:next w:val="Normln"/>
    <w:uiPriority w:val="6"/>
    <w:unhideWhenUsed/>
    <w:qFormat/>
    <w:rsid w:val="003B565A"/>
  </w:style>
  <w:style w:type="paragraph" w:styleId="Datum">
    <w:name w:val="Date"/>
    <w:basedOn w:val="Normln"/>
    <w:next w:val="Normln"/>
    <w:link w:val="DatumChar"/>
    <w:uiPriority w:val="31"/>
    <w:unhideWhenUsed/>
    <w:rsid w:val="00486FB9"/>
  </w:style>
  <w:style w:type="character" w:customStyle="1" w:styleId="DatumChar">
    <w:name w:val="Datum Char"/>
    <w:basedOn w:val="Standardnpsmoodstavce"/>
    <w:link w:val="Datum"/>
    <w:uiPriority w:val="31"/>
    <w:rsid w:val="005455E1"/>
    <w:rPr>
      <w:color w:val="000000" w:themeColor="text1"/>
    </w:rPr>
  </w:style>
  <w:style w:type="paragraph" w:styleId="Textvbloku">
    <w:name w:val="Block Text"/>
    <w:basedOn w:val="Normln"/>
    <w:uiPriority w:val="29"/>
    <w:unhideWhenUsed/>
    <w:rsid w:val="009516A8"/>
    <w:pPr>
      <w:pBdr>
        <w:top w:val="single" w:sz="2" w:space="10" w:color="000000" w:themeColor="text1"/>
        <w:left w:val="single" w:sz="2" w:space="10" w:color="000000" w:themeColor="text1"/>
        <w:bottom w:val="single" w:sz="2" w:space="10" w:color="000000" w:themeColor="text1"/>
        <w:right w:val="single" w:sz="2" w:space="10" w:color="000000" w:themeColor="text1"/>
      </w:pBdr>
      <w:ind w:left="357" w:right="357"/>
    </w:pPr>
    <w:rPr>
      <w:rFonts w:eastAsiaTheme="minorEastAsia"/>
      <w:i/>
      <w:iCs/>
    </w:rPr>
  </w:style>
  <w:style w:type="character" w:styleId="Sledovanodkaz">
    <w:name w:val="FollowedHyperlink"/>
    <w:basedOn w:val="Standardnpsmoodstavce"/>
    <w:uiPriority w:val="34"/>
    <w:semiHidden/>
    <w:unhideWhenUsed/>
    <w:rsid w:val="00486FB9"/>
    <w:rPr>
      <w:color w:val="595959" w:themeColor="text1" w:themeTint="A6"/>
      <w:u w:val="single"/>
    </w:rPr>
  </w:style>
  <w:style w:type="paragraph" w:styleId="Zkladntext">
    <w:name w:val="Body Text"/>
    <w:basedOn w:val="Normln"/>
    <w:link w:val="ZkladntextChar"/>
    <w:uiPriority w:val="1"/>
    <w:rsid w:val="009F393D"/>
  </w:style>
  <w:style w:type="character" w:customStyle="1" w:styleId="ZkladntextChar">
    <w:name w:val="Základní text Char"/>
    <w:basedOn w:val="Standardnpsmoodstavce"/>
    <w:link w:val="Zkladntext"/>
    <w:uiPriority w:val="1"/>
    <w:rsid w:val="009F393D"/>
    <w:rPr>
      <w:color w:val="000000" w:themeColor="text1"/>
    </w:rPr>
  </w:style>
  <w:style w:type="paragraph" w:styleId="Zkladntext-prvnodsazen">
    <w:name w:val="Body Text First Indent"/>
    <w:basedOn w:val="Zkladntext"/>
    <w:link w:val="Zkladntext-prvnodsazenChar"/>
    <w:uiPriority w:val="1"/>
    <w:rsid w:val="009F393D"/>
    <w:pPr>
      <w:ind w:firstLine="357"/>
    </w:pPr>
  </w:style>
  <w:style w:type="character" w:customStyle="1" w:styleId="Zkladntext-prvnodsazenChar">
    <w:name w:val="Základní text - první odsazený Char"/>
    <w:basedOn w:val="ZkladntextChar"/>
    <w:link w:val="Zkladntext-prvnodsazen"/>
    <w:uiPriority w:val="1"/>
    <w:rsid w:val="009F393D"/>
    <w:rPr>
      <w:color w:val="000000" w:themeColor="text1"/>
    </w:rPr>
  </w:style>
  <w:style w:type="paragraph" w:styleId="Zkladntextodsazen">
    <w:name w:val="Body Text Indent"/>
    <w:basedOn w:val="Normln"/>
    <w:link w:val="ZkladntextodsazenChar"/>
    <w:uiPriority w:val="1"/>
    <w:rsid w:val="009F393D"/>
    <w:pPr>
      <w:ind w:left="357"/>
    </w:pPr>
  </w:style>
  <w:style w:type="character" w:customStyle="1" w:styleId="ZkladntextodsazenChar">
    <w:name w:val="Základní text odsazený Char"/>
    <w:basedOn w:val="Standardnpsmoodstavce"/>
    <w:link w:val="Zkladntextodsazen"/>
    <w:uiPriority w:val="1"/>
    <w:rsid w:val="00C805F2"/>
    <w:rPr>
      <w:color w:val="000000" w:themeColor="text1"/>
    </w:rPr>
  </w:style>
  <w:style w:type="paragraph" w:customStyle="1" w:styleId="SeznamsodrkamiB">
    <w:name w:val="Seznam s odrážkami B"/>
    <w:basedOn w:val="Normln"/>
    <w:uiPriority w:val="11"/>
    <w:qFormat/>
    <w:rsid w:val="007102D2"/>
    <w:pPr>
      <w:numPr>
        <w:numId w:val="36"/>
      </w:numPr>
      <w:spacing w:after="0"/>
    </w:pPr>
  </w:style>
  <w:style w:type="paragraph" w:customStyle="1" w:styleId="SeznamsodrkamiB2">
    <w:name w:val="Seznam s odrážkami B 2"/>
    <w:basedOn w:val="Normln"/>
    <w:uiPriority w:val="11"/>
    <w:qFormat/>
    <w:rsid w:val="007102D2"/>
    <w:pPr>
      <w:numPr>
        <w:ilvl w:val="1"/>
        <w:numId w:val="36"/>
      </w:numPr>
      <w:spacing w:after="0"/>
    </w:pPr>
  </w:style>
  <w:style w:type="paragraph" w:customStyle="1" w:styleId="SeznamsodrkamiB3">
    <w:name w:val="Seznam s odrážkami B 3"/>
    <w:basedOn w:val="Normln"/>
    <w:uiPriority w:val="11"/>
    <w:qFormat/>
    <w:rsid w:val="007102D2"/>
    <w:pPr>
      <w:numPr>
        <w:ilvl w:val="2"/>
        <w:numId w:val="36"/>
      </w:numPr>
      <w:spacing w:after="0"/>
    </w:pPr>
  </w:style>
  <w:style w:type="paragraph" w:customStyle="1" w:styleId="SeznamsodrkamiB4">
    <w:name w:val="Seznam s odrážkami B 4"/>
    <w:basedOn w:val="Normln"/>
    <w:uiPriority w:val="11"/>
    <w:qFormat/>
    <w:rsid w:val="007102D2"/>
    <w:pPr>
      <w:numPr>
        <w:ilvl w:val="3"/>
        <w:numId w:val="36"/>
      </w:numPr>
      <w:spacing w:after="0"/>
    </w:pPr>
  </w:style>
  <w:style w:type="paragraph" w:customStyle="1" w:styleId="SeznamsodrkamiB5">
    <w:name w:val="Seznam s odrážkami B 5"/>
    <w:basedOn w:val="Normln"/>
    <w:uiPriority w:val="11"/>
    <w:qFormat/>
    <w:rsid w:val="007102D2"/>
    <w:pPr>
      <w:numPr>
        <w:ilvl w:val="4"/>
        <w:numId w:val="36"/>
      </w:numPr>
      <w:spacing w:after="0"/>
    </w:pPr>
  </w:style>
  <w:style w:type="paragraph" w:styleId="Zhlav">
    <w:name w:val="header"/>
    <w:basedOn w:val="Normln"/>
    <w:link w:val="ZhlavChar"/>
    <w:uiPriority w:val="99"/>
    <w:unhideWhenUsed/>
    <w:rsid w:val="00677FE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77FE0"/>
    <w:rPr>
      <w:color w:val="000000" w:themeColor="text1"/>
    </w:rPr>
  </w:style>
  <w:style w:type="paragraph" w:styleId="Zpat">
    <w:name w:val="footer"/>
    <w:basedOn w:val="Normln"/>
    <w:link w:val="ZpatChar"/>
    <w:uiPriority w:val="99"/>
    <w:unhideWhenUsed/>
    <w:rsid w:val="00677FE0"/>
    <w:pPr>
      <w:tabs>
        <w:tab w:val="center" w:pos="4536"/>
        <w:tab w:val="right" w:pos="9072"/>
      </w:tabs>
      <w:spacing w:after="0" w:line="240" w:lineRule="auto"/>
    </w:pPr>
  </w:style>
  <w:style w:type="character" w:customStyle="1" w:styleId="ZpatChar">
    <w:name w:val="Zápatí Char"/>
    <w:basedOn w:val="Standardnpsmoodstavce"/>
    <w:link w:val="Zpat"/>
    <w:uiPriority w:val="99"/>
    <w:rsid w:val="00677FE0"/>
    <w:rPr>
      <w:color w:val="000000" w:themeColor="text1"/>
    </w:rPr>
  </w:style>
  <w:style w:type="character" w:customStyle="1" w:styleId="preformatted">
    <w:name w:val="preformatted"/>
    <w:basedOn w:val="Standardnpsmoodstavce"/>
    <w:rsid w:val="00ED6A05"/>
  </w:style>
  <w:style w:type="paragraph" w:customStyle="1" w:styleId="Normln0">
    <w:name w:val="Norm‡ln’"/>
    <w:rsid w:val="00ED6A05"/>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cs-CZ"/>
    </w:rPr>
  </w:style>
  <w:style w:type="table" w:styleId="Mkatabulky">
    <w:name w:val="Table Grid"/>
    <w:basedOn w:val="Normlntabulka"/>
    <w:uiPriority w:val="59"/>
    <w:rsid w:val="00ED6A05"/>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Stylramecekvzorekdn">
    <w:name w:val="Styl Styl_ramecek + vzorek: Žádný"/>
    <w:basedOn w:val="Normln"/>
    <w:autoRedefine/>
    <w:rsid w:val="00ED6A05"/>
    <w:pPr>
      <w:spacing w:before="200" w:after="200" w:line="276" w:lineRule="auto"/>
      <w:jc w:val="both"/>
    </w:pPr>
    <w:rPr>
      <w:rFonts w:ascii="Calibri" w:eastAsia="Times New Roman" w:hAnsi="Calibri" w:cs="Times New Roman"/>
      <w:color w:val="auto"/>
      <w:szCs w:val="20"/>
    </w:rPr>
  </w:style>
  <w:style w:type="paragraph" w:styleId="Titulek">
    <w:name w:val="caption"/>
    <w:basedOn w:val="Normln"/>
    <w:next w:val="Normln"/>
    <w:uiPriority w:val="37"/>
    <w:unhideWhenUsed/>
    <w:qFormat/>
    <w:rsid w:val="00ED6A05"/>
    <w:pPr>
      <w:spacing w:after="200" w:line="240" w:lineRule="auto"/>
    </w:pPr>
    <w:rPr>
      <w:i/>
      <w:iCs/>
      <w:color w:val="004B8D" w:themeColor="text2"/>
      <w:sz w:val="18"/>
      <w:szCs w:val="18"/>
    </w:rPr>
  </w:style>
  <w:style w:type="paragraph" w:styleId="Textbubliny">
    <w:name w:val="Balloon Text"/>
    <w:basedOn w:val="Normln"/>
    <w:link w:val="TextbublinyChar"/>
    <w:uiPriority w:val="99"/>
    <w:semiHidden/>
    <w:unhideWhenUsed/>
    <w:rsid w:val="00D011B5"/>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011B5"/>
    <w:rPr>
      <w:rFonts w:ascii="Segoe UI" w:hAnsi="Segoe UI" w:cs="Segoe UI"/>
      <w:color w:val="000000" w:themeColor="tex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6761480">
      <w:bodyDiv w:val="1"/>
      <w:marLeft w:val="0"/>
      <w:marRight w:val="0"/>
      <w:marTop w:val="0"/>
      <w:marBottom w:val="0"/>
      <w:divBdr>
        <w:top w:val="none" w:sz="0" w:space="0" w:color="auto"/>
        <w:left w:val="none" w:sz="0" w:space="0" w:color="auto"/>
        <w:bottom w:val="none" w:sz="0" w:space="0" w:color="auto"/>
        <w:right w:val="none" w:sz="0" w:space="0" w:color="auto"/>
      </w:divBdr>
    </w:div>
    <w:div w:id="531725860">
      <w:bodyDiv w:val="1"/>
      <w:marLeft w:val="0"/>
      <w:marRight w:val="0"/>
      <w:marTop w:val="0"/>
      <w:marBottom w:val="0"/>
      <w:divBdr>
        <w:top w:val="none" w:sz="0" w:space="0" w:color="auto"/>
        <w:left w:val="none" w:sz="0" w:space="0" w:color="auto"/>
        <w:bottom w:val="none" w:sz="0" w:space="0" w:color="auto"/>
        <w:right w:val="none" w:sz="0" w:space="0" w:color="auto"/>
      </w:divBdr>
    </w:div>
    <w:div w:id="1025401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MPO colors">
      <a:dk1>
        <a:srgbClr val="000000"/>
      </a:dk1>
      <a:lt1>
        <a:sysClr val="window" lastClr="FFFFFF"/>
      </a:lt1>
      <a:dk2>
        <a:srgbClr val="004B8D"/>
      </a:dk2>
      <a:lt2>
        <a:srgbClr val="B9E0F7"/>
      </a:lt2>
      <a:accent1>
        <a:srgbClr val="E31B23"/>
      </a:accent1>
      <a:accent2>
        <a:srgbClr val="004B8D"/>
      </a:accent2>
      <a:accent3>
        <a:srgbClr val="0096D6"/>
      </a:accent3>
      <a:accent4>
        <a:srgbClr val="B5121B"/>
      </a:accent4>
      <a:accent5>
        <a:srgbClr val="B9E0F7"/>
      </a:accent5>
      <a:accent6>
        <a:srgbClr val="13B5EA"/>
      </a:accent6>
      <a:hlink>
        <a:srgbClr val="004B8D"/>
      </a:hlink>
      <a:folHlink>
        <a:srgbClr val="B5121B"/>
      </a:folHlink>
    </a:clrScheme>
    <a:fontScheme name="MPO fonts">
      <a:majorFont>
        <a:latin typeface="Calibri"/>
        <a:ea typeface=""/>
        <a:cs typeface=""/>
      </a:majorFont>
      <a:minorFont>
        <a:latin typeface="Calibri"/>
        <a:ea typeface=""/>
        <a:cs typeface=""/>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08E8E2-2D25-4110-8901-1DFF7C380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2151</Words>
  <Characters>12697</Characters>
  <Application>Microsoft Office Word</Application>
  <DocSecurity>0</DocSecurity>
  <Lines>105</Lines>
  <Paragraphs>29</Paragraphs>
  <ScaleCrop>false</ScaleCrop>
  <HeadingPairs>
    <vt:vector size="2" baseType="variant">
      <vt:variant>
        <vt:lpstr>Název</vt:lpstr>
      </vt:variant>
      <vt:variant>
        <vt:i4>1</vt:i4>
      </vt:variant>
    </vt:vector>
  </HeadingPairs>
  <TitlesOfParts>
    <vt:vector size="1" baseType="lpstr">
      <vt:lpstr/>
    </vt:vector>
  </TitlesOfParts>
  <Company>Ministerstvo průmyslu a obchodu</Company>
  <LinksUpToDate>false</LinksUpToDate>
  <CharactersWithSpaces>14819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Smejkal Tomáš</dc:creator>
  <cp:lastModifiedBy>Irma</cp:lastModifiedBy>
  <cp:revision>2</cp:revision>
  <cp:lastPrinted>2020-09-08T06:02:00Z</cp:lastPrinted>
  <dcterms:created xsi:type="dcterms:W3CDTF">2020-09-11T18:21:00Z</dcterms:created>
  <dcterms:modified xsi:type="dcterms:W3CDTF">2020-09-11T18:21:00Z</dcterms:modified>
</cp:coreProperties>
</file>