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744EF" w14:textId="77777777" w:rsidR="001751A1" w:rsidRPr="008D7F3D" w:rsidRDefault="001751A1" w:rsidP="001751A1">
      <w:pPr>
        <w:jc w:val="center"/>
        <w:rPr>
          <w:rFonts w:ascii="Times New Roman" w:hAnsi="Times New Roman" w:cs="Times New Roman"/>
          <w:b/>
          <w:color w:val="000000" w:themeColor="text1"/>
          <w:sz w:val="28"/>
          <w:szCs w:val="28"/>
        </w:rPr>
      </w:pPr>
    </w:p>
    <w:p w14:paraId="2FCC6CC0" w14:textId="77777777" w:rsidR="001751A1" w:rsidRPr="008D7F3D" w:rsidRDefault="001751A1" w:rsidP="001751A1">
      <w:pPr>
        <w:jc w:val="center"/>
        <w:rPr>
          <w:rFonts w:ascii="Times New Roman" w:hAnsi="Times New Roman" w:cs="Times New Roman"/>
          <w:b/>
          <w:color w:val="000000" w:themeColor="text1"/>
          <w:sz w:val="28"/>
          <w:szCs w:val="28"/>
        </w:rPr>
      </w:pPr>
    </w:p>
    <w:p w14:paraId="5074D91E" w14:textId="77777777" w:rsidR="001751A1" w:rsidRPr="008D7F3D" w:rsidRDefault="001751A1" w:rsidP="001751A1">
      <w:pPr>
        <w:jc w:val="center"/>
        <w:rPr>
          <w:rFonts w:ascii="Times New Roman" w:hAnsi="Times New Roman" w:cs="Times New Roman"/>
          <w:b/>
          <w:color w:val="000000" w:themeColor="text1"/>
          <w:sz w:val="28"/>
          <w:szCs w:val="28"/>
        </w:rPr>
      </w:pPr>
    </w:p>
    <w:p w14:paraId="2DBA25CC" w14:textId="77777777" w:rsidR="001751A1" w:rsidRPr="008D7F3D" w:rsidRDefault="001751A1" w:rsidP="008D7F3D">
      <w:pPr>
        <w:spacing w:after="0" w:line="276" w:lineRule="auto"/>
        <w:jc w:val="center"/>
        <w:rPr>
          <w:rFonts w:ascii="Times New Roman" w:eastAsia="Times New Roman" w:hAnsi="Times New Roman" w:cs="Times New Roman"/>
          <w:b/>
          <w:color w:val="000000" w:themeColor="text1"/>
          <w:sz w:val="52"/>
          <w:szCs w:val="24"/>
          <w:lang w:eastAsia="cs-CZ"/>
        </w:rPr>
      </w:pPr>
    </w:p>
    <w:p w14:paraId="5948CB0A" w14:textId="77777777" w:rsidR="001751A1" w:rsidRPr="008D7F3D" w:rsidRDefault="001751A1" w:rsidP="008D7F3D">
      <w:pPr>
        <w:spacing w:after="0" w:line="276" w:lineRule="auto"/>
        <w:jc w:val="center"/>
        <w:rPr>
          <w:rFonts w:ascii="Times New Roman" w:eastAsia="Times New Roman" w:hAnsi="Times New Roman" w:cs="Times New Roman"/>
          <w:b/>
          <w:color w:val="000000" w:themeColor="text1"/>
          <w:sz w:val="52"/>
          <w:szCs w:val="24"/>
          <w:lang w:eastAsia="cs-CZ"/>
        </w:rPr>
      </w:pPr>
      <w:r w:rsidRPr="008D7F3D">
        <w:rPr>
          <w:rFonts w:ascii="Times New Roman" w:eastAsia="Times New Roman" w:hAnsi="Times New Roman" w:cs="Times New Roman"/>
          <w:b/>
          <w:color w:val="000000" w:themeColor="text1"/>
          <w:sz w:val="52"/>
          <w:szCs w:val="24"/>
          <w:lang w:eastAsia="cs-CZ"/>
        </w:rPr>
        <w:t xml:space="preserve">Průběžná informace resortů </w:t>
      </w:r>
      <w:r w:rsidRPr="008D7F3D">
        <w:rPr>
          <w:rFonts w:ascii="Times New Roman" w:eastAsia="Times New Roman" w:hAnsi="Times New Roman" w:cs="Times New Roman"/>
          <w:b/>
          <w:color w:val="000000" w:themeColor="text1"/>
          <w:sz w:val="52"/>
          <w:szCs w:val="24"/>
          <w:lang w:eastAsia="cs-CZ"/>
        </w:rPr>
        <w:br/>
        <w:t>k problematice Zelené dohody pro Evropu</w:t>
      </w:r>
    </w:p>
    <w:p w14:paraId="58A226DB" w14:textId="77777777" w:rsidR="00F63B66" w:rsidRPr="008D7F3D" w:rsidRDefault="001751A1" w:rsidP="008D7F3D">
      <w:pPr>
        <w:spacing w:after="0" w:line="276" w:lineRule="auto"/>
        <w:jc w:val="center"/>
        <w:rPr>
          <w:rFonts w:ascii="Times New Roman" w:eastAsia="Times New Roman" w:hAnsi="Times New Roman" w:cs="Times New Roman"/>
          <w:b/>
          <w:color w:val="000000" w:themeColor="text1"/>
          <w:sz w:val="52"/>
          <w:szCs w:val="24"/>
          <w:lang w:eastAsia="cs-CZ"/>
        </w:rPr>
      </w:pPr>
      <w:r w:rsidRPr="008D7F3D">
        <w:rPr>
          <w:rFonts w:ascii="Times New Roman" w:eastAsia="Times New Roman" w:hAnsi="Times New Roman" w:cs="Times New Roman"/>
          <w:b/>
          <w:color w:val="000000" w:themeColor="text1"/>
          <w:sz w:val="52"/>
          <w:szCs w:val="24"/>
          <w:lang w:eastAsia="cs-CZ"/>
        </w:rPr>
        <w:t>2. 9. 2020</w:t>
      </w:r>
    </w:p>
    <w:p w14:paraId="5FB992CC" w14:textId="77777777" w:rsidR="00667031" w:rsidRPr="008D7F3D" w:rsidRDefault="00667031" w:rsidP="00667031">
      <w:pPr>
        <w:rPr>
          <w:rFonts w:ascii="Times New Roman" w:hAnsi="Times New Roman" w:cs="Times New Roman"/>
          <w:b/>
          <w:color w:val="000000" w:themeColor="text1"/>
          <w:sz w:val="28"/>
          <w:szCs w:val="28"/>
        </w:rPr>
      </w:pPr>
    </w:p>
    <w:p w14:paraId="6D4183E2" w14:textId="77777777" w:rsidR="001751A1" w:rsidRPr="008D7F3D" w:rsidRDefault="001751A1">
      <w:pPr>
        <w:rPr>
          <w:rFonts w:ascii="Times New Roman" w:hAnsi="Times New Roman" w:cs="Times New Roman"/>
          <w:b/>
          <w:color w:val="000000" w:themeColor="text1"/>
          <w:sz w:val="32"/>
          <w:szCs w:val="32"/>
        </w:rPr>
      </w:pPr>
      <w:r w:rsidRPr="008D7F3D">
        <w:rPr>
          <w:rFonts w:ascii="Times New Roman" w:hAnsi="Times New Roman" w:cs="Times New Roman"/>
          <w:b/>
          <w:color w:val="000000" w:themeColor="text1"/>
          <w:sz w:val="32"/>
          <w:szCs w:val="32"/>
        </w:rPr>
        <w:br w:type="page"/>
      </w:r>
    </w:p>
    <w:sdt>
      <w:sdtPr>
        <w:rPr>
          <w:rFonts w:asciiTheme="minorHAnsi" w:eastAsiaTheme="minorHAnsi" w:hAnsiTheme="minorHAnsi" w:cstheme="minorBidi"/>
          <w:b w:val="0"/>
          <w:sz w:val="22"/>
          <w:szCs w:val="22"/>
          <w:lang w:eastAsia="en-US"/>
        </w:rPr>
        <w:id w:val="1372643749"/>
        <w:docPartObj>
          <w:docPartGallery w:val="Table of Contents"/>
          <w:docPartUnique/>
        </w:docPartObj>
      </w:sdtPr>
      <w:sdtEndPr>
        <w:rPr>
          <w:bCs/>
        </w:rPr>
      </w:sdtEndPr>
      <w:sdtContent>
        <w:p w14:paraId="056D64E6" w14:textId="77777777" w:rsidR="00345CD7" w:rsidRDefault="00345CD7">
          <w:pPr>
            <w:pStyle w:val="Nadpisobsahu"/>
          </w:pPr>
          <w:r>
            <w:t>Obsah</w:t>
          </w:r>
        </w:p>
        <w:p w14:paraId="50C47F54" w14:textId="3860904D" w:rsidR="00345CD7" w:rsidRDefault="00345CD7">
          <w:pPr>
            <w:pStyle w:val="Obsah1"/>
            <w:tabs>
              <w:tab w:val="right" w:leader="dot" w:pos="9062"/>
            </w:tabs>
            <w:rPr>
              <w:rFonts w:eastAsiaTheme="minorEastAsia"/>
              <w:noProof/>
              <w:lang w:val="cs-CZ" w:eastAsia="cs-CZ"/>
            </w:rPr>
          </w:pPr>
          <w:r>
            <w:rPr>
              <w:b/>
              <w:bCs/>
            </w:rPr>
            <w:fldChar w:fldCharType="begin"/>
          </w:r>
          <w:r>
            <w:rPr>
              <w:b/>
              <w:bCs/>
            </w:rPr>
            <w:instrText xml:space="preserve"> TOC \o "1-3" \h \z \u </w:instrText>
          </w:r>
          <w:r>
            <w:rPr>
              <w:b/>
              <w:bCs/>
            </w:rPr>
            <w:fldChar w:fldCharType="separate"/>
          </w:r>
          <w:hyperlink w:anchor="_Toc49930231" w:history="1">
            <w:r w:rsidRPr="005A0A54">
              <w:rPr>
                <w:rStyle w:val="Hypertextovodkaz"/>
                <w:noProof/>
              </w:rPr>
              <w:t>Ministerstvo životního prostředí</w:t>
            </w:r>
            <w:r>
              <w:rPr>
                <w:noProof/>
                <w:webHidden/>
              </w:rPr>
              <w:tab/>
            </w:r>
            <w:r>
              <w:rPr>
                <w:noProof/>
                <w:webHidden/>
              </w:rPr>
              <w:fldChar w:fldCharType="begin"/>
            </w:r>
            <w:r>
              <w:rPr>
                <w:noProof/>
                <w:webHidden/>
              </w:rPr>
              <w:instrText xml:space="preserve"> PAGEREF _Toc49930231 \h </w:instrText>
            </w:r>
            <w:r>
              <w:rPr>
                <w:noProof/>
                <w:webHidden/>
              </w:rPr>
            </w:r>
            <w:r>
              <w:rPr>
                <w:noProof/>
                <w:webHidden/>
              </w:rPr>
              <w:fldChar w:fldCharType="separate"/>
            </w:r>
            <w:r w:rsidR="00E10049">
              <w:rPr>
                <w:noProof/>
                <w:webHidden/>
              </w:rPr>
              <w:t>3</w:t>
            </w:r>
            <w:r>
              <w:rPr>
                <w:noProof/>
                <w:webHidden/>
              </w:rPr>
              <w:fldChar w:fldCharType="end"/>
            </w:r>
          </w:hyperlink>
        </w:p>
        <w:p w14:paraId="1D55A710" w14:textId="18E1111C" w:rsidR="00345CD7" w:rsidRDefault="00372E38">
          <w:pPr>
            <w:pStyle w:val="Obsah1"/>
            <w:tabs>
              <w:tab w:val="right" w:leader="dot" w:pos="9062"/>
            </w:tabs>
            <w:rPr>
              <w:rFonts w:eastAsiaTheme="minorEastAsia"/>
              <w:noProof/>
              <w:lang w:val="cs-CZ" w:eastAsia="cs-CZ"/>
            </w:rPr>
          </w:pPr>
          <w:hyperlink w:anchor="_Toc49930232" w:history="1">
            <w:r w:rsidR="00345CD7" w:rsidRPr="005A0A54">
              <w:rPr>
                <w:rStyle w:val="Hypertextovodkaz"/>
                <w:noProof/>
              </w:rPr>
              <w:t>Ministerstvo dopravy</w:t>
            </w:r>
            <w:r w:rsidR="00345CD7">
              <w:rPr>
                <w:noProof/>
                <w:webHidden/>
              </w:rPr>
              <w:tab/>
            </w:r>
            <w:r w:rsidR="00345CD7">
              <w:rPr>
                <w:noProof/>
                <w:webHidden/>
              </w:rPr>
              <w:fldChar w:fldCharType="begin"/>
            </w:r>
            <w:r w:rsidR="00345CD7">
              <w:rPr>
                <w:noProof/>
                <w:webHidden/>
              </w:rPr>
              <w:instrText xml:space="preserve"> PAGEREF _Toc49930232 \h </w:instrText>
            </w:r>
            <w:r w:rsidR="00345CD7">
              <w:rPr>
                <w:noProof/>
                <w:webHidden/>
              </w:rPr>
            </w:r>
            <w:r w:rsidR="00345CD7">
              <w:rPr>
                <w:noProof/>
                <w:webHidden/>
              </w:rPr>
              <w:fldChar w:fldCharType="separate"/>
            </w:r>
            <w:r w:rsidR="00E10049">
              <w:rPr>
                <w:noProof/>
                <w:webHidden/>
              </w:rPr>
              <w:t>6</w:t>
            </w:r>
            <w:r w:rsidR="00345CD7">
              <w:rPr>
                <w:noProof/>
                <w:webHidden/>
              </w:rPr>
              <w:fldChar w:fldCharType="end"/>
            </w:r>
          </w:hyperlink>
        </w:p>
        <w:p w14:paraId="79F6D9B7" w14:textId="541435C5" w:rsidR="00345CD7" w:rsidRDefault="00372E38">
          <w:pPr>
            <w:pStyle w:val="Obsah1"/>
            <w:tabs>
              <w:tab w:val="right" w:leader="dot" w:pos="9062"/>
            </w:tabs>
            <w:rPr>
              <w:rFonts w:eastAsiaTheme="minorEastAsia"/>
              <w:noProof/>
              <w:lang w:val="cs-CZ" w:eastAsia="cs-CZ"/>
            </w:rPr>
          </w:pPr>
          <w:hyperlink w:anchor="_Toc49930233" w:history="1">
            <w:r w:rsidR="00345CD7" w:rsidRPr="005A0A54">
              <w:rPr>
                <w:rStyle w:val="Hypertextovodkaz"/>
                <w:noProof/>
              </w:rPr>
              <w:t>Ministerstvo financí</w:t>
            </w:r>
            <w:r w:rsidR="00345CD7">
              <w:rPr>
                <w:noProof/>
                <w:webHidden/>
              </w:rPr>
              <w:tab/>
            </w:r>
            <w:r w:rsidR="00345CD7">
              <w:rPr>
                <w:noProof/>
                <w:webHidden/>
              </w:rPr>
              <w:fldChar w:fldCharType="begin"/>
            </w:r>
            <w:r w:rsidR="00345CD7">
              <w:rPr>
                <w:noProof/>
                <w:webHidden/>
              </w:rPr>
              <w:instrText xml:space="preserve"> PAGEREF _Toc49930233 \h </w:instrText>
            </w:r>
            <w:r w:rsidR="00345CD7">
              <w:rPr>
                <w:noProof/>
                <w:webHidden/>
              </w:rPr>
            </w:r>
            <w:r w:rsidR="00345CD7">
              <w:rPr>
                <w:noProof/>
                <w:webHidden/>
              </w:rPr>
              <w:fldChar w:fldCharType="separate"/>
            </w:r>
            <w:r w:rsidR="00E10049">
              <w:rPr>
                <w:noProof/>
                <w:webHidden/>
              </w:rPr>
              <w:t>9</w:t>
            </w:r>
            <w:r w:rsidR="00345CD7">
              <w:rPr>
                <w:noProof/>
                <w:webHidden/>
              </w:rPr>
              <w:fldChar w:fldCharType="end"/>
            </w:r>
          </w:hyperlink>
        </w:p>
        <w:p w14:paraId="0E0B3792" w14:textId="3CA25293" w:rsidR="00345CD7" w:rsidRDefault="00372E38">
          <w:pPr>
            <w:pStyle w:val="Obsah1"/>
            <w:tabs>
              <w:tab w:val="right" w:leader="dot" w:pos="9062"/>
            </w:tabs>
            <w:rPr>
              <w:rFonts w:eastAsiaTheme="minorEastAsia"/>
              <w:noProof/>
              <w:lang w:val="cs-CZ" w:eastAsia="cs-CZ"/>
            </w:rPr>
          </w:pPr>
          <w:hyperlink w:anchor="_Toc49930234" w:history="1">
            <w:r w:rsidR="00345CD7" w:rsidRPr="005A0A54">
              <w:rPr>
                <w:rStyle w:val="Hypertextovodkaz"/>
                <w:noProof/>
              </w:rPr>
              <w:t>Ministerstvo práce a sociálních věcí</w:t>
            </w:r>
            <w:r w:rsidR="00345CD7">
              <w:rPr>
                <w:noProof/>
                <w:webHidden/>
              </w:rPr>
              <w:tab/>
            </w:r>
            <w:r w:rsidR="00345CD7">
              <w:rPr>
                <w:noProof/>
                <w:webHidden/>
              </w:rPr>
              <w:fldChar w:fldCharType="begin"/>
            </w:r>
            <w:r w:rsidR="00345CD7">
              <w:rPr>
                <w:noProof/>
                <w:webHidden/>
              </w:rPr>
              <w:instrText xml:space="preserve"> PAGEREF _Toc49930234 \h </w:instrText>
            </w:r>
            <w:r w:rsidR="00345CD7">
              <w:rPr>
                <w:noProof/>
                <w:webHidden/>
              </w:rPr>
            </w:r>
            <w:r w:rsidR="00345CD7">
              <w:rPr>
                <w:noProof/>
                <w:webHidden/>
              </w:rPr>
              <w:fldChar w:fldCharType="separate"/>
            </w:r>
            <w:r w:rsidR="00E10049">
              <w:rPr>
                <w:noProof/>
                <w:webHidden/>
              </w:rPr>
              <w:t>15</w:t>
            </w:r>
            <w:r w:rsidR="00345CD7">
              <w:rPr>
                <w:noProof/>
                <w:webHidden/>
              </w:rPr>
              <w:fldChar w:fldCharType="end"/>
            </w:r>
          </w:hyperlink>
        </w:p>
        <w:p w14:paraId="5F5F99B4" w14:textId="4571AC32" w:rsidR="00345CD7" w:rsidRDefault="00372E38">
          <w:pPr>
            <w:pStyle w:val="Obsah1"/>
            <w:tabs>
              <w:tab w:val="right" w:leader="dot" w:pos="9062"/>
            </w:tabs>
            <w:rPr>
              <w:rFonts w:eastAsiaTheme="minorEastAsia"/>
              <w:noProof/>
              <w:lang w:val="cs-CZ" w:eastAsia="cs-CZ"/>
            </w:rPr>
          </w:pPr>
          <w:hyperlink w:anchor="_Toc49930235" w:history="1">
            <w:r w:rsidR="00345CD7" w:rsidRPr="005A0A54">
              <w:rPr>
                <w:rStyle w:val="Hypertextovodkaz"/>
                <w:noProof/>
              </w:rPr>
              <w:t>Ministerstvo školství, mládeže a tělovýchovy</w:t>
            </w:r>
            <w:r w:rsidR="00345CD7">
              <w:rPr>
                <w:noProof/>
                <w:webHidden/>
              </w:rPr>
              <w:tab/>
            </w:r>
            <w:r w:rsidR="00345CD7">
              <w:rPr>
                <w:noProof/>
                <w:webHidden/>
              </w:rPr>
              <w:fldChar w:fldCharType="begin"/>
            </w:r>
            <w:r w:rsidR="00345CD7">
              <w:rPr>
                <w:noProof/>
                <w:webHidden/>
              </w:rPr>
              <w:instrText xml:space="preserve"> PAGEREF _Toc49930235 \h </w:instrText>
            </w:r>
            <w:r w:rsidR="00345CD7">
              <w:rPr>
                <w:noProof/>
                <w:webHidden/>
              </w:rPr>
            </w:r>
            <w:r w:rsidR="00345CD7">
              <w:rPr>
                <w:noProof/>
                <w:webHidden/>
              </w:rPr>
              <w:fldChar w:fldCharType="separate"/>
            </w:r>
            <w:r w:rsidR="00E10049">
              <w:rPr>
                <w:noProof/>
                <w:webHidden/>
              </w:rPr>
              <w:t>18</w:t>
            </w:r>
            <w:r w:rsidR="00345CD7">
              <w:rPr>
                <w:noProof/>
                <w:webHidden/>
              </w:rPr>
              <w:fldChar w:fldCharType="end"/>
            </w:r>
          </w:hyperlink>
        </w:p>
        <w:p w14:paraId="71987B09" w14:textId="3A055B55" w:rsidR="00345CD7" w:rsidRDefault="00372E38">
          <w:pPr>
            <w:pStyle w:val="Obsah1"/>
            <w:tabs>
              <w:tab w:val="right" w:leader="dot" w:pos="9062"/>
            </w:tabs>
            <w:rPr>
              <w:rFonts w:eastAsiaTheme="minorEastAsia"/>
              <w:noProof/>
              <w:lang w:val="cs-CZ" w:eastAsia="cs-CZ"/>
            </w:rPr>
          </w:pPr>
          <w:hyperlink w:anchor="_Toc49930236" w:history="1">
            <w:r w:rsidR="00345CD7" w:rsidRPr="005A0A54">
              <w:rPr>
                <w:rStyle w:val="Hypertextovodkaz"/>
                <w:noProof/>
              </w:rPr>
              <w:t>Ministerstvo zahraničních věcí ČR</w:t>
            </w:r>
            <w:r w:rsidR="00345CD7">
              <w:rPr>
                <w:noProof/>
                <w:webHidden/>
              </w:rPr>
              <w:tab/>
            </w:r>
            <w:r w:rsidR="00345CD7">
              <w:rPr>
                <w:noProof/>
                <w:webHidden/>
              </w:rPr>
              <w:fldChar w:fldCharType="begin"/>
            </w:r>
            <w:r w:rsidR="00345CD7">
              <w:rPr>
                <w:noProof/>
                <w:webHidden/>
              </w:rPr>
              <w:instrText xml:space="preserve"> PAGEREF _Toc49930236 \h </w:instrText>
            </w:r>
            <w:r w:rsidR="00345CD7">
              <w:rPr>
                <w:noProof/>
                <w:webHidden/>
              </w:rPr>
            </w:r>
            <w:r w:rsidR="00345CD7">
              <w:rPr>
                <w:noProof/>
                <w:webHidden/>
              </w:rPr>
              <w:fldChar w:fldCharType="separate"/>
            </w:r>
            <w:r w:rsidR="00E10049">
              <w:rPr>
                <w:noProof/>
                <w:webHidden/>
              </w:rPr>
              <w:t>21</w:t>
            </w:r>
            <w:r w:rsidR="00345CD7">
              <w:rPr>
                <w:noProof/>
                <w:webHidden/>
              </w:rPr>
              <w:fldChar w:fldCharType="end"/>
            </w:r>
          </w:hyperlink>
        </w:p>
        <w:p w14:paraId="01B4F0A6" w14:textId="2704568D" w:rsidR="00345CD7" w:rsidRDefault="00372E38">
          <w:pPr>
            <w:pStyle w:val="Obsah1"/>
            <w:tabs>
              <w:tab w:val="right" w:leader="dot" w:pos="9062"/>
            </w:tabs>
            <w:rPr>
              <w:rFonts w:eastAsiaTheme="minorEastAsia"/>
              <w:noProof/>
              <w:lang w:val="cs-CZ" w:eastAsia="cs-CZ"/>
            </w:rPr>
          </w:pPr>
          <w:hyperlink w:anchor="_Toc49930237" w:history="1">
            <w:r w:rsidR="00345CD7" w:rsidRPr="005A0A54">
              <w:rPr>
                <w:rStyle w:val="Hypertextovodkaz"/>
                <w:noProof/>
              </w:rPr>
              <w:t>Ministerstvo zemědělství</w:t>
            </w:r>
            <w:r w:rsidR="00345CD7">
              <w:rPr>
                <w:noProof/>
                <w:webHidden/>
              </w:rPr>
              <w:tab/>
            </w:r>
            <w:r w:rsidR="00345CD7">
              <w:rPr>
                <w:noProof/>
                <w:webHidden/>
              </w:rPr>
              <w:fldChar w:fldCharType="begin"/>
            </w:r>
            <w:r w:rsidR="00345CD7">
              <w:rPr>
                <w:noProof/>
                <w:webHidden/>
              </w:rPr>
              <w:instrText xml:space="preserve"> PAGEREF _Toc49930237 \h </w:instrText>
            </w:r>
            <w:r w:rsidR="00345CD7">
              <w:rPr>
                <w:noProof/>
                <w:webHidden/>
              </w:rPr>
            </w:r>
            <w:r w:rsidR="00345CD7">
              <w:rPr>
                <w:noProof/>
                <w:webHidden/>
              </w:rPr>
              <w:fldChar w:fldCharType="separate"/>
            </w:r>
            <w:r w:rsidR="00E10049">
              <w:rPr>
                <w:noProof/>
                <w:webHidden/>
              </w:rPr>
              <w:t>23</w:t>
            </w:r>
            <w:r w:rsidR="00345CD7">
              <w:rPr>
                <w:noProof/>
                <w:webHidden/>
              </w:rPr>
              <w:fldChar w:fldCharType="end"/>
            </w:r>
          </w:hyperlink>
        </w:p>
        <w:p w14:paraId="1580C4D5" w14:textId="00B47651" w:rsidR="00345CD7" w:rsidRDefault="00372E38">
          <w:pPr>
            <w:pStyle w:val="Obsah1"/>
            <w:tabs>
              <w:tab w:val="right" w:leader="dot" w:pos="9062"/>
            </w:tabs>
            <w:rPr>
              <w:rFonts w:eastAsiaTheme="minorEastAsia"/>
              <w:noProof/>
              <w:lang w:val="cs-CZ" w:eastAsia="cs-CZ"/>
            </w:rPr>
          </w:pPr>
          <w:hyperlink w:anchor="_Toc49930238" w:history="1">
            <w:r w:rsidR="00345CD7" w:rsidRPr="005A0A54">
              <w:rPr>
                <w:rStyle w:val="Hypertextovodkaz"/>
                <w:noProof/>
              </w:rPr>
              <w:t>Úřad pro ochranu hospodářské soutěže</w:t>
            </w:r>
            <w:r w:rsidR="00345CD7">
              <w:rPr>
                <w:noProof/>
                <w:webHidden/>
              </w:rPr>
              <w:tab/>
            </w:r>
            <w:r w:rsidR="00345CD7">
              <w:rPr>
                <w:noProof/>
                <w:webHidden/>
              </w:rPr>
              <w:fldChar w:fldCharType="begin"/>
            </w:r>
            <w:r w:rsidR="00345CD7">
              <w:rPr>
                <w:noProof/>
                <w:webHidden/>
              </w:rPr>
              <w:instrText xml:space="preserve"> PAGEREF _Toc49930238 \h </w:instrText>
            </w:r>
            <w:r w:rsidR="00345CD7">
              <w:rPr>
                <w:noProof/>
                <w:webHidden/>
              </w:rPr>
            </w:r>
            <w:r w:rsidR="00345CD7">
              <w:rPr>
                <w:noProof/>
                <w:webHidden/>
              </w:rPr>
              <w:fldChar w:fldCharType="separate"/>
            </w:r>
            <w:r w:rsidR="00E10049">
              <w:rPr>
                <w:noProof/>
                <w:webHidden/>
              </w:rPr>
              <w:t>34</w:t>
            </w:r>
            <w:r w:rsidR="00345CD7">
              <w:rPr>
                <w:noProof/>
                <w:webHidden/>
              </w:rPr>
              <w:fldChar w:fldCharType="end"/>
            </w:r>
          </w:hyperlink>
        </w:p>
        <w:p w14:paraId="080BDF86" w14:textId="76ADC93E" w:rsidR="00345CD7" w:rsidRDefault="00372E38">
          <w:pPr>
            <w:pStyle w:val="Obsah1"/>
            <w:tabs>
              <w:tab w:val="right" w:leader="dot" w:pos="9062"/>
            </w:tabs>
            <w:rPr>
              <w:rFonts w:eastAsiaTheme="minorEastAsia"/>
              <w:noProof/>
              <w:lang w:val="cs-CZ" w:eastAsia="cs-CZ"/>
            </w:rPr>
          </w:pPr>
          <w:hyperlink w:anchor="_Toc49930239" w:history="1">
            <w:r w:rsidR="00345CD7" w:rsidRPr="005A0A54">
              <w:rPr>
                <w:rStyle w:val="Hypertextovodkaz"/>
                <w:noProof/>
              </w:rPr>
              <w:t>Úřad vlády České republiky</w:t>
            </w:r>
            <w:r w:rsidR="00345CD7">
              <w:rPr>
                <w:noProof/>
                <w:webHidden/>
              </w:rPr>
              <w:tab/>
            </w:r>
            <w:r w:rsidR="00345CD7">
              <w:rPr>
                <w:noProof/>
                <w:webHidden/>
              </w:rPr>
              <w:fldChar w:fldCharType="begin"/>
            </w:r>
            <w:r w:rsidR="00345CD7">
              <w:rPr>
                <w:noProof/>
                <w:webHidden/>
              </w:rPr>
              <w:instrText xml:space="preserve"> PAGEREF _Toc49930239 \h </w:instrText>
            </w:r>
            <w:r w:rsidR="00345CD7">
              <w:rPr>
                <w:noProof/>
                <w:webHidden/>
              </w:rPr>
            </w:r>
            <w:r w:rsidR="00345CD7">
              <w:rPr>
                <w:noProof/>
                <w:webHidden/>
              </w:rPr>
              <w:fldChar w:fldCharType="separate"/>
            </w:r>
            <w:r w:rsidR="00E10049">
              <w:rPr>
                <w:noProof/>
                <w:webHidden/>
              </w:rPr>
              <w:t>35</w:t>
            </w:r>
            <w:r w:rsidR="00345CD7">
              <w:rPr>
                <w:noProof/>
                <w:webHidden/>
              </w:rPr>
              <w:fldChar w:fldCharType="end"/>
            </w:r>
          </w:hyperlink>
        </w:p>
        <w:p w14:paraId="4A8ACE61" w14:textId="32538898" w:rsidR="00345CD7" w:rsidRDefault="00372E38">
          <w:pPr>
            <w:pStyle w:val="Obsah1"/>
            <w:tabs>
              <w:tab w:val="right" w:leader="dot" w:pos="9062"/>
            </w:tabs>
            <w:rPr>
              <w:rFonts w:eastAsiaTheme="minorEastAsia"/>
              <w:noProof/>
              <w:lang w:val="cs-CZ" w:eastAsia="cs-CZ"/>
            </w:rPr>
          </w:pPr>
          <w:hyperlink w:anchor="_Toc49930240" w:history="1">
            <w:r w:rsidR="00345CD7" w:rsidRPr="005A0A54">
              <w:rPr>
                <w:rStyle w:val="Hypertextovodkaz"/>
                <w:noProof/>
              </w:rPr>
              <w:t>Ministerstvo průmyslu a obchodu</w:t>
            </w:r>
            <w:r w:rsidR="00345CD7">
              <w:rPr>
                <w:noProof/>
                <w:webHidden/>
              </w:rPr>
              <w:tab/>
            </w:r>
            <w:r w:rsidR="00345CD7">
              <w:rPr>
                <w:noProof/>
                <w:webHidden/>
              </w:rPr>
              <w:fldChar w:fldCharType="begin"/>
            </w:r>
            <w:r w:rsidR="00345CD7">
              <w:rPr>
                <w:noProof/>
                <w:webHidden/>
              </w:rPr>
              <w:instrText xml:space="preserve"> PAGEREF _Toc49930240 \h </w:instrText>
            </w:r>
            <w:r w:rsidR="00345CD7">
              <w:rPr>
                <w:noProof/>
                <w:webHidden/>
              </w:rPr>
            </w:r>
            <w:r w:rsidR="00345CD7">
              <w:rPr>
                <w:noProof/>
                <w:webHidden/>
              </w:rPr>
              <w:fldChar w:fldCharType="separate"/>
            </w:r>
            <w:r w:rsidR="00E10049">
              <w:rPr>
                <w:noProof/>
                <w:webHidden/>
              </w:rPr>
              <w:t>37</w:t>
            </w:r>
            <w:r w:rsidR="00345CD7">
              <w:rPr>
                <w:noProof/>
                <w:webHidden/>
              </w:rPr>
              <w:fldChar w:fldCharType="end"/>
            </w:r>
          </w:hyperlink>
        </w:p>
        <w:p w14:paraId="4A1C29A4" w14:textId="77777777" w:rsidR="00345CD7" w:rsidRDefault="00345CD7">
          <w:r>
            <w:rPr>
              <w:b/>
              <w:bCs/>
            </w:rPr>
            <w:fldChar w:fldCharType="end"/>
          </w:r>
        </w:p>
      </w:sdtContent>
    </w:sdt>
    <w:p w14:paraId="35766094" w14:textId="77777777" w:rsidR="00345CD7" w:rsidRDefault="00345CD7">
      <w:pPr>
        <w:rPr>
          <w:rFonts w:ascii="Times New Roman" w:eastAsiaTheme="majorEastAsia" w:hAnsi="Times New Roman" w:cs="Times New Roman"/>
          <w:b/>
          <w:sz w:val="28"/>
          <w:szCs w:val="32"/>
          <w:lang w:eastAsia="cs-CZ"/>
        </w:rPr>
      </w:pPr>
      <w:r>
        <w:br w:type="page"/>
      </w:r>
    </w:p>
    <w:p w14:paraId="1963EC1A" w14:textId="77777777" w:rsidR="008D79D8" w:rsidRPr="00DA03BA" w:rsidRDefault="008D79D8" w:rsidP="00DA03BA">
      <w:pPr>
        <w:pStyle w:val="Nadpis1"/>
      </w:pPr>
      <w:bookmarkStart w:id="0" w:name="_Toc49930231"/>
      <w:r w:rsidRPr="00DA03BA">
        <w:lastRenderedPageBreak/>
        <w:t>Ministerstvo životního prostředí</w:t>
      </w:r>
      <w:bookmarkEnd w:id="0"/>
      <w:r w:rsidRPr="00DA03BA">
        <w:t xml:space="preserve"> </w:t>
      </w:r>
    </w:p>
    <w:p w14:paraId="29656F39" w14:textId="77777777" w:rsidR="008D79D8" w:rsidRPr="008D7F3D" w:rsidRDefault="008D79D8" w:rsidP="008D79D8">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bCs/>
          <w:color w:val="000000" w:themeColor="text1"/>
        </w:rPr>
      </w:pPr>
      <w:r w:rsidRPr="008D7F3D">
        <w:rPr>
          <w:rFonts w:ascii="Times New Roman" w:hAnsi="Times New Roman" w:cs="Times New Roman"/>
          <w:b/>
          <w:noProof/>
          <w:color w:val="000000" w:themeColor="text1"/>
        </w:rPr>
        <w:t>Návrh evropského právního rámce pro klima, jenž zakotví cíl klimatické neutrality do roku 2050</w:t>
      </w:r>
      <w:r w:rsidRPr="008D7F3D">
        <w:rPr>
          <w:rFonts w:ascii="Times New Roman" w:hAnsi="Times New Roman" w:cs="Times New Roman"/>
          <w:b/>
          <w:bCs/>
          <w:color w:val="000000" w:themeColor="text1"/>
        </w:rPr>
        <w:t xml:space="preserve"> </w:t>
      </w:r>
    </w:p>
    <w:p w14:paraId="3368A604" w14:textId="77777777" w:rsidR="008D79D8" w:rsidRPr="008D7F3D" w:rsidRDefault="008D79D8" w:rsidP="008D79D8">
      <w:pPr>
        <w:autoSpaceDE w:val="0"/>
        <w:autoSpaceDN w:val="0"/>
        <w:adjustRightInd w:val="0"/>
        <w:spacing w:before="240" w:after="0" w:line="240" w:lineRule="auto"/>
        <w:rPr>
          <w:rFonts w:ascii="Times New Roman" w:hAnsi="Times New Roman" w:cs="Times New Roman"/>
          <w:bCs/>
          <w:color w:val="000000" w:themeColor="text1"/>
          <w:highlight w:val="yellow"/>
        </w:rPr>
      </w:pPr>
      <w:r w:rsidRPr="008D7F3D">
        <w:rPr>
          <w:rFonts w:ascii="Times New Roman" w:hAnsi="Times New Roman" w:cs="Times New Roman"/>
          <w:bCs/>
          <w:color w:val="000000" w:themeColor="text1"/>
        </w:rPr>
        <w:t>Je k dispozici rámcová pozice k návrhu European Climate Law, přičemž cílem DE PRES je dosažení obecného přístupu v říjnu 2020.</w:t>
      </w:r>
      <w:r w:rsidRPr="008D7F3D">
        <w:rPr>
          <w:rFonts w:ascii="Times New Roman" w:hAnsi="Times New Roman" w:cs="Times New Roman"/>
          <w:bCs/>
          <w:color w:val="000000" w:themeColor="text1"/>
          <w:highlight w:val="yellow"/>
        </w:rPr>
        <w:t xml:space="preserve"> </w:t>
      </w:r>
    </w:p>
    <w:p w14:paraId="50B5A5CB" w14:textId="77777777" w:rsidR="008D79D8" w:rsidRPr="008D7F3D" w:rsidRDefault="008D79D8" w:rsidP="008D79D8">
      <w:pPr>
        <w:autoSpaceDE w:val="0"/>
        <w:autoSpaceDN w:val="0"/>
        <w:adjustRightInd w:val="0"/>
        <w:spacing w:before="240" w:after="0" w:line="240" w:lineRule="auto"/>
        <w:rPr>
          <w:rFonts w:ascii="Times New Roman" w:hAnsi="Times New Roman" w:cs="Times New Roman"/>
          <w:bCs/>
          <w:color w:val="000000" w:themeColor="text1"/>
        </w:rPr>
      </w:pPr>
      <w:r w:rsidRPr="008D7F3D">
        <w:rPr>
          <w:rFonts w:ascii="Times New Roman" w:hAnsi="Times New Roman" w:cs="Times New Roman"/>
          <w:bCs/>
          <w:color w:val="000000" w:themeColor="text1"/>
        </w:rPr>
        <w:t>ČR si v Politice ochrany klimatu v ČR stanovila indikativní cíl snížení emisí skleníkových plynů o 80 % do roku 2050 oproti roku 1990. Cíl dosažení klimatické neutrality nebyl na úrovni ČR stanoven. Evropský právní rámec pro klima stanoví, jak bude plnění tohoto cíle vyhodnocováno na úrovni EU, o podobě mechanismu se aktuálně vede debata v Radě.</w:t>
      </w:r>
    </w:p>
    <w:p w14:paraId="63A63B61" w14:textId="77777777" w:rsidR="008D79D8" w:rsidRPr="008D7F3D" w:rsidRDefault="008D79D8" w:rsidP="008D79D8">
      <w:pPr>
        <w:autoSpaceDE w:val="0"/>
        <w:autoSpaceDN w:val="0"/>
        <w:adjustRightInd w:val="0"/>
        <w:spacing w:before="240" w:after="0" w:line="240" w:lineRule="auto"/>
        <w:rPr>
          <w:rFonts w:ascii="Times New Roman" w:hAnsi="Times New Roman" w:cs="Times New Roman"/>
          <w:color w:val="000000" w:themeColor="text1"/>
        </w:rPr>
      </w:pPr>
      <w:r w:rsidRPr="008D7F3D">
        <w:rPr>
          <w:rFonts w:ascii="Times New Roman" w:hAnsi="Times New Roman" w:cs="Times New Roman"/>
          <w:color w:val="000000" w:themeColor="text1"/>
        </w:rPr>
        <w:t>V září bude publikována i studie McKinsey zaměřená specificky na cíle do 2030 a 2050 a možnosti jejich plnění ze strany ČR.</w:t>
      </w:r>
    </w:p>
    <w:p w14:paraId="7B40E1E2" w14:textId="77777777" w:rsidR="006D20CD" w:rsidRPr="008D7F3D" w:rsidRDefault="006D20CD" w:rsidP="008D79D8">
      <w:pPr>
        <w:pStyle w:val="Text1"/>
        <w:spacing w:after="120" w:line="276" w:lineRule="auto"/>
        <w:ind w:left="0"/>
        <w:rPr>
          <w:b/>
          <w:bCs/>
          <w:color w:val="000000" w:themeColor="text1"/>
          <w:sz w:val="22"/>
          <w:szCs w:val="22"/>
        </w:rPr>
      </w:pPr>
    </w:p>
    <w:p w14:paraId="03269FA7" w14:textId="77777777" w:rsidR="008D79D8" w:rsidRPr="008D7F3D" w:rsidRDefault="008D79D8" w:rsidP="008D79D8">
      <w:pPr>
        <w:jc w:val="both"/>
        <w:rPr>
          <w:rFonts w:ascii="Times New Roman" w:hAnsi="Times New Roman" w:cs="Times New Roman"/>
          <w:noProof/>
          <w:color w:val="000000" w:themeColor="text1"/>
        </w:rPr>
      </w:pPr>
      <w:r w:rsidRPr="008D7F3D">
        <w:rPr>
          <w:rFonts w:ascii="Times New Roman" w:hAnsi="Times New Roman" w:cs="Times New Roman"/>
          <w:noProof/>
          <w:color w:val="000000" w:themeColor="text1"/>
        </w:rPr>
        <w:t>Mezi hlavní zdroje financování pro transformaci směrem k uhlíkové neutralitě by měly patřit strukturální a investiční fondy EU, Mechanismus pro spravedlivou transformaci, respektive Fond pro spravedlivou transformaci a výnosy z EU ETS, včetně Modernizačního fondu.</w:t>
      </w:r>
    </w:p>
    <w:p w14:paraId="7BC78994" w14:textId="77777777" w:rsidR="008D79D8" w:rsidRPr="008D7F3D" w:rsidRDefault="008D79D8" w:rsidP="008D79D8">
      <w:pPr>
        <w:jc w:val="both"/>
        <w:rPr>
          <w:rFonts w:ascii="Times New Roman" w:hAnsi="Times New Roman" w:cs="Times New Roman"/>
          <w:noProof/>
          <w:color w:val="000000" w:themeColor="text1"/>
        </w:rPr>
      </w:pPr>
    </w:p>
    <w:p w14:paraId="30F5F0A6" w14:textId="77777777" w:rsidR="008D79D8" w:rsidRPr="008D7F3D" w:rsidRDefault="008D79D8" w:rsidP="008D79D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color w:val="000000" w:themeColor="text1"/>
        </w:rPr>
      </w:pPr>
      <w:r w:rsidRPr="008D7F3D">
        <w:rPr>
          <w:rFonts w:ascii="Times New Roman" w:hAnsi="Times New Roman" w:cs="Times New Roman"/>
          <w:b/>
          <w:noProof/>
          <w:color w:val="000000" w:themeColor="text1"/>
        </w:rPr>
        <w:t>Komplexní plán na odpovědné zvýšení cíle EU v oblasti klimatu nejméně na 50 % a směrem k 55 %</w:t>
      </w:r>
    </w:p>
    <w:p w14:paraId="661DE0DA" w14:textId="77777777" w:rsidR="008D79D8" w:rsidRPr="008D7F3D" w:rsidRDefault="008D79D8" w:rsidP="008D79D8">
      <w:pPr>
        <w:jc w:val="both"/>
        <w:rPr>
          <w:rFonts w:ascii="Times New Roman" w:hAnsi="Times New Roman" w:cs="Times New Roman"/>
          <w:noProof/>
          <w:color w:val="000000" w:themeColor="text1"/>
        </w:rPr>
      </w:pPr>
      <w:r w:rsidRPr="008D7F3D">
        <w:rPr>
          <w:rFonts w:ascii="Times New Roman" w:hAnsi="Times New Roman" w:cs="Times New Roman"/>
          <w:bCs/>
          <w:color w:val="000000" w:themeColor="text1"/>
        </w:rPr>
        <w:t>V</w:t>
      </w:r>
      <w:r w:rsidRPr="008D7F3D">
        <w:rPr>
          <w:rFonts w:ascii="Times New Roman" w:hAnsi="Times New Roman" w:cs="Times New Roman"/>
          <w:color w:val="000000" w:themeColor="text1"/>
        </w:rPr>
        <w:t xml:space="preserve"> září EK vydá analýzu dopadů vyšších cílů v oblasti klimatu a energetiky do roku 2030. V souladu s RP k EGD </w:t>
      </w:r>
      <w:r w:rsidRPr="008D7F3D">
        <w:rPr>
          <w:rFonts w:ascii="Times New Roman" w:hAnsi="Times New Roman" w:cs="Times New Roman"/>
          <w:bCs/>
          <w:color w:val="000000" w:themeColor="text1"/>
        </w:rPr>
        <w:t>ČR v současné době nepodporuje navýšení redukčního cíle EU do roku 2030 nejméně na 50 % a více ve srovnání s rokem 1990. Po zveřejnění dopadové studie Evropské komise v září 2020 bude zpracována samostatná rámcová pozice</w:t>
      </w:r>
    </w:p>
    <w:p w14:paraId="2347EF27" w14:textId="77777777" w:rsidR="008D79D8" w:rsidRPr="008D7F3D" w:rsidRDefault="008D79D8" w:rsidP="00243B0E">
      <w:pPr>
        <w:jc w:val="both"/>
        <w:rPr>
          <w:rFonts w:ascii="Times New Roman" w:hAnsi="Times New Roman" w:cs="Times New Roman"/>
          <w:bCs/>
          <w:color w:val="000000" w:themeColor="text1"/>
        </w:rPr>
      </w:pPr>
      <w:r w:rsidRPr="008D7F3D">
        <w:rPr>
          <w:rFonts w:ascii="Times New Roman" w:hAnsi="Times New Roman" w:cs="Times New Roman"/>
          <w:color w:val="000000" w:themeColor="text1"/>
        </w:rPr>
        <w:t xml:space="preserve">ČR v rámci sdílení úsilí může navýšit své emise v sektorech nespadajících do EU ETS o 9 % do roku 2020 oproti roku 2005 a dále má závazek snížit tyto emise o 14 % do roku 2030. Emise z těchto sektorů v ČR dlouhodobě oscilují okolo úrovně roku 2005 a plnění cíle do roku 2020 tedy není pro ČR problematické. Podle aktuálních projekcí emisí skleníkových plynů by měl být cíl do roku 2030 těsně splněn při efektivní implementaci již přijatých opatření. Emise ze zařízení v systému EU ETS se snížily </w:t>
      </w:r>
      <w:r w:rsidRPr="008D7F3D">
        <w:rPr>
          <w:rFonts w:ascii="Times New Roman" w:hAnsi="Times New Roman" w:cs="Times New Roman"/>
          <w:bCs/>
          <w:color w:val="000000" w:themeColor="text1"/>
        </w:rPr>
        <w:t xml:space="preserve">o více než 24 % mezi roky 2005 a 2019. Pro tyto emise je stanoven celoevropský cíl snížení o 21 % do roku 2020 a o 43 % do roku 2030 oproti úrovni roku 1990. Celkové agregované emise skleníkových plynů v ČR se v období 1990-2018 snížily o 35,6 %. </w:t>
      </w:r>
    </w:p>
    <w:p w14:paraId="19AE6A7C" w14:textId="77777777" w:rsidR="008D79D8" w:rsidRPr="008D7F3D" w:rsidRDefault="008D79D8" w:rsidP="008D7F3D">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Politika ochrany klimatu v ČR dále stanovuje cíl snížit emise skleníkových plynů o 32 miliónů tun CO2ekv. do roku 2020 oproti roku 2005, respektive o 44 miliónů tun CO2ekv. do roku 2030. Mezi roky 2005 a 2018 se emise skleníkových plynů snížily o 20,8 miliónů tun CO2ekv. a ČR tak není na dobré cestě ke splnění těchto cílů. Na základě scénáře se stávajícími opatřeními předpokládáme snížení o přibližně 39 miliónů tun CO2ekv. do roku 2030.</w:t>
      </w:r>
    </w:p>
    <w:p w14:paraId="5337DD2E" w14:textId="77777777" w:rsidR="008D79D8" w:rsidRPr="008D7F3D" w:rsidRDefault="008D79D8" w:rsidP="008D7F3D">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 září bude publikována i studie McKinsey zaměřená specificky na cíle do 2030 a 2050 a možnosti jejich plnění ze strany ČR. Evropská komise by měla po zveřejnění dopadové studie na úrovni EU v září zpracovat rovněž analýzu dopadů na úrovni jednotlivých členských států.</w:t>
      </w:r>
    </w:p>
    <w:p w14:paraId="212D0827" w14:textId="77777777" w:rsidR="008D79D8" w:rsidRPr="008D7F3D" w:rsidRDefault="008D79D8" w:rsidP="00243B0E">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Mezi hlavní zdroje financování pro transformaci směrem k uhlíkové neutralitě by měly patřit strukturální a investiční fondy EU, Mechanismus pro spravedlivou transformaci, respektive Fond pro spravedlivou transformaci a výnosy z EU ETS, včetně Modernizačního fondu.</w:t>
      </w:r>
    </w:p>
    <w:p w14:paraId="579E7CDC" w14:textId="77777777" w:rsidR="008D79D8" w:rsidRPr="008D7F3D" w:rsidRDefault="008D79D8" w:rsidP="008D79D8">
      <w:pPr>
        <w:jc w:val="both"/>
        <w:rPr>
          <w:rFonts w:ascii="Times New Roman" w:hAnsi="Times New Roman" w:cs="Times New Roman"/>
          <w:noProof/>
          <w:color w:val="000000" w:themeColor="text1"/>
        </w:rPr>
      </w:pPr>
    </w:p>
    <w:p w14:paraId="7628E2B4" w14:textId="77777777" w:rsidR="008D79D8" w:rsidRPr="008D7F3D" w:rsidRDefault="008D79D8" w:rsidP="008D79D8">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bCs/>
          <w:color w:val="000000" w:themeColor="text1"/>
        </w:rPr>
      </w:pPr>
      <w:r w:rsidRPr="008D7F3D">
        <w:rPr>
          <w:rFonts w:ascii="Times New Roman" w:hAnsi="Times New Roman" w:cs="Times New Roman"/>
          <w:b/>
          <w:noProof/>
          <w:color w:val="000000" w:themeColor="text1"/>
        </w:rPr>
        <w:lastRenderedPageBreak/>
        <w:t>Návrhy na revizi příslušných legislativních opatření s cílem dosáhnout vyšší míry ambice v oblasti klimatu v návaznosti na přezkum směrnice o systému obchodování s emisemi; nařízení o sdílení úsilí; nařízení o využívání půdy, změny ve využívání půdy a lesnictví; směrnice o energetické účinnosti; směrnice o obnovitelných zdrojích energie; výkonnostní normy pro osobní automobily a dodávky, pokud jde o emise CO</w:t>
      </w:r>
      <w:r w:rsidRPr="008D7F3D">
        <w:rPr>
          <w:rFonts w:ascii="Times New Roman" w:hAnsi="Times New Roman" w:cs="Times New Roman"/>
          <w:b/>
          <w:noProof/>
          <w:color w:val="000000" w:themeColor="text1"/>
          <w:vertAlign w:val="subscript"/>
        </w:rPr>
        <w:t>2</w:t>
      </w:r>
      <w:r w:rsidRPr="008D7F3D">
        <w:rPr>
          <w:rFonts w:ascii="Times New Roman" w:hAnsi="Times New Roman" w:cs="Times New Roman"/>
          <w:b/>
          <w:bCs/>
          <w:color w:val="000000" w:themeColor="text1"/>
        </w:rPr>
        <w:t xml:space="preserve"> </w:t>
      </w:r>
    </w:p>
    <w:p w14:paraId="198E0AFB" w14:textId="77777777" w:rsidR="00C62BEF" w:rsidRPr="008D7F3D" w:rsidRDefault="00C62BEF" w:rsidP="008D79D8">
      <w:pPr>
        <w:pStyle w:val="Odstavecseseznamem"/>
        <w:autoSpaceDE w:val="0"/>
        <w:autoSpaceDN w:val="0"/>
        <w:adjustRightInd w:val="0"/>
        <w:spacing w:before="240" w:after="0" w:line="240" w:lineRule="auto"/>
        <w:rPr>
          <w:rFonts w:ascii="Times New Roman" w:hAnsi="Times New Roman" w:cs="Times New Roman"/>
          <w:bCs/>
          <w:color w:val="000000" w:themeColor="text1"/>
        </w:rPr>
      </w:pPr>
    </w:p>
    <w:p w14:paraId="7947EEC3" w14:textId="77777777" w:rsidR="008D79D8" w:rsidRPr="008D7F3D" w:rsidRDefault="008D79D8" w:rsidP="008D7F3D">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Uvedené návrhy budou zveřejněny v roce 2021. U EU ETS lze očekávat zařazení letectví a námořní dopravy.</w:t>
      </w:r>
    </w:p>
    <w:p w14:paraId="579F95CA" w14:textId="77777777" w:rsidR="008D79D8" w:rsidRPr="008D7F3D" w:rsidRDefault="008D79D8" w:rsidP="008D7F3D">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K v současné době platným závazkům do roku 2030 viz předchozí opatření.</w:t>
      </w:r>
    </w:p>
    <w:p w14:paraId="20425667" w14:textId="77777777" w:rsidR="008D79D8" w:rsidRPr="008D7F3D" w:rsidRDefault="008D79D8" w:rsidP="008D7F3D">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 září EK vydá analýzu dopadů vyšších cílů v oblasti klimatu a energetiky do roku 2030. Součástí by mělo být i rozdělení cíle mezi EU ETS a non-ETS, respektive LULUCF.</w:t>
      </w:r>
    </w:p>
    <w:p w14:paraId="2BF9761A" w14:textId="77777777" w:rsidR="008D79D8" w:rsidRPr="008D7F3D" w:rsidRDefault="008D79D8" w:rsidP="008D7F3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Nová strategie EU pro přizpůsobení se změně klimatu</w:t>
      </w:r>
    </w:p>
    <w:p w14:paraId="1C347E44" w14:textId="77777777" w:rsidR="008D79D8" w:rsidRPr="008D7F3D" w:rsidRDefault="008D79D8" w:rsidP="008D7F3D">
      <w:pPr>
        <w:autoSpaceDE w:val="0"/>
        <w:autoSpaceDN w:val="0"/>
        <w:adjustRightInd w:val="0"/>
        <w:spacing w:before="240" w:after="0" w:line="240" w:lineRule="auto"/>
        <w:rPr>
          <w:rFonts w:ascii="Times New Roman" w:hAnsi="Times New Roman" w:cs="Times New Roman"/>
          <w:b/>
          <w:bCs/>
          <w:color w:val="000000" w:themeColor="text1"/>
        </w:rPr>
      </w:pPr>
    </w:p>
    <w:p w14:paraId="24DCC0BC" w14:textId="77777777" w:rsidR="00C62BEF" w:rsidRPr="008D7F3D" w:rsidRDefault="008D79D8" w:rsidP="008D7F3D">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Nová adaptační strategie je nyní EK připravována – nemáme bližší informace o obsahu.</w:t>
      </w:r>
    </w:p>
    <w:p w14:paraId="43DAB175" w14:textId="77777777" w:rsidR="008D79D8" w:rsidRPr="008D7F3D" w:rsidRDefault="008D79D8" w:rsidP="008D79D8">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Akční plán pro oběhové hospodářství včetně iniciativy pro udržitelné produkty s obzvláštním zaměřením na odvětví nejnáročnější z hlediska zdrojů – např. odvětví textilu, stavebnictví, elektroniky a plastů</w:t>
      </w:r>
    </w:p>
    <w:p w14:paraId="37D6A215" w14:textId="77777777" w:rsidR="008D79D8" w:rsidRPr="008D7F3D" w:rsidRDefault="008D79D8" w:rsidP="008D79D8">
      <w:pPr>
        <w:autoSpaceDE w:val="0"/>
        <w:autoSpaceDN w:val="0"/>
        <w:adjustRightInd w:val="0"/>
        <w:spacing w:before="240" w:after="0" w:line="240" w:lineRule="auto"/>
        <w:rPr>
          <w:rFonts w:ascii="Times New Roman" w:hAnsi="Times New Roman" w:cs="Times New Roman"/>
          <w:b/>
          <w:bCs/>
          <w:color w:val="000000" w:themeColor="text1"/>
        </w:rPr>
      </w:pPr>
      <w:r w:rsidRPr="008D7F3D">
        <w:rPr>
          <w:rFonts w:ascii="Times New Roman" w:hAnsi="Times New Roman" w:cs="Times New Roman"/>
          <w:bCs/>
          <w:color w:val="000000" w:themeColor="text1"/>
        </w:rPr>
        <w:t>Rámcová pozice k</w:t>
      </w:r>
      <w:r w:rsidRPr="008D7F3D">
        <w:rPr>
          <w:rFonts w:ascii="Times New Roman" w:hAnsi="Times New Roman" w:cs="Times New Roman"/>
          <w:b/>
          <w:bCs/>
          <w:color w:val="000000" w:themeColor="text1"/>
        </w:rPr>
        <w:t xml:space="preserve"> </w:t>
      </w:r>
      <w:r w:rsidRPr="008D7F3D">
        <w:rPr>
          <w:rFonts w:ascii="Times New Roman" w:hAnsi="Times New Roman" w:cs="Times New Roman"/>
          <w:noProof/>
          <w:color w:val="000000" w:themeColor="text1"/>
        </w:rPr>
        <w:t>Akčnímu plánu pro oběhové hospodářství je k dispozici. Navazující případné legislativní návrhy se očekávají v dalších letech.</w:t>
      </w:r>
    </w:p>
    <w:p w14:paraId="4014CB88" w14:textId="77777777" w:rsidR="008D79D8" w:rsidRPr="008D7F3D" w:rsidRDefault="008D79D8" w:rsidP="008D79D8">
      <w:pPr>
        <w:spacing w:before="12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Dopady na státní rozpočet mohou mít zejména změny evropských směrnic a přijatá opatření k plnění stanovených cílů (dopady některých opatření budou uvedeny v rámcových pozicích k jednotlivým připojeným legislativním návrhům). V současnosti ovšem přesně nelze kvantifikovat dopady na státní rozpočet. Ekonomické nebo sociální dopady budou mít zejména návazné změny existujících evropských směrnic, které jsou v akčním plánu avizovány (baterie, obaly, odpady, vozidla s ukončenou životností, ROHS a další) a přijatá opatření k plnění stanovených cílů a případných nových povinností členských zemí. Dopady bude mít i případná nová legislativa (textil, potravinový odpad).</w:t>
      </w:r>
    </w:p>
    <w:p w14:paraId="78D0FA51" w14:textId="77777777" w:rsidR="008D79D8" w:rsidRPr="008D7F3D" w:rsidRDefault="008D79D8" w:rsidP="008D79D8">
      <w:pPr>
        <w:spacing w:before="12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 nedávné studii (Cambridge Econometrics) se odhaduje, že uplatňování zásad oběhového hospodářství v celém hospodářství EU má potenciál zvýšit HDP EU do roku 2030 o dalších 0,5 %, čímž vznikne přibližně 700 000 nových pracovních míst. Zjevné jsou i hospodářské výhody pro jednotlivé společnosti: vzhledem k tomu, že přibližně 40 % výdajů výrobních podniků v EU představují materiály, mohou modely uzavřených oběhových cyklů zvýšit jejich ziskovost a zároveň je chránit před kolísáním cen zdrojů.</w:t>
      </w:r>
    </w:p>
    <w:p w14:paraId="041FF46F" w14:textId="77777777" w:rsidR="008D79D8" w:rsidRPr="008D7F3D" w:rsidRDefault="008D79D8" w:rsidP="008D79D8">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Vzhledem k tomu, že nový akční plán pro oběhové hospodářství obsahuje pouze výčet předpokládaných aktivit, nelze specifikovat zdroje financování. Nebyla předložena studie dopadů k novému akčnímu plánu pro oběhové hospodářství.</w:t>
      </w:r>
    </w:p>
    <w:p w14:paraId="58F0F54E" w14:textId="77777777" w:rsidR="008D79D8" w:rsidRPr="008D7F3D" w:rsidRDefault="008D79D8" w:rsidP="008D79D8">
      <w:pPr>
        <w:jc w:val="both"/>
        <w:rPr>
          <w:rFonts w:ascii="Times New Roman" w:hAnsi="Times New Roman" w:cs="Times New Roman"/>
          <w:i/>
          <w:color w:val="000000" w:themeColor="text1"/>
        </w:rPr>
      </w:pPr>
    </w:p>
    <w:p w14:paraId="2EFF86E8" w14:textId="77777777" w:rsidR="008D79D8" w:rsidRPr="008D7F3D" w:rsidRDefault="008D79D8" w:rsidP="008D79D8">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Návrh reformy právních předpisů v oblasti odpadů</w:t>
      </w:r>
    </w:p>
    <w:p w14:paraId="1BE73665" w14:textId="77777777" w:rsidR="008D79D8" w:rsidRPr="008D7F3D" w:rsidRDefault="008D79D8" w:rsidP="008D79D8">
      <w:pPr>
        <w:autoSpaceDE w:val="0"/>
        <w:autoSpaceDN w:val="0"/>
        <w:adjustRightInd w:val="0"/>
        <w:spacing w:before="240" w:after="0" w:line="240" w:lineRule="auto"/>
        <w:rPr>
          <w:rFonts w:ascii="Times New Roman" w:hAnsi="Times New Roman" w:cs="Times New Roman"/>
          <w:bCs/>
          <w:color w:val="000000" w:themeColor="text1"/>
        </w:rPr>
      </w:pPr>
      <w:r w:rsidRPr="008D7F3D">
        <w:rPr>
          <w:rFonts w:ascii="Times New Roman" w:hAnsi="Times New Roman" w:cs="Times New Roman"/>
          <w:bCs/>
          <w:color w:val="000000" w:themeColor="text1"/>
        </w:rPr>
        <w:t>viz výše, konkrétní návrhy zatím nejsou k dispozici.</w:t>
      </w:r>
    </w:p>
    <w:p w14:paraId="101E7871" w14:textId="77777777" w:rsidR="008D79D8" w:rsidRPr="008D7F3D" w:rsidRDefault="008D79D8" w:rsidP="008D79D8">
      <w:pPr>
        <w:jc w:val="both"/>
        <w:rPr>
          <w:rFonts w:ascii="Times New Roman" w:hAnsi="Times New Roman" w:cs="Times New Roman"/>
          <w:i/>
          <w:color w:val="000000" w:themeColor="text1"/>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8"/>
        <w:gridCol w:w="9062"/>
        <w:gridCol w:w="146"/>
      </w:tblGrid>
      <w:tr w:rsidR="00DA03BA" w:rsidRPr="008D7F3D" w14:paraId="0A441568" w14:textId="77777777" w:rsidTr="00DA03BA">
        <w:tc>
          <w:tcPr>
            <w:tcW w:w="5000" w:type="pct"/>
            <w:gridSpan w:val="3"/>
            <w:tcBorders>
              <w:top w:val="single" w:sz="4" w:space="0" w:color="auto"/>
              <w:left w:val="single" w:sz="4" w:space="0" w:color="auto"/>
              <w:bottom w:val="single" w:sz="4" w:space="0" w:color="auto"/>
              <w:right w:val="single" w:sz="4" w:space="0" w:color="auto"/>
            </w:tcBorders>
            <w:hideMark/>
          </w:tcPr>
          <w:p w14:paraId="7BFF3FEB" w14:textId="77777777" w:rsidR="008D79D8" w:rsidRPr="008D7F3D" w:rsidRDefault="008D79D8" w:rsidP="00DA03BA">
            <w:pPr>
              <w:jc w:val="both"/>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Strategie EU v oblasti biologické rozmanitosti do roku 2030</w:t>
            </w:r>
          </w:p>
        </w:tc>
      </w:tr>
      <w:tr w:rsidR="008D7F3D" w:rsidRPr="008D7F3D" w14:paraId="2B14FD13" w14:textId="77777777" w:rsidTr="00DA03BA">
        <w:tc>
          <w:tcPr>
            <w:tcW w:w="5000" w:type="pct"/>
            <w:gridSpan w:val="3"/>
            <w:tcBorders>
              <w:top w:val="single" w:sz="4" w:space="0" w:color="auto"/>
              <w:left w:val="nil"/>
              <w:bottom w:val="nil"/>
              <w:right w:val="nil"/>
            </w:tcBorders>
          </w:tcPr>
          <w:p w14:paraId="70F5F425" w14:textId="77777777" w:rsidR="00C62BEF" w:rsidRPr="008D7F3D" w:rsidRDefault="00C62BEF" w:rsidP="005F0170">
            <w:pPr>
              <w:autoSpaceDE w:val="0"/>
              <w:autoSpaceDN w:val="0"/>
              <w:adjustRightInd w:val="0"/>
              <w:spacing w:before="240" w:after="0" w:line="240" w:lineRule="auto"/>
              <w:rPr>
                <w:rFonts w:ascii="Times New Roman" w:hAnsi="Times New Roman" w:cs="Times New Roman"/>
                <w:bCs/>
                <w:color w:val="000000" w:themeColor="text1"/>
              </w:rPr>
            </w:pPr>
          </w:p>
          <w:p w14:paraId="26A42694" w14:textId="77777777" w:rsidR="008D79D8" w:rsidRPr="008D7F3D" w:rsidRDefault="008D79D8" w:rsidP="005F0170">
            <w:pPr>
              <w:autoSpaceDE w:val="0"/>
              <w:autoSpaceDN w:val="0"/>
              <w:adjustRightInd w:val="0"/>
              <w:spacing w:before="240" w:after="0" w:line="240" w:lineRule="auto"/>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Rámcová pozice ke </w:t>
            </w:r>
            <w:r w:rsidRPr="008D7F3D">
              <w:rPr>
                <w:rFonts w:ascii="Times New Roman" w:hAnsi="Times New Roman" w:cs="Times New Roman"/>
                <w:noProof/>
                <w:color w:val="000000" w:themeColor="text1"/>
              </w:rPr>
              <w:t>Strategii EU v oblasti biologické rozmanitosti do roku 2030 je k dispozici.</w:t>
            </w:r>
          </w:p>
          <w:p w14:paraId="0268CE6A" w14:textId="77777777" w:rsidR="008D79D8" w:rsidRPr="008D7F3D" w:rsidRDefault="008D79D8" w:rsidP="005F0170">
            <w:pPr>
              <w:jc w:val="both"/>
              <w:rPr>
                <w:rFonts w:ascii="Times New Roman" w:hAnsi="Times New Roman" w:cs="Times New Roman"/>
                <w:bCs/>
                <w:color w:val="000000" w:themeColor="text1"/>
                <w:highlight w:val="yellow"/>
              </w:rPr>
            </w:pPr>
          </w:p>
          <w:p w14:paraId="09C37966" w14:textId="77777777" w:rsidR="008D79D8" w:rsidRPr="008D7F3D" w:rsidRDefault="008D79D8" w:rsidP="008D7F3D">
            <w:pPr>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Dopady na státní rozpočet mohou mít zejména změny evropských směrnic a přijatá opatření k plnění stanovených cílů (dopady některých opatření jsou uvedeny v rámcových pozicích k jednotlivým připojeným legislativním návrhům). V současnosti ovšem přesně nelze kvantifikovat dopady na státní rozpočet. Cílem sdělení je zajistit pozitivní dopad na životní prostředí a současně nepřinášet negativní hospodářské a sociální dopady. Skutečnost bude záviset na finálním znění legislat</w:t>
            </w:r>
            <w:r w:rsidR="008D7F3D">
              <w:rPr>
                <w:rFonts w:ascii="Times New Roman" w:hAnsi="Times New Roman" w:cs="Times New Roman"/>
                <w:bCs/>
                <w:color w:val="000000" w:themeColor="text1"/>
              </w:rPr>
              <w:t>ivy navazující na toto sdělení.</w:t>
            </w:r>
          </w:p>
        </w:tc>
      </w:tr>
      <w:tr w:rsidR="00DA03BA" w:rsidRPr="008D7F3D" w14:paraId="55DD6824" w14:textId="77777777" w:rsidTr="00DA03BA">
        <w:trPr>
          <w:gridBefore w:val="1"/>
          <w:gridAfter w:val="1"/>
          <w:wBefore w:w="79" w:type="pct"/>
          <w:wAfter w:w="78" w:type="pct"/>
        </w:trPr>
        <w:tc>
          <w:tcPr>
            <w:tcW w:w="4843" w:type="pct"/>
            <w:tcBorders>
              <w:top w:val="single" w:sz="4" w:space="0" w:color="auto"/>
              <w:left w:val="single" w:sz="4" w:space="0" w:color="auto"/>
              <w:bottom w:val="single" w:sz="4" w:space="0" w:color="auto"/>
              <w:right w:val="single" w:sz="4" w:space="0" w:color="auto"/>
            </w:tcBorders>
            <w:hideMark/>
          </w:tcPr>
          <w:p w14:paraId="5F3D8327" w14:textId="77777777" w:rsidR="008D79D8" w:rsidRPr="008D7F3D" w:rsidRDefault="008D79D8" w:rsidP="005F0170">
            <w:pPr>
              <w:spacing w:after="120" w:line="240" w:lineRule="auto"/>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 xml:space="preserve">Strategie udržitelnosti chemických látek  </w:t>
            </w:r>
          </w:p>
        </w:tc>
      </w:tr>
      <w:tr w:rsidR="00DA03BA" w:rsidRPr="008D7F3D" w14:paraId="7AAE99D5" w14:textId="77777777" w:rsidTr="00DA03BA">
        <w:trPr>
          <w:gridBefore w:val="1"/>
          <w:gridAfter w:val="1"/>
          <w:wBefore w:w="79" w:type="pct"/>
          <w:wAfter w:w="78" w:type="pct"/>
        </w:trPr>
        <w:tc>
          <w:tcPr>
            <w:tcW w:w="4843" w:type="pct"/>
            <w:tcBorders>
              <w:top w:val="single" w:sz="4" w:space="0" w:color="auto"/>
              <w:left w:val="nil"/>
              <w:bottom w:val="nil"/>
              <w:right w:val="nil"/>
            </w:tcBorders>
          </w:tcPr>
          <w:p w14:paraId="29F0FDB4" w14:textId="77777777" w:rsidR="008D79D8" w:rsidRPr="008D7F3D" w:rsidRDefault="008D79D8" w:rsidP="008D7F3D">
            <w:pPr>
              <w:autoSpaceDE w:val="0"/>
              <w:autoSpaceDN w:val="0"/>
              <w:adjustRightInd w:val="0"/>
              <w:spacing w:before="240" w:after="0" w:line="240" w:lineRule="auto"/>
              <w:rPr>
                <w:rFonts w:ascii="Times New Roman" w:hAnsi="Times New Roman" w:cs="Times New Roman"/>
                <w:bCs/>
                <w:color w:val="000000" w:themeColor="text1"/>
              </w:rPr>
            </w:pPr>
            <w:r w:rsidRPr="008D7F3D">
              <w:rPr>
                <w:rFonts w:ascii="Times New Roman" w:hAnsi="Times New Roman" w:cs="Times New Roman"/>
                <w:b/>
                <w:bCs/>
                <w:color w:val="000000" w:themeColor="text1"/>
              </w:rPr>
              <w:t xml:space="preserve"> </w:t>
            </w:r>
            <w:r w:rsidRPr="008D7F3D">
              <w:rPr>
                <w:rFonts w:ascii="Times New Roman" w:hAnsi="Times New Roman" w:cs="Times New Roman"/>
                <w:bCs/>
                <w:color w:val="000000" w:themeColor="text1"/>
              </w:rPr>
              <w:t>Strategie je v přípravě a měla by být publikována do konce roku 2020. Nemáme bližší informace o jejím obsahu.</w:t>
            </w:r>
          </w:p>
          <w:p w14:paraId="1D41A6F4" w14:textId="77777777" w:rsidR="008D79D8" w:rsidRPr="008D7F3D" w:rsidRDefault="008D79D8" w:rsidP="005F0170">
            <w:pPr>
              <w:spacing w:after="120" w:line="240" w:lineRule="auto"/>
              <w:rPr>
                <w:rFonts w:ascii="Times New Roman" w:hAnsi="Times New Roman" w:cs="Times New Roman"/>
                <w:noProof/>
                <w:color w:val="000000" w:themeColor="text1"/>
              </w:rPr>
            </w:pPr>
          </w:p>
        </w:tc>
      </w:tr>
      <w:tr w:rsidR="00DA03BA" w:rsidRPr="008D7F3D" w14:paraId="037C073F" w14:textId="77777777" w:rsidTr="00DA03BA">
        <w:trPr>
          <w:gridBefore w:val="1"/>
          <w:gridAfter w:val="1"/>
          <w:wBefore w:w="79" w:type="pct"/>
          <w:wAfter w:w="78" w:type="pct"/>
        </w:trPr>
        <w:tc>
          <w:tcPr>
            <w:tcW w:w="4843" w:type="pct"/>
            <w:tcBorders>
              <w:top w:val="single" w:sz="4" w:space="0" w:color="auto"/>
              <w:left w:val="single" w:sz="4" w:space="0" w:color="auto"/>
              <w:bottom w:val="single" w:sz="4" w:space="0" w:color="auto"/>
              <w:right w:val="single" w:sz="4" w:space="0" w:color="auto"/>
            </w:tcBorders>
            <w:hideMark/>
          </w:tcPr>
          <w:p w14:paraId="17506D41" w14:textId="77777777" w:rsidR="008D79D8" w:rsidRPr="008D7F3D" w:rsidRDefault="008D79D8" w:rsidP="005F0170">
            <w:pPr>
              <w:pStyle w:val="Text1"/>
              <w:spacing w:after="120" w:line="276" w:lineRule="auto"/>
              <w:ind w:left="0"/>
              <w:jc w:val="left"/>
              <w:rPr>
                <w:b/>
                <w:noProof/>
                <w:color w:val="000000" w:themeColor="text1"/>
                <w:sz w:val="22"/>
                <w:szCs w:val="22"/>
              </w:rPr>
            </w:pPr>
            <w:r w:rsidRPr="008D7F3D">
              <w:rPr>
                <w:b/>
                <w:noProof/>
                <w:color w:val="000000" w:themeColor="text1"/>
                <w:sz w:val="22"/>
                <w:szCs w:val="22"/>
              </w:rPr>
              <w:t>Akční plán pro nulové znečištění ovzduší, vod a půdy</w:t>
            </w:r>
          </w:p>
        </w:tc>
      </w:tr>
      <w:tr w:rsidR="00DA03BA" w:rsidRPr="008D7F3D" w14:paraId="371C7E58" w14:textId="77777777" w:rsidTr="00DA03BA">
        <w:trPr>
          <w:gridBefore w:val="1"/>
          <w:gridAfter w:val="1"/>
          <w:wBefore w:w="79" w:type="pct"/>
          <w:wAfter w:w="78" w:type="pct"/>
        </w:trPr>
        <w:tc>
          <w:tcPr>
            <w:tcW w:w="4843" w:type="pct"/>
            <w:tcBorders>
              <w:top w:val="single" w:sz="4" w:space="0" w:color="auto"/>
              <w:left w:val="nil"/>
              <w:bottom w:val="nil"/>
              <w:right w:val="nil"/>
            </w:tcBorders>
          </w:tcPr>
          <w:p w14:paraId="482EAAF1" w14:textId="77777777" w:rsidR="008D79D8" w:rsidRPr="008D7F3D" w:rsidRDefault="008D79D8" w:rsidP="005F0170">
            <w:pPr>
              <w:autoSpaceDE w:val="0"/>
              <w:autoSpaceDN w:val="0"/>
              <w:adjustRightInd w:val="0"/>
              <w:spacing w:before="240" w:after="0" w:line="240" w:lineRule="auto"/>
              <w:rPr>
                <w:rFonts w:ascii="Times New Roman" w:hAnsi="Times New Roman" w:cs="Times New Roman"/>
                <w:bCs/>
                <w:color w:val="000000" w:themeColor="text1"/>
              </w:rPr>
            </w:pPr>
            <w:r w:rsidRPr="008D7F3D">
              <w:rPr>
                <w:rFonts w:ascii="Times New Roman" w:hAnsi="Times New Roman" w:cs="Times New Roman"/>
                <w:bCs/>
                <w:color w:val="000000" w:themeColor="text1"/>
              </w:rPr>
              <w:t>Akční plán by měla EK zveřejnit v roce 2021, přičemž není zřejmé, jak dosažení „nulového znečištění“ má být dosaženo. Lze však očekávat nemalé náklady implementace.</w:t>
            </w:r>
          </w:p>
          <w:p w14:paraId="4160BC16" w14:textId="77777777" w:rsidR="008D79D8" w:rsidRPr="008D7F3D" w:rsidRDefault="008D79D8" w:rsidP="005F0170">
            <w:pPr>
              <w:pStyle w:val="Text1"/>
              <w:spacing w:after="120" w:line="276" w:lineRule="auto"/>
              <w:ind w:left="0"/>
              <w:jc w:val="left"/>
              <w:rPr>
                <w:noProof/>
                <w:color w:val="000000" w:themeColor="text1"/>
                <w:sz w:val="22"/>
                <w:szCs w:val="22"/>
              </w:rPr>
            </w:pPr>
            <w:r w:rsidRPr="008D7F3D">
              <w:rPr>
                <w:b/>
                <w:bCs/>
                <w:color w:val="000000" w:themeColor="text1"/>
                <w:sz w:val="22"/>
                <w:szCs w:val="22"/>
              </w:rPr>
              <w:t xml:space="preserve"> </w:t>
            </w:r>
          </w:p>
        </w:tc>
      </w:tr>
      <w:tr w:rsidR="00DA03BA" w:rsidRPr="008D7F3D" w14:paraId="220E41DB" w14:textId="77777777" w:rsidTr="00DA03BA">
        <w:trPr>
          <w:gridBefore w:val="1"/>
          <w:gridAfter w:val="1"/>
          <w:wBefore w:w="79" w:type="pct"/>
          <w:wAfter w:w="78" w:type="pct"/>
        </w:trPr>
        <w:tc>
          <w:tcPr>
            <w:tcW w:w="4843" w:type="pct"/>
            <w:tcBorders>
              <w:top w:val="single" w:sz="4" w:space="0" w:color="auto"/>
              <w:left w:val="single" w:sz="4" w:space="0" w:color="auto"/>
              <w:bottom w:val="single" w:sz="4" w:space="0" w:color="auto"/>
              <w:right w:val="single" w:sz="4" w:space="0" w:color="auto"/>
            </w:tcBorders>
            <w:hideMark/>
          </w:tcPr>
          <w:p w14:paraId="5B27D474" w14:textId="77777777" w:rsidR="008D79D8" w:rsidRPr="008D7F3D" w:rsidRDefault="008D79D8" w:rsidP="005F0170">
            <w:pPr>
              <w:pStyle w:val="Seznamsodrkami"/>
              <w:numPr>
                <w:ilvl w:val="0"/>
                <w:numId w:val="0"/>
              </w:numPr>
              <w:tabs>
                <w:tab w:val="left" w:pos="708"/>
              </w:tabs>
              <w:spacing w:after="120" w:line="276" w:lineRule="auto"/>
              <w:rPr>
                <w:b/>
                <w:noProof/>
                <w:color w:val="000000" w:themeColor="text1"/>
                <w:sz w:val="22"/>
                <w:szCs w:val="22"/>
              </w:rPr>
            </w:pPr>
            <w:r w:rsidRPr="008D7F3D">
              <w:rPr>
                <w:b/>
                <w:noProof/>
                <w:color w:val="000000" w:themeColor="text1"/>
                <w:sz w:val="22"/>
                <w:szCs w:val="22"/>
              </w:rPr>
              <w:t>EU bude nadále v čele mezinárodních jednání o klimatu a biologické rozmanitosti, a dále tak posílí mezinárodní politický rámec</w:t>
            </w:r>
          </w:p>
        </w:tc>
      </w:tr>
      <w:tr w:rsidR="00DA03BA" w:rsidRPr="008D7F3D" w14:paraId="74C56892" w14:textId="77777777" w:rsidTr="00DA03BA">
        <w:trPr>
          <w:gridBefore w:val="1"/>
          <w:gridAfter w:val="1"/>
          <w:wBefore w:w="79" w:type="pct"/>
          <w:wAfter w:w="78" w:type="pct"/>
        </w:trPr>
        <w:tc>
          <w:tcPr>
            <w:tcW w:w="4843" w:type="pct"/>
            <w:tcBorders>
              <w:top w:val="single" w:sz="4" w:space="0" w:color="auto"/>
              <w:left w:val="nil"/>
              <w:bottom w:val="nil"/>
              <w:right w:val="nil"/>
            </w:tcBorders>
          </w:tcPr>
          <w:p w14:paraId="18012EA0" w14:textId="77777777" w:rsidR="008D79D8" w:rsidRPr="008D7F3D" w:rsidRDefault="008D79D8" w:rsidP="005F0170">
            <w:pPr>
              <w:autoSpaceDE w:val="0"/>
              <w:autoSpaceDN w:val="0"/>
              <w:adjustRightInd w:val="0"/>
              <w:spacing w:before="240" w:after="0" w:line="240" w:lineRule="auto"/>
              <w:rPr>
                <w:rFonts w:ascii="Times New Roman" w:hAnsi="Times New Roman" w:cs="Times New Roman"/>
                <w:bCs/>
                <w:color w:val="000000" w:themeColor="text1"/>
              </w:rPr>
            </w:pPr>
            <w:r w:rsidRPr="008D7F3D">
              <w:rPr>
                <w:rFonts w:ascii="Times New Roman" w:hAnsi="Times New Roman" w:cs="Times New Roman"/>
                <w:bCs/>
                <w:color w:val="000000" w:themeColor="text1"/>
              </w:rPr>
              <w:t>bez přímého dopadu</w:t>
            </w:r>
          </w:p>
          <w:p w14:paraId="00666F38" w14:textId="77777777" w:rsidR="008D79D8" w:rsidRPr="008D7F3D" w:rsidRDefault="008D79D8" w:rsidP="005F0170">
            <w:pPr>
              <w:pStyle w:val="Seznamsodrkami"/>
              <w:numPr>
                <w:ilvl w:val="0"/>
                <w:numId w:val="0"/>
              </w:numPr>
              <w:tabs>
                <w:tab w:val="left" w:pos="708"/>
              </w:tabs>
              <w:spacing w:after="120" w:line="276" w:lineRule="auto"/>
              <w:rPr>
                <w:noProof/>
                <w:color w:val="000000" w:themeColor="text1"/>
                <w:sz w:val="22"/>
                <w:szCs w:val="22"/>
              </w:rPr>
            </w:pPr>
            <w:r w:rsidRPr="008D7F3D">
              <w:rPr>
                <w:b/>
                <w:bCs/>
                <w:color w:val="000000" w:themeColor="text1"/>
                <w:sz w:val="22"/>
                <w:szCs w:val="22"/>
              </w:rPr>
              <w:t xml:space="preserve"> </w:t>
            </w:r>
          </w:p>
        </w:tc>
      </w:tr>
      <w:tr w:rsidR="00DA03BA" w:rsidRPr="008D7F3D" w14:paraId="25201B6D" w14:textId="77777777" w:rsidTr="00DA03BA">
        <w:trPr>
          <w:gridBefore w:val="1"/>
          <w:gridAfter w:val="1"/>
          <w:wBefore w:w="79" w:type="pct"/>
          <w:wAfter w:w="78" w:type="pct"/>
        </w:trPr>
        <w:tc>
          <w:tcPr>
            <w:tcW w:w="4843" w:type="pct"/>
            <w:tcBorders>
              <w:top w:val="single" w:sz="4" w:space="0" w:color="auto"/>
              <w:left w:val="single" w:sz="4" w:space="0" w:color="auto"/>
              <w:bottom w:val="single" w:sz="4" w:space="0" w:color="auto"/>
              <w:right w:val="single" w:sz="4" w:space="0" w:color="auto"/>
            </w:tcBorders>
            <w:hideMark/>
          </w:tcPr>
          <w:p w14:paraId="54498FD7" w14:textId="77777777" w:rsidR="008D79D8" w:rsidRPr="008D7F3D" w:rsidRDefault="008D79D8" w:rsidP="005F0170">
            <w:pPr>
              <w:pStyle w:val="Text1"/>
              <w:spacing w:after="120" w:line="276" w:lineRule="auto"/>
              <w:ind w:left="0"/>
              <w:jc w:val="left"/>
              <w:rPr>
                <w:b/>
                <w:noProof/>
                <w:color w:val="000000" w:themeColor="text1"/>
                <w:sz w:val="22"/>
                <w:szCs w:val="22"/>
              </w:rPr>
            </w:pPr>
            <w:r w:rsidRPr="008D7F3D">
              <w:rPr>
                <w:b/>
                <w:noProof/>
                <w:color w:val="000000" w:themeColor="text1"/>
                <w:sz w:val="22"/>
                <w:szCs w:val="22"/>
              </w:rPr>
              <w:t>Představení evropského klimatického paktu</w:t>
            </w:r>
          </w:p>
        </w:tc>
      </w:tr>
      <w:tr w:rsidR="00DA03BA" w:rsidRPr="008D7F3D" w14:paraId="5C8E6128" w14:textId="77777777" w:rsidTr="00DA03BA">
        <w:trPr>
          <w:gridBefore w:val="1"/>
          <w:gridAfter w:val="1"/>
          <w:wBefore w:w="79" w:type="pct"/>
          <w:wAfter w:w="78" w:type="pct"/>
        </w:trPr>
        <w:tc>
          <w:tcPr>
            <w:tcW w:w="4843" w:type="pct"/>
            <w:tcBorders>
              <w:top w:val="single" w:sz="4" w:space="0" w:color="auto"/>
              <w:left w:val="nil"/>
              <w:bottom w:val="nil"/>
              <w:right w:val="nil"/>
            </w:tcBorders>
          </w:tcPr>
          <w:p w14:paraId="5BC8E2C9" w14:textId="77777777" w:rsidR="008D79D8" w:rsidRPr="008D7F3D" w:rsidRDefault="008D79D8" w:rsidP="005F0170">
            <w:pPr>
              <w:autoSpaceDE w:val="0"/>
              <w:autoSpaceDN w:val="0"/>
              <w:adjustRightInd w:val="0"/>
              <w:spacing w:before="240" w:after="0" w:line="240" w:lineRule="auto"/>
              <w:rPr>
                <w:rFonts w:ascii="Times New Roman" w:hAnsi="Times New Roman" w:cs="Times New Roman"/>
                <w:bCs/>
                <w:color w:val="000000" w:themeColor="text1"/>
              </w:rPr>
            </w:pPr>
            <w:r w:rsidRPr="008D7F3D">
              <w:rPr>
                <w:rFonts w:ascii="Times New Roman" w:hAnsi="Times New Roman" w:cs="Times New Roman"/>
                <w:b/>
                <w:bCs/>
                <w:color w:val="000000" w:themeColor="text1"/>
              </w:rPr>
              <w:t xml:space="preserve"> </w:t>
            </w:r>
            <w:r w:rsidRPr="008D7F3D">
              <w:rPr>
                <w:rFonts w:ascii="Times New Roman" w:hAnsi="Times New Roman" w:cs="Times New Roman"/>
                <w:bCs/>
                <w:color w:val="000000" w:themeColor="text1"/>
              </w:rPr>
              <w:t>Pakt by měl být zveřejněn do konce roku 2020. Mělo by jít především o spolupráci a zahrnutí veřejnosti do aktivit EGD.</w:t>
            </w:r>
          </w:p>
          <w:p w14:paraId="44B13015" w14:textId="77777777" w:rsidR="008D79D8" w:rsidRPr="008D7F3D" w:rsidRDefault="008D79D8" w:rsidP="005F0170">
            <w:pPr>
              <w:pStyle w:val="Text1"/>
              <w:spacing w:after="120" w:line="276" w:lineRule="auto"/>
              <w:ind w:left="0"/>
              <w:jc w:val="left"/>
              <w:rPr>
                <w:noProof/>
                <w:color w:val="000000" w:themeColor="text1"/>
                <w:sz w:val="22"/>
                <w:szCs w:val="22"/>
              </w:rPr>
            </w:pPr>
            <w:r w:rsidRPr="008D7F3D">
              <w:rPr>
                <w:b/>
                <w:bCs/>
                <w:color w:val="000000" w:themeColor="text1"/>
                <w:sz w:val="22"/>
                <w:szCs w:val="22"/>
              </w:rPr>
              <w:t xml:space="preserve"> </w:t>
            </w:r>
          </w:p>
        </w:tc>
      </w:tr>
      <w:tr w:rsidR="00DA03BA" w:rsidRPr="008D7F3D" w14:paraId="65F4A8F9" w14:textId="77777777" w:rsidTr="00DA03BA">
        <w:trPr>
          <w:gridBefore w:val="1"/>
          <w:gridAfter w:val="1"/>
          <w:wBefore w:w="79" w:type="pct"/>
          <w:wAfter w:w="79" w:type="pct"/>
        </w:trPr>
        <w:tc>
          <w:tcPr>
            <w:tcW w:w="4843" w:type="pct"/>
            <w:tcBorders>
              <w:top w:val="single" w:sz="4" w:space="0" w:color="auto"/>
              <w:left w:val="single" w:sz="4" w:space="0" w:color="auto"/>
              <w:bottom w:val="single" w:sz="4" w:space="0" w:color="auto"/>
              <w:right w:val="single" w:sz="4" w:space="0" w:color="auto"/>
            </w:tcBorders>
            <w:hideMark/>
          </w:tcPr>
          <w:p w14:paraId="5D3218F7" w14:textId="77777777" w:rsidR="008D79D8" w:rsidRPr="008D7F3D" w:rsidRDefault="008D79D8" w:rsidP="005F0170">
            <w:pPr>
              <w:pStyle w:val="Text1"/>
              <w:spacing w:after="120" w:line="276" w:lineRule="auto"/>
              <w:ind w:left="0"/>
              <w:jc w:val="left"/>
              <w:rPr>
                <w:b/>
                <w:noProof/>
                <w:color w:val="000000" w:themeColor="text1"/>
                <w:sz w:val="22"/>
                <w:szCs w:val="22"/>
              </w:rPr>
            </w:pPr>
            <w:r w:rsidRPr="008D7F3D">
              <w:rPr>
                <w:b/>
                <w:noProof/>
                <w:color w:val="000000" w:themeColor="text1"/>
                <w:sz w:val="22"/>
                <w:szCs w:val="22"/>
              </w:rPr>
              <w:t>Návrh osmého akčního programu pro životní prostředí</w:t>
            </w:r>
          </w:p>
        </w:tc>
      </w:tr>
      <w:tr w:rsidR="00DA03BA" w:rsidRPr="008D7F3D" w14:paraId="5E595BF7" w14:textId="77777777" w:rsidTr="00DA03BA">
        <w:trPr>
          <w:gridBefore w:val="1"/>
          <w:gridAfter w:val="1"/>
          <w:wBefore w:w="79" w:type="pct"/>
          <w:wAfter w:w="79" w:type="pct"/>
        </w:trPr>
        <w:tc>
          <w:tcPr>
            <w:tcW w:w="4843" w:type="pct"/>
            <w:tcBorders>
              <w:top w:val="single" w:sz="4" w:space="0" w:color="auto"/>
              <w:left w:val="nil"/>
              <w:bottom w:val="nil"/>
              <w:right w:val="nil"/>
            </w:tcBorders>
          </w:tcPr>
          <w:p w14:paraId="76035236" w14:textId="77777777" w:rsidR="008D79D8" w:rsidRPr="008D7F3D" w:rsidRDefault="008D79D8" w:rsidP="004721F4">
            <w:pPr>
              <w:autoSpaceDE w:val="0"/>
              <w:autoSpaceDN w:val="0"/>
              <w:adjustRightInd w:val="0"/>
              <w:spacing w:before="240" w:after="0" w:line="240"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Předložení 8.EAP Evropská komise stále odkládá, aktuálně by měl být předložen do konce roku 2020. Měl by být v souladu s EGD a pravděpodobně se zaměří na správnou implementaci a monitoring plnění politiky ŽP.</w:t>
            </w:r>
          </w:p>
          <w:p w14:paraId="7875E82F" w14:textId="77777777" w:rsidR="008D79D8" w:rsidRPr="008D7F3D" w:rsidRDefault="008D79D8" w:rsidP="005F0170">
            <w:pPr>
              <w:pStyle w:val="Text1"/>
              <w:spacing w:after="120" w:line="276" w:lineRule="auto"/>
              <w:ind w:left="0"/>
              <w:jc w:val="left"/>
              <w:rPr>
                <w:noProof/>
                <w:color w:val="000000" w:themeColor="text1"/>
                <w:sz w:val="22"/>
                <w:szCs w:val="22"/>
              </w:rPr>
            </w:pPr>
            <w:r w:rsidRPr="008D7F3D">
              <w:rPr>
                <w:b/>
                <w:bCs/>
                <w:color w:val="000000" w:themeColor="text1"/>
                <w:sz w:val="22"/>
                <w:szCs w:val="22"/>
              </w:rPr>
              <w:t xml:space="preserve"> </w:t>
            </w:r>
          </w:p>
        </w:tc>
      </w:tr>
    </w:tbl>
    <w:p w14:paraId="252A0D8A" w14:textId="77777777" w:rsidR="008D79D8" w:rsidRPr="008D7F3D" w:rsidRDefault="008D79D8" w:rsidP="008A7306">
      <w:pPr>
        <w:jc w:val="center"/>
        <w:rPr>
          <w:rFonts w:ascii="Times New Roman" w:hAnsi="Times New Roman" w:cs="Times New Roman"/>
          <w:b/>
          <w:color w:val="000000" w:themeColor="text1"/>
          <w:u w:val="single"/>
        </w:rPr>
      </w:pPr>
    </w:p>
    <w:p w14:paraId="595635CE" w14:textId="77777777" w:rsidR="006B2A37" w:rsidRPr="00DA03BA" w:rsidRDefault="006B2A37" w:rsidP="00DA03BA">
      <w:pPr>
        <w:pStyle w:val="Nadpis1"/>
      </w:pPr>
      <w:bookmarkStart w:id="1" w:name="_Toc49930232"/>
      <w:r w:rsidRPr="00DA03BA">
        <w:lastRenderedPageBreak/>
        <w:t>Ministerstv</w:t>
      </w:r>
      <w:r w:rsidR="006D20CD" w:rsidRPr="00DA03BA">
        <w:t>o</w:t>
      </w:r>
      <w:r w:rsidRPr="00DA03BA">
        <w:t xml:space="preserve"> dopravy</w:t>
      </w:r>
      <w:bookmarkEnd w:id="1"/>
    </w:p>
    <w:p w14:paraId="5B5B1566" w14:textId="77777777" w:rsidR="00DD193B" w:rsidRPr="008D7F3D" w:rsidRDefault="00606EED" w:rsidP="00DD19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V současnosti není </w:t>
      </w:r>
      <w:r w:rsidR="003D713F" w:rsidRPr="008D7F3D">
        <w:rPr>
          <w:rFonts w:ascii="Times New Roman" w:hAnsi="Times New Roman" w:cs="Times New Roman"/>
          <w:color w:val="000000" w:themeColor="text1"/>
        </w:rPr>
        <w:t xml:space="preserve">v sektoru dopravy </w:t>
      </w:r>
      <w:r w:rsidR="00DD193B" w:rsidRPr="008D7F3D">
        <w:rPr>
          <w:rFonts w:ascii="Times New Roman" w:hAnsi="Times New Roman" w:cs="Times New Roman"/>
          <w:color w:val="000000" w:themeColor="text1"/>
        </w:rPr>
        <w:t xml:space="preserve">projednáván žádný návrh přímo propojený s politikou Zelené dohody (EGD). </w:t>
      </w:r>
      <w:r w:rsidR="003D713F" w:rsidRPr="008D7F3D">
        <w:rPr>
          <w:rFonts w:ascii="Times New Roman" w:hAnsi="Times New Roman" w:cs="Times New Roman"/>
          <w:color w:val="000000" w:themeColor="text1"/>
        </w:rPr>
        <w:t>Představen</w:t>
      </w:r>
      <w:r w:rsidR="00573469" w:rsidRPr="008D7F3D">
        <w:rPr>
          <w:rFonts w:ascii="Times New Roman" w:hAnsi="Times New Roman" w:cs="Times New Roman"/>
          <w:color w:val="000000" w:themeColor="text1"/>
        </w:rPr>
        <w:t>í</w:t>
      </w:r>
      <w:r w:rsidR="003D713F" w:rsidRPr="008D7F3D">
        <w:rPr>
          <w:rFonts w:ascii="Times New Roman" w:hAnsi="Times New Roman" w:cs="Times New Roman"/>
          <w:color w:val="000000" w:themeColor="text1"/>
        </w:rPr>
        <w:t xml:space="preserve"> a následné projednávání</w:t>
      </w:r>
      <w:r w:rsidR="00573469" w:rsidRPr="008D7F3D">
        <w:rPr>
          <w:rFonts w:ascii="Times New Roman" w:hAnsi="Times New Roman" w:cs="Times New Roman"/>
          <w:color w:val="000000" w:themeColor="text1"/>
        </w:rPr>
        <w:t xml:space="preserve"> klíčo</w:t>
      </w:r>
      <w:r w:rsidR="008A7306" w:rsidRPr="008D7F3D">
        <w:rPr>
          <w:rFonts w:ascii="Times New Roman" w:hAnsi="Times New Roman" w:cs="Times New Roman"/>
          <w:color w:val="000000" w:themeColor="text1"/>
        </w:rPr>
        <w:t>vých návrhů – revize směrnice o </w:t>
      </w:r>
      <w:r w:rsidR="006B2A37" w:rsidRPr="008D7F3D">
        <w:rPr>
          <w:rFonts w:ascii="Times New Roman" w:hAnsi="Times New Roman" w:cs="Times New Roman"/>
          <w:color w:val="000000" w:themeColor="text1"/>
        </w:rPr>
        <w:t xml:space="preserve">infrastruktuře pro </w:t>
      </w:r>
      <w:r w:rsidR="00573469" w:rsidRPr="008D7F3D">
        <w:rPr>
          <w:rFonts w:ascii="Times New Roman" w:hAnsi="Times New Roman" w:cs="Times New Roman"/>
          <w:color w:val="000000" w:themeColor="text1"/>
        </w:rPr>
        <w:t>alternativní paliv</w:t>
      </w:r>
      <w:r w:rsidR="006B2A37" w:rsidRPr="008D7F3D">
        <w:rPr>
          <w:rFonts w:ascii="Times New Roman" w:hAnsi="Times New Roman" w:cs="Times New Roman"/>
          <w:color w:val="000000" w:themeColor="text1"/>
        </w:rPr>
        <w:t>a</w:t>
      </w:r>
      <w:r w:rsidR="00573469" w:rsidRPr="008D7F3D">
        <w:rPr>
          <w:rFonts w:ascii="Times New Roman" w:hAnsi="Times New Roman" w:cs="Times New Roman"/>
          <w:color w:val="000000" w:themeColor="text1"/>
        </w:rPr>
        <w:t>, revize nařízení o nákladních železničních koridorech, případně další revize nařízení o emisích CO</w:t>
      </w:r>
      <w:r w:rsidR="00573469" w:rsidRPr="008D7F3D">
        <w:rPr>
          <w:rFonts w:ascii="Times New Roman" w:hAnsi="Times New Roman" w:cs="Times New Roman"/>
          <w:color w:val="000000" w:themeColor="text1"/>
          <w:vertAlign w:val="subscript"/>
        </w:rPr>
        <w:t>2</w:t>
      </w:r>
      <w:r w:rsidR="00573469" w:rsidRPr="008D7F3D">
        <w:rPr>
          <w:rFonts w:ascii="Times New Roman" w:hAnsi="Times New Roman" w:cs="Times New Roman"/>
          <w:color w:val="000000" w:themeColor="text1"/>
        </w:rPr>
        <w:t xml:space="preserve"> v </w:t>
      </w:r>
      <w:r w:rsidR="003D713F" w:rsidRPr="008D7F3D">
        <w:rPr>
          <w:rFonts w:ascii="Times New Roman" w:hAnsi="Times New Roman" w:cs="Times New Roman"/>
          <w:color w:val="000000" w:themeColor="text1"/>
        </w:rPr>
        <w:t>silniční</w:t>
      </w:r>
      <w:r w:rsidR="00573469" w:rsidRPr="008D7F3D">
        <w:rPr>
          <w:rFonts w:ascii="Times New Roman" w:hAnsi="Times New Roman" w:cs="Times New Roman"/>
          <w:color w:val="000000" w:themeColor="text1"/>
        </w:rPr>
        <w:t xml:space="preserve"> dopravě se očekávají v roce 2021. </w:t>
      </w:r>
    </w:p>
    <w:p w14:paraId="5050C3AB" w14:textId="77777777" w:rsidR="000539EA" w:rsidRPr="008D7F3D" w:rsidRDefault="000539EA" w:rsidP="000539EA">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Klíčovým dokumentem pro sektor dopravy bude Strategie pro udržitelnou a inteligentní mobilitu, jejíž vydání se </w:t>
      </w:r>
      <w:r w:rsidR="003D713F" w:rsidRPr="008D7F3D">
        <w:rPr>
          <w:rFonts w:ascii="Times New Roman" w:hAnsi="Times New Roman" w:cs="Times New Roman"/>
          <w:color w:val="000000" w:themeColor="text1"/>
        </w:rPr>
        <w:t>očekává ve</w:t>
      </w:r>
      <w:r w:rsidRPr="008D7F3D">
        <w:rPr>
          <w:rFonts w:ascii="Times New Roman" w:hAnsi="Times New Roman" w:cs="Times New Roman"/>
          <w:color w:val="000000" w:themeColor="text1"/>
        </w:rPr>
        <w:t xml:space="preserve"> 4. čtvrtletí 2020. Tato strategie naváže na Bílou knihu dopravy z roku 2011. Na základě vytyčení konkrétních cílů v této strategii bude</w:t>
      </w:r>
      <w:r w:rsidR="003D713F" w:rsidRPr="008D7F3D">
        <w:rPr>
          <w:rFonts w:ascii="Times New Roman" w:hAnsi="Times New Roman" w:cs="Times New Roman"/>
          <w:color w:val="000000" w:themeColor="text1"/>
        </w:rPr>
        <w:t xml:space="preserve"> možné</w:t>
      </w:r>
      <w:r w:rsidRPr="008D7F3D">
        <w:rPr>
          <w:rFonts w:ascii="Times New Roman" w:hAnsi="Times New Roman" w:cs="Times New Roman"/>
          <w:color w:val="000000" w:themeColor="text1"/>
        </w:rPr>
        <w:t xml:space="preserve"> </w:t>
      </w:r>
      <w:r w:rsidR="003D713F" w:rsidRPr="008D7F3D">
        <w:rPr>
          <w:rFonts w:ascii="Times New Roman" w:hAnsi="Times New Roman" w:cs="Times New Roman"/>
          <w:color w:val="000000" w:themeColor="text1"/>
        </w:rPr>
        <w:t>zpřesnit pozici ČR</w:t>
      </w:r>
      <w:r w:rsidRPr="008D7F3D">
        <w:rPr>
          <w:rFonts w:ascii="Times New Roman" w:hAnsi="Times New Roman" w:cs="Times New Roman"/>
          <w:color w:val="000000" w:themeColor="text1"/>
        </w:rPr>
        <w:t>.</w:t>
      </w:r>
    </w:p>
    <w:p w14:paraId="456F5A40" w14:textId="77777777" w:rsidR="00DD193B" w:rsidRPr="008D7F3D" w:rsidRDefault="00C73B67" w:rsidP="00DD19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Revize s</w:t>
      </w:r>
      <w:r w:rsidR="00DD193B" w:rsidRPr="008D7F3D">
        <w:rPr>
          <w:rFonts w:ascii="Times New Roman" w:hAnsi="Times New Roman" w:cs="Times New Roman"/>
          <w:color w:val="000000" w:themeColor="text1"/>
        </w:rPr>
        <w:t>měrnice o kombinované dopravě</w:t>
      </w:r>
      <w:r w:rsidR="000539EA" w:rsidRPr="008D7F3D">
        <w:rPr>
          <w:rFonts w:ascii="Times New Roman" w:hAnsi="Times New Roman" w:cs="Times New Roman"/>
          <w:color w:val="000000" w:themeColor="text1"/>
        </w:rPr>
        <w:t>, o níž EGD rovněž mluví,</w:t>
      </w:r>
      <w:r w:rsidR="00DD193B" w:rsidRPr="008D7F3D">
        <w:rPr>
          <w:rFonts w:ascii="Times New Roman" w:hAnsi="Times New Roman" w:cs="Times New Roman"/>
          <w:color w:val="000000" w:themeColor="text1"/>
        </w:rPr>
        <w:t xml:space="preserve"> byla stažena ze strany EK z důvodu nenalezení shody mezi Radou a EP a odklonem od původních cílů. Očekává se </w:t>
      </w:r>
      <w:r w:rsidRPr="008D7F3D">
        <w:rPr>
          <w:rFonts w:ascii="Times New Roman" w:hAnsi="Times New Roman" w:cs="Times New Roman"/>
          <w:color w:val="000000" w:themeColor="text1"/>
        </w:rPr>
        <w:t>upravený návrh</w:t>
      </w:r>
      <w:r w:rsidR="00DD193B" w:rsidRPr="008D7F3D">
        <w:rPr>
          <w:rFonts w:ascii="Times New Roman" w:hAnsi="Times New Roman" w:cs="Times New Roman"/>
          <w:color w:val="000000" w:themeColor="text1"/>
        </w:rPr>
        <w:t xml:space="preserve"> v roce 2021. ČR bude podporovat takový návrh, který bude komplexní (bude pokrývat i železniční dopravu).</w:t>
      </w:r>
    </w:p>
    <w:p w14:paraId="5BE62F00" w14:textId="77777777" w:rsidR="006B2A37" w:rsidRPr="008D7F3D" w:rsidRDefault="006B2A37" w:rsidP="00DD19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ČR nemůže souhlasit</w:t>
      </w:r>
      <w:r w:rsidR="008A7306" w:rsidRPr="008D7F3D">
        <w:rPr>
          <w:rFonts w:ascii="Times New Roman" w:hAnsi="Times New Roman" w:cs="Times New Roman"/>
          <w:color w:val="000000" w:themeColor="text1"/>
        </w:rPr>
        <w:t>, zvláště za současné ekonomické situace v důsledku epidemie COVID-19,</w:t>
      </w:r>
      <w:r w:rsidRPr="008D7F3D">
        <w:rPr>
          <w:rFonts w:ascii="Times New Roman" w:hAnsi="Times New Roman" w:cs="Times New Roman"/>
          <w:color w:val="000000" w:themeColor="text1"/>
        </w:rPr>
        <w:t xml:space="preserve"> s dalším zpřísňováním emisních limitů CO2 z nových vozidel (částečně gesce MPO) již v roce </w:t>
      </w:r>
      <w:r w:rsidR="008A7306" w:rsidRPr="008D7F3D">
        <w:rPr>
          <w:rFonts w:ascii="Times New Roman" w:hAnsi="Times New Roman" w:cs="Times New Roman"/>
          <w:color w:val="000000" w:themeColor="text1"/>
        </w:rPr>
        <w:t>2021</w:t>
      </w:r>
      <w:r w:rsidRPr="008D7F3D">
        <w:rPr>
          <w:rFonts w:ascii="Times New Roman" w:hAnsi="Times New Roman" w:cs="Times New Roman"/>
          <w:color w:val="000000" w:themeColor="text1"/>
        </w:rPr>
        <w:t xml:space="preserve"> </w:t>
      </w:r>
      <w:r w:rsidR="008A7306" w:rsidRPr="008D7F3D">
        <w:rPr>
          <w:rFonts w:ascii="Times New Roman" w:hAnsi="Times New Roman" w:cs="Times New Roman"/>
          <w:color w:val="000000" w:themeColor="text1"/>
        </w:rPr>
        <w:t>(</w:t>
      </w:r>
      <w:r w:rsidRPr="008D7F3D">
        <w:rPr>
          <w:rFonts w:ascii="Times New Roman" w:hAnsi="Times New Roman" w:cs="Times New Roman"/>
          <w:color w:val="000000" w:themeColor="text1"/>
        </w:rPr>
        <w:t xml:space="preserve">tedy </w:t>
      </w:r>
      <w:r w:rsidR="00B70BCA" w:rsidRPr="008D7F3D">
        <w:rPr>
          <w:rFonts w:ascii="Times New Roman" w:hAnsi="Times New Roman" w:cs="Times New Roman"/>
          <w:color w:val="000000" w:themeColor="text1"/>
        </w:rPr>
        <w:t>více než</w:t>
      </w:r>
      <w:r w:rsidRPr="008D7F3D">
        <w:rPr>
          <w:rFonts w:ascii="Times New Roman" w:hAnsi="Times New Roman" w:cs="Times New Roman"/>
          <w:color w:val="000000" w:themeColor="text1"/>
        </w:rPr>
        <w:t xml:space="preserve"> o </w:t>
      </w:r>
      <w:r w:rsidR="00B70BCA" w:rsidRPr="008D7F3D">
        <w:rPr>
          <w:rFonts w:ascii="Times New Roman" w:hAnsi="Times New Roman" w:cs="Times New Roman"/>
          <w:color w:val="000000" w:themeColor="text1"/>
        </w:rPr>
        <w:t>rok dříve</w:t>
      </w:r>
      <w:r w:rsidR="008A7306" w:rsidRPr="008D7F3D">
        <w:rPr>
          <w:rFonts w:ascii="Times New Roman" w:hAnsi="Times New Roman" w:cs="Times New Roman"/>
          <w:color w:val="000000" w:themeColor="text1"/>
        </w:rPr>
        <w:t xml:space="preserve"> než </w:t>
      </w:r>
      <w:r w:rsidR="00B70BCA" w:rsidRPr="008D7F3D">
        <w:rPr>
          <w:rFonts w:ascii="Times New Roman" w:hAnsi="Times New Roman" w:cs="Times New Roman"/>
          <w:color w:val="000000" w:themeColor="text1"/>
        </w:rPr>
        <w:t>měla být vydána zpráva</w:t>
      </w:r>
      <w:r w:rsidR="008A7306" w:rsidRPr="008D7F3D">
        <w:rPr>
          <w:rFonts w:ascii="Times New Roman" w:hAnsi="Times New Roman" w:cs="Times New Roman"/>
          <w:color w:val="000000" w:themeColor="text1"/>
        </w:rPr>
        <w:t xml:space="preserve"> </w:t>
      </w:r>
      <w:r w:rsidR="00B70BCA" w:rsidRPr="008D7F3D">
        <w:rPr>
          <w:rFonts w:ascii="Times New Roman" w:hAnsi="Times New Roman" w:cs="Times New Roman"/>
          <w:color w:val="000000" w:themeColor="text1"/>
        </w:rPr>
        <w:t>o účinnosti tohoto nařízení</w:t>
      </w:r>
      <w:r w:rsidRPr="008D7F3D">
        <w:rPr>
          <w:rFonts w:ascii="Times New Roman" w:hAnsi="Times New Roman" w:cs="Times New Roman"/>
          <w:color w:val="000000" w:themeColor="text1"/>
        </w:rPr>
        <w:t>)</w:t>
      </w:r>
      <w:r w:rsidR="00B70BCA" w:rsidRPr="008D7F3D">
        <w:rPr>
          <w:rFonts w:ascii="Times New Roman" w:hAnsi="Times New Roman" w:cs="Times New Roman"/>
          <w:color w:val="000000" w:themeColor="text1"/>
        </w:rPr>
        <w:t>.</w:t>
      </w:r>
    </w:p>
    <w:p w14:paraId="28A60677" w14:textId="77777777" w:rsidR="00573469" w:rsidRPr="008D7F3D" w:rsidRDefault="008A7306" w:rsidP="00DD19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V červnu</w:t>
      </w:r>
      <w:r w:rsidR="00573469" w:rsidRPr="008D7F3D">
        <w:rPr>
          <w:rFonts w:ascii="Times New Roman" w:hAnsi="Times New Roman" w:cs="Times New Roman"/>
          <w:color w:val="000000" w:themeColor="text1"/>
        </w:rPr>
        <w:t xml:space="preserve"> 2019, tedy ještě před zveřejněním EGD, byla přijata směrnice o čistých vozidlech</w:t>
      </w:r>
      <w:r w:rsidR="0003013C" w:rsidRPr="008D7F3D">
        <w:rPr>
          <w:rFonts w:ascii="Times New Roman" w:hAnsi="Times New Roman" w:cs="Times New Roman"/>
          <w:color w:val="000000" w:themeColor="text1"/>
        </w:rPr>
        <w:t xml:space="preserve"> (hlavní gestor MMR, MD spolugestor)</w:t>
      </w:r>
      <w:r w:rsidR="00573469" w:rsidRPr="008D7F3D">
        <w:rPr>
          <w:rFonts w:ascii="Times New Roman" w:hAnsi="Times New Roman" w:cs="Times New Roman"/>
          <w:color w:val="000000" w:themeColor="text1"/>
        </w:rPr>
        <w:t>, která má za cíl vyšší využívání nízkoemisních vozidel. Od srpna 2021 budou mít všichni veřejní zadavatelé povinnost nakupovat určitý podíl voz</w:t>
      </w:r>
      <w:r w:rsidR="00B70BCA" w:rsidRPr="008D7F3D">
        <w:rPr>
          <w:rFonts w:ascii="Times New Roman" w:hAnsi="Times New Roman" w:cs="Times New Roman"/>
          <w:color w:val="000000" w:themeColor="text1"/>
        </w:rPr>
        <w:t>idel splňující přísné limity na </w:t>
      </w:r>
      <w:r w:rsidR="00573469" w:rsidRPr="008D7F3D">
        <w:rPr>
          <w:rFonts w:ascii="Times New Roman" w:hAnsi="Times New Roman" w:cs="Times New Roman"/>
          <w:color w:val="000000" w:themeColor="text1"/>
        </w:rPr>
        <w:t>emise CO</w:t>
      </w:r>
      <w:r w:rsidR="00573469" w:rsidRPr="008D7F3D">
        <w:rPr>
          <w:rFonts w:ascii="Times New Roman" w:hAnsi="Times New Roman" w:cs="Times New Roman"/>
          <w:color w:val="000000" w:themeColor="text1"/>
          <w:vertAlign w:val="subscript"/>
        </w:rPr>
        <w:t>2</w:t>
      </w:r>
      <w:r w:rsidR="00573469" w:rsidRPr="008D7F3D">
        <w:rPr>
          <w:rFonts w:ascii="Times New Roman" w:hAnsi="Times New Roman" w:cs="Times New Roman"/>
          <w:color w:val="000000" w:themeColor="text1"/>
        </w:rPr>
        <w:t>.</w:t>
      </w:r>
      <w:r w:rsidR="000539EA" w:rsidRPr="008D7F3D">
        <w:rPr>
          <w:rFonts w:ascii="Times New Roman" w:hAnsi="Times New Roman" w:cs="Times New Roman"/>
          <w:color w:val="000000" w:themeColor="text1"/>
        </w:rPr>
        <w:t xml:space="preserve"> ČR hlasovala proti přijetí tohoto návrhu, neboť limit byl pro ČR stanoven jako nepřiměřeně vysoký a navíc definice čistého vozidla nereflektovala princip technologické neutrality.</w:t>
      </w:r>
    </w:p>
    <w:p w14:paraId="0452D98D" w14:textId="77777777" w:rsidR="00C75782" w:rsidRPr="008D7F3D" w:rsidRDefault="00C75782" w:rsidP="00C75782">
      <w:pPr>
        <w:jc w:val="both"/>
        <w:rPr>
          <w:rFonts w:ascii="Times New Roman" w:hAnsi="Times New Roman" w:cs="Times New Roman"/>
          <w:color w:val="000000" w:themeColor="text1"/>
        </w:rPr>
      </w:pPr>
      <w:r w:rsidRPr="008D7F3D">
        <w:rPr>
          <w:rFonts w:ascii="Times New Roman" w:hAnsi="Times New Roman" w:cs="Times New Roman"/>
          <w:color w:val="000000" w:themeColor="text1"/>
        </w:rPr>
        <w:t>V září 2020 se očekává zahájení projednání upraveného návrhu Jednotného evropského nebe, který by měl</w:t>
      </w:r>
      <w:r w:rsidR="007C4806" w:rsidRPr="008D7F3D">
        <w:rPr>
          <w:rFonts w:ascii="Times New Roman" w:hAnsi="Times New Roman" w:cs="Times New Roman"/>
          <w:color w:val="000000" w:themeColor="text1"/>
        </w:rPr>
        <w:t xml:space="preserve"> mj.</w:t>
      </w:r>
      <w:r w:rsidRPr="008D7F3D">
        <w:rPr>
          <w:rFonts w:ascii="Times New Roman" w:hAnsi="Times New Roman" w:cs="Times New Roman"/>
          <w:color w:val="000000" w:themeColor="text1"/>
        </w:rPr>
        <w:t xml:space="preserve"> pomoci díky lepšímu řízení provozu snížit emise CO</w:t>
      </w:r>
      <w:r w:rsidRPr="008D7F3D">
        <w:rPr>
          <w:rFonts w:ascii="Times New Roman" w:hAnsi="Times New Roman" w:cs="Times New Roman"/>
          <w:color w:val="000000" w:themeColor="text1"/>
          <w:vertAlign w:val="subscript"/>
        </w:rPr>
        <w:t>2</w:t>
      </w:r>
      <w:r w:rsidRPr="008D7F3D">
        <w:rPr>
          <w:rFonts w:ascii="Times New Roman" w:hAnsi="Times New Roman" w:cs="Times New Roman"/>
          <w:color w:val="000000" w:themeColor="text1"/>
        </w:rPr>
        <w:t xml:space="preserve"> z letecké dopravy. ČR preferovala projednávání úplně nového návrhu, nicméně revize současného právního rámce je nutná, proto ČR podporuje aktualizaci tohoto nařízení. Finální pozice bude záležet na upraveném textu, který zatím EK nepředložila.</w:t>
      </w:r>
    </w:p>
    <w:p w14:paraId="7970B349" w14:textId="77777777" w:rsidR="00C75782" w:rsidRPr="008D7F3D" w:rsidRDefault="00C75782" w:rsidP="00C75782">
      <w:pPr>
        <w:jc w:val="both"/>
        <w:rPr>
          <w:rFonts w:ascii="Times New Roman" w:hAnsi="Times New Roman" w:cs="Times New Roman"/>
          <w:color w:val="000000" w:themeColor="text1"/>
        </w:rPr>
      </w:pPr>
      <w:r w:rsidRPr="008D7F3D">
        <w:rPr>
          <w:rFonts w:ascii="Times New Roman" w:hAnsi="Times New Roman" w:cs="Times New Roman"/>
          <w:color w:val="000000" w:themeColor="text1"/>
        </w:rPr>
        <w:t>Od 1. ledna 2021 začne pilotní fáze systému kompenzace a snižování emisí uhlíku v mezinárodní letecké dopravě (CORSIA) sjednaného v rámci Mezinárodní organizace pro civilní letectví. E</w:t>
      </w:r>
      <w:r w:rsidR="006B2A37" w:rsidRPr="008D7F3D">
        <w:rPr>
          <w:rFonts w:ascii="Times New Roman" w:hAnsi="Times New Roman" w:cs="Times New Roman"/>
          <w:color w:val="000000" w:themeColor="text1"/>
        </w:rPr>
        <w:t>K</w:t>
      </w:r>
      <w:r w:rsidRPr="008D7F3D">
        <w:rPr>
          <w:rFonts w:ascii="Times New Roman" w:hAnsi="Times New Roman" w:cs="Times New Roman"/>
          <w:color w:val="000000" w:themeColor="text1"/>
        </w:rPr>
        <w:t xml:space="preserve"> by měla předložit během tohoto roku zprávu dle čl. 28b(2) směrnice o ETS, ve které by zhodnot</w:t>
      </w:r>
      <w:r w:rsidR="00B70BCA" w:rsidRPr="008D7F3D">
        <w:rPr>
          <w:rFonts w:ascii="Times New Roman" w:hAnsi="Times New Roman" w:cs="Times New Roman"/>
          <w:color w:val="000000" w:themeColor="text1"/>
        </w:rPr>
        <w:t>ila možnosti pro </w:t>
      </w:r>
      <w:r w:rsidRPr="008D7F3D">
        <w:rPr>
          <w:rFonts w:ascii="Times New Roman" w:hAnsi="Times New Roman" w:cs="Times New Roman"/>
          <w:color w:val="000000" w:themeColor="text1"/>
        </w:rPr>
        <w:t>implementaci CORSIA do práva EU a případnou revizi směrnice o ETS. ČR čeká na zveřejnění zprávy.</w:t>
      </w:r>
    </w:p>
    <w:p w14:paraId="739AF925" w14:textId="77777777" w:rsidR="00DD193B" w:rsidRPr="008D7F3D" w:rsidRDefault="00DD193B" w:rsidP="00B03C45">
      <w:pPr>
        <w:jc w:val="both"/>
        <w:rPr>
          <w:rFonts w:ascii="Times New Roman" w:hAnsi="Times New Roman" w:cs="Times New Roman"/>
          <w:color w:val="000000" w:themeColor="text1"/>
        </w:rPr>
      </w:pPr>
      <w:r w:rsidRPr="008D7F3D">
        <w:rPr>
          <w:rFonts w:ascii="Times New Roman" w:hAnsi="Times New Roman" w:cs="Times New Roman"/>
          <w:color w:val="000000" w:themeColor="text1"/>
        </w:rPr>
        <w:t>V oblasti dopravy jsou cíle v EGD zatím definovány poměrně vágně (potřeba vyšší kapacity vodních cest a železnice,</w:t>
      </w:r>
      <w:r w:rsidR="00D603DF" w:rsidRPr="008D7F3D">
        <w:rPr>
          <w:rFonts w:ascii="Times New Roman" w:hAnsi="Times New Roman" w:cs="Times New Roman"/>
          <w:color w:val="000000" w:themeColor="text1"/>
        </w:rPr>
        <w:t xml:space="preserve"> vyšší počet plnících a dobíjecích stanic či vyšší digitalizace dopravy)</w:t>
      </w:r>
      <w:r w:rsidRPr="008D7F3D">
        <w:rPr>
          <w:rFonts w:ascii="Times New Roman" w:hAnsi="Times New Roman" w:cs="Times New Roman"/>
          <w:color w:val="000000" w:themeColor="text1"/>
        </w:rPr>
        <w:t xml:space="preserve">. </w:t>
      </w:r>
      <w:r w:rsidR="0003013C" w:rsidRPr="008D7F3D">
        <w:rPr>
          <w:rFonts w:ascii="Times New Roman" w:hAnsi="Times New Roman" w:cs="Times New Roman"/>
          <w:color w:val="000000" w:themeColor="text1"/>
        </w:rPr>
        <w:t xml:space="preserve">Návrh </w:t>
      </w:r>
      <w:r w:rsidR="00D603DF" w:rsidRPr="008D7F3D">
        <w:rPr>
          <w:rFonts w:ascii="Times New Roman" w:hAnsi="Times New Roman" w:cs="Times New Roman"/>
          <w:color w:val="000000" w:themeColor="text1"/>
        </w:rPr>
        <w:t xml:space="preserve">obsahuje </w:t>
      </w:r>
      <w:r w:rsidR="006B2A37" w:rsidRPr="008D7F3D">
        <w:rPr>
          <w:rFonts w:ascii="Times New Roman" w:hAnsi="Times New Roman" w:cs="Times New Roman"/>
          <w:color w:val="000000" w:themeColor="text1"/>
        </w:rPr>
        <w:t>tři</w:t>
      </w:r>
      <w:r w:rsidR="00B70BCA" w:rsidRPr="008D7F3D">
        <w:rPr>
          <w:rFonts w:ascii="Times New Roman" w:hAnsi="Times New Roman" w:cs="Times New Roman"/>
          <w:color w:val="000000" w:themeColor="text1"/>
        </w:rPr>
        <w:t> </w:t>
      </w:r>
      <w:r w:rsidR="00D603DF" w:rsidRPr="008D7F3D">
        <w:rPr>
          <w:rFonts w:ascii="Times New Roman" w:hAnsi="Times New Roman" w:cs="Times New Roman"/>
          <w:color w:val="000000" w:themeColor="text1"/>
        </w:rPr>
        <w:t>konkrétní čísla. Jedním z nich je snížení emisí CO</w:t>
      </w:r>
      <w:r w:rsidR="00D603DF" w:rsidRPr="008D7F3D">
        <w:rPr>
          <w:rFonts w:ascii="Times New Roman" w:hAnsi="Times New Roman" w:cs="Times New Roman"/>
          <w:color w:val="000000" w:themeColor="text1"/>
          <w:vertAlign w:val="subscript"/>
        </w:rPr>
        <w:t>2</w:t>
      </w:r>
      <w:r w:rsidR="00D603DF" w:rsidRPr="008D7F3D">
        <w:rPr>
          <w:rFonts w:ascii="Times New Roman" w:hAnsi="Times New Roman" w:cs="Times New Roman"/>
          <w:color w:val="000000" w:themeColor="text1"/>
        </w:rPr>
        <w:t xml:space="preserve"> z dopravy o 90</w:t>
      </w:r>
      <w:r w:rsidR="006B2A37" w:rsidRPr="008D7F3D">
        <w:rPr>
          <w:rFonts w:ascii="Times New Roman" w:hAnsi="Times New Roman" w:cs="Times New Roman"/>
          <w:color w:val="000000" w:themeColor="text1"/>
        </w:rPr>
        <w:t> % do roku 2050,</w:t>
      </w:r>
      <w:r w:rsidR="00C25D4D" w:rsidRPr="008D7F3D">
        <w:rPr>
          <w:rFonts w:ascii="Times New Roman" w:hAnsi="Times New Roman" w:cs="Times New Roman"/>
          <w:color w:val="000000" w:themeColor="text1"/>
        </w:rPr>
        <w:t xml:space="preserve"> </w:t>
      </w:r>
      <w:r w:rsidR="006B2A37" w:rsidRPr="008D7F3D">
        <w:rPr>
          <w:rFonts w:ascii="Times New Roman" w:hAnsi="Times New Roman" w:cs="Times New Roman"/>
          <w:color w:val="000000" w:themeColor="text1"/>
        </w:rPr>
        <w:t>d</w:t>
      </w:r>
      <w:r w:rsidR="00C25D4D" w:rsidRPr="008D7F3D">
        <w:rPr>
          <w:rFonts w:ascii="Times New Roman" w:hAnsi="Times New Roman" w:cs="Times New Roman"/>
          <w:color w:val="000000" w:themeColor="text1"/>
        </w:rPr>
        <w:t>ruhým je přesun 75</w:t>
      </w:r>
      <w:r w:rsidR="00C73B67" w:rsidRPr="008D7F3D">
        <w:rPr>
          <w:rFonts w:ascii="Times New Roman" w:hAnsi="Times New Roman" w:cs="Times New Roman"/>
          <w:color w:val="000000" w:themeColor="text1"/>
        </w:rPr>
        <w:t> </w:t>
      </w:r>
      <w:r w:rsidR="00C25D4D" w:rsidRPr="008D7F3D">
        <w:rPr>
          <w:rFonts w:ascii="Times New Roman" w:hAnsi="Times New Roman" w:cs="Times New Roman"/>
          <w:color w:val="000000" w:themeColor="text1"/>
        </w:rPr>
        <w:t>% nákladní dopravy ze silniční dopravy směrem k udržitelným druh</w:t>
      </w:r>
      <w:r w:rsidR="006B2A37" w:rsidRPr="008D7F3D">
        <w:rPr>
          <w:rFonts w:ascii="Times New Roman" w:hAnsi="Times New Roman" w:cs="Times New Roman"/>
          <w:color w:val="000000" w:themeColor="text1"/>
        </w:rPr>
        <w:t>ům dopravy (železniční a vodní) a třetím je 1 milion dobíjecích a plnicích stanic pro 13 milionů vozidel s nulovými a nízkými emisemi</w:t>
      </w:r>
      <w:r w:rsidR="00B70BCA" w:rsidRPr="008D7F3D">
        <w:rPr>
          <w:rFonts w:ascii="Times New Roman" w:hAnsi="Times New Roman" w:cs="Times New Roman"/>
          <w:color w:val="000000" w:themeColor="text1"/>
        </w:rPr>
        <w:t xml:space="preserve"> do </w:t>
      </w:r>
      <w:r w:rsidR="006B2A37" w:rsidRPr="008D7F3D">
        <w:rPr>
          <w:rFonts w:ascii="Times New Roman" w:hAnsi="Times New Roman" w:cs="Times New Roman"/>
          <w:color w:val="000000" w:themeColor="text1"/>
        </w:rPr>
        <w:t>roku 2025.</w:t>
      </w:r>
    </w:p>
    <w:p w14:paraId="1B54E393" w14:textId="77777777" w:rsidR="00D603DF" w:rsidRPr="008D7F3D" w:rsidRDefault="00D603DF" w:rsidP="00D603DF">
      <w:pPr>
        <w:jc w:val="both"/>
        <w:rPr>
          <w:rFonts w:ascii="Times New Roman" w:hAnsi="Times New Roman" w:cs="Times New Roman"/>
          <w:color w:val="000000" w:themeColor="text1"/>
        </w:rPr>
      </w:pPr>
      <w:r w:rsidRPr="008D7F3D">
        <w:rPr>
          <w:rFonts w:ascii="Times New Roman" w:hAnsi="Times New Roman" w:cs="Times New Roman"/>
          <w:color w:val="000000" w:themeColor="text1"/>
        </w:rPr>
        <w:t>V obecné rovině ČR podporuje snahu o dekarbonizaci dopravy a zejména o sníž</w:t>
      </w:r>
      <w:r w:rsidR="00C25D4D" w:rsidRPr="008D7F3D">
        <w:rPr>
          <w:rFonts w:ascii="Times New Roman" w:hAnsi="Times New Roman" w:cs="Times New Roman"/>
          <w:color w:val="000000" w:themeColor="text1"/>
        </w:rPr>
        <w:t>ení znečišťujících látek z </w:t>
      </w:r>
      <w:r w:rsidRPr="008D7F3D">
        <w:rPr>
          <w:rFonts w:ascii="Times New Roman" w:hAnsi="Times New Roman" w:cs="Times New Roman"/>
          <w:color w:val="000000" w:themeColor="text1"/>
        </w:rPr>
        <w:t>dopravy. Ovšem snížení emisí z dopravy až o 90 % nebylo podrobněji vysvětleno. Z pohledu ČR může být takový pokles v praxi obtížně realizovatelný</w:t>
      </w:r>
      <w:r w:rsidR="006B2A37" w:rsidRPr="008D7F3D">
        <w:rPr>
          <w:rFonts w:ascii="Times New Roman" w:hAnsi="Times New Roman" w:cs="Times New Roman"/>
          <w:color w:val="000000" w:themeColor="text1"/>
        </w:rPr>
        <w:t>.</w:t>
      </w:r>
      <w:r w:rsidRPr="008D7F3D">
        <w:rPr>
          <w:rFonts w:ascii="Times New Roman" w:hAnsi="Times New Roman" w:cs="Times New Roman"/>
          <w:color w:val="000000" w:themeColor="text1"/>
        </w:rPr>
        <w:t xml:space="preserve"> </w:t>
      </w:r>
      <w:r w:rsidR="006B2A37" w:rsidRPr="008D7F3D">
        <w:rPr>
          <w:rFonts w:ascii="Times New Roman" w:hAnsi="Times New Roman" w:cs="Times New Roman"/>
          <w:color w:val="000000" w:themeColor="text1"/>
        </w:rPr>
        <w:t>Navíc již</w:t>
      </w:r>
      <w:r w:rsidRPr="008D7F3D">
        <w:rPr>
          <w:rFonts w:ascii="Times New Roman" w:hAnsi="Times New Roman" w:cs="Times New Roman"/>
          <w:color w:val="000000" w:themeColor="text1"/>
        </w:rPr>
        <w:t xml:space="preserve"> Bílá kniha o dopravě z roku 2011 počítala se snížením emisí o 60 % a ani její naplňování není úspěšné.</w:t>
      </w:r>
    </w:p>
    <w:p w14:paraId="22AB3DDE" w14:textId="77777777" w:rsidR="0003013C" w:rsidRPr="008D7F3D" w:rsidRDefault="0003013C" w:rsidP="0003013C">
      <w:pPr>
        <w:jc w:val="both"/>
        <w:rPr>
          <w:rFonts w:ascii="Times New Roman" w:hAnsi="Times New Roman" w:cs="Times New Roman"/>
          <w:color w:val="000000" w:themeColor="text1"/>
        </w:rPr>
      </w:pPr>
      <w:r w:rsidRPr="008D7F3D">
        <w:rPr>
          <w:rFonts w:ascii="Times New Roman" w:hAnsi="Times New Roman" w:cs="Times New Roman"/>
          <w:color w:val="000000" w:themeColor="text1"/>
        </w:rPr>
        <w:t>Domníváme se, že za současného technologického poznání není možné snížit emise o 90 %</w:t>
      </w:r>
      <w:r w:rsidR="001079D5" w:rsidRPr="008D7F3D">
        <w:rPr>
          <w:rFonts w:ascii="Times New Roman" w:hAnsi="Times New Roman" w:cs="Times New Roman"/>
          <w:color w:val="000000" w:themeColor="text1"/>
        </w:rPr>
        <w:t xml:space="preserve"> ve všech dopravních módech</w:t>
      </w:r>
      <w:r w:rsidRPr="008D7F3D">
        <w:rPr>
          <w:rFonts w:ascii="Times New Roman" w:hAnsi="Times New Roman" w:cs="Times New Roman"/>
          <w:color w:val="000000" w:themeColor="text1"/>
        </w:rPr>
        <w:t>. Železniční doprava</w:t>
      </w:r>
      <w:r w:rsidR="006B2A37" w:rsidRPr="008D7F3D">
        <w:rPr>
          <w:rFonts w:ascii="Times New Roman" w:hAnsi="Times New Roman" w:cs="Times New Roman"/>
          <w:color w:val="000000" w:themeColor="text1"/>
        </w:rPr>
        <w:t xml:space="preserve"> by měla být</w:t>
      </w:r>
      <w:r w:rsidRPr="008D7F3D">
        <w:rPr>
          <w:rFonts w:ascii="Times New Roman" w:hAnsi="Times New Roman" w:cs="Times New Roman"/>
          <w:color w:val="000000" w:themeColor="text1"/>
        </w:rPr>
        <w:t xml:space="preserve"> </w:t>
      </w:r>
      <w:r w:rsidR="001079D5" w:rsidRPr="008D7F3D">
        <w:rPr>
          <w:rFonts w:ascii="Times New Roman" w:hAnsi="Times New Roman" w:cs="Times New Roman"/>
          <w:color w:val="000000" w:themeColor="text1"/>
        </w:rPr>
        <w:t>schopna</w:t>
      </w:r>
      <w:r w:rsidR="006B2A37" w:rsidRPr="008D7F3D">
        <w:rPr>
          <w:rFonts w:ascii="Times New Roman" w:hAnsi="Times New Roman" w:cs="Times New Roman"/>
          <w:color w:val="000000" w:themeColor="text1"/>
        </w:rPr>
        <w:t xml:space="preserve"> v tomto horizontu</w:t>
      </w:r>
      <w:r w:rsidR="001079D5"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rPr>
        <w:t>cíl splnit</w:t>
      </w:r>
      <w:r w:rsidR="006B2A37" w:rsidRPr="008D7F3D">
        <w:rPr>
          <w:rFonts w:ascii="Times New Roman" w:hAnsi="Times New Roman" w:cs="Times New Roman"/>
          <w:color w:val="000000" w:themeColor="text1"/>
        </w:rPr>
        <w:t xml:space="preserve"> (pokračující elektrizace, využití bateriových či vodíkových jednotek)</w:t>
      </w:r>
      <w:r w:rsidR="001079D5" w:rsidRPr="008D7F3D">
        <w:rPr>
          <w:rFonts w:ascii="Times New Roman" w:hAnsi="Times New Roman" w:cs="Times New Roman"/>
          <w:color w:val="000000" w:themeColor="text1"/>
        </w:rPr>
        <w:t>.</w:t>
      </w:r>
      <w:r w:rsidRPr="008D7F3D">
        <w:rPr>
          <w:rFonts w:ascii="Times New Roman" w:hAnsi="Times New Roman" w:cs="Times New Roman"/>
          <w:color w:val="000000" w:themeColor="text1"/>
        </w:rPr>
        <w:t xml:space="preserve"> </w:t>
      </w:r>
      <w:r w:rsidR="001079D5" w:rsidRPr="008D7F3D">
        <w:rPr>
          <w:rFonts w:ascii="Times New Roman" w:hAnsi="Times New Roman" w:cs="Times New Roman"/>
          <w:color w:val="000000" w:themeColor="text1"/>
        </w:rPr>
        <w:t>S</w:t>
      </w:r>
      <w:r w:rsidRPr="008D7F3D">
        <w:rPr>
          <w:rFonts w:ascii="Times New Roman" w:hAnsi="Times New Roman" w:cs="Times New Roman"/>
          <w:color w:val="000000" w:themeColor="text1"/>
        </w:rPr>
        <w:t xml:space="preserve">ilniční doprava </w:t>
      </w:r>
      <w:r w:rsidR="001079D5" w:rsidRPr="008D7F3D">
        <w:rPr>
          <w:rFonts w:ascii="Times New Roman" w:hAnsi="Times New Roman" w:cs="Times New Roman"/>
          <w:color w:val="000000" w:themeColor="text1"/>
        </w:rPr>
        <w:t xml:space="preserve">může tento cíl </w:t>
      </w:r>
      <w:r w:rsidRPr="008D7F3D">
        <w:rPr>
          <w:rFonts w:ascii="Times New Roman" w:hAnsi="Times New Roman" w:cs="Times New Roman"/>
          <w:color w:val="000000" w:themeColor="text1"/>
        </w:rPr>
        <w:t xml:space="preserve">do roku 2050 </w:t>
      </w:r>
      <w:r w:rsidR="001079D5" w:rsidRPr="008D7F3D">
        <w:rPr>
          <w:rFonts w:ascii="Times New Roman" w:hAnsi="Times New Roman" w:cs="Times New Roman"/>
          <w:color w:val="000000" w:themeColor="text1"/>
        </w:rPr>
        <w:t xml:space="preserve">se značnými obtížemi také splnit, a to </w:t>
      </w:r>
      <w:r w:rsidRPr="008D7F3D">
        <w:rPr>
          <w:rFonts w:ascii="Times New Roman" w:hAnsi="Times New Roman" w:cs="Times New Roman"/>
          <w:color w:val="000000" w:themeColor="text1"/>
        </w:rPr>
        <w:t>při kombinaci alternativních paliv v osobní dopravě a využití vodíku v nákladní dopravě</w:t>
      </w:r>
      <w:r w:rsidR="001079D5" w:rsidRPr="008D7F3D">
        <w:rPr>
          <w:rFonts w:ascii="Times New Roman" w:hAnsi="Times New Roman" w:cs="Times New Roman"/>
          <w:color w:val="000000" w:themeColor="text1"/>
        </w:rPr>
        <w:t>. O</w:t>
      </w:r>
      <w:r w:rsidRPr="008D7F3D">
        <w:rPr>
          <w:rFonts w:ascii="Times New Roman" w:hAnsi="Times New Roman" w:cs="Times New Roman"/>
          <w:color w:val="000000" w:themeColor="text1"/>
        </w:rPr>
        <w:t xml:space="preserve">všem v námořní a letecké dopravě </w:t>
      </w:r>
      <w:r w:rsidR="001079D5" w:rsidRPr="008D7F3D">
        <w:rPr>
          <w:rFonts w:ascii="Times New Roman" w:hAnsi="Times New Roman" w:cs="Times New Roman"/>
          <w:color w:val="000000" w:themeColor="text1"/>
        </w:rPr>
        <w:t xml:space="preserve">s ohledem na </w:t>
      </w:r>
      <w:r w:rsidR="006B2A37" w:rsidRPr="008D7F3D">
        <w:rPr>
          <w:rFonts w:ascii="Times New Roman" w:hAnsi="Times New Roman" w:cs="Times New Roman"/>
          <w:color w:val="000000" w:themeColor="text1"/>
        </w:rPr>
        <w:t>pro</w:t>
      </w:r>
      <w:r w:rsidRPr="008D7F3D">
        <w:rPr>
          <w:rFonts w:ascii="Times New Roman" w:hAnsi="Times New Roman" w:cs="Times New Roman"/>
          <w:color w:val="000000" w:themeColor="text1"/>
        </w:rPr>
        <w:t>zatím neexistují</w:t>
      </w:r>
      <w:r w:rsidR="001079D5" w:rsidRPr="008D7F3D">
        <w:rPr>
          <w:rFonts w:ascii="Times New Roman" w:hAnsi="Times New Roman" w:cs="Times New Roman"/>
          <w:color w:val="000000" w:themeColor="text1"/>
        </w:rPr>
        <w:t>cí</w:t>
      </w:r>
      <w:r w:rsidRPr="008D7F3D">
        <w:rPr>
          <w:rFonts w:ascii="Times New Roman" w:hAnsi="Times New Roman" w:cs="Times New Roman"/>
          <w:color w:val="000000" w:themeColor="text1"/>
        </w:rPr>
        <w:t xml:space="preserve"> technologie</w:t>
      </w:r>
      <w:r w:rsidR="001079D5" w:rsidRPr="008D7F3D">
        <w:rPr>
          <w:rFonts w:ascii="Times New Roman" w:hAnsi="Times New Roman" w:cs="Times New Roman"/>
          <w:color w:val="000000" w:themeColor="text1"/>
        </w:rPr>
        <w:t xml:space="preserve"> tohoto cíle nelze</w:t>
      </w:r>
      <w:r w:rsidRPr="008D7F3D">
        <w:rPr>
          <w:rFonts w:ascii="Times New Roman" w:hAnsi="Times New Roman" w:cs="Times New Roman"/>
          <w:color w:val="000000" w:themeColor="text1"/>
        </w:rPr>
        <w:t xml:space="preserve"> dosáhnout. </w:t>
      </w:r>
    </w:p>
    <w:p w14:paraId="1E7141B8" w14:textId="77777777" w:rsidR="00606EED" w:rsidRPr="008D7F3D" w:rsidRDefault="00C25D4D" w:rsidP="00C25D4D">
      <w:pPr>
        <w:jc w:val="both"/>
        <w:rPr>
          <w:rFonts w:ascii="Times New Roman" w:hAnsi="Times New Roman" w:cs="Times New Roman"/>
          <w:color w:val="000000" w:themeColor="text1"/>
        </w:rPr>
      </w:pPr>
      <w:r w:rsidRPr="008D7F3D">
        <w:rPr>
          <w:rFonts w:ascii="Times New Roman" w:hAnsi="Times New Roman" w:cs="Times New Roman"/>
          <w:color w:val="000000" w:themeColor="text1"/>
        </w:rPr>
        <w:lastRenderedPageBreak/>
        <w:t>Obecně souhlasíme s potřebou přesunout významnou část vnitrozemské nákladní přepravy, kterou dnes zajišťuje silniční síť, na železnici a vodní cesty. Ovšem dosažení uvedeného cíle přesunu 75 % je v podmínkách ČR problematické (v ČR se podíl železniční dopravy drží stabilně okolo 27 %, podíl vnitrozemské plavby je zanedbatelný). Podobně jako v otázce emisí již Bílá kniha z roku 2011 počítala s vysokými cíli v oblasti přesunu nákladní přepravy (30 % nákladu nad 300 km do roku 2030). Vyšší využi</w:t>
      </w:r>
      <w:r w:rsidR="0003013C" w:rsidRPr="008D7F3D">
        <w:rPr>
          <w:rFonts w:ascii="Times New Roman" w:hAnsi="Times New Roman" w:cs="Times New Roman"/>
          <w:color w:val="000000" w:themeColor="text1"/>
        </w:rPr>
        <w:t xml:space="preserve">tí multimodální dopravy si </w:t>
      </w:r>
      <w:r w:rsidRPr="008D7F3D">
        <w:rPr>
          <w:rFonts w:ascii="Times New Roman" w:hAnsi="Times New Roman" w:cs="Times New Roman"/>
          <w:color w:val="000000" w:themeColor="text1"/>
        </w:rPr>
        <w:t>vyžádá investice do budování a modernizace multimodálních terminálů a železniční infrastruktury obecně.</w:t>
      </w:r>
      <w:r w:rsidR="00C75782" w:rsidRPr="008D7F3D">
        <w:rPr>
          <w:rFonts w:ascii="Times New Roman" w:hAnsi="Times New Roman" w:cs="Times New Roman"/>
          <w:color w:val="000000" w:themeColor="text1"/>
        </w:rPr>
        <w:t xml:space="preserve"> Konkrétní výši nákladů, která by byla přímo navázaná na EGD, však zatím nelze určit.</w:t>
      </w:r>
    </w:p>
    <w:p w14:paraId="79F30209" w14:textId="77777777" w:rsidR="00972FFB" w:rsidRPr="008D7F3D" w:rsidRDefault="006B2A37" w:rsidP="00C25D4D">
      <w:pPr>
        <w:jc w:val="both"/>
        <w:rPr>
          <w:rFonts w:ascii="Times New Roman" w:hAnsi="Times New Roman" w:cs="Times New Roman"/>
          <w:i/>
          <w:color w:val="000000" w:themeColor="text1"/>
        </w:rPr>
      </w:pPr>
      <w:r w:rsidRPr="008D7F3D">
        <w:rPr>
          <w:rFonts w:ascii="Times New Roman" w:hAnsi="Times New Roman" w:cs="Times New Roman"/>
          <w:color w:val="000000" w:themeColor="text1"/>
        </w:rPr>
        <w:t xml:space="preserve">Pokud jde o oblast infrastruktury dobíjecích stanic, v zásadě nemáme nic proti cíli 1 mil. veřejně přístupných dobíjecích a plnících bodů do roku 2025, </w:t>
      </w:r>
      <w:r w:rsidR="00BC0902" w:rsidRPr="008D7F3D">
        <w:rPr>
          <w:rFonts w:ascii="Times New Roman" w:hAnsi="Times New Roman" w:cs="Times New Roman"/>
          <w:color w:val="000000" w:themeColor="text1"/>
        </w:rPr>
        <w:t xml:space="preserve">protože se v tuto chvíli jedná o čistě celoevropský cíl, </w:t>
      </w:r>
      <w:r w:rsidRPr="008D7F3D">
        <w:rPr>
          <w:rFonts w:ascii="Times New Roman" w:hAnsi="Times New Roman" w:cs="Times New Roman"/>
          <w:color w:val="000000" w:themeColor="text1"/>
        </w:rPr>
        <w:t>doufáme však, že EK nebude mít</w:t>
      </w:r>
      <w:r w:rsidR="008A7306" w:rsidRPr="008D7F3D">
        <w:rPr>
          <w:rFonts w:ascii="Times New Roman" w:hAnsi="Times New Roman" w:cs="Times New Roman"/>
          <w:color w:val="000000" w:themeColor="text1"/>
        </w:rPr>
        <w:t xml:space="preserve"> v úmyslu do </w:t>
      </w:r>
      <w:r w:rsidRPr="008D7F3D">
        <w:rPr>
          <w:rFonts w:ascii="Times New Roman" w:hAnsi="Times New Roman" w:cs="Times New Roman"/>
          <w:color w:val="000000" w:themeColor="text1"/>
        </w:rPr>
        <w:t xml:space="preserve">připravované revize směrnice o infrastruktuře pro alternativní paliva (tzv. směrnice AFID) vkládat závazné cíle pro jednotlivé členské státy, na základě nichž by byl daný cíl naplněn. Rozvoj této infrastruktury musí jít ruku v ruce s rozvojem trhu elektrických vozidel a vozidel na další alternativní paliva. </w:t>
      </w:r>
      <w:r w:rsidR="00A2339A" w:rsidRPr="008D7F3D">
        <w:rPr>
          <w:rFonts w:ascii="Times New Roman" w:hAnsi="Times New Roman" w:cs="Times New Roman"/>
          <w:color w:val="000000" w:themeColor="text1"/>
        </w:rPr>
        <w:t xml:space="preserve">V podmínkách České republiky se přitom očekává, že nástup elektromobilů přijde mnohem výrazněji až po roce 2025. Projekce obsažené v analytické části Aktualizace NAP CM přitom hovoří o tom, že zatímco do roku 2030 by v ČR mohlo být </w:t>
      </w:r>
      <w:r w:rsidR="00045ECC" w:rsidRPr="008D7F3D">
        <w:rPr>
          <w:rFonts w:ascii="Times New Roman" w:hAnsi="Times New Roman" w:cs="Times New Roman"/>
          <w:color w:val="000000" w:themeColor="text1"/>
        </w:rPr>
        <w:t xml:space="preserve">ve středním scénáři vývoje 200 000 elektromobilů (čemuž odpovídá </w:t>
      </w:r>
      <w:r w:rsidR="00A2339A" w:rsidRPr="008D7F3D">
        <w:rPr>
          <w:rFonts w:ascii="Times New Roman" w:hAnsi="Times New Roman" w:cs="Times New Roman"/>
          <w:color w:val="000000" w:themeColor="text1"/>
        </w:rPr>
        <w:t>cca 18 tisíc dobíjecích stanic</w:t>
      </w:r>
      <w:r w:rsidR="00045ECC" w:rsidRPr="008D7F3D">
        <w:rPr>
          <w:rFonts w:ascii="Times New Roman" w:hAnsi="Times New Roman" w:cs="Times New Roman"/>
          <w:color w:val="000000" w:themeColor="text1"/>
        </w:rPr>
        <w:t>)</w:t>
      </w:r>
      <w:r w:rsidR="00A2339A" w:rsidRPr="008D7F3D">
        <w:rPr>
          <w:rFonts w:ascii="Times New Roman" w:hAnsi="Times New Roman" w:cs="Times New Roman"/>
          <w:color w:val="000000" w:themeColor="text1"/>
        </w:rPr>
        <w:t xml:space="preserve">, v roce 2025 jich bude </w:t>
      </w:r>
      <w:r w:rsidR="00045ECC" w:rsidRPr="008D7F3D">
        <w:rPr>
          <w:rFonts w:ascii="Times New Roman" w:hAnsi="Times New Roman" w:cs="Times New Roman"/>
          <w:color w:val="000000" w:themeColor="text1"/>
        </w:rPr>
        <w:t>jen 71 tisíc (čemuž odpovídá 3 500 dobíjecích stanic). V současnosti je pak v ČR okolo 5 500 elektrických vozidel (bateriových vozidel +</w:t>
      </w:r>
      <w:r w:rsidR="00A874DF" w:rsidRPr="008D7F3D">
        <w:rPr>
          <w:rFonts w:ascii="Times New Roman" w:hAnsi="Times New Roman" w:cs="Times New Roman"/>
          <w:color w:val="000000" w:themeColor="text1"/>
        </w:rPr>
        <w:t xml:space="preserve"> </w:t>
      </w:r>
      <w:r w:rsidR="00045ECC" w:rsidRPr="008D7F3D">
        <w:rPr>
          <w:rFonts w:ascii="Times New Roman" w:hAnsi="Times New Roman" w:cs="Times New Roman"/>
          <w:color w:val="000000" w:themeColor="text1"/>
        </w:rPr>
        <w:t xml:space="preserve">plug-in hybridů) a 500 dobíjecích stanic. </w:t>
      </w:r>
    </w:p>
    <w:p w14:paraId="7AA21D6F" w14:textId="77777777" w:rsidR="00D603DF" w:rsidRPr="008D7F3D" w:rsidRDefault="00D603DF" w:rsidP="00943050">
      <w:pPr>
        <w:jc w:val="both"/>
        <w:rPr>
          <w:rFonts w:ascii="Times New Roman" w:hAnsi="Times New Roman" w:cs="Times New Roman"/>
          <w:color w:val="000000" w:themeColor="text1"/>
        </w:rPr>
      </w:pPr>
      <w:r w:rsidRPr="008D7F3D">
        <w:rPr>
          <w:rFonts w:ascii="Times New Roman" w:hAnsi="Times New Roman" w:cs="Times New Roman"/>
          <w:color w:val="000000" w:themeColor="text1"/>
        </w:rPr>
        <w:t>MD v současnosti není schopno vyčíslit náklady přímo spojené s</w:t>
      </w:r>
      <w:r w:rsidR="00C25D4D" w:rsidRPr="008D7F3D">
        <w:rPr>
          <w:rFonts w:ascii="Times New Roman" w:hAnsi="Times New Roman" w:cs="Times New Roman"/>
          <w:color w:val="000000" w:themeColor="text1"/>
        </w:rPr>
        <w:t> </w:t>
      </w:r>
      <w:r w:rsidRPr="008D7F3D">
        <w:rPr>
          <w:rFonts w:ascii="Times New Roman" w:hAnsi="Times New Roman" w:cs="Times New Roman"/>
          <w:color w:val="000000" w:themeColor="text1"/>
        </w:rPr>
        <w:t>EGD</w:t>
      </w:r>
      <w:r w:rsidR="00C25D4D" w:rsidRPr="008D7F3D">
        <w:rPr>
          <w:rFonts w:ascii="Times New Roman" w:hAnsi="Times New Roman" w:cs="Times New Roman"/>
          <w:color w:val="000000" w:themeColor="text1"/>
        </w:rPr>
        <w:t>, neboť není známé konkrétní nastavení cílů a politik, které by měla představit Strategie pro udržitelnou a inteligentní mobilitu</w:t>
      </w:r>
      <w:r w:rsidRPr="008D7F3D">
        <w:rPr>
          <w:rFonts w:ascii="Times New Roman" w:hAnsi="Times New Roman" w:cs="Times New Roman"/>
          <w:color w:val="000000" w:themeColor="text1"/>
        </w:rPr>
        <w:t>.</w:t>
      </w:r>
      <w:r w:rsidR="00B03C45" w:rsidRPr="008D7F3D">
        <w:rPr>
          <w:rFonts w:ascii="Times New Roman" w:hAnsi="Times New Roman" w:cs="Times New Roman"/>
          <w:color w:val="000000" w:themeColor="text1"/>
        </w:rPr>
        <w:t xml:space="preserve"> První, spíše rámcové, vyčíslení nových politik budeme schopni prezentovat na počátku roku 2021.</w:t>
      </w:r>
    </w:p>
    <w:p w14:paraId="3850296E" w14:textId="77777777" w:rsidR="00B03C45" w:rsidRPr="008D7F3D" w:rsidRDefault="00B03C45" w:rsidP="00943050">
      <w:pPr>
        <w:jc w:val="both"/>
        <w:rPr>
          <w:rFonts w:ascii="Times New Roman" w:hAnsi="Times New Roman" w:cs="Times New Roman"/>
          <w:color w:val="000000" w:themeColor="text1"/>
        </w:rPr>
      </w:pPr>
      <w:r w:rsidRPr="008D7F3D">
        <w:rPr>
          <w:rFonts w:ascii="Times New Roman" w:hAnsi="Times New Roman" w:cs="Times New Roman"/>
          <w:color w:val="000000" w:themeColor="text1"/>
        </w:rPr>
        <w:t>V následujících letech bude ČR investovat do</w:t>
      </w:r>
      <w:r w:rsidR="00943050" w:rsidRPr="008D7F3D">
        <w:rPr>
          <w:rFonts w:ascii="Times New Roman" w:hAnsi="Times New Roman" w:cs="Times New Roman"/>
          <w:color w:val="000000" w:themeColor="text1"/>
        </w:rPr>
        <w:t xml:space="preserve"> udržitelné</w:t>
      </w:r>
      <w:r w:rsidRPr="008D7F3D">
        <w:rPr>
          <w:rFonts w:ascii="Times New Roman" w:hAnsi="Times New Roman" w:cs="Times New Roman"/>
          <w:color w:val="000000" w:themeColor="text1"/>
        </w:rPr>
        <w:t xml:space="preserve"> dopravní infrastruktury</w:t>
      </w:r>
      <w:r w:rsidR="00B52D3A" w:rsidRPr="008D7F3D">
        <w:rPr>
          <w:rFonts w:ascii="Times New Roman" w:hAnsi="Times New Roman" w:cs="Times New Roman"/>
          <w:color w:val="000000" w:themeColor="text1"/>
        </w:rPr>
        <w:t xml:space="preserve"> (zejména modernizace železniční infrastruktury)</w:t>
      </w:r>
      <w:r w:rsidR="00943050" w:rsidRPr="008D7F3D">
        <w:rPr>
          <w:rFonts w:ascii="Times New Roman" w:hAnsi="Times New Roman" w:cs="Times New Roman"/>
          <w:color w:val="000000" w:themeColor="text1"/>
        </w:rPr>
        <w:t>, která je jedním z cílů EGD</w:t>
      </w:r>
      <w:r w:rsidRPr="008D7F3D">
        <w:rPr>
          <w:rFonts w:ascii="Times New Roman" w:hAnsi="Times New Roman" w:cs="Times New Roman"/>
          <w:color w:val="000000" w:themeColor="text1"/>
        </w:rPr>
        <w:t>.</w:t>
      </w:r>
      <w:r w:rsidR="00943050" w:rsidRPr="008D7F3D">
        <w:rPr>
          <w:rFonts w:ascii="Times New Roman" w:hAnsi="Times New Roman" w:cs="Times New Roman"/>
          <w:color w:val="000000" w:themeColor="text1"/>
        </w:rPr>
        <w:t xml:space="preserve"> Nicméně tyto investice by</w:t>
      </w:r>
      <w:r w:rsidR="00C73B67" w:rsidRPr="008D7F3D">
        <w:rPr>
          <w:rFonts w:ascii="Times New Roman" w:hAnsi="Times New Roman" w:cs="Times New Roman"/>
          <w:color w:val="000000" w:themeColor="text1"/>
        </w:rPr>
        <w:t>ly</w:t>
      </w:r>
      <w:r w:rsidR="00943050" w:rsidRPr="008D7F3D">
        <w:rPr>
          <w:rFonts w:ascii="Times New Roman" w:hAnsi="Times New Roman" w:cs="Times New Roman"/>
          <w:color w:val="000000" w:themeColor="text1"/>
        </w:rPr>
        <w:t xml:space="preserve"> </w:t>
      </w:r>
      <w:r w:rsidR="0003013C" w:rsidRPr="008D7F3D">
        <w:rPr>
          <w:rFonts w:ascii="Times New Roman" w:hAnsi="Times New Roman" w:cs="Times New Roman"/>
          <w:color w:val="000000" w:themeColor="text1"/>
        </w:rPr>
        <w:t>plánovány i bez EGD a jejich realizace je potřebná nezávisle na této politice, proto je nelze počítat jako výdaje přímo spojené s EGD</w:t>
      </w:r>
      <w:r w:rsidR="00943050" w:rsidRPr="008D7F3D">
        <w:rPr>
          <w:rFonts w:ascii="Times New Roman" w:hAnsi="Times New Roman" w:cs="Times New Roman"/>
          <w:color w:val="000000" w:themeColor="text1"/>
        </w:rPr>
        <w:t>.</w:t>
      </w:r>
      <w:r w:rsidRPr="008D7F3D">
        <w:rPr>
          <w:rFonts w:ascii="Times New Roman" w:hAnsi="Times New Roman" w:cs="Times New Roman"/>
          <w:color w:val="000000" w:themeColor="text1"/>
        </w:rPr>
        <w:t xml:space="preserve"> </w:t>
      </w:r>
    </w:p>
    <w:p w14:paraId="76522F68" w14:textId="77777777" w:rsidR="00D603DF" w:rsidRPr="008D7F3D" w:rsidRDefault="00943050" w:rsidP="00943050">
      <w:pPr>
        <w:jc w:val="both"/>
        <w:rPr>
          <w:rFonts w:ascii="Times New Roman" w:hAnsi="Times New Roman" w:cs="Times New Roman"/>
          <w:color w:val="000000" w:themeColor="text1"/>
        </w:rPr>
      </w:pPr>
      <w:r w:rsidRPr="008D7F3D">
        <w:rPr>
          <w:rFonts w:ascii="Times New Roman" w:hAnsi="Times New Roman" w:cs="Times New Roman"/>
          <w:color w:val="000000" w:themeColor="text1"/>
        </w:rPr>
        <w:t>Důležitým krokem, který pomůže vyšší udržitelnosti dopravy, bude výstavba v</w:t>
      </w:r>
      <w:r w:rsidR="0003013C" w:rsidRPr="008D7F3D">
        <w:rPr>
          <w:rFonts w:ascii="Times New Roman" w:hAnsi="Times New Roman" w:cs="Times New Roman"/>
          <w:color w:val="000000" w:themeColor="text1"/>
        </w:rPr>
        <w:t>ysokorychlostních tratí (</w:t>
      </w:r>
      <w:r w:rsidR="007C4806" w:rsidRPr="008D7F3D">
        <w:rPr>
          <w:rFonts w:ascii="Times New Roman" w:hAnsi="Times New Roman" w:cs="Times New Roman"/>
          <w:color w:val="000000" w:themeColor="text1"/>
        </w:rPr>
        <w:t>program Rychlá</w:t>
      </w:r>
      <w:r w:rsidRPr="008D7F3D">
        <w:rPr>
          <w:rFonts w:ascii="Times New Roman" w:hAnsi="Times New Roman" w:cs="Times New Roman"/>
          <w:color w:val="000000" w:themeColor="text1"/>
        </w:rPr>
        <w:t xml:space="preserve"> spojení). Tento projekt má primárně ekonomický, ale také ekologický rozměr, protože pomůže převést významnou část osobní dopravy ze silniční dopravy (v případě dál</w:t>
      </w:r>
      <w:r w:rsidR="00972FFB" w:rsidRPr="008D7F3D">
        <w:rPr>
          <w:rFonts w:ascii="Times New Roman" w:hAnsi="Times New Roman" w:cs="Times New Roman"/>
          <w:color w:val="000000" w:themeColor="text1"/>
        </w:rPr>
        <w:t>kových tras i </w:t>
      </w:r>
      <w:r w:rsidRPr="008D7F3D">
        <w:rPr>
          <w:rFonts w:ascii="Times New Roman" w:hAnsi="Times New Roman" w:cs="Times New Roman"/>
          <w:color w:val="000000" w:themeColor="text1"/>
        </w:rPr>
        <w:t>z letecké dopravy)</w:t>
      </w:r>
      <w:r w:rsidR="00972FFB" w:rsidRPr="008D7F3D">
        <w:rPr>
          <w:rFonts w:ascii="Times New Roman" w:hAnsi="Times New Roman" w:cs="Times New Roman"/>
          <w:color w:val="000000" w:themeColor="text1"/>
        </w:rPr>
        <w:t>, zároveň zvýší kapacitu pro nákladní dopravu na současných tratích</w:t>
      </w:r>
      <w:r w:rsidRPr="008D7F3D">
        <w:rPr>
          <w:rFonts w:ascii="Times New Roman" w:hAnsi="Times New Roman" w:cs="Times New Roman"/>
          <w:color w:val="000000" w:themeColor="text1"/>
        </w:rPr>
        <w:t>. Výstavba by</w:t>
      </w:r>
      <w:r w:rsidR="00C615FE" w:rsidRPr="008D7F3D">
        <w:rPr>
          <w:rFonts w:ascii="Times New Roman" w:hAnsi="Times New Roman" w:cs="Times New Roman"/>
          <w:color w:val="000000" w:themeColor="text1"/>
        </w:rPr>
        <w:t> </w:t>
      </w:r>
      <w:r w:rsidRPr="008D7F3D">
        <w:rPr>
          <w:rFonts w:ascii="Times New Roman" w:hAnsi="Times New Roman" w:cs="Times New Roman"/>
          <w:color w:val="000000" w:themeColor="text1"/>
        </w:rPr>
        <w:t xml:space="preserve">měla </w:t>
      </w:r>
      <w:r w:rsidR="00541141" w:rsidRPr="008D7F3D">
        <w:rPr>
          <w:rFonts w:ascii="Times New Roman" w:hAnsi="Times New Roman" w:cs="Times New Roman"/>
          <w:color w:val="000000" w:themeColor="text1"/>
        </w:rPr>
        <w:t>začít v roce</w:t>
      </w:r>
      <w:r w:rsidRPr="008D7F3D">
        <w:rPr>
          <w:rFonts w:ascii="Times New Roman" w:hAnsi="Times New Roman" w:cs="Times New Roman"/>
          <w:color w:val="000000" w:themeColor="text1"/>
        </w:rPr>
        <w:t xml:space="preserve"> 2025. Náklady na první fázi výstavby (d</w:t>
      </w:r>
      <w:r w:rsidR="00972FFB" w:rsidRPr="008D7F3D">
        <w:rPr>
          <w:rFonts w:ascii="Times New Roman" w:hAnsi="Times New Roman" w:cs="Times New Roman"/>
          <w:color w:val="000000" w:themeColor="text1"/>
        </w:rPr>
        <w:t>o roku 2030) jsou odhadovány na cca 150 mld. </w:t>
      </w:r>
      <w:r w:rsidRPr="008D7F3D">
        <w:rPr>
          <w:rFonts w:ascii="Times New Roman" w:hAnsi="Times New Roman" w:cs="Times New Roman"/>
          <w:color w:val="000000" w:themeColor="text1"/>
        </w:rPr>
        <w:t>Kč</w:t>
      </w:r>
      <w:r w:rsidR="00D603DF" w:rsidRPr="008D7F3D">
        <w:rPr>
          <w:rFonts w:ascii="Times New Roman" w:hAnsi="Times New Roman" w:cs="Times New Roman"/>
          <w:color w:val="000000" w:themeColor="text1"/>
        </w:rPr>
        <w:t xml:space="preserve">. </w:t>
      </w:r>
    </w:p>
    <w:p w14:paraId="49F1AFCD" w14:textId="77777777" w:rsidR="00DA03BA" w:rsidRDefault="006B2A37" w:rsidP="0003013C">
      <w:pPr>
        <w:jc w:val="both"/>
        <w:rPr>
          <w:rFonts w:ascii="Times New Roman" w:hAnsi="Times New Roman" w:cs="Times New Roman"/>
          <w:i/>
          <w:color w:val="000000" w:themeColor="text1"/>
        </w:rPr>
      </w:pPr>
      <w:r w:rsidRPr="008D7F3D">
        <w:rPr>
          <w:rFonts w:ascii="Times New Roman" w:hAnsi="Times New Roman" w:cs="Times New Roman"/>
          <w:color w:val="000000" w:themeColor="text1"/>
        </w:rPr>
        <w:t>V otázce dalšího snižování emisí CO</w:t>
      </w:r>
      <w:r w:rsidRPr="008D7F3D">
        <w:rPr>
          <w:rFonts w:ascii="Times New Roman" w:hAnsi="Times New Roman" w:cs="Times New Roman"/>
          <w:color w:val="000000" w:themeColor="text1"/>
          <w:vertAlign w:val="subscript"/>
        </w:rPr>
        <w:t>2</w:t>
      </w:r>
      <w:r w:rsidRPr="008D7F3D">
        <w:rPr>
          <w:rFonts w:ascii="Times New Roman" w:hAnsi="Times New Roman" w:cs="Times New Roman"/>
          <w:color w:val="000000" w:themeColor="text1"/>
        </w:rPr>
        <w:t xml:space="preserve"> u nových vozidel se lze oprávněně domnívat, že náklady budou velmi vysoké. Konkrétní vyčíslení bude záviset jak na údajích obsažených ve Strategii, dále nastavení konkrétních parametrů v návrhu EK, tak na jednáních v Radě, kde se pozice jednotlivých členských států zásadně liší.</w:t>
      </w:r>
    </w:p>
    <w:p w14:paraId="57F23199" w14:textId="77777777" w:rsidR="00B56F85" w:rsidRPr="00DA03BA" w:rsidRDefault="00B56F85" w:rsidP="0003013C">
      <w:pPr>
        <w:jc w:val="both"/>
        <w:rPr>
          <w:rFonts w:ascii="Times New Roman" w:hAnsi="Times New Roman" w:cs="Times New Roman"/>
          <w:i/>
          <w:color w:val="000000" w:themeColor="text1"/>
        </w:rPr>
      </w:pPr>
      <w:r w:rsidRPr="008D7F3D">
        <w:rPr>
          <w:rFonts w:ascii="Times New Roman" w:hAnsi="Times New Roman" w:cs="Times New Roman"/>
          <w:color w:val="000000" w:themeColor="text1"/>
        </w:rPr>
        <w:t>Důležitými nástroji financování sektoru dopravy jsou strukturální fondy</w:t>
      </w:r>
      <w:r w:rsidR="00541141" w:rsidRPr="008D7F3D">
        <w:rPr>
          <w:rFonts w:ascii="Times New Roman" w:hAnsi="Times New Roman" w:cs="Times New Roman"/>
          <w:color w:val="000000" w:themeColor="text1"/>
        </w:rPr>
        <w:t>,</w:t>
      </w:r>
      <w:r w:rsidR="0003013C" w:rsidRPr="008D7F3D">
        <w:rPr>
          <w:rFonts w:ascii="Times New Roman" w:hAnsi="Times New Roman" w:cs="Times New Roman"/>
          <w:color w:val="000000" w:themeColor="text1"/>
        </w:rPr>
        <w:t xml:space="preserve"> ať už pro výstavbu infrastruktury</w:t>
      </w:r>
      <w:r w:rsidR="004E19B0" w:rsidRPr="008D7F3D">
        <w:rPr>
          <w:rFonts w:ascii="Times New Roman" w:hAnsi="Times New Roman" w:cs="Times New Roman"/>
          <w:color w:val="000000" w:themeColor="text1"/>
        </w:rPr>
        <w:t xml:space="preserve"> </w:t>
      </w:r>
      <w:r w:rsidR="0003013C" w:rsidRPr="008D7F3D">
        <w:rPr>
          <w:rFonts w:ascii="Times New Roman" w:hAnsi="Times New Roman" w:cs="Times New Roman"/>
          <w:color w:val="000000" w:themeColor="text1"/>
        </w:rPr>
        <w:t>nebo pro modernizaci odvětví</w:t>
      </w:r>
      <w:r w:rsidRPr="008D7F3D">
        <w:rPr>
          <w:rFonts w:ascii="Times New Roman" w:hAnsi="Times New Roman" w:cs="Times New Roman"/>
          <w:color w:val="000000" w:themeColor="text1"/>
        </w:rPr>
        <w:t xml:space="preserve"> (např. nákup ekologických vozidel pro veřejnou dopravu z IROP)</w:t>
      </w:r>
      <w:r w:rsidR="00541141" w:rsidRPr="008D7F3D">
        <w:rPr>
          <w:rFonts w:ascii="Times New Roman" w:hAnsi="Times New Roman" w:cs="Times New Roman"/>
          <w:color w:val="000000" w:themeColor="text1"/>
        </w:rPr>
        <w:t>. Tyto</w:t>
      </w:r>
      <w:r w:rsidR="003C3610" w:rsidRPr="008D7F3D">
        <w:rPr>
          <w:rFonts w:ascii="Times New Roman" w:hAnsi="Times New Roman" w:cs="Times New Roman"/>
          <w:color w:val="000000" w:themeColor="text1"/>
        </w:rPr>
        <w:t xml:space="preserve"> zdroje</w:t>
      </w:r>
      <w:r w:rsidR="00541141" w:rsidRPr="008D7F3D">
        <w:rPr>
          <w:rFonts w:ascii="Times New Roman" w:hAnsi="Times New Roman" w:cs="Times New Roman"/>
          <w:color w:val="000000" w:themeColor="text1"/>
        </w:rPr>
        <w:t xml:space="preserve"> jsou dále</w:t>
      </w:r>
      <w:r w:rsidRPr="008D7F3D">
        <w:rPr>
          <w:rFonts w:ascii="Times New Roman" w:hAnsi="Times New Roman" w:cs="Times New Roman"/>
          <w:color w:val="000000" w:themeColor="text1"/>
        </w:rPr>
        <w:t xml:space="preserve"> doplňovány prostředky z národních zdrojů.</w:t>
      </w:r>
    </w:p>
    <w:p w14:paraId="0165AA87" w14:textId="77777777" w:rsidR="00475748" w:rsidRPr="008D7F3D" w:rsidRDefault="00DA7A31" w:rsidP="0003013C">
      <w:pPr>
        <w:jc w:val="both"/>
        <w:rPr>
          <w:rFonts w:ascii="Times New Roman" w:hAnsi="Times New Roman" w:cs="Times New Roman"/>
          <w:color w:val="000000" w:themeColor="text1"/>
        </w:rPr>
      </w:pPr>
      <w:r w:rsidRPr="008D7F3D">
        <w:rPr>
          <w:rFonts w:ascii="Times New Roman" w:hAnsi="Times New Roman" w:cs="Times New Roman"/>
          <w:color w:val="000000" w:themeColor="text1"/>
        </w:rPr>
        <w:t>V rámci</w:t>
      </w:r>
      <w:r w:rsidR="00475748" w:rsidRPr="008D7F3D">
        <w:rPr>
          <w:rFonts w:ascii="Times New Roman" w:hAnsi="Times New Roman" w:cs="Times New Roman"/>
          <w:color w:val="000000" w:themeColor="text1"/>
        </w:rPr>
        <w:t xml:space="preserve"> OPD3 bude </w:t>
      </w:r>
      <w:r w:rsidRPr="008D7F3D">
        <w:rPr>
          <w:rFonts w:ascii="Times New Roman" w:hAnsi="Times New Roman" w:cs="Times New Roman"/>
          <w:color w:val="000000" w:themeColor="text1"/>
        </w:rPr>
        <w:t xml:space="preserve">umožněna podpora modernizace </w:t>
      </w:r>
      <w:r w:rsidR="00475748" w:rsidRPr="008D7F3D">
        <w:rPr>
          <w:rFonts w:ascii="Times New Roman" w:hAnsi="Times New Roman" w:cs="Times New Roman"/>
          <w:color w:val="000000" w:themeColor="text1"/>
        </w:rPr>
        <w:t>železniční infrastruktur</w:t>
      </w:r>
      <w:r w:rsidRPr="008D7F3D">
        <w:rPr>
          <w:rFonts w:ascii="Times New Roman" w:hAnsi="Times New Roman" w:cs="Times New Roman"/>
          <w:color w:val="000000" w:themeColor="text1"/>
        </w:rPr>
        <w:t>y</w:t>
      </w:r>
      <w:r w:rsidR="00475748"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rPr>
        <w:t xml:space="preserve">výstavba </w:t>
      </w:r>
      <w:r w:rsidR="00475748" w:rsidRPr="008D7F3D">
        <w:rPr>
          <w:rFonts w:ascii="Times New Roman" w:hAnsi="Times New Roman" w:cs="Times New Roman"/>
          <w:color w:val="000000" w:themeColor="text1"/>
        </w:rPr>
        <w:t>plnící</w:t>
      </w:r>
      <w:r w:rsidRPr="008D7F3D">
        <w:rPr>
          <w:rFonts w:ascii="Times New Roman" w:hAnsi="Times New Roman" w:cs="Times New Roman"/>
          <w:color w:val="000000" w:themeColor="text1"/>
        </w:rPr>
        <w:t>ch</w:t>
      </w:r>
      <w:r w:rsidR="00475748" w:rsidRPr="008D7F3D">
        <w:rPr>
          <w:rFonts w:ascii="Times New Roman" w:hAnsi="Times New Roman" w:cs="Times New Roman"/>
          <w:color w:val="000000" w:themeColor="text1"/>
        </w:rPr>
        <w:t xml:space="preserve"> stanic</w:t>
      </w:r>
      <w:r w:rsidRPr="008D7F3D">
        <w:rPr>
          <w:rFonts w:ascii="Times New Roman" w:hAnsi="Times New Roman" w:cs="Times New Roman"/>
          <w:color w:val="000000" w:themeColor="text1"/>
        </w:rPr>
        <w:t xml:space="preserve"> na alternativní paliva</w:t>
      </w:r>
      <w:r w:rsidR="00E71CCC" w:rsidRPr="008D7F3D">
        <w:rPr>
          <w:rFonts w:ascii="Times New Roman" w:hAnsi="Times New Roman" w:cs="Times New Roman"/>
          <w:color w:val="000000" w:themeColor="text1"/>
        </w:rPr>
        <w:t xml:space="preserve"> a také realizace projektů v </w:t>
      </w:r>
      <w:r w:rsidRPr="008D7F3D">
        <w:rPr>
          <w:rFonts w:ascii="Times New Roman" w:hAnsi="Times New Roman" w:cs="Times New Roman"/>
          <w:color w:val="000000" w:themeColor="text1"/>
        </w:rPr>
        <w:t>oblast</w:t>
      </w:r>
      <w:r w:rsidR="00E71CCC" w:rsidRPr="008D7F3D">
        <w:rPr>
          <w:rFonts w:ascii="Times New Roman" w:hAnsi="Times New Roman" w:cs="Times New Roman"/>
          <w:color w:val="000000" w:themeColor="text1"/>
        </w:rPr>
        <w:t>i</w:t>
      </w:r>
      <w:r w:rsidRPr="008D7F3D">
        <w:rPr>
          <w:rFonts w:ascii="Times New Roman" w:hAnsi="Times New Roman" w:cs="Times New Roman"/>
          <w:color w:val="000000" w:themeColor="text1"/>
        </w:rPr>
        <w:t xml:space="preserve"> inteligentních telematických systémů pro řízení dopravního proudu</w:t>
      </w:r>
      <w:r w:rsidR="00475748" w:rsidRPr="008D7F3D">
        <w:rPr>
          <w:rFonts w:ascii="Times New Roman" w:hAnsi="Times New Roman" w:cs="Times New Roman"/>
          <w:color w:val="000000" w:themeColor="text1"/>
        </w:rPr>
        <w:t>, celkem cca 35-40 mld. Kč z evropského zdroje.</w:t>
      </w:r>
    </w:p>
    <w:p w14:paraId="344BBEC2" w14:textId="77777777" w:rsidR="00B03C45" w:rsidRPr="008D7F3D" w:rsidRDefault="00B03C45" w:rsidP="0003013C">
      <w:pPr>
        <w:jc w:val="both"/>
        <w:rPr>
          <w:rFonts w:ascii="Times New Roman" w:hAnsi="Times New Roman" w:cs="Times New Roman"/>
          <w:color w:val="000000" w:themeColor="text1"/>
        </w:rPr>
      </w:pPr>
      <w:r w:rsidRPr="008D7F3D">
        <w:rPr>
          <w:rFonts w:ascii="Times New Roman" w:hAnsi="Times New Roman" w:cs="Times New Roman"/>
          <w:color w:val="000000" w:themeColor="text1"/>
        </w:rPr>
        <w:t>EU se zaměřuje ve svém Nástroji pro propojení Evropy (CEF) primárně na udržitelné druhy dopravy</w:t>
      </w:r>
      <w:r w:rsidR="00943050" w:rsidRPr="008D7F3D">
        <w:rPr>
          <w:rFonts w:ascii="Times New Roman" w:hAnsi="Times New Roman" w:cs="Times New Roman"/>
          <w:color w:val="000000" w:themeColor="text1"/>
        </w:rPr>
        <w:t>, rozvoj infrastruktury pro alternativní paliva a digitalizaci sektoru</w:t>
      </w:r>
      <w:r w:rsidRPr="008D7F3D">
        <w:rPr>
          <w:rFonts w:ascii="Times New Roman" w:hAnsi="Times New Roman" w:cs="Times New Roman"/>
          <w:color w:val="000000" w:themeColor="text1"/>
        </w:rPr>
        <w:t>.</w:t>
      </w:r>
      <w:r w:rsidR="004E19B0" w:rsidRPr="008D7F3D">
        <w:rPr>
          <w:rFonts w:ascii="Times New Roman" w:hAnsi="Times New Roman" w:cs="Times New Roman"/>
          <w:color w:val="000000" w:themeColor="text1"/>
        </w:rPr>
        <w:t xml:space="preserve"> Část prostředků v rámci CEF je alokována v národních obálkách, část je otevřená soutěži všem tzv. kohezním státům a o zbylou část mohou usilovat všechny členské státy EU.</w:t>
      </w:r>
      <w:r w:rsidR="00340991" w:rsidRPr="008D7F3D">
        <w:rPr>
          <w:rFonts w:ascii="Times New Roman" w:hAnsi="Times New Roman" w:cs="Times New Roman"/>
          <w:color w:val="000000" w:themeColor="text1"/>
        </w:rPr>
        <w:t xml:space="preserve"> Zatím není zřejmý objem prostředků využitelný v ČR.</w:t>
      </w:r>
    </w:p>
    <w:p w14:paraId="58E1D76B" w14:textId="77777777" w:rsidR="00B56F85" w:rsidRPr="008D7F3D" w:rsidRDefault="00B03C45" w:rsidP="00B03C45">
      <w:pPr>
        <w:jc w:val="both"/>
        <w:rPr>
          <w:rFonts w:ascii="Times New Roman" w:hAnsi="Times New Roman" w:cs="Times New Roman"/>
          <w:color w:val="000000" w:themeColor="text1"/>
        </w:rPr>
      </w:pPr>
      <w:r w:rsidRPr="008D7F3D">
        <w:rPr>
          <w:rFonts w:ascii="Times New Roman" w:hAnsi="Times New Roman" w:cs="Times New Roman"/>
          <w:color w:val="000000" w:themeColor="text1"/>
        </w:rPr>
        <w:lastRenderedPageBreak/>
        <w:t xml:space="preserve">V případě infrastruktury </w:t>
      </w:r>
      <w:r w:rsidR="0003013C" w:rsidRPr="008D7F3D">
        <w:rPr>
          <w:rFonts w:ascii="Times New Roman" w:hAnsi="Times New Roman" w:cs="Times New Roman"/>
          <w:color w:val="000000" w:themeColor="text1"/>
        </w:rPr>
        <w:t xml:space="preserve">pro alternativní paliva </w:t>
      </w:r>
      <w:r w:rsidRPr="008D7F3D">
        <w:rPr>
          <w:rFonts w:ascii="Times New Roman" w:hAnsi="Times New Roman" w:cs="Times New Roman"/>
          <w:color w:val="000000" w:themeColor="text1"/>
        </w:rPr>
        <w:t>je</w:t>
      </w:r>
      <w:r w:rsidR="00C75782" w:rsidRPr="008D7F3D">
        <w:rPr>
          <w:rFonts w:ascii="Times New Roman" w:hAnsi="Times New Roman" w:cs="Times New Roman"/>
          <w:color w:val="000000" w:themeColor="text1"/>
        </w:rPr>
        <w:t xml:space="preserve"> s ohledem na nerozvinutý trh s čistými vozidly </w:t>
      </w:r>
      <w:r w:rsidRPr="008D7F3D">
        <w:rPr>
          <w:rFonts w:ascii="Times New Roman" w:hAnsi="Times New Roman" w:cs="Times New Roman"/>
          <w:color w:val="000000" w:themeColor="text1"/>
        </w:rPr>
        <w:t>zatím nutné její výstavbu spolufinancovat</w:t>
      </w:r>
      <w:r w:rsidR="00C75782" w:rsidRPr="008D7F3D">
        <w:rPr>
          <w:rFonts w:ascii="Times New Roman" w:hAnsi="Times New Roman" w:cs="Times New Roman"/>
          <w:color w:val="000000" w:themeColor="text1"/>
        </w:rPr>
        <w:t xml:space="preserve">, čemuž napomáhají </w:t>
      </w:r>
      <w:r w:rsidRPr="008D7F3D">
        <w:rPr>
          <w:rFonts w:ascii="Times New Roman" w:hAnsi="Times New Roman" w:cs="Times New Roman"/>
          <w:color w:val="000000" w:themeColor="text1"/>
        </w:rPr>
        <w:t>evropsk</w:t>
      </w:r>
      <w:r w:rsidR="00C75782" w:rsidRPr="008D7F3D">
        <w:rPr>
          <w:rFonts w:ascii="Times New Roman" w:hAnsi="Times New Roman" w:cs="Times New Roman"/>
          <w:color w:val="000000" w:themeColor="text1"/>
        </w:rPr>
        <w:t>é</w:t>
      </w:r>
      <w:r w:rsidRPr="008D7F3D">
        <w:rPr>
          <w:rFonts w:ascii="Times New Roman" w:hAnsi="Times New Roman" w:cs="Times New Roman"/>
          <w:color w:val="000000" w:themeColor="text1"/>
        </w:rPr>
        <w:t xml:space="preserve"> fond</w:t>
      </w:r>
      <w:r w:rsidR="00C75782" w:rsidRPr="008D7F3D">
        <w:rPr>
          <w:rFonts w:ascii="Times New Roman" w:hAnsi="Times New Roman" w:cs="Times New Roman"/>
          <w:color w:val="000000" w:themeColor="text1"/>
        </w:rPr>
        <w:t>y</w:t>
      </w:r>
      <w:r w:rsidRPr="008D7F3D">
        <w:rPr>
          <w:rFonts w:ascii="Times New Roman" w:hAnsi="Times New Roman" w:cs="Times New Roman"/>
          <w:color w:val="000000" w:themeColor="text1"/>
        </w:rPr>
        <w:t xml:space="preserve"> (ESIF a CEF). V následujícím </w:t>
      </w:r>
      <w:r w:rsidR="00B56F85" w:rsidRPr="008D7F3D">
        <w:rPr>
          <w:rFonts w:ascii="Times New Roman" w:hAnsi="Times New Roman" w:cs="Times New Roman"/>
          <w:color w:val="000000" w:themeColor="text1"/>
        </w:rPr>
        <w:t>programovacím období</w:t>
      </w:r>
      <w:r w:rsidRPr="008D7F3D">
        <w:rPr>
          <w:rFonts w:ascii="Times New Roman" w:hAnsi="Times New Roman" w:cs="Times New Roman"/>
          <w:color w:val="000000" w:themeColor="text1"/>
        </w:rPr>
        <w:t xml:space="preserve"> se pro tento segment počítá s podporou ve výši cca 4 mld. Kč. </w:t>
      </w:r>
    </w:p>
    <w:p w14:paraId="6B11F906" w14:textId="77777777" w:rsidR="002B1A37" w:rsidRPr="008D7F3D" w:rsidRDefault="002B1A37" w:rsidP="00B03C45">
      <w:pPr>
        <w:jc w:val="both"/>
        <w:rPr>
          <w:rFonts w:ascii="Times New Roman" w:hAnsi="Times New Roman" w:cs="Times New Roman"/>
          <w:color w:val="000000" w:themeColor="text1"/>
        </w:rPr>
      </w:pPr>
      <w:r w:rsidRPr="008D7F3D">
        <w:rPr>
          <w:rFonts w:ascii="Times New Roman" w:hAnsi="Times New Roman" w:cs="Times New Roman"/>
          <w:color w:val="000000" w:themeColor="text1"/>
        </w:rPr>
        <w:t>MD sleduje vývoj ohledně schvalování tzv. Nástroje na podporu oživení a odolnosti (</w:t>
      </w:r>
      <w:r w:rsidRPr="008D7F3D">
        <w:rPr>
          <w:rFonts w:ascii="Times New Roman" w:hAnsi="Times New Roman" w:cs="Times New Roman"/>
          <w:i/>
          <w:color w:val="000000" w:themeColor="text1"/>
        </w:rPr>
        <w:t>Recovery and Resilient Facility</w:t>
      </w:r>
      <w:r w:rsidRPr="008D7F3D">
        <w:rPr>
          <w:rFonts w:ascii="Times New Roman" w:hAnsi="Times New Roman" w:cs="Times New Roman"/>
          <w:color w:val="000000" w:themeColor="text1"/>
        </w:rPr>
        <w:t>, RRF) a Fondu pro spravedlivou transformaci (</w:t>
      </w:r>
      <w:r w:rsidRPr="008D7F3D">
        <w:rPr>
          <w:rFonts w:ascii="Times New Roman" w:hAnsi="Times New Roman" w:cs="Times New Roman"/>
          <w:i/>
          <w:color w:val="000000" w:themeColor="text1"/>
        </w:rPr>
        <w:t>Just Transition Fund</w:t>
      </w:r>
      <w:r w:rsidRPr="008D7F3D">
        <w:rPr>
          <w:rFonts w:ascii="Times New Roman" w:hAnsi="Times New Roman" w:cs="Times New Roman"/>
          <w:color w:val="000000" w:themeColor="text1"/>
        </w:rPr>
        <w:t>, JTF).</w:t>
      </w:r>
      <w:r w:rsidR="00390DBE"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rPr>
        <w:t xml:space="preserve">O bližším rozdělení českého příspěvku (v případě RRF by se mohlo jednat celkem o cca 5 mld. EUR, v případě JTF o cca 3 mld. EUR) zatím není rozhodnuto. Nevylučuje se možnost, že by část prostředků mohla být využita i na dopravní projekty. </w:t>
      </w:r>
    </w:p>
    <w:p w14:paraId="2B8B58E9" w14:textId="77777777" w:rsidR="00943050" w:rsidRPr="008D7F3D" w:rsidRDefault="00943050" w:rsidP="00B03C45">
      <w:pPr>
        <w:jc w:val="both"/>
        <w:rPr>
          <w:rFonts w:ascii="Times New Roman" w:hAnsi="Times New Roman" w:cs="Times New Roman"/>
          <w:i/>
          <w:color w:val="000000" w:themeColor="text1"/>
        </w:rPr>
      </w:pPr>
    </w:p>
    <w:p w14:paraId="1BDEB4B2" w14:textId="77777777" w:rsidR="00D34A6C" w:rsidRPr="008D7F3D" w:rsidRDefault="00D34A6C" w:rsidP="00B03C45">
      <w:pPr>
        <w:jc w:val="both"/>
        <w:rPr>
          <w:rFonts w:ascii="Times New Roman" w:hAnsi="Times New Roman" w:cs="Times New Roman"/>
          <w:i/>
          <w:color w:val="000000" w:themeColor="text1"/>
        </w:rPr>
      </w:pPr>
    </w:p>
    <w:p w14:paraId="49C6C02B" w14:textId="77777777" w:rsidR="00D34A6C" w:rsidRPr="008D7F3D" w:rsidRDefault="00D34A6C" w:rsidP="00B03C45">
      <w:pPr>
        <w:jc w:val="both"/>
        <w:rPr>
          <w:rFonts w:ascii="Times New Roman" w:hAnsi="Times New Roman" w:cs="Times New Roman"/>
          <w:i/>
          <w:color w:val="000000" w:themeColor="text1"/>
        </w:rPr>
      </w:pPr>
    </w:p>
    <w:p w14:paraId="68C7119A" w14:textId="77777777" w:rsidR="00D34A6C" w:rsidRPr="008D7F3D" w:rsidRDefault="00D34A6C" w:rsidP="00B03C45">
      <w:pPr>
        <w:jc w:val="both"/>
        <w:rPr>
          <w:rFonts w:ascii="Times New Roman" w:hAnsi="Times New Roman" w:cs="Times New Roman"/>
          <w:i/>
          <w:color w:val="000000" w:themeColor="text1"/>
        </w:rPr>
      </w:pPr>
    </w:p>
    <w:p w14:paraId="37FB34EF" w14:textId="77777777" w:rsidR="00D34A6C" w:rsidRPr="008D7F3D" w:rsidRDefault="00D34A6C" w:rsidP="00B03C45">
      <w:pPr>
        <w:jc w:val="both"/>
        <w:rPr>
          <w:rFonts w:ascii="Times New Roman" w:hAnsi="Times New Roman" w:cs="Times New Roman"/>
          <w:i/>
          <w:color w:val="000000" w:themeColor="text1"/>
        </w:rPr>
      </w:pPr>
    </w:p>
    <w:p w14:paraId="3B2A958F" w14:textId="77777777" w:rsidR="00D34A6C" w:rsidRPr="008D7F3D" w:rsidRDefault="00D34A6C" w:rsidP="00B03C45">
      <w:pPr>
        <w:jc w:val="both"/>
        <w:rPr>
          <w:rFonts w:ascii="Times New Roman" w:hAnsi="Times New Roman" w:cs="Times New Roman"/>
          <w:i/>
          <w:color w:val="000000" w:themeColor="text1"/>
        </w:rPr>
      </w:pPr>
    </w:p>
    <w:p w14:paraId="6BB85588" w14:textId="77777777" w:rsidR="00D34A6C" w:rsidRPr="008D7F3D" w:rsidRDefault="00D34A6C" w:rsidP="00B03C45">
      <w:pPr>
        <w:jc w:val="both"/>
        <w:rPr>
          <w:rFonts w:ascii="Times New Roman" w:hAnsi="Times New Roman" w:cs="Times New Roman"/>
          <w:i/>
          <w:color w:val="000000" w:themeColor="text1"/>
        </w:rPr>
      </w:pPr>
    </w:p>
    <w:p w14:paraId="19B6204B" w14:textId="77777777" w:rsidR="00D34A6C" w:rsidRPr="008D7F3D" w:rsidRDefault="00D34A6C" w:rsidP="00B03C45">
      <w:pPr>
        <w:jc w:val="both"/>
        <w:rPr>
          <w:rFonts w:ascii="Times New Roman" w:hAnsi="Times New Roman" w:cs="Times New Roman"/>
          <w:i/>
          <w:color w:val="000000" w:themeColor="text1"/>
        </w:rPr>
      </w:pPr>
    </w:p>
    <w:p w14:paraId="7B01A7A6" w14:textId="77777777" w:rsidR="00D34A6C" w:rsidRPr="008D7F3D" w:rsidRDefault="00D34A6C" w:rsidP="00B03C45">
      <w:pPr>
        <w:jc w:val="both"/>
        <w:rPr>
          <w:rFonts w:ascii="Times New Roman" w:hAnsi="Times New Roman" w:cs="Times New Roman"/>
          <w:i/>
          <w:color w:val="000000" w:themeColor="text1"/>
        </w:rPr>
      </w:pPr>
    </w:p>
    <w:p w14:paraId="0989734F" w14:textId="77777777" w:rsidR="00D34A6C" w:rsidRPr="008D7F3D" w:rsidRDefault="00D34A6C" w:rsidP="00B03C45">
      <w:pPr>
        <w:jc w:val="both"/>
        <w:rPr>
          <w:rFonts w:ascii="Times New Roman" w:hAnsi="Times New Roman" w:cs="Times New Roman"/>
          <w:i/>
          <w:color w:val="000000" w:themeColor="text1"/>
        </w:rPr>
      </w:pPr>
    </w:p>
    <w:p w14:paraId="791955AB" w14:textId="77777777" w:rsidR="00D34A6C" w:rsidRPr="008D7F3D" w:rsidRDefault="00D34A6C" w:rsidP="00B03C45">
      <w:pPr>
        <w:jc w:val="both"/>
        <w:rPr>
          <w:rFonts w:ascii="Times New Roman" w:hAnsi="Times New Roman" w:cs="Times New Roman"/>
          <w:i/>
          <w:color w:val="000000" w:themeColor="text1"/>
        </w:rPr>
      </w:pPr>
    </w:p>
    <w:p w14:paraId="5BF87542" w14:textId="77777777" w:rsidR="00676472" w:rsidRPr="008D7F3D" w:rsidRDefault="00676472" w:rsidP="00B03C45">
      <w:pPr>
        <w:jc w:val="both"/>
        <w:rPr>
          <w:rFonts w:ascii="Times New Roman" w:hAnsi="Times New Roman" w:cs="Times New Roman"/>
          <w:i/>
          <w:color w:val="000000" w:themeColor="text1"/>
        </w:rPr>
      </w:pPr>
    </w:p>
    <w:p w14:paraId="65B753CB" w14:textId="77777777" w:rsidR="00676472" w:rsidRPr="008D7F3D" w:rsidRDefault="00676472" w:rsidP="00B03C45">
      <w:pPr>
        <w:jc w:val="both"/>
        <w:rPr>
          <w:rFonts w:ascii="Times New Roman" w:hAnsi="Times New Roman" w:cs="Times New Roman"/>
          <w:i/>
          <w:color w:val="000000" w:themeColor="text1"/>
        </w:rPr>
      </w:pPr>
    </w:p>
    <w:p w14:paraId="45168563" w14:textId="77777777" w:rsidR="00D34A6C" w:rsidRPr="008D7F3D" w:rsidRDefault="00D34A6C" w:rsidP="00B03C45">
      <w:pPr>
        <w:jc w:val="both"/>
        <w:rPr>
          <w:rFonts w:ascii="Times New Roman" w:hAnsi="Times New Roman" w:cs="Times New Roman"/>
          <w:i/>
          <w:color w:val="000000" w:themeColor="text1"/>
        </w:rPr>
      </w:pPr>
    </w:p>
    <w:p w14:paraId="0C07FD5C" w14:textId="77777777" w:rsidR="00DA03BA" w:rsidRDefault="00DA03BA">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br w:type="page"/>
      </w:r>
    </w:p>
    <w:p w14:paraId="298F7675" w14:textId="77777777" w:rsidR="00D34A6C" w:rsidRPr="008D7F3D" w:rsidRDefault="00D34A6C" w:rsidP="00DA03BA">
      <w:pPr>
        <w:pStyle w:val="Nadpis1"/>
      </w:pPr>
      <w:bookmarkStart w:id="2" w:name="_Toc49930233"/>
      <w:r w:rsidRPr="008D7F3D">
        <w:lastRenderedPageBreak/>
        <w:t>Mini</w:t>
      </w:r>
      <w:r w:rsidR="00DA03BA">
        <w:t>sterstvo f</w:t>
      </w:r>
      <w:r w:rsidRPr="008D7F3D">
        <w:t>inancí</w:t>
      </w:r>
      <w:bookmarkEnd w:id="2"/>
    </w:p>
    <w:p w14:paraId="7FC03DA4" w14:textId="77777777" w:rsidR="00D34A6C" w:rsidRPr="00DA03BA" w:rsidRDefault="00D34A6C"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DA03BA">
        <w:rPr>
          <w:rFonts w:ascii="Times New Roman" w:hAnsi="Times New Roman" w:cs="Times New Roman"/>
          <w:b/>
          <w:noProof/>
          <w:color w:val="000000" w:themeColor="text1"/>
        </w:rPr>
        <w:t xml:space="preserve"> </w:t>
      </w:r>
      <w:bookmarkStart w:id="3" w:name="_Toc47520031"/>
      <w:r w:rsidRPr="00DA03BA">
        <w:rPr>
          <w:rFonts w:ascii="Times New Roman" w:hAnsi="Times New Roman" w:cs="Times New Roman"/>
          <w:b/>
          <w:noProof/>
          <w:color w:val="000000" w:themeColor="text1"/>
        </w:rPr>
        <w:t>Návrh revize směrnice o zdanění energie</w:t>
      </w:r>
      <w:bookmarkEnd w:id="3"/>
    </w:p>
    <w:p w14:paraId="0D09C64D" w14:textId="77777777" w:rsidR="00D34A6C" w:rsidRPr="008D7F3D" w:rsidRDefault="00D34A6C" w:rsidP="00D34A6C">
      <w:pPr>
        <w:rPr>
          <w:rFonts w:ascii="Times New Roman" w:hAnsi="Times New Roman" w:cs="Times New Roman"/>
          <w:color w:val="000000" w:themeColor="text1"/>
        </w:rPr>
      </w:pPr>
    </w:p>
    <w:p w14:paraId="4B09260E"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Hlavním cílem revize směrnice bude vyšší míra provázanosti mezi zdaněním energií a elektřiny s energetickou a klimatickou politikou EU tak, aby směrnice přispěla k plnění EU energetických cílů v roce 2030 a klimatické neutralitě v roce 2050. </w:t>
      </w:r>
    </w:p>
    <w:p w14:paraId="3905B5C3"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p>
    <w:p w14:paraId="2B1AC90A"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Dne 5. prosince 2019 byly přijaty závěry Rady, které se týkají rámce EU pro zdanění energií. Rada zde vyzvala Komisi, aby analyzovala a vyhodnotila možné varianty tak, aby bylo možné provést dopadovou studii a předložit legislativní návrh na revizi směrnice o zdanění energie (2003/96/ES), který by zohledňoval stávající potřeby EU a členských států. Rada v rámci této výzvy zejména zdůraznila, aby Komise věnovala zvláštní pozornost oblasti působnosti směrnice, minimálním sazbám a specifickým snížením úrovně zdanění, jakož i daňovým výjimkám.  </w:t>
      </w:r>
    </w:p>
    <w:p w14:paraId="3D9F5E3F" w14:textId="77777777" w:rsidR="00D34A6C" w:rsidRPr="008D7F3D" w:rsidRDefault="00D34A6C" w:rsidP="00DA03BA">
      <w:pPr>
        <w:autoSpaceDE w:val="0"/>
        <w:autoSpaceDN w:val="0"/>
        <w:adjustRightInd w:val="0"/>
        <w:spacing w:after="0" w:line="240" w:lineRule="auto"/>
        <w:rPr>
          <w:rFonts w:ascii="Times New Roman" w:hAnsi="Times New Roman" w:cs="Times New Roman"/>
          <w:color w:val="000000" w:themeColor="text1"/>
        </w:rPr>
      </w:pPr>
    </w:p>
    <w:p w14:paraId="25EF7A05" w14:textId="77777777" w:rsidR="00D34A6C" w:rsidRPr="008D7F3D" w:rsidRDefault="00D34A6C" w:rsidP="00DA03BA">
      <w:pPr>
        <w:spacing w:after="0"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Komise by měla věnovat zvláštní pozornost zejména: </w:t>
      </w:r>
    </w:p>
    <w:p w14:paraId="6F28D134" w14:textId="77777777" w:rsidR="00D34A6C" w:rsidRPr="008D7F3D" w:rsidRDefault="00D34A6C" w:rsidP="00DA03BA">
      <w:pPr>
        <w:pStyle w:val="Odstavecseseznamem"/>
        <w:numPr>
          <w:ilvl w:val="0"/>
          <w:numId w:val="6"/>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zacházení s biopalivy a dalšími alternativními palivy,</w:t>
      </w:r>
    </w:p>
    <w:p w14:paraId="0BEEAB5C" w14:textId="77777777" w:rsidR="00D34A6C" w:rsidRPr="008D7F3D" w:rsidRDefault="00D34A6C" w:rsidP="00DA03BA">
      <w:pPr>
        <w:pStyle w:val="Odstavecseseznamem"/>
        <w:numPr>
          <w:ilvl w:val="0"/>
          <w:numId w:val="6"/>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použitelnosti ustanovení o sledování a pohybu na některé produkty, jako je zacházení s mazivy a specificky uzpůsobenými palivy,</w:t>
      </w:r>
    </w:p>
    <w:p w14:paraId="5E309873" w14:textId="77777777" w:rsidR="00D34A6C" w:rsidRPr="008D7F3D" w:rsidRDefault="00D34A6C" w:rsidP="00DA03BA">
      <w:pPr>
        <w:pStyle w:val="Odstavecseseznamem"/>
        <w:numPr>
          <w:ilvl w:val="0"/>
          <w:numId w:val="6"/>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novým energetickým produktům a technologiím, </w:t>
      </w:r>
    </w:p>
    <w:p w14:paraId="09555E2E" w14:textId="77777777" w:rsidR="00D34A6C" w:rsidRPr="008D7F3D" w:rsidRDefault="00D34A6C" w:rsidP="00DA03BA">
      <w:pPr>
        <w:pStyle w:val="Odstavecseseznamem"/>
        <w:numPr>
          <w:ilvl w:val="0"/>
          <w:numId w:val="6"/>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relevantním odvětvím, jako je letecká doprava, při zohlednění jejich specifik, stávajících výjimek a mezinárodního rozměru, </w:t>
      </w:r>
    </w:p>
    <w:p w14:paraId="2B0ABB7E" w14:textId="77777777" w:rsidR="00D34A6C" w:rsidRPr="008D7F3D" w:rsidRDefault="00D34A6C" w:rsidP="00DA03BA">
      <w:pPr>
        <w:pStyle w:val="Odstavecseseznamem"/>
        <w:numPr>
          <w:ilvl w:val="0"/>
          <w:numId w:val="6"/>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dopadům na veřejné příjmy, </w:t>
      </w:r>
    </w:p>
    <w:p w14:paraId="55C78DC4" w14:textId="77777777" w:rsidR="00D34A6C" w:rsidRPr="008D7F3D" w:rsidRDefault="00D34A6C" w:rsidP="00DA03BA">
      <w:pPr>
        <w:pStyle w:val="Odstavecseseznamem"/>
        <w:numPr>
          <w:ilvl w:val="0"/>
          <w:numId w:val="6"/>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postupům a pravidlům státní podpory.</w:t>
      </w:r>
    </w:p>
    <w:p w14:paraId="63966C7F"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Do 1. dubna 2020 probíhalo připomínkové řízení k Prvotnímu zhodnocení, v současné době probíhá veřejná konzultace (22. června 2020 až 14. října 2020). Komise si klade za cíl v rámci politiky Zelené dohody předložit balíček, který by obsahoval vedle tzv. Carbon Border Adjustment Mechanism i revizi směrnice o zdanění energií, u které hodlá navrhnout změnu hlasování z jednomyslnosti na kvalifikovanou většinu. Podle neoficiálních informací lze legislativní návrh očekávat nejdříve v 2. čtvrtletí roku 2021.</w:t>
      </w:r>
    </w:p>
    <w:p w14:paraId="1CCD2B3E"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Česká republika podporuje: </w:t>
      </w:r>
    </w:p>
    <w:p w14:paraId="06009A9B" w14:textId="77777777" w:rsidR="00D34A6C" w:rsidRPr="008D7F3D" w:rsidRDefault="00D34A6C" w:rsidP="00DA03BA">
      <w:pPr>
        <w:pStyle w:val="Odstavecseseznamem"/>
        <w:numPr>
          <w:ilvl w:val="0"/>
          <w:numId w:val="7"/>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stávající pravidla zvláštního legislativního postupu v případě daňových předpisů na základě čl. 113 SFEU, tzn. zásadně nepodporuje snahu změnit pro účely revize směrnice o zdanění energií hlasování z jednomyslnosti na kvalifikovanou většinu,</w:t>
      </w:r>
    </w:p>
    <w:p w14:paraId="6037DECF" w14:textId="77777777" w:rsidR="00D34A6C" w:rsidRPr="008D7F3D" w:rsidRDefault="00D34A6C" w:rsidP="00DA03BA">
      <w:pPr>
        <w:pStyle w:val="Odstavecseseznamem"/>
        <w:numPr>
          <w:ilvl w:val="0"/>
          <w:numId w:val="7"/>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revizi směrnice se zaměřením na nové environmentální a technické aspekty se současným důrazem na zachování konkurenceschopnosti průmyslových odvětví v EU,</w:t>
      </w:r>
    </w:p>
    <w:p w14:paraId="5A6B955F" w14:textId="77777777" w:rsidR="00D34A6C" w:rsidRPr="008D7F3D" w:rsidRDefault="00D34A6C" w:rsidP="00DA03BA">
      <w:pPr>
        <w:pStyle w:val="Odstavecseseznamem"/>
        <w:numPr>
          <w:ilvl w:val="0"/>
          <w:numId w:val="7"/>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redukci neopodstatněných daňových výjimek, které činí daňový systém méně transparentní, vede k nižším daňovým příjmům a narušují vnitřní trh, </w:t>
      </w:r>
    </w:p>
    <w:p w14:paraId="6C4E461C" w14:textId="77777777" w:rsidR="00D34A6C" w:rsidRPr="008D7F3D" w:rsidRDefault="00D34A6C" w:rsidP="00DA03BA">
      <w:pPr>
        <w:pStyle w:val="Odstavecseseznamem"/>
        <w:numPr>
          <w:ilvl w:val="0"/>
          <w:numId w:val="7"/>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zohlednění negativních externalit, které vznikají spotřebou energetických produktů a elektřiny při stanovení EU minimálních sazeb,</w:t>
      </w:r>
    </w:p>
    <w:p w14:paraId="11E48FE5" w14:textId="77777777" w:rsidR="00D34A6C" w:rsidRPr="008D7F3D" w:rsidRDefault="00D34A6C" w:rsidP="00DA03BA">
      <w:pPr>
        <w:pStyle w:val="Odstavecseseznamem"/>
        <w:numPr>
          <w:ilvl w:val="0"/>
          <w:numId w:val="7"/>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nastavení speciálních daňových režimů pro alternativní paliva a instalace spadající do systému EU-ETS,</w:t>
      </w:r>
    </w:p>
    <w:p w14:paraId="0870F114" w14:textId="77777777" w:rsidR="00D34A6C" w:rsidRPr="008D7F3D" w:rsidRDefault="00D34A6C" w:rsidP="00DA03BA">
      <w:pPr>
        <w:pStyle w:val="Odstavecseseznamem"/>
        <w:numPr>
          <w:ilvl w:val="0"/>
          <w:numId w:val="7"/>
        </w:numPr>
        <w:spacing w:line="288" w:lineRule="auto"/>
        <w:ind w:left="426"/>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zaměření se na boj s daňovými úniky vznikajícími ve spojitosti se zneužitím některých energetických produktů (v ČR tzv. zvláštní minerální oleje).</w:t>
      </w:r>
    </w:p>
    <w:p w14:paraId="6FDD382C" w14:textId="77777777" w:rsidR="00D34A6C" w:rsidRPr="008D7F3D" w:rsidRDefault="00D34A6C" w:rsidP="00DA03BA">
      <w:pPr>
        <w:spacing w:line="288" w:lineRule="auto"/>
        <w:contextualSpacing/>
        <w:jc w:val="both"/>
        <w:rPr>
          <w:rFonts w:ascii="Times New Roman" w:hAnsi="Times New Roman" w:cs="Times New Roman"/>
          <w:b/>
          <w:bCs/>
          <w:color w:val="000000" w:themeColor="text1"/>
        </w:rPr>
      </w:pPr>
      <w:r w:rsidRPr="008D7F3D">
        <w:rPr>
          <w:rFonts w:ascii="Times New Roman" w:hAnsi="Times New Roman" w:cs="Times New Roman"/>
          <w:bCs/>
          <w:color w:val="000000" w:themeColor="text1"/>
        </w:rPr>
        <w:t xml:space="preserve">  </w:t>
      </w:r>
    </w:p>
    <w:p w14:paraId="14C0DAC3"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Hlavním závazkem je plnění EU minimálních sazeb a rámcových podmínek pro zdanění stanovených směrnicí, které Česká republika bez výjimky splňuje. Vůči EU dále Česká republika plní tzv. Víceletou podporu biopaliv v dopravě (notifikovanou pod č. SA 39.654) do 31. 12. 2020, která umožňuje daňové zvýhodnění některých biopaliv. Na národní úrovni je určitým závazkem stanovení zvýhodněné daňové sazby ze stlačeného zemního plynu (CNG) do roku 2025, které je obsaženo v tzv. Memorandu o dlouhodobé spolupráci v oblasti rozvoje vozidel na zemní plyn pro období do roku 2025. </w:t>
      </w:r>
    </w:p>
    <w:p w14:paraId="4595182C" w14:textId="77777777" w:rsidR="00D34A6C" w:rsidRPr="008D7F3D" w:rsidRDefault="00D34A6C" w:rsidP="00DA03BA">
      <w:pPr>
        <w:spacing w:line="288" w:lineRule="auto"/>
        <w:rPr>
          <w:rFonts w:ascii="Times New Roman" w:hAnsi="Times New Roman" w:cs="Times New Roman"/>
          <w:b/>
          <w:bCs/>
          <w:color w:val="000000" w:themeColor="text1"/>
        </w:rPr>
      </w:pPr>
    </w:p>
    <w:p w14:paraId="03CD25B5"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V současné době nelze vyčíslit, bude kriticky závislé na zvolených parametrech EU minimálních sazeb. Lze však očekávat výrazné navýšení některých sazeb (zejména u topných „neekologických“ energetických produktů), což může mít zejména negativní sociální dopady v některých regionech (v závislosti na případných kompenzačních opatřeních a délce přechodných období). K prvotnímu odhadu bude možné přistoupit po zveřejnění legislativního textu a dopadové studie.  </w:t>
      </w:r>
    </w:p>
    <w:p w14:paraId="702C3C6F" w14:textId="77777777" w:rsidR="00CA11A4" w:rsidRPr="008D7F3D" w:rsidRDefault="00CA11A4" w:rsidP="00D34A6C">
      <w:pPr>
        <w:rPr>
          <w:rFonts w:ascii="Times New Roman" w:hAnsi="Times New Roman" w:cs="Times New Roman"/>
          <w:color w:val="000000" w:themeColor="text1"/>
        </w:rPr>
      </w:pPr>
    </w:p>
    <w:p w14:paraId="6C176A8E" w14:textId="77777777" w:rsidR="00D34A6C" w:rsidRPr="00DA03BA" w:rsidRDefault="00D34A6C"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bookmarkStart w:id="4" w:name="_Toc47520032"/>
      <w:r w:rsidRPr="00DA03BA">
        <w:rPr>
          <w:rFonts w:ascii="Times New Roman" w:hAnsi="Times New Roman" w:cs="Times New Roman"/>
          <w:b/>
          <w:noProof/>
          <w:color w:val="000000" w:themeColor="text1"/>
        </w:rPr>
        <w:t>Návrh mechanismu kompenzačních opatření mezi státy v souvislosti s uhlíkem</w:t>
      </w:r>
      <w:bookmarkEnd w:id="4"/>
    </w:p>
    <w:p w14:paraId="595FA9B8" w14:textId="77777777" w:rsidR="00D34A6C" w:rsidRPr="008D7F3D" w:rsidRDefault="00D34A6C" w:rsidP="00D34A6C">
      <w:pPr>
        <w:pStyle w:val="Odstavecseseznamem"/>
        <w:ind w:left="360"/>
        <w:rPr>
          <w:rFonts w:ascii="Times New Roman" w:hAnsi="Times New Roman" w:cs="Times New Roman"/>
          <w:b/>
          <w:color w:val="000000" w:themeColor="text1"/>
          <w:u w:val="single"/>
        </w:rPr>
      </w:pPr>
    </w:p>
    <w:p w14:paraId="45FED37B"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Komise v roce 2021 představí mechanismus kompenzačních opatření mezi státy v souvislosti s uhlíkem, který má zohledňovat uhlíkovou náročnost dovážených výrobků. </w:t>
      </w:r>
    </w:p>
    <w:p w14:paraId="5C03F524"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ČR je otevřena diskuzi o mechanismu kompenzačních opatření pro únik uhlíku, je však klíčové, aby takový návrh opatření byl v souladu s pravidly WTO, neměl protekcionistický charakter a současně neohrozil konkurenceschopnost českých podniků s ohledem na vysokou míru jejich zapojení do globálních hodnotových řetězců. </w:t>
      </w:r>
    </w:p>
    <w:p w14:paraId="1EE04FA8" w14:textId="77777777" w:rsidR="00D34A6C" w:rsidRPr="008D7F3D" w:rsidRDefault="00D34A6C" w:rsidP="00DA03BA">
      <w:pPr>
        <w:spacing w:line="288" w:lineRule="auto"/>
        <w:contextualSpacing/>
        <w:rPr>
          <w:rFonts w:ascii="Times New Roman" w:hAnsi="Times New Roman" w:cs="Times New Roman"/>
          <w:bCs/>
          <w:color w:val="000000" w:themeColor="text1"/>
        </w:rPr>
      </w:pPr>
      <w:r w:rsidRPr="008D7F3D">
        <w:rPr>
          <w:rFonts w:ascii="Times New Roman" w:hAnsi="Times New Roman" w:cs="Times New Roman"/>
          <w:bCs/>
          <w:color w:val="000000" w:themeColor="text1"/>
        </w:rPr>
        <w:t>Náklady není možné v současnosti odhadnout. Návrh bude zveřejněn až v roce 2021.</w:t>
      </w:r>
    </w:p>
    <w:p w14:paraId="1E5C90E3" w14:textId="77777777" w:rsidR="00D34A6C" w:rsidRPr="008D7F3D" w:rsidRDefault="00D34A6C" w:rsidP="00D34A6C">
      <w:pPr>
        <w:spacing w:line="288" w:lineRule="auto"/>
        <w:ind w:left="360" w:firstLine="348"/>
        <w:contextualSpacing/>
        <w:rPr>
          <w:rFonts w:ascii="Times New Roman" w:hAnsi="Times New Roman" w:cs="Times New Roman"/>
          <w:bCs/>
          <w:color w:val="000000" w:themeColor="text1"/>
        </w:rPr>
      </w:pPr>
    </w:p>
    <w:p w14:paraId="602F186C" w14:textId="77777777" w:rsidR="00D34A6C" w:rsidRPr="00DA03BA" w:rsidRDefault="00D34A6C"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bookmarkStart w:id="5" w:name="_Toc47520033"/>
      <w:r w:rsidRPr="00DA03BA">
        <w:rPr>
          <w:rFonts w:ascii="Times New Roman" w:hAnsi="Times New Roman" w:cs="Times New Roman"/>
          <w:b/>
          <w:noProof/>
          <w:color w:val="000000" w:themeColor="text1"/>
        </w:rPr>
        <w:t>Obnovená strategie pro udržitelné finance</w:t>
      </w:r>
      <w:bookmarkEnd w:id="5"/>
    </w:p>
    <w:p w14:paraId="09C8DDC6" w14:textId="77777777" w:rsidR="00D34A6C" w:rsidRPr="00DA03BA" w:rsidRDefault="00D34A6C" w:rsidP="00D34A6C">
      <w:pPr>
        <w:pStyle w:val="Odstavecseseznamem"/>
        <w:ind w:left="360"/>
        <w:rPr>
          <w:rFonts w:ascii="Times New Roman" w:hAnsi="Times New Roman" w:cs="Times New Roman"/>
          <w:b/>
          <w:bCs/>
          <w:color w:val="000000" w:themeColor="text1"/>
          <w:u w:val="single"/>
          <w:lang w:val="de-DE"/>
        </w:rPr>
      </w:pPr>
    </w:p>
    <w:p w14:paraId="79F0B60A"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Dne 8. dubna 2020 spustila Komise rozsáhlou veřejnou konzultaci, jejíž výstup by měl sloužit jako podklad pro volbu opatření, které bude Obnovené strategie pro udržitelné finance obsahovat a jak tedy ve výsledku přispěje k dosažení cílů</w:t>
      </w:r>
      <w:r w:rsidRPr="008D7F3D">
        <w:rPr>
          <w:rFonts w:ascii="Times New Roman" w:hAnsi="Times New Roman" w:cs="Times New Roman"/>
          <w:color w:val="000000" w:themeColor="text1"/>
        </w:rPr>
        <w:t xml:space="preserve"> </w:t>
      </w:r>
      <w:r w:rsidRPr="008D7F3D">
        <w:rPr>
          <w:rFonts w:ascii="Times New Roman" w:hAnsi="Times New Roman" w:cs="Times New Roman"/>
          <w:bCs/>
          <w:color w:val="000000" w:themeColor="text1"/>
        </w:rPr>
        <w:t xml:space="preserve">Investičního plánu pro udržitelnou Evropu, tj. usnadnit udržitelné investice. Příspěvky za jednotlivé resorty byly konsolidovány a odeslány dne 15. července 2020, přičemž postoj ČR lze souhrnně zhodnotit jako spíše zdrženlivý.  </w:t>
      </w:r>
    </w:p>
    <w:p w14:paraId="228497EB" w14:textId="77777777" w:rsidR="00D34A6C" w:rsidRPr="008D7F3D" w:rsidRDefault="00D34A6C" w:rsidP="00DA03BA">
      <w:pPr>
        <w:spacing w:line="288" w:lineRule="auto"/>
        <w:contextualSpacing/>
        <w:rPr>
          <w:rFonts w:ascii="Times New Roman" w:hAnsi="Times New Roman" w:cs="Times New Roman"/>
          <w:b/>
          <w:bCs/>
          <w:color w:val="000000" w:themeColor="text1"/>
        </w:rPr>
      </w:pPr>
    </w:p>
    <w:p w14:paraId="53C4D6A1"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 tuto chvíli není zřejmé, jaká opatření budou v Obnovené strategii pro udržitelné finance obsažena a jaký tedy bude ve výsledku její dopad. Nelze tudíž vyčíslit náklady realizace.</w:t>
      </w:r>
    </w:p>
    <w:p w14:paraId="416ACA89" w14:textId="77777777" w:rsidR="00D34A6C" w:rsidRPr="008D7F3D" w:rsidRDefault="00D34A6C" w:rsidP="00DA03BA">
      <w:pPr>
        <w:spacing w:line="288" w:lineRule="auto"/>
        <w:rPr>
          <w:rFonts w:ascii="Times New Roman" w:hAnsi="Times New Roman" w:cs="Times New Roman"/>
          <w:b/>
          <w:bCs/>
          <w:color w:val="000000" w:themeColor="text1"/>
        </w:rPr>
      </w:pPr>
    </w:p>
    <w:p w14:paraId="38E8C0C3"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Původní koncepce oblasti udržitelných opatření cílila na nasměrování privátních financí, resp. investic, do financování transformace na nízkouhlíkovou ekonomiku. Nyní však Komise (v rámci EGD) počítá s daleko širším využitím klasifikačního systému udržitelných činností (tzv. taxonomií) nebo jeho úprav i pro veřejné investice (dotační politiku, veřejné zakázky) atd.</w:t>
      </w:r>
    </w:p>
    <w:p w14:paraId="5437CE42" w14:textId="77777777" w:rsidR="00D34A6C" w:rsidRPr="008D7F3D" w:rsidRDefault="00D34A6C" w:rsidP="00D34A6C">
      <w:pPr>
        <w:spacing w:line="288" w:lineRule="auto"/>
        <w:ind w:left="360"/>
        <w:contextualSpacing/>
        <w:jc w:val="both"/>
        <w:rPr>
          <w:rFonts w:ascii="Times New Roman" w:hAnsi="Times New Roman" w:cs="Times New Roman"/>
          <w:bCs/>
          <w:color w:val="000000" w:themeColor="text1"/>
        </w:rPr>
      </w:pPr>
    </w:p>
    <w:p w14:paraId="7BF09682" w14:textId="77777777" w:rsidR="00DA03BA" w:rsidRDefault="00DA03BA">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br w:type="page"/>
      </w:r>
    </w:p>
    <w:p w14:paraId="57CB05F1" w14:textId="77777777" w:rsidR="00D34A6C" w:rsidRPr="008D7F3D" w:rsidRDefault="00D34A6C" w:rsidP="00D34A6C">
      <w:pPr>
        <w:spacing w:line="288" w:lineRule="auto"/>
        <w:ind w:left="360"/>
        <w:contextualSpacing/>
        <w:jc w:val="both"/>
        <w:rPr>
          <w:rFonts w:ascii="Times New Roman" w:hAnsi="Times New Roman" w:cs="Times New Roman"/>
          <w:b/>
          <w:bCs/>
          <w:color w:val="000000" w:themeColor="text1"/>
          <w:u w:val="single"/>
        </w:rPr>
      </w:pPr>
    </w:p>
    <w:p w14:paraId="22AFCD30" w14:textId="77777777" w:rsidR="00D34A6C" w:rsidRPr="00DA03BA" w:rsidRDefault="00D34A6C"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bookmarkStart w:id="6" w:name="_Toc47520034"/>
      <w:r w:rsidRPr="00DA03BA">
        <w:rPr>
          <w:rFonts w:ascii="Times New Roman" w:hAnsi="Times New Roman" w:cs="Times New Roman"/>
          <w:b/>
          <w:noProof/>
          <w:color w:val="000000" w:themeColor="text1"/>
        </w:rPr>
        <w:t>Přezkumu směrnice o vykazování nefinančních informací</w:t>
      </w:r>
      <w:bookmarkEnd w:id="6"/>
    </w:p>
    <w:p w14:paraId="4D5F6DB9" w14:textId="77777777" w:rsidR="00D34A6C" w:rsidRPr="008D7F3D" w:rsidRDefault="00D34A6C" w:rsidP="00D34A6C">
      <w:pPr>
        <w:spacing w:after="0"/>
        <w:rPr>
          <w:rFonts w:ascii="Times New Roman" w:hAnsi="Times New Roman" w:cs="Times New Roman"/>
          <w:color w:val="000000" w:themeColor="text1"/>
        </w:rPr>
      </w:pPr>
    </w:p>
    <w:p w14:paraId="61013064" w14:textId="77777777" w:rsidR="00D34A6C" w:rsidRPr="008D7F3D" w:rsidRDefault="00D34A6C" w:rsidP="00DA03BA">
      <w:pPr>
        <w:spacing w:after="0"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Otevření Směrnice o nefinančním reportingu byla jednou z priorit německého předsednictví. Tyto však musely být změněny z důvodu nutnosti provedení opatření vedoucích ke snížení dopadů COVID 19 na ekonomiku EU.</w:t>
      </w:r>
    </w:p>
    <w:p w14:paraId="05AA5289"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Momentálně tedy není ze strany DE PRES indikována žádná iniciativa, která by vedla k otevření problematiky nefinančního reportingu a přezkumu směrnice o vykazování nefinančních informací.</w:t>
      </w:r>
    </w:p>
    <w:p w14:paraId="722CFBF4"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p>
    <w:p w14:paraId="42CAA398" w14:textId="77777777" w:rsidR="00D34A6C" w:rsidRPr="008D7F3D" w:rsidRDefault="00D34A6C" w:rsidP="00DA03BA">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Co se týče aktuální pozice ČR, domníváme se, že Komisí avizovaná revize směrnice o nefinančních informacích ze strany podniků musí respektovat přínosy pro zohlednění environmentálních aspektů s administrativními náklady, které jsou s tímto spojené. Ambicióznější nástroje v podobě environmentálního podnikového účetnictví a certifikace udržitelného hospodaření by měly zůstat na dobrovolném základě.</w:t>
      </w:r>
    </w:p>
    <w:p w14:paraId="72F2E40B" w14:textId="77777777" w:rsidR="00D34A6C" w:rsidRPr="008D7F3D" w:rsidRDefault="00D34A6C" w:rsidP="00D34A6C">
      <w:pPr>
        <w:spacing w:line="288" w:lineRule="auto"/>
        <w:ind w:left="360"/>
        <w:contextualSpacing/>
        <w:rPr>
          <w:rFonts w:ascii="Times New Roman" w:hAnsi="Times New Roman" w:cs="Times New Roman"/>
          <w:b/>
          <w:bCs/>
          <w:color w:val="000000" w:themeColor="text1"/>
        </w:rPr>
      </w:pPr>
    </w:p>
    <w:p w14:paraId="6B23746D" w14:textId="77777777" w:rsidR="00D34A6C" w:rsidRPr="008D7F3D" w:rsidRDefault="00D34A6C"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color w:val="000000" w:themeColor="text1"/>
          <w:u w:val="single"/>
        </w:rPr>
      </w:pPr>
      <w:bookmarkStart w:id="7" w:name="_Toc47520035"/>
      <w:r w:rsidRPr="00DA03BA">
        <w:rPr>
          <w:rFonts w:ascii="Times New Roman" w:hAnsi="Times New Roman" w:cs="Times New Roman"/>
          <w:b/>
          <w:noProof/>
          <w:color w:val="000000" w:themeColor="text1"/>
        </w:rPr>
        <w:t>Začlenění cílů udržitelného rozvoje do evropského semestru</w:t>
      </w:r>
      <w:bookmarkEnd w:id="7"/>
    </w:p>
    <w:p w14:paraId="4A36724F" w14:textId="77777777" w:rsidR="00D34A6C" w:rsidRPr="008D7F3D" w:rsidRDefault="00D34A6C" w:rsidP="00D34A6C">
      <w:pPr>
        <w:jc w:val="both"/>
        <w:rPr>
          <w:rFonts w:ascii="Times New Roman" w:hAnsi="Times New Roman" w:cs="Times New Roman"/>
          <w:color w:val="000000" w:themeColor="text1"/>
        </w:rPr>
      </w:pPr>
    </w:p>
    <w:p w14:paraId="25CC0C27" w14:textId="77777777" w:rsidR="00D34A6C" w:rsidRPr="008D7F3D" w:rsidRDefault="00D34A6C" w:rsidP="00DA03BA">
      <w:pPr>
        <w:spacing w:line="276"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Politikám vztahujícím se k udržitelnému rozvoji se letos v rámci evropského semestru s novým důrazem věnovaly zprávy o členských státech vydané Evropskou komisí v únoru (vedle kapitol k udržitelnosti životního prostředí, která je řazena mezi hlavní reformní priority, zprávy v nové příloze zařazují také přehled pokroku ve směru plnění cílů udržitelného rozvoje). Části k plnění cílů udržitelného rozvoje obsahují i letošní národní programy reforem zpracované jednotlivými ČS včetně ČR a předané Evropské komisi v dubnu tohoto roku. Politikám kladoucím důraz na dosažení udržitelného růstu ve střednědobém horizontu se na základě toho věnují doporučení členským státům přijatá Radou EU v červenci. ČR začlenění cílů udržitelného rozvoje ve smyslu podpory souvisejících hospodářských politik a investic do evropského semestru akceptuje. </w:t>
      </w:r>
    </w:p>
    <w:p w14:paraId="1FFB0AA3" w14:textId="77777777" w:rsidR="00D34A6C" w:rsidRPr="008D7F3D" w:rsidRDefault="00D34A6C" w:rsidP="00DA03BA">
      <w:pPr>
        <w:spacing w:line="288" w:lineRule="auto"/>
        <w:contextualSpacing/>
        <w:jc w:val="both"/>
        <w:rPr>
          <w:rFonts w:ascii="Times New Roman" w:hAnsi="Times New Roman" w:cs="Times New Roman"/>
          <w:b/>
          <w:bCs/>
          <w:color w:val="000000" w:themeColor="text1"/>
        </w:rPr>
      </w:pPr>
    </w:p>
    <w:p w14:paraId="7CD3DA37" w14:textId="77777777" w:rsidR="00D34A6C" w:rsidRPr="008D7F3D" w:rsidRDefault="00D34A6C" w:rsidP="00DA03BA">
      <w:pPr>
        <w:pStyle w:val="Default"/>
        <w:spacing w:line="276" w:lineRule="auto"/>
        <w:jc w:val="both"/>
        <w:rPr>
          <w:rFonts w:ascii="Times New Roman" w:hAnsi="Times New Roman" w:cs="Times New Roman"/>
          <w:i/>
          <w:color w:val="000000" w:themeColor="text1"/>
          <w:sz w:val="22"/>
          <w:szCs w:val="22"/>
        </w:rPr>
      </w:pPr>
      <w:r w:rsidRPr="008D7F3D">
        <w:rPr>
          <w:rFonts w:ascii="Times New Roman" w:hAnsi="Times New Roman" w:cs="Times New Roman"/>
          <w:bCs/>
          <w:color w:val="000000" w:themeColor="text1"/>
          <w:sz w:val="22"/>
          <w:szCs w:val="22"/>
        </w:rPr>
        <w:t xml:space="preserve">Doporučení Rady České republice vztahující se k udržitelnému rozvoji bylo Radou EU přijato ve znění: </w:t>
      </w:r>
      <w:r w:rsidRPr="008D7F3D">
        <w:rPr>
          <w:rFonts w:ascii="Times New Roman" w:hAnsi="Times New Roman" w:cs="Times New Roman"/>
          <w:bCs/>
          <w:i/>
          <w:color w:val="000000" w:themeColor="text1"/>
          <w:sz w:val="22"/>
          <w:szCs w:val="22"/>
        </w:rPr>
        <w:t>„Zaměřit investice na ekologickou a digitální transformaci, zejména na vysokokapacitní digitální infrastrukturu a technologie, na čistou a účinnou výrobu a využívání energie a na udržitelnou dopravní infrastrukturu, a to mimo jiné v uhelných regionech.“</w:t>
      </w:r>
    </w:p>
    <w:p w14:paraId="6667695D" w14:textId="77777777" w:rsidR="00D34A6C" w:rsidRPr="008D7F3D" w:rsidRDefault="00D34A6C" w:rsidP="00DA03BA">
      <w:pPr>
        <w:spacing w:line="288" w:lineRule="auto"/>
        <w:jc w:val="both"/>
        <w:rPr>
          <w:rFonts w:ascii="Times New Roman" w:hAnsi="Times New Roman" w:cs="Times New Roman"/>
          <w:b/>
          <w:bCs/>
          <w:color w:val="000000" w:themeColor="text1"/>
        </w:rPr>
      </w:pPr>
    </w:p>
    <w:p w14:paraId="2841F884" w14:textId="77777777" w:rsidR="00D34A6C" w:rsidRPr="008D7F3D" w:rsidRDefault="00D34A6C" w:rsidP="00DA03BA">
      <w:pPr>
        <w:spacing w:line="276"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Na podzim bude pod vedením Úřadu vlády zpracována zpráva o plnění národního programu reforem z r. 2020 včetně doporučení evropského semestru, kde se předpokládá základní vyčíslení nákladů / dopadů předpokládaných opatření.</w:t>
      </w:r>
    </w:p>
    <w:p w14:paraId="05E7B0BB" w14:textId="77777777" w:rsidR="00D34A6C" w:rsidRPr="008D7F3D" w:rsidRDefault="00D34A6C" w:rsidP="00DA03BA">
      <w:pPr>
        <w:spacing w:line="288" w:lineRule="auto"/>
        <w:jc w:val="both"/>
        <w:rPr>
          <w:rFonts w:ascii="Times New Roman" w:hAnsi="Times New Roman" w:cs="Times New Roman"/>
          <w:b/>
          <w:bCs/>
          <w:color w:val="000000" w:themeColor="text1"/>
        </w:rPr>
      </w:pPr>
    </w:p>
    <w:p w14:paraId="2473A212" w14:textId="77777777" w:rsidR="00D34A6C" w:rsidRPr="008D7F3D" w:rsidRDefault="00D34A6C" w:rsidP="00DA03BA">
      <w:pPr>
        <w:spacing w:line="276"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Mezi zdroje financování plnění cílů udržitelného rozvoje reflektovaných v rámci evropského semestru by měl kromě národních zdrojů (veřejných i soukromých) patřit v odpovídajících položkách rozpočet EU, včetně Fondu pro spravedlivou transformaci.</w:t>
      </w:r>
    </w:p>
    <w:p w14:paraId="031D3F7F" w14:textId="77777777" w:rsidR="00DA03BA" w:rsidRDefault="00DA03BA">
      <w:pPr>
        <w:rPr>
          <w:rFonts w:ascii="Times New Roman" w:hAnsi="Times New Roman" w:cs="Times New Roman"/>
          <w:color w:val="000000" w:themeColor="text1"/>
        </w:rPr>
      </w:pPr>
      <w:r>
        <w:rPr>
          <w:rFonts w:ascii="Times New Roman" w:hAnsi="Times New Roman" w:cs="Times New Roman"/>
          <w:color w:val="000000" w:themeColor="text1"/>
        </w:rPr>
        <w:br w:type="page"/>
      </w:r>
    </w:p>
    <w:p w14:paraId="14198C09" w14:textId="77777777" w:rsidR="00D34A6C" w:rsidRPr="008D7F3D" w:rsidRDefault="00D34A6C" w:rsidP="00D34A6C">
      <w:pPr>
        <w:rPr>
          <w:rFonts w:ascii="Times New Roman" w:hAnsi="Times New Roman" w:cs="Times New Roman"/>
          <w:color w:val="000000" w:themeColor="text1"/>
        </w:rPr>
      </w:pPr>
    </w:p>
    <w:p w14:paraId="331DDEC9" w14:textId="77777777" w:rsidR="00D34A6C" w:rsidRPr="00DA03BA" w:rsidRDefault="00D34A6C"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bookmarkStart w:id="8" w:name="_Toc47520036"/>
      <w:r w:rsidRPr="00DA03BA">
        <w:rPr>
          <w:rFonts w:ascii="Times New Roman" w:hAnsi="Times New Roman" w:cs="Times New Roman"/>
          <w:b/>
          <w:noProof/>
          <w:color w:val="000000" w:themeColor="text1"/>
        </w:rPr>
        <w:t>EU bude nadále v čele mezinárodních jednání o klimatu a biologické rozmanitosti</w:t>
      </w:r>
      <w:bookmarkEnd w:id="8"/>
      <w:r w:rsidRPr="00DA03BA">
        <w:rPr>
          <w:rFonts w:ascii="Times New Roman" w:hAnsi="Times New Roman" w:cs="Times New Roman"/>
          <w:b/>
          <w:noProof/>
          <w:color w:val="000000" w:themeColor="text1"/>
        </w:rPr>
        <w:t>, a dále tak posílí mezinárodní politický rámec</w:t>
      </w:r>
    </w:p>
    <w:p w14:paraId="1BF88144" w14:textId="77777777" w:rsidR="00D34A6C" w:rsidRPr="008D7F3D" w:rsidRDefault="00D34A6C" w:rsidP="00D34A6C">
      <w:pPr>
        <w:pStyle w:val="Odstavecseseznamem"/>
        <w:ind w:left="360"/>
        <w:rPr>
          <w:rFonts w:ascii="Times New Roman" w:hAnsi="Times New Roman" w:cs="Times New Roman"/>
          <w:b/>
          <w:color w:val="000000" w:themeColor="text1"/>
          <w:u w:val="single"/>
        </w:rPr>
      </w:pPr>
    </w:p>
    <w:p w14:paraId="2783C2AE" w14:textId="77777777" w:rsidR="00D34A6C" w:rsidRPr="008D7F3D" w:rsidRDefault="00D34A6C" w:rsidP="00DA03BA">
      <w:pPr>
        <w:spacing w:after="120" w:line="276"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Jak uvádí MŽP v Rámcové pozici k EGD, pro efektivitu evropských finančních nástrojů a úspěšnou mobilizaci soukromých financí při naplňování závazků v oblasti udržitelného rozvoje bude klíčové mj. </w:t>
      </w:r>
      <w:r w:rsidRPr="008D7F3D">
        <w:rPr>
          <w:rFonts w:ascii="Times New Roman" w:hAnsi="Times New Roman" w:cs="Times New Roman"/>
          <w:b/>
          <w:bCs/>
          <w:color w:val="000000" w:themeColor="text1"/>
        </w:rPr>
        <w:t>budoucí nastavení evropské finanční architektury</w:t>
      </w:r>
      <w:r w:rsidRPr="008D7F3D">
        <w:rPr>
          <w:rFonts w:ascii="Times New Roman" w:hAnsi="Times New Roman" w:cs="Times New Roman"/>
          <w:bCs/>
          <w:color w:val="000000" w:themeColor="text1"/>
        </w:rPr>
        <w:t xml:space="preserve">.  </w:t>
      </w:r>
    </w:p>
    <w:p w14:paraId="04D050CD" w14:textId="77777777" w:rsidR="00D34A6C" w:rsidRPr="008D7F3D" w:rsidRDefault="00D34A6C" w:rsidP="00D34A6C">
      <w:pPr>
        <w:spacing w:after="120" w:line="276" w:lineRule="auto"/>
        <w:ind w:left="708"/>
        <w:jc w:val="both"/>
        <w:rPr>
          <w:rFonts w:ascii="Times New Roman" w:hAnsi="Times New Roman" w:cs="Times New Roman"/>
          <w:bCs/>
          <w:color w:val="000000" w:themeColor="text1"/>
        </w:rPr>
      </w:pPr>
    </w:p>
    <w:p w14:paraId="46B875CE" w14:textId="77777777" w:rsidR="00D34A6C" w:rsidRPr="008D7F3D" w:rsidRDefault="00D34A6C" w:rsidP="00D34A6C">
      <w:pPr>
        <w:pStyle w:val="Odstavecseseznamem"/>
        <w:numPr>
          <w:ilvl w:val="0"/>
          <w:numId w:val="13"/>
        </w:numPr>
        <w:spacing w:after="120" w:line="276" w:lineRule="auto"/>
        <w:ind w:left="360"/>
        <w:rPr>
          <w:rFonts w:ascii="Times New Roman" w:hAnsi="Times New Roman" w:cs="Times New Roman"/>
          <w:bCs/>
          <w:color w:val="000000" w:themeColor="text1"/>
          <w:u w:val="single"/>
        </w:rPr>
      </w:pPr>
      <w:r w:rsidRPr="008D7F3D">
        <w:rPr>
          <w:rFonts w:ascii="Times New Roman" w:hAnsi="Times New Roman" w:cs="Times New Roman"/>
          <w:bCs/>
          <w:color w:val="000000" w:themeColor="text1"/>
          <w:u w:val="single"/>
        </w:rPr>
        <w:t xml:space="preserve">Zpráva Skupiny moudrých osob na vysoké úrovni k evropské finanční architektuře pro rozvoj </w:t>
      </w:r>
    </w:p>
    <w:p w14:paraId="2D8C358E" w14:textId="77777777" w:rsidR="00D34A6C" w:rsidRPr="008D7F3D" w:rsidRDefault="00D34A6C" w:rsidP="00D34A6C">
      <w:pPr>
        <w:spacing w:after="120" w:line="288"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Analýzu současné evropské finanční architektury pro rozvoj</w:t>
      </w:r>
      <w:r w:rsidRPr="008D7F3D">
        <w:rPr>
          <w:rFonts w:ascii="Times New Roman" w:hAnsi="Times New Roman" w:cs="Times New Roman"/>
          <w:color w:val="000000" w:themeColor="text1"/>
        </w:rPr>
        <w:t xml:space="preserve"> </w:t>
      </w:r>
      <w:r w:rsidRPr="008D7F3D">
        <w:rPr>
          <w:rFonts w:ascii="Times New Roman" w:hAnsi="Times New Roman" w:cs="Times New Roman"/>
          <w:bCs/>
          <w:color w:val="000000" w:themeColor="text1"/>
        </w:rPr>
        <w:t xml:space="preserve">vypracovala tzv. Skupinou moudrých na základě zadání Rady EU. Zpráva byla představena na zasedání Rady ECOFIN v říjnu 2019 a uvádí požadavky na systém governance evropské rozvojové pomoci a požadavek na propojení a efektivní koordinaci evropských a národních aktérů. Zejména však popisuje slabiny a výhody stávajícího evropského systému, včetně role Evropské komise, fondu EFSD, postavení EIB, EBRD, národních rozvojových bank a rozvojových finančních institucí. </w:t>
      </w:r>
    </w:p>
    <w:p w14:paraId="76EF5AA1" w14:textId="77777777" w:rsidR="00D34A6C" w:rsidRPr="008D7F3D" w:rsidRDefault="00D34A6C" w:rsidP="00D34A6C">
      <w:pPr>
        <w:spacing w:after="120" w:line="288"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Zpráva vyjmenovává jako možná řešení pro evropskou finanční architekturu v oblasti rozvojové pomoci: 1/ koncentrovat evropské rozvojové financování v EBRD, která by se postupně vyvíjela směrem ke klimatické a rozvojové bance EU; 2/ sdružení vnějších činností současných institucí do sdílené nové entity s účastí EIB, EBRD, EK, ČS a možnými jinými aktéry z národních rozvojových bank; 3/ přenesení všech vnějších aktivit EIB na dceřinou společnost, která by se tak stala hlavní evropskou klimatickou a rozvojovou finanční institucí.</w:t>
      </w:r>
    </w:p>
    <w:p w14:paraId="5774CEB8" w14:textId="77777777" w:rsidR="00D34A6C" w:rsidRPr="008D7F3D" w:rsidRDefault="00D34A6C" w:rsidP="00D34A6C">
      <w:pPr>
        <w:spacing w:after="120" w:line="288"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 návaznosti na tuto zprávu byly na zasedání Rady ECOFIN v prosinci 2019 přijaty Závěry Rady k posílení evropské finanční architektury pro rozvoj. Přijatý text byl připraven na úrovni společného pracovního formátu finančních radů a zástupců PS CODEV, kde byl také v rámci diskuzí vypuštěn scénář 2/ z dalších úvah.</w:t>
      </w:r>
      <w:r w:rsidRPr="008D7F3D">
        <w:rPr>
          <w:rStyle w:val="Znakapoznpodarou"/>
          <w:rFonts w:ascii="Times New Roman" w:hAnsi="Times New Roman" w:cs="Times New Roman"/>
          <w:bCs/>
          <w:color w:val="000000" w:themeColor="text1"/>
        </w:rPr>
        <w:footnoteReference w:id="1"/>
      </w:r>
      <w:r w:rsidRPr="008D7F3D">
        <w:rPr>
          <w:rFonts w:ascii="Times New Roman" w:hAnsi="Times New Roman" w:cs="Times New Roman"/>
          <w:bCs/>
          <w:color w:val="000000" w:themeColor="text1"/>
        </w:rPr>
        <w:t xml:space="preserve"> Příslušné PS následně na základě Závěrů přijatých Radou a ve spolupráci s PRES, EK a ESVČ předložily návrh Terms of Reference pro nezávislou studii proveditelnosti jednotlivých variant posílení evropské finanční architektury pro rozvoj, který Rada schválila dne 12. června 2020. </w:t>
      </w:r>
    </w:p>
    <w:p w14:paraId="372B48FA" w14:textId="77777777" w:rsidR="00CA11A4" w:rsidRPr="008D7F3D" w:rsidRDefault="00CA11A4" w:rsidP="00D34A6C">
      <w:pPr>
        <w:spacing w:after="120" w:line="288" w:lineRule="auto"/>
        <w:ind w:left="360"/>
        <w:jc w:val="both"/>
        <w:rPr>
          <w:rFonts w:ascii="Times New Roman" w:hAnsi="Times New Roman" w:cs="Times New Roman"/>
          <w:bCs/>
          <w:color w:val="000000" w:themeColor="text1"/>
        </w:rPr>
      </w:pPr>
    </w:p>
    <w:p w14:paraId="129B7A63" w14:textId="77777777" w:rsidR="00D34A6C" w:rsidRPr="008D7F3D" w:rsidRDefault="00D34A6C" w:rsidP="00DA03BA">
      <w:pPr>
        <w:keepNext/>
        <w:spacing w:after="120" w:line="288" w:lineRule="auto"/>
        <w:ind w:firstLine="360"/>
        <w:jc w:val="both"/>
        <w:rPr>
          <w:rFonts w:ascii="Times New Roman" w:hAnsi="Times New Roman" w:cs="Times New Roman"/>
          <w:b/>
          <w:bCs/>
          <w:color w:val="000000" w:themeColor="text1"/>
          <w:u w:val="single"/>
        </w:rPr>
      </w:pPr>
      <w:r w:rsidRPr="008D7F3D">
        <w:rPr>
          <w:rFonts w:ascii="Times New Roman" w:hAnsi="Times New Roman" w:cs="Times New Roman"/>
          <w:b/>
          <w:bCs/>
          <w:color w:val="000000" w:themeColor="text1"/>
          <w:u w:val="single"/>
        </w:rPr>
        <w:t xml:space="preserve">Aktuální pozice ČR: </w:t>
      </w:r>
    </w:p>
    <w:p w14:paraId="71B2DA17" w14:textId="77777777" w:rsidR="00D34A6C" w:rsidRPr="008D7F3D" w:rsidRDefault="00D34A6C" w:rsidP="00DA03BA">
      <w:pPr>
        <w:keepNext/>
        <w:spacing w:after="120" w:line="288"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Z hlediska proveditelnosti, časové a finanční náročnosti se jako efektivnější varianta jeví vytvoření Evropské klimatické a rozvojové banky formou dceřiné společnosti EIB, jelikož se jedná o instituci plně ovládanou ČS EU. EIB zároveň představuje banku, která již disponuje zkušenostmi s rozvojovými operacemi v nejméně rozvinutých ekonomikách. V případě transformace EBRD zůstává otázkou především pozice neevropských akcionářů. Dosažení potřebné většiny ČS EU pro prosazování strategických rozhodnutí by předpokládalo navýšení kapitálu banky bez účasti neevropských akcionářů. Ačkoli EBRD ve své studii nevyčísluje předpokládané náklady ČS EU související s navýšením kapitálu, lze předpokládat, že by se jednalo o finančně náročnější variantu než v případě EIB, která finanční nároky na ČS uvádí až v případě nejrozsáhlejšího rozšíření rozvojových operací. </w:t>
      </w:r>
    </w:p>
    <w:p w14:paraId="7565920C" w14:textId="77777777" w:rsidR="00D34A6C" w:rsidRPr="008D7F3D" w:rsidRDefault="00D34A6C" w:rsidP="00DA03BA">
      <w:pPr>
        <w:spacing w:after="120" w:line="288"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Finální pozici k preferované variantě institucionálního řešení ovšem bude možné zaujmout až po zveřejnění výsledků nezávislé studie proveditelnosti. O výsledcích nezávislé studie proveditelnosti by měly PS informovat Radu do konce roku 2020. </w:t>
      </w:r>
    </w:p>
    <w:p w14:paraId="54A0D390" w14:textId="77777777" w:rsidR="00D34A6C" w:rsidRPr="008D7F3D" w:rsidRDefault="00D34A6C" w:rsidP="00D34A6C">
      <w:pPr>
        <w:spacing w:line="288" w:lineRule="auto"/>
        <w:rPr>
          <w:rFonts w:ascii="Times New Roman" w:hAnsi="Times New Roman" w:cs="Times New Roman"/>
          <w:b/>
          <w:bCs/>
          <w:color w:val="000000" w:themeColor="text1"/>
        </w:rPr>
      </w:pPr>
    </w:p>
    <w:p w14:paraId="38E1293C" w14:textId="77777777" w:rsidR="00D34A6C" w:rsidRPr="00DA03BA" w:rsidRDefault="00D34A6C"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DA03BA">
        <w:rPr>
          <w:rFonts w:ascii="Times New Roman" w:hAnsi="Times New Roman" w:cs="Times New Roman"/>
          <w:b/>
          <w:noProof/>
          <w:color w:val="000000" w:themeColor="text1"/>
        </w:rPr>
        <w:t>Zelené investice a cíle mezinárodních finančních institucí v gesci Ministerstva financí</w:t>
      </w:r>
    </w:p>
    <w:p w14:paraId="30F7A82F" w14:textId="77777777" w:rsidR="00D34A6C" w:rsidRPr="008D7F3D" w:rsidRDefault="00D34A6C" w:rsidP="00D34A6C">
      <w:pPr>
        <w:pStyle w:val="Odstavecseseznamem"/>
        <w:numPr>
          <w:ilvl w:val="0"/>
          <w:numId w:val="13"/>
        </w:numPr>
        <w:spacing w:after="120" w:line="276" w:lineRule="auto"/>
        <w:ind w:left="720"/>
        <w:rPr>
          <w:rFonts w:ascii="Times New Roman" w:hAnsi="Times New Roman" w:cs="Times New Roman"/>
          <w:color w:val="000000" w:themeColor="text1"/>
        </w:rPr>
      </w:pPr>
      <w:r w:rsidRPr="008D7F3D">
        <w:rPr>
          <w:rFonts w:ascii="Times New Roman" w:hAnsi="Times New Roman" w:cs="Times New Roman"/>
          <w:color w:val="000000" w:themeColor="text1"/>
        </w:rPr>
        <w:t>Evropská banka pro obnovu a rozvoj (EBRD)</w:t>
      </w:r>
    </w:p>
    <w:p w14:paraId="27FBCE32" w14:textId="77777777" w:rsidR="00D34A6C" w:rsidRPr="008D7F3D" w:rsidRDefault="00D34A6C" w:rsidP="00D34A6C">
      <w:pPr>
        <w:spacing w:line="276" w:lineRule="auto"/>
        <w:ind w:left="360"/>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Evropská banka pro obnovu a rozvoj (EBRD) v posledních letech zásadním způsobem navyšuje zelené financování na boj proti klimatické změně a podporu trvale udržitelných zdrojů energie. Jako součást realizovaných zelených operací EBRD vznikl v roce 2016 program Green Cities a v jeho pilotní fázi bylo na podporu udržitelného rozvoje městské infrastruktury alokováno 250 mil. EUR. V současné době se jedná o jednu z vlajkových aktivit EBRD a důležitou součást širšího záměru banky stát se lídrem ve financování udržitelných a zelených investičních projektů. Cílem je postupné navyšování zelených investic až na 40 % veškerých aktivit EBRD do roku 2020. Již v roce 2019 se však EBRD podařilo tento cíl naplnit a realizovat zelené investice v rekordním objemu 4,6 mld. EUR, což představuje 46% podíl na celkových investicích banky (původní cíl pro rok 2019 byl na úrovni 38 %). Přibližně dvě třetiny tohoto objemu tvořily investice do energetické účinnosti. </w:t>
      </w:r>
    </w:p>
    <w:p w14:paraId="022213B5" w14:textId="77777777" w:rsidR="00D34A6C" w:rsidRPr="008D7F3D" w:rsidRDefault="00D34A6C" w:rsidP="00D34A6C">
      <w:pPr>
        <w:spacing w:line="288" w:lineRule="auto"/>
        <w:jc w:val="both"/>
        <w:rPr>
          <w:rFonts w:ascii="Times New Roman" w:hAnsi="Times New Roman" w:cs="Times New Roman"/>
          <w:bCs/>
          <w:color w:val="000000" w:themeColor="text1"/>
        </w:rPr>
      </w:pPr>
    </w:p>
    <w:p w14:paraId="705ABB6D" w14:textId="77777777" w:rsidR="00D34A6C" w:rsidRPr="008D7F3D" w:rsidRDefault="00D34A6C" w:rsidP="00D34A6C">
      <w:pPr>
        <w:spacing w:line="276" w:lineRule="auto"/>
        <w:ind w:left="360"/>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 dubnu 2019 schválila Rada ředitelů EBRD tzv. Municipal and Environmental Infrastructure Sector Strategy pro období 2019-2024. Strategie je zaměřena na efektivní boj s dopady klimatických změn v zemích operací EBRD. Hlavním cílem je poskytnout finanční prostředky na udržitelné a zelené projekty v alespoň 100 městech, a to jako součást programu Green Cities i skrze samostatné investiční záměry. Program Green Cities dosud EBRD realizuje ve 35 městech, včetně přímé podpory ČR a zapojení českých podnikatelských subjektů u pilotních projektů. V oblasti energetiky byly českými konzultanty vypracovány studie (tzv. Green Cities Action Plans) v Jerevanu, Tbilisi a Lvově zaměřující se na udržitelný rozvoj těchto měst a navržení příslušných reforem. Z finančního rámce programu Green Cities bylo dále podpořeno 8 projektů na podporu rozvoje infrastruktury, konkrétně se jednalo o investice do energetické účinnosti veřejných budov, kanalizace a vybavení městské hromadné dopravy elektrickými autobusy.</w:t>
      </w:r>
    </w:p>
    <w:p w14:paraId="63D53909" w14:textId="77777777" w:rsidR="00D34A6C" w:rsidRPr="008D7F3D" w:rsidRDefault="00D34A6C" w:rsidP="00D34A6C">
      <w:pPr>
        <w:spacing w:line="288" w:lineRule="auto"/>
        <w:ind w:left="360"/>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Program EBRD Green Cities je podporován řadou donorů, mezi které se vedle donorských zemí EBRD (včetně České republiky) řadí také Green Climate Fund, Western Balkans Investment Framework, EU a E5P. Na podporu zelených měst a jejich udržitelného rozvoje je díky této podpoře v současné době alokována částka 1 mld. EUR. </w:t>
      </w:r>
    </w:p>
    <w:p w14:paraId="05FA0988" w14:textId="77777777" w:rsidR="00D34A6C" w:rsidRPr="008D7F3D" w:rsidRDefault="00D34A6C" w:rsidP="00D34A6C">
      <w:pPr>
        <w:spacing w:line="276" w:lineRule="auto"/>
        <w:ind w:left="360"/>
        <w:contextualSpacing/>
        <w:jc w:val="both"/>
        <w:rPr>
          <w:rFonts w:ascii="Times New Roman" w:hAnsi="Times New Roman" w:cs="Times New Roman"/>
          <w:bCs/>
          <w:color w:val="000000" w:themeColor="text1"/>
        </w:rPr>
      </w:pPr>
    </w:p>
    <w:p w14:paraId="644C522A" w14:textId="77777777" w:rsidR="00CA11A4" w:rsidRPr="008D7F3D" w:rsidRDefault="00CA11A4" w:rsidP="00D34A6C">
      <w:pPr>
        <w:spacing w:line="276" w:lineRule="auto"/>
        <w:ind w:left="360"/>
        <w:contextualSpacing/>
        <w:jc w:val="both"/>
        <w:rPr>
          <w:rFonts w:ascii="Times New Roman" w:hAnsi="Times New Roman" w:cs="Times New Roman"/>
          <w:bCs/>
          <w:color w:val="000000" w:themeColor="text1"/>
        </w:rPr>
      </w:pPr>
    </w:p>
    <w:p w14:paraId="5EF8F218" w14:textId="77777777" w:rsidR="00CA11A4" w:rsidRPr="008D7F3D" w:rsidRDefault="00CA11A4" w:rsidP="00D34A6C">
      <w:pPr>
        <w:spacing w:line="276" w:lineRule="auto"/>
        <w:ind w:left="360"/>
        <w:contextualSpacing/>
        <w:jc w:val="both"/>
        <w:rPr>
          <w:rFonts w:ascii="Times New Roman" w:hAnsi="Times New Roman" w:cs="Times New Roman"/>
          <w:bCs/>
          <w:color w:val="000000" w:themeColor="text1"/>
        </w:rPr>
      </w:pPr>
    </w:p>
    <w:p w14:paraId="0F6C5E96" w14:textId="77777777" w:rsidR="00D34A6C" w:rsidRPr="008D7F3D" w:rsidRDefault="00D34A6C" w:rsidP="00D34A6C">
      <w:pPr>
        <w:pStyle w:val="Odstavecseseznamem"/>
        <w:numPr>
          <w:ilvl w:val="0"/>
          <w:numId w:val="13"/>
        </w:numPr>
        <w:spacing w:after="120" w:line="276" w:lineRule="auto"/>
        <w:ind w:left="720"/>
        <w:rPr>
          <w:rFonts w:ascii="Times New Roman" w:hAnsi="Times New Roman" w:cs="Times New Roman"/>
          <w:bCs/>
          <w:color w:val="000000" w:themeColor="text1"/>
        </w:rPr>
      </w:pPr>
      <w:r w:rsidRPr="008D7F3D">
        <w:rPr>
          <w:rFonts w:ascii="Times New Roman" w:hAnsi="Times New Roman" w:cs="Times New Roman"/>
          <w:bCs/>
          <w:color w:val="000000" w:themeColor="text1"/>
          <w:u w:val="single"/>
        </w:rPr>
        <w:t>Skupina Světové banky (WBG)</w:t>
      </w:r>
    </w:p>
    <w:p w14:paraId="4B754821"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Na zelené financování jako na klíčový aspekt pro dosažení cílů udržitelného rozvoje (tzv. SDGs stanovené Agendou 2030) kladou důraz také instituce spadající do Skupiny Světové banky (WBG). Ve fiskálním roce 2019 představovalo zelené financování 30 % všech investic WBG, čímž byl již překonán cíl 28 % do roku 2020. V období 2021 – 2025 plánuje WBG poskytnout zelené financování v celkovém objemu 200 mld. USD. Prostřednictvím finančních nástrojů a technické asistence podporuje WBG země operací v naplňování národních klimatických plánů přijatých v návaznosti na Pařížskou dohodu. </w:t>
      </w:r>
    </w:p>
    <w:p w14:paraId="6D5CF732"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Ve svých operacích se WBG také specificky zaměřuje na adaptaci a posilování odolnosti vůči klimatické změně-dle strategického dokumentu „Action Plan on Climate Change Adaptation and Resilience“ poskytne WBG ve fiskálních letech 2021 – 2025 na tento účel prostředky v průměrné výši 10 mld. USD ročně.</w:t>
      </w:r>
    </w:p>
    <w:p w14:paraId="228437DF"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Reakce na klimatickou změnu je současně přímo jednou z tematických priorit, na které se zaměřuje Mezinárodní asociace pro rozvoj (IDA) poskytující zvýhodněné financování nejchudším ekonomikám světa. ČR se dlouhodobě řadí mezi donory IDA. </w:t>
      </w:r>
    </w:p>
    <w:p w14:paraId="45601F7B"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p>
    <w:p w14:paraId="13A497BD" w14:textId="77777777" w:rsidR="00D34A6C" w:rsidRPr="008D7F3D" w:rsidRDefault="00D34A6C" w:rsidP="00D34A6C">
      <w:pPr>
        <w:pStyle w:val="Odstavecseseznamem"/>
        <w:numPr>
          <w:ilvl w:val="0"/>
          <w:numId w:val="13"/>
        </w:numPr>
        <w:spacing w:after="120" w:line="276" w:lineRule="auto"/>
        <w:ind w:left="720"/>
        <w:rPr>
          <w:rFonts w:ascii="Times New Roman" w:hAnsi="Times New Roman" w:cs="Times New Roman"/>
          <w:bCs/>
          <w:color w:val="000000" w:themeColor="text1"/>
          <w:u w:val="single"/>
        </w:rPr>
      </w:pPr>
      <w:r w:rsidRPr="008D7F3D">
        <w:rPr>
          <w:rFonts w:ascii="Times New Roman" w:hAnsi="Times New Roman" w:cs="Times New Roman"/>
          <w:bCs/>
          <w:color w:val="000000" w:themeColor="text1"/>
          <w:u w:val="single"/>
        </w:rPr>
        <w:t>Evropská investiční banka (EIB)</w:t>
      </w:r>
    </w:p>
    <w:p w14:paraId="2C5DF046"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Evropská investiční banka (EIB) se dlouhodobě řadí mezi největší poskytovatele financování v oblasti klimatu (již v roce 2007 např. vydala první zelené dluhopisy pod názvem “Climate Awareness Bonds“). Z půjček, které EIB poskytla v roce 2018 mimo EU, se téměř 30 % týkalo podpory v oblasti změny klimatu a udržitelnosti životního prostředí – převážně šlo o projekty v oblasti vodohospodářství, obnovitelných zdrojů a dopravy. </w:t>
      </w:r>
    </w:p>
    <w:p w14:paraId="2AD77344"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Schválením nové úvěrové strategie v oblasti energetiky na podzim roku 2019 EIB ukončila financování veškerých energetických projektů závisejících na fosilních palivech a spustila ambiciózní investiční plán v oblasti ochrany klimatu s cílem podpořit naplňování Zelené dohody pro Evropu. EIB chce postupně navýšit podíl svého financování vyčleněného na ochranu klimatu a udržitelnost životního prostředí tak, aby tento podíl dosáhl do roku 2025 a v dalších letech alespoň 50 % jejích operací. Do roku 2030 chce EIB vyčlenit až 1 bilion EUR na investice do ochrany klimatu a udržitelnosti životního prostředí, přičemž přibližně 20 % z toho má směřovat na operace mimo EU. </w:t>
      </w:r>
    </w:p>
    <w:p w14:paraId="266DB645" w14:textId="77777777" w:rsidR="00D34A6C" w:rsidRPr="008D7F3D" w:rsidRDefault="00D34A6C" w:rsidP="00D34A6C">
      <w:pPr>
        <w:spacing w:line="288" w:lineRule="auto"/>
        <w:rPr>
          <w:rFonts w:ascii="Times New Roman" w:hAnsi="Times New Roman" w:cs="Times New Roman"/>
          <w:b/>
          <w:bCs/>
          <w:color w:val="000000" w:themeColor="text1"/>
        </w:rPr>
      </w:pPr>
    </w:p>
    <w:p w14:paraId="59F6423E"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ČR se řadí mezi donorské státy EBRD, v současné době však do donorského fondu aktivně nepřispívá. Uvedené projekty z programu EBRD Green Cities, na jejichž realizaci se podíleli čeští konzultanti, byly podpořeny ze zůstatku prostředků z českého bilaterálního Fondu technické spolupráce. Ten fungoval u EBRD od 1. ledna 2008 do 31. 12. 2015 a byl určen výhradně pro české subjekty se záměrem posílení a upevnění obchodních vazeb českých subjektů a jejich aktivního zapojení do projektů EBRD. Činnost Fondu byla ke konci roku 2015 ukončena, a to na základě rozhodnutí Rady guvernérů EBRD o uzavření veškerých vázaných fondů. Část nevyčerpaných prostředků však byla na účtu v EBRD zachována pro pokrytí prioritních aktivit ČR v rámci EBRD. </w:t>
      </w:r>
    </w:p>
    <w:p w14:paraId="575821CF" w14:textId="77777777" w:rsidR="00D34A6C" w:rsidRPr="008D7F3D" w:rsidRDefault="00D34A6C" w:rsidP="00D34A6C">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V případě institucí WBG se ČR na financování aktivit podílí prostřednictvím kapitálových vkladů, včetně aktuálně probíhající účasti na navyšování kapitálu Mezinárodní banky pro obnovu a rozvoj, a prostřednictvím pravidelných příspěvků do IDA. Tyto prostředky ovšem nelze vztáhnout výhradně na klimatické financování, které tvoří jen část portfolia rozvojových operací WBG. </w:t>
      </w:r>
    </w:p>
    <w:p w14:paraId="6B15E181" w14:textId="77777777" w:rsidR="00DA03BA" w:rsidRDefault="00D34A6C" w:rsidP="00DA03BA">
      <w:pPr>
        <w:spacing w:after="120" w:line="276" w:lineRule="auto"/>
        <w:ind w:left="360"/>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Co se týče EIB, kromě kapitálového vkladu se ČR rovněž podílí na financování aktivit banky mimo EU prostřednictvím pravidelných plateb do Evropského rozvojového fondu (EDF) určeného pro realizaci rozvojové spolupráce EU vůči zemím regionu ACP (Afrika, Karibik, Pacifik). Obdobně jako u WBG, ani v tomto případě však nelze označit tyto prostředky jako výhradně určené pro zelené financování. </w:t>
      </w:r>
    </w:p>
    <w:p w14:paraId="417913DD" w14:textId="77777777" w:rsidR="00DA03BA" w:rsidRDefault="00DA03BA">
      <w:pPr>
        <w:rPr>
          <w:rFonts w:ascii="Times New Roman" w:hAnsi="Times New Roman" w:cs="Times New Roman"/>
          <w:bCs/>
          <w:color w:val="000000" w:themeColor="text1"/>
        </w:rPr>
      </w:pPr>
      <w:r>
        <w:rPr>
          <w:rFonts w:ascii="Times New Roman" w:hAnsi="Times New Roman" w:cs="Times New Roman"/>
          <w:bCs/>
          <w:color w:val="000000" w:themeColor="text1"/>
        </w:rPr>
        <w:br w:type="page"/>
      </w:r>
    </w:p>
    <w:p w14:paraId="5CFBE4D1" w14:textId="77777777" w:rsidR="00CA11A4" w:rsidRPr="008D7F3D" w:rsidRDefault="00CA11A4" w:rsidP="00DA03BA">
      <w:pPr>
        <w:spacing w:after="120" w:line="276" w:lineRule="auto"/>
        <w:ind w:left="360"/>
        <w:jc w:val="both"/>
        <w:rPr>
          <w:rFonts w:ascii="Times New Roman" w:hAnsi="Times New Roman" w:cs="Times New Roman"/>
          <w:b/>
          <w:color w:val="000000" w:themeColor="text1"/>
          <w:u w:val="single"/>
        </w:rPr>
      </w:pPr>
    </w:p>
    <w:p w14:paraId="46861678" w14:textId="77777777" w:rsidR="00716E3B" w:rsidRPr="008D7F3D" w:rsidRDefault="006C37B9" w:rsidP="00DA03BA">
      <w:pPr>
        <w:pStyle w:val="Nadpis1"/>
      </w:pPr>
      <w:bookmarkStart w:id="9" w:name="_Toc49930234"/>
      <w:r w:rsidRPr="008D7F3D">
        <w:t>Ministerstvo práce a sociálních věcí</w:t>
      </w:r>
      <w:bookmarkEnd w:id="9"/>
    </w:p>
    <w:p w14:paraId="2118CCB1" w14:textId="77777777" w:rsidR="006C37B9" w:rsidRPr="008D7F3D" w:rsidRDefault="006C37B9" w:rsidP="00B03C45">
      <w:pPr>
        <w:jc w:val="both"/>
        <w:rPr>
          <w:rFonts w:ascii="Times New Roman" w:hAnsi="Times New Roman" w:cs="Times New Roman"/>
          <w:b/>
          <w:color w:val="000000" w:themeColor="text1"/>
        </w:rPr>
      </w:pPr>
    </w:p>
    <w:p w14:paraId="4F7166A3" w14:textId="77777777" w:rsidR="00716E3B" w:rsidRPr="00345CD7" w:rsidRDefault="00716E3B" w:rsidP="00345CD7">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345CD7">
        <w:rPr>
          <w:rFonts w:ascii="Times New Roman" w:hAnsi="Times New Roman" w:cs="Times New Roman"/>
          <w:b/>
          <w:noProof/>
          <w:color w:val="000000" w:themeColor="text1"/>
        </w:rPr>
        <w:t>Dodávky čisté, dostupné a bezpečné energie</w:t>
      </w:r>
    </w:p>
    <w:p w14:paraId="4C7B47DE" w14:textId="77777777" w:rsidR="00716E3B" w:rsidRPr="00345CD7" w:rsidRDefault="00716E3B" w:rsidP="00345CD7">
      <w:pPr>
        <w:jc w:val="both"/>
        <w:rPr>
          <w:rFonts w:ascii="Times New Roman" w:hAnsi="Times New Roman" w:cs="Times New Roman"/>
          <w:color w:val="000000" w:themeColor="text1"/>
          <w:lang w:val="fr-FR" w:eastAsia="en-GB"/>
        </w:rPr>
      </w:pPr>
      <w:r w:rsidRPr="00345CD7">
        <w:rPr>
          <w:rFonts w:ascii="Times New Roman" w:hAnsi="Times New Roman" w:cs="Times New Roman"/>
          <w:color w:val="000000" w:themeColor="text1"/>
          <w:lang w:val="fr-FR" w:eastAsia="en-GB"/>
        </w:rPr>
        <w:t>Ve vztahu k možným dopadům opatření uvedených v Zelené dohodě pro Evropu, část 2.1.2 Dodávky čisté, dostupné a bezpečné energie 1) čekáme na pokyny, které slíbila Komise v roce 2020 vydat a které mají pomoci členským státům řešit otázku energetické chudoby ; 2) v souladu s obecnou částí Rámcové pozice - jejím bodem o plném využití potenciálu již existujících nástrojů a opatření – uvádíme, že jedním z dílčích  nástrojů, který reaguje na předpokládané zvyšování cen energií v důsledku ekologických cílů stanovených v Zelené dohodě pro Evropu a snižuje dopady na sociální situaci domácností, může být dávková podpora, zaměřená na osoby, které nemají dostatek prostředků na úhradu nákladů za energie, nebo čelí energetické chudobě. V českém prostředí je pomoc těmto osobám poskytována prostřednictvím dávek na bydlení. Obě existující dávky - příspěvek na bydlení ze systému státní sociální podpory a doplatek na bydlení ze systému pomoci v hmotné nouzi - zahrnují náklady na energie do celkových nákladů na bydlení, tudíž zvýšení cen energií se projeví v růstu výše dávky. Koncept použitý v konstrukci  dávek na bydlení představuje cestu, jak omezit až odstranit nepříznivé dopady environmentální politiky na finanční situaci nízko a středně příjmových domácností a jak předcházet vzniku energetické chudoby, případně ji řešit. Výdaje na dávky na bydlení jsou mandatorními výdaji státního rozpočtu, zdrojem financování je všeobecné zdanění. V roce 2019 stát vynaložil na dávky v oblasti bydlení necelých 9 mld. Kč.</w:t>
      </w:r>
      <w:r w:rsidRPr="00345CD7">
        <w:rPr>
          <w:rFonts w:ascii="Times New Roman" w:hAnsi="Times New Roman" w:cs="Times New Roman"/>
          <w:color w:val="000000" w:themeColor="text1"/>
          <w:lang w:val="fr-FR" w:eastAsia="en-GB"/>
        </w:rPr>
        <w:tab/>
      </w:r>
    </w:p>
    <w:p w14:paraId="3080E285" w14:textId="77777777" w:rsidR="0073073E" w:rsidRPr="008D7F3D" w:rsidRDefault="0073073E" w:rsidP="0073073E">
      <w:pPr>
        <w:rPr>
          <w:rFonts w:ascii="Times New Roman" w:hAnsi="Times New Roman" w:cs="Times New Roman"/>
          <w:color w:val="000000" w:themeColor="text1"/>
          <w:lang w:val="fr-FR"/>
        </w:rPr>
      </w:pPr>
    </w:p>
    <w:p w14:paraId="5B7EDE1C"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V rámci schválené Strategie sociálnío začleňování 2021-2030 byl definován cíl « Zvyšovat dostupnost bydlení pro osoby ohrožené vyloučením z bydlení nebo po jeho ztrátě », jehož součástí také je prevence energetické chudoby a ochrana zranitelných cílových skupin.</w:t>
      </w:r>
    </w:p>
    <w:p w14:paraId="2D1BB130" w14:textId="77777777" w:rsidR="00716E3B" w:rsidRPr="00DA03BA" w:rsidRDefault="00716E3B"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DA03BA">
        <w:rPr>
          <w:rFonts w:ascii="Times New Roman" w:hAnsi="Times New Roman" w:cs="Times New Roman"/>
          <w:b/>
          <w:noProof/>
          <w:color w:val="000000" w:themeColor="text1"/>
        </w:rPr>
        <w:t xml:space="preserve">Aktivizace průmyslu pro čisté oběhové hospodářství </w:t>
      </w:r>
    </w:p>
    <w:p w14:paraId="1A695030"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 xml:space="preserve">MPSV reflektuje vliv tzv. zelené ekonomiky na trh práce ve svém Strategickém rámci politiky zaměstnanosti do roku 2030. Predikuje, že bude posilována zaměstnanost v těch segmentech hospodářství, které mají vazbu na životní prostředí a jeho ochranu a které budou v budoucnu nabývat na významu (např. v oblasti retence vody v krajině, odpadovém hospodářství, úspoře energií, apod.). Současně konstatuje, že rostoucí požadavky na přijetí či rozšíření politik k ochraně životního prostředí a boje s klimatickými změnami, včetně souvisejících restrikcí k dosažení uhlíkové neutrality, povedou k útlumu některých odvětví s negativním dopadem na zaměstnanost, zejména v uhelných regionech, a rovněž v regionech, kde je uhlí zpracováváno. </w:t>
      </w:r>
    </w:p>
    <w:p w14:paraId="5535FB6E"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Na tyto výzvy reaguje Strategický rámec politiky zaměstnanosti do roku 2030 rámcovými strategickými opatřeními uvedenými v pilíři Adaptabilita. MPSV připravuje opatření v oblasti podpory outplacementových aktivit podporujících transformaci dotčených odvětví a přechod pracovní síly do odvětví nových, opatření v oblasti dalšího vzdělávání a rekvalifikací a v oblasti predikcí trhu práce a celoživotního kariérového poradenství</w:t>
      </w:r>
    </w:p>
    <w:p w14:paraId="12FB9B6E"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Zelená dohoda pro Evropu je velmi ambiciózní strategií zeleného a udržitelného růstu. ČR je ekonomikou na uhlí vysoce závislou, požadovaná dekarbonizace by vyžadovala velmi vysoké náklady a vliv na zaměstnanost by byl větší než v jiných zemích EU. MPSV vnímá klíčovou roli mechanismu resp. Fondu pro spravedlivou transformaci, který se soustředí na území a regiony, kde má transformace spjatá s klimatem větší rozsah. Fond by měl přispět ke zmírnění socioekonomických dopadů v těch regionech a odvětvích, které jsou transformací dotčeny nejvíce, protože ve velké míře využívají fosilní paliva nebo mají energeticky náročný průmysl.</w:t>
      </w:r>
    </w:p>
    <w:p w14:paraId="59869716"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V roce 2019 bylo v přímo dotčených odvětvích, kterých se tato část EGD dotýká zaměstnáno:</w:t>
      </w:r>
    </w:p>
    <w:p w14:paraId="1B5F15D0"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w:t>
      </w:r>
      <w:r w:rsidRPr="008D7F3D">
        <w:rPr>
          <w:rFonts w:ascii="Times New Roman" w:hAnsi="Times New Roman" w:cs="Times New Roman"/>
          <w:color w:val="000000" w:themeColor="text1"/>
          <w:lang w:val="fr-FR" w:eastAsia="en-GB"/>
        </w:rPr>
        <w:tab/>
        <w:t>55,1 tisíce osob v oddílu CZ-NACE 24 - Výroba zákl. kovů, hutní zpracování kovů; slévárenství</w:t>
      </w:r>
    </w:p>
    <w:p w14:paraId="29D498D7"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w:t>
      </w:r>
      <w:r w:rsidRPr="008D7F3D">
        <w:rPr>
          <w:rFonts w:ascii="Times New Roman" w:hAnsi="Times New Roman" w:cs="Times New Roman"/>
          <w:color w:val="000000" w:themeColor="text1"/>
          <w:lang w:val="fr-FR" w:eastAsia="en-GB"/>
        </w:rPr>
        <w:tab/>
        <w:t>100,7 tisíce osob v oddílu CZ-NACE 22 - Výroba pryžových a plastových výrobků</w:t>
      </w:r>
    </w:p>
    <w:p w14:paraId="5BF8467F"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 xml:space="preserve">Dále pravděpodobně dojde k ovlivnění dalších pracovních míst v oblasti chemického či textilního průmyslu, a v oblasti těžby a zpracování fosilních paliv (zejména uhlí a energetika), jestliže nebude dostatečně zvládnut přechod na nízkouhlíkové hospodářství a dekarbonizaci těchto odvětví. Kvantifikace míry ohrožení v těchto segmentech hospodářství není v současné době možná, jelikož prováděcí dokumenty s reálným dopadem jsou teprve připravovány.  </w:t>
      </w:r>
    </w:p>
    <w:p w14:paraId="5EB56089" w14:textId="77777777" w:rsidR="00716E3B" w:rsidRPr="00DA03BA" w:rsidRDefault="00716E3B"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DA03BA">
        <w:rPr>
          <w:rFonts w:ascii="Times New Roman" w:hAnsi="Times New Roman" w:cs="Times New Roman"/>
          <w:b/>
          <w:noProof/>
          <w:color w:val="000000" w:themeColor="text1"/>
        </w:rPr>
        <w:t>Stavět a renovovat za účinného využívání energie a zdrojů</w:t>
      </w:r>
    </w:p>
    <w:p w14:paraId="6F453EE9"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 xml:space="preserve">Tento bod se MPSV dotýká jen velmi okrajově. </w:t>
      </w:r>
    </w:p>
    <w:p w14:paraId="4E8B5400"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 xml:space="preserve">V rámci schválené Strategie sociálního začleňování 2021-2030 byl definován cíl « Zvyšovat dostupnost bydlení pro osoby ohrožené vyloučením z bydlení nebo po jeho ztrátě », jehož součástí je vytvoření a rozvoj odpovídajících finančních nástrojů k realizaci záměru sociálního bydlení. </w:t>
      </w:r>
    </w:p>
    <w:p w14:paraId="52225872" w14:textId="77777777" w:rsidR="00716E3B" w:rsidRPr="008D7F3D" w:rsidRDefault="00716E3B" w:rsidP="00716E3B">
      <w:pPr>
        <w:jc w:val="both"/>
        <w:rPr>
          <w:rFonts w:ascii="Times New Roman" w:hAnsi="Times New Roman" w:cs="Times New Roman"/>
          <w:color w:val="000000" w:themeColor="text1"/>
          <w:lang w:val="fr-FR" w:eastAsia="en-GB"/>
        </w:rPr>
      </w:pPr>
      <w:r w:rsidRPr="008D7F3D">
        <w:rPr>
          <w:rFonts w:ascii="Times New Roman" w:hAnsi="Times New Roman" w:cs="Times New Roman"/>
          <w:color w:val="000000" w:themeColor="text1"/>
          <w:lang w:val="fr-FR" w:eastAsia="en-GB"/>
        </w:rPr>
        <w:t xml:space="preserve">Provazba financování sociální práce a investičních programů na </w:t>
      </w:r>
      <w:r w:rsidRPr="008D7F3D">
        <w:rPr>
          <w:rFonts w:ascii="Times New Roman" w:hAnsi="Times New Roman" w:cs="Times New Roman"/>
          <w:b/>
          <w:bCs/>
          <w:color w:val="000000" w:themeColor="text1"/>
          <w:lang w:val="fr-FR" w:eastAsia="en-GB"/>
        </w:rPr>
        <w:t>sociální bydlení</w:t>
      </w:r>
      <w:r w:rsidRPr="008D7F3D">
        <w:rPr>
          <w:rFonts w:ascii="Times New Roman" w:hAnsi="Times New Roman" w:cs="Times New Roman"/>
          <w:color w:val="000000" w:themeColor="text1"/>
          <w:lang w:val="fr-FR" w:eastAsia="en-GB"/>
        </w:rPr>
        <w:t xml:space="preserve">, vždy integrované výzvy. Bydlením je vždy rozuměno bydlení ve standardních nesegregovaných bytech. Minimalizace dlouhodobého bydlení v substandardních formách s ohledem na bezpečí takto žijících osob. Snížení konfliktů v bydlení, řešení problematických situací a podpora spokojeného sousedství osob ohrožených sociálním vyloučením a běžné populace, mediace, rozvoj komunitní práce, domovnictví atd. Prevence energetické chudoby, ochrana zranitelných cílových skupin. </w:t>
      </w:r>
      <w:r w:rsidRPr="008D7F3D">
        <w:rPr>
          <w:rFonts w:ascii="Times New Roman" w:hAnsi="Times New Roman" w:cs="Times New Roman"/>
          <w:b/>
          <w:bCs/>
          <w:color w:val="000000" w:themeColor="text1"/>
          <w:lang w:val="fr-FR" w:eastAsia="en-GB"/>
        </w:rPr>
        <w:t xml:space="preserve">Adaptace bytového fondu na zásadní společenské výzvy (demografické stárnutí, energetická chudoba, klimatická změna) a s ohledem na rozmanitost místních podmínek bydlení. </w:t>
      </w:r>
      <w:r w:rsidRPr="008D7F3D">
        <w:rPr>
          <w:rFonts w:ascii="Times New Roman" w:hAnsi="Times New Roman" w:cs="Times New Roman"/>
          <w:color w:val="000000" w:themeColor="text1"/>
          <w:lang w:val="fr-FR" w:eastAsia="en-GB"/>
        </w:rPr>
        <w:t>Bydlení bude plnit principy solidarity, rovnosti, subsidiarity, dostupnosti a dobrovolnosti, bude kladen důraz na prevenci, efektivitu a individuálně zaměřenou sociální práci.</w:t>
      </w:r>
    </w:p>
    <w:p w14:paraId="0AA7DC18" w14:textId="77777777" w:rsidR="00716E3B" w:rsidRPr="008D7F3D" w:rsidRDefault="00716E3B" w:rsidP="00716E3B">
      <w:pPr>
        <w:rPr>
          <w:rFonts w:ascii="Times New Roman" w:hAnsi="Times New Roman" w:cs="Times New Roman"/>
          <w:i/>
          <w:iCs/>
          <w:color w:val="000000" w:themeColor="text1"/>
        </w:rPr>
      </w:pPr>
      <w:r w:rsidRPr="008D7F3D">
        <w:rPr>
          <w:rFonts w:ascii="Times New Roman" w:hAnsi="Times New Roman" w:cs="Times New Roman"/>
          <w:b/>
          <w:bCs/>
          <w:i/>
          <w:iCs/>
          <w:color w:val="000000" w:themeColor="text1"/>
        </w:rPr>
        <w:t>Prosazování ekologického financování a investic a zajištění spravedlivé transformace</w:t>
      </w:r>
    </w:p>
    <w:p w14:paraId="64B32D8E" w14:textId="77777777" w:rsidR="00716E3B" w:rsidRPr="008D7F3D" w:rsidRDefault="00716E3B" w:rsidP="00716E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MPSV považuje za klíčové zdroje financování a zajištění spravedlivé transformace, v rámci či s dopadem do své působnosti, ESF+ a JTF.  </w:t>
      </w:r>
    </w:p>
    <w:p w14:paraId="48E77A33" w14:textId="77777777" w:rsidR="00716E3B" w:rsidRPr="008D7F3D" w:rsidRDefault="00716E3B" w:rsidP="00716E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V současné době je MPSV zapojeno do přípravy plánu/plánů spravedlivé územní transformace (PSÚT), který/é vymezí opatření ČR navržená k financování z Fondu spravedlivé transformace (FST). PSÚT budou základem pro vyjednávání ČR s EK.  Na jednání dne 27. 7. 2020 vláda ČR rozhodla, že v ČR bude existovat jeden operační program FST řízený Ministerstvem životního prostředí. Vláda ČR také uložila MMR ve spolupráci s MŽP, MPO, MF a MPSV předložit návrh PSÚT vládě do 15. 10. 2020. Vzhledem k tomu, že z FST by měla být financována také doprovodná sociální opatření související s transformací příslušných odvětví, je v zájmu MPSV, aby využilo možnosti být zprostředkujícím subjektem tohoto operačního programu. Celková alokace operačního programu FST zatím není finálně známá (neproběhla, resp. ještě ani nemohla proběhnout debata o výši povinného příspěvku ERDF/ESF+ do FST), nicméně předběžné výpočty předpokládají alokaci OP FST mezi 70-90 mld. Kč. Vyčíslení potřebného množství prostředků pro řešení sociálních dopadů transformace zatím není známo.</w:t>
      </w:r>
    </w:p>
    <w:p w14:paraId="7347D9A8" w14:textId="77777777" w:rsidR="00716E3B" w:rsidRPr="008D7F3D" w:rsidRDefault="00716E3B" w:rsidP="00716E3B">
      <w:pPr>
        <w:rPr>
          <w:rFonts w:ascii="Times New Roman" w:hAnsi="Times New Roman" w:cs="Times New Roman"/>
          <w:b/>
          <w:bCs/>
          <w:i/>
          <w:iCs/>
          <w:color w:val="000000" w:themeColor="text1"/>
        </w:rPr>
      </w:pPr>
      <w:r w:rsidRPr="008D7F3D">
        <w:rPr>
          <w:rFonts w:ascii="Times New Roman" w:hAnsi="Times New Roman" w:cs="Times New Roman"/>
          <w:b/>
          <w:bCs/>
          <w:i/>
          <w:iCs/>
          <w:color w:val="000000" w:themeColor="text1"/>
        </w:rPr>
        <w:t>Zapojení vzdělávání a odborné přípravy</w:t>
      </w:r>
    </w:p>
    <w:p w14:paraId="2675E7C9" w14:textId="77777777" w:rsidR="00716E3B" w:rsidRPr="008D7F3D" w:rsidRDefault="00716E3B" w:rsidP="00716E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MPSV sdílí postoj, že důležitou úlohu při pomoci pracujícím při získávání dovedností, potřebných pro přechod z upadajících odvětví do rozvíjejících se odvětví a pro přizpůsobení se novým procesům, bude hrát navrhovaný Evropský sociální fond plus, a to zejména podporou rekvalifikací adaptovaných na potřeby transformace.</w:t>
      </w:r>
    </w:p>
    <w:p w14:paraId="1449D746" w14:textId="77777777" w:rsidR="00716E3B" w:rsidRPr="008D7F3D" w:rsidRDefault="00716E3B" w:rsidP="00716E3B">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Nad rámec výše uvedených částí, u nichž je vztah </w:t>
      </w:r>
      <w:r w:rsidR="005F0170" w:rsidRPr="008D7F3D">
        <w:rPr>
          <w:rFonts w:ascii="Times New Roman" w:hAnsi="Times New Roman" w:cs="Times New Roman"/>
          <w:color w:val="000000" w:themeColor="text1"/>
        </w:rPr>
        <w:t>ke</w:t>
      </w:r>
      <w:r w:rsidRPr="008D7F3D">
        <w:rPr>
          <w:rFonts w:ascii="Times New Roman" w:hAnsi="Times New Roman" w:cs="Times New Roman"/>
          <w:color w:val="000000" w:themeColor="text1"/>
        </w:rPr>
        <w:t xml:space="preserve"> gesci MPSV uveden, je nutné věnovat pozornost rovněž části 2.1.5, která může mít potenciálně negativní dopad na hospodářství ČR. Restrukturalizace dopravy může významně ovlivnit automobilový průmysl, přičemž v ČR je v oddíle CZ-NACE 29 Výroba mot. vozidel (kromě motocyklů), přívěsů a návěsů zaměstnáno celkem 247 tisíce osob a další odvětví jsou na tomto sektoru přímo závislá (jak v rámci </w:t>
      </w:r>
      <w:r w:rsidR="005F0170" w:rsidRPr="008D7F3D">
        <w:rPr>
          <w:rFonts w:ascii="Times New Roman" w:hAnsi="Times New Roman" w:cs="Times New Roman"/>
          <w:color w:val="000000" w:themeColor="text1"/>
        </w:rPr>
        <w:t>ČR,</w:t>
      </w:r>
      <w:r w:rsidRPr="008D7F3D">
        <w:rPr>
          <w:rFonts w:ascii="Times New Roman" w:hAnsi="Times New Roman" w:cs="Times New Roman"/>
          <w:color w:val="000000" w:themeColor="text1"/>
        </w:rPr>
        <w:t xml:space="preserve"> tak v rámci exportu).</w:t>
      </w:r>
    </w:p>
    <w:p w14:paraId="6FD45651" w14:textId="77777777" w:rsidR="00716E3B" w:rsidRPr="008D7F3D" w:rsidRDefault="00716E3B" w:rsidP="00B03C45">
      <w:pPr>
        <w:jc w:val="both"/>
        <w:rPr>
          <w:rFonts w:ascii="Times New Roman" w:hAnsi="Times New Roman" w:cs="Times New Roman"/>
          <w:i/>
          <w:color w:val="000000" w:themeColor="text1"/>
        </w:rPr>
      </w:pPr>
    </w:p>
    <w:p w14:paraId="400062FA" w14:textId="77777777" w:rsidR="00537D7E" w:rsidRPr="008D7F3D" w:rsidRDefault="00537D7E" w:rsidP="00B03C45">
      <w:pPr>
        <w:jc w:val="both"/>
        <w:rPr>
          <w:rFonts w:ascii="Times New Roman" w:hAnsi="Times New Roman" w:cs="Times New Roman"/>
          <w:i/>
          <w:color w:val="000000" w:themeColor="text1"/>
        </w:rPr>
      </w:pPr>
    </w:p>
    <w:p w14:paraId="69E1ECE8" w14:textId="77777777" w:rsidR="00537D7E" w:rsidRPr="008D7F3D" w:rsidRDefault="00537D7E" w:rsidP="00B03C45">
      <w:pPr>
        <w:jc w:val="both"/>
        <w:rPr>
          <w:rFonts w:ascii="Times New Roman" w:hAnsi="Times New Roman" w:cs="Times New Roman"/>
          <w:i/>
          <w:color w:val="000000" w:themeColor="text1"/>
        </w:rPr>
      </w:pPr>
    </w:p>
    <w:p w14:paraId="1B4A6330" w14:textId="77777777" w:rsidR="00537D7E" w:rsidRPr="008D7F3D" w:rsidRDefault="00537D7E" w:rsidP="00B03C45">
      <w:pPr>
        <w:jc w:val="both"/>
        <w:rPr>
          <w:rFonts w:ascii="Times New Roman" w:hAnsi="Times New Roman" w:cs="Times New Roman"/>
          <w:i/>
          <w:color w:val="000000" w:themeColor="text1"/>
        </w:rPr>
      </w:pPr>
    </w:p>
    <w:p w14:paraId="0FCBF94A" w14:textId="77777777" w:rsidR="00537D7E" w:rsidRPr="008D7F3D" w:rsidRDefault="00537D7E" w:rsidP="00B03C45">
      <w:pPr>
        <w:jc w:val="both"/>
        <w:rPr>
          <w:rFonts w:ascii="Times New Roman" w:hAnsi="Times New Roman" w:cs="Times New Roman"/>
          <w:i/>
          <w:color w:val="000000" w:themeColor="text1"/>
        </w:rPr>
      </w:pPr>
    </w:p>
    <w:p w14:paraId="1F273EFC" w14:textId="77777777" w:rsidR="00537D7E" w:rsidRPr="008D7F3D" w:rsidRDefault="00537D7E" w:rsidP="00B03C45">
      <w:pPr>
        <w:jc w:val="both"/>
        <w:rPr>
          <w:rFonts w:ascii="Times New Roman" w:hAnsi="Times New Roman" w:cs="Times New Roman"/>
          <w:i/>
          <w:color w:val="000000" w:themeColor="text1"/>
        </w:rPr>
      </w:pPr>
    </w:p>
    <w:p w14:paraId="3FA81EBE" w14:textId="77777777" w:rsidR="00537D7E" w:rsidRPr="008D7F3D" w:rsidRDefault="00537D7E" w:rsidP="00B03C45">
      <w:pPr>
        <w:jc w:val="both"/>
        <w:rPr>
          <w:rFonts w:ascii="Times New Roman" w:hAnsi="Times New Roman" w:cs="Times New Roman"/>
          <w:i/>
          <w:color w:val="000000" w:themeColor="text1"/>
        </w:rPr>
      </w:pPr>
    </w:p>
    <w:p w14:paraId="2FB026A8" w14:textId="77777777" w:rsidR="00537D7E" w:rsidRPr="008D7F3D" w:rsidRDefault="00537D7E" w:rsidP="00B03C45">
      <w:pPr>
        <w:jc w:val="both"/>
        <w:rPr>
          <w:rFonts w:ascii="Times New Roman" w:hAnsi="Times New Roman" w:cs="Times New Roman"/>
          <w:i/>
          <w:color w:val="000000" w:themeColor="text1"/>
        </w:rPr>
      </w:pPr>
    </w:p>
    <w:p w14:paraId="13C7C763" w14:textId="77777777" w:rsidR="00537D7E" w:rsidRPr="008D7F3D" w:rsidRDefault="00537D7E" w:rsidP="00B03C45">
      <w:pPr>
        <w:jc w:val="both"/>
        <w:rPr>
          <w:rFonts w:ascii="Times New Roman" w:hAnsi="Times New Roman" w:cs="Times New Roman"/>
          <w:i/>
          <w:color w:val="000000" w:themeColor="text1"/>
        </w:rPr>
      </w:pPr>
    </w:p>
    <w:p w14:paraId="7238D7F6" w14:textId="77777777" w:rsidR="00537D7E" w:rsidRPr="008D7F3D" w:rsidRDefault="00537D7E" w:rsidP="00B03C45">
      <w:pPr>
        <w:jc w:val="both"/>
        <w:rPr>
          <w:rFonts w:ascii="Times New Roman" w:hAnsi="Times New Roman" w:cs="Times New Roman"/>
          <w:i/>
          <w:color w:val="000000" w:themeColor="text1"/>
        </w:rPr>
      </w:pPr>
    </w:p>
    <w:p w14:paraId="09C1DEA6" w14:textId="77777777" w:rsidR="00537D7E" w:rsidRPr="008D7F3D" w:rsidRDefault="00537D7E" w:rsidP="00B03C45">
      <w:pPr>
        <w:jc w:val="both"/>
        <w:rPr>
          <w:rFonts w:ascii="Times New Roman" w:hAnsi="Times New Roman" w:cs="Times New Roman"/>
          <w:i/>
          <w:color w:val="000000" w:themeColor="text1"/>
        </w:rPr>
      </w:pPr>
    </w:p>
    <w:p w14:paraId="6D873788" w14:textId="77777777" w:rsidR="00537D7E" w:rsidRPr="008D7F3D" w:rsidRDefault="00537D7E" w:rsidP="00B03C45">
      <w:pPr>
        <w:jc w:val="both"/>
        <w:rPr>
          <w:rFonts w:ascii="Times New Roman" w:hAnsi="Times New Roman" w:cs="Times New Roman"/>
          <w:i/>
          <w:color w:val="000000" w:themeColor="text1"/>
        </w:rPr>
      </w:pPr>
    </w:p>
    <w:p w14:paraId="776A4334" w14:textId="77777777" w:rsidR="00537D7E" w:rsidRPr="008D7F3D" w:rsidRDefault="00537D7E" w:rsidP="00B03C45">
      <w:pPr>
        <w:jc w:val="both"/>
        <w:rPr>
          <w:rFonts w:ascii="Times New Roman" w:hAnsi="Times New Roman" w:cs="Times New Roman"/>
          <w:i/>
          <w:color w:val="000000" w:themeColor="text1"/>
        </w:rPr>
      </w:pPr>
    </w:p>
    <w:p w14:paraId="42A12A2F" w14:textId="77777777" w:rsidR="00537D7E" w:rsidRPr="008D7F3D" w:rsidRDefault="00537D7E" w:rsidP="00B03C45">
      <w:pPr>
        <w:jc w:val="both"/>
        <w:rPr>
          <w:rFonts w:ascii="Times New Roman" w:hAnsi="Times New Roman" w:cs="Times New Roman"/>
          <w:i/>
          <w:color w:val="000000" w:themeColor="text1"/>
        </w:rPr>
      </w:pPr>
    </w:p>
    <w:p w14:paraId="3BDC3680" w14:textId="77777777" w:rsidR="00DE0733" w:rsidRPr="008D7F3D" w:rsidRDefault="00DE0733" w:rsidP="00B03C45">
      <w:pPr>
        <w:jc w:val="both"/>
        <w:rPr>
          <w:rFonts w:ascii="Times New Roman" w:hAnsi="Times New Roman" w:cs="Times New Roman"/>
          <w:i/>
          <w:color w:val="000000" w:themeColor="text1"/>
        </w:rPr>
      </w:pPr>
    </w:p>
    <w:p w14:paraId="0A2395C9" w14:textId="77777777" w:rsidR="00DE0733" w:rsidRPr="008D7F3D" w:rsidRDefault="00DE0733" w:rsidP="00B03C45">
      <w:pPr>
        <w:jc w:val="both"/>
        <w:rPr>
          <w:rFonts w:ascii="Times New Roman" w:hAnsi="Times New Roman" w:cs="Times New Roman"/>
          <w:i/>
          <w:color w:val="000000" w:themeColor="text1"/>
        </w:rPr>
      </w:pPr>
    </w:p>
    <w:p w14:paraId="1235E5DD" w14:textId="77777777" w:rsidR="00DE0733" w:rsidRPr="008D7F3D" w:rsidRDefault="00DE0733" w:rsidP="00B03C45">
      <w:pPr>
        <w:jc w:val="both"/>
        <w:rPr>
          <w:rFonts w:ascii="Times New Roman" w:hAnsi="Times New Roman" w:cs="Times New Roman"/>
          <w:i/>
          <w:color w:val="000000" w:themeColor="text1"/>
        </w:rPr>
      </w:pPr>
    </w:p>
    <w:p w14:paraId="38BFF859" w14:textId="77777777" w:rsidR="001831CF" w:rsidRPr="008D7F3D" w:rsidRDefault="001831CF" w:rsidP="00B03C45">
      <w:pPr>
        <w:jc w:val="both"/>
        <w:rPr>
          <w:rFonts w:ascii="Times New Roman" w:hAnsi="Times New Roman" w:cs="Times New Roman"/>
          <w:i/>
          <w:color w:val="000000" w:themeColor="text1"/>
        </w:rPr>
      </w:pPr>
    </w:p>
    <w:p w14:paraId="37A7367D" w14:textId="77777777" w:rsidR="001831CF" w:rsidRPr="008D7F3D" w:rsidRDefault="001831CF" w:rsidP="00B03C45">
      <w:pPr>
        <w:jc w:val="both"/>
        <w:rPr>
          <w:rFonts w:ascii="Times New Roman" w:hAnsi="Times New Roman" w:cs="Times New Roman"/>
          <w:i/>
          <w:color w:val="000000" w:themeColor="text1"/>
        </w:rPr>
      </w:pPr>
    </w:p>
    <w:p w14:paraId="24E2302E" w14:textId="77777777" w:rsidR="001831CF" w:rsidRPr="008D7F3D" w:rsidRDefault="001831CF" w:rsidP="00B03C45">
      <w:pPr>
        <w:jc w:val="both"/>
        <w:rPr>
          <w:rFonts w:ascii="Times New Roman" w:hAnsi="Times New Roman" w:cs="Times New Roman"/>
          <w:i/>
          <w:color w:val="000000" w:themeColor="text1"/>
        </w:rPr>
      </w:pPr>
    </w:p>
    <w:p w14:paraId="145F153A" w14:textId="77777777" w:rsidR="001831CF" w:rsidRPr="008D7F3D" w:rsidRDefault="001831CF" w:rsidP="00B03C45">
      <w:pPr>
        <w:jc w:val="both"/>
        <w:rPr>
          <w:rFonts w:ascii="Times New Roman" w:hAnsi="Times New Roman" w:cs="Times New Roman"/>
          <w:i/>
          <w:color w:val="000000" w:themeColor="text1"/>
        </w:rPr>
      </w:pPr>
    </w:p>
    <w:p w14:paraId="1EBE149C" w14:textId="77777777" w:rsidR="001831CF" w:rsidRPr="008D7F3D" w:rsidRDefault="001831CF" w:rsidP="00B03C45">
      <w:pPr>
        <w:jc w:val="both"/>
        <w:rPr>
          <w:rFonts w:ascii="Times New Roman" w:hAnsi="Times New Roman" w:cs="Times New Roman"/>
          <w:i/>
          <w:color w:val="000000" w:themeColor="text1"/>
        </w:rPr>
      </w:pPr>
    </w:p>
    <w:p w14:paraId="7D296389" w14:textId="77777777" w:rsidR="001831CF" w:rsidRPr="008D7F3D" w:rsidRDefault="001831CF" w:rsidP="00B03C45">
      <w:pPr>
        <w:jc w:val="both"/>
        <w:rPr>
          <w:rFonts w:ascii="Times New Roman" w:hAnsi="Times New Roman" w:cs="Times New Roman"/>
          <w:i/>
          <w:color w:val="000000" w:themeColor="text1"/>
        </w:rPr>
      </w:pPr>
    </w:p>
    <w:p w14:paraId="37DC67D2" w14:textId="77777777" w:rsidR="00A2774E" w:rsidRPr="008D7F3D" w:rsidRDefault="00A2774E" w:rsidP="00537D7E">
      <w:pPr>
        <w:rPr>
          <w:rFonts w:ascii="Times New Roman" w:hAnsi="Times New Roman" w:cs="Times New Roman"/>
          <w:b/>
          <w:color w:val="000000" w:themeColor="text1"/>
          <w:u w:val="single"/>
          <w:lang w:eastAsia="cs-CZ"/>
        </w:rPr>
      </w:pPr>
    </w:p>
    <w:p w14:paraId="1D87B03E" w14:textId="77777777" w:rsidR="00DA03BA" w:rsidRDefault="00DA03BA">
      <w:pPr>
        <w:rPr>
          <w:rFonts w:ascii="Times New Roman" w:hAnsi="Times New Roman" w:cs="Times New Roman"/>
          <w:b/>
          <w:color w:val="000000" w:themeColor="text1"/>
          <w:sz w:val="28"/>
          <w:szCs w:val="28"/>
          <w:u w:val="single"/>
          <w:lang w:eastAsia="cs-CZ"/>
        </w:rPr>
      </w:pPr>
      <w:r>
        <w:rPr>
          <w:rFonts w:ascii="Times New Roman" w:hAnsi="Times New Roman" w:cs="Times New Roman"/>
          <w:b/>
          <w:color w:val="000000" w:themeColor="text1"/>
          <w:sz w:val="28"/>
          <w:szCs w:val="28"/>
          <w:u w:val="single"/>
          <w:lang w:eastAsia="cs-CZ"/>
        </w:rPr>
        <w:br w:type="page"/>
      </w:r>
    </w:p>
    <w:p w14:paraId="798102E7" w14:textId="77777777" w:rsidR="00537D7E" w:rsidRPr="008D7F3D" w:rsidRDefault="00537D7E" w:rsidP="00DA03BA">
      <w:pPr>
        <w:pStyle w:val="Nadpis1"/>
      </w:pPr>
      <w:bookmarkStart w:id="10" w:name="_Toc49930235"/>
      <w:r w:rsidRPr="008D7F3D">
        <w:t>Ministerstvo školství, mládeže a tělovýchovy</w:t>
      </w:r>
      <w:bookmarkEnd w:id="10"/>
    </w:p>
    <w:p w14:paraId="65594397" w14:textId="77777777" w:rsidR="00537D7E" w:rsidRPr="008D7F3D" w:rsidRDefault="00537D7E" w:rsidP="00B03C45">
      <w:pPr>
        <w:jc w:val="both"/>
        <w:rPr>
          <w:rFonts w:ascii="Times New Roman" w:hAnsi="Times New Roman" w:cs="Times New Roman"/>
          <w:i/>
          <w:color w:val="000000" w:themeColor="text1"/>
        </w:rPr>
      </w:pPr>
    </w:p>
    <w:p w14:paraId="2C82D272" w14:textId="77777777" w:rsidR="00537D7E" w:rsidRPr="00DA03BA" w:rsidRDefault="00537D7E"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DA03BA">
        <w:rPr>
          <w:rFonts w:ascii="Times New Roman" w:hAnsi="Times New Roman" w:cs="Times New Roman"/>
          <w:b/>
          <w:noProof/>
          <w:color w:val="000000" w:themeColor="text1"/>
        </w:rPr>
        <w:t>Mobilizace výzkumu a podpora inovací</w:t>
      </w:r>
    </w:p>
    <w:p w14:paraId="31D02A0B" w14:textId="77777777" w:rsidR="00537D7E" w:rsidRPr="008D7F3D" w:rsidRDefault="00537D7E" w:rsidP="00537D7E">
      <w:pPr>
        <w:rPr>
          <w:rFonts w:ascii="Times New Roman" w:hAnsi="Times New Roman" w:cs="Times New Roman"/>
          <w:color w:val="000000" w:themeColor="text1"/>
        </w:rPr>
      </w:pPr>
      <w:r w:rsidRPr="008D7F3D">
        <w:rPr>
          <w:rFonts w:ascii="Times New Roman" w:hAnsi="Times New Roman" w:cs="Times New Roman"/>
          <w:color w:val="000000" w:themeColor="text1"/>
        </w:rPr>
        <w:t xml:space="preserve">Popis vývoje odpovídá textu rámcové pozice, stále platí, že v rámci programu </w:t>
      </w:r>
      <w:r w:rsidR="005F0170" w:rsidRPr="008D7F3D">
        <w:rPr>
          <w:rFonts w:ascii="Times New Roman" w:hAnsi="Times New Roman" w:cs="Times New Roman"/>
          <w:color w:val="000000" w:themeColor="text1"/>
        </w:rPr>
        <w:t>Horizon</w:t>
      </w:r>
      <w:r w:rsidRPr="008D7F3D">
        <w:rPr>
          <w:rFonts w:ascii="Times New Roman" w:hAnsi="Times New Roman" w:cs="Times New Roman"/>
          <w:color w:val="000000" w:themeColor="text1"/>
        </w:rPr>
        <w:t xml:space="preserve"> Europe by mělo být vyhrazeno 35 % celkového rozpočtu na financování oblastí klimatu a klimatických změn. Rovněž pozice ČR odpovídá pozici uvedené v textu, ČR podporuje zacílení programu Horizon Europe na řešení celospolečenských výzev, mez něž patří i oblast klimatu.</w:t>
      </w:r>
    </w:p>
    <w:p w14:paraId="19E9BE8A" w14:textId="77777777" w:rsidR="00537D7E" w:rsidRPr="008D7F3D" w:rsidRDefault="00537D7E" w:rsidP="00537D7E">
      <w:pPr>
        <w:rPr>
          <w:rFonts w:ascii="Times New Roman" w:hAnsi="Times New Roman" w:cs="Times New Roman"/>
          <w:color w:val="000000" w:themeColor="text1"/>
        </w:rPr>
      </w:pPr>
      <w:r w:rsidRPr="008D7F3D">
        <w:rPr>
          <w:rFonts w:ascii="Times New Roman" w:hAnsi="Times New Roman" w:cs="Times New Roman"/>
          <w:color w:val="000000" w:themeColor="text1"/>
        </w:rPr>
        <w:t>V rámci aktuálního rámcového programu EU pro výzkum a inovace Horizont 2020 (2014–2020) plánuje Evropská komise otevřít výzvu specificky dedikovanou na European Green Deal (EGD). Měla by být otevřena v polovině září 2020 a bude na ni určen rozpočet ve výši okolo 1 mld. EUR. Výzva má být příspěvkem k závazku, který si Evropská unie stanovila v oblasti snižování dopadu změny klimatu. Výzva EGD je navržena odlišně od standardních výzev rámcového programu, jejím cílem je v relativně krátkém čase přinést velmi konkrétní, jasné a hmatatelné výsledky ve prospěch evropských občanů.</w:t>
      </w:r>
    </w:p>
    <w:p w14:paraId="373F861B" w14:textId="77777777" w:rsidR="00537D7E" w:rsidRPr="008D7F3D" w:rsidRDefault="00537D7E" w:rsidP="00537D7E">
      <w:pPr>
        <w:spacing w:line="288" w:lineRule="auto"/>
        <w:contextualSpacing/>
        <w:rPr>
          <w:rFonts w:ascii="Times New Roman" w:hAnsi="Times New Roman" w:cs="Times New Roman"/>
          <w:color w:val="000000" w:themeColor="text1"/>
        </w:rPr>
      </w:pPr>
      <w:r w:rsidRPr="008D7F3D">
        <w:rPr>
          <w:rFonts w:ascii="Times New Roman" w:hAnsi="Times New Roman" w:cs="Times New Roman"/>
          <w:color w:val="000000" w:themeColor="text1"/>
        </w:rPr>
        <w:t>V OP VVV nejsou v oblasti podpory výzkumu a vývoje preferovány konkrétní obory VaV, projekty byly k financování vybrány na základě soutěže a kvality projektového záměru napříč obory VaV a v souladu s Národní výzkumnou a inovační strategií inteligentní specializace ČR (RIS3). Mezi podpořenými projekty figurují i ty zaměřené na výzkum v souladu s EGD.</w:t>
      </w:r>
    </w:p>
    <w:p w14:paraId="1B0888B6" w14:textId="77777777" w:rsidR="00537D7E" w:rsidRPr="008D7F3D" w:rsidRDefault="00537D7E" w:rsidP="00537D7E">
      <w:pPr>
        <w:jc w:val="both"/>
        <w:rPr>
          <w:rFonts w:ascii="Times New Roman" w:hAnsi="Times New Roman" w:cs="Times New Roman"/>
          <w:color w:val="000000" w:themeColor="text1"/>
        </w:rPr>
      </w:pPr>
      <w:r w:rsidRPr="008D7F3D">
        <w:rPr>
          <w:rFonts w:ascii="Times New Roman" w:hAnsi="Times New Roman" w:cs="Times New Roman"/>
          <w:color w:val="000000" w:themeColor="text1"/>
        </w:rPr>
        <w:t>OP JAK předpokládá podporu synergií s Horizon Europe, zásadní je však vyjasnění všech technických parametrů implementace možných synergií a umožnění maximálního přizpůsobení podmínek kofinancování / dofinancování / podpory úspěšných, avšak nefinancovaných projektů z výzev Horizon Europe. Příkladem jsou dosud ne zcela vyjasněné podmínky kofinancování „Co-funded European Partnerships“ z ESIF či otázka možnosti převzetí některých nastavení (včetně zejména oblasti veřejné podpory) z Horizon Europe do operačních programů financovaných z ESIF v případě podpor projektů s pečetí Seal of Excellence či obecně projektů kvalitně hodnocených, avšak nefinancovaných z Horizon Europe z důvodu nedostatku finančních prostředků.</w:t>
      </w:r>
    </w:p>
    <w:p w14:paraId="31716BDC" w14:textId="77777777" w:rsidR="00537D7E" w:rsidRPr="008D7F3D" w:rsidRDefault="00537D7E" w:rsidP="00537D7E">
      <w:pPr>
        <w:jc w:val="both"/>
        <w:rPr>
          <w:rFonts w:ascii="Times New Roman" w:hAnsi="Times New Roman" w:cs="Times New Roman"/>
          <w:color w:val="000000" w:themeColor="text1"/>
        </w:rPr>
      </w:pPr>
    </w:p>
    <w:p w14:paraId="6743A42C" w14:textId="77777777" w:rsidR="00537D7E" w:rsidRPr="008D7F3D" w:rsidRDefault="00537D7E" w:rsidP="00537D7E">
      <w:pPr>
        <w:jc w:val="both"/>
        <w:rPr>
          <w:rFonts w:ascii="Times New Roman" w:hAnsi="Times New Roman" w:cs="Times New Roman"/>
          <w:color w:val="000000" w:themeColor="text1"/>
        </w:rPr>
      </w:pPr>
      <w:r w:rsidRPr="008D7F3D">
        <w:rPr>
          <w:rFonts w:ascii="Times New Roman" w:hAnsi="Times New Roman" w:cs="Times New Roman"/>
          <w:color w:val="000000" w:themeColor="text1"/>
        </w:rPr>
        <w:t>OP JAK zvažuje možnosti navázání vybraných intervencí na mise Horizon Europe, a to vždy v rámci hranic nastavených zaměřením OP JAK i priorit Národní výzkumné a inovační strategie pro inteligentní specializaci ČR (RIS3).</w:t>
      </w:r>
    </w:p>
    <w:p w14:paraId="28FE103D" w14:textId="77777777" w:rsidR="00537D7E" w:rsidRPr="008D7F3D" w:rsidRDefault="00537D7E" w:rsidP="00537D7E">
      <w:pPr>
        <w:spacing w:line="288" w:lineRule="auto"/>
        <w:contextualSpacing/>
        <w:rPr>
          <w:rFonts w:ascii="Times New Roman" w:hAnsi="Times New Roman" w:cs="Times New Roman"/>
          <w:color w:val="000000" w:themeColor="text1"/>
        </w:rPr>
      </w:pPr>
      <w:r w:rsidRPr="008D7F3D">
        <w:rPr>
          <w:rFonts w:ascii="Times New Roman" w:hAnsi="Times New Roman" w:cs="Times New Roman"/>
          <w:color w:val="000000" w:themeColor="text1"/>
        </w:rPr>
        <w:t>ČR spatřuje jako klíčové podpořit synergii mezi Horizon Europe, národním financováním a ESIF v oblasti podpory velkých výzkumných infrastruktur, které významným způsobem přispívají k rozvoji celé základny VaVaI v ČR (a vzhledem k přesahu jejich činnosti i v Evropě), a jsou tak nejen významným prvkem regionálního rozvoje, ale také driverem rozvoje a posunu v oblasti VaVaI, a to přirozeně včetně VaVaI zaměřeného na priority EGD. Cílem je navázat na úspěšnou komplementární podporu velkých výzkumných infrastruktur v současném období, kdy dochází k podpoře provozních nákladů ze státního rozpočtu ČR, investic do modernizace a up-date infrastruktur z ESIF a mezinárodní spolupráce prostřednictvím Horizon 2020.</w:t>
      </w:r>
    </w:p>
    <w:p w14:paraId="35C1CF59" w14:textId="77777777" w:rsidR="00537D7E" w:rsidRPr="008D7F3D" w:rsidRDefault="00537D7E" w:rsidP="00537D7E">
      <w:pPr>
        <w:spacing w:line="288" w:lineRule="auto"/>
        <w:contextualSpacing/>
        <w:rPr>
          <w:rFonts w:ascii="Times New Roman" w:hAnsi="Times New Roman" w:cs="Times New Roman"/>
          <w:color w:val="000000" w:themeColor="text1"/>
        </w:rPr>
      </w:pPr>
    </w:p>
    <w:p w14:paraId="673C6558" w14:textId="77777777" w:rsidR="00537D7E" w:rsidRPr="008D7F3D" w:rsidRDefault="00537D7E" w:rsidP="00537D7E">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OP JAK bude zároveň podporovat rozvoj přístupu k datům potřebným pro VaVaI a konceptu open science a iniciativy EOSC v ČR, a to jak na národní úrovni, tak na úrovni jednotlivých výzkumných organizací. </w:t>
      </w:r>
    </w:p>
    <w:p w14:paraId="1308BCE9" w14:textId="77777777" w:rsidR="00DA03BA" w:rsidRPr="008D7F3D" w:rsidRDefault="00DA03BA" w:rsidP="00DA03BA">
      <w:pPr>
        <w:rPr>
          <w:rFonts w:ascii="Times New Roman" w:hAnsi="Times New Roman" w:cs="Times New Roman"/>
          <w:color w:val="000000" w:themeColor="text1"/>
        </w:rPr>
      </w:pPr>
      <w:r w:rsidRPr="008D7F3D">
        <w:rPr>
          <w:rFonts w:ascii="Times New Roman" w:hAnsi="Times New Roman" w:cs="Times New Roman"/>
          <w:color w:val="000000" w:themeColor="text1"/>
        </w:rPr>
        <w:t>Klíčové závazky a jejich stav plnění nejsou v oblasti výzkumu relevantní vzhledem k tomu, že obsahem popisu jsou opatření, která budou realizována především prostřednictvím otevřených výzev v rámcovému programu Horizon Europe. V případě tematicky relevantních tzv. evropských partnerství, jakožto součásti rámcového programu Horizon Europe, nebyl zájem o účast ani finanční závazky ze strany členských států dosud specifikovány.</w:t>
      </w:r>
    </w:p>
    <w:p w14:paraId="5143E540" w14:textId="77777777" w:rsidR="00DA03BA" w:rsidRPr="008D7F3D" w:rsidRDefault="00DA03BA" w:rsidP="00DA03BA">
      <w:pPr>
        <w:rPr>
          <w:rFonts w:ascii="Times New Roman" w:hAnsi="Times New Roman" w:cs="Times New Roman"/>
          <w:color w:val="000000" w:themeColor="text1"/>
        </w:rPr>
      </w:pPr>
      <w:r w:rsidRPr="008D7F3D">
        <w:rPr>
          <w:rFonts w:ascii="Times New Roman" w:hAnsi="Times New Roman" w:cs="Times New Roman"/>
          <w:color w:val="000000" w:themeColor="text1"/>
        </w:rPr>
        <w:t>V případě tzv. evropských partnerství jakožto součásti rámcového programu Horizon Europe diskuze o možném zapojení teprve probíhají. Případné národní finanční závazky budou závislé na podobě státního rozpočtu ČR na výzkum, experimentální vývoj a inovace na rok 2021 a střednědobého výhledu výdajů pro léta 2022 až 2023.</w:t>
      </w:r>
    </w:p>
    <w:p w14:paraId="34BEA157" w14:textId="77777777" w:rsidR="00DA03BA" w:rsidRPr="008D7F3D" w:rsidRDefault="00DA03BA" w:rsidP="00DA03BA">
      <w:pPr>
        <w:jc w:val="both"/>
        <w:rPr>
          <w:rFonts w:ascii="Times New Roman" w:hAnsi="Times New Roman" w:cs="Times New Roman"/>
          <w:color w:val="000000" w:themeColor="text1"/>
        </w:rPr>
      </w:pPr>
      <w:r w:rsidRPr="008D7F3D">
        <w:rPr>
          <w:rFonts w:ascii="Times New Roman" w:hAnsi="Times New Roman" w:cs="Times New Roman"/>
          <w:color w:val="000000" w:themeColor="text1"/>
        </w:rPr>
        <w:t>Vyčíslení předpokládaných nákladů realizace EGD v oblasti výzkumu a podpory inovací bude možné teprve, až MMR-NOK aktualizuje materiál „Stav přípravy DoP a OP“ a předloží jej pro informaci vládě. Materiál by měl obsahovat přepracovaný model alokací se zohledněním schválených parametrů VFR. Na základě vzetí materiálu na vědomí vládou a dalšího vyjednávání o nastavení intervencí OP JAK s EK bude možné predikovat náklady realizace EGD.</w:t>
      </w:r>
    </w:p>
    <w:p w14:paraId="10405F53" w14:textId="77777777" w:rsidR="00537D7E" w:rsidRPr="008D7F3D" w:rsidRDefault="00537D7E" w:rsidP="00537D7E">
      <w:pPr>
        <w:rPr>
          <w:rFonts w:ascii="Times New Roman" w:hAnsi="Times New Roman" w:cs="Times New Roman"/>
          <w:color w:val="000000" w:themeColor="text1"/>
        </w:rPr>
      </w:pPr>
    </w:p>
    <w:p w14:paraId="1095A907" w14:textId="77777777" w:rsidR="00537D7E" w:rsidRPr="00DA03BA" w:rsidRDefault="00537D7E" w:rsidP="00DA03BA">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DA03BA">
        <w:rPr>
          <w:rFonts w:ascii="Times New Roman" w:hAnsi="Times New Roman" w:cs="Times New Roman"/>
          <w:b/>
          <w:noProof/>
          <w:color w:val="000000" w:themeColor="text1"/>
        </w:rPr>
        <w:t>Zapojení vzdělávání a odborné přípravy</w:t>
      </w:r>
    </w:p>
    <w:p w14:paraId="58823C05" w14:textId="77777777" w:rsidR="00537D7E" w:rsidRPr="008D7F3D" w:rsidRDefault="00537D7E" w:rsidP="00537D7E">
      <w:pPr>
        <w:rPr>
          <w:rFonts w:ascii="Times New Roman" w:hAnsi="Times New Roman" w:cs="Times New Roman"/>
          <w:color w:val="000000" w:themeColor="text1"/>
        </w:rPr>
      </w:pPr>
      <w:r w:rsidRPr="008D7F3D">
        <w:rPr>
          <w:rFonts w:ascii="Times New Roman" w:hAnsi="Times New Roman" w:cs="Times New Roman"/>
          <w:color w:val="000000" w:themeColor="text1"/>
        </w:rPr>
        <w:t xml:space="preserve">Nedošlo ke změnám v rámci dokumentů. Oblast neformálního vzdělávání a mládeže je uvedena i ve Strategii 2030+ a dále v končící Koncepci podpory mládeže </w:t>
      </w:r>
      <w:r w:rsidR="005F0170" w:rsidRPr="008D7F3D">
        <w:rPr>
          <w:rFonts w:ascii="Times New Roman" w:hAnsi="Times New Roman" w:cs="Times New Roman"/>
          <w:color w:val="000000" w:themeColor="text1"/>
        </w:rPr>
        <w:t>2014–2020</w:t>
      </w:r>
      <w:r w:rsidRPr="008D7F3D">
        <w:rPr>
          <w:rFonts w:ascii="Times New Roman" w:hAnsi="Times New Roman" w:cs="Times New Roman"/>
          <w:color w:val="000000" w:themeColor="text1"/>
        </w:rPr>
        <w:t>. Další koncepční práce s oblastí se předpokládá v rámci rozpracované Strategie vzdělávací politiky ČR do roku 2030+. Snahou bude systematičtěji a koncepčněji propojit formální a neformální vzdělávání, a to zejména s ohledem na maximální možný rozvoj potenciálu každého žáka zapojeného do neformálního vzdělávání.</w:t>
      </w:r>
    </w:p>
    <w:p w14:paraId="17457ACA" w14:textId="77777777" w:rsidR="00537D7E" w:rsidRPr="008D7F3D" w:rsidRDefault="00537D7E" w:rsidP="00537D7E">
      <w:pPr>
        <w:rPr>
          <w:rFonts w:ascii="Times New Roman" w:hAnsi="Times New Roman" w:cs="Times New Roman"/>
          <w:i/>
          <w:iCs/>
          <w:color w:val="000000" w:themeColor="text1"/>
        </w:rPr>
      </w:pPr>
      <w:r w:rsidRPr="008D7F3D">
        <w:rPr>
          <w:rFonts w:ascii="Times New Roman" w:hAnsi="Times New Roman" w:cs="Times New Roman"/>
          <w:i/>
          <w:iCs/>
          <w:color w:val="000000" w:themeColor="text1"/>
        </w:rPr>
        <w:t>Erasmus+</w:t>
      </w:r>
    </w:p>
    <w:p w14:paraId="5F844B3B" w14:textId="77777777" w:rsidR="00537D7E" w:rsidRPr="008D7F3D" w:rsidRDefault="00537D7E" w:rsidP="00537D7E">
      <w:pPr>
        <w:spacing w:line="288" w:lineRule="auto"/>
        <w:contextualSpacing/>
        <w:rPr>
          <w:rFonts w:ascii="Times New Roman" w:hAnsi="Times New Roman" w:cs="Times New Roman"/>
          <w:color w:val="000000" w:themeColor="text1"/>
        </w:rPr>
      </w:pPr>
      <w:r w:rsidRPr="008D7F3D">
        <w:rPr>
          <w:rFonts w:ascii="Times New Roman" w:hAnsi="Times New Roman" w:cs="Times New Roman"/>
          <w:color w:val="000000" w:themeColor="text1"/>
        </w:rPr>
        <w:t>V rámci příprav a jednání k návrhu nařízení programu Erasmus+ pro nové programové období 2021-2027 je otázka klimatické změny a udržitelného životního prostředí jednou z horizontálních priorit (tzv. Green Erasmus).</w:t>
      </w:r>
    </w:p>
    <w:p w14:paraId="71470AF2" w14:textId="77777777" w:rsidR="00537D7E" w:rsidRPr="008D7F3D" w:rsidRDefault="00537D7E" w:rsidP="00537D7E">
      <w:pPr>
        <w:spacing w:line="288" w:lineRule="auto"/>
        <w:contextualSpacing/>
        <w:rPr>
          <w:rFonts w:ascii="Times New Roman" w:hAnsi="Times New Roman" w:cs="Times New Roman"/>
          <w:color w:val="000000" w:themeColor="text1"/>
        </w:rPr>
      </w:pPr>
      <w:r w:rsidRPr="008D7F3D">
        <w:rPr>
          <w:rFonts w:ascii="Times New Roman" w:hAnsi="Times New Roman" w:cs="Times New Roman"/>
          <w:color w:val="000000" w:themeColor="text1"/>
        </w:rPr>
        <w:t xml:space="preserve">Dne 22.7.2020 Evropská komise na online jednání Pracovní skupiny pro vzdělávání Rady EU informovala, že i navzdory zásadnímu ponížení rozpočtu na program Erasmus+, který je indikován v nově schváleném revidovaném Víceletém finančním rámci pro období 2021-2027, zůstávají původní ambiciózní klimatické a environmentální cíle prioritou, které budou naplňovány nejen prostřednictvím programu Erasmus+, ale i programu Evropský sbor solidarity a iniciativy Discover EU. </w:t>
      </w:r>
    </w:p>
    <w:p w14:paraId="4D7BD110" w14:textId="77777777" w:rsidR="00537D7E" w:rsidRPr="008D7F3D" w:rsidRDefault="00537D7E" w:rsidP="00537D7E">
      <w:pPr>
        <w:spacing w:line="288" w:lineRule="auto"/>
        <w:contextualSpacing/>
        <w:rPr>
          <w:rFonts w:ascii="Times New Roman" w:hAnsi="Times New Roman" w:cs="Times New Roman"/>
          <w:color w:val="000000" w:themeColor="text1"/>
        </w:rPr>
      </w:pPr>
    </w:p>
    <w:p w14:paraId="22102310" w14:textId="77777777" w:rsidR="00537D7E" w:rsidRPr="008D7F3D" w:rsidRDefault="00537D7E" w:rsidP="00537D7E">
      <w:pPr>
        <w:spacing w:line="288" w:lineRule="auto"/>
        <w:contextualSpacing/>
        <w:rPr>
          <w:rFonts w:ascii="Times New Roman" w:hAnsi="Times New Roman" w:cs="Times New Roman"/>
          <w:color w:val="000000" w:themeColor="text1"/>
        </w:rPr>
      </w:pPr>
      <w:r w:rsidRPr="008D7F3D">
        <w:rPr>
          <w:rFonts w:ascii="Times New Roman" w:hAnsi="Times New Roman" w:cs="Times New Roman"/>
          <w:color w:val="000000" w:themeColor="text1"/>
        </w:rPr>
        <w:t>V souvislosti s pandemií COVID-19 byl také revidován Roční pracovní plán pro rok 2020, který mezi hlavními cíli programu uvádí, že bude „…podporovat ve všech odvětvích zvyšování povědomí o výzvách v oblasti životního prostředí a změny klimatu. Prioritou budou projekty zaměřené na rozvoj kompetencí v různých odvětvích souvisejících s udržitelností, rozvoj strategií a metodik zelených sektorových dovedností, jakož i učební plány zaměřené na budoucnost, které lépe vyhovují potřebám jednotlivců. Program bude také podporovat testování inovativních postupů, které připraví studenty, zaměstnance a pracovníky s mládeží, aby se stali skutečnými faktory změny (např. Šetří zdroje, snižují spotřebu energie a plýtvání, kompenzují emise uhlíkové stopy, volí udržitelné volby potravin a mobility atd.). Prioritou budou také projekty, které prostřednictvím vzdělávání, odborné přípravy, mládeže a sportovních aktivit umožňují změny chování pro individuální preference, návyky spotřeby a životní styl.“</w:t>
      </w:r>
    </w:p>
    <w:p w14:paraId="601DE4E4" w14:textId="77777777" w:rsidR="00537D7E" w:rsidRPr="008D7F3D" w:rsidRDefault="00537D7E" w:rsidP="00537D7E">
      <w:pPr>
        <w:spacing w:line="288" w:lineRule="auto"/>
        <w:contextualSpacing/>
        <w:rPr>
          <w:rFonts w:ascii="Times New Roman" w:hAnsi="Times New Roman" w:cs="Times New Roman"/>
          <w:color w:val="000000" w:themeColor="text1"/>
        </w:rPr>
      </w:pPr>
    </w:p>
    <w:p w14:paraId="75E2F4FD" w14:textId="77777777" w:rsidR="00537D7E" w:rsidRDefault="00537D7E" w:rsidP="00537D7E">
      <w:pPr>
        <w:spacing w:line="288" w:lineRule="auto"/>
        <w:contextualSpacing/>
        <w:rPr>
          <w:rFonts w:ascii="Times New Roman" w:hAnsi="Times New Roman" w:cs="Times New Roman"/>
          <w:color w:val="000000" w:themeColor="text1"/>
        </w:rPr>
      </w:pPr>
      <w:r w:rsidRPr="008D7F3D">
        <w:rPr>
          <w:rFonts w:ascii="Times New Roman" w:hAnsi="Times New Roman" w:cs="Times New Roman"/>
          <w:color w:val="000000" w:themeColor="text1"/>
        </w:rPr>
        <w:t xml:space="preserve">Již ve stávajícím programovém období byla posílena podpora „zelené dimenze“ výše zmíněných EU programů. V roce 2020 tak mají účastníci realizovaných projektů například možnost volit ekologičtější varianty dopravy, nehledě na vyšší ekonomické náklady či časovou náročnost. Přestože současné nastavení programů umožňuje „zelená řešení“ pouze v omezené míře, nová generace programů by je měla plně rozvinout a integrovat. </w:t>
      </w:r>
    </w:p>
    <w:p w14:paraId="1EDD78E9" w14:textId="77777777" w:rsidR="00DA03BA" w:rsidRPr="008D7F3D" w:rsidRDefault="00DA03BA" w:rsidP="00537D7E">
      <w:pPr>
        <w:spacing w:line="288" w:lineRule="auto"/>
        <w:contextualSpacing/>
        <w:rPr>
          <w:rFonts w:ascii="Times New Roman" w:hAnsi="Times New Roman" w:cs="Times New Roman"/>
          <w:color w:val="000000" w:themeColor="text1"/>
        </w:rPr>
      </w:pPr>
    </w:p>
    <w:p w14:paraId="317444CF" w14:textId="77777777" w:rsidR="00DA03BA" w:rsidRPr="008D7F3D" w:rsidRDefault="00DA03BA" w:rsidP="00DA03BA">
      <w:pPr>
        <w:jc w:val="both"/>
        <w:rPr>
          <w:rFonts w:ascii="Times New Roman" w:hAnsi="Times New Roman" w:cs="Times New Roman"/>
          <w:color w:val="000000" w:themeColor="text1"/>
        </w:rPr>
      </w:pPr>
      <w:r w:rsidRPr="008D7F3D">
        <w:rPr>
          <w:rFonts w:ascii="Times New Roman" w:hAnsi="Times New Roman" w:cs="Times New Roman"/>
          <w:color w:val="000000" w:themeColor="text1"/>
        </w:rPr>
        <w:t>Subjekty neformálního a zájmového vzdělávání jsou podporovány z ESIF; v rámci OP VVV mohou čerpat finanční prostředky subjekty zájmového vzdělávání (školská zařízení pro zájmové vzdělávání) prostřednictvím zjednodušených forem čerpání, tzv. šablon, pro školní družiny, školní kluby a střediska volného času. Subjekty neformálního vzdělávání mohou čerpat prostřednictvím individuálních projektů a tzv. šablon.</w:t>
      </w:r>
    </w:p>
    <w:p w14:paraId="54807B96" w14:textId="77777777" w:rsidR="00DA03BA" w:rsidRPr="008D7F3D" w:rsidRDefault="00DA03BA" w:rsidP="00DA03BA">
      <w:pPr>
        <w:jc w:val="both"/>
        <w:rPr>
          <w:rFonts w:ascii="Times New Roman" w:hAnsi="Times New Roman" w:cs="Times New Roman"/>
          <w:color w:val="000000" w:themeColor="text1"/>
        </w:rPr>
      </w:pPr>
      <w:r w:rsidRPr="008D7F3D">
        <w:rPr>
          <w:rFonts w:ascii="Times New Roman" w:hAnsi="Times New Roman" w:cs="Times New Roman"/>
          <w:color w:val="000000" w:themeColor="text1"/>
        </w:rPr>
        <w:t>Vyčíslení předpokládaných nákladů realizace EGD v oblasti výzkumu a podpory inovací bude možné teprve, až MMR-NOK aktualizuje materiál „Stav přípravy DoP a OP“ a předloží jej pro informaci vládě. Materiál by měl obsahovat přepracovaný model alokací se zohledněním schválených parametrů VFR. Na základě vzetí materiálu na vědomí vládou a dalšího vyjednávání o nastavení intervencí OP JAK s EK bude teprve možné predikovat náklady realizace EGD.</w:t>
      </w:r>
    </w:p>
    <w:p w14:paraId="601200C8" w14:textId="77777777" w:rsidR="00DA03BA" w:rsidRPr="008D7F3D" w:rsidRDefault="00DA03BA" w:rsidP="00DA03BA">
      <w:pPr>
        <w:spacing w:line="288" w:lineRule="auto"/>
        <w:contextualSpacing/>
        <w:rPr>
          <w:rFonts w:ascii="Times New Roman" w:hAnsi="Times New Roman" w:cs="Times New Roman"/>
          <w:color w:val="000000" w:themeColor="text1"/>
        </w:rPr>
      </w:pPr>
      <w:r w:rsidRPr="008D7F3D">
        <w:rPr>
          <w:rFonts w:ascii="Times New Roman" w:hAnsi="Times New Roman" w:cs="Times New Roman"/>
          <w:color w:val="000000" w:themeColor="text1"/>
        </w:rPr>
        <w:t xml:space="preserve">Realizace projektů programu Erasmus+ a Evropský sbor solidarity a s nimi spojené náklady jsou plně financovány z finančních prostředků EU. </w:t>
      </w:r>
    </w:p>
    <w:p w14:paraId="2DB4E9F3" w14:textId="77777777" w:rsidR="00537D7E" w:rsidRPr="008D7F3D" w:rsidRDefault="00537D7E" w:rsidP="00537D7E">
      <w:pPr>
        <w:spacing w:line="288" w:lineRule="auto"/>
        <w:contextualSpacing/>
        <w:rPr>
          <w:rFonts w:ascii="Times New Roman" w:hAnsi="Times New Roman" w:cs="Times New Roman"/>
          <w:color w:val="000000" w:themeColor="text1"/>
        </w:rPr>
      </w:pPr>
    </w:p>
    <w:p w14:paraId="107FDB55" w14:textId="77777777" w:rsidR="00537D7E" w:rsidRPr="008D7F3D" w:rsidRDefault="00537D7E" w:rsidP="00537D7E">
      <w:pPr>
        <w:rPr>
          <w:rFonts w:ascii="Times New Roman" w:hAnsi="Times New Roman" w:cs="Times New Roman"/>
          <w:i/>
          <w:iCs/>
          <w:color w:val="000000" w:themeColor="text1"/>
        </w:rPr>
      </w:pPr>
    </w:p>
    <w:p w14:paraId="140E0D5F" w14:textId="77777777" w:rsidR="00537D7E" w:rsidRPr="008D7F3D" w:rsidRDefault="00537D7E" w:rsidP="00537D7E">
      <w:pPr>
        <w:rPr>
          <w:rFonts w:ascii="Times New Roman" w:hAnsi="Times New Roman" w:cs="Times New Roman"/>
          <w:i/>
          <w:iCs/>
          <w:color w:val="000000" w:themeColor="text1"/>
        </w:rPr>
      </w:pPr>
    </w:p>
    <w:p w14:paraId="7A239F8B" w14:textId="77777777" w:rsidR="00537D7E" w:rsidRPr="008D7F3D" w:rsidRDefault="00537D7E" w:rsidP="00B03C45">
      <w:pPr>
        <w:jc w:val="both"/>
        <w:rPr>
          <w:rFonts w:ascii="Times New Roman" w:hAnsi="Times New Roman" w:cs="Times New Roman"/>
          <w:i/>
          <w:color w:val="000000" w:themeColor="text1"/>
        </w:rPr>
      </w:pPr>
    </w:p>
    <w:p w14:paraId="43AC93E1" w14:textId="77777777" w:rsidR="00AE29F8" w:rsidRPr="008D7F3D" w:rsidRDefault="00AE29F8" w:rsidP="00B03C45">
      <w:pPr>
        <w:jc w:val="both"/>
        <w:rPr>
          <w:rFonts w:ascii="Times New Roman" w:hAnsi="Times New Roman" w:cs="Times New Roman"/>
          <w:i/>
          <w:color w:val="000000" w:themeColor="text1"/>
        </w:rPr>
      </w:pPr>
    </w:p>
    <w:p w14:paraId="4EB1E64B" w14:textId="77777777" w:rsidR="00AE29F8" w:rsidRPr="008D7F3D" w:rsidRDefault="00AE29F8" w:rsidP="00B03C45">
      <w:pPr>
        <w:jc w:val="both"/>
        <w:rPr>
          <w:rFonts w:ascii="Times New Roman" w:hAnsi="Times New Roman" w:cs="Times New Roman"/>
          <w:i/>
          <w:color w:val="000000" w:themeColor="text1"/>
        </w:rPr>
      </w:pPr>
    </w:p>
    <w:p w14:paraId="19DCB6FF" w14:textId="77777777" w:rsidR="00AE29F8" w:rsidRPr="008D7F3D" w:rsidRDefault="00AE29F8" w:rsidP="00B03C45">
      <w:pPr>
        <w:jc w:val="both"/>
        <w:rPr>
          <w:rFonts w:ascii="Times New Roman" w:hAnsi="Times New Roman" w:cs="Times New Roman"/>
          <w:i/>
          <w:color w:val="000000" w:themeColor="text1"/>
        </w:rPr>
      </w:pPr>
    </w:p>
    <w:p w14:paraId="43650FC1" w14:textId="77777777" w:rsidR="00E47B4F" w:rsidRPr="008D7F3D" w:rsidRDefault="00E47B4F" w:rsidP="00B03C45">
      <w:pPr>
        <w:jc w:val="both"/>
        <w:rPr>
          <w:rFonts w:ascii="Times New Roman" w:hAnsi="Times New Roman" w:cs="Times New Roman"/>
          <w:i/>
          <w:color w:val="000000" w:themeColor="text1"/>
        </w:rPr>
      </w:pPr>
    </w:p>
    <w:p w14:paraId="171A4505" w14:textId="77777777" w:rsidR="00E47B4F" w:rsidRPr="008D7F3D" w:rsidRDefault="00E47B4F" w:rsidP="00B03C45">
      <w:pPr>
        <w:jc w:val="both"/>
        <w:rPr>
          <w:rFonts w:ascii="Times New Roman" w:hAnsi="Times New Roman" w:cs="Times New Roman"/>
          <w:i/>
          <w:color w:val="000000" w:themeColor="text1"/>
        </w:rPr>
      </w:pPr>
    </w:p>
    <w:p w14:paraId="65D6857D" w14:textId="77777777" w:rsidR="00E47B4F" w:rsidRPr="008D7F3D" w:rsidRDefault="00E47B4F" w:rsidP="00B03C45">
      <w:pPr>
        <w:jc w:val="both"/>
        <w:rPr>
          <w:rFonts w:ascii="Times New Roman" w:hAnsi="Times New Roman" w:cs="Times New Roman"/>
          <w:i/>
          <w:color w:val="000000" w:themeColor="text1"/>
        </w:rPr>
      </w:pPr>
    </w:p>
    <w:p w14:paraId="71CC00D9" w14:textId="77777777" w:rsidR="00E47B4F" w:rsidRPr="008D7F3D" w:rsidRDefault="00E47B4F" w:rsidP="00B03C45">
      <w:pPr>
        <w:jc w:val="both"/>
        <w:rPr>
          <w:rFonts w:ascii="Times New Roman" w:hAnsi="Times New Roman" w:cs="Times New Roman"/>
          <w:i/>
          <w:color w:val="000000" w:themeColor="text1"/>
        </w:rPr>
      </w:pPr>
    </w:p>
    <w:p w14:paraId="3A496903" w14:textId="77777777" w:rsidR="00E47B4F" w:rsidRPr="008D7F3D" w:rsidRDefault="00E47B4F" w:rsidP="00B03C45">
      <w:pPr>
        <w:jc w:val="both"/>
        <w:rPr>
          <w:rFonts w:ascii="Times New Roman" w:hAnsi="Times New Roman" w:cs="Times New Roman"/>
          <w:i/>
          <w:color w:val="000000" w:themeColor="text1"/>
        </w:rPr>
      </w:pPr>
    </w:p>
    <w:p w14:paraId="2D4E6C63" w14:textId="77777777" w:rsidR="00E47B4F" w:rsidRPr="008D7F3D" w:rsidRDefault="00E47B4F" w:rsidP="00B03C45">
      <w:pPr>
        <w:jc w:val="both"/>
        <w:rPr>
          <w:rFonts w:ascii="Times New Roman" w:hAnsi="Times New Roman" w:cs="Times New Roman"/>
          <w:i/>
          <w:color w:val="000000" w:themeColor="text1"/>
        </w:rPr>
      </w:pPr>
    </w:p>
    <w:p w14:paraId="34A0D2B4" w14:textId="77777777" w:rsidR="00E47B4F" w:rsidRPr="008D7F3D" w:rsidRDefault="00E47B4F" w:rsidP="00B03C45">
      <w:pPr>
        <w:jc w:val="both"/>
        <w:rPr>
          <w:rFonts w:ascii="Times New Roman" w:hAnsi="Times New Roman" w:cs="Times New Roman"/>
          <w:i/>
          <w:color w:val="000000" w:themeColor="text1"/>
        </w:rPr>
      </w:pPr>
    </w:p>
    <w:p w14:paraId="18C01AD6" w14:textId="77777777" w:rsidR="00E47B4F" w:rsidRPr="008D7F3D" w:rsidRDefault="00E47B4F" w:rsidP="00B03C45">
      <w:pPr>
        <w:jc w:val="both"/>
        <w:rPr>
          <w:rFonts w:ascii="Times New Roman" w:hAnsi="Times New Roman" w:cs="Times New Roman"/>
          <w:i/>
          <w:color w:val="000000" w:themeColor="text1"/>
        </w:rPr>
      </w:pPr>
    </w:p>
    <w:p w14:paraId="1CD2363F" w14:textId="77777777" w:rsidR="00E47B4F" w:rsidRPr="008D7F3D" w:rsidRDefault="00E47B4F" w:rsidP="00B03C45">
      <w:pPr>
        <w:jc w:val="both"/>
        <w:rPr>
          <w:rFonts w:ascii="Times New Roman" w:hAnsi="Times New Roman" w:cs="Times New Roman"/>
          <w:i/>
          <w:color w:val="000000" w:themeColor="text1"/>
        </w:rPr>
      </w:pPr>
    </w:p>
    <w:p w14:paraId="4777D2B2" w14:textId="77777777" w:rsidR="00E47B4F" w:rsidRPr="008D7F3D" w:rsidRDefault="00E47B4F" w:rsidP="00B03C45">
      <w:pPr>
        <w:jc w:val="both"/>
        <w:rPr>
          <w:rFonts w:ascii="Times New Roman" w:hAnsi="Times New Roman" w:cs="Times New Roman"/>
          <w:i/>
          <w:color w:val="000000" w:themeColor="text1"/>
        </w:rPr>
      </w:pPr>
    </w:p>
    <w:p w14:paraId="5ADADF43" w14:textId="77777777" w:rsidR="00E47B4F" w:rsidRPr="008D7F3D" w:rsidRDefault="00E47B4F" w:rsidP="00B03C45">
      <w:pPr>
        <w:jc w:val="both"/>
        <w:rPr>
          <w:rFonts w:ascii="Times New Roman" w:hAnsi="Times New Roman" w:cs="Times New Roman"/>
          <w:i/>
          <w:color w:val="000000" w:themeColor="text1"/>
        </w:rPr>
      </w:pPr>
    </w:p>
    <w:p w14:paraId="19B3FD10" w14:textId="77777777" w:rsidR="00E47B4F" w:rsidRPr="008D7F3D" w:rsidRDefault="00E47B4F" w:rsidP="00B03C45">
      <w:pPr>
        <w:jc w:val="both"/>
        <w:rPr>
          <w:rFonts w:ascii="Times New Roman" w:hAnsi="Times New Roman" w:cs="Times New Roman"/>
          <w:i/>
          <w:color w:val="000000" w:themeColor="text1"/>
        </w:rPr>
      </w:pPr>
    </w:p>
    <w:p w14:paraId="28FFFB9F" w14:textId="77777777" w:rsidR="00E47B4F" w:rsidRPr="008D7F3D" w:rsidRDefault="00E47B4F" w:rsidP="00B03C45">
      <w:pPr>
        <w:jc w:val="both"/>
        <w:rPr>
          <w:rFonts w:ascii="Times New Roman" w:hAnsi="Times New Roman" w:cs="Times New Roman"/>
          <w:i/>
          <w:color w:val="000000" w:themeColor="text1"/>
        </w:rPr>
      </w:pPr>
    </w:p>
    <w:p w14:paraId="7F64CE10" w14:textId="77777777" w:rsidR="00192EA9" w:rsidRPr="008D7F3D" w:rsidRDefault="00192EA9" w:rsidP="00B03C45">
      <w:pPr>
        <w:jc w:val="both"/>
        <w:rPr>
          <w:rFonts w:ascii="Times New Roman" w:hAnsi="Times New Roman" w:cs="Times New Roman"/>
          <w:i/>
          <w:color w:val="000000" w:themeColor="text1"/>
        </w:rPr>
      </w:pPr>
    </w:p>
    <w:p w14:paraId="59422AB5" w14:textId="77777777" w:rsidR="00345CD7" w:rsidRDefault="00345CD7">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br w:type="page"/>
      </w:r>
    </w:p>
    <w:p w14:paraId="5A6D34FF" w14:textId="77777777" w:rsidR="00192EA9" w:rsidRPr="008D7F3D" w:rsidRDefault="00192EA9" w:rsidP="00345CD7">
      <w:pPr>
        <w:pStyle w:val="Nadpis1"/>
      </w:pPr>
      <w:bookmarkStart w:id="11" w:name="_Toc49930236"/>
      <w:r w:rsidRPr="008D7F3D">
        <w:t>Ministerstvo zahraničních věcí ČR</w:t>
      </w:r>
      <w:bookmarkEnd w:id="11"/>
    </w:p>
    <w:p w14:paraId="2A971346" w14:textId="77777777" w:rsidR="00192EA9" w:rsidRPr="008D7F3D" w:rsidRDefault="00192EA9" w:rsidP="00192EA9">
      <w:pPr>
        <w:jc w:val="both"/>
        <w:rPr>
          <w:rFonts w:ascii="Times New Roman" w:hAnsi="Times New Roman" w:cs="Times New Roman"/>
          <w:i/>
          <w:color w:val="000000" w:themeColor="text1"/>
        </w:rPr>
      </w:pPr>
    </w:p>
    <w:p w14:paraId="00CB28D8" w14:textId="77777777" w:rsidR="00192EA9" w:rsidRPr="008D7F3D" w:rsidRDefault="00192EA9" w:rsidP="00345CD7">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 xml:space="preserve"> „EU jako globální lídr“</w:t>
      </w:r>
    </w:p>
    <w:p w14:paraId="0CEA93BB" w14:textId="77777777" w:rsidR="00345CD7" w:rsidRDefault="00345CD7" w:rsidP="00192EA9">
      <w:pPr>
        <w:jc w:val="both"/>
        <w:rPr>
          <w:rFonts w:ascii="Times New Roman" w:hAnsi="Times New Roman" w:cs="Times New Roman"/>
          <w:color w:val="000000" w:themeColor="text1"/>
        </w:rPr>
      </w:pPr>
    </w:p>
    <w:p w14:paraId="1E321553" w14:textId="77777777" w:rsidR="00192EA9" w:rsidRPr="008D7F3D" w:rsidRDefault="00192EA9" w:rsidP="00192EA9">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Uvedená kapitola vymezuje výsostně politický rozměr mezinárodních aktivit EU, jejichž předmětem je získat širokou globální podporu mezinárodního společenství nástrojům Zelené dohody pro Evropu k dosažení klimatických cílů Pařížské dohody. Logicky se jako středobod uvedeného snažení bude posilovat „diplomacie v rámci Zelené dohody“, která svým konkrétním zaměřením výrazně vyprofiluje dosavadní „klimatickou diplomacii“ EU vůči mezinárodním organizacím a klíčovým partnerům v oblasti ochrany klimatu. </w:t>
      </w:r>
      <w:r w:rsidRPr="008D7F3D">
        <w:rPr>
          <w:rFonts w:ascii="Times New Roman" w:hAnsi="Times New Roman" w:cs="Times New Roman"/>
          <w:color w:val="000000" w:themeColor="text1"/>
          <w:u w:val="single"/>
        </w:rPr>
        <w:t>Pro zmíněné aktivity existují jak v EU, tak na širší platformě mezinárodních vztahů již zavedené mechanismy nejen vůči mezinárodním organizacím, ale i směrem k jednotlivým státům či jejich regionálním uskupením.</w:t>
      </w:r>
      <w:r w:rsidRPr="008D7F3D">
        <w:rPr>
          <w:rFonts w:ascii="Times New Roman" w:hAnsi="Times New Roman" w:cs="Times New Roman"/>
          <w:color w:val="000000" w:themeColor="text1"/>
        </w:rPr>
        <w:t xml:space="preserve"> EU bude rozvíjet silnější „diplomacii v rámci Zelené dohody“ zaměřenou na přesvědčování a podporu druhých k tomu, aby na sebe vzali svůj podíl při podpoře udržitelnějšího rozvoje. </w:t>
      </w:r>
      <w:r w:rsidRPr="008D7F3D">
        <w:rPr>
          <w:rFonts w:ascii="Times New Roman" w:hAnsi="Times New Roman" w:cs="Times New Roman"/>
          <w:b/>
          <w:color w:val="000000" w:themeColor="text1"/>
        </w:rPr>
        <w:t>Pozice ČR</w:t>
      </w:r>
      <w:r w:rsidRPr="008D7F3D">
        <w:rPr>
          <w:rFonts w:ascii="Times New Roman" w:hAnsi="Times New Roman" w:cs="Times New Roman"/>
          <w:color w:val="000000" w:themeColor="text1"/>
        </w:rPr>
        <w:t xml:space="preserve"> je vůči záměrům 3. kapitoly vstřícná především vzhledem k tomu, že podíl EU na celosvětových emisích klesá a pro smysluplné řešení globální výzvy v oblasti klimatu budou klíčová srovnatelná opatření a zvýšené úsilí jiných regionů. ČR souhlasí, že ekologická transformace má potenciál přetvořit geopolitiku, včetně globálních hospodářských, obchodních a bezpečnostních zájmů k lepšímu, jelikož EU bude se všemi partnery spolupracovat na zvýšení klimatické a environmentální odolnosti, aby se zabránilo tomu, že se tyto problémy stanou zdrojem konfliktů. Podporujeme záměr stavět rozvíjející se klimatické vztahy na mezinárodní platformě pro udržitelné financování. ČR v tomto ohledu rovněž vítá důraz na udržitelné investice a mobilizaci veřejných i soukromých prostředků na podporu transformace partnerských zemí v oblasti klimatu. Nosnou ve sdělení je rovněž teze, aby si EU udržela bezpečnost svých dodávek a konkurenceschopnost i v případě, že ostatní nejsou ochotni jednat. Zvýšený důraz je třeba klást na podporu úsilí bezprostředních sousedů </w:t>
      </w:r>
      <w:r w:rsidR="005F0170" w:rsidRPr="008D7F3D">
        <w:rPr>
          <w:rFonts w:ascii="Times New Roman" w:hAnsi="Times New Roman" w:cs="Times New Roman"/>
          <w:color w:val="000000" w:themeColor="text1"/>
        </w:rPr>
        <w:t>EU – v</w:t>
      </w:r>
      <w:r w:rsidRPr="008D7F3D">
        <w:rPr>
          <w:rFonts w:ascii="Times New Roman" w:hAnsi="Times New Roman" w:cs="Times New Roman"/>
          <w:color w:val="000000" w:themeColor="text1"/>
        </w:rPr>
        <w:t xml:space="preserve"> jižním sousedství, zemích východního partnerství a západním Balkánu. ČR se ztotožňuje s vnímáním dopadů politiky v oblasti klimatu jako nedílné součásti opatření EU v oblasti vnějších vztahů včetně společné bezpečnostní a obranné politiky.</w:t>
      </w:r>
    </w:p>
    <w:p w14:paraId="0268CC76" w14:textId="77777777" w:rsidR="00192EA9" w:rsidRPr="008D7F3D" w:rsidRDefault="00192EA9" w:rsidP="00192EA9">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EU chce využít svého vlivu, odborných znalostí a finančních prostředků, aby přiměla své sousedy a partnery připojit se k ní na této udržitelné cestě. </w:t>
      </w:r>
      <w:r w:rsidRPr="008D7F3D">
        <w:rPr>
          <w:rFonts w:ascii="Times New Roman" w:hAnsi="Times New Roman" w:cs="Times New Roman"/>
          <w:color w:val="000000" w:themeColor="text1"/>
          <w:u w:val="single"/>
        </w:rPr>
        <w:t>Opatření specifikovaná ve 3. kapitole podporují implementaci závazků Zelené dohody na zahraničněpolitické platformě</w:t>
      </w: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EU nadále povede mezinárodní úsilí a přeje si budovat aliance s kompatibilními partnery, přičemž bude na celém světě prosazovat a provádět ambiciózní politiky v oblasti životního prostředí, klimatu a energetiky.</w:t>
      </w:r>
      <w:r w:rsidRPr="008D7F3D">
        <w:rPr>
          <w:rFonts w:ascii="Times New Roman" w:hAnsi="Times New Roman" w:cs="Times New Roman"/>
          <w:color w:val="000000" w:themeColor="text1"/>
        </w:rPr>
        <w:t xml:space="preserve"> Kvůli účelu </w:t>
      </w:r>
      <w:r w:rsidRPr="008D7F3D">
        <w:rPr>
          <w:rFonts w:ascii="Times New Roman" w:hAnsi="Times New Roman" w:cs="Times New Roman"/>
          <w:color w:val="000000" w:themeColor="text1"/>
          <w:u w:val="single"/>
        </w:rPr>
        <w:t>mobilizace mezinárodních investorů</w:t>
      </w:r>
      <w:r w:rsidRPr="008D7F3D">
        <w:rPr>
          <w:rFonts w:ascii="Times New Roman" w:hAnsi="Times New Roman" w:cs="Times New Roman"/>
          <w:color w:val="000000" w:themeColor="text1"/>
        </w:rPr>
        <w:t xml:space="preserve"> chce EU také zůstat v čele úsilí o </w:t>
      </w:r>
      <w:r w:rsidRPr="008D7F3D">
        <w:rPr>
          <w:rFonts w:ascii="Times New Roman" w:hAnsi="Times New Roman" w:cs="Times New Roman"/>
          <w:color w:val="000000" w:themeColor="text1"/>
          <w:u w:val="single"/>
        </w:rPr>
        <w:t>vytvoření finančního systému, který bude podporovat globální udržitelný růst</w:t>
      </w:r>
      <w:r w:rsidRPr="008D7F3D">
        <w:rPr>
          <w:rFonts w:ascii="Times New Roman" w:hAnsi="Times New Roman" w:cs="Times New Roman"/>
          <w:color w:val="000000" w:themeColor="text1"/>
        </w:rPr>
        <w:t xml:space="preserve">. V rámci snahy posílit dvoustranné zapojení do opatření v oblasti klimatu s partnerskými zeměmi a regiony bude EK, vysoký představitel a členské státy primárně pracovat s ekonomikami G20 ze zemí mimo EU, které jsou odpovědné za tři čtvrtiny globálních emisí, a také s nejzranitelnějšími zeměmi při přizpůsobování se nové realitě změny klimatu. Řada ve sdělení oznámených mezinárodních jednání je vzhledem ke coronavirové krizi časově posunuta. EU již aplikuje, aby se dodržování Pařížské dohody stalo základním prvkem ve všech komplexních </w:t>
      </w:r>
      <w:r w:rsidRPr="008D7F3D">
        <w:rPr>
          <w:rFonts w:ascii="Times New Roman" w:hAnsi="Times New Roman" w:cs="Times New Roman"/>
          <w:color w:val="000000" w:themeColor="text1"/>
          <w:u w:val="single"/>
        </w:rPr>
        <w:t>obchodních dohodách</w:t>
      </w:r>
      <w:r w:rsidRPr="008D7F3D">
        <w:rPr>
          <w:rStyle w:val="Znakapoznpodarou"/>
          <w:rFonts w:ascii="Times New Roman" w:hAnsi="Times New Roman" w:cs="Times New Roman"/>
          <w:color w:val="000000" w:themeColor="text1"/>
          <w:u w:val="single"/>
        </w:rPr>
        <w:footnoteReference w:id="2"/>
      </w:r>
      <w:r w:rsidRPr="008D7F3D">
        <w:rPr>
          <w:rFonts w:ascii="Times New Roman" w:hAnsi="Times New Roman" w:cs="Times New Roman"/>
          <w:color w:val="000000" w:themeColor="text1"/>
        </w:rPr>
        <w:t xml:space="preserve">. </w:t>
      </w:r>
    </w:p>
    <w:p w14:paraId="097888A6" w14:textId="77777777" w:rsidR="00192EA9" w:rsidRPr="008D7F3D" w:rsidRDefault="00192EA9" w:rsidP="00192EA9">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V evropských výkonných strukturách je nastaven systém komplexní spolupráce mezi příslušnými složkami EK, Rady (EEAS) a ČS na poli ochrany klimatu. Existující struktury EU a ČS jsou, v kontextu řečeného, schopny se s obsahovými nároky prohloubené kvality klimatické diplomacie a s ní spojené spolupráce vyrovnat v rozsahu stávajících kapacit, které budou již zavedenými mechanismy podávat mezinárodnímu společenství její nově precizovaný obsah (viz Ad a)). Jednotlivá opatření budou naplňována prostřednictvím příslušných programů EU, na které komplexně pamatuje ve svém klimatickém rozhledu VFR. Implementace uvedených programů náleží v kontextu příslušné sektorové politiky EU do gesce příslušných resortů, s nimiž </w:t>
      </w:r>
      <w:r w:rsidRPr="008D7F3D">
        <w:rPr>
          <w:rFonts w:ascii="Times New Roman" w:hAnsi="Times New Roman" w:cs="Times New Roman"/>
          <w:color w:val="000000" w:themeColor="text1"/>
          <w:u w:val="single"/>
        </w:rPr>
        <w:t>zahraniční služba ČR provádí koordinaci pro potřeby synergického vyznění pozic ČR na všech relevantních fórech, zabývajících se klimatickou politikou na poli diplomacie</w:t>
      </w:r>
      <w:r w:rsidRPr="008D7F3D">
        <w:rPr>
          <w:rFonts w:ascii="Times New Roman" w:hAnsi="Times New Roman" w:cs="Times New Roman"/>
          <w:color w:val="000000" w:themeColor="text1"/>
        </w:rPr>
        <w:t xml:space="preserve">. </w:t>
      </w:r>
    </w:p>
    <w:p w14:paraId="701F05DC" w14:textId="77777777" w:rsidR="00192EA9" w:rsidRPr="008D7F3D" w:rsidRDefault="00345CD7" w:rsidP="00192EA9">
      <w:pPr>
        <w:jc w:val="both"/>
        <w:rPr>
          <w:rFonts w:ascii="Times New Roman" w:hAnsi="Times New Roman" w:cs="Times New Roman"/>
          <w:color w:val="000000" w:themeColor="text1"/>
          <w:lang w:eastAsia="cs-CZ"/>
        </w:rPr>
      </w:pPr>
      <w:r w:rsidRPr="008D7F3D">
        <w:rPr>
          <w:rFonts w:ascii="Times New Roman" w:hAnsi="Times New Roman" w:cs="Times New Roman"/>
          <w:color w:val="000000" w:themeColor="text1"/>
        </w:rPr>
        <w:t xml:space="preserve"> </w:t>
      </w:r>
      <w:r w:rsidR="00192EA9" w:rsidRPr="008D7F3D">
        <w:rPr>
          <w:rFonts w:ascii="Times New Roman" w:hAnsi="Times New Roman" w:cs="Times New Roman"/>
          <w:color w:val="000000" w:themeColor="text1"/>
        </w:rPr>
        <w:t>„Diplomacie v rámci Zelené dohody“ se ve své snaze o financování klimatické politiky bude snažit stimulovat zahraniční partnery k příslušným investicím do klimatických opatření. Samotná diplomacie tak bude přispívat k naplňování záměrů ostatních kapitol Zelené dohody, a to v rámci mezinárodní politické spolupráce bez přímých nároků na financování svých aktivit.</w:t>
      </w:r>
    </w:p>
    <w:p w14:paraId="7130AEED" w14:textId="77777777" w:rsidR="00192EA9" w:rsidRPr="008D7F3D" w:rsidRDefault="00192EA9" w:rsidP="00192EA9">
      <w:pPr>
        <w:jc w:val="both"/>
        <w:rPr>
          <w:rFonts w:ascii="Times New Roman" w:hAnsi="Times New Roman" w:cs="Times New Roman"/>
          <w:i/>
          <w:color w:val="000000" w:themeColor="text1"/>
        </w:rPr>
      </w:pPr>
    </w:p>
    <w:p w14:paraId="73B3A385" w14:textId="77777777" w:rsidR="00192EA9" w:rsidRPr="008D7F3D" w:rsidRDefault="00192EA9" w:rsidP="00B03C45">
      <w:pPr>
        <w:jc w:val="both"/>
        <w:rPr>
          <w:rFonts w:ascii="Times New Roman" w:hAnsi="Times New Roman" w:cs="Times New Roman"/>
          <w:i/>
          <w:color w:val="000000" w:themeColor="text1"/>
        </w:rPr>
      </w:pPr>
    </w:p>
    <w:p w14:paraId="4D951509" w14:textId="77777777" w:rsidR="001831CF" w:rsidRPr="008D7F3D" w:rsidRDefault="001831CF" w:rsidP="00B03C45">
      <w:pPr>
        <w:jc w:val="both"/>
        <w:rPr>
          <w:rFonts w:ascii="Times New Roman" w:hAnsi="Times New Roman" w:cs="Times New Roman"/>
          <w:i/>
          <w:color w:val="000000" w:themeColor="text1"/>
        </w:rPr>
      </w:pPr>
    </w:p>
    <w:p w14:paraId="6B54CD83" w14:textId="77777777" w:rsidR="001831CF" w:rsidRPr="008D7F3D" w:rsidRDefault="001831CF" w:rsidP="00B03C45">
      <w:pPr>
        <w:jc w:val="both"/>
        <w:rPr>
          <w:rFonts w:ascii="Times New Roman" w:hAnsi="Times New Roman" w:cs="Times New Roman"/>
          <w:i/>
          <w:color w:val="000000" w:themeColor="text1"/>
        </w:rPr>
      </w:pPr>
    </w:p>
    <w:p w14:paraId="2F5D133A" w14:textId="77777777" w:rsidR="001831CF" w:rsidRPr="008D7F3D" w:rsidRDefault="001831CF" w:rsidP="00B03C45">
      <w:pPr>
        <w:jc w:val="both"/>
        <w:rPr>
          <w:rFonts w:ascii="Times New Roman" w:hAnsi="Times New Roman" w:cs="Times New Roman"/>
          <w:i/>
          <w:color w:val="000000" w:themeColor="text1"/>
        </w:rPr>
      </w:pPr>
    </w:p>
    <w:p w14:paraId="20B75CA2" w14:textId="77777777" w:rsidR="001831CF" w:rsidRPr="008D7F3D" w:rsidRDefault="001831CF" w:rsidP="00B03C45">
      <w:pPr>
        <w:jc w:val="both"/>
        <w:rPr>
          <w:rFonts w:ascii="Times New Roman" w:hAnsi="Times New Roman" w:cs="Times New Roman"/>
          <w:i/>
          <w:color w:val="000000" w:themeColor="text1"/>
        </w:rPr>
      </w:pPr>
    </w:p>
    <w:p w14:paraId="35696E0C" w14:textId="77777777" w:rsidR="001831CF" w:rsidRPr="008D7F3D" w:rsidRDefault="001831CF" w:rsidP="00B03C45">
      <w:pPr>
        <w:jc w:val="both"/>
        <w:rPr>
          <w:rFonts w:ascii="Times New Roman" w:hAnsi="Times New Roman" w:cs="Times New Roman"/>
          <w:i/>
          <w:color w:val="000000" w:themeColor="text1"/>
        </w:rPr>
      </w:pPr>
    </w:p>
    <w:p w14:paraId="28AF88DE" w14:textId="77777777" w:rsidR="001831CF" w:rsidRPr="008D7F3D" w:rsidRDefault="001831CF" w:rsidP="00B03C45">
      <w:pPr>
        <w:jc w:val="both"/>
        <w:rPr>
          <w:rFonts w:ascii="Times New Roman" w:hAnsi="Times New Roman" w:cs="Times New Roman"/>
          <w:i/>
          <w:color w:val="000000" w:themeColor="text1"/>
        </w:rPr>
      </w:pPr>
    </w:p>
    <w:p w14:paraId="71228390" w14:textId="77777777" w:rsidR="001831CF" w:rsidRPr="008D7F3D" w:rsidRDefault="001831CF" w:rsidP="00B03C45">
      <w:pPr>
        <w:jc w:val="both"/>
        <w:rPr>
          <w:rFonts w:ascii="Times New Roman" w:hAnsi="Times New Roman" w:cs="Times New Roman"/>
          <w:i/>
          <w:color w:val="000000" w:themeColor="text1"/>
        </w:rPr>
      </w:pPr>
    </w:p>
    <w:p w14:paraId="541E2020" w14:textId="77777777" w:rsidR="001831CF" w:rsidRPr="008D7F3D" w:rsidRDefault="001831CF" w:rsidP="00B03C45">
      <w:pPr>
        <w:jc w:val="both"/>
        <w:rPr>
          <w:rFonts w:ascii="Times New Roman" w:hAnsi="Times New Roman" w:cs="Times New Roman"/>
          <w:i/>
          <w:color w:val="000000" w:themeColor="text1"/>
        </w:rPr>
      </w:pPr>
    </w:p>
    <w:p w14:paraId="22C34C5C" w14:textId="77777777" w:rsidR="001831CF" w:rsidRPr="008D7F3D" w:rsidRDefault="001831CF" w:rsidP="00B03C45">
      <w:pPr>
        <w:jc w:val="both"/>
        <w:rPr>
          <w:rFonts w:ascii="Times New Roman" w:hAnsi="Times New Roman" w:cs="Times New Roman"/>
          <w:i/>
          <w:color w:val="000000" w:themeColor="text1"/>
        </w:rPr>
      </w:pPr>
    </w:p>
    <w:p w14:paraId="39552C01" w14:textId="77777777" w:rsidR="001831CF" w:rsidRPr="008D7F3D" w:rsidRDefault="001831CF" w:rsidP="00B03C45">
      <w:pPr>
        <w:jc w:val="both"/>
        <w:rPr>
          <w:rFonts w:ascii="Times New Roman" w:hAnsi="Times New Roman" w:cs="Times New Roman"/>
          <w:i/>
          <w:color w:val="000000" w:themeColor="text1"/>
        </w:rPr>
      </w:pPr>
    </w:p>
    <w:p w14:paraId="13860040" w14:textId="77777777" w:rsidR="001831CF" w:rsidRPr="008D7F3D" w:rsidRDefault="001831CF" w:rsidP="00B03C45">
      <w:pPr>
        <w:jc w:val="both"/>
        <w:rPr>
          <w:rFonts w:ascii="Times New Roman" w:hAnsi="Times New Roman" w:cs="Times New Roman"/>
          <w:i/>
          <w:color w:val="000000" w:themeColor="text1"/>
        </w:rPr>
      </w:pPr>
    </w:p>
    <w:p w14:paraId="16C46195" w14:textId="77777777" w:rsidR="00AE29F8" w:rsidRPr="008D7F3D" w:rsidRDefault="00AE29F8" w:rsidP="00B03C45">
      <w:pPr>
        <w:jc w:val="both"/>
        <w:rPr>
          <w:rFonts w:ascii="Times New Roman" w:hAnsi="Times New Roman" w:cs="Times New Roman"/>
          <w:i/>
          <w:color w:val="000000" w:themeColor="text1"/>
        </w:rPr>
      </w:pPr>
    </w:p>
    <w:p w14:paraId="06E04BCD" w14:textId="77777777" w:rsidR="001831CF" w:rsidRPr="008D7F3D" w:rsidRDefault="001831CF" w:rsidP="00362008">
      <w:pPr>
        <w:rPr>
          <w:rFonts w:ascii="Times New Roman" w:hAnsi="Times New Roman" w:cs="Times New Roman"/>
          <w:b/>
          <w:color w:val="000000" w:themeColor="text1"/>
          <w:sz w:val="28"/>
          <w:szCs w:val="28"/>
          <w:u w:val="single"/>
        </w:rPr>
      </w:pPr>
    </w:p>
    <w:p w14:paraId="65C8B390" w14:textId="77777777" w:rsidR="00345CD7" w:rsidRDefault="00345CD7">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br w:type="page"/>
      </w:r>
    </w:p>
    <w:p w14:paraId="5F9D8F13" w14:textId="77777777" w:rsidR="001831CF" w:rsidRPr="008D7F3D" w:rsidRDefault="001831CF" w:rsidP="00345CD7">
      <w:pPr>
        <w:pStyle w:val="Nadpis1"/>
      </w:pPr>
      <w:bookmarkStart w:id="12" w:name="_Toc49930237"/>
      <w:r w:rsidRPr="008D7F3D">
        <w:t>Ministerstvo zemědělství</w:t>
      </w:r>
      <w:bookmarkEnd w:id="12"/>
    </w:p>
    <w:p w14:paraId="3A86BE18" w14:textId="77777777" w:rsidR="001831CF" w:rsidRPr="008D7F3D" w:rsidRDefault="001831CF" w:rsidP="00345CD7">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Společná zemědělská politika</w:t>
      </w:r>
    </w:p>
    <w:p w14:paraId="5E3771AA"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Ačkoliv je reforma Společné zemědělské politiky projednávána na půdě Rady EU od června 2018, ještě řada otázek zůstává otevřených a budou předmětem nadcházejících diskusí jak na pracovní úrovni, tak v rámci ministerských jednání. Ambicí DE PRES je dosažení obecného přístupu v Radě v říjnu 2020 a zahájení trialogů s EP a EK ještě před koncem t.r.</w:t>
      </w:r>
    </w:p>
    <w:p w14:paraId="10106386"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Do vyjednávání budoucí podoby SZP rovněž významně zasáhla EGD představená Komisí v prosinci 2019 a na ni navazující strategie – F2F a pro biologickou rozmanitost – které byly zveřejněny po několika odkladech v květnu t.r. Obě uvedené strategie obsahují řadu velmi ambiciózních cílů, jejichž naplnění bude pro ČS skutečnou výzvou. Jak Komise deklarovala, jedná se o cíle politické a je na ně třeba nahlížet z pohledu EU jako celku – stanovené (procentní) hodnoty jednotlivých cílů se tak nevztahují vždy k jednotlivému ČS.</w:t>
      </w:r>
    </w:p>
    <w:p w14:paraId="5FC6BA35"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V návaznosti na předložení těchto strategií se EK rozhodla s ČS zahájit tzv. strukturovaný dialog, který by měl vyústit představením doporučení EK pro jednotlivé ČS ohledně devíti specifických cílů SZP. Konkrétnější debaty s ČS je možné očekávat až na podzim tohoto roku – doporučení by pak ČS měly obdržet nejpozději v prosinci 2020. I když EK avizovala, že doporučení by neměla být právně závazná, je možné očekávat, že budou součástí kritérií hodnocení Strategických plánů.</w:t>
      </w:r>
    </w:p>
    <w:p w14:paraId="65E27BBD"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Tato iniciativa EK zastihla ČS již v pokročilé fázi přípravy národních Strategických plánů a do značné míry tak zkomplikovala jejich kompletaci ve stanoveném termínu.</w:t>
      </w:r>
    </w:p>
    <w:p w14:paraId="3CB1DE7F"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Otevřenou otázkou i nadále zůstává legislativa k přechodnému období, která doposud nebyla přijata, a v této věci zejména nejednotné názory na délku přechodného období (Rada a EP – 2 roky; EK – 1 rok).</w:t>
      </w:r>
    </w:p>
    <w:p w14:paraId="0EB18A01"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S ohledem na výše uvedené skutečnosti – tedy stále probíhající diskuse k budoucí podobě SZP a doposud ze strany EK nepředstavené specifické cíle pro jednotlivé ČS a analýzy dopadů – není v tuto chvíli reálné vyhodnocení aktuálního stavu plnění závazků, vyčíslení nákladů realizace či zdrojů financování ve vazbě na EGD a navazující strategie.</w:t>
      </w:r>
    </w:p>
    <w:p w14:paraId="4C07F000"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V souvislosti s otázkou financování je třeba upozornit, že ačkoliv byly na jednání ER ve dnech 17. – 21. 7. přijaty závěry k budoucímu VFR a fondu pro obnovu ekonomik, nejedná se ještě o finální podobu rozpočtu, neboť se o své slovo aktivně přihlásil Evropský parlament, který bude usilovat o četné změny. Otázkou rovněž zůstává, zda bude možné prostředky na obnovu ekonomik čerpat rovněž v rámci přechodného období anebo zda dojde k jejich navázání až na „novou SZP“.</w:t>
      </w:r>
    </w:p>
    <w:p w14:paraId="678F0D35" w14:textId="77777777" w:rsidR="001831CF" w:rsidRPr="008D7F3D" w:rsidRDefault="001831CF" w:rsidP="00345CD7">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Společná rybářská politika</w:t>
      </w:r>
    </w:p>
    <w:p w14:paraId="75FAA8F4"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Od června 2018 probíhá vyjednávání nařízení o Evropském námořním a rybářském fondu (ENRF) pro nové programové období 2021–2027, reforma Společné rybářské politiky je plánována až v roce 2023. Doposud se podařilo na úrovni Rady dosáhnout obecného postoje k nařízení o ENRF a uskutečnily se celkem 4 politické trialogy a několik technických jednání s Evropským parlamentem. DE PRES plánuje dokončit jednání o ENRF do konce roku 2020, nicméně vše se bude odvíjet od termínu schválení VFR. </w:t>
      </w:r>
    </w:p>
    <w:p w14:paraId="2C309EC4"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Zásadní požadavky ČR na úpravu návrhu nařízení byly již zohledněny v mandátu Rady a rovněž z dosavadních jednání s EP zatím nevyplývá žádná významná překážka, která by bránila přijetí nařízení ze strany ČR.  </w:t>
      </w:r>
    </w:p>
    <w:p w14:paraId="60477E12"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Na úrovni ČR nyní probíhá aktualizace Víceletého národního strategického plánu pro akvakulturu (VNPSA), který je podmínkou pro čerpání prostředků z ENRF. Byla zpracována 1. verze Operačního programu Rybářství 2021-2027, která je nyní konzultována s Evropskou komisí.</w:t>
      </w:r>
    </w:p>
    <w:p w14:paraId="31BC7393"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Evropská zelená dohoda (EGD) a navazující strategie – F2F a pro biologickou rozmanitost – stanovují pro odvětví produkčního rybářství následující cíle:</w:t>
      </w:r>
    </w:p>
    <w:p w14:paraId="25AA8B9F" w14:textId="77777777" w:rsidR="001831CF" w:rsidRPr="008D7F3D" w:rsidRDefault="001831CF" w:rsidP="001831CF">
      <w:pPr>
        <w:pStyle w:val="Odstavecseseznamem"/>
        <w:numPr>
          <w:ilvl w:val="0"/>
          <w:numId w:val="23"/>
        </w:numPr>
        <w:spacing w:before="120"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 xml:space="preserve">Podpora udržitelné akvakultury </w:t>
      </w:r>
    </w:p>
    <w:p w14:paraId="1ABB159A"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Cíl dosáhnout udržitelnosti akvakultury je již v ČR de facto splněn, neboť existující formy hospodaření jsou dlouhodobě udržitelné. Nastavený cíl F2F je v souladu s cílem VNSPA. </w:t>
      </w:r>
    </w:p>
    <w:p w14:paraId="16386953" w14:textId="77777777" w:rsidR="001831CF" w:rsidRPr="008D7F3D" w:rsidRDefault="001831CF" w:rsidP="001831CF">
      <w:pPr>
        <w:pStyle w:val="Odstavecseseznamem"/>
        <w:numPr>
          <w:ilvl w:val="0"/>
          <w:numId w:val="23"/>
        </w:numPr>
        <w:spacing w:before="120"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Významně rozšířit ekologickou akvakulturu</w:t>
      </w:r>
    </w:p>
    <w:p w14:paraId="0D2D475C"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Jedná se o problematický cíl, který může významně ohrozit konkurenceschopnost podniků akvakultury. Potenciál naplnění cíle bude možné vyhodnotit až po provedení relevantních analýz.</w:t>
      </w:r>
    </w:p>
    <w:p w14:paraId="1D173C5C" w14:textId="77777777" w:rsidR="001831CF" w:rsidRPr="008D7F3D" w:rsidRDefault="001831CF" w:rsidP="001831CF">
      <w:pPr>
        <w:pStyle w:val="Odstavecseseznamem"/>
        <w:numPr>
          <w:ilvl w:val="0"/>
          <w:numId w:val="23"/>
        </w:numPr>
        <w:spacing w:before="120"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Podpora inovací a digitalizace</w:t>
      </w:r>
    </w:p>
    <w:p w14:paraId="1F736825"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Cíl je již v současnosti naplňován. Výzkum a vzdělávání v oblasti sladkovodní akvakultury je v ČR na velmi vysoké úrovni. Inovace jsou a budou i nadále podporovány z evropských i národních zdrojů. Digitalizace v akvakultuře se plánuje v oblasti sběru dat, očekávané investice budou financovány z ENRF.</w:t>
      </w:r>
    </w:p>
    <w:p w14:paraId="296F1B4D" w14:textId="77777777" w:rsidR="001831CF" w:rsidRPr="008D7F3D" w:rsidRDefault="001831CF" w:rsidP="001831CF">
      <w:pPr>
        <w:pStyle w:val="Odstavecseseznamem"/>
        <w:numPr>
          <w:ilvl w:val="0"/>
          <w:numId w:val="23"/>
        </w:numPr>
        <w:spacing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 xml:space="preserve">Obnova sladkovodních systémů </w:t>
      </w:r>
    </w:p>
    <w:p w14:paraId="267713DE" w14:textId="77777777" w:rsidR="001831CF" w:rsidRPr="008D7F3D" w:rsidRDefault="001831CF" w:rsidP="001831CF">
      <w:pPr>
        <w:spacing w:after="120"/>
        <w:jc w:val="both"/>
        <w:rPr>
          <w:rFonts w:ascii="Times New Roman" w:hAnsi="Times New Roman" w:cs="Times New Roman"/>
          <w:bCs/>
          <w:color w:val="000000" w:themeColor="text1"/>
        </w:rPr>
      </w:pPr>
      <w:r w:rsidRPr="008D7F3D">
        <w:rPr>
          <w:rFonts w:ascii="Times New Roman" w:hAnsi="Times New Roman" w:cs="Times New Roman"/>
          <w:color w:val="000000" w:themeColor="text1"/>
        </w:rPr>
        <w:t>P</w:t>
      </w:r>
      <w:r w:rsidRPr="008D7F3D">
        <w:rPr>
          <w:rFonts w:ascii="Times New Roman" w:hAnsi="Times New Roman" w:cs="Times New Roman"/>
          <w:bCs/>
          <w:color w:val="000000" w:themeColor="text1"/>
        </w:rPr>
        <w:t xml:space="preserve">rostřednictvím OP Rybářství je v současnosti podporováno vysazování úhoře říčního, a to v souladu se stanovenými Plány managementu úhoře. Podpora těchto projektů z OP Rybářství je plánována i v novém programovém období 2021–2027. </w:t>
      </w:r>
    </w:p>
    <w:p w14:paraId="4141FCA5"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Kromě cíle zaměřeného na ekologickou akvakulturu je realizace příslušných cílů strategií v souladu s cíli stanovenými ve VNSPA a jejich naplnění se předpokládá prostřednictvím OP Rybářství 2021–2027 a také prostřednictvím národních podpor. V podstatě celá plánovaná alokace ENRF bude určena k realizaci EGD. Výši národních podpor nelze nyní upřesnit. </w:t>
      </w:r>
    </w:p>
    <w:p w14:paraId="1B862D58"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Zdroje financování nejsou nyní předmětem diskusí. Přepokládá se, že v rámci ENRF bude pro ČR nastavena dostatečná alokace. </w:t>
      </w:r>
    </w:p>
    <w:p w14:paraId="058655ED" w14:textId="77777777" w:rsidR="001831CF" w:rsidRPr="008D7F3D" w:rsidRDefault="001831CF" w:rsidP="001831C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rPr>
      </w:pPr>
      <w:r w:rsidRPr="008D7F3D">
        <w:rPr>
          <w:rFonts w:ascii="Times New Roman" w:hAnsi="Times New Roman" w:cs="Times New Roman"/>
          <w:b/>
          <w:bCs/>
          <w:color w:val="000000" w:themeColor="text1"/>
        </w:rPr>
        <w:t xml:space="preserve">Doplnění ke klíčovému opatření: </w:t>
      </w:r>
    </w:p>
    <w:p w14:paraId="0D9B071E" w14:textId="77777777" w:rsidR="001831CF" w:rsidRPr="008D7F3D" w:rsidRDefault="001831CF" w:rsidP="001831C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rPr>
      </w:pPr>
      <w:r w:rsidRPr="008D7F3D">
        <w:rPr>
          <w:rFonts w:ascii="Times New Roman" w:hAnsi="Times New Roman" w:cs="Times New Roman"/>
          <w:b/>
          <w:bCs/>
          <w:color w:val="000000" w:themeColor="text1"/>
        </w:rPr>
        <w:t>1. Omezit používání pesticidů a s ním související rizika o 50 % do roku 2030 a omezit používání nebezpečnějších pesticidů o 50 % do roku 2030</w:t>
      </w:r>
    </w:p>
    <w:p w14:paraId="0F6CCF36" w14:textId="77777777" w:rsidR="001831CF" w:rsidRPr="008D7F3D" w:rsidRDefault="001831CF" w:rsidP="001831C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rPr>
      </w:pPr>
      <w:r w:rsidRPr="008D7F3D">
        <w:rPr>
          <w:rFonts w:ascii="Times New Roman" w:hAnsi="Times New Roman" w:cs="Times New Roman"/>
          <w:b/>
          <w:bCs/>
          <w:color w:val="000000" w:themeColor="text1"/>
        </w:rPr>
        <w:t xml:space="preserve">2. </w:t>
      </w:r>
      <w:r w:rsidRPr="008D7F3D">
        <w:rPr>
          <w:rFonts w:ascii="Times New Roman" w:hAnsi="Times New Roman" w:cs="Times New Roman"/>
          <w:b/>
          <w:color w:val="000000" w:themeColor="text1"/>
        </w:rPr>
        <w:t>Snížit celkové prodeje antimikrobiálních látek používaných pro hospodářská zvířata a akvakulturu v EU o 50 % do roku 2030</w:t>
      </w:r>
    </w:p>
    <w:p w14:paraId="5C55FEC4"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6A1B8F39"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r w:rsidRPr="008D7F3D">
        <w:rPr>
          <w:rFonts w:ascii="Times New Roman" w:hAnsi="Times New Roman" w:cs="Times New Roman"/>
          <w:b/>
          <w:bCs/>
          <w:color w:val="000000" w:themeColor="text1"/>
        </w:rPr>
        <w:t xml:space="preserve"> </w:t>
      </w:r>
    </w:p>
    <w:p w14:paraId="3E527EBC" w14:textId="77777777" w:rsidR="001831CF" w:rsidRPr="008D7F3D" w:rsidRDefault="001831CF" w:rsidP="001831CF">
      <w:pPr>
        <w:pStyle w:val="Odstavecseseznamem"/>
        <w:autoSpaceDE w:val="0"/>
        <w:autoSpaceDN w:val="0"/>
        <w:adjustRightInd w:val="0"/>
        <w:spacing w:before="240" w:after="60" w:line="240" w:lineRule="auto"/>
        <w:ind w:left="567" w:hanging="283"/>
        <w:jc w:val="both"/>
        <w:rPr>
          <w:rFonts w:ascii="Times New Roman" w:hAnsi="Times New Roman" w:cs="Times New Roman"/>
          <w:i/>
          <w:color w:val="000000" w:themeColor="text1"/>
        </w:rPr>
      </w:pPr>
      <w:r w:rsidRPr="008D7F3D">
        <w:rPr>
          <w:rFonts w:ascii="Times New Roman" w:hAnsi="Times New Roman" w:cs="Times New Roman"/>
          <w:i/>
          <w:color w:val="000000" w:themeColor="text1"/>
        </w:rPr>
        <w:t>1.</w:t>
      </w:r>
      <w:r w:rsidRPr="008D7F3D">
        <w:rPr>
          <w:rFonts w:ascii="Times New Roman" w:hAnsi="Times New Roman" w:cs="Times New Roman"/>
          <w:i/>
          <w:color w:val="000000" w:themeColor="text1"/>
        </w:rPr>
        <w:tab/>
        <w:t>Omezit používání pesticidů a s ním související rizika o 50 % do roku 2030 a omezit používání nebezpečnějších pesticidů o 50 % do roku 2030</w:t>
      </w:r>
    </w:p>
    <w:p w14:paraId="7DD4C3E4" w14:textId="77777777" w:rsidR="001831CF" w:rsidRPr="008D7F3D" w:rsidRDefault="001831CF" w:rsidP="001831CF">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color w:val="000000" w:themeColor="text1"/>
        </w:rPr>
        <w:t xml:space="preserve">Byl zahájen proces revize směrnice 2009/128/ES, </w:t>
      </w:r>
      <w:r w:rsidRPr="008D7F3D">
        <w:rPr>
          <w:rFonts w:ascii="Times New Roman" w:hAnsi="Times New Roman" w:cs="Times New Roman"/>
          <w:bCs/>
          <w:color w:val="000000" w:themeColor="text1"/>
        </w:rPr>
        <w:t>ze dne 21. října 2009, kterou se stanoví rámec pro činnost Společenství za účelem dosažení udržitelného používání pesticidů. V současné době probíhá veřejná konzultace k </w:t>
      </w:r>
      <w:proofErr w:type="spellStart"/>
      <w:r w:rsidRPr="008D7F3D">
        <w:rPr>
          <w:rFonts w:ascii="Times New Roman" w:hAnsi="Times New Roman" w:cs="Times New Roman"/>
          <w:bCs/>
          <w:color w:val="000000" w:themeColor="text1"/>
        </w:rPr>
        <w:t>Roadmap</w:t>
      </w:r>
      <w:proofErr w:type="spellEnd"/>
      <w:r w:rsidRPr="008D7F3D">
        <w:rPr>
          <w:rFonts w:ascii="Times New Roman" w:hAnsi="Times New Roman" w:cs="Times New Roman"/>
          <w:bCs/>
          <w:color w:val="000000" w:themeColor="text1"/>
        </w:rPr>
        <w:t xml:space="preserve"> revize.</w:t>
      </w:r>
    </w:p>
    <w:p w14:paraId="666BFA9C"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bCs/>
          <w:color w:val="000000" w:themeColor="text1"/>
          <w:u w:val="single"/>
        </w:rPr>
        <w:t>Pozice ČR</w:t>
      </w:r>
      <w:r w:rsidRPr="008D7F3D">
        <w:rPr>
          <w:rFonts w:ascii="Times New Roman" w:hAnsi="Times New Roman" w:cs="Times New Roman"/>
          <w:bCs/>
          <w:color w:val="000000" w:themeColor="text1"/>
        </w:rPr>
        <w:t xml:space="preserve">: Revizi vítáme, z pohledu </w:t>
      </w:r>
      <w:proofErr w:type="spellStart"/>
      <w:r w:rsidRPr="008D7F3D">
        <w:rPr>
          <w:rFonts w:ascii="Times New Roman" w:hAnsi="Times New Roman" w:cs="Times New Roman"/>
          <w:bCs/>
          <w:color w:val="000000" w:themeColor="text1"/>
        </w:rPr>
        <w:t>MZe</w:t>
      </w:r>
      <w:proofErr w:type="spellEnd"/>
      <w:r w:rsidRPr="008D7F3D">
        <w:rPr>
          <w:rFonts w:ascii="Times New Roman" w:hAnsi="Times New Roman" w:cs="Times New Roman"/>
          <w:bCs/>
          <w:color w:val="000000" w:themeColor="text1"/>
        </w:rPr>
        <w:t xml:space="preserve"> je revize SUD nezbytná, protože směrnice neplní svoji roli a cíle, kterých mělo jejím prostřednictvím být dosaženo. Současně </w:t>
      </w:r>
      <w:r w:rsidRPr="008D7F3D">
        <w:rPr>
          <w:rFonts w:ascii="Times New Roman" w:hAnsi="Times New Roman" w:cs="Times New Roman"/>
          <w:color w:val="000000" w:themeColor="text1"/>
        </w:rPr>
        <w:t>nesouhlasíme s navrženým snížením používání pesticidů o 50 % plošně ve všech členských státech.</w:t>
      </w:r>
    </w:p>
    <w:p w14:paraId="577A2B61" w14:textId="77777777" w:rsidR="001831CF" w:rsidRPr="008D7F3D" w:rsidRDefault="001831CF" w:rsidP="001831CF">
      <w:pPr>
        <w:spacing w:line="288" w:lineRule="auto"/>
        <w:ind w:left="720" w:hanging="360"/>
        <w:contextualSpacing/>
        <w:rPr>
          <w:rFonts w:ascii="Times New Roman" w:hAnsi="Times New Roman" w:cs="Times New Roman"/>
          <w:color w:val="000000" w:themeColor="text1"/>
        </w:rPr>
      </w:pPr>
    </w:p>
    <w:p w14:paraId="04DF19FC" w14:textId="77777777" w:rsidR="001831CF" w:rsidRPr="008D7F3D" w:rsidRDefault="001831CF" w:rsidP="001831CF">
      <w:pPr>
        <w:spacing w:line="288" w:lineRule="auto"/>
        <w:ind w:left="567" w:hanging="283"/>
        <w:contextualSpacing/>
        <w:jc w:val="both"/>
        <w:rPr>
          <w:rFonts w:ascii="Times New Roman" w:hAnsi="Times New Roman" w:cs="Times New Roman"/>
          <w:i/>
          <w:color w:val="000000" w:themeColor="text1"/>
        </w:rPr>
      </w:pPr>
      <w:r w:rsidRPr="008D7F3D">
        <w:rPr>
          <w:rFonts w:ascii="Times New Roman" w:hAnsi="Times New Roman" w:cs="Times New Roman"/>
          <w:i/>
          <w:color w:val="000000" w:themeColor="text1"/>
        </w:rPr>
        <w:t>2.</w:t>
      </w:r>
      <w:r w:rsidRPr="008D7F3D">
        <w:rPr>
          <w:rFonts w:ascii="Times New Roman" w:hAnsi="Times New Roman" w:cs="Times New Roman"/>
          <w:i/>
          <w:color w:val="000000" w:themeColor="text1"/>
        </w:rPr>
        <w:tab/>
        <w:t xml:space="preserve">Snížit celkové prodeje antimikrobiálních látek používaných pro hospodářská zvířata </w:t>
      </w:r>
      <w:r w:rsidRPr="008D7F3D">
        <w:rPr>
          <w:rFonts w:ascii="Times New Roman" w:hAnsi="Times New Roman" w:cs="Times New Roman"/>
          <w:i/>
          <w:color w:val="000000" w:themeColor="text1"/>
        </w:rPr>
        <w:br/>
        <w:t>a akvakulturu v EU o 50 % do roku 2030</w:t>
      </w:r>
    </w:p>
    <w:p w14:paraId="7DF481AE" w14:textId="77777777" w:rsidR="001831CF" w:rsidRPr="008D7F3D" w:rsidRDefault="001831CF" w:rsidP="001831CF">
      <w:pPr>
        <w:spacing w:line="288" w:lineRule="auto"/>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Česká republika pomocí racionalizace používání a postupných kroků vedoucích ke zlepšením zemědělského sektoru chovu potraviny produkujících zvířat již zredukovala používání </w:t>
      </w:r>
      <w:proofErr w:type="spellStart"/>
      <w:r w:rsidRPr="008D7F3D">
        <w:rPr>
          <w:rFonts w:ascii="Times New Roman" w:hAnsi="Times New Roman" w:cs="Times New Roman"/>
          <w:color w:val="000000" w:themeColor="text1"/>
        </w:rPr>
        <w:t>antimikrobik</w:t>
      </w:r>
      <w:proofErr w:type="spellEnd"/>
      <w:r w:rsidRPr="008D7F3D">
        <w:rPr>
          <w:rFonts w:ascii="Times New Roman" w:hAnsi="Times New Roman" w:cs="Times New Roman"/>
          <w:color w:val="000000" w:themeColor="text1"/>
        </w:rPr>
        <w:t xml:space="preserve"> od roku 2008 do roku 2018 o 50 % (v mg/PCU, tj. mg celkově použitých antimikrobních látek v ČR vztažené na jednotku populace chovaných hospodářských zvířat vypočtenou podle jednotné metodiky EU). </w:t>
      </w:r>
    </w:p>
    <w:p w14:paraId="281FE5B3" w14:textId="77777777" w:rsidR="001831CF" w:rsidRPr="008D7F3D" w:rsidRDefault="001831CF" w:rsidP="001831CF">
      <w:pPr>
        <w:spacing w:line="288" w:lineRule="auto"/>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ČR je tak výrazně pod průměrem EU ve spotřebách </w:t>
      </w:r>
      <w:proofErr w:type="spellStart"/>
      <w:r w:rsidRPr="008D7F3D">
        <w:rPr>
          <w:rFonts w:ascii="Times New Roman" w:hAnsi="Times New Roman" w:cs="Times New Roman"/>
          <w:color w:val="000000" w:themeColor="text1"/>
        </w:rPr>
        <w:t>antimikrobik</w:t>
      </w:r>
      <w:proofErr w:type="spellEnd"/>
      <w:r w:rsidRPr="008D7F3D">
        <w:rPr>
          <w:rFonts w:ascii="Times New Roman" w:hAnsi="Times New Roman" w:cs="Times New Roman"/>
          <w:color w:val="000000" w:themeColor="text1"/>
        </w:rPr>
        <w:t xml:space="preserve"> (data 2017, ČR 63,6 mg/PCU; EU průměr 107,0 mg/PCU). </w:t>
      </w:r>
    </w:p>
    <w:p w14:paraId="6ABBD6AC" w14:textId="77777777" w:rsidR="001831CF" w:rsidRPr="008D7F3D" w:rsidRDefault="001831CF" w:rsidP="001831CF">
      <w:pPr>
        <w:spacing w:line="288" w:lineRule="auto"/>
        <w:contextualSpacing/>
        <w:jc w:val="both"/>
        <w:rPr>
          <w:rFonts w:ascii="Times New Roman" w:hAnsi="Times New Roman" w:cs="Times New Roman"/>
          <w:b/>
          <w:bCs/>
          <w:color w:val="000000" w:themeColor="text1"/>
        </w:rPr>
      </w:pPr>
      <w:r w:rsidRPr="008D7F3D">
        <w:rPr>
          <w:rFonts w:ascii="Times New Roman" w:hAnsi="Times New Roman" w:cs="Times New Roman"/>
          <w:bCs/>
          <w:color w:val="000000" w:themeColor="text1"/>
          <w:u w:val="single"/>
        </w:rPr>
        <w:t>Pozice ČR:</w:t>
      </w:r>
      <w:r w:rsidRPr="008D7F3D">
        <w:rPr>
          <w:rFonts w:ascii="Times New Roman" w:hAnsi="Times New Roman" w:cs="Times New Roman"/>
          <w:bCs/>
          <w:color w:val="000000" w:themeColor="text1"/>
        </w:rPr>
        <w:t xml:space="preserve"> </w:t>
      </w:r>
      <w:r w:rsidRPr="008D7F3D">
        <w:rPr>
          <w:rFonts w:ascii="Times New Roman" w:hAnsi="Times New Roman" w:cs="Times New Roman"/>
          <w:color w:val="000000" w:themeColor="text1"/>
        </w:rPr>
        <w:t xml:space="preserve">Lze konstatovat, že nic nenamítáme proti zavádění inovativních doplňkových látek na trh a podporujeme racionální a odůvodněné snižování spotřeby </w:t>
      </w:r>
      <w:proofErr w:type="spellStart"/>
      <w:r w:rsidRPr="008D7F3D">
        <w:rPr>
          <w:rFonts w:ascii="Times New Roman" w:hAnsi="Times New Roman" w:cs="Times New Roman"/>
          <w:color w:val="000000" w:themeColor="text1"/>
        </w:rPr>
        <w:t>antimikrobik</w:t>
      </w:r>
      <w:proofErr w:type="spellEnd"/>
      <w:r w:rsidRPr="008D7F3D">
        <w:rPr>
          <w:rFonts w:ascii="Times New Roman" w:hAnsi="Times New Roman" w:cs="Times New Roman"/>
          <w:color w:val="000000" w:themeColor="text1"/>
        </w:rPr>
        <w:t xml:space="preserve">, které však musí být doprovázeno adekvátními opatřeními (včetně jejich profinancování) pro udržení dobrého zdravotního stavu a </w:t>
      </w:r>
      <w:proofErr w:type="spellStart"/>
      <w:r w:rsidRPr="008D7F3D">
        <w:rPr>
          <w:rFonts w:ascii="Times New Roman" w:hAnsi="Times New Roman" w:cs="Times New Roman"/>
          <w:color w:val="000000" w:themeColor="text1"/>
        </w:rPr>
        <w:t>welfare</w:t>
      </w:r>
      <w:proofErr w:type="spellEnd"/>
      <w:r w:rsidRPr="008D7F3D">
        <w:rPr>
          <w:rFonts w:ascii="Times New Roman" w:hAnsi="Times New Roman" w:cs="Times New Roman"/>
          <w:color w:val="000000" w:themeColor="text1"/>
        </w:rPr>
        <w:t xml:space="preserve"> chovaných zvířat. Proto ČR nesouhlasí s tlakem na další snížení prodejů </w:t>
      </w:r>
      <w:proofErr w:type="spellStart"/>
      <w:r w:rsidRPr="008D7F3D">
        <w:rPr>
          <w:rFonts w:ascii="Times New Roman" w:hAnsi="Times New Roman" w:cs="Times New Roman"/>
          <w:color w:val="000000" w:themeColor="text1"/>
        </w:rPr>
        <w:t>antimikrobik</w:t>
      </w:r>
      <w:proofErr w:type="spellEnd"/>
      <w:r w:rsidRPr="008D7F3D">
        <w:rPr>
          <w:rFonts w:ascii="Times New Roman" w:hAnsi="Times New Roman" w:cs="Times New Roman"/>
          <w:color w:val="000000" w:themeColor="text1"/>
        </w:rPr>
        <w:t xml:space="preserve"> v rámci ČR o 50 %, ale spíše s realistickými limity snížení (na 50 mg/PCU, snížení u kriticky významných </w:t>
      </w:r>
      <w:proofErr w:type="spellStart"/>
      <w:r w:rsidRPr="008D7F3D">
        <w:rPr>
          <w:rFonts w:ascii="Times New Roman" w:hAnsi="Times New Roman" w:cs="Times New Roman"/>
          <w:color w:val="000000" w:themeColor="text1"/>
        </w:rPr>
        <w:t>antimikrobik</w:t>
      </w:r>
      <w:proofErr w:type="spellEnd"/>
      <w:r w:rsidRPr="008D7F3D">
        <w:rPr>
          <w:rFonts w:ascii="Times New Roman" w:hAnsi="Times New Roman" w:cs="Times New Roman"/>
          <w:color w:val="000000" w:themeColor="text1"/>
        </w:rPr>
        <w:t>).</w:t>
      </w:r>
    </w:p>
    <w:p w14:paraId="43276BBC"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5A5CF0AC" w14:textId="77777777" w:rsidR="001831CF" w:rsidRPr="008D7F3D" w:rsidRDefault="001831CF" w:rsidP="001831CF">
      <w:pPr>
        <w:pStyle w:val="Odstavecseseznamem"/>
        <w:autoSpaceDE w:val="0"/>
        <w:autoSpaceDN w:val="0"/>
        <w:adjustRightInd w:val="0"/>
        <w:spacing w:before="240" w:after="60" w:line="240" w:lineRule="auto"/>
        <w:ind w:left="567" w:hanging="283"/>
        <w:jc w:val="both"/>
        <w:rPr>
          <w:rFonts w:ascii="Times New Roman" w:hAnsi="Times New Roman" w:cs="Times New Roman"/>
          <w:i/>
          <w:color w:val="000000" w:themeColor="text1"/>
        </w:rPr>
      </w:pPr>
      <w:r w:rsidRPr="008D7F3D">
        <w:rPr>
          <w:rFonts w:ascii="Times New Roman" w:hAnsi="Times New Roman" w:cs="Times New Roman"/>
          <w:i/>
          <w:color w:val="000000" w:themeColor="text1"/>
        </w:rPr>
        <w:t>1.</w:t>
      </w:r>
      <w:r w:rsidRPr="008D7F3D">
        <w:rPr>
          <w:rFonts w:ascii="Times New Roman" w:hAnsi="Times New Roman" w:cs="Times New Roman"/>
          <w:i/>
          <w:color w:val="000000" w:themeColor="text1"/>
        </w:rPr>
        <w:tab/>
        <w:t>Omezit používání pesticidů a s ním související rizika o 50 % do roku 2030 a omezit používání nebezpečnějších pesticidů o 50 % do roku 2030</w:t>
      </w:r>
    </w:p>
    <w:p w14:paraId="3A89ED79"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Národní akční plán k bezpečnému používání pesticidů (2018-2022) je soubor opatření, kterým je ve členských státech EU (dále jen „ČS“) realizován program snížení nepříznivého vlivu přípravků na ochranu rostlin (dále jen „přípravky“, nebo „POR“) na zdraví lidí a životní prostředí. Vypracován byl v souladu s čl. 4 směrnice EP a R 2009/128/ES, </w:t>
      </w:r>
      <w:r w:rsidRPr="008D7F3D">
        <w:rPr>
          <w:rFonts w:ascii="Times New Roman" w:hAnsi="Times New Roman" w:cs="Times New Roman"/>
          <w:bCs/>
          <w:color w:val="000000" w:themeColor="text1"/>
        </w:rPr>
        <w:t>kterou se stanoví rámec pro činnost Společenství za účelem dosažení udržitelného používání pesticidů</w:t>
      </w:r>
      <w:r w:rsidRPr="008D7F3D">
        <w:rPr>
          <w:rFonts w:ascii="Times New Roman" w:hAnsi="Times New Roman" w:cs="Times New Roman"/>
          <w:color w:val="000000" w:themeColor="text1"/>
        </w:rPr>
        <w:t>.</w:t>
      </w:r>
    </w:p>
    <w:p w14:paraId="5867FF84"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Probíhá novelizace zákona č. 326/2004 Sb., rostlinolékařský zákon, jejímž cílem je mimo jiné zavedení označování přípravků na ochranu rostlin pro profesionální uživatele prostřednictvím jedinečných identifikátorů ve formě tzv. dvourozměrných čárových kódů a zasílání dat o pohybech přípravků do uložiště dat. Tímto bude možné zajistit dohledatelnost původu přípravků, a tedy eliminovat množství nelegálních přípravků na trhu. Podle Úřadu Evropské unie pro duševní vlastnictví (EUIPO) v loňském roce uvedla, že v rámci EU28 představuje prodej nelegálních – falšovaných pesticidů 13,8 % z jejich celkového prodeje. Přičemž falzifikáty dovážené do ČR činí 17,8 % z prodejů v celkové hodnotě 930 mil. Kč. </w:t>
      </w:r>
    </w:p>
    <w:p w14:paraId="28C24C83" w14:textId="77777777" w:rsidR="001831CF" w:rsidRPr="008D7F3D" w:rsidRDefault="001831CF" w:rsidP="001831CF">
      <w:pPr>
        <w:spacing w:line="288" w:lineRule="auto"/>
        <w:contextualSpacing/>
        <w:rPr>
          <w:rFonts w:ascii="Times New Roman" w:hAnsi="Times New Roman" w:cs="Times New Roman"/>
          <w:b/>
          <w:bCs/>
          <w:color w:val="000000" w:themeColor="text1"/>
        </w:rPr>
      </w:pPr>
    </w:p>
    <w:p w14:paraId="40FE0419" w14:textId="77777777" w:rsidR="001831CF" w:rsidRPr="008D7F3D" w:rsidRDefault="001831CF" w:rsidP="001831CF">
      <w:pPr>
        <w:spacing w:line="288" w:lineRule="auto"/>
        <w:ind w:left="567" w:hanging="283"/>
        <w:contextualSpacing/>
        <w:jc w:val="both"/>
        <w:rPr>
          <w:rFonts w:ascii="Times New Roman" w:hAnsi="Times New Roman" w:cs="Times New Roman"/>
          <w:i/>
          <w:color w:val="000000" w:themeColor="text1"/>
        </w:rPr>
      </w:pPr>
      <w:r w:rsidRPr="008D7F3D">
        <w:rPr>
          <w:rFonts w:ascii="Times New Roman" w:hAnsi="Times New Roman" w:cs="Times New Roman"/>
          <w:i/>
          <w:color w:val="000000" w:themeColor="text1"/>
        </w:rPr>
        <w:t>2.</w:t>
      </w:r>
      <w:r w:rsidRPr="008D7F3D">
        <w:rPr>
          <w:rFonts w:ascii="Times New Roman" w:hAnsi="Times New Roman" w:cs="Times New Roman"/>
          <w:i/>
          <w:color w:val="000000" w:themeColor="text1"/>
        </w:rPr>
        <w:tab/>
        <w:t xml:space="preserve">Snížit celkové prodeje antimikrobiálních látek používaných pro hospodářská zvířata </w:t>
      </w:r>
      <w:r w:rsidRPr="008D7F3D">
        <w:rPr>
          <w:rFonts w:ascii="Times New Roman" w:hAnsi="Times New Roman" w:cs="Times New Roman"/>
          <w:i/>
          <w:color w:val="000000" w:themeColor="text1"/>
        </w:rPr>
        <w:br/>
        <w:t>a akvakulturu v EU o 50 % do roku 2030</w:t>
      </w:r>
    </w:p>
    <w:p w14:paraId="6BF009FF"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color w:val="000000" w:themeColor="text1"/>
        </w:rPr>
        <w:t>Opatření, mechanizmy a akce jsou definovány Akčním plánem Národního antibiotického programu 2019 - 2022 (AP NAP). V rámci AP NAP jsou navržena konkrétní realizační opatření s delegovanými úkoly na jednotlivé účastníky realizace AP NAP.</w:t>
      </w:r>
    </w:p>
    <w:p w14:paraId="72BC7072" w14:textId="77777777" w:rsidR="001831CF" w:rsidRPr="008D7F3D" w:rsidRDefault="001831CF" w:rsidP="001831CF">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color w:val="000000" w:themeColor="text1"/>
        </w:rPr>
        <w:t xml:space="preserve">V současné době již probíhá novelizace zákona o léčivech a jeho prováděcích předpisů, který bude obsahovat jednak ustanovení adekvátní přímo implementovatelných předpisů (nařízení 2019/6/EU o veterinárních léčivých přípravcích a nařízení (EU) 2019/4 o </w:t>
      </w:r>
      <w:proofErr w:type="spellStart"/>
      <w:r w:rsidRPr="008D7F3D">
        <w:rPr>
          <w:rFonts w:ascii="Times New Roman" w:hAnsi="Times New Roman" w:cs="Times New Roman"/>
          <w:color w:val="000000" w:themeColor="text1"/>
        </w:rPr>
        <w:t>medikovaných</w:t>
      </w:r>
      <w:proofErr w:type="spellEnd"/>
      <w:r w:rsidRPr="008D7F3D">
        <w:rPr>
          <w:rFonts w:ascii="Times New Roman" w:hAnsi="Times New Roman" w:cs="Times New Roman"/>
          <w:color w:val="000000" w:themeColor="text1"/>
        </w:rPr>
        <w:t xml:space="preserve"> krmivech) a vybraná ustanovení zpřísňující podmínky používání antimikrobních veterinárních léčivých přípravcích, která jsou dle nového nařízení v kompetenci každého členského státu. </w:t>
      </w:r>
    </w:p>
    <w:p w14:paraId="4232CC83" w14:textId="77777777" w:rsidR="001831CF" w:rsidRPr="008D7F3D" w:rsidRDefault="001831CF" w:rsidP="001831CF">
      <w:pPr>
        <w:spacing w:line="288" w:lineRule="auto"/>
        <w:ind w:left="720" w:hanging="360"/>
        <w:contextualSpacing/>
        <w:rPr>
          <w:rFonts w:ascii="Times New Roman" w:hAnsi="Times New Roman" w:cs="Times New Roman"/>
          <w:bCs/>
          <w:color w:val="000000" w:themeColor="text1"/>
        </w:rPr>
      </w:pPr>
    </w:p>
    <w:p w14:paraId="31DC8440" w14:textId="77777777" w:rsidR="001831CF" w:rsidRPr="008D7F3D" w:rsidRDefault="001831CF" w:rsidP="001831CF">
      <w:pPr>
        <w:pStyle w:val="Odstavecseseznamem"/>
        <w:autoSpaceDE w:val="0"/>
        <w:autoSpaceDN w:val="0"/>
        <w:adjustRightInd w:val="0"/>
        <w:spacing w:before="240" w:after="60" w:line="240" w:lineRule="auto"/>
        <w:ind w:left="567" w:hanging="283"/>
        <w:jc w:val="both"/>
        <w:rPr>
          <w:rFonts w:ascii="Times New Roman" w:hAnsi="Times New Roman" w:cs="Times New Roman"/>
          <w:i/>
          <w:color w:val="000000" w:themeColor="text1"/>
        </w:rPr>
      </w:pPr>
      <w:r w:rsidRPr="008D7F3D">
        <w:rPr>
          <w:rFonts w:ascii="Times New Roman" w:hAnsi="Times New Roman" w:cs="Times New Roman"/>
          <w:i/>
          <w:color w:val="000000" w:themeColor="text1"/>
        </w:rPr>
        <w:t>1.</w:t>
      </w:r>
      <w:r w:rsidRPr="008D7F3D">
        <w:rPr>
          <w:rFonts w:ascii="Times New Roman" w:hAnsi="Times New Roman" w:cs="Times New Roman"/>
          <w:i/>
          <w:color w:val="000000" w:themeColor="text1"/>
        </w:rPr>
        <w:tab/>
        <w:t>Omezit používání pesticidů a s ním související rizika o 50 % do roku 2030 a omezit používání nebezpečnějších pesticidů o 50 % do roku 2030</w:t>
      </w:r>
    </w:p>
    <w:p w14:paraId="73CA49BD" w14:textId="77777777" w:rsidR="001831CF" w:rsidRPr="008D7F3D" w:rsidRDefault="001831CF" w:rsidP="001831CF">
      <w:pPr>
        <w:spacing w:line="288" w:lineRule="auto"/>
        <w:ind w:left="567" w:hanging="283"/>
        <w:contextualSpacing/>
        <w:jc w:val="both"/>
        <w:rPr>
          <w:rFonts w:ascii="Times New Roman" w:hAnsi="Times New Roman" w:cs="Times New Roman"/>
          <w:i/>
          <w:color w:val="000000" w:themeColor="text1"/>
        </w:rPr>
      </w:pPr>
      <w:r w:rsidRPr="008D7F3D">
        <w:rPr>
          <w:rFonts w:ascii="Times New Roman" w:hAnsi="Times New Roman" w:cs="Times New Roman"/>
          <w:i/>
          <w:color w:val="000000" w:themeColor="text1"/>
        </w:rPr>
        <w:t>2.</w:t>
      </w:r>
      <w:r w:rsidRPr="008D7F3D">
        <w:rPr>
          <w:rFonts w:ascii="Times New Roman" w:hAnsi="Times New Roman" w:cs="Times New Roman"/>
          <w:i/>
          <w:color w:val="000000" w:themeColor="text1"/>
        </w:rPr>
        <w:tab/>
        <w:t xml:space="preserve">Snížit celkové prodeje antimikrobiálních látek používaných pro hospodářská zvířata </w:t>
      </w:r>
      <w:r w:rsidRPr="008D7F3D">
        <w:rPr>
          <w:rFonts w:ascii="Times New Roman" w:hAnsi="Times New Roman" w:cs="Times New Roman"/>
          <w:i/>
          <w:color w:val="000000" w:themeColor="text1"/>
        </w:rPr>
        <w:br/>
        <w:t>a akvakulturu v EU o 50 % do roku 2030</w:t>
      </w:r>
    </w:p>
    <w:p w14:paraId="327BC43B" w14:textId="77777777" w:rsidR="001831CF" w:rsidRPr="008D7F3D" w:rsidRDefault="001831CF" w:rsidP="001831CF">
      <w:pPr>
        <w:spacing w:line="288" w:lineRule="auto"/>
        <w:contextualSpacing/>
        <w:jc w:val="both"/>
        <w:rPr>
          <w:rFonts w:ascii="Times New Roman" w:hAnsi="Times New Roman" w:cs="Times New Roman"/>
          <w:b/>
          <w:bCs/>
          <w:color w:val="000000" w:themeColor="text1"/>
        </w:rPr>
      </w:pPr>
      <w:r w:rsidRPr="008D7F3D">
        <w:rPr>
          <w:rFonts w:ascii="Times New Roman" w:hAnsi="Times New Roman" w:cs="Times New Roman"/>
          <w:color w:val="000000" w:themeColor="text1"/>
        </w:rPr>
        <w:t xml:space="preserve">Dle RP ČR bude dopady cílů nutné podrobit dopadovým studiím na úrovni EU i ČS, široké mezirezortní a veřejné diskuzi a analyzovat specifické dopady na ČR, tzn. konkrétní vyčíslení bude možné být po provedení těchto studií. </w:t>
      </w:r>
    </w:p>
    <w:p w14:paraId="5123ECEA"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6A44B2E8" w14:textId="77777777" w:rsidR="001831CF" w:rsidRPr="008D7F3D" w:rsidRDefault="001831CF" w:rsidP="001831CF">
      <w:pPr>
        <w:spacing w:line="288" w:lineRule="auto"/>
        <w:contextualSpacing/>
        <w:rPr>
          <w:rFonts w:ascii="Times New Roman" w:hAnsi="Times New Roman" w:cs="Times New Roman"/>
          <w:bCs/>
          <w:color w:val="000000" w:themeColor="text1"/>
        </w:rPr>
      </w:pPr>
    </w:p>
    <w:p w14:paraId="68906FAE" w14:textId="77777777" w:rsidR="001831CF" w:rsidRPr="008D7F3D" w:rsidRDefault="001831CF" w:rsidP="001831C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rPr>
      </w:pPr>
      <w:r w:rsidRPr="008D7F3D">
        <w:rPr>
          <w:rFonts w:ascii="Times New Roman" w:hAnsi="Times New Roman" w:cs="Times New Roman"/>
          <w:b/>
          <w:bCs/>
          <w:color w:val="000000" w:themeColor="text1"/>
        </w:rPr>
        <w:t>Doplnění ke klíčovému opatření: redukce úniku živin a hnojiv</w:t>
      </w:r>
    </w:p>
    <w:p w14:paraId="08195AA7"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4FB7767C"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color w:val="000000" w:themeColor="text1"/>
        </w:rPr>
        <w:t>Komise v rámci Strategie od zemědělce ke spotřebiteli indikovala svůj záměr předložit v roce 2021 Akční plán pro integrované hospodaření s živinami. Cíle Komise je snížit únik živin alespoň o 50 %, aby zároveň nedošlo ke zhoršení úrodnosti půdy. Díky tomu by se dle Komise mělo do roku 2030 omezit používání hnojiv alespoň o 20 %. Komise bude rovněž spolupracovat s členskými státy na rozšíření uplatňování technik přesného hnojení a udržitelných zemědělských postupů, zejména v oblastech s intenzivním chovem hospodářských zvířat, a recyklace organického odpadu na hnojiva z obnovitelných zdrojů.</w:t>
      </w:r>
    </w:p>
    <w:p w14:paraId="4C494744" w14:textId="77777777" w:rsidR="001831CF" w:rsidRPr="008D7F3D" w:rsidRDefault="001831CF" w:rsidP="001831CF">
      <w:pPr>
        <w:spacing w:line="288" w:lineRule="auto"/>
        <w:contextualSpacing/>
        <w:jc w:val="both"/>
        <w:rPr>
          <w:rFonts w:ascii="Times New Roman" w:hAnsi="Times New Roman" w:cs="Times New Roman"/>
          <w:color w:val="000000" w:themeColor="text1"/>
        </w:rPr>
      </w:pPr>
    </w:p>
    <w:p w14:paraId="323FDBD6" w14:textId="77777777" w:rsidR="001831CF" w:rsidRPr="008D7F3D" w:rsidRDefault="001831CF" w:rsidP="001831CF">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Cs/>
          <w:color w:val="000000" w:themeColor="text1"/>
          <w:u w:val="single"/>
        </w:rPr>
        <w:t>Pozice ČR</w:t>
      </w:r>
      <w:r w:rsidRPr="008D7F3D">
        <w:rPr>
          <w:rFonts w:ascii="Times New Roman" w:hAnsi="Times New Roman" w:cs="Times New Roman"/>
          <w:bCs/>
          <w:color w:val="000000" w:themeColor="text1"/>
        </w:rPr>
        <w:t>: ČR s návrhem případného plošného snížení používání hnojiv o 20 % na úrovni ČS nesouhlasí. Snahou ČR je zajistit používání hnojiv v zemědělství pouze v nezbytně nutné míře, a tak zároveň minimalizovat možné riziko jejich úniku. Spotřeba hnojiv je v ČR pod průměrem EU, paušální snížení by znevýhodnilo některé členské státy, včetně ČR, je proto nezbytné přistupovat při realizaci opatření vedoucích ke splnění tohoto cíle s přihlédnutím k místním poměrům v jednotlivých členských státech. Největší redukci mají provést ČS s nejvyšší spotřebou hnojiv na hektar zemědělské půdy. Průměrně je v EU aplikováno hnojivy 136 kg/ha dusíku, nejvyšší dávky jsou aplikovány v Nizozemsku (369 kg/ha), Belgii (309 kg/ha) a na Maltě (267 kg/ha).  Naopak nejnižší dávky jsou využívány v Rumunsku (65 kg/ha) a v Estonsku (74 kg/ha). V ČR se hnojiv aplikuje mírně nad průměrem EU, konkrétně 164 kg/ha. ČR spíše, než absolutní snižování spotřeby živin podporuje preferenci vhodné formy aplikace živin, vyvážené hnojení a bilanci živin, která by byla co nejblíže nule, a to s využitím moderních technologií jako precizního zemědělství a digitálních prvků. ČR považuje za potřebné zdůraznit, že snížení aplikace kvalitních organických hnojiv může mít negativní dopad na udržování vyrovnané či pozitivní bilance organické složky v půdě a jde tak o kontradikci s řešením obnovy půdních ekosystémů v této strategii. Novela zákona č.156/1998 Sb. o hnojivech zavádí povinnost elektronické evidence, na základě, které bude možno zjistit, jaké množství hnojiv je aplikováno. V rámci NV č. 262/2012 Sb., o stanovení zranitelných oblastí a akčním programu, již nyní platí limity dusíku k plodinám, to se týká cca 50 % výměry ZPF a na této ploše bude toto kontrolováno. Tyto nástroje  mají za cíl snížit zátěž životního prostředí a docílit tzv. udržitelného zemědělského hospodaření, zejména snížení emisí dusičnanů do povrchových a podzemních vod.</w:t>
      </w:r>
    </w:p>
    <w:p w14:paraId="56E17C4E" w14:textId="77777777" w:rsidR="001831CF" w:rsidRPr="008D7F3D" w:rsidRDefault="001831CF" w:rsidP="001831CF">
      <w:pPr>
        <w:spacing w:line="288" w:lineRule="auto"/>
        <w:contextualSpacing/>
        <w:rPr>
          <w:rFonts w:ascii="Times New Roman" w:hAnsi="Times New Roman" w:cs="Times New Roman"/>
          <w:b/>
          <w:bCs/>
          <w:color w:val="000000" w:themeColor="text1"/>
        </w:rPr>
      </w:pPr>
    </w:p>
    <w:p w14:paraId="236A94D4" w14:textId="77777777" w:rsidR="001831CF" w:rsidRPr="008D7F3D" w:rsidRDefault="001831CF" w:rsidP="001831CF">
      <w:pPr>
        <w:spacing w:line="288" w:lineRule="auto"/>
        <w:contextualSpacing/>
        <w:jc w:val="both"/>
        <w:rPr>
          <w:rFonts w:ascii="Times New Roman" w:hAnsi="Times New Roman" w:cs="Times New Roman"/>
          <w:b/>
          <w:bCs/>
          <w:color w:val="000000" w:themeColor="text1"/>
        </w:rPr>
      </w:pPr>
      <w:r w:rsidRPr="008D7F3D">
        <w:rPr>
          <w:rFonts w:ascii="Times New Roman" w:hAnsi="Times New Roman" w:cs="Times New Roman"/>
          <w:bCs/>
          <w:color w:val="000000" w:themeColor="text1"/>
        </w:rPr>
        <w:t>Novela zákona č.156/1998 Sb. o hnojivech zavádí povinnost elektronické evidence, na základě které bude možno zjistit, jaké množství hnojiv je aplikováno. V rámci NV č. 262/2012 Sb., o stanovení zranitelných oblastí a akčním programu, již nyní platí limity dusíku k plodinám, to se týká cca 50 % výměry ZPF a na této ploše bude toto kontrolováno. Tyto nástroje mají za cíl snížit zátěž životního prostředí a docílit tzv. udržitelného zemědělského hospodaření, zejména snížení emisí dusičnanů do povrchových a podzemních vod.</w:t>
      </w:r>
    </w:p>
    <w:p w14:paraId="4ADC5059"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01033D2E" w14:textId="77777777" w:rsidR="001831CF" w:rsidRPr="008D7F3D" w:rsidRDefault="001831CF" w:rsidP="001831CF">
      <w:pPr>
        <w:spacing w:line="288" w:lineRule="auto"/>
        <w:contextualSpacing/>
        <w:jc w:val="both"/>
        <w:rPr>
          <w:rFonts w:ascii="Times New Roman" w:hAnsi="Times New Roman" w:cs="Times New Roman"/>
          <w:b/>
          <w:bCs/>
          <w:color w:val="000000" w:themeColor="text1"/>
        </w:rPr>
      </w:pPr>
      <w:r w:rsidRPr="008D7F3D">
        <w:rPr>
          <w:rFonts w:ascii="Times New Roman" w:hAnsi="Times New Roman" w:cs="Times New Roman"/>
          <w:color w:val="000000" w:themeColor="text1"/>
        </w:rPr>
        <w:t xml:space="preserve">Dle RP ČR bude dopady cílů nutné podrobit dopadovým studiím na úrovni EU i ČS, široké mezirezortní a veřejné diskuzi a analyzovat specifické dopady na ČR, tzn. konkrétní vyčíslení bude možné být po provedení těchto studií. </w:t>
      </w:r>
    </w:p>
    <w:p w14:paraId="744EAED4"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0995DFCD" w14:textId="77777777" w:rsidR="001831CF" w:rsidRPr="008D7F3D" w:rsidRDefault="001831CF" w:rsidP="001831CF">
      <w:pPr>
        <w:spacing w:line="288" w:lineRule="auto"/>
        <w:contextualSpacing/>
        <w:rPr>
          <w:rFonts w:ascii="Times New Roman" w:hAnsi="Times New Roman" w:cs="Times New Roman"/>
          <w:bCs/>
          <w:color w:val="000000" w:themeColor="text1"/>
        </w:rPr>
      </w:pPr>
    </w:p>
    <w:p w14:paraId="55B75FF6" w14:textId="77777777" w:rsidR="001831CF" w:rsidRPr="008D7F3D" w:rsidRDefault="001831CF" w:rsidP="001831CF">
      <w:pPr>
        <w:spacing w:line="288" w:lineRule="auto"/>
        <w:contextualSpacing/>
        <w:rPr>
          <w:rFonts w:ascii="Times New Roman" w:hAnsi="Times New Roman" w:cs="Times New Roman"/>
          <w:bCs/>
          <w:color w:val="000000" w:themeColor="text1"/>
        </w:rPr>
      </w:pPr>
    </w:p>
    <w:p w14:paraId="76E94BD0" w14:textId="77777777" w:rsidR="001831CF" w:rsidRPr="008D7F3D" w:rsidRDefault="001831CF" w:rsidP="001831CF">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themeColor="text1"/>
        </w:rPr>
      </w:pPr>
      <w:r w:rsidRPr="008D7F3D">
        <w:rPr>
          <w:rFonts w:ascii="Times New Roman" w:hAnsi="Times New Roman" w:cs="Times New Roman"/>
          <w:b/>
          <w:bCs/>
          <w:color w:val="000000" w:themeColor="text1"/>
        </w:rPr>
        <w:t>Doplnění ke klíčovému opatření: označování potravin; redukce potravinového odpadu</w:t>
      </w:r>
    </w:p>
    <w:p w14:paraId="6F0E5688" w14:textId="77777777" w:rsidR="001831CF" w:rsidRPr="008D7F3D" w:rsidRDefault="001831CF" w:rsidP="001831CF">
      <w:pPr>
        <w:jc w:val="both"/>
        <w:rPr>
          <w:rFonts w:ascii="Times New Roman" w:hAnsi="Times New Roman" w:cs="Times New Roman"/>
          <w:color w:val="000000" w:themeColor="text1"/>
        </w:rPr>
      </w:pPr>
    </w:p>
    <w:p w14:paraId="141A95DF"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Byla představena Strategie „od zemědělce ke spotřebiteli“, nicméně jednotlivé konkrétní oblasti týkající se potravin se doposud neprojednávají. Jako zásadní vidíme problematiku harmonizace povinného označování nutričních údajů na přední straně balení, označování původu některých produktů, vytvoření udržitelného rámce pro označování, který bude zahrnovat výživové, klimatické, environmentální a sociální aspekty potravinářských výrobků, reformulace potravin, zavedení výživových profilů, snižování objemu potravinového odpadu. </w:t>
      </w:r>
    </w:p>
    <w:p w14:paraId="5AF4463B" w14:textId="77777777" w:rsidR="001831CF" w:rsidRPr="008D7F3D" w:rsidRDefault="001831CF" w:rsidP="001831CF">
      <w:pPr>
        <w:pStyle w:val="Odstavecseseznamem"/>
        <w:jc w:val="both"/>
        <w:rPr>
          <w:rFonts w:ascii="Times New Roman" w:hAnsi="Times New Roman" w:cs="Times New Roman"/>
          <w:b/>
          <w:bCs/>
          <w:color w:val="000000" w:themeColor="text1"/>
        </w:rPr>
      </w:pPr>
    </w:p>
    <w:p w14:paraId="68372471" w14:textId="77777777" w:rsidR="001831CF" w:rsidRPr="008D7F3D" w:rsidRDefault="001831CF" w:rsidP="001831CF">
      <w:pPr>
        <w:pStyle w:val="Odstavecseseznamem"/>
        <w:jc w:val="both"/>
        <w:rPr>
          <w:rFonts w:ascii="Times New Roman" w:hAnsi="Times New Roman" w:cs="Times New Roman"/>
          <w:color w:val="000000" w:themeColor="text1"/>
        </w:rPr>
      </w:pPr>
      <w:r w:rsidRPr="008D7F3D">
        <w:rPr>
          <w:rFonts w:ascii="Times New Roman" w:hAnsi="Times New Roman" w:cs="Times New Roman"/>
          <w:b/>
          <w:bCs/>
          <w:color w:val="000000" w:themeColor="text1"/>
        </w:rPr>
        <w:t>označování potravin – Opatření</w:t>
      </w:r>
      <w:r w:rsidRPr="008D7F3D">
        <w:rPr>
          <w:rFonts w:ascii="Times New Roman" w:hAnsi="Times New Roman" w:cs="Times New Roman"/>
          <w:color w:val="000000" w:themeColor="text1"/>
        </w:rPr>
        <w:t xml:space="preserve">: zavést harmonizované povinné označování nutričních údajů na přední straně balení </w:t>
      </w:r>
    </w:p>
    <w:p w14:paraId="267DE92E" w14:textId="77777777" w:rsidR="001831CF" w:rsidRPr="008D7F3D" w:rsidRDefault="001831CF" w:rsidP="001831CF">
      <w:pPr>
        <w:pStyle w:val="Odstavecseseznamem"/>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Česká republika považuje současný stav označování nutričních údajů podle harmonizované legislativy za dostačující. Výživové hodnoty potravin se na obale povinně uvádí od roku 2016. ČR v současné době připravuje s některými ČS návrh tzv. non </w:t>
      </w:r>
      <w:proofErr w:type="spellStart"/>
      <w:r w:rsidRPr="008D7F3D">
        <w:rPr>
          <w:rFonts w:ascii="Times New Roman" w:hAnsi="Times New Roman" w:cs="Times New Roman"/>
          <w:color w:val="000000" w:themeColor="text1"/>
        </w:rPr>
        <w:t>paperu</w:t>
      </w:r>
      <w:proofErr w:type="spellEnd"/>
      <w:r w:rsidRPr="008D7F3D">
        <w:rPr>
          <w:rFonts w:ascii="Times New Roman" w:hAnsi="Times New Roman" w:cs="Times New Roman"/>
          <w:color w:val="000000" w:themeColor="text1"/>
        </w:rPr>
        <w:t xml:space="preserve"> ve věci legislativní úpravy povinného označování nutričních údajů na přední straně obalu. Zároveň v červenci 2020 proběhla neformální snídaně s velvyslanci podobně smýšlejících členských států (CZ, IT, PT, PL, RO, LT, LV, BG, CY, EL, SK, HU, SI, MT) EU k problematice nutričního označování na přední straně obalů potravin.</w:t>
      </w:r>
    </w:p>
    <w:p w14:paraId="4767534A" w14:textId="77777777" w:rsidR="001831CF" w:rsidRPr="008D7F3D" w:rsidRDefault="001831CF" w:rsidP="001831CF">
      <w:pPr>
        <w:pStyle w:val="Odstavecseseznamem"/>
        <w:jc w:val="both"/>
        <w:rPr>
          <w:rFonts w:ascii="Times New Roman" w:hAnsi="Times New Roman" w:cs="Times New Roman"/>
          <w:b/>
          <w:bCs/>
          <w:color w:val="000000" w:themeColor="text1"/>
        </w:rPr>
      </w:pPr>
    </w:p>
    <w:p w14:paraId="61F325F5" w14:textId="77777777" w:rsidR="001831CF" w:rsidRPr="008D7F3D" w:rsidRDefault="001831CF" w:rsidP="001831CF">
      <w:pPr>
        <w:pStyle w:val="Odstavecseseznamem"/>
        <w:jc w:val="both"/>
        <w:rPr>
          <w:rFonts w:ascii="Times New Roman" w:hAnsi="Times New Roman" w:cs="Times New Roman"/>
          <w:color w:val="000000" w:themeColor="text1"/>
        </w:rPr>
      </w:pPr>
      <w:r w:rsidRPr="008D7F3D">
        <w:rPr>
          <w:rFonts w:ascii="Times New Roman" w:hAnsi="Times New Roman" w:cs="Times New Roman"/>
          <w:b/>
          <w:bCs/>
          <w:color w:val="000000" w:themeColor="text1"/>
        </w:rPr>
        <w:t xml:space="preserve">- 50 % potravinového odpadu   </w:t>
      </w:r>
      <w:r w:rsidRPr="008D7F3D">
        <w:rPr>
          <w:rFonts w:ascii="Times New Roman" w:hAnsi="Times New Roman" w:cs="Times New Roman"/>
          <w:color w:val="000000" w:themeColor="text1"/>
        </w:rPr>
        <w:t>- Opatření: snížit do roku 2030 objem potravinového odpadu na obyvatele na úrovni maloobchodníků a spotřebitelů na polovinu.</w:t>
      </w:r>
    </w:p>
    <w:p w14:paraId="48040D4F" w14:textId="77777777" w:rsidR="001831CF" w:rsidRPr="008D7F3D" w:rsidRDefault="001831CF" w:rsidP="001831CF">
      <w:pPr>
        <w:pStyle w:val="Odstavecseseznamem"/>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Vytyčený cíl vnímá ČR jako velmi ambiciózní. V současné době také nejsou k dispozici statistická data, ze kterých by se dalo objektivně posoudit současný stav (k dispozici mají být až v roce 2023, kdy bude stanovena výchozí hodnota). Za těchto podmínek stanovit cíle na snížení o polovinu do roku 2030, a to navíc bez stanovení vhodných nástrojů a opatření, je velmi složité a ke snížení potravinového odpadu může reálně dojít pouze administrativně. V současné době probíhá výměna zkušeností a dobré praxe mezi státy, legislativně byla doposud upravena pouze struktura statistického hlášení potravinového odpadu.  </w:t>
      </w:r>
    </w:p>
    <w:p w14:paraId="5E7F595A" w14:textId="77777777" w:rsidR="001831CF" w:rsidRPr="008D7F3D" w:rsidRDefault="001831CF" w:rsidP="001831CF">
      <w:pPr>
        <w:pStyle w:val="Odstavecseseznamem"/>
        <w:jc w:val="both"/>
        <w:rPr>
          <w:rFonts w:ascii="Times New Roman" w:hAnsi="Times New Roman" w:cs="Times New Roman"/>
          <w:color w:val="000000" w:themeColor="text1"/>
        </w:rPr>
      </w:pPr>
    </w:p>
    <w:p w14:paraId="5693C0BD"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Česká republika již od začátku požadovala, aby každé případné opatření v rámci strategie bylo doprovázeno finanční analýzou dopadu takového opatření, zejména na ceny potravin pro konečného spotřebitele. Již nyní se však dá předpokládat, že náklady budou primárně dopadat na producenty potravin, následně lze počítat minimálně s jejich částečným přenesením prostřednictvím ceny na spotřebitele. Vzhledem k tomu, že v současné době nesou známy konkrétní zejména legislativní požadavky, které bude nezbytné v případě potravin v souvislosti se Strategií „od zemědělce ke spotřebiteli“ zavést a upravit, nelze v současné době jednoznačně stanovit rozsah budoucích nákladů. Ministerstvo zemědělství však chce provést prvotní odhad nákladů, které by mohly při zavádění Strategie „od zemědělce ke spotřebiteli“ dopadnout na producenty potravin. První data předpokládáme nejdříve na konci srpna 2020. Dále vzrostou náklady na provádění úřední kontroly potravin v souvislosti s rozšířením nově přijatých legislativních požadavků souvisejících se Strategií „od zemědělce ke spotřebiteli“. Náklady v případě dozorových organizací vzrostou zejména v oblasti lidských zdrojů a laboratoří. </w:t>
      </w:r>
    </w:p>
    <w:p w14:paraId="7D55F3D7" w14:textId="77777777" w:rsidR="001831CF" w:rsidRPr="008D7F3D" w:rsidRDefault="001831CF" w:rsidP="001831CF">
      <w:pPr>
        <w:pStyle w:val="Odstavecseseznamem"/>
        <w:jc w:val="both"/>
        <w:rPr>
          <w:rFonts w:ascii="Times New Roman" w:hAnsi="Times New Roman" w:cs="Times New Roman"/>
          <w:b/>
          <w:bCs/>
          <w:color w:val="000000" w:themeColor="text1"/>
        </w:rPr>
      </w:pPr>
    </w:p>
    <w:p w14:paraId="65786F7F" w14:textId="77777777" w:rsidR="001831CF" w:rsidRPr="008D7F3D" w:rsidRDefault="001831CF" w:rsidP="001831CF">
      <w:pPr>
        <w:spacing w:line="288" w:lineRule="auto"/>
        <w:contextualSpacing/>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V případě financování změn, které vyplynou z provádění Strategie „od zemědělce ke spotřebiteli“ lze již nyní předjímat, že náklady splnění nových požadavků vyplývajících ze Strategie „od zemědělce ke spotřebiteli“ zejména pak na změnu obalů doprovázející jednotlivá opatření, budou muset financovat producenti potravin, v případě navýšení kapacity dozorových organizací pak státní rozpočet.  </w:t>
      </w:r>
    </w:p>
    <w:p w14:paraId="585A46A8" w14:textId="77777777" w:rsidR="001831CF" w:rsidRPr="008D7F3D" w:rsidRDefault="001831CF" w:rsidP="001831CF">
      <w:pPr>
        <w:spacing w:line="288" w:lineRule="auto"/>
        <w:contextualSpacing/>
        <w:rPr>
          <w:rFonts w:ascii="Times New Roman" w:hAnsi="Times New Roman" w:cs="Times New Roman"/>
          <w:bCs/>
          <w:color w:val="000000" w:themeColor="text1"/>
        </w:rPr>
      </w:pPr>
    </w:p>
    <w:p w14:paraId="1A558DF9" w14:textId="77777777" w:rsidR="001831CF" w:rsidRPr="008D7F3D" w:rsidRDefault="001831CF" w:rsidP="001831C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rPr>
      </w:pPr>
      <w:r w:rsidRPr="008D7F3D">
        <w:rPr>
          <w:rFonts w:ascii="Times New Roman" w:hAnsi="Times New Roman" w:cs="Times New Roman"/>
          <w:b/>
          <w:bCs/>
          <w:color w:val="000000" w:themeColor="text1"/>
        </w:rPr>
        <w:t xml:space="preserve">Doplnění ke klíčovému opatření: „Nová strategie EU v oblasti lesnictví“ </w:t>
      </w:r>
    </w:p>
    <w:p w14:paraId="5F34555C" w14:textId="77777777" w:rsidR="001831CF" w:rsidRPr="008D7F3D" w:rsidRDefault="001831CF" w:rsidP="001831CF">
      <w:pPr>
        <w:rPr>
          <w:rFonts w:ascii="Times New Roman" w:hAnsi="Times New Roman" w:cs="Times New Roman"/>
          <w:color w:val="000000" w:themeColor="text1"/>
        </w:rPr>
      </w:pPr>
    </w:p>
    <w:p w14:paraId="75BB8455" w14:textId="77777777" w:rsidR="001831CF" w:rsidRPr="008D7F3D" w:rsidRDefault="001831CF" w:rsidP="001831CF">
      <w:pPr>
        <w:spacing w:line="276" w:lineRule="auto"/>
        <w:jc w:val="both"/>
        <w:rPr>
          <w:rFonts w:ascii="Times New Roman" w:hAnsi="Times New Roman" w:cs="Times New Roman"/>
          <w:bCs/>
          <w:color w:val="000000" w:themeColor="text1"/>
        </w:rPr>
      </w:pPr>
    </w:p>
    <w:p w14:paraId="35D0AFE2" w14:textId="77777777" w:rsidR="001831CF" w:rsidRPr="008D7F3D" w:rsidRDefault="001831CF" w:rsidP="001831CF">
      <w:pPr>
        <w:spacing w:line="276" w:lineRule="auto"/>
        <w:jc w:val="both"/>
        <w:rPr>
          <w:rFonts w:ascii="Times New Roman" w:hAnsi="Times New Roman" w:cs="Times New Roman"/>
          <w:bCs/>
          <w:color w:val="000000" w:themeColor="text1"/>
        </w:rPr>
      </w:pPr>
      <w:r w:rsidRPr="008D7F3D">
        <w:rPr>
          <w:rFonts w:ascii="Times New Roman" w:hAnsi="Times New Roman" w:cs="Times New Roman"/>
          <w:b/>
          <w:bCs/>
          <w:color w:val="000000" w:themeColor="text1"/>
        </w:rPr>
        <w:t>Nová strategie EU v oblasti lesnictví</w:t>
      </w:r>
      <w:r w:rsidRPr="008D7F3D">
        <w:rPr>
          <w:rFonts w:ascii="Times New Roman" w:hAnsi="Times New Roman" w:cs="Times New Roman"/>
          <w:bCs/>
          <w:color w:val="000000" w:themeColor="text1"/>
        </w:rPr>
        <w:t xml:space="preserve">, včetně plánu na výsadbu nejméně 3 miliard dalších stromů v EU do roku 2030 má být podle harmonogramu Strategie EU v oblasti biologické rozmanitosti do roku 2030 </w:t>
      </w:r>
      <w:r w:rsidRPr="008D7F3D">
        <w:rPr>
          <w:rFonts w:ascii="Times New Roman" w:hAnsi="Times New Roman" w:cs="Times New Roman"/>
          <w:b/>
          <w:bCs/>
          <w:color w:val="000000" w:themeColor="text1"/>
        </w:rPr>
        <w:t>přijata v roce 2021.</w:t>
      </w:r>
      <w:r w:rsidRPr="008D7F3D">
        <w:rPr>
          <w:rFonts w:ascii="Times New Roman" w:hAnsi="Times New Roman" w:cs="Times New Roman"/>
          <w:bCs/>
          <w:color w:val="000000" w:themeColor="text1"/>
        </w:rPr>
        <w:t xml:space="preserve"> DE PRES na jednání červencové</w:t>
      </w:r>
      <w:r w:rsidRPr="008D7F3D">
        <w:rPr>
          <w:rFonts w:ascii="Times New Roman" w:hAnsi="Times New Roman" w:cs="Times New Roman"/>
          <w:b/>
          <w:bCs/>
          <w:color w:val="000000" w:themeColor="text1"/>
        </w:rPr>
        <w:t xml:space="preserve"> Pracovní skupiny pro lesnictví Rady EU</w:t>
      </w:r>
      <w:r w:rsidRPr="008D7F3D">
        <w:rPr>
          <w:rFonts w:ascii="Times New Roman" w:hAnsi="Times New Roman" w:cs="Times New Roman"/>
          <w:bCs/>
          <w:color w:val="000000" w:themeColor="text1"/>
        </w:rPr>
        <w:t xml:space="preserve"> sdělilo, že k nové strategii budou </w:t>
      </w:r>
      <w:r w:rsidRPr="008D7F3D">
        <w:rPr>
          <w:rFonts w:ascii="Times New Roman" w:hAnsi="Times New Roman" w:cs="Times New Roman"/>
          <w:b/>
          <w:bCs/>
          <w:color w:val="000000" w:themeColor="text1"/>
        </w:rPr>
        <w:t>do konce roku 2020 vypracovány závěry Rady</w:t>
      </w:r>
      <w:r w:rsidRPr="008D7F3D">
        <w:rPr>
          <w:rFonts w:ascii="Times New Roman" w:hAnsi="Times New Roman" w:cs="Times New Roman"/>
          <w:bCs/>
          <w:color w:val="000000" w:themeColor="text1"/>
        </w:rPr>
        <w:t xml:space="preserve">, které by vyjádřily postoj Rady k budoucí podobě strategie po roce 2020. Další diskuze ohledně podoby strategie by měly probíhat rovněž </w:t>
      </w:r>
      <w:r w:rsidRPr="008D7F3D">
        <w:rPr>
          <w:rFonts w:ascii="Times New Roman" w:hAnsi="Times New Roman" w:cs="Times New Roman"/>
          <w:b/>
          <w:bCs/>
          <w:color w:val="000000" w:themeColor="text1"/>
        </w:rPr>
        <w:t>na úrovni Stálého lesnického výboru (SFC)</w:t>
      </w:r>
      <w:r w:rsidRPr="008D7F3D">
        <w:rPr>
          <w:rFonts w:ascii="Times New Roman" w:hAnsi="Times New Roman" w:cs="Times New Roman"/>
          <w:bCs/>
          <w:color w:val="000000" w:themeColor="text1"/>
        </w:rPr>
        <w:t xml:space="preserve">. Jelikož Strategie EU v oblasti biologické rozmanitosti do roku 2030 stanovila dílčí cíle s přesahem do oblasti lesnictví, byla ustavena </w:t>
      </w:r>
      <w:r w:rsidRPr="008D7F3D">
        <w:rPr>
          <w:rFonts w:ascii="Times New Roman" w:hAnsi="Times New Roman" w:cs="Times New Roman"/>
          <w:b/>
          <w:bCs/>
          <w:color w:val="000000" w:themeColor="text1"/>
        </w:rPr>
        <w:t>nová pracovní skupina EK Příroda a lesy</w:t>
      </w:r>
      <w:r w:rsidRPr="008D7F3D">
        <w:rPr>
          <w:rFonts w:ascii="Times New Roman" w:hAnsi="Times New Roman" w:cs="Times New Roman"/>
          <w:bCs/>
          <w:color w:val="000000" w:themeColor="text1"/>
        </w:rPr>
        <w:t xml:space="preserve">, která se bude zabývat společnými otázkami a jednotlivými definicemi.      </w:t>
      </w:r>
    </w:p>
    <w:p w14:paraId="21F84672" w14:textId="77777777" w:rsidR="001831CF" w:rsidRPr="008D7F3D" w:rsidRDefault="001831CF" w:rsidP="001831CF">
      <w:pPr>
        <w:spacing w:line="276" w:lineRule="auto"/>
        <w:jc w:val="both"/>
        <w:rPr>
          <w:rFonts w:ascii="Times New Roman" w:hAnsi="Times New Roman" w:cs="Times New Roman"/>
          <w:bCs/>
          <w:color w:val="000000" w:themeColor="text1"/>
          <w:u w:val="single"/>
        </w:rPr>
      </w:pPr>
    </w:p>
    <w:p w14:paraId="4CB358FB" w14:textId="77777777" w:rsidR="001831CF" w:rsidRPr="008D7F3D" w:rsidRDefault="001831CF" w:rsidP="001831CF">
      <w:pPr>
        <w:spacing w:line="276" w:lineRule="auto"/>
        <w:jc w:val="both"/>
        <w:rPr>
          <w:rFonts w:ascii="Times New Roman" w:hAnsi="Times New Roman" w:cs="Times New Roman"/>
          <w:b/>
          <w:bCs/>
          <w:color w:val="000000" w:themeColor="text1"/>
          <w:u w:val="single"/>
        </w:rPr>
      </w:pPr>
      <w:r w:rsidRPr="008D7F3D">
        <w:rPr>
          <w:rFonts w:ascii="Times New Roman" w:hAnsi="Times New Roman" w:cs="Times New Roman"/>
          <w:b/>
          <w:bCs/>
          <w:color w:val="000000" w:themeColor="text1"/>
          <w:u w:val="single"/>
        </w:rPr>
        <w:t xml:space="preserve">Dosavadní pozice ČR k nové strategii EU pro oblast lesnictví: </w:t>
      </w:r>
    </w:p>
    <w:p w14:paraId="17697FA9" w14:textId="77777777" w:rsidR="001831CF" w:rsidRPr="008D7F3D" w:rsidRDefault="001831CF" w:rsidP="001831CF">
      <w:pPr>
        <w:spacing w:line="276" w:lineRule="auto"/>
        <w:jc w:val="both"/>
        <w:rPr>
          <w:rFonts w:ascii="Times New Roman" w:hAnsi="Times New Roman" w:cs="Times New Roman"/>
          <w:bCs/>
          <w:color w:val="000000" w:themeColor="text1"/>
        </w:rPr>
      </w:pPr>
    </w:p>
    <w:p w14:paraId="45532E24" w14:textId="77777777" w:rsidR="001831CF" w:rsidRPr="008D7F3D" w:rsidRDefault="001831CF" w:rsidP="001831CF">
      <w:pPr>
        <w:spacing w:line="276"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ČR vítá, že Zelená dohoda pro Evropu i Strategie EU pro biodiverzitu do roku 2030 obsahují odkaz na nutnost přijetí nové </w:t>
      </w:r>
      <w:r w:rsidRPr="008D7F3D">
        <w:rPr>
          <w:rFonts w:ascii="Times New Roman" w:hAnsi="Times New Roman" w:cs="Times New Roman"/>
          <w:b/>
          <w:bCs/>
          <w:color w:val="000000" w:themeColor="text1"/>
        </w:rPr>
        <w:t>strategie EU pro oblast lesnictví</w:t>
      </w:r>
      <w:r w:rsidRPr="008D7F3D">
        <w:rPr>
          <w:rFonts w:ascii="Times New Roman" w:hAnsi="Times New Roman" w:cs="Times New Roman"/>
          <w:bCs/>
          <w:color w:val="000000" w:themeColor="text1"/>
        </w:rPr>
        <w:t>. Nová samostatná strategie EU pro oblast lesnictví musí vyváženým způsobem zohlednit všechny environmentální, ekonomické a sociální aspekty lesního hospodářství a neměla by se zaměřit pouze na dílčí oblasti, jako je například ochrana biologické rozmanitosti. Mnohostranné funkce lesů musí být akcentovány ve všech relevantních strategiích na úrovni EU, přičemž je žádoucí, aby takové strategie byly rovnocenné a vzájemně se podporovaly. Nová strategie by měla v širší perspektivě umožnit efektivněji reagovat na nové celosvětové výzvy pro lesnictví a přispívat k boji proti celosvětovému odlesňování a znehodnocování lesů.</w:t>
      </w:r>
    </w:p>
    <w:p w14:paraId="231DFA50" w14:textId="77777777" w:rsidR="001831CF" w:rsidRPr="008D7F3D" w:rsidRDefault="001831CF" w:rsidP="001831CF">
      <w:pPr>
        <w:spacing w:line="276"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Při vytváření nové strategie EU pro oblast lesnictví ČR preferuje posilování role Stálého lesnického výboru (SFC) zejména plné zohledňování jeho názorů v jednotlivých politikách, jelikož dosud naplňuje zejména roli informační a koordinační. Možným mechanismem je zakládání ad hoc pracovních skupin SFC, společná zasedání s jinými výbory EK, či vytváření sítí z iniciativy ČS (vzor Evropské sítě </w:t>
      </w:r>
      <w:proofErr w:type="spellStart"/>
      <w:r w:rsidRPr="008D7F3D">
        <w:rPr>
          <w:rFonts w:ascii="Times New Roman" w:hAnsi="Times New Roman" w:cs="Times New Roman"/>
          <w:bCs/>
          <w:color w:val="000000" w:themeColor="text1"/>
        </w:rPr>
        <w:t>Integrate</w:t>
      </w:r>
      <w:proofErr w:type="spellEnd"/>
      <w:r w:rsidRPr="008D7F3D">
        <w:rPr>
          <w:rFonts w:ascii="Times New Roman" w:hAnsi="Times New Roman" w:cs="Times New Roman"/>
          <w:bCs/>
          <w:color w:val="000000" w:themeColor="text1"/>
        </w:rPr>
        <w:t xml:space="preserve">). ČR by ráda s podporou SFC rozvíjela aktivity Evropské sítě </w:t>
      </w:r>
      <w:proofErr w:type="spellStart"/>
      <w:r w:rsidRPr="008D7F3D">
        <w:rPr>
          <w:rFonts w:ascii="Times New Roman" w:hAnsi="Times New Roman" w:cs="Times New Roman"/>
          <w:bCs/>
          <w:color w:val="000000" w:themeColor="text1"/>
        </w:rPr>
        <w:t>Integrate</w:t>
      </w:r>
      <w:proofErr w:type="spellEnd"/>
      <w:r w:rsidRPr="008D7F3D">
        <w:rPr>
          <w:rFonts w:ascii="Times New Roman" w:hAnsi="Times New Roman" w:cs="Times New Roman"/>
          <w:bCs/>
          <w:color w:val="000000" w:themeColor="text1"/>
        </w:rPr>
        <w:t xml:space="preserve"> (účelná a pragmatická integrace ochrany přírody do udržitelně obhospodařovaných lesů).</w:t>
      </w:r>
    </w:p>
    <w:p w14:paraId="5018A3BB" w14:textId="77777777" w:rsidR="001831CF" w:rsidRPr="008D7F3D" w:rsidRDefault="001831CF" w:rsidP="001831CF">
      <w:pPr>
        <w:spacing w:line="276"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Ve vztahu k financování potřebných opatření ČR zdůrazňuje potřebu zefektivnit mechanismus národních podpor, zjednodušení jejich poskytování a procesu notifikace, mimo jiné umožněním blokových výjimek ze strany EK, a podporuje průzkum možnosti plateb za ekosystémové služby zaměřené zejména na změnu druhové skladby lesních porostů, přirozenou obnovu, výchovu lesních porostů a využívání šetrných technologií v lesích. Zde ČR uvítá širší možnosti financování škod na lesích souvisejících se změnou klimatu (kalamity v lesích), které dosud předpisy EU k veřejným podporám nepředjímají.</w:t>
      </w:r>
    </w:p>
    <w:p w14:paraId="5C4E2083" w14:textId="77777777" w:rsidR="001831CF" w:rsidRPr="008D7F3D" w:rsidRDefault="001831CF" w:rsidP="001831CF">
      <w:pPr>
        <w:spacing w:line="276" w:lineRule="auto"/>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Z hlediska ochrany zemědělské půdy v ČR je důležité, aby nové zalesňování nebylo podporováno na nejkvalitnějších půdách I. a II. třídy ochrany a obdobně, s ohledem na ochranu biodiverzity, by nemělo být směřováno do přírodně hodnotných nelesních biotopů atp. </w:t>
      </w:r>
      <w:r w:rsidRPr="008D7F3D">
        <w:rPr>
          <w:rFonts w:ascii="Times New Roman" w:hAnsi="Times New Roman" w:cs="Times New Roman"/>
          <w:bCs/>
          <w:color w:val="000000" w:themeColor="text1"/>
        </w:rPr>
        <w:t>Jelikož plocha lesů v ČR dlouhodobě stoupá a obnova lesů po těžbě je zákonnou povinností vlastníka, příležitost pro dodatečnou výsadbu stromů lze identifikovat především mimo pozemky určené k plnění funkcí lesa, například ve městech nebo jako součást (se synergickým efektem) opatření ke snížení eroze půdy.</w:t>
      </w:r>
    </w:p>
    <w:p w14:paraId="3C422ACA" w14:textId="77777777" w:rsidR="001831CF" w:rsidRPr="008D7F3D" w:rsidRDefault="001831CF" w:rsidP="001831CF">
      <w:pPr>
        <w:spacing w:line="276"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Pokud jde o vypracování vodítek EK ve vztahu k zalesňování, obnově lesa a přírodě blízkým postupům, které jsou šetrné k biologické rozmanitosti a jsou součástí udržitelného hospodaření v lesích, ČR zdůrazňuje, že na základě zásady subsidiarity a sdílené pravomoci v této oblasti, by členské státy měly mít v konečném důsledku rozhodující úlohu při stanovování výše uvedených postupů. Ve vztahu k odvětví LULUCF a klimatické neutralitě je třeba zdůraznit, že již nyní se v ČR mění role lesního hospodářství ve smyslu propadů CO</w:t>
      </w:r>
      <w:r w:rsidRPr="008D7F3D">
        <w:rPr>
          <w:rFonts w:ascii="Times New Roman" w:hAnsi="Times New Roman" w:cs="Times New Roman"/>
          <w:bCs/>
          <w:color w:val="000000" w:themeColor="text1"/>
          <w:vertAlign w:val="subscript"/>
        </w:rPr>
        <w:t>2</w:t>
      </w:r>
      <w:r w:rsidRPr="008D7F3D">
        <w:rPr>
          <w:rFonts w:ascii="Times New Roman" w:hAnsi="Times New Roman" w:cs="Times New Roman"/>
          <w:bCs/>
          <w:color w:val="000000" w:themeColor="text1"/>
        </w:rPr>
        <w:t xml:space="preserve"> z důvodu nahodilých těžeb souvisejících s likvidací kůrovcové kalamity. Proto je pravděpodobné, že dočasně bude sektor lesního hospodářství vykazovat emise CO</w:t>
      </w:r>
      <w:r w:rsidRPr="008D7F3D">
        <w:rPr>
          <w:rFonts w:ascii="Times New Roman" w:hAnsi="Times New Roman" w:cs="Times New Roman"/>
          <w:bCs/>
          <w:color w:val="000000" w:themeColor="text1"/>
          <w:vertAlign w:val="subscript"/>
        </w:rPr>
        <w:t>2</w:t>
      </w:r>
      <w:r w:rsidRPr="008D7F3D">
        <w:rPr>
          <w:rFonts w:ascii="Times New Roman" w:hAnsi="Times New Roman" w:cs="Times New Roman"/>
          <w:bCs/>
          <w:color w:val="000000" w:themeColor="text1"/>
        </w:rPr>
        <w:t xml:space="preserve">. ČR považuje za významné, aby v nejbližších letech byl kladen důraz na obnovu postižených lesů a jejich adaptaci na změnu klimatu. </w:t>
      </w:r>
    </w:p>
    <w:p w14:paraId="5170621F" w14:textId="77777777" w:rsidR="001831CF" w:rsidRPr="008D7F3D" w:rsidRDefault="001831CF" w:rsidP="001831CF">
      <w:pPr>
        <w:spacing w:line="276"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Za účelem naplnění cílů Zelené dohody pro Evropu a Strategie EU pro biodiverzitu do roku 2030 je zapotřebí podpořit větší začlenění lesnictví do oběhového biohospodářství a produkci dřevěných výrobků s větší přidanou hodnotou, což by lesníkům zajistilo důstojné příjmy a umožnilo jim investice do potřebných opatření. ČR zdůrazňuje potřebu inovací a modernizace sektoru lesnictví, příslušné infrastruktury a rozvoje systémů založených na lesnictví a hodnotových řetězců, které jsou nezbytným předpokladem pro naplnění cílů biohospodářství a oběhové ekonomiky. Z krátkodobého hlediska jsou dané inovace důležité ve vztahu k rozsáhlé kůrovcové kalamitě a převisu nabídky dříví nad poptávkou po něm. Jelikož v rámci posilování odolnosti lesů dochází k přeměně jejich druhové skladby, je z dlouhodobého hlediska důležité zkoumat možnosti využití této suroviny s ohledem na vyšší podíly listnatého dříví na trhu, které se začnou zvyšovat v době prvních výchovných zásahů do nově zalesněných ploch po nynější kalamitě. Potřeba modernizace lesnického sektoru by měla být zohledněna při vytváření nového výzkumného a inovačního rámce programu Horizont Evropa, přičemž by měly být podpořeny iniciativy členských států, jako je BIOEAST. </w:t>
      </w:r>
    </w:p>
    <w:p w14:paraId="5F7117D3"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10ABEE52" w14:textId="77777777" w:rsidR="001831CF" w:rsidRPr="008D7F3D" w:rsidRDefault="001831CF" w:rsidP="001831CF">
      <w:pPr>
        <w:spacing w:line="276" w:lineRule="auto"/>
        <w:jc w:val="both"/>
        <w:rPr>
          <w:rFonts w:ascii="Times New Roman" w:hAnsi="Times New Roman" w:cs="Times New Roman"/>
          <w:bCs/>
          <w:color w:val="000000" w:themeColor="text1"/>
        </w:rPr>
      </w:pPr>
    </w:p>
    <w:p w14:paraId="2EE26C26" w14:textId="77777777" w:rsidR="001831CF" w:rsidRPr="008D7F3D" w:rsidRDefault="001831CF" w:rsidP="001831CF">
      <w:pPr>
        <w:spacing w:line="288" w:lineRule="auto"/>
        <w:contextualSpacing/>
        <w:jc w:val="both"/>
        <w:rPr>
          <w:rFonts w:ascii="Times New Roman" w:hAnsi="Times New Roman" w:cs="Times New Roman"/>
          <w:bCs/>
          <w:color w:val="000000" w:themeColor="text1"/>
        </w:rPr>
      </w:pPr>
      <w:r w:rsidRPr="008D7F3D">
        <w:rPr>
          <w:rFonts w:ascii="Times New Roman" w:hAnsi="Times New Roman" w:cs="Times New Roman"/>
          <w:b/>
          <w:bCs/>
          <w:color w:val="000000" w:themeColor="text1"/>
        </w:rPr>
        <w:t>Podle Strategie EU v oblasti biologické rozmanitosti do roku 2030 má být nová strategie EU v oblasti lesnictví přijata v roce 2021</w:t>
      </w:r>
      <w:r w:rsidRPr="008D7F3D">
        <w:rPr>
          <w:rFonts w:ascii="Times New Roman" w:hAnsi="Times New Roman" w:cs="Times New Roman"/>
          <w:bCs/>
          <w:color w:val="000000" w:themeColor="text1"/>
        </w:rPr>
        <w:t xml:space="preserve">, přičemž má obsahovat i plán na výsadbu nejméně 3 miliard dalších stromů v EU do roku 2030. Jelikož plocha lesů v ČR dlouhodobě stoupá a obnova lesů po těžbě je zákonnou povinností vlastníka, příležitost pro dodatečnou výsadbu stromů lze identifikovat především mimo pozemky určené k plnění funkcí lesa, například ve městech nebo jako součást (se synergickým efektem) opatření ke snížení eroze půdy. Pokud jde o vypracování vodítek EK ve vztahu k zalesňování, obnově lesa a přírodě blízkým postupům, které jsou šetrné k biologické rozmanitosti a jsou součástí udržitelného hospodaření v lesích, ČR zdůrazňuje, že na základě zásady subsidiarity a sdílené pravomoci v této oblasti, by členské státy měly mít v konečném důsledku rozhodující úlohu při stanovování výše uvedených postupů.   </w:t>
      </w:r>
    </w:p>
    <w:p w14:paraId="3F5BB5A9" w14:textId="77777777" w:rsidR="001831CF" w:rsidRPr="008D7F3D" w:rsidRDefault="001831CF" w:rsidP="001831CF">
      <w:pPr>
        <w:spacing w:line="288" w:lineRule="auto"/>
        <w:contextualSpacing/>
        <w:rPr>
          <w:rFonts w:ascii="Times New Roman" w:hAnsi="Times New Roman" w:cs="Times New Roman"/>
          <w:b/>
          <w:bCs/>
          <w:color w:val="000000" w:themeColor="text1"/>
        </w:rPr>
      </w:pPr>
    </w:p>
    <w:p w14:paraId="3C54F5A7" w14:textId="77777777" w:rsidR="001831CF" w:rsidRPr="008D7F3D" w:rsidRDefault="001831CF" w:rsidP="001831CF">
      <w:pPr>
        <w:spacing w:line="288" w:lineRule="auto"/>
        <w:contextualSpacing/>
        <w:jc w:val="both"/>
        <w:rPr>
          <w:rFonts w:ascii="Times New Roman" w:hAnsi="Times New Roman" w:cs="Times New Roman"/>
          <w:b/>
          <w:bCs/>
          <w:color w:val="000000" w:themeColor="text1"/>
        </w:rPr>
      </w:pPr>
      <w:r w:rsidRPr="008D7F3D">
        <w:rPr>
          <w:rFonts w:ascii="Times New Roman" w:hAnsi="Times New Roman" w:cs="Times New Roman"/>
          <w:b/>
          <w:bCs/>
          <w:color w:val="000000" w:themeColor="text1"/>
        </w:rPr>
        <w:t xml:space="preserve">Jelikož se nová strategie EU pro oblast lesnictví bude nyní teprve vytvářet, nelze nyní přesně identifikovat další konkrétní klíčové závazky a bude žádoucí se zapojit do přípravy strategie na jednotlivých úrovních a posuzovat průběžně dopady jednotlivých návrhů opatření. </w:t>
      </w:r>
    </w:p>
    <w:p w14:paraId="2260D8AB" w14:textId="77777777" w:rsidR="001831CF" w:rsidRPr="008D7F3D" w:rsidRDefault="001831CF" w:rsidP="001831CF">
      <w:pPr>
        <w:spacing w:line="288" w:lineRule="auto"/>
        <w:contextualSpacing/>
        <w:rPr>
          <w:rFonts w:ascii="Times New Roman" w:hAnsi="Times New Roman" w:cs="Times New Roman"/>
          <w:b/>
          <w:bCs/>
          <w:color w:val="000000" w:themeColor="text1"/>
        </w:rPr>
      </w:pPr>
    </w:p>
    <w:p w14:paraId="7864D928" w14:textId="77777777" w:rsidR="001831CF" w:rsidRPr="008D7F3D" w:rsidRDefault="001831CF" w:rsidP="001831CF">
      <w:pPr>
        <w:spacing w:line="288" w:lineRule="auto"/>
        <w:contextualSpacing/>
        <w:rPr>
          <w:rFonts w:ascii="Times New Roman" w:hAnsi="Times New Roman" w:cs="Times New Roman"/>
          <w:color w:val="000000" w:themeColor="text1"/>
        </w:rPr>
      </w:pPr>
    </w:p>
    <w:p w14:paraId="4FEBC6D8" w14:textId="77777777" w:rsidR="001831CF" w:rsidRPr="008D7F3D" w:rsidRDefault="001831CF" w:rsidP="001831CF">
      <w:pPr>
        <w:spacing w:line="288" w:lineRule="auto"/>
        <w:contextualSpacing/>
        <w:jc w:val="both"/>
        <w:rPr>
          <w:rFonts w:ascii="Times New Roman" w:hAnsi="Times New Roman" w:cs="Times New Roman"/>
          <w:b/>
          <w:bCs/>
          <w:color w:val="000000" w:themeColor="text1"/>
        </w:rPr>
      </w:pPr>
      <w:r w:rsidRPr="008D7F3D">
        <w:rPr>
          <w:rFonts w:ascii="Times New Roman" w:hAnsi="Times New Roman" w:cs="Times New Roman"/>
          <w:b/>
          <w:bCs/>
          <w:color w:val="000000" w:themeColor="text1"/>
        </w:rPr>
        <w:t xml:space="preserve">Nová strategie EU pro oblast lesnictví se bude nyní teprve připravovat a v současné době nejsou známá jednotlivá klíčová opatření a z tohoto důvodu nelze specifikovat očekáváné náklady realizace. Bude žádoucí se zapojit do přípravy strategie na jednotlivých úrovních a posuzovat průběžně dopady jednotlivých návrhů opatření. </w:t>
      </w:r>
    </w:p>
    <w:p w14:paraId="23383B4A" w14:textId="77777777" w:rsidR="001831CF" w:rsidRPr="008D7F3D" w:rsidRDefault="001831CF" w:rsidP="001831CF">
      <w:pPr>
        <w:spacing w:line="288" w:lineRule="auto"/>
        <w:contextualSpacing/>
        <w:rPr>
          <w:rFonts w:ascii="Times New Roman" w:hAnsi="Times New Roman" w:cs="Times New Roman"/>
          <w:b/>
          <w:bCs/>
          <w:color w:val="000000" w:themeColor="text1"/>
        </w:rPr>
      </w:pPr>
    </w:p>
    <w:p w14:paraId="3F475229" w14:textId="77777777" w:rsidR="001831CF" w:rsidRPr="008D7F3D" w:rsidRDefault="001831CF" w:rsidP="001831CF">
      <w:pPr>
        <w:spacing w:line="288" w:lineRule="auto"/>
        <w:ind w:left="720" w:hanging="360"/>
        <w:contextualSpacing/>
        <w:rPr>
          <w:rFonts w:ascii="Times New Roman" w:hAnsi="Times New Roman" w:cs="Times New Roman"/>
          <w:b/>
          <w:bCs/>
          <w:color w:val="000000" w:themeColor="text1"/>
        </w:rPr>
      </w:pPr>
    </w:p>
    <w:p w14:paraId="2E27C54A" w14:textId="77777777" w:rsidR="001831CF" w:rsidRPr="008D7F3D" w:rsidRDefault="001831CF" w:rsidP="001831CF">
      <w:pPr>
        <w:spacing w:line="276" w:lineRule="auto"/>
        <w:jc w:val="both"/>
        <w:rPr>
          <w:rFonts w:ascii="Times New Roman" w:hAnsi="Times New Roman" w:cs="Times New Roman"/>
          <w:b/>
          <w:bCs/>
          <w:color w:val="000000" w:themeColor="text1"/>
        </w:rPr>
      </w:pPr>
    </w:p>
    <w:p w14:paraId="46C86BEB" w14:textId="77777777" w:rsidR="001831CF" w:rsidRPr="008D7F3D" w:rsidRDefault="001831CF" w:rsidP="001831CF">
      <w:pPr>
        <w:spacing w:line="276" w:lineRule="auto"/>
        <w:jc w:val="both"/>
        <w:rPr>
          <w:rFonts w:ascii="Times New Roman" w:hAnsi="Times New Roman" w:cs="Times New Roman"/>
          <w:b/>
          <w:bCs/>
          <w:color w:val="000000" w:themeColor="text1"/>
        </w:rPr>
      </w:pPr>
      <w:r w:rsidRPr="008D7F3D">
        <w:rPr>
          <w:rFonts w:ascii="Times New Roman" w:hAnsi="Times New Roman" w:cs="Times New Roman"/>
          <w:b/>
          <w:bCs/>
          <w:color w:val="000000" w:themeColor="text1"/>
        </w:rPr>
        <w:t xml:space="preserve">Nová strategie EU pro oblast lesnictví se bude nyní připravovat, včetně jednotlivých klíčových opatření, přičemž lze očekávat, že jejich financování bude uskutečněno z rozpočtu EU i z čistě národních zdrojů. </w:t>
      </w:r>
    </w:p>
    <w:p w14:paraId="11E0ED84" w14:textId="77777777" w:rsidR="001831CF" w:rsidRPr="008D7F3D" w:rsidRDefault="001831CF" w:rsidP="001831CF">
      <w:pPr>
        <w:spacing w:line="276" w:lineRule="auto"/>
        <w:jc w:val="both"/>
        <w:rPr>
          <w:rFonts w:ascii="Times New Roman" w:hAnsi="Times New Roman" w:cs="Times New Roman"/>
          <w:bCs/>
          <w:color w:val="000000" w:themeColor="text1"/>
        </w:rPr>
      </w:pPr>
      <w:r w:rsidRPr="008D7F3D">
        <w:rPr>
          <w:rFonts w:ascii="Times New Roman" w:hAnsi="Times New Roman" w:cs="Times New Roman"/>
          <w:bCs/>
          <w:color w:val="000000" w:themeColor="text1"/>
        </w:rPr>
        <w:t>V návaznosti na kůrovcovou kalamitu Česká republika v minulosti zdůrazňovala potřebu zefektivnit mechanismus národních podpor, zjednodušení jejich poskytování a procesu notifikace, mimo jiné umožněním blokových výjimek ze strany EK, a podporuje průzkum možnosti plateb za ekosystémové služby zaměřené zejména na změnu druhové skladby lesních porostů, přirozenou obnovu, výchovu lesních porostů a využívání šetrných technologií v lesích. Zde by ČR uvítala širší možnosti financování škod na lesích souvisejících se změnou klimatu (kalamity v lesích), které dosud předpisy EU k veřejným podporám nepředjímají.</w:t>
      </w:r>
    </w:p>
    <w:p w14:paraId="7D049DF1" w14:textId="77777777" w:rsidR="001831CF" w:rsidRPr="008D7F3D" w:rsidRDefault="001831CF" w:rsidP="001831CF">
      <w:pPr>
        <w:spacing w:after="120"/>
        <w:rPr>
          <w:rFonts w:ascii="Times New Roman" w:hAnsi="Times New Roman" w:cs="Times New Roman"/>
          <w:color w:val="000000" w:themeColor="text1"/>
        </w:rPr>
      </w:pPr>
    </w:p>
    <w:p w14:paraId="352C2136" w14:textId="77777777" w:rsidR="00933147" w:rsidRPr="008D7F3D" w:rsidRDefault="00933147" w:rsidP="001831CF">
      <w:pPr>
        <w:spacing w:after="120"/>
        <w:rPr>
          <w:rFonts w:ascii="Times New Roman" w:hAnsi="Times New Roman" w:cs="Times New Roman"/>
          <w:color w:val="000000" w:themeColor="text1"/>
        </w:rPr>
      </w:pPr>
    </w:p>
    <w:p w14:paraId="7902D56D" w14:textId="77777777" w:rsidR="00933147" w:rsidRPr="008D7F3D" w:rsidRDefault="00933147" w:rsidP="001831CF">
      <w:pPr>
        <w:spacing w:after="120"/>
        <w:rPr>
          <w:rFonts w:ascii="Times New Roman" w:hAnsi="Times New Roman" w:cs="Times New Roman"/>
          <w:color w:val="000000" w:themeColor="text1"/>
        </w:rPr>
      </w:pPr>
    </w:p>
    <w:p w14:paraId="7CC2BB5E" w14:textId="77777777" w:rsidR="001831CF" w:rsidRPr="008D7F3D" w:rsidRDefault="001831CF" w:rsidP="001831CF">
      <w:pPr>
        <w:spacing w:after="120"/>
        <w:jc w:val="both"/>
        <w:rPr>
          <w:rFonts w:ascii="Times New Roman" w:hAnsi="Times New Roman" w:cs="Times New Roman"/>
          <w:b/>
          <w:color w:val="000000" w:themeColor="text1"/>
        </w:rPr>
      </w:pPr>
      <w:r w:rsidRPr="008D7F3D">
        <w:rPr>
          <w:rFonts w:ascii="Times New Roman" w:hAnsi="Times New Roman" w:cs="Times New Roman"/>
          <w:b/>
          <w:color w:val="000000" w:themeColor="text1"/>
        </w:rPr>
        <w:t>Společná zemědělská politika</w:t>
      </w:r>
    </w:p>
    <w:p w14:paraId="559B0041"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Ačkoliv je reforma Společné zemědělské politiky projednávána na půdě Rady EU od června 2018, ještě řada otázek zůstává otevřených a budou předmětem nadcházejících diskusí jak na pracovní úrovni, tak v rámci ministerských jednání. Ambicí DE PRES je dosažení obecného přístupu v Radě v říjnu 2020 a zahájení trialogů s EP a EK ještě před koncem t.r.</w:t>
      </w:r>
    </w:p>
    <w:p w14:paraId="3665A83D"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Do vyjednávání budoucí podoby SZP rovněž významně zasáhla EGD představená Komisí v prosinci 2019 a na ni navazující strategie – F2F a pro biologickou rozmanitost – které byly zveřejněny po několika odkladech v květnu t.r. Obě uvedené strategie obsahují řadu velmi ambiciózních cílů, jejichž naplnění bude pro ČS skutečnou výzvou. Jak Komise deklarovala, jedná se o cíle politické a je na ně třeba nahlížet z pohledu EU jako celku – stanovené (procentní) hodnoty jednotlivých cílů se tak nevztahují vždy k jednotlivému ČS.</w:t>
      </w:r>
    </w:p>
    <w:p w14:paraId="74F3F1D7"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V návaznosti na předložení těchto strategií se EK rozhodla s ČS zahájit tzv. strukturovaný dialog, který by měl vyústit představením doporučení EK pro jednotlivé ČS ohledně devíti specifických cílů SZP. Konkrétnější debaty s ČS je možné očekávat až na podzim tohoto roku – doporučení by pak ČS měly obdržet nejpozději v prosinci 2020. I když EK avizovala, že doporučení by neměla být právně závazná, je možné očekávat, že budou součástí kritérií hodnocení Strategických plánů.</w:t>
      </w:r>
    </w:p>
    <w:p w14:paraId="4D91C276"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Tato iniciativa EK zastihla ČS již v pokročilé fázi přípravy národních Strategických plánů a do značné míry tak zkomplikovala jejich kompletaci ve stanoveném termínu.</w:t>
      </w:r>
    </w:p>
    <w:p w14:paraId="6BDDFE5C"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Otevřenou otázkou i nadále zůstává legislativa k přechodnému období, která doposud nebyla přijata, a v této věci zejména nejednotné názory na délku přechodného období (Rada a EP – 2 roky; EK – 1 rok).</w:t>
      </w:r>
    </w:p>
    <w:p w14:paraId="3E73F2ED"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S ohledem na výše uvedené skutečnosti – tedy stále probíhající diskuse k budoucí podobě SZP a doposud ze strany EK nepředstavené specifické cíle pro jednotlivé ČS a analýzy dopadů – není v tuto chvíli reálné vyhodnocení aktuálního stavu plnění závazků, vyčíslení nákladů realizace či zdrojů financování ve vazbě na EGD a navazující strategie.</w:t>
      </w:r>
    </w:p>
    <w:p w14:paraId="013B5055"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V souvislosti s otázkou financování je třeba upozornit, že ačkoliv byly na jednání ER ve dnech 17. – 21. 7. přijaty závěry k budoucímu VFR a fondu pro obnovu ekonomik, nejedná se ještě o finální podobu rozpočtu, neboť se o své slovo aktivně přihlásil Evropský parlament, který bude usilovat o četné změny. Otázkou rovněž zůstává, zda bude možné prostředky na obnovu ekonomik čerpat rovněž v rámci přechodného období anebo zda dojde k jejich navázání až na „novou SZP“.</w:t>
      </w:r>
    </w:p>
    <w:p w14:paraId="5B858560" w14:textId="77777777" w:rsidR="001831CF" w:rsidRPr="008D7F3D" w:rsidRDefault="001831CF" w:rsidP="001831CF">
      <w:pPr>
        <w:spacing w:after="120"/>
        <w:jc w:val="both"/>
        <w:rPr>
          <w:rFonts w:ascii="Times New Roman" w:hAnsi="Times New Roman" w:cs="Times New Roman"/>
          <w:b/>
          <w:color w:val="000000" w:themeColor="text1"/>
        </w:rPr>
      </w:pPr>
      <w:r w:rsidRPr="008D7F3D">
        <w:rPr>
          <w:rFonts w:ascii="Times New Roman" w:hAnsi="Times New Roman" w:cs="Times New Roman"/>
          <w:b/>
          <w:color w:val="000000" w:themeColor="text1"/>
        </w:rPr>
        <w:t>Společná rybářská politika</w:t>
      </w:r>
    </w:p>
    <w:p w14:paraId="2C5A8C11"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Od června 2018 probíhá vyjednávání nařízení o Evropském námořním a rybářském fondu (ENRF) pro nové programové období 2021–2027, reforma Společné rybářské politiky je plánována až v roce 2023. Doposud se podařilo na úrovni Rady dosáhnout obecného postoje k nařízení o ENRF a uskutečnily se celkem 4 politické trialogy a několik technických jednání s Evropským parlamentem. DE PRES plánuje dokončit jednání o ENRF do konce roku 2020, nicméně vše se bude odvíjet od termínu schválení VFR. </w:t>
      </w:r>
    </w:p>
    <w:p w14:paraId="28BC4577"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Zásadní požadavky ČR na úpravu návrhu nařízení byly již zohledněny v mandátu Rady a rovněž z dosavadních jednání s EP zatím nevyplývá žádná významná překážka, která by bránila přijetí nařízení ze strany ČR.  </w:t>
      </w:r>
    </w:p>
    <w:p w14:paraId="59C19F2D"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Na úrovni ČR nyní probíhá aktualizace Víceletého národního strategického plánu pro akvakulturu (VNPSA), který je podmínkou pro čerpání prostředků z ENRF. Byla zpracována 1. verze Operačního programu Rybářství 2021-2027, která je nyní konzultována s Evropskou komisí.</w:t>
      </w:r>
    </w:p>
    <w:p w14:paraId="74045CFB"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Evropská zelená dohoda (EGD) a navazující strategie – F2F a pro biologickou rozmanitost – stanovují pro odvětví produkčního rybářství následující cíle:</w:t>
      </w:r>
    </w:p>
    <w:p w14:paraId="66700F01" w14:textId="77777777" w:rsidR="001831CF" w:rsidRPr="008D7F3D" w:rsidRDefault="001831CF" w:rsidP="001831CF">
      <w:pPr>
        <w:pStyle w:val="Odstavecseseznamem"/>
        <w:numPr>
          <w:ilvl w:val="0"/>
          <w:numId w:val="23"/>
        </w:numPr>
        <w:spacing w:before="120"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 xml:space="preserve">Podpora udržitelné akvakultury </w:t>
      </w:r>
    </w:p>
    <w:p w14:paraId="73FC8316"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Cíl dosáhnout udržitelnosti akvakultury je již v ČR de facto splněn, neboť existující formy hospodaření jsou dlouhodobě udržitelné. Nastavený cíl F2F je v souladu s cílem VNSPA. </w:t>
      </w:r>
    </w:p>
    <w:p w14:paraId="393DC825" w14:textId="77777777" w:rsidR="001831CF" w:rsidRPr="008D7F3D" w:rsidRDefault="001831CF" w:rsidP="001831CF">
      <w:pPr>
        <w:spacing w:after="120"/>
        <w:jc w:val="both"/>
        <w:rPr>
          <w:rFonts w:ascii="Times New Roman" w:hAnsi="Times New Roman" w:cs="Times New Roman"/>
          <w:color w:val="000000" w:themeColor="text1"/>
        </w:rPr>
      </w:pPr>
    </w:p>
    <w:p w14:paraId="123415AD" w14:textId="77777777" w:rsidR="001831CF" w:rsidRPr="008D7F3D" w:rsidRDefault="001831CF" w:rsidP="001831CF">
      <w:pPr>
        <w:pStyle w:val="Odstavecseseznamem"/>
        <w:numPr>
          <w:ilvl w:val="0"/>
          <w:numId w:val="23"/>
        </w:numPr>
        <w:spacing w:before="120"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Významně rozšířit ekologickou akvakulturu</w:t>
      </w:r>
    </w:p>
    <w:p w14:paraId="73304657"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Jedná se o problematický cíl, který může významně ohrozit konkurenceschopnost podniků akvakultury. Potenciál naplnění cíle bude možné vyhodnotit až po provedení relevantních analýz.</w:t>
      </w:r>
    </w:p>
    <w:p w14:paraId="1E077629" w14:textId="77777777" w:rsidR="001831CF" w:rsidRPr="008D7F3D" w:rsidRDefault="001831CF" w:rsidP="001831CF">
      <w:pPr>
        <w:pStyle w:val="Odstavecseseznamem"/>
        <w:numPr>
          <w:ilvl w:val="0"/>
          <w:numId w:val="23"/>
        </w:numPr>
        <w:spacing w:before="120"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Podpora inovací a digitalizace</w:t>
      </w:r>
    </w:p>
    <w:p w14:paraId="1F4CD4CB"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Cíl je již v současnosti naplňován. Výzkum a vzdělávání v oblasti sladkovodní akvakultury je v ČR na velmi vysoké úrovni. Inovace jsou a budou i nadále podporovány z evropských i národních zdrojů. Digitalizace v akvakultuře se plánuje v oblasti sběru dat, očekávané investice budou financovány z ENRF.</w:t>
      </w:r>
    </w:p>
    <w:p w14:paraId="618C37AD" w14:textId="77777777" w:rsidR="001831CF" w:rsidRPr="008D7F3D" w:rsidRDefault="001831CF" w:rsidP="001831CF">
      <w:pPr>
        <w:pStyle w:val="Odstavecseseznamem"/>
        <w:numPr>
          <w:ilvl w:val="0"/>
          <w:numId w:val="23"/>
        </w:numPr>
        <w:spacing w:after="120" w:line="256" w:lineRule="auto"/>
        <w:ind w:left="714" w:hanging="357"/>
        <w:jc w:val="both"/>
        <w:rPr>
          <w:rFonts w:ascii="Times New Roman" w:hAnsi="Times New Roman" w:cs="Times New Roman"/>
          <w:i/>
          <w:color w:val="000000" w:themeColor="text1"/>
        </w:rPr>
      </w:pPr>
      <w:r w:rsidRPr="008D7F3D">
        <w:rPr>
          <w:rFonts w:ascii="Times New Roman" w:hAnsi="Times New Roman" w:cs="Times New Roman"/>
          <w:i/>
          <w:color w:val="000000" w:themeColor="text1"/>
        </w:rPr>
        <w:t xml:space="preserve">Obnova sladkovodních systémů </w:t>
      </w:r>
    </w:p>
    <w:p w14:paraId="5B40D012" w14:textId="77777777" w:rsidR="001831CF" w:rsidRPr="008D7F3D" w:rsidRDefault="001831CF" w:rsidP="001831CF">
      <w:pPr>
        <w:spacing w:after="120"/>
        <w:jc w:val="both"/>
        <w:rPr>
          <w:rFonts w:ascii="Times New Roman" w:hAnsi="Times New Roman" w:cs="Times New Roman"/>
          <w:bCs/>
          <w:color w:val="000000" w:themeColor="text1"/>
        </w:rPr>
      </w:pPr>
      <w:r w:rsidRPr="008D7F3D">
        <w:rPr>
          <w:rFonts w:ascii="Times New Roman" w:hAnsi="Times New Roman" w:cs="Times New Roman"/>
          <w:color w:val="000000" w:themeColor="text1"/>
        </w:rPr>
        <w:t>P</w:t>
      </w:r>
      <w:r w:rsidRPr="008D7F3D">
        <w:rPr>
          <w:rFonts w:ascii="Times New Roman" w:hAnsi="Times New Roman" w:cs="Times New Roman"/>
          <w:bCs/>
          <w:color w:val="000000" w:themeColor="text1"/>
        </w:rPr>
        <w:t xml:space="preserve">rostřednictvím OP Rybářství je v současnosti podporováno vysazování úhoře říčního, a to v souladu se stanovenými Plány managementu úhoře. Podpora těchto projektů z OP Rybářství je plánována i v novém programovém období 2021–2027. </w:t>
      </w:r>
    </w:p>
    <w:p w14:paraId="607B35C7"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Kromě cíle zaměřeného na ekologickou akvakulturu je realizace příslušných cílů strategií v souladu s cíli stanovenými ve VNSPA a jejich naplnění se předpokládá prostřednictvím OP Rybářství 2021–2027 a také prostřednictvím národních podpor. V podstatě celá plánovaná alokace ENRF bude určena k realizaci EGD. Výši národních podpor nelze nyní upřesnit. </w:t>
      </w:r>
    </w:p>
    <w:p w14:paraId="71CAFB11" w14:textId="77777777" w:rsidR="001831CF" w:rsidRPr="008D7F3D" w:rsidRDefault="001831CF" w:rsidP="001831CF">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Zdroje financování nejsou nyní předmětem diskusí. Přepokládá se, že v rámci ENRF bude pro ČR nastavena dostatečná alokace. </w:t>
      </w:r>
    </w:p>
    <w:p w14:paraId="130EAAF9" w14:textId="77777777" w:rsidR="001831CF" w:rsidRPr="008D7F3D" w:rsidRDefault="001831CF" w:rsidP="001831CF">
      <w:pPr>
        <w:spacing w:after="120"/>
        <w:jc w:val="both"/>
        <w:rPr>
          <w:rFonts w:ascii="Times New Roman" w:hAnsi="Times New Roman" w:cs="Times New Roman"/>
          <w:bCs/>
          <w:color w:val="000000" w:themeColor="text1"/>
        </w:rPr>
      </w:pPr>
    </w:p>
    <w:p w14:paraId="34C1C63C" w14:textId="77777777" w:rsidR="001831CF" w:rsidRPr="008D7F3D" w:rsidRDefault="001831CF" w:rsidP="001831CF">
      <w:pPr>
        <w:spacing w:line="288" w:lineRule="auto"/>
        <w:contextualSpacing/>
        <w:rPr>
          <w:rFonts w:ascii="Times New Roman" w:hAnsi="Times New Roman" w:cs="Times New Roman"/>
          <w:bCs/>
          <w:color w:val="000000" w:themeColor="text1"/>
        </w:rPr>
      </w:pPr>
    </w:p>
    <w:p w14:paraId="08DEB2FC" w14:textId="77777777" w:rsidR="001831CF" w:rsidRPr="008D7F3D" w:rsidRDefault="001831CF" w:rsidP="001831CF">
      <w:pPr>
        <w:rPr>
          <w:rFonts w:ascii="Times New Roman" w:hAnsi="Times New Roman" w:cs="Times New Roman"/>
          <w:color w:val="000000" w:themeColor="text1"/>
        </w:rPr>
      </w:pPr>
    </w:p>
    <w:p w14:paraId="62851016" w14:textId="77777777" w:rsidR="001831CF" w:rsidRPr="008D7F3D" w:rsidRDefault="001831CF" w:rsidP="001831CF">
      <w:pPr>
        <w:jc w:val="both"/>
        <w:rPr>
          <w:rFonts w:ascii="Times New Roman" w:hAnsi="Times New Roman" w:cs="Times New Roman"/>
          <w:i/>
          <w:color w:val="000000" w:themeColor="text1"/>
        </w:rPr>
      </w:pPr>
    </w:p>
    <w:p w14:paraId="25C71215" w14:textId="77777777" w:rsidR="001831CF" w:rsidRPr="008D7F3D" w:rsidRDefault="001831CF" w:rsidP="001831CF">
      <w:pPr>
        <w:jc w:val="both"/>
        <w:rPr>
          <w:rFonts w:ascii="Times New Roman" w:hAnsi="Times New Roman" w:cs="Times New Roman"/>
          <w:i/>
          <w:color w:val="000000" w:themeColor="text1"/>
        </w:rPr>
      </w:pPr>
    </w:p>
    <w:p w14:paraId="610D6D4B" w14:textId="77777777" w:rsidR="001831CF" w:rsidRPr="008D7F3D" w:rsidRDefault="001831CF" w:rsidP="001831CF">
      <w:pPr>
        <w:jc w:val="both"/>
        <w:rPr>
          <w:rFonts w:ascii="Times New Roman" w:hAnsi="Times New Roman" w:cs="Times New Roman"/>
          <w:i/>
          <w:color w:val="000000" w:themeColor="text1"/>
        </w:rPr>
      </w:pPr>
    </w:p>
    <w:p w14:paraId="5B26C2E4" w14:textId="77777777" w:rsidR="001831CF" w:rsidRPr="008D7F3D" w:rsidRDefault="001831CF" w:rsidP="001831CF">
      <w:pPr>
        <w:jc w:val="both"/>
        <w:rPr>
          <w:rFonts w:ascii="Times New Roman" w:hAnsi="Times New Roman" w:cs="Times New Roman"/>
          <w:i/>
          <w:color w:val="000000" w:themeColor="text1"/>
        </w:rPr>
      </w:pPr>
    </w:p>
    <w:p w14:paraId="790F8D33" w14:textId="77777777" w:rsidR="001831CF" w:rsidRPr="008D7F3D" w:rsidRDefault="001831CF" w:rsidP="001831CF">
      <w:pPr>
        <w:jc w:val="both"/>
        <w:rPr>
          <w:rFonts w:ascii="Times New Roman" w:hAnsi="Times New Roman" w:cs="Times New Roman"/>
          <w:i/>
          <w:color w:val="000000" w:themeColor="text1"/>
        </w:rPr>
      </w:pPr>
    </w:p>
    <w:p w14:paraId="64A8DEB4" w14:textId="77777777" w:rsidR="001831CF" w:rsidRPr="008D7F3D" w:rsidRDefault="001831CF" w:rsidP="001831CF">
      <w:pPr>
        <w:jc w:val="both"/>
        <w:rPr>
          <w:rFonts w:ascii="Times New Roman" w:hAnsi="Times New Roman" w:cs="Times New Roman"/>
          <w:i/>
          <w:color w:val="000000" w:themeColor="text1"/>
        </w:rPr>
      </w:pPr>
    </w:p>
    <w:p w14:paraId="3D747EED" w14:textId="77777777" w:rsidR="001831CF" w:rsidRPr="008D7F3D" w:rsidRDefault="001831CF" w:rsidP="001831CF">
      <w:pPr>
        <w:jc w:val="both"/>
        <w:rPr>
          <w:rFonts w:ascii="Times New Roman" w:hAnsi="Times New Roman" w:cs="Times New Roman"/>
          <w:i/>
          <w:color w:val="000000" w:themeColor="text1"/>
        </w:rPr>
      </w:pPr>
    </w:p>
    <w:p w14:paraId="39361447" w14:textId="77777777" w:rsidR="001831CF" w:rsidRPr="008D7F3D" w:rsidRDefault="001831CF" w:rsidP="001831CF">
      <w:pPr>
        <w:jc w:val="both"/>
        <w:rPr>
          <w:rFonts w:ascii="Times New Roman" w:hAnsi="Times New Roman" w:cs="Times New Roman"/>
          <w:i/>
          <w:color w:val="000000" w:themeColor="text1"/>
        </w:rPr>
      </w:pPr>
    </w:p>
    <w:p w14:paraId="6AB4BAE3" w14:textId="77777777" w:rsidR="001831CF" w:rsidRPr="008D7F3D" w:rsidRDefault="001831CF" w:rsidP="00362008">
      <w:pPr>
        <w:rPr>
          <w:rFonts w:ascii="Times New Roman" w:hAnsi="Times New Roman" w:cs="Times New Roman"/>
          <w:b/>
          <w:color w:val="000000" w:themeColor="text1"/>
          <w:sz w:val="28"/>
          <w:szCs w:val="28"/>
          <w:u w:val="single"/>
        </w:rPr>
      </w:pPr>
    </w:p>
    <w:p w14:paraId="3272812A" w14:textId="77777777" w:rsidR="001831CF" w:rsidRPr="008D7F3D" w:rsidRDefault="001831CF" w:rsidP="00362008">
      <w:pPr>
        <w:rPr>
          <w:rFonts w:ascii="Times New Roman" w:hAnsi="Times New Roman" w:cs="Times New Roman"/>
          <w:b/>
          <w:color w:val="000000" w:themeColor="text1"/>
          <w:sz w:val="28"/>
          <w:szCs w:val="28"/>
          <w:u w:val="single"/>
        </w:rPr>
      </w:pPr>
    </w:p>
    <w:p w14:paraId="6DD1F4E8" w14:textId="77777777" w:rsidR="001831CF" w:rsidRPr="008D7F3D" w:rsidRDefault="001831CF" w:rsidP="00362008">
      <w:pPr>
        <w:rPr>
          <w:rFonts w:ascii="Times New Roman" w:hAnsi="Times New Roman" w:cs="Times New Roman"/>
          <w:b/>
          <w:color w:val="000000" w:themeColor="text1"/>
          <w:sz w:val="28"/>
          <w:szCs w:val="28"/>
          <w:u w:val="single"/>
        </w:rPr>
      </w:pPr>
    </w:p>
    <w:p w14:paraId="2AAD6184" w14:textId="77777777" w:rsidR="001831CF" w:rsidRPr="008D7F3D" w:rsidRDefault="001831CF" w:rsidP="00362008">
      <w:pPr>
        <w:rPr>
          <w:rFonts w:ascii="Times New Roman" w:hAnsi="Times New Roman" w:cs="Times New Roman"/>
          <w:b/>
          <w:color w:val="000000" w:themeColor="text1"/>
          <w:sz w:val="28"/>
          <w:szCs w:val="28"/>
          <w:u w:val="single"/>
        </w:rPr>
      </w:pPr>
    </w:p>
    <w:p w14:paraId="5882DAE5" w14:textId="77777777" w:rsidR="001831CF" w:rsidRPr="008D7F3D" w:rsidRDefault="001831CF" w:rsidP="00362008">
      <w:pPr>
        <w:rPr>
          <w:rFonts w:ascii="Times New Roman" w:hAnsi="Times New Roman" w:cs="Times New Roman"/>
          <w:b/>
          <w:color w:val="000000" w:themeColor="text1"/>
          <w:sz w:val="28"/>
          <w:szCs w:val="28"/>
          <w:u w:val="single"/>
        </w:rPr>
      </w:pPr>
    </w:p>
    <w:p w14:paraId="2F146A25" w14:textId="77777777" w:rsidR="00345CD7" w:rsidRDefault="00345CD7">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br w:type="page"/>
      </w:r>
    </w:p>
    <w:p w14:paraId="3D38D6F2" w14:textId="77777777" w:rsidR="00362008" w:rsidRPr="008D7F3D" w:rsidRDefault="00362008" w:rsidP="00362008">
      <w:pPr>
        <w:rPr>
          <w:rFonts w:ascii="Times New Roman" w:hAnsi="Times New Roman" w:cs="Times New Roman"/>
          <w:b/>
          <w:color w:val="000000" w:themeColor="text1"/>
          <w:sz w:val="28"/>
          <w:szCs w:val="28"/>
          <w:u w:val="single"/>
        </w:rPr>
      </w:pPr>
      <w:r w:rsidRPr="008D7F3D">
        <w:rPr>
          <w:rFonts w:ascii="Times New Roman" w:hAnsi="Times New Roman" w:cs="Times New Roman"/>
          <w:b/>
          <w:color w:val="000000" w:themeColor="text1"/>
          <w:sz w:val="28"/>
          <w:szCs w:val="28"/>
          <w:u w:val="single"/>
        </w:rPr>
        <w:t>Úřad pro technickou normalizaci, metrologii a státní zkušebnictví</w:t>
      </w:r>
    </w:p>
    <w:p w14:paraId="489AE305" w14:textId="77777777" w:rsidR="00362008" w:rsidRPr="008D7F3D" w:rsidRDefault="00362008" w:rsidP="00362008">
      <w:pPr>
        <w:rPr>
          <w:rFonts w:ascii="Times New Roman" w:hAnsi="Times New Roman" w:cs="Times New Roman"/>
          <w:color w:val="000000" w:themeColor="text1"/>
        </w:rPr>
      </w:pPr>
      <w:r w:rsidRPr="008D7F3D">
        <w:rPr>
          <w:rFonts w:ascii="Times New Roman" w:hAnsi="Times New Roman" w:cs="Times New Roman"/>
          <w:color w:val="000000" w:themeColor="text1"/>
        </w:rPr>
        <w:t xml:space="preserve">Informace uvedené pod písmenem </w:t>
      </w:r>
      <w:r w:rsidRPr="008D7F3D">
        <w:rPr>
          <w:rFonts w:ascii="Times New Roman" w:hAnsi="Times New Roman" w:cs="Times New Roman"/>
          <w:b/>
          <w:color w:val="000000" w:themeColor="text1"/>
        </w:rPr>
        <w:t>a) k bodu "2.1.4 Stavět a renovovat za účinného využívání energie a zdrojů" Sdělení Komise "Zelená dohoda pro Evropu"</w:t>
      </w:r>
      <w:r w:rsidRPr="008D7F3D">
        <w:rPr>
          <w:rFonts w:ascii="Times New Roman" w:hAnsi="Times New Roman" w:cs="Times New Roman"/>
          <w:color w:val="000000" w:themeColor="text1"/>
        </w:rPr>
        <w:t xml:space="preserve"> z hlediska působnosti Úřadu v oblasti stavebních výrobků, tj. k dílčí oblasti týkající se avizovaného přezkumu nařízení EP a Rady (EU) č. 305/2011 ze dne 9. března 2011, kterým se stanoví harmonizované podmínky pro uvádění stavebních výrobků na trh. Ostatní požadované informace uvedené pod písmeny b) - d) nejsou s ohledem na současný stav přípravy revize nařízení k dispozici. </w:t>
      </w:r>
    </w:p>
    <w:p w14:paraId="7904203D"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u w:val="single"/>
        </w:rPr>
        <w:t>Aktuální vývoj v oblasti přezkumu nařízení o stavebních výrobcích</w:t>
      </w:r>
      <w:r w:rsidRPr="008D7F3D">
        <w:rPr>
          <w:rFonts w:ascii="Times New Roman" w:hAnsi="Times New Roman" w:cs="Times New Roman"/>
          <w:color w:val="000000" w:themeColor="text1"/>
        </w:rPr>
        <w:t xml:space="preserve"> </w:t>
      </w:r>
    </w:p>
    <w:p w14:paraId="2E55B3CE"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Konkrétní termín předložení revidovaného znění nebyl ze strany EK stanoven. První zmínka o možné revizi CPR byla uvedena již v hodnotící studii k implementaci CPR v listopadu 2016, na základě analýzy z roku 2015. Následně byl zahájen proces posouzení dopadu (impact assessment), jehož výsledky byly publikovány v říjnu 2019. Formulace programového prohlášení nové EK Zelená dohoda pro Evropu (New Green Deal 2020-2021 z prosince 2019) a Akčního plánu pro oběhové hospodářství (Circular Economy Action Plan 2020-2023 z března 2020) s novelizací CPR nepřímo počítají. Aktuálně probíhá diskuse se všemi zainteresovanými stranami (přímý dialog EK s členskými státy, otevřená veřejná konzultace na webu EK do 31.8.2020, online diskuse EK se zástupci výrobců). </w:t>
      </w:r>
    </w:p>
    <w:p w14:paraId="28DFB231"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Základ pro diskusi se všemi zúčastněnými stranami v r. 2020 stanoví dokument EK "Refined Indicative Options for the Review of the CPR, version 2" ze dne 8.4.2020, ve kterém EK uvádí několik možných variant přezkumu nařízení o stavebních </w:t>
      </w:r>
      <w:r w:rsidR="005F0170" w:rsidRPr="008D7F3D">
        <w:rPr>
          <w:rFonts w:ascii="Times New Roman" w:hAnsi="Times New Roman" w:cs="Times New Roman"/>
          <w:color w:val="000000" w:themeColor="text1"/>
        </w:rPr>
        <w:t>výrobcích – viz</w:t>
      </w:r>
      <w:r w:rsidRPr="008D7F3D">
        <w:rPr>
          <w:rFonts w:ascii="Times New Roman" w:hAnsi="Times New Roman" w:cs="Times New Roman"/>
          <w:color w:val="000000" w:themeColor="text1"/>
        </w:rPr>
        <w:t xml:space="preserve"> níže pro informaci. </w:t>
      </w:r>
    </w:p>
    <w:p w14:paraId="28C3B8CD"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Varianta A – základní scénář</w:t>
      </w:r>
      <w:r w:rsidRPr="008D7F3D">
        <w:rPr>
          <w:rFonts w:ascii="Times New Roman" w:hAnsi="Times New Roman" w:cs="Times New Roman"/>
          <w:color w:val="000000" w:themeColor="text1"/>
        </w:rPr>
        <w:t xml:space="preserve">: žádná legislativní změna, ale zlepšení provádění CPR prostřednictvím pokynů vydaných Evropskou komisí („soft law“). </w:t>
      </w:r>
    </w:p>
    <w:p w14:paraId="77955062"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Varianta B – oprava CPR</w:t>
      </w:r>
      <w:r w:rsidRPr="008D7F3D">
        <w:rPr>
          <w:rFonts w:ascii="Times New Roman" w:hAnsi="Times New Roman" w:cs="Times New Roman"/>
          <w:color w:val="000000" w:themeColor="text1"/>
        </w:rPr>
        <w:t xml:space="preserve">: méně aktivity na implementaci stávajícího CPR, ale oprava pomocí legislativních změn („hard law“). </w:t>
      </w:r>
    </w:p>
    <w:p w14:paraId="3639BD7B"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Varianta C – „zeštíhlení“ CPR</w:t>
      </w:r>
      <w:r w:rsidRPr="008D7F3D">
        <w:rPr>
          <w:rFonts w:ascii="Times New Roman" w:hAnsi="Times New Roman" w:cs="Times New Roman"/>
          <w:color w:val="000000" w:themeColor="text1"/>
        </w:rPr>
        <w:t xml:space="preserve">: východiskem varianta B; navíc omezení rozsahu CPR jen na harmonizaci zkušebních metod ve vybraných hlavních oblastech a dobrovolné využívání společného technického jazyka CPR (tedy nepovinné značení CE). </w:t>
      </w:r>
    </w:p>
    <w:p w14:paraId="6026F784"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Varianta D – posílení CPR</w:t>
      </w:r>
      <w:r w:rsidRPr="008D7F3D">
        <w:rPr>
          <w:rFonts w:ascii="Times New Roman" w:hAnsi="Times New Roman" w:cs="Times New Roman"/>
          <w:color w:val="000000" w:themeColor="text1"/>
        </w:rPr>
        <w:t xml:space="preserve">: postupné zavádění horizontálních požadavků na výrobky přímo do systému CPR – zejména minimálních požadavků na bezpečnost samotných výrobků, zatímco bezpečnost staveb by byla ponechána na úrovni členských států. Environmentální požadavky. </w:t>
      </w:r>
    </w:p>
    <w:p w14:paraId="51F26901"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Varianta D1 – využití New Legislative Framework</w:t>
      </w:r>
      <w:r w:rsidRPr="008D7F3D">
        <w:rPr>
          <w:rFonts w:ascii="Times New Roman" w:hAnsi="Times New Roman" w:cs="Times New Roman"/>
          <w:color w:val="000000" w:themeColor="text1"/>
        </w:rPr>
        <w:t xml:space="preserve">: shoda s harmonizovanou výrobkovou normou by znamenala naplnění předpokladu shody s CPR (tj. návrat k principu CPD a obdoba českého národního systému, kdy shoda s určenou normou znamená shodu s nařízením 163/2002 Sb.). Prohlášení o vlastnostech výrobku by bylo rozšířeno o prohlášení o shodě s harmonizovanými evropskými normami. </w:t>
      </w:r>
    </w:p>
    <w:p w14:paraId="5BB33456"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Varianta D2 – využití technických specifikací:</w:t>
      </w:r>
      <w:r w:rsidRPr="008D7F3D">
        <w:rPr>
          <w:rFonts w:ascii="Times New Roman" w:hAnsi="Times New Roman" w:cs="Times New Roman"/>
          <w:color w:val="000000" w:themeColor="text1"/>
        </w:rPr>
        <w:t xml:space="preserve"> detailní požadavky na výrobky by byly formulovány v souladu se scénářem B a byly by obsaženy v harmonizovaných technických specifikacích. Prohlášení o vlastnostech výrobku by bylo rozšířeno o prohlášení o shodě s harmonizovanými evropskými normami. </w:t>
      </w:r>
    </w:p>
    <w:p w14:paraId="04EBB371" w14:textId="77777777" w:rsidR="00F16EAA" w:rsidRPr="008D7F3D" w:rsidRDefault="00F16EAA" w:rsidP="00362008">
      <w:pPr>
        <w:pStyle w:val="Normlnweb"/>
        <w:rPr>
          <w:rFonts w:ascii="Times New Roman" w:hAnsi="Times New Roman" w:cs="Times New Roman"/>
          <w:color w:val="000000" w:themeColor="text1"/>
        </w:rPr>
      </w:pPr>
    </w:p>
    <w:p w14:paraId="614FB49D"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u w:val="single"/>
        </w:rPr>
        <w:t xml:space="preserve">Varianta E – zrušení CPR: </w:t>
      </w:r>
      <w:r w:rsidRPr="008D7F3D">
        <w:rPr>
          <w:rFonts w:ascii="Times New Roman" w:hAnsi="Times New Roman" w:cs="Times New Roman"/>
          <w:color w:val="000000" w:themeColor="text1"/>
        </w:rPr>
        <w:t xml:space="preserve">nařízení CPR by bylo zrušeno bez náhrady a návrat k málo efektivnímu principu vzájemného uznávání by rozbil evropský trh. </w:t>
      </w:r>
    </w:p>
    <w:p w14:paraId="49D0DE93" w14:textId="77777777" w:rsidR="00362008" w:rsidRPr="008D7F3D" w:rsidRDefault="00362008" w:rsidP="00362008">
      <w:pPr>
        <w:pStyle w:val="Normlnweb"/>
        <w:rPr>
          <w:rFonts w:ascii="Times New Roman" w:hAnsi="Times New Roman" w:cs="Times New Roman"/>
          <w:color w:val="000000" w:themeColor="text1"/>
        </w:rPr>
      </w:pPr>
      <w:r w:rsidRPr="008D7F3D">
        <w:rPr>
          <w:rFonts w:ascii="Times New Roman" w:hAnsi="Times New Roman" w:cs="Times New Roman"/>
          <w:color w:val="000000" w:themeColor="text1"/>
        </w:rPr>
        <w:t xml:space="preserve">Pozice ČR k výše uvedenému dokumentu nebyla dosud zpracována, je připravována ve spolupráci s příslušným odborným útvarem MPO a dalším zainteresovanými subjekty. Předpokládá se, že stanovisko ČR bude finalizováno do konce srpna 2020. </w:t>
      </w:r>
    </w:p>
    <w:p w14:paraId="6CF78AB0" w14:textId="77777777" w:rsidR="00AE29F8" w:rsidRPr="008D7F3D" w:rsidRDefault="00AE29F8" w:rsidP="00B03C45">
      <w:pPr>
        <w:jc w:val="both"/>
        <w:rPr>
          <w:rFonts w:ascii="Times New Roman" w:hAnsi="Times New Roman" w:cs="Times New Roman"/>
          <w:i/>
          <w:color w:val="000000" w:themeColor="text1"/>
        </w:rPr>
      </w:pPr>
    </w:p>
    <w:p w14:paraId="6F90613E" w14:textId="77777777" w:rsidR="001C169E" w:rsidRPr="008D7F3D" w:rsidRDefault="00345CD7" w:rsidP="00345CD7">
      <w:pPr>
        <w:pStyle w:val="Nadpis1"/>
      </w:pPr>
      <w:bookmarkStart w:id="13" w:name="_Toc49930238"/>
      <w:r>
        <w:t>Ú</w:t>
      </w:r>
      <w:r w:rsidR="001C169E" w:rsidRPr="008D7F3D">
        <w:t>řad pro ochranu hospodářské soutěže</w:t>
      </w:r>
      <w:bookmarkEnd w:id="13"/>
    </w:p>
    <w:p w14:paraId="10EF8987" w14:textId="77777777" w:rsidR="001C169E" w:rsidRPr="008D7F3D" w:rsidRDefault="001C169E" w:rsidP="00B03C45">
      <w:pPr>
        <w:jc w:val="both"/>
        <w:rPr>
          <w:rFonts w:ascii="Times New Roman" w:hAnsi="Times New Roman" w:cs="Times New Roman"/>
          <w:color w:val="000000" w:themeColor="text1"/>
        </w:rPr>
      </w:pPr>
    </w:p>
    <w:p w14:paraId="507BB936" w14:textId="77777777" w:rsidR="00AA0A50" w:rsidRPr="008D7F3D" w:rsidRDefault="00AA0A50" w:rsidP="00AA0A50">
      <w:pPr>
        <w:rPr>
          <w:rFonts w:ascii="Times New Roman" w:hAnsi="Times New Roman" w:cs="Times New Roman"/>
          <w:color w:val="000000" w:themeColor="text1"/>
        </w:rPr>
      </w:pPr>
      <w:r w:rsidRPr="008D7F3D">
        <w:rPr>
          <w:rFonts w:ascii="Times New Roman" w:hAnsi="Times New Roman" w:cs="Times New Roman"/>
          <w:color w:val="000000" w:themeColor="text1"/>
        </w:rPr>
        <w:t>Revize pravidel pro veřejnou podporu v oblasti životního prostředí – Pokynů pro státní podporu v oblasti životního prostředí a energetiky na období 2014-2020.</w:t>
      </w:r>
    </w:p>
    <w:p w14:paraId="357D3D29" w14:textId="77777777" w:rsidR="00AA0A50" w:rsidRPr="008D7F3D" w:rsidRDefault="00AA0A50" w:rsidP="00AA0A50">
      <w:pPr>
        <w:rPr>
          <w:rFonts w:ascii="Times New Roman" w:hAnsi="Times New Roman" w:cs="Times New Roman"/>
          <w:color w:val="000000" w:themeColor="text1"/>
        </w:rPr>
      </w:pPr>
      <w:r w:rsidRPr="008D7F3D">
        <w:rPr>
          <w:rFonts w:ascii="Times New Roman" w:hAnsi="Times New Roman" w:cs="Times New Roman"/>
          <w:color w:val="000000" w:themeColor="text1"/>
        </w:rPr>
        <w:t xml:space="preserve">Dle EK zveřejněného plánu revize pravidel pro veřejnou podporu by měl být návrh nových Pokynů předložen v rámci veřejné konzultace na začátku roku 2021. </w:t>
      </w:r>
    </w:p>
    <w:p w14:paraId="20A020FE" w14:textId="77777777" w:rsidR="00AA0A50" w:rsidRPr="008D7F3D" w:rsidRDefault="00AA0A50" w:rsidP="00AA0A50">
      <w:pPr>
        <w:rPr>
          <w:rFonts w:ascii="Times New Roman" w:hAnsi="Times New Roman" w:cs="Times New Roman"/>
          <w:color w:val="000000" w:themeColor="text1"/>
        </w:rPr>
      </w:pPr>
      <w:r w:rsidRPr="008D7F3D">
        <w:rPr>
          <w:rFonts w:ascii="Times New Roman" w:hAnsi="Times New Roman" w:cs="Times New Roman"/>
          <w:color w:val="000000" w:themeColor="text1"/>
        </w:rPr>
        <w:t>K žádnému dalšímu vývoji v této oblasti nedošlo.</w:t>
      </w:r>
    </w:p>
    <w:p w14:paraId="3A1E749C" w14:textId="77777777" w:rsidR="00AA0A50" w:rsidRPr="008D7F3D" w:rsidRDefault="00AA0A50" w:rsidP="00AA0A50">
      <w:pPr>
        <w:rPr>
          <w:rFonts w:ascii="Times New Roman" w:hAnsi="Times New Roman" w:cs="Times New Roman"/>
          <w:color w:val="000000" w:themeColor="text1"/>
        </w:rPr>
      </w:pPr>
      <w:r w:rsidRPr="008D7F3D">
        <w:rPr>
          <w:rFonts w:ascii="Times New Roman" w:hAnsi="Times New Roman" w:cs="Times New Roman"/>
          <w:color w:val="000000" w:themeColor="text1"/>
        </w:rPr>
        <w:t>S ohledem na uvedené jsme v Rámcové pozici doplnili na str. 42 větu s informací o časovém plánu zahájení konzultace k revizi uvedených Pokynů.</w:t>
      </w:r>
    </w:p>
    <w:p w14:paraId="3D6C5153" w14:textId="77777777" w:rsidR="00AA0A50" w:rsidRPr="008D7F3D" w:rsidRDefault="00AA0A50" w:rsidP="00B03C45">
      <w:pPr>
        <w:jc w:val="both"/>
        <w:rPr>
          <w:rFonts w:ascii="Times New Roman" w:hAnsi="Times New Roman" w:cs="Times New Roman"/>
          <w:color w:val="000000" w:themeColor="text1"/>
        </w:rPr>
      </w:pPr>
    </w:p>
    <w:p w14:paraId="7F78B005" w14:textId="77777777" w:rsidR="001C169E" w:rsidRPr="008D7F3D" w:rsidRDefault="001C169E" w:rsidP="00B03C45">
      <w:pPr>
        <w:jc w:val="both"/>
        <w:rPr>
          <w:rFonts w:ascii="Times New Roman" w:hAnsi="Times New Roman" w:cs="Times New Roman"/>
          <w:i/>
          <w:color w:val="000000" w:themeColor="text1"/>
        </w:rPr>
      </w:pPr>
    </w:p>
    <w:p w14:paraId="5405ABF9" w14:textId="77777777" w:rsidR="001C169E" w:rsidRPr="008D7F3D" w:rsidRDefault="001C169E" w:rsidP="00B03C45">
      <w:pPr>
        <w:jc w:val="both"/>
        <w:rPr>
          <w:rFonts w:ascii="Times New Roman" w:hAnsi="Times New Roman" w:cs="Times New Roman"/>
          <w:i/>
          <w:color w:val="000000" w:themeColor="text1"/>
        </w:rPr>
      </w:pPr>
    </w:p>
    <w:p w14:paraId="78A3488B" w14:textId="77777777" w:rsidR="001C169E" w:rsidRPr="008D7F3D" w:rsidRDefault="001C169E" w:rsidP="00B03C45">
      <w:pPr>
        <w:jc w:val="both"/>
        <w:rPr>
          <w:rFonts w:ascii="Times New Roman" w:hAnsi="Times New Roman" w:cs="Times New Roman"/>
          <w:i/>
          <w:color w:val="000000" w:themeColor="text1"/>
        </w:rPr>
      </w:pPr>
    </w:p>
    <w:p w14:paraId="2B22FB93" w14:textId="77777777" w:rsidR="001C169E" w:rsidRPr="008D7F3D" w:rsidRDefault="001C169E" w:rsidP="00B03C45">
      <w:pPr>
        <w:jc w:val="both"/>
        <w:rPr>
          <w:rFonts w:ascii="Times New Roman" w:hAnsi="Times New Roman" w:cs="Times New Roman"/>
          <w:i/>
          <w:color w:val="000000" w:themeColor="text1"/>
        </w:rPr>
      </w:pPr>
    </w:p>
    <w:p w14:paraId="781A12A3" w14:textId="77777777" w:rsidR="001C169E" w:rsidRPr="008D7F3D" w:rsidRDefault="001C169E" w:rsidP="00B03C45">
      <w:pPr>
        <w:jc w:val="both"/>
        <w:rPr>
          <w:rFonts w:ascii="Times New Roman" w:hAnsi="Times New Roman" w:cs="Times New Roman"/>
          <w:i/>
          <w:color w:val="000000" w:themeColor="text1"/>
        </w:rPr>
      </w:pPr>
    </w:p>
    <w:p w14:paraId="1B49E80F" w14:textId="77777777" w:rsidR="001C169E" w:rsidRPr="008D7F3D" w:rsidRDefault="001C169E" w:rsidP="00B03C45">
      <w:pPr>
        <w:jc w:val="both"/>
        <w:rPr>
          <w:rFonts w:ascii="Times New Roman" w:hAnsi="Times New Roman" w:cs="Times New Roman"/>
          <w:i/>
          <w:color w:val="000000" w:themeColor="text1"/>
        </w:rPr>
      </w:pPr>
    </w:p>
    <w:p w14:paraId="7D585034" w14:textId="77777777" w:rsidR="001C169E" w:rsidRPr="008D7F3D" w:rsidRDefault="001C169E" w:rsidP="00B03C45">
      <w:pPr>
        <w:jc w:val="both"/>
        <w:rPr>
          <w:rFonts w:ascii="Times New Roman" w:hAnsi="Times New Roman" w:cs="Times New Roman"/>
          <w:i/>
          <w:color w:val="000000" w:themeColor="text1"/>
        </w:rPr>
      </w:pPr>
    </w:p>
    <w:p w14:paraId="4009C30B" w14:textId="77777777" w:rsidR="00676472" w:rsidRPr="008D7F3D" w:rsidRDefault="00676472" w:rsidP="00B03C45">
      <w:pPr>
        <w:jc w:val="both"/>
        <w:rPr>
          <w:rFonts w:ascii="Times New Roman" w:hAnsi="Times New Roman" w:cs="Times New Roman"/>
          <w:i/>
          <w:color w:val="000000" w:themeColor="text1"/>
        </w:rPr>
      </w:pPr>
    </w:p>
    <w:p w14:paraId="518C430E" w14:textId="77777777" w:rsidR="00676472" w:rsidRPr="008D7F3D" w:rsidRDefault="00676472" w:rsidP="00B03C45">
      <w:pPr>
        <w:jc w:val="both"/>
        <w:rPr>
          <w:rFonts w:ascii="Times New Roman" w:hAnsi="Times New Roman" w:cs="Times New Roman"/>
          <w:i/>
          <w:color w:val="000000" w:themeColor="text1"/>
        </w:rPr>
      </w:pPr>
    </w:p>
    <w:p w14:paraId="0CF5438F" w14:textId="77777777" w:rsidR="00676472" w:rsidRPr="008D7F3D" w:rsidRDefault="00676472" w:rsidP="00B03C45">
      <w:pPr>
        <w:jc w:val="both"/>
        <w:rPr>
          <w:rFonts w:ascii="Times New Roman" w:hAnsi="Times New Roman" w:cs="Times New Roman"/>
          <w:i/>
          <w:color w:val="000000" w:themeColor="text1"/>
        </w:rPr>
      </w:pPr>
    </w:p>
    <w:p w14:paraId="382D85C3" w14:textId="77777777" w:rsidR="00676472" w:rsidRPr="008D7F3D" w:rsidRDefault="00676472" w:rsidP="00B03C45">
      <w:pPr>
        <w:jc w:val="both"/>
        <w:rPr>
          <w:rFonts w:ascii="Times New Roman" w:hAnsi="Times New Roman" w:cs="Times New Roman"/>
          <w:i/>
          <w:color w:val="000000" w:themeColor="text1"/>
        </w:rPr>
      </w:pPr>
    </w:p>
    <w:p w14:paraId="45716840" w14:textId="77777777" w:rsidR="00676472" w:rsidRPr="008D7F3D" w:rsidRDefault="00676472" w:rsidP="00B03C45">
      <w:pPr>
        <w:jc w:val="both"/>
        <w:rPr>
          <w:rFonts w:ascii="Times New Roman" w:hAnsi="Times New Roman" w:cs="Times New Roman"/>
          <w:i/>
          <w:color w:val="000000" w:themeColor="text1"/>
        </w:rPr>
      </w:pPr>
    </w:p>
    <w:p w14:paraId="2AB933FF" w14:textId="77777777" w:rsidR="00676472" w:rsidRPr="008D7F3D" w:rsidRDefault="00676472" w:rsidP="00B03C45">
      <w:pPr>
        <w:jc w:val="both"/>
        <w:rPr>
          <w:rFonts w:ascii="Times New Roman" w:hAnsi="Times New Roman" w:cs="Times New Roman"/>
          <w:i/>
          <w:color w:val="000000" w:themeColor="text1"/>
        </w:rPr>
      </w:pPr>
    </w:p>
    <w:p w14:paraId="1E0C81D3" w14:textId="77777777" w:rsidR="00676472" w:rsidRPr="008D7F3D" w:rsidRDefault="00676472" w:rsidP="00B03C45">
      <w:pPr>
        <w:jc w:val="both"/>
        <w:rPr>
          <w:rFonts w:ascii="Times New Roman" w:hAnsi="Times New Roman" w:cs="Times New Roman"/>
          <w:i/>
          <w:color w:val="000000" w:themeColor="text1"/>
        </w:rPr>
      </w:pPr>
    </w:p>
    <w:p w14:paraId="60DD3A5E" w14:textId="77777777" w:rsidR="00676472" w:rsidRPr="008D7F3D" w:rsidRDefault="00676472" w:rsidP="00B03C45">
      <w:pPr>
        <w:jc w:val="both"/>
        <w:rPr>
          <w:rFonts w:ascii="Times New Roman" w:hAnsi="Times New Roman" w:cs="Times New Roman"/>
          <w:i/>
          <w:color w:val="000000" w:themeColor="text1"/>
        </w:rPr>
      </w:pPr>
    </w:p>
    <w:p w14:paraId="22150343" w14:textId="77777777" w:rsidR="001C169E" w:rsidRPr="008D7F3D" w:rsidRDefault="001C169E" w:rsidP="00B03C45">
      <w:pPr>
        <w:jc w:val="both"/>
        <w:rPr>
          <w:rFonts w:ascii="Times New Roman" w:hAnsi="Times New Roman" w:cs="Times New Roman"/>
          <w:i/>
          <w:color w:val="000000" w:themeColor="text1"/>
        </w:rPr>
      </w:pPr>
    </w:p>
    <w:p w14:paraId="1B2AF663" w14:textId="77777777" w:rsidR="001C169E" w:rsidRPr="008D7F3D" w:rsidRDefault="001C169E" w:rsidP="00B03C45">
      <w:pPr>
        <w:jc w:val="both"/>
        <w:rPr>
          <w:rFonts w:ascii="Times New Roman" w:hAnsi="Times New Roman" w:cs="Times New Roman"/>
          <w:i/>
          <w:color w:val="000000" w:themeColor="text1"/>
        </w:rPr>
      </w:pPr>
    </w:p>
    <w:p w14:paraId="5A3AEDA9" w14:textId="77777777" w:rsidR="001C169E" w:rsidRPr="008D7F3D" w:rsidRDefault="001C169E" w:rsidP="00B03C45">
      <w:pPr>
        <w:jc w:val="both"/>
        <w:rPr>
          <w:rFonts w:ascii="Times New Roman" w:hAnsi="Times New Roman" w:cs="Times New Roman"/>
          <w:i/>
          <w:color w:val="000000" w:themeColor="text1"/>
        </w:rPr>
      </w:pPr>
    </w:p>
    <w:p w14:paraId="21BC40FE" w14:textId="77777777" w:rsidR="00676472" w:rsidRPr="008D7F3D" w:rsidRDefault="00676472" w:rsidP="00B03C45">
      <w:pPr>
        <w:jc w:val="both"/>
        <w:rPr>
          <w:rFonts w:ascii="Times New Roman" w:hAnsi="Times New Roman" w:cs="Times New Roman"/>
          <w:i/>
          <w:color w:val="000000" w:themeColor="text1"/>
        </w:rPr>
      </w:pPr>
    </w:p>
    <w:p w14:paraId="4E160685" w14:textId="77777777" w:rsidR="00676472" w:rsidRPr="008D7F3D" w:rsidRDefault="00676472" w:rsidP="00B03C45">
      <w:pPr>
        <w:jc w:val="both"/>
        <w:rPr>
          <w:rFonts w:ascii="Times New Roman" w:hAnsi="Times New Roman" w:cs="Times New Roman"/>
          <w:i/>
          <w:color w:val="000000" w:themeColor="text1"/>
        </w:rPr>
      </w:pPr>
    </w:p>
    <w:p w14:paraId="3E0509A3" w14:textId="77777777" w:rsidR="001C169E" w:rsidRPr="008D7F3D" w:rsidRDefault="001C169E" w:rsidP="00B03C45">
      <w:pPr>
        <w:jc w:val="both"/>
        <w:rPr>
          <w:rFonts w:ascii="Times New Roman" w:hAnsi="Times New Roman" w:cs="Times New Roman"/>
          <w:i/>
          <w:color w:val="000000" w:themeColor="text1"/>
        </w:rPr>
      </w:pPr>
    </w:p>
    <w:p w14:paraId="624F8C94" w14:textId="77777777" w:rsidR="001C169E" w:rsidRPr="008D7F3D" w:rsidRDefault="00FC0856" w:rsidP="00345CD7">
      <w:pPr>
        <w:pStyle w:val="Nadpis1"/>
      </w:pPr>
      <w:bookmarkStart w:id="14" w:name="_Toc49930239"/>
      <w:r w:rsidRPr="008D7F3D">
        <w:t>Úřad vlády České republiky</w:t>
      </w:r>
      <w:bookmarkEnd w:id="14"/>
    </w:p>
    <w:p w14:paraId="20D0E5DB" w14:textId="77777777" w:rsidR="00FC0856" w:rsidRPr="008D7F3D" w:rsidRDefault="00FC0856" w:rsidP="00FC0856">
      <w:pPr>
        <w:spacing w:before="80" w:after="120"/>
        <w:rPr>
          <w:rFonts w:ascii="Times New Roman" w:hAnsi="Times New Roman" w:cs="Times New Roman"/>
          <w:b/>
          <w:noProof/>
          <w:color w:val="000000" w:themeColor="text1"/>
        </w:rPr>
      </w:pPr>
      <w:r w:rsidRPr="008D7F3D">
        <w:rPr>
          <w:rFonts w:ascii="Times New Roman" w:hAnsi="Times New Roman" w:cs="Times New Roman"/>
          <w:b/>
          <w:noProof/>
          <w:color w:val="000000" w:themeColor="text1"/>
        </w:rPr>
        <w:t>Vstup ÚV-SEZ-OVP do úvodní části analýzy dopadů EGD:</w:t>
      </w:r>
    </w:p>
    <w:p w14:paraId="090EBF1B" w14:textId="77777777" w:rsidR="00FC0856" w:rsidRPr="008D7F3D" w:rsidRDefault="00FC0856" w:rsidP="005D5FF0">
      <w:pPr>
        <w:spacing w:before="80" w:after="120"/>
        <w:jc w:val="both"/>
        <w:rPr>
          <w:rFonts w:ascii="Times New Roman" w:hAnsi="Times New Roman" w:cs="Times New Roman"/>
          <w:noProof/>
          <w:color w:val="000000" w:themeColor="text1"/>
        </w:rPr>
      </w:pPr>
      <w:r w:rsidRPr="008D7F3D">
        <w:rPr>
          <w:rFonts w:ascii="Times New Roman" w:hAnsi="Times New Roman" w:cs="Times New Roman"/>
          <w:noProof/>
          <w:color w:val="000000" w:themeColor="text1"/>
        </w:rPr>
        <w:t>V reakci na hospodářské dopady pandemie COVID-19 Komise dne 27. května 2020 představila balíček obsahující upravený návrh víceletého finančního rámce 2021 - 2027 (VFR) a nově také evropský nástroj na podporu oživení (Next Generation EU</w:t>
      </w:r>
      <w:r w:rsidRPr="008D7F3D">
        <w:rPr>
          <w:rFonts w:ascii="Times New Roman" w:hAnsi="Times New Roman" w:cs="Times New Roman"/>
          <w:i/>
          <w:noProof/>
          <w:color w:val="000000" w:themeColor="text1"/>
        </w:rPr>
        <w:t>,</w:t>
      </w:r>
      <w:r w:rsidRPr="008D7F3D">
        <w:rPr>
          <w:rFonts w:ascii="Times New Roman" w:hAnsi="Times New Roman" w:cs="Times New Roman"/>
          <w:noProof/>
          <w:color w:val="000000" w:themeColor="text1"/>
        </w:rPr>
        <w:t xml:space="preserve"> NGEU) na pomoc evropskému hospodářství. Z hlediska velikosti navržené alokace je nejvýznamnější složkou NGEU facilita na podporu oživení a odolnosti (Recovery and Resilience Facility, RRF) v podobě přímo řízeného unijního programu za účelem podpory strukturálních reforem a veřejných investic jakožto pilířů hospodářské obnovy.</w:t>
      </w:r>
      <w:r w:rsidRPr="008D7F3D">
        <w:rPr>
          <w:rStyle w:val="Znakapoznpodarou"/>
          <w:rFonts w:ascii="Times New Roman" w:hAnsi="Times New Roman" w:cs="Times New Roman"/>
          <w:noProof/>
          <w:color w:val="000000" w:themeColor="text1"/>
        </w:rPr>
        <w:footnoteReference w:id="3"/>
      </w:r>
    </w:p>
    <w:p w14:paraId="15C6194C" w14:textId="77777777" w:rsidR="00FC0856" w:rsidRPr="008D7F3D" w:rsidRDefault="00FC0856" w:rsidP="005D5FF0">
      <w:pPr>
        <w:jc w:val="both"/>
        <w:rPr>
          <w:rFonts w:ascii="Times New Roman" w:hAnsi="Times New Roman" w:cs="Times New Roman"/>
          <w:color w:val="000000" w:themeColor="text1"/>
        </w:rPr>
      </w:pPr>
      <w:r w:rsidRPr="008D7F3D">
        <w:rPr>
          <w:rFonts w:ascii="Times New Roman" w:hAnsi="Times New Roman" w:cs="Times New Roman"/>
          <w:color w:val="000000" w:themeColor="text1"/>
        </w:rPr>
        <w:t>S odvoláním na Pařížskou dohodu, cíle udržitelného rozvoje OSN a Zelenou dohodu pro Evropu byl v závěrech zasedání Evropské rady ve dnech 17.- 21. července 2020 potvrzen cíl vynaložit alespoň 30 % výdajů hrazených z VFR a NGEU v souvislosti s klimatickou politikou. V kontextu rozdělení výdajů na klimatickou politiku mezi jednotlivé nástroje VFR a NGEU Komise prosazuje, aby z výdajů hrazených z RRF bylo na klimatickou politiku směřováno vice než 30 % - např. 38 %.</w:t>
      </w:r>
      <w:r w:rsidRPr="008D7F3D">
        <w:rPr>
          <w:rStyle w:val="Znakapoznpodarou"/>
          <w:rFonts w:ascii="Times New Roman" w:hAnsi="Times New Roman" w:cs="Times New Roman"/>
          <w:color w:val="000000" w:themeColor="text1"/>
        </w:rPr>
        <w:footnoteReference w:id="4"/>
      </w:r>
      <w:r w:rsidRPr="008D7F3D">
        <w:rPr>
          <w:rFonts w:ascii="Times New Roman" w:hAnsi="Times New Roman" w:cs="Times New Roman"/>
          <w:color w:val="000000" w:themeColor="text1"/>
        </w:rPr>
        <w:t xml:space="preserve"> Budou tak nastaveny mantinely členským státům v parametrech veřejných investic podporovaných z RRF. Na druhou stranu, vysoká alokace RRF představuje disponibilní prostředky, které mohou zásadním způsobem členským státům napomoci v plnění </w:t>
      </w:r>
      <w:r w:rsidR="005F0170" w:rsidRPr="008D7F3D">
        <w:rPr>
          <w:rFonts w:ascii="Times New Roman" w:hAnsi="Times New Roman" w:cs="Times New Roman"/>
          <w:color w:val="000000" w:themeColor="text1"/>
        </w:rPr>
        <w:t>cílů Zelené</w:t>
      </w:r>
      <w:r w:rsidRPr="008D7F3D">
        <w:rPr>
          <w:rFonts w:ascii="Times New Roman" w:hAnsi="Times New Roman" w:cs="Times New Roman"/>
          <w:color w:val="000000" w:themeColor="text1"/>
        </w:rPr>
        <w:t xml:space="preserve"> dohody pro Evropu.</w:t>
      </w:r>
    </w:p>
    <w:p w14:paraId="6BC52BB5" w14:textId="77777777" w:rsidR="00FC0856" w:rsidRPr="008D7F3D" w:rsidRDefault="00FC0856" w:rsidP="005D5FF0">
      <w:pPr>
        <w:jc w:val="both"/>
        <w:rPr>
          <w:rFonts w:ascii="Times New Roman" w:hAnsi="Times New Roman" w:cs="Times New Roman"/>
          <w:noProof/>
          <w:color w:val="000000" w:themeColor="text1"/>
        </w:rPr>
      </w:pPr>
      <w:r w:rsidRPr="008D7F3D">
        <w:rPr>
          <w:rFonts w:ascii="Times New Roman" w:hAnsi="Times New Roman" w:cs="Times New Roman"/>
          <w:noProof/>
          <w:color w:val="000000" w:themeColor="text1"/>
        </w:rPr>
        <w:t>V souvislosti se Zelenou dohodou pro Evropu se také vyvíjí mechanismus koordinace hospodářských a sociálních politik EU, tzv. evropský semestr. Do cyklu evropského semestru roku 2020 byly nově začleněny cíle udržitelného rozvoje OSN. Evropský semestr má rovněž sloužit jako základní rámec pro správu RRF.</w:t>
      </w:r>
    </w:p>
    <w:p w14:paraId="062ABA51" w14:textId="77777777" w:rsidR="00345CD7" w:rsidRDefault="005F0170" w:rsidP="005D5FF0">
      <w:pPr>
        <w:jc w:val="both"/>
        <w:rPr>
          <w:rFonts w:ascii="Times New Roman" w:hAnsi="Times New Roman" w:cs="Times New Roman"/>
          <w:color w:val="000000" w:themeColor="text1"/>
        </w:rPr>
      </w:pPr>
      <w:r w:rsidRPr="008D7F3D">
        <w:rPr>
          <w:rFonts w:ascii="Times New Roman" w:hAnsi="Times New Roman" w:cs="Times New Roman"/>
          <w:color w:val="000000" w:themeColor="text1"/>
        </w:rPr>
        <w:t>ÚV – bod</w:t>
      </w:r>
      <w:r w:rsidR="00D23AB4" w:rsidRPr="008D7F3D">
        <w:rPr>
          <w:rFonts w:ascii="Times New Roman" w:hAnsi="Times New Roman" w:cs="Times New Roman"/>
          <w:color w:val="000000" w:themeColor="text1"/>
        </w:rPr>
        <w:t xml:space="preserve"> </w:t>
      </w:r>
      <w:r w:rsidRPr="008D7F3D">
        <w:rPr>
          <w:rFonts w:ascii="Times New Roman" w:hAnsi="Times New Roman" w:cs="Times New Roman"/>
          <w:color w:val="000000" w:themeColor="text1"/>
        </w:rPr>
        <w:t>2.2.5 si</w:t>
      </w:r>
      <w:r w:rsidR="00D23AB4" w:rsidRPr="008D7F3D">
        <w:rPr>
          <w:rFonts w:ascii="Times New Roman" w:hAnsi="Times New Roman" w:cs="Times New Roman"/>
          <w:color w:val="000000" w:themeColor="text1"/>
        </w:rPr>
        <w:t xml:space="preserve"> dovolujeme jen stručně uvést, že již dnes jsou dle Better regulation guidelines a Better regulation toolbox k legislativním i nelegislativním iniciativám EK, u nichž se předpokládají významné dopady, zpracovávána posouzení dopadů. U hospodářských, sociálních a environmentálních dopadů by mělo být explicitně </w:t>
      </w:r>
      <w:r w:rsidRPr="008D7F3D">
        <w:rPr>
          <w:rFonts w:ascii="Times New Roman" w:hAnsi="Times New Roman" w:cs="Times New Roman"/>
          <w:color w:val="000000" w:themeColor="text1"/>
        </w:rPr>
        <w:t>uvedeno,</w:t>
      </w:r>
      <w:r w:rsidR="00D23AB4" w:rsidRPr="008D7F3D">
        <w:rPr>
          <w:rFonts w:ascii="Times New Roman" w:hAnsi="Times New Roman" w:cs="Times New Roman"/>
          <w:color w:val="000000" w:themeColor="text1"/>
        </w:rPr>
        <w:t xml:space="preserve"> zdali jsou považovány za významné, kdo jimi a jak bude případně dotčen. Obdobně jsou již dnes dopady na životní prostředí vyhodnocovány i v rámci procesu RIA v ČR. </w:t>
      </w:r>
      <w:r w:rsidR="00D23AB4" w:rsidRPr="008D7F3D">
        <w:rPr>
          <w:rFonts w:ascii="Times New Roman" w:hAnsi="Times New Roman" w:cs="Times New Roman"/>
          <w:color w:val="000000" w:themeColor="text1"/>
        </w:rPr>
        <w:br/>
      </w:r>
      <w:r w:rsidR="00D23AB4" w:rsidRPr="008D7F3D">
        <w:rPr>
          <w:rFonts w:ascii="Times New Roman" w:hAnsi="Times New Roman" w:cs="Times New Roman"/>
          <w:color w:val="000000" w:themeColor="text1"/>
        </w:rPr>
        <w:br/>
        <w:t>EK ve Sdělení dále vyzývá zúčastněné strany, aby v zájmu zjednodušení právních předpisů a identifikace problematických případů využily stávající platformy, zejména internetovou stránku "</w:t>
      </w:r>
      <w:hyperlink r:id="rId8" w:history="1">
        <w:r w:rsidR="00D23AB4" w:rsidRPr="008D7F3D">
          <w:rPr>
            <w:rStyle w:val="Hypertextovodkaz"/>
            <w:rFonts w:ascii="Times New Roman" w:hAnsi="Times New Roman" w:cs="Times New Roman"/>
            <w:color w:val="000000" w:themeColor="text1"/>
          </w:rPr>
          <w:t>Podělte se o svůj názor: Navrhněte zjednodušení!</w:t>
        </w:r>
      </w:hyperlink>
      <w:r w:rsidR="00D23AB4" w:rsidRPr="008D7F3D">
        <w:rPr>
          <w:rFonts w:ascii="Times New Roman" w:hAnsi="Times New Roman" w:cs="Times New Roman"/>
          <w:color w:val="000000" w:themeColor="text1"/>
        </w:rPr>
        <w:t xml:space="preserve">". Zaslané návrhy bude následně posuzovat nově ustanovená platforma Fit for Future (rozhodnutí o jejím zřízení publikovala EK v květnu 2020, nyní se finalizuje výběr členů), která nahradila platformu REFIT. Platforma se bude skládat ze dvou </w:t>
      </w:r>
      <w:r w:rsidRPr="008D7F3D">
        <w:rPr>
          <w:rFonts w:ascii="Times New Roman" w:hAnsi="Times New Roman" w:cs="Times New Roman"/>
          <w:color w:val="000000" w:themeColor="text1"/>
        </w:rPr>
        <w:t>skupin – vládní</w:t>
      </w:r>
      <w:r w:rsidR="00D23AB4" w:rsidRPr="008D7F3D">
        <w:rPr>
          <w:rFonts w:ascii="Times New Roman" w:hAnsi="Times New Roman" w:cs="Times New Roman"/>
          <w:color w:val="000000" w:themeColor="text1"/>
        </w:rPr>
        <w:t xml:space="preserve"> skupiny (1 zástupce za každý stát) a skupiny zúčastněných stran. Bližší informace na </w:t>
      </w:r>
      <w:hyperlink r:id="rId9" w:history="1">
        <w:r w:rsidR="00D23AB4" w:rsidRPr="008D7F3D">
          <w:rPr>
            <w:rStyle w:val="Hypertextovodkaz"/>
            <w:rFonts w:ascii="Times New Roman" w:hAnsi="Times New Roman" w:cs="Times New Roman"/>
            <w:color w:val="000000" w:themeColor="text1"/>
          </w:rPr>
          <w:t>webu RIA</w:t>
        </w:r>
      </w:hyperlink>
      <w:r w:rsidR="00D23AB4" w:rsidRPr="008D7F3D">
        <w:rPr>
          <w:rFonts w:ascii="Times New Roman" w:hAnsi="Times New Roman" w:cs="Times New Roman"/>
          <w:color w:val="000000" w:themeColor="text1"/>
        </w:rPr>
        <w:t xml:space="preserve"> nebo na stránkách samotné </w:t>
      </w:r>
      <w:hyperlink r:id="rId10" w:history="1">
        <w:r w:rsidR="00D23AB4" w:rsidRPr="008D7F3D">
          <w:rPr>
            <w:rStyle w:val="Hypertextovodkaz"/>
            <w:rFonts w:ascii="Times New Roman" w:hAnsi="Times New Roman" w:cs="Times New Roman"/>
            <w:color w:val="000000" w:themeColor="text1"/>
          </w:rPr>
          <w:t>platformy</w:t>
        </w:r>
      </w:hyperlink>
      <w:r w:rsidR="00D23AB4" w:rsidRPr="008D7F3D">
        <w:rPr>
          <w:rFonts w:ascii="Times New Roman" w:hAnsi="Times New Roman" w:cs="Times New Roman"/>
          <w:color w:val="000000" w:themeColor="text1"/>
        </w:rPr>
        <w:t xml:space="preserve">. </w:t>
      </w:r>
      <w:r w:rsidR="00D23AB4" w:rsidRPr="008D7F3D">
        <w:rPr>
          <w:rFonts w:ascii="Times New Roman" w:hAnsi="Times New Roman" w:cs="Times New Roman"/>
          <w:color w:val="000000" w:themeColor="text1"/>
        </w:rPr>
        <w:br/>
      </w:r>
    </w:p>
    <w:p w14:paraId="303A56C5" w14:textId="77777777" w:rsidR="00345CD7" w:rsidRDefault="00345CD7">
      <w:pPr>
        <w:rPr>
          <w:rFonts w:ascii="Times New Roman" w:hAnsi="Times New Roman" w:cs="Times New Roman"/>
          <w:color w:val="000000" w:themeColor="text1"/>
        </w:rPr>
      </w:pPr>
      <w:r>
        <w:rPr>
          <w:rFonts w:ascii="Times New Roman" w:hAnsi="Times New Roman" w:cs="Times New Roman"/>
          <w:color w:val="000000" w:themeColor="text1"/>
        </w:rPr>
        <w:br w:type="page"/>
      </w:r>
    </w:p>
    <w:p w14:paraId="491F96E3" w14:textId="77777777" w:rsidR="00345CD7" w:rsidRDefault="00345CD7" w:rsidP="00345CD7">
      <w:pPr>
        <w:pStyle w:val="Nadpis1"/>
      </w:pPr>
      <w:bookmarkStart w:id="15" w:name="_Toc49930240"/>
      <w:r>
        <w:t>Ministerstvo průmyslu a obchodu</w:t>
      </w:r>
      <w:bookmarkEnd w:id="15"/>
    </w:p>
    <w:p w14:paraId="5BEC5BB4" w14:textId="77777777" w:rsidR="00FC0856" w:rsidRPr="008D7F3D" w:rsidRDefault="00D23AB4" w:rsidP="005D5FF0">
      <w:pPr>
        <w:jc w:val="both"/>
        <w:rPr>
          <w:rFonts w:ascii="Times New Roman" w:hAnsi="Times New Roman" w:cs="Times New Roman"/>
          <w:noProof/>
          <w:color w:val="000000" w:themeColor="text1"/>
        </w:rPr>
      </w:pPr>
      <w:r w:rsidRPr="008D7F3D">
        <w:rPr>
          <w:rFonts w:ascii="Times New Roman" w:hAnsi="Times New Roman" w:cs="Times New Roman"/>
          <w:color w:val="000000" w:themeColor="text1"/>
        </w:rPr>
        <w:br/>
      </w:r>
    </w:p>
    <w:p w14:paraId="1586EF0C" w14:textId="77777777" w:rsidR="00FC0856" w:rsidRPr="008D7F3D" w:rsidRDefault="00345CD7" w:rsidP="00FC0856">
      <w:pPr>
        <w:spacing w:after="60" w:line="240" w:lineRule="auto"/>
        <w:jc w:val="both"/>
        <w:rPr>
          <w:rFonts w:ascii="Times New Roman" w:hAnsi="Times New Roman" w:cs="Times New Roman"/>
          <w:b/>
          <w:color w:val="000000" w:themeColor="text1"/>
          <w:sz w:val="28"/>
          <w:szCs w:val="28"/>
          <w:u w:val="single"/>
          <w:lang w:eastAsia="en-GB"/>
        </w:rPr>
      </w:pPr>
      <w:r>
        <w:rPr>
          <w:rFonts w:ascii="Times New Roman" w:hAnsi="Times New Roman" w:cs="Times New Roman"/>
          <w:b/>
          <w:color w:val="000000" w:themeColor="text1"/>
          <w:u w:val="single"/>
          <w:lang w:eastAsia="en-GB"/>
        </w:rPr>
        <w:t>V</w:t>
      </w:r>
      <w:r w:rsidR="00FC0856" w:rsidRPr="008D7F3D">
        <w:rPr>
          <w:rFonts w:ascii="Times New Roman" w:hAnsi="Times New Roman" w:cs="Times New Roman"/>
          <w:b/>
          <w:color w:val="000000" w:themeColor="text1"/>
          <w:u w:val="single"/>
          <w:lang w:eastAsia="en-GB"/>
        </w:rPr>
        <w:t>ýzkum, vývoj a inovac</w:t>
      </w:r>
      <w:r w:rsidR="00433209" w:rsidRPr="008D7F3D">
        <w:rPr>
          <w:rFonts w:ascii="Times New Roman" w:hAnsi="Times New Roman" w:cs="Times New Roman"/>
          <w:b/>
          <w:color w:val="000000" w:themeColor="text1"/>
          <w:u w:val="single"/>
          <w:lang w:eastAsia="en-GB"/>
        </w:rPr>
        <w:t>e</w:t>
      </w:r>
    </w:p>
    <w:p w14:paraId="748D4CFD" w14:textId="77777777" w:rsidR="00FC0856" w:rsidRPr="008D7F3D" w:rsidRDefault="00FC0856" w:rsidP="00FC0856">
      <w:pPr>
        <w:spacing w:after="60" w:line="240" w:lineRule="auto"/>
        <w:jc w:val="both"/>
        <w:rPr>
          <w:rFonts w:ascii="Times New Roman" w:hAnsi="Times New Roman" w:cs="Times New Roman"/>
          <w:color w:val="000000" w:themeColor="text1"/>
          <w:lang w:eastAsia="en-GB"/>
        </w:rPr>
      </w:pPr>
    </w:p>
    <w:p w14:paraId="6BCF7780" w14:textId="77777777" w:rsidR="00FC0856" w:rsidRPr="008D7F3D" w:rsidRDefault="00FC0856" w:rsidP="00FC0856">
      <w:pPr>
        <w:spacing w:after="60" w:line="240" w:lineRule="auto"/>
        <w:jc w:val="both"/>
        <w:rPr>
          <w:rFonts w:ascii="Times New Roman" w:hAnsi="Times New Roman" w:cs="Times New Roman"/>
          <w:color w:val="000000" w:themeColor="text1"/>
          <w:lang w:eastAsia="en-GB"/>
        </w:rPr>
      </w:pPr>
    </w:p>
    <w:p w14:paraId="1128516E" w14:textId="77777777" w:rsidR="00FC0856" w:rsidRPr="008D7F3D" w:rsidRDefault="00FC0856" w:rsidP="00345CD7">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Mnoho cílů Zelené dohody pro Evropu (EDG) je dosažitelných skrze aktivity výzkumu a inovací. Modely fungování mnoha stávajících sektorů budou procházet změnami, vzniknou nové hodnotové řetězce (např. pro oblast čistých technologií), nové segmenty budou impulsem pro start-upy. Právě Národní výzkumná a inovační strategie pro inteligentní specializaci („NRIS3“) je nástrojem výzkumné a inovační politiky, která svými procesy umožňuje identifikovat progresivní témata výzkumu/inovací a hledat řešení pro relevantní společenské výzvy, a tím může přispět k implementaci EDG. Hlavní NRIS3 iniciativy podpory výzkumu, vývoje a inovací (VaVaI) jsou namířeny průřezově přes celou tuzemskou ekonomiku. Ve vertikálních prioritách podpory VaVaI a navazujících doménách specializace je obsažena řada oblastí domácí ekonomiky, ve kterých by primárně mělo dojít k požadované změně s cílem dosažení uhlíkové neutrality a dlouhodobé udržitelnosti. Např. snížení emisí v dopravě či výroba a zavádění udržitelných alternativních paliv používaných v odvětví dopravy je definováno v doméně specializace věnující se Ekologické dopravě, zvýšení biodiverzity či ekologického zemědělství je obsaženo v doméně Moderní technologie v zemědělství a dekarbonizace a modernizace ocelářství a výroba chemických produktů je obsažena v doméně Pokročilé materiály, technologie a systémy.</w:t>
      </w:r>
    </w:p>
    <w:p w14:paraId="52C89A0A" w14:textId="77777777" w:rsidR="00FC0856" w:rsidRPr="008D7F3D" w:rsidRDefault="00FC0856" w:rsidP="00345CD7">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K průniku mezi NRIS3 a EGD dochází i v oblasti megatrendů, ať již v technologické oblasti (digitalizace ekonomiky), tak i mimo ni (pak hovoříme o společenských výzvách). Implementace prvků umělé inteligence, digitální infrastruktury (5G, cloud computing), ale i využití pokročilých materiálů a výrobních technologií, spolu s řešením společenských výzev (sucho, stárnutí populace) budou sloužit k digitální i ekologické transformaci tuzemského průmyslu, energetiky, jakožto i celé ekonomiky. Obě strategie tak spoléhají na nové technologie, udržitelná řešení a průlomové inovace.</w:t>
      </w:r>
    </w:p>
    <w:p w14:paraId="74CA4A7F" w14:textId="77777777" w:rsidR="00FC0856" w:rsidRPr="008D7F3D" w:rsidRDefault="00FC0856" w:rsidP="00345CD7">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NRIS3 strategie je nástrojem, založeným na dynamických procesech, který při identifikaci témat VaVaI (klastrovaných do podoby vertikálních priorit a domén specializace) bude také zohledňovat aktuální trendy v ekonomice, přicházející megatrendy či společenské výzvy. Zamýšlená flexibilita NRIS3 tak může lépe přispívat v čase se měnícím požadavkům na dosažení uhlíkové neutrality a zlepšení životního prostředí. </w:t>
      </w:r>
    </w:p>
    <w:p w14:paraId="0F98D450" w14:textId="77777777" w:rsidR="00FC0856" w:rsidRPr="008D7F3D" w:rsidRDefault="00FC0856" w:rsidP="00345CD7">
      <w:pPr>
        <w:spacing w:after="120"/>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V současné době probíhá finalizace Národní výzkumné a inovační strategie pro inteligentní specializaci, která by měla být hotova do konce roku 2020. Následně bude představena Evropské komisi, a po jejím schválení bude základním dokumentem pro nastavení operačních programů EU fondů pro programové období </w:t>
      </w:r>
      <w:r w:rsidR="005F0170" w:rsidRPr="008D7F3D">
        <w:rPr>
          <w:rFonts w:ascii="Times New Roman" w:hAnsi="Times New Roman" w:cs="Times New Roman"/>
          <w:color w:val="000000" w:themeColor="text1"/>
        </w:rPr>
        <w:t>2021–2027</w:t>
      </w:r>
      <w:r w:rsidRPr="008D7F3D">
        <w:rPr>
          <w:rFonts w:ascii="Times New Roman" w:hAnsi="Times New Roman" w:cs="Times New Roman"/>
          <w:color w:val="000000" w:themeColor="text1"/>
        </w:rPr>
        <w:t xml:space="preserve"> v oblasti výzkumu a inovací. </w:t>
      </w:r>
    </w:p>
    <w:p w14:paraId="7515C35F" w14:textId="77777777" w:rsidR="00FC0856" w:rsidRPr="008D7F3D" w:rsidRDefault="00FC0856" w:rsidP="00345CD7">
      <w:pPr>
        <w:spacing w:after="120"/>
        <w:jc w:val="both"/>
        <w:rPr>
          <w:rFonts w:ascii="Times New Roman" w:hAnsi="Times New Roman" w:cs="Times New Roman"/>
          <w:color w:val="000000" w:themeColor="text1"/>
        </w:rPr>
      </w:pPr>
    </w:p>
    <w:p w14:paraId="5EF50A32" w14:textId="77777777" w:rsidR="00FC0856" w:rsidRPr="00345CD7" w:rsidRDefault="00FC0856" w:rsidP="00345CD7">
      <w:pPr>
        <w:spacing w:after="120"/>
        <w:jc w:val="both"/>
        <w:rPr>
          <w:rFonts w:ascii="Times New Roman" w:hAnsi="Times New Roman" w:cs="Times New Roman"/>
          <w:color w:val="000000" w:themeColor="text1"/>
        </w:rPr>
      </w:pPr>
      <w:r w:rsidRPr="00345CD7">
        <w:rPr>
          <w:rFonts w:ascii="Times New Roman" w:hAnsi="Times New Roman" w:cs="Times New Roman"/>
          <w:color w:val="000000" w:themeColor="text1"/>
        </w:rPr>
        <w:t xml:space="preserve">Kohezní fondy 2021-2027 v cíli 1 (především OP JAK, OP TAK) v současné době budou v režimu RIS3 pro ČR alokovány prostředky ve výši cca 4,7 mld EUR. </w:t>
      </w:r>
    </w:p>
    <w:p w14:paraId="79951593" w14:textId="77777777" w:rsidR="00FC0856" w:rsidRPr="00345CD7" w:rsidRDefault="00FC0856" w:rsidP="00345CD7">
      <w:pPr>
        <w:spacing w:after="120"/>
        <w:jc w:val="both"/>
        <w:rPr>
          <w:rFonts w:ascii="Times New Roman" w:hAnsi="Times New Roman" w:cs="Times New Roman"/>
          <w:color w:val="000000" w:themeColor="text1"/>
        </w:rPr>
      </w:pPr>
      <w:r w:rsidRPr="00345CD7">
        <w:rPr>
          <w:rFonts w:ascii="Times New Roman" w:hAnsi="Times New Roman" w:cs="Times New Roman"/>
          <w:color w:val="000000" w:themeColor="text1"/>
        </w:rPr>
        <w:t>Národní a regionální programy podpory aplikovaného výzkumu a inovací (např. Country for the future, TREND, vybrané programy TAČR)</w:t>
      </w:r>
    </w:p>
    <w:p w14:paraId="67699A71" w14:textId="77777777" w:rsidR="00345CD7" w:rsidRDefault="00345CD7" w:rsidP="00345CD7">
      <w:pPr>
        <w:spacing w:after="60" w:line="240" w:lineRule="auto"/>
        <w:jc w:val="both"/>
        <w:rPr>
          <w:rFonts w:ascii="Times New Roman" w:hAnsi="Times New Roman" w:cs="Times New Roman"/>
          <w:b/>
          <w:color w:val="000000" w:themeColor="text1"/>
          <w:sz w:val="28"/>
          <w:szCs w:val="28"/>
          <w:u w:val="single"/>
        </w:rPr>
      </w:pPr>
    </w:p>
    <w:p w14:paraId="5956CC92" w14:textId="77777777" w:rsidR="00345CD7" w:rsidRDefault="00345CD7">
      <w:pPr>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br w:type="page"/>
      </w:r>
    </w:p>
    <w:p w14:paraId="71F2EFFA" w14:textId="77777777" w:rsidR="00FF48CF" w:rsidRPr="00345CD7" w:rsidRDefault="00345CD7" w:rsidP="00345CD7">
      <w:pPr>
        <w:spacing w:after="60" w:line="240" w:lineRule="auto"/>
        <w:jc w:val="both"/>
        <w:rPr>
          <w:rFonts w:ascii="Times New Roman" w:hAnsi="Times New Roman" w:cs="Times New Roman"/>
          <w:b/>
          <w:color w:val="000000" w:themeColor="text1"/>
          <w:u w:val="single"/>
          <w:lang w:eastAsia="en-GB"/>
        </w:rPr>
      </w:pPr>
      <w:r w:rsidRPr="00345CD7">
        <w:rPr>
          <w:rFonts w:ascii="Times New Roman" w:hAnsi="Times New Roman" w:cs="Times New Roman"/>
          <w:b/>
          <w:color w:val="000000" w:themeColor="text1"/>
          <w:u w:val="single"/>
          <w:lang w:eastAsia="en-GB"/>
        </w:rPr>
        <w:t>Stavebnictví</w:t>
      </w:r>
    </w:p>
    <w:p w14:paraId="0FED3C17" w14:textId="77777777" w:rsidR="002920BD" w:rsidRPr="008D7F3D" w:rsidRDefault="002920BD" w:rsidP="002920BD">
      <w:pPr>
        <w:rPr>
          <w:rFonts w:ascii="Times New Roman" w:hAnsi="Times New Roman" w:cs="Times New Roman"/>
          <w:b/>
          <w:color w:val="000000" w:themeColor="text1"/>
          <w:u w:val="single"/>
        </w:rPr>
      </w:pPr>
    </w:p>
    <w:p w14:paraId="1B26F1FC" w14:textId="77777777" w:rsidR="002920BD" w:rsidRPr="008D7F3D" w:rsidRDefault="002920BD" w:rsidP="002920BD">
      <w:pPr>
        <w:rPr>
          <w:rFonts w:ascii="Times New Roman" w:hAnsi="Times New Roman" w:cs="Times New Roman"/>
          <w:b/>
          <w:bCs/>
          <w:color w:val="000000" w:themeColor="text1"/>
        </w:rPr>
      </w:pPr>
      <w:r w:rsidRPr="008D7F3D">
        <w:rPr>
          <w:rFonts w:ascii="Times New Roman" w:hAnsi="Times New Roman" w:cs="Times New Roman"/>
          <w:b/>
          <w:bCs/>
          <w:color w:val="000000" w:themeColor="text1"/>
        </w:rPr>
        <w:t>Klima</w:t>
      </w:r>
    </w:p>
    <w:p w14:paraId="401E09CB" w14:textId="77777777" w:rsidR="002920BD" w:rsidRPr="008D7F3D" w:rsidRDefault="002920BD" w:rsidP="002920BD">
      <w:pPr>
        <w:rPr>
          <w:rFonts w:ascii="Times New Roman" w:hAnsi="Times New Roman" w:cs="Times New Roman"/>
          <w:color w:val="000000" w:themeColor="text1"/>
        </w:rPr>
      </w:pPr>
      <w:r w:rsidRPr="008D7F3D">
        <w:rPr>
          <w:rFonts w:ascii="Times New Roman" w:hAnsi="Times New Roman" w:cs="Times New Roman"/>
          <w:color w:val="000000" w:themeColor="text1"/>
        </w:rPr>
        <w:t xml:space="preserve">Souhlasíme s tím, že v tuto chvíli jsou pro dosažení cílů EGD nejvýznamnější opatření v rámci průmyslové výroby stavebních materiálů/výrobků. Tj. problematika řešená samostatně v rámci politiky dekarbonizace (cement, keramika, sklo, ocel). Výstavba spadá do rámce ostatního průmyslu (NACE 41, 42), který by měl být co se týká dekarbonizace řešen následně. </w:t>
      </w:r>
    </w:p>
    <w:p w14:paraId="5B6A81E4" w14:textId="77777777" w:rsidR="002920BD" w:rsidRPr="008D7F3D" w:rsidRDefault="002920BD" w:rsidP="002920BD">
      <w:pPr>
        <w:rPr>
          <w:rFonts w:ascii="Times New Roman" w:hAnsi="Times New Roman" w:cs="Times New Roman"/>
          <w:b/>
          <w:bCs/>
          <w:color w:val="000000" w:themeColor="text1"/>
        </w:rPr>
      </w:pPr>
      <w:r w:rsidRPr="008D7F3D">
        <w:rPr>
          <w:rFonts w:ascii="Times New Roman" w:hAnsi="Times New Roman" w:cs="Times New Roman"/>
          <w:b/>
          <w:bCs/>
          <w:color w:val="000000" w:themeColor="text1"/>
        </w:rPr>
        <w:t>Čistá energie</w:t>
      </w:r>
    </w:p>
    <w:p w14:paraId="2005FD2B" w14:textId="77777777" w:rsidR="002920BD" w:rsidRPr="008D7F3D" w:rsidRDefault="002920BD" w:rsidP="002920BD">
      <w:pPr>
        <w:rPr>
          <w:rFonts w:ascii="Times New Roman" w:hAnsi="Times New Roman" w:cs="Times New Roman"/>
          <w:color w:val="000000" w:themeColor="text1"/>
        </w:rPr>
      </w:pPr>
      <w:r w:rsidRPr="008D7F3D">
        <w:rPr>
          <w:rFonts w:ascii="Times New Roman" w:hAnsi="Times New Roman" w:cs="Times New Roman"/>
          <w:color w:val="000000" w:themeColor="text1"/>
        </w:rPr>
        <w:t>Co se týká Renovační vlny, podle dosavadních podkladů a informací, by měla být tato strategie zaměřena jednak na energetickou náročnost budov, současně by se ale měla zaměřit i na zdravé vnitřní prostředí, udržitelné využívání zdrojů při výstavbě a vytvoření společné platformy pro strany zúčastněné při výstavbě. Měl by být brán zřetel též na energetickou náročnost výroby stavebních výrobků, používaných ke snížení energetické náročnosti budov. Digitalizace fondu budov je jedním z hlavních cílů aktuálně připravované digitalizace stavebního řízení a zavádění koncepce informačního modelování staveb (BIM) v ČR. Aktuální je i revize nařízení č. 305/2011/EU, kterým se stanoví harmonizované podmínky pro uvádění stavebních výrobků na trh. Přezkum nařízení byl zahájen v roce 2016, aktuálně probíhají konzultace ohledně rozsahu revize se všemi zainteresovanými stranami, veřejná konzultace s termínem 31.8.2020 a bilaterární jednání s členskými státy.</w:t>
      </w:r>
    </w:p>
    <w:p w14:paraId="20CE1F55" w14:textId="77777777" w:rsidR="002920BD" w:rsidRPr="008D7F3D" w:rsidRDefault="002920BD" w:rsidP="002920BD">
      <w:pPr>
        <w:rPr>
          <w:rFonts w:ascii="Times New Roman" w:hAnsi="Times New Roman" w:cs="Times New Roman"/>
          <w:b/>
          <w:bCs/>
          <w:color w:val="000000" w:themeColor="text1"/>
        </w:rPr>
      </w:pPr>
      <w:r w:rsidRPr="008D7F3D">
        <w:rPr>
          <w:rFonts w:ascii="Times New Roman" w:hAnsi="Times New Roman" w:cs="Times New Roman"/>
          <w:b/>
          <w:bCs/>
          <w:color w:val="000000" w:themeColor="text1"/>
        </w:rPr>
        <w:t>Průmyslová strategie pro čisté oběhové hospodářství</w:t>
      </w:r>
    </w:p>
    <w:p w14:paraId="1E94C903" w14:textId="77777777" w:rsidR="002920BD" w:rsidRPr="008D7F3D" w:rsidRDefault="002920BD" w:rsidP="002920BD">
      <w:pPr>
        <w:rPr>
          <w:rFonts w:ascii="Times New Roman" w:hAnsi="Times New Roman" w:cs="Times New Roman"/>
          <w:color w:val="000000" w:themeColor="text1"/>
        </w:rPr>
      </w:pPr>
      <w:r w:rsidRPr="008D7F3D">
        <w:rPr>
          <w:rFonts w:ascii="Times New Roman" w:hAnsi="Times New Roman" w:cs="Times New Roman"/>
          <w:color w:val="000000" w:themeColor="text1"/>
        </w:rPr>
        <w:t>Stavebnictví je jedním z ekosystémů definovaných v rámci Plánu obnovy a Nové průmyslové strategii pro Evropu. Ekosystém stavebnictví je kombinaci vybraných odvětví a poskytování služeb (těžba, výroba, výstavba, údržba, demolice). Měl by být brán v potaz princip „lifecycle“.</w:t>
      </w:r>
    </w:p>
    <w:p w14:paraId="4CF0365B" w14:textId="77777777" w:rsidR="002920BD" w:rsidRPr="008D7F3D" w:rsidRDefault="002920BD" w:rsidP="002920BD">
      <w:pPr>
        <w:jc w:val="both"/>
        <w:rPr>
          <w:rFonts w:ascii="Times New Roman" w:hAnsi="Times New Roman" w:cs="Times New Roman"/>
          <w:color w:val="000000" w:themeColor="text1"/>
        </w:rPr>
      </w:pPr>
      <w:r w:rsidRPr="008D7F3D">
        <w:rPr>
          <w:rFonts w:ascii="Times New Roman" w:hAnsi="Times New Roman" w:cs="Times New Roman"/>
          <w:color w:val="000000" w:themeColor="text1"/>
        </w:rPr>
        <w:t>Akční plán pro oběhové hospodářství, s ohledem na to, že stavebnictví produkuje až 35% celkové produkce odpadů , přičemž 95% je recyklovatelných, a výroba stavebních materiálů, výstavba a renovace produkují 5 -12 % emisí, chápe stavebnictví jako jeden ze základních sektorů pro změnu ve využívání zdrojů a připravuje novou Strategii pro udržitelnost zastavěného prostředí, která by měla zajistit soudržnost v oblastech klimatu, energetické účinnosti, účinného využívání zdrojů, řízení stavebního a demoličního odpadu, dostupnosti, digitalizace a dovedností.</w:t>
      </w:r>
    </w:p>
    <w:p w14:paraId="366218BA" w14:textId="77777777" w:rsidR="00DF396C" w:rsidRPr="008D7F3D" w:rsidRDefault="00DF396C" w:rsidP="002920BD">
      <w:pPr>
        <w:jc w:val="both"/>
        <w:rPr>
          <w:rFonts w:ascii="Times New Roman" w:hAnsi="Times New Roman" w:cs="Times New Roman"/>
          <w:i/>
          <w:color w:val="000000" w:themeColor="text1"/>
        </w:rPr>
      </w:pPr>
    </w:p>
    <w:p w14:paraId="6C5B5EF9" w14:textId="77777777" w:rsidR="00DF396C" w:rsidRPr="008D7F3D" w:rsidRDefault="00DF396C" w:rsidP="002920BD">
      <w:pPr>
        <w:jc w:val="both"/>
        <w:rPr>
          <w:rFonts w:ascii="Times New Roman" w:hAnsi="Times New Roman" w:cs="Times New Roman"/>
          <w:i/>
          <w:color w:val="000000" w:themeColor="text1"/>
        </w:rPr>
      </w:pPr>
    </w:p>
    <w:p w14:paraId="08577AA2" w14:textId="77777777" w:rsidR="00DF396C" w:rsidRPr="008D7F3D" w:rsidRDefault="00DF396C" w:rsidP="002920BD">
      <w:pPr>
        <w:jc w:val="both"/>
        <w:rPr>
          <w:rFonts w:ascii="Times New Roman" w:hAnsi="Times New Roman" w:cs="Times New Roman"/>
          <w:i/>
          <w:color w:val="000000" w:themeColor="text1"/>
        </w:rPr>
      </w:pPr>
    </w:p>
    <w:p w14:paraId="1F085C37" w14:textId="77777777" w:rsidR="00DF396C" w:rsidRPr="008D7F3D" w:rsidRDefault="00DF396C" w:rsidP="002920BD">
      <w:pPr>
        <w:jc w:val="both"/>
        <w:rPr>
          <w:rFonts w:ascii="Times New Roman" w:hAnsi="Times New Roman" w:cs="Times New Roman"/>
          <w:i/>
          <w:color w:val="000000" w:themeColor="text1"/>
        </w:rPr>
      </w:pPr>
    </w:p>
    <w:p w14:paraId="1EC668C6" w14:textId="77777777" w:rsidR="00DF396C" w:rsidRPr="008D7F3D" w:rsidRDefault="00DF396C" w:rsidP="002920BD">
      <w:pPr>
        <w:jc w:val="both"/>
        <w:rPr>
          <w:rFonts w:ascii="Times New Roman" w:hAnsi="Times New Roman" w:cs="Times New Roman"/>
          <w:i/>
          <w:color w:val="000000" w:themeColor="text1"/>
        </w:rPr>
      </w:pPr>
    </w:p>
    <w:p w14:paraId="3CAE2FA6" w14:textId="77777777" w:rsidR="00DF396C" w:rsidRPr="008D7F3D" w:rsidRDefault="00DF396C" w:rsidP="002920BD">
      <w:pPr>
        <w:jc w:val="both"/>
        <w:rPr>
          <w:rFonts w:ascii="Times New Roman" w:hAnsi="Times New Roman" w:cs="Times New Roman"/>
          <w:i/>
          <w:color w:val="000000" w:themeColor="text1"/>
        </w:rPr>
      </w:pPr>
    </w:p>
    <w:p w14:paraId="0166C43B" w14:textId="77777777" w:rsidR="00DF396C" w:rsidRPr="008D7F3D" w:rsidRDefault="00DF396C" w:rsidP="002920BD">
      <w:pPr>
        <w:jc w:val="both"/>
        <w:rPr>
          <w:rFonts w:ascii="Times New Roman" w:hAnsi="Times New Roman" w:cs="Times New Roman"/>
          <w:i/>
          <w:color w:val="000000" w:themeColor="text1"/>
        </w:rPr>
      </w:pPr>
    </w:p>
    <w:p w14:paraId="5E82C580" w14:textId="77777777" w:rsidR="00DF396C" w:rsidRPr="008D7F3D" w:rsidRDefault="00DF396C" w:rsidP="002920BD">
      <w:pPr>
        <w:jc w:val="both"/>
        <w:rPr>
          <w:rFonts w:ascii="Times New Roman" w:hAnsi="Times New Roman" w:cs="Times New Roman"/>
          <w:i/>
          <w:color w:val="000000" w:themeColor="text1"/>
        </w:rPr>
      </w:pPr>
    </w:p>
    <w:p w14:paraId="59DFB6F0" w14:textId="77777777" w:rsidR="00DF396C" w:rsidRPr="008D7F3D" w:rsidRDefault="00DF396C" w:rsidP="002920BD">
      <w:pPr>
        <w:jc w:val="both"/>
        <w:rPr>
          <w:rFonts w:ascii="Times New Roman" w:hAnsi="Times New Roman" w:cs="Times New Roman"/>
          <w:i/>
          <w:color w:val="000000" w:themeColor="text1"/>
        </w:rPr>
      </w:pPr>
    </w:p>
    <w:p w14:paraId="7679E8A8" w14:textId="77777777" w:rsidR="00DF396C" w:rsidRPr="008D7F3D" w:rsidRDefault="00DF396C" w:rsidP="002920BD">
      <w:pPr>
        <w:jc w:val="both"/>
        <w:rPr>
          <w:rFonts w:ascii="Times New Roman" w:hAnsi="Times New Roman" w:cs="Times New Roman"/>
          <w:i/>
          <w:color w:val="000000" w:themeColor="text1"/>
        </w:rPr>
      </w:pPr>
    </w:p>
    <w:p w14:paraId="3DDF5C35" w14:textId="77777777" w:rsidR="006236A9" w:rsidRPr="008D7F3D" w:rsidRDefault="006236A9" w:rsidP="006236A9">
      <w:pPr>
        <w:spacing w:after="120"/>
        <w:rPr>
          <w:rFonts w:ascii="Times New Roman" w:hAnsi="Times New Roman" w:cs="Times New Roman"/>
          <w:color w:val="000000" w:themeColor="text1"/>
        </w:rPr>
      </w:pPr>
    </w:p>
    <w:p w14:paraId="3CE13BBD" w14:textId="77777777" w:rsidR="00345CD7" w:rsidRDefault="00345CD7">
      <w:pPr>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br w:type="page"/>
      </w:r>
    </w:p>
    <w:p w14:paraId="27BD9D60" w14:textId="77777777" w:rsidR="006236A9" w:rsidRPr="00345CD7" w:rsidRDefault="00345CD7" w:rsidP="00345CD7">
      <w:pPr>
        <w:spacing w:after="60" w:line="240" w:lineRule="auto"/>
        <w:jc w:val="both"/>
        <w:rPr>
          <w:rFonts w:ascii="Times New Roman" w:hAnsi="Times New Roman" w:cs="Times New Roman"/>
          <w:b/>
          <w:color w:val="000000" w:themeColor="text1"/>
          <w:u w:val="single"/>
          <w:lang w:eastAsia="en-GB"/>
        </w:rPr>
      </w:pPr>
      <w:r w:rsidRPr="00345CD7">
        <w:rPr>
          <w:rFonts w:ascii="Times New Roman" w:hAnsi="Times New Roman" w:cs="Times New Roman"/>
          <w:b/>
          <w:color w:val="000000" w:themeColor="text1"/>
          <w:u w:val="single"/>
          <w:lang w:eastAsia="en-GB"/>
        </w:rPr>
        <w:t xml:space="preserve">Emise </w:t>
      </w:r>
      <w:r w:rsidR="006236A9" w:rsidRPr="00345CD7">
        <w:rPr>
          <w:rFonts w:ascii="Times New Roman" w:hAnsi="Times New Roman" w:cs="Times New Roman"/>
          <w:b/>
          <w:color w:val="000000" w:themeColor="text1"/>
          <w:u w:val="single"/>
          <w:lang w:eastAsia="en-GB"/>
        </w:rPr>
        <w:t>CO2 u osobních a lehkých užitkových automobilů a infrastruktury pro alternativní paliva</w:t>
      </w:r>
    </w:p>
    <w:p w14:paraId="304B2BF1" w14:textId="77777777" w:rsidR="006236A9" w:rsidRPr="008D7F3D" w:rsidRDefault="006236A9" w:rsidP="007C73C5">
      <w:pPr>
        <w:spacing w:after="120" w:line="240" w:lineRule="auto"/>
        <w:ind w:left="720"/>
        <w:contextualSpacing/>
        <w:rPr>
          <w:rFonts w:ascii="Times New Roman" w:hAnsi="Times New Roman" w:cs="Times New Roman"/>
          <w:b/>
          <w:bCs/>
          <w:color w:val="000000" w:themeColor="text1"/>
        </w:rPr>
      </w:pPr>
    </w:p>
    <w:p w14:paraId="4EE17BA4" w14:textId="77777777" w:rsidR="006236A9" w:rsidRPr="008D7F3D" w:rsidRDefault="006236A9" w:rsidP="006236A9">
      <w:pPr>
        <w:pStyle w:val="Question"/>
        <w:spacing w:after="120"/>
        <w:rPr>
          <w:b w:val="0"/>
          <w:bCs w:val="0"/>
          <w:color w:val="000000" w:themeColor="text1"/>
          <w:sz w:val="22"/>
          <w:szCs w:val="22"/>
        </w:rPr>
      </w:pPr>
      <w:r w:rsidRPr="008D7F3D">
        <w:rPr>
          <w:b w:val="0"/>
          <w:bCs w:val="0"/>
          <w:color w:val="000000" w:themeColor="text1"/>
          <w:sz w:val="22"/>
          <w:szCs w:val="22"/>
          <w:lang w:val="fr-FR"/>
        </w:rPr>
        <w:t xml:space="preserve">V roce 2019 bylo přijato nařízení EP a Rady, kterým se stanoví výkonnostní emisní normy pro nové osobní automobily a pro nová lehká užitková vozidla v rámci integrovaného přístupu Unie ke snižování emisí CO2 z lehkých vozidel a kterým se mění nařízení (ES) č. 715/2007. V roce 2025 mají automobilky dosáhnout 15% podílu nízkoemisních a bezemisních vozidel na jejich celkových registracích v EU. Pro rok 2030 mají zatím automobilky za povinnost prodávat 30 % nízkoemisních a bezemisních osobních a lehkých užitkových vozidel. Protože tyto limity byly v danou dobu pokládány za příliš ambiciózní, při vyjednávání na Radě se ČR spolu s několika dalšími státy podařilo prosadit klauzuli </w:t>
      </w:r>
      <w:r w:rsidRPr="008D7F3D">
        <w:rPr>
          <w:b w:val="0"/>
          <w:color w:val="000000" w:themeColor="text1"/>
          <w:sz w:val="22"/>
          <w:szCs w:val="22"/>
          <w:lang w:val="fr-FR"/>
        </w:rPr>
        <w:t>o revizi nařízení o emisních limitech CO2 u nových osobních a lehkých užitkových vozidel v roce 2023</w:t>
      </w:r>
      <w:r w:rsidRPr="008D7F3D">
        <w:rPr>
          <w:b w:val="0"/>
          <w:bCs w:val="0"/>
          <w:color w:val="000000" w:themeColor="text1"/>
          <w:sz w:val="22"/>
          <w:szCs w:val="22"/>
          <w:lang w:val="fr-FR"/>
        </w:rPr>
        <w:t>.</w:t>
      </w:r>
    </w:p>
    <w:p w14:paraId="3B511A2B" w14:textId="77777777" w:rsidR="006236A9" w:rsidRPr="008D7F3D" w:rsidRDefault="006236A9" w:rsidP="006236A9">
      <w:pPr>
        <w:spacing w:after="120"/>
        <w:contextualSpacing/>
        <w:rPr>
          <w:rFonts w:ascii="Times New Roman" w:hAnsi="Times New Roman" w:cs="Times New Roman"/>
          <w:color w:val="000000" w:themeColor="text1"/>
        </w:rPr>
      </w:pPr>
      <w:r w:rsidRPr="008D7F3D">
        <w:rPr>
          <w:rFonts w:ascii="Times New Roman" w:hAnsi="Times New Roman" w:cs="Times New Roman"/>
          <w:color w:val="000000" w:themeColor="text1"/>
        </w:rPr>
        <w:t xml:space="preserve">Dle EGD má k revizi právních předpisů týkajících se emisních standardů pro emise CO2 generované osobními automobily a dodávkami dojít </w:t>
      </w:r>
      <w:r w:rsidRPr="008D7F3D">
        <w:rPr>
          <w:rFonts w:ascii="Times New Roman" w:hAnsi="Times New Roman" w:cs="Times New Roman"/>
          <w:bCs/>
          <w:color w:val="000000" w:themeColor="text1"/>
        </w:rPr>
        <w:t>již v roce 2021</w:t>
      </w:r>
      <w:r w:rsidRPr="008D7F3D">
        <w:rPr>
          <w:rFonts w:ascii="Times New Roman" w:hAnsi="Times New Roman" w:cs="Times New Roman"/>
          <w:color w:val="000000" w:themeColor="text1"/>
        </w:rPr>
        <w:t xml:space="preserve"> s cílem zajistit, aby se od roku 2025 rozběhl přechod na mobilitu s nulovými emisemi. Tak nyní hrozí, že EK navrhne ještě přísnější normy pro emise látek znečisťující ovzduší vozidly se spalovacím motorem (EURO 7).</w:t>
      </w:r>
    </w:p>
    <w:p w14:paraId="3165CA6D" w14:textId="77777777" w:rsidR="006236A9" w:rsidRPr="008D7F3D" w:rsidRDefault="006236A9" w:rsidP="006236A9">
      <w:pPr>
        <w:spacing w:after="120"/>
        <w:contextualSpacing/>
        <w:rPr>
          <w:rFonts w:ascii="Times New Roman" w:hAnsi="Times New Roman" w:cs="Times New Roman"/>
          <w:color w:val="000000" w:themeColor="text1"/>
        </w:rPr>
      </w:pPr>
      <w:r w:rsidRPr="008D7F3D">
        <w:rPr>
          <w:rFonts w:ascii="Times New Roman" w:hAnsi="Times New Roman" w:cs="Times New Roman"/>
          <w:color w:val="000000" w:themeColor="text1"/>
        </w:rPr>
        <w:t>Případné další zpřísnění standardů pro emise CO2 z osobních a lehkých užitkových vozidel bude mít negativní dopad na automobilový průmysl, který se velkou měrou podílí na českém HDP. Vzhledem k tomu, že současně platné limity CO2 k roku 2030 byly přijaty teprve nedávno a existuje jisté riziko, že jsou již na samé hranici technické splnitelnosti v současných mantinelech vědecko-technologického pokroku, ČR zásadně nesouhlasí s </w:t>
      </w:r>
      <w:r w:rsidR="00103A55" w:rsidRPr="008D7F3D">
        <w:rPr>
          <w:rFonts w:ascii="Times New Roman" w:hAnsi="Times New Roman" w:cs="Times New Roman"/>
          <w:color w:val="000000" w:themeColor="text1"/>
        </w:rPr>
        <w:t>dalším,</w:t>
      </w:r>
      <w:r w:rsidRPr="008D7F3D">
        <w:rPr>
          <w:rFonts w:ascii="Times New Roman" w:hAnsi="Times New Roman" w:cs="Times New Roman"/>
          <w:color w:val="000000" w:themeColor="text1"/>
        </w:rPr>
        <w:t xml:space="preserve"> a ještě radikálnějším navýšením ambicí.</w:t>
      </w:r>
    </w:p>
    <w:p w14:paraId="2913732B" w14:textId="77777777" w:rsidR="006236A9" w:rsidRPr="008D7F3D" w:rsidRDefault="006236A9" w:rsidP="006236A9">
      <w:pPr>
        <w:spacing w:after="120"/>
        <w:contextualSpacing/>
        <w:rPr>
          <w:rFonts w:ascii="Times New Roman" w:hAnsi="Times New Roman" w:cs="Times New Roman"/>
          <w:color w:val="000000" w:themeColor="text1"/>
        </w:rPr>
      </w:pPr>
      <w:r w:rsidRPr="008D7F3D">
        <w:rPr>
          <w:rFonts w:ascii="Times New Roman" w:hAnsi="Times New Roman" w:cs="Times New Roman"/>
          <w:color w:val="000000" w:themeColor="text1"/>
        </w:rPr>
        <w:t>ČR apeluje na implementaci evropské směrnice 2014/94/EU o zavádění infrastruktury pro alternativní paliva, která vedle elektromobility a vodíku obsahuje také cíle v oblasti CNG. ČR na rozdíl od některých států EU implementovala opatření nejen v oblasti elektromobility, ale také v oblasti dalších alternativních paliv (CNG, v aktualizovaném plánu NAP čisté mobility také v daleko větší míře vodíkovou mobilitu). Právě “technologická neutralita” by měla být více reflektována, zejména v oblasti využívání bioCNG, který je považován na rozdíl od klasického CNG za obnovitelný zdroj, který pomůže snížit produkci CO2 a znečišťující látky. EK plánuje také revizi této směrnice tak, aby urychlila zavádění alternativních paliv v dopravě a plánovaná revize by měla být provázána s cíli OZE v dopravě a možností využití bioCNG v dopravě.</w:t>
      </w:r>
    </w:p>
    <w:p w14:paraId="6A35FB9B" w14:textId="77777777" w:rsidR="006236A9" w:rsidRPr="008D7F3D" w:rsidRDefault="006236A9" w:rsidP="006236A9">
      <w:pPr>
        <w:spacing w:after="120"/>
        <w:contextualSpacing/>
        <w:rPr>
          <w:rFonts w:ascii="Times New Roman" w:hAnsi="Times New Roman" w:cs="Times New Roman"/>
          <w:color w:val="000000" w:themeColor="text1"/>
        </w:rPr>
      </w:pPr>
      <w:r w:rsidRPr="008D7F3D">
        <w:rPr>
          <w:rFonts w:ascii="Times New Roman" w:hAnsi="Times New Roman" w:cs="Times New Roman"/>
          <w:color w:val="000000" w:themeColor="text1"/>
        </w:rPr>
        <w:t>Podporujeme kroky vedoucí ke snížení emisí z dopravy, zejména vyšší multimodalitu dopravy, zavádění alternativních paliv či inteligentní dopravní systémy. V některých oblastech, zejména v nákladní dopravě (s výjimkou železniční), v současnosti vůbec neexistují řešení, která by byla klimaticky neutrální.</w:t>
      </w:r>
    </w:p>
    <w:p w14:paraId="340251FC" w14:textId="77777777" w:rsidR="006236A9" w:rsidRPr="008D7F3D" w:rsidRDefault="006236A9" w:rsidP="006236A9">
      <w:pPr>
        <w:spacing w:after="120"/>
        <w:ind w:left="720"/>
        <w:contextualSpacing/>
        <w:rPr>
          <w:rFonts w:ascii="Times New Roman" w:hAnsi="Times New Roman" w:cs="Times New Roman"/>
          <w:b/>
          <w:bCs/>
          <w:color w:val="000000" w:themeColor="text1"/>
        </w:rPr>
      </w:pPr>
    </w:p>
    <w:p w14:paraId="581000DE" w14:textId="77777777" w:rsidR="006236A9" w:rsidRPr="008D7F3D" w:rsidRDefault="006236A9" w:rsidP="006236A9">
      <w:pPr>
        <w:spacing w:after="120"/>
        <w:rPr>
          <w:rFonts w:ascii="Times New Roman" w:hAnsi="Times New Roman" w:cs="Times New Roman"/>
          <w:color w:val="000000" w:themeColor="text1"/>
        </w:rPr>
      </w:pPr>
      <w:r w:rsidRPr="008D7F3D">
        <w:rPr>
          <w:rFonts w:ascii="Times New Roman" w:hAnsi="Times New Roman" w:cs="Times New Roman"/>
          <w:color w:val="000000" w:themeColor="text1"/>
        </w:rPr>
        <w:t>Výrobci/automobilky musí splnit emisní cíle pro rok 2021 a 2025, jinak budou muset platit za každý gram emisí navíc 95 € do rozpočtu EU. V roce 2025 by měl podíl nízkoemisních vozidel dosáhnout 15 %, což představuje prodej na úrovni 2,25 mil. osobních a lehkých užitkových vozidel. Výrobci tak budou muset významně investovat do výroby zejména elektromobilů, energetici zase budou muset připravit dostatečnou kapacitu a infrastrukturu, aby nedocházelo k problémům v síti. Pro rok 2030 byl tento podíl předběžně navýšen na 35 % pro osobní a 30 % pro lehká užitková vozidla. To představuje prodej na úrovni necelých 5,5 mil. nízkoemisních vozidel. Budou muset pro to být dostatečné výrobní kapacity baterií a vylepšována dobíjecí a plnící infrastruktura.</w:t>
      </w:r>
    </w:p>
    <w:p w14:paraId="78FE3A0F" w14:textId="77777777" w:rsidR="006236A9" w:rsidRPr="008D7F3D" w:rsidRDefault="006236A9" w:rsidP="006236A9">
      <w:pPr>
        <w:spacing w:after="120"/>
        <w:rPr>
          <w:rFonts w:ascii="Times New Roman" w:hAnsi="Times New Roman" w:cs="Times New Roman"/>
          <w:color w:val="000000" w:themeColor="text1"/>
        </w:rPr>
      </w:pPr>
      <w:r w:rsidRPr="008D7F3D">
        <w:rPr>
          <w:rFonts w:ascii="Times New Roman" w:hAnsi="Times New Roman" w:cs="Times New Roman"/>
          <w:color w:val="000000" w:themeColor="text1"/>
        </w:rPr>
        <w:t>ČR k implementaci evropské směrnice 2014/94/EU o zavádění infrastruktury pro alternativní paliva přijala Národní akční plán čisté mobility (NAP CM). V souladu s touto směrnicí byla zpráva o plnění NAP CM předána Evropské komisi (listopad 2019).  Následně vláda ČR schválila v dubnu 2020 aktualizaci NAP CM.</w:t>
      </w:r>
    </w:p>
    <w:p w14:paraId="4C06437D" w14:textId="77777777" w:rsidR="006236A9" w:rsidRPr="008D7F3D" w:rsidRDefault="006236A9" w:rsidP="006236A9">
      <w:pPr>
        <w:spacing w:after="120"/>
        <w:rPr>
          <w:rFonts w:ascii="Times New Roman" w:hAnsi="Times New Roman" w:cs="Times New Roman"/>
          <w:color w:val="000000" w:themeColor="text1"/>
        </w:rPr>
      </w:pPr>
      <w:r w:rsidRPr="008D7F3D">
        <w:rPr>
          <w:rFonts w:ascii="Times New Roman" w:hAnsi="Times New Roman" w:cs="Times New Roman"/>
          <w:color w:val="000000" w:themeColor="text1"/>
        </w:rPr>
        <w:t>Co se týče pobídek v oblasti mobility, bez vydefinování, jakých typů pobídek by se to mělo týkat, nemůže ČR předjímat konkrétní pozici. Aktualizovaný Národní akční plán čisté mobility, schválený vládou dne 27. 4. 2020, se zaměřuje zejména na podporu výstavby plnící a dobíjecí infrastruktury a na odstranění dalších překážek v rozvoji čisté mobility (legislativní, technické, stavební atd.). V oblasti přímé podpory na nákup vozidel s alternativním palivem ČR počítá s podporou podnikatelů a zejména veřejných zadavatelů. To se týká jak osobních či užitkových vozidel, tak zejména vozidel veřejné hromadné dopravy. Tato podpora je zásadní vzhledem k implementaci Evropské směrnice o čistých a energeticky účinných silničních vozidlech, kde pro veřejné zadavatele bude nově platit povinný podíl při nakupování nízkoemisních vozidel. Směrnice by měla být v ČR implementována novým zákonem od srpna 2021. ČR zdůrazňuje princip technologické neutrality pro čistou mobilitu, zejména u nákladní dopravy (potenciál biometanu, elektrifikace, palivových článků) a také vodíku. V souvislosti se současnou krizí spojenou s pandemií COVID</w:t>
      </w:r>
      <w:r w:rsidRPr="008D7F3D">
        <w:rPr>
          <w:rFonts w:ascii="Times New Roman" w:hAnsi="Times New Roman" w:cs="Times New Roman"/>
          <w:color w:val="000000" w:themeColor="text1"/>
        </w:rPr>
        <w:noBreakHyphen/>
        <w:t xml:space="preserve">19 je také otázkou, zda daná odvětví mobility nebudou v příštích měsících a možná i letech řešit zcela jiné problémy a výzvy, než kterým automobilový průmysl a sektor dopravy čelily doposud. Jde především o otázku, zda bude k dispozici dostatek finančních prostředků k rychlému přechodu na nízkoemisní mobilitu, v prostředí ČR pak zejména vlivem možného snížené poptávky po vozidlech jako celku. </w:t>
      </w:r>
    </w:p>
    <w:p w14:paraId="2757FDEF" w14:textId="77777777" w:rsidR="006236A9" w:rsidRPr="008D7F3D" w:rsidRDefault="006236A9" w:rsidP="006236A9">
      <w:pPr>
        <w:contextualSpacing/>
        <w:rPr>
          <w:rFonts w:ascii="Times New Roman" w:hAnsi="Times New Roman" w:cs="Times New Roman"/>
          <w:b/>
          <w:bCs/>
          <w:color w:val="000000" w:themeColor="text1"/>
        </w:rPr>
      </w:pPr>
    </w:p>
    <w:p w14:paraId="75B58666" w14:textId="77777777" w:rsidR="006236A9" w:rsidRPr="008D7F3D" w:rsidRDefault="006236A9" w:rsidP="006236A9">
      <w:pPr>
        <w:spacing w:after="120"/>
        <w:rPr>
          <w:rFonts w:ascii="Times New Roman" w:hAnsi="Times New Roman" w:cs="Times New Roman"/>
          <w:color w:val="000000" w:themeColor="text1"/>
        </w:rPr>
      </w:pPr>
      <w:r w:rsidRPr="008D7F3D">
        <w:rPr>
          <w:rFonts w:ascii="Times New Roman" w:hAnsi="Times New Roman" w:cs="Times New Roman"/>
          <w:color w:val="000000" w:themeColor="text1"/>
        </w:rPr>
        <w:t>Jelikož nejsou známy žádné parametry revize právních předpisů týkajících se emisních standardů pro emise CO2 generované osobními automobily a dodávkami, zatím nedokážeme odhadnout. Bude tak možné učinit, až budou nové předpisy schváleny.</w:t>
      </w:r>
    </w:p>
    <w:p w14:paraId="4FF1E952" w14:textId="77777777" w:rsidR="006236A9" w:rsidRPr="008D7F3D" w:rsidRDefault="006236A9" w:rsidP="006236A9">
      <w:pPr>
        <w:spacing w:after="120"/>
        <w:ind w:left="720"/>
        <w:contextualSpacing/>
        <w:rPr>
          <w:rFonts w:ascii="Times New Roman" w:hAnsi="Times New Roman" w:cs="Times New Roman"/>
          <w:b/>
          <w:bCs/>
          <w:color w:val="000000" w:themeColor="text1"/>
        </w:rPr>
      </w:pPr>
    </w:p>
    <w:p w14:paraId="0E90C8C8" w14:textId="77777777" w:rsidR="006236A9" w:rsidRPr="008D7F3D" w:rsidRDefault="006236A9" w:rsidP="006236A9">
      <w:pPr>
        <w:spacing w:after="120"/>
        <w:rPr>
          <w:rFonts w:ascii="Times New Roman" w:hAnsi="Times New Roman" w:cs="Times New Roman"/>
          <w:color w:val="000000" w:themeColor="text1"/>
        </w:rPr>
      </w:pPr>
      <w:r w:rsidRPr="008D7F3D">
        <w:rPr>
          <w:rFonts w:ascii="Times New Roman" w:hAnsi="Times New Roman" w:cs="Times New Roman"/>
          <w:color w:val="000000" w:themeColor="text1"/>
        </w:rPr>
        <w:t>Viz odpověď ad c). Náklady ponesou především podnikatelé, tj. automobilky, resp. výrobci automobilových komponentů, dodavatelé alternativních paliv a příslušné infrastruktury, občané, případně stát (ev. EU), bude</w:t>
      </w:r>
      <w:r w:rsidRPr="008D7F3D">
        <w:rPr>
          <w:rFonts w:ascii="Times New Roman" w:hAnsi="Times New Roman" w:cs="Times New Roman"/>
          <w:color w:val="000000" w:themeColor="text1"/>
        </w:rPr>
        <w:noBreakHyphen/>
        <w:t>li poskytovat podpůrná opatření.</w:t>
      </w:r>
    </w:p>
    <w:p w14:paraId="637359E6" w14:textId="77777777" w:rsidR="006236A9" w:rsidRPr="008D7F3D" w:rsidRDefault="006236A9" w:rsidP="006236A9">
      <w:pPr>
        <w:spacing w:after="120"/>
        <w:rPr>
          <w:rFonts w:ascii="Times New Roman" w:hAnsi="Times New Roman" w:cs="Times New Roman"/>
          <w:color w:val="000000" w:themeColor="text1"/>
        </w:rPr>
      </w:pPr>
    </w:p>
    <w:p w14:paraId="5B4CC410" w14:textId="77777777" w:rsidR="006236A9" w:rsidRPr="00345CD7" w:rsidRDefault="00345CD7" w:rsidP="00345CD7">
      <w:pPr>
        <w:spacing w:after="60" w:line="240" w:lineRule="auto"/>
        <w:jc w:val="both"/>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t>P</w:t>
      </w:r>
      <w:r w:rsidR="006236A9" w:rsidRPr="00345CD7">
        <w:rPr>
          <w:rFonts w:ascii="Times New Roman" w:hAnsi="Times New Roman" w:cs="Times New Roman"/>
          <w:b/>
          <w:color w:val="000000" w:themeColor="text1"/>
          <w:u w:val="single"/>
          <w:lang w:eastAsia="en-GB"/>
        </w:rPr>
        <w:t>růmyslové strategie EU</w:t>
      </w:r>
    </w:p>
    <w:p w14:paraId="2B0A8F27" w14:textId="77777777" w:rsidR="006236A9" w:rsidRPr="008D7F3D" w:rsidRDefault="006236A9" w:rsidP="007C73C5">
      <w:pPr>
        <w:spacing w:after="120" w:line="240" w:lineRule="auto"/>
        <w:ind w:left="720"/>
        <w:contextualSpacing/>
        <w:rPr>
          <w:rFonts w:ascii="Times New Roman" w:hAnsi="Times New Roman" w:cs="Times New Roman"/>
          <w:b/>
          <w:bCs/>
          <w:color w:val="000000" w:themeColor="text1"/>
        </w:rPr>
      </w:pPr>
    </w:p>
    <w:p w14:paraId="4F228FE0"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Vydáním Nové průmyslové strategie pro Evropu dne 10. března 2020 v rámci souboru opatření, který obsahuje také dvě sdělení k vnitřnímu trhu a strategii zaměřenou na malé a střední podniky, potvrdila Evropská komise zásadní úlohu průmyslu pro ekonomiku EU, jakož i potřebu provázanosti všech souvisejících politik EU. Ve sdělení Nová průmyslová strategie pro Evropu se píše, že v souladu se sdělením Zelená dohoda pro Evropu coby novou strategií růstu se má Evropa stát do roku 2050 prvním klimaticky neutrálním kontinentem. Každé odvětví musí usilovat o snížení své uhlíkové stopy a urychlení ekologické transformace. Ambicí Evropy má být postavení průkopníka na trzích s čistými technologiemi.</w:t>
      </w:r>
    </w:p>
    <w:p w14:paraId="7BF673DD"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Prioritou musí být modernizace a dekarbonizace energeticky náročných odvětví. Přechod na klimatickou neutralitu vyžaduje nové průmyslové procesy a čistší technologie. Komise podpoří mj. technologii výroby oceli s nulovými emisemi uhlíku a počítá s novou strategií pro udržitelnost v oblasti chemických látek.</w:t>
      </w:r>
    </w:p>
    <w:p w14:paraId="38C7F047"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Řešit je třeba i udržitelnost stavebních výrobků a zastavěného prostředí, zlepšit energetickou účinnost a environmentální výkonnost. Konkrétní kroky k dosažení udržitelnějšího zastavěného prostředí Komise provazuje s tzv. „renovační vlnou“.</w:t>
      </w:r>
    </w:p>
    <w:p w14:paraId="6959AB88"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Aby nikdo nezůstal pozadu, byl navržen mechanismus pro spravedlivou transformaci, který aktivuje 100 mld. EUR.</w:t>
      </w:r>
    </w:p>
    <w:p w14:paraId="30167525"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Sdělení zmiňuje i nutnost prosazovat při transformaci průmyslu heslo „energetická účinnost na prvním místě“, kde se zejména promítá do snižování emisí v různých průmyslových odvětvích.</w:t>
      </w:r>
    </w:p>
    <w:p w14:paraId="6898E621"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Snižování emisí má dále vycházet ze spolehlivých dodávek nízkouhlíkové energie za konkurenceschopné ceny i strategičtějšího přístupu k výrobě energie z obnovitelných zdrojů. Propojení různých sektorů energetiky je předmětem nové strategie pro inteligentní sektorovou integraci.</w:t>
      </w:r>
    </w:p>
    <w:p w14:paraId="4CC16A16"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K omezení rizika úniku uhlíku Komise v roce 2021 navrhne mechanismus kompenzačních opatření mezi státy v souvislosti s uhlíkem, který bude respektovat pravidla WTO.</w:t>
      </w:r>
    </w:p>
    <w:p w14:paraId="330FAFA0"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Průmysl musí snížit svou uhlíkovou a surovinovou stopu a přeorientovat se na zásady oběhového hospodářství. V této souvislosti vydala Komise dne 11. 3. 2020 nový akční plán pro oběhové hospodářství, jehož jádrem je rámec udržitelné výrobkové politiky stanovující zásady udržitelnosti pro všechny produkty. </w:t>
      </w:r>
    </w:p>
    <w:p w14:paraId="7BD15A99"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ČR souhlasí s tím, že evropský průmysl by měl být průkopníkem, pokud jde o vytvoření předních trhů s čistými technologiemi.</w:t>
      </w:r>
    </w:p>
    <w:p w14:paraId="298D98BE"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Sdělení cílí na </w:t>
      </w:r>
      <w:r w:rsidR="005F0170" w:rsidRPr="008D7F3D">
        <w:rPr>
          <w:rFonts w:ascii="Times New Roman" w:hAnsi="Times New Roman" w:cs="Times New Roman"/>
          <w:bCs/>
          <w:color w:val="000000" w:themeColor="text1"/>
        </w:rPr>
        <w:t>dosažení,</w:t>
      </w:r>
      <w:r w:rsidRPr="008D7F3D">
        <w:rPr>
          <w:rFonts w:ascii="Times New Roman" w:hAnsi="Times New Roman" w:cs="Times New Roman"/>
          <w:bCs/>
          <w:color w:val="000000" w:themeColor="text1"/>
        </w:rPr>
        <w:t xml:space="preserve"> pokud možno bezemisního průmyslu, neuvádí však, že pro dosažení bezemisního průmyslu je nutné mimo jiné zajistit, aby vstupy, zejména elektřina, byly bezemisní, a zajistit to tak, aby průmysl zůstal i nadále konkurenceschopným a finální technologická řešení byla nákladově efektivní.</w:t>
      </w:r>
    </w:p>
    <w:p w14:paraId="38297FEC"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ČR se v závěrech prosincové Evropské rady zavázala k cíli dosažení klimatické neutrality do roku 2050, zároveň ČR dlouhodobě prosazuje, aby členské státy měly možnost využít všechny dostupné technologie ke splnění klimatických cílů, tedy i jadernou energetiku.</w:t>
      </w:r>
    </w:p>
    <w:p w14:paraId="2B1D64D7" w14:textId="77777777" w:rsidR="006236A9" w:rsidRPr="008D7F3D" w:rsidRDefault="006236A9" w:rsidP="006236A9">
      <w:pPr>
        <w:rPr>
          <w:rFonts w:ascii="Times New Roman" w:hAnsi="Times New Roman" w:cs="Times New Roman"/>
          <w:bCs/>
          <w:color w:val="000000" w:themeColor="text1"/>
        </w:rPr>
      </w:pPr>
    </w:p>
    <w:p w14:paraId="21B2595C"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Co se týče přechodu na klimatickou neutralitu a inteligentní sektorovou integraci, předpokládá se, že v budoucnu (po roce 2030) bude v energetickém mixu více intermitentních obnovitelných zdrojů energie (zejména větrné a solární elektrárny) a vysoká dostupnost plynárenské infrastruktury bude pro efektivní nasazování těchto zdrojů nezbytná. V ČR se již připravují pilotní projekty s cílem rozvíjet obnovitelné plyny a vyvíjet zařízení na konverzi energie (power-to-gas) a skladovací zařízení. Vláda ČR v září 2019 schválila Národní akční plán pro chytré sítě (NAP SG), který má za cíl vytvořit podmínky pro vyšší penetraci decentralizovaných, zejména obnovitelných zdrojů elektřiny, akumulace a elektromobility a zvýšit spolehlivost, kvalitu a bezpečnost dodávek elektrické energie.</w:t>
      </w:r>
    </w:p>
    <w:p w14:paraId="521ADC50"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ČR souhlasí, že v rámci průmyslové strategie je třeba věnovat zvláštní pozornost odvětvím spojeným s udržitelnou a inteligentní mobilitou a že je potřeba podpořit konkurenceschopnost evropského automobilového, leteckého, železničního a loďařského průmyslu. Sdělení je však v tomto ohledu velmi obecné a de facto obsahuje jen stručnou zmínku o záměru Komise předložit Komplexní strategii pro udržitelnou a inteligentní mobilitu, která by měla nahradit současnou Bílou knihu o dopravě z roku 2011. ČR souhlasí s tím, že pro budoucnost zmiňovaných odvětví je zásadní, aby udržela své celosvětové technologické prvenství, zůstala na špičce ve výzkumu a inovacích, a podařilo se jim vybudovat potřebnou infrastrukturu. ČR očekává, že součástí komplexní strategie bude téma autonomní mobility, která představuje jeden z hlavních trendů v dopravě s celospolečenských potenciálem zvýšit bezpečnost dopravy a její dostupnost. Vývoj a využití technologií nezbytných pro její zavádění pak z pohledu ČR představují příležitost, jak posílit pozici evropského průmyslu a jeho sektorů s primární či sekundární vazbou na dopravu.</w:t>
      </w:r>
    </w:p>
    <w:p w14:paraId="6B82C43F"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Náklady nejsou samostatně odhadovány, budou vyčíslovány v příslušných oblastech regulace a implementace (např. energetika, klima a životní prostředí, omezování emisí, zahraniční obchod apod.). </w:t>
      </w:r>
    </w:p>
    <w:p w14:paraId="12AFA744" w14:textId="77777777" w:rsidR="007C73C5" w:rsidRPr="008D7F3D" w:rsidRDefault="007C73C5" w:rsidP="006236A9">
      <w:pPr>
        <w:spacing w:after="120"/>
        <w:rPr>
          <w:rFonts w:ascii="Times New Roman" w:hAnsi="Times New Roman" w:cs="Times New Roman"/>
          <w:bCs/>
          <w:color w:val="000000" w:themeColor="text1"/>
        </w:rPr>
      </w:pPr>
    </w:p>
    <w:p w14:paraId="77B09146"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Náklady ponesou především podnikatelé, občané, případně stát (ev. EU), bude-li poskytovat podpůrná opatření.</w:t>
      </w:r>
    </w:p>
    <w:p w14:paraId="4BC225C3" w14:textId="77777777" w:rsidR="006236A9" w:rsidRPr="008D7F3D" w:rsidRDefault="006236A9" w:rsidP="006236A9">
      <w:pPr>
        <w:spacing w:after="120"/>
        <w:rPr>
          <w:rFonts w:ascii="Times New Roman" w:hAnsi="Times New Roman" w:cs="Times New Roman"/>
          <w:color w:val="000000" w:themeColor="text1"/>
        </w:rPr>
      </w:pPr>
    </w:p>
    <w:p w14:paraId="722F8314" w14:textId="77777777" w:rsidR="00345CD7" w:rsidRDefault="00345CD7">
      <w:pPr>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br w:type="page"/>
      </w:r>
    </w:p>
    <w:p w14:paraId="23C47CEB" w14:textId="77777777" w:rsidR="006236A9" w:rsidRPr="00345CD7" w:rsidRDefault="00345CD7" w:rsidP="00345CD7">
      <w:pPr>
        <w:spacing w:after="60" w:line="240" w:lineRule="auto"/>
        <w:jc w:val="both"/>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t>E</w:t>
      </w:r>
      <w:r w:rsidR="006236A9" w:rsidRPr="00345CD7">
        <w:rPr>
          <w:rFonts w:ascii="Times New Roman" w:hAnsi="Times New Roman" w:cs="Times New Roman"/>
          <w:b/>
          <w:color w:val="000000" w:themeColor="text1"/>
          <w:u w:val="single"/>
          <w:lang w:eastAsia="en-GB"/>
        </w:rPr>
        <w:t>nergeticky náročn</w:t>
      </w:r>
      <w:r>
        <w:rPr>
          <w:rFonts w:ascii="Times New Roman" w:hAnsi="Times New Roman" w:cs="Times New Roman"/>
          <w:b/>
          <w:color w:val="000000" w:themeColor="text1"/>
          <w:u w:val="single"/>
          <w:lang w:eastAsia="en-GB"/>
        </w:rPr>
        <w:t>á</w:t>
      </w:r>
      <w:r w:rsidR="006236A9" w:rsidRPr="00345CD7">
        <w:rPr>
          <w:rFonts w:ascii="Times New Roman" w:hAnsi="Times New Roman" w:cs="Times New Roman"/>
          <w:b/>
          <w:color w:val="000000" w:themeColor="text1"/>
          <w:u w:val="single"/>
          <w:lang w:eastAsia="en-GB"/>
        </w:rPr>
        <w:t xml:space="preserve"> odvětví</w:t>
      </w:r>
    </w:p>
    <w:p w14:paraId="43F91784" w14:textId="77777777" w:rsidR="006236A9" w:rsidRPr="008D7F3D" w:rsidRDefault="006236A9" w:rsidP="007C73C5">
      <w:pPr>
        <w:spacing w:after="120" w:line="240" w:lineRule="auto"/>
        <w:ind w:left="720"/>
        <w:contextualSpacing/>
        <w:rPr>
          <w:rFonts w:ascii="Times New Roman" w:hAnsi="Times New Roman" w:cs="Times New Roman"/>
          <w:b/>
          <w:bCs/>
          <w:color w:val="000000" w:themeColor="text1"/>
        </w:rPr>
      </w:pPr>
    </w:p>
    <w:p w14:paraId="4607FC1E"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Dle ČR jsou energeticky náročná průmyslová odvětví, na nichž závisí další odvětví, pro evropskou ekonomiku nepostradatelná, proto je jejich modernizace a dekarbonizace prioritní. Pro tato odvětví je další významnější snižování emisí skleníkových plynů velkou výzvou a současně hrozbou z hlediska mezinárodní konkurence. Pro zachování konkurenceschopnosti musí být pravidelně hodnocena stávající opatření a popřípadě přijata adekvátní opatření nová pro jejich modernizaci a zároveň i ochranu. Dle ČR je nezbytné, aby klimatické úsilí EU bylo doprovázeno globálním zapojením největších znečišťovatelů, a zároveň je třeba, aby Unie podnikala konkrétní kroky, které k tomuto zapojení povedou (obchodní dohody, celosvětové rozšiřování trhu s uhlíkem apod.). </w:t>
      </w:r>
    </w:p>
    <w:p w14:paraId="3B5FEA95"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ČR vítá, že Komise bude podporovat přelomové technologie výroby čisté oceli.  ČR kvituje záměr Komise předložit Strategii EU pro čistou ocel a strategii pro udržitelnost v oblasti chemických látek. Oceňuje, že další rozsáhlé inovativní projekty na podporu čistých výrobků ve všech energeticky náročných odvětvích pomůže realizovat Inovační fond v systému EU ETS. </w:t>
      </w:r>
    </w:p>
    <w:p w14:paraId="69B72E3E"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ČR také klade důraz na co nejvyšší míru využití dostupných prostředků pro naplnění ambicí Zelené dohody pro Evropu. Bez využití dostupných evropských zdrojů financí pro investice a bez výrazné mobilizace soukromého kapitálu do udržitelných projektů není dosažení klimaticky neutrální ekonomiky příliš pravděpodobné.</w:t>
      </w:r>
    </w:p>
    <w:p w14:paraId="3375F1BE" w14:textId="77777777" w:rsidR="006236A9" w:rsidRPr="008D7F3D" w:rsidRDefault="006236A9" w:rsidP="006236A9">
      <w:pPr>
        <w:spacing w:after="120"/>
        <w:contextualSpacing/>
        <w:rPr>
          <w:rFonts w:ascii="Times New Roman" w:hAnsi="Times New Roman" w:cs="Times New Roman"/>
          <w:b/>
          <w:bCs/>
          <w:color w:val="000000" w:themeColor="text1"/>
        </w:rPr>
      </w:pPr>
    </w:p>
    <w:p w14:paraId="4EC7CB1B"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ČR je otevřena diskusi o mechanismu kompenzačních opatření mezi státy v souvislosti s uhlíkem. Kromě nutnosti, aby byl mechanismus kompatibilní s pravidly WTO, zdůrazňuje ČR důležitost posouzení možných dopadů na evropské hospodářství jako celek, a to včetně dopadů na navazující odvětví, jež mohou být na dovozech závislá, aby nedošlo k podkopání evropské konkurenceschopnosti, potažmo konkurenceschopnosti českých podniků s ohledem na vysokou míru jejich zapojení do globálních hodnotových řetězců. V této věci je nutné nalezení rovnováhy mezi ochranou životního prostředí, resp. klimatu na straně jedné a pravidly volného mezinárodního obchodu na straně druhé. </w:t>
      </w:r>
    </w:p>
    <w:p w14:paraId="61C7B6C7"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ČR rovněž považuje za nutné, aby opatření měla komplexní charakter a před únikem uhlíku nechránila pouze primární produkci, ale i na ni navázaný zpracovatelský průmysl. Při posuzování zavádění mechanismu kompenzačních opatření je dle ČR zásadní mít na zřeteli existující hlavní unijní nástroj na snižování emisí skleníkových plynů, tedy současný systém obchodování s emisními povolenkami (EU ETS), a rovněž zohlednit další nástroje určující cenu uhlíku. ČR v této věci očekává předložení podrobné právně-ekonomické analýzy ze strany Komise.</w:t>
      </w:r>
    </w:p>
    <w:p w14:paraId="45BBE6AE" w14:textId="77777777" w:rsidR="006236A9" w:rsidRPr="008D7F3D" w:rsidRDefault="006236A9" w:rsidP="006236A9">
      <w:pPr>
        <w:pStyle w:val="Odstavecseseznamem"/>
        <w:spacing w:after="120"/>
        <w:rPr>
          <w:rFonts w:ascii="Times New Roman" w:hAnsi="Times New Roman" w:cs="Times New Roman"/>
          <w:b/>
          <w:bCs/>
          <w:color w:val="000000" w:themeColor="text1"/>
        </w:rPr>
      </w:pPr>
    </w:p>
    <w:p w14:paraId="548D7AC0"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 xml:space="preserve">Náklady nejsou samostatně odhadovány, budou vyčíslovány v příslušných oblastech regulace a implementace (např. energetika, klima a životní prostředí, omezování emisí, zahraniční obchod apod.).  </w:t>
      </w:r>
    </w:p>
    <w:p w14:paraId="52AAF3E9" w14:textId="77777777" w:rsidR="006236A9" w:rsidRPr="008D7F3D" w:rsidRDefault="006236A9" w:rsidP="006236A9">
      <w:pPr>
        <w:pStyle w:val="Odstavecseseznamem"/>
        <w:rPr>
          <w:rFonts w:ascii="Times New Roman" w:hAnsi="Times New Roman" w:cs="Times New Roman"/>
          <w:b/>
          <w:bCs/>
          <w:color w:val="000000" w:themeColor="text1"/>
        </w:rPr>
      </w:pPr>
    </w:p>
    <w:p w14:paraId="035C1B86" w14:textId="77777777" w:rsidR="006236A9" w:rsidRPr="008D7F3D" w:rsidRDefault="006236A9" w:rsidP="006236A9">
      <w:pPr>
        <w:spacing w:after="120"/>
        <w:rPr>
          <w:rFonts w:ascii="Times New Roman" w:hAnsi="Times New Roman" w:cs="Times New Roman"/>
          <w:bCs/>
          <w:color w:val="000000" w:themeColor="text1"/>
        </w:rPr>
      </w:pPr>
      <w:r w:rsidRPr="008D7F3D">
        <w:rPr>
          <w:rFonts w:ascii="Times New Roman" w:hAnsi="Times New Roman" w:cs="Times New Roman"/>
          <w:bCs/>
          <w:color w:val="000000" w:themeColor="text1"/>
        </w:rPr>
        <w:t>Náklady ponesou především podnikatelé, občané, případně stát (ev. EU), bude-li poskytovat podpůrná opatření.</w:t>
      </w:r>
    </w:p>
    <w:p w14:paraId="7F988A0A" w14:textId="77777777" w:rsidR="006236A9" w:rsidRPr="008D7F3D" w:rsidRDefault="006236A9" w:rsidP="002920BD">
      <w:pPr>
        <w:jc w:val="both"/>
        <w:rPr>
          <w:rFonts w:ascii="Times New Roman" w:hAnsi="Times New Roman" w:cs="Times New Roman"/>
          <w:i/>
          <w:color w:val="000000" w:themeColor="text1"/>
        </w:rPr>
      </w:pPr>
    </w:p>
    <w:p w14:paraId="19F4A1D6" w14:textId="77777777" w:rsidR="00AD43E3" w:rsidRPr="008D7F3D" w:rsidRDefault="00AD43E3" w:rsidP="002920BD">
      <w:pPr>
        <w:jc w:val="both"/>
        <w:rPr>
          <w:rFonts w:ascii="Times New Roman" w:hAnsi="Times New Roman" w:cs="Times New Roman"/>
          <w:i/>
          <w:color w:val="000000" w:themeColor="text1"/>
        </w:rPr>
      </w:pPr>
    </w:p>
    <w:p w14:paraId="58F1607D" w14:textId="77777777" w:rsidR="007C73C5" w:rsidRPr="008D7F3D" w:rsidRDefault="007C73C5" w:rsidP="002920BD">
      <w:pPr>
        <w:jc w:val="both"/>
        <w:rPr>
          <w:rFonts w:ascii="Times New Roman" w:hAnsi="Times New Roman" w:cs="Times New Roman"/>
          <w:i/>
          <w:color w:val="000000" w:themeColor="text1"/>
        </w:rPr>
      </w:pPr>
    </w:p>
    <w:p w14:paraId="3F0F7BC5" w14:textId="77777777" w:rsidR="00345CD7" w:rsidRDefault="00345CD7">
      <w:pPr>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br w:type="page"/>
      </w:r>
    </w:p>
    <w:p w14:paraId="500BFEAB" w14:textId="77777777" w:rsidR="00AD43E3" w:rsidRPr="00345CD7" w:rsidRDefault="00345CD7" w:rsidP="00345CD7">
      <w:pPr>
        <w:spacing w:after="60" w:line="240" w:lineRule="auto"/>
        <w:jc w:val="both"/>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t>P</w:t>
      </w:r>
      <w:r w:rsidR="007E6E13" w:rsidRPr="00345CD7">
        <w:rPr>
          <w:rFonts w:ascii="Times New Roman" w:hAnsi="Times New Roman" w:cs="Times New Roman"/>
          <w:b/>
          <w:color w:val="000000" w:themeColor="text1"/>
          <w:u w:val="single"/>
          <w:lang w:eastAsia="en-GB"/>
        </w:rPr>
        <w:t>lynárenství</w:t>
      </w:r>
      <w:r w:rsidR="00AD43E3" w:rsidRPr="00345CD7">
        <w:rPr>
          <w:rFonts w:ascii="Times New Roman" w:hAnsi="Times New Roman" w:cs="Times New Roman"/>
          <w:b/>
          <w:color w:val="000000" w:themeColor="text1"/>
          <w:u w:val="single"/>
          <w:lang w:eastAsia="en-GB"/>
        </w:rPr>
        <w:t xml:space="preserve"> </w:t>
      </w:r>
    </w:p>
    <w:p w14:paraId="7735D89C" w14:textId="77777777" w:rsidR="00AD43E3" w:rsidRPr="008D7F3D" w:rsidRDefault="00AD43E3" w:rsidP="00AD43E3">
      <w:pPr>
        <w:rPr>
          <w:rFonts w:ascii="Times New Roman" w:hAnsi="Times New Roman" w:cs="Times New Roman"/>
          <w:b/>
          <w:color w:val="000000" w:themeColor="text1"/>
          <w:u w:val="single"/>
        </w:rPr>
      </w:pPr>
    </w:p>
    <w:p w14:paraId="67C3C77D" w14:textId="77777777" w:rsidR="00AD43E3" w:rsidRPr="008D7F3D" w:rsidRDefault="00AD43E3" w:rsidP="00AD43E3">
      <w:pPr>
        <w:jc w:val="both"/>
        <w:rPr>
          <w:rFonts w:ascii="Times New Roman" w:hAnsi="Times New Roman" w:cs="Times New Roman"/>
          <w:color w:val="000000" w:themeColor="text1"/>
        </w:rPr>
      </w:pPr>
    </w:p>
    <w:p w14:paraId="5CC8F920" w14:textId="77777777" w:rsidR="00AD43E3" w:rsidRPr="008D7F3D" w:rsidRDefault="00AD43E3" w:rsidP="00AD43E3">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EGD tedy dekarbonizace plynárenství bude mít negativní vliv na přepravu a užití zemního plynu, neboť jeho spotřeba má být utlumována a postupně nahrazována jinými – dekarbonizovanými druhy plynu (zel. , modrý vodík, metan, biometan apod.). To bude mít následný vliv na ekonomiku, neboť výroba těchto plynů je významně dražší, navíc ty z nich, které budou mít </w:t>
      </w:r>
      <w:r w:rsidR="005F0170" w:rsidRPr="008D7F3D">
        <w:rPr>
          <w:rFonts w:ascii="Times New Roman" w:hAnsi="Times New Roman" w:cs="Times New Roman"/>
          <w:color w:val="000000" w:themeColor="text1"/>
        </w:rPr>
        <w:t>charakter</w:t>
      </w:r>
      <w:r w:rsidRPr="008D7F3D">
        <w:rPr>
          <w:rFonts w:ascii="Times New Roman" w:hAnsi="Times New Roman" w:cs="Times New Roman"/>
          <w:color w:val="000000" w:themeColor="text1"/>
        </w:rPr>
        <w:t xml:space="preserve"> OZE bude nutné finančně podpořit. Náklady na výrobu těchto plynů a jejich podporu, stejně jako náklady na úpravu stávající plynárenské infrastruktury, aby jí bylo možné bezpečně a spolehlivě přepravovat </w:t>
      </w:r>
      <w:r w:rsidR="005F0170" w:rsidRPr="008D7F3D">
        <w:rPr>
          <w:rFonts w:ascii="Times New Roman" w:hAnsi="Times New Roman" w:cs="Times New Roman"/>
          <w:color w:val="000000" w:themeColor="text1"/>
        </w:rPr>
        <w:t>i</w:t>
      </w:r>
      <w:r w:rsidRPr="008D7F3D">
        <w:rPr>
          <w:rFonts w:ascii="Times New Roman" w:hAnsi="Times New Roman" w:cs="Times New Roman"/>
          <w:color w:val="000000" w:themeColor="text1"/>
        </w:rPr>
        <w:t xml:space="preserve"> tyto nové druhy plynů nelze v současné době </w:t>
      </w:r>
      <w:r w:rsidR="005F0170" w:rsidRPr="008D7F3D">
        <w:rPr>
          <w:rFonts w:ascii="Times New Roman" w:hAnsi="Times New Roman" w:cs="Times New Roman"/>
          <w:color w:val="000000" w:themeColor="text1"/>
        </w:rPr>
        <w:t>seriózně</w:t>
      </w:r>
      <w:r w:rsidRPr="008D7F3D">
        <w:rPr>
          <w:rFonts w:ascii="Times New Roman" w:hAnsi="Times New Roman" w:cs="Times New Roman"/>
          <w:color w:val="000000" w:themeColor="text1"/>
        </w:rPr>
        <w:t xml:space="preserve"> odhadnout, ale zcela určitě půjde o řády </w:t>
      </w:r>
      <w:r w:rsidR="005F0170" w:rsidRPr="008D7F3D">
        <w:rPr>
          <w:rFonts w:ascii="Times New Roman" w:hAnsi="Times New Roman" w:cs="Times New Roman"/>
          <w:color w:val="000000" w:themeColor="text1"/>
        </w:rPr>
        <w:t>miliard</w:t>
      </w:r>
      <w:r w:rsidRPr="008D7F3D">
        <w:rPr>
          <w:rFonts w:ascii="Times New Roman" w:hAnsi="Times New Roman" w:cs="Times New Roman"/>
          <w:color w:val="000000" w:themeColor="text1"/>
        </w:rPr>
        <w:t xml:space="preserve"> a spíše desítky </w:t>
      </w:r>
      <w:r w:rsidR="005F0170" w:rsidRPr="008D7F3D">
        <w:rPr>
          <w:rFonts w:ascii="Times New Roman" w:hAnsi="Times New Roman" w:cs="Times New Roman"/>
          <w:color w:val="000000" w:themeColor="text1"/>
        </w:rPr>
        <w:t>miliard</w:t>
      </w:r>
      <w:r w:rsidRPr="008D7F3D">
        <w:rPr>
          <w:rFonts w:ascii="Times New Roman" w:hAnsi="Times New Roman" w:cs="Times New Roman"/>
          <w:color w:val="000000" w:themeColor="text1"/>
        </w:rPr>
        <w:t xml:space="preserve"> Kč. </w:t>
      </w:r>
    </w:p>
    <w:p w14:paraId="250A1DFD" w14:textId="77777777" w:rsidR="00AD43E3" w:rsidRPr="008D7F3D" w:rsidRDefault="00AD43E3" w:rsidP="00AD43E3">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Proto v našich pozicích zdůrazňujeme úlohu ZP jako nejčistšího fosilního paliva a jeho vliv na sektorovou integraci energetických </w:t>
      </w:r>
      <w:r w:rsidR="005F0170" w:rsidRPr="008D7F3D">
        <w:rPr>
          <w:rFonts w:ascii="Times New Roman" w:hAnsi="Times New Roman" w:cs="Times New Roman"/>
          <w:color w:val="000000" w:themeColor="text1"/>
        </w:rPr>
        <w:t>systémů – dekarbonizované</w:t>
      </w:r>
      <w:r w:rsidRPr="008D7F3D">
        <w:rPr>
          <w:rFonts w:ascii="Times New Roman" w:hAnsi="Times New Roman" w:cs="Times New Roman"/>
          <w:color w:val="000000" w:themeColor="text1"/>
        </w:rPr>
        <w:t xml:space="preserve"> plynárenství má potenciál poskytnout potřebné přepravní a uskladňovací kapacity, flexibilitu i bezpečnost dodávek v dekarbonizované energetice.</w:t>
      </w:r>
    </w:p>
    <w:p w14:paraId="102D32D4" w14:textId="77777777" w:rsidR="00AD43E3" w:rsidRPr="008D7F3D" w:rsidRDefault="00AD43E3" w:rsidP="002920BD">
      <w:pPr>
        <w:jc w:val="both"/>
        <w:rPr>
          <w:rFonts w:ascii="Times New Roman" w:hAnsi="Times New Roman" w:cs="Times New Roman"/>
          <w:i/>
          <w:color w:val="000000" w:themeColor="text1"/>
        </w:rPr>
      </w:pPr>
    </w:p>
    <w:p w14:paraId="3103A02B" w14:textId="77777777" w:rsidR="0002630D" w:rsidRPr="00345CD7" w:rsidRDefault="00345CD7" w:rsidP="00345CD7">
      <w:pPr>
        <w:spacing w:after="60" w:line="240" w:lineRule="auto"/>
        <w:jc w:val="both"/>
        <w:rPr>
          <w:rFonts w:ascii="Times New Roman" w:hAnsi="Times New Roman" w:cs="Times New Roman"/>
          <w:b/>
          <w:color w:val="000000" w:themeColor="text1"/>
          <w:u w:val="single"/>
          <w:lang w:eastAsia="en-GB"/>
        </w:rPr>
      </w:pPr>
      <w:r>
        <w:rPr>
          <w:rFonts w:ascii="Times New Roman" w:hAnsi="Times New Roman" w:cs="Times New Roman"/>
          <w:b/>
          <w:color w:val="000000" w:themeColor="text1"/>
          <w:u w:val="single"/>
          <w:lang w:eastAsia="en-GB"/>
        </w:rPr>
        <w:t>O</w:t>
      </w:r>
      <w:r w:rsidR="009E2403" w:rsidRPr="00345CD7">
        <w:rPr>
          <w:rFonts w:ascii="Times New Roman" w:hAnsi="Times New Roman" w:cs="Times New Roman"/>
          <w:b/>
          <w:color w:val="000000" w:themeColor="text1"/>
          <w:u w:val="single"/>
          <w:lang w:eastAsia="en-GB"/>
        </w:rPr>
        <w:t>bchodní politika</w:t>
      </w:r>
    </w:p>
    <w:p w14:paraId="73247174" w14:textId="77777777" w:rsidR="0002630D" w:rsidRPr="008D7F3D" w:rsidRDefault="0002630D" w:rsidP="0002630D">
      <w:pPr>
        <w:jc w:val="both"/>
        <w:rPr>
          <w:rFonts w:ascii="Times New Roman" w:hAnsi="Times New Roman" w:cs="Times New Roman"/>
          <w:color w:val="000000" w:themeColor="text1"/>
          <w:u w:val="single"/>
        </w:rPr>
      </w:pPr>
    </w:p>
    <w:p w14:paraId="58215531" w14:textId="77777777" w:rsidR="0002630D" w:rsidRPr="008D7F3D" w:rsidRDefault="0002630D" w:rsidP="0002630D">
      <w:pPr>
        <w:jc w:val="both"/>
        <w:rPr>
          <w:rFonts w:ascii="Times New Roman" w:hAnsi="Times New Roman" w:cs="Times New Roman"/>
          <w:color w:val="000000" w:themeColor="text1"/>
          <w:u w:val="single"/>
        </w:rPr>
      </w:pPr>
      <w:r w:rsidRPr="008D7F3D">
        <w:rPr>
          <w:rFonts w:ascii="Times New Roman" w:hAnsi="Times New Roman" w:cs="Times New Roman"/>
          <w:color w:val="000000" w:themeColor="text1"/>
          <w:u w:val="single"/>
        </w:rPr>
        <w:t>K části 3. EU jako globální lídr/obchodní politice</w:t>
      </w:r>
    </w:p>
    <w:p w14:paraId="11CE21EE" w14:textId="77777777" w:rsidR="0002630D" w:rsidRPr="008D7F3D" w:rsidRDefault="0002630D" w:rsidP="0002630D">
      <w:pPr>
        <w:jc w:val="both"/>
        <w:rPr>
          <w:rFonts w:ascii="Times New Roman" w:hAnsi="Times New Roman" w:cs="Times New Roman"/>
          <w:color w:val="000000" w:themeColor="text1"/>
          <w:u w:val="single"/>
        </w:rPr>
      </w:pPr>
      <w:r w:rsidRPr="008D7F3D">
        <w:rPr>
          <w:rFonts w:ascii="Times New Roman" w:hAnsi="Times New Roman" w:cs="Times New Roman"/>
          <w:color w:val="000000" w:themeColor="text1"/>
          <w:u w:val="single"/>
        </w:rPr>
        <w:t>Popis problematiky:</w:t>
      </w:r>
    </w:p>
    <w:p w14:paraId="2BF854DE" w14:textId="77777777" w:rsidR="0002630D" w:rsidRPr="008D7F3D" w:rsidRDefault="0002630D" w:rsidP="0002630D">
      <w:pPr>
        <w:pStyle w:val="Odstavecseseznamem"/>
        <w:numPr>
          <w:ilvl w:val="0"/>
          <w:numId w:val="22"/>
        </w:numPr>
        <w:spacing w:after="0" w:line="240" w:lineRule="auto"/>
        <w:jc w:val="both"/>
        <w:rPr>
          <w:rFonts w:ascii="Times New Roman" w:hAnsi="Times New Roman" w:cs="Times New Roman"/>
          <w:color w:val="000000" w:themeColor="text1"/>
          <w:u w:val="single"/>
        </w:rPr>
      </w:pPr>
      <w:r w:rsidRPr="008D7F3D">
        <w:rPr>
          <w:rFonts w:ascii="Times New Roman" w:hAnsi="Times New Roman" w:cs="Times New Roman"/>
          <w:color w:val="000000" w:themeColor="text1"/>
          <w:u w:val="single"/>
        </w:rPr>
        <w:t>obchodní politika na bilaterální úrovni</w:t>
      </w:r>
    </w:p>
    <w:p w14:paraId="70DCA555" w14:textId="77777777" w:rsidR="0002630D" w:rsidRPr="008D7F3D" w:rsidRDefault="0002630D" w:rsidP="0002630D">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V </w:t>
      </w:r>
      <w:r w:rsidR="005F0170" w:rsidRPr="008D7F3D">
        <w:rPr>
          <w:rFonts w:ascii="Times New Roman" w:hAnsi="Times New Roman" w:cs="Times New Roman"/>
          <w:color w:val="000000" w:themeColor="text1"/>
        </w:rPr>
        <w:t>rámci DG</w:t>
      </w:r>
      <w:r w:rsidRPr="008D7F3D">
        <w:rPr>
          <w:rFonts w:ascii="Times New Roman" w:hAnsi="Times New Roman" w:cs="Times New Roman"/>
          <w:color w:val="000000" w:themeColor="text1"/>
        </w:rPr>
        <w:t xml:space="preserve"> TRADE (Generální ředitelství EK pro obchod) </w:t>
      </w:r>
      <w:r w:rsidR="005F0170" w:rsidRPr="008D7F3D">
        <w:rPr>
          <w:rFonts w:ascii="Times New Roman" w:hAnsi="Times New Roman" w:cs="Times New Roman"/>
          <w:color w:val="000000" w:themeColor="text1"/>
        </w:rPr>
        <w:t>byl dne</w:t>
      </w:r>
      <w:r w:rsidRPr="008D7F3D">
        <w:rPr>
          <w:rFonts w:ascii="Times New Roman" w:hAnsi="Times New Roman" w:cs="Times New Roman"/>
          <w:color w:val="000000" w:themeColor="text1"/>
        </w:rPr>
        <w:t xml:space="preserve"> 24. 7. jmenován vrchní úředník pro dodržování obchodních dohod mezi EU a třetími zeměmi, kterým se stal Denis Redonnet. Jeho úkolem je zejména napomáhat vývozcům z EU co nejvíce využívat příležitostí plynoucích z dohod na partnerských trzích a vymáhat závazky v oblasti udržitelného rozvoje související s klimatickou agendou a pracovními právy. </w:t>
      </w:r>
    </w:p>
    <w:p w14:paraId="5BBFA22B" w14:textId="77777777" w:rsidR="0002630D" w:rsidRPr="008D7F3D" w:rsidRDefault="0002630D" w:rsidP="0002630D">
      <w:pPr>
        <w:jc w:val="both"/>
        <w:rPr>
          <w:rFonts w:ascii="Times New Roman" w:hAnsi="Times New Roman" w:cs="Times New Roman"/>
          <w:color w:val="000000" w:themeColor="text1"/>
        </w:rPr>
      </w:pPr>
      <w:r w:rsidRPr="008D7F3D">
        <w:rPr>
          <w:rFonts w:ascii="Times New Roman" w:hAnsi="Times New Roman" w:cs="Times New Roman"/>
          <w:color w:val="000000" w:themeColor="text1"/>
        </w:rPr>
        <w:t>Zcela poprvé by měl být boj proti klimatické změně v rámci procesu UNFCCC a Pařížské dohody zahrnut do dohody o volném obchodu mezi EU a UK jako základní element. Takové podmínění by umožnilo suspendování či ukončení dohody v případě porušení závazků v oblasti klimatu. Tato dohoda je však stále předmětem vyjednávání, není tedy jasné, zda bude závazek odsouhlasen.</w:t>
      </w:r>
    </w:p>
    <w:p w14:paraId="61BD21DD" w14:textId="77777777" w:rsidR="0002630D" w:rsidRPr="008D7F3D" w:rsidRDefault="0002630D" w:rsidP="0002630D">
      <w:pPr>
        <w:pStyle w:val="Odstavecseseznamem"/>
        <w:numPr>
          <w:ilvl w:val="0"/>
          <w:numId w:val="22"/>
        </w:numPr>
        <w:spacing w:after="0" w:line="240" w:lineRule="auto"/>
        <w:jc w:val="both"/>
        <w:rPr>
          <w:rFonts w:ascii="Times New Roman" w:hAnsi="Times New Roman" w:cs="Times New Roman"/>
          <w:color w:val="000000" w:themeColor="text1"/>
        </w:rPr>
      </w:pPr>
      <w:r w:rsidRPr="008D7F3D">
        <w:rPr>
          <w:rFonts w:ascii="Times New Roman" w:hAnsi="Times New Roman" w:cs="Times New Roman"/>
          <w:color w:val="000000" w:themeColor="text1"/>
        </w:rPr>
        <w:t>obchodní politika na multilaterální úrovni</w:t>
      </w:r>
    </w:p>
    <w:p w14:paraId="2FC8F7BF" w14:textId="77777777" w:rsidR="0002630D" w:rsidRPr="008D7F3D" w:rsidRDefault="0002630D" w:rsidP="0002630D">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EU podporuje obnovení jednání o liberalizaci obchodu s environmentálním zbožím a službami ve WTO ve vícestranném či mnohostranném formátu. V tomto duchu se také zasazovala o přijetí Společného ministerského prohlášení k obchodu a životnímu prostředí na připravované XII. Konferenci ministrů členů Světové obchodní organizace, která se měla uskutečnit v červnu 2020 v kazachstánském Nur-Sultanu a jejíž konání bylo z důvodu pandemie COVID-19 odsunuto. </w:t>
      </w:r>
    </w:p>
    <w:p w14:paraId="4BD539C5" w14:textId="77777777" w:rsidR="0002630D" w:rsidRPr="008D7F3D" w:rsidRDefault="0002630D" w:rsidP="0002630D">
      <w:pPr>
        <w:jc w:val="both"/>
        <w:rPr>
          <w:rFonts w:ascii="Times New Roman" w:hAnsi="Times New Roman" w:cs="Times New Roman"/>
          <w:color w:val="000000" w:themeColor="text1"/>
        </w:rPr>
      </w:pPr>
    </w:p>
    <w:p w14:paraId="4E161D2C" w14:textId="77777777" w:rsidR="0002630D" w:rsidRPr="008D7F3D" w:rsidRDefault="0002630D" w:rsidP="0002630D">
      <w:pPr>
        <w:jc w:val="both"/>
        <w:rPr>
          <w:rFonts w:ascii="Times New Roman" w:hAnsi="Times New Roman" w:cs="Times New Roman"/>
          <w:color w:val="000000" w:themeColor="text1"/>
          <w:u w:val="single"/>
        </w:rPr>
      </w:pPr>
      <w:r w:rsidRPr="008D7F3D">
        <w:rPr>
          <w:rFonts w:ascii="Times New Roman" w:hAnsi="Times New Roman" w:cs="Times New Roman"/>
          <w:color w:val="000000" w:themeColor="text1"/>
          <w:u w:val="single"/>
        </w:rPr>
        <w:t>Pozice ČR:</w:t>
      </w:r>
    </w:p>
    <w:p w14:paraId="4169FC52" w14:textId="77777777" w:rsidR="0002630D" w:rsidRPr="008D7F3D" w:rsidRDefault="0002630D" w:rsidP="0002630D">
      <w:pPr>
        <w:jc w:val="both"/>
        <w:rPr>
          <w:rFonts w:ascii="Times New Roman" w:hAnsi="Times New Roman" w:cs="Times New Roman"/>
          <w:color w:val="000000" w:themeColor="text1"/>
        </w:rPr>
      </w:pPr>
      <w:r w:rsidRPr="008D7F3D">
        <w:rPr>
          <w:rFonts w:ascii="Times New Roman" w:hAnsi="Times New Roman" w:cs="Times New Roman"/>
          <w:color w:val="000000" w:themeColor="text1"/>
        </w:rPr>
        <w:t>ČR se staví pozitivně ke jmenování nového vrchního úředníka pro dodržování obchodních dohod. Vzhledem k teprve nedávnému jmenování není jeho agenda plně nastavena, ale doufáme, že přispěje k dosažení efektivní implementace obchodních dohod. ČR nadále považuje propojení udržitelného rozvoje a obchodu za důležitý aspekt, nicméně zastává rezervovaný postoj k univerzálnímu zahrnování Pařížské úmluvy coby „základního prvku“ těchto dohod (viz rámcová pozice).</w:t>
      </w:r>
    </w:p>
    <w:p w14:paraId="1A01BFBE" w14:textId="77777777" w:rsidR="0002630D" w:rsidRPr="008D7F3D" w:rsidRDefault="0002630D" w:rsidP="0002630D">
      <w:pPr>
        <w:jc w:val="both"/>
        <w:rPr>
          <w:rFonts w:ascii="Times New Roman" w:hAnsi="Times New Roman" w:cs="Times New Roman"/>
          <w:color w:val="000000" w:themeColor="text1"/>
        </w:rPr>
      </w:pPr>
    </w:p>
    <w:p w14:paraId="5025895B" w14:textId="77777777" w:rsidR="0002630D" w:rsidRPr="008D7F3D" w:rsidRDefault="0002630D" w:rsidP="0002630D">
      <w:pPr>
        <w:jc w:val="both"/>
        <w:rPr>
          <w:rFonts w:ascii="Times New Roman" w:hAnsi="Times New Roman" w:cs="Times New Roman"/>
          <w:color w:val="000000" w:themeColor="text1"/>
        </w:rPr>
      </w:pPr>
      <w:r w:rsidRPr="008D7F3D">
        <w:rPr>
          <w:rFonts w:ascii="Times New Roman" w:hAnsi="Times New Roman" w:cs="Times New Roman"/>
          <w:color w:val="000000" w:themeColor="text1"/>
        </w:rPr>
        <w:t xml:space="preserve">ČR je dlouhodobým protagonistou liberalizace s environmentálním zbožím a službami, a také podporuje budoucí jednání o této iniciativě. </w:t>
      </w:r>
    </w:p>
    <w:p w14:paraId="4B133DC7" w14:textId="77777777" w:rsidR="0002630D" w:rsidRPr="008D7F3D" w:rsidRDefault="0002630D" w:rsidP="0002630D">
      <w:pPr>
        <w:jc w:val="both"/>
        <w:rPr>
          <w:rFonts w:ascii="Times New Roman" w:hAnsi="Times New Roman" w:cs="Times New Roman"/>
          <w:color w:val="000000" w:themeColor="text1"/>
        </w:rPr>
      </w:pPr>
    </w:p>
    <w:p w14:paraId="3C35CD57" w14:textId="77777777" w:rsidR="0002630D" w:rsidRPr="008D7F3D" w:rsidRDefault="0002630D" w:rsidP="0002630D">
      <w:pPr>
        <w:jc w:val="both"/>
        <w:rPr>
          <w:rFonts w:ascii="Times New Roman" w:hAnsi="Times New Roman" w:cs="Times New Roman"/>
          <w:color w:val="000000" w:themeColor="text1"/>
        </w:rPr>
      </w:pPr>
      <w:r w:rsidRPr="008D7F3D">
        <w:rPr>
          <w:rFonts w:ascii="Times New Roman" w:hAnsi="Times New Roman" w:cs="Times New Roman"/>
          <w:color w:val="000000" w:themeColor="text1"/>
        </w:rPr>
        <w:t>Pozn. k bodu 2.1.1. Zvyšování ambic EU v oblasti klimatu pro roky 2030 a 2050, tak v rámci příprav návrhu kompenzačního mechanismu (Carbon Border Adjustment Mechanism/CBAM) ČR nadále apeluje na slučitelnost návrhu směrnice ke CBAM s pravidly WTO a závazky EU.</w:t>
      </w:r>
    </w:p>
    <w:p w14:paraId="77135878" w14:textId="77777777" w:rsidR="0002630D" w:rsidRPr="008D7F3D" w:rsidRDefault="0002630D" w:rsidP="0002630D">
      <w:pPr>
        <w:rPr>
          <w:rFonts w:ascii="Times New Roman" w:hAnsi="Times New Roman" w:cs="Times New Roman"/>
          <w:color w:val="000000" w:themeColor="text1"/>
        </w:rPr>
      </w:pPr>
    </w:p>
    <w:p w14:paraId="3C35F9F1" w14:textId="77777777" w:rsidR="00621644" w:rsidRPr="008D7F3D" w:rsidRDefault="00621644" w:rsidP="00D03E78">
      <w:pPr>
        <w:spacing w:after="120"/>
        <w:jc w:val="both"/>
        <w:rPr>
          <w:rFonts w:ascii="Times New Roman" w:hAnsi="Times New Roman" w:cs="Times New Roman"/>
          <w:b/>
          <w:color w:val="000000" w:themeColor="text1"/>
          <w:u w:val="single"/>
        </w:rPr>
      </w:pPr>
    </w:p>
    <w:p w14:paraId="7DC2603F" w14:textId="77777777" w:rsidR="00621644" w:rsidRPr="008D7F3D" w:rsidRDefault="00621644" w:rsidP="00D03E78">
      <w:pPr>
        <w:spacing w:after="120"/>
        <w:jc w:val="both"/>
        <w:rPr>
          <w:rFonts w:ascii="Times New Roman" w:hAnsi="Times New Roman" w:cs="Times New Roman"/>
          <w:b/>
          <w:color w:val="000000" w:themeColor="text1"/>
          <w:u w:val="single"/>
        </w:rPr>
      </w:pPr>
    </w:p>
    <w:sectPr w:rsidR="00621644" w:rsidRPr="008D7F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B5133" w14:textId="77777777" w:rsidR="00372E38" w:rsidRDefault="00372E38" w:rsidP="00D34A6C">
      <w:pPr>
        <w:spacing w:after="0" w:line="240" w:lineRule="auto"/>
      </w:pPr>
      <w:r>
        <w:separator/>
      </w:r>
    </w:p>
  </w:endnote>
  <w:endnote w:type="continuationSeparator" w:id="0">
    <w:p w14:paraId="30496D4A" w14:textId="77777777" w:rsidR="00372E38" w:rsidRDefault="00372E38" w:rsidP="00D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1BBE" w14:textId="77777777" w:rsidR="001751A1" w:rsidRDefault="001751A1" w:rsidP="00D34A6C">
    <w:pPr>
      <w:pStyle w:val="Zpat"/>
      <w:jc w:val="center"/>
      <w:rPr>
        <w:rFonts w:asciiTheme="majorHAnsi" w:eastAsiaTheme="majorEastAsia" w:hAnsiTheme="majorHAnsi" w:cstheme="majorBidi"/>
        <w:color w:val="000000" w:themeColor="text1"/>
        <w:sz w:val="20"/>
        <w:szCs w:val="20"/>
      </w:rPr>
    </w:pPr>
  </w:p>
  <w:p w14:paraId="31901161" w14:textId="77777777" w:rsidR="001751A1" w:rsidRPr="00D34A6C" w:rsidRDefault="008D7F3D" w:rsidP="00D34A6C">
    <w:pPr>
      <w:pStyle w:val="Zpat"/>
      <w:jc w:val="center"/>
      <w:rPr>
        <w:color w:val="000000" w:themeColor="text1"/>
      </w:rPr>
    </w:pPr>
    <w:r>
      <w:rPr>
        <w:rFonts w:asciiTheme="majorHAnsi" w:eastAsiaTheme="majorEastAsia" w:hAnsiTheme="majorHAnsi" w:cstheme="majorBidi"/>
        <w:color w:val="000000" w:themeColor="text1"/>
        <w:sz w:val="20"/>
        <w:szCs w:val="20"/>
      </w:rPr>
      <w:t>-</w:t>
    </w:r>
    <w:r w:rsidR="001751A1" w:rsidRPr="00D34A6C">
      <w:rPr>
        <w:rFonts w:eastAsiaTheme="minorEastAsia"/>
        <w:color w:val="000000" w:themeColor="text1"/>
        <w:sz w:val="20"/>
        <w:szCs w:val="20"/>
      </w:rPr>
      <w:fldChar w:fldCharType="begin"/>
    </w:r>
    <w:r w:rsidR="001751A1" w:rsidRPr="00D34A6C">
      <w:rPr>
        <w:color w:val="000000" w:themeColor="text1"/>
        <w:sz w:val="20"/>
        <w:szCs w:val="20"/>
      </w:rPr>
      <w:instrText>PAGE    \* MERGEFORMAT</w:instrText>
    </w:r>
    <w:r w:rsidR="001751A1" w:rsidRPr="00D34A6C">
      <w:rPr>
        <w:rFonts w:eastAsiaTheme="minorEastAsia"/>
        <w:color w:val="000000" w:themeColor="text1"/>
        <w:sz w:val="20"/>
        <w:szCs w:val="20"/>
      </w:rPr>
      <w:fldChar w:fldCharType="separate"/>
    </w:r>
    <w:r w:rsidR="00345CD7" w:rsidRPr="00345CD7">
      <w:rPr>
        <w:rFonts w:asciiTheme="majorHAnsi" w:eastAsiaTheme="majorEastAsia" w:hAnsiTheme="majorHAnsi" w:cstheme="majorBidi"/>
        <w:noProof/>
        <w:color w:val="000000" w:themeColor="text1"/>
        <w:sz w:val="20"/>
        <w:szCs w:val="20"/>
      </w:rPr>
      <w:t>15</w:t>
    </w:r>
    <w:r w:rsidR="001751A1" w:rsidRPr="00D34A6C">
      <w:rPr>
        <w:rFonts w:asciiTheme="majorHAnsi" w:eastAsiaTheme="majorEastAsia" w:hAnsiTheme="majorHAnsi" w:cstheme="majorBidi"/>
        <w:color w:val="000000" w:themeColor="text1"/>
        <w:sz w:val="20"/>
        <w:szCs w:val="20"/>
      </w:rPr>
      <w:fldChar w:fldCharType="end"/>
    </w:r>
    <w:r>
      <w:rPr>
        <w:rFonts w:asciiTheme="majorHAnsi" w:eastAsiaTheme="majorEastAsia" w:hAnsiTheme="majorHAnsi" w:cstheme="majorBidi"/>
        <w:color w:val="000000" w:themeColor="text1"/>
        <w:sz w:val="20"/>
        <w:szCs w:val="20"/>
      </w:rPr>
      <w:t>-</w:t>
    </w:r>
    <w:r w:rsidR="001751A1">
      <w:rPr>
        <w:rFonts w:asciiTheme="majorHAnsi" w:eastAsiaTheme="majorEastAsia" w:hAnsiTheme="majorHAnsi" w:cstheme="majorBidi"/>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F5BC" w14:textId="77777777" w:rsidR="00372E38" w:rsidRDefault="00372E38" w:rsidP="00D34A6C">
      <w:pPr>
        <w:spacing w:after="0" w:line="240" w:lineRule="auto"/>
      </w:pPr>
      <w:r>
        <w:separator/>
      </w:r>
    </w:p>
  </w:footnote>
  <w:footnote w:type="continuationSeparator" w:id="0">
    <w:p w14:paraId="5CB35F44" w14:textId="77777777" w:rsidR="00372E38" w:rsidRDefault="00372E38" w:rsidP="00D34A6C">
      <w:pPr>
        <w:spacing w:after="0" w:line="240" w:lineRule="auto"/>
      </w:pPr>
      <w:r>
        <w:continuationSeparator/>
      </w:r>
    </w:p>
  </w:footnote>
  <w:footnote w:id="1">
    <w:p w14:paraId="5804A062" w14:textId="77777777" w:rsidR="001751A1" w:rsidRDefault="001751A1" w:rsidP="00D34A6C">
      <w:pPr>
        <w:pStyle w:val="Textpoznpodarou"/>
        <w:jc w:val="both"/>
        <w:rPr>
          <w:lang w:val="cs-CZ"/>
        </w:rPr>
      </w:pPr>
      <w:r>
        <w:rPr>
          <w:rStyle w:val="Znakapoznpodarou"/>
        </w:rPr>
        <w:footnoteRef/>
      </w:r>
      <w:r>
        <w:t xml:space="preserve"> </w:t>
      </w:r>
      <w:r>
        <w:rPr>
          <w:bCs/>
          <w:color w:val="000000"/>
          <w:lang w:val="cs-CZ"/>
        </w:rPr>
        <w:t>Počáteční náklady na kapitálové, personální a administrativní vybavení takové instituce by byly pravděpodobně velmi vysoké a časově náročné. Mezi státy EU přitom panuje shoda, že konsolidace evropské finanční architektury je skutečně nutná a je třeba jednat v krátkém časovém období.</w:t>
      </w:r>
    </w:p>
  </w:footnote>
  <w:footnote w:id="2">
    <w:p w14:paraId="4489A9E4" w14:textId="77777777" w:rsidR="001751A1" w:rsidRPr="001751A1" w:rsidRDefault="001751A1" w:rsidP="00192EA9">
      <w:pPr>
        <w:pStyle w:val="Textpoznpodarou"/>
        <w:jc w:val="both"/>
        <w:rPr>
          <w:rFonts w:ascii="Calibri" w:hAnsi="Calibri"/>
          <w:lang w:val="cs-CZ"/>
        </w:rPr>
      </w:pPr>
      <w:r>
        <w:rPr>
          <w:rStyle w:val="Znakapoznpodarou"/>
        </w:rPr>
        <w:footnoteRef/>
      </w:r>
      <w:r w:rsidRPr="001751A1">
        <w:rPr>
          <w:lang w:val="cs-CZ"/>
        </w:rPr>
        <w:t xml:space="preserve"> Viz nově uzavřená obchodní dohoda s Vietnamem. Co se týče obchodní politiky, ČR považuje propojení udržitelného rozvoje a obchodu za důležitý aspekt a podporujeme rovněž to, aby obchodní dohody přispívaly k realizaci závazků v oblasti klimatu vyplývajících z Pařížské dohody.</w:t>
      </w:r>
    </w:p>
  </w:footnote>
  <w:footnote w:id="3">
    <w:p w14:paraId="704764F2" w14:textId="77777777" w:rsidR="001751A1" w:rsidRPr="001751A1" w:rsidRDefault="001751A1" w:rsidP="00FC0856">
      <w:pPr>
        <w:pStyle w:val="Textpoznpodarou"/>
        <w:rPr>
          <w:lang w:val="cs-CZ"/>
        </w:rPr>
      </w:pPr>
      <w:r>
        <w:rPr>
          <w:rStyle w:val="Znakapoznpodarou"/>
        </w:rPr>
        <w:footnoteRef/>
      </w:r>
      <w:r w:rsidRPr="001751A1">
        <w:rPr>
          <w:lang w:val="cs-CZ"/>
        </w:rPr>
        <w:t xml:space="preserve"> </w:t>
      </w:r>
      <w:r w:rsidRPr="001751A1">
        <w:rPr>
          <w:lang w:val="cs-CZ"/>
        </w:rPr>
        <w:tab/>
        <w:t>Návrh nařízení Evropského parlamentu a Rady, kterým se zřizuje facilita na podporu oživení a odolnosti. Aktuálně je návrh projednáván v rámci Rady EU, na Pracovní skupině Finančních radů. Předsednictví v návaznosti na závěry Evropské rady ve dnech 17. – 21. července 2020 a zaslané písemné připomínky členských států připravilo revidovaný kompromisní návrh nařízení, který byl představen dne 24. července 2020.</w:t>
      </w:r>
    </w:p>
  </w:footnote>
  <w:footnote w:id="4">
    <w:p w14:paraId="7DF87EF0" w14:textId="77777777" w:rsidR="001751A1" w:rsidRDefault="001751A1" w:rsidP="00FC0856">
      <w:pPr>
        <w:rPr>
          <w:noProof/>
        </w:rPr>
      </w:pPr>
      <w:r>
        <w:rPr>
          <w:rStyle w:val="Znakapoznpodarou"/>
        </w:rPr>
        <w:footnoteRef/>
      </w:r>
      <w:r>
        <w:t xml:space="preserve"> </w:t>
      </w:r>
      <w:r>
        <w:tab/>
        <w:t xml:space="preserve">Dle fiche č. 76 Komise ze dne 23. června 2020 </w:t>
      </w:r>
      <w:r>
        <w:rPr>
          <w:i/>
        </w:rPr>
        <w:t>Multiannual Financial Framework (MFF) 2021-2027 and Recovery package - Climate mainstreaming</w:t>
      </w:r>
      <w:r>
        <w:t>.</w:t>
      </w:r>
      <w:r w:rsidRPr="00FC0856">
        <w:rPr>
          <w:noProof/>
        </w:rPr>
        <w:t xml:space="preserve"> </w:t>
      </w:r>
    </w:p>
    <w:p w14:paraId="412AB419" w14:textId="77777777" w:rsidR="001751A1" w:rsidRDefault="001751A1" w:rsidP="00FC0856">
      <w:pPr>
        <w:rPr>
          <w:noProof/>
        </w:rPr>
      </w:pPr>
    </w:p>
    <w:p w14:paraId="1E4C071D" w14:textId="77777777" w:rsidR="001751A1" w:rsidRDefault="001751A1" w:rsidP="00FC0856">
      <w:pPr>
        <w:rPr>
          <w:noProof/>
        </w:rPr>
      </w:pPr>
    </w:p>
    <w:p w14:paraId="65B9A9D1" w14:textId="77777777" w:rsidR="001751A1" w:rsidRDefault="001751A1" w:rsidP="00FC0856">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40"/>
    <w:multiLevelType w:val="hybridMultilevel"/>
    <w:tmpl w:val="8746E7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6B02AE"/>
    <w:multiLevelType w:val="hybridMultilevel"/>
    <w:tmpl w:val="5B3ED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4239B"/>
    <w:multiLevelType w:val="hybridMultilevel"/>
    <w:tmpl w:val="5FA2418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168643A9"/>
    <w:multiLevelType w:val="hybridMultilevel"/>
    <w:tmpl w:val="927C3A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E87C19"/>
    <w:multiLevelType w:val="hybridMultilevel"/>
    <w:tmpl w:val="2DA0BAC8"/>
    <w:lvl w:ilvl="0" w:tplc="8F52BB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055AF3"/>
    <w:multiLevelType w:val="hybridMultilevel"/>
    <w:tmpl w:val="4FAE3C74"/>
    <w:lvl w:ilvl="0" w:tplc="B3CC34C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2F1857C6"/>
    <w:multiLevelType w:val="hybridMultilevel"/>
    <w:tmpl w:val="1FDEEA3E"/>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7" w15:restartNumberingAfterBreak="0">
    <w:nsid w:val="2F4D4FC4"/>
    <w:multiLevelType w:val="hybridMultilevel"/>
    <w:tmpl w:val="FBFA57CC"/>
    <w:lvl w:ilvl="0" w:tplc="04050011">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FAD3AE0"/>
    <w:multiLevelType w:val="hybridMultilevel"/>
    <w:tmpl w:val="C248F16A"/>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8568" w:hanging="360"/>
      </w:pPr>
      <w:rPr>
        <w:rFonts w:ascii="Courier New" w:hAnsi="Courier New" w:cs="Courier New" w:hint="default"/>
      </w:rPr>
    </w:lvl>
    <w:lvl w:ilvl="2" w:tplc="04050005">
      <w:start w:val="1"/>
      <w:numFmt w:val="bullet"/>
      <w:lvlText w:val=""/>
      <w:lvlJc w:val="left"/>
      <w:pPr>
        <w:ind w:left="9288" w:hanging="360"/>
      </w:pPr>
      <w:rPr>
        <w:rFonts w:ascii="Wingdings" w:hAnsi="Wingdings" w:hint="default"/>
      </w:rPr>
    </w:lvl>
    <w:lvl w:ilvl="3" w:tplc="04050001">
      <w:start w:val="1"/>
      <w:numFmt w:val="bullet"/>
      <w:lvlText w:val=""/>
      <w:lvlJc w:val="left"/>
      <w:pPr>
        <w:ind w:left="10008" w:hanging="360"/>
      </w:pPr>
      <w:rPr>
        <w:rFonts w:ascii="Symbol" w:hAnsi="Symbol" w:hint="default"/>
      </w:rPr>
    </w:lvl>
    <w:lvl w:ilvl="4" w:tplc="04050003">
      <w:start w:val="1"/>
      <w:numFmt w:val="bullet"/>
      <w:lvlText w:val="o"/>
      <w:lvlJc w:val="left"/>
      <w:pPr>
        <w:ind w:left="10728" w:hanging="360"/>
      </w:pPr>
      <w:rPr>
        <w:rFonts w:ascii="Courier New" w:hAnsi="Courier New" w:cs="Courier New" w:hint="default"/>
      </w:rPr>
    </w:lvl>
    <w:lvl w:ilvl="5" w:tplc="04050005">
      <w:start w:val="1"/>
      <w:numFmt w:val="bullet"/>
      <w:lvlText w:val=""/>
      <w:lvlJc w:val="left"/>
      <w:pPr>
        <w:ind w:left="11448" w:hanging="360"/>
      </w:pPr>
      <w:rPr>
        <w:rFonts w:ascii="Wingdings" w:hAnsi="Wingdings" w:hint="default"/>
      </w:rPr>
    </w:lvl>
    <w:lvl w:ilvl="6" w:tplc="04050001">
      <w:start w:val="1"/>
      <w:numFmt w:val="bullet"/>
      <w:lvlText w:val=""/>
      <w:lvlJc w:val="left"/>
      <w:pPr>
        <w:ind w:left="12168" w:hanging="360"/>
      </w:pPr>
      <w:rPr>
        <w:rFonts w:ascii="Symbol" w:hAnsi="Symbol" w:hint="default"/>
      </w:rPr>
    </w:lvl>
    <w:lvl w:ilvl="7" w:tplc="04050003">
      <w:start w:val="1"/>
      <w:numFmt w:val="bullet"/>
      <w:lvlText w:val="o"/>
      <w:lvlJc w:val="left"/>
      <w:pPr>
        <w:ind w:left="12888" w:hanging="360"/>
      </w:pPr>
      <w:rPr>
        <w:rFonts w:ascii="Courier New" w:hAnsi="Courier New" w:cs="Courier New" w:hint="default"/>
      </w:rPr>
    </w:lvl>
    <w:lvl w:ilvl="8" w:tplc="04050005">
      <w:start w:val="1"/>
      <w:numFmt w:val="bullet"/>
      <w:lvlText w:val=""/>
      <w:lvlJc w:val="left"/>
      <w:pPr>
        <w:ind w:left="13608" w:hanging="360"/>
      </w:pPr>
      <w:rPr>
        <w:rFonts w:ascii="Wingdings" w:hAnsi="Wingdings" w:hint="default"/>
      </w:rPr>
    </w:lvl>
  </w:abstractNum>
  <w:abstractNum w:abstractNumId="9" w15:restartNumberingAfterBreak="0">
    <w:nsid w:val="390C35D0"/>
    <w:multiLevelType w:val="hybridMultilevel"/>
    <w:tmpl w:val="EC5E59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2311FD"/>
    <w:multiLevelType w:val="hybridMultilevel"/>
    <w:tmpl w:val="EB1C51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DFB756C"/>
    <w:multiLevelType w:val="hybridMultilevel"/>
    <w:tmpl w:val="AE6E2518"/>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4328199A"/>
    <w:multiLevelType w:val="hybridMultilevel"/>
    <w:tmpl w:val="424E2A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7AB209B"/>
    <w:multiLevelType w:val="hybridMultilevel"/>
    <w:tmpl w:val="75F81F48"/>
    <w:lvl w:ilvl="0" w:tplc="E15AD150">
      <w:start w:val="1"/>
      <w:numFmt w:val="lowerLetter"/>
      <w:lvlText w:val="%1)"/>
      <w:lvlJc w:val="left"/>
      <w:pPr>
        <w:ind w:left="750" w:hanging="39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E1A982C"/>
    <w:multiLevelType w:val="multilevel"/>
    <w:tmpl w:val="F8F8C3D6"/>
    <w:name w:val="ListBulletNumbering"/>
    <w:lvl w:ilvl="0">
      <w:start w:val="1"/>
      <w:numFmt w:val="bullet"/>
      <w:pStyle w:val="Seznamsodrkami"/>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5" w15:restartNumberingAfterBreak="0">
    <w:nsid w:val="4EB663DB"/>
    <w:multiLevelType w:val="hybridMultilevel"/>
    <w:tmpl w:val="750E33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FB2637"/>
    <w:multiLevelType w:val="hybridMultilevel"/>
    <w:tmpl w:val="9D88D9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2576220"/>
    <w:multiLevelType w:val="hybridMultilevel"/>
    <w:tmpl w:val="9D88D9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64F2701"/>
    <w:multiLevelType w:val="multilevel"/>
    <w:tmpl w:val="FFE24D5C"/>
    <w:lvl w:ilvl="0">
      <w:start w:val="2"/>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15:restartNumberingAfterBreak="0">
    <w:nsid w:val="66A04F5A"/>
    <w:multiLevelType w:val="hybridMultilevel"/>
    <w:tmpl w:val="E1BA61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AA205D1"/>
    <w:multiLevelType w:val="hybridMultilevel"/>
    <w:tmpl w:val="408A5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ADD7CED"/>
    <w:multiLevelType w:val="hybridMultilevel"/>
    <w:tmpl w:val="0A0A78B2"/>
    <w:lvl w:ilvl="0" w:tplc="C11E1514">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90F0DF5"/>
    <w:multiLevelType w:val="hybridMultilevel"/>
    <w:tmpl w:val="52FABE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E8C1697"/>
    <w:multiLevelType w:val="hybridMultilevel"/>
    <w:tmpl w:val="9D88D9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15"/>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9"/>
  </w:num>
  <w:num w:numId="18">
    <w:abstractNumId w:val="14"/>
  </w:num>
  <w:num w:numId="19">
    <w:abstractNumId w:val="17"/>
  </w:num>
  <w:num w:numId="20">
    <w:abstractNumId w:val="23"/>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ED"/>
    <w:rsid w:val="0000261D"/>
    <w:rsid w:val="0002630D"/>
    <w:rsid w:val="0003013C"/>
    <w:rsid w:val="00045ECC"/>
    <w:rsid w:val="000539EA"/>
    <w:rsid w:val="000A0DA1"/>
    <w:rsid w:val="000D27EE"/>
    <w:rsid w:val="00103A55"/>
    <w:rsid w:val="001079D5"/>
    <w:rsid w:val="00110F05"/>
    <w:rsid w:val="001321DD"/>
    <w:rsid w:val="001611B8"/>
    <w:rsid w:val="00163E7D"/>
    <w:rsid w:val="001751A1"/>
    <w:rsid w:val="001831CF"/>
    <w:rsid w:val="00192EA9"/>
    <w:rsid w:val="001A3457"/>
    <w:rsid w:val="001C0C66"/>
    <w:rsid w:val="001C169E"/>
    <w:rsid w:val="001D3B6F"/>
    <w:rsid w:val="001F0D71"/>
    <w:rsid w:val="002435BD"/>
    <w:rsid w:val="00243B0E"/>
    <w:rsid w:val="00245269"/>
    <w:rsid w:val="002746D6"/>
    <w:rsid w:val="00274B8D"/>
    <w:rsid w:val="002920BD"/>
    <w:rsid w:val="0029452F"/>
    <w:rsid w:val="002B1A37"/>
    <w:rsid w:val="002B528C"/>
    <w:rsid w:val="002C140B"/>
    <w:rsid w:val="002C7782"/>
    <w:rsid w:val="002F509A"/>
    <w:rsid w:val="00340991"/>
    <w:rsid w:val="00345CD7"/>
    <w:rsid w:val="00362008"/>
    <w:rsid w:val="00372E38"/>
    <w:rsid w:val="00390DBE"/>
    <w:rsid w:val="003C3610"/>
    <w:rsid w:val="003D3853"/>
    <w:rsid w:val="003D713F"/>
    <w:rsid w:val="00433209"/>
    <w:rsid w:val="00451E42"/>
    <w:rsid w:val="004721F4"/>
    <w:rsid w:val="00475748"/>
    <w:rsid w:val="004B5B75"/>
    <w:rsid w:val="004E19B0"/>
    <w:rsid w:val="004E4EE8"/>
    <w:rsid w:val="00514DB9"/>
    <w:rsid w:val="00537D7E"/>
    <w:rsid w:val="00541141"/>
    <w:rsid w:val="00564AEA"/>
    <w:rsid w:val="00573469"/>
    <w:rsid w:val="005D40F3"/>
    <w:rsid w:val="005D5FF0"/>
    <w:rsid w:val="005D6BB1"/>
    <w:rsid w:val="005F0170"/>
    <w:rsid w:val="00606EED"/>
    <w:rsid w:val="00621644"/>
    <w:rsid w:val="006236A9"/>
    <w:rsid w:val="006357F1"/>
    <w:rsid w:val="00647BE4"/>
    <w:rsid w:val="00667031"/>
    <w:rsid w:val="006704A7"/>
    <w:rsid w:val="00676472"/>
    <w:rsid w:val="006B2A37"/>
    <w:rsid w:val="006B7B31"/>
    <w:rsid w:val="006C37B9"/>
    <w:rsid w:val="006D20CD"/>
    <w:rsid w:val="006E2ECB"/>
    <w:rsid w:val="006F7B69"/>
    <w:rsid w:val="00703EDB"/>
    <w:rsid w:val="00716E3B"/>
    <w:rsid w:val="0073073E"/>
    <w:rsid w:val="007865FD"/>
    <w:rsid w:val="007C4806"/>
    <w:rsid w:val="007C73C5"/>
    <w:rsid w:val="007E6E13"/>
    <w:rsid w:val="008029BB"/>
    <w:rsid w:val="00836E70"/>
    <w:rsid w:val="00844CCB"/>
    <w:rsid w:val="008A7306"/>
    <w:rsid w:val="008B66F5"/>
    <w:rsid w:val="008B77BD"/>
    <w:rsid w:val="008C4702"/>
    <w:rsid w:val="008D79D8"/>
    <w:rsid w:val="008D7F3D"/>
    <w:rsid w:val="0092236C"/>
    <w:rsid w:val="009233F2"/>
    <w:rsid w:val="00933147"/>
    <w:rsid w:val="00943050"/>
    <w:rsid w:val="00964024"/>
    <w:rsid w:val="00972FFB"/>
    <w:rsid w:val="009857E2"/>
    <w:rsid w:val="009A0D6C"/>
    <w:rsid w:val="009E2403"/>
    <w:rsid w:val="009E5315"/>
    <w:rsid w:val="00A03A04"/>
    <w:rsid w:val="00A2339A"/>
    <w:rsid w:val="00A2774E"/>
    <w:rsid w:val="00A5521A"/>
    <w:rsid w:val="00A874DF"/>
    <w:rsid w:val="00A92249"/>
    <w:rsid w:val="00AA0A50"/>
    <w:rsid w:val="00AB6494"/>
    <w:rsid w:val="00AD43E3"/>
    <w:rsid w:val="00AE29F8"/>
    <w:rsid w:val="00AF1CD6"/>
    <w:rsid w:val="00AF1D89"/>
    <w:rsid w:val="00B03C45"/>
    <w:rsid w:val="00B11188"/>
    <w:rsid w:val="00B23E37"/>
    <w:rsid w:val="00B52D3A"/>
    <w:rsid w:val="00B56F85"/>
    <w:rsid w:val="00B70BCA"/>
    <w:rsid w:val="00B8326C"/>
    <w:rsid w:val="00BA0E22"/>
    <w:rsid w:val="00BC0902"/>
    <w:rsid w:val="00C03909"/>
    <w:rsid w:val="00C10726"/>
    <w:rsid w:val="00C25D4D"/>
    <w:rsid w:val="00C615FE"/>
    <w:rsid w:val="00C62BEF"/>
    <w:rsid w:val="00C6439C"/>
    <w:rsid w:val="00C73B67"/>
    <w:rsid w:val="00C75782"/>
    <w:rsid w:val="00C757AA"/>
    <w:rsid w:val="00CA11A4"/>
    <w:rsid w:val="00D03E78"/>
    <w:rsid w:val="00D23AB4"/>
    <w:rsid w:val="00D34A6C"/>
    <w:rsid w:val="00D603DF"/>
    <w:rsid w:val="00D91B72"/>
    <w:rsid w:val="00DA03BA"/>
    <w:rsid w:val="00DA7A31"/>
    <w:rsid w:val="00DD193B"/>
    <w:rsid w:val="00DE0733"/>
    <w:rsid w:val="00DE6D3F"/>
    <w:rsid w:val="00DF396C"/>
    <w:rsid w:val="00E10049"/>
    <w:rsid w:val="00E22598"/>
    <w:rsid w:val="00E33A81"/>
    <w:rsid w:val="00E3784D"/>
    <w:rsid w:val="00E47B4F"/>
    <w:rsid w:val="00E71CCC"/>
    <w:rsid w:val="00EB3CDF"/>
    <w:rsid w:val="00EE7A16"/>
    <w:rsid w:val="00F156C2"/>
    <w:rsid w:val="00F16EAA"/>
    <w:rsid w:val="00F44AF5"/>
    <w:rsid w:val="00F63B66"/>
    <w:rsid w:val="00F9219E"/>
    <w:rsid w:val="00FB795F"/>
    <w:rsid w:val="00FC0856"/>
    <w:rsid w:val="00FC1D96"/>
    <w:rsid w:val="00FE1B00"/>
    <w:rsid w:val="00FE1B2A"/>
    <w:rsid w:val="00FE3FF1"/>
    <w:rsid w:val="00FF48CF"/>
    <w:rsid w:val="00FF6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298E"/>
  <w15:chartTrackingRefBased/>
  <w15:docId w15:val="{F3FCECA7-6356-4BE5-A106-28F3D4F5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7"/>
    <w:qFormat/>
    <w:rsid w:val="00DA03BA"/>
    <w:pPr>
      <w:keepNext/>
      <w:keepLines/>
      <w:spacing w:before="200" w:after="200" w:line="276" w:lineRule="auto"/>
      <w:ind w:left="432" w:hanging="432"/>
      <w:jc w:val="both"/>
      <w:outlineLvl w:val="0"/>
    </w:pPr>
    <w:rPr>
      <w:rFonts w:ascii="Times New Roman" w:eastAsiaTheme="majorEastAsia" w:hAnsi="Times New Roman" w:cs="Times New Roman"/>
      <w:b/>
      <w:sz w:val="28"/>
      <w:szCs w:val="32"/>
      <w:lang w:eastAsia="cs-CZ"/>
    </w:rPr>
  </w:style>
  <w:style w:type="paragraph" w:styleId="Nadpis3">
    <w:name w:val="heading 3"/>
    <w:basedOn w:val="Normln"/>
    <w:next w:val="Normln"/>
    <w:link w:val="Nadpis3Char"/>
    <w:uiPriority w:val="9"/>
    <w:semiHidden/>
    <w:unhideWhenUsed/>
    <w:qFormat/>
    <w:rsid w:val="00716E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6EED"/>
    <w:pPr>
      <w:ind w:left="720"/>
      <w:contextualSpacing/>
    </w:pPr>
  </w:style>
  <w:style w:type="character" w:styleId="Odkaznakoment">
    <w:name w:val="annotation reference"/>
    <w:basedOn w:val="Standardnpsmoodstavce"/>
    <w:uiPriority w:val="99"/>
    <w:semiHidden/>
    <w:unhideWhenUsed/>
    <w:rsid w:val="00C73B67"/>
    <w:rPr>
      <w:sz w:val="16"/>
      <w:szCs w:val="16"/>
    </w:rPr>
  </w:style>
  <w:style w:type="paragraph" w:styleId="Textkomente">
    <w:name w:val="annotation text"/>
    <w:basedOn w:val="Normln"/>
    <w:link w:val="TextkomenteChar"/>
    <w:uiPriority w:val="99"/>
    <w:semiHidden/>
    <w:unhideWhenUsed/>
    <w:rsid w:val="00C73B67"/>
    <w:pPr>
      <w:spacing w:line="240" w:lineRule="auto"/>
    </w:pPr>
    <w:rPr>
      <w:sz w:val="20"/>
      <w:szCs w:val="20"/>
    </w:rPr>
  </w:style>
  <w:style w:type="character" w:customStyle="1" w:styleId="TextkomenteChar">
    <w:name w:val="Text komentáře Char"/>
    <w:basedOn w:val="Standardnpsmoodstavce"/>
    <w:link w:val="Textkomente"/>
    <w:uiPriority w:val="99"/>
    <w:semiHidden/>
    <w:rsid w:val="00C73B67"/>
    <w:rPr>
      <w:sz w:val="20"/>
      <w:szCs w:val="20"/>
    </w:rPr>
  </w:style>
  <w:style w:type="paragraph" w:styleId="Pedmtkomente">
    <w:name w:val="annotation subject"/>
    <w:basedOn w:val="Textkomente"/>
    <w:next w:val="Textkomente"/>
    <w:link w:val="PedmtkomenteChar"/>
    <w:uiPriority w:val="99"/>
    <w:semiHidden/>
    <w:unhideWhenUsed/>
    <w:rsid w:val="00C73B67"/>
    <w:rPr>
      <w:b/>
      <w:bCs/>
    </w:rPr>
  </w:style>
  <w:style w:type="character" w:customStyle="1" w:styleId="PedmtkomenteChar">
    <w:name w:val="Předmět komentáře Char"/>
    <w:basedOn w:val="TextkomenteChar"/>
    <w:link w:val="Pedmtkomente"/>
    <w:uiPriority w:val="99"/>
    <w:semiHidden/>
    <w:rsid w:val="00C73B67"/>
    <w:rPr>
      <w:b/>
      <w:bCs/>
      <w:sz w:val="20"/>
      <w:szCs w:val="20"/>
    </w:rPr>
  </w:style>
  <w:style w:type="paragraph" w:styleId="Textbubliny">
    <w:name w:val="Balloon Text"/>
    <w:basedOn w:val="Normln"/>
    <w:link w:val="TextbublinyChar"/>
    <w:uiPriority w:val="99"/>
    <w:semiHidden/>
    <w:unhideWhenUsed/>
    <w:rsid w:val="00C73B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3B67"/>
    <w:rPr>
      <w:rFonts w:ascii="Segoe UI" w:hAnsi="Segoe UI" w:cs="Segoe UI"/>
      <w:sz w:val="18"/>
      <w:szCs w:val="18"/>
    </w:rPr>
  </w:style>
  <w:style w:type="character" w:customStyle="1" w:styleId="Nadpis1Char">
    <w:name w:val="Nadpis 1 Char"/>
    <w:basedOn w:val="Standardnpsmoodstavce"/>
    <w:link w:val="Nadpis1"/>
    <w:uiPriority w:val="7"/>
    <w:rsid w:val="00DA03BA"/>
    <w:rPr>
      <w:rFonts w:ascii="Times New Roman" w:eastAsiaTheme="majorEastAsia" w:hAnsi="Times New Roman" w:cs="Times New Roman"/>
      <w:b/>
      <w:sz w:val="28"/>
      <w:szCs w:val="32"/>
      <w:lang w:eastAsia="cs-CZ"/>
    </w:rPr>
  </w:style>
  <w:style w:type="character" w:styleId="Hypertextovodkaz">
    <w:name w:val="Hyperlink"/>
    <w:basedOn w:val="Standardnpsmoodstavce"/>
    <w:uiPriority w:val="99"/>
    <w:unhideWhenUsed/>
    <w:rsid w:val="00D34A6C"/>
    <w:rPr>
      <w:color w:val="0563C1" w:themeColor="hyperlink"/>
      <w:u w:val="single"/>
    </w:rPr>
  </w:style>
  <w:style w:type="paragraph" w:styleId="Obsah1">
    <w:name w:val="toc 1"/>
    <w:basedOn w:val="Normln"/>
    <w:next w:val="Normln"/>
    <w:autoRedefine/>
    <w:uiPriority w:val="39"/>
    <w:unhideWhenUsed/>
    <w:rsid w:val="00D34A6C"/>
    <w:pPr>
      <w:spacing w:after="100" w:line="256" w:lineRule="auto"/>
    </w:pPr>
    <w:rPr>
      <w:lang w:val="en-GB"/>
    </w:rPr>
  </w:style>
  <w:style w:type="paragraph" w:styleId="Textpoznpodarou">
    <w:name w:val="footnote text"/>
    <w:aliases w:val="Fußnotentext Char,fn,Footnote ak,FußnotentextE,Footnote ak Carattere,Footnote,Note de bas de page Car Car,Note de bas de page Car Car Car Car Car,Note de bas de page Car Car Car Car,Note de bas de page Car Car Car,stile 1,f,o"/>
    <w:basedOn w:val="Normln"/>
    <w:link w:val="TextpoznpodarouChar"/>
    <w:uiPriority w:val="99"/>
    <w:semiHidden/>
    <w:unhideWhenUsed/>
    <w:qFormat/>
    <w:rsid w:val="00D34A6C"/>
    <w:pPr>
      <w:spacing w:after="0" w:line="240" w:lineRule="auto"/>
    </w:pPr>
    <w:rPr>
      <w:sz w:val="20"/>
      <w:szCs w:val="20"/>
      <w:lang w:val="en-GB"/>
    </w:rPr>
  </w:style>
  <w:style w:type="character" w:customStyle="1" w:styleId="TextpoznpodarouChar">
    <w:name w:val="Text pozn. pod čarou Char"/>
    <w:aliases w:val="Fußnotentext Char Char,fn Char,Footnote ak Char,FußnotentextE Char,Footnote ak Carattere Char,Footnote Char,Note de bas de page Car Car Char,Note de bas de page Car Car Car Car Car Char,Note de bas de page Car Car Car Car Char"/>
    <w:basedOn w:val="Standardnpsmoodstavce"/>
    <w:link w:val="Textpoznpodarou"/>
    <w:uiPriority w:val="99"/>
    <w:semiHidden/>
    <w:rsid w:val="00D34A6C"/>
    <w:rPr>
      <w:sz w:val="20"/>
      <w:szCs w:val="20"/>
      <w:lang w:val="en-GB"/>
    </w:rPr>
  </w:style>
  <w:style w:type="paragraph" w:styleId="Nadpisobsahu">
    <w:name w:val="TOC Heading"/>
    <w:basedOn w:val="Nadpis1"/>
    <w:next w:val="Normln"/>
    <w:uiPriority w:val="39"/>
    <w:unhideWhenUsed/>
    <w:qFormat/>
    <w:rsid w:val="00D34A6C"/>
    <w:pPr>
      <w:outlineLvl w:val="9"/>
    </w:pPr>
  </w:style>
  <w:style w:type="paragraph" w:customStyle="1" w:styleId="Default">
    <w:name w:val="Default"/>
    <w:rsid w:val="00D34A6C"/>
    <w:pPr>
      <w:autoSpaceDE w:val="0"/>
      <w:autoSpaceDN w:val="0"/>
      <w:adjustRightInd w:val="0"/>
      <w:spacing w:after="0" w:line="240" w:lineRule="auto"/>
    </w:pPr>
    <w:rPr>
      <w:rFonts w:ascii="TimesNewRomanPSMT" w:hAnsi="TimesNewRomanPSMT" w:cs="TimesNewRomanPSMT"/>
      <w:color w:val="000000"/>
      <w:sz w:val="24"/>
      <w:szCs w:val="24"/>
    </w:rPr>
  </w:style>
  <w:style w:type="character" w:styleId="Znakapoznpodarou">
    <w:name w:val="footnote reference"/>
    <w:aliases w:val="number,Footnote reference number,Footnote symbol,note TESI,-E Fußnotenzeichen,SUPERS,Footnote Reference Superscript,stylish,Odwołanie przypisu,Times 10 Point,Exposant 3 Point,Voetnootverwijzing,EN Footnote Reference,Ref,BVI fnr"/>
    <w:basedOn w:val="Standardnpsmoodstavce"/>
    <w:link w:val="FootnotesymbolCarZchn"/>
    <w:uiPriority w:val="99"/>
    <w:unhideWhenUsed/>
    <w:qFormat/>
    <w:rsid w:val="00D34A6C"/>
    <w:rPr>
      <w:vertAlign w:val="superscript"/>
    </w:rPr>
  </w:style>
  <w:style w:type="paragraph" w:styleId="Zhlav">
    <w:name w:val="header"/>
    <w:basedOn w:val="Normln"/>
    <w:link w:val="ZhlavChar"/>
    <w:uiPriority w:val="99"/>
    <w:unhideWhenUsed/>
    <w:rsid w:val="00D34A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4A6C"/>
  </w:style>
  <w:style w:type="paragraph" w:styleId="Zpat">
    <w:name w:val="footer"/>
    <w:basedOn w:val="Normln"/>
    <w:link w:val="ZpatChar"/>
    <w:uiPriority w:val="99"/>
    <w:unhideWhenUsed/>
    <w:rsid w:val="00D34A6C"/>
    <w:pPr>
      <w:tabs>
        <w:tab w:val="center" w:pos="4536"/>
        <w:tab w:val="right" w:pos="9072"/>
      </w:tabs>
      <w:spacing w:after="0" w:line="240" w:lineRule="auto"/>
    </w:pPr>
  </w:style>
  <w:style w:type="character" w:customStyle="1" w:styleId="ZpatChar">
    <w:name w:val="Zápatí Char"/>
    <w:basedOn w:val="Standardnpsmoodstavce"/>
    <w:link w:val="Zpat"/>
    <w:uiPriority w:val="99"/>
    <w:rsid w:val="00D34A6C"/>
  </w:style>
  <w:style w:type="character" w:customStyle="1" w:styleId="Nadpis3Char">
    <w:name w:val="Nadpis 3 Char"/>
    <w:basedOn w:val="Standardnpsmoodstavce"/>
    <w:link w:val="Nadpis3"/>
    <w:uiPriority w:val="9"/>
    <w:semiHidden/>
    <w:rsid w:val="00716E3B"/>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362008"/>
    <w:pPr>
      <w:spacing w:before="100" w:beforeAutospacing="1" w:after="100" w:afterAutospacing="1" w:line="240" w:lineRule="auto"/>
    </w:pPr>
    <w:rPr>
      <w:rFonts w:ascii="Calibri" w:hAnsi="Calibri" w:cs="Calibri"/>
      <w:lang w:eastAsia="cs-CZ"/>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FC0856"/>
    <w:pPr>
      <w:spacing w:line="240" w:lineRule="exact"/>
      <w:jc w:val="both"/>
    </w:pPr>
    <w:rPr>
      <w:vertAlign w:val="superscript"/>
    </w:rPr>
  </w:style>
  <w:style w:type="character" w:customStyle="1" w:styleId="Text1Char">
    <w:name w:val="Text 1 Char"/>
    <w:link w:val="Text1"/>
    <w:locked/>
    <w:rsid w:val="00DF396C"/>
    <w:rPr>
      <w:rFonts w:ascii="Times New Roman" w:eastAsia="Times New Roman" w:hAnsi="Times New Roman" w:cs="Times New Roman"/>
      <w:sz w:val="24"/>
      <w:szCs w:val="20"/>
    </w:rPr>
  </w:style>
  <w:style w:type="paragraph" w:customStyle="1" w:styleId="Text1">
    <w:name w:val="Text 1"/>
    <w:basedOn w:val="Normln"/>
    <w:link w:val="Text1Char"/>
    <w:rsid w:val="00DF396C"/>
    <w:pPr>
      <w:spacing w:after="240" w:line="240" w:lineRule="auto"/>
      <w:ind w:left="482"/>
      <w:jc w:val="both"/>
    </w:pPr>
    <w:rPr>
      <w:rFonts w:ascii="Times New Roman" w:eastAsia="Times New Roman" w:hAnsi="Times New Roman" w:cs="Times New Roman"/>
      <w:sz w:val="24"/>
      <w:szCs w:val="20"/>
    </w:rPr>
  </w:style>
  <w:style w:type="paragraph" w:styleId="Seznamsodrkami">
    <w:name w:val="List Bullet"/>
    <w:basedOn w:val="Normln"/>
    <w:semiHidden/>
    <w:unhideWhenUsed/>
    <w:rsid w:val="006357F1"/>
    <w:pPr>
      <w:numPr>
        <w:numId w:val="18"/>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Normln"/>
    <w:rsid w:val="006357F1"/>
    <w:pPr>
      <w:numPr>
        <w:ilvl w:val="1"/>
        <w:numId w:val="18"/>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3">
    <w:name w:val="List Bullet (Level 3)"/>
    <w:basedOn w:val="Normln"/>
    <w:semiHidden/>
    <w:rsid w:val="006357F1"/>
    <w:pPr>
      <w:numPr>
        <w:ilvl w:val="2"/>
        <w:numId w:val="18"/>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4">
    <w:name w:val="List Bullet (Level 4)"/>
    <w:basedOn w:val="Normln"/>
    <w:semiHidden/>
    <w:rsid w:val="006357F1"/>
    <w:pPr>
      <w:numPr>
        <w:ilvl w:val="3"/>
        <w:numId w:val="18"/>
      </w:numPr>
      <w:spacing w:after="240" w:line="240" w:lineRule="auto"/>
      <w:jc w:val="both"/>
    </w:pPr>
    <w:rPr>
      <w:rFonts w:ascii="Times New Roman" w:eastAsia="Times New Roman" w:hAnsi="Times New Roman" w:cs="Times New Roman"/>
      <w:sz w:val="24"/>
      <w:szCs w:val="20"/>
      <w:lang w:eastAsia="en-GB"/>
    </w:rPr>
  </w:style>
  <w:style w:type="paragraph" w:customStyle="1" w:styleId="Question">
    <w:name w:val="Question"/>
    <w:basedOn w:val="Normln"/>
    <w:rsid w:val="006236A9"/>
    <w:pPr>
      <w:spacing w:after="240" w:line="240" w:lineRule="auto"/>
    </w:pPr>
    <w:rPr>
      <w:rFonts w:ascii="Times New Roman" w:hAnsi="Times New Roman" w:cs="Times New Roman"/>
      <w:b/>
      <w:bCs/>
      <w:sz w:val="20"/>
      <w:szCs w:val="20"/>
      <w:lang w:eastAsia="zh-CN"/>
    </w:rPr>
  </w:style>
  <w:style w:type="paragraph" w:styleId="Obsah3">
    <w:name w:val="toc 3"/>
    <w:basedOn w:val="Normln"/>
    <w:next w:val="Normln"/>
    <w:autoRedefine/>
    <w:uiPriority w:val="39"/>
    <w:unhideWhenUsed/>
    <w:rsid w:val="00345C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2438">
      <w:bodyDiv w:val="1"/>
      <w:marLeft w:val="0"/>
      <w:marRight w:val="0"/>
      <w:marTop w:val="0"/>
      <w:marBottom w:val="0"/>
      <w:divBdr>
        <w:top w:val="none" w:sz="0" w:space="0" w:color="auto"/>
        <w:left w:val="none" w:sz="0" w:space="0" w:color="auto"/>
        <w:bottom w:val="none" w:sz="0" w:space="0" w:color="auto"/>
        <w:right w:val="none" w:sz="0" w:space="0" w:color="auto"/>
      </w:divBdr>
    </w:div>
    <w:div w:id="147943087">
      <w:bodyDiv w:val="1"/>
      <w:marLeft w:val="0"/>
      <w:marRight w:val="0"/>
      <w:marTop w:val="0"/>
      <w:marBottom w:val="0"/>
      <w:divBdr>
        <w:top w:val="none" w:sz="0" w:space="0" w:color="auto"/>
        <w:left w:val="none" w:sz="0" w:space="0" w:color="auto"/>
        <w:bottom w:val="none" w:sz="0" w:space="0" w:color="auto"/>
        <w:right w:val="none" w:sz="0" w:space="0" w:color="auto"/>
      </w:divBdr>
    </w:div>
    <w:div w:id="477645831">
      <w:bodyDiv w:val="1"/>
      <w:marLeft w:val="0"/>
      <w:marRight w:val="0"/>
      <w:marTop w:val="0"/>
      <w:marBottom w:val="0"/>
      <w:divBdr>
        <w:top w:val="none" w:sz="0" w:space="0" w:color="auto"/>
        <w:left w:val="none" w:sz="0" w:space="0" w:color="auto"/>
        <w:bottom w:val="none" w:sz="0" w:space="0" w:color="auto"/>
        <w:right w:val="none" w:sz="0" w:space="0" w:color="auto"/>
      </w:divBdr>
    </w:div>
    <w:div w:id="495609517">
      <w:bodyDiv w:val="1"/>
      <w:marLeft w:val="0"/>
      <w:marRight w:val="0"/>
      <w:marTop w:val="0"/>
      <w:marBottom w:val="0"/>
      <w:divBdr>
        <w:top w:val="none" w:sz="0" w:space="0" w:color="auto"/>
        <w:left w:val="none" w:sz="0" w:space="0" w:color="auto"/>
        <w:bottom w:val="none" w:sz="0" w:space="0" w:color="auto"/>
        <w:right w:val="none" w:sz="0" w:space="0" w:color="auto"/>
      </w:divBdr>
    </w:div>
    <w:div w:id="503283068">
      <w:bodyDiv w:val="1"/>
      <w:marLeft w:val="0"/>
      <w:marRight w:val="0"/>
      <w:marTop w:val="0"/>
      <w:marBottom w:val="0"/>
      <w:divBdr>
        <w:top w:val="none" w:sz="0" w:space="0" w:color="auto"/>
        <w:left w:val="none" w:sz="0" w:space="0" w:color="auto"/>
        <w:bottom w:val="none" w:sz="0" w:space="0" w:color="auto"/>
        <w:right w:val="none" w:sz="0" w:space="0" w:color="auto"/>
      </w:divBdr>
    </w:div>
    <w:div w:id="660280645">
      <w:bodyDiv w:val="1"/>
      <w:marLeft w:val="0"/>
      <w:marRight w:val="0"/>
      <w:marTop w:val="0"/>
      <w:marBottom w:val="0"/>
      <w:divBdr>
        <w:top w:val="none" w:sz="0" w:space="0" w:color="auto"/>
        <w:left w:val="none" w:sz="0" w:space="0" w:color="auto"/>
        <w:bottom w:val="none" w:sz="0" w:space="0" w:color="auto"/>
        <w:right w:val="none" w:sz="0" w:space="0" w:color="auto"/>
      </w:divBdr>
    </w:div>
    <w:div w:id="706025236">
      <w:bodyDiv w:val="1"/>
      <w:marLeft w:val="0"/>
      <w:marRight w:val="0"/>
      <w:marTop w:val="0"/>
      <w:marBottom w:val="0"/>
      <w:divBdr>
        <w:top w:val="none" w:sz="0" w:space="0" w:color="auto"/>
        <w:left w:val="none" w:sz="0" w:space="0" w:color="auto"/>
        <w:bottom w:val="none" w:sz="0" w:space="0" w:color="auto"/>
        <w:right w:val="none" w:sz="0" w:space="0" w:color="auto"/>
      </w:divBdr>
    </w:div>
    <w:div w:id="827943603">
      <w:bodyDiv w:val="1"/>
      <w:marLeft w:val="0"/>
      <w:marRight w:val="0"/>
      <w:marTop w:val="0"/>
      <w:marBottom w:val="0"/>
      <w:divBdr>
        <w:top w:val="none" w:sz="0" w:space="0" w:color="auto"/>
        <w:left w:val="none" w:sz="0" w:space="0" w:color="auto"/>
        <w:bottom w:val="none" w:sz="0" w:space="0" w:color="auto"/>
        <w:right w:val="none" w:sz="0" w:space="0" w:color="auto"/>
      </w:divBdr>
    </w:div>
    <w:div w:id="836699555">
      <w:bodyDiv w:val="1"/>
      <w:marLeft w:val="0"/>
      <w:marRight w:val="0"/>
      <w:marTop w:val="0"/>
      <w:marBottom w:val="0"/>
      <w:divBdr>
        <w:top w:val="none" w:sz="0" w:space="0" w:color="auto"/>
        <w:left w:val="none" w:sz="0" w:space="0" w:color="auto"/>
        <w:bottom w:val="none" w:sz="0" w:space="0" w:color="auto"/>
        <w:right w:val="none" w:sz="0" w:space="0" w:color="auto"/>
      </w:divBdr>
    </w:div>
    <w:div w:id="966354366">
      <w:bodyDiv w:val="1"/>
      <w:marLeft w:val="0"/>
      <w:marRight w:val="0"/>
      <w:marTop w:val="0"/>
      <w:marBottom w:val="0"/>
      <w:divBdr>
        <w:top w:val="none" w:sz="0" w:space="0" w:color="auto"/>
        <w:left w:val="none" w:sz="0" w:space="0" w:color="auto"/>
        <w:bottom w:val="none" w:sz="0" w:space="0" w:color="auto"/>
        <w:right w:val="none" w:sz="0" w:space="0" w:color="auto"/>
      </w:divBdr>
    </w:div>
    <w:div w:id="1062018424">
      <w:bodyDiv w:val="1"/>
      <w:marLeft w:val="0"/>
      <w:marRight w:val="0"/>
      <w:marTop w:val="0"/>
      <w:marBottom w:val="0"/>
      <w:divBdr>
        <w:top w:val="none" w:sz="0" w:space="0" w:color="auto"/>
        <w:left w:val="none" w:sz="0" w:space="0" w:color="auto"/>
        <w:bottom w:val="none" w:sz="0" w:space="0" w:color="auto"/>
        <w:right w:val="none" w:sz="0" w:space="0" w:color="auto"/>
      </w:divBdr>
    </w:div>
    <w:div w:id="1158035278">
      <w:bodyDiv w:val="1"/>
      <w:marLeft w:val="0"/>
      <w:marRight w:val="0"/>
      <w:marTop w:val="0"/>
      <w:marBottom w:val="0"/>
      <w:divBdr>
        <w:top w:val="none" w:sz="0" w:space="0" w:color="auto"/>
        <w:left w:val="none" w:sz="0" w:space="0" w:color="auto"/>
        <w:bottom w:val="none" w:sz="0" w:space="0" w:color="auto"/>
        <w:right w:val="none" w:sz="0" w:space="0" w:color="auto"/>
      </w:divBdr>
    </w:div>
    <w:div w:id="1300723124">
      <w:bodyDiv w:val="1"/>
      <w:marLeft w:val="0"/>
      <w:marRight w:val="0"/>
      <w:marTop w:val="0"/>
      <w:marBottom w:val="0"/>
      <w:divBdr>
        <w:top w:val="none" w:sz="0" w:space="0" w:color="auto"/>
        <w:left w:val="none" w:sz="0" w:space="0" w:color="auto"/>
        <w:bottom w:val="none" w:sz="0" w:space="0" w:color="auto"/>
        <w:right w:val="none" w:sz="0" w:space="0" w:color="auto"/>
      </w:divBdr>
    </w:div>
    <w:div w:id="1331761338">
      <w:bodyDiv w:val="1"/>
      <w:marLeft w:val="0"/>
      <w:marRight w:val="0"/>
      <w:marTop w:val="0"/>
      <w:marBottom w:val="0"/>
      <w:divBdr>
        <w:top w:val="none" w:sz="0" w:space="0" w:color="auto"/>
        <w:left w:val="none" w:sz="0" w:space="0" w:color="auto"/>
        <w:bottom w:val="none" w:sz="0" w:space="0" w:color="auto"/>
        <w:right w:val="none" w:sz="0" w:space="0" w:color="auto"/>
      </w:divBdr>
    </w:div>
    <w:div w:id="1393119957">
      <w:bodyDiv w:val="1"/>
      <w:marLeft w:val="0"/>
      <w:marRight w:val="0"/>
      <w:marTop w:val="0"/>
      <w:marBottom w:val="0"/>
      <w:divBdr>
        <w:top w:val="none" w:sz="0" w:space="0" w:color="auto"/>
        <w:left w:val="none" w:sz="0" w:space="0" w:color="auto"/>
        <w:bottom w:val="none" w:sz="0" w:space="0" w:color="auto"/>
        <w:right w:val="none" w:sz="0" w:space="0" w:color="auto"/>
      </w:divBdr>
    </w:div>
    <w:div w:id="1518930530">
      <w:bodyDiv w:val="1"/>
      <w:marLeft w:val="0"/>
      <w:marRight w:val="0"/>
      <w:marTop w:val="0"/>
      <w:marBottom w:val="0"/>
      <w:divBdr>
        <w:top w:val="none" w:sz="0" w:space="0" w:color="auto"/>
        <w:left w:val="none" w:sz="0" w:space="0" w:color="auto"/>
        <w:bottom w:val="none" w:sz="0" w:space="0" w:color="auto"/>
        <w:right w:val="none" w:sz="0" w:space="0" w:color="auto"/>
      </w:divBdr>
    </w:div>
    <w:div w:id="1559393667">
      <w:bodyDiv w:val="1"/>
      <w:marLeft w:val="0"/>
      <w:marRight w:val="0"/>
      <w:marTop w:val="0"/>
      <w:marBottom w:val="0"/>
      <w:divBdr>
        <w:top w:val="none" w:sz="0" w:space="0" w:color="auto"/>
        <w:left w:val="none" w:sz="0" w:space="0" w:color="auto"/>
        <w:bottom w:val="none" w:sz="0" w:space="0" w:color="auto"/>
        <w:right w:val="none" w:sz="0" w:space="0" w:color="auto"/>
      </w:divBdr>
    </w:div>
    <w:div w:id="1560021349">
      <w:bodyDiv w:val="1"/>
      <w:marLeft w:val="0"/>
      <w:marRight w:val="0"/>
      <w:marTop w:val="0"/>
      <w:marBottom w:val="0"/>
      <w:divBdr>
        <w:top w:val="none" w:sz="0" w:space="0" w:color="auto"/>
        <w:left w:val="none" w:sz="0" w:space="0" w:color="auto"/>
        <w:bottom w:val="none" w:sz="0" w:space="0" w:color="auto"/>
        <w:right w:val="none" w:sz="0" w:space="0" w:color="auto"/>
      </w:divBdr>
    </w:div>
    <w:div w:id="1588416088">
      <w:bodyDiv w:val="1"/>
      <w:marLeft w:val="0"/>
      <w:marRight w:val="0"/>
      <w:marTop w:val="0"/>
      <w:marBottom w:val="0"/>
      <w:divBdr>
        <w:top w:val="none" w:sz="0" w:space="0" w:color="auto"/>
        <w:left w:val="none" w:sz="0" w:space="0" w:color="auto"/>
        <w:bottom w:val="none" w:sz="0" w:space="0" w:color="auto"/>
        <w:right w:val="none" w:sz="0" w:space="0" w:color="auto"/>
      </w:divBdr>
    </w:div>
    <w:div w:id="1608537680">
      <w:bodyDiv w:val="1"/>
      <w:marLeft w:val="0"/>
      <w:marRight w:val="0"/>
      <w:marTop w:val="0"/>
      <w:marBottom w:val="0"/>
      <w:divBdr>
        <w:top w:val="none" w:sz="0" w:space="0" w:color="auto"/>
        <w:left w:val="none" w:sz="0" w:space="0" w:color="auto"/>
        <w:bottom w:val="none" w:sz="0" w:space="0" w:color="auto"/>
        <w:right w:val="none" w:sz="0" w:space="0" w:color="auto"/>
      </w:divBdr>
    </w:div>
    <w:div w:id="1615595219">
      <w:bodyDiv w:val="1"/>
      <w:marLeft w:val="0"/>
      <w:marRight w:val="0"/>
      <w:marTop w:val="0"/>
      <w:marBottom w:val="0"/>
      <w:divBdr>
        <w:top w:val="none" w:sz="0" w:space="0" w:color="auto"/>
        <w:left w:val="none" w:sz="0" w:space="0" w:color="auto"/>
        <w:bottom w:val="none" w:sz="0" w:space="0" w:color="auto"/>
        <w:right w:val="none" w:sz="0" w:space="0" w:color="auto"/>
      </w:divBdr>
    </w:div>
    <w:div w:id="1668558513">
      <w:bodyDiv w:val="1"/>
      <w:marLeft w:val="0"/>
      <w:marRight w:val="0"/>
      <w:marTop w:val="0"/>
      <w:marBottom w:val="0"/>
      <w:divBdr>
        <w:top w:val="none" w:sz="0" w:space="0" w:color="auto"/>
        <w:left w:val="none" w:sz="0" w:space="0" w:color="auto"/>
        <w:bottom w:val="none" w:sz="0" w:space="0" w:color="auto"/>
        <w:right w:val="none" w:sz="0" w:space="0" w:color="auto"/>
      </w:divBdr>
    </w:div>
    <w:div w:id="1700933871">
      <w:bodyDiv w:val="1"/>
      <w:marLeft w:val="0"/>
      <w:marRight w:val="0"/>
      <w:marTop w:val="0"/>
      <w:marBottom w:val="0"/>
      <w:divBdr>
        <w:top w:val="none" w:sz="0" w:space="0" w:color="auto"/>
        <w:left w:val="none" w:sz="0" w:space="0" w:color="auto"/>
        <w:bottom w:val="none" w:sz="0" w:space="0" w:color="auto"/>
        <w:right w:val="none" w:sz="0" w:space="0" w:color="auto"/>
      </w:divBdr>
    </w:div>
    <w:div w:id="1712223907">
      <w:bodyDiv w:val="1"/>
      <w:marLeft w:val="0"/>
      <w:marRight w:val="0"/>
      <w:marTop w:val="0"/>
      <w:marBottom w:val="0"/>
      <w:divBdr>
        <w:top w:val="none" w:sz="0" w:space="0" w:color="auto"/>
        <w:left w:val="none" w:sz="0" w:space="0" w:color="auto"/>
        <w:bottom w:val="none" w:sz="0" w:space="0" w:color="auto"/>
        <w:right w:val="none" w:sz="0" w:space="0" w:color="auto"/>
      </w:divBdr>
    </w:div>
    <w:div w:id="1778595140">
      <w:bodyDiv w:val="1"/>
      <w:marLeft w:val="0"/>
      <w:marRight w:val="0"/>
      <w:marTop w:val="0"/>
      <w:marBottom w:val="0"/>
      <w:divBdr>
        <w:top w:val="none" w:sz="0" w:space="0" w:color="auto"/>
        <w:left w:val="none" w:sz="0" w:space="0" w:color="auto"/>
        <w:bottom w:val="none" w:sz="0" w:space="0" w:color="auto"/>
        <w:right w:val="none" w:sz="0" w:space="0" w:color="auto"/>
      </w:divBdr>
    </w:div>
    <w:div w:id="1795637228">
      <w:bodyDiv w:val="1"/>
      <w:marLeft w:val="0"/>
      <w:marRight w:val="0"/>
      <w:marTop w:val="0"/>
      <w:marBottom w:val="0"/>
      <w:divBdr>
        <w:top w:val="none" w:sz="0" w:space="0" w:color="auto"/>
        <w:left w:val="none" w:sz="0" w:space="0" w:color="auto"/>
        <w:bottom w:val="none" w:sz="0" w:space="0" w:color="auto"/>
        <w:right w:val="none" w:sz="0" w:space="0" w:color="auto"/>
      </w:divBdr>
    </w:div>
    <w:div w:id="1853883573">
      <w:bodyDiv w:val="1"/>
      <w:marLeft w:val="0"/>
      <w:marRight w:val="0"/>
      <w:marTop w:val="0"/>
      <w:marBottom w:val="0"/>
      <w:divBdr>
        <w:top w:val="none" w:sz="0" w:space="0" w:color="auto"/>
        <w:left w:val="none" w:sz="0" w:space="0" w:color="auto"/>
        <w:bottom w:val="none" w:sz="0" w:space="0" w:color="auto"/>
        <w:right w:val="none" w:sz="0" w:space="0" w:color="auto"/>
      </w:divBdr>
    </w:div>
    <w:div w:id="1873373535">
      <w:bodyDiv w:val="1"/>
      <w:marLeft w:val="0"/>
      <w:marRight w:val="0"/>
      <w:marTop w:val="0"/>
      <w:marBottom w:val="0"/>
      <w:divBdr>
        <w:top w:val="none" w:sz="0" w:space="0" w:color="auto"/>
        <w:left w:val="none" w:sz="0" w:space="0" w:color="auto"/>
        <w:bottom w:val="none" w:sz="0" w:space="0" w:color="auto"/>
        <w:right w:val="none" w:sz="0" w:space="0" w:color="auto"/>
      </w:divBdr>
    </w:div>
    <w:div w:id="2036300141">
      <w:bodyDiv w:val="1"/>
      <w:marLeft w:val="0"/>
      <w:marRight w:val="0"/>
      <w:marTop w:val="0"/>
      <w:marBottom w:val="0"/>
      <w:divBdr>
        <w:top w:val="none" w:sz="0" w:space="0" w:color="auto"/>
        <w:left w:val="none" w:sz="0" w:space="0" w:color="auto"/>
        <w:bottom w:val="none" w:sz="0" w:space="0" w:color="auto"/>
        <w:right w:val="none" w:sz="0" w:space="0" w:color="auto"/>
      </w:divBdr>
    </w:div>
    <w:div w:id="2043898125">
      <w:bodyDiv w:val="1"/>
      <w:marLeft w:val="0"/>
      <w:marRight w:val="0"/>
      <w:marTop w:val="0"/>
      <w:marBottom w:val="0"/>
      <w:divBdr>
        <w:top w:val="none" w:sz="0" w:space="0" w:color="auto"/>
        <w:left w:val="none" w:sz="0" w:space="0" w:color="auto"/>
        <w:bottom w:val="none" w:sz="0" w:space="0" w:color="auto"/>
        <w:right w:val="none" w:sz="0" w:space="0" w:color="auto"/>
      </w:divBdr>
    </w:div>
    <w:div w:id="20997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simpl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law/law-making-process/evaluating-and-improving-existing-laws/refit-making-eu-law-simpler-less-costly-and-future-proof/fit-future-platform-f4f_en" TargetMode="External"/><Relationship Id="rId4" Type="http://schemas.openxmlformats.org/officeDocument/2006/relationships/settings" Target="settings.xml"/><Relationship Id="rId9" Type="http://schemas.openxmlformats.org/officeDocument/2006/relationships/hyperlink" Target="http://ria.vlada.cz/vznikla-platforma-fit-pro-budoucnost-nastupkyne-platformy-refi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C673-5FE0-4F33-A279-5CAD6899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16736</Words>
  <Characters>98744</Characters>
  <Application>Microsoft Office Word</Application>
  <DocSecurity>0</DocSecurity>
  <Lines>822</Lines>
  <Paragraphs>230</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Volf Jaromír Mgr.</dc:creator>
  <cp:keywords/>
  <dc:description/>
  <cp:lastModifiedBy>Irma</cp:lastModifiedBy>
  <cp:revision>2</cp:revision>
  <cp:lastPrinted>2020-09-07T12:44:00Z</cp:lastPrinted>
  <dcterms:created xsi:type="dcterms:W3CDTF">2020-09-11T18:20:00Z</dcterms:created>
  <dcterms:modified xsi:type="dcterms:W3CDTF">2020-09-11T18:20:00Z</dcterms:modified>
</cp:coreProperties>
</file>