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63C2" w:rsidRPr="00FB09EE" w:rsidRDefault="000F63C2" w:rsidP="000F63C2">
      <w:pPr>
        <w:spacing w:after="0" w:line="240" w:lineRule="auto"/>
        <w:jc w:val="center"/>
        <w:rPr>
          <w:rFonts w:ascii="Calibri" w:eastAsia="Calibri" w:hAnsi="Calibri" w:cs="Times New Roman"/>
          <w:b/>
          <w:color w:val="auto"/>
          <w:sz w:val="28"/>
          <w:szCs w:val="28"/>
        </w:rPr>
      </w:pPr>
      <w:r>
        <w:rPr>
          <w:rFonts w:ascii="Calibri" w:eastAsia="Calibri" w:hAnsi="Calibri" w:cs="Times New Roman"/>
          <w:b/>
          <w:color w:val="auto"/>
          <w:sz w:val="28"/>
          <w:szCs w:val="28"/>
        </w:rPr>
        <w:t>P</w:t>
      </w:r>
      <w:r w:rsidRPr="00FB09EE">
        <w:rPr>
          <w:rFonts w:ascii="Calibri" w:eastAsia="Calibri" w:hAnsi="Calibri" w:cs="Times New Roman"/>
          <w:b/>
          <w:color w:val="auto"/>
          <w:sz w:val="28"/>
          <w:szCs w:val="28"/>
        </w:rPr>
        <w:t>řehled čerpání poskytovaných podpor v rámci boje s </w:t>
      </w:r>
      <w:proofErr w:type="spellStart"/>
      <w:r w:rsidRPr="00FB09EE">
        <w:rPr>
          <w:rFonts w:ascii="Calibri" w:eastAsia="Calibri" w:hAnsi="Calibri" w:cs="Times New Roman"/>
          <w:b/>
          <w:color w:val="auto"/>
          <w:sz w:val="28"/>
          <w:szCs w:val="28"/>
        </w:rPr>
        <w:t>koronavirem</w:t>
      </w:r>
      <w:proofErr w:type="spellEnd"/>
      <w:r w:rsidRPr="00FB09EE">
        <w:rPr>
          <w:rFonts w:ascii="Calibri" w:eastAsia="Calibri" w:hAnsi="Calibri" w:cs="Times New Roman"/>
          <w:b/>
          <w:color w:val="auto"/>
          <w:sz w:val="28"/>
          <w:szCs w:val="28"/>
        </w:rPr>
        <w:t xml:space="preserve"> v gesci MPO</w:t>
      </w:r>
    </w:p>
    <w:p w:rsidR="000F63C2" w:rsidRPr="00BC17E5" w:rsidRDefault="000F63C2" w:rsidP="000F63C2">
      <w:pPr>
        <w:spacing w:after="0" w:line="240" w:lineRule="auto"/>
        <w:jc w:val="center"/>
        <w:rPr>
          <w:rFonts w:ascii="Calibri" w:eastAsia="Calibri" w:hAnsi="Calibri" w:cs="Times New Roman"/>
          <w:i/>
          <w:color w:val="auto"/>
          <w:szCs w:val="21"/>
        </w:rPr>
      </w:pPr>
      <w:r w:rsidRPr="00BC17E5">
        <w:rPr>
          <w:rFonts w:ascii="Calibri" w:eastAsia="Calibri" w:hAnsi="Calibri" w:cs="Times New Roman"/>
          <w:i/>
          <w:color w:val="auto"/>
          <w:szCs w:val="21"/>
        </w:rPr>
        <w:t>(aktuální stav ke dni 22. 6. 2020, 13</w:t>
      </w:r>
      <w:r w:rsidRPr="00BC17E5">
        <w:rPr>
          <w:rFonts w:ascii="Calibri" w:eastAsia="Calibri" w:hAnsi="Calibri" w:cs="Times New Roman"/>
          <w:i/>
          <w:color w:val="auto"/>
          <w:szCs w:val="21"/>
          <w:vertAlign w:val="superscript"/>
        </w:rPr>
        <w:t>00</w:t>
      </w:r>
      <w:r w:rsidRPr="00BC17E5">
        <w:rPr>
          <w:rFonts w:ascii="Calibri" w:eastAsia="Calibri" w:hAnsi="Calibri" w:cs="Times New Roman"/>
          <w:i/>
          <w:color w:val="auto"/>
          <w:szCs w:val="21"/>
        </w:rPr>
        <w:t xml:space="preserve"> hodin)</w:t>
      </w:r>
    </w:p>
    <w:p w:rsidR="000F63C2" w:rsidRPr="00BC17E5" w:rsidRDefault="000F63C2" w:rsidP="000237C8">
      <w:pPr>
        <w:spacing w:after="0" w:line="240" w:lineRule="auto"/>
        <w:jc w:val="both"/>
        <w:rPr>
          <w:rFonts w:ascii="Calibri" w:eastAsia="Calibri" w:hAnsi="Calibri" w:cs="Times New Roman"/>
          <w:color w:val="auto"/>
          <w:szCs w:val="21"/>
          <w:highlight w:val="yellow"/>
        </w:rPr>
      </w:pPr>
    </w:p>
    <w:p w:rsidR="000F63C2" w:rsidRPr="00BC17E5" w:rsidRDefault="000F63C2" w:rsidP="000237C8">
      <w:pPr>
        <w:spacing w:after="0" w:line="240" w:lineRule="auto"/>
        <w:jc w:val="both"/>
        <w:rPr>
          <w:rFonts w:ascii="Calibri" w:eastAsia="Calibri" w:hAnsi="Calibri" w:cs="Times New Roman"/>
          <w:b/>
          <w:color w:val="auto"/>
          <w:szCs w:val="21"/>
          <w:highlight w:val="yellow"/>
          <w:u w:val="single"/>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t>Program Záruka COVID III</w:t>
      </w:r>
    </w:p>
    <w:p w:rsidR="000F63C2" w:rsidRPr="000237C8"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Na program alokováno 150 mld. Kč, s tím, že ČMZRB zaručí úvěry až do výše 500 mld. Kč.</w:t>
      </w:r>
      <w:r w:rsidR="000237C8">
        <w:rPr>
          <w:rFonts w:ascii="Calibri" w:eastAsia="Calibri" w:hAnsi="Calibri" w:cs="Times New Roman"/>
          <w:color w:val="auto"/>
        </w:rPr>
        <w:t xml:space="preserve"> </w:t>
      </w:r>
      <w:r w:rsidRPr="00BC17E5">
        <w:rPr>
          <w:rFonts w:ascii="Calibri" w:eastAsia="Calibri" w:hAnsi="Calibri" w:cs="Times New Roman"/>
          <w:color w:val="auto"/>
        </w:rPr>
        <w:t xml:space="preserve">Cílem programu je podpořit prostřednictvím ručení za provozní bankovní úvěry podnikatelů do 500 zaměstnanců, jejichž ekonomické aktivity jsou omezeny v důsledku výskytu </w:t>
      </w:r>
      <w:proofErr w:type="spellStart"/>
      <w:r w:rsidRPr="00BC17E5">
        <w:rPr>
          <w:rFonts w:ascii="Calibri" w:eastAsia="Calibri" w:hAnsi="Calibri" w:cs="Times New Roman"/>
          <w:color w:val="auto"/>
        </w:rPr>
        <w:t>koronavirové</w:t>
      </w:r>
      <w:proofErr w:type="spellEnd"/>
      <w:r w:rsidRPr="00BC17E5">
        <w:rPr>
          <w:rFonts w:ascii="Calibri" w:eastAsia="Calibri" w:hAnsi="Calibri" w:cs="Times New Roman"/>
          <w:color w:val="auto"/>
        </w:rPr>
        <w:t xml:space="preserve"> infekce a souvisejících preventivních opatření.</w:t>
      </w:r>
      <w:r w:rsidRPr="00BC17E5">
        <w:rPr>
          <w:rFonts w:ascii="Calibri" w:eastAsia="Calibri" w:hAnsi="Calibri" w:cs="Times New Roman"/>
          <w:b/>
          <w:bCs/>
          <w:color w:val="auto"/>
        </w:rPr>
        <w:t xml:space="preserve"> </w:t>
      </w:r>
      <w:r w:rsidRPr="00BC17E5">
        <w:rPr>
          <w:rFonts w:ascii="Calibri" w:eastAsia="Calibri" w:hAnsi="Calibri" w:cs="Times New Roman"/>
          <w:color w:val="auto"/>
        </w:rPr>
        <w:t>Jedná se o záruku až do výše 90 % jistiny zaručovaného úvěru u podniků do 250 zaměstnanců, dále o záruku až do výše 80 % jistiny zaručovaného úvěru u podniků od 250 do 500 zaměstnanců, přičemž maximální výše zaručovaného úvěru nesmí přesáhnout 50 mil. Kč a doba ručení max. 3 roky.</w:t>
      </w:r>
      <w:r w:rsidRPr="00BC17E5">
        <w:rPr>
          <w:rFonts w:ascii="Calibri" w:eastAsia="Calibri" w:hAnsi="Calibri" w:cs="Times New Roman"/>
          <w:b/>
          <w:bCs/>
          <w:color w:val="auto"/>
        </w:rPr>
        <w:t xml:space="preserve"> </w:t>
      </w:r>
      <w:r w:rsidRPr="00BC17E5">
        <w:rPr>
          <w:rFonts w:ascii="Calibri" w:eastAsia="Calibri" w:hAnsi="Calibri" w:cs="Times New Roman"/>
          <w:color w:val="auto"/>
        </w:rPr>
        <w:t>Podpora je poskytována formou ručení ČMZRB spolupracující bance za portfolio transakcí konečných příjemců.</w:t>
      </w:r>
    </w:p>
    <w:p w:rsidR="000F63C2" w:rsidRPr="00BC17E5" w:rsidRDefault="000F63C2" w:rsidP="000237C8">
      <w:pPr>
        <w:spacing w:after="0" w:line="360" w:lineRule="auto"/>
        <w:jc w:val="both"/>
        <w:rPr>
          <w:rFonts w:ascii="Calibri" w:eastAsia="Calibri" w:hAnsi="Calibri" w:cs="Times New Roman"/>
          <w:color w:val="auto"/>
        </w:rPr>
      </w:pP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Zaručovaný úvěr lze použít k úhradě provozních výdajů, jako jsou např. mzdy, nájemné, platby za energie, úhrada dodavatelsko-odběratelských faktur, pořízení zásob, materiálu apod. Program je určen pro živnostníky a podniky do 500 zaměstnanců, jejichž ekonomické aktivity jsou omezeny v důsledku výskytu </w:t>
      </w:r>
      <w:proofErr w:type="spellStart"/>
      <w:r w:rsidRPr="00BC17E5">
        <w:rPr>
          <w:rFonts w:ascii="Calibri" w:eastAsia="Calibri" w:hAnsi="Calibri" w:cs="Times New Roman"/>
          <w:color w:val="auto"/>
        </w:rPr>
        <w:t>koronavirové</w:t>
      </w:r>
      <w:proofErr w:type="spellEnd"/>
      <w:r w:rsidRPr="00BC17E5">
        <w:rPr>
          <w:rFonts w:ascii="Calibri" w:eastAsia="Calibri" w:hAnsi="Calibri" w:cs="Times New Roman"/>
          <w:color w:val="auto"/>
        </w:rPr>
        <w:t xml:space="preserve"> infekce a souvisejících preventivních opatření. Podnikatel o podporu žádá formou žádosti o úvěr u spolupracující banky, která má s ČMZRB uzavřenou smlouvu o portfo</w:t>
      </w:r>
      <w:r w:rsidR="000237C8">
        <w:rPr>
          <w:rFonts w:ascii="Calibri" w:eastAsia="Calibri" w:hAnsi="Calibri" w:cs="Times New Roman"/>
          <w:color w:val="auto"/>
        </w:rPr>
        <w:t>liovém ručení pro Program COVID </w:t>
      </w:r>
      <w:r w:rsidRPr="00BC17E5">
        <w:rPr>
          <w:rFonts w:ascii="Calibri" w:eastAsia="Calibri" w:hAnsi="Calibri" w:cs="Times New Roman"/>
          <w:color w:val="auto"/>
        </w:rPr>
        <w:t>III.</w:t>
      </w:r>
    </w:p>
    <w:p w:rsidR="000F63C2" w:rsidRPr="00BC17E5" w:rsidRDefault="000F63C2" w:rsidP="000237C8">
      <w:pPr>
        <w:spacing w:after="0" w:line="360" w:lineRule="auto"/>
        <w:jc w:val="both"/>
        <w:rPr>
          <w:rFonts w:ascii="Calibri" w:eastAsia="Calibri" w:hAnsi="Calibri" w:cs="Times New Roman"/>
          <w:color w:val="auto"/>
          <w:u w:val="single"/>
        </w:rPr>
      </w:pP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u w:val="single"/>
        </w:rPr>
        <w:t xml:space="preserve">Informace zaslané </w:t>
      </w:r>
      <w:r w:rsidRPr="00681F2A">
        <w:rPr>
          <w:rFonts w:ascii="Calibri" w:eastAsia="Calibri" w:hAnsi="Calibri" w:cs="Times New Roman"/>
          <w:b/>
          <w:color w:val="auto"/>
          <w:u w:val="single"/>
        </w:rPr>
        <w:t xml:space="preserve">k </w:t>
      </w:r>
      <w:r w:rsidRPr="00BC17E5">
        <w:rPr>
          <w:rFonts w:ascii="Calibri" w:eastAsia="Calibri" w:hAnsi="Calibri" w:cs="Times New Roman"/>
          <w:b/>
          <w:color w:val="auto"/>
          <w:u w:val="single"/>
        </w:rPr>
        <w:t>22. 6. 2020</w:t>
      </w:r>
      <w:r w:rsidRPr="00BC17E5">
        <w:rPr>
          <w:rFonts w:ascii="Calibri" w:eastAsia="Calibri" w:hAnsi="Calibri" w:cs="Times New Roman"/>
          <w:color w:val="auto"/>
        </w:rPr>
        <w:t xml:space="preserve"> </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u w:val="single"/>
        </w:rPr>
        <w:t>Přijaté žádosti:</w:t>
      </w:r>
      <w:r w:rsidRPr="00BC17E5">
        <w:rPr>
          <w:rFonts w:ascii="Calibri" w:eastAsia="Calibri" w:hAnsi="Calibri" w:cs="Times New Roman"/>
          <w:color w:val="auto"/>
        </w:rPr>
        <w:t>  1.629 žádostí o úvěry v objemu 12,711 mld. Kč</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u w:val="single"/>
        </w:rPr>
        <w:t>Schválené žádosti:</w:t>
      </w:r>
      <w:r w:rsidRPr="00BC17E5">
        <w:rPr>
          <w:rFonts w:ascii="Calibri" w:eastAsia="Calibri" w:hAnsi="Calibri" w:cs="Times New Roman"/>
          <w:color w:val="auto"/>
        </w:rPr>
        <w:t>  95 žádostí o úvěry v objemu 267,5 mil. Kč</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Data jsou za 14 finančních institucí, v reportingu od 29. 6. předpokládáme zapojení všech subjektů do reportování. </w:t>
      </w:r>
    </w:p>
    <w:p w:rsidR="000F63C2" w:rsidRPr="00BC17E5" w:rsidRDefault="000F63C2" w:rsidP="000237C8">
      <w:pPr>
        <w:spacing w:after="0" w:line="360" w:lineRule="auto"/>
        <w:jc w:val="both"/>
        <w:rPr>
          <w:rFonts w:ascii="Calibri" w:eastAsia="Calibri" w:hAnsi="Calibri" w:cs="Times New Roman"/>
          <w:b/>
          <w:bCs/>
          <w:color w:val="0070C0"/>
          <w:highlight w:val="yellow"/>
          <w:u w:val="single"/>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t>Záruční program COVID II</w:t>
      </w:r>
    </w:p>
    <w:p w:rsidR="000F63C2" w:rsidRPr="00BC17E5" w:rsidRDefault="000F63C2" w:rsidP="000237C8">
      <w:pPr>
        <w:spacing w:after="0" w:line="360" w:lineRule="auto"/>
        <w:jc w:val="both"/>
        <w:rPr>
          <w:rFonts w:ascii="Calibri" w:eastAsia="Times New Roman" w:hAnsi="Calibri" w:cs="Calibri"/>
          <w:b/>
          <w:bCs/>
          <w:color w:val="auto"/>
          <w:u w:val="single"/>
          <w:lang w:eastAsia="cs-CZ"/>
        </w:rPr>
      </w:pPr>
      <w:r w:rsidRPr="00BC17E5">
        <w:rPr>
          <w:rFonts w:ascii="Calibri" w:eastAsia="Times New Roman" w:hAnsi="Calibri" w:cs="Calibri"/>
          <w:color w:val="auto"/>
          <w:u w:val="single"/>
          <w:lang w:eastAsia="cs-CZ"/>
        </w:rPr>
        <w:t xml:space="preserve">Schválené obchody </w:t>
      </w:r>
      <w:r w:rsidRPr="00BC17E5">
        <w:rPr>
          <w:rFonts w:ascii="Calibri" w:eastAsia="Times New Roman" w:hAnsi="Calibri" w:cs="Calibri"/>
          <w:b/>
          <w:bCs/>
          <w:color w:val="auto"/>
          <w:u w:val="single"/>
          <w:lang w:eastAsia="cs-CZ"/>
        </w:rPr>
        <w:t>k 22. 6. 2020</w:t>
      </w:r>
    </w:p>
    <w:p w:rsidR="000F63C2" w:rsidRPr="00BC17E5" w:rsidRDefault="000F63C2" w:rsidP="000237C8">
      <w:pPr>
        <w:shd w:val="clear" w:color="auto" w:fill="FFFFFF"/>
        <w:spacing w:after="0" w:line="360" w:lineRule="auto"/>
        <w:jc w:val="both"/>
        <w:rPr>
          <w:rFonts w:ascii="Segoe UI" w:eastAsia="Times New Roman" w:hAnsi="Segoe UI" w:cs="Segoe UI"/>
          <w:color w:val="auto"/>
          <w:sz w:val="23"/>
          <w:szCs w:val="23"/>
          <w:lang w:eastAsia="cs-CZ"/>
        </w:rPr>
      </w:pPr>
      <w:r w:rsidRPr="00BC17E5">
        <w:rPr>
          <w:rFonts w:ascii="Calibri" w:eastAsia="Times New Roman" w:hAnsi="Calibri" w:cs="Calibri"/>
          <w:color w:val="auto"/>
          <w:lang w:eastAsia="cs-CZ"/>
        </w:rPr>
        <w:t xml:space="preserve">Objem: </w:t>
      </w:r>
      <w:r w:rsidRPr="00BC17E5">
        <w:rPr>
          <w:rFonts w:ascii="Calibri" w:eastAsia="Calibri" w:hAnsi="Calibri" w:cs="Times New Roman"/>
          <w:color w:val="auto"/>
        </w:rPr>
        <w:t>10,0</w:t>
      </w:r>
      <w:r w:rsidRPr="00BC17E5">
        <w:rPr>
          <w:rFonts w:ascii="Calibri" w:eastAsia="Times New Roman" w:hAnsi="Calibri" w:cs="Calibri"/>
          <w:color w:val="auto"/>
          <w:lang w:eastAsia="cs-CZ"/>
        </w:rPr>
        <w:t xml:space="preserve"> miliardy Kč (12,6 miliardy Kč zaručovaných úvěrů)</w:t>
      </w:r>
    </w:p>
    <w:p w:rsidR="000F63C2" w:rsidRPr="00BC17E5" w:rsidRDefault="000F63C2" w:rsidP="000237C8">
      <w:pPr>
        <w:shd w:val="clear" w:color="auto" w:fill="FFFFFF"/>
        <w:spacing w:after="0" w:line="360" w:lineRule="auto"/>
        <w:jc w:val="both"/>
        <w:rPr>
          <w:rFonts w:ascii="Segoe UI" w:eastAsia="Times New Roman" w:hAnsi="Segoe UI" w:cs="Segoe UI"/>
          <w:color w:val="auto"/>
          <w:sz w:val="23"/>
          <w:szCs w:val="23"/>
          <w:lang w:eastAsia="cs-CZ"/>
        </w:rPr>
      </w:pPr>
      <w:r w:rsidRPr="00BC17E5">
        <w:rPr>
          <w:rFonts w:ascii="Calibri" w:eastAsia="Times New Roman" w:hAnsi="Calibri" w:cs="Calibri"/>
          <w:color w:val="auto"/>
          <w:lang w:eastAsia="cs-CZ"/>
        </w:rPr>
        <w:t>Počet: 2.475</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Zamítnuté a odstoupené obchody: 1.084</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v řešení: 322</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Celkem v procesu či vyřízeno: 3.881</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Kapacita programu: 12 -13 miliard Kč záruk.</w:t>
      </w:r>
    </w:p>
    <w:p w:rsidR="000F63C2" w:rsidRDefault="000F63C2" w:rsidP="000237C8">
      <w:pPr>
        <w:spacing w:after="0" w:line="360" w:lineRule="auto"/>
        <w:jc w:val="both"/>
        <w:rPr>
          <w:rFonts w:ascii="Calibri" w:eastAsia="Calibri" w:hAnsi="Calibri" w:cs="Times New Roman"/>
          <w:color w:val="auto"/>
          <w:u w:val="single"/>
        </w:rPr>
      </w:pPr>
    </w:p>
    <w:p w:rsidR="000237C8" w:rsidRDefault="000237C8" w:rsidP="000237C8">
      <w:pPr>
        <w:spacing w:after="0" w:line="360" w:lineRule="auto"/>
        <w:jc w:val="both"/>
        <w:rPr>
          <w:rFonts w:ascii="Calibri" w:eastAsia="Calibri" w:hAnsi="Calibri" w:cs="Times New Roman"/>
          <w:color w:val="auto"/>
          <w:u w:val="single"/>
        </w:rPr>
      </w:pPr>
    </w:p>
    <w:p w:rsidR="004C6AE9" w:rsidRDefault="004C6AE9" w:rsidP="000237C8">
      <w:pPr>
        <w:spacing w:after="0" w:line="360" w:lineRule="auto"/>
        <w:jc w:val="both"/>
        <w:rPr>
          <w:rFonts w:ascii="Calibri" w:eastAsia="Calibri" w:hAnsi="Calibri" w:cs="Times New Roman"/>
          <w:color w:val="auto"/>
          <w:u w:val="single"/>
        </w:rPr>
      </w:pPr>
    </w:p>
    <w:p w:rsidR="000F63C2" w:rsidRPr="00BC17E5" w:rsidRDefault="000F63C2" w:rsidP="000237C8">
      <w:pPr>
        <w:spacing w:after="0" w:line="360" w:lineRule="auto"/>
        <w:jc w:val="both"/>
        <w:rPr>
          <w:rFonts w:ascii="Calibri" w:eastAsia="Calibri" w:hAnsi="Calibri" w:cs="Times New Roman"/>
          <w:color w:val="auto"/>
          <w:u w:val="single"/>
        </w:rPr>
      </w:pPr>
      <w:r w:rsidRPr="00BC17E5">
        <w:rPr>
          <w:rFonts w:ascii="Calibri" w:eastAsia="Calibri" w:hAnsi="Calibri" w:cs="Times New Roman"/>
          <w:color w:val="auto"/>
          <w:u w:val="single"/>
        </w:rPr>
        <w:lastRenderedPageBreak/>
        <w:t xml:space="preserve">Očekávaný stav schválených obchodů </w:t>
      </w:r>
      <w:r w:rsidRPr="00BC17E5">
        <w:rPr>
          <w:rFonts w:ascii="Calibri" w:eastAsia="Calibri" w:hAnsi="Calibri" w:cs="Times New Roman"/>
          <w:b/>
          <w:bCs/>
          <w:color w:val="auto"/>
          <w:u w:val="single"/>
        </w:rPr>
        <w:t>k 28. 6. 2020</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Objem: 10,7 – 11,1 miliard Kč (13,4 – 13,9 miliardy Kč zaručovaných úvěrů) </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Počet: 2.700 – 2.750</w:t>
      </w:r>
    </w:p>
    <w:p w:rsidR="000F63C2" w:rsidRPr="00BC17E5" w:rsidRDefault="000F63C2" w:rsidP="000237C8">
      <w:pPr>
        <w:spacing w:after="0" w:line="360" w:lineRule="auto"/>
        <w:jc w:val="both"/>
        <w:rPr>
          <w:rFonts w:ascii="Segoe UI" w:eastAsia="Times New Roman" w:hAnsi="Segoe UI" w:cs="Segoe UI"/>
          <w:color w:val="auto"/>
          <w:sz w:val="23"/>
          <w:szCs w:val="23"/>
          <w:highlight w:val="yellow"/>
          <w:lang w:eastAsia="cs-CZ"/>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t>Úvěrový program COVID I</w:t>
      </w:r>
    </w:p>
    <w:p w:rsidR="000F63C2" w:rsidRPr="00BC17E5" w:rsidRDefault="000F63C2" w:rsidP="000237C8">
      <w:pPr>
        <w:spacing w:after="0" w:line="360" w:lineRule="auto"/>
        <w:jc w:val="both"/>
        <w:rPr>
          <w:rFonts w:ascii="Calibri" w:eastAsia="Calibri" w:hAnsi="Calibri" w:cs="Times New Roman"/>
          <w:color w:val="auto"/>
          <w:u w:val="single"/>
        </w:rPr>
      </w:pPr>
      <w:r w:rsidRPr="00BC17E5">
        <w:rPr>
          <w:rFonts w:ascii="Calibri" w:eastAsia="Calibri" w:hAnsi="Calibri" w:cs="Times New Roman"/>
          <w:color w:val="auto"/>
          <w:u w:val="single"/>
        </w:rPr>
        <w:t xml:space="preserve">Schválené obchody </w:t>
      </w:r>
      <w:r w:rsidRPr="00BC17E5">
        <w:rPr>
          <w:rFonts w:ascii="Calibri" w:eastAsia="Calibri" w:hAnsi="Calibri" w:cs="Times New Roman"/>
          <w:bCs/>
          <w:color w:val="auto"/>
          <w:u w:val="single"/>
        </w:rPr>
        <w:t>k 10. 5. 2020</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Objem 968 mil. Kč </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Počet: 166</w:t>
      </w:r>
    </w:p>
    <w:p w:rsidR="000F63C2" w:rsidRPr="00C656C0" w:rsidRDefault="000F63C2" w:rsidP="000237C8">
      <w:pPr>
        <w:spacing w:after="0" w:line="360" w:lineRule="auto"/>
        <w:jc w:val="both"/>
        <w:rPr>
          <w:rFonts w:ascii="Calibri" w:eastAsia="Calibri" w:hAnsi="Calibri" w:cs="Times New Roman"/>
          <w:b/>
          <w:color w:val="auto"/>
        </w:rPr>
      </w:pPr>
      <w:r w:rsidRPr="00C656C0">
        <w:rPr>
          <w:rFonts w:ascii="Calibri" w:eastAsia="Calibri" w:hAnsi="Calibri" w:cs="Times New Roman"/>
          <w:b/>
          <w:color w:val="auto"/>
        </w:rPr>
        <w:t>Kapacita programu: 968 mil. Kč (vyčerpána)</w:t>
      </w:r>
    </w:p>
    <w:p w:rsidR="000F63C2" w:rsidRPr="00BC17E5" w:rsidRDefault="000F63C2" w:rsidP="000237C8">
      <w:pPr>
        <w:spacing w:after="0" w:line="360" w:lineRule="auto"/>
        <w:jc w:val="both"/>
        <w:rPr>
          <w:rFonts w:ascii="Calibri" w:eastAsia="Calibri" w:hAnsi="Calibri" w:cs="Times New Roman"/>
          <w:b/>
          <w:bCs/>
          <w:color w:val="0070C0"/>
          <w:u w:val="single"/>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t>Záruční program COVID PRAHA</w:t>
      </w:r>
    </w:p>
    <w:p w:rsidR="000F63C2" w:rsidRPr="00BC17E5" w:rsidRDefault="000F63C2" w:rsidP="000237C8">
      <w:pPr>
        <w:spacing w:after="0" w:line="360" w:lineRule="auto"/>
        <w:jc w:val="both"/>
        <w:rPr>
          <w:rFonts w:ascii="Calibri" w:eastAsia="Calibri" w:hAnsi="Calibri" w:cs="Times New Roman"/>
          <w:color w:val="auto"/>
          <w:u w:val="single"/>
        </w:rPr>
      </w:pPr>
      <w:r w:rsidRPr="00BC17E5">
        <w:rPr>
          <w:rFonts w:ascii="Calibri" w:eastAsia="Calibri" w:hAnsi="Calibri" w:cs="Times New Roman"/>
          <w:color w:val="auto"/>
          <w:u w:val="single"/>
        </w:rPr>
        <w:t xml:space="preserve">Schválené obchody </w:t>
      </w:r>
      <w:r w:rsidRPr="00BC17E5">
        <w:rPr>
          <w:rFonts w:ascii="Calibri" w:eastAsia="Calibri" w:hAnsi="Calibri" w:cs="Times New Roman"/>
          <w:b/>
          <w:bCs/>
          <w:color w:val="auto"/>
          <w:u w:val="single"/>
        </w:rPr>
        <w:t>k 22. 6. 2020</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Objem: 1,12 miliardy Kč (1,40 miliardy Kč zaručovaných úvěrů)</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Počet: 253</w:t>
      </w:r>
    </w:p>
    <w:p w:rsidR="000F63C2" w:rsidRPr="00BC17E5" w:rsidRDefault="000F63C2" w:rsidP="000237C8">
      <w:pPr>
        <w:spacing w:after="0" w:line="360" w:lineRule="auto"/>
        <w:jc w:val="both"/>
        <w:rPr>
          <w:rFonts w:ascii="Calibri" w:eastAsia="Calibri" w:hAnsi="Calibri" w:cs="Times New Roman"/>
          <w:i/>
          <w:iCs/>
          <w:color w:val="auto"/>
        </w:rPr>
      </w:pPr>
      <w:r w:rsidRPr="00BC17E5">
        <w:rPr>
          <w:rFonts w:ascii="Calibri" w:eastAsia="Calibri" w:hAnsi="Calibri" w:cs="Times New Roman"/>
          <w:color w:val="auto"/>
        </w:rPr>
        <w:t xml:space="preserve">Kapacita programu: cca 1,3 miliard Kč záruk </w:t>
      </w:r>
    </w:p>
    <w:p w:rsidR="000F63C2" w:rsidRPr="00BC17E5" w:rsidRDefault="000F63C2" w:rsidP="000237C8">
      <w:pPr>
        <w:spacing w:after="0" w:line="360" w:lineRule="auto"/>
        <w:jc w:val="both"/>
        <w:rPr>
          <w:rFonts w:ascii="Calibri" w:eastAsia="Calibri" w:hAnsi="Calibri" w:cs="Times New Roman"/>
          <w:color w:val="auto"/>
          <w:highlight w:val="yellow"/>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t>Program COVID Plus (záruka EGAP)</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Záruky EGAP jsou určeny pro firmy s více než 250 zaměstnanci, na jejichž tržbách se export podílí alespoň jednou pětinou a jsou poskytovány za závazky splacení úvěrové jistiny úvěrující bance. Maximální hranice úvěru činí 25 % z celkového ročního obratu příjemce úvěru v roce 2019, dolní hranice úvěru je stanovena ve výši 5 mil. Kč, horní hranice činí 2 mld. Kč. Celková kapacita systému, tj. maximální </w:t>
      </w:r>
      <w:proofErr w:type="spellStart"/>
      <w:r w:rsidRPr="00BC17E5">
        <w:rPr>
          <w:rFonts w:ascii="Calibri" w:eastAsia="Calibri" w:hAnsi="Calibri" w:cs="Times New Roman"/>
          <w:color w:val="auto"/>
        </w:rPr>
        <w:t>poskytnutelný</w:t>
      </w:r>
      <w:proofErr w:type="spellEnd"/>
      <w:r w:rsidRPr="00BC17E5">
        <w:rPr>
          <w:rFonts w:ascii="Calibri" w:eastAsia="Calibri" w:hAnsi="Calibri" w:cs="Times New Roman"/>
          <w:color w:val="auto"/>
        </w:rPr>
        <w:t xml:space="preserve"> objem záruk COVID Plus, je 142 mld. Kč. </w:t>
      </w:r>
    </w:p>
    <w:p w:rsidR="000F63C2" w:rsidRPr="00BC17E5" w:rsidRDefault="000F63C2" w:rsidP="000237C8">
      <w:pPr>
        <w:spacing w:after="0" w:line="360" w:lineRule="auto"/>
        <w:jc w:val="both"/>
        <w:rPr>
          <w:rFonts w:ascii="Calibri" w:eastAsia="Calibri" w:hAnsi="Calibri" w:cs="Times New Roman"/>
          <w:color w:val="auto"/>
        </w:rPr>
      </w:pPr>
    </w:p>
    <w:p w:rsidR="000F63C2" w:rsidRPr="00BC17E5" w:rsidRDefault="000F63C2" w:rsidP="000237C8">
      <w:pPr>
        <w:spacing w:after="0" w:line="360" w:lineRule="auto"/>
        <w:jc w:val="both"/>
        <w:rPr>
          <w:rFonts w:ascii="Calibri" w:eastAsia="Calibri" w:hAnsi="Calibri" w:cs="Times New Roman"/>
          <w:bCs/>
          <w:color w:val="auto"/>
        </w:rPr>
      </w:pPr>
      <w:r w:rsidRPr="00BC17E5">
        <w:rPr>
          <w:rFonts w:ascii="Calibri" w:eastAsia="Calibri" w:hAnsi="Calibri" w:cs="Times New Roman"/>
          <w:bCs/>
          <w:color w:val="auto"/>
        </w:rPr>
        <w:t xml:space="preserve">Schválené obchody </w:t>
      </w:r>
      <w:r w:rsidRPr="00C656C0">
        <w:rPr>
          <w:rFonts w:ascii="Calibri" w:eastAsia="Calibri" w:hAnsi="Calibri" w:cs="Times New Roman"/>
          <w:b/>
          <w:bCs/>
          <w:color w:val="auto"/>
        </w:rPr>
        <w:t>k 22. 6. 2020</w:t>
      </w:r>
      <w:r w:rsidRPr="00BC17E5">
        <w:rPr>
          <w:rFonts w:ascii="Calibri" w:eastAsia="Calibri" w:hAnsi="Calibri" w:cs="Times New Roman"/>
          <w:bCs/>
          <w:color w:val="auto"/>
        </w:rPr>
        <w:t>    -       6</w:t>
      </w:r>
    </w:p>
    <w:p w:rsidR="000F63C2" w:rsidRPr="00BC17E5" w:rsidRDefault="000F63C2" w:rsidP="000237C8">
      <w:pPr>
        <w:spacing w:after="0" w:line="360" w:lineRule="auto"/>
        <w:jc w:val="both"/>
        <w:rPr>
          <w:rFonts w:ascii="Calibri" w:eastAsia="Calibri" w:hAnsi="Calibri" w:cs="Times New Roman"/>
          <w:bCs/>
          <w:color w:val="auto"/>
        </w:rPr>
      </w:pPr>
      <w:r w:rsidRPr="00BC17E5">
        <w:rPr>
          <w:rFonts w:ascii="Calibri" w:eastAsia="Calibri" w:hAnsi="Calibri" w:cs="Times New Roman"/>
          <w:bCs/>
          <w:color w:val="auto"/>
        </w:rPr>
        <w:t>Přijaté žádosti                                     -       16</w:t>
      </w:r>
    </w:p>
    <w:p w:rsidR="000F63C2" w:rsidRPr="00BC17E5" w:rsidRDefault="000F63C2" w:rsidP="000237C8">
      <w:pPr>
        <w:spacing w:after="0" w:line="360" w:lineRule="auto"/>
        <w:jc w:val="both"/>
        <w:rPr>
          <w:rFonts w:ascii="Calibri" w:eastAsia="Calibri" w:hAnsi="Calibri" w:cs="Times New Roman"/>
          <w:bCs/>
          <w:color w:val="auto"/>
        </w:rPr>
      </w:pPr>
      <w:r w:rsidRPr="00BC17E5">
        <w:rPr>
          <w:rFonts w:ascii="Calibri" w:eastAsia="Calibri" w:hAnsi="Calibri" w:cs="Times New Roman"/>
          <w:bCs/>
          <w:color w:val="auto"/>
        </w:rPr>
        <w:t>Objem přijatých žádostí                    -        2 608 mil. Kč</w:t>
      </w:r>
    </w:p>
    <w:p w:rsidR="000F63C2" w:rsidRPr="00BC17E5" w:rsidRDefault="000F63C2" w:rsidP="000237C8">
      <w:pPr>
        <w:spacing w:after="0" w:line="360" w:lineRule="auto"/>
        <w:jc w:val="both"/>
        <w:rPr>
          <w:rFonts w:ascii="Calibri" w:eastAsia="Calibri" w:hAnsi="Calibri" w:cs="Times New Roman"/>
          <w:bCs/>
          <w:color w:val="auto"/>
        </w:rPr>
      </w:pPr>
      <w:r w:rsidRPr="00BC17E5">
        <w:rPr>
          <w:rFonts w:ascii="Calibri" w:eastAsia="Calibri" w:hAnsi="Calibri" w:cs="Times New Roman"/>
          <w:bCs/>
          <w:color w:val="auto"/>
        </w:rPr>
        <w:t>Objem schválených záruk                 -        633 mil. Kč</w:t>
      </w:r>
    </w:p>
    <w:p w:rsidR="000F63C2" w:rsidRPr="00BC17E5" w:rsidRDefault="000F63C2" w:rsidP="000237C8">
      <w:pPr>
        <w:spacing w:after="0" w:line="360" w:lineRule="auto"/>
        <w:jc w:val="both"/>
        <w:rPr>
          <w:rFonts w:ascii="Calibri" w:eastAsia="Calibri" w:hAnsi="Calibri" w:cs="Times New Roman"/>
          <w:bCs/>
          <w:color w:val="auto"/>
        </w:rPr>
      </w:pPr>
      <w:r w:rsidRPr="00BC17E5">
        <w:rPr>
          <w:rFonts w:ascii="Calibri" w:eastAsia="Calibri" w:hAnsi="Calibri" w:cs="Times New Roman"/>
          <w:bCs/>
          <w:color w:val="auto"/>
        </w:rPr>
        <w:t>Celková kapacita programu              -        142 mld. Kč</w:t>
      </w:r>
    </w:p>
    <w:p w:rsidR="000F63C2" w:rsidRPr="00BC17E5" w:rsidRDefault="000F63C2" w:rsidP="000237C8">
      <w:pPr>
        <w:spacing w:after="0" w:line="360" w:lineRule="auto"/>
        <w:jc w:val="both"/>
        <w:rPr>
          <w:rFonts w:ascii="Calibri" w:eastAsia="Calibri" w:hAnsi="Calibri" w:cs="Times New Roman"/>
          <w:bCs/>
          <w:color w:val="auto"/>
          <w:highlight w:val="yellow"/>
        </w:rPr>
      </w:pPr>
      <w:r w:rsidRPr="00BC17E5">
        <w:rPr>
          <w:rFonts w:ascii="Calibri" w:eastAsia="Calibri" w:hAnsi="Calibri" w:cs="Times New Roman"/>
          <w:bCs/>
          <w:color w:val="auto"/>
        </w:rPr>
        <w:t xml:space="preserve">Aktuální </w:t>
      </w:r>
      <w:proofErr w:type="spellStart"/>
      <w:r w:rsidRPr="00BC17E5">
        <w:rPr>
          <w:rFonts w:ascii="Calibri" w:eastAsia="Calibri" w:hAnsi="Calibri" w:cs="Times New Roman"/>
          <w:bCs/>
          <w:color w:val="auto"/>
        </w:rPr>
        <w:t>poskytnutelná</w:t>
      </w:r>
      <w:proofErr w:type="spellEnd"/>
      <w:r w:rsidRPr="00BC17E5">
        <w:rPr>
          <w:rFonts w:ascii="Calibri" w:eastAsia="Calibri" w:hAnsi="Calibri" w:cs="Times New Roman"/>
          <w:bCs/>
          <w:color w:val="auto"/>
        </w:rPr>
        <w:t xml:space="preserve"> kapacita     -         49 997 mil. Kč</w:t>
      </w:r>
    </w:p>
    <w:p w:rsidR="000F63C2" w:rsidRPr="00BC17E5" w:rsidRDefault="000F63C2" w:rsidP="000237C8">
      <w:pPr>
        <w:spacing w:after="0" w:line="360" w:lineRule="auto"/>
        <w:jc w:val="both"/>
        <w:rPr>
          <w:rFonts w:ascii="Calibri" w:eastAsia="Calibri" w:hAnsi="Calibri" w:cs="Times New Roman"/>
          <w:bCs/>
          <w:color w:val="auto"/>
          <w:highlight w:val="yellow"/>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t>Podpora inovací</w:t>
      </w:r>
    </w:p>
    <w:p w:rsidR="000F63C2" w:rsidRPr="00BC17E5" w:rsidRDefault="000F63C2" w:rsidP="000237C8">
      <w:pPr>
        <w:spacing w:after="0" w:line="360" w:lineRule="auto"/>
        <w:jc w:val="both"/>
        <w:rPr>
          <w:rFonts w:ascii="Calibri" w:eastAsia="Calibri" w:hAnsi="Calibri" w:cs="Times New Roman"/>
          <w:color w:val="auto"/>
          <w:highlight w:val="yellow"/>
        </w:rPr>
      </w:pPr>
      <w:r w:rsidRPr="00BC17E5">
        <w:rPr>
          <w:rFonts w:ascii="Calibri" w:eastAsia="Calibri" w:hAnsi="Calibri" w:cs="Times New Roman"/>
          <w:b/>
          <w:color w:val="auto"/>
          <w:szCs w:val="21"/>
        </w:rPr>
        <w:t xml:space="preserve">Czech </w:t>
      </w:r>
      <w:proofErr w:type="spellStart"/>
      <w:r w:rsidRPr="00BC17E5">
        <w:rPr>
          <w:rFonts w:ascii="Calibri" w:eastAsia="Calibri" w:hAnsi="Calibri" w:cs="Times New Roman"/>
          <w:b/>
          <w:color w:val="auto"/>
          <w:szCs w:val="21"/>
        </w:rPr>
        <w:t>Rise</w:t>
      </w:r>
      <w:proofErr w:type="spellEnd"/>
      <w:r w:rsidRPr="00BC17E5">
        <w:rPr>
          <w:rFonts w:ascii="Calibri" w:eastAsia="Calibri" w:hAnsi="Calibri" w:cs="Times New Roman"/>
          <w:b/>
          <w:color w:val="auto"/>
          <w:szCs w:val="21"/>
        </w:rPr>
        <w:t xml:space="preserve"> Up</w:t>
      </w:r>
      <w:r w:rsidRPr="00BC17E5">
        <w:rPr>
          <w:rFonts w:ascii="Calibri" w:eastAsia="Calibri" w:hAnsi="Calibri" w:cs="Times New Roman"/>
          <w:color w:val="auto"/>
          <w:szCs w:val="21"/>
        </w:rPr>
        <w:t xml:space="preserve"> (podpora nových technologických řešení): program byl ukončen 15. 5. 2020;</w:t>
      </w:r>
      <w:r w:rsidRPr="00BC17E5">
        <w:rPr>
          <w:rFonts w:ascii="Calibri" w:eastAsia="Calibri" w:hAnsi="Calibri" w:cs="Times New Roman"/>
          <w:color w:val="auto"/>
          <w:szCs w:val="21"/>
        </w:rPr>
        <w:br/>
        <w:t xml:space="preserve">přišlo celkem 236 žádostí, prozatím bylo rozhodnuto o podpoře 43 projektů, </w:t>
      </w:r>
      <w:r w:rsidRPr="00BC17E5">
        <w:rPr>
          <w:rFonts w:ascii="Calibri" w:eastAsia="Calibri" w:hAnsi="Calibri" w:cs="Times New Roman"/>
          <w:color w:val="auto"/>
        </w:rPr>
        <w:t>podpora 118,5 mil. Kč.</w:t>
      </w:r>
    </w:p>
    <w:p w:rsidR="000F63C2" w:rsidRPr="00BC17E5" w:rsidRDefault="000F63C2" w:rsidP="000237C8">
      <w:pPr>
        <w:spacing w:after="0" w:line="360" w:lineRule="auto"/>
        <w:jc w:val="both"/>
        <w:rPr>
          <w:rFonts w:ascii="Calibri" w:eastAsia="Calibri" w:hAnsi="Calibri" w:cs="Times New Roman"/>
          <w:color w:val="auto"/>
          <w:highlight w:val="yellow"/>
        </w:rPr>
      </w:pPr>
    </w:p>
    <w:p w:rsidR="000F63C2" w:rsidRDefault="000F63C2" w:rsidP="000237C8">
      <w:pPr>
        <w:spacing w:after="0" w:line="360" w:lineRule="auto"/>
        <w:jc w:val="both"/>
        <w:rPr>
          <w:rFonts w:ascii="Calibri" w:eastAsia="Calibri" w:hAnsi="Calibri" w:cs="Times New Roman"/>
          <w:b/>
          <w:bCs/>
          <w:color w:val="0070C0"/>
          <w:szCs w:val="21"/>
          <w:u w:val="single"/>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lastRenderedPageBreak/>
        <w:t xml:space="preserve">Country </w:t>
      </w:r>
      <w:proofErr w:type="spellStart"/>
      <w:r w:rsidRPr="00FB09EE">
        <w:rPr>
          <w:rFonts w:ascii="Calibri" w:eastAsia="Calibri" w:hAnsi="Calibri" w:cs="Times New Roman"/>
          <w:b/>
          <w:bCs/>
          <w:color w:val="0070C0"/>
          <w:sz w:val="24"/>
          <w:szCs w:val="24"/>
          <w:u w:val="single"/>
        </w:rPr>
        <w:t>for</w:t>
      </w:r>
      <w:proofErr w:type="spellEnd"/>
      <w:r w:rsidRPr="00FB09EE">
        <w:rPr>
          <w:rFonts w:ascii="Calibri" w:eastAsia="Calibri" w:hAnsi="Calibri" w:cs="Times New Roman"/>
          <w:b/>
          <w:bCs/>
          <w:color w:val="0070C0"/>
          <w:sz w:val="24"/>
          <w:szCs w:val="24"/>
          <w:u w:val="single"/>
        </w:rPr>
        <w:t xml:space="preserve"> </w:t>
      </w:r>
      <w:proofErr w:type="spellStart"/>
      <w:r w:rsidRPr="00FB09EE">
        <w:rPr>
          <w:rFonts w:ascii="Calibri" w:eastAsia="Calibri" w:hAnsi="Calibri" w:cs="Times New Roman"/>
          <w:b/>
          <w:bCs/>
          <w:color w:val="0070C0"/>
          <w:sz w:val="24"/>
          <w:szCs w:val="24"/>
          <w:u w:val="single"/>
        </w:rPr>
        <w:t>the</w:t>
      </w:r>
      <w:proofErr w:type="spellEnd"/>
      <w:r w:rsidRPr="00FB09EE">
        <w:rPr>
          <w:rFonts w:ascii="Calibri" w:eastAsia="Calibri" w:hAnsi="Calibri" w:cs="Times New Roman"/>
          <w:b/>
          <w:bCs/>
          <w:color w:val="0070C0"/>
          <w:sz w:val="24"/>
          <w:szCs w:val="24"/>
          <w:u w:val="single"/>
        </w:rPr>
        <w:t xml:space="preserve"> </w:t>
      </w:r>
      <w:proofErr w:type="spellStart"/>
      <w:r w:rsidRPr="00FB09EE">
        <w:rPr>
          <w:rFonts w:ascii="Calibri" w:eastAsia="Calibri" w:hAnsi="Calibri" w:cs="Times New Roman"/>
          <w:b/>
          <w:bCs/>
          <w:color w:val="0070C0"/>
          <w:sz w:val="24"/>
          <w:szCs w:val="24"/>
          <w:u w:val="single"/>
        </w:rPr>
        <w:t>Future</w:t>
      </w:r>
      <w:proofErr w:type="spellEnd"/>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Zaměření: Zavádění inovací do praxe</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Termín podávání žádostí: do 15. 5. 2020, příjem žádostí ukončen</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Objem prostředků: plánovaná alokace 300 mil. Kč</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Podané žádosti: 58 žádostí (plánované náklady 717 mil. Kč, požadovaná dotace 401 mil. Kč)</w:t>
      </w:r>
    </w:p>
    <w:p w:rsidR="000F63C2" w:rsidRPr="00BC17E5" w:rsidRDefault="000F63C2" w:rsidP="000237C8">
      <w:pPr>
        <w:spacing w:after="0" w:line="360" w:lineRule="auto"/>
        <w:jc w:val="both"/>
        <w:rPr>
          <w:rFonts w:ascii="Calibri" w:eastAsia="Calibri" w:hAnsi="Calibri" w:cs="Times New Roman"/>
          <w:i/>
          <w:iCs/>
          <w:color w:val="auto"/>
        </w:rPr>
      </w:pPr>
      <w:r w:rsidRPr="00BC17E5">
        <w:rPr>
          <w:rFonts w:ascii="Calibri" w:eastAsia="Calibri" w:hAnsi="Calibri" w:cs="Times New Roman"/>
          <w:color w:val="auto"/>
        </w:rPr>
        <w:t>Výsledek formální kontroly: do dalšího hodnocení postoupilo 52 žádostí (plánované náklady 675 mil. Kč, požadovaná dotace 376 mil. Kč)</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Hodnocení: projekty budou vyhodnoceny nejpozději do 31. 8. 2020 (cíl je stihnout 31. 7. 2020)</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Finance: prostředky na náklady roku 2020 budou odeslány cca měsíc po vyhodnocení soutěže (uznatelné náklady jsou již od 4. 4. 2020), následně projekty obdrží finance na další rok vždy na začátku Q2 daného roku.</w:t>
      </w:r>
    </w:p>
    <w:p w:rsidR="000F63C2" w:rsidRPr="00BC17E5" w:rsidRDefault="000F63C2" w:rsidP="000237C8">
      <w:pPr>
        <w:spacing w:after="0" w:line="360" w:lineRule="auto"/>
        <w:jc w:val="both"/>
        <w:rPr>
          <w:rFonts w:ascii="Calibri" w:eastAsia="Calibri" w:hAnsi="Calibri" w:cs="Times New Roman"/>
          <w:color w:val="auto"/>
          <w:highlight w:val="yellow"/>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t>Výzva Inovační vouchery COVID (OP PIK)</w:t>
      </w:r>
    </w:p>
    <w:p w:rsidR="000F63C2" w:rsidRPr="00BC17E5" w:rsidRDefault="000F63C2" w:rsidP="000237C8">
      <w:pPr>
        <w:spacing w:after="0" w:line="360" w:lineRule="auto"/>
        <w:jc w:val="both"/>
        <w:rPr>
          <w:rFonts w:ascii="Calibri" w:eastAsia="Calibri" w:hAnsi="Calibri" w:cs="Times New Roman"/>
          <w:b/>
          <w:color w:val="auto"/>
          <w:u w:val="single"/>
        </w:rPr>
      </w:pPr>
      <w:r w:rsidRPr="00BC17E5">
        <w:rPr>
          <w:rFonts w:ascii="Calibri" w:eastAsia="Calibri" w:hAnsi="Calibri" w:cs="Times New Roman"/>
          <w:color w:val="auto"/>
          <w:shd w:val="clear" w:color="auto" w:fill="FFFFFF"/>
        </w:rPr>
        <w:t xml:space="preserve">Podpora sdílení poznatků a know-how mezi podnikovou a výzkumnou sférou pro boj proti </w:t>
      </w:r>
      <w:proofErr w:type="spellStart"/>
      <w:r w:rsidRPr="00BC17E5">
        <w:rPr>
          <w:rFonts w:ascii="Calibri" w:eastAsia="Calibri" w:hAnsi="Calibri" w:cs="Times New Roman"/>
          <w:color w:val="auto"/>
          <w:shd w:val="clear" w:color="auto" w:fill="FFFFFF"/>
        </w:rPr>
        <w:t>koronavirové</w:t>
      </w:r>
      <w:proofErr w:type="spellEnd"/>
      <w:r w:rsidRPr="00BC17E5">
        <w:rPr>
          <w:rFonts w:ascii="Calibri" w:eastAsia="Calibri" w:hAnsi="Calibri" w:cs="Times New Roman"/>
          <w:color w:val="auto"/>
          <w:shd w:val="clear" w:color="auto" w:fill="FFFFFF"/>
        </w:rPr>
        <w:t xml:space="preserve"> infekcí. Opatření na zmírnění dopadu dalšího šíření infekce. Podpora vzniku preventivních opatření uplatnitelných na trhu. Bez realizace výběrových řízení s konkrétní objednávkou služby - napomůže rychlému hodnocení přijatých žádostí i procesu administrace plateb.</w:t>
      </w:r>
    </w:p>
    <w:p w:rsidR="000F63C2" w:rsidRPr="00BC17E5" w:rsidRDefault="000F63C2" w:rsidP="000237C8">
      <w:pPr>
        <w:spacing w:after="0" w:line="360" w:lineRule="auto"/>
        <w:jc w:val="both"/>
        <w:rPr>
          <w:rFonts w:ascii="Calibri" w:eastAsia="Calibri" w:hAnsi="Calibri" w:cs="Times New Roman"/>
          <w:color w:val="auto"/>
        </w:rPr>
      </w:pP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Výzva vyhlášena 16. dubna 2020.</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Alokace pro výzvu je stanovena ve výši 50 milionů Kč. </w:t>
      </w:r>
    </w:p>
    <w:p w:rsidR="000F63C2" w:rsidRPr="00BC17E5" w:rsidRDefault="000F63C2" w:rsidP="000237C8">
      <w:pPr>
        <w:spacing w:after="0" w:line="360" w:lineRule="auto"/>
        <w:jc w:val="both"/>
        <w:rPr>
          <w:rFonts w:ascii="Calibri" w:eastAsia="Calibri" w:hAnsi="Calibri" w:cs="Times New Roman"/>
          <w:color w:val="auto"/>
        </w:rPr>
      </w:pP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Výzva je určena malým a středním podnikům. </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Příjem žádostí o podporu probíhá od 17. dubna 2020 do 31. prosince 2020. Výše dotace je max.  999 999 Kč (v závislosti na požadovaných způsobilých výdajích).</w:t>
      </w:r>
    </w:p>
    <w:p w:rsidR="000F63C2" w:rsidRPr="00BC17E5" w:rsidRDefault="00C656C0" w:rsidP="000237C8">
      <w:pPr>
        <w:spacing w:after="0" w:line="360" w:lineRule="auto"/>
        <w:jc w:val="both"/>
        <w:rPr>
          <w:rFonts w:ascii="Calibri" w:eastAsia="Calibri" w:hAnsi="Calibri" w:cs="Times New Roman"/>
          <w:color w:val="auto"/>
          <w:szCs w:val="21"/>
        </w:rPr>
      </w:pPr>
      <w:r>
        <w:rPr>
          <w:rFonts w:ascii="Calibri" w:eastAsia="Calibri" w:hAnsi="Calibri" w:cs="Times New Roman"/>
          <w:b/>
          <w:color w:val="auto"/>
        </w:rPr>
        <w:t>K</w:t>
      </w:r>
      <w:r w:rsidR="000F63C2" w:rsidRPr="00C656C0">
        <w:rPr>
          <w:rFonts w:ascii="Calibri" w:eastAsia="Calibri" w:hAnsi="Calibri" w:cs="Times New Roman"/>
          <w:b/>
          <w:color w:val="auto"/>
        </w:rPr>
        <w:t xml:space="preserve"> </w:t>
      </w:r>
      <w:r w:rsidR="000F63C2" w:rsidRPr="00C656C0">
        <w:rPr>
          <w:rFonts w:ascii="Calibri" w:eastAsia="Calibri" w:hAnsi="Calibri" w:cs="Times New Roman"/>
          <w:b/>
          <w:color w:val="auto"/>
          <w:szCs w:val="21"/>
        </w:rPr>
        <w:t>22. 6. 2020</w:t>
      </w:r>
      <w:r w:rsidR="000F63C2" w:rsidRPr="00BC17E5">
        <w:rPr>
          <w:rFonts w:ascii="Calibri" w:eastAsia="Calibri" w:hAnsi="Calibri" w:cs="Times New Roman"/>
          <w:color w:val="auto"/>
          <w:szCs w:val="21"/>
        </w:rPr>
        <w:t xml:space="preserve"> je v MS2014+  zaregistrováno 6 žádostí o podporu s celkovými způsobilými výdaji ve výši 2 100 100 Kč. Celková výše podpory činí 1 785 085 Kč.</w:t>
      </w:r>
    </w:p>
    <w:p w:rsidR="000F63C2" w:rsidRPr="00BC17E5" w:rsidRDefault="000F63C2" w:rsidP="000237C8">
      <w:pPr>
        <w:spacing w:after="0" w:line="360" w:lineRule="auto"/>
        <w:jc w:val="both"/>
        <w:rPr>
          <w:rFonts w:ascii="Calibri" w:eastAsia="Calibri" w:hAnsi="Calibri" w:cs="Times New Roman"/>
          <w:b/>
          <w:color w:val="0070C0"/>
          <w:u w:val="single"/>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t>Výzva Technologie COVID (OP PIK)</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Podpora podnikatelské činnosti se zaměřením na výrobu zdravotnických prostředků a prostředků osobní ochrany nebo na likvidaci infekčního odpadu. Jde o projekty, které mají přímou souvislost s bojem proti dalšímu šíření </w:t>
      </w:r>
      <w:proofErr w:type="spellStart"/>
      <w:r w:rsidRPr="00BC17E5">
        <w:rPr>
          <w:rFonts w:ascii="Calibri" w:eastAsia="Calibri" w:hAnsi="Calibri" w:cs="Times New Roman"/>
          <w:color w:val="auto"/>
        </w:rPr>
        <w:t>koronavirové</w:t>
      </w:r>
      <w:proofErr w:type="spellEnd"/>
      <w:r w:rsidRPr="00BC17E5">
        <w:rPr>
          <w:rFonts w:ascii="Calibri" w:eastAsia="Calibri" w:hAnsi="Calibri" w:cs="Times New Roman"/>
          <w:color w:val="auto"/>
        </w:rPr>
        <w:t xml:space="preserve"> infekce prostřednictvím pořízení nových technologických zařízení a vybavení. </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Výzva vyhlášena 15. dubna 2020.</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Alokace pro výzvu je stanovena ve výši 300 milionů Kč. </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rPr>
        <w:t xml:space="preserve">Výzva je určena malým a středním podnikům. </w:t>
      </w:r>
    </w:p>
    <w:p w:rsidR="000F63C2" w:rsidRPr="00BC17E5" w:rsidRDefault="000F63C2" w:rsidP="000237C8">
      <w:pPr>
        <w:spacing w:after="0" w:line="360" w:lineRule="auto"/>
        <w:jc w:val="both"/>
        <w:rPr>
          <w:rFonts w:ascii="Calibri" w:eastAsia="Calibri" w:hAnsi="Calibri" w:cs="Times New Roman"/>
          <w:color w:val="auto"/>
          <w:shd w:val="clear" w:color="auto" w:fill="FFFFFF"/>
        </w:rPr>
      </w:pPr>
      <w:r w:rsidRPr="00BC17E5">
        <w:rPr>
          <w:rFonts w:ascii="Calibri" w:eastAsia="Calibri" w:hAnsi="Calibri" w:cs="Times New Roman"/>
          <w:color w:val="auto"/>
        </w:rPr>
        <w:t>Příjem žádostí o podporu probíhal od 4. května 2020 do 5. června 2020.</w:t>
      </w:r>
      <w:r w:rsidRPr="00BC17E5">
        <w:rPr>
          <w:rFonts w:ascii="Calibri" w:eastAsia="Calibri" w:hAnsi="Calibri" w:cs="Times New Roman"/>
          <w:color w:val="auto"/>
          <w:shd w:val="clear" w:color="auto" w:fill="FFFFFF"/>
        </w:rPr>
        <w:t xml:space="preserve"> </w:t>
      </w:r>
    </w:p>
    <w:p w:rsidR="000F63C2" w:rsidRPr="00BC17E5" w:rsidRDefault="000F63C2" w:rsidP="000237C8">
      <w:pPr>
        <w:spacing w:after="0" w:line="360" w:lineRule="auto"/>
        <w:jc w:val="both"/>
        <w:rPr>
          <w:rFonts w:ascii="Calibri" w:eastAsia="Calibri" w:hAnsi="Calibri" w:cs="Times New Roman"/>
          <w:color w:val="auto"/>
        </w:rPr>
      </w:pPr>
      <w:r w:rsidRPr="00BC17E5">
        <w:rPr>
          <w:rFonts w:ascii="Calibri" w:eastAsia="Calibri" w:hAnsi="Calibri" w:cs="Times New Roman"/>
          <w:color w:val="auto"/>
          <w:shd w:val="clear" w:color="auto" w:fill="FFFFFF"/>
        </w:rPr>
        <w:lastRenderedPageBreak/>
        <w:t>Míra podpory je maximálně 50 % z celkových způsobilých výdajů. Minimální výše dotace je 250 tis. Kč, maximální 20 mil. Kč.</w:t>
      </w:r>
    </w:p>
    <w:p w:rsidR="000F63C2" w:rsidRPr="00BC17E5" w:rsidRDefault="000F63C2" w:rsidP="000237C8">
      <w:pPr>
        <w:spacing w:after="0" w:line="360" w:lineRule="auto"/>
        <w:jc w:val="both"/>
        <w:rPr>
          <w:rFonts w:ascii="Calibri" w:eastAsia="Calibri" w:hAnsi="Calibri" w:cs="Times New Roman"/>
          <w:color w:val="auto"/>
          <w:highlight w:val="yellow"/>
        </w:rPr>
      </w:pPr>
      <w:r w:rsidRPr="00BC17E5">
        <w:rPr>
          <w:rFonts w:ascii="Calibri" w:eastAsia="Calibri" w:hAnsi="Calibri" w:cs="Times New Roman"/>
          <w:color w:val="auto"/>
        </w:rPr>
        <w:t xml:space="preserve">Ve výzvě je registrováno </w:t>
      </w:r>
      <w:r w:rsidRPr="00BC17E5">
        <w:rPr>
          <w:rFonts w:ascii="Calibri" w:eastAsia="Calibri" w:hAnsi="Calibri" w:cs="Times New Roman"/>
          <w:b/>
          <w:color w:val="auto"/>
        </w:rPr>
        <w:t xml:space="preserve">144 projektů za 686 mil. Kč </w:t>
      </w:r>
      <w:r w:rsidRPr="00BC17E5">
        <w:rPr>
          <w:rFonts w:ascii="Calibri" w:eastAsia="Calibri" w:hAnsi="Calibri" w:cs="Times New Roman"/>
          <w:color w:val="auto"/>
        </w:rPr>
        <w:t xml:space="preserve"> - v pátek 5. 6. 2020 byl již ukončen příjem žádostí do XII. výzvy, </w:t>
      </w:r>
      <w:r w:rsidRPr="00BC17E5">
        <w:rPr>
          <w:rFonts w:ascii="Calibri" w:eastAsia="Calibri" w:hAnsi="Calibri" w:cs="Times New Roman"/>
          <w:b/>
          <w:color w:val="auto"/>
        </w:rPr>
        <w:t>data za Technologie se měnit nebudou.</w:t>
      </w:r>
    </w:p>
    <w:p w:rsidR="000F63C2" w:rsidRPr="00BC17E5" w:rsidRDefault="000F63C2" w:rsidP="000237C8">
      <w:pPr>
        <w:spacing w:after="0" w:line="360" w:lineRule="auto"/>
        <w:jc w:val="both"/>
        <w:rPr>
          <w:rFonts w:ascii="Calibri" w:eastAsia="Calibri" w:hAnsi="Calibri" w:cs="Times New Roman"/>
          <w:b/>
          <w:color w:val="auto"/>
          <w:highlight w:val="yellow"/>
          <w:u w:val="single"/>
        </w:rPr>
      </w:pPr>
    </w:p>
    <w:p w:rsidR="000F63C2" w:rsidRPr="00FB09EE" w:rsidRDefault="000F63C2" w:rsidP="000237C8">
      <w:pPr>
        <w:spacing w:after="0" w:line="360" w:lineRule="auto"/>
        <w:jc w:val="both"/>
        <w:rPr>
          <w:rFonts w:ascii="Calibri" w:eastAsia="Calibri" w:hAnsi="Calibri" w:cs="Times New Roman"/>
          <w:b/>
          <w:bCs/>
          <w:color w:val="0070C0"/>
          <w:sz w:val="24"/>
          <w:szCs w:val="24"/>
          <w:u w:val="single"/>
        </w:rPr>
      </w:pPr>
      <w:r w:rsidRPr="00FB09EE">
        <w:rPr>
          <w:rFonts w:ascii="Calibri" w:eastAsia="Calibri" w:hAnsi="Calibri" w:cs="Times New Roman"/>
          <w:b/>
          <w:bCs/>
          <w:color w:val="0070C0"/>
          <w:sz w:val="24"/>
          <w:szCs w:val="24"/>
          <w:u w:val="single"/>
        </w:rPr>
        <w:t>Ošetřovné pro OSVČ</w:t>
      </w:r>
    </w:p>
    <w:p w:rsidR="00713948" w:rsidRPr="00605759" w:rsidRDefault="000F63C2" w:rsidP="000237C8">
      <w:pPr>
        <w:jc w:val="both"/>
      </w:pPr>
      <w:r w:rsidRPr="00BC17E5">
        <w:rPr>
          <w:rFonts w:ascii="Calibri" w:eastAsia="Calibri" w:hAnsi="Calibri" w:cs="Times New Roman"/>
          <w:color w:val="auto"/>
        </w:rPr>
        <w:t xml:space="preserve">Dohromady 129 tis. obdržených žádostí, 115 tis. schválených, 6 tis. je vrácených a podnikatelé ještě neposlali podklady, 8 tis. zamítnutých (zejména duplicitní žádosti na jedno IČ). Proplaceno: nyní </w:t>
      </w:r>
      <w:r w:rsidRPr="00BC17E5">
        <w:rPr>
          <w:rFonts w:ascii="Calibri" w:eastAsia="Calibri" w:hAnsi="Calibri" w:cs="Times New Roman"/>
          <w:b/>
          <w:color w:val="auto"/>
        </w:rPr>
        <w:t>1,2 mld. Kč</w:t>
      </w:r>
      <w:r>
        <w:rPr>
          <w:rFonts w:ascii="Calibri" w:eastAsia="Calibri" w:hAnsi="Calibri" w:cs="Times New Roman"/>
          <w:b/>
          <w:color w:val="auto"/>
        </w:rPr>
        <w:t>.</w:t>
      </w:r>
    </w:p>
    <w:sectPr w:rsidR="00713948" w:rsidRPr="00605759" w:rsidSect="00CC5E40">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067F" w:rsidRDefault="00E6067F" w:rsidP="00677FE0">
      <w:pPr>
        <w:spacing w:after="0" w:line="240" w:lineRule="auto"/>
      </w:pPr>
      <w:r>
        <w:separator/>
      </w:r>
    </w:p>
  </w:endnote>
  <w:endnote w:type="continuationSeparator" w:id="0">
    <w:p w:rsidR="00E6067F" w:rsidRDefault="00E6067F"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658772"/>
      <w:docPartObj>
        <w:docPartGallery w:val="Page Numbers (Bottom of Page)"/>
        <w:docPartUnique/>
      </w:docPartObj>
    </w:sdtPr>
    <w:sdtEndPr/>
    <w:sdtContent>
      <w:p w:rsidR="000237C8" w:rsidRDefault="000237C8">
        <w:pPr>
          <w:pStyle w:val="Zpat"/>
          <w:jc w:val="center"/>
        </w:pPr>
        <w:r>
          <w:fldChar w:fldCharType="begin"/>
        </w:r>
        <w:r>
          <w:instrText>PAGE   \* MERGEFORMAT</w:instrText>
        </w:r>
        <w:r>
          <w:fldChar w:fldCharType="separate"/>
        </w:r>
        <w:r w:rsidR="00C656C0">
          <w:rPr>
            <w:noProof/>
          </w:rPr>
          <w:t>4</w:t>
        </w:r>
        <w:r>
          <w:fldChar w:fldCharType="end"/>
        </w:r>
      </w:p>
    </w:sdtContent>
  </w:sdt>
  <w:p w:rsidR="000237C8" w:rsidRDefault="000237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067F" w:rsidRDefault="00E6067F" w:rsidP="00677FE0">
      <w:pPr>
        <w:spacing w:after="0" w:line="240" w:lineRule="auto"/>
      </w:pPr>
      <w:r>
        <w:separator/>
      </w:r>
    </w:p>
  </w:footnote>
  <w:footnote w:type="continuationSeparator" w:id="0">
    <w:p w:rsidR="00E6067F" w:rsidRDefault="00E6067F" w:rsidP="0067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987FCF"/>
    <w:multiLevelType w:val="multilevel"/>
    <w:tmpl w:val="0D8ABE32"/>
    <w:numStyleLink w:val="VariantaB-sla"/>
  </w:abstractNum>
  <w:abstractNum w:abstractNumId="19" w15:restartNumberingAfterBreak="0">
    <w:nsid w:val="1D3068A6"/>
    <w:multiLevelType w:val="multilevel"/>
    <w:tmpl w:val="3320A8B2"/>
    <w:numStyleLink w:val="VariantaB-odrky"/>
  </w:abstractNum>
  <w:abstractNum w:abstractNumId="20" w15:restartNumberingAfterBreak="0">
    <w:nsid w:val="1D464EC2"/>
    <w:multiLevelType w:val="multilevel"/>
    <w:tmpl w:val="E8BAE50A"/>
    <w:numStyleLink w:val="VariantaA-odrky"/>
  </w:abstractNum>
  <w:abstractNum w:abstractNumId="21" w15:restartNumberingAfterBreak="0">
    <w:nsid w:val="1EAB39CE"/>
    <w:multiLevelType w:val="multilevel"/>
    <w:tmpl w:val="E8BAE50A"/>
    <w:numStyleLink w:val="VariantaA-odrky"/>
  </w:abstractNum>
  <w:abstractNum w:abstractNumId="22" w15:restartNumberingAfterBreak="0">
    <w:nsid w:val="289A5EA2"/>
    <w:multiLevelType w:val="multilevel"/>
    <w:tmpl w:val="E8BAE50A"/>
    <w:numStyleLink w:val="VariantaA-odrky"/>
  </w:abstractNum>
  <w:abstractNum w:abstractNumId="23" w15:restartNumberingAfterBreak="0">
    <w:nsid w:val="28AB573E"/>
    <w:multiLevelType w:val="multilevel"/>
    <w:tmpl w:val="3320A8B2"/>
    <w:numStyleLink w:val="VariantaB-odrky"/>
  </w:abstractNum>
  <w:abstractNum w:abstractNumId="24" w15:restartNumberingAfterBreak="0">
    <w:nsid w:val="2A5F2D39"/>
    <w:multiLevelType w:val="multilevel"/>
    <w:tmpl w:val="E8BAE50A"/>
    <w:numStyleLink w:val="VariantaA-odrky"/>
  </w:abstractNum>
  <w:abstractNum w:abstractNumId="25" w15:restartNumberingAfterBreak="0">
    <w:nsid w:val="2DBB2CE6"/>
    <w:multiLevelType w:val="multilevel"/>
    <w:tmpl w:val="E8BAE50A"/>
    <w:numStyleLink w:val="VariantaA-odrky"/>
  </w:abstractNum>
  <w:abstractNum w:abstractNumId="26" w15:restartNumberingAfterBreak="0">
    <w:nsid w:val="355131EF"/>
    <w:multiLevelType w:val="multilevel"/>
    <w:tmpl w:val="E8A48D7C"/>
    <w:numStyleLink w:val="VariantaA-sla"/>
  </w:abstractNum>
  <w:abstractNum w:abstractNumId="27" w15:restartNumberingAfterBreak="0">
    <w:nsid w:val="4A306389"/>
    <w:multiLevelType w:val="multilevel"/>
    <w:tmpl w:val="E8BAE50A"/>
    <w:numStyleLink w:val="VariantaA-odrky"/>
  </w:abstractNum>
  <w:abstractNum w:abstractNumId="2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290926"/>
    <w:multiLevelType w:val="multilevel"/>
    <w:tmpl w:val="E8BAE50A"/>
    <w:numStyleLink w:val="VariantaA-odrky"/>
  </w:abstractNum>
  <w:abstractNum w:abstractNumId="30" w15:restartNumberingAfterBreak="0">
    <w:nsid w:val="533902EA"/>
    <w:multiLevelType w:val="multilevel"/>
    <w:tmpl w:val="E8BAE50A"/>
    <w:numStyleLink w:val="VariantaA-odrky"/>
  </w:abstractNum>
  <w:abstractNum w:abstractNumId="31" w15:restartNumberingAfterBreak="0">
    <w:nsid w:val="571C11E2"/>
    <w:multiLevelType w:val="multilevel"/>
    <w:tmpl w:val="E8A48D7C"/>
    <w:numStyleLink w:val="VariantaA-sla"/>
  </w:abstractNum>
  <w:abstractNum w:abstractNumId="3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3" w15:restartNumberingAfterBreak="0">
    <w:nsid w:val="5AF35F43"/>
    <w:multiLevelType w:val="multilevel"/>
    <w:tmpl w:val="0D8ABE32"/>
    <w:numStyleLink w:val="VariantaB-sla"/>
  </w:abstractNum>
  <w:num w:numId="1">
    <w:abstractNumId w:val="16"/>
  </w:num>
  <w:num w:numId="2">
    <w:abstractNumId w:val="32"/>
  </w:num>
  <w:num w:numId="3">
    <w:abstractNumId w:val="19"/>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28"/>
  </w:num>
  <w:num w:numId="7">
    <w:abstractNumId w:val="7"/>
  </w:num>
  <w:num w:numId="8">
    <w:abstractNumId w:val="31"/>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0"/>
  </w:num>
  <w:num w:numId="14">
    <w:abstractNumId w:val="4"/>
  </w:num>
  <w:num w:numId="15">
    <w:abstractNumId w:val="3"/>
  </w:num>
  <w:num w:numId="16">
    <w:abstractNumId w:val="28"/>
  </w:num>
  <w:num w:numId="17">
    <w:abstractNumId w:val="20"/>
  </w:num>
  <w:num w:numId="18">
    <w:abstractNumId w:val="6"/>
  </w:num>
  <w:num w:numId="19">
    <w:abstractNumId w:val="12"/>
  </w:num>
  <w:num w:numId="20">
    <w:abstractNumId w:val="8"/>
  </w:num>
  <w:num w:numId="21">
    <w:abstractNumId w:val="26"/>
  </w:num>
  <w:num w:numId="22">
    <w:abstractNumId w:val="10"/>
  </w:num>
  <w:num w:numId="23">
    <w:abstractNumId w:val="21"/>
  </w:num>
  <w:num w:numId="24">
    <w:abstractNumId w:val="11"/>
  </w:num>
  <w:num w:numId="25">
    <w:abstractNumId w:val="15"/>
  </w:num>
  <w:num w:numId="26">
    <w:abstractNumId w:val="27"/>
  </w:num>
  <w:num w:numId="27">
    <w:abstractNumId w:val="25"/>
  </w:num>
  <w:num w:numId="28">
    <w:abstractNumId w:val="24"/>
  </w:num>
  <w:num w:numId="29">
    <w:abstractNumId w:val="18"/>
  </w:num>
  <w:num w:numId="30">
    <w:abstractNumId w:val="29"/>
  </w:num>
  <w:num w:numId="31">
    <w:abstractNumId w:val="33"/>
  </w:num>
  <w:num w:numId="32">
    <w:abstractNumId w:val="22"/>
  </w:num>
  <w:num w:numId="33">
    <w:abstractNumId w:val="17"/>
  </w:num>
  <w:num w:numId="34">
    <w:abstractNumId w:val="9"/>
  </w:num>
  <w:num w:numId="35">
    <w:abstractNumId w:val="23"/>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C2"/>
    <w:rsid w:val="00015306"/>
    <w:rsid w:val="000237C8"/>
    <w:rsid w:val="0002674B"/>
    <w:rsid w:val="0004162E"/>
    <w:rsid w:val="0004786B"/>
    <w:rsid w:val="00063405"/>
    <w:rsid w:val="000809B9"/>
    <w:rsid w:val="00090B40"/>
    <w:rsid w:val="00095A0A"/>
    <w:rsid w:val="000B1945"/>
    <w:rsid w:val="000B1B3D"/>
    <w:rsid w:val="000C4CAF"/>
    <w:rsid w:val="000F63C2"/>
    <w:rsid w:val="00121485"/>
    <w:rsid w:val="001268B0"/>
    <w:rsid w:val="0018051B"/>
    <w:rsid w:val="001B096F"/>
    <w:rsid w:val="001B1E4A"/>
    <w:rsid w:val="001D27C0"/>
    <w:rsid w:val="001E74C3"/>
    <w:rsid w:val="001F6937"/>
    <w:rsid w:val="00220DE3"/>
    <w:rsid w:val="0025290D"/>
    <w:rsid w:val="00260372"/>
    <w:rsid w:val="00262DAF"/>
    <w:rsid w:val="00285AED"/>
    <w:rsid w:val="002E2442"/>
    <w:rsid w:val="002F0E8C"/>
    <w:rsid w:val="00310FA0"/>
    <w:rsid w:val="00320481"/>
    <w:rsid w:val="003250CB"/>
    <w:rsid w:val="00363201"/>
    <w:rsid w:val="0039063C"/>
    <w:rsid w:val="003A46A8"/>
    <w:rsid w:val="003A51AA"/>
    <w:rsid w:val="003B565A"/>
    <w:rsid w:val="003D00A1"/>
    <w:rsid w:val="0041427F"/>
    <w:rsid w:val="004509E5"/>
    <w:rsid w:val="00486FB9"/>
    <w:rsid w:val="004C212A"/>
    <w:rsid w:val="004C6AE9"/>
    <w:rsid w:val="00500232"/>
    <w:rsid w:val="00504668"/>
    <w:rsid w:val="005455E1"/>
    <w:rsid w:val="005502BD"/>
    <w:rsid w:val="00556787"/>
    <w:rsid w:val="00582276"/>
    <w:rsid w:val="005C2560"/>
    <w:rsid w:val="005F7585"/>
    <w:rsid w:val="00600125"/>
    <w:rsid w:val="00605759"/>
    <w:rsid w:val="00650C6C"/>
    <w:rsid w:val="00652FE6"/>
    <w:rsid w:val="00667898"/>
    <w:rsid w:val="00677FE0"/>
    <w:rsid w:val="00681F2A"/>
    <w:rsid w:val="006D04EF"/>
    <w:rsid w:val="006E2FB0"/>
    <w:rsid w:val="007102D2"/>
    <w:rsid w:val="00713948"/>
    <w:rsid w:val="00753A27"/>
    <w:rsid w:val="0079342A"/>
    <w:rsid w:val="007B4949"/>
    <w:rsid w:val="007F0BC6"/>
    <w:rsid w:val="00831374"/>
    <w:rsid w:val="00857580"/>
    <w:rsid w:val="00865238"/>
    <w:rsid w:val="008667BF"/>
    <w:rsid w:val="00895645"/>
    <w:rsid w:val="008A7851"/>
    <w:rsid w:val="008C3782"/>
    <w:rsid w:val="008D4A32"/>
    <w:rsid w:val="008D593A"/>
    <w:rsid w:val="008E7760"/>
    <w:rsid w:val="00922001"/>
    <w:rsid w:val="00922C17"/>
    <w:rsid w:val="009332DF"/>
    <w:rsid w:val="00942DDD"/>
    <w:rsid w:val="009516A8"/>
    <w:rsid w:val="0097705C"/>
    <w:rsid w:val="009F393D"/>
    <w:rsid w:val="009F7F46"/>
    <w:rsid w:val="00A000BF"/>
    <w:rsid w:val="00A0587E"/>
    <w:rsid w:val="00A275BC"/>
    <w:rsid w:val="00A464B4"/>
    <w:rsid w:val="00A63D6B"/>
    <w:rsid w:val="00A84B52"/>
    <w:rsid w:val="00A8660F"/>
    <w:rsid w:val="00A95C48"/>
    <w:rsid w:val="00AA7056"/>
    <w:rsid w:val="00AB31C6"/>
    <w:rsid w:val="00AB523B"/>
    <w:rsid w:val="00AC5887"/>
    <w:rsid w:val="00AD7E40"/>
    <w:rsid w:val="00B1477A"/>
    <w:rsid w:val="00B20993"/>
    <w:rsid w:val="00B42E96"/>
    <w:rsid w:val="00B50EE6"/>
    <w:rsid w:val="00B52185"/>
    <w:rsid w:val="00B9753A"/>
    <w:rsid w:val="00BB479C"/>
    <w:rsid w:val="00BC4720"/>
    <w:rsid w:val="00BD75A2"/>
    <w:rsid w:val="00C2017A"/>
    <w:rsid w:val="00C2026B"/>
    <w:rsid w:val="00C20470"/>
    <w:rsid w:val="00C34B2F"/>
    <w:rsid w:val="00C4641B"/>
    <w:rsid w:val="00C656C0"/>
    <w:rsid w:val="00C6690E"/>
    <w:rsid w:val="00C703C5"/>
    <w:rsid w:val="00C805F2"/>
    <w:rsid w:val="00C96EFE"/>
    <w:rsid w:val="00CC5E40"/>
    <w:rsid w:val="00D1569F"/>
    <w:rsid w:val="00D20B1E"/>
    <w:rsid w:val="00D22462"/>
    <w:rsid w:val="00D230AC"/>
    <w:rsid w:val="00D32489"/>
    <w:rsid w:val="00D3349E"/>
    <w:rsid w:val="00D73CB8"/>
    <w:rsid w:val="00DA7591"/>
    <w:rsid w:val="00E32798"/>
    <w:rsid w:val="00E33CC8"/>
    <w:rsid w:val="00E51C91"/>
    <w:rsid w:val="00E6067F"/>
    <w:rsid w:val="00E667C1"/>
    <w:rsid w:val="00EC3F88"/>
    <w:rsid w:val="00ED36D8"/>
    <w:rsid w:val="00EE6BD7"/>
    <w:rsid w:val="00F0689D"/>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790D2A-E917-464D-ADD4-89F89CBE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3C2"/>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5164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Houska Martin</dc:creator>
  <cp:keywords/>
  <dc:description/>
  <cp:lastModifiedBy>OSPZV-ASO OSPZV-ASO</cp:lastModifiedBy>
  <cp:revision>2</cp:revision>
  <dcterms:created xsi:type="dcterms:W3CDTF">2020-06-25T12:20:00Z</dcterms:created>
  <dcterms:modified xsi:type="dcterms:W3CDTF">2020-06-25T12:20:00Z</dcterms:modified>
</cp:coreProperties>
</file>