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8" w:rsidRPr="00D06748" w:rsidRDefault="00D06748" w:rsidP="00AD07F8">
      <w:pPr>
        <w:spacing w:after="120" w:line="276" w:lineRule="auto"/>
        <w:jc w:val="both"/>
        <w:rPr>
          <w:rFonts w:ascii="Times New Roman" w:hAnsi="Times New Roman" w:cs="Times New Roman"/>
          <w:b/>
          <w:sz w:val="32"/>
        </w:rPr>
      </w:pPr>
      <w:r w:rsidRPr="00D06748">
        <w:rPr>
          <w:rFonts w:ascii="Times New Roman" w:hAnsi="Times New Roman" w:cs="Times New Roman"/>
          <w:b/>
          <w:sz w:val="32"/>
        </w:rPr>
        <w:t>Energetické úspor</w:t>
      </w:r>
      <w:r w:rsidR="00BA338C">
        <w:rPr>
          <w:rFonts w:ascii="Times New Roman" w:hAnsi="Times New Roman" w:cs="Times New Roman"/>
          <w:b/>
          <w:sz w:val="32"/>
        </w:rPr>
        <w:t>y</w:t>
      </w:r>
      <w:r w:rsidRPr="00D06748">
        <w:rPr>
          <w:rFonts w:ascii="Times New Roman" w:hAnsi="Times New Roman" w:cs="Times New Roman"/>
          <w:b/>
          <w:sz w:val="32"/>
        </w:rPr>
        <w:t xml:space="preserve"> v</w:t>
      </w:r>
      <w:r w:rsidR="00AD07F8">
        <w:rPr>
          <w:rFonts w:ascii="Times New Roman" w:hAnsi="Times New Roman" w:cs="Times New Roman"/>
          <w:b/>
          <w:sz w:val="32"/>
        </w:rPr>
        <w:t> </w:t>
      </w:r>
      <w:r w:rsidRPr="00D06748">
        <w:rPr>
          <w:rFonts w:ascii="Times New Roman" w:hAnsi="Times New Roman" w:cs="Times New Roman"/>
          <w:b/>
          <w:sz w:val="32"/>
        </w:rPr>
        <w:t>průmyslu ve vazbě na Strategický rámec ČR 2030</w:t>
      </w:r>
    </w:p>
    <w:p w:rsidR="00D06748" w:rsidRPr="00123205" w:rsidRDefault="00123205" w:rsidP="00123205">
      <w:pPr>
        <w:spacing w:after="120" w:line="276" w:lineRule="auto"/>
        <w:jc w:val="center"/>
        <w:rPr>
          <w:rFonts w:ascii="Times New Roman" w:hAnsi="Times New Roman" w:cs="Times New Roman"/>
          <w:sz w:val="24"/>
        </w:rPr>
      </w:pPr>
      <w:r w:rsidRPr="00123205">
        <w:rPr>
          <w:rFonts w:ascii="Times New Roman" w:hAnsi="Times New Roman" w:cs="Times New Roman"/>
          <w:sz w:val="24"/>
        </w:rPr>
        <w:t xml:space="preserve">(podkladový materiál Ministerstva </w:t>
      </w:r>
      <w:r w:rsidR="002655D6">
        <w:rPr>
          <w:rFonts w:ascii="Times New Roman" w:hAnsi="Times New Roman" w:cs="Times New Roman"/>
          <w:sz w:val="24"/>
        </w:rPr>
        <w:t>životního prostředí</w:t>
      </w:r>
      <w:r w:rsidRPr="00123205">
        <w:rPr>
          <w:rFonts w:ascii="Times New Roman" w:hAnsi="Times New Roman" w:cs="Times New Roman"/>
          <w:sz w:val="24"/>
        </w:rPr>
        <w:t>)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hlavních motivů energetických úspor v průmyslu bude i nadále systém emisního obchodování EU ETS. Ten </w:t>
      </w:r>
      <w:r w:rsidRPr="002655D6">
        <w:rPr>
          <w:rFonts w:ascii="Times New Roman" w:hAnsi="Times New Roman" w:cs="Times New Roman"/>
          <w:sz w:val="24"/>
          <w:szCs w:val="24"/>
        </w:rPr>
        <w:t xml:space="preserve">představuje základní mechanismus pro splnění cíle EU podle Pařížské dohody do roku 2030, jelikož usnadní snížení emisí skleníkových plynů v odvětvích zahrnutých do systému EU ETS o 43 % oproti roku 2005. Aktuálně systém EU ETS funguje v 31 zemích Evropského hospodářského prostoru (EHP). Omezuje emise téměř u 11 000 elektráren a výrobních zařízení a u více než 500 provozovatelů letadel létajících mezi letišti EHP. Zahrnuje přibližně 40 % emisí skleníkových plynů v EU. 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V současné době probíhá třetí obchodovací období (2013-2020) a pro následující čtvrté obchodovací období (2021-2030) byl připraven komplex změn podporujících trvalé snižování emisí. </w:t>
      </w:r>
      <w:r>
        <w:rPr>
          <w:rFonts w:ascii="Times New Roman" w:hAnsi="Times New Roman" w:cs="Times New Roman"/>
          <w:sz w:val="24"/>
          <w:szCs w:val="24"/>
        </w:rPr>
        <w:t xml:space="preserve">Pro transpozici změnové směrnice navrhlo MŽP </w:t>
      </w:r>
      <w:r w:rsidR="00C35B03">
        <w:rPr>
          <w:rFonts w:ascii="Times New Roman" w:hAnsi="Times New Roman" w:cs="Times New Roman"/>
          <w:sz w:val="24"/>
          <w:szCs w:val="24"/>
        </w:rPr>
        <w:t>novelu zákona o emisním obchodování, která upravuje jak nová pravidla, tak i nakládání s finančními mechanismy pro podporu nízkouhlíkových technologií. Novela bude v krátké době předložena vládě.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>Pro čtvrté obchodovací období jsou stanoveny tři základní cíle:</w:t>
      </w:r>
    </w:p>
    <w:p w:rsidR="002655D6" w:rsidRPr="002655D6" w:rsidRDefault="002655D6" w:rsidP="002655D6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D6">
        <w:rPr>
          <w:rFonts w:ascii="Times New Roman" w:hAnsi="Times New Roman" w:cs="Times New Roman"/>
          <w:b/>
          <w:sz w:val="24"/>
          <w:szCs w:val="24"/>
        </w:rPr>
        <w:t>Posílený systém EU ETS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>Aby se zvýšilo tempo snižování emisí, od roku 2021 se zvedne lineární redukční koeficient z 1,74 % na 2,2 %. Následkem toho bude v systému zrychleným tempem klesat celkové množství povolenek.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Navíc bude podstatně posílena rezerva tržní stability jakožto mechanismu pro snižování nerovnováhy mezi nabídkou a poptávkou na trhu s emisními povolenkami. V období od roku 2019 do roku 2023 bude tempo umísťování povolenek do rezervy tržní ekonomiky zdvojnásobeno na 24 % s cílem rychleji obnovit rovnováhu emisních povolenek na trhu s uhlíkem. </w:t>
      </w:r>
    </w:p>
    <w:p w:rsidR="002655D6" w:rsidRPr="002655D6" w:rsidRDefault="002655D6" w:rsidP="002655D6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D6">
        <w:rPr>
          <w:rFonts w:ascii="Times New Roman" w:hAnsi="Times New Roman" w:cs="Times New Roman"/>
          <w:b/>
          <w:sz w:val="24"/>
          <w:szCs w:val="24"/>
        </w:rPr>
        <w:t>Lépe cílená pravidla týkající se úniku uhlíku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Ve čtvrté fázi bude stávající rámec do velké míry zachován s cílem zajistit předvídatelnost a transparentnost pro evropský průmysl a reagovat na obavy průmyslu, že ztratí v globalizovaném světě konkurenceschopnost. Přidělování bezplatných povolenek bude založeno na referenčních hodnotách (tzv. </w:t>
      </w:r>
      <w:proofErr w:type="spellStart"/>
      <w:r w:rsidRPr="002655D6">
        <w:rPr>
          <w:rFonts w:ascii="Times New Roman" w:hAnsi="Times New Roman" w:cs="Times New Roman"/>
          <w:sz w:val="24"/>
          <w:szCs w:val="24"/>
        </w:rPr>
        <w:t>benchmarku</w:t>
      </w:r>
      <w:proofErr w:type="spellEnd"/>
      <w:r w:rsidRPr="002655D6">
        <w:rPr>
          <w:rFonts w:ascii="Times New Roman" w:hAnsi="Times New Roman" w:cs="Times New Roman"/>
          <w:sz w:val="24"/>
          <w:szCs w:val="24"/>
        </w:rPr>
        <w:t xml:space="preserve">) stanovených s ohledem na výkonnost 10 % nejúčinnějších zařízení v EU. 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Ve čtvrté fázi se přidělování bezplatných povolenek zaměří na odvětví s největším rizikem přemístění výroby do zemí mimo EU (tzv. riziko úniku uhlíku). Těm budou povolenky alokovány i nadále ze 100 % zdarma. U méně exponovaných odvětví bude podíl bezplatných povolenek až do roku 2026 činit 30 % a poté, do roku 2030, bude jejich přidělování postupně ukončeno. Ve čtvrtém obchodovacím období bude na základě reálných údajů dvakrát aktualizováno 54 </w:t>
      </w:r>
      <w:proofErr w:type="spellStart"/>
      <w:r w:rsidRPr="002655D6">
        <w:rPr>
          <w:rFonts w:ascii="Times New Roman" w:hAnsi="Times New Roman" w:cs="Times New Roman"/>
          <w:sz w:val="24"/>
          <w:szCs w:val="24"/>
        </w:rPr>
        <w:t>benchmarků</w:t>
      </w:r>
      <w:proofErr w:type="spellEnd"/>
      <w:r w:rsidRPr="002655D6">
        <w:rPr>
          <w:rFonts w:ascii="Times New Roman" w:hAnsi="Times New Roman" w:cs="Times New Roman"/>
          <w:sz w:val="24"/>
          <w:szCs w:val="24"/>
        </w:rPr>
        <w:t xml:space="preserve"> (referenčních hodnot), jež určují úroveň přidělování bezplatných povolenek každému zařízení.</w:t>
      </w:r>
    </w:p>
    <w:p w:rsidR="002655D6" w:rsidRPr="002655D6" w:rsidRDefault="002655D6" w:rsidP="002655D6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D6">
        <w:rPr>
          <w:rFonts w:ascii="Times New Roman" w:hAnsi="Times New Roman" w:cs="Times New Roman"/>
          <w:b/>
          <w:sz w:val="24"/>
          <w:szCs w:val="24"/>
        </w:rPr>
        <w:t>Financování nízkouhlíkových inovací a modernizace odvětví energetiky</w:t>
      </w:r>
    </w:p>
    <w:p w:rsid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Nadále bude moct Česká republika využít výnosy z aukcí povolenek, které by měla využít na podporu nízkouhlíkových technologií, obnovitelných zdrojů energie a energetických úspor, zejména prostřednictvím rozšířeného programu Nová Zelená úsporám. </w:t>
      </w:r>
    </w:p>
    <w:p w:rsidR="002655D6" w:rsidRPr="002655D6" w:rsidRDefault="002655D6" w:rsidP="00265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jsou</w:t>
      </w:r>
      <w:r w:rsidRPr="002655D6">
        <w:rPr>
          <w:rFonts w:ascii="Times New Roman" w:hAnsi="Times New Roman" w:cs="Times New Roman"/>
          <w:sz w:val="24"/>
          <w:szCs w:val="24"/>
        </w:rPr>
        <w:t xml:space="preserve"> nově vytvořeny dva fondy pro financov</w:t>
      </w:r>
      <w:r>
        <w:rPr>
          <w:rFonts w:ascii="Times New Roman" w:hAnsi="Times New Roman" w:cs="Times New Roman"/>
          <w:sz w:val="24"/>
          <w:szCs w:val="24"/>
        </w:rPr>
        <w:t>ání nízkouhlíkových technologií:</w:t>
      </w:r>
    </w:p>
    <w:p w:rsidR="002655D6" w:rsidRPr="00C35B03" w:rsidRDefault="002655D6" w:rsidP="002655D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Inovační fond – </w:t>
      </w:r>
      <w:r w:rsidR="00C35B03">
        <w:rPr>
          <w:rFonts w:ascii="Times New Roman" w:hAnsi="Times New Roman" w:cs="Times New Roman"/>
          <w:sz w:val="24"/>
          <w:szCs w:val="24"/>
        </w:rPr>
        <w:t xml:space="preserve">evropský program, který </w:t>
      </w:r>
      <w:r w:rsidRPr="002655D6">
        <w:rPr>
          <w:rFonts w:ascii="Times New Roman" w:hAnsi="Times New Roman" w:cs="Times New Roman"/>
          <w:sz w:val="24"/>
          <w:szCs w:val="24"/>
        </w:rPr>
        <w:t>bude podporovat demonstraci inovativních technologií a průlomových inovací v odvětvích, na něž se systém EU ETS vztahuje. Fond bude mít k dispozici zdroje v tržní hodnotě nejméně 450 milionů povolenek v době jejich vydražení. Budou dále doplněny nevyužitým rozpočtem z programu NER300 až s 50 miliony povolenek. Celkový objem Inovačního fondu odhadujeme na více než 10 mld. EUR.</w:t>
      </w:r>
      <w:r w:rsidR="00C35B03">
        <w:rPr>
          <w:rFonts w:ascii="Times New Roman" w:hAnsi="Times New Roman" w:cs="Times New Roman"/>
          <w:sz w:val="24"/>
          <w:szCs w:val="24"/>
        </w:rPr>
        <w:t xml:space="preserve"> ČR byla dosud neúspěšná v čerpání prostředků z Inovačního fondu, mělo by se jednat o prioritní nástroj, jak posílit orientaci investic na nízkouhlíkové technologie, obnovitelné zdroje energie a trvale udržitelný rozvoj. První výzvu pro podávání projektů by měla EK a EIB vypsat v roce 2020.</w:t>
      </w:r>
    </w:p>
    <w:p w:rsidR="002655D6" w:rsidRPr="00C35B03" w:rsidRDefault="002655D6" w:rsidP="002655D6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5D6">
        <w:rPr>
          <w:rFonts w:ascii="Times New Roman" w:hAnsi="Times New Roman" w:cs="Times New Roman"/>
          <w:sz w:val="24"/>
          <w:szCs w:val="24"/>
        </w:rPr>
        <w:t xml:space="preserve">Modernizační fond – bude poskytovat investice do modernizace odvětví energetiky a širších energetických systémů, do zvyšování energetické účinnosti a energie z obnovitelných zdrojů v deseti členských státech s nejnižšími příjmy. </w:t>
      </w:r>
      <w:r w:rsidR="00C35B03">
        <w:rPr>
          <w:rFonts w:ascii="Times New Roman" w:hAnsi="Times New Roman" w:cs="Times New Roman"/>
          <w:sz w:val="24"/>
          <w:szCs w:val="24"/>
        </w:rPr>
        <w:t xml:space="preserve">Částečně tak Modernizační fond převezme roli pro podporu investic v zařízeních na výrobu elektřiny v EU ETS, kterým se dosud přidělovaly bezplatné povolenky. Způsobilé budou zejména projekty na instalaci obnovitelných zdrojů energie, rekonstrukci rozvodů centrálního zásobování teplem a přechod na palivo s nižší emisní intenzitou (zemní plyn, biomasa, odpady…). Podporu mohou také získat projekty na energetické úspory v průmyslu. </w:t>
      </w:r>
      <w:bookmarkStart w:id="0" w:name="_GoBack"/>
      <w:bookmarkEnd w:id="0"/>
      <w:r w:rsidRPr="00C35B03">
        <w:rPr>
          <w:rFonts w:ascii="Times New Roman" w:hAnsi="Times New Roman" w:cs="Times New Roman"/>
          <w:sz w:val="24"/>
          <w:szCs w:val="24"/>
        </w:rPr>
        <w:t xml:space="preserve">Pro podporu již nebudou způsobilá zařízení na výrobu elektřiny využívající tuhá fosilní paliva. </w:t>
      </w:r>
    </w:p>
    <w:sectPr w:rsidR="002655D6" w:rsidRPr="00C35B03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B7" w:rsidRDefault="001F36B7" w:rsidP="00677FE0">
      <w:pPr>
        <w:spacing w:after="0" w:line="240" w:lineRule="auto"/>
      </w:pPr>
      <w:r>
        <w:separator/>
      </w:r>
    </w:p>
  </w:endnote>
  <w:endnote w:type="continuationSeparator" w:id="0">
    <w:p w:rsidR="001F36B7" w:rsidRDefault="001F36B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B7" w:rsidRDefault="001F36B7" w:rsidP="00677FE0">
      <w:pPr>
        <w:spacing w:after="0" w:line="240" w:lineRule="auto"/>
      </w:pPr>
      <w:r>
        <w:separator/>
      </w:r>
    </w:p>
  </w:footnote>
  <w:footnote w:type="continuationSeparator" w:id="0">
    <w:p w:rsidR="001F36B7" w:rsidRDefault="001F36B7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BDD4BBA"/>
    <w:multiLevelType w:val="multilevel"/>
    <w:tmpl w:val="E8BAE50A"/>
    <w:numStyleLink w:val="VariantaA-odrky"/>
  </w:abstractNum>
  <w:abstractNum w:abstractNumId="12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30316F8"/>
    <w:multiLevelType w:val="multilevel"/>
    <w:tmpl w:val="3320A8B2"/>
    <w:numStyleLink w:val="VariantaB-odrky"/>
  </w:abstractNum>
  <w:abstractNum w:abstractNumId="14">
    <w:nsid w:val="13FB2F1F"/>
    <w:multiLevelType w:val="multilevel"/>
    <w:tmpl w:val="E8BAE50A"/>
    <w:numStyleLink w:val="VariantaA-odrky"/>
  </w:abstractNum>
  <w:abstractNum w:abstractNumId="15">
    <w:nsid w:val="15587B24"/>
    <w:multiLevelType w:val="multilevel"/>
    <w:tmpl w:val="E8BAE50A"/>
    <w:numStyleLink w:val="VariantaA-odrky"/>
  </w:abstractNum>
  <w:abstractNum w:abstractNumId="16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>
    <w:nsid w:val="191872DA"/>
    <w:multiLevelType w:val="multilevel"/>
    <w:tmpl w:val="E8A48D7C"/>
    <w:numStyleLink w:val="VariantaA-sla"/>
  </w:abstractNum>
  <w:abstractNum w:abstractNumId="18">
    <w:nsid w:val="19987FCF"/>
    <w:multiLevelType w:val="multilevel"/>
    <w:tmpl w:val="0D8ABE32"/>
    <w:numStyleLink w:val="VariantaB-sla"/>
  </w:abstractNum>
  <w:abstractNum w:abstractNumId="19">
    <w:nsid w:val="1BCC0E27"/>
    <w:multiLevelType w:val="hybridMultilevel"/>
    <w:tmpl w:val="BDBEBF32"/>
    <w:lvl w:ilvl="0" w:tplc="4C54A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068A6"/>
    <w:multiLevelType w:val="multilevel"/>
    <w:tmpl w:val="3320A8B2"/>
    <w:numStyleLink w:val="VariantaB-odrky"/>
  </w:abstractNum>
  <w:abstractNum w:abstractNumId="21">
    <w:nsid w:val="1D464EC2"/>
    <w:multiLevelType w:val="multilevel"/>
    <w:tmpl w:val="E8BAE50A"/>
    <w:numStyleLink w:val="VariantaA-odrky"/>
  </w:abstractNum>
  <w:abstractNum w:abstractNumId="22">
    <w:nsid w:val="1EAB39CE"/>
    <w:multiLevelType w:val="multilevel"/>
    <w:tmpl w:val="E8BAE50A"/>
    <w:numStyleLink w:val="VariantaA-odrky"/>
  </w:abstractNum>
  <w:abstractNum w:abstractNumId="23">
    <w:nsid w:val="2233284A"/>
    <w:multiLevelType w:val="hybridMultilevel"/>
    <w:tmpl w:val="6EA06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A5EA2"/>
    <w:multiLevelType w:val="multilevel"/>
    <w:tmpl w:val="E8BAE50A"/>
    <w:numStyleLink w:val="VariantaA-odrky"/>
  </w:abstractNum>
  <w:abstractNum w:abstractNumId="25">
    <w:nsid w:val="28AB573E"/>
    <w:multiLevelType w:val="multilevel"/>
    <w:tmpl w:val="3320A8B2"/>
    <w:numStyleLink w:val="VariantaB-odrky"/>
  </w:abstractNum>
  <w:abstractNum w:abstractNumId="26">
    <w:nsid w:val="2A42637A"/>
    <w:multiLevelType w:val="hybridMultilevel"/>
    <w:tmpl w:val="33BC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5F2D39"/>
    <w:multiLevelType w:val="multilevel"/>
    <w:tmpl w:val="E8BAE50A"/>
    <w:numStyleLink w:val="VariantaA-odrky"/>
  </w:abstractNum>
  <w:abstractNum w:abstractNumId="28">
    <w:nsid w:val="2DBB2CE6"/>
    <w:multiLevelType w:val="multilevel"/>
    <w:tmpl w:val="E8BAE50A"/>
    <w:numStyleLink w:val="VariantaA-odrky"/>
  </w:abstractNum>
  <w:abstractNum w:abstractNumId="29">
    <w:nsid w:val="355131EF"/>
    <w:multiLevelType w:val="multilevel"/>
    <w:tmpl w:val="E8A48D7C"/>
    <w:numStyleLink w:val="VariantaA-sla"/>
  </w:abstractNum>
  <w:abstractNum w:abstractNumId="30">
    <w:nsid w:val="3C3C01FA"/>
    <w:multiLevelType w:val="hybridMultilevel"/>
    <w:tmpl w:val="06A8C362"/>
    <w:lvl w:ilvl="0" w:tplc="AF7C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401145"/>
    <w:multiLevelType w:val="hybridMultilevel"/>
    <w:tmpl w:val="E28A8B7C"/>
    <w:lvl w:ilvl="0" w:tplc="71400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85FE0"/>
    <w:multiLevelType w:val="hybridMultilevel"/>
    <w:tmpl w:val="9E9A1210"/>
    <w:lvl w:ilvl="0" w:tplc="58A2A5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9297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84FB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46EC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8401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8288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9C3E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CC45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06EF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4A306389"/>
    <w:multiLevelType w:val="multilevel"/>
    <w:tmpl w:val="E8BAE50A"/>
    <w:numStyleLink w:val="VariantaA-odrky"/>
  </w:abstractNum>
  <w:abstractNum w:abstractNumId="34">
    <w:nsid w:val="4F1525AE"/>
    <w:multiLevelType w:val="hybridMultilevel"/>
    <w:tmpl w:val="B9D0023C"/>
    <w:lvl w:ilvl="0" w:tplc="C9D69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3290926"/>
    <w:multiLevelType w:val="multilevel"/>
    <w:tmpl w:val="E8BAE50A"/>
    <w:numStyleLink w:val="VariantaA-odrky"/>
  </w:abstractNum>
  <w:abstractNum w:abstractNumId="37">
    <w:nsid w:val="533902EA"/>
    <w:multiLevelType w:val="multilevel"/>
    <w:tmpl w:val="E8BAE50A"/>
    <w:numStyleLink w:val="VariantaA-odrky"/>
  </w:abstractNum>
  <w:abstractNum w:abstractNumId="38">
    <w:nsid w:val="571C11E2"/>
    <w:multiLevelType w:val="multilevel"/>
    <w:tmpl w:val="E8A48D7C"/>
    <w:numStyleLink w:val="VariantaA-sla"/>
  </w:abstractNum>
  <w:abstractNum w:abstractNumId="39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>
    <w:nsid w:val="5AF35F43"/>
    <w:multiLevelType w:val="multilevel"/>
    <w:tmpl w:val="0D8ABE32"/>
    <w:numStyleLink w:val="VariantaB-sla"/>
  </w:abstractNum>
  <w:abstractNum w:abstractNumId="41">
    <w:nsid w:val="7A4E4EFD"/>
    <w:multiLevelType w:val="hybridMultilevel"/>
    <w:tmpl w:val="BCF0D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F1E88"/>
    <w:multiLevelType w:val="hybridMultilevel"/>
    <w:tmpl w:val="7D84CA3A"/>
    <w:lvl w:ilvl="0" w:tplc="FF9CB8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8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4"/>
  </w:num>
  <w:num w:numId="15">
    <w:abstractNumId w:val="3"/>
  </w:num>
  <w:num w:numId="16">
    <w:abstractNumId w:val="35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33"/>
  </w:num>
  <w:num w:numId="27">
    <w:abstractNumId w:val="28"/>
  </w:num>
  <w:num w:numId="28">
    <w:abstractNumId w:val="27"/>
  </w:num>
  <w:num w:numId="29">
    <w:abstractNumId w:val="18"/>
  </w:num>
  <w:num w:numId="30">
    <w:abstractNumId w:val="36"/>
  </w:num>
  <w:num w:numId="31">
    <w:abstractNumId w:val="40"/>
  </w:num>
  <w:num w:numId="32">
    <w:abstractNumId w:val="24"/>
  </w:num>
  <w:num w:numId="33">
    <w:abstractNumId w:val="17"/>
  </w:num>
  <w:num w:numId="34">
    <w:abstractNumId w:val="9"/>
  </w:num>
  <w:num w:numId="35">
    <w:abstractNumId w:val="25"/>
  </w:num>
  <w:num w:numId="36">
    <w:abstractNumId w:val="13"/>
  </w:num>
  <w:num w:numId="37">
    <w:abstractNumId w:val="19"/>
  </w:num>
  <w:num w:numId="38">
    <w:abstractNumId w:val="26"/>
  </w:num>
  <w:num w:numId="39">
    <w:abstractNumId w:val="32"/>
  </w:num>
  <w:num w:numId="40">
    <w:abstractNumId w:val="34"/>
  </w:num>
  <w:num w:numId="41">
    <w:abstractNumId w:val="30"/>
  </w:num>
  <w:num w:numId="42">
    <w:abstractNumId w:val="31"/>
  </w:num>
  <w:num w:numId="43">
    <w:abstractNumId w:val="42"/>
  </w:num>
  <w:num w:numId="44">
    <w:abstractNumId w:val="41"/>
  </w:num>
  <w:num w:numId="45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D7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18D6"/>
    <w:rsid w:val="00015306"/>
    <w:rsid w:val="00022EDC"/>
    <w:rsid w:val="0002674B"/>
    <w:rsid w:val="00033AE6"/>
    <w:rsid w:val="0004162E"/>
    <w:rsid w:val="0004786B"/>
    <w:rsid w:val="00052CD6"/>
    <w:rsid w:val="00063405"/>
    <w:rsid w:val="000809B9"/>
    <w:rsid w:val="00086879"/>
    <w:rsid w:val="00090B40"/>
    <w:rsid w:val="00095A0A"/>
    <w:rsid w:val="00096D16"/>
    <w:rsid w:val="000A3AC0"/>
    <w:rsid w:val="000B1B3D"/>
    <w:rsid w:val="000B2B68"/>
    <w:rsid w:val="000C0A49"/>
    <w:rsid w:val="000C4CAF"/>
    <w:rsid w:val="00121485"/>
    <w:rsid w:val="00123205"/>
    <w:rsid w:val="0018051B"/>
    <w:rsid w:val="001B1E4A"/>
    <w:rsid w:val="001C0BD6"/>
    <w:rsid w:val="001D27C0"/>
    <w:rsid w:val="001E74C3"/>
    <w:rsid w:val="001F36B7"/>
    <w:rsid w:val="001F6937"/>
    <w:rsid w:val="00200801"/>
    <w:rsid w:val="00207550"/>
    <w:rsid w:val="00220DE3"/>
    <w:rsid w:val="00247A29"/>
    <w:rsid w:val="0025290D"/>
    <w:rsid w:val="00260372"/>
    <w:rsid w:val="00262DAF"/>
    <w:rsid w:val="002655D6"/>
    <w:rsid w:val="0026668A"/>
    <w:rsid w:val="00285AED"/>
    <w:rsid w:val="0029554B"/>
    <w:rsid w:val="002E2442"/>
    <w:rsid w:val="002F0E8C"/>
    <w:rsid w:val="00310FA0"/>
    <w:rsid w:val="00320481"/>
    <w:rsid w:val="003250CB"/>
    <w:rsid w:val="00335A00"/>
    <w:rsid w:val="00363201"/>
    <w:rsid w:val="0039063C"/>
    <w:rsid w:val="003A46A8"/>
    <w:rsid w:val="003A51AA"/>
    <w:rsid w:val="003B565A"/>
    <w:rsid w:val="003D00A1"/>
    <w:rsid w:val="003D71CF"/>
    <w:rsid w:val="003E0F33"/>
    <w:rsid w:val="003F55B4"/>
    <w:rsid w:val="0041427F"/>
    <w:rsid w:val="004509E5"/>
    <w:rsid w:val="00463A3D"/>
    <w:rsid w:val="00477FDD"/>
    <w:rsid w:val="00486FB9"/>
    <w:rsid w:val="004A18D6"/>
    <w:rsid w:val="004C212A"/>
    <w:rsid w:val="00500232"/>
    <w:rsid w:val="00504668"/>
    <w:rsid w:val="005455E1"/>
    <w:rsid w:val="005502BD"/>
    <w:rsid w:val="00556787"/>
    <w:rsid w:val="00565AB2"/>
    <w:rsid w:val="00582CAA"/>
    <w:rsid w:val="00590947"/>
    <w:rsid w:val="005C2560"/>
    <w:rsid w:val="005E19E3"/>
    <w:rsid w:val="005F7585"/>
    <w:rsid w:val="00602CC6"/>
    <w:rsid w:val="00605759"/>
    <w:rsid w:val="00650C6C"/>
    <w:rsid w:val="00652FE6"/>
    <w:rsid w:val="00667898"/>
    <w:rsid w:val="00673207"/>
    <w:rsid w:val="00677FE0"/>
    <w:rsid w:val="00686039"/>
    <w:rsid w:val="006B5373"/>
    <w:rsid w:val="006D04EF"/>
    <w:rsid w:val="006E2FB0"/>
    <w:rsid w:val="007102D2"/>
    <w:rsid w:val="00713948"/>
    <w:rsid w:val="00753A27"/>
    <w:rsid w:val="0079342A"/>
    <w:rsid w:val="007B4949"/>
    <w:rsid w:val="007B516E"/>
    <w:rsid w:val="007F0BC6"/>
    <w:rsid w:val="008163A3"/>
    <w:rsid w:val="00831374"/>
    <w:rsid w:val="00850905"/>
    <w:rsid w:val="00857580"/>
    <w:rsid w:val="00865238"/>
    <w:rsid w:val="008667BF"/>
    <w:rsid w:val="00895645"/>
    <w:rsid w:val="008C3782"/>
    <w:rsid w:val="008C50A2"/>
    <w:rsid w:val="008D3B0F"/>
    <w:rsid w:val="008D4A32"/>
    <w:rsid w:val="008D593A"/>
    <w:rsid w:val="008E7760"/>
    <w:rsid w:val="00912E2A"/>
    <w:rsid w:val="00922001"/>
    <w:rsid w:val="00922C17"/>
    <w:rsid w:val="009322FA"/>
    <w:rsid w:val="00942DDD"/>
    <w:rsid w:val="009516A8"/>
    <w:rsid w:val="0096165C"/>
    <w:rsid w:val="0097705C"/>
    <w:rsid w:val="009847E0"/>
    <w:rsid w:val="00997A47"/>
    <w:rsid w:val="009F393D"/>
    <w:rsid w:val="009F7F46"/>
    <w:rsid w:val="00A000BB"/>
    <w:rsid w:val="00A000BF"/>
    <w:rsid w:val="00A0587E"/>
    <w:rsid w:val="00A11163"/>
    <w:rsid w:val="00A275BC"/>
    <w:rsid w:val="00A40089"/>
    <w:rsid w:val="00A464B4"/>
    <w:rsid w:val="00A63D6B"/>
    <w:rsid w:val="00A82B32"/>
    <w:rsid w:val="00A84B52"/>
    <w:rsid w:val="00A8660F"/>
    <w:rsid w:val="00A87FCD"/>
    <w:rsid w:val="00A95C48"/>
    <w:rsid w:val="00AA7056"/>
    <w:rsid w:val="00AB31C6"/>
    <w:rsid w:val="00AB523B"/>
    <w:rsid w:val="00AD07F8"/>
    <w:rsid w:val="00AD7E40"/>
    <w:rsid w:val="00B006A4"/>
    <w:rsid w:val="00B1477A"/>
    <w:rsid w:val="00B20993"/>
    <w:rsid w:val="00B42E96"/>
    <w:rsid w:val="00B46189"/>
    <w:rsid w:val="00B50EE6"/>
    <w:rsid w:val="00B52185"/>
    <w:rsid w:val="00B9753A"/>
    <w:rsid w:val="00BA338C"/>
    <w:rsid w:val="00BB09FB"/>
    <w:rsid w:val="00BB479C"/>
    <w:rsid w:val="00BC4720"/>
    <w:rsid w:val="00BD75A2"/>
    <w:rsid w:val="00C2017A"/>
    <w:rsid w:val="00C2026B"/>
    <w:rsid w:val="00C20470"/>
    <w:rsid w:val="00C20836"/>
    <w:rsid w:val="00C34B2F"/>
    <w:rsid w:val="00C35B03"/>
    <w:rsid w:val="00C4641B"/>
    <w:rsid w:val="00C6690E"/>
    <w:rsid w:val="00C66F46"/>
    <w:rsid w:val="00C703C5"/>
    <w:rsid w:val="00C805F2"/>
    <w:rsid w:val="00C96EFE"/>
    <w:rsid w:val="00CC5E40"/>
    <w:rsid w:val="00D06748"/>
    <w:rsid w:val="00D07BBF"/>
    <w:rsid w:val="00D1569F"/>
    <w:rsid w:val="00D20B1E"/>
    <w:rsid w:val="00D22462"/>
    <w:rsid w:val="00D230AC"/>
    <w:rsid w:val="00D32489"/>
    <w:rsid w:val="00D3349E"/>
    <w:rsid w:val="00D67F84"/>
    <w:rsid w:val="00D73CB8"/>
    <w:rsid w:val="00DA1509"/>
    <w:rsid w:val="00DA7591"/>
    <w:rsid w:val="00DB6377"/>
    <w:rsid w:val="00DF6B91"/>
    <w:rsid w:val="00E32798"/>
    <w:rsid w:val="00E51AB0"/>
    <w:rsid w:val="00E51C91"/>
    <w:rsid w:val="00E667C1"/>
    <w:rsid w:val="00E93CD6"/>
    <w:rsid w:val="00E95135"/>
    <w:rsid w:val="00EC3F88"/>
    <w:rsid w:val="00ED36D8"/>
    <w:rsid w:val="00EE6BD7"/>
    <w:rsid w:val="00F0689D"/>
    <w:rsid w:val="00F37FB1"/>
    <w:rsid w:val="00F943C4"/>
    <w:rsid w:val="00FA2618"/>
    <w:rsid w:val="00FB01B5"/>
    <w:rsid w:val="00FB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4A18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ace">
    <w:name w:val="Quote"/>
    <w:basedOn w:val="Normln"/>
    <w:next w:val="Normln"/>
    <w:link w:val="Citac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aceChar">
    <w:name w:val="Citace Char"/>
    <w:basedOn w:val="Standardnpsmoodstavce"/>
    <w:link w:val="Citace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4A18D6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character" w:customStyle="1" w:styleId="TitulekChar">
    <w:name w:val="Titulek Char"/>
    <w:link w:val="Titulek"/>
    <w:uiPriority w:val="35"/>
    <w:rsid w:val="004A18D6"/>
    <w:rPr>
      <w:i/>
      <w:iCs/>
      <w:color w:val="004B8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4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49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49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59"/>
    <w:rsid w:val="0020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2019-03-12T08:47:00Z</dcterms:created>
  <dcterms:modified xsi:type="dcterms:W3CDTF">2019-03-12T08:47:00Z</dcterms:modified>
</cp:coreProperties>
</file>