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48" w:rsidRPr="00844E59" w:rsidRDefault="00846648" w:rsidP="00846648">
      <w:pPr>
        <w:jc w:val="right"/>
        <w:rPr>
          <w:rFonts w:ascii="Arial" w:hAnsi="Arial" w:cs="Arial"/>
        </w:rPr>
      </w:pPr>
      <w:r w:rsidRPr="00844E59">
        <w:rPr>
          <w:rFonts w:ascii="Arial" w:hAnsi="Arial" w:cs="Arial"/>
        </w:rPr>
        <w:t>IV.</w:t>
      </w:r>
    </w:p>
    <w:p w:rsidR="005457EA" w:rsidRPr="007A471F" w:rsidRDefault="00A67F47" w:rsidP="00FB21E8">
      <w:pPr>
        <w:jc w:val="center"/>
        <w:rPr>
          <w:b/>
          <w:sz w:val="28"/>
          <w:szCs w:val="28"/>
        </w:rPr>
      </w:pPr>
      <w:r w:rsidRPr="007A471F">
        <w:rPr>
          <w:b/>
          <w:sz w:val="28"/>
          <w:szCs w:val="28"/>
        </w:rPr>
        <w:t>Odůvodnění</w:t>
      </w:r>
    </w:p>
    <w:p w:rsidR="00C7753E" w:rsidRDefault="00C7753E" w:rsidP="00C7753E">
      <w:pPr>
        <w:jc w:val="center"/>
        <w:rPr>
          <w:b/>
          <w:sz w:val="28"/>
          <w:szCs w:val="28"/>
        </w:rPr>
      </w:pPr>
    </w:p>
    <w:p w:rsidR="00C7753E" w:rsidRPr="002F0456" w:rsidRDefault="00C7753E" w:rsidP="00C7753E">
      <w:pPr>
        <w:jc w:val="center"/>
        <w:rPr>
          <w:b/>
          <w:sz w:val="28"/>
          <w:szCs w:val="28"/>
        </w:rPr>
      </w:pPr>
      <w:r w:rsidRPr="002F0456">
        <w:rPr>
          <w:b/>
          <w:sz w:val="28"/>
          <w:szCs w:val="28"/>
        </w:rPr>
        <w:t>I. Obecná část</w:t>
      </w:r>
    </w:p>
    <w:p w:rsidR="00E413AA" w:rsidRPr="002F0456" w:rsidRDefault="00E413AA" w:rsidP="009250A7"/>
    <w:p w:rsidR="00A67F47" w:rsidRDefault="007E16CA" w:rsidP="00463A3D">
      <w:pPr>
        <w:autoSpaceDE w:val="0"/>
        <w:autoSpaceDN w:val="0"/>
        <w:adjustRightInd w:val="0"/>
        <w:ind w:left="426" w:hanging="426"/>
        <w:rPr>
          <w:b/>
          <w:bCs/>
        </w:rPr>
      </w:pPr>
      <w:r w:rsidRPr="002E6576">
        <w:rPr>
          <w:b/>
          <w:bCs/>
        </w:rPr>
        <w:t xml:space="preserve">A. </w:t>
      </w:r>
      <w:r w:rsidR="00463A3D" w:rsidRPr="002E6576">
        <w:rPr>
          <w:b/>
          <w:bCs/>
        </w:rPr>
        <w:t>Vysvětlení nezbytnosti navrhované právní úpravy, odůvodnění jejích hlavních principů</w:t>
      </w:r>
    </w:p>
    <w:p w:rsidR="00235FE9" w:rsidRDefault="00235FE9" w:rsidP="00463A3D">
      <w:pPr>
        <w:autoSpaceDE w:val="0"/>
        <w:autoSpaceDN w:val="0"/>
        <w:adjustRightInd w:val="0"/>
        <w:ind w:left="426" w:hanging="426"/>
        <w:rPr>
          <w:b/>
          <w:bCs/>
        </w:rPr>
      </w:pPr>
    </w:p>
    <w:p w:rsidR="00ED1D32" w:rsidRPr="00ED1D32" w:rsidRDefault="00647C88" w:rsidP="00ED1D32">
      <w:pPr>
        <w:autoSpaceDE w:val="0"/>
        <w:autoSpaceDN w:val="0"/>
        <w:adjustRightInd w:val="0"/>
        <w:spacing w:line="360" w:lineRule="auto"/>
        <w:ind w:firstLine="360"/>
      </w:pPr>
      <w:r w:rsidRPr="00F47BC4">
        <w:t>Návrh</w:t>
      </w:r>
      <w:r w:rsidR="00B43801" w:rsidRPr="00F47BC4">
        <w:t xml:space="preserve"> </w:t>
      </w:r>
      <w:r w:rsidR="00BD3EB7" w:rsidRPr="00F47BC4">
        <w:t xml:space="preserve">Ministerstva práce a sociálních věcí </w:t>
      </w:r>
      <w:r w:rsidR="00B43801" w:rsidRPr="00F47BC4">
        <w:t>na zvýšení minimální mzdy</w:t>
      </w:r>
      <w:r w:rsidRPr="00F47BC4">
        <w:rPr>
          <w:bCs/>
        </w:rPr>
        <w:t xml:space="preserve"> </w:t>
      </w:r>
      <w:r w:rsidR="008420CE" w:rsidRPr="00F47BC4">
        <w:t xml:space="preserve">vychází ze </w:t>
      </w:r>
      <w:r w:rsidR="00BD3EB7" w:rsidRPr="00F47BC4">
        <w:t>současného</w:t>
      </w:r>
      <w:r w:rsidR="003E4BEA" w:rsidRPr="00F47BC4">
        <w:t xml:space="preserve"> i</w:t>
      </w:r>
      <w:r w:rsidR="00BD3EB7" w:rsidRPr="00F47BC4">
        <w:t xml:space="preserve"> budoucího </w:t>
      </w:r>
      <w:r w:rsidR="003E4BEA" w:rsidRPr="00F47BC4">
        <w:t>předpokládané</w:t>
      </w:r>
      <w:r w:rsidR="00BD3EB7" w:rsidRPr="00F47BC4">
        <w:t>ho</w:t>
      </w:r>
      <w:r w:rsidR="003E4BEA" w:rsidRPr="00F47BC4">
        <w:t xml:space="preserve"> </w:t>
      </w:r>
      <w:r w:rsidR="00BD3EB7" w:rsidRPr="00F47BC4">
        <w:t>příznivého</w:t>
      </w:r>
      <w:r w:rsidR="003E4BEA" w:rsidRPr="00F47BC4">
        <w:t xml:space="preserve"> vývoj</w:t>
      </w:r>
      <w:r w:rsidR="00BD3EB7" w:rsidRPr="00F47BC4">
        <w:t>e</w:t>
      </w:r>
      <w:r w:rsidR="003E4BEA" w:rsidRPr="00F47BC4">
        <w:t xml:space="preserve"> české ekonomiky, který se pozitivně projevuje růstem hrubého domácího p</w:t>
      </w:r>
      <w:r w:rsidR="00BD3EB7" w:rsidRPr="00F47BC4">
        <w:t>roduktu, nárůstem zaměstnanosti a poklesem nezaměstnanosti. Dále má za cíl</w:t>
      </w:r>
      <w:r w:rsidR="003E4BEA" w:rsidRPr="00F47BC4">
        <w:t xml:space="preserve"> posílit motivaci k</w:t>
      </w:r>
      <w:r w:rsidR="00BD3EB7" w:rsidRPr="00F47BC4">
        <w:t xml:space="preserve"> </w:t>
      </w:r>
      <w:r w:rsidR="003E4BEA" w:rsidRPr="00F47BC4">
        <w:t>práci a zvýšit</w:t>
      </w:r>
      <w:r w:rsidRPr="00F47BC4">
        <w:t xml:space="preserve"> výdělkovou úroveň zaměstnanců. </w:t>
      </w:r>
      <w:r w:rsidR="00ED1D32" w:rsidRPr="00ED1D32">
        <w:t xml:space="preserve">Minimální mzda má ve vztahu k zaměstnancům i zaměstnavatelům dvě základní funkce. Jedná se o funkci sociálně-ochrannou a funkci ekonomicko-kriteriální. </w:t>
      </w:r>
      <w:r w:rsidR="00ED1D32" w:rsidRPr="00ED1D32">
        <w:rPr>
          <w:bCs/>
        </w:rPr>
        <w:t>Sociálně-ochranná funkce</w:t>
      </w:r>
      <w:r w:rsidR="00ED1D32" w:rsidRPr="00ED1D32">
        <w:t xml:space="preserve"> minimální mzdy má zaměstnance chránit před chudobou a umožnit mu žít na úrovni skromné hmotné spotřeby a sociálních kontaktů. Zaměstnavatelům má zajistit základní rovné podmínky mzdové konkurence (zabránit mzdovému podbízení domácích i zahraničních pracovních sil). </w:t>
      </w:r>
      <w:r w:rsidR="00ED1D32" w:rsidRPr="00ED1D32">
        <w:rPr>
          <w:bCs/>
        </w:rPr>
        <w:t>Ekonomicko-kriteriální funkce</w:t>
      </w:r>
      <w:r w:rsidR="00ED1D32" w:rsidRPr="00ED1D32">
        <w:t xml:space="preserve"> minimální mzdy vytváří předpoklady pro příjmovou motivaci občanů k vyhledávání, přijetí a vykonávání pracovní činnosti, tj. prostřednictvím pracovního příjmu zvýhodnit zaměstnance vůči osobám pouze se sociálním příjmem. Pro zaměstnavatele představuje nejnižší úroveň nákladů na mzdy jejich zaměstnanců.</w:t>
      </w:r>
    </w:p>
    <w:p w:rsidR="00ED1D32" w:rsidRPr="00ED1D32" w:rsidRDefault="00ED1D32" w:rsidP="00ED1D32">
      <w:pPr>
        <w:autoSpaceDE w:val="0"/>
        <w:autoSpaceDN w:val="0"/>
        <w:adjustRightInd w:val="0"/>
        <w:spacing w:line="360" w:lineRule="auto"/>
        <w:ind w:firstLine="360"/>
      </w:pPr>
      <w:r w:rsidRPr="00ED1D32">
        <w:t xml:space="preserve">Proto, aby minimální mzda mohla plnit výše uvedené funkce a zejména svoji motivační úlohu, měla by být její úroveň stanovena v dostatečné výši. </w:t>
      </w:r>
    </w:p>
    <w:p w:rsidR="003E4BEA" w:rsidRPr="002E6576" w:rsidRDefault="003E4BEA" w:rsidP="00647C88">
      <w:pPr>
        <w:autoSpaceDE w:val="0"/>
        <w:autoSpaceDN w:val="0"/>
        <w:adjustRightInd w:val="0"/>
        <w:spacing w:line="360" w:lineRule="auto"/>
        <w:ind w:firstLine="360"/>
      </w:pPr>
      <w:r w:rsidRPr="002E6576">
        <w:t xml:space="preserve">Mezi priority vlády patří zvýšení výdělkové úrovně zaměstnanců. Pracovní příjem zaměstnanců odměňovaných minimální mzdou by měl dosahovat takové úrovně, aby byl dostatečně motivační a zajistil alespoň základní životní </w:t>
      </w:r>
      <w:r w:rsidR="0046101F" w:rsidRPr="002E6576">
        <w:t>potřeby bez nutné závislosti na </w:t>
      </w:r>
      <w:r w:rsidRPr="002E6576">
        <w:t xml:space="preserve">příjmech v podobě dodatečných sociálních dávek chránících před hmotnou nouzí. </w:t>
      </w:r>
    </w:p>
    <w:p w:rsidR="00F165BD" w:rsidRDefault="003724D5" w:rsidP="003724D5">
      <w:pPr>
        <w:autoSpaceDE w:val="0"/>
        <w:autoSpaceDN w:val="0"/>
        <w:adjustRightInd w:val="0"/>
        <w:spacing w:line="360" w:lineRule="auto"/>
        <w:ind w:firstLine="360"/>
      </w:pPr>
      <w:r w:rsidRPr="002E6576">
        <w:t xml:space="preserve">V návaznosti na výše uvedené se zvyšují rovněž nejnižší úrovně zaručené mzdy, </w:t>
      </w:r>
      <w:r w:rsidR="0074533C">
        <w:t>tak aby byl zachován poměr mezi minimální mzdou a zaručenou mzdou stanovený v</w:t>
      </w:r>
      <w:r w:rsidRPr="002E6576">
        <w:t xml:space="preserve"> § 112 odst.</w:t>
      </w:r>
      <w:r w:rsidR="0074533C">
        <w:t> </w:t>
      </w:r>
      <w:r w:rsidRPr="002E6576">
        <w:t>2</w:t>
      </w:r>
      <w:r w:rsidR="0074533C">
        <w:t> </w:t>
      </w:r>
      <w:r w:rsidR="000C5B12" w:rsidRPr="002E6576">
        <w:t>zákona č. 262/2006 Sb., zákoník práce, ve znění pozdějších předpisů (dále jen „zákoník práce“)</w:t>
      </w:r>
      <w:r w:rsidRPr="002E6576">
        <w:t>.</w:t>
      </w:r>
      <w:r w:rsidR="00ED1D32">
        <w:t xml:space="preserve"> </w:t>
      </w:r>
    </w:p>
    <w:p w:rsidR="006C4A73" w:rsidRDefault="006C4A73" w:rsidP="003724D5">
      <w:pPr>
        <w:autoSpaceDE w:val="0"/>
        <w:autoSpaceDN w:val="0"/>
        <w:adjustRightInd w:val="0"/>
        <w:spacing w:line="360" w:lineRule="auto"/>
        <w:ind w:firstLine="360"/>
      </w:pPr>
    </w:p>
    <w:p w:rsidR="006C4A73" w:rsidRDefault="006C4A73" w:rsidP="003724D5">
      <w:pPr>
        <w:autoSpaceDE w:val="0"/>
        <w:autoSpaceDN w:val="0"/>
        <w:adjustRightInd w:val="0"/>
        <w:spacing w:line="360" w:lineRule="auto"/>
        <w:ind w:firstLine="360"/>
      </w:pPr>
    </w:p>
    <w:p w:rsidR="006C4A73" w:rsidRDefault="006C4A73" w:rsidP="003724D5">
      <w:pPr>
        <w:autoSpaceDE w:val="0"/>
        <w:autoSpaceDN w:val="0"/>
        <w:adjustRightInd w:val="0"/>
        <w:spacing w:line="360" w:lineRule="auto"/>
        <w:ind w:firstLine="360"/>
      </w:pPr>
    </w:p>
    <w:p w:rsidR="006C4A73" w:rsidRDefault="006C4A73" w:rsidP="003724D5">
      <w:pPr>
        <w:autoSpaceDE w:val="0"/>
        <w:autoSpaceDN w:val="0"/>
        <w:adjustRightInd w:val="0"/>
        <w:spacing w:line="360" w:lineRule="auto"/>
        <w:ind w:firstLine="360"/>
      </w:pPr>
    </w:p>
    <w:p w:rsidR="003E6135" w:rsidRDefault="00F66AED" w:rsidP="006C4A73">
      <w:pPr>
        <w:ind w:left="357" w:hanging="357"/>
        <w:rPr>
          <w:b/>
        </w:rPr>
      </w:pPr>
      <w:r w:rsidRPr="002E6576">
        <w:rPr>
          <w:b/>
        </w:rPr>
        <w:lastRenderedPageBreak/>
        <w:t>B. Zhodnocení souladu navrhované právní úpravy se zákonem, k jehož provedení je navržena</w:t>
      </w:r>
    </w:p>
    <w:p w:rsidR="006C4A73" w:rsidRDefault="006C4A73" w:rsidP="006C4A73">
      <w:pPr>
        <w:ind w:left="357" w:hanging="357"/>
        <w:rPr>
          <w:b/>
        </w:rPr>
      </w:pPr>
    </w:p>
    <w:p w:rsidR="00F66AED" w:rsidRPr="002E6576" w:rsidRDefault="00F66AED" w:rsidP="0046101F">
      <w:pPr>
        <w:spacing w:line="360" w:lineRule="auto"/>
        <w:ind w:firstLine="360"/>
      </w:pPr>
      <w:r w:rsidRPr="002E6576">
        <w:t>Návrh nařízení vlády je v souladu se zmocněním uvedeným v § 111 odst. 2 zákoníku</w:t>
      </w:r>
      <w:r w:rsidR="0046101F" w:rsidRPr="002E6576">
        <w:t xml:space="preserve"> práce, </w:t>
      </w:r>
      <w:r w:rsidRPr="002E6576">
        <w:t>podle kterého výši základní sazby minimální mzdy a podmínky pro poskytování minimální mzdy stanoví vláda nařízením, a to zpravidla s účinností od počátku kalendářního roku.</w:t>
      </w:r>
    </w:p>
    <w:p w:rsidR="00F66AED" w:rsidRPr="002E6576" w:rsidRDefault="00F66AED" w:rsidP="00647C88">
      <w:pPr>
        <w:spacing w:line="360" w:lineRule="auto"/>
        <w:ind w:firstLine="360"/>
      </w:pPr>
      <w:r w:rsidRPr="002E6576">
        <w:t xml:space="preserve">Návrh nařízení vlády je rovněž v souladu se zmocněním uvedeným v </w:t>
      </w:r>
      <w:r w:rsidR="0000154F" w:rsidRPr="002E6576">
        <w:t>§ 112 odst. 2 </w:t>
      </w:r>
      <w:r w:rsidRPr="002E6576">
        <w:t>zákoníku práce, podle kterého nejnižší úroveň zaručené mzdy a podmínky pro její poskytování zaměstnancům, jejichž mzda není sjedn</w:t>
      </w:r>
      <w:r w:rsidR="0046101F" w:rsidRPr="002E6576">
        <w:t>ána v kolektivní smlouvě, a pro </w:t>
      </w:r>
      <w:r w:rsidRPr="002E6576">
        <w:t>zaměstnance, kterým se za práci poskytuje plat, stanoví vláda nařízením, a to zpravidla s účinností od počátku kalendářního roku</w:t>
      </w:r>
      <w:r w:rsidR="006A6160">
        <w:t>.</w:t>
      </w:r>
      <w:r w:rsidRPr="002E6576">
        <w:t xml:space="preserve"> </w:t>
      </w:r>
    </w:p>
    <w:p w:rsidR="00F66AED" w:rsidRPr="002E6576" w:rsidRDefault="00F66AED" w:rsidP="00F66AED">
      <w:pPr>
        <w:spacing w:line="360" w:lineRule="auto"/>
        <w:rPr>
          <w:b/>
        </w:rPr>
      </w:pPr>
    </w:p>
    <w:p w:rsidR="003E6135" w:rsidRDefault="00F66AED" w:rsidP="00F602ED">
      <w:pPr>
        <w:rPr>
          <w:b/>
        </w:rPr>
      </w:pPr>
      <w:r w:rsidRPr="002E6576">
        <w:rPr>
          <w:b/>
        </w:rPr>
        <w:t>C. Zhodnocení souladu navrhované právní úpravy s právem Evropské unie a mezinárodními smlouvami, jimiž je Česká republika vázána</w:t>
      </w:r>
    </w:p>
    <w:p w:rsidR="00235FE9" w:rsidRPr="002E6576" w:rsidRDefault="00235FE9" w:rsidP="00F66AED">
      <w:pPr>
        <w:spacing w:line="360" w:lineRule="auto"/>
      </w:pPr>
    </w:p>
    <w:p w:rsidR="00F66AED" w:rsidRPr="002E6576" w:rsidRDefault="00F66AED" w:rsidP="00647C88">
      <w:pPr>
        <w:spacing w:line="360" w:lineRule="auto"/>
        <w:ind w:firstLine="426"/>
      </w:pPr>
      <w:r w:rsidRPr="002E6576">
        <w:t xml:space="preserve">Problematika minimální mzdy jako taková není právem EU přímo upravena. V obecné rovině je třeba uvést článek 151 Smlouvy o fungování Evropské unie (dále jen „SFEU“), který stanoví, že cílem Unie a členských států je mimo jiné i zlepšování životních a pracovních podmínek tak, aby došlo k jejich harmonizaci při zachování </w:t>
      </w:r>
      <w:r w:rsidR="006C4A73">
        <w:t>tendence k jejich zlepšování, a </w:t>
      </w:r>
      <w:r w:rsidRPr="002E6576">
        <w:t>zejména pak článek 8 SFEU, podle kterého Unie usiluje ve všech činnostech, ve kterých má pravomoc (tj. mimo jiné i v sociální oblasti) o to, aby se odstraňovaly nerovnosti. Zvýšení úrovně minimální mzdy i zvýšení nejnižších úrovní zaručené mzdy tyto cíle naplňuje.</w:t>
      </w:r>
    </w:p>
    <w:p w:rsidR="00F66AED" w:rsidRPr="002E6576" w:rsidRDefault="00F66AED" w:rsidP="00647C88">
      <w:pPr>
        <w:spacing w:line="360" w:lineRule="auto"/>
        <w:ind w:firstLine="426"/>
      </w:pPr>
      <w:r w:rsidRPr="002E6576">
        <w:t>Dále je třeba mít na zřeteli také směrnici Rady 2000/78/ES ze dne 27. listopadu 2000, kterou se stanoví obecný rámec pro rovné zacházení v zaměstnání a povolání. Návrh je s uvedenou směrnicí plně v souladu. Návrh není v rozporu ani s judikaturou soudních orgánů EU či obecnými právními zásadami práva Evropské unie.</w:t>
      </w:r>
    </w:p>
    <w:p w:rsidR="00B44C8F" w:rsidRDefault="00F66AED" w:rsidP="00647C88">
      <w:pPr>
        <w:spacing w:line="360" w:lineRule="auto"/>
        <w:ind w:firstLine="426"/>
      </w:pPr>
      <w:r w:rsidRPr="00B44C8F">
        <w:t>Garance určité minimální mzdy je závazek vyplývající z </w:t>
      </w:r>
      <w:r w:rsidR="005A2391" w:rsidRPr="00B44C8F">
        <w:t>Charty základních sociálních práv prac</w:t>
      </w:r>
      <w:r w:rsidR="00B44C8F" w:rsidRPr="00B44C8F">
        <w:t>ujících Evropských společenství</w:t>
      </w:r>
      <w:r w:rsidRPr="00B44C8F">
        <w:t xml:space="preserve">, která </w:t>
      </w:r>
      <w:r w:rsidR="00B44C8F" w:rsidRPr="00B44C8F">
        <w:t>se z hlediska úpravy a obsahu práv shoduje s těmi, která jsou upravena v Evropské sociální chartě</w:t>
      </w:r>
      <w:r w:rsidRPr="00B44C8F">
        <w:t>.</w:t>
      </w:r>
      <w:r w:rsidRPr="002E6576">
        <w:t xml:space="preserve"> </w:t>
      </w:r>
      <w:r w:rsidR="00655BCE">
        <w:t xml:space="preserve">Zároveň zvyšuje poměr minimální </w:t>
      </w:r>
      <w:r w:rsidR="00CD687A">
        <w:t>mzdy k průměrné mzdě a usiluje o</w:t>
      </w:r>
      <w:r w:rsidR="00655BCE">
        <w:t> dosažení souladu s požadavky Charty v duchu závěrů kontrolního výboru Rady Evropy.</w:t>
      </w:r>
    </w:p>
    <w:p w:rsidR="00F66AED" w:rsidRPr="002E6576" w:rsidRDefault="00B44C8F" w:rsidP="00647C88">
      <w:pPr>
        <w:spacing w:line="360" w:lineRule="auto"/>
        <w:ind w:firstLine="426"/>
      </w:pPr>
      <w:r w:rsidRPr="00B44C8F">
        <w:t>Návrh je v souladu s</w:t>
      </w:r>
      <w:r w:rsidR="00CD687A">
        <w:t xml:space="preserve"> ostatními </w:t>
      </w:r>
      <w:r w:rsidRPr="00B44C8F">
        <w:t>mezinárodními smlouvami, kterými je Česká republika vázána.</w:t>
      </w:r>
      <w:r w:rsidRPr="00B44C8F">
        <w:rPr>
          <w:b/>
        </w:rPr>
        <w:t xml:space="preserve"> </w:t>
      </w:r>
      <w:r w:rsidR="00F66AED" w:rsidRPr="002E6576">
        <w:t xml:space="preserve">Právní úpravou zaručené mzdy plní Česká republika povinnost zabezpečit ochranu </w:t>
      </w:r>
      <w:r w:rsidR="00F66AED" w:rsidRPr="002E6576">
        <w:lastRenderedPageBreak/>
        <w:t xml:space="preserve">zaměstnance při poskytování spravedlivé odměny za práci, ale na rozdíl od minimální mzdy pouze v případě, že není dostatečně zajištěna výsledky dialogu mezi sociálními partnery, tedy mzdovými ujednáními v kolektivních smlouvách. Tato povinnost pro Českou republiku vyplývá zejména z úmluvy Mezinárodní organizace práce č. 26 z roku 1928 </w:t>
      </w:r>
      <w:r w:rsidR="0030624A">
        <w:t>–</w:t>
      </w:r>
      <w:r w:rsidR="00A15255">
        <w:t xml:space="preserve"> Úmluva o </w:t>
      </w:r>
      <w:r w:rsidR="00F66AED" w:rsidRPr="002E6576">
        <w:t>zavedení metod stanovení minimálních mezd, kterou ratifikovala Československá republika v roce 1950 (k její publikaci došlo sdělením č. 439/1990 Sb.).</w:t>
      </w:r>
    </w:p>
    <w:p w:rsidR="00F66AED" w:rsidRPr="002E6576" w:rsidRDefault="00F66AED" w:rsidP="00F66AED">
      <w:pPr>
        <w:spacing w:line="360" w:lineRule="auto"/>
        <w:ind w:firstLine="709"/>
        <w:rPr>
          <w:b/>
        </w:rPr>
      </w:pPr>
    </w:p>
    <w:p w:rsidR="00F66AED" w:rsidRDefault="00F66AED" w:rsidP="00F66AED">
      <w:pPr>
        <w:spacing w:line="360" w:lineRule="auto"/>
        <w:rPr>
          <w:b/>
        </w:rPr>
      </w:pPr>
      <w:r w:rsidRPr="002E6576">
        <w:rPr>
          <w:b/>
        </w:rPr>
        <w:t>D. Zhodnocení platného právního stavu a odůvodnění nezbytnosti jeho změny</w:t>
      </w:r>
    </w:p>
    <w:p w:rsidR="00235FE9" w:rsidRPr="002E6576" w:rsidRDefault="00235FE9" w:rsidP="00F66AED">
      <w:pPr>
        <w:spacing w:line="360" w:lineRule="auto"/>
        <w:rPr>
          <w:b/>
        </w:rPr>
      </w:pPr>
    </w:p>
    <w:p w:rsidR="00F66AED" w:rsidRPr="002E6576" w:rsidRDefault="00F66AED" w:rsidP="00F66AED">
      <w:pPr>
        <w:spacing w:line="360" w:lineRule="auto"/>
        <w:rPr>
          <w:u w:val="single"/>
        </w:rPr>
      </w:pPr>
      <w:r w:rsidRPr="002E6576">
        <w:rPr>
          <w:u w:val="single"/>
        </w:rPr>
        <w:t>1. Sazba minimální mzdy a sazby nejnižších úrovní zaručené mzdy</w:t>
      </w:r>
    </w:p>
    <w:p w:rsidR="00D86418" w:rsidRDefault="00ED1D32" w:rsidP="00ED1D32">
      <w:pPr>
        <w:spacing w:line="360" w:lineRule="auto"/>
        <w:ind w:firstLine="426"/>
      </w:pPr>
      <w:r w:rsidRPr="00ED1D32">
        <w:t xml:space="preserve">Minimální mzda je </w:t>
      </w:r>
      <w:r w:rsidRPr="00ED1D32">
        <w:rPr>
          <w:bCs/>
        </w:rPr>
        <w:t>nejnižší přípustná výše odměny</w:t>
      </w:r>
      <w:r w:rsidRPr="00ED1D32">
        <w:t xml:space="preserve">, kterou je povinen zaměstnavatel poskytnout </w:t>
      </w:r>
      <w:r w:rsidRPr="00ED1D32">
        <w:rPr>
          <w:bCs/>
        </w:rPr>
        <w:t>za práci</w:t>
      </w:r>
      <w:r w:rsidRPr="00ED1D32">
        <w:t xml:space="preserve"> svému zaměstnanci. Její základní právní úprava je stanovena zákoníkem práce. Výši a podmínky poskytování minimální mzdy stanovuje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ED1D32" w:rsidRPr="00ED1D32" w:rsidRDefault="00ED1D32" w:rsidP="00ED1D32">
      <w:pPr>
        <w:spacing w:line="360" w:lineRule="auto"/>
        <w:ind w:firstLine="426"/>
      </w:pPr>
      <w:r w:rsidRPr="00ED1D32">
        <w:t>Poslední úprava minimální mzdy se uskutečnila s účinností od 1. ledna 2019. Od tohoto data činí výše základní sazby minimální mzdy 13 350 Kč za měsíc (resp. 79,80 Kč za hodinu pro stanovenou týdenní pracovní dobu 40 hodin), tj. vrostla o 1 150 Kč za měsíc.</w:t>
      </w:r>
    </w:p>
    <w:p w:rsidR="00D86418" w:rsidRDefault="0081164B" w:rsidP="00D86418">
      <w:pPr>
        <w:spacing w:line="360" w:lineRule="auto"/>
        <w:ind w:firstLine="426"/>
      </w:pPr>
      <w:r w:rsidRPr="002E6576">
        <w:rPr>
          <w:bCs/>
        </w:rPr>
        <w:t xml:space="preserve">Růst minimální mzdy má přispět k </w:t>
      </w:r>
      <w:r w:rsidR="0074533C" w:rsidRPr="002E6576">
        <w:rPr>
          <w:bCs/>
        </w:rPr>
        <w:t>vyšší</w:t>
      </w:r>
      <w:r w:rsidR="0074533C">
        <w:rPr>
          <w:bCs/>
        </w:rPr>
        <w:t>mu</w:t>
      </w:r>
      <w:r w:rsidR="0074533C" w:rsidRPr="002E6576">
        <w:rPr>
          <w:bCs/>
        </w:rPr>
        <w:t xml:space="preserve"> </w:t>
      </w:r>
      <w:r w:rsidRPr="002E6576">
        <w:rPr>
          <w:bCs/>
        </w:rPr>
        <w:t xml:space="preserve">pokrytí životních nákladů zaměstnanců z pracovních příjmů a posílit reálnou úroveň minimální mzdy. </w:t>
      </w:r>
      <w:r w:rsidR="00D86418" w:rsidRPr="00D86418">
        <w:t>Pracovní příjem zaměstnanců odměňovaných minimální mzdou by měl dosahovat takové úrovně, aby byl dostatečně motivační a zajistil alespoň základní životní potřeby bez nutné závislosti na příjmech v podobě dodatečných sociálních dávek chránících před hmotnou nouzí.</w:t>
      </w:r>
    </w:p>
    <w:p w:rsidR="00D86418" w:rsidRPr="00D86418" w:rsidRDefault="00D86418" w:rsidP="00D86418">
      <w:pPr>
        <w:spacing w:line="360" w:lineRule="auto"/>
        <w:ind w:firstLine="426"/>
      </w:pPr>
      <w:r w:rsidRPr="00D86418">
        <w:t>V minulosti sociální partneři dospěli ke shodě, že by podíl minimální a průměrné mzdy měl činit 40 %. I přes intenzivnější nárůst minimální mzdy v předchozích letech se stále ještě nepodařilo uvedeného podílu dosáhnout. V roce 2018 činil podíl minimální a průměrné mzdy 38,3 %. Podle současné prognózy vývoje průměrné mzdy by mohlo dojít v roce 2019 k jeho zvýšení o 0,7 p. </w:t>
      </w:r>
      <w:proofErr w:type="spellStart"/>
      <w:r w:rsidRPr="00D86418">
        <w:t>b</w:t>
      </w:r>
      <w:proofErr w:type="spellEnd"/>
      <w:r w:rsidRPr="00D86418">
        <w:t>. na 39,0 %. Vývoj minimální a průměrné mzdy a jejich vzájemný podíl od roku 2010 je uveden v následujícím grafu:</w:t>
      </w:r>
    </w:p>
    <w:p w:rsidR="00D86418" w:rsidRPr="00D86418" w:rsidRDefault="00D86418" w:rsidP="00D86418">
      <w:pPr>
        <w:spacing w:line="360" w:lineRule="auto"/>
        <w:ind w:firstLine="426"/>
      </w:pPr>
      <w:r w:rsidRPr="00D86418">
        <w:rPr>
          <w:noProof/>
        </w:rPr>
        <w:lastRenderedPageBreak/>
        <w:drawing>
          <wp:inline distT="0" distB="0" distL="0" distR="0">
            <wp:extent cx="5760085" cy="4371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3030" cy="4374210"/>
                    </a:xfrm>
                    <a:prstGeom prst="rect">
                      <a:avLst/>
                    </a:prstGeom>
                    <a:noFill/>
                    <a:ln>
                      <a:noFill/>
                    </a:ln>
                  </pic:spPr>
                </pic:pic>
              </a:graphicData>
            </a:graphic>
          </wp:inline>
        </w:drawing>
      </w:r>
    </w:p>
    <w:p w:rsidR="00D86418" w:rsidRPr="00D86418" w:rsidRDefault="00D86418" w:rsidP="00D86418">
      <w:pPr>
        <w:spacing w:line="360" w:lineRule="auto"/>
        <w:ind w:firstLine="426"/>
      </w:pPr>
    </w:p>
    <w:p w:rsidR="00D86418" w:rsidRPr="00D86418" w:rsidRDefault="00D86418" w:rsidP="00D86418">
      <w:pPr>
        <w:spacing w:line="360" w:lineRule="auto"/>
        <w:ind w:firstLine="426"/>
      </w:pPr>
      <w:r w:rsidRPr="00D86418">
        <w:t>Podrobný přehled o vývoji minimální a průměrné mzdy a jejich podílu od roku 2000 je uveden v Závěrečné zprávě RIA.</w:t>
      </w:r>
    </w:p>
    <w:p w:rsidR="00D86418" w:rsidRPr="00D86418" w:rsidRDefault="00D86418" w:rsidP="00D86418">
      <w:pPr>
        <w:spacing w:line="360" w:lineRule="auto"/>
        <w:ind w:firstLine="426"/>
      </w:pPr>
    </w:p>
    <w:p w:rsidR="00D86418" w:rsidRPr="00D86418" w:rsidRDefault="00D86418" w:rsidP="008D59A3">
      <w:pPr>
        <w:spacing w:line="360" w:lineRule="auto"/>
        <w:rPr>
          <w:b/>
        </w:rPr>
      </w:pPr>
      <w:r w:rsidRPr="00D86418">
        <w:rPr>
          <w:b/>
        </w:rPr>
        <w:t>VARIANTA I</w:t>
      </w:r>
    </w:p>
    <w:p w:rsidR="00D86418" w:rsidRDefault="00D86418" w:rsidP="00D86418">
      <w:pPr>
        <w:spacing w:line="360" w:lineRule="auto"/>
        <w:ind w:firstLine="426"/>
      </w:pPr>
      <w:r w:rsidRPr="00D86418">
        <w:t>Navrhované zvýšení minimální mzdy o 10,1 % (1 350 Kč) by</w:t>
      </w:r>
      <w:r w:rsidR="008D59A3">
        <w:t xml:space="preserve"> mělo zajistit vzhledem k </w:t>
      </w:r>
      <w:r w:rsidRPr="00D86418">
        <w:t>v současnosti prognózovanému nárůstu průměrné mzdy v roce 2020 dosažení podílu 40,8 %.</w:t>
      </w:r>
    </w:p>
    <w:p w:rsidR="006C4A73" w:rsidRPr="00D86418" w:rsidRDefault="006C4A73" w:rsidP="00D86418">
      <w:pPr>
        <w:spacing w:line="360" w:lineRule="auto"/>
        <w:ind w:firstLine="426"/>
      </w:pPr>
    </w:p>
    <w:p w:rsidR="00D86418" w:rsidRPr="00D86418" w:rsidRDefault="00D86418" w:rsidP="008D59A3">
      <w:pPr>
        <w:spacing w:line="360" w:lineRule="auto"/>
        <w:rPr>
          <w:b/>
        </w:rPr>
      </w:pPr>
      <w:r w:rsidRPr="00D86418">
        <w:rPr>
          <w:b/>
        </w:rPr>
        <w:t>VARIANTA I</w:t>
      </w:r>
      <w:r>
        <w:rPr>
          <w:b/>
        </w:rPr>
        <w:t xml:space="preserve"> I</w:t>
      </w:r>
    </w:p>
    <w:p w:rsidR="00D86418" w:rsidRPr="00D86418" w:rsidRDefault="00D86418" w:rsidP="00D86418">
      <w:pPr>
        <w:spacing w:line="360" w:lineRule="auto"/>
        <w:ind w:firstLine="426"/>
      </w:pPr>
      <w:r w:rsidRPr="00D86418">
        <w:t>Navrhované zvýšení minimální mzdy o 12,4 % (1 650 </w:t>
      </w:r>
      <w:r w:rsidR="008D59A3">
        <w:t>Kč) by mělo zajistit vzhledem k </w:t>
      </w:r>
      <w:r w:rsidRPr="00D86418">
        <w:t>v současnosti prognózovanému nárůstu průměrné mzdy v roce 2020 dosažení podílu 41,6 %.</w:t>
      </w:r>
    </w:p>
    <w:p w:rsidR="006C4A73" w:rsidRDefault="006C4A73" w:rsidP="008D59A3">
      <w:pPr>
        <w:spacing w:line="360" w:lineRule="auto"/>
        <w:rPr>
          <w:b/>
        </w:rPr>
      </w:pPr>
    </w:p>
    <w:p w:rsidR="00D86418" w:rsidRPr="00D86418" w:rsidRDefault="00D86418" w:rsidP="008D59A3">
      <w:pPr>
        <w:spacing w:line="360" w:lineRule="auto"/>
        <w:rPr>
          <w:b/>
        </w:rPr>
      </w:pPr>
      <w:r w:rsidRPr="00D86418">
        <w:rPr>
          <w:b/>
        </w:rPr>
        <w:t>VARIANTA I</w:t>
      </w:r>
      <w:r>
        <w:rPr>
          <w:b/>
        </w:rPr>
        <w:t xml:space="preserve"> I </w:t>
      </w:r>
      <w:proofErr w:type="spellStart"/>
      <w:r>
        <w:rPr>
          <w:b/>
        </w:rPr>
        <w:t>I</w:t>
      </w:r>
      <w:proofErr w:type="spellEnd"/>
    </w:p>
    <w:p w:rsidR="00D86418" w:rsidRDefault="00D86418" w:rsidP="00D86418">
      <w:pPr>
        <w:spacing w:line="360" w:lineRule="auto"/>
        <w:ind w:firstLine="426"/>
      </w:pPr>
      <w:r w:rsidRPr="00D86418">
        <w:lastRenderedPageBreak/>
        <w:t>Navrhované zvýšení minimální mzdy o 8,6 % (1 150 Kč) by mělo zajistit vzhledem k</w:t>
      </w:r>
      <w:r w:rsidR="008D59A3">
        <w:t> </w:t>
      </w:r>
      <w:r w:rsidRPr="00D86418">
        <w:t>v současnosti prognózovanému nárůstu průměrné mzdy v roce 2020 dosažení podílu 40,2 %.</w:t>
      </w:r>
    </w:p>
    <w:p w:rsidR="008D59A3" w:rsidRDefault="008D59A3" w:rsidP="00D86418">
      <w:pPr>
        <w:spacing w:line="360" w:lineRule="auto"/>
        <w:ind w:firstLine="426"/>
      </w:pPr>
    </w:p>
    <w:p w:rsidR="008D59A3" w:rsidRPr="008D59A3" w:rsidRDefault="008D59A3" w:rsidP="008D59A3">
      <w:pPr>
        <w:spacing w:line="360" w:lineRule="auto"/>
        <w:ind w:firstLine="426"/>
      </w:pPr>
      <w:r w:rsidRPr="008D59A3">
        <w:t xml:space="preserve">Vyšší relativní růst minimální mzdy v jednotlivých variantách, než jaký je předpokládaný procentní meziroční nárůst průměrné hrubé mzdy v roce 2020 (o 5,5 %, tj. o 1 880 Kč), je dán zejména tím, že minimální mzda nebyla zvýšena od roku 2007 do roku 2012. Za toto období průměrná hrubá mzda vzrostla o 4 110 Kč (tj. o 19,6 %) a relace minimální mzdy k průměrné mzdě poklesla na 31,9 %. Navrhovaným zvýšením by </w:t>
      </w:r>
      <w:r w:rsidR="00FE34DA">
        <w:t>se podařilo vytvořit podmínky k </w:t>
      </w:r>
      <w:r w:rsidRPr="008D59A3">
        <w:t>budoucímu rovnoměrnému zvyšování minimální mzdy.</w:t>
      </w:r>
    </w:p>
    <w:p w:rsidR="008D59A3" w:rsidRPr="008D59A3" w:rsidRDefault="008D59A3" w:rsidP="008D59A3">
      <w:pPr>
        <w:spacing w:line="360" w:lineRule="auto"/>
        <w:ind w:firstLine="426"/>
      </w:pPr>
      <w:r w:rsidRPr="008D59A3">
        <w:t>Čistá minimální mzda jednotlivce by podle návrhu měla dosáhnout v roce 2020 výše</w:t>
      </w:r>
      <w:r w:rsidR="00FE34DA">
        <w:t xml:space="preserve"> </w:t>
      </w:r>
      <w:r w:rsidR="006C4A73">
        <w:t>12 203 Kč ve variantě I</w:t>
      </w:r>
      <w:r w:rsidRPr="008D59A3">
        <w:t>, res</w:t>
      </w:r>
      <w:r w:rsidR="006C4A73">
        <w:t>p. výše 12 410 Kč ve variantě I</w:t>
      </w:r>
      <w:r w:rsidRPr="008D59A3">
        <w:t>I</w:t>
      </w:r>
      <w:r w:rsidR="006C4A73">
        <w:t xml:space="preserve">, </w:t>
      </w:r>
      <w:r w:rsidR="006C4A73" w:rsidRPr="008D59A3">
        <w:t>res</w:t>
      </w:r>
      <w:r w:rsidR="006C4A73">
        <w:t>p.</w:t>
      </w:r>
      <w:r w:rsidR="006C4A73" w:rsidRPr="006C4A73">
        <w:t xml:space="preserve"> </w:t>
      </w:r>
      <w:r w:rsidR="006C4A73">
        <w:t>výše</w:t>
      </w:r>
      <w:r w:rsidR="00FE34DA">
        <w:t xml:space="preserve"> </w:t>
      </w:r>
      <w:r w:rsidR="00FE34DA" w:rsidRPr="008D59A3">
        <w:t>12 065 Kč ve variantě I</w:t>
      </w:r>
      <w:r w:rsidR="00FE34DA">
        <w:t>II</w:t>
      </w:r>
      <w:r w:rsidRPr="008D59A3">
        <w:t>. Uvedenými úrovněmi čisté minimální mzdy by se konečně podařilo přesáhnout aktuálně známou hranici příjmové chudoby domácnosti jednotlivce. Ta podle posledních publikovaných údajů v roce 2018 činila 11 963 Kč. Vývoj míry ohrožení příjmovou chu</w:t>
      </w:r>
      <w:r w:rsidR="00E10092">
        <w:t>dobou v ČR v letech 2010 až 2018</w:t>
      </w:r>
      <w:r w:rsidRPr="008D59A3">
        <w:t xml:space="preserve"> je uveden v Závěrečné zprávě RIA.</w:t>
      </w:r>
    </w:p>
    <w:p w:rsidR="008D59A3" w:rsidRPr="008D59A3" w:rsidRDefault="008D59A3" w:rsidP="008D59A3">
      <w:pPr>
        <w:spacing w:line="360" w:lineRule="auto"/>
        <w:ind w:firstLine="426"/>
      </w:pPr>
      <w:r w:rsidRPr="008D59A3">
        <w:t>Dalším záměrem v pokračování intenzivnějšího zvyšování minimální mzdy je působit na přiblížení mzdové úrovně v České republice ke mzdám, kterými jsou zaměstnanci odměňováni ve vyspělejších evropských zemích. A to i s ohledem na evropské standardy, které jsou zakotveny v Evropské sociální chartě. Podle databáze Organizace pro hospodářskou spolupráci a rozvoj (OECD) činila v roce 2018 (poslední publikovaná data) výše roční průměrné mzdy v ČR 26 962 US dolarů PPP (ve stálých cenách roku 2018). Přes dílčí zlepšení v rámci mezinárodního srovnání za poslední cca 2 roky patří stále ČR jedna z nejnižších úrovní v rámci sledovaných zemí. Nižší průměrná mzda byla zaznamenána z evropských zemí např. v Estonsku, Řecku nebo Portugalsku. Průměr za země OECD činil 46 686 US dolarů PPP. Více než dvojnásobnou úroveň výdělků mají podle zveřejněné statistiky zaměstnanci v Nizozemsku, Dánsku, Švýcarsku, Lucembursku a Islandu. Podrobný přehled o vývoji takto přepočítaných ročních průměrných mezd od roku 2010 viz Závěrečná zpráva RIA.</w:t>
      </w:r>
    </w:p>
    <w:p w:rsidR="008D59A3" w:rsidRPr="008D59A3" w:rsidRDefault="008D59A3" w:rsidP="008D59A3">
      <w:pPr>
        <w:spacing w:line="360" w:lineRule="auto"/>
        <w:ind w:firstLine="426"/>
      </w:pPr>
      <w:r w:rsidRPr="008D59A3">
        <w:t xml:space="preserve">Spodní interval mzdového rozdělení pracovních příjmů je do značné míry ovlivněn výší minimální mzdy. Zákonem je minimální mzda stanovena ve 22 z 28 států Evropské unie. V ostatních státech (např. skandinávských zemích) je regulace minimálních mezd stanovena závazností kolektivního vyjednávání. V České republice činí minimální mzda k 1. lednu 2019 podle databáze </w:t>
      </w:r>
      <w:proofErr w:type="spellStart"/>
      <w:r w:rsidRPr="008D59A3">
        <w:t>Eurostatu</w:t>
      </w:r>
      <w:proofErr w:type="spellEnd"/>
      <w:r w:rsidRPr="008D59A3">
        <w:t xml:space="preserve"> 519 euro, což je šestá nejnižší úroveň ze sledovaných zemí. </w:t>
      </w:r>
      <w:r w:rsidRPr="008D59A3">
        <w:lastRenderedPageBreak/>
        <w:t>Aktuální přehled o úrovni minimální mzdy v eurech k 1. lednu 2019 je uveden v následujícím grafu:</w:t>
      </w:r>
    </w:p>
    <w:p w:rsidR="008D59A3" w:rsidRPr="008D59A3" w:rsidRDefault="008D59A3" w:rsidP="008D59A3">
      <w:pPr>
        <w:spacing w:line="360" w:lineRule="auto"/>
        <w:ind w:firstLine="426"/>
      </w:pPr>
      <w:r w:rsidRPr="008D59A3">
        <w:rPr>
          <w:noProof/>
        </w:rPr>
        <w:drawing>
          <wp:inline distT="0" distB="0" distL="0" distR="0">
            <wp:extent cx="5760720" cy="418116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181168"/>
                    </a:xfrm>
                    <a:prstGeom prst="rect">
                      <a:avLst/>
                    </a:prstGeom>
                    <a:noFill/>
                    <a:ln>
                      <a:noFill/>
                    </a:ln>
                  </pic:spPr>
                </pic:pic>
              </a:graphicData>
            </a:graphic>
          </wp:inline>
        </w:drawing>
      </w:r>
    </w:p>
    <w:p w:rsidR="008D59A3" w:rsidRPr="008D59A3" w:rsidRDefault="008D59A3" w:rsidP="008D59A3">
      <w:pPr>
        <w:spacing w:line="360" w:lineRule="auto"/>
        <w:ind w:firstLine="426"/>
      </w:pPr>
    </w:p>
    <w:p w:rsidR="008D59A3" w:rsidRPr="008D59A3" w:rsidRDefault="008D59A3" w:rsidP="008D59A3">
      <w:pPr>
        <w:spacing w:line="360" w:lineRule="auto"/>
        <w:ind w:firstLine="426"/>
      </w:pPr>
      <w:r w:rsidRPr="008D59A3">
        <w:t>Ještě horší postavení má Česká republika v mezinárodním srovnání po zohlednění cenových hladin v jednotlivých zemích, tj. v podobě standardu kupní síly (PPS). Nepříznivě pro Českou republiku vyznívá rovněž mezinárodní srovnání s ostatními státy v rámci tzv. Visegrádské skupiny, ze kterého vyplývá, že je v České republice nejnižší minimální mzda. Podrobný přehled o výši minimálních mezd ve vybraných zemích EU v eurech a standardu kupní síly (PPS) od roku 2010 je uveden v Závěrečné zprávě RIA.</w:t>
      </w:r>
    </w:p>
    <w:p w:rsidR="008D59A3" w:rsidRDefault="008D59A3" w:rsidP="008D59A3">
      <w:pPr>
        <w:spacing w:line="360" w:lineRule="auto"/>
        <w:ind w:firstLine="426"/>
      </w:pPr>
      <w:r w:rsidRPr="008D59A3">
        <w:t>Pro navýšení minimální mzdy v České republice jsou stále splněny základní předpoklady v podobě příznivého vývoje ekonomiky a s ní související situací na trhu práce. Vývoj základních makroekonomických ukazatelů, které charakterizují vývoj českého hospodářství, tj. hrubý domácí produkt (HDP), zaměstnanost, nezaměstnanost a inflace je pozitivní. V roce 2018 byl zaznamenán růst HDP, růst zaměstnanosti, pokles nezaměstnanosti a přetrvávající relativně nízká míra inflace. Rovněž i prognóza uvedených makroekonomických ukazatelů pro roky 2019 a 2020 je příznivá. Přehled o vývoji a prognóze makroekonomických veličin viz následující tabulka:</w:t>
      </w:r>
    </w:p>
    <w:p w:rsidR="0096291E" w:rsidRDefault="0096291E" w:rsidP="008D59A3">
      <w:pPr>
        <w:spacing w:line="360" w:lineRule="auto"/>
        <w:ind w:firstLine="426"/>
      </w:pPr>
    </w:p>
    <w:p w:rsidR="0096291E" w:rsidRPr="008D59A3" w:rsidRDefault="0096291E" w:rsidP="008D59A3">
      <w:pPr>
        <w:spacing w:line="360" w:lineRule="auto"/>
        <w:ind w:firstLine="426"/>
      </w:pPr>
    </w:p>
    <w:tbl>
      <w:tblPr>
        <w:tblW w:w="91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794"/>
        <w:gridCol w:w="1334"/>
        <w:gridCol w:w="1334"/>
        <w:gridCol w:w="1334"/>
        <w:gridCol w:w="1334"/>
      </w:tblGrid>
      <w:tr w:rsidR="0096291E" w:rsidRPr="00B32438" w:rsidTr="00060211">
        <w:trPr>
          <w:trHeight w:hRule="exact" w:val="499"/>
          <w:jc w:val="center"/>
        </w:trPr>
        <w:tc>
          <w:tcPr>
            <w:tcW w:w="3794" w:type="dxa"/>
            <w:tcBorders>
              <w:top w:val="double" w:sz="4" w:space="0" w:color="auto"/>
              <w:left w:val="double" w:sz="4" w:space="0" w:color="auto"/>
              <w:bottom w:val="single" w:sz="12" w:space="0" w:color="auto"/>
              <w:right w:val="single" w:sz="4" w:space="0" w:color="auto"/>
            </w:tcBorders>
            <w:shd w:val="clear" w:color="auto" w:fill="BFBFBF"/>
            <w:vAlign w:val="center"/>
            <w:hideMark/>
          </w:tcPr>
          <w:p w:rsidR="0096291E" w:rsidRPr="00B32438" w:rsidRDefault="0096291E" w:rsidP="00060211">
            <w:pPr>
              <w:rPr>
                <w:rFonts w:ascii="Arial" w:hAnsi="Arial" w:cs="Arial"/>
                <w:b/>
              </w:rPr>
            </w:pPr>
            <w:r w:rsidRPr="00B32438">
              <w:rPr>
                <w:rFonts w:ascii="Arial" w:hAnsi="Arial" w:cs="Arial"/>
                <w:b/>
              </w:rPr>
              <w:t>Rok</w:t>
            </w:r>
          </w:p>
        </w:tc>
        <w:tc>
          <w:tcPr>
            <w:tcW w:w="1334" w:type="dxa"/>
            <w:tcBorders>
              <w:top w:val="double" w:sz="4" w:space="0" w:color="auto"/>
              <w:left w:val="single" w:sz="4" w:space="0" w:color="auto"/>
              <w:bottom w:val="single" w:sz="12" w:space="0" w:color="auto"/>
              <w:right w:val="single" w:sz="4" w:space="0" w:color="auto"/>
            </w:tcBorders>
            <w:shd w:val="clear" w:color="auto" w:fill="BFBFBF"/>
            <w:vAlign w:val="center"/>
            <w:hideMark/>
          </w:tcPr>
          <w:p w:rsidR="0096291E" w:rsidRPr="00B32438" w:rsidRDefault="0096291E" w:rsidP="00060211">
            <w:pPr>
              <w:jc w:val="center"/>
              <w:rPr>
                <w:rFonts w:ascii="Arial" w:hAnsi="Arial" w:cs="Arial"/>
                <w:b/>
              </w:rPr>
            </w:pPr>
            <w:r w:rsidRPr="00B32438">
              <w:rPr>
                <w:rFonts w:ascii="Arial" w:hAnsi="Arial" w:cs="Arial"/>
                <w:b/>
              </w:rPr>
              <w:t>201</w:t>
            </w:r>
            <w:r>
              <w:rPr>
                <w:rFonts w:ascii="Arial" w:hAnsi="Arial" w:cs="Arial"/>
                <w:b/>
              </w:rPr>
              <w:t>7</w:t>
            </w:r>
          </w:p>
        </w:tc>
        <w:tc>
          <w:tcPr>
            <w:tcW w:w="1334" w:type="dxa"/>
            <w:tcBorders>
              <w:top w:val="double" w:sz="4" w:space="0" w:color="auto"/>
              <w:left w:val="single" w:sz="4" w:space="0" w:color="auto"/>
              <w:bottom w:val="single" w:sz="12" w:space="0" w:color="auto"/>
              <w:right w:val="single" w:sz="4" w:space="0" w:color="auto"/>
            </w:tcBorders>
            <w:shd w:val="clear" w:color="auto" w:fill="BFBFBF"/>
            <w:vAlign w:val="center"/>
            <w:hideMark/>
          </w:tcPr>
          <w:p w:rsidR="0096291E" w:rsidRPr="00B32438" w:rsidRDefault="0096291E" w:rsidP="00060211">
            <w:pPr>
              <w:jc w:val="center"/>
              <w:rPr>
                <w:rFonts w:ascii="Arial" w:hAnsi="Arial" w:cs="Arial"/>
                <w:b/>
              </w:rPr>
            </w:pPr>
            <w:r w:rsidRPr="00B32438">
              <w:rPr>
                <w:rFonts w:ascii="Arial" w:hAnsi="Arial" w:cs="Arial"/>
                <w:b/>
              </w:rPr>
              <w:t>201</w:t>
            </w:r>
            <w:r>
              <w:rPr>
                <w:rFonts w:ascii="Arial" w:hAnsi="Arial" w:cs="Arial"/>
                <w:b/>
              </w:rPr>
              <w:t>8</w:t>
            </w:r>
          </w:p>
        </w:tc>
        <w:tc>
          <w:tcPr>
            <w:tcW w:w="1334" w:type="dxa"/>
            <w:tcBorders>
              <w:top w:val="double" w:sz="4" w:space="0" w:color="auto"/>
              <w:left w:val="single" w:sz="4" w:space="0" w:color="auto"/>
              <w:bottom w:val="single" w:sz="12" w:space="0" w:color="auto"/>
              <w:right w:val="single" w:sz="4" w:space="0" w:color="auto"/>
            </w:tcBorders>
            <w:shd w:val="clear" w:color="auto" w:fill="BFBFBF"/>
            <w:vAlign w:val="center"/>
            <w:hideMark/>
          </w:tcPr>
          <w:p w:rsidR="0096291E" w:rsidRPr="00B32438" w:rsidRDefault="0096291E" w:rsidP="00060211">
            <w:pPr>
              <w:jc w:val="center"/>
              <w:rPr>
                <w:rFonts w:ascii="Arial" w:hAnsi="Arial" w:cs="Arial"/>
                <w:b/>
              </w:rPr>
            </w:pPr>
            <w:r w:rsidRPr="00B32438">
              <w:rPr>
                <w:rFonts w:ascii="Arial" w:hAnsi="Arial" w:cs="Arial"/>
                <w:b/>
              </w:rPr>
              <w:t>201</w:t>
            </w:r>
            <w:r>
              <w:rPr>
                <w:rFonts w:ascii="Arial" w:hAnsi="Arial" w:cs="Arial"/>
                <w:b/>
              </w:rPr>
              <w:t>9</w:t>
            </w:r>
            <w:r w:rsidRPr="00B32438">
              <w:rPr>
                <w:rFonts w:ascii="Arial" w:hAnsi="Arial" w:cs="Arial"/>
                <w:b/>
                <w:vertAlign w:val="superscript"/>
              </w:rPr>
              <w:t>*</w:t>
            </w:r>
          </w:p>
        </w:tc>
        <w:tc>
          <w:tcPr>
            <w:tcW w:w="1334" w:type="dxa"/>
            <w:tcBorders>
              <w:top w:val="double" w:sz="4" w:space="0" w:color="auto"/>
              <w:left w:val="single" w:sz="4" w:space="0" w:color="auto"/>
              <w:bottom w:val="single" w:sz="12" w:space="0" w:color="auto"/>
              <w:right w:val="double" w:sz="4" w:space="0" w:color="auto"/>
            </w:tcBorders>
            <w:shd w:val="clear" w:color="auto" w:fill="BFBFBF"/>
            <w:vAlign w:val="center"/>
          </w:tcPr>
          <w:p w:rsidR="0096291E" w:rsidRPr="00B32438" w:rsidRDefault="0096291E" w:rsidP="00060211">
            <w:pPr>
              <w:jc w:val="center"/>
              <w:rPr>
                <w:rFonts w:ascii="Arial" w:hAnsi="Arial" w:cs="Arial"/>
                <w:b/>
              </w:rPr>
            </w:pPr>
            <w:r w:rsidRPr="00B32438">
              <w:rPr>
                <w:rFonts w:ascii="Arial" w:hAnsi="Arial" w:cs="Arial"/>
                <w:b/>
              </w:rPr>
              <w:t>20</w:t>
            </w:r>
            <w:r>
              <w:rPr>
                <w:rFonts w:ascii="Arial" w:hAnsi="Arial" w:cs="Arial"/>
                <w:b/>
              </w:rPr>
              <w:t>20</w:t>
            </w:r>
            <w:r w:rsidRPr="00B32438">
              <w:rPr>
                <w:rFonts w:ascii="Arial" w:hAnsi="Arial" w:cs="Arial"/>
                <w:b/>
                <w:vertAlign w:val="superscript"/>
              </w:rPr>
              <w:t>*</w:t>
            </w:r>
          </w:p>
        </w:tc>
      </w:tr>
      <w:tr w:rsidR="0096291E" w:rsidRPr="00B32438" w:rsidTr="00060211">
        <w:trPr>
          <w:trHeight w:hRule="exact" w:val="1016"/>
          <w:jc w:val="center"/>
        </w:trPr>
        <w:tc>
          <w:tcPr>
            <w:tcW w:w="3794"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96291E" w:rsidRPr="00B32438" w:rsidRDefault="0096291E" w:rsidP="00060211">
            <w:pPr>
              <w:rPr>
                <w:rFonts w:ascii="Arial" w:hAnsi="Arial" w:cs="Arial"/>
                <w:b/>
              </w:rPr>
            </w:pPr>
            <w:r w:rsidRPr="00B32438">
              <w:rPr>
                <w:rFonts w:ascii="Arial" w:hAnsi="Arial" w:cs="Arial"/>
                <w:b/>
              </w:rPr>
              <w:t xml:space="preserve">HDP v s. </w:t>
            </w:r>
            <w:proofErr w:type="spellStart"/>
            <w:r w:rsidRPr="00B32438">
              <w:rPr>
                <w:rFonts w:ascii="Arial" w:hAnsi="Arial" w:cs="Arial"/>
                <w:b/>
              </w:rPr>
              <w:t>c</w:t>
            </w:r>
            <w:proofErr w:type="spellEnd"/>
            <w:r w:rsidRPr="00B32438">
              <w:rPr>
                <w:rFonts w:ascii="Arial" w:hAnsi="Arial" w:cs="Arial"/>
                <w:b/>
              </w:rPr>
              <w:t xml:space="preserve">. </w:t>
            </w:r>
          </w:p>
          <w:p w:rsidR="0096291E" w:rsidRDefault="0096291E" w:rsidP="00060211">
            <w:pPr>
              <w:rPr>
                <w:rFonts w:ascii="Arial" w:hAnsi="Arial" w:cs="Arial"/>
                <w:i/>
              </w:rPr>
            </w:pPr>
            <w:r w:rsidRPr="00B32438">
              <w:rPr>
                <w:rFonts w:ascii="Arial" w:hAnsi="Arial" w:cs="Arial"/>
                <w:i/>
              </w:rPr>
              <w:t xml:space="preserve"> - meziroční index</w:t>
            </w:r>
            <w:r w:rsidRPr="00B32438">
              <w:rPr>
                <w:rFonts w:ascii="Arial" w:hAnsi="Arial" w:cs="Arial"/>
                <w:b/>
                <w:i/>
              </w:rPr>
              <w:t xml:space="preserve"> </w:t>
            </w:r>
            <w:r w:rsidRPr="00B32438">
              <w:rPr>
                <w:rFonts w:ascii="Arial" w:hAnsi="Arial" w:cs="Arial"/>
                <w:i/>
              </w:rPr>
              <w:t>(v %)</w:t>
            </w:r>
            <w:r>
              <w:rPr>
                <w:rFonts w:ascii="Arial" w:hAnsi="Arial" w:cs="Arial"/>
                <w:i/>
              </w:rPr>
              <w:t xml:space="preserve">, sezónně </w:t>
            </w:r>
          </w:p>
          <w:p w:rsidR="0096291E" w:rsidRPr="00B32438" w:rsidRDefault="0096291E" w:rsidP="00060211">
            <w:pPr>
              <w:rPr>
                <w:rFonts w:ascii="Arial" w:hAnsi="Arial" w:cs="Arial"/>
              </w:rPr>
            </w:pPr>
            <w:r>
              <w:rPr>
                <w:rFonts w:ascii="Arial" w:hAnsi="Arial" w:cs="Arial"/>
                <w:i/>
              </w:rPr>
              <w:t xml:space="preserve">   neočištěno</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 xml:space="preserve">   10</w:t>
            </w:r>
            <w:r>
              <w:rPr>
                <w:rFonts w:ascii="Arial" w:hAnsi="Arial" w:cs="Arial"/>
                <w:i/>
              </w:rPr>
              <w:t>4</w:t>
            </w:r>
            <w:r w:rsidRPr="00B32438">
              <w:rPr>
                <w:rFonts w:ascii="Arial" w:hAnsi="Arial" w:cs="Arial"/>
                <w:i/>
              </w:rPr>
              <w:t>,</w:t>
            </w:r>
            <w:r>
              <w:rPr>
                <w:rFonts w:ascii="Arial" w:hAnsi="Arial" w:cs="Arial"/>
                <w:i/>
              </w:rPr>
              <w:t>4</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10</w:t>
            </w:r>
            <w:r>
              <w:rPr>
                <w:rFonts w:ascii="Arial" w:hAnsi="Arial" w:cs="Arial"/>
                <w:i/>
              </w:rPr>
              <w:t>3</w:t>
            </w:r>
            <w:r w:rsidRPr="00B32438">
              <w:rPr>
                <w:rFonts w:ascii="Arial" w:hAnsi="Arial" w:cs="Arial"/>
                <w:i/>
              </w:rPr>
              <w:t>,</w:t>
            </w:r>
            <w:r>
              <w:rPr>
                <w:rFonts w:ascii="Arial" w:hAnsi="Arial" w:cs="Arial"/>
                <w:i/>
              </w:rPr>
              <w:t>0</w:t>
            </w:r>
          </w:p>
        </w:tc>
        <w:tc>
          <w:tcPr>
            <w:tcW w:w="1334" w:type="dxa"/>
            <w:tcBorders>
              <w:top w:val="single" w:sz="12" w:space="0" w:color="auto"/>
              <w:left w:val="single" w:sz="4" w:space="0" w:color="auto"/>
              <w:bottom w:val="single" w:sz="4" w:space="0" w:color="auto"/>
              <w:right w:val="single" w:sz="4" w:space="0" w:color="auto"/>
            </w:tcBorders>
            <w:shd w:val="clear" w:color="auto" w:fill="auto"/>
            <w:vAlign w:val="center"/>
          </w:tcPr>
          <w:p w:rsidR="0096291E" w:rsidRPr="00B32438" w:rsidRDefault="0096291E" w:rsidP="00060211">
            <w:pPr>
              <w:jc w:val="right"/>
              <w:rPr>
                <w:rFonts w:ascii="Arial" w:hAnsi="Arial" w:cs="Arial"/>
                <w:i/>
              </w:rPr>
            </w:pPr>
            <w:r w:rsidRPr="00B32438">
              <w:rPr>
                <w:rFonts w:ascii="Arial" w:hAnsi="Arial" w:cs="Arial"/>
                <w:i/>
              </w:rPr>
              <w:t>102,</w:t>
            </w:r>
            <w:r>
              <w:rPr>
                <w:rFonts w:ascii="Arial" w:hAnsi="Arial" w:cs="Arial"/>
                <w:i/>
              </w:rPr>
              <w:t>6</w:t>
            </w:r>
          </w:p>
        </w:tc>
        <w:tc>
          <w:tcPr>
            <w:tcW w:w="1334" w:type="dxa"/>
            <w:tcBorders>
              <w:top w:val="single" w:sz="12" w:space="0" w:color="auto"/>
              <w:left w:val="single" w:sz="4" w:space="0" w:color="auto"/>
              <w:bottom w:val="single" w:sz="4" w:space="0" w:color="auto"/>
              <w:right w:val="double" w:sz="4" w:space="0" w:color="auto"/>
            </w:tcBorders>
            <w:shd w:val="clear" w:color="auto" w:fill="auto"/>
            <w:vAlign w:val="center"/>
          </w:tcPr>
          <w:p w:rsidR="0096291E" w:rsidRPr="00B32438" w:rsidRDefault="0096291E" w:rsidP="00060211">
            <w:pPr>
              <w:jc w:val="right"/>
              <w:rPr>
                <w:rFonts w:ascii="Arial" w:hAnsi="Arial" w:cs="Arial"/>
                <w:i/>
              </w:rPr>
            </w:pPr>
            <w:r w:rsidRPr="00B32438">
              <w:rPr>
                <w:rFonts w:ascii="Arial" w:hAnsi="Arial" w:cs="Arial"/>
                <w:i/>
              </w:rPr>
              <w:t>102,</w:t>
            </w:r>
            <w:r>
              <w:rPr>
                <w:rFonts w:ascii="Arial" w:hAnsi="Arial" w:cs="Arial"/>
                <w:i/>
              </w:rPr>
              <w:t>5</w:t>
            </w:r>
          </w:p>
        </w:tc>
      </w:tr>
      <w:tr w:rsidR="0096291E" w:rsidRPr="00B32438" w:rsidTr="00060211">
        <w:trPr>
          <w:trHeight w:hRule="exact" w:val="687"/>
          <w:jc w:val="center"/>
        </w:trPr>
        <w:tc>
          <w:tcPr>
            <w:tcW w:w="3794" w:type="dxa"/>
            <w:tcBorders>
              <w:top w:val="single" w:sz="4" w:space="0" w:color="auto"/>
              <w:left w:val="double" w:sz="4" w:space="0" w:color="auto"/>
              <w:bottom w:val="single" w:sz="4" w:space="0" w:color="auto"/>
              <w:right w:val="single" w:sz="4" w:space="0" w:color="auto"/>
            </w:tcBorders>
            <w:shd w:val="clear" w:color="auto" w:fill="BFBFBF"/>
            <w:vAlign w:val="center"/>
          </w:tcPr>
          <w:p w:rsidR="0096291E" w:rsidRPr="00B32438" w:rsidRDefault="0096291E" w:rsidP="00060211">
            <w:pPr>
              <w:rPr>
                <w:rFonts w:ascii="Arial" w:hAnsi="Arial" w:cs="Arial"/>
              </w:rPr>
            </w:pPr>
            <w:r w:rsidRPr="00B32438">
              <w:rPr>
                <w:rFonts w:ascii="Arial" w:hAnsi="Arial" w:cs="Arial"/>
                <w:b/>
              </w:rPr>
              <w:t>Zaměstnaní v NH</w:t>
            </w:r>
          </w:p>
          <w:p w:rsidR="0096291E" w:rsidRPr="00B32438" w:rsidRDefault="0096291E" w:rsidP="00060211">
            <w:pPr>
              <w:rPr>
                <w:rFonts w:ascii="Arial" w:hAnsi="Arial" w:cs="Arial"/>
                <w:b/>
              </w:rPr>
            </w:pPr>
            <w:r w:rsidRPr="00B32438">
              <w:rPr>
                <w:rFonts w:ascii="Arial" w:hAnsi="Arial" w:cs="Arial"/>
              </w:rPr>
              <w:t xml:space="preserve">   (v tis. osob)</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rPr>
            </w:pPr>
            <w:r w:rsidRPr="00B32438">
              <w:rPr>
                <w:rFonts w:ascii="Arial" w:hAnsi="Arial" w:cs="Arial"/>
              </w:rPr>
              <w:t>5 </w:t>
            </w:r>
            <w:r>
              <w:rPr>
                <w:rFonts w:ascii="Arial" w:hAnsi="Arial" w:cs="Arial"/>
              </w:rPr>
              <w:t>22</w:t>
            </w:r>
            <w:r w:rsidRPr="00B32438">
              <w:rPr>
                <w:rFonts w:ascii="Arial" w:hAnsi="Arial" w:cs="Arial"/>
              </w:rPr>
              <w:t>1,</w:t>
            </w:r>
            <w:r>
              <w:rPr>
                <w:rFonts w:ascii="Arial" w:hAnsi="Arial" w:cs="Arial"/>
              </w:rPr>
              <w:t>6</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rPr>
            </w:pPr>
            <w:r w:rsidRPr="00B32438">
              <w:rPr>
                <w:rFonts w:ascii="Arial" w:hAnsi="Arial" w:cs="Arial"/>
              </w:rPr>
              <w:t>5 </w:t>
            </w:r>
            <w:r>
              <w:rPr>
                <w:rFonts w:ascii="Arial" w:hAnsi="Arial" w:cs="Arial"/>
              </w:rPr>
              <w:t>293</w:t>
            </w:r>
            <w:r w:rsidRPr="00B32438">
              <w:rPr>
                <w:rFonts w:ascii="Arial" w:hAnsi="Arial" w:cs="Arial"/>
              </w:rPr>
              <w:t>,</w:t>
            </w:r>
            <w:r>
              <w:rPr>
                <w:rFonts w:ascii="Arial" w:hAnsi="Arial" w:cs="Arial"/>
              </w:rPr>
              <w:t>8</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96291E" w:rsidRPr="001C1749" w:rsidRDefault="0096291E" w:rsidP="00060211">
            <w:pPr>
              <w:jc w:val="right"/>
              <w:rPr>
                <w:rFonts w:ascii="Arial" w:hAnsi="Arial" w:cs="Arial"/>
              </w:rPr>
            </w:pPr>
            <w:r w:rsidRPr="001C1749">
              <w:rPr>
                <w:rFonts w:ascii="Arial" w:hAnsi="Arial" w:cs="Arial"/>
              </w:rPr>
              <w:t>5 320,3</w:t>
            </w:r>
          </w:p>
        </w:tc>
        <w:tc>
          <w:tcPr>
            <w:tcW w:w="1334" w:type="dxa"/>
            <w:tcBorders>
              <w:top w:val="single" w:sz="4" w:space="0" w:color="auto"/>
              <w:left w:val="single" w:sz="4" w:space="0" w:color="auto"/>
              <w:bottom w:val="single" w:sz="4" w:space="0" w:color="auto"/>
              <w:right w:val="double" w:sz="4" w:space="0" w:color="auto"/>
            </w:tcBorders>
            <w:shd w:val="clear" w:color="auto" w:fill="auto"/>
            <w:vAlign w:val="center"/>
          </w:tcPr>
          <w:p w:rsidR="0096291E" w:rsidRPr="001C1749" w:rsidRDefault="0096291E" w:rsidP="00060211">
            <w:pPr>
              <w:jc w:val="right"/>
              <w:rPr>
                <w:rFonts w:ascii="Arial" w:hAnsi="Arial" w:cs="Arial"/>
              </w:rPr>
            </w:pPr>
            <w:r w:rsidRPr="001C1749">
              <w:rPr>
                <w:rFonts w:ascii="Arial" w:hAnsi="Arial" w:cs="Arial"/>
              </w:rPr>
              <w:t>5 330,9</w:t>
            </w:r>
          </w:p>
        </w:tc>
      </w:tr>
      <w:tr w:rsidR="0096291E" w:rsidRPr="00B32438" w:rsidTr="00060211">
        <w:trPr>
          <w:trHeight w:hRule="exact" w:val="687"/>
          <w:jc w:val="center"/>
        </w:trPr>
        <w:tc>
          <w:tcPr>
            <w:tcW w:w="3794" w:type="dxa"/>
            <w:tcBorders>
              <w:top w:val="single" w:sz="4" w:space="0" w:color="auto"/>
              <w:left w:val="double" w:sz="4" w:space="0" w:color="auto"/>
              <w:bottom w:val="single" w:sz="4" w:space="0" w:color="auto"/>
              <w:right w:val="single" w:sz="4" w:space="0" w:color="auto"/>
            </w:tcBorders>
            <w:shd w:val="clear" w:color="auto" w:fill="BFBFBF"/>
            <w:vAlign w:val="center"/>
          </w:tcPr>
          <w:p w:rsidR="0096291E" w:rsidRPr="00B32438" w:rsidRDefault="0096291E" w:rsidP="00060211">
            <w:pPr>
              <w:rPr>
                <w:rFonts w:ascii="Arial" w:hAnsi="Arial" w:cs="Arial"/>
                <w:i/>
              </w:rPr>
            </w:pPr>
            <w:r w:rsidRPr="00B32438">
              <w:rPr>
                <w:rFonts w:ascii="Arial" w:hAnsi="Arial" w:cs="Arial"/>
                <w:i/>
              </w:rPr>
              <w:t xml:space="preserve"> - meziroční nárůst</w:t>
            </w:r>
          </w:p>
          <w:p w:rsidR="0096291E" w:rsidRPr="00B32438" w:rsidRDefault="0096291E" w:rsidP="00060211">
            <w:pPr>
              <w:rPr>
                <w:rFonts w:ascii="Arial" w:hAnsi="Arial" w:cs="Arial"/>
                <w:i/>
              </w:rPr>
            </w:pPr>
            <w:r w:rsidRPr="00B32438">
              <w:rPr>
                <w:rFonts w:ascii="Arial" w:hAnsi="Arial" w:cs="Arial"/>
                <w:i/>
              </w:rPr>
              <w:t xml:space="preserve">   (v tis. osob)</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 xml:space="preserve">  +</w:t>
            </w:r>
            <w:r>
              <w:rPr>
                <w:rFonts w:ascii="Arial" w:hAnsi="Arial" w:cs="Arial"/>
                <w:i/>
              </w:rPr>
              <w:t>83</w:t>
            </w:r>
            <w:r w:rsidRPr="00B32438">
              <w:rPr>
                <w:rFonts w:ascii="Arial" w:hAnsi="Arial" w:cs="Arial"/>
                <w:i/>
              </w:rPr>
              <w:t>,</w:t>
            </w:r>
            <w:r>
              <w:rPr>
                <w:rFonts w:ascii="Arial" w:hAnsi="Arial" w:cs="Arial"/>
                <w:i/>
              </w:rPr>
              <w:t>0</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w:t>
            </w:r>
            <w:r>
              <w:rPr>
                <w:rFonts w:ascii="Arial" w:hAnsi="Arial" w:cs="Arial"/>
                <w:i/>
              </w:rPr>
              <w:t>72</w:t>
            </w:r>
            <w:r w:rsidRPr="00B32438">
              <w:rPr>
                <w:rFonts w:ascii="Arial" w:hAnsi="Arial" w:cs="Arial"/>
                <w:i/>
              </w:rPr>
              <w:t>,</w:t>
            </w:r>
            <w:r>
              <w:rPr>
                <w:rFonts w:ascii="Arial" w:hAnsi="Arial" w:cs="Arial"/>
                <w:i/>
              </w:rPr>
              <w:t>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96291E" w:rsidRPr="001C1749" w:rsidRDefault="0096291E" w:rsidP="00060211">
            <w:pPr>
              <w:jc w:val="right"/>
              <w:rPr>
                <w:rFonts w:ascii="Arial" w:hAnsi="Arial" w:cs="Arial"/>
                <w:i/>
              </w:rPr>
            </w:pPr>
            <w:r w:rsidRPr="001C1749">
              <w:rPr>
                <w:rFonts w:ascii="Arial" w:hAnsi="Arial" w:cs="Arial"/>
                <w:i/>
              </w:rPr>
              <w:t>+26,5</w:t>
            </w:r>
          </w:p>
        </w:tc>
        <w:tc>
          <w:tcPr>
            <w:tcW w:w="1334" w:type="dxa"/>
            <w:tcBorders>
              <w:top w:val="single" w:sz="4" w:space="0" w:color="auto"/>
              <w:left w:val="single" w:sz="4" w:space="0" w:color="auto"/>
              <w:bottom w:val="single" w:sz="4" w:space="0" w:color="auto"/>
              <w:right w:val="double" w:sz="4" w:space="0" w:color="auto"/>
            </w:tcBorders>
            <w:shd w:val="clear" w:color="auto" w:fill="auto"/>
            <w:vAlign w:val="center"/>
          </w:tcPr>
          <w:p w:rsidR="0096291E" w:rsidRPr="001C1749" w:rsidRDefault="0096291E" w:rsidP="00060211">
            <w:pPr>
              <w:jc w:val="right"/>
              <w:rPr>
                <w:rFonts w:ascii="Arial" w:hAnsi="Arial" w:cs="Arial"/>
                <w:i/>
              </w:rPr>
            </w:pPr>
            <w:r w:rsidRPr="001C1749">
              <w:rPr>
                <w:rFonts w:ascii="Arial" w:hAnsi="Arial" w:cs="Arial"/>
                <w:i/>
              </w:rPr>
              <w:t>+10,6</w:t>
            </w:r>
          </w:p>
        </w:tc>
      </w:tr>
      <w:tr w:rsidR="0096291E" w:rsidRPr="00B32438" w:rsidTr="00060211">
        <w:trPr>
          <w:trHeight w:hRule="exact" w:val="687"/>
          <w:jc w:val="center"/>
        </w:trPr>
        <w:tc>
          <w:tcPr>
            <w:tcW w:w="3794" w:type="dxa"/>
            <w:tcBorders>
              <w:top w:val="single" w:sz="4" w:space="0" w:color="auto"/>
              <w:left w:val="double" w:sz="4" w:space="0" w:color="auto"/>
              <w:bottom w:val="single" w:sz="4" w:space="0" w:color="auto"/>
              <w:right w:val="single" w:sz="4" w:space="0" w:color="auto"/>
            </w:tcBorders>
            <w:shd w:val="clear" w:color="auto" w:fill="BFBFBF"/>
            <w:vAlign w:val="center"/>
          </w:tcPr>
          <w:p w:rsidR="0096291E" w:rsidRPr="00B32438" w:rsidRDefault="0096291E" w:rsidP="00060211">
            <w:pPr>
              <w:rPr>
                <w:rFonts w:ascii="Arial" w:hAnsi="Arial" w:cs="Arial"/>
                <w:b/>
                <w:i/>
              </w:rPr>
            </w:pPr>
            <w:r w:rsidRPr="00B32438">
              <w:rPr>
                <w:rFonts w:ascii="Arial" w:hAnsi="Arial" w:cs="Arial"/>
                <w:i/>
              </w:rPr>
              <w:t xml:space="preserve"> - meziroční index (v %)</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 xml:space="preserve"> 101,</w:t>
            </w:r>
            <w:r>
              <w:rPr>
                <w:rFonts w:ascii="Arial" w:hAnsi="Arial" w:cs="Arial"/>
                <w:i/>
              </w:rPr>
              <w:t>6</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101,</w:t>
            </w:r>
            <w:r>
              <w:rPr>
                <w:rFonts w:ascii="Arial" w:hAnsi="Arial" w:cs="Arial"/>
                <w:i/>
              </w:rPr>
              <w:t>4</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96291E" w:rsidRPr="001C1749" w:rsidRDefault="0096291E" w:rsidP="00060211">
            <w:pPr>
              <w:jc w:val="right"/>
              <w:rPr>
                <w:rFonts w:ascii="Arial" w:hAnsi="Arial" w:cs="Arial"/>
                <w:i/>
              </w:rPr>
            </w:pPr>
            <w:r w:rsidRPr="001C1749">
              <w:rPr>
                <w:rFonts w:ascii="Arial" w:hAnsi="Arial" w:cs="Arial"/>
                <w:i/>
              </w:rPr>
              <w:t>100,5</w:t>
            </w:r>
          </w:p>
        </w:tc>
        <w:tc>
          <w:tcPr>
            <w:tcW w:w="1334" w:type="dxa"/>
            <w:tcBorders>
              <w:top w:val="single" w:sz="4" w:space="0" w:color="auto"/>
              <w:left w:val="single" w:sz="4" w:space="0" w:color="auto"/>
              <w:bottom w:val="single" w:sz="4" w:space="0" w:color="auto"/>
              <w:right w:val="double" w:sz="4" w:space="0" w:color="auto"/>
            </w:tcBorders>
            <w:shd w:val="clear" w:color="auto" w:fill="auto"/>
            <w:vAlign w:val="center"/>
          </w:tcPr>
          <w:p w:rsidR="0096291E" w:rsidRPr="001C1749" w:rsidRDefault="0096291E" w:rsidP="00060211">
            <w:pPr>
              <w:jc w:val="right"/>
              <w:rPr>
                <w:rFonts w:ascii="Arial" w:hAnsi="Arial" w:cs="Arial"/>
                <w:i/>
              </w:rPr>
            </w:pPr>
            <w:r w:rsidRPr="001C1749">
              <w:rPr>
                <w:rFonts w:ascii="Arial" w:hAnsi="Arial" w:cs="Arial"/>
                <w:i/>
              </w:rPr>
              <w:t>100,2</w:t>
            </w:r>
          </w:p>
        </w:tc>
      </w:tr>
      <w:tr w:rsidR="0096291E" w:rsidRPr="00B32438" w:rsidTr="00060211">
        <w:trPr>
          <w:trHeight w:hRule="exact" w:val="687"/>
          <w:jc w:val="center"/>
        </w:trPr>
        <w:tc>
          <w:tcPr>
            <w:tcW w:w="3794" w:type="dxa"/>
            <w:tcBorders>
              <w:top w:val="single" w:sz="4" w:space="0" w:color="auto"/>
              <w:left w:val="double" w:sz="4" w:space="0" w:color="auto"/>
              <w:bottom w:val="single" w:sz="4" w:space="0" w:color="auto"/>
              <w:right w:val="single" w:sz="4" w:space="0" w:color="auto"/>
            </w:tcBorders>
            <w:shd w:val="clear" w:color="auto" w:fill="BFBFBF"/>
            <w:vAlign w:val="center"/>
          </w:tcPr>
          <w:p w:rsidR="0096291E" w:rsidRPr="00B32438" w:rsidRDefault="0096291E" w:rsidP="00060211">
            <w:pPr>
              <w:rPr>
                <w:rFonts w:ascii="Arial" w:hAnsi="Arial" w:cs="Arial"/>
                <w:b/>
              </w:rPr>
            </w:pPr>
            <w:r w:rsidRPr="00B32438">
              <w:rPr>
                <w:rFonts w:ascii="Arial" w:hAnsi="Arial" w:cs="Arial"/>
                <w:b/>
              </w:rPr>
              <w:t xml:space="preserve">Podíl nezaměstnaných osob - PNO </w:t>
            </w:r>
            <w:r w:rsidRPr="00B32438">
              <w:rPr>
                <w:rFonts w:ascii="Arial" w:hAnsi="Arial" w:cs="Arial"/>
              </w:rPr>
              <w:t>(v %)</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rPr>
            </w:pPr>
            <w:r>
              <w:rPr>
                <w:rFonts w:ascii="Arial" w:hAnsi="Arial" w:cs="Arial"/>
              </w:rPr>
              <w:t>4</w:t>
            </w:r>
            <w:r w:rsidRPr="00B32438">
              <w:rPr>
                <w:rFonts w:ascii="Arial" w:hAnsi="Arial" w:cs="Arial"/>
              </w:rPr>
              <w:t>,</w:t>
            </w:r>
            <w:r>
              <w:rPr>
                <w:rFonts w:ascii="Arial" w:hAnsi="Arial" w:cs="Arial"/>
              </w:rPr>
              <w:t>3</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rPr>
            </w:pPr>
            <w:r>
              <w:rPr>
                <w:rFonts w:ascii="Arial" w:hAnsi="Arial" w:cs="Arial"/>
              </w:rPr>
              <w:t>3</w:t>
            </w:r>
            <w:r w:rsidRPr="00B32438">
              <w:rPr>
                <w:rFonts w:ascii="Arial" w:hAnsi="Arial" w:cs="Arial"/>
              </w:rPr>
              <w:t>,</w:t>
            </w:r>
            <w:r>
              <w:rPr>
                <w:rFonts w:ascii="Arial" w:hAnsi="Arial" w:cs="Arial"/>
              </w:rPr>
              <w:t>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96291E" w:rsidRPr="001C1749" w:rsidRDefault="0096291E" w:rsidP="00060211">
            <w:pPr>
              <w:jc w:val="right"/>
              <w:rPr>
                <w:rFonts w:ascii="Arial" w:hAnsi="Arial" w:cs="Arial"/>
              </w:rPr>
            </w:pPr>
            <w:r w:rsidRPr="001C1749">
              <w:rPr>
                <w:rFonts w:ascii="Arial" w:hAnsi="Arial" w:cs="Arial"/>
              </w:rPr>
              <w:t>2,8</w:t>
            </w:r>
          </w:p>
        </w:tc>
        <w:tc>
          <w:tcPr>
            <w:tcW w:w="1334" w:type="dxa"/>
            <w:tcBorders>
              <w:top w:val="single" w:sz="4" w:space="0" w:color="auto"/>
              <w:left w:val="single" w:sz="4" w:space="0" w:color="auto"/>
              <w:bottom w:val="single" w:sz="4" w:space="0" w:color="auto"/>
              <w:right w:val="double" w:sz="4" w:space="0" w:color="auto"/>
            </w:tcBorders>
            <w:shd w:val="clear" w:color="auto" w:fill="auto"/>
            <w:vAlign w:val="center"/>
          </w:tcPr>
          <w:p w:rsidR="0096291E" w:rsidRPr="001C1749" w:rsidRDefault="0096291E" w:rsidP="00060211">
            <w:pPr>
              <w:jc w:val="right"/>
              <w:rPr>
                <w:rFonts w:ascii="Arial" w:hAnsi="Arial" w:cs="Arial"/>
              </w:rPr>
            </w:pPr>
            <w:r w:rsidRPr="001C1749">
              <w:rPr>
                <w:rFonts w:ascii="Arial" w:hAnsi="Arial" w:cs="Arial"/>
              </w:rPr>
              <w:t>3,0</w:t>
            </w:r>
          </w:p>
        </w:tc>
      </w:tr>
      <w:tr w:rsidR="0096291E" w:rsidRPr="00B32438" w:rsidTr="00060211">
        <w:trPr>
          <w:trHeight w:hRule="exact" w:val="687"/>
          <w:jc w:val="center"/>
        </w:trPr>
        <w:tc>
          <w:tcPr>
            <w:tcW w:w="3794" w:type="dxa"/>
            <w:tcBorders>
              <w:top w:val="single" w:sz="4" w:space="0" w:color="auto"/>
              <w:left w:val="double" w:sz="4" w:space="0" w:color="auto"/>
              <w:bottom w:val="single" w:sz="4" w:space="0" w:color="auto"/>
              <w:right w:val="single" w:sz="4" w:space="0" w:color="auto"/>
            </w:tcBorders>
            <w:shd w:val="clear" w:color="auto" w:fill="BFBFBF"/>
            <w:vAlign w:val="center"/>
          </w:tcPr>
          <w:p w:rsidR="0096291E" w:rsidRPr="00B32438" w:rsidRDefault="0096291E" w:rsidP="00060211">
            <w:pPr>
              <w:rPr>
                <w:rFonts w:ascii="Arial" w:hAnsi="Arial" w:cs="Arial"/>
                <w:i/>
              </w:rPr>
            </w:pPr>
            <w:r w:rsidRPr="00B32438">
              <w:rPr>
                <w:rFonts w:ascii="Arial" w:hAnsi="Arial" w:cs="Arial"/>
                <w:i/>
              </w:rPr>
              <w:t xml:space="preserve"> - meziroční růst/pokles PNO</w:t>
            </w:r>
          </w:p>
          <w:p w:rsidR="0096291E" w:rsidRPr="00B32438" w:rsidRDefault="0096291E" w:rsidP="00060211">
            <w:pPr>
              <w:rPr>
                <w:rFonts w:ascii="Arial" w:hAnsi="Arial" w:cs="Arial"/>
                <w:i/>
              </w:rPr>
            </w:pPr>
            <w:r w:rsidRPr="00B32438">
              <w:rPr>
                <w:rFonts w:ascii="Arial" w:hAnsi="Arial" w:cs="Arial"/>
                <w:i/>
              </w:rPr>
              <w:t xml:space="preserve">   (v procentních bodech)</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-1,</w:t>
            </w:r>
            <w:r>
              <w:rPr>
                <w:rFonts w:ascii="Arial" w:hAnsi="Arial" w:cs="Arial"/>
                <w:i/>
              </w:rPr>
              <w:t>3</w:t>
            </w:r>
          </w:p>
        </w:tc>
        <w:tc>
          <w:tcPr>
            <w:tcW w:w="1334" w:type="dxa"/>
            <w:tcBorders>
              <w:top w:val="single" w:sz="4" w:space="0" w:color="auto"/>
              <w:left w:val="single" w:sz="4" w:space="0" w:color="auto"/>
              <w:bottom w:val="single" w:sz="4" w:space="0" w:color="auto"/>
              <w:right w:val="single" w:sz="4" w:space="0" w:color="auto"/>
            </w:tcBorders>
            <w:vAlign w:val="center"/>
          </w:tcPr>
          <w:p w:rsidR="0096291E" w:rsidRPr="00B32438" w:rsidRDefault="0096291E" w:rsidP="00060211">
            <w:pPr>
              <w:jc w:val="right"/>
              <w:rPr>
                <w:rFonts w:ascii="Arial" w:hAnsi="Arial" w:cs="Arial"/>
                <w:i/>
              </w:rPr>
            </w:pPr>
            <w:r w:rsidRPr="00B32438">
              <w:rPr>
                <w:rFonts w:ascii="Arial" w:hAnsi="Arial" w:cs="Arial"/>
                <w:i/>
              </w:rPr>
              <w:t>-1,</w:t>
            </w:r>
            <w:r>
              <w:rPr>
                <w:rFonts w:ascii="Arial" w:hAnsi="Arial" w:cs="Arial"/>
                <w:i/>
              </w:rPr>
              <w:t>1</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96291E" w:rsidRPr="001C1749" w:rsidRDefault="0096291E" w:rsidP="00060211">
            <w:pPr>
              <w:jc w:val="right"/>
              <w:rPr>
                <w:rFonts w:ascii="Arial" w:hAnsi="Arial" w:cs="Arial"/>
                <w:i/>
              </w:rPr>
            </w:pPr>
            <w:r w:rsidRPr="001C1749">
              <w:rPr>
                <w:rFonts w:ascii="Arial" w:hAnsi="Arial" w:cs="Arial"/>
                <w:i/>
              </w:rPr>
              <w:t>-0,4</w:t>
            </w:r>
          </w:p>
        </w:tc>
        <w:tc>
          <w:tcPr>
            <w:tcW w:w="1334" w:type="dxa"/>
            <w:tcBorders>
              <w:top w:val="single" w:sz="4" w:space="0" w:color="auto"/>
              <w:left w:val="single" w:sz="4" w:space="0" w:color="auto"/>
              <w:bottom w:val="single" w:sz="4" w:space="0" w:color="auto"/>
              <w:right w:val="double" w:sz="4" w:space="0" w:color="auto"/>
            </w:tcBorders>
            <w:shd w:val="clear" w:color="auto" w:fill="auto"/>
            <w:vAlign w:val="center"/>
          </w:tcPr>
          <w:p w:rsidR="0096291E" w:rsidRPr="001C1749" w:rsidRDefault="0096291E" w:rsidP="00060211">
            <w:pPr>
              <w:jc w:val="right"/>
              <w:rPr>
                <w:rFonts w:ascii="Arial" w:hAnsi="Arial" w:cs="Arial"/>
                <w:i/>
              </w:rPr>
            </w:pPr>
            <w:r w:rsidRPr="001C1749">
              <w:rPr>
                <w:rFonts w:ascii="Arial" w:hAnsi="Arial" w:cs="Arial"/>
                <w:i/>
              </w:rPr>
              <w:t>0,2</w:t>
            </w:r>
          </w:p>
        </w:tc>
      </w:tr>
      <w:tr w:rsidR="0096291E" w:rsidRPr="00B32438" w:rsidTr="00060211">
        <w:trPr>
          <w:trHeight w:hRule="exact" w:val="998"/>
          <w:jc w:val="center"/>
        </w:trPr>
        <w:tc>
          <w:tcPr>
            <w:tcW w:w="3794" w:type="dxa"/>
            <w:tcBorders>
              <w:top w:val="single" w:sz="4" w:space="0" w:color="auto"/>
              <w:left w:val="double" w:sz="4" w:space="0" w:color="auto"/>
              <w:bottom w:val="double" w:sz="4" w:space="0" w:color="auto"/>
              <w:right w:val="single" w:sz="4" w:space="0" w:color="auto"/>
            </w:tcBorders>
            <w:shd w:val="clear" w:color="auto" w:fill="BFBFBF"/>
            <w:vAlign w:val="center"/>
          </w:tcPr>
          <w:p w:rsidR="0096291E" w:rsidRPr="00B32438" w:rsidRDefault="0096291E" w:rsidP="00060211">
            <w:pPr>
              <w:rPr>
                <w:rFonts w:ascii="Arial" w:hAnsi="Arial" w:cs="Arial"/>
                <w:b/>
              </w:rPr>
            </w:pPr>
            <w:r w:rsidRPr="00B32438">
              <w:rPr>
                <w:rFonts w:ascii="Arial" w:hAnsi="Arial" w:cs="Arial"/>
                <w:b/>
              </w:rPr>
              <w:t xml:space="preserve">Průměrná roční míra cenové inflace </w:t>
            </w:r>
          </w:p>
          <w:p w:rsidR="0096291E" w:rsidRPr="00B32438" w:rsidRDefault="0096291E" w:rsidP="00060211">
            <w:pPr>
              <w:rPr>
                <w:rFonts w:ascii="Arial" w:hAnsi="Arial" w:cs="Arial"/>
                <w:i/>
              </w:rPr>
            </w:pPr>
            <w:r w:rsidRPr="00B32438">
              <w:rPr>
                <w:rFonts w:ascii="Arial" w:hAnsi="Arial" w:cs="Arial"/>
                <w:i/>
              </w:rPr>
              <w:t xml:space="preserve"> - meziroční index (v %)</w:t>
            </w:r>
          </w:p>
        </w:tc>
        <w:tc>
          <w:tcPr>
            <w:tcW w:w="1334" w:type="dxa"/>
            <w:tcBorders>
              <w:top w:val="single" w:sz="4" w:space="0" w:color="auto"/>
              <w:left w:val="single" w:sz="4" w:space="0" w:color="auto"/>
              <w:bottom w:val="double" w:sz="4" w:space="0" w:color="auto"/>
              <w:right w:val="single" w:sz="4" w:space="0" w:color="auto"/>
            </w:tcBorders>
            <w:vAlign w:val="center"/>
          </w:tcPr>
          <w:p w:rsidR="0096291E" w:rsidRPr="00B32438" w:rsidRDefault="0096291E" w:rsidP="00060211">
            <w:pPr>
              <w:jc w:val="right"/>
              <w:rPr>
                <w:rFonts w:ascii="Arial" w:hAnsi="Arial" w:cs="Arial"/>
              </w:rPr>
            </w:pPr>
            <w:r w:rsidRPr="00B32438">
              <w:rPr>
                <w:rFonts w:ascii="Arial" w:hAnsi="Arial" w:cs="Arial"/>
              </w:rPr>
              <w:t>10</w:t>
            </w:r>
            <w:r>
              <w:rPr>
                <w:rFonts w:ascii="Arial" w:hAnsi="Arial" w:cs="Arial"/>
              </w:rPr>
              <w:t>2</w:t>
            </w:r>
            <w:r w:rsidRPr="00B32438">
              <w:rPr>
                <w:rFonts w:ascii="Arial" w:hAnsi="Arial" w:cs="Arial"/>
              </w:rPr>
              <w:t>,</w:t>
            </w:r>
            <w:r>
              <w:rPr>
                <w:rFonts w:ascii="Arial" w:hAnsi="Arial" w:cs="Arial"/>
              </w:rPr>
              <w:t>5</w:t>
            </w:r>
          </w:p>
        </w:tc>
        <w:tc>
          <w:tcPr>
            <w:tcW w:w="1334" w:type="dxa"/>
            <w:tcBorders>
              <w:top w:val="single" w:sz="4" w:space="0" w:color="auto"/>
              <w:left w:val="single" w:sz="4" w:space="0" w:color="auto"/>
              <w:bottom w:val="double" w:sz="4" w:space="0" w:color="auto"/>
              <w:right w:val="single" w:sz="4" w:space="0" w:color="auto"/>
            </w:tcBorders>
            <w:vAlign w:val="center"/>
          </w:tcPr>
          <w:p w:rsidR="0096291E" w:rsidRPr="00B32438" w:rsidRDefault="0096291E" w:rsidP="00060211">
            <w:pPr>
              <w:jc w:val="right"/>
              <w:rPr>
                <w:rFonts w:ascii="Arial" w:hAnsi="Arial" w:cs="Arial"/>
              </w:rPr>
            </w:pPr>
            <w:r w:rsidRPr="00B32438">
              <w:rPr>
                <w:rFonts w:ascii="Arial" w:hAnsi="Arial" w:cs="Arial"/>
              </w:rPr>
              <w:t>10</w:t>
            </w:r>
            <w:r>
              <w:rPr>
                <w:rFonts w:ascii="Arial" w:hAnsi="Arial" w:cs="Arial"/>
              </w:rPr>
              <w:t>2</w:t>
            </w:r>
            <w:r w:rsidRPr="00B32438">
              <w:rPr>
                <w:rFonts w:ascii="Arial" w:hAnsi="Arial" w:cs="Arial"/>
              </w:rPr>
              <w:t>,</w:t>
            </w:r>
            <w:r>
              <w:rPr>
                <w:rFonts w:ascii="Arial" w:hAnsi="Arial" w:cs="Arial"/>
              </w:rPr>
              <w:t>1</w:t>
            </w:r>
          </w:p>
        </w:tc>
        <w:tc>
          <w:tcPr>
            <w:tcW w:w="1334" w:type="dxa"/>
            <w:tcBorders>
              <w:top w:val="single" w:sz="4" w:space="0" w:color="auto"/>
              <w:left w:val="single" w:sz="4" w:space="0" w:color="auto"/>
              <w:bottom w:val="double" w:sz="4" w:space="0" w:color="auto"/>
              <w:right w:val="single" w:sz="4" w:space="0" w:color="auto"/>
            </w:tcBorders>
            <w:shd w:val="clear" w:color="auto" w:fill="auto"/>
            <w:vAlign w:val="center"/>
          </w:tcPr>
          <w:p w:rsidR="0096291E" w:rsidRPr="00B32438" w:rsidRDefault="0096291E" w:rsidP="00060211">
            <w:pPr>
              <w:jc w:val="right"/>
              <w:rPr>
                <w:rFonts w:ascii="Arial" w:hAnsi="Arial" w:cs="Arial"/>
              </w:rPr>
            </w:pPr>
            <w:r w:rsidRPr="00B32438">
              <w:rPr>
                <w:rFonts w:ascii="Arial" w:hAnsi="Arial" w:cs="Arial"/>
              </w:rPr>
              <w:t>102,</w:t>
            </w:r>
            <w:r>
              <w:rPr>
                <w:rFonts w:ascii="Arial" w:hAnsi="Arial" w:cs="Arial"/>
              </w:rPr>
              <w:t>7</w:t>
            </w:r>
          </w:p>
        </w:tc>
        <w:tc>
          <w:tcPr>
            <w:tcW w:w="1334" w:type="dxa"/>
            <w:tcBorders>
              <w:top w:val="single" w:sz="4" w:space="0" w:color="auto"/>
              <w:left w:val="single" w:sz="4" w:space="0" w:color="auto"/>
              <w:bottom w:val="double" w:sz="4" w:space="0" w:color="auto"/>
              <w:right w:val="double" w:sz="4" w:space="0" w:color="auto"/>
            </w:tcBorders>
            <w:shd w:val="clear" w:color="auto" w:fill="auto"/>
            <w:vAlign w:val="center"/>
          </w:tcPr>
          <w:p w:rsidR="0096291E" w:rsidRPr="00B32438" w:rsidRDefault="0096291E" w:rsidP="00060211">
            <w:pPr>
              <w:jc w:val="right"/>
              <w:rPr>
                <w:rFonts w:ascii="Arial" w:hAnsi="Arial" w:cs="Arial"/>
              </w:rPr>
            </w:pPr>
            <w:r w:rsidRPr="00B32438">
              <w:rPr>
                <w:rFonts w:ascii="Arial" w:hAnsi="Arial" w:cs="Arial"/>
              </w:rPr>
              <w:t>102,</w:t>
            </w:r>
            <w:r>
              <w:rPr>
                <w:rFonts w:ascii="Arial" w:hAnsi="Arial" w:cs="Arial"/>
              </w:rPr>
              <w:t>1</w:t>
            </w:r>
          </w:p>
        </w:tc>
      </w:tr>
    </w:tbl>
    <w:p w:rsidR="0096291E" w:rsidRPr="0096291E" w:rsidRDefault="0096291E" w:rsidP="0096291E">
      <w:pPr>
        <w:spacing w:before="60" w:after="240" w:line="360" w:lineRule="auto"/>
      </w:pPr>
      <w:r w:rsidRPr="0096291E">
        <w:t>Zdroj: ČSÚ, MPSV; * odhad MPSV</w:t>
      </w:r>
    </w:p>
    <w:p w:rsidR="008D59A3" w:rsidRPr="008D59A3" w:rsidRDefault="008D59A3" w:rsidP="008D59A3">
      <w:pPr>
        <w:spacing w:line="360" w:lineRule="auto"/>
        <w:ind w:firstLine="426"/>
      </w:pPr>
      <w:r w:rsidRPr="008D59A3">
        <w:t>Podrobný přehled o vývoji hlavních makroekonomických veličin (HDP, zaměstnanosti, podílu nezaměstnaných osob, míry inflace a průměrné mzdy</w:t>
      </w:r>
      <w:r w:rsidR="00D061DA">
        <w:t>) v ČR od roku 2010 je uveden v </w:t>
      </w:r>
      <w:r w:rsidRPr="008D59A3">
        <w:t>Závěrečné zprávě RIA.</w:t>
      </w:r>
    </w:p>
    <w:p w:rsidR="008D59A3" w:rsidRPr="008D59A3" w:rsidRDefault="008D59A3" w:rsidP="008D59A3">
      <w:pPr>
        <w:spacing w:line="360" w:lineRule="auto"/>
        <w:ind w:firstLine="426"/>
      </w:pPr>
      <w:r w:rsidRPr="008D59A3">
        <w:t>Průměrná hrubá měsíční nominální mzda na přepočtené počty zaměstnanců v národním hospodářství dosáhla v roce 2018 výše 31 868 Kč, což představovalo meziroční nominální nárůst o 7,5 %. Na nominální dynamiku růstu průměrné mzdy působila vysoká poptávka po pracovní síle, zejména její nedostatek v řadě průmyslových oborů a profesí, a zostřená mzdová konkurence mezi zaměstnavateli. Pro letošní i příští rok počítá prognóza MPSV s nárůstem průměrné mzdy v národním hospodářství o cca 7,3 %, resp. o 5,5 %. Výše průměrné měsíční nominální mzdy (na přepočtené počty zaměstnanců v NH), její meziroční nárůst a prognóza jejího vývoje pro roky 2019 a 2020 je uvedena v následující tabulce:</w:t>
      </w:r>
    </w:p>
    <w:tbl>
      <w:tblPr>
        <w:tblW w:w="91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686"/>
        <w:gridCol w:w="1361"/>
        <w:gridCol w:w="1361"/>
        <w:gridCol w:w="1361"/>
        <w:gridCol w:w="1361"/>
      </w:tblGrid>
      <w:tr w:rsidR="00F81C4D" w:rsidRPr="00B32438" w:rsidTr="00F81C4D">
        <w:trPr>
          <w:trHeight w:hRule="exact" w:val="454"/>
          <w:jc w:val="center"/>
        </w:trPr>
        <w:tc>
          <w:tcPr>
            <w:tcW w:w="3686" w:type="dxa"/>
            <w:tcBorders>
              <w:top w:val="double" w:sz="4" w:space="0" w:color="auto"/>
              <w:left w:val="double" w:sz="4" w:space="0" w:color="auto"/>
              <w:bottom w:val="single" w:sz="12" w:space="0" w:color="auto"/>
              <w:right w:val="single" w:sz="4" w:space="0" w:color="auto"/>
            </w:tcBorders>
            <w:shd w:val="clear" w:color="auto" w:fill="BFBFBF"/>
            <w:vAlign w:val="center"/>
            <w:hideMark/>
          </w:tcPr>
          <w:p w:rsidR="00F81C4D" w:rsidRPr="00B32438" w:rsidRDefault="00F81C4D" w:rsidP="00060211">
            <w:pPr>
              <w:rPr>
                <w:rFonts w:ascii="Arial" w:hAnsi="Arial" w:cs="Arial"/>
                <w:b/>
              </w:rPr>
            </w:pPr>
            <w:r w:rsidRPr="00B32438">
              <w:rPr>
                <w:rFonts w:ascii="Arial" w:hAnsi="Arial" w:cs="Arial"/>
                <w:b/>
              </w:rPr>
              <w:t>Rok</w:t>
            </w:r>
          </w:p>
        </w:tc>
        <w:tc>
          <w:tcPr>
            <w:tcW w:w="1361" w:type="dxa"/>
            <w:tcBorders>
              <w:top w:val="double" w:sz="4" w:space="0" w:color="auto"/>
              <w:left w:val="single" w:sz="4" w:space="0" w:color="auto"/>
              <w:bottom w:val="single" w:sz="12" w:space="0" w:color="auto"/>
              <w:right w:val="single" w:sz="4" w:space="0" w:color="auto"/>
            </w:tcBorders>
            <w:shd w:val="clear" w:color="auto" w:fill="BFBFBF"/>
            <w:vAlign w:val="center"/>
            <w:hideMark/>
          </w:tcPr>
          <w:p w:rsidR="00F81C4D" w:rsidRPr="00B32438" w:rsidRDefault="00F81C4D" w:rsidP="00060211">
            <w:pPr>
              <w:jc w:val="center"/>
              <w:rPr>
                <w:rFonts w:ascii="Arial" w:hAnsi="Arial" w:cs="Arial"/>
                <w:b/>
              </w:rPr>
            </w:pPr>
            <w:r w:rsidRPr="00B32438">
              <w:rPr>
                <w:rFonts w:ascii="Arial" w:hAnsi="Arial" w:cs="Arial"/>
                <w:b/>
              </w:rPr>
              <w:t>201</w:t>
            </w:r>
            <w:r>
              <w:rPr>
                <w:rFonts w:ascii="Arial" w:hAnsi="Arial" w:cs="Arial"/>
                <w:b/>
              </w:rPr>
              <w:t>7</w:t>
            </w:r>
          </w:p>
        </w:tc>
        <w:tc>
          <w:tcPr>
            <w:tcW w:w="1361" w:type="dxa"/>
            <w:tcBorders>
              <w:top w:val="double" w:sz="4" w:space="0" w:color="auto"/>
              <w:left w:val="single" w:sz="4" w:space="0" w:color="auto"/>
              <w:bottom w:val="single" w:sz="12" w:space="0" w:color="auto"/>
              <w:right w:val="single" w:sz="4" w:space="0" w:color="auto"/>
            </w:tcBorders>
            <w:shd w:val="clear" w:color="auto" w:fill="BFBFBF"/>
            <w:vAlign w:val="center"/>
            <w:hideMark/>
          </w:tcPr>
          <w:p w:rsidR="00F81C4D" w:rsidRPr="00B32438" w:rsidRDefault="00F81C4D" w:rsidP="00060211">
            <w:pPr>
              <w:jc w:val="center"/>
              <w:rPr>
                <w:rFonts w:ascii="Arial" w:hAnsi="Arial" w:cs="Arial"/>
                <w:b/>
              </w:rPr>
            </w:pPr>
            <w:r w:rsidRPr="00B32438">
              <w:rPr>
                <w:rFonts w:ascii="Arial" w:hAnsi="Arial" w:cs="Arial"/>
                <w:b/>
              </w:rPr>
              <w:t>201</w:t>
            </w:r>
            <w:r>
              <w:rPr>
                <w:rFonts w:ascii="Arial" w:hAnsi="Arial" w:cs="Arial"/>
                <w:b/>
              </w:rPr>
              <w:t>8</w:t>
            </w:r>
          </w:p>
        </w:tc>
        <w:tc>
          <w:tcPr>
            <w:tcW w:w="1361" w:type="dxa"/>
            <w:tcBorders>
              <w:top w:val="double" w:sz="4" w:space="0" w:color="auto"/>
              <w:left w:val="single" w:sz="4" w:space="0" w:color="auto"/>
              <w:bottom w:val="single" w:sz="12" w:space="0" w:color="auto"/>
              <w:right w:val="single" w:sz="4" w:space="0" w:color="auto"/>
            </w:tcBorders>
            <w:shd w:val="clear" w:color="auto" w:fill="BFBFBF"/>
            <w:vAlign w:val="center"/>
            <w:hideMark/>
          </w:tcPr>
          <w:p w:rsidR="00F81C4D" w:rsidRPr="00B32438" w:rsidRDefault="00F81C4D" w:rsidP="00060211">
            <w:pPr>
              <w:jc w:val="center"/>
              <w:rPr>
                <w:rFonts w:ascii="Arial" w:hAnsi="Arial" w:cs="Arial"/>
                <w:b/>
              </w:rPr>
            </w:pPr>
            <w:r w:rsidRPr="00B32438">
              <w:rPr>
                <w:rFonts w:ascii="Arial" w:hAnsi="Arial" w:cs="Arial"/>
                <w:b/>
              </w:rPr>
              <w:t>201</w:t>
            </w:r>
            <w:r>
              <w:rPr>
                <w:rFonts w:ascii="Arial" w:hAnsi="Arial" w:cs="Arial"/>
                <w:b/>
              </w:rPr>
              <w:t>9</w:t>
            </w:r>
            <w:r w:rsidRPr="00B32438">
              <w:rPr>
                <w:rFonts w:ascii="Arial" w:hAnsi="Arial" w:cs="Arial"/>
                <w:b/>
                <w:vertAlign w:val="superscript"/>
              </w:rPr>
              <w:t>*</w:t>
            </w:r>
          </w:p>
        </w:tc>
        <w:tc>
          <w:tcPr>
            <w:tcW w:w="1361" w:type="dxa"/>
            <w:tcBorders>
              <w:top w:val="double" w:sz="4" w:space="0" w:color="auto"/>
              <w:left w:val="single" w:sz="4" w:space="0" w:color="auto"/>
              <w:bottom w:val="single" w:sz="12" w:space="0" w:color="auto"/>
              <w:right w:val="double" w:sz="4" w:space="0" w:color="auto"/>
            </w:tcBorders>
            <w:shd w:val="clear" w:color="auto" w:fill="BFBFBF"/>
            <w:vAlign w:val="center"/>
            <w:hideMark/>
          </w:tcPr>
          <w:p w:rsidR="00F81C4D" w:rsidRPr="00B32438" w:rsidRDefault="00F81C4D" w:rsidP="00060211">
            <w:pPr>
              <w:jc w:val="center"/>
              <w:rPr>
                <w:rFonts w:ascii="Arial" w:hAnsi="Arial" w:cs="Arial"/>
                <w:b/>
              </w:rPr>
            </w:pPr>
            <w:r w:rsidRPr="00B32438">
              <w:rPr>
                <w:rFonts w:ascii="Arial" w:hAnsi="Arial" w:cs="Arial"/>
                <w:b/>
              </w:rPr>
              <w:t>20</w:t>
            </w:r>
            <w:r>
              <w:rPr>
                <w:rFonts w:ascii="Arial" w:hAnsi="Arial" w:cs="Arial"/>
                <w:b/>
              </w:rPr>
              <w:t>20</w:t>
            </w:r>
            <w:r w:rsidRPr="00B32438">
              <w:rPr>
                <w:rFonts w:ascii="Arial" w:hAnsi="Arial" w:cs="Arial"/>
                <w:b/>
                <w:vertAlign w:val="superscript"/>
              </w:rPr>
              <w:t>*</w:t>
            </w:r>
          </w:p>
        </w:tc>
      </w:tr>
      <w:tr w:rsidR="00F81C4D" w:rsidRPr="00B32438" w:rsidTr="00F81C4D">
        <w:trPr>
          <w:trHeight w:hRule="exact" w:val="680"/>
          <w:jc w:val="center"/>
        </w:trPr>
        <w:tc>
          <w:tcPr>
            <w:tcW w:w="3686"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F81C4D" w:rsidRPr="00B32438" w:rsidRDefault="00F81C4D" w:rsidP="00060211">
            <w:pPr>
              <w:rPr>
                <w:rFonts w:ascii="Arial" w:hAnsi="Arial" w:cs="Arial"/>
                <w:b/>
              </w:rPr>
            </w:pPr>
            <w:r w:rsidRPr="00B32438">
              <w:rPr>
                <w:rFonts w:ascii="Arial" w:hAnsi="Arial" w:cs="Arial"/>
                <w:b/>
              </w:rPr>
              <w:t xml:space="preserve">Průměrná měsíční nominální mzda v NH </w:t>
            </w:r>
            <w:r w:rsidRPr="00B32438">
              <w:rPr>
                <w:rFonts w:ascii="Arial" w:hAnsi="Arial" w:cs="Arial"/>
              </w:rPr>
              <w:t>(v Kč/měsíc)</w:t>
            </w:r>
          </w:p>
        </w:tc>
        <w:tc>
          <w:tcPr>
            <w:tcW w:w="1361" w:type="dxa"/>
            <w:tcBorders>
              <w:top w:val="single" w:sz="4" w:space="0" w:color="auto"/>
              <w:left w:val="single" w:sz="4" w:space="0" w:color="auto"/>
              <w:bottom w:val="single" w:sz="4" w:space="0" w:color="auto"/>
              <w:right w:val="single" w:sz="4" w:space="0" w:color="auto"/>
            </w:tcBorders>
            <w:vAlign w:val="center"/>
            <w:hideMark/>
          </w:tcPr>
          <w:p w:rsidR="00F81C4D" w:rsidRPr="00B32438" w:rsidRDefault="00F81C4D" w:rsidP="00060211">
            <w:pPr>
              <w:jc w:val="center"/>
              <w:rPr>
                <w:rFonts w:ascii="Arial" w:hAnsi="Arial" w:cs="Arial"/>
              </w:rPr>
            </w:pPr>
            <w:r w:rsidRPr="00B32438">
              <w:rPr>
                <w:rFonts w:ascii="Arial" w:hAnsi="Arial" w:cs="Arial"/>
              </w:rPr>
              <w:t>2</w:t>
            </w:r>
            <w:r>
              <w:rPr>
                <w:rFonts w:ascii="Arial" w:hAnsi="Arial" w:cs="Arial"/>
              </w:rPr>
              <w:t>9</w:t>
            </w:r>
            <w:r w:rsidRPr="00B32438">
              <w:rPr>
                <w:rFonts w:ascii="Arial" w:hAnsi="Arial" w:cs="Arial"/>
              </w:rPr>
              <w:t xml:space="preserve"> </w:t>
            </w:r>
            <w:r>
              <w:rPr>
                <w:rFonts w:ascii="Arial" w:hAnsi="Arial" w:cs="Arial"/>
              </w:rPr>
              <w:t>638</w:t>
            </w:r>
          </w:p>
        </w:tc>
        <w:tc>
          <w:tcPr>
            <w:tcW w:w="1361" w:type="dxa"/>
            <w:tcBorders>
              <w:top w:val="single" w:sz="4" w:space="0" w:color="auto"/>
              <w:left w:val="single" w:sz="4" w:space="0" w:color="auto"/>
              <w:bottom w:val="single" w:sz="4" w:space="0" w:color="auto"/>
              <w:right w:val="single" w:sz="4" w:space="0" w:color="auto"/>
            </w:tcBorders>
            <w:vAlign w:val="center"/>
            <w:hideMark/>
          </w:tcPr>
          <w:p w:rsidR="00F81C4D" w:rsidRPr="00B32438" w:rsidRDefault="00F81C4D" w:rsidP="00060211">
            <w:pPr>
              <w:jc w:val="center"/>
              <w:rPr>
                <w:rFonts w:ascii="Arial" w:hAnsi="Arial" w:cs="Arial"/>
              </w:rPr>
            </w:pPr>
            <w:r>
              <w:rPr>
                <w:rFonts w:ascii="Arial" w:hAnsi="Arial" w:cs="Arial"/>
              </w:rPr>
              <w:t>31</w:t>
            </w:r>
            <w:r w:rsidRPr="00B32438">
              <w:rPr>
                <w:rFonts w:ascii="Arial" w:hAnsi="Arial" w:cs="Arial"/>
              </w:rPr>
              <w:t xml:space="preserve"> </w:t>
            </w:r>
            <w:r>
              <w:rPr>
                <w:rFonts w:ascii="Arial" w:hAnsi="Arial" w:cs="Arial"/>
              </w:rPr>
              <w:t>868</w:t>
            </w:r>
          </w:p>
        </w:tc>
        <w:tc>
          <w:tcPr>
            <w:tcW w:w="136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F81C4D" w:rsidRPr="00B32438" w:rsidRDefault="00F81C4D" w:rsidP="00060211">
            <w:pPr>
              <w:jc w:val="center"/>
              <w:rPr>
                <w:rFonts w:ascii="Arial" w:hAnsi="Arial" w:cs="Arial"/>
              </w:rPr>
            </w:pPr>
            <w:r>
              <w:rPr>
                <w:rFonts w:ascii="Arial" w:hAnsi="Arial" w:cs="Arial"/>
              </w:rPr>
              <w:t>34</w:t>
            </w:r>
            <w:r w:rsidRPr="00B32438">
              <w:rPr>
                <w:rFonts w:ascii="Arial" w:hAnsi="Arial" w:cs="Arial"/>
              </w:rPr>
              <w:t xml:space="preserve"> </w:t>
            </w:r>
            <w:r>
              <w:rPr>
                <w:rFonts w:ascii="Arial" w:hAnsi="Arial" w:cs="Arial"/>
              </w:rPr>
              <w:t>19</w:t>
            </w:r>
            <w:r w:rsidRPr="00B32438">
              <w:rPr>
                <w:rFonts w:ascii="Arial" w:hAnsi="Arial" w:cs="Arial"/>
              </w:rPr>
              <w:t>0</w:t>
            </w:r>
          </w:p>
        </w:tc>
        <w:tc>
          <w:tcPr>
            <w:tcW w:w="1361" w:type="dxa"/>
            <w:tcBorders>
              <w:top w:val="single" w:sz="12" w:space="0" w:color="auto"/>
              <w:left w:val="single" w:sz="4" w:space="0" w:color="auto"/>
              <w:bottom w:val="single" w:sz="4" w:space="0" w:color="auto"/>
              <w:right w:val="double" w:sz="4" w:space="0" w:color="auto"/>
            </w:tcBorders>
            <w:shd w:val="clear" w:color="auto" w:fill="auto"/>
            <w:vAlign w:val="center"/>
            <w:hideMark/>
          </w:tcPr>
          <w:p w:rsidR="00F81C4D" w:rsidRPr="00B32438" w:rsidRDefault="00F81C4D" w:rsidP="00060211">
            <w:pPr>
              <w:jc w:val="center"/>
              <w:rPr>
                <w:rFonts w:ascii="Arial" w:hAnsi="Arial" w:cs="Arial"/>
              </w:rPr>
            </w:pPr>
            <w:r w:rsidRPr="00B32438">
              <w:rPr>
                <w:rFonts w:ascii="Arial" w:hAnsi="Arial" w:cs="Arial"/>
              </w:rPr>
              <w:t>3</w:t>
            </w:r>
            <w:r>
              <w:rPr>
                <w:rFonts w:ascii="Arial" w:hAnsi="Arial" w:cs="Arial"/>
              </w:rPr>
              <w:t>6</w:t>
            </w:r>
            <w:r w:rsidRPr="00B32438">
              <w:rPr>
                <w:rFonts w:ascii="Arial" w:hAnsi="Arial" w:cs="Arial"/>
              </w:rPr>
              <w:t xml:space="preserve"> 0</w:t>
            </w:r>
            <w:r>
              <w:rPr>
                <w:rFonts w:ascii="Arial" w:hAnsi="Arial" w:cs="Arial"/>
              </w:rPr>
              <w:t>70</w:t>
            </w:r>
          </w:p>
        </w:tc>
      </w:tr>
      <w:tr w:rsidR="00F81C4D" w:rsidRPr="00B32438" w:rsidTr="00F81C4D">
        <w:trPr>
          <w:trHeight w:hRule="exact" w:val="454"/>
          <w:jc w:val="center"/>
        </w:trPr>
        <w:tc>
          <w:tcPr>
            <w:tcW w:w="3686"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F81C4D" w:rsidRPr="00B32438" w:rsidRDefault="00F81C4D" w:rsidP="00060211">
            <w:pPr>
              <w:rPr>
                <w:rFonts w:ascii="Arial" w:hAnsi="Arial" w:cs="Arial"/>
                <w:i/>
              </w:rPr>
            </w:pPr>
            <w:r w:rsidRPr="00B32438">
              <w:rPr>
                <w:rFonts w:ascii="Arial" w:hAnsi="Arial" w:cs="Arial"/>
                <w:i/>
              </w:rPr>
              <w:t xml:space="preserve"> - index nominální mzdy (v %)</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6</w:t>
            </w:r>
            <w:r w:rsidRPr="00B32438">
              <w:rPr>
                <w:rFonts w:ascii="Arial" w:hAnsi="Arial" w:cs="Arial"/>
                <w:i/>
              </w:rPr>
              <w:t>,</w:t>
            </w:r>
            <w:r>
              <w:rPr>
                <w:rFonts w:ascii="Arial" w:hAnsi="Arial" w:cs="Arial"/>
                <w:i/>
              </w:rPr>
              <w:t>8</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7</w:t>
            </w:r>
            <w:r w:rsidRPr="00B32438">
              <w:rPr>
                <w:rFonts w:ascii="Arial" w:hAnsi="Arial" w:cs="Arial"/>
                <w:i/>
              </w:rPr>
              <w:t>,</w:t>
            </w:r>
            <w:r>
              <w:rPr>
                <w:rFonts w:ascii="Arial" w:hAnsi="Arial" w:cs="Arial"/>
                <w:i/>
              </w:rPr>
              <w:t>5</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7</w:t>
            </w:r>
            <w:r w:rsidRPr="00B32438">
              <w:rPr>
                <w:rFonts w:ascii="Arial" w:hAnsi="Arial" w:cs="Arial"/>
                <w:i/>
              </w:rPr>
              <w:t>,</w:t>
            </w:r>
            <w:r>
              <w:rPr>
                <w:rFonts w:ascii="Arial" w:hAnsi="Arial" w:cs="Arial"/>
                <w:i/>
              </w:rPr>
              <w:t>3</w:t>
            </w:r>
          </w:p>
        </w:tc>
        <w:tc>
          <w:tcPr>
            <w:tcW w:w="1361"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5</w:t>
            </w:r>
            <w:r w:rsidRPr="00B32438">
              <w:rPr>
                <w:rFonts w:ascii="Arial" w:hAnsi="Arial" w:cs="Arial"/>
                <w:i/>
              </w:rPr>
              <w:t>,5</w:t>
            </w:r>
          </w:p>
        </w:tc>
      </w:tr>
      <w:tr w:rsidR="00F81C4D" w:rsidRPr="00B32438" w:rsidTr="00F81C4D">
        <w:trPr>
          <w:trHeight w:hRule="exact" w:val="454"/>
          <w:jc w:val="center"/>
        </w:trPr>
        <w:tc>
          <w:tcPr>
            <w:tcW w:w="3686" w:type="dxa"/>
            <w:tcBorders>
              <w:top w:val="single" w:sz="4" w:space="0" w:color="auto"/>
              <w:left w:val="double" w:sz="4" w:space="0" w:color="auto"/>
              <w:bottom w:val="double" w:sz="4" w:space="0" w:color="auto"/>
              <w:right w:val="single" w:sz="4" w:space="0" w:color="auto"/>
            </w:tcBorders>
            <w:shd w:val="clear" w:color="auto" w:fill="BFBFBF"/>
            <w:vAlign w:val="center"/>
            <w:hideMark/>
          </w:tcPr>
          <w:p w:rsidR="00F81C4D" w:rsidRPr="00B32438" w:rsidRDefault="00F81C4D" w:rsidP="00060211">
            <w:pPr>
              <w:rPr>
                <w:rFonts w:ascii="Arial" w:hAnsi="Arial" w:cs="Arial"/>
                <w:i/>
              </w:rPr>
            </w:pPr>
            <w:r w:rsidRPr="00B32438">
              <w:rPr>
                <w:rFonts w:ascii="Arial" w:hAnsi="Arial" w:cs="Arial"/>
                <w:i/>
              </w:rPr>
              <w:lastRenderedPageBreak/>
              <w:t xml:space="preserve"> - index reálné mzdy (v %)</w:t>
            </w:r>
          </w:p>
        </w:tc>
        <w:tc>
          <w:tcPr>
            <w:tcW w:w="1361" w:type="dxa"/>
            <w:tcBorders>
              <w:top w:val="single" w:sz="4" w:space="0" w:color="auto"/>
              <w:left w:val="single" w:sz="4" w:space="0" w:color="auto"/>
              <w:bottom w:val="double" w:sz="4" w:space="0" w:color="auto"/>
              <w:right w:val="single" w:sz="4" w:space="0" w:color="auto"/>
            </w:tcBorders>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4</w:t>
            </w:r>
            <w:r w:rsidRPr="00B32438">
              <w:rPr>
                <w:rFonts w:ascii="Arial" w:hAnsi="Arial" w:cs="Arial"/>
                <w:i/>
              </w:rPr>
              <w:t>,</w:t>
            </w:r>
            <w:r>
              <w:rPr>
                <w:rFonts w:ascii="Arial" w:hAnsi="Arial" w:cs="Arial"/>
                <w:i/>
              </w:rPr>
              <w:t>2</w:t>
            </w:r>
          </w:p>
        </w:tc>
        <w:tc>
          <w:tcPr>
            <w:tcW w:w="1361" w:type="dxa"/>
            <w:tcBorders>
              <w:top w:val="single" w:sz="4" w:space="0" w:color="auto"/>
              <w:left w:val="single" w:sz="4" w:space="0" w:color="auto"/>
              <w:bottom w:val="double" w:sz="4" w:space="0" w:color="auto"/>
              <w:right w:val="single" w:sz="4" w:space="0" w:color="auto"/>
            </w:tcBorders>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5</w:t>
            </w:r>
            <w:r w:rsidRPr="00B32438">
              <w:rPr>
                <w:rFonts w:ascii="Arial" w:hAnsi="Arial" w:cs="Arial"/>
                <w:i/>
              </w:rPr>
              <w:t>,</w:t>
            </w:r>
            <w:r>
              <w:rPr>
                <w:rFonts w:ascii="Arial" w:hAnsi="Arial" w:cs="Arial"/>
                <w:i/>
              </w:rPr>
              <w:t>3</w:t>
            </w:r>
          </w:p>
        </w:tc>
        <w:tc>
          <w:tcPr>
            <w:tcW w:w="136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4</w:t>
            </w:r>
            <w:r w:rsidRPr="00B32438">
              <w:rPr>
                <w:rFonts w:ascii="Arial" w:hAnsi="Arial" w:cs="Arial"/>
                <w:i/>
              </w:rPr>
              <w:t>,</w:t>
            </w:r>
            <w:r>
              <w:rPr>
                <w:rFonts w:ascii="Arial" w:hAnsi="Arial" w:cs="Arial"/>
                <w:i/>
              </w:rPr>
              <w:t>5</w:t>
            </w:r>
          </w:p>
        </w:tc>
        <w:tc>
          <w:tcPr>
            <w:tcW w:w="1361"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F81C4D" w:rsidRPr="00B32438" w:rsidRDefault="00F81C4D" w:rsidP="00060211">
            <w:pPr>
              <w:jc w:val="center"/>
              <w:rPr>
                <w:rFonts w:ascii="Arial" w:hAnsi="Arial" w:cs="Arial"/>
                <w:i/>
              </w:rPr>
            </w:pPr>
            <w:r w:rsidRPr="00B32438">
              <w:rPr>
                <w:rFonts w:ascii="Arial" w:hAnsi="Arial" w:cs="Arial"/>
                <w:i/>
              </w:rPr>
              <w:t>10</w:t>
            </w:r>
            <w:r>
              <w:rPr>
                <w:rFonts w:ascii="Arial" w:hAnsi="Arial" w:cs="Arial"/>
                <w:i/>
              </w:rPr>
              <w:t>3</w:t>
            </w:r>
            <w:r w:rsidRPr="00B32438">
              <w:rPr>
                <w:rFonts w:ascii="Arial" w:hAnsi="Arial" w:cs="Arial"/>
                <w:i/>
              </w:rPr>
              <w:t>,</w:t>
            </w:r>
            <w:r>
              <w:rPr>
                <w:rFonts w:ascii="Arial" w:hAnsi="Arial" w:cs="Arial"/>
                <w:i/>
              </w:rPr>
              <w:t>3</w:t>
            </w:r>
          </w:p>
        </w:tc>
      </w:tr>
    </w:tbl>
    <w:p w:rsidR="008D59A3" w:rsidRPr="008D59A3" w:rsidRDefault="008D59A3" w:rsidP="00F81C4D">
      <w:pPr>
        <w:spacing w:line="360" w:lineRule="auto"/>
      </w:pPr>
      <w:r w:rsidRPr="008D59A3">
        <w:t>Zdroj: ČSÚ; * odhad MPSV</w:t>
      </w:r>
    </w:p>
    <w:p w:rsidR="008D59A3" w:rsidRPr="008D59A3" w:rsidRDefault="008D59A3" w:rsidP="008D59A3">
      <w:pPr>
        <w:spacing w:line="360" w:lineRule="auto"/>
        <w:ind w:firstLine="426"/>
      </w:pPr>
      <w:r w:rsidRPr="008D59A3">
        <w:t>Podobný vývoj průměrné mzdy v letech 2019 a 2020 jako MPSV očekávají Ministerstvo financí a Česká národní banka. Ministerstvo financí prognózuje růst průměrné mzdy o 7,1 % v roce 2019, resp. o 5,7 % v roce 2020 (viz Makroekonomická predikce MF z července 2019). Česká národní banka odhaduje růst průměrné mzdy o 7,1 % v roce 2019, resp. o 5,5 % v roce 2020 (viz Zpráva o inflaci III/2019 z července 2019).</w:t>
      </w:r>
    </w:p>
    <w:p w:rsidR="008D59A3" w:rsidRPr="008D59A3" w:rsidRDefault="008D59A3" w:rsidP="008D59A3">
      <w:pPr>
        <w:spacing w:line="360" w:lineRule="auto"/>
        <w:ind w:firstLine="426"/>
      </w:pPr>
      <w:r w:rsidRPr="008D59A3">
        <w:t xml:space="preserve">Další posílení kupní síly zaměstnanců by se mohlo ještě více pozitivně projevit ve výdajích na konečnou spotřebu domácností, a to prostřednictvím </w:t>
      </w:r>
      <w:r w:rsidR="004A65A9">
        <w:t>zvýšené poptávky po výrobcích a </w:t>
      </w:r>
      <w:r w:rsidRPr="008D59A3">
        <w:t>službách jednotlivých firem a podniků a jejich odbytu. Nárůst minimální mzdy přispěje jak k pokrytí vyššího podílu životních nákladů na zabezpečen</w:t>
      </w:r>
      <w:r w:rsidR="004A65A9">
        <w:t>í základních životních potřeb z </w:t>
      </w:r>
      <w:r w:rsidRPr="008D59A3">
        <w:t>vlastních pracovních příjmů zaměstnanců, tak i ke zvýšení motivace k zaměstnání.</w:t>
      </w:r>
    </w:p>
    <w:p w:rsidR="004A65A9" w:rsidRPr="008D59A3" w:rsidRDefault="004A65A9" w:rsidP="004A65A9">
      <w:pPr>
        <w:spacing w:line="360" w:lineRule="auto"/>
        <w:ind w:firstLine="426"/>
      </w:pPr>
      <w:r w:rsidRPr="00C3524B">
        <w:t>Úprava minimální mzdy by mohla přispět k omezení výplat mezd „na černo“, které jsou některými zaměstnavateli vypláceny vedle minimální mzdy, a ke zvýšení zájmu o práci domácích zaměstnanců na pracovních místech, kde jsou nyní často zaměstnáváni cizinci.</w:t>
      </w:r>
    </w:p>
    <w:p w:rsidR="008D59A3" w:rsidRPr="008D59A3" w:rsidRDefault="008D59A3" w:rsidP="008D59A3">
      <w:pPr>
        <w:spacing w:line="360" w:lineRule="auto"/>
        <w:ind w:firstLine="426"/>
      </w:pPr>
      <w:r w:rsidRPr="008D59A3">
        <w:t>Sociální partneři podporují nárůst minimální mzdy, nedospěli však dosud ke shodě o úrovni zvýšení minimální mzdy od 1. ledna 2020.</w:t>
      </w:r>
    </w:p>
    <w:p w:rsidR="00235FE9" w:rsidRPr="003B5F91" w:rsidRDefault="00235FE9" w:rsidP="00B335CF">
      <w:pPr>
        <w:ind w:firstLine="426"/>
        <w:rPr>
          <w:sz w:val="20"/>
          <w:highlight w:val="green"/>
        </w:rPr>
      </w:pPr>
    </w:p>
    <w:p w:rsidR="00515118" w:rsidRPr="00B335CF" w:rsidRDefault="00515118" w:rsidP="00B335CF">
      <w:pPr>
        <w:rPr>
          <w:b/>
          <w:sz w:val="20"/>
        </w:rPr>
      </w:pPr>
    </w:p>
    <w:p w:rsidR="00235FE9" w:rsidRDefault="00707BCD" w:rsidP="00235FE9">
      <w:pPr>
        <w:spacing w:line="360" w:lineRule="auto"/>
        <w:rPr>
          <w:b/>
        </w:rPr>
      </w:pPr>
      <w:r w:rsidRPr="00672011">
        <w:rPr>
          <w:b/>
        </w:rPr>
        <w:t>E</w:t>
      </w:r>
      <w:r w:rsidR="00463A3D" w:rsidRPr="00672011">
        <w:rPr>
          <w:b/>
        </w:rPr>
        <w:t>. P</w:t>
      </w:r>
      <w:r w:rsidR="00672011" w:rsidRPr="00672011">
        <w:rPr>
          <w:b/>
        </w:rPr>
        <w:t>ředpokládaný hospodářský a finanční dopad navrhované právní úpravy na státní</w:t>
      </w:r>
      <w:r w:rsidR="00672011">
        <w:rPr>
          <w:b/>
        </w:rPr>
        <w:t xml:space="preserve"> </w:t>
      </w:r>
      <w:r w:rsidR="00672011" w:rsidRPr="00672011">
        <w:rPr>
          <w:b/>
        </w:rPr>
        <w:t>rozpočet, ostatní veřejné rozpočty</w:t>
      </w:r>
      <w:r w:rsidR="00D22064">
        <w:rPr>
          <w:b/>
        </w:rPr>
        <w:t xml:space="preserve"> a</w:t>
      </w:r>
      <w:r w:rsidR="00672011" w:rsidRPr="00672011">
        <w:rPr>
          <w:b/>
        </w:rPr>
        <w:t xml:space="preserve"> na podnikatelské prostředí České republiky;</w:t>
      </w:r>
      <w:r w:rsidR="002F291D">
        <w:rPr>
          <w:b/>
        </w:rPr>
        <w:t xml:space="preserve"> </w:t>
      </w:r>
      <w:r w:rsidR="00672011" w:rsidRPr="00672011">
        <w:rPr>
          <w:b/>
        </w:rPr>
        <w:t>sociální dopady</w:t>
      </w:r>
      <w:r w:rsidR="00D22064">
        <w:rPr>
          <w:b/>
        </w:rPr>
        <w:t xml:space="preserve"> a</w:t>
      </w:r>
      <w:r w:rsidR="000643DD">
        <w:rPr>
          <w:b/>
        </w:rPr>
        <w:t xml:space="preserve"> dopady</w:t>
      </w:r>
      <w:r w:rsidR="00672011" w:rsidRPr="00672011">
        <w:rPr>
          <w:b/>
        </w:rPr>
        <w:t xml:space="preserve"> </w:t>
      </w:r>
      <w:r w:rsidR="00D22064">
        <w:rPr>
          <w:b/>
        </w:rPr>
        <w:t xml:space="preserve">na životní prostředí </w:t>
      </w:r>
    </w:p>
    <w:p w:rsidR="00685FB3" w:rsidRPr="00B335CF" w:rsidRDefault="00685FB3" w:rsidP="00B335CF">
      <w:pPr>
        <w:rPr>
          <w:sz w:val="20"/>
          <w:u w:val="single"/>
        </w:rPr>
      </w:pPr>
    </w:p>
    <w:p w:rsidR="003B5F91" w:rsidRPr="00BD30E2" w:rsidRDefault="003B5F91" w:rsidP="003B5F91">
      <w:pPr>
        <w:spacing w:line="360" w:lineRule="auto"/>
        <w:rPr>
          <w:u w:val="single"/>
        </w:rPr>
      </w:pPr>
      <w:r w:rsidRPr="00BD30E2">
        <w:rPr>
          <w:u w:val="single"/>
        </w:rPr>
        <w:t>1. Současný stav</w:t>
      </w:r>
    </w:p>
    <w:p w:rsidR="003B5F91" w:rsidRPr="00C74E21" w:rsidRDefault="003B5F91" w:rsidP="003B5F91">
      <w:pPr>
        <w:spacing w:before="120" w:line="360" w:lineRule="auto"/>
      </w:pPr>
      <w:r w:rsidRPr="00C74E21">
        <w:t>Pro stanovenou týdenní pracovní dobu 40 hodin činí v současné době:</w:t>
      </w:r>
    </w:p>
    <w:p w:rsidR="003B5F91" w:rsidRPr="00C74E21" w:rsidRDefault="003B5F91" w:rsidP="003B5F91">
      <w:pPr>
        <w:numPr>
          <w:ilvl w:val="0"/>
          <w:numId w:val="23"/>
        </w:numPr>
        <w:spacing w:line="360" w:lineRule="auto"/>
      </w:pPr>
      <w:r w:rsidRPr="00C74E21">
        <w:t xml:space="preserve">základní sazba minimální měsíční mzdy </w:t>
      </w:r>
      <w:r>
        <w:rPr>
          <w:b/>
        </w:rPr>
        <w:t>13 350</w:t>
      </w:r>
      <w:r w:rsidRPr="00C74E21">
        <w:rPr>
          <w:b/>
        </w:rPr>
        <w:t xml:space="preserve"> Kč</w:t>
      </w:r>
      <w:r w:rsidRPr="00C74E21">
        <w:t>,</w:t>
      </w:r>
    </w:p>
    <w:p w:rsidR="003B5F91" w:rsidRPr="00C74E21" w:rsidRDefault="003B5F91" w:rsidP="003B5F91">
      <w:pPr>
        <w:numPr>
          <w:ilvl w:val="0"/>
          <w:numId w:val="23"/>
        </w:numPr>
        <w:spacing w:line="360" w:lineRule="auto"/>
      </w:pPr>
      <w:r w:rsidRPr="00C74E21">
        <w:t xml:space="preserve">základní sazba minimální hodinové mzdy </w:t>
      </w:r>
      <w:r>
        <w:rPr>
          <w:b/>
        </w:rPr>
        <w:t>79,80</w:t>
      </w:r>
      <w:r w:rsidRPr="00FF25C5">
        <w:rPr>
          <w:b/>
        </w:rPr>
        <w:t xml:space="preserve"> </w:t>
      </w:r>
      <w:r w:rsidRPr="00C74E21">
        <w:rPr>
          <w:b/>
        </w:rPr>
        <w:t>Kč</w:t>
      </w:r>
      <w:r w:rsidRPr="00C74E21">
        <w:t>,</w:t>
      </w:r>
    </w:p>
    <w:p w:rsidR="003B5F91" w:rsidRPr="00C74E21" w:rsidRDefault="003B5F91" w:rsidP="003B5F91">
      <w:pPr>
        <w:numPr>
          <w:ilvl w:val="0"/>
          <w:numId w:val="23"/>
        </w:numPr>
        <w:spacing w:line="360" w:lineRule="auto"/>
      </w:pPr>
      <w:r w:rsidRPr="00C74E21">
        <w:t>nejnižší úrovně zaručené mzdy pro jednotlivé skupiny prací</w:t>
      </w:r>
    </w:p>
    <w:p w:rsidR="003B5F91" w:rsidRPr="00C74E21" w:rsidRDefault="003B5F91" w:rsidP="003B5F91">
      <w:pPr>
        <w:ind w:left="851"/>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1"/>
        <w:gridCol w:w="2552"/>
      </w:tblGrid>
      <w:tr w:rsidR="003B5F91" w:rsidRPr="00C74E21" w:rsidTr="00060211">
        <w:trPr>
          <w:jc w:val="center"/>
        </w:trPr>
        <w:tc>
          <w:tcPr>
            <w:tcW w:w="2376" w:type="dxa"/>
            <w:vMerge w:val="restart"/>
            <w:tcBorders>
              <w:top w:val="single" w:sz="12" w:space="0" w:color="auto"/>
              <w:left w:val="single" w:sz="12" w:space="0" w:color="auto"/>
            </w:tcBorders>
            <w:shd w:val="clear" w:color="auto" w:fill="D9D9D9"/>
            <w:vAlign w:val="center"/>
          </w:tcPr>
          <w:p w:rsidR="003B5F91" w:rsidRPr="00C74E21" w:rsidRDefault="003B5F91" w:rsidP="00060211">
            <w:pPr>
              <w:jc w:val="center"/>
              <w:rPr>
                <w:b/>
              </w:rPr>
            </w:pPr>
            <w:r w:rsidRPr="00C74E21">
              <w:rPr>
                <w:b/>
              </w:rPr>
              <w:t>Skupina prací</w:t>
            </w:r>
          </w:p>
        </w:tc>
        <w:tc>
          <w:tcPr>
            <w:tcW w:w="5103" w:type="dxa"/>
            <w:gridSpan w:val="2"/>
            <w:tcBorders>
              <w:top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Nejnižší úroveň zaručené mzdy</w:t>
            </w:r>
          </w:p>
        </w:tc>
      </w:tr>
      <w:tr w:rsidR="003B5F91" w:rsidRPr="00C74E21" w:rsidTr="00060211">
        <w:trPr>
          <w:jc w:val="center"/>
        </w:trPr>
        <w:tc>
          <w:tcPr>
            <w:tcW w:w="2376" w:type="dxa"/>
            <w:vMerge/>
            <w:tcBorders>
              <w:left w:val="single" w:sz="12" w:space="0" w:color="auto"/>
              <w:bottom w:val="single" w:sz="12" w:space="0" w:color="auto"/>
            </w:tcBorders>
            <w:shd w:val="clear" w:color="auto" w:fill="D9D9D9"/>
            <w:vAlign w:val="center"/>
          </w:tcPr>
          <w:p w:rsidR="003B5F91" w:rsidRPr="00C74E21" w:rsidRDefault="003B5F91" w:rsidP="00060211">
            <w:pPr>
              <w:jc w:val="center"/>
              <w:rPr>
                <w:b/>
              </w:rPr>
            </w:pPr>
          </w:p>
        </w:tc>
        <w:tc>
          <w:tcPr>
            <w:tcW w:w="2551" w:type="dxa"/>
            <w:tcBorders>
              <w:bottom w:val="single" w:sz="12" w:space="0" w:color="auto"/>
            </w:tcBorders>
            <w:shd w:val="clear" w:color="auto" w:fill="D9D9D9"/>
            <w:vAlign w:val="center"/>
          </w:tcPr>
          <w:p w:rsidR="003B5F91" w:rsidRPr="00C74E21" w:rsidRDefault="003B5F91" w:rsidP="00060211">
            <w:pPr>
              <w:jc w:val="center"/>
              <w:rPr>
                <w:b/>
              </w:rPr>
            </w:pPr>
            <w:r w:rsidRPr="00C74E21">
              <w:rPr>
                <w:b/>
              </w:rPr>
              <w:t>v Kč za hodinu</w:t>
            </w:r>
          </w:p>
        </w:tc>
        <w:tc>
          <w:tcPr>
            <w:tcW w:w="2552" w:type="dxa"/>
            <w:tcBorders>
              <w:bottom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v Kč za měsíc</w:t>
            </w:r>
          </w:p>
        </w:tc>
      </w:tr>
      <w:tr w:rsidR="003B5F91" w:rsidRPr="00C74E21" w:rsidTr="00060211">
        <w:trPr>
          <w:jc w:val="center"/>
        </w:trPr>
        <w:tc>
          <w:tcPr>
            <w:tcW w:w="2376" w:type="dxa"/>
            <w:tcBorders>
              <w:top w:val="single" w:sz="12" w:space="0" w:color="auto"/>
              <w:left w:val="single" w:sz="12" w:space="0" w:color="auto"/>
            </w:tcBorders>
            <w:shd w:val="clear" w:color="auto" w:fill="auto"/>
            <w:vAlign w:val="center"/>
          </w:tcPr>
          <w:p w:rsidR="003B5F91" w:rsidRPr="00C74E21" w:rsidRDefault="003B5F91" w:rsidP="00060211">
            <w:pPr>
              <w:jc w:val="center"/>
            </w:pPr>
            <w:r w:rsidRPr="00C74E21">
              <w:t>1.</w:t>
            </w:r>
          </w:p>
        </w:tc>
        <w:tc>
          <w:tcPr>
            <w:tcW w:w="2551" w:type="dxa"/>
            <w:tcBorders>
              <w:top w:val="single" w:sz="12" w:space="0" w:color="auto"/>
            </w:tcBorders>
            <w:shd w:val="clear" w:color="auto" w:fill="auto"/>
            <w:vAlign w:val="bottom"/>
          </w:tcPr>
          <w:p w:rsidR="003B5F91" w:rsidRPr="00C74E21" w:rsidRDefault="003B5F91" w:rsidP="00060211">
            <w:pPr>
              <w:jc w:val="center"/>
              <w:rPr>
                <w:bCs/>
                <w:szCs w:val="20"/>
              </w:rPr>
            </w:pPr>
            <w:r>
              <w:rPr>
                <w:bCs/>
                <w:szCs w:val="20"/>
              </w:rPr>
              <w:t>79,80</w:t>
            </w:r>
          </w:p>
        </w:tc>
        <w:tc>
          <w:tcPr>
            <w:tcW w:w="2552" w:type="dxa"/>
            <w:tcBorders>
              <w:top w:val="single" w:sz="12" w:space="0" w:color="auto"/>
              <w:right w:val="single" w:sz="12" w:space="0" w:color="auto"/>
            </w:tcBorders>
            <w:shd w:val="clear" w:color="auto" w:fill="auto"/>
            <w:vAlign w:val="bottom"/>
          </w:tcPr>
          <w:p w:rsidR="003B5F91" w:rsidRPr="00C74E21" w:rsidRDefault="003B5F91" w:rsidP="00060211">
            <w:pPr>
              <w:jc w:val="center"/>
              <w:rPr>
                <w:bCs/>
                <w:szCs w:val="20"/>
              </w:rPr>
            </w:pPr>
            <w:r>
              <w:rPr>
                <w:bCs/>
                <w:szCs w:val="20"/>
              </w:rPr>
              <w:t>13 350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2.</w:t>
            </w:r>
          </w:p>
        </w:tc>
        <w:tc>
          <w:tcPr>
            <w:tcW w:w="2551" w:type="dxa"/>
            <w:shd w:val="clear" w:color="auto" w:fill="auto"/>
            <w:vAlign w:val="bottom"/>
          </w:tcPr>
          <w:p w:rsidR="003B5F91" w:rsidRPr="00C74E21" w:rsidRDefault="003B5F91" w:rsidP="00060211">
            <w:pPr>
              <w:jc w:val="center"/>
              <w:rPr>
                <w:bCs/>
                <w:szCs w:val="20"/>
              </w:rPr>
            </w:pPr>
            <w:r>
              <w:rPr>
                <w:bCs/>
                <w:szCs w:val="20"/>
              </w:rPr>
              <w:t>88,10</w:t>
            </w:r>
          </w:p>
        </w:tc>
        <w:tc>
          <w:tcPr>
            <w:tcW w:w="2552" w:type="dxa"/>
            <w:tcBorders>
              <w:right w:val="single" w:sz="12" w:space="0" w:color="auto"/>
            </w:tcBorders>
            <w:shd w:val="clear" w:color="auto" w:fill="auto"/>
            <w:vAlign w:val="bottom"/>
          </w:tcPr>
          <w:p w:rsidR="003B5F91" w:rsidRPr="00C74E21" w:rsidRDefault="003B5F91" w:rsidP="00060211">
            <w:pPr>
              <w:jc w:val="center"/>
              <w:rPr>
                <w:bCs/>
                <w:szCs w:val="20"/>
              </w:rPr>
            </w:pPr>
            <w:r>
              <w:rPr>
                <w:bCs/>
                <w:szCs w:val="20"/>
              </w:rPr>
              <w:t>14 740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3.</w:t>
            </w:r>
          </w:p>
        </w:tc>
        <w:tc>
          <w:tcPr>
            <w:tcW w:w="2551" w:type="dxa"/>
            <w:shd w:val="clear" w:color="auto" w:fill="auto"/>
            <w:vAlign w:val="bottom"/>
          </w:tcPr>
          <w:p w:rsidR="003B5F91" w:rsidRPr="00C74E21" w:rsidRDefault="003B5F91" w:rsidP="00060211">
            <w:pPr>
              <w:jc w:val="center"/>
              <w:rPr>
                <w:bCs/>
                <w:szCs w:val="20"/>
              </w:rPr>
            </w:pPr>
            <w:r>
              <w:rPr>
                <w:bCs/>
                <w:szCs w:val="20"/>
              </w:rPr>
              <w:t>97,30</w:t>
            </w:r>
          </w:p>
        </w:tc>
        <w:tc>
          <w:tcPr>
            <w:tcW w:w="2552" w:type="dxa"/>
            <w:tcBorders>
              <w:right w:val="single" w:sz="12" w:space="0" w:color="auto"/>
            </w:tcBorders>
            <w:shd w:val="clear" w:color="auto" w:fill="auto"/>
            <w:vAlign w:val="bottom"/>
          </w:tcPr>
          <w:p w:rsidR="003B5F91" w:rsidRPr="00C74E21" w:rsidRDefault="003B5F91" w:rsidP="00060211">
            <w:pPr>
              <w:jc w:val="center"/>
              <w:rPr>
                <w:bCs/>
                <w:szCs w:val="20"/>
              </w:rPr>
            </w:pPr>
            <w:r>
              <w:rPr>
                <w:bCs/>
                <w:szCs w:val="20"/>
              </w:rPr>
              <w:t>16 280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4.</w:t>
            </w:r>
          </w:p>
        </w:tc>
        <w:tc>
          <w:tcPr>
            <w:tcW w:w="2551" w:type="dxa"/>
            <w:shd w:val="clear" w:color="auto" w:fill="auto"/>
            <w:vAlign w:val="bottom"/>
          </w:tcPr>
          <w:p w:rsidR="003B5F91" w:rsidRPr="00C74E21" w:rsidRDefault="003B5F91" w:rsidP="00060211">
            <w:pPr>
              <w:jc w:val="center"/>
              <w:rPr>
                <w:bCs/>
                <w:szCs w:val="20"/>
              </w:rPr>
            </w:pPr>
            <w:r>
              <w:rPr>
                <w:bCs/>
                <w:szCs w:val="20"/>
              </w:rPr>
              <w:t>107,40</w:t>
            </w:r>
          </w:p>
        </w:tc>
        <w:tc>
          <w:tcPr>
            <w:tcW w:w="2552" w:type="dxa"/>
            <w:tcBorders>
              <w:right w:val="single" w:sz="12" w:space="0" w:color="auto"/>
            </w:tcBorders>
            <w:shd w:val="clear" w:color="auto" w:fill="auto"/>
            <w:vAlign w:val="bottom"/>
          </w:tcPr>
          <w:p w:rsidR="003B5F91" w:rsidRPr="00C74E21" w:rsidRDefault="003B5F91" w:rsidP="00060211">
            <w:pPr>
              <w:jc w:val="center"/>
              <w:rPr>
                <w:bCs/>
                <w:szCs w:val="20"/>
              </w:rPr>
            </w:pPr>
            <w:r>
              <w:rPr>
                <w:bCs/>
                <w:szCs w:val="20"/>
              </w:rPr>
              <w:t>17 970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5.</w:t>
            </w:r>
          </w:p>
        </w:tc>
        <w:tc>
          <w:tcPr>
            <w:tcW w:w="2551" w:type="dxa"/>
            <w:shd w:val="clear" w:color="auto" w:fill="auto"/>
            <w:vAlign w:val="bottom"/>
          </w:tcPr>
          <w:p w:rsidR="003B5F91" w:rsidRPr="00C74E21" w:rsidRDefault="003B5F91" w:rsidP="00060211">
            <w:pPr>
              <w:jc w:val="center"/>
              <w:rPr>
                <w:bCs/>
                <w:szCs w:val="20"/>
              </w:rPr>
            </w:pPr>
            <w:r>
              <w:rPr>
                <w:bCs/>
                <w:szCs w:val="20"/>
              </w:rPr>
              <w:t>118,60</w:t>
            </w:r>
          </w:p>
        </w:tc>
        <w:tc>
          <w:tcPr>
            <w:tcW w:w="2552" w:type="dxa"/>
            <w:tcBorders>
              <w:right w:val="single" w:sz="12" w:space="0" w:color="auto"/>
            </w:tcBorders>
            <w:shd w:val="clear" w:color="auto" w:fill="auto"/>
            <w:vAlign w:val="bottom"/>
          </w:tcPr>
          <w:p w:rsidR="003B5F91" w:rsidRPr="00C74E21" w:rsidRDefault="003B5F91" w:rsidP="00060211">
            <w:pPr>
              <w:jc w:val="center"/>
              <w:rPr>
                <w:bCs/>
                <w:szCs w:val="20"/>
              </w:rPr>
            </w:pPr>
            <w:r>
              <w:rPr>
                <w:bCs/>
                <w:szCs w:val="20"/>
              </w:rPr>
              <w:t>19 850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6.</w:t>
            </w:r>
          </w:p>
        </w:tc>
        <w:tc>
          <w:tcPr>
            <w:tcW w:w="2551" w:type="dxa"/>
            <w:shd w:val="clear" w:color="auto" w:fill="auto"/>
            <w:vAlign w:val="bottom"/>
          </w:tcPr>
          <w:p w:rsidR="003B5F91" w:rsidRPr="00C74E21" w:rsidRDefault="003B5F91" w:rsidP="00060211">
            <w:pPr>
              <w:jc w:val="center"/>
              <w:rPr>
                <w:bCs/>
                <w:szCs w:val="20"/>
              </w:rPr>
            </w:pPr>
            <w:r>
              <w:rPr>
                <w:bCs/>
                <w:szCs w:val="20"/>
              </w:rPr>
              <w:t>130,90</w:t>
            </w:r>
          </w:p>
        </w:tc>
        <w:tc>
          <w:tcPr>
            <w:tcW w:w="2552" w:type="dxa"/>
            <w:tcBorders>
              <w:right w:val="single" w:sz="12" w:space="0" w:color="auto"/>
            </w:tcBorders>
            <w:shd w:val="clear" w:color="auto" w:fill="auto"/>
            <w:vAlign w:val="bottom"/>
          </w:tcPr>
          <w:p w:rsidR="003B5F91" w:rsidRPr="00C74E21" w:rsidRDefault="003B5F91" w:rsidP="00060211">
            <w:pPr>
              <w:jc w:val="center"/>
              <w:rPr>
                <w:bCs/>
                <w:szCs w:val="20"/>
              </w:rPr>
            </w:pPr>
            <w:r>
              <w:rPr>
                <w:bCs/>
                <w:szCs w:val="20"/>
              </w:rPr>
              <w:t>21 900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lastRenderedPageBreak/>
              <w:t>7.</w:t>
            </w:r>
          </w:p>
        </w:tc>
        <w:tc>
          <w:tcPr>
            <w:tcW w:w="2551" w:type="dxa"/>
            <w:shd w:val="clear" w:color="auto" w:fill="auto"/>
            <w:vAlign w:val="bottom"/>
          </w:tcPr>
          <w:p w:rsidR="003B5F91" w:rsidRPr="00C74E21" w:rsidRDefault="003B5F91" w:rsidP="00060211">
            <w:pPr>
              <w:jc w:val="center"/>
              <w:rPr>
                <w:bCs/>
                <w:szCs w:val="20"/>
              </w:rPr>
            </w:pPr>
            <w:r>
              <w:rPr>
                <w:bCs/>
                <w:szCs w:val="20"/>
              </w:rPr>
              <w:t>144,50</w:t>
            </w:r>
          </w:p>
        </w:tc>
        <w:tc>
          <w:tcPr>
            <w:tcW w:w="2552" w:type="dxa"/>
            <w:tcBorders>
              <w:right w:val="single" w:sz="12" w:space="0" w:color="auto"/>
            </w:tcBorders>
            <w:shd w:val="clear" w:color="auto" w:fill="auto"/>
            <w:vAlign w:val="bottom"/>
          </w:tcPr>
          <w:p w:rsidR="003B5F91" w:rsidRPr="00C74E21" w:rsidRDefault="003B5F91" w:rsidP="00060211">
            <w:pPr>
              <w:jc w:val="center"/>
              <w:rPr>
                <w:bCs/>
                <w:szCs w:val="20"/>
              </w:rPr>
            </w:pPr>
            <w:r>
              <w:rPr>
                <w:bCs/>
                <w:szCs w:val="20"/>
              </w:rPr>
              <w:t>24 180</w:t>
            </w:r>
          </w:p>
        </w:tc>
      </w:tr>
      <w:tr w:rsidR="003B5F91" w:rsidRPr="00C74E21" w:rsidTr="00060211">
        <w:trPr>
          <w:jc w:val="center"/>
        </w:trPr>
        <w:tc>
          <w:tcPr>
            <w:tcW w:w="2376" w:type="dxa"/>
            <w:tcBorders>
              <w:left w:val="single" w:sz="12" w:space="0" w:color="auto"/>
              <w:bottom w:val="single" w:sz="12" w:space="0" w:color="auto"/>
            </w:tcBorders>
            <w:shd w:val="clear" w:color="auto" w:fill="auto"/>
            <w:vAlign w:val="center"/>
          </w:tcPr>
          <w:p w:rsidR="003B5F91" w:rsidRPr="00C74E21" w:rsidRDefault="003B5F91" w:rsidP="00060211">
            <w:pPr>
              <w:jc w:val="center"/>
            </w:pPr>
            <w:r w:rsidRPr="00C74E21">
              <w:t>8.</w:t>
            </w:r>
          </w:p>
        </w:tc>
        <w:tc>
          <w:tcPr>
            <w:tcW w:w="2551" w:type="dxa"/>
            <w:tcBorders>
              <w:bottom w:val="single" w:sz="12" w:space="0" w:color="auto"/>
            </w:tcBorders>
            <w:shd w:val="clear" w:color="auto" w:fill="auto"/>
            <w:vAlign w:val="bottom"/>
          </w:tcPr>
          <w:p w:rsidR="003B5F91" w:rsidRPr="00C74E21" w:rsidRDefault="003B5F91" w:rsidP="00060211">
            <w:pPr>
              <w:jc w:val="center"/>
              <w:rPr>
                <w:bCs/>
                <w:szCs w:val="20"/>
              </w:rPr>
            </w:pPr>
            <w:r>
              <w:rPr>
                <w:bCs/>
                <w:szCs w:val="20"/>
              </w:rPr>
              <w:t>159,60</w:t>
            </w:r>
          </w:p>
        </w:tc>
        <w:tc>
          <w:tcPr>
            <w:tcW w:w="2552" w:type="dxa"/>
            <w:tcBorders>
              <w:bottom w:val="single" w:sz="12" w:space="0" w:color="auto"/>
              <w:right w:val="single" w:sz="12" w:space="0" w:color="auto"/>
            </w:tcBorders>
            <w:shd w:val="clear" w:color="auto" w:fill="auto"/>
            <w:vAlign w:val="bottom"/>
          </w:tcPr>
          <w:p w:rsidR="003B5F91" w:rsidRPr="00C74E21" w:rsidRDefault="003B5F91" w:rsidP="00060211">
            <w:pPr>
              <w:jc w:val="center"/>
              <w:rPr>
                <w:bCs/>
                <w:szCs w:val="20"/>
              </w:rPr>
            </w:pPr>
            <w:r>
              <w:rPr>
                <w:bCs/>
                <w:szCs w:val="20"/>
              </w:rPr>
              <w:t>26 700</w:t>
            </w:r>
          </w:p>
        </w:tc>
      </w:tr>
    </w:tbl>
    <w:p w:rsidR="00183C9F" w:rsidRDefault="00183C9F" w:rsidP="00BD30E2">
      <w:pPr>
        <w:tabs>
          <w:tab w:val="left" w:pos="426"/>
        </w:tabs>
        <w:spacing w:before="120" w:line="360" w:lineRule="auto"/>
        <w:rPr>
          <w:u w:val="single"/>
        </w:rPr>
      </w:pPr>
    </w:p>
    <w:p w:rsidR="00BD30E2" w:rsidRPr="00DA225B" w:rsidRDefault="00BD30E2" w:rsidP="00BD30E2">
      <w:pPr>
        <w:tabs>
          <w:tab w:val="left" w:pos="426"/>
        </w:tabs>
        <w:spacing w:before="120" w:line="360" w:lineRule="auto"/>
        <w:rPr>
          <w:u w:val="single"/>
        </w:rPr>
      </w:pPr>
      <w:r w:rsidRPr="00DA225B">
        <w:rPr>
          <w:u w:val="single"/>
        </w:rPr>
        <w:t>2. Dopad na státní rozpočet a ostatní veřejné rozpočty</w:t>
      </w:r>
    </w:p>
    <w:p w:rsidR="00BD30E2" w:rsidRDefault="00855032" w:rsidP="007C4530">
      <w:pPr>
        <w:spacing w:line="360" w:lineRule="auto"/>
        <w:rPr>
          <w:u w:val="single"/>
        </w:rPr>
      </w:pPr>
      <w:r>
        <w:rPr>
          <w:u w:val="single"/>
        </w:rPr>
        <w:t>2.1 Základní sazba minimální mzdy a nejnižší úrovně zaručené mzdy</w:t>
      </w:r>
    </w:p>
    <w:p w:rsidR="00D061DA" w:rsidRPr="00DA225B" w:rsidRDefault="00D061DA" w:rsidP="007C4530">
      <w:pPr>
        <w:spacing w:line="360" w:lineRule="auto"/>
        <w:rPr>
          <w:u w:val="single"/>
        </w:rPr>
      </w:pPr>
    </w:p>
    <w:p w:rsidR="003B5F91" w:rsidRDefault="003B5F91" w:rsidP="003B5F91">
      <w:pPr>
        <w:spacing w:line="360" w:lineRule="auto"/>
      </w:pPr>
      <w:r>
        <w:rPr>
          <w:b/>
        </w:rPr>
        <w:t>V A R I A N T A  I</w:t>
      </w:r>
    </w:p>
    <w:p w:rsidR="003B5F91" w:rsidRPr="00C74E21" w:rsidRDefault="003B5F91" w:rsidP="003B5F91">
      <w:pPr>
        <w:spacing w:after="120" w:line="360" w:lineRule="auto"/>
        <w:ind w:firstLine="426"/>
      </w:pPr>
      <w:r w:rsidRPr="00B96E82">
        <w:t xml:space="preserve">Při zvýšení základní měsíční sazby </w:t>
      </w:r>
      <w:r w:rsidRPr="00E54370">
        <w:t xml:space="preserve">minimální mzdy na </w:t>
      </w:r>
      <w:r w:rsidRPr="00E54370">
        <w:rPr>
          <w:b/>
        </w:rPr>
        <w:t xml:space="preserve">14 700 Kč </w:t>
      </w:r>
      <w:r w:rsidRPr="00E54370">
        <w:t xml:space="preserve">bude činit absolutní rozdíl proti současnému stavu 1 350 Kč; v relativním vyjádření půjde o 10,1 % zvýšení. Základní hodinová sazba minimální mzdy ve výši </w:t>
      </w:r>
      <w:r w:rsidRPr="00E54370">
        <w:rPr>
          <w:b/>
        </w:rPr>
        <w:t>87,90 Kč</w:t>
      </w:r>
      <w:r w:rsidRPr="00E54370">
        <w:t xml:space="preserve"> v absolutním vyjádření představuje zvýšení o 8,1</w:t>
      </w:r>
      <w:r w:rsidR="006F408E">
        <w:t>0</w:t>
      </w:r>
      <w:r w:rsidRPr="00E54370">
        <w:t xml:space="preserve"> Kč</w:t>
      </w:r>
      <w:r w:rsidRPr="00C74E21">
        <w:t xml:space="preserve">. </w:t>
      </w:r>
    </w:p>
    <w:p w:rsidR="003B5F91" w:rsidRDefault="003B5F91" w:rsidP="003B5F91">
      <w:pPr>
        <w:spacing w:line="360" w:lineRule="auto"/>
      </w:pPr>
      <w:r w:rsidRPr="00C74E21">
        <w:t>Valorizované částky nejnižších úrovní zaručené mzdy pro stanovenou týdenní pracovní dobu 40 hodin by činily:</w:t>
      </w:r>
    </w:p>
    <w:p w:rsidR="003B5F91" w:rsidRPr="00C74E21" w:rsidRDefault="003B5F91" w:rsidP="003B5F91">
      <w:pPr>
        <w:ind w:firstLine="708"/>
        <w:rPr>
          <w:b/>
        </w:rPr>
      </w:pPr>
      <w:r w:rsidRPr="00C74E21">
        <w:rPr>
          <w:b/>
        </w:rPr>
        <w:t xml:space="preserve">Tab.: Nejnižší úrovně zaručené mzdy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1"/>
        <w:gridCol w:w="2552"/>
      </w:tblGrid>
      <w:tr w:rsidR="003B5F91" w:rsidRPr="00C74E21" w:rsidTr="00060211">
        <w:trPr>
          <w:jc w:val="center"/>
        </w:trPr>
        <w:tc>
          <w:tcPr>
            <w:tcW w:w="2376" w:type="dxa"/>
            <w:vMerge w:val="restart"/>
            <w:tcBorders>
              <w:top w:val="single" w:sz="12" w:space="0" w:color="auto"/>
              <w:left w:val="single" w:sz="12" w:space="0" w:color="auto"/>
            </w:tcBorders>
            <w:shd w:val="clear" w:color="auto" w:fill="D9D9D9"/>
            <w:vAlign w:val="center"/>
          </w:tcPr>
          <w:p w:rsidR="003B5F91" w:rsidRPr="00C74E21" w:rsidRDefault="003B5F91" w:rsidP="00060211">
            <w:pPr>
              <w:jc w:val="center"/>
              <w:rPr>
                <w:b/>
              </w:rPr>
            </w:pPr>
            <w:r w:rsidRPr="00C74E21">
              <w:rPr>
                <w:b/>
              </w:rPr>
              <w:t>Skupina prací</w:t>
            </w:r>
          </w:p>
        </w:tc>
        <w:tc>
          <w:tcPr>
            <w:tcW w:w="5103" w:type="dxa"/>
            <w:gridSpan w:val="2"/>
            <w:tcBorders>
              <w:top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Nejnižší úroveň zaručené mzdy</w:t>
            </w:r>
          </w:p>
        </w:tc>
      </w:tr>
      <w:tr w:rsidR="003B5F91" w:rsidRPr="00C74E21" w:rsidTr="00060211">
        <w:trPr>
          <w:jc w:val="center"/>
        </w:trPr>
        <w:tc>
          <w:tcPr>
            <w:tcW w:w="2376" w:type="dxa"/>
            <w:vMerge/>
            <w:tcBorders>
              <w:left w:val="single" w:sz="12" w:space="0" w:color="auto"/>
              <w:bottom w:val="single" w:sz="12" w:space="0" w:color="auto"/>
            </w:tcBorders>
            <w:shd w:val="clear" w:color="auto" w:fill="D9D9D9"/>
            <w:vAlign w:val="center"/>
          </w:tcPr>
          <w:p w:rsidR="003B5F91" w:rsidRPr="00C74E21" w:rsidRDefault="003B5F91" w:rsidP="00060211">
            <w:pPr>
              <w:jc w:val="center"/>
              <w:rPr>
                <w:b/>
              </w:rPr>
            </w:pPr>
          </w:p>
        </w:tc>
        <w:tc>
          <w:tcPr>
            <w:tcW w:w="2551" w:type="dxa"/>
            <w:tcBorders>
              <w:bottom w:val="single" w:sz="12" w:space="0" w:color="auto"/>
            </w:tcBorders>
            <w:shd w:val="clear" w:color="auto" w:fill="D9D9D9"/>
            <w:vAlign w:val="center"/>
          </w:tcPr>
          <w:p w:rsidR="003B5F91" w:rsidRPr="00C74E21" w:rsidRDefault="003B5F91" w:rsidP="00060211">
            <w:pPr>
              <w:jc w:val="center"/>
              <w:rPr>
                <w:b/>
              </w:rPr>
            </w:pPr>
            <w:r w:rsidRPr="00C74E21">
              <w:rPr>
                <w:b/>
              </w:rPr>
              <w:t>v Kč za hodinu</w:t>
            </w:r>
          </w:p>
        </w:tc>
        <w:tc>
          <w:tcPr>
            <w:tcW w:w="2552" w:type="dxa"/>
            <w:tcBorders>
              <w:bottom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v Kč za měsíc</w:t>
            </w:r>
          </w:p>
        </w:tc>
      </w:tr>
      <w:tr w:rsidR="003B5F91" w:rsidRPr="00C74E21" w:rsidTr="00060211">
        <w:trPr>
          <w:jc w:val="center"/>
        </w:trPr>
        <w:tc>
          <w:tcPr>
            <w:tcW w:w="2376" w:type="dxa"/>
            <w:tcBorders>
              <w:top w:val="single" w:sz="12" w:space="0" w:color="auto"/>
              <w:left w:val="single" w:sz="12" w:space="0" w:color="auto"/>
            </w:tcBorders>
            <w:shd w:val="clear" w:color="auto" w:fill="auto"/>
            <w:vAlign w:val="center"/>
          </w:tcPr>
          <w:p w:rsidR="003B5F91" w:rsidRPr="00C74E21" w:rsidRDefault="003B5F91" w:rsidP="00060211">
            <w:pPr>
              <w:jc w:val="center"/>
            </w:pPr>
            <w:r w:rsidRPr="00C74E21">
              <w:t>1.</w:t>
            </w:r>
          </w:p>
        </w:tc>
        <w:tc>
          <w:tcPr>
            <w:tcW w:w="2551" w:type="dxa"/>
            <w:tcBorders>
              <w:top w:val="single" w:sz="12" w:space="0" w:color="auto"/>
            </w:tcBorders>
            <w:shd w:val="clear" w:color="auto" w:fill="auto"/>
            <w:vAlign w:val="bottom"/>
          </w:tcPr>
          <w:p w:rsidR="003B5F91" w:rsidRPr="00205381" w:rsidRDefault="003B5F91" w:rsidP="00060211">
            <w:pPr>
              <w:jc w:val="center"/>
              <w:rPr>
                <w:bCs/>
                <w:szCs w:val="20"/>
              </w:rPr>
            </w:pPr>
            <w:r w:rsidRPr="00205381">
              <w:rPr>
                <w:bCs/>
                <w:szCs w:val="20"/>
              </w:rPr>
              <w:t>87,90</w:t>
            </w:r>
          </w:p>
        </w:tc>
        <w:tc>
          <w:tcPr>
            <w:tcW w:w="2552" w:type="dxa"/>
            <w:tcBorders>
              <w:top w:val="single" w:sz="12" w:space="0" w:color="auto"/>
              <w:right w:val="single" w:sz="12" w:space="0" w:color="auto"/>
            </w:tcBorders>
            <w:shd w:val="clear" w:color="auto" w:fill="auto"/>
            <w:vAlign w:val="bottom"/>
          </w:tcPr>
          <w:p w:rsidR="003B5F91" w:rsidRPr="00205381" w:rsidRDefault="003B5F91" w:rsidP="00060211">
            <w:pPr>
              <w:jc w:val="center"/>
              <w:rPr>
                <w:bCs/>
                <w:szCs w:val="20"/>
              </w:rPr>
            </w:pPr>
            <w:r w:rsidRPr="00205381">
              <w:rPr>
                <w:bCs/>
                <w:szCs w:val="20"/>
              </w:rPr>
              <w:t>14 700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2.</w:t>
            </w:r>
          </w:p>
        </w:tc>
        <w:tc>
          <w:tcPr>
            <w:tcW w:w="2551" w:type="dxa"/>
            <w:shd w:val="clear" w:color="auto" w:fill="auto"/>
            <w:vAlign w:val="bottom"/>
          </w:tcPr>
          <w:p w:rsidR="003B5F91" w:rsidRPr="00205381" w:rsidRDefault="003B5F91" w:rsidP="00060211">
            <w:pPr>
              <w:jc w:val="center"/>
              <w:rPr>
                <w:bCs/>
                <w:szCs w:val="20"/>
              </w:rPr>
            </w:pPr>
            <w:r w:rsidRPr="00205381">
              <w:rPr>
                <w:bCs/>
                <w:szCs w:val="20"/>
              </w:rPr>
              <w:t>97,00</w:t>
            </w:r>
          </w:p>
        </w:tc>
        <w:tc>
          <w:tcPr>
            <w:tcW w:w="2552" w:type="dxa"/>
            <w:tcBorders>
              <w:right w:val="single" w:sz="12" w:space="0" w:color="auto"/>
            </w:tcBorders>
            <w:shd w:val="clear" w:color="auto" w:fill="auto"/>
            <w:vAlign w:val="bottom"/>
          </w:tcPr>
          <w:p w:rsidR="003B5F91" w:rsidRPr="00205381" w:rsidRDefault="00785986" w:rsidP="00060211">
            <w:pPr>
              <w:jc w:val="center"/>
              <w:rPr>
                <w:bCs/>
                <w:szCs w:val="20"/>
              </w:rPr>
            </w:pPr>
            <w:r>
              <w:rPr>
                <w:bCs/>
                <w:szCs w:val="20"/>
              </w:rPr>
              <w:t>16 20</w:t>
            </w:r>
            <w:r w:rsidR="003B5F91" w:rsidRPr="00205381">
              <w:rPr>
                <w:bCs/>
                <w:szCs w:val="2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3.</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107,10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17 90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4.</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118,20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 xml:space="preserve">19 </w:t>
            </w:r>
            <w:r w:rsidR="003B5F91" w:rsidRPr="00205381">
              <w:rPr>
                <w:bCs/>
                <w:color w:val="000000"/>
              </w:rPr>
              <w:t>8</w:t>
            </w:r>
            <w:r>
              <w:rPr>
                <w:bCs/>
                <w:color w:val="000000"/>
              </w:rPr>
              <w:t>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5.</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130,50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21 80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6.</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144,10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24 10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7.</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159,10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26 60</w:t>
            </w:r>
            <w:r w:rsidR="003B5F91" w:rsidRPr="00205381">
              <w:rPr>
                <w:bCs/>
                <w:color w:val="000000"/>
              </w:rPr>
              <w:t>0</w:t>
            </w:r>
          </w:p>
        </w:tc>
      </w:tr>
      <w:tr w:rsidR="003B5F91" w:rsidRPr="00C74E21" w:rsidTr="00060211">
        <w:trPr>
          <w:jc w:val="center"/>
        </w:trPr>
        <w:tc>
          <w:tcPr>
            <w:tcW w:w="2376" w:type="dxa"/>
            <w:tcBorders>
              <w:left w:val="single" w:sz="12" w:space="0" w:color="auto"/>
              <w:bottom w:val="single" w:sz="12" w:space="0" w:color="auto"/>
            </w:tcBorders>
            <w:shd w:val="clear" w:color="auto" w:fill="auto"/>
            <w:vAlign w:val="center"/>
          </w:tcPr>
          <w:p w:rsidR="003B5F91" w:rsidRPr="00C74E21" w:rsidRDefault="003B5F91" w:rsidP="00060211">
            <w:pPr>
              <w:jc w:val="center"/>
            </w:pPr>
            <w:r w:rsidRPr="00C74E21">
              <w:t>8.</w:t>
            </w:r>
          </w:p>
        </w:tc>
        <w:tc>
          <w:tcPr>
            <w:tcW w:w="2551" w:type="dxa"/>
            <w:tcBorders>
              <w:bottom w:val="single" w:sz="12" w:space="0" w:color="auto"/>
            </w:tcBorders>
            <w:shd w:val="clear" w:color="auto" w:fill="auto"/>
            <w:vAlign w:val="bottom"/>
          </w:tcPr>
          <w:p w:rsidR="003B5F91" w:rsidRPr="00205381" w:rsidRDefault="003B5F91" w:rsidP="00060211">
            <w:pPr>
              <w:jc w:val="center"/>
              <w:rPr>
                <w:bCs/>
                <w:color w:val="000000"/>
              </w:rPr>
            </w:pPr>
            <w:r w:rsidRPr="00205381">
              <w:rPr>
                <w:bCs/>
                <w:color w:val="000000"/>
              </w:rPr>
              <w:t>175,60</w:t>
            </w:r>
          </w:p>
        </w:tc>
        <w:tc>
          <w:tcPr>
            <w:tcW w:w="2552" w:type="dxa"/>
            <w:tcBorders>
              <w:bottom w:val="single" w:sz="12" w:space="0" w:color="auto"/>
              <w:right w:val="single" w:sz="12" w:space="0" w:color="auto"/>
            </w:tcBorders>
            <w:shd w:val="clear" w:color="auto" w:fill="auto"/>
            <w:vAlign w:val="bottom"/>
          </w:tcPr>
          <w:p w:rsidR="003B5F91" w:rsidRPr="00205381" w:rsidRDefault="003B5F91" w:rsidP="00060211">
            <w:pPr>
              <w:jc w:val="center"/>
              <w:rPr>
                <w:bCs/>
                <w:color w:val="000000"/>
              </w:rPr>
            </w:pPr>
            <w:r w:rsidRPr="00205381">
              <w:rPr>
                <w:bCs/>
                <w:color w:val="000000"/>
              </w:rPr>
              <w:t>29 400</w:t>
            </w:r>
          </w:p>
        </w:tc>
      </w:tr>
    </w:tbl>
    <w:p w:rsidR="003B5F91" w:rsidRPr="00C74E21" w:rsidRDefault="003B5F91" w:rsidP="003B5F91">
      <w:pPr>
        <w:spacing w:line="360" w:lineRule="auto"/>
      </w:pPr>
    </w:p>
    <w:p w:rsidR="006F408E" w:rsidRPr="00FF3BD9" w:rsidRDefault="003B5F91" w:rsidP="003B5F91">
      <w:pPr>
        <w:spacing w:line="360" w:lineRule="auto"/>
        <w:ind w:firstLine="426"/>
        <w:rPr>
          <w:rFonts w:cs="Arial"/>
          <w:b/>
        </w:rPr>
      </w:pPr>
      <w:r>
        <w:rPr>
          <w:rFonts w:cs="Arial"/>
        </w:rPr>
        <w:t>P</w:t>
      </w:r>
      <w:r w:rsidRPr="007C7943">
        <w:rPr>
          <w:rFonts w:cs="Arial"/>
        </w:rPr>
        <w:t>odle dostupných údajů</w:t>
      </w:r>
      <w:r>
        <w:rPr>
          <w:rFonts w:cs="Arial"/>
        </w:rPr>
        <w:t xml:space="preserve"> lze</w:t>
      </w:r>
      <w:r w:rsidRPr="007C7943">
        <w:rPr>
          <w:rFonts w:cs="Arial"/>
        </w:rPr>
        <w:t xml:space="preserve"> předpokládat</w:t>
      </w:r>
      <w:r>
        <w:rPr>
          <w:rFonts w:cs="Arial"/>
        </w:rPr>
        <w:t>, že v důsledku navrhovaného zvýš</w:t>
      </w:r>
      <w:r w:rsidRPr="007C7943">
        <w:rPr>
          <w:rFonts w:cs="Arial"/>
        </w:rPr>
        <w:t xml:space="preserve">ení </w:t>
      </w:r>
      <w:r>
        <w:rPr>
          <w:rFonts w:cs="Arial"/>
        </w:rPr>
        <w:t xml:space="preserve">minimální mzdy a nejnižších úrovní zaručené mzdy by došlo k nárůstu </w:t>
      </w:r>
      <w:r w:rsidRPr="007C7943">
        <w:rPr>
          <w:rFonts w:cs="Arial"/>
        </w:rPr>
        <w:t xml:space="preserve">ročních mzdových nákladů zaměstnavatelů </w:t>
      </w:r>
      <w:r>
        <w:rPr>
          <w:rFonts w:cs="Arial"/>
        </w:rPr>
        <w:t xml:space="preserve">v </w:t>
      </w:r>
      <w:r w:rsidRPr="007C7943">
        <w:rPr>
          <w:rFonts w:cs="Arial"/>
        </w:rPr>
        <w:t>platové (</w:t>
      </w:r>
      <w:proofErr w:type="spellStart"/>
      <w:r w:rsidRPr="007C7943">
        <w:rPr>
          <w:rFonts w:cs="Arial"/>
        </w:rPr>
        <w:t>nepodnikatelské</w:t>
      </w:r>
      <w:proofErr w:type="spellEnd"/>
      <w:r w:rsidRPr="00FF3BD9">
        <w:rPr>
          <w:rFonts w:cs="Arial"/>
        </w:rPr>
        <w:t>) sféře o cca </w:t>
      </w:r>
      <w:r w:rsidR="002A1AFA" w:rsidRPr="00FF3BD9">
        <w:rPr>
          <w:rFonts w:cs="Arial"/>
          <w:b/>
        </w:rPr>
        <w:t>639</w:t>
      </w:r>
      <w:r w:rsidR="005429D4" w:rsidRPr="00FF3BD9">
        <w:rPr>
          <w:rFonts w:cs="Arial"/>
          <w:b/>
        </w:rPr>
        <w:t xml:space="preserve"> mil</w:t>
      </w:r>
      <w:r w:rsidRPr="00FF3BD9">
        <w:rPr>
          <w:rFonts w:cs="Arial"/>
          <w:b/>
        </w:rPr>
        <w:t>. Kč</w:t>
      </w:r>
      <w:r w:rsidR="00FC5B00" w:rsidRPr="00FC5B00">
        <w:rPr>
          <w:rFonts w:cs="Arial"/>
        </w:rPr>
        <w:t>,</w:t>
      </w:r>
      <w:r w:rsidRPr="00FC5B00">
        <w:rPr>
          <w:rFonts w:cs="Arial"/>
        </w:rPr>
        <w:t xml:space="preserve"> </w:t>
      </w:r>
      <w:r w:rsidR="00755722" w:rsidRPr="00FF3BD9">
        <w:t xml:space="preserve">z toho doplatky ze státního rozpočtu včetně příslušenství by činily celkem cca </w:t>
      </w:r>
      <w:r w:rsidR="002A1AFA" w:rsidRPr="00FF3BD9">
        <w:rPr>
          <w:b/>
        </w:rPr>
        <w:t>345</w:t>
      </w:r>
      <w:r w:rsidR="00755722" w:rsidRPr="00FF3BD9">
        <w:rPr>
          <w:b/>
        </w:rPr>
        <w:t xml:space="preserve"> mil. Kč</w:t>
      </w:r>
      <w:r w:rsidR="00755722" w:rsidRPr="00FF3BD9">
        <w:t>, z rozpočtů územních samosprávných celků včetně příslušenství celkem cca </w:t>
      </w:r>
      <w:r w:rsidR="002A1AFA" w:rsidRPr="00FF3BD9">
        <w:rPr>
          <w:b/>
        </w:rPr>
        <w:t>230</w:t>
      </w:r>
      <w:r w:rsidR="00755722" w:rsidRPr="00FF3BD9">
        <w:rPr>
          <w:b/>
        </w:rPr>
        <w:t xml:space="preserve"> mil. Kč</w:t>
      </w:r>
      <w:r w:rsidR="00755722" w:rsidRPr="00FF3BD9">
        <w:t xml:space="preserve"> a z rozpočtů zdravotních pojišťoven včetně příslušenství celkem cca </w:t>
      </w:r>
      <w:r w:rsidR="002A1AFA" w:rsidRPr="00FF3BD9">
        <w:rPr>
          <w:b/>
        </w:rPr>
        <w:t>64</w:t>
      </w:r>
      <w:r w:rsidR="00755722" w:rsidRPr="00FF3BD9">
        <w:rPr>
          <w:b/>
        </w:rPr>
        <w:t> mil. Kč</w:t>
      </w:r>
      <w:r w:rsidR="00755722" w:rsidRPr="00FF3BD9">
        <w:rPr>
          <w:rFonts w:cs="Arial"/>
        </w:rPr>
        <w:t>. Náklady v platové sféře budou zabezpečeny v rámci stávajících výdajových limitů státního rozpočtu.</w:t>
      </w:r>
    </w:p>
    <w:p w:rsidR="003B5F91" w:rsidRPr="00FF3BD9" w:rsidRDefault="003B5F91" w:rsidP="003B5F91">
      <w:pPr>
        <w:spacing w:line="360" w:lineRule="auto"/>
        <w:ind w:firstLine="426"/>
      </w:pPr>
      <w:r w:rsidRPr="00FF3BD9">
        <w:t xml:space="preserve">Zvýšení minimální mzdy </w:t>
      </w:r>
      <w:r w:rsidR="001C4C76" w:rsidRPr="00FF3BD9">
        <w:t xml:space="preserve">o 1 350 Kč za měsíc </w:t>
      </w:r>
      <w:r w:rsidRPr="00FF3BD9">
        <w:t xml:space="preserve">by se mělo pozitivně projevit </w:t>
      </w:r>
      <w:r w:rsidR="001C4C76" w:rsidRPr="00FF3BD9">
        <w:t xml:space="preserve">také </w:t>
      </w:r>
      <w:r w:rsidRPr="00FF3BD9">
        <w:t xml:space="preserve">ve vyšších příjmech systémů sociálního a zdravotního pojištění. Předpokládaný nárůst příjmů sociálního pojištění (od zaměstnavatelů i zaměstnanců) by mohl činit cca </w:t>
      </w:r>
      <w:r w:rsidR="002A1AFA" w:rsidRPr="00FF3BD9">
        <w:rPr>
          <w:b/>
        </w:rPr>
        <w:t>966</w:t>
      </w:r>
      <w:r w:rsidRPr="00FF3BD9">
        <w:rPr>
          <w:b/>
        </w:rPr>
        <w:t xml:space="preserve"> mil. Kč</w:t>
      </w:r>
      <w:r w:rsidRPr="00FF3BD9">
        <w:t xml:space="preserve"> za rok. Příjmy ze zdravotního pojištění by se mohly zvýšit o cca </w:t>
      </w:r>
      <w:r w:rsidR="002A1AFA" w:rsidRPr="00FF3BD9">
        <w:rPr>
          <w:b/>
        </w:rPr>
        <w:t>414</w:t>
      </w:r>
      <w:r w:rsidRPr="00FF3BD9">
        <w:rPr>
          <w:b/>
        </w:rPr>
        <w:t> mil. Kč</w:t>
      </w:r>
      <w:r w:rsidRPr="00FF3BD9">
        <w:t xml:space="preserve"> za rok.</w:t>
      </w:r>
    </w:p>
    <w:p w:rsidR="003B5F91" w:rsidRDefault="003B5F91" w:rsidP="003B5F91">
      <w:pPr>
        <w:spacing w:line="360" w:lineRule="auto"/>
        <w:ind w:firstLine="426"/>
      </w:pPr>
    </w:p>
    <w:p w:rsidR="003B5F91" w:rsidRDefault="003B5F91" w:rsidP="003B5F91">
      <w:pPr>
        <w:spacing w:line="360" w:lineRule="auto"/>
      </w:pPr>
      <w:r>
        <w:rPr>
          <w:b/>
        </w:rPr>
        <w:lastRenderedPageBreak/>
        <w:t xml:space="preserve">V A R I A N T A  I </w:t>
      </w:r>
      <w:proofErr w:type="spellStart"/>
      <w:r>
        <w:rPr>
          <w:b/>
        </w:rPr>
        <w:t>I</w:t>
      </w:r>
      <w:proofErr w:type="spellEnd"/>
    </w:p>
    <w:p w:rsidR="003B5F91" w:rsidRPr="00C74E21" w:rsidRDefault="003B5F91" w:rsidP="003B5F91">
      <w:pPr>
        <w:spacing w:after="120" w:line="360" w:lineRule="auto"/>
        <w:ind w:firstLine="426"/>
      </w:pPr>
      <w:r w:rsidRPr="00B96E82">
        <w:t xml:space="preserve">Při zvýšení základní </w:t>
      </w:r>
      <w:r w:rsidRPr="00CC34DD">
        <w:t xml:space="preserve">měsíční sazby minimální mzdy na </w:t>
      </w:r>
      <w:r w:rsidRPr="00CC34DD">
        <w:rPr>
          <w:b/>
        </w:rPr>
        <w:t xml:space="preserve">15 000 Kč </w:t>
      </w:r>
      <w:r w:rsidRPr="00CC34DD">
        <w:t xml:space="preserve">bude činit absolutní rozdíl proti současnému stavu 1 650 Kč; v relativním vyjádření půjde o 12,4 % zvýšení. Základní hodinová sazba minimální mzdy ve výši </w:t>
      </w:r>
      <w:r w:rsidRPr="00CC34DD">
        <w:rPr>
          <w:b/>
        </w:rPr>
        <w:t>89,60 Kč</w:t>
      </w:r>
      <w:r w:rsidRPr="00CC34DD">
        <w:t xml:space="preserve"> v absolutním vyjádření představuje zvýšení o 9,8</w:t>
      </w:r>
      <w:r w:rsidR="006F408E">
        <w:t>0</w:t>
      </w:r>
      <w:r w:rsidRPr="00CC34DD">
        <w:t xml:space="preserve"> Kč</w:t>
      </w:r>
      <w:r w:rsidRPr="00C74E21">
        <w:t xml:space="preserve">. </w:t>
      </w:r>
    </w:p>
    <w:p w:rsidR="003B5F91" w:rsidRDefault="003B5F91" w:rsidP="003B5F91">
      <w:pPr>
        <w:spacing w:line="360" w:lineRule="auto"/>
      </w:pPr>
      <w:r w:rsidRPr="00C74E21">
        <w:t>Valorizované částky nejnižších úrovní zaručené mzdy pro stanovenou týdenní pracovní dobu 40 hodin by činily:</w:t>
      </w:r>
    </w:p>
    <w:p w:rsidR="003B5F91" w:rsidRPr="00C74E21" w:rsidRDefault="003B5F91" w:rsidP="003B5F91">
      <w:pPr>
        <w:ind w:firstLine="708"/>
        <w:rPr>
          <w:b/>
        </w:rPr>
      </w:pPr>
      <w:r w:rsidRPr="00C74E21">
        <w:rPr>
          <w:b/>
        </w:rPr>
        <w:t xml:space="preserve">Tab.: Nejnižší úrovně zaručené mzdy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1"/>
        <w:gridCol w:w="2552"/>
      </w:tblGrid>
      <w:tr w:rsidR="003B5F91" w:rsidRPr="00C74E21" w:rsidTr="00060211">
        <w:trPr>
          <w:jc w:val="center"/>
        </w:trPr>
        <w:tc>
          <w:tcPr>
            <w:tcW w:w="2376" w:type="dxa"/>
            <w:vMerge w:val="restart"/>
            <w:tcBorders>
              <w:top w:val="single" w:sz="12" w:space="0" w:color="auto"/>
              <w:left w:val="single" w:sz="12" w:space="0" w:color="auto"/>
            </w:tcBorders>
            <w:shd w:val="clear" w:color="auto" w:fill="D9D9D9"/>
            <w:vAlign w:val="center"/>
          </w:tcPr>
          <w:p w:rsidR="003B5F91" w:rsidRPr="00C74E21" w:rsidRDefault="003B5F91" w:rsidP="00060211">
            <w:pPr>
              <w:jc w:val="center"/>
              <w:rPr>
                <w:b/>
              </w:rPr>
            </w:pPr>
            <w:r w:rsidRPr="00C74E21">
              <w:rPr>
                <w:b/>
              </w:rPr>
              <w:t>Skupina prací</w:t>
            </w:r>
          </w:p>
        </w:tc>
        <w:tc>
          <w:tcPr>
            <w:tcW w:w="5103" w:type="dxa"/>
            <w:gridSpan w:val="2"/>
            <w:tcBorders>
              <w:top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Nejnižší úroveň zaručené mzdy</w:t>
            </w:r>
          </w:p>
        </w:tc>
      </w:tr>
      <w:tr w:rsidR="003B5F91" w:rsidRPr="00C74E21" w:rsidTr="00060211">
        <w:trPr>
          <w:jc w:val="center"/>
        </w:trPr>
        <w:tc>
          <w:tcPr>
            <w:tcW w:w="2376" w:type="dxa"/>
            <w:vMerge/>
            <w:tcBorders>
              <w:left w:val="single" w:sz="12" w:space="0" w:color="auto"/>
              <w:bottom w:val="single" w:sz="12" w:space="0" w:color="auto"/>
            </w:tcBorders>
            <w:shd w:val="clear" w:color="auto" w:fill="D9D9D9"/>
            <w:vAlign w:val="center"/>
          </w:tcPr>
          <w:p w:rsidR="003B5F91" w:rsidRPr="00C74E21" w:rsidRDefault="003B5F91" w:rsidP="00060211">
            <w:pPr>
              <w:jc w:val="center"/>
              <w:rPr>
                <w:b/>
              </w:rPr>
            </w:pPr>
          </w:p>
        </w:tc>
        <w:tc>
          <w:tcPr>
            <w:tcW w:w="2551" w:type="dxa"/>
            <w:tcBorders>
              <w:bottom w:val="single" w:sz="12" w:space="0" w:color="auto"/>
            </w:tcBorders>
            <w:shd w:val="clear" w:color="auto" w:fill="D9D9D9"/>
            <w:vAlign w:val="center"/>
          </w:tcPr>
          <w:p w:rsidR="003B5F91" w:rsidRPr="00C74E21" w:rsidRDefault="003B5F91" w:rsidP="00060211">
            <w:pPr>
              <w:jc w:val="center"/>
              <w:rPr>
                <w:b/>
              </w:rPr>
            </w:pPr>
            <w:r w:rsidRPr="00C74E21">
              <w:rPr>
                <w:b/>
              </w:rPr>
              <w:t>v Kč za hodinu</w:t>
            </w:r>
          </w:p>
        </w:tc>
        <w:tc>
          <w:tcPr>
            <w:tcW w:w="2552" w:type="dxa"/>
            <w:tcBorders>
              <w:bottom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v Kč za měsíc</w:t>
            </w:r>
          </w:p>
        </w:tc>
      </w:tr>
      <w:tr w:rsidR="003B5F91" w:rsidRPr="00C74E21" w:rsidTr="00060211">
        <w:trPr>
          <w:jc w:val="center"/>
        </w:trPr>
        <w:tc>
          <w:tcPr>
            <w:tcW w:w="2376" w:type="dxa"/>
            <w:tcBorders>
              <w:top w:val="single" w:sz="12" w:space="0" w:color="auto"/>
              <w:left w:val="single" w:sz="12" w:space="0" w:color="auto"/>
            </w:tcBorders>
            <w:shd w:val="clear" w:color="auto" w:fill="auto"/>
            <w:vAlign w:val="center"/>
          </w:tcPr>
          <w:p w:rsidR="003B5F91" w:rsidRPr="00C74E21" w:rsidRDefault="003B5F91" w:rsidP="00060211">
            <w:pPr>
              <w:jc w:val="center"/>
            </w:pPr>
            <w:r w:rsidRPr="00C74E21">
              <w:t>1.</w:t>
            </w:r>
          </w:p>
        </w:tc>
        <w:tc>
          <w:tcPr>
            <w:tcW w:w="2551" w:type="dxa"/>
            <w:tcBorders>
              <w:top w:val="single" w:sz="12" w:space="0" w:color="auto"/>
            </w:tcBorders>
            <w:shd w:val="clear" w:color="auto" w:fill="auto"/>
            <w:vAlign w:val="bottom"/>
          </w:tcPr>
          <w:p w:rsidR="003B5F91" w:rsidRPr="00205381" w:rsidRDefault="003B5F91" w:rsidP="00060211">
            <w:pPr>
              <w:jc w:val="center"/>
              <w:rPr>
                <w:bCs/>
                <w:color w:val="000000"/>
              </w:rPr>
            </w:pPr>
            <w:r w:rsidRPr="00205381">
              <w:rPr>
                <w:bCs/>
                <w:color w:val="000000"/>
              </w:rPr>
              <w:t>89,60</w:t>
            </w:r>
          </w:p>
        </w:tc>
        <w:tc>
          <w:tcPr>
            <w:tcW w:w="2552" w:type="dxa"/>
            <w:tcBorders>
              <w:top w:val="single" w:sz="12" w:space="0" w:color="auto"/>
              <w:right w:val="single" w:sz="12" w:space="0" w:color="auto"/>
            </w:tcBorders>
            <w:shd w:val="clear" w:color="auto" w:fill="auto"/>
            <w:vAlign w:val="bottom"/>
          </w:tcPr>
          <w:p w:rsidR="003B5F91" w:rsidRPr="00205381" w:rsidRDefault="003B5F91" w:rsidP="00060211">
            <w:pPr>
              <w:jc w:val="center"/>
              <w:rPr>
                <w:bCs/>
                <w:color w:val="000000"/>
              </w:rPr>
            </w:pPr>
            <w:r w:rsidRPr="00205381">
              <w:rPr>
                <w:bCs/>
                <w:color w:val="000000"/>
              </w:rPr>
              <w:t>15 000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2.</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99,00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16 60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3.</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109,30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18 30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4.</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120,60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20 20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5.</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133,20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22 30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6.</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147,10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24 60</w:t>
            </w:r>
            <w:r w:rsidR="003B5F91" w:rsidRPr="00205381">
              <w:rPr>
                <w:bCs/>
                <w:color w:val="000000"/>
              </w:rPr>
              <w:t>0</w:t>
            </w:r>
          </w:p>
        </w:tc>
      </w:tr>
      <w:tr w:rsidR="003B5F91" w:rsidRPr="00C74E21" w:rsidTr="00060211">
        <w:trPr>
          <w:jc w:val="center"/>
        </w:trPr>
        <w:tc>
          <w:tcPr>
            <w:tcW w:w="2376" w:type="dxa"/>
            <w:tcBorders>
              <w:left w:val="single" w:sz="12" w:space="0" w:color="auto"/>
            </w:tcBorders>
            <w:shd w:val="clear" w:color="auto" w:fill="auto"/>
            <w:vAlign w:val="center"/>
          </w:tcPr>
          <w:p w:rsidR="003B5F91" w:rsidRPr="00C74E21" w:rsidRDefault="003B5F91" w:rsidP="00060211">
            <w:pPr>
              <w:jc w:val="center"/>
            </w:pPr>
            <w:r w:rsidRPr="00C74E21">
              <w:t>7.</w:t>
            </w:r>
          </w:p>
        </w:tc>
        <w:tc>
          <w:tcPr>
            <w:tcW w:w="2551" w:type="dxa"/>
            <w:shd w:val="clear" w:color="auto" w:fill="auto"/>
            <w:vAlign w:val="bottom"/>
          </w:tcPr>
          <w:p w:rsidR="003B5F91" w:rsidRPr="00205381" w:rsidRDefault="003B5F91" w:rsidP="00060211">
            <w:pPr>
              <w:jc w:val="center"/>
              <w:rPr>
                <w:bCs/>
                <w:color w:val="000000"/>
              </w:rPr>
            </w:pPr>
            <w:r w:rsidRPr="00205381">
              <w:rPr>
                <w:bCs/>
                <w:color w:val="000000"/>
              </w:rPr>
              <w:t>162,40</w:t>
            </w:r>
          </w:p>
        </w:tc>
        <w:tc>
          <w:tcPr>
            <w:tcW w:w="2552" w:type="dxa"/>
            <w:tcBorders>
              <w:right w:val="single" w:sz="12" w:space="0" w:color="auto"/>
            </w:tcBorders>
            <w:shd w:val="clear" w:color="auto" w:fill="auto"/>
            <w:vAlign w:val="bottom"/>
          </w:tcPr>
          <w:p w:rsidR="003B5F91" w:rsidRPr="00205381" w:rsidRDefault="00785986" w:rsidP="00060211">
            <w:pPr>
              <w:jc w:val="center"/>
              <w:rPr>
                <w:bCs/>
                <w:color w:val="000000"/>
              </w:rPr>
            </w:pPr>
            <w:r>
              <w:rPr>
                <w:bCs/>
                <w:color w:val="000000"/>
              </w:rPr>
              <w:t>27 20</w:t>
            </w:r>
            <w:r w:rsidR="003B5F91" w:rsidRPr="00205381">
              <w:rPr>
                <w:bCs/>
                <w:color w:val="000000"/>
              </w:rPr>
              <w:t>0</w:t>
            </w:r>
          </w:p>
        </w:tc>
      </w:tr>
      <w:tr w:rsidR="003B5F91" w:rsidRPr="00C74E21" w:rsidTr="00060211">
        <w:trPr>
          <w:jc w:val="center"/>
        </w:trPr>
        <w:tc>
          <w:tcPr>
            <w:tcW w:w="2376" w:type="dxa"/>
            <w:tcBorders>
              <w:left w:val="single" w:sz="12" w:space="0" w:color="auto"/>
              <w:bottom w:val="single" w:sz="12" w:space="0" w:color="auto"/>
            </w:tcBorders>
            <w:shd w:val="clear" w:color="auto" w:fill="auto"/>
            <w:vAlign w:val="center"/>
          </w:tcPr>
          <w:p w:rsidR="003B5F91" w:rsidRPr="00C74E21" w:rsidRDefault="003B5F91" w:rsidP="00060211">
            <w:pPr>
              <w:jc w:val="center"/>
            </w:pPr>
            <w:r w:rsidRPr="00C74E21">
              <w:t>8.</w:t>
            </w:r>
          </w:p>
        </w:tc>
        <w:tc>
          <w:tcPr>
            <w:tcW w:w="2551" w:type="dxa"/>
            <w:tcBorders>
              <w:bottom w:val="single" w:sz="12" w:space="0" w:color="auto"/>
            </w:tcBorders>
            <w:shd w:val="clear" w:color="auto" w:fill="auto"/>
            <w:vAlign w:val="bottom"/>
          </w:tcPr>
          <w:p w:rsidR="003B5F91" w:rsidRPr="00205381" w:rsidRDefault="003B5F91" w:rsidP="00060211">
            <w:pPr>
              <w:jc w:val="center"/>
              <w:rPr>
                <w:bCs/>
                <w:color w:val="000000"/>
              </w:rPr>
            </w:pPr>
            <w:r w:rsidRPr="00205381">
              <w:rPr>
                <w:bCs/>
                <w:color w:val="000000"/>
              </w:rPr>
              <w:t>179,20</w:t>
            </w:r>
          </w:p>
        </w:tc>
        <w:tc>
          <w:tcPr>
            <w:tcW w:w="2552" w:type="dxa"/>
            <w:tcBorders>
              <w:bottom w:val="single" w:sz="12" w:space="0" w:color="auto"/>
              <w:right w:val="single" w:sz="12" w:space="0" w:color="auto"/>
            </w:tcBorders>
            <w:shd w:val="clear" w:color="auto" w:fill="auto"/>
            <w:vAlign w:val="bottom"/>
          </w:tcPr>
          <w:p w:rsidR="003B5F91" w:rsidRPr="00205381" w:rsidRDefault="003B5F91" w:rsidP="00060211">
            <w:pPr>
              <w:jc w:val="center"/>
              <w:rPr>
                <w:bCs/>
                <w:color w:val="000000"/>
              </w:rPr>
            </w:pPr>
            <w:r w:rsidRPr="00205381">
              <w:rPr>
                <w:bCs/>
                <w:color w:val="000000"/>
              </w:rPr>
              <w:t>30 000</w:t>
            </w:r>
          </w:p>
        </w:tc>
      </w:tr>
    </w:tbl>
    <w:p w:rsidR="003B5F91" w:rsidRPr="00C74E21" w:rsidRDefault="003B5F91" w:rsidP="003B5F91">
      <w:pPr>
        <w:spacing w:line="360" w:lineRule="auto"/>
      </w:pPr>
    </w:p>
    <w:p w:rsidR="000B2C68" w:rsidRPr="00FF3BD9" w:rsidRDefault="000B2C68" w:rsidP="000B2C68">
      <w:pPr>
        <w:spacing w:line="360" w:lineRule="auto"/>
        <w:ind w:firstLine="426"/>
        <w:rPr>
          <w:rFonts w:cs="Arial"/>
        </w:rPr>
      </w:pPr>
      <w:r>
        <w:rPr>
          <w:rFonts w:cs="Arial"/>
        </w:rPr>
        <w:t>P</w:t>
      </w:r>
      <w:r w:rsidRPr="007C7943">
        <w:rPr>
          <w:rFonts w:cs="Arial"/>
        </w:rPr>
        <w:t>odle dostupných údajů</w:t>
      </w:r>
      <w:r>
        <w:rPr>
          <w:rFonts w:cs="Arial"/>
        </w:rPr>
        <w:t xml:space="preserve"> lze</w:t>
      </w:r>
      <w:r w:rsidRPr="007C7943">
        <w:rPr>
          <w:rFonts w:cs="Arial"/>
        </w:rPr>
        <w:t xml:space="preserve"> předpokládat</w:t>
      </w:r>
      <w:r>
        <w:rPr>
          <w:rFonts w:cs="Arial"/>
        </w:rPr>
        <w:t>, že v důsledku navrhovaného zvýš</w:t>
      </w:r>
      <w:r w:rsidRPr="007C7943">
        <w:rPr>
          <w:rFonts w:cs="Arial"/>
        </w:rPr>
        <w:t xml:space="preserve">ení </w:t>
      </w:r>
      <w:r>
        <w:rPr>
          <w:rFonts w:cs="Arial"/>
        </w:rPr>
        <w:t xml:space="preserve">minimální mzdy a nejnižších úrovní zaručené mzdy by došlo k nárůstu </w:t>
      </w:r>
      <w:r w:rsidRPr="007C7943">
        <w:rPr>
          <w:rFonts w:cs="Arial"/>
        </w:rPr>
        <w:t xml:space="preserve">ročních mzdových nákladů zaměstnavatelů </w:t>
      </w:r>
      <w:r>
        <w:rPr>
          <w:rFonts w:cs="Arial"/>
        </w:rPr>
        <w:t xml:space="preserve">v </w:t>
      </w:r>
      <w:r w:rsidRPr="007C7943">
        <w:rPr>
          <w:rFonts w:cs="Arial"/>
        </w:rPr>
        <w:t>platové (</w:t>
      </w:r>
      <w:proofErr w:type="spellStart"/>
      <w:r w:rsidRPr="00FF3BD9">
        <w:rPr>
          <w:rFonts w:cs="Arial"/>
        </w:rPr>
        <w:t>nepodnikatelské</w:t>
      </w:r>
      <w:proofErr w:type="spellEnd"/>
      <w:r w:rsidRPr="00FF3BD9">
        <w:rPr>
          <w:rFonts w:cs="Arial"/>
        </w:rPr>
        <w:t>) sféře o cca </w:t>
      </w:r>
      <w:r w:rsidR="00D8642E" w:rsidRPr="00FF3BD9">
        <w:rPr>
          <w:rFonts w:cs="Arial"/>
          <w:b/>
        </w:rPr>
        <w:t>814</w:t>
      </w:r>
      <w:r w:rsidR="005429D4" w:rsidRPr="00FF3BD9">
        <w:rPr>
          <w:rFonts w:cs="Arial"/>
          <w:b/>
        </w:rPr>
        <w:t xml:space="preserve"> mil</w:t>
      </w:r>
      <w:r w:rsidRPr="00FF3BD9">
        <w:rPr>
          <w:rFonts w:cs="Arial"/>
          <w:b/>
        </w:rPr>
        <w:t>. Kč</w:t>
      </w:r>
      <w:r w:rsidR="00FC5B00" w:rsidRPr="00FC5B00">
        <w:rPr>
          <w:rFonts w:cs="Arial"/>
        </w:rPr>
        <w:t>,</w:t>
      </w:r>
      <w:r w:rsidRPr="00FF3BD9">
        <w:rPr>
          <w:rFonts w:cs="Arial"/>
          <w:b/>
        </w:rPr>
        <w:t xml:space="preserve"> </w:t>
      </w:r>
      <w:r w:rsidR="00755722" w:rsidRPr="00FF3BD9">
        <w:t xml:space="preserve">z toho doplatky ze státního rozpočtu včetně příslušenství by činily celkem cca </w:t>
      </w:r>
      <w:r w:rsidR="00D8642E" w:rsidRPr="00FF3BD9">
        <w:rPr>
          <w:b/>
        </w:rPr>
        <w:t>439</w:t>
      </w:r>
      <w:r w:rsidR="00755722" w:rsidRPr="00FF3BD9">
        <w:rPr>
          <w:b/>
        </w:rPr>
        <w:t xml:space="preserve"> mil. Kč</w:t>
      </w:r>
      <w:r w:rsidR="00755722" w:rsidRPr="00FF3BD9">
        <w:t>, z rozpočtů územních samosprávných celků včetně příslušenství celkem cca </w:t>
      </w:r>
      <w:r w:rsidR="00D8642E" w:rsidRPr="00FF3BD9">
        <w:rPr>
          <w:b/>
        </w:rPr>
        <w:t>293</w:t>
      </w:r>
      <w:r w:rsidR="00755722" w:rsidRPr="00FF3BD9">
        <w:rPr>
          <w:b/>
        </w:rPr>
        <w:t xml:space="preserve"> mil. Kč</w:t>
      </w:r>
      <w:r w:rsidR="00755722" w:rsidRPr="00FF3BD9">
        <w:t xml:space="preserve"> a z rozpočtů zdravotních pojišťoven včetně příslušenství celkem cca </w:t>
      </w:r>
      <w:r w:rsidR="00D8642E" w:rsidRPr="00FF3BD9">
        <w:rPr>
          <w:b/>
        </w:rPr>
        <w:t>82</w:t>
      </w:r>
      <w:r w:rsidR="00755722" w:rsidRPr="00FF3BD9">
        <w:rPr>
          <w:b/>
        </w:rPr>
        <w:t> mil. Kč</w:t>
      </w:r>
      <w:r w:rsidR="00755722" w:rsidRPr="00FF3BD9">
        <w:rPr>
          <w:rFonts w:cs="Arial"/>
        </w:rPr>
        <w:t>. Náklady v platové sféře budou zabezpečeny v rámci stávajících výdajových limitů státního rozpočtu.</w:t>
      </w:r>
    </w:p>
    <w:p w:rsidR="000B2C68" w:rsidRPr="00FF3BD9" w:rsidRDefault="000B2C68" w:rsidP="000B2C68">
      <w:pPr>
        <w:spacing w:line="360" w:lineRule="auto"/>
        <w:ind w:firstLine="426"/>
      </w:pPr>
      <w:r w:rsidRPr="00FF3BD9">
        <w:t xml:space="preserve">Zvýšení minimální mzdy o 1 650 Kč za měsíc by se mělo pozitivně projevit také ve vyšších příjmech systémů sociálního a zdravotního pojištění. Předpokládaný nárůst příjmů sociálního pojištění (od zaměstnavatelů i zaměstnanců) by mohl činit cca </w:t>
      </w:r>
      <w:r w:rsidR="00864C95" w:rsidRPr="00FF3BD9">
        <w:rPr>
          <w:b/>
        </w:rPr>
        <w:t>1,2</w:t>
      </w:r>
      <w:r w:rsidRPr="00FF3BD9">
        <w:rPr>
          <w:b/>
        </w:rPr>
        <w:t xml:space="preserve"> mld. Kč</w:t>
      </w:r>
      <w:r w:rsidRPr="00FF3BD9">
        <w:t xml:space="preserve"> za rok. Příjmy ze zdravotního pojištění by se mohly zvýšit o cca </w:t>
      </w:r>
      <w:r w:rsidR="002A3E56" w:rsidRPr="00FF3BD9">
        <w:rPr>
          <w:b/>
        </w:rPr>
        <w:t>510</w:t>
      </w:r>
      <w:r w:rsidRPr="00FF3BD9">
        <w:rPr>
          <w:b/>
        </w:rPr>
        <w:t> mil. Kč</w:t>
      </w:r>
      <w:r w:rsidRPr="00FF3BD9">
        <w:t xml:space="preserve"> za rok.</w:t>
      </w:r>
    </w:p>
    <w:p w:rsidR="003B5F91" w:rsidRDefault="003B5F91" w:rsidP="003B5F91">
      <w:pPr>
        <w:spacing w:line="360" w:lineRule="auto"/>
        <w:ind w:firstLine="426"/>
      </w:pPr>
    </w:p>
    <w:p w:rsidR="003B5F91" w:rsidRDefault="003B5F91" w:rsidP="003B5F91">
      <w:pPr>
        <w:spacing w:line="360" w:lineRule="auto"/>
      </w:pPr>
      <w:r>
        <w:rPr>
          <w:b/>
        </w:rPr>
        <w:t xml:space="preserve">V A R I A N T A  I </w:t>
      </w:r>
      <w:proofErr w:type="spellStart"/>
      <w:r>
        <w:rPr>
          <w:b/>
        </w:rPr>
        <w:t>I</w:t>
      </w:r>
      <w:proofErr w:type="spellEnd"/>
      <w:r>
        <w:rPr>
          <w:b/>
        </w:rPr>
        <w:t xml:space="preserve"> </w:t>
      </w:r>
      <w:proofErr w:type="spellStart"/>
      <w:r>
        <w:rPr>
          <w:b/>
        </w:rPr>
        <w:t>I</w:t>
      </w:r>
      <w:proofErr w:type="spellEnd"/>
    </w:p>
    <w:p w:rsidR="003B5F91" w:rsidRPr="00C74E21" w:rsidRDefault="003B5F91" w:rsidP="003B5F91">
      <w:pPr>
        <w:spacing w:after="120" w:line="360" w:lineRule="auto"/>
        <w:ind w:firstLine="426"/>
      </w:pPr>
      <w:r w:rsidRPr="00B96E82">
        <w:t>Při zvýšení základní měsí</w:t>
      </w:r>
      <w:r w:rsidRPr="00EF47DC">
        <w:t xml:space="preserve">ční sazby minimální mzdy na </w:t>
      </w:r>
      <w:r w:rsidRPr="00EF47DC">
        <w:rPr>
          <w:b/>
        </w:rPr>
        <w:t xml:space="preserve">14 500 Kč </w:t>
      </w:r>
      <w:r w:rsidRPr="00EF47DC">
        <w:t xml:space="preserve">bude činit absolutní rozdíl proti současnému stavu 1 150 Kč; v relativním vyjádření půjde o 8,6 % zvýšení. Základní hodinová sazba minimální mzdy ve výši </w:t>
      </w:r>
      <w:r w:rsidRPr="00EF47DC">
        <w:rPr>
          <w:b/>
        </w:rPr>
        <w:t>86,70 Kč</w:t>
      </w:r>
      <w:r w:rsidRPr="00EF47DC">
        <w:t xml:space="preserve"> v absolutním vyjádření představuje zvýšení o 6,9</w:t>
      </w:r>
      <w:r w:rsidR="006F408E">
        <w:t>0</w:t>
      </w:r>
      <w:r w:rsidRPr="00EF47DC">
        <w:t xml:space="preserve"> Kč</w:t>
      </w:r>
      <w:r w:rsidRPr="00C74E21">
        <w:t xml:space="preserve">. </w:t>
      </w:r>
    </w:p>
    <w:p w:rsidR="003B5F91" w:rsidRDefault="003B5F91" w:rsidP="003B5F91">
      <w:pPr>
        <w:spacing w:line="360" w:lineRule="auto"/>
      </w:pPr>
      <w:r w:rsidRPr="00C74E21">
        <w:lastRenderedPageBreak/>
        <w:t>Valorizované částky nejnižších úrovní zaručené mzdy pro stanovenou týdenní pracovní dobu 40 hodin by činily:</w:t>
      </w:r>
    </w:p>
    <w:p w:rsidR="00D061DA" w:rsidRDefault="00D061DA" w:rsidP="003B5F91">
      <w:pPr>
        <w:spacing w:line="360" w:lineRule="auto"/>
      </w:pPr>
    </w:p>
    <w:p w:rsidR="003B5F91" w:rsidRPr="00C74E21" w:rsidRDefault="003B5F91" w:rsidP="003B5F91">
      <w:pPr>
        <w:ind w:firstLine="708"/>
        <w:rPr>
          <w:b/>
        </w:rPr>
      </w:pPr>
      <w:r w:rsidRPr="00C74E21">
        <w:rPr>
          <w:b/>
        </w:rPr>
        <w:t xml:space="preserve">Tab.: Nejnižší úrovně zaručené mzdy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1"/>
        <w:gridCol w:w="2552"/>
      </w:tblGrid>
      <w:tr w:rsidR="003B5F91" w:rsidRPr="00C74E21" w:rsidTr="00060211">
        <w:trPr>
          <w:jc w:val="center"/>
        </w:trPr>
        <w:tc>
          <w:tcPr>
            <w:tcW w:w="2376" w:type="dxa"/>
            <w:vMerge w:val="restart"/>
            <w:tcBorders>
              <w:top w:val="single" w:sz="12" w:space="0" w:color="auto"/>
              <w:left w:val="single" w:sz="12" w:space="0" w:color="auto"/>
            </w:tcBorders>
            <w:shd w:val="clear" w:color="auto" w:fill="D9D9D9"/>
            <w:vAlign w:val="center"/>
          </w:tcPr>
          <w:p w:rsidR="003B5F91" w:rsidRPr="00C74E21" w:rsidRDefault="003B5F91" w:rsidP="00060211">
            <w:pPr>
              <w:jc w:val="center"/>
              <w:rPr>
                <w:b/>
              </w:rPr>
            </w:pPr>
            <w:r w:rsidRPr="00C74E21">
              <w:rPr>
                <w:b/>
              </w:rPr>
              <w:t>Skupina prací</w:t>
            </w:r>
          </w:p>
        </w:tc>
        <w:tc>
          <w:tcPr>
            <w:tcW w:w="5103" w:type="dxa"/>
            <w:gridSpan w:val="2"/>
            <w:tcBorders>
              <w:top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Nejnižší úroveň zaručené mzdy</w:t>
            </w:r>
          </w:p>
        </w:tc>
      </w:tr>
      <w:tr w:rsidR="003B5F91" w:rsidRPr="00C74E21" w:rsidTr="00060211">
        <w:trPr>
          <w:jc w:val="center"/>
        </w:trPr>
        <w:tc>
          <w:tcPr>
            <w:tcW w:w="2376" w:type="dxa"/>
            <w:vMerge/>
            <w:tcBorders>
              <w:left w:val="single" w:sz="12" w:space="0" w:color="auto"/>
              <w:bottom w:val="single" w:sz="12" w:space="0" w:color="auto"/>
            </w:tcBorders>
            <w:shd w:val="clear" w:color="auto" w:fill="D9D9D9"/>
            <w:vAlign w:val="center"/>
          </w:tcPr>
          <w:p w:rsidR="003B5F91" w:rsidRPr="00C74E21" w:rsidRDefault="003B5F91" w:rsidP="00060211">
            <w:pPr>
              <w:jc w:val="center"/>
              <w:rPr>
                <w:b/>
              </w:rPr>
            </w:pPr>
          </w:p>
        </w:tc>
        <w:tc>
          <w:tcPr>
            <w:tcW w:w="2551" w:type="dxa"/>
            <w:tcBorders>
              <w:bottom w:val="single" w:sz="12" w:space="0" w:color="auto"/>
            </w:tcBorders>
            <w:shd w:val="clear" w:color="auto" w:fill="D9D9D9"/>
            <w:vAlign w:val="center"/>
          </w:tcPr>
          <w:p w:rsidR="003B5F91" w:rsidRPr="00C74E21" w:rsidRDefault="003B5F91" w:rsidP="00060211">
            <w:pPr>
              <w:jc w:val="center"/>
              <w:rPr>
                <w:b/>
              </w:rPr>
            </w:pPr>
            <w:r w:rsidRPr="00C74E21">
              <w:rPr>
                <w:b/>
              </w:rPr>
              <w:t>v Kč za hodinu</w:t>
            </w:r>
          </w:p>
        </w:tc>
        <w:tc>
          <w:tcPr>
            <w:tcW w:w="2552" w:type="dxa"/>
            <w:tcBorders>
              <w:bottom w:val="single" w:sz="12" w:space="0" w:color="auto"/>
              <w:right w:val="single" w:sz="12" w:space="0" w:color="auto"/>
            </w:tcBorders>
            <w:shd w:val="clear" w:color="auto" w:fill="D9D9D9"/>
            <w:vAlign w:val="center"/>
          </w:tcPr>
          <w:p w:rsidR="003B5F91" w:rsidRPr="00C74E21" w:rsidRDefault="003B5F91" w:rsidP="00060211">
            <w:pPr>
              <w:jc w:val="center"/>
              <w:rPr>
                <w:b/>
              </w:rPr>
            </w:pPr>
            <w:r w:rsidRPr="00C74E21">
              <w:rPr>
                <w:b/>
              </w:rPr>
              <w:t>v Kč za měsíc</w:t>
            </w:r>
          </w:p>
        </w:tc>
      </w:tr>
      <w:tr w:rsidR="00785986" w:rsidRPr="00C74E21" w:rsidTr="00060211">
        <w:trPr>
          <w:jc w:val="center"/>
        </w:trPr>
        <w:tc>
          <w:tcPr>
            <w:tcW w:w="2376" w:type="dxa"/>
            <w:tcBorders>
              <w:top w:val="single" w:sz="12" w:space="0" w:color="auto"/>
              <w:left w:val="single" w:sz="12" w:space="0" w:color="auto"/>
            </w:tcBorders>
            <w:shd w:val="clear" w:color="auto" w:fill="auto"/>
            <w:vAlign w:val="center"/>
          </w:tcPr>
          <w:p w:rsidR="00785986" w:rsidRPr="00C74E21" w:rsidRDefault="00785986" w:rsidP="00785986">
            <w:pPr>
              <w:jc w:val="center"/>
            </w:pPr>
            <w:r w:rsidRPr="00C74E21">
              <w:t>1.</w:t>
            </w:r>
          </w:p>
        </w:tc>
        <w:tc>
          <w:tcPr>
            <w:tcW w:w="2551" w:type="dxa"/>
            <w:tcBorders>
              <w:top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86,70</w:t>
            </w:r>
          </w:p>
        </w:tc>
        <w:tc>
          <w:tcPr>
            <w:tcW w:w="2552" w:type="dxa"/>
            <w:tcBorders>
              <w:top w:val="single" w:sz="12" w:space="0" w:color="auto"/>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14 500</w:t>
            </w:r>
          </w:p>
        </w:tc>
      </w:tr>
      <w:tr w:rsidR="00785986" w:rsidRPr="00C74E21" w:rsidTr="00060211">
        <w:trPr>
          <w:jc w:val="center"/>
        </w:trPr>
        <w:tc>
          <w:tcPr>
            <w:tcW w:w="2376" w:type="dxa"/>
            <w:tcBorders>
              <w:left w:val="single" w:sz="12" w:space="0" w:color="auto"/>
            </w:tcBorders>
            <w:shd w:val="clear" w:color="auto" w:fill="auto"/>
            <w:vAlign w:val="center"/>
          </w:tcPr>
          <w:p w:rsidR="00785986" w:rsidRPr="00C74E21" w:rsidRDefault="00785986" w:rsidP="00785986">
            <w:pPr>
              <w:jc w:val="center"/>
            </w:pPr>
            <w:r w:rsidRPr="00C74E21">
              <w:t>2.</w:t>
            </w:r>
          </w:p>
        </w:tc>
        <w:tc>
          <w:tcPr>
            <w:tcW w:w="2551" w:type="dxa"/>
            <w:shd w:val="clear" w:color="auto" w:fill="auto"/>
            <w:vAlign w:val="bottom"/>
          </w:tcPr>
          <w:p w:rsidR="00785986" w:rsidRPr="00785986" w:rsidRDefault="00785986" w:rsidP="00785986">
            <w:pPr>
              <w:jc w:val="center"/>
              <w:rPr>
                <w:bCs/>
                <w:color w:val="000000"/>
              </w:rPr>
            </w:pPr>
            <w:r w:rsidRPr="00785986">
              <w:rPr>
                <w:bCs/>
                <w:color w:val="000000"/>
              </w:rPr>
              <w:t>95,70</w:t>
            </w:r>
          </w:p>
        </w:tc>
        <w:tc>
          <w:tcPr>
            <w:tcW w:w="2552" w:type="dxa"/>
            <w:tcBorders>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16 000</w:t>
            </w:r>
          </w:p>
        </w:tc>
      </w:tr>
      <w:tr w:rsidR="00785986" w:rsidRPr="00C74E21" w:rsidTr="00060211">
        <w:trPr>
          <w:jc w:val="center"/>
        </w:trPr>
        <w:tc>
          <w:tcPr>
            <w:tcW w:w="2376" w:type="dxa"/>
            <w:tcBorders>
              <w:left w:val="single" w:sz="12" w:space="0" w:color="auto"/>
            </w:tcBorders>
            <w:shd w:val="clear" w:color="auto" w:fill="auto"/>
            <w:vAlign w:val="center"/>
          </w:tcPr>
          <w:p w:rsidR="00785986" w:rsidRPr="00C74E21" w:rsidRDefault="00785986" w:rsidP="00785986">
            <w:pPr>
              <w:jc w:val="center"/>
            </w:pPr>
            <w:r w:rsidRPr="00C74E21">
              <w:t>3.</w:t>
            </w:r>
          </w:p>
        </w:tc>
        <w:tc>
          <w:tcPr>
            <w:tcW w:w="2551" w:type="dxa"/>
            <w:shd w:val="clear" w:color="auto" w:fill="auto"/>
            <w:vAlign w:val="bottom"/>
          </w:tcPr>
          <w:p w:rsidR="00785986" w:rsidRPr="00785986" w:rsidRDefault="00785986" w:rsidP="00785986">
            <w:pPr>
              <w:jc w:val="center"/>
              <w:rPr>
                <w:bCs/>
                <w:color w:val="000000"/>
              </w:rPr>
            </w:pPr>
            <w:r w:rsidRPr="00785986">
              <w:rPr>
                <w:bCs/>
                <w:color w:val="000000"/>
              </w:rPr>
              <w:t>105,60</w:t>
            </w:r>
          </w:p>
        </w:tc>
        <w:tc>
          <w:tcPr>
            <w:tcW w:w="2552" w:type="dxa"/>
            <w:tcBorders>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17 700</w:t>
            </w:r>
          </w:p>
        </w:tc>
      </w:tr>
      <w:tr w:rsidR="00785986" w:rsidRPr="00C74E21" w:rsidTr="00060211">
        <w:trPr>
          <w:jc w:val="center"/>
        </w:trPr>
        <w:tc>
          <w:tcPr>
            <w:tcW w:w="2376" w:type="dxa"/>
            <w:tcBorders>
              <w:left w:val="single" w:sz="12" w:space="0" w:color="auto"/>
            </w:tcBorders>
            <w:shd w:val="clear" w:color="auto" w:fill="auto"/>
            <w:vAlign w:val="center"/>
          </w:tcPr>
          <w:p w:rsidR="00785986" w:rsidRPr="00C74E21" w:rsidRDefault="00785986" w:rsidP="00785986">
            <w:pPr>
              <w:jc w:val="center"/>
            </w:pPr>
            <w:r w:rsidRPr="00C74E21">
              <w:t>4.</w:t>
            </w:r>
          </w:p>
        </w:tc>
        <w:tc>
          <w:tcPr>
            <w:tcW w:w="2551" w:type="dxa"/>
            <w:shd w:val="clear" w:color="auto" w:fill="auto"/>
            <w:vAlign w:val="bottom"/>
          </w:tcPr>
          <w:p w:rsidR="00785986" w:rsidRPr="00785986" w:rsidRDefault="00785986" w:rsidP="00785986">
            <w:pPr>
              <w:jc w:val="center"/>
              <w:rPr>
                <w:bCs/>
                <w:color w:val="000000"/>
              </w:rPr>
            </w:pPr>
            <w:r w:rsidRPr="00785986">
              <w:rPr>
                <w:bCs/>
                <w:color w:val="000000"/>
              </w:rPr>
              <w:t>116,60</w:t>
            </w:r>
          </w:p>
        </w:tc>
        <w:tc>
          <w:tcPr>
            <w:tcW w:w="2552" w:type="dxa"/>
            <w:tcBorders>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19 500</w:t>
            </w:r>
          </w:p>
        </w:tc>
      </w:tr>
      <w:tr w:rsidR="00785986" w:rsidRPr="00C74E21" w:rsidTr="00060211">
        <w:trPr>
          <w:jc w:val="center"/>
        </w:trPr>
        <w:tc>
          <w:tcPr>
            <w:tcW w:w="2376" w:type="dxa"/>
            <w:tcBorders>
              <w:left w:val="single" w:sz="12" w:space="0" w:color="auto"/>
            </w:tcBorders>
            <w:shd w:val="clear" w:color="auto" w:fill="auto"/>
            <w:vAlign w:val="center"/>
          </w:tcPr>
          <w:p w:rsidR="00785986" w:rsidRPr="00C74E21" w:rsidRDefault="00785986" w:rsidP="00785986">
            <w:pPr>
              <w:jc w:val="center"/>
            </w:pPr>
            <w:r w:rsidRPr="00C74E21">
              <w:t>5.</w:t>
            </w:r>
          </w:p>
        </w:tc>
        <w:tc>
          <w:tcPr>
            <w:tcW w:w="2551" w:type="dxa"/>
            <w:shd w:val="clear" w:color="auto" w:fill="auto"/>
            <w:vAlign w:val="bottom"/>
          </w:tcPr>
          <w:p w:rsidR="00785986" w:rsidRPr="00785986" w:rsidRDefault="00785986" w:rsidP="00785986">
            <w:pPr>
              <w:jc w:val="center"/>
              <w:rPr>
                <w:bCs/>
                <w:color w:val="000000"/>
              </w:rPr>
            </w:pPr>
            <w:r w:rsidRPr="00785986">
              <w:rPr>
                <w:bCs/>
                <w:color w:val="000000"/>
              </w:rPr>
              <w:t>128,80</w:t>
            </w:r>
          </w:p>
        </w:tc>
        <w:tc>
          <w:tcPr>
            <w:tcW w:w="2552" w:type="dxa"/>
            <w:tcBorders>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21 600</w:t>
            </w:r>
          </w:p>
        </w:tc>
      </w:tr>
      <w:tr w:rsidR="00785986" w:rsidRPr="00C74E21" w:rsidTr="00060211">
        <w:trPr>
          <w:jc w:val="center"/>
        </w:trPr>
        <w:tc>
          <w:tcPr>
            <w:tcW w:w="2376" w:type="dxa"/>
            <w:tcBorders>
              <w:left w:val="single" w:sz="12" w:space="0" w:color="auto"/>
            </w:tcBorders>
            <w:shd w:val="clear" w:color="auto" w:fill="auto"/>
            <w:vAlign w:val="center"/>
          </w:tcPr>
          <w:p w:rsidR="00785986" w:rsidRPr="00C74E21" w:rsidRDefault="00785986" w:rsidP="00785986">
            <w:pPr>
              <w:jc w:val="center"/>
            </w:pPr>
            <w:r w:rsidRPr="00C74E21">
              <w:t>6.</w:t>
            </w:r>
          </w:p>
        </w:tc>
        <w:tc>
          <w:tcPr>
            <w:tcW w:w="2551" w:type="dxa"/>
            <w:shd w:val="clear" w:color="auto" w:fill="auto"/>
            <w:vAlign w:val="bottom"/>
          </w:tcPr>
          <w:p w:rsidR="00785986" w:rsidRPr="00785986" w:rsidRDefault="00785986" w:rsidP="00785986">
            <w:pPr>
              <w:jc w:val="center"/>
              <w:rPr>
                <w:bCs/>
                <w:color w:val="000000"/>
              </w:rPr>
            </w:pPr>
            <w:r w:rsidRPr="00785986">
              <w:rPr>
                <w:bCs/>
                <w:color w:val="000000"/>
              </w:rPr>
              <w:t>142,20</w:t>
            </w:r>
          </w:p>
        </w:tc>
        <w:tc>
          <w:tcPr>
            <w:tcW w:w="2552" w:type="dxa"/>
            <w:tcBorders>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23 800</w:t>
            </w:r>
          </w:p>
        </w:tc>
      </w:tr>
      <w:tr w:rsidR="00785986" w:rsidRPr="00C74E21" w:rsidTr="00060211">
        <w:trPr>
          <w:jc w:val="center"/>
        </w:trPr>
        <w:tc>
          <w:tcPr>
            <w:tcW w:w="2376" w:type="dxa"/>
            <w:tcBorders>
              <w:left w:val="single" w:sz="12" w:space="0" w:color="auto"/>
            </w:tcBorders>
            <w:shd w:val="clear" w:color="auto" w:fill="auto"/>
            <w:vAlign w:val="center"/>
          </w:tcPr>
          <w:p w:rsidR="00785986" w:rsidRPr="00C74E21" w:rsidRDefault="00785986" w:rsidP="00785986">
            <w:pPr>
              <w:jc w:val="center"/>
            </w:pPr>
            <w:r w:rsidRPr="00C74E21">
              <w:t>7.</w:t>
            </w:r>
          </w:p>
        </w:tc>
        <w:tc>
          <w:tcPr>
            <w:tcW w:w="2551" w:type="dxa"/>
            <w:shd w:val="clear" w:color="auto" w:fill="auto"/>
            <w:vAlign w:val="bottom"/>
          </w:tcPr>
          <w:p w:rsidR="00785986" w:rsidRPr="00785986" w:rsidRDefault="00785986" w:rsidP="00785986">
            <w:pPr>
              <w:jc w:val="center"/>
              <w:rPr>
                <w:bCs/>
                <w:color w:val="000000"/>
              </w:rPr>
            </w:pPr>
            <w:r w:rsidRPr="00785986">
              <w:rPr>
                <w:bCs/>
                <w:color w:val="000000"/>
              </w:rPr>
              <w:t>157,00</w:t>
            </w:r>
          </w:p>
        </w:tc>
        <w:tc>
          <w:tcPr>
            <w:tcW w:w="2552" w:type="dxa"/>
            <w:tcBorders>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26 300</w:t>
            </w:r>
          </w:p>
        </w:tc>
      </w:tr>
      <w:tr w:rsidR="00785986" w:rsidRPr="00C74E21" w:rsidTr="00060211">
        <w:trPr>
          <w:jc w:val="center"/>
        </w:trPr>
        <w:tc>
          <w:tcPr>
            <w:tcW w:w="2376" w:type="dxa"/>
            <w:tcBorders>
              <w:left w:val="single" w:sz="12" w:space="0" w:color="auto"/>
              <w:bottom w:val="single" w:sz="12" w:space="0" w:color="auto"/>
            </w:tcBorders>
            <w:shd w:val="clear" w:color="auto" w:fill="auto"/>
            <w:vAlign w:val="center"/>
          </w:tcPr>
          <w:p w:rsidR="00785986" w:rsidRPr="00C74E21" w:rsidRDefault="00785986" w:rsidP="00785986">
            <w:pPr>
              <w:jc w:val="center"/>
            </w:pPr>
            <w:r w:rsidRPr="00C74E21">
              <w:t>8.</w:t>
            </w:r>
          </w:p>
        </w:tc>
        <w:tc>
          <w:tcPr>
            <w:tcW w:w="2551" w:type="dxa"/>
            <w:tcBorders>
              <w:bottom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173,40</w:t>
            </w:r>
          </w:p>
        </w:tc>
        <w:tc>
          <w:tcPr>
            <w:tcW w:w="2552" w:type="dxa"/>
            <w:tcBorders>
              <w:bottom w:val="single" w:sz="12" w:space="0" w:color="auto"/>
              <w:right w:val="single" w:sz="12" w:space="0" w:color="auto"/>
            </w:tcBorders>
            <w:shd w:val="clear" w:color="auto" w:fill="auto"/>
            <w:vAlign w:val="bottom"/>
          </w:tcPr>
          <w:p w:rsidR="00785986" w:rsidRPr="00785986" w:rsidRDefault="00785986" w:rsidP="00785986">
            <w:pPr>
              <w:jc w:val="center"/>
              <w:rPr>
                <w:bCs/>
                <w:color w:val="000000"/>
              </w:rPr>
            </w:pPr>
            <w:r w:rsidRPr="00785986">
              <w:rPr>
                <w:bCs/>
                <w:color w:val="000000"/>
              </w:rPr>
              <w:t>29 000</w:t>
            </w:r>
          </w:p>
        </w:tc>
      </w:tr>
    </w:tbl>
    <w:p w:rsidR="003B5F91" w:rsidRPr="00C74E21" w:rsidRDefault="003B5F91" w:rsidP="003B5F91">
      <w:pPr>
        <w:spacing w:line="360" w:lineRule="auto"/>
      </w:pPr>
    </w:p>
    <w:p w:rsidR="006F408E" w:rsidRPr="00FF3BD9" w:rsidRDefault="000B2C68" w:rsidP="000B2C68">
      <w:pPr>
        <w:spacing w:line="360" w:lineRule="auto"/>
        <w:ind w:firstLine="426"/>
      </w:pPr>
      <w:r>
        <w:rPr>
          <w:rFonts w:cs="Arial"/>
        </w:rPr>
        <w:t>P</w:t>
      </w:r>
      <w:r w:rsidRPr="007C7943">
        <w:rPr>
          <w:rFonts w:cs="Arial"/>
        </w:rPr>
        <w:t>odle dostupných údajů</w:t>
      </w:r>
      <w:r>
        <w:rPr>
          <w:rFonts w:cs="Arial"/>
        </w:rPr>
        <w:t xml:space="preserve"> lze</w:t>
      </w:r>
      <w:r w:rsidRPr="007C7943">
        <w:rPr>
          <w:rFonts w:cs="Arial"/>
        </w:rPr>
        <w:t xml:space="preserve"> předpokládat</w:t>
      </w:r>
      <w:r>
        <w:rPr>
          <w:rFonts w:cs="Arial"/>
        </w:rPr>
        <w:t>, že v důsledku navrhovaného zvýš</w:t>
      </w:r>
      <w:r w:rsidRPr="007C7943">
        <w:rPr>
          <w:rFonts w:cs="Arial"/>
        </w:rPr>
        <w:t xml:space="preserve">ení </w:t>
      </w:r>
      <w:r>
        <w:rPr>
          <w:rFonts w:cs="Arial"/>
        </w:rPr>
        <w:t xml:space="preserve">minimální mzdy a nejnižších úrovní zaručené mzdy by došlo k nárůstu </w:t>
      </w:r>
      <w:r w:rsidRPr="007C7943">
        <w:rPr>
          <w:rFonts w:cs="Arial"/>
        </w:rPr>
        <w:t xml:space="preserve">ročních mzdových nákladů zaměstnavatelů </w:t>
      </w:r>
      <w:r>
        <w:rPr>
          <w:rFonts w:cs="Arial"/>
        </w:rPr>
        <w:t xml:space="preserve">v </w:t>
      </w:r>
      <w:r w:rsidRPr="007C7943">
        <w:rPr>
          <w:rFonts w:cs="Arial"/>
        </w:rPr>
        <w:t>platové (</w:t>
      </w:r>
      <w:proofErr w:type="spellStart"/>
      <w:r w:rsidRPr="007C7943">
        <w:rPr>
          <w:rFonts w:cs="Arial"/>
        </w:rPr>
        <w:t>nepodnikatelské</w:t>
      </w:r>
      <w:proofErr w:type="spellEnd"/>
      <w:r w:rsidRPr="007C7943">
        <w:rPr>
          <w:rFonts w:cs="Arial"/>
        </w:rPr>
        <w:t xml:space="preserve">) </w:t>
      </w:r>
      <w:r w:rsidRPr="00FF3BD9">
        <w:rPr>
          <w:rFonts w:cs="Arial"/>
        </w:rPr>
        <w:t>sféře o cca </w:t>
      </w:r>
      <w:r w:rsidR="00095383" w:rsidRPr="00FF3BD9">
        <w:rPr>
          <w:rFonts w:cs="Arial"/>
          <w:b/>
        </w:rPr>
        <w:t>527</w:t>
      </w:r>
      <w:r w:rsidR="005429D4" w:rsidRPr="00FF3BD9">
        <w:rPr>
          <w:rFonts w:cs="Arial"/>
          <w:b/>
        </w:rPr>
        <w:t xml:space="preserve"> mil</w:t>
      </w:r>
      <w:r w:rsidRPr="00FF3BD9">
        <w:rPr>
          <w:rFonts w:cs="Arial"/>
          <w:b/>
        </w:rPr>
        <w:t>. Kč</w:t>
      </w:r>
      <w:r w:rsidR="00FC5B00" w:rsidRPr="00FC5B00">
        <w:rPr>
          <w:rFonts w:cs="Arial"/>
        </w:rPr>
        <w:t>,</w:t>
      </w:r>
      <w:r w:rsidRPr="00FF3BD9">
        <w:rPr>
          <w:rFonts w:cs="Arial"/>
          <w:b/>
        </w:rPr>
        <w:t xml:space="preserve"> </w:t>
      </w:r>
      <w:r w:rsidR="00755722" w:rsidRPr="00FF3BD9">
        <w:t xml:space="preserve">z toho doplatky ze státního rozpočtu včetně příslušenství by činily celkem cca </w:t>
      </w:r>
      <w:r w:rsidR="00095383" w:rsidRPr="00FF3BD9">
        <w:rPr>
          <w:b/>
        </w:rPr>
        <w:t>285</w:t>
      </w:r>
      <w:r w:rsidR="00755722" w:rsidRPr="00FF3BD9">
        <w:rPr>
          <w:b/>
        </w:rPr>
        <w:t xml:space="preserve"> mil. Kč</w:t>
      </w:r>
      <w:r w:rsidR="00755722" w:rsidRPr="00FF3BD9">
        <w:t>, z rozpočtů územních samosprávných celků včetně příslušenství celkem cca </w:t>
      </w:r>
      <w:r w:rsidR="00095383" w:rsidRPr="00FF3BD9">
        <w:rPr>
          <w:b/>
        </w:rPr>
        <w:t>190</w:t>
      </w:r>
      <w:r w:rsidR="00755722" w:rsidRPr="00FF3BD9">
        <w:rPr>
          <w:b/>
        </w:rPr>
        <w:t xml:space="preserve"> mil. Kč</w:t>
      </w:r>
      <w:r w:rsidR="00755722" w:rsidRPr="00FF3BD9">
        <w:t xml:space="preserve"> a z rozpočtů zdra</w:t>
      </w:r>
      <w:bookmarkStart w:id="0" w:name="_GoBack"/>
      <w:bookmarkEnd w:id="0"/>
      <w:r w:rsidR="00755722" w:rsidRPr="00FF3BD9">
        <w:t xml:space="preserve">votních pojišťoven včetně příslušenství celkem cca </w:t>
      </w:r>
      <w:r w:rsidR="00095383" w:rsidRPr="00FF3BD9">
        <w:rPr>
          <w:b/>
        </w:rPr>
        <w:t>52</w:t>
      </w:r>
      <w:r w:rsidR="00755722" w:rsidRPr="00FF3BD9">
        <w:rPr>
          <w:b/>
        </w:rPr>
        <w:t> mil. Kč</w:t>
      </w:r>
      <w:r w:rsidR="00755722" w:rsidRPr="00FF3BD9">
        <w:rPr>
          <w:rFonts w:cs="Arial"/>
        </w:rPr>
        <w:t>. Náklady v platové sféře budou zabezpečeny v rámci stávajících výdajových limitů státního rozpočtu.</w:t>
      </w:r>
    </w:p>
    <w:p w:rsidR="000B2C68" w:rsidRPr="00FF3BD9" w:rsidRDefault="000B2C68" w:rsidP="000B2C68">
      <w:pPr>
        <w:spacing w:line="360" w:lineRule="auto"/>
        <w:ind w:firstLine="426"/>
      </w:pPr>
      <w:r w:rsidRPr="00FF3BD9">
        <w:t xml:space="preserve">Zvýšení minimální mzdy o 1 150 Kč za měsíc by se mělo pozitivně projevit také ve vyšších příjmech systémů sociálního a zdravotního pojištění. Předpokládaný nárůst příjmů sociálního pojištění (od zaměstnavatelů i zaměstnanců) by mohl činit cca </w:t>
      </w:r>
      <w:r w:rsidR="00671D16" w:rsidRPr="00FF3BD9">
        <w:rPr>
          <w:b/>
        </w:rPr>
        <w:t>820</w:t>
      </w:r>
      <w:r w:rsidRPr="00FF3BD9">
        <w:rPr>
          <w:b/>
        </w:rPr>
        <w:t xml:space="preserve"> mil. Kč</w:t>
      </w:r>
      <w:r w:rsidRPr="00FF3BD9">
        <w:t xml:space="preserve"> za rok. Příjmy ze zdravotního pojištění by se mohly zvýšit o cca </w:t>
      </w:r>
      <w:r w:rsidR="00671D16" w:rsidRPr="00FF3BD9">
        <w:rPr>
          <w:b/>
        </w:rPr>
        <w:t>351</w:t>
      </w:r>
      <w:r w:rsidRPr="00FF3BD9">
        <w:rPr>
          <w:b/>
        </w:rPr>
        <w:t> mil. Kč</w:t>
      </w:r>
      <w:r w:rsidRPr="00FF3BD9">
        <w:t xml:space="preserve"> za rok.</w:t>
      </w:r>
    </w:p>
    <w:p w:rsidR="00F123FE" w:rsidRDefault="00F123FE" w:rsidP="00647C88">
      <w:pPr>
        <w:spacing w:line="360" w:lineRule="auto"/>
        <w:ind w:firstLine="426"/>
      </w:pPr>
    </w:p>
    <w:p w:rsidR="00BD30E2" w:rsidRPr="00713B59" w:rsidRDefault="00713B59" w:rsidP="007C4530">
      <w:pPr>
        <w:spacing w:line="360" w:lineRule="auto"/>
        <w:rPr>
          <w:u w:val="single"/>
        </w:rPr>
      </w:pPr>
      <w:r w:rsidRPr="00713B59">
        <w:rPr>
          <w:u w:val="single"/>
        </w:rPr>
        <w:t>2</w:t>
      </w:r>
      <w:r w:rsidR="00BD30E2" w:rsidRPr="00713B59">
        <w:rPr>
          <w:u w:val="single"/>
        </w:rPr>
        <w:t>.</w:t>
      </w:r>
      <w:r w:rsidR="00855032">
        <w:rPr>
          <w:u w:val="single"/>
        </w:rPr>
        <w:t>2</w:t>
      </w:r>
      <w:r w:rsidR="00BD30E2" w:rsidRPr="00713B59">
        <w:rPr>
          <w:u w:val="single"/>
        </w:rPr>
        <w:t xml:space="preserve"> Dopady na podnikatelské prostředí</w:t>
      </w:r>
    </w:p>
    <w:p w:rsidR="00D8061D" w:rsidRPr="00D8061D" w:rsidRDefault="00D8061D" w:rsidP="00D8061D">
      <w:pPr>
        <w:spacing w:line="360" w:lineRule="auto"/>
        <w:ind w:firstLine="426"/>
      </w:pPr>
      <w:r w:rsidRPr="00D8061D">
        <w:t>Pro zaměstnavatele by navrhované zvýšení minimální mzdy nemělo představovat podstatné riziko spojené s neúměrným zvýšením jejich n</w:t>
      </w:r>
      <w:r w:rsidR="00FE34DA">
        <w:t>ákladů, které by bylo spojené s </w:t>
      </w:r>
      <w:r w:rsidRPr="00D8061D">
        <w:t>propouštěním a nárůstem nezaměstnanosti. A to zejména v době, kdy úroveň nezaměstnanosti dosahuje rekordně nízkých hodnot a na trhu práce panuje nedostatek potřebné volné pracovní síly (včetně té nekvalifikované) a silná konkurence zaměstnav</w:t>
      </w:r>
      <w:r>
        <w:t>atelů při udržení stávajících i </w:t>
      </w:r>
      <w:r w:rsidRPr="00D8061D">
        <w:t xml:space="preserve">náboru nových zaměstnanců. V souvislosti s úpravou minimální mzdy nebyl v ČR nikdy v minulosti zaznamenán přímý vliv na růst nezaměstnanosti. Bezprostředně po zvýšení minimální mzdy docházelo jen k mírnému nárůstu podílu zaměstnanců odměňovaných minimální mzdou. Ani v předchozích letech, kdy docházelo k významnějšímu </w:t>
      </w:r>
      <w:r w:rsidRPr="00D8061D">
        <w:lastRenderedPageBreak/>
        <w:t>nárůstu minimální mzdy, nebyl zaznamenán nárůst nezaměstnanosti nebo pokles zaměstnanosti v rozhodujících odvětvích. Příznivý ekonomický vývoj a pop</w:t>
      </w:r>
      <w:r>
        <w:t>távka po pracovní síle vedla (i </w:t>
      </w:r>
      <w:r w:rsidRPr="00D8061D">
        <w:t>přes nárůst minimální mzdy) k růstu zaměstnanosti a poklesu nezaměstnanosti.</w:t>
      </w:r>
    </w:p>
    <w:p w:rsidR="00F42810" w:rsidRDefault="00F42810" w:rsidP="00647C88">
      <w:pPr>
        <w:spacing w:line="360" w:lineRule="auto"/>
        <w:ind w:firstLine="426"/>
      </w:pPr>
      <w:r w:rsidRPr="00F42810">
        <w:t>Studi</w:t>
      </w:r>
      <w:r w:rsidR="006D1BF9">
        <w:t>u</w:t>
      </w:r>
      <w:r w:rsidRPr="00F42810">
        <w:t xml:space="preserve"> vlivu zvýšení minimální mzdy na zaměstnanost se věnovalo několik odborných prací, např. </w:t>
      </w:r>
      <w:proofErr w:type="spellStart"/>
      <w:r w:rsidRPr="00F42810">
        <w:t>Gottvald</w:t>
      </w:r>
      <w:proofErr w:type="spellEnd"/>
      <w:r w:rsidRPr="00F42810">
        <w:t xml:space="preserve"> a kol. (2002)</w:t>
      </w:r>
      <w:r w:rsidR="00754552">
        <w:rPr>
          <w:rStyle w:val="Znakapoznpodarou"/>
        </w:rPr>
        <w:footnoteReference w:id="1"/>
      </w:r>
      <w:r w:rsidR="00771A96" w:rsidRPr="00771A96">
        <w:rPr>
          <w:vertAlign w:val="superscript"/>
        </w:rPr>
        <w:t>)</w:t>
      </w:r>
      <w:r w:rsidRPr="00F42810">
        <w:t xml:space="preserve">, </w:t>
      </w:r>
      <w:proofErr w:type="spellStart"/>
      <w:r w:rsidRPr="00F42810">
        <w:t>Eriksson</w:t>
      </w:r>
      <w:proofErr w:type="spellEnd"/>
      <w:r w:rsidRPr="00F42810">
        <w:t xml:space="preserve"> a Pytlíková (2004)</w:t>
      </w:r>
      <w:r w:rsidR="00754552">
        <w:rPr>
          <w:rStyle w:val="Znakapoznpodarou"/>
        </w:rPr>
        <w:footnoteReference w:id="2"/>
      </w:r>
      <w:r w:rsidR="00771A96" w:rsidRPr="00771A96">
        <w:rPr>
          <w:vertAlign w:val="superscript"/>
        </w:rPr>
        <w:t>)</w:t>
      </w:r>
      <w:r w:rsidRPr="00F42810">
        <w:t xml:space="preserve">, </w:t>
      </w:r>
      <w:proofErr w:type="spellStart"/>
      <w:r w:rsidRPr="00F42810">
        <w:t>Trexima</w:t>
      </w:r>
      <w:proofErr w:type="spellEnd"/>
      <w:r w:rsidRPr="00F42810">
        <w:t xml:space="preserve"> (2013)</w:t>
      </w:r>
      <w:r w:rsidR="00754552">
        <w:rPr>
          <w:rStyle w:val="Znakapoznpodarou"/>
        </w:rPr>
        <w:footnoteReference w:id="3"/>
      </w:r>
      <w:r w:rsidR="00771A96" w:rsidRPr="00771A96">
        <w:rPr>
          <w:vertAlign w:val="superscript"/>
        </w:rPr>
        <w:t>)</w:t>
      </w:r>
      <w:r w:rsidRPr="00F42810">
        <w:t>, či Úřad vlády (2014)</w:t>
      </w:r>
      <w:r w:rsidR="00754552">
        <w:rPr>
          <w:rStyle w:val="Znakapoznpodarou"/>
        </w:rPr>
        <w:footnoteReference w:id="4"/>
      </w:r>
      <w:r w:rsidR="00771A96" w:rsidRPr="00771A96">
        <w:rPr>
          <w:vertAlign w:val="superscript"/>
        </w:rPr>
        <w:t>)</w:t>
      </w:r>
      <w:r w:rsidRPr="00F42810">
        <w:t xml:space="preserve">. Tyto studie konstatují jen velmi malý, nebo žádný vliv růstu minimálních mezd na zaměstnanost. To je plně konzistentní se zahraničními studiemi, včetně výsledků odborných prací, které shrnují výsledky dosavadního výzkumu vlivu minimálních mezd na trh práce – </w:t>
      </w:r>
      <w:proofErr w:type="spellStart"/>
      <w:r w:rsidRPr="00F42810">
        <w:t>Schmitt</w:t>
      </w:r>
      <w:proofErr w:type="spellEnd"/>
      <w:r w:rsidRPr="00F42810">
        <w:t xml:space="preserve"> (2013)</w:t>
      </w:r>
      <w:r w:rsidR="00754552">
        <w:rPr>
          <w:rStyle w:val="Znakapoznpodarou"/>
        </w:rPr>
        <w:footnoteReference w:id="5"/>
      </w:r>
      <w:r w:rsidR="00771A96" w:rsidRPr="00771A96">
        <w:rPr>
          <w:vertAlign w:val="superscript"/>
        </w:rPr>
        <w:t>)</w:t>
      </w:r>
      <w:r w:rsidRPr="00F42810">
        <w:t>, Dube (2017)</w:t>
      </w:r>
      <w:r w:rsidR="00754552">
        <w:rPr>
          <w:rStyle w:val="Znakapoznpodarou"/>
        </w:rPr>
        <w:footnoteReference w:id="6"/>
      </w:r>
      <w:r w:rsidR="00771A96" w:rsidRPr="00771A96">
        <w:rPr>
          <w:vertAlign w:val="superscript"/>
        </w:rPr>
        <w:t>)</w:t>
      </w:r>
      <w:r w:rsidRPr="00F42810">
        <w:t>.</w:t>
      </w:r>
    </w:p>
    <w:p w:rsidR="00FE4352" w:rsidRPr="00FE4352" w:rsidRDefault="00FE4352" w:rsidP="00FE4352">
      <w:pPr>
        <w:spacing w:line="360" w:lineRule="auto"/>
        <w:ind w:firstLine="426"/>
      </w:pPr>
      <w:r w:rsidRPr="00FE4352">
        <w:t>Rovněž podle poslední publikované studie „Dopady zvyšování minimální mzdy v letech 2013 až 2017 na zaměstnanost a mzdy v České republice“ Institutu pro demokracii a ekonomickou analýzu (IDEA – CERGE EI) z dubna 2019</w:t>
      </w:r>
      <w:r w:rsidR="00771A96">
        <w:rPr>
          <w:rStyle w:val="Znakapoznpodarou"/>
        </w:rPr>
        <w:footnoteReference w:id="7"/>
      </w:r>
      <w:r w:rsidR="00E8134D" w:rsidRPr="00771A96">
        <w:rPr>
          <w:vertAlign w:val="superscript"/>
        </w:rPr>
        <w:t>)</w:t>
      </w:r>
      <w:r w:rsidRPr="00FE4352">
        <w:t xml:space="preserve"> neměly nárůsty minimální mzdy v uvedených letech negativní dopad na zaměstnanost a měly pozitivní efekt na růst mezd.</w:t>
      </w:r>
    </w:p>
    <w:p w:rsidR="00FE4352" w:rsidRDefault="00FE4352" w:rsidP="006F5562">
      <w:pPr>
        <w:spacing w:line="360" w:lineRule="auto"/>
        <w:ind w:firstLine="426"/>
      </w:pPr>
      <w:r w:rsidRPr="00FE4352">
        <w:t>Počet zaměstnanců odměňovaných minimální mzdou se týká jen jejich velmi malého počtu. Podle posledních dostupných údajů (za rok 2018) z Informačního systému o průměrném výdělku (ISPV) vyplývá, že minimální mzdou je odměňováno cca 4,6 % zaměstnanců, tj. 171</w:t>
      </w:r>
      <w:r>
        <w:t> </w:t>
      </w:r>
      <w:r w:rsidRPr="00FE4352">
        <w:t>tis.</w:t>
      </w:r>
      <w:r w:rsidR="00E8134D">
        <w:t xml:space="preserve"> </w:t>
      </w:r>
    </w:p>
    <w:p w:rsidR="00785986" w:rsidRDefault="00785986" w:rsidP="006F5562">
      <w:pPr>
        <w:spacing w:line="360" w:lineRule="auto"/>
        <w:ind w:firstLine="426"/>
      </w:pPr>
    </w:p>
    <w:p w:rsidR="00966A31" w:rsidRDefault="00966A31" w:rsidP="00966A31">
      <w:pPr>
        <w:spacing w:line="360" w:lineRule="auto"/>
        <w:rPr>
          <w:b/>
        </w:rPr>
      </w:pPr>
      <w:r>
        <w:rPr>
          <w:b/>
        </w:rPr>
        <w:t>V A R I A N T A  I</w:t>
      </w:r>
    </w:p>
    <w:p w:rsidR="00966A31" w:rsidRPr="00FE4352" w:rsidRDefault="00FE4352" w:rsidP="00FE4352">
      <w:pPr>
        <w:spacing w:line="360" w:lineRule="auto"/>
        <w:ind w:firstLine="709"/>
        <w:rPr>
          <w:color w:val="FF0000"/>
        </w:rPr>
      </w:pPr>
      <w:r w:rsidRPr="00FE4352">
        <w:t xml:space="preserve">V případě nárůstu minimální mzdy o 1 350 Kč za měsíc by mzdové náklady na jednoho zaměstnance odměňovaného touto mzdou (včetně odvodů pojistného na sociální a zdravotní pojištění) vzrostly o 21 676 Kč za rok. V souvislosti s navrhovaným zvýšením </w:t>
      </w:r>
      <w:r w:rsidRPr="00FE4352">
        <w:lastRenderedPageBreak/>
        <w:t>minimální mzdy zaměstnancům odměňovaným touto mzdou lze podle dostupných údajů předpokládat zvýšení ročních mzdových nákladů zaměstnavatelů ve mzdové (podnikatelské) sféře o cca 3,5 mld. Kč</w:t>
      </w:r>
      <w:r w:rsidR="003B120B">
        <w:t>.</w:t>
      </w:r>
      <w:r w:rsidRPr="00FE4352">
        <w:t xml:space="preserve">  To jsou pouze zhruba 5,1 % z celkového předpokládaného meziročního nárůstu objemu mezd v národním hospodářství a náklady zaměstnavatelů související s navrhovaným nárůstem minimální mzdy jsou tudíž nízké.</w:t>
      </w:r>
      <w:r>
        <w:t xml:space="preserve"> </w:t>
      </w:r>
    </w:p>
    <w:p w:rsidR="00966A31" w:rsidRDefault="00966A31" w:rsidP="00966A31">
      <w:pPr>
        <w:spacing w:line="360" w:lineRule="auto"/>
        <w:rPr>
          <w:b/>
        </w:rPr>
      </w:pPr>
    </w:p>
    <w:p w:rsidR="00966A31" w:rsidRDefault="00966A31" w:rsidP="00966A31">
      <w:pPr>
        <w:spacing w:line="360" w:lineRule="auto"/>
        <w:rPr>
          <w:b/>
        </w:rPr>
      </w:pPr>
      <w:r>
        <w:rPr>
          <w:b/>
        </w:rPr>
        <w:t xml:space="preserve">V A R I A N T A  I </w:t>
      </w:r>
      <w:proofErr w:type="spellStart"/>
      <w:r>
        <w:rPr>
          <w:b/>
        </w:rPr>
        <w:t>I</w:t>
      </w:r>
      <w:proofErr w:type="spellEnd"/>
    </w:p>
    <w:p w:rsidR="00FE4352" w:rsidRPr="00FE4352" w:rsidRDefault="00FE4352" w:rsidP="00FE4352">
      <w:pPr>
        <w:spacing w:line="360" w:lineRule="auto"/>
        <w:ind w:firstLine="709"/>
      </w:pPr>
      <w:r w:rsidRPr="00FE4352">
        <w:t>V případě nárůstu minimální mzdy o 1 650 Kč za měsíc by mzdové náklady na jednoho zaměstnance odměňovaného touto mzdou (včetně odvodů pojistného na sociální a zdravotní pojištění) vzrostly o 26 492 Kč za rok. V souvislosti s navrhovaným zvýšením minimální mzdy zaměstnancům odměňovaným touto mzdou lze podle dostupných údajů předpokládat zvýšení ročních mzdových nákladů zaměstnavatelů ve mzdové (podnikatelské) sféře o cca 4,3 mld. Kč</w:t>
      </w:r>
      <w:r w:rsidR="005F4C58">
        <w:t>.</w:t>
      </w:r>
      <w:r w:rsidRPr="00FE4352">
        <w:t xml:space="preserve">  To jsou pouze zhruba 6,3 % z celkového předpokládaného meziročního nárůstu objemu mezd v národním hospodářství a náklady zaměstnavatelů související s navrhovaným nárůstem minimální mzdy jsou tudíž nízké.</w:t>
      </w:r>
    </w:p>
    <w:p w:rsidR="00966A31" w:rsidRDefault="00966A31" w:rsidP="00966A31">
      <w:pPr>
        <w:spacing w:line="360" w:lineRule="auto"/>
        <w:rPr>
          <w:b/>
        </w:rPr>
      </w:pPr>
    </w:p>
    <w:p w:rsidR="00966A31" w:rsidRDefault="00966A31" w:rsidP="00966A31">
      <w:pPr>
        <w:spacing w:line="360" w:lineRule="auto"/>
        <w:rPr>
          <w:b/>
        </w:rPr>
      </w:pPr>
      <w:r>
        <w:rPr>
          <w:b/>
        </w:rPr>
        <w:t xml:space="preserve">V A R I A N T A  I </w:t>
      </w:r>
      <w:proofErr w:type="spellStart"/>
      <w:r>
        <w:rPr>
          <w:b/>
        </w:rPr>
        <w:t>I</w:t>
      </w:r>
      <w:proofErr w:type="spellEnd"/>
      <w:r>
        <w:rPr>
          <w:b/>
        </w:rPr>
        <w:t xml:space="preserve"> </w:t>
      </w:r>
      <w:proofErr w:type="spellStart"/>
      <w:r>
        <w:rPr>
          <w:b/>
        </w:rPr>
        <w:t>I</w:t>
      </w:r>
      <w:proofErr w:type="spellEnd"/>
    </w:p>
    <w:p w:rsidR="00FE4352" w:rsidRPr="00FE4352" w:rsidRDefault="00FE4352" w:rsidP="00FE4352">
      <w:pPr>
        <w:spacing w:line="360" w:lineRule="auto"/>
        <w:ind w:firstLine="709"/>
      </w:pPr>
      <w:r w:rsidRPr="00FE4352">
        <w:t>V případě nárůstu minimální mzdy o 1 150 Kč za měsíc by mzdové náklady na jednoho zaměstnance odměňovaného touto mzdou (včetně odvodů pojistného na sociální a zdravotní pojištění) vzrostly o 18 464 Kč za rok. V souvislosti s navrhovaným zvýšením minimální mzdy zaměstnancům odměňovaným touto mzdou lze podle dostupných údajů předpokládat zvýšení ročních mzdových nákladů zaměstnavatelů ve mzdové (podnikatelské) sféře o cca 3,0 mld. Kč</w:t>
      </w:r>
      <w:r w:rsidR="008A11C2">
        <w:t>.</w:t>
      </w:r>
      <w:r w:rsidRPr="00FE4352">
        <w:t xml:space="preserve">  To jsou pouze zhruba 4,3 % z celkového předpokládaného meziročního nárůstu objemu mezd v národním hospodářství a náklady zaměstnavatelů související s navrhovaným nárůstem minimální mzdy jsou tudíž nízké.</w:t>
      </w:r>
    </w:p>
    <w:p w:rsidR="00FE4352" w:rsidRDefault="00FE4352" w:rsidP="00966A31">
      <w:pPr>
        <w:spacing w:line="360" w:lineRule="auto"/>
        <w:ind w:firstLine="709"/>
      </w:pPr>
    </w:p>
    <w:p w:rsidR="00966A31" w:rsidRDefault="00966A31" w:rsidP="00966A31">
      <w:pPr>
        <w:spacing w:line="360" w:lineRule="auto"/>
        <w:ind w:firstLine="709"/>
      </w:pPr>
      <w:r w:rsidRPr="00F42810">
        <w:t>Na druhé straně by se však posílení kupní síly zaměstnanců mohlo ještě výrazněji než doposud pozitivně projevit v poptávce po výrobcích a službách jednotlivých firem a jejich odbytu. Zvýšení minimální mzdy také snižuje časté střídání zaměstnanců na těchto nekvalifikovaných pozicích. To vede, zvláště u velkých zaměstnavatelů, k nižším výdajům na inzerci, nábor a zaučení nových zaměstnanců. Růst minimální mzdy může motivovat zaměst</w:t>
      </w:r>
      <w:r>
        <w:t>nance ke zvýšení produktivity v </w:t>
      </w:r>
      <w:r w:rsidRPr="00F42810">
        <w:t>zájmu udržení svého pracovního místa.</w:t>
      </w:r>
    </w:p>
    <w:p w:rsidR="005954FD" w:rsidRPr="00183C9F" w:rsidRDefault="005954FD" w:rsidP="00183C9F">
      <w:pPr>
        <w:rPr>
          <w:sz w:val="20"/>
        </w:rPr>
      </w:pPr>
    </w:p>
    <w:p w:rsidR="00BD30E2" w:rsidRPr="00F779C2" w:rsidRDefault="00F779C2" w:rsidP="00BD30E2">
      <w:pPr>
        <w:spacing w:line="360" w:lineRule="auto"/>
        <w:rPr>
          <w:u w:val="single"/>
        </w:rPr>
      </w:pPr>
      <w:r w:rsidRPr="00F779C2">
        <w:rPr>
          <w:u w:val="single"/>
        </w:rPr>
        <w:t>2</w:t>
      </w:r>
      <w:r w:rsidR="00BD30E2" w:rsidRPr="00F779C2">
        <w:rPr>
          <w:u w:val="single"/>
        </w:rPr>
        <w:t>.</w:t>
      </w:r>
      <w:r w:rsidR="00855032">
        <w:rPr>
          <w:u w:val="single"/>
        </w:rPr>
        <w:t>3</w:t>
      </w:r>
      <w:r w:rsidR="00BD30E2" w:rsidRPr="00F779C2">
        <w:rPr>
          <w:u w:val="single"/>
        </w:rPr>
        <w:t xml:space="preserve"> Sociální dopady</w:t>
      </w:r>
    </w:p>
    <w:p w:rsidR="006F5562" w:rsidRPr="006F5562" w:rsidRDefault="006F5562" w:rsidP="006F5562">
      <w:pPr>
        <w:spacing w:line="360" w:lineRule="auto"/>
        <w:ind w:firstLine="851"/>
      </w:pPr>
      <w:r w:rsidRPr="006F5562">
        <w:lastRenderedPageBreak/>
        <w:t>Nárůst minimální mzdy přispěje k pokrytí vyššího podílu životních nákladů na zabezpečení základních životních potřeb z vlastních pracovních příjmů zaměstnanců.</w:t>
      </w:r>
      <w:r w:rsidRPr="00BF19D0">
        <w:t xml:space="preserve"> </w:t>
      </w:r>
      <w:r>
        <w:t>V </w:t>
      </w:r>
      <w:r w:rsidRPr="006F5562">
        <w:t xml:space="preserve">souvislosti s příznivým vývojem ekonomiky a situací na trhu práce dojde rovněž ke zvýšení motivace k zaměstnání a pracovní činnosti.  </w:t>
      </w:r>
    </w:p>
    <w:p w:rsidR="006F5562" w:rsidRDefault="006F5562" w:rsidP="006F5562">
      <w:pPr>
        <w:spacing w:line="360" w:lineRule="auto"/>
        <w:ind w:firstLine="851"/>
      </w:pPr>
      <w:r w:rsidRPr="006F5562">
        <w:t xml:space="preserve">Zvýšení minimální mzdy se projeví v legalizaci části výdělků, které jsou zaměstnancům vypláceny „na černo“. To zvyšuje např. základ pro výpočet jejich budoucích starobních důchodů nebo popřípadě podpor v nezaměstnanosti, </w:t>
      </w:r>
      <w:proofErr w:type="spellStart"/>
      <w:r w:rsidRPr="006F5562">
        <w:t>ev</w:t>
      </w:r>
      <w:proofErr w:type="spellEnd"/>
      <w:r w:rsidRPr="006F5562">
        <w:t>. příznivě ovlivní šanci zaměstnanců na získání „standardní“ půjčky.</w:t>
      </w:r>
    </w:p>
    <w:p w:rsidR="00BD30E2" w:rsidRPr="00183C9F" w:rsidRDefault="00BD30E2" w:rsidP="00183C9F">
      <w:pPr>
        <w:rPr>
          <w:b/>
          <w:sz w:val="20"/>
        </w:rPr>
      </w:pPr>
    </w:p>
    <w:p w:rsidR="00BD30E2" w:rsidRPr="00F779C2" w:rsidRDefault="00F779C2" w:rsidP="00BD30E2">
      <w:pPr>
        <w:spacing w:line="360" w:lineRule="auto"/>
        <w:rPr>
          <w:u w:val="single"/>
        </w:rPr>
      </w:pPr>
      <w:r w:rsidRPr="00F779C2">
        <w:rPr>
          <w:u w:val="single"/>
        </w:rPr>
        <w:t>2</w:t>
      </w:r>
      <w:r w:rsidR="00BD30E2" w:rsidRPr="00F779C2">
        <w:rPr>
          <w:u w:val="single"/>
        </w:rPr>
        <w:t>.</w:t>
      </w:r>
      <w:r w:rsidR="00855032">
        <w:rPr>
          <w:u w:val="single"/>
        </w:rPr>
        <w:t>4</w:t>
      </w:r>
      <w:r w:rsidR="00BD30E2" w:rsidRPr="00F779C2">
        <w:rPr>
          <w:u w:val="single"/>
        </w:rPr>
        <w:t xml:space="preserve"> Dopady na spotřebitele</w:t>
      </w:r>
    </w:p>
    <w:p w:rsidR="00BD30E2" w:rsidRPr="00A47905" w:rsidRDefault="00BD30E2" w:rsidP="00647C88">
      <w:pPr>
        <w:spacing w:line="360" w:lineRule="auto"/>
        <w:ind w:firstLine="426"/>
      </w:pPr>
      <w:r w:rsidRPr="00A47905">
        <w:t xml:space="preserve">Navrhované zvýšení minimální mzdy a nejnižších úrovní zaručené mzdy příznivě ovlivní úroveň mezd, platů a odměn z dohod zaměstnanců a zvýší tedy </w:t>
      </w:r>
      <w:r w:rsidR="00D87C82">
        <w:t xml:space="preserve">mírně </w:t>
      </w:r>
      <w:r w:rsidR="00FC6986">
        <w:t>kupní sílu spotřebitelů -</w:t>
      </w:r>
      <w:r w:rsidRPr="00A47905">
        <w:t>zaměstnanců</w:t>
      </w:r>
      <w:r>
        <w:t xml:space="preserve"> i celkovou spotřebu domácností</w:t>
      </w:r>
      <w:r w:rsidRPr="00A47905">
        <w:t>.</w:t>
      </w:r>
    </w:p>
    <w:p w:rsidR="00F779C2" w:rsidRPr="00183C9F" w:rsidRDefault="00F779C2" w:rsidP="00183C9F">
      <w:pPr>
        <w:rPr>
          <w:sz w:val="20"/>
          <w:u w:val="single"/>
        </w:rPr>
      </w:pPr>
    </w:p>
    <w:p w:rsidR="00F779C2" w:rsidRPr="00F779C2" w:rsidRDefault="00F779C2" w:rsidP="00F779C2">
      <w:pPr>
        <w:spacing w:line="360" w:lineRule="auto"/>
        <w:rPr>
          <w:u w:val="single"/>
        </w:rPr>
      </w:pPr>
      <w:r>
        <w:rPr>
          <w:u w:val="single"/>
        </w:rPr>
        <w:t>2</w:t>
      </w:r>
      <w:r w:rsidRPr="00F779C2">
        <w:rPr>
          <w:u w:val="single"/>
        </w:rPr>
        <w:t>.</w:t>
      </w:r>
      <w:r w:rsidR="00855032">
        <w:rPr>
          <w:u w:val="single"/>
        </w:rPr>
        <w:t>5</w:t>
      </w:r>
      <w:r w:rsidRPr="00F779C2">
        <w:rPr>
          <w:u w:val="single"/>
        </w:rPr>
        <w:t xml:space="preserve"> Dopady na životní prostředí</w:t>
      </w:r>
    </w:p>
    <w:p w:rsidR="00F779C2" w:rsidRPr="00A47905" w:rsidRDefault="00F779C2" w:rsidP="00647C88">
      <w:pPr>
        <w:spacing w:line="360" w:lineRule="auto"/>
        <w:ind w:firstLine="426"/>
      </w:pPr>
      <w:r w:rsidRPr="00A47905">
        <w:t xml:space="preserve">Navrhovaná novela nařízení vlády </w:t>
      </w:r>
      <w:r w:rsidR="003A2128">
        <w:t>o minimální mzdě</w:t>
      </w:r>
      <w:r w:rsidRPr="00A47905">
        <w:t xml:space="preserve"> nesouvisí s problematikou ochrany životního prostředí a nemá na něj žádný vliv.</w:t>
      </w:r>
    </w:p>
    <w:p w:rsidR="00BD30E2" w:rsidRPr="00183C9F" w:rsidRDefault="00BD30E2" w:rsidP="00183C9F">
      <w:pPr>
        <w:rPr>
          <w:sz w:val="20"/>
          <w:u w:val="single"/>
        </w:rPr>
      </w:pPr>
    </w:p>
    <w:p w:rsidR="003E6135" w:rsidRDefault="00707BCD" w:rsidP="007B1B76">
      <w:pPr>
        <w:spacing w:line="360" w:lineRule="auto"/>
        <w:rPr>
          <w:b/>
        </w:rPr>
      </w:pPr>
      <w:r>
        <w:rPr>
          <w:b/>
        </w:rPr>
        <w:t>F</w:t>
      </w:r>
      <w:r w:rsidR="00463A3D">
        <w:rPr>
          <w:b/>
        </w:rPr>
        <w:t xml:space="preserve">. </w:t>
      </w:r>
      <w:r w:rsidR="000643DD">
        <w:rPr>
          <w:b/>
        </w:rPr>
        <w:t>Zhodnocení dopadů navrhovaného řešení ve vztahu k zákazu diskriminace a ve vztahu k rovnosti mužů a žen; z</w:t>
      </w:r>
      <w:r w:rsidR="00463A3D">
        <w:rPr>
          <w:b/>
        </w:rPr>
        <w:t xml:space="preserve">hodnocení dopadů </w:t>
      </w:r>
      <w:r w:rsidR="00400BE5">
        <w:rPr>
          <w:b/>
        </w:rPr>
        <w:t xml:space="preserve">navrhovaného řešení </w:t>
      </w:r>
      <w:r w:rsidR="00CB1C7A" w:rsidRPr="00A47905">
        <w:rPr>
          <w:b/>
        </w:rPr>
        <w:t>na výkon státní statistické služby</w:t>
      </w:r>
      <w:r w:rsidR="00CB1C7A">
        <w:rPr>
          <w:b/>
        </w:rPr>
        <w:t xml:space="preserve">, </w:t>
      </w:r>
      <w:r w:rsidR="00400BE5">
        <w:rPr>
          <w:b/>
        </w:rPr>
        <w:t>ve vztahu k</w:t>
      </w:r>
      <w:r w:rsidR="00C02227">
        <w:rPr>
          <w:b/>
        </w:rPr>
        <w:t> ochraně soukromí a osobních údaj</w:t>
      </w:r>
      <w:r w:rsidR="001B0D93">
        <w:rPr>
          <w:b/>
        </w:rPr>
        <w:t>ů</w:t>
      </w:r>
      <w:r w:rsidR="006C22B8">
        <w:rPr>
          <w:b/>
        </w:rPr>
        <w:t xml:space="preserve">, </w:t>
      </w:r>
      <w:r w:rsidR="001B0D93">
        <w:rPr>
          <w:b/>
        </w:rPr>
        <w:t>zhodnocení korupčních rizik</w:t>
      </w:r>
      <w:r w:rsidR="006C22B8">
        <w:rPr>
          <w:b/>
        </w:rPr>
        <w:t xml:space="preserve"> a dopady na bezpečnost nebo obranu státu</w:t>
      </w:r>
    </w:p>
    <w:p w:rsidR="00685FB3" w:rsidRPr="00183C9F" w:rsidRDefault="00685FB3" w:rsidP="00183C9F">
      <w:pPr>
        <w:ind w:firstLine="426"/>
        <w:rPr>
          <w:sz w:val="20"/>
        </w:rPr>
      </w:pPr>
    </w:p>
    <w:p w:rsidR="003D5EB3" w:rsidRDefault="001B0D93" w:rsidP="00235FE9">
      <w:pPr>
        <w:spacing w:line="360" w:lineRule="auto"/>
        <w:ind w:firstLine="426"/>
      </w:pPr>
      <w:r>
        <w:t>Návrh nařízení vlády</w:t>
      </w:r>
      <w:r w:rsidR="0023469D">
        <w:t xml:space="preserve"> plně respektuje zásadu rovného zacházení se zaměstnanci, zákaz jejich diskriminace i zásadu rovnosti mezi muži a ženami</w:t>
      </w:r>
      <w:r>
        <w:t xml:space="preserve">; </w:t>
      </w:r>
      <w:r w:rsidR="00855032">
        <w:t>případná práva zaměstnanců na </w:t>
      </w:r>
      <w:r w:rsidR="00CE6F0D">
        <w:t>doplatky do valorizovaných sazeb se nadále řídí § 111 odst. 3</w:t>
      </w:r>
      <w:r w:rsidR="00D87C82">
        <w:t xml:space="preserve"> a</w:t>
      </w:r>
      <w:r w:rsidR="00CE6F0D">
        <w:t xml:space="preserve"> § 112 odst. 3 zákoníku práce. </w:t>
      </w:r>
      <w:r>
        <w:t>Navrhovaná úprava nemá vliv na </w:t>
      </w:r>
      <w:r w:rsidR="00CB1C7A" w:rsidRPr="00CB1C7A">
        <w:t>výkon státní statistické služby</w:t>
      </w:r>
      <w:r w:rsidR="006C22B8">
        <w:t xml:space="preserve">, </w:t>
      </w:r>
      <w:r w:rsidR="00DC045F">
        <w:t>na ochranu soukromí</w:t>
      </w:r>
      <w:r>
        <w:t xml:space="preserve"> a osobních údajů</w:t>
      </w:r>
      <w:r w:rsidR="00D87C82">
        <w:t xml:space="preserve"> a na bezpečnost</w:t>
      </w:r>
      <w:r w:rsidR="006C22B8">
        <w:t xml:space="preserve"> nebo obranu státu</w:t>
      </w:r>
      <w:r>
        <w:t>. S ohledem na </w:t>
      </w:r>
      <w:r w:rsidR="00DC045F">
        <w:t>jednoznačně stanovená pravidla pro</w:t>
      </w:r>
      <w:r>
        <w:t xml:space="preserve"> praktické</w:t>
      </w:r>
      <w:r w:rsidR="00DC045F">
        <w:t xml:space="preserve"> uplatnění </w:t>
      </w:r>
      <w:r>
        <w:t>dotčených</w:t>
      </w:r>
      <w:r w:rsidR="00DC045F">
        <w:t xml:space="preserve"> institutů nelze předpokládat zvýšení</w:t>
      </w:r>
      <w:r w:rsidR="00471122">
        <w:t xml:space="preserve"> korupční</w:t>
      </w:r>
      <w:r w:rsidR="00DC045F">
        <w:t>ch</w:t>
      </w:r>
      <w:r w:rsidR="00471122">
        <w:t xml:space="preserve"> rizik.</w:t>
      </w:r>
      <w:r w:rsidR="006C22B8">
        <w:t xml:space="preserve"> </w:t>
      </w:r>
    </w:p>
    <w:p w:rsidR="004C6A56" w:rsidRDefault="004C6A56" w:rsidP="00235FE9">
      <w:pPr>
        <w:spacing w:line="360" w:lineRule="auto"/>
        <w:ind w:firstLine="426"/>
      </w:pPr>
    </w:p>
    <w:p w:rsidR="00053900" w:rsidRDefault="00C7753E" w:rsidP="007B1B76">
      <w:pPr>
        <w:spacing w:line="360" w:lineRule="auto"/>
        <w:jc w:val="center"/>
        <w:rPr>
          <w:b/>
          <w:sz w:val="28"/>
          <w:szCs w:val="28"/>
        </w:rPr>
      </w:pPr>
      <w:r w:rsidRPr="002F0456">
        <w:rPr>
          <w:b/>
          <w:sz w:val="28"/>
          <w:szCs w:val="28"/>
        </w:rPr>
        <w:t>I</w:t>
      </w:r>
      <w:r>
        <w:rPr>
          <w:b/>
          <w:sz w:val="28"/>
          <w:szCs w:val="28"/>
        </w:rPr>
        <w:t>I</w:t>
      </w:r>
      <w:r w:rsidRPr="002F0456">
        <w:rPr>
          <w:b/>
          <w:sz w:val="28"/>
          <w:szCs w:val="28"/>
        </w:rPr>
        <w:t xml:space="preserve">. </w:t>
      </w:r>
      <w:r>
        <w:rPr>
          <w:b/>
          <w:sz w:val="28"/>
          <w:szCs w:val="28"/>
        </w:rPr>
        <w:t>Zvláštní čás</w:t>
      </w:r>
      <w:r w:rsidRPr="002F0456">
        <w:rPr>
          <w:b/>
          <w:sz w:val="28"/>
          <w:szCs w:val="28"/>
        </w:rPr>
        <w:t>t</w:t>
      </w:r>
      <w:r w:rsidR="00C902F6">
        <w:rPr>
          <w:b/>
          <w:sz w:val="28"/>
          <w:szCs w:val="28"/>
        </w:rPr>
        <w:t xml:space="preserve"> </w:t>
      </w:r>
    </w:p>
    <w:p w:rsidR="00685FB3" w:rsidRPr="007B1B76" w:rsidRDefault="00685FB3" w:rsidP="007B1B76">
      <w:pPr>
        <w:spacing w:line="360" w:lineRule="auto"/>
        <w:jc w:val="center"/>
      </w:pPr>
    </w:p>
    <w:p w:rsidR="00DE4423" w:rsidRDefault="00DE4423" w:rsidP="0090491A">
      <w:pPr>
        <w:spacing w:line="360" w:lineRule="auto"/>
        <w:rPr>
          <w:b/>
        </w:rPr>
      </w:pPr>
      <w:r>
        <w:rPr>
          <w:b/>
        </w:rPr>
        <w:t>K čl. I – bodu</w:t>
      </w:r>
      <w:r w:rsidR="00AC6B5D">
        <w:rPr>
          <w:b/>
        </w:rPr>
        <w:t xml:space="preserve"> 1</w:t>
      </w:r>
      <w:r w:rsidR="00D27059">
        <w:rPr>
          <w:b/>
        </w:rPr>
        <w:t xml:space="preserve"> a 2</w:t>
      </w:r>
    </w:p>
    <w:p w:rsidR="00966A31" w:rsidRDefault="00966A31" w:rsidP="00966A31">
      <w:pPr>
        <w:spacing w:line="360" w:lineRule="auto"/>
        <w:rPr>
          <w:b/>
        </w:rPr>
      </w:pPr>
      <w:r>
        <w:rPr>
          <w:b/>
        </w:rPr>
        <w:t>V A R I A N T A  I</w:t>
      </w:r>
    </w:p>
    <w:p w:rsidR="00966A31" w:rsidRPr="009169D6" w:rsidRDefault="00966A31" w:rsidP="00966A31">
      <w:pPr>
        <w:spacing w:line="360" w:lineRule="auto"/>
        <w:ind w:firstLine="426"/>
        <w:rPr>
          <w:bCs/>
        </w:rPr>
      </w:pPr>
      <w:r w:rsidRPr="00A47905">
        <w:rPr>
          <w:bCs/>
        </w:rPr>
        <w:lastRenderedPageBreak/>
        <w:t xml:space="preserve">V souladu se zákonným zmocněním </w:t>
      </w:r>
      <w:r w:rsidRPr="009169D6">
        <w:rPr>
          <w:bCs/>
        </w:rPr>
        <w:t>a v souladu se záměrem vlády postupně navyšovat minimální mzdu se navrhuje zvýšení základní měsíční sazby minimální mzdy o 1 350 Kč a základní hodinové sazby o 8,1</w:t>
      </w:r>
      <w:r w:rsidR="00863537">
        <w:rPr>
          <w:bCs/>
        </w:rPr>
        <w:t>0</w:t>
      </w:r>
      <w:r w:rsidRPr="009169D6">
        <w:rPr>
          <w:bCs/>
        </w:rPr>
        <w:t xml:space="preserve"> Kč. V návaznosti na to se navrhuje valorizovat také nejnižší úrovně zaručené mzdy.</w:t>
      </w:r>
    </w:p>
    <w:p w:rsidR="00966A31" w:rsidRPr="009169D6" w:rsidRDefault="00966A31" w:rsidP="00966A31">
      <w:pPr>
        <w:spacing w:line="360" w:lineRule="auto"/>
        <w:ind w:firstLine="426"/>
        <w:rPr>
          <w:bCs/>
        </w:rPr>
      </w:pPr>
    </w:p>
    <w:p w:rsidR="00966A31" w:rsidRPr="009169D6" w:rsidRDefault="00966A31" w:rsidP="00966A31">
      <w:pPr>
        <w:spacing w:line="360" w:lineRule="auto"/>
        <w:rPr>
          <w:b/>
        </w:rPr>
      </w:pPr>
      <w:r w:rsidRPr="009169D6">
        <w:rPr>
          <w:b/>
        </w:rPr>
        <w:t xml:space="preserve">V A R I A N T A  I </w:t>
      </w:r>
      <w:proofErr w:type="spellStart"/>
      <w:r w:rsidRPr="009169D6">
        <w:rPr>
          <w:b/>
        </w:rPr>
        <w:t>I</w:t>
      </w:r>
      <w:proofErr w:type="spellEnd"/>
    </w:p>
    <w:p w:rsidR="00966A31" w:rsidRDefault="00966A31" w:rsidP="00966A31">
      <w:pPr>
        <w:spacing w:line="360" w:lineRule="auto"/>
        <w:ind w:firstLine="426"/>
        <w:rPr>
          <w:bCs/>
        </w:rPr>
      </w:pPr>
      <w:r w:rsidRPr="009169D6">
        <w:rPr>
          <w:bCs/>
        </w:rPr>
        <w:t>V souladu se zákonným zmocněním a v souladu se záměrem vlády postupně navyšovat minimální mzdu se navrhuje zvýšení základní měsíční sazby minimální mzdy o 1 650 Kč a základní hodinové sazby o 9,8</w:t>
      </w:r>
      <w:r w:rsidR="00863537">
        <w:rPr>
          <w:bCs/>
        </w:rPr>
        <w:t>0</w:t>
      </w:r>
      <w:r w:rsidRPr="009169D6">
        <w:rPr>
          <w:bCs/>
        </w:rPr>
        <w:t xml:space="preserve"> Kč. V návaznosti na to se navrhuje valorizovat také nejnižší úrovně zaručené mzdy.</w:t>
      </w:r>
    </w:p>
    <w:p w:rsidR="009169D6" w:rsidRPr="009169D6" w:rsidRDefault="009169D6" w:rsidP="00966A31">
      <w:pPr>
        <w:spacing w:line="360" w:lineRule="auto"/>
        <w:ind w:firstLine="426"/>
        <w:rPr>
          <w:bCs/>
        </w:rPr>
      </w:pPr>
    </w:p>
    <w:p w:rsidR="00966A31" w:rsidRPr="009169D6" w:rsidRDefault="00966A31" w:rsidP="00966A31">
      <w:pPr>
        <w:spacing w:line="360" w:lineRule="auto"/>
        <w:rPr>
          <w:b/>
        </w:rPr>
      </w:pPr>
      <w:r w:rsidRPr="009169D6">
        <w:rPr>
          <w:b/>
        </w:rPr>
        <w:t xml:space="preserve">V A R I A N T A  I </w:t>
      </w:r>
      <w:proofErr w:type="spellStart"/>
      <w:r w:rsidRPr="009169D6">
        <w:rPr>
          <w:b/>
        </w:rPr>
        <w:t>I</w:t>
      </w:r>
      <w:proofErr w:type="spellEnd"/>
      <w:r w:rsidRPr="009169D6">
        <w:rPr>
          <w:b/>
        </w:rPr>
        <w:t xml:space="preserve"> </w:t>
      </w:r>
      <w:proofErr w:type="spellStart"/>
      <w:r w:rsidRPr="009169D6">
        <w:rPr>
          <w:b/>
        </w:rPr>
        <w:t>I</w:t>
      </w:r>
      <w:proofErr w:type="spellEnd"/>
    </w:p>
    <w:p w:rsidR="00966A31" w:rsidRDefault="00966A31" w:rsidP="00966A31">
      <w:pPr>
        <w:spacing w:line="360" w:lineRule="auto"/>
        <w:ind w:firstLine="426"/>
        <w:rPr>
          <w:bCs/>
        </w:rPr>
      </w:pPr>
      <w:r w:rsidRPr="009169D6">
        <w:rPr>
          <w:bCs/>
        </w:rPr>
        <w:t>V souladu se zákonným zmocněním a v souladu se záměrem vlády postupně navyšovat minimální mzdu se navrhuje zvýšení základní měsíční sazby minimální mzdy o 1 150 Kč a základní hodinové sazby o 6,9</w:t>
      </w:r>
      <w:r w:rsidR="00863537">
        <w:rPr>
          <w:bCs/>
        </w:rPr>
        <w:t>0</w:t>
      </w:r>
      <w:r w:rsidRPr="009169D6">
        <w:rPr>
          <w:bCs/>
        </w:rPr>
        <w:t xml:space="preserve"> Kč. V návaznosti na to se navrhuje valorizovat také nejnižší úrovně zaručené mzdy.</w:t>
      </w:r>
    </w:p>
    <w:p w:rsidR="00D27059" w:rsidRDefault="00D27059" w:rsidP="00D27059">
      <w:pPr>
        <w:spacing w:line="360" w:lineRule="auto"/>
        <w:ind w:firstLine="708"/>
        <w:rPr>
          <w:b/>
        </w:rPr>
      </w:pPr>
    </w:p>
    <w:p w:rsidR="00CF0D28" w:rsidRDefault="00CF0D28" w:rsidP="0090491A">
      <w:pPr>
        <w:pStyle w:val="Zkladntextodsazen"/>
        <w:spacing w:before="0" w:after="0"/>
        <w:ind w:firstLine="0"/>
        <w:rPr>
          <w:b/>
        </w:rPr>
      </w:pPr>
      <w:r w:rsidRPr="00384F67">
        <w:rPr>
          <w:b/>
        </w:rPr>
        <w:t>K </w:t>
      </w:r>
      <w:r w:rsidR="00384F67">
        <w:rPr>
          <w:b/>
        </w:rPr>
        <w:t>č</w:t>
      </w:r>
      <w:r w:rsidRPr="00384F67">
        <w:rPr>
          <w:b/>
        </w:rPr>
        <w:t>l. II</w:t>
      </w:r>
    </w:p>
    <w:p w:rsidR="0093162B" w:rsidRPr="0093162B" w:rsidRDefault="00CF0D28" w:rsidP="00647C88">
      <w:pPr>
        <w:pStyle w:val="Zkladntextodsazen"/>
        <w:spacing w:before="0" w:after="0"/>
        <w:ind w:firstLine="426"/>
      </w:pPr>
      <w:r>
        <w:t>Účinnost nařízení vlády, kterým se mění nařízení vlády</w:t>
      </w:r>
      <w:r w:rsidR="00CE6F0D">
        <w:t xml:space="preserve"> o minimální mzdě</w:t>
      </w:r>
      <w:r>
        <w:t xml:space="preserve">, se navrhuje </w:t>
      </w:r>
      <w:r w:rsidR="002A51C4">
        <w:t xml:space="preserve">v souladu se zmocněním obsaženým v § 111 odst. 2 a § 112 odst. 2 zákoníku práce </w:t>
      </w:r>
      <w:r w:rsidR="00973999">
        <w:t xml:space="preserve">stanovit </w:t>
      </w:r>
      <w:r w:rsidR="00725912">
        <w:t xml:space="preserve">od 1. </w:t>
      </w:r>
      <w:r w:rsidR="002A51C4">
        <w:t>ledna 20</w:t>
      </w:r>
      <w:r w:rsidR="00920E05">
        <w:t>20</w:t>
      </w:r>
      <w:r w:rsidR="00D44C46">
        <w:t xml:space="preserve">.       </w:t>
      </w:r>
    </w:p>
    <w:sectPr w:rsidR="0093162B" w:rsidRPr="0093162B" w:rsidSect="003B5F91">
      <w:footerReference w:type="even" r:id="rId10"/>
      <w:footerReference w:type="default" r:id="rId11"/>
      <w:footerReference w:type="first" r:id="rId12"/>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2C9" w:rsidRDefault="008732C9">
      <w:r>
        <w:separator/>
      </w:r>
    </w:p>
  </w:endnote>
  <w:endnote w:type="continuationSeparator" w:id="0">
    <w:p w:rsidR="008732C9" w:rsidRDefault="00873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71" w:rsidRDefault="000009FF" w:rsidP="00907C56">
    <w:pPr>
      <w:pStyle w:val="Zpat"/>
      <w:framePr w:wrap="around" w:vAnchor="text" w:hAnchor="margin" w:xAlign="center" w:y="1"/>
      <w:rPr>
        <w:rStyle w:val="slostrnky"/>
      </w:rPr>
    </w:pPr>
    <w:r>
      <w:rPr>
        <w:rStyle w:val="slostrnky"/>
      </w:rPr>
      <w:fldChar w:fldCharType="begin"/>
    </w:r>
    <w:r w:rsidR="00552E71">
      <w:rPr>
        <w:rStyle w:val="slostrnky"/>
      </w:rPr>
      <w:instrText xml:space="preserve">PAGE  </w:instrText>
    </w:r>
    <w:r>
      <w:rPr>
        <w:rStyle w:val="slostrnky"/>
      </w:rPr>
      <w:fldChar w:fldCharType="separate"/>
    </w:r>
    <w:r w:rsidR="00006318">
      <w:rPr>
        <w:rStyle w:val="slostrnky"/>
        <w:noProof/>
      </w:rPr>
      <w:t>6</w:t>
    </w:r>
    <w:r>
      <w:rPr>
        <w:rStyle w:val="slostrnky"/>
      </w:rPr>
      <w:fldChar w:fldCharType="end"/>
    </w:r>
  </w:p>
  <w:p w:rsidR="00552E71" w:rsidRDefault="00552E7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639702"/>
      <w:docPartObj>
        <w:docPartGallery w:val="Page Numbers (Bottom of Page)"/>
        <w:docPartUnique/>
      </w:docPartObj>
    </w:sdtPr>
    <w:sdtContent>
      <w:p w:rsidR="003B5F91" w:rsidRDefault="000009FF">
        <w:pPr>
          <w:pStyle w:val="Zpat"/>
          <w:jc w:val="center"/>
        </w:pPr>
        <w:r>
          <w:fldChar w:fldCharType="begin"/>
        </w:r>
        <w:r w:rsidR="003B5F91">
          <w:instrText>PAGE   \* MERGEFORMAT</w:instrText>
        </w:r>
        <w:r>
          <w:fldChar w:fldCharType="separate"/>
        </w:r>
        <w:r w:rsidR="00E16F64" w:rsidRPr="00E16F64">
          <w:rPr>
            <w:noProof/>
            <w:lang w:val="cs-CZ"/>
          </w:rPr>
          <w:t>17</w:t>
        </w:r>
        <w:r>
          <w:fldChar w:fldCharType="end"/>
        </w:r>
      </w:p>
    </w:sdtContent>
  </w:sdt>
  <w:p w:rsidR="00552E71" w:rsidRDefault="00552E7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263670"/>
      <w:docPartObj>
        <w:docPartGallery w:val="Page Numbers (Bottom of Page)"/>
        <w:docPartUnique/>
      </w:docPartObj>
    </w:sdtPr>
    <w:sdtContent>
      <w:p w:rsidR="00844E59" w:rsidRDefault="00006318">
        <w:pPr>
          <w:pStyle w:val="Zpat"/>
          <w:jc w:val="center"/>
        </w:pPr>
        <w:r>
          <w:rPr>
            <w:lang w:val="cs-CZ"/>
          </w:rPr>
          <w:t>3</w:t>
        </w:r>
      </w:p>
    </w:sdtContent>
  </w:sdt>
  <w:p w:rsidR="00844E59" w:rsidRDefault="00844E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2C9" w:rsidRDefault="008732C9">
      <w:r>
        <w:separator/>
      </w:r>
    </w:p>
  </w:footnote>
  <w:footnote w:type="continuationSeparator" w:id="0">
    <w:p w:rsidR="008732C9" w:rsidRDefault="008732C9">
      <w:r>
        <w:continuationSeparator/>
      </w:r>
    </w:p>
  </w:footnote>
  <w:footnote w:id="1">
    <w:p w:rsidR="00754552" w:rsidRDefault="00754552">
      <w:pPr>
        <w:pStyle w:val="Textpoznpodarou"/>
      </w:pPr>
      <w:r>
        <w:rPr>
          <w:rStyle w:val="Znakapoznpodarou"/>
        </w:rPr>
        <w:footnoteRef/>
      </w:r>
      <w:r w:rsidRPr="00754552">
        <w:rPr>
          <w:vertAlign w:val="superscript"/>
        </w:rPr>
        <w:t>)</w:t>
      </w:r>
      <w:r>
        <w:t xml:space="preserve"> </w:t>
      </w:r>
      <w:proofErr w:type="spellStart"/>
      <w:r w:rsidRPr="00754552">
        <w:t>Gottvald</w:t>
      </w:r>
      <w:proofErr w:type="spellEnd"/>
      <w:r w:rsidRPr="00754552">
        <w:t xml:space="preserve">, J., </w:t>
      </w:r>
      <w:proofErr w:type="spellStart"/>
      <w:r w:rsidRPr="00754552">
        <w:t>Hanclová</w:t>
      </w:r>
      <w:proofErr w:type="spellEnd"/>
      <w:r w:rsidRPr="00754552">
        <w:t xml:space="preserve">, J., </w:t>
      </w:r>
      <w:proofErr w:type="spellStart"/>
      <w:r w:rsidRPr="00754552">
        <w:t>Pytlikova</w:t>
      </w:r>
      <w:proofErr w:type="spellEnd"/>
      <w:r w:rsidRPr="00754552">
        <w:t xml:space="preserve">, M. 2002. Minimum </w:t>
      </w:r>
      <w:proofErr w:type="spellStart"/>
      <w:r w:rsidRPr="00754552">
        <w:t>Wage</w:t>
      </w:r>
      <w:proofErr w:type="spellEnd"/>
      <w:r w:rsidRPr="00754552">
        <w:t xml:space="preserve"> </w:t>
      </w:r>
      <w:proofErr w:type="spellStart"/>
      <w:r w:rsidRPr="00754552">
        <w:t>and</w:t>
      </w:r>
      <w:proofErr w:type="spellEnd"/>
      <w:r w:rsidRPr="00754552">
        <w:t xml:space="preserve"> </w:t>
      </w:r>
      <w:proofErr w:type="spellStart"/>
      <w:r w:rsidRPr="00754552">
        <w:t>Its</w:t>
      </w:r>
      <w:proofErr w:type="spellEnd"/>
      <w:r w:rsidRPr="00754552">
        <w:t xml:space="preserve"> </w:t>
      </w:r>
      <w:proofErr w:type="spellStart"/>
      <w:r w:rsidRPr="00754552">
        <w:t>Impact</w:t>
      </w:r>
      <w:proofErr w:type="spellEnd"/>
      <w:r w:rsidRPr="00754552">
        <w:t xml:space="preserve"> on </w:t>
      </w:r>
      <w:proofErr w:type="spellStart"/>
      <w:r w:rsidRPr="00754552">
        <w:t>Wage</w:t>
      </w:r>
      <w:proofErr w:type="spellEnd"/>
      <w:r w:rsidRPr="00754552">
        <w:t xml:space="preserve"> </w:t>
      </w:r>
      <w:proofErr w:type="spellStart"/>
      <w:r w:rsidRPr="00754552">
        <w:t>Distribution</w:t>
      </w:r>
      <w:proofErr w:type="spellEnd"/>
      <w:r w:rsidRPr="00754552">
        <w:t xml:space="preserve">, </w:t>
      </w:r>
      <w:proofErr w:type="spellStart"/>
      <w:r w:rsidRPr="00754552">
        <w:t>Unemployment</w:t>
      </w:r>
      <w:proofErr w:type="spellEnd"/>
      <w:r w:rsidRPr="00754552">
        <w:t xml:space="preserve"> </w:t>
      </w:r>
      <w:proofErr w:type="spellStart"/>
      <w:r w:rsidRPr="00754552">
        <w:t>and</w:t>
      </w:r>
      <w:proofErr w:type="spellEnd"/>
      <w:r w:rsidRPr="00754552">
        <w:t xml:space="preserve"> </w:t>
      </w:r>
      <w:proofErr w:type="spellStart"/>
      <w:r w:rsidRPr="00754552">
        <w:t>Hours</w:t>
      </w:r>
      <w:proofErr w:type="spellEnd"/>
      <w:r w:rsidRPr="00754552">
        <w:t xml:space="preserve"> </w:t>
      </w:r>
      <w:proofErr w:type="spellStart"/>
      <w:r w:rsidRPr="00754552">
        <w:t>Worked</w:t>
      </w:r>
      <w:proofErr w:type="spellEnd"/>
      <w:r w:rsidRPr="00754552">
        <w:t xml:space="preserve">. In: </w:t>
      </w:r>
      <w:proofErr w:type="spellStart"/>
      <w:r w:rsidRPr="00754552">
        <w:t>Gottvald</w:t>
      </w:r>
      <w:proofErr w:type="spellEnd"/>
      <w:r w:rsidRPr="00754552">
        <w:t xml:space="preserve">, J. a kol.: </w:t>
      </w:r>
      <w:proofErr w:type="spellStart"/>
      <w:r w:rsidRPr="00754552">
        <w:t>Determinants</w:t>
      </w:r>
      <w:proofErr w:type="spellEnd"/>
      <w:r w:rsidRPr="00754552">
        <w:t xml:space="preserve"> </w:t>
      </w:r>
      <w:proofErr w:type="spellStart"/>
      <w:r w:rsidRPr="00754552">
        <w:t>of</w:t>
      </w:r>
      <w:proofErr w:type="spellEnd"/>
      <w:r w:rsidRPr="00754552">
        <w:t xml:space="preserve"> </w:t>
      </w:r>
      <w:proofErr w:type="spellStart"/>
      <w:r w:rsidRPr="00754552">
        <w:t>individual</w:t>
      </w:r>
      <w:proofErr w:type="spellEnd"/>
      <w:r w:rsidRPr="00754552">
        <w:t xml:space="preserve"> </w:t>
      </w:r>
      <w:proofErr w:type="spellStart"/>
      <w:r w:rsidRPr="00754552">
        <w:t>pay</w:t>
      </w:r>
      <w:proofErr w:type="spellEnd"/>
      <w:r w:rsidRPr="00754552">
        <w:t xml:space="preserve"> </w:t>
      </w:r>
      <w:proofErr w:type="spellStart"/>
      <w:r w:rsidRPr="00754552">
        <w:t>and</w:t>
      </w:r>
      <w:proofErr w:type="spellEnd"/>
      <w:r w:rsidRPr="00754552">
        <w:t xml:space="preserve"> </w:t>
      </w:r>
      <w:proofErr w:type="spellStart"/>
      <w:r w:rsidRPr="00754552">
        <w:t>firms</w:t>
      </w:r>
      <w:proofErr w:type="spellEnd"/>
      <w:r w:rsidRPr="00754552">
        <w:t xml:space="preserve"> </w:t>
      </w:r>
      <w:proofErr w:type="spellStart"/>
      <w:r w:rsidRPr="00754552">
        <w:t>pay</w:t>
      </w:r>
      <w:proofErr w:type="spellEnd"/>
      <w:r w:rsidRPr="00754552">
        <w:t xml:space="preserve"> </w:t>
      </w:r>
      <w:proofErr w:type="spellStart"/>
      <w:r w:rsidRPr="00754552">
        <w:t>structures</w:t>
      </w:r>
      <w:proofErr w:type="spellEnd"/>
      <w:r w:rsidRPr="00754552">
        <w:t xml:space="preserve"> in </w:t>
      </w:r>
      <w:proofErr w:type="spellStart"/>
      <w:r w:rsidRPr="00754552">
        <w:t>the</w:t>
      </w:r>
      <w:proofErr w:type="spellEnd"/>
      <w:r w:rsidRPr="00754552">
        <w:t xml:space="preserve"> </w:t>
      </w:r>
      <w:proofErr w:type="spellStart"/>
      <w:r w:rsidRPr="00754552">
        <w:t>Czech</w:t>
      </w:r>
      <w:proofErr w:type="spellEnd"/>
      <w:r w:rsidRPr="00754552">
        <w:t xml:space="preserve"> </w:t>
      </w:r>
      <w:proofErr w:type="spellStart"/>
      <w:r w:rsidRPr="00754552">
        <w:t>and</w:t>
      </w:r>
      <w:proofErr w:type="spellEnd"/>
      <w:r w:rsidRPr="00754552">
        <w:t xml:space="preserve"> </w:t>
      </w:r>
      <w:proofErr w:type="spellStart"/>
      <w:r w:rsidRPr="00754552">
        <w:t>Slovak</w:t>
      </w:r>
      <w:proofErr w:type="spellEnd"/>
      <w:r w:rsidRPr="00754552">
        <w:t xml:space="preserve"> </w:t>
      </w:r>
      <w:proofErr w:type="spellStart"/>
      <w:r w:rsidRPr="00754552">
        <w:t>Republics</w:t>
      </w:r>
      <w:proofErr w:type="spellEnd"/>
      <w:r w:rsidRPr="00754552">
        <w:t>. Ostrava, VŠB-TU Ostrava</w:t>
      </w:r>
    </w:p>
  </w:footnote>
  <w:footnote w:id="2">
    <w:p w:rsidR="00754552" w:rsidRDefault="00754552">
      <w:pPr>
        <w:pStyle w:val="Textpoznpodarou"/>
      </w:pPr>
      <w:r>
        <w:rPr>
          <w:rStyle w:val="Znakapoznpodarou"/>
        </w:rPr>
        <w:footnoteRef/>
      </w:r>
      <w:r w:rsidRPr="00754552">
        <w:rPr>
          <w:vertAlign w:val="superscript"/>
        </w:rPr>
        <w:t>)</w:t>
      </w:r>
      <w:r>
        <w:t xml:space="preserve"> </w:t>
      </w:r>
      <w:proofErr w:type="spellStart"/>
      <w:r w:rsidRPr="004E6060">
        <w:rPr>
          <w:rFonts w:cs="Arial"/>
        </w:rPr>
        <w:t>Eriksson</w:t>
      </w:r>
      <w:proofErr w:type="spellEnd"/>
      <w:r w:rsidRPr="004E6060">
        <w:rPr>
          <w:rFonts w:cs="Arial"/>
        </w:rPr>
        <w:t xml:space="preserve">, T., </w:t>
      </w:r>
      <w:proofErr w:type="spellStart"/>
      <w:r w:rsidRPr="004E6060">
        <w:rPr>
          <w:rFonts w:cs="Arial"/>
        </w:rPr>
        <w:t>Pytlikova</w:t>
      </w:r>
      <w:proofErr w:type="spellEnd"/>
      <w:r w:rsidRPr="004E6060">
        <w:rPr>
          <w:rFonts w:cs="Arial"/>
        </w:rPr>
        <w:t xml:space="preserve">, M. 2004. </w:t>
      </w:r>
      <w:proofErr w:type="spellStart"/>
      <w:r w:rsidRPr="004E6060">
        <w:rPr>
          <w:rFonts w:cs="Arial"/>
          <w:i/>
        </w:rPr>
        <w:t>Firm</w:t>
      </w:r>
      <w:proofErr w:type="spellEnd"/>
      <w:r w:rsidRPr="004E6060">
        <w:rPr>
          <w:rFonts w:cs="Arial"/>
          <w:i/>
        </w:rPr>
        <w:t>-</w:t>
      </w:r>
      <w:proofErr w:type="spellStart"/>
      <w:r w:rsidRPr="004E6060">
        <w:rPr>
          <w:rFonts w:cs="Arial"/>
          <w:i/>
        </w:rPr>
        <w:t>level</w:t>
      </w:r>
      <w:proofErr w:type="spellEnd"/>
      <w:r w:rsidRPr="004E6060">
        <w:rPr>
          <w:rFonts w:cs="Arial"/>
          <w:i/>
        </w:rPr>
        <w:t xml:space="preserve"> </w:t>
      </w:r>
      <w:proofErr w:type="spellStart"/>
      <w:r w:rsidRPr="004E6060">
        <w:rPr>
          <w:rFonts w:cs="Arial"/>
          <w:i/>
        </w:rPr>
        <w:t>Consequences</w:t>
      </w:r>
      <w:proofErr w:type="spellEnd"/>
      <w:r w:rsidRPr="004E6060">
        <w:rPr>
          <w:rFonts w:cs="Arial"/>
          <w:i/>
        </w:rPr>
        <w:t xml:space="preserve"> </w:t>
      </w:r>
      <w:proofErr w:type="spellStart"/>
      <w:r w:rsidRPr="004E6060">
        <w:rPr>
          <w:rFonts w:cs="Arial"/>
          <w:i/>
        </w:rPr>
        <w:t>of</w:t>
      </w:r>
      <w:proofErr w:type="spellEnd"/>
      <w:r w:rsidRPr="004E6060">
        <w:rPr>
          <w:rFonts w:cs="Arial"/>
          <w:i/>
        </w:rPr>
        <w:t xml:space="preserve"> </w:t>
      </w:r>
      <w:proofErr w:type="spellStart"/>
      <w:r w:rsidRPr="004E6060">
        <w:rPr>
          <w:rFonts w:cs="Arial"/>
          <w:i/>
        </w:rPr>
        <w:t>Large</w:t>
      </w:r>
      <w:proofErr w:type="spellEnd"/>
      <w:r w:rsidRPr="004E6060">
        <w:rPr>
          <w:rFonts w:cs="Arial"/>
          <w:i/>
        </w:rPr>
        <w:t xml:space="preserve"> Minimum-</w:t>
      </w:r>
      <w:proofErr w:type="spellStart"/>
      <w:r w:rsidRPr="004E6060">
        <w:rPr>
          <w:rFonts w:cs="Arial"/>
          <w:i/>
        </w:rPr>
        <w:t>wage</w:t>
      </w:r>
      <w:proofErr w:type="spellEnd"/>
      <w:r w:rsidRPr="004E6060">
        <w:rPr>
          <w:rFonts w:cs="Arial"/>
          <w:i/>
        </w:rPr>
        <w:t xml:space="preserve"> </w:t>
      </w:r>
      <w:proofErr w:type="spellStart"/>
      <w:r w:rsidRPr="004E6060">
        <w:rPr>
          <w:rFonts w:cs="Arial"/>
          <w:i/>
        </w:rPr>
        <w:t>Increases</w:t>
      </w:r>
      <w:proofErr w:type="spellEnd"/>
      <w:r w:rsidRPr="004E6060">
        <w:rPr>
          <w:rFonts w:cs="Arial"/>
          <w:i/>
        </w:rPr>
        <w:t xml:space="preserve"> in </w:t>
      </w:r>
      <w:proofErr w:type="spellStart"/>
      <w:r w:rsidRPr="004E6060">
        <w:rPr>
          <w:rFonts w:cs="Arial"/>
          <w:i/>
        </w:rPr>
        <w:t>the</w:t>
      </w:r>
      <w:proofErr w:type="spellEnd"/>
      <w:r w:rsidRPr="004E6060">
        <w:rPr>
          <w:rFonts w:cs="Arial"/>
          <w:i/>
        </w:rPr>
        <w:t xml:space="preserve"> </w:t>
      </w:r>
      <w:proofErr w:type="spellStart"/>
      <w:r w:rsidRPr="004E6060">
        <w:rPr>
          <w:rFonts w:cs="Arial"/>
          <w:i/>
        </w:rPr>
        <w:t>Czech</w:t>
      </w:r>
      <w:proofErr w:type="spellEnd"/>
      <w:r w:rsidRPr="004E6060">
        <w:rPr>
          <w:rFonts w:cs="Arial"/>
          <w:i/>
        </w:rPr>
        <w:t xml:space="preserve"> </w:t>
      </w:r>
      <w:proofErr w:type="spellStart"/>
      <w:r w:rsidRPr="004E6060">
        <w:rPr>
          <w:rFonts w:cs="Arial"/>
          <w:i/>
        </w:rPr>
        <w:t>and</w:t>
      </w:r>
      <w:proofErr w:type="spellEnd"/>
      <w:r w:rsidRPr="004E6060">
        <w:rPr>
          <w:rFonts w:cs="Arial"/>
          <w:i/>
        </w:rPr>
        <w:t xml:space="preserve"> </w:t>
      </w:r>
      <w:proofErr w:type="spellStart"/>
      <w:r w:rsidRPr="004E6060">
        <w:rPr>
          <w:rFonts w:cs="Arial"/>
          <w:i/>
        </w:rPr>
        <w:t>Slovak</w:t>
      </w:r>
      <w:proofErr w:type="spellEnd"/>
      <w:r w:rsidRPr="004E6060">
        <w:rPr>
          <w:rFonts w:cs="Arial"/>
          <w:i/>
        </w:rPr>
        <w:t xml:space="preserve"> </w:t>
      </w:r>
      <w:proofErr w:type="spellStart"/>
      <w:r w:rsidRPr="004E6060">
        <w:rPr>
          <w:rFonts w:cs="Arial"/>
          <w:i/>
        </w:rPr>
        <w:t>Republics</w:t>
      </w:r>
      <w:proofErr w:type="spellEnd"/>
      <w:r w:rsidRPr="004E6060">
        <w:rPr>
          <w:rFonts w:cs="Arial"/>
        </w:rPr>
        <w:t xml:space="preserve">. </w:t>
      </w:r>
      <w:proofErr w:type="spellStart"/>
      <w:r w:rsidRPr="004E6060">
        <w:rPr>
          <w:rFonts w:cs="Arial"/>
        </w:rPr>
        <w:t>Labour</w:t>
      </w:r>
      <w:proofErr w:type="spellEnd"/>
      <w:r w:rsidRPr="004E6060">
        <w:rPr>
          <w:rFonts w:cs="Arial"/>
        </w:rPr>
        <w:t xml:space="preserve">, 2004, Vol. 18, No. 1, </w:t>
      </w:r>
      <w:proofErr w:type="spellStart"/>
      <w:r w:rsidRPr="004E6060">
        <w:rPr>
          <w:rFonts w:cs="Arial"/>
        </w:rPr>
        <w:t>pp</w:t>
      </w:r>
      <w:proofErr w:type="spellEnd"/>
      <w:r w:rsidRPr="004E6060">
        <w:rPr>
          <w:rFonts w:cs="Arial"/>
        </w:rPr>
        <w:t>. 75–103</w:t>
      </w:r>
    </w:p>
  </w:footnote>
  <w:footnote w:id="3">
    <w:p w:rsidR="00754552" w:rsidRDefault="00754552">
      <w:pPr>
        <w:pStyle w:val="Textpoznpodarou"/>
      </w:pPr>
      <w:r>
        <w:rPr>
          <w:rStyle w:val="Znakapoznpodarou"/>
        </w:rPr>
        <w:footnoteRef/>
      </w:r>
      <w:r w:rsidRPr="00754552">
        <w:rPr>
          <w:vertAlign w:val="superscript"/>
        </w:rPr>
        <w:t>)</w:t>
      </w:r>
      <w:r>
        <w:t xml:space="preserve"> </w:t>
      </w:r>
      <w:proofErr w:type="spellStart"/>
      <w:r w:rsidRPr="00754552">
        <w:t>Duspivová</w:t>
      </w:r>
      <w:proofErr w:type="spellEnd"/>
      <w:r w:rsidRPr="00754552">
        <w:t xml:space="preserve"> K., Kantorová P., Matějka M., Spáčil P., Smolka V., Šustová Š., Vltavská K. a kol. Hodnocení vlivu minimální mzdy na sociálně ekonomický vývoj ČR [online]. TREXIMA, spol. s r. o., 2013 [cit. 2016-08-05]. Dostupné z: http://www.mpsv.cz/files/clanky/17709/vliv_minimalni_mzdy.pdf</w:t>
      </w:r>
    </w:p>
  </w:footnote>
  <w:footnote w:id="4">
    <w:p w:rsidR="00754552" w:rsidRDefault="00754552">
      <w:pPr>
        <w:pStyle w:val="Textpoznpodarou"/>
      </w:pPr>
      <w:r>
        <w:rPr>
          <w:rStyle w:val="Znakapoznpodarou"/>
        </w:rPr>
        <w:footnoteRef/>
      </w:r>
      <w:r w:rsidRPr="00754552">
        <w:rPr>
          <w:vertAlign w:val="superscript"/>
        </w:rPr>
        <w:t>)</w:t>
      </w:r>
      <w:r>
        <w:t xml:space="preserve"> </w:t>
      </w:r>
      <w:r w:rsidRPr="004E6060">
        <w:rPr>
          <w:rFonts w:cs="Arial"/>
          <w:i/>
          <w:iCs/>
        </w:rPr>
        <w:t>Vliv minimální mzdy na nezaměstnanost v ČR</w:t>
      </w:r>
      <w:r w:rsidRPr="004E6060">
        <w:rPr>
          <w:rFonts w:cs="Arial"/>
        </w:rPr>
        <w:t xml:space="preserve"> [online]. Odbor analýz a informací Úřadu vlády České republiky, 2014 [cit. 2016-08-05]. Dostupné z: </w:t>
      </w:r>
      <w:hyperlink r:id="rId1" w:history="1">
        <w:r w:rsidRPr="004E6060">
          <w:rPr>
            <w:rStyle w:val="Hypertextovodkaz"/>
            <w:rFonts w:cs="Arial"/>
          </w:rPr>
          <w:t>http://www.vlada.cz/assets/media-centrum/aktualne/VLIV-MINIMALNI-MZDY-NA-NEZAMESTNANOST-V-CR.pdf</w:t>
        </w:r>
      </w:hyperlink>
    </w:p>
  </w:footnote>
  <w:footnote w:id="5">
    <w:p w:rsidR="00754552" w:rsidRDefault="00754552">
      <w:pPr>
        <w:pStyle w:val="Textpoznpodarou"/>
      </w:pPr>
      <w:r>
        <w:rPr>
          <w:rStyle w:val="Znakapoznpodarou"/>
        </w:rPr>
        <w:footnoteRef/>
      </w:r>
      <w:r w:rsidRPr="00754552">
        <w:rPr>
          <w:vertAlign w:val="superscript"/>
        </w:rPr>
        <w:t>)</w:t>
      </w:r>
      <w:r>
        <w:t xml:space="preserve"> </w:t>
      </w:r>
      <w:r w:rsidRPr="004E6060">
        <w:rPr>
          <w:rFonts w:cs="Arial"/>
        </w:rPr>
        <w:t xml:space="preserve">SCHMITT, John. </w:t>
      </w:r>
      <w:proofErr w:type="spellStart"/>
      <w:r w:rsidRPr="004E6060">
        <w:rPr>
          <w:rFonts w:cs="Arial"/>
          <w:i/>
          <w:iCs/>
        </w:rPr>
        <w:t>Why</w:t>
      </w:r>
      <w:proofErr w:type="spellEnd"/>
      <w:r w:rsidRPr="004E6060">
        <w:rPr>
          <w:rFonts w:cs="Arial"/>
          <w:i/>
          <w:iCs/>
        </w:rPr>
        <w:t xml:space="preserve"> </w:t>
      </w:r>
      <w:proofErr w:type="spellStart"/>
      <w:r w:rsidRPr="004E6060">
        <w:rPr>
          <w:rFonts w:cs="Arial"/>
          <w:i/>
          <w:iCs/>
        </w:rPr>
        <w:t>Does</w:t>
      </w:r>
      <w:proofErr w:type="spellEnd"/>
      <w:r w:rsidRPr="004E6060">
        <w:rPr>
          <w:rFonts w:cs="Arial"/>
          <w:i/>
          <w:iCs/>
        </w:rPr>
        <w:t xml:space="preserve"> </w:t>
      </w:r>
      <w:proofErr w:type="spellStart"/>
      <w:r w:rsidRPr="004E6060">
        <w:rPr>
          <w:rFonts w:cs="Arial"/>
          <w:i/>
          <w:iCs/>
        </w:rPr>
        <w:t>the</w:t>
      </w:r>
      <w:proofErr w:type="spellEnd"/>
      <w:r w:rsidRPr="004E6060">
        <w:rPr>
          <w:rFonts w:cs="Arial"/>
          <w:i/>
          <w:iCs/>
        </w:rPr>
        <w:t xml:space="preserve"> Minimum </w:t>
      </w:r>
      <w:proofErr w:type="spellStart"/>
      <w:r w:rsidRPr="004E6060">
        <w:rPr>
          <w:rFonts w:cs="Arial"/>
          <w:i/>
          <w:iCs/>
        </w:rPr>
        <w:t>Wage</w:t>
      </w:r>
      <w:proofErr w:type="spellEnd"/>
      <w:r w:rsidRPr="004E6060">
        <w:rPr>
          <w:rFonts w:cs="Arial"/>
          <w:i/>
          <w:iCs/>
        </w:rPr>
        <w:t xml:space="preserve"> </w:t>
      </w:r>
      <w:proofErr w:type="spellStart"/>
      <w:r w:rsidRPr="004E6060">
        <w:rPr>
          <w:rFonts w:cs="Arial"/>
          <w:i/>
          <w:iCs/>
        </w:rPr>
        <w:t>Have</w:t>
      </w:r>
      <w:proofErr w:type="spellEnd"/>
      <w:r w:rsidRPr="004E6060">
        <w:rPr>
          <w:rFonts w:cs="Arial"/>
          <w:i/>
          <w:iCs/>
        </w:rPr>
        <w:t xml:space="preserve"> No </w:t>
      </w:r>
      <w:proofErr w:type="spellStart"/>
      <w:r w:rsidRPr="004E6060">
        <w:rPr>
          <w:rFonts w:cs="Arial"/>
          <w:i/>
          <w:iCs/>
        </w:rPr>
        <w:t>Discernible</w:t>
      </w:r>
      <w:proofErr w:type="spellEnd"/>
      <w:r w:rsidRPr="004E6060">
        <w:rPr>
          <w:rFonts w:cs="Arial"/>
          <w:i/>
          <w:iCs/>
        </w:rPr>
        <w:t xml:space="preserve"> </w:t>
      </w:r>
      <w:proofErr w:type="spellStart"/>
      <w:r w:rsidRPr="004E6060">
        <w:rPr>
          <w:rFonts w:cs="Arial"/>
          <w:i/>
          <w:iCs/>
        </w:rPr>
        <w:t>Effect</w:t>
      </w:r>
      <w:proofErr w:type="spellEnd"/>
      <w:r w:rsidRPr="004E6060">
        <w:rPr>
          <w:rFonts w:cs="Arial"/>
          <w:i/>
          <w:iCs/>
        </w:rPr>
        <w:t xml:space="preserve"> on </w:t>
      </w:r>
      <w:proofErr w:type="spellStart"/>
      <w:r w:rsidRPr="004E6060">
        <w:rPr>
          <w:rFonts w:cs="Arial"/>
          <w:i/>
          <w:iCs/>
        </w:rPr>
        <w:t>Employment</w:t>
      </w:r>
      <w:proofErr w:type="spellEnd"/>
      <w:r w:rsidRPr="004E6060">
        <w:rPr>
          <w:rFonts w:cs="Arial"/>
          <w:i/>
          <w:iCs/>
        </w:rPr>
        <w:t>?</w:t>
      </w:r>
      <w:r w:rsidRPr="004E6060">
        <w:rPr>
          <w:rFonts w:cs="Arial"/>
        </w:rPr>
        <w:t xml:space="preserve"> [online]. CEPR, 2013 [cit. 2016-08-05]. Dostupné z: </w:t>
      </w:r>
      <w:hyperlink r:id="rId2" w:history="1">
        <w:r w:rsidRPr="004E6060">
          <w:rPr>
            <w:rStyle w:val="Hypertextovodkaz"/>
            <w:rFonts w:cs="Arial"/>
          </w:rPr>
          <w:t>http://cepr.net/documents/publications/min-wage-2013-02.pdf</w:t>
        </w:r>
      </w:hyperlink>
    </w:p>
  </w:footnote>
  <w:footnote w:id="6">
    <w:p w:rsidR="00754552" w:rsidRPr="00754552" w:rsidRDefault="00754552">
      <w:pPr>
        <w:pStyle w:val="Textpoznpodarou"/>
      </w:pPr>
      <w:r>
        <w:rPr>
          <w:rStyle w:val="Znakapoznpodarou"/>
        </w:rPr>
        <w:footnoteRef/>
      </w:r>
      <w:r w:rsidRPr="00754552">
        <w:rPr>
          <w:vertAlign w:val="superscript"/>
        </w:rPr>
        <w:t>)</w:t>
      </w:r>
      <w:r>
        <w:rPr>
          <w:vertAlign w:val="superscript"/>
        </w:rPr>
        <w:t xml:space="preserve"> </w:t>
      </w:r>
      <w:r>
        <w:t xml:space="preserve">Dube, A., </w:t>
      </w:r>
      <w:proofErr w:type="spellStart"/>
      <w:r>
        <w:t>Cengiz</w:t>
      </w:r>
      <w:proofErr w:type="spellEnd"/>
      <w:r>
        <w:t xml:space="preserve">, D., </w:t>
      </w:r>
      <w:proofErr w:type="spellStart"/>
      <w:r>
        <w:t>Linde</w:t>
      </w:r>
      <w:proofErr w:type="spellEnd"/>
      <w:r>
        <w:t xml:space="preserve">, A., </w:t>
      </w:r>
      <w:proofErr w:type="spellStart"/>
      <w:r>
        <w:t>Zippere</w:t>
      </w:r>
      <w:proofErr w:type="spellEnd"/>
      <w:r>
        <w:t>, B. 2017.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Minimum </w:t>
      </w:r>
      <w:proofErr w:type="spellStart"/>
      <w:r>
        <w:t>Wages</w:t>
      </w:r>
      <w:proofErr w:type="spellEnd"/>
      <w:r>
        <w:t xml:space="preserve"> on </w:t>
      </w:r>
      <w:proofErr w:type="spellStart"/>
      <w:r>
        <w:t>Low</w:t>
      </w:r>
      <w:proofErr w:type="spellEnd"/>
      <w:r>
        <w:t>-</w:t>
      </w:r>
      <w:proofErr w:type="spellStart"/>
      <w:r>
        <w:t>Wage</w:t>
      </w:r>
      <w:proofErr w:type="spellEnd"/>
      <w:r>
        <w:t xml:space="preserve"> </w:t>
      </w:r>
      <w:proofErr w:type="spellStart"/>
      <w:r>
        <w:t>Jobs</w:t>
      </w:r>
      <w:proofErr w:type="spellEnd"/>
      <w:r>
        <w:t xml:space="preserve">: Evidence </w:t>
      </w:r>
      <w:proofErr w:type="spellStart"/>
      <w:r>
        <w:t>from</w:t>
      </w:r>
      <w:proofErr w:type="spellEnd"/>
      <w:r>
        <w:t xml:space="preserve">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t>Using</w:t>
      </w:r>
      <w:proofErr w:type="spellEnd"/>
      <w:r>
        <w:t xml:space="preserve"> a </w:t>
      </w:r>
      <w:proofErr w:type="spellStart"/>
      <w:r>
        <w:t>Bunching</w:t>
      </w:r>
      <w:proofErr w:type="spellEnd"/>
      <w:r>
        <w:t xml:space="preserve"> </w:t>
      </w:r>
      <w:proofErr w:type="spellStart"/>
      <w:r>
        <w:t>Estimator</w:t>
      </w:r>
      <w:proofErr w:type="spellEnd"/>
      <w:r>
        <w:t xml:space="preserve">,“ CEP </w:t>
      </w:r>
      <w:proofErr w:type="spellStart"/>
      <w:r>
        <w:t>Discussion</w:t>
      </w:r>
      <w:proofErr w:type="spellEnd"/>
      <w:r>
        <w:t xml:space="preserve"> </w:t>
      </w:r>
      <w:proofErr w:type="spellStart"/>
      <w:r>
        <w:t>Papers</w:t>
      </w:r>
      <w:proofErr w:type="spellEnd"/>
      <w:r>
        <w:t xml:space="preserve"> </w:t>
      </w:r>
      <w:proofErr w:type="spellStart"/>
      <w:r>
        <w:t>dp</w:t>
      </w:r>
      <w:proofErr w:type="spellEnd"/>
      <w:r>
        <w:t xml:space="preserve"> 1531, Centre </w:t>
      </w:r>
      <w:proofErr w:type="spellStart"/>
      <w:r>
        <w:t>for</w:t>
      </w:r>
      <w:proofErr w:type="spellEnd"/>
      <w:r>
        <w:t xml:space="preserve"> </w:t>
      </w:r>
      <w:proofErr w:type="spellStart"/>
      <w:r>
        <w:t>Economic</w:t>
      </w:r>
      <w:proofErr w:type="spellEnd"/>
      <w:r>
        <w:t xml:space="preserve"> Performance, LSE.</w:t>
      </w:r>
    </w:p>
  </w:footnote>
  <w:footnote w:id="7">
    <w:p w:rsidR="00771A96" w:rsidRDefault="00771A96">
      <w:pPr>
        <w:pStyle w:val="Textpoznpodarou"/>
      </w:pPr>
      <w:r>
        <w:rPr>
          <w:rStyle w:val="Znakapoznpodarou"/>
        </w:rPr>
        <w:footnoteRef/>
      </w:r>
      <w:r w:rsidRPr="00771A96">
        <w:rPr>
          <w:vertAlign w:val="superscript"/>
        </w:rPr>
        <w:t>)</w:t>
      </w:r>
      <w:r>
        <w:t xml:space="preserve"> </w:t>
      </w:r>
      <w:r w:rsidRPr="00771A96">
        <w:t xml:space="preserve">Dopady zvyšování minimální mzdy v letech 2013 až 2017 na zaměstnanost a mzdy v České republice. Institut pro demokracii a ekonomickou analýzu (IDEA – CERGE EI), duben 2019. Dostupné z: </w:t>
      </w:r>
      <w:hyperlink r:id="rId3" w:history="1">
        <w:r w:rsidRPr="00CF243E">
          <w:rPr>
            <w:rStyle w:val="Hypertextovodkaz"/>
          </w:rPr>
          <w:t>https://idea.cerge-ei.cz/files/IDEA_Studie_04_2019_Dopady_zvysovani_minimalni_mzdy/IDEA_Studie_04_2019_Dopady_zvysovani_minimalni_mzdy.html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4C42AC"/>
    <w:lvl w:ilvl="0">
      <w:start w:val="1"/>
      <w:numFmt w:val="decimal"/>
      <w:lvlText w:val="%1."/>
      <w:lvlJc w:val="left"/>
      <w:pPr>
        <w:tabs>
          <w:tab w:val="num" w:pos="1492"/>
        </w:tabs>
        <w:ind w:left="1492" w:hanging="360"/>
      </w:pPr>
    </w:lvl>
  </w:abstractNum>
  <w:abstractNum w:abstractNumId="1">
    <w:nsid w:val="FFFFFF7D"/>
    <w:multiLevelType w:val="singleLevel"/>
    <w:tmpl w:val="C956A0E2"/>
    <w:lvl w:ilvl="0">
      <w:start w:val="1"/>
      <w:numFmt w:val="decimal"/>
      <w:lvlText w:val="%1."/>
      <w:lvlJc w:val="left"/>
      <w:pPr>
        <w:tabs>
          <w:tab w:val="num" w:pos="1209"/>
        </w:tabs>
        <w:ind w:left="1209" w:hanging="360"/>
      </w:pPr>
    </w:lvl>
  </w:abstractNum>
  <w:abstractNum w:abstractNumId="2">
    <w:nsid w:val="FFFFFF7E"/>
    <w:multiLevelType w:val="singleLevel"/>
    <w:tmpl w:val="0CF2DBBE"/>
    <w:lvl w:ilvl="0">
      <w:start w:val="1"/>
      <w:numFmt w:val="decimal"/>
      <w:lvlText w:val="%1."/>
      <w:lvlJc w:val="left"/>
      <w:pPr>
        <w:tabs>
          <w:tab w:val="num" w:pos="926"/>
        </w:tabs>
        <w:ind w:left="926" w:hanging="360"/>
      </w:pPr>
    </w:lvl>
  </w:abstractNum>
  <w:abstractNum w:abstractNumId="3">
    <w:nsid w:val="FFFFFF7F"/>
    <w:multiLevelType w:val="singleLevel"/>
    <w:tmpl w:val="B462993C"/>
    <w:lvl w:ilvl="0">
      <w:start w:val="1"/>
      <w:numFmt w:val="decimal"/>
      <w:lvlText w:val="%1."/>
      <w:lvlJc w:val="left"/>
      <w:pPr>
        <w:tabs>
          <w:tab w:val="num" w:pos="643"/>
        </w:tabs>
        <w:ind w:left="643" w:hanging="360"/>
      </w:pPr>
    </w:lvl>
  </w:abstractNum>
  <w:abstractNum w:abstractNumId="4">
    <w:nsid w:val="FFFFFF80"/>
    <w:multiLevelType w:val="singleLevel"/>
    <w:tmpl w:val="AB0436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3E12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A20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FCEC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C4436A"/>
    <w:lvl w:ilvl="0">
      <w:start w:val="1"/>
      <w:numFmt w:val="decimal"/>
      <w:lvlText w:val="%1."/>
      <w:lvlJc w:val="left"/>
      <w:pPr>
        <w:tabs>
          <w:tab w:val="num" w:pos="360"/>
        </w:tabs>
        <w:ind w:left="360" w:hanging="360"/>
      </w:pPr>
    </w:lvl>
  </w:abstractNum>
  <w:abstractNum w:abstractNumId="9">
    <w:nsid w:val="FFFFFF89"/>
    <w:multiLevelType w:val="singleLevel"/>
    <w:tmpl w:val="18B4F21E"/>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multilevel"/>
    <w:tmpl w:val="1AC2CF56"/>
    <w:lvl w:ilvl="0">
      <w:start w:val="1"/>
      <w:numFmt w:val="decimal"/>
      <w:pStyle w:val="Textodstavce"/>
      <w:isLgl/>
      <w:lvlText w:val="(%1)"/>
      <w:lvlJc w:val="left"/>
      <w:pPr>
        <w:tabs>
          <w:tab w:val="num" w:pos="1350"/>
        </w:tabs>
        <w:ind w:left="568" w:firstLine="425"/>
      </w:pPr>
      <w:rPr>
        <w:rFonts w:ascii="Times New Roman" w:eastAsia="Calibri" w:hAnsi="Times New Roman" w:cs="Times New Roman"/>
        <w:b w:val="0"/>
        <w:color w:val="auto"/>
      </w:rPr>
    </w:lvl>
    <w:lvl w:ilvl="1">
      <w:start w:val="1"/>
      <w:numFmt w:val="lowerLetter"/>
      <w:pStyle w:val="Textpsmene"/>
      <w:lvlText w:val="%2)"/>
      <w:lvlJc w:val="left"/>
      <w:pPr>
        <w:tabs>
          <w:tab w:val="num" w:pos="-1"/>
        </w:tabs>
        <w:ind w:left="-1" w:hanging="425"/>
      </w:pPr>
    </w:lvl>
    <w:lvl w:ilvl="2">
      <w:start w:val="1"/>
      <w:numFmt w:val="decimal"/>
      <w:pStyle w:val="Textbodu"/>
      <w:isLgl/>
      <w:lvlText w:val="%3."/>
      <w:lvlJc w:val="left"/>
      <w:pPr>
        <w:tabs>
          <w:tab w:val="num" w:pos="567"/>
        </w:tabs>
        <w:ind w:left="567" w:hanging="425"/>
      </w:pPr>
      <w:rPr>
        <w:color w:val="auto"/>
        <w:u w:val="none"/>
      </w:rPr>
    </w:lvl>
    <w:lvl w:ilvl="3">
      <w:start w:val="1"/>
      <w:numFmt w:val="decimal"/>
      <w:lvlText w:val="(%4)"/>
      <w:lvlJc w:val="left"/>
      <w:pPr>
        <w:tabs>
          <w:tab w:val="num" w:pos="928"/>
        </w:tabs>
        <w:ind w:left="928" w:hanging="360"/>
      </w:pPr>
    </w:lvl>
    <w:lvl w:ilvl="4">
      <w:start w:val="1"/>
      <w:numFmt w:val="lowerLetter"/>
      <w:lvlText w:val="(%5)"/>
      <w:lvlJc w:val="left"/>
      <w:pPr>
        <w:tabs>
          <w:tab w:val="num" w:pos="1374"/>
        </w:tabs>
        <w:ind w:left="1374" w:hanging="360"/>
      </w:pPr>
    </w:lvl>
    <w:lvl w:ilvl="5">
      <w:start w:val="1"/>
      <w:numFmt w:val="lowerRoman"/>
      <w:lvlText w:val="(%6)"/>
      <w:lvlJc w:val="left"/>
      <w:pPr>
        <w:tabs>
          <w:tab w:val="num" w:pos="2094"/>
        </w:tabs>
        <w:ind w:left="1734" w:hanging="360"/>
      </w:pPr>
    </w:lvl>
    <w:lvl w:ilvl="6">
      <w:start w:val="1"/>
      <w:numFmt w:val="decimal"/>
      <w:lvlText w:val="%7."/>
      <w:lvlJc w:val="left"/>
      <w:pPr>
        <w:tabs>
          <w:tab w:val="num" w:pos="2203"/>
        </w:tabs>
        <w:ind w:left="2203" w:hanging="360"/>
      </w:pPr>
      <w:rPr>
        <w:sz w:val="24"/>
        <w:szCs w:val="24"/>
      </w:rPr>
    </w:lvl>
    <w:lvl w:ilvl="7">
      <w:start w:val="1"/>
      <w:numFmt w:val="lowerLetter"/>
      <w:lvlText w:val="%8."/>
      <w:lvlJc w:val="left"/>
      <w:pPr>
        <w:tabs>
          <w:tab w:val="num" w:pos="2454"/>
        </w:tabs>
        <w:ind w:left="2454" w:hanging="360"/>
      </w:pPr>
    </w:lvl>
    <w:lvl w:ilvl="8">
      <w:start w:val="1"/>
      <w:numFmt w:val="lowerRoman"/>
      <w:lvlText w:val="%9."/>
      <w:lvlJc w:val="left"/>
      <w:pPr>
        <w:tabs>
          <w:tab w:val="num" w:pos="3174"/>
        </w:tabs>
        <w:ind w:left="2814" w:hanging="360"/>
      </w:pPr>
    </w:lvl>
  </w:abstractNum>
  <w:abstractNum w:abstractNumId="11">
    <w:nsid w:val="015B3F2C"/>
    <w:multiLevelType w:val="hybridMultilevel"/>
    <w:tmpl w:val="C2A027C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0C6E0178"/>
    <w:multiLevelType w:val="hybridMultilevel"/>
    <w:tmpl w:val="0116E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01A7052"/>
    <w:multiLevelType w:val="hybridMultilevel"/>
    <w:tmpl w:val="5B624810"/>
    <w:lvl w:ilvl="0" w:tplc="955EBE62">
      <w:start w:val="1"/>
      <w:numFmt w:val="decimal"/>
      <w:pStyle w:val="ZmenBod"/>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01">
      <w:start w:val="1"/>
      <w:numFmt w:val="bullet"/>
      <w:lvlText w:val=""/>
      <w:lvlJc w:val="left"/>
      <w:pPr>
        <w:tabs>
          <w:tab w:val="num" w:pos="1440"/>
        </w:tabs>
        <w:ind w:left="144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39459CE"/>
    <w:multiLevelType w:val="hybridMultilevel"/>
    <w:tmpl w:val="CC44FA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BC750D7"/>
    <w:multiLevelType w:val="hybridMultilevel"/>
    <w:tmpl w:val="944251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E3E6A45"/>
    <w:multiLevelType w:val="hybridMultilevel"/>
    <w:tmpl w:val="5E60122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1E42736D"/>
    <w:multiLevelType w:val="hybridMultilevel"/>
    <w:tmpl w:val="72B0579C"/>
    <w:lvl w:ilvl="0" w:tplc="04050001">
      <w:start w:val="1"/>
      <w:numFmt w:val="bullet"/>
      <w:lvlText w:val=""/>
      <w:lvlJc w:val="left"/>
      <w:pPr>
        <w:tabs>
          <w:tab w:val="num" w:pos="6384"/>
        </w:tabs>
        <w:ind w:left="6384" w:hanging="360"/>
      </w:pPr>
      <w:rPr>
        <w:rFonts w:ascii="Symbol" w:hAnsi="Symbol" w:hint="default"/>
      </w:rPr>
    </w:lvl>
    <w:lvl w:ilvl="1" w:tplc="04050003" w:tentative="1">
      <w:start w:val="1"/>
      <w:numFmt w:val="bullet"/>
      <w:lvlText w:val="o"/>
      <w:lvlJc w:val="left"/>
      <w:pPr>
        <w:tabs>
          <w:tab w:val="num" w:pos="7104"/>
        </w:tabs>
        <w:ind w:left="7104" w:hanging="360"/>
      </w:pPr>
      <w:rPr>
        <w:rFonts w:ascii="Courier New" w:hAnsi="Courier New" w:cs="Courier New" w:hint="default"/>
      </w:rPr>
    </w:lvl>
    <w:lvl w:ilvl="2" w:tplc="04050005" w:tentative="1">
      <w:start w:val="1"/>
      <w:numFmt w:val="bullet"/>
      <w:lvlText w:val=""/>
      <w:lvlJc w:val="left"/>
      <w:pPr>
        <w:tabs>
          <w:tab w:val="num" w:pos="7824"/>
        </w:tabs>
        <w:ind w:left="7824" w:hanging="360"/>
      </w:pPr>
      <w:rPr>
        <w:rFonts w:ascii="Wingdings" w:hAnsi="Wingdings" w:hint="default"/>
      </w:rPr>
    </w:lvl>
    <w:lvl w:ilvl="3" w:tplc="04050001" w:tentative="1">
      <w:start w:val="1"/>
      <w:numFmt w:val="bullet"/>
      <w:lvlText w:val=""/>
      <w:lvlJc w:val="left"/>
      <w:pPr>
        <w:tabs>
          <w:tab w:val="num" w:pos="8544"/>
        </w:tabs>
        <w:ind w:left="8544" w:hanging="360"/>
      </w:pPr>
      <w:rPr>
        <w:rFonts w:ascii="Symbol" w:hAnsi="Symbol" w:hint="default"/>
      </w:rPr>
    </w:lvl>
    <w:lvl w:ilvl="4" w:tplc="04050003" w:tentative="1">
      <w:start w:val="1"/>
      <w:numFmt w:val="bullet"/>
      <w:lvlText w:val="o"/>
      <w:lvlJc w:val="left"/>
      <w:pPr>
        <w:tabs>
          <w:tab w:val="num" w:pos="9264"/>
        </w:tabs>
        <w:ind w:left="9264" w:hanging="360"/>
      </w:pPr>
      <w:rPr>
        <w:rFonts w:ascii="Courier New" w:hAnsi="Courier New" w:cs="Courier New" w:hint="default"/>
      </w:rPr>
    </w:lvl>
    <w:lvl w:ilvl="5" w:tplc="04050005" w:tentative="1">
      <w:start w:val="1"/>
      <w:numFmt w:val="bullet"/>
      <w:lvlText w:val=""/>
      <w:lvlJc w:val="left"/>
      <w:pPr>
        <w:tabs>
          <w:tab w:val="num" w:pos="9984"/>
        </w:tabs>
        <w:ind w:left="9984" w:hanging="360"/>
      </w:pPr>
      <w:rPr>
        <w:rFonts w:ascii="Wingdings" w:hAnsi="Wingdings" w:hint="default"/>
      </w:rPr>
    </w:lvl>
    <w:lvl w:ilvl="6" w:tplc="04050001" w:tentative="1">
      <w:start w:val="1"/>
      <w:numFmt w:val="bullet"/>
      <w:lvlText w:val=""/>
      <w:lvlJc w:val="left"/>
      <w:pPr>
        <w:tabs>
          <w:tab w:val="num" w:pos="10704"/>
        </w:tabs>
        <w:ind w:left="10704" w:hanging="360"/>
      </w:pPr>
      <w:rPr>
        <w:rFonts w:ascii="Symbol" w:hAnsi="Symbol" w:hint="default"/>
      </w:rPr>
    </w:lvl>
    <w:lvl w:ilvl="7" w:tplc="04050003" w:tentative="1">
      <w:start w:val="1"/>
      <w:numFmt w:val="bullet"/>
      <w:lvlText w:val="o"/>
      <w:lvlJc w:val="left"/>
      <w:pPr>
        <w:tabs>
          <w:tab w:val="num" w:pos="11424"/>
        </w:tabs>
        <w:ind w:left="11424" w:hanging="360"/>
      </w:pPr>
      <w:rPr>
        <w:rFonts w:ascii="Courier New" w:hAnsi="Courier New" w:cs="Courier New" w:hint="default"/>
      </w:rPr>
    </w:lvl>
    <w:lvl w:ilvl="8" w:tplc="04050005" w:tentative="1">
      <w:start w:val="1"/>
      <w:numFmt w:val="bullet"/>
      <w:lvlText w:val=""/>
      <w:lvlJc w:val="left"/>
      <w:pPr>
        <w:tabs>
          <w:tab w:val="num" w:pos="12144"/>
        </w:tabs>
        <w:ind w:left="12144" w:hanging="360"/>
      </w:pPr>
      <w:rPr>
        <w:rFonts w:ascii="Wingdings" w:hAnsi="Wingdings" w:hint="default"/>
      </w:rPr>
    </w:lvl>
  </w:abstractNum>
  <w:abstractNum w:abstractNumId="18">
    <w:nsid w:val="2A541E14"/>
    <w:multiLevelType w:val="multilevel"/>
    <w:tmpl w:val="427298B4"/>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293717"/>
    <w:multiLevelType w:val="hybridMultilevel"/>
    <w:tmpl w:val="D416CF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3D35F0C"/>
    <w:multiLevelType w:val="hybridMultilevel"/>
    <w:tmpl w:val="5C78DB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D842D15"/>
    <w:multiLevelType w:val="hybridMultilevel"/>
    <w:tmpl w:val="7764DAF0"/>
    <w:lvl w:ilvl="0" w:tplc="04050001">
      <w:start w:val="1"/>
      <w:numFmt w:val="bullet"/>
      <w:lvlText w:val=""/>
      <w:lvlJc w:val="left"/>
      <w:pPr>
        <w:tabs>
          <w:tab w:val="num" w:pos="2840"/>
        </w:tabs>
        <w:ind w:left="2840" w:hanging="360"/>
      </w:pPr>
      <w:rPr>
        <w:rFonts w:ascii="Symbol" w:hAnsi="Symbol" w:hint="default"/>
      </w:rPr>
    </w:lvl>
    <w:lvl w:ilvl="1" w:tplc="04050003" w:tentative="1">
      <w:start w:val="1"/>
      <w:numFmt w:val="bullet"/>
      <w:lvlText w:val="o"/>
      <w:lvlJc w:val="left"/>
      <w:pPr>
        <w:tabs>
          <w:tab w:val="num" w:pos="3560"/>
        </w:tabs>
        <w:ind w:left="3560" w:hanging="360"/>
      </w:pPr>
      <w:rPr>
        <w:rFonts w:ascii="Courier New" w:hAnsi="Courier New" w:cs="Courier New" w:hint="default"/>
      </w:rPr>
    </w:lvl>
    <w:lvl w:ilvl="2" w:tplc="04050005" w:tentative="1">
      <w:start w:val="1"/>
      <w:numFmt w:val="bullet"/>
      <w:lvlText w:val=""/>
      <w:lvlJc w:val="left"/>
      <w:pPr>
        <w:tabs>
          <w:tab w:val="num" w:pos="4280"/>
        </w:tabs>
        <w:ind w:left="4280" w:hanging="360"/>
      </w:pPr>
      <w:rPr>
        <w:rFonts w:ascii="Wingdings" w:hAnsi="Wingdings" w:hint="default"/>
      </w:rPr>
    </w:lvl>
    <w:lvl w:ilvl="3" w:tplc="04050001" w:tentative="1">
      <w:start w:val="1"/>
      <w:numFmt w:val="bullet"/>
      <w:lvlText w:val=""/>
      <w:lvlJc w:val="left"/>
      <w:pPr>
        <w:tabs>
          <w:tab w:val="num" w:pos="5000"/>
        </w:tabs>
        <w:ind w:left="5000" w:hanging="360"/>
      </w:pPr>
      <w:rPr>
        <w:rFonts w:ascii="Symbol" w:hAnsi="Symbol" w:hint="default"/>
      </w:rPr>
    </w:lvl>
    <w:lvl w:ilvl="4" w:tplc="04050003" w:tentative="1">
      <w:start w:val="1"/>
      <w:numFmt w:val="bullet"/>
      <w:lvlText w:val="o"/>
      <w:lvlJc w:val="left"/>
      <w:pPr>
        <w:tabs>
          <w:tab w:val="num" w:pos="5720"/>
        </w:tabs>
        <w:ind w:left="5720" w:hanging="360"/>
      </w:pPr>
      <w:rPr>
        <w:rFonts w:ascii="Courier New" w:hAnsi="Courier New" w:cs="Courier New" w:hint="default"/>
      </w:rPr>
    </w:lvl>
    <w:lvl w:ilvl="5" w:tplc="04050005" w:tentative="1">
      <w:start w:val="1"/>
      <w:numFmt w:val="bullet"/>
      <w:lvlText w:val=""/>
      <w:lvlJc w:val="left"/>
      <w:pPr>
        <w:tabs>
          <w:tab w:val="num" w:pos="6440"/>
        </w:tabs>
        <w:ind w:left="6440" w:hanging="360"/>
      </w:pPr>
      <w:rPr>
        <w:rFonts w:ascii="Wingdings" w:hAnsi="Wingdings" w:hint="default"/>
      </w:rPr>
    </w:lvl>
    <w:lvl w:ilvl="6" w:tplc="04050001" w:tentative="1">
      <w:start w:val="1"/>
      <w:numFmt w:val="bullet"/>
      <w:lvlText w:val=""/>
      <w:lvlJc w:val="left"/>
      <w:pPr>
        <w:tabs>
          <w:tab w:val="num" w:pos="7160"/>
        </w:tabs>
        <w:ind w:left="7160" w:hanging="360"/>
      </w:pPr>
      <w:rPr>
        <w:rFonts w:ascii="Symbol" w:hAnsi="Symbol" w:hint="default"/>
      </w:rPr>
    </w:lvl>
    <w:lvl w:ilvl="7" w:tplc="04050003" w:tentative="1">
      <w:start w:val="1"/>
      <w:numFmt w:val="bullet"/>
      <w:lvlText w:val="o"/>
      <w:lvlJc w:val="left"/>
      <w:pPr>
        <w:tabs>
          <w:tab w:val="num" w:pos="7880"/>
        </w:tabs>
        <w:ind w:left="7880" w:hanging="360"/>
      </w:pPr>
      <w:rPr>
        <w:rFonts w:ascii="Courier New" w:hAnsi="Courier New" w:cs="Courier New" w:hint="default"/>
      </w:rPr>
    </w:lvl>
    <w:lvl w:ilvl="8" w:tplc="04050005" w:tentative="1">
      <w:start w:val="1"/>
      <w:numFmt w:val="bullet"/>
      <w:lvlText w:val=""/>
      <w:lvlJc w:val="left"/>
      <w:pPr>
        <w:tabs>
          <w:tab w:val="num" w:pos="8600"/>
        </w:tabs>
        <w:ind w:left="8600" w:hanging="360"/>
      </w:pPr>
      <w:rPr>
        <w:rFonts w:ascii="Wingdings" w:hAnsi="Wingdings" w:hint="default"/>
      </w:rPr>
    </w:lvl>
  </w:abstractNum>
  <w:abstractNum w:abstractNumId="22">
    <w:nsid w:val="6F5F4DD4"/>
    <w:multiLevelType w:val="hybridMultilevel"/>
    <w:tmpl w:val="F1FCE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4181BA7"/>
    <w:multiLevelType w:val="hybridMultilevel"/>
    <w:tmpl w:val="51E2A4C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20"/>
  </w:num>
  <w:num w:numId="3">
    <w:abstractNumId w:val="17"/>
  </w:num>
  <w:num w:numId="4">
    <w:abstractNumId w:val="21"/>
  </w:num>
  <w:num w:numId="5">
    <w:abstractNumId w:val="14"/>
  </w:num>
  <w:num w:numId="6">
    <w:abstractNumId w:val="15"/>
  </w:num>
  <w:num w:numId="7">
    <w:abstractNumId w:val="11"/>
  </w:num>
  <w:num w:numId="8">
    <w:abstractNumId w:val="1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8"/>
  </w:num>
  <w:num w:numId="20">
    <w:abstractNumId w:val="16"/>
  </w:num>
  <w:num w:numId="21">
    <w:abstractNumId w:val="23"/>
  </w:num>
  <w:num w:numId="22">
    <w:abstractNumId w:val="10"/>
  </w:num>
  <w:num w:numId="23">
    <w:abstractNumId w:val="22"/>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74FF0"/>
    <w:rsid w:val="000009FF"/>
    <w:rsid w:val="0000154F"/>
    <w:rsid w:val="000052C2"/>
    <w:rsid w:val="00005AE4"/>
    <w:rsid w:val="00006318"/>
    <w:rsid w:val="00016340"/>
    <w:rsid w:val="00021230"/>
    <w:rsid w:val="00022CB8"/>
    <w:rsid w:val="00022F4E"/>
    <w:rsid w:val="00025392"/>
    <w:rsid w:val="00026058"/>
    <w:rsid w:val="00027E88"/>
    <w:rsid w:val="00032F1D"/>
    <w:rsid w:val="00036F70"/>
    <w:rsid w:val="000429AD"/>
    <w:rsid w:val="0004483E"/>
    <w:rsid w:val="00053900"/>
    <w:rsid w:val="00054CB4"/>
    <w:rsid w:val="000553F1"/>
    <w:rsid w:val="000567A6"/>
    <w:rsid w:val="00060CD7"/>
    <w:rsid w:val="00061215"/>
    <w:rsid w:val="0006153C"/>
    <w:rsid w:val="00062755"/>
    <w:rsid w:val="00062FD5"/>
    <w:rsid w:val="00063F4E"/>
    <w:rsid w:val="000643DD"/>
    <w:rsid w:val="00065F15"/>
    <w:rsid w:val="00070338"/>
    <w:rsid w:val="0007194E"/>
    <w:rsid w:val="00073F0F"/>
    <w:rsid w:val="00074777"/>
    <w:rsid w:val="000750C7"/>
    <w:rsid w:val="000761B3"/>
    <w:rsid w:val="0008355C"/>
    <w:rsid w:val="00087020"/>
    <w:rsid w:val="000873DD"/>
    <w:rsid w:val="00092A9E"/>
    <w:rsid w:val="00095383"/>
    <w:rsid w:val="000956A9"/>
    <w:rsid w:val="00095B44"/>
    <w:rsid w:val="0009604A"/>
    <w:rsid w:val="000A4871"/>
    <w:rsid w:val="000B00E5"/>
    <w:rsid w:val="000B2C68"/>
    <w:rsid w:val="000C295B"/>
    <w:rsid w:val="000C35B3"/>
    <w:rsid w:val="000C4682"/>
    <w:rsid w:val="000C5598"/>
    <w:rsid w:val="000C5B12"/>
    <w:rsid w:val="000D280A"/>
    <w:rsid w:val="000D4B5C"/>
    <w:rsid w:val="000D5393"/>
    <w:rsid w:val="000E0C31"/>
    <w:rsid w:val="000E0C67"/>
    <w:rsid w:val="000E17AD"/>
    <w:rsid w:val="000E3126"/>
    <w:rsid w:val="000E47DA"/>
    <w:rsid w:val="000E53BE"/>
    <w:rsid w:val="000F0F68"/>
    <w:rsid w:val="000F13E7"/>
    <w:rsid w:val="000F1B92"/>
    <w:rsid w:val="000F4E20"/>
    <w:rsid w:val="000F4F27"/>
    <w:rsid w:val="000F5DE8"/>
    <w:rsid w:val="000F5E19"/>
    <w:rsid w:val="000F632C"/>
    <w:rsid w:val="000F71F0"/>
    <w:rsid w:val="001021F0"/>
    <w:rsid w:val="00105BF8"/>
    <w:rsid w:val="00106A3D"/>
    <w:rsid w:val="00106A69"/>
    <w:rsid w:val="00116FC7"/>
    <w:rsid w:val="00124A40"/>
    <w:rsid w:val="00130620"/>
    <w:rsid w:val="00136DED"/>
    <w:rsid w:val="001413B7"/>
    <w:rsid w:val="00142B73"/>
    <w:rsid w:val="00143D45"/>
    <w:rsid w:val="001440F3"/>
    <w:rsid w:val="001503A9"/>
    <w:rsid w:val="0015085D"/>
    <w:rsid w:val="001509F2"/>
    <w:rsid w:val="00152D53"/>
    <w:rsid w:val="0015365F"/>
    <w:rsid w:val="00155C33"/>
    <w:rsid w:val="00156312"/>
    <w:rsid w:val="00156AEB"/>
    <w:rsid w:val="00156C41"/>
    <w:rsid w:val="00157F06"/>
    <w:rsid w:val="0016413E"/>
    <w:rsid w:val="00165F5C"/>
    <w:rsid w:val="00171019"/>
    <w:rsid w:val="00172644"/>
    <w:rsid w:val="00172C44"/>
    <w:rsid w:val="00177EEC"/>
    <w:rsid w:val="00181412"/>
    <w:rsid w:val="001821C5"/>
    <w:rsid w:val="00183C9F"/>
    <w:rsid w:val="00185294"/>
    <w:rsid w:val="00190C22"/>
    <w:rsid w:val="001919BA"/>
    <w:rsid w:val="00192938"/>
    <w:rsid w:val="001938B7"/>
    <w:rsid w:val="00194774"/>
    <w:rsid w:val="001A009D"/>
    <w:rsid w:val="001A49C9"/>
    <w:rsid w:val="001A5B6F"/>
    <w:rsid w:val="001A5BD2"/>
    <w:rsid w:val="001B0D93"/>
    <w:rsid w:val="001B0F48"/>
    <w:rsid w:val="001B134D"/>
    <w:rsid w:val="001B21A7"/>
    <w:rsid w:val="001B46A1"/>
    <w:rsid w:val="001B5DDC"/>
    <w:rsid w:val="001B67E6"/>
    <w:rsid w:val="001B7246"/>
    <w:rsid w:val="001C1496"/>
    <w:rsid w:val="001C4C76"/>
    <w:rsid w:val="001D0D78"/>
    <w:rsid w:val="001D403E"/>
    <w:rsid w:val="001D52DE"/>
    <w:rsid w:val="001E1D85"/>
    <w:rsid w:val="001E2397"/>
    <w:rsid w:val="001E49DE"/>
    <w:rsid w:val="001E5ABB"/>
    <w:rsid w:val="001F065C"/>
    <w:rsid w:val="001F07A6"/>
    <w:rsid w:val="001F1E9A"/>
    <w:rsid w:val="001F4F20"/>
    <w:rsid w:val="002011A8"/>
    <w:rsid w:val="0020140D"/>
    <w:rsid w:val="00202991"/>
    <w:rsid w:val="00202B8D"/>
    <w:rsid w:val="00205EDB"/>
    <w:rsid w:val="002139CD"/>
    <w:rsid w:val="0021561D"/>
    <w:rsid w:val="0022004A"/>
    <w:rsid w:val="0022004E"/>
    <w:rsid w:val="0022059C"/>
    <w:rsid w:val="00220BF9"/>
    <w:rsid w:val="00222EC4"/>
    <w:rsid w:val="002304DB"/>
    <w:rsid w:val="00231DE7"/>
    <w:rsid w:val="00231F36"/>
    <w:rsid w:val="0023469D"/>
    <w:rsid w:val="00235722"/>
    <w:rsid w:val="00235FE9"/>
    <w:rsid w:val="00236281"/>
    <w:rsid w:val="002425CC"/>
    <w:rsid w:val="00243BCA"/>
    <w:rsid w:val="00245C2C"/>
    <w:rsid w:val="00247416"/>
    <w:rsid w:val="002512C3"/>
    <w:rsid w:val="00252F06"/>
    <w:rsid w:val="002537F4"/>
    <w:rsid w:val="00256721"/>
    <w:rsid w:val="00256A5A"/>
    <w:rsid w:val="002617F0"/>
    <w:rsid w:val="00264A42"/>
    <w:rsid w:val="002669AE"/>
    <w:rsid w:val="00272D37"/>
    <w:rsid w:val="0027407C"/>
    <w:rsid w:val="002752BB"/>
    <w:rsid w:val="00277721"/>
    <w:rsid w:val="00281DB6"/>
    <w:rsid w:val="00286324"/>
    <w:rsid w:val="00286FF1"/>
    <w:rsid w:val="00293E83"/>
    <w:rsid w:val="00296AED"/>
    <w:rsid w:val="002A06BB"/>
    <w:rsid w:val="002A1AFA"/>
    <w:rsid w:val="002A3AB8"/>
    <w:rsid w:val="002A3DED"/>
    <w:rsid w:val="002A3E56"/>
    <w:rsid w:val="002A4D0F"/>
    <w:rsid w:val="002A51C4"/>
    <w:rsid w:val="002B030D"/>
    <w:rsid w:val="002B0E5A"/>
    <w:rsid w:val="002B1370"/>
    <w:rsid w:val="002B1BCD"/>
    <w:rsid w:val="002B1CD7"/>
    <w:rsid w:val="002B5DAA"/>
    <w:rsid w:val="002C27BF"/>
    <w:rsid w:val="002C4155"/>
    <w:rsid w:val="002C4C97"/>
    <w:rsid w:val="002D21F5"/>
    <w:rsid w:val="002D5625"/>
    <w:rsid w:val="002D61BA"/>
    <w:rsid w:val="002E1F10"/>
    <w:rsid w:val="002E32F7"/>
    <w:rsid w:val="002E386F"/>
    <w:rsid w:val="002E6576"/>
    <w:rsid w:val="002E6886"/>
    <w:rsid w:val="002F0456"/>
    <w:rsid w:val="002F291D"/>
    <w:rsid w:val="002F2957"/>
    <w:rsid w:val="002F3F38"/>
    <w:rsid w:val="002F65EB"/>
    <w:rsid w:val="0030101D"/>
    <w:rsid w:val="0030624A"/>
    <w:rsid w:val="003207A4"/>
    <w:rsid w:val="00321FAC"/>
    <w:rsid w:val="003256B2"/>
    <w:rsid w:val="0032638C"/>
    <w:rsid w:val="003266F4"/>
    <w:rsid w:val="00330F9A"/>
    <w:rsid w:val="00331190"/>
    <w:rsid w:val="00331DB2"/>
    <w:rsid w:val="0033238E"/>
    <w:rsid w:val="00337488"/>
    <w:rsid w:val="00337CA0"/>
    <w:rsid w:val="0034447E"/>
    <w:rsid w:val="0034512F"/>
    <w:rsid w:val="003476E2"/>
    <w:rsid w:val="003530A0"/>
    <w:rsid w:val="00353995"/>
    <w:rsid w:val="00356100"/>
    <w:rsid w:val="00360A02"/>
    <w:rsid w:val="00360F0F"/>
    <w:rsid w:val="003615DE"/>
    <w:rsid w:val="00362FCC"/>
    <w:rsid w:val="003636DC"/>
    <w:rsid w:val="00365863"/>
    <w:rsid w:val="00366ACA"/>
    <w:rsid w:val="00367DAE"/>
    <w:rsid w:val="0037000E"/>
    <w:rsid w:val="0037105F"/>
    <w:rsid w:val="003724D5"/>
    <w:rsid w:val="0037571C"/>
    <w:rsid w:val="00384F67"/>
    <w:rsid w:val="00386D32"/>
    <w:rsid w:val="00391BD8"/>
    <w:rsid w:val="003A071D"/>
    <w:rsid w:val="003A120A"/>
    <w:rsid w:val="003A2128"/>
    <w:rsid w:val="003A2557"/>
    <w:rsid w:val="003A328F"/>
    <w:rsid w:val="003A3570"/>
    <w:rsid w:val="003A448E"/>
    <w:rsid w:val="003A4903"/>
    <w:rsid w:val="003B02AD"/>
    <w:rsid w:val="003B0B19"/>
    <w:rsid w:val="003B1076"/>
    <w:rsid w:val="003B120B"/>
    <w:rsid w:val="003B1EB2"/>
    <w:rsid w:val="003B2AF2"/>
    <w:rsid w:val="003B5F91"/>
    <w:rsid w:val="003C3BC4"/>
    <w:rsid w:val="003C4518"/>
    <w:rsid w:val="003C7B2E"/>
    <w:rsid w:val="003C7B51"/>
    <w:rsid w:val="003D00B2"/>
    <w:rsid w:val="003D0928"/>
    <w:rsid w:val="003D0E84"/>
    <w:rsid w:val="003D134E"/>
    <w:rsid w:val="003D17B9"/>
    <w:rsid w:val="003D2095"/>
    <w:rsid w:val="003D3F6D"/>
    <w:rsid w:val="003D5021"/>
    <w:rsid w:val="003D5EB3"/>
    <w:rsid w:val="003D7D0F"/>
    <w:rsid w:val="003E048B"/>
    <w:rsid w:val="003E4BEA"/>
    <w:rsid w:val="003E6135"/>
    <w:rsid w:val="003E665C"/>
    <w:rsid w:val="003E6CC2"/>
    <w:rsid w:val="003E7397"/>
    <w:rsid w:val="003F451E"/>
    <w:rsid w:val="003F6820"/>
    <w:rsid w:val="00400BE5"/>
    <w:rsid w:val="00400C8E"/>
    <w:rsid w:val="0040287F"/>
    <w:rsid w:val="00410204"/>
    <w:rsid w:val="00412957"/>
    <w:rsid w:val="00414E2C"/>
    <w:rsid w:val="004158F2"/>
    <w:rsid w:val="004243B0"/>
    <w:rsid w:val="00424AC5"/>
    <w:rsid w:val="00425100"/>
    <w:rsid w:val="00425C6C"/>
    <w:rsid w:val="00425EDA"/>
    <w:rsid w:val="00425EEC"/>
    <w:rsid w:val="00426448"/>
    <w:rsid w:val="00426CDC"/>
    <w:rsid w:val="00427C63"/>
    <w:rsid w:val="004308AF"/>
    <w:rsid w:val="004346BE"/>
    <w:rsid w:val="00441389"/>
    <w:rsid w:val="00442510"/>
    <w:rsid w:val="00446603"/>
    <w:rsid w:val="0046101F"/>
    <w:rsid w:val="0046209F"/>
    <w:rsid w:val="00463A3D"/>
    <w:rsid w:val="00463D36"/>
    <w:rsid w:val="0046478D"/>
    <w:rsid w:val="004670A9"/>
    <w:rsid w:val="004679D3"/>
    <w:rsid w:val="00467BB9"/>
    <w:rsid w:val="004708A9"/>
    <w:rsid w:val="00471122"/>
    <w:rsid w:val="004731D9"/>
    <w:rsid w:val="00473938"/>
    <w:rsid w:val="00482074"/>
    <w:rsid w:val="00487EDA"/>
    <w:rsid w:val="004911D7"/>
    <w:rsid w:val="00492D9A"/>
    <w:rsid w:val="00495134"/>
    <w:rsid w:val="00495649"/>
    <w:rsid w:val="00497474"/>
    <w:rsid w:val="004A0DB9"/>
    <w:rsid w:val="004A1E0A"/>
    <w:rsid w:val="004A214B"/>
    <w:rsid w:val="004A65A9"/>
    <w:rsid w:val="004B2373"/>
    <w:rsid w:val="004B35F8"/>
    <w:rsid w:val="004B77F5"/>
    <w:rsid w:val="004C1C2C"/>
    <w:rsid w:val="004C6A56"/>
    <w:rsid w:val="004D408D"/>
    <w:rsid w:val="004D4DB1"/>
    <w:rsid w:val="004D5330"/>
    <w:rsid w:val="004F523A"/>
    <w:rsid w:val="004F6EF4"/>
    <w:rsid w:val="004F7D53"/>
    <w:rsid w:val="005000B6"/>
    <w:rsid w:val="005037E5"/>
    <w:rsid w:val="005071F7"/>
    <w:rsid w:val="00510088"/>
    <w:rsid w:val="005110B2"/>
    <w:rsid w:val="005111E7"/>
    <w:rsid w:val="00511D02"/>
    <w:rsid w:val="00511F22"/>
    <w:rsid w:val="00513303"/>
    <w:rsid w:val="005141ED"/>
    <w:rsid w:val="00515118"/>
    <w:rsid w:val="00515820"/>
    <w:rsid w:val="00516D30"/>
    <w:rsid w:val="00517363"/>
    <w:rsid w:val="005206EE"/>
    <w:rsid w:val="00521B52"/>
    <w:rsid w:val="00527FD9"/>
    <w:rsid w:val="005301BB"/>
    <w:rsid w:val="00532826"/>
    <w:rsid w:val="0053440F"/>
    <w:rsid w:val="005345F4"/>
    <w:rsid w:val="00540DAC"/>
    <w:rsid w:val="005429D4"/>
    <w:rsid w:val="00542C5C"/>
    <w:rsid w:val="005457EA"/>
    <w:rsid w:val="00545B68"/>
    <w:rsid w:val="00546F7E"/>
    <w:rsid w:val="00546F99"/>
    <w:rsid w:val="00547E28"/>
    <w:rsid w:val="005505F2"/>
    <w:rsid w:val="00551593"/>
    <w:rsid w:val="00552E71"/>
    <w:rsid w:val="005540CF"/>
    <w:rsid w:val="005562E2"/>
    <w:rsid w:val="005716D9"/>
    <w:rsid w:val="00572AEE"/>
    <w:rsid w:val="005744E1"/>
    <w:rsid w:val="00574CBA"/>
    <w:rsid w:val="00577D6F"/>
    <w:rsid w:val="00582276"/>
    <w:rsid w:val="00582D71"/>
    <w:rsid w:val="005867AF"/>
    <w:rsid w:val="0059400E"/>
    <w:rsid w:val="005954FD"/>
    <w:rsid w:val="005A2391"/>
    <w:rsid w:val="005A3D23"/>
    <w:rsid w:val="005A5B17"/>
    <w:rsid w:val="005B25EE"/>
    <w:rsid w:val="005B2A3E"/>
    <w:rsid w:val="005B34EE"/>
    <w:rsid w:val="005B358E"/>
    <w:rsid w:val="005B4DF2"/>
    <w:rsid w:val="005B676E"/>
    <w:rsid w:val="005B769A"/>
    <w:rsid w:val="005C20B2"/>
    <w:rsid w:val="005C4295"/>
    <w:rsid w:val="005C562F"/>
    <w:rsid w:val="005D0902"/>
    <w:rsid w:val="005D7CE0"/>
    <w:rsid w:val="005E467C"/>
    <w:rsid w:val="005E796A"/>
    <w:rsid w:val="005F0F81"/>
    <w:rsid w:val="005F311A"/>
    <w:rsid w:val="005F34F1"/>
    <w:rsid w:val="005F4574"/>
    <w:rsid w:val="005F4C58"/>
    <w:rsid w:val="005F56C6"/>
    <w:rsid w:val="00604304"/>
    <w:rsid w:val="006069BD"/>
    <w:rsid w:val="00607CFF"/>
    <w:rsid w:val="0061235D"/>
    <w:rsid w:val="006127B8"/>
    <w:rsid w:val="0061308B"/>
    <w:rsid w:val="00614C17"/>
    <w:rsid w:val="00622024"/>
    <w:rsid w:val="00622DE7"/>
    <w:rsid w:val="00627667"/>
    <w:rsid w:val="006278FC"/>
    <w:rsid w:val="00627925"/>
    <w:rsid w:val="0063013C"/>
    <w:rsid w:val="00631D8A"/>
    <w:rsid w:val="00632119"/>
    <w:rsid w:val="0063294D"/>
    <w:rsid w:val="00633F3A"/>
    <w:rsid w:val="0064182E"/>
    <w:rsid w:val="00641BBF"/>
    <w:rsid w:val="006420BE"/>
    <w:rsid w:val="006436CA"/>
    <w:rsid w:val="00644A8D"/>
    <w:rsid w:val="00647508"/>
    <w:rsid w:val="00647C88"/>
    <w:rsid w:val="00651A0B"/>
    <w:rsid w:val="00655BCE"/>
    <w:rsid w:val="00656FF0"/>
    <w:rsid w:val="00660352"/>
    <w:rsid w:val="00660D43"/>
    <w:rsid w:val="0067087B"/>
    <w:rsid w:val="00671D16"/>
    <w:rsid w:val="00672011"/>
    <w:rsid w:val="00675BE2"/>
    <w:rsid w:val="00676B74"/>
    <w:rsid w:val="00676FE2"/>
    <w:rsid w:val="00683038"/>
    <w:rsid w:val="00685FB3"/>
    <w:rsid w:val="00692406"/>
    <w:rsid w:val="00695742"/>
    <w:rsid w:val="006A022C"/>
    <w:rsid w:val="006A1584"/>
    <w:rsid w:val="006A2061"/>
    <w:rsid w:val="006A3623"/>
    <w:rsid w:val="006A6160"/>
    <w:rsid w:val="006A7307"/>
    <w:rsid w:val="006B2AE4"/>
    <w:rsid w:val="006B3564"/>
    <w:rsid w:val="006B3872"/>
    <w:rsid w:val="006B3B4A"/>
    <w:rsid w:val="006B49A2"/>
    <w:rsid w:val="006B5DC8"/>
    <w:rsid w:val="006C22B8"/>
    <w:rsid w:val="006C4A73"/>
    <w:rsid w:val="006C57EB"/>
    <w:rsid w:val="006C66DB"/>
    <w:rsid w:val="006C684B"/>
    <w:rsid w:val="006D1BF9"/>
    <w:rsid w:val="006D21A0"/>
    <w:rsid w:val="006D2D1E"/>
    <w:rsid w:val="006D39E6"/>
    <w:rsid w:val="006D5385"/>
    <w:rsid w:val="006E00E2"/>
    <w:rsid w:val="006E3B66"/>
    <w:rsid w:val="006E5235"/>
    <w:rsid w:val="006F408E"/>
    <w:rsid w:val="006F5562"/>
    <w:rsid w:val="006F55E3"/>
    <w:rsid w:val="0070058C"/>
    <w:rsid w:val="00701394"/>
    <w:rsid w:val="00702EAB"/>
    <w:rsid w:val="007072A4"/>
    <w:rsid w:val="00707BCD"/>
    <w:rsid w:val="00710B6F"/>
    <w:rsid w:val="00712B87"/>
    <w:rsid w:val="00713B59"/>
    <w:rsid w:val="00715261"/>
    <w:rsid w:val="00715838"/>
    <w:rsid w:val="00720AC2"/>
    <w:rsid w:val="0072381F"/>
    <w:rsid w:val="00725912"/>
    <w:rsid w:val="00725DE2"/>
    <w:rsid w:val="00726381"/>
    <w:rsid w:val="007308CC"/>
    <w:rsid w:val="0073233D"/>
    <w:rsid w:val="0073476F"/>
    <w:rsid w:val="00735EDA"/>
    <w:rsid w:val="007369AB"/>
    <w:rsid w:val="007404B0"/>
    <w:rsid w:val="007449FD"/>
    <w:rsid w:val="0074533C"/>
    <w:rsid w:val="00745378"/>
    <w:rsid w:val="0074687F"/>
    <w:rsid w:val="00747970"/>
    <w:rsid w:val="00754552"/>
    <w:rsid w:val="00755722"/>
    <w:rsid w:val="00757BBE"/>
    <w:rsid w:val="00764980"/>
    <w:rsid w:val="00765D1D"/>
    <w:rsid w:val="00771A96"/>
    <w:rsid w:val="00773EC1"/>
    <w:rsid w:val="00776827"/>
    <w:rsid w:val="0078091C"/>
    <w:rsid w:val="00783A12"/>
    <w:rsid w:val="00783B18"/>
    <w:rsid w:val="00784875"/>
    <w:rsid w:val="00785986"/>
    <w:rsid w:val="00785A0D"/>
    <w:rsid w:val="00786F58"/>
    <w:rsid w:val="007912C4"/>
    <w:rsid w:val="0079193C"/>
    <w:rsid w:val="007925B3"/>
    <w:rsid w:val="00792909"/>
    <w:rsid w:val="00794518"/>
    <w:rsid w:val="00794931"/>
    <w:rsid w:val="00794B4D"/>
    <w:rsid w:val="007A0600"/>
    <w:rsid w:val="007A1348"/>
    <w:rsid w:val="007A36CF"/>
    <w:rsid w:val="007A3FB8"/>
    <w:rsid w:val="007A408A"/>
    <w:rsid w:val="007A471F"/>
    <w:rsid w:val="007B0EB9"/>
    <w:rsid w:val="007B1B76"/>
    <w:rsid w:val="007B2EE4"/>
    <w:rsid w:val="007B34C2"/>
    <w:rsid w:val="007B5CEB"/>
    <w:rsid w:val="007B7979"/>
    <w:rsid w:val="007C0099"/>
    <w:rsid w:val="007C2AEB"/>
    <w:rsid w:val="007C4530"/>
    <w:rsid w:val="007C62B8"/>
    <w:rsid w:val="007C6D02"/>
    <w:rsid w:val="007C7737"/>
    <w:rsid w:val="007D2258"/>
    <w:rsid w:val="007D3E07"/>
    <w:rsid w:val="007E16CA"/>
    <w:rsid w:val="007E223A"/>
    <w:rsid w:val="007E2EB4"/>
    <w:rsid w:val="007E3100"/>
    <w:rsid w:val="007E3C5E"/>
    <w:rsid w:val="007F34CF"/>
    <w:rsid w:val="007F36DB"/>
    <w:rsid w:val="007F5B47"/>
    <w:rsid w:val="007F5D14"/>
    <w:rsid w:val="00800A2D"/>
    <w:rsid w:val="008016B7"/>
    <w:rsid w:val="0080315C"/>
    <w:rsid w:val="008065B4"/>
    <w:rsid w:val="00807B10"/>
    <w:rsid w:val="0081164B"/>
    <w:rsid w:val="0081234A"/>
    <w:rsid w:val="00816896"/>
    <w:rsid w:val="00822FD0"/>
    <w:rsid w:val="00823430"/>
    <w:rsid w:val="00830A23"/>
    <w:rsid w:val="008314CC"/>
    <w:rsid w:val="008317B7"/>
    <w:rsid w:val="00834E5E"/>
    <w:rsid w:val="00835F78"/>
    <w:rsid w:val="008420CE"/>
    <w:rsid w:val="00844E59"/>
    <w:rsid w:val="00846648"/>
    <w:rsid w:val="00851C39"/>
    <w:rsid w:val="00853133"/>
    <w:rsid w:val="00855032"/>
    <w:rsid w:val="008552D1"/>
    <w:rsid w:val="008568DF"/>
    <w:rsid w:val="00863537"/>
    <w:rsid w:val="00864B4B"/>
    <w:rsid w:val="00864B73"/>
    <w:rsid w:val="00864C95"/>
    <w:rsid w:val="008667C2"/>
    <w:rsid w:val="008674AF"/>
    <w:rsid w:val="008732C9"/>
    <w:rsid w:val="008770E6"/>
    <w:rsid w:val="00880115"/>
    <w:rsid w:val="008801C5"/>
    <w:rsid w:val="00880FB6"/>
    <w:rsid w:val="008814D5"/>
    <w:rsid w:val="00887412"/>
    <w:rsid w:val="00890697"/>
    <w:rsid w:val="0089113C"/>
    <w:rsid w:val="00892A2A"/>
    <w:rsid w:val="00895581"/>
    <w:rsid w:val="00895AC4"/>
    <w:rsid w:val="008973FB"/>
    <w:rsid w:val="008979C5"/>
    <w:rsid w:val="00897CA3"/>
    <w:rsid w:val="008A05B4"/>
    <w:rsid w:val="008A11C2"/>
    <w:rsid w:val="008A2B5F"/>
    <w:rsid w:val="008A31B6"/>
    <w:rsid w:val="008A41C7"/>
    <w:rsid w:val="008A4CD1"/>
    <w:rsid w:val="008B101E"/>
    <w:rsid w:val="008B30A1"/>
    <w:rsid w:val="008B312B"/>
    <w:rsid w:val="008B65B8"/>
    <w:rsid w:val="008B686D"/>
    <w:rsid w:val="008C1DCB"/>
    <w:rsid w:val="008C2970"/>
    <w:rsid w:val="008C2FC4"/>
    <w:rsid w:val="008C41B2"/>
    <w:rsid w:val="008C4C20"/>
    <w:rsid w:val="008C695B"/>
    <w:rsid w:val="008D2637"/>
    <w:rsid w:val="008D336B"/>
    <w:rsid w:val="008D3749"/>
    <w:rsid w:val="008D3C56"/>
    <w:rsid w:val="008D45C7"/>
    <w:rsid w:val="008D59A3"/>
    <w:rsid w:val="008D7C69"/>
    <w:rsid w:val="008D7D0F"/>
    <w:rsid w:val="008E2284"/>
    <w:rsid w:val="008E2698"/>
    <w:rsid w:val="008E2EB7"/>
    <w:rsid w:val="008E3518"/>
    <w:rsid w:val="008E488F"/>
    <w:rsid w:val="008E7F65"/>
    <w:rsid w:val="008F1844"/>
    <w:rsid w:val="008F1C3D"/>
    <w:rsid w:val="008F37B3"/>
    <w:rsid w:val="008F4568"/>
    <w:rsid w:val="008F63BC"/>
    <w:rsid w:val="0090209B"/>
    <w:rsid w:val="00903463"/>
    <w:rsid w:val="00903664"/>
    <w:rsid w:val="00904259"/>
    <w:rsid w:val="00904603"/>
    <w:rsid w:val="0090491A"/>
    <w:rsid w:val="009072E2"/>
    <w:rsid w:val="009074DF"/>
    <w:rsid w:val="00907C56"/>
    <w:rsid w:val="00910A6C"/>
    <w:rsid w:val="00911E91"/>
    <w:rsid w:val="00911F7B"/>
    <w:rsid w:val="009136DC"/>
    <w:rsid w:val="009169D6"/>
    <w:rsid w:val="00920CE9"/>
    <w:rsid w:val="00920E05"/>
    <w:rsid w:val="00923132"/>
    <w:rsid w:val="00923EC9"/>
    <w:rsid w:val="009250A7"/>
    <w:rsid w:val="00927431"/>
    <w:rsid w:val="00927633"/>
    <w:rsid w:val="0093152E"/>
    <w:rsid w:val="0093162B"/>
    <w:rsid w:val="00934C7E"/>
    <w:rsid w:val="00937E14"/>
    <w:rsid w:val="00945944"/>
    <w:rsid w:val="00950D85"/>
    <w:rsid w:val="009523F6"/>
    <w:rsid w:val="00952CF7"/>
    <w:rsid w:val="00953908"/>
    <w:rsid w:val="009564CB"/>
    <w:rsid w:val="0095757B"/>
    <w:rsid w:val="0096291E"/>
    <w:rsid w:val="00964DB4"/>
    <w:rsid w:val="00966A31"/>
    <w:rsid w:val="00970ADC"/>
    <w:rsid w:val="00972712"/>
    <w:rsid w:val="00973999"/>
    <w:rsid w:val="009801C8"/>
    <w:rsid w:val="00982505"/>
    <w:rsid w:val="009828B4"/>
    <w:rsid w:val="009867ED"/>
    <w:rsid w:val="00991931"/>
    <w:rsid w:val="00991A37"/>
    <w:rsid w:val="009920F9"/>
    <w:rsid w:val="009930ED"/>
    <w:rsid w:val="009941AB"/>
    <w:rsid w:val="00995206"/>
    <w:rsid w:val="0099551B"/>
    <w:rsid w:val="00995FBA"/>
    <w:rsid w:val="009A05FF"/>
    <w:rsid w:val="009A481C"/>
    <w:rsid w:val="009A5FB9"/>
    <w:rsid w:val="009A63B5"/>
    <w:rsid w:val="009A7D26"/>
    <w:rsid w:val="009B03BD"/>
    <w:rsid w:val="009B2A1C"/>
    <w:rsid w:val="009B40E7"/>
    <w:rsid w:val="009B4BAA"/>
    <w:rsid w:val="009B60E1"/>
    <w:rsid w:val="009B7924"/>
    <w:rsid w:val="009B7F41"/>
    <w:rsid w:val="009C6A4A"/>
    <w:rsid w:val="009D01C2"/>
    <w:rsid w:val="009D3D98"/>
    <w:rsid w:val="009D6253"/>
    <w:rsid w:val="009D7197"/>
    <w:rsid w:val="009D7C16"/>
    <w:rsid w:val="009E09B6"/>
    <w:rsid w:val="009E2533"/>
    <w:rsid w:val="009E3F2D"/>
    <w:rsid w:val="009E5A17"/>
    <w:rsid w:val="009E6000"/>
    <w:rsid w:val="009F2916"/>
    <w:rsid w:val="009F4301"/>
    <w:rsid w:val="009F5EFF"/>
    <w:rsid w:val="009F605F"/>
    <w:rsid w:val="009F6BB0"/>
    <w:rsid w:val="009F7F43"/>
    <w:rsid w:val="00A0314F"/>
    <w:rsid w:val="00A13569"/>
    <w:rsid w:val="00A15255"/>
    <w:rsid w:val="00A164ED"/>
    <w:rsid w:val="00A207B2"/>
    <w:rsid w:val="00A22337"/>
    <w:rsid w:val="00A2245F"/>
    <w:rsid w:val="00A22A23"/>
    <w:rsid w:val="00A23DAA"/>
    <w:rsid w:val="00A349E8"/>
    <w:rsid w:val="00A353B6"/>
    <w:rsid w:val="00A36EFF"/>
    <w:rsid w:val="00A425F9"/>
    <w:rsid w:val="00A4260A"/>
    <w:rsid w:val="00A44E71"/>
    <w:rsid w:val="00A50A24"/>
    <w:rsid w:val="00A5310E"/>
    <w:rsid w:val="00A54BD5"/>
    <w:rsid w:val="00A563A9"/>
    <w:rsid w:val="00A569E9"/>
    <w:rsid w:val="00A57554"/>
    <w:rsid w:val="00A63329"/>
    <w:rsid w:val="00A6336D"/>
    <w:rsid w:val="00A64683"/>
    <w:rsid w:val="00A65EB7"/>
    <w:rsid w:val="00A6628C"/>
    <w:rsid w:val="00A67982"/>
    <w:rsid w:val="00A67F47"/>
    <w:rsid w:val="00A717FD"/>
    <w:rsid w:val="00A72F41"/>
    <w:rsid w:val="00A73938"/>
    <w:rsid w:val="00A73FBF"/>
    <w:rsid w:val="00A768E9"/>
    <w:rsid w:val="00A76A1E"/>
    <w:rsid w:val="00A77412"/>
    <w:rsid w:val="00A8435D"/>
    <w:rsid w:val="00A84BCB"/>
    <w:rsid w:val="00A84F7B"/>
    <w:rsid w:val="00A872A4"/>
    <w:rsid w:val="00A87A60"/>
    <w:rsid w:val="00A91267"/>
    <w:rsid w:val="00A918B8"/>
    <w:rsid w:val="00A969FB"/>
    <w:rsid w:val="00A96D50"/>
    <w:rsid w:val="00A96F03"/>
    <w:rsid w:val="00AA09F1"/>
    <w:rsid w:val="00AA264E"/>
    <w:rsid w:val="00AA4A60"/>
    <w:rsid w:val="00AA5852"/>
    <w:rsid w:val="00AA65B8"/>
    <w:rsid w:val="00AA6DE3"/>
    <w:rsid w:val="00AA73BC"/>
    <w:rsid w:val="00AA7E58"/>
    <w:rsid w:val="00AB4817"/>
    <w:rsid w:val="00AB52DD"/>
    <w:rsid w:val="00AC2553"/>
    <w:rsid w:val="00AC353D"/>
    <w:rsid w:val="00AC4677"/>
    <w:rsid w:val="00AC569E"/>
    <w:rsid w:val="00AC5C6A"/>
    <w:rsid w:val="00AC66A2"/>
    <w:rsid w:val="00AC6B5D"/>
    <w:rsid w:val="00AC73F5"/>
    <w:rsid w:val="00AD0EF0"/>
    <w:rsid w:val="00AD2D5E"/>
    <w:rsid w:val="00AD3069"/>
    <w:rsid w:val="00AD3A61"/>
    <w:rsid w:val="00AD54C5"/>
    <w:rsid w:val="00AD5C90"/>
    <w:rsid w:val="00AE49A9"/>
    <w:rsid w:val="00AF4DD9"/>
    <w:rsid w:val="00AF5977"/>
    <w:rsid w:val="00AF5B0B"/>
    <w:rsid w:val="00AF6702"/>
    <w:rsid w:val="00AF6A23"/>
    <w:rsid w:val="00AF6E51"/>
    <w:rsid w:val="00AF7E07"/>
    <w:rsid w:val="00B034F8"/>
    <w:rsid w:val="00B0743E"/>
    <w:rsid w:val="00B07BA0"/>
    <w:rsid w:val="00B158FE"/>
    <w:rsid w:val="00B16373"/>
    <w:rsid w:val="00B166F7"/>
    <w:rsid w:val="00B218AB"/>
    <w:rsid w:val="00B25737"/>
    <w:rsid w:val="00B264A2"/>
    <w:rsid w:val="00B322C0"/>
    <w:rsid w:val="00B335CF"/>
    <w:rsid w:val="00B43801"/>
    <w:rsid w:val="00B43C09"/>
    <w:rsid w:val="00B44C8F"/>
    <w:rsid w:val="00B5106C"/>
    <w:rsid w:val="00B518C0"/>
    <w:rsid w:val="00B56CC7"/>
    <w:rsid w:val="00B64ED2"/>
    <w:rsid w:val="00B650DE"/>
    <w:rsid w:val="00B65334"/>
    <w:rsid w:val="00B6670D"/>
    <w:rsid w:val="00B66939"/>
    <w:rsid w:val="00B67466"/>
    <w:rsid w:val="00B70C8E"/>
    <w:rsid w:val="00B734F3"/>
    <w:rsid w:val="00B74FF0"/>
    <w:rsid w:val="00B828A3"/>
    <w:rsid w:val="00B854FA"/>
    <w:rsid w:val="00B86DA8"/>
    <w:rsid w:val="00B874FD"/>
    <w:rsid w:val="00B87C2A"/>
    <w:rsid w:val="00B92C83"/>
    <w:rsid w:val="00B96E82"/>
    <w:rsid w:val="00BA43EF"/>
    <w:rsid w:val="00BA57B8"/>
    <w:rsid w:val="00BA6A4F"/>
    <w:rsid w:val="00BA6CF2"/>
    <w:rsid w:val="00BA749C"/>
    <w:rsid w:val="00BA75EA"/>
    <w:rsid w:val="00BB32F4"/>
    <w:rsid w:val="00BC2407"/>
    <w:rsid w:val="00BC2D30"/>
    <w:rsid w:val="00BC372A"/>
    <w:rsid w:val="00BC6053"/>
    <w:rsid w:val="00BC7E25"/>
    <w:rsid w:val="00BD042A"/>
    <w:rsid w:val="00BD2BB2"/>
    <w:rsid w:val="00BD30E2"/>
    <w:rsid w:val="00BD3865"/>
    <w:rsid w:val="00BD3B5A"/>
    <w:rsid w:val="00BD3EB7"/>
    <w:rsid w:val="00BF0D58"/>
    <w:rsid w:val="00BF7326"/>
    <w:rsid w:val="00BF78F3"/>
    <w:rsid w:val="00C02227"/>
    <w:rsid w:val="00C04681"/>
    <w:rsid w:val="00C055D7"/>
    <w:rsid w:val="00C05CC1"/>
    <w:rsid w:val="00C07A4C"/>
    <w:rsid w:val="00C103C0"/>
    <w:rsid w:val="00C10E88"/>
    <w:rsid w:val="00C11558"/>
    <w:rsid w:val="00C13824"/>
    <w:rsid w:val="00C1529B"/>
    <w:rsid w:val="00C1676A"/>
    <w:rsid w:val="00C20811"/>
    <w:rsid w:val="00C21BF1"/>
    <w:rsid w:val="00C22413"/>
    <w:rsid w:val="00C22AA3"/>
    <w:rsid w:val="00C2364E"/>
    <w:rsid w:val="00C24AA5"/>
    <w:rsid w:val="00C24FF5"/>
    <w:rsid w:val="00C26C1F"/>
    <w:rsid w:val="00C27DCB"/>
    <w:rsid w:val="00C30463"/>
    <w:rsid w:val="00C30DC0"/>
    <w:rsid w:val="00C319D7"/>
    <w:rsid w:val="00C327AD"/>
    <w:rsid w:val="00C33D49"/>
    <w:rsid w:val="00C33FCB"/>
    <w:rsid w:val="00C4362A"/>
    <w:rsid w:val="00C4484A"/>
    <w:rsid w:val="00C513CA"/>
    <w:rsid w:val="00C51FAE"/>
    <w:rsid w:val="00C52BA6"/>
    <w:rsid w:val="00C534E3"/>
    <w:rsid w:val="00C537D5"/>
    <w:rsid w:val="00C56447"/>
    <w:rsid w:val="00C57CC2"/>
    <w:rsid w:val="00C60C78"/>
    <w:rsid w:val="00C636D1"/>
    <w:rsid w:val="00C6383D"/>
    <w:rsid w:val="00C65D2A"/>
    <w:rsid w:val="00C70C22"/>
    <w:rsid w:val="00C72B47"/>
    <w:rsid w:val="00C737F5"/>
    <w:rsid w:val="00C73CAD"/>
    <w:rsid w:val="00C769B9"/>
    <w:rsid w:val="00C77109"/>
    <w:rsid w:val="00C7753E"/>
    <w:rsid w:val="00C77E20"/>
    <w:rsid w:val="00C850E9"/>
    <w:rsid w:val="00C902F6"/>
    <w:rsid w:val="00C90A26"/>
    <w:rsid w:val="00C9381B"/>
    <w:rsid w:val="00CA0C48"/>
    <w:rsid w:val="00CA22A5"/>
    <w:rsid w:val="00CA285E"/>
    <w:rsid w:val="00CB023A"/>
    <w:rsid w:val="00CB1C7A"/>
    <w:rsid w:val="00CB2D82"/>
    <w:rsid w:val="00CB34EF"/>
    <w:rsid w:val="00CB4A2F"/>
    <w:rsid w:val="00CB4C0F"/>
    <w:rsid w:val="00CB5C67"/>
    <w:rsid w:val="00CB6C08"/>
    <w:rsid w:val="00CB75F8"/>
    <w:rsid w:val="00CC1515"/>
    <w:rsid w:val="00CC34DD"/>
    <w:rsid w:val="00CC5444"/>
    <w:rsid w:val="00CC693C"/>
    <w:rsid w:val="00CD359C"/>
    <w:rsid w:val="00CD4377"/>
    <w:rsid w:val="00CD687A"/>
    <w:rsid w:val="00CE6473"/>
    <w:rsid w:val="00CE6AB4"/>
    <w:rsid w:val="00CE6F0D"/>
    <w:rsid w:val="00CE77C6"/>
    <w:rsid w:val="00CF0D28"/>
    <w:rsid w:val="00CF7409"/>
    <w:rsid w:val="00D030FD"/>
    <w:rsid w:val="00D052BF"/>
    <w:rsid w:val="00D061CB"/>
    <w:rsid w:val="00D061DA"/>
    <w:rsid w:val="00D06936"/>
    <w:rsid w:val="00D15A26"/>
    <w:rsid w:val="00D17CB9"/>
    <w:rsid w:val="00D22064"/>
    <w:rsid w:val="00D27059"/>
    <w:rsid w:val="00D27328"/>
    <w:rsid w:val="00D336AE"/>
    <w:rsid w:val="00D33F91"/>
    <w:rsid w:val="00D403AB"/>
    <w:rsid w:val="00D41472"/>
    <w:rsid w:val="00D42F2C"/>
    <w:rsid w:val="00D43562"/>
    <w:rsid w:val="00D44C46"/>
    <w:rsid w:val="00D44D87"/>
    <w:rsid w:val="00D46016"/>
    <w:rsid w:val="00D5032F"/>
    <w:rsid w:val="00D5678C"/>
    <w:rsid w:val="00D64EFE"/>
    <w:rsid w:val="00D651F6"/>
    <w:rsid w:val="00D66AC8"/>
    <w:rsid w:val="00D7158A"/>
    <w:rsid w:val="00D7252A"/>
    <w:rsid w:val="00D74659"/>
    <w:rsid w:val="00D7554E"/>
    <w:rsid w:val="00D7613C"/>
    <w:rsid w:val="00D77405"/>
    <w:rsid w:val="00D8061D"/>
    <w:rsid w:val="00D81758"/>
    <w:rsid w:val="00D81EF6"/>
    <w:rsid w:val="00D861F6"/>
    <w:rsid w:val="00D86418"/>
    <w:rsid w:val="00D8642E"/>
    <w:rsid w:val="00D8659B"/>
    <w:rsid w:val="00D87C17"/>
    <w:rsid w:val="00D87C82"/>
    <w:rsid w:val="00D9171F"/>
    <w:rsid w:val="00D96BA8"/>
    <w:rsid w:val="00D974DE"/>
    <w:rsid w:val="00D97F25"/>
    <w:rsid w:val="00DA225B"/>
    <w:rsid w:val="00DA434C"/>
    <w:rsid w:val="00DA4AD7"/>
    <w:rsid w:val="00DA5F1E"/>
    <w:rsid w:val="00DA60E0"/>
    <w:rsid w:val="00DB12DB"/>
    <w:rsid w:val="00DB29CD"/>
    <w:rsid w:val="00DB3709"/>
    <w:rsid w:val="00DC045F"/>
    <w:rsid w:val="00DC239B"/>
    <w:rsid w:val="00DC3B6F"/>
    <w:rsid w:val="00DC5575"/>
    <w:rsid w:val="00DC5595"/>
    <w:rsid w:val="00DC5BCD"/>
    <w:rsid w:val="00DD00A8"/>
    <w:rsid w:val="00DD1964"/>
    <w:rsid w:val="00DD3C5E"/>
    <w:rsid w:val="00DD41B0"/>
    <w:rsid w:val="00DD5CDF"/>
    <w:rsid w:val="00DD724F"/>
    <w:rsid w:val="00DE0809"/>
    <w:rsid w:val="00DE2327"/>
    <w:rsid w:val="00DE4423"/>
    <w:rsid w:val="00E02093"/>
    <w:rsid w:val="00E024A5"/>
    <w:rsid w:val="00E0403C"/>
    <w:rsid w:val="00E10092"/>
    <w:rsid w:val="00E16F64"/>
    <w:rsid w:val="00E17F41"/>
    <w:rsid w:val="00E2074B"/>
    <w:rsid w:val="00E21960"/>
    <w:rsid w:val="00E2329A"/>
    <w:rsid w:val="00E254BE"/>
    <w:rsid w:val="00E257A7"/>
    <w:rsid w:val="00E266F4"/>
    <w:rsid w:val="00E30BC4"/>
    <w:rsid w:val="00E338D2"/>
    <w:rsid w:val="00E356CE"/>
    <w:rsid w:val="00E36B8C"/>
    <w:rsid w:val="00E375C4"/>
    <w:rsid w:val="00E4008E"/>
    <w:rsid w:val="00E41199"/>
    <w:rsid w:val="00E413AA"/>
    <w:rsid w:val="00E419F8"/>
    <w:rsid w:val="00E446BF"/>
    <w:rsid w:val="00E452E0"/>
    <w:rsid w:val="00E47423"/>
    <w:rsid w:val="00E53000"/>
    <w:rsid w:val="00E54370"/>
    <w:rsid w:val="00E54974"/>
    <w:rsid w:val="00E56BFD"/>
    <w:rsid w:val="00E577C4"/>
    <w:rsid w:val="00E61569"/>
    <w:rsid w:val="00E62245"/>
    <w:rsid w:val="00E66426"/>
    <w:rsid w:val="00E70E3C"/>
    <w:rsid w:val="00E72904"/>
    <w:rsid w:val="00E72DFA"/>
    <w:rsid w:val="00E74E62"/>
    <w:rsid w:val="00E76768"/>
    <w:rsid w:val="00E77722"/>
    <w:rsid w:val="00E8107C"/>
    <w:rsid w:val="00E8134D"/>
    <w:rsid w:val="00E81A38"/>
    <w:rsid w:val="00E853CF"/>
    <w:rsid w:val="00E85810"/>
    <w:rsid w:val="00E85CA4"/>
    <w:rsid w:val="00EA0347"/>
    <w:rsid w:val="00EA6FBA"/>
    <w:rsid w:val="00EB44C1"/>
    <w:rsid w:val="00EB4EFB"/>
    <w:rsid w:val="00EB73BA"/>
    <w:rsid w:val="00EB7913"/>
    <w:rsid w:val="00EC39C0"/>
    <w:rsid w:val="00ED1741"/>
    <w:rsid w:val="00ED1D32"/>
    <w:rsid w:val="00ED4947"/>
    <w:rsid w:val="00ED5E68"/>
    <w:rsid w:val="00ED748E"/>
    <w:rsid w:val="00EE24DB"/>
    <w:rsid w:val="00EE2783"/>
    <w:rsid w:val="00EE31CA"/>
    <w:rsid w:val="00EE5ED8"/>
    <w:rsid w:val="00EE7D21"/>
    <w:rsid w:val="00EF47DC"/>
    <w:rsid w:val="00EF5991"/>
    <w:rsid w:val="00EF6F8F"/>
    <w:rsid w:val="00F02C84"/>
    <w:rsid w:val="00F03D35"/>
    <w:rsid w:val="00F0539A"/>
    <w:rsid w:val="00F10104"/>
    <w:rsid w:val="00F120F8"/>
    <w:rsid w:val="00F12129"/>
    <w:rsid w:val="00F123FE"/>
    <w:rsid w:val="00F129DF"/>
    <w:rsid w:val="00F135D2"/>
    <w:rsid w:val="00F165BD"/>
    <w:rsid w:val="00F16B56"/>
    <w:rsid w:val="00F21136"/>
    <w:rsid w:val="00F274F0"/>
    <w:rsid w:val="00F315D2"/>
    <w:rsid w:val="00F351F2"/>
    <w:rsid w:val="00F35A85"/>
    <w:rsid w:val="00F363C1"/>
    <w:rsid w:val="00F3654A"/>
    <w:rsid w:val="00F37CD7"/>
    <w:rsid w:val="00F42810"/>
    <w:rsid w:val="00F43EBD"/>
    <w:rsid w:val="00F45484"/>
    <w:rsid w:val="00F47BC4"/>
    <w:rsid w:val="00F50B26"/>
    <w:rsid w:val="00F51836"/>
    <w:rsid w:val="00F6009C"/>
    <w:rsid w:val="00F602ED"/>
    <w:rsid w:val="00F613E0"/>
    <w:rsid w:val="00F62939"/>
    <w:rsid w:val="00F66AED"/>
    <w:rsid w:val="00F675DE"/>
    <w:rsid w:val="00F67E62"/>
    <w:rsid w:val="00F67EAB"/>
    <w:rsid w:val="00F74646"/>
    <w:rsid w:val="00F7641F"/>
    <w:rsid w:val="00F779C2"/>
    <w:rsid w:val="00F80DA5"/>
    <w:rsid w:val="00F81735"/>
    <w:rsid w:val="00F818C9"/>
    <w:rsid w:val="00F81C4D"/>
    <w:rsid w:val="00F8324A"/>
    <w:rsid w:val="00F848CF"/>
    <w:rsid w:val="00F85252"/>
    <w:rsid w:val="00F9145E"/>
    <w:rsid w:val="00F93420"/>
    <w:rsid w:val="00F93AB0"/>
    <w:rsid w:val="00F9534D"/>
    <w:rsid w:val="00FA0FB2"/>
    <w:rsid w:val="00FA13FA"/>
    <w:rsid w:val="00FA32AF"/>
    <w:rsid w:val="00FA5C15"/>
    <w:rsid w:val="00FA631F"/>
    <w:rsid w:val="00FA7C60"/>
    <w:rsid w:val="00FB21E8"/>
    <w:rsid w:val="00FC5B00"/>
    <w:rsid w:val="00FC6986"/>
    <w:rsid w:val="00FD0D30"/>
    <w:rsid w:val="00FD29DB"/>
    <w:rsid w:val="00FD379F"/>
    <w:rsid w:val="00FD483F"/>
    <w:rsid w:val="00FD756F"/>
    <w:rsid w:val="00FE0DEB"/>
    <w:rsid w:val="00FE34DA"/>
    <w:rsid w:val="00FE3C70"/>
    <w:rsid w:val="00FE4352"/>
    <w:rsid w:val="00FE6AC1"/>
    <w:rsid w:val="00FF1412"/>
    <w:rsid w:val="00FF25C5"/>
    <w:rsid w:val="00FF3BD9"/>
    <w:rsid w:val="00FF47C6"/>
    <w:rsid w:val="00FF491E"/>
    <w:rsid w:val="00FF7446"/>
    <w:rsid w:val="00FF7F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5C67"/>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67F47"/>
    <w:rPr>
      <w:rFonts w:ascii="Tahoma" w:hAnsi="Tahoma" w:cs="Tahoma"/>
      <w:sz w:val="16"/>
      <w:szCs w:val="16"/>
    </w:rPr>
  </w:style>
  <w:style w:type="paragraph" w:styleId="Textpoznpodarou">
    <w:name w:val="footnote text"/>
    <w:basedOn w:val="Normln"/>
    <w:semiHidden/>
    <w:rsid w:val="00AC4677"/>
    <w:rPr>
      <w:sz w:val="20"/>
      <w:szCs w:val="20"/>
    </w:rPr>
  </w:style>
  <w:style w:type="character" w:styleId="Znakapoznpodarou">
    <w:name w:val="footnote reference"/>
    <w:semiHidden/>
    <w:rsid w:val="00AC4677"/>
    <w:rPr>
      <w:vertAlign w:val="superscript"/>
    </w:rPr>
  </w:style>
  <w:style w:type="paragraph" w:customStyle="1" w:styleId="Odstavec">
    <w:name w:val="Odstavec"/>
    <w:basedOn w:val="Normln"/>
    <w:rsid w:val="002B0E5A"/>
    <w:pPr>
      <w:spacing w:before="120"/>
      <w:ind w:firstLine="567"/>
    </w:pPr>
    <w:rPr>
      <w:szCs w:val="20"/>
    </w:rPr>
  </w:style>
  <w:style w:type="paragraph" w:customStyle="1" w:styleId="ZmenBod">
    <w:name w:val="ZmenBod"/>
    <w:basedOn w:val="Normln"/>
    <w:rsid w:val="00B158FE"/>
    <w:pPr>
      <w:keepNext/>
      <w:keepLines/>
      <w:numPr>
        <w:numId w:val="8"/>
      </w:numPr>
      <w:spacing w:before="480"/>
      <w:ind w:left="0" w:firstLine="0"/>
    </w:pPr>
  </w:style>
  <w:style w:type="paragraph" w:styleId="Zhlav">
    <w:name w:val="header"/>
    <w:basedOn w:val="Normln"/>
    <w:rsid w:val="002139CD"/>
    <w:pPr>
      <w:tabs>
        <w:tab w:val="center" w:pos="4536"/>
        <w:tab w:val="right" w:pos="9072"/>
      </w:tabs>
    </w:pPr>
  </w:style>
  <w:style w:type="paragraph" w:styleId="Zpat">
    <w:name w:val="footer"/>
    <w:basedOn w:val="Normln"/>
    <w:link w:val="ZpatChar"/>
    <w:uiPriority w:val="99"/>
    <w:rsid w:val="002139CD"/>
    <w:pPr>
      <w:tabs>
        <w:tab w:val="center" w:pos="4536"/>
        <w:tab w:val="right" w:pos="9072"/>
      </w:tabs>
    </w:pPr>
    <w:rPr>
      <w:lang/>
    </w:rPr>
  </w:style>
  <w:style w:type="character" w:customStyle="1" w:styleId="ZpatChar">
    <w:name w:val="Zápatí Char"/>
    <w:link w:val="Zpat"/>
    <w:uiPriority w:val="99"/>
    <w:rsid w:val="00E02093"/>
    <w:rPr>
      <w:sz w:val="24"/>
      <w:szCs w:val="24"/>
    </w:rPr>
  </w:style>
  <w:style w:type="character" w:styleId="Zvraznn">
    <w:name w:val="Emphasis"/>
    <w:uiPriority w:val="20"/>
    <w:qFormat/>
    <w:rsid w:val="00E47423"/>
    <w:rPr>
      <w:i/>
      <w:iCs/>
    </w:rPr>
  </w:style>
  <w:style w:type="paragraph" w:customStyle="1" w:styleId="odstaveccislo">
    <w:name w:val="odstaveccislo"/>
    <w:basedOn w:val="Normln"/>
    <w:rsid w:val="00E47423"/>
    <w:pPr>
      <w:spacing w:before="100" w:beforeAutospacing="1" w:after="100" w:afterAutospacing="1"/>
      <w:jc w:val="left"/>
    </w:pPr>
  </w:style>
  <w:style w:type="character" w:styleId="slostrnky">
    <w:name w:val="page number"/>
    <w:basedOn w:val="Standardnpsmoodstavce"/>
    <w:rsid w:val="008065B4"/>
  </w:style>
  <w:style w:type="paragraph" w:styleId="Zkladntextodsazen">
    <w:name w:val="Body Text Indent"/>
    <w:basedOn w:val="Normln"/>
    <w:link w:val="ZkladntextodsazenChar"/>
    <w:rsid w:val="00256721"/>
    <w:pPr>
      <w:spacing w:before="120" w:after="120" w:line="360" w:lineRule="auto"/>
      <w:ind w:firstLine="709"/>
    </w:pPr>
    <w:rPr>
      <w:szCs w:val="20"/>
    </w:rPr>
  </w:style>
  <w:style w:type="character" w:customStyle="1" w:styleId="ZkladntextodsazenChar">
    <w:name w:val="Základní text odsazený Char"/>
    <w:link w:val="Zkladntextodsazen"/>
    <w:rsid w:val="00256721"/>
    <w:rPr>
      <w:sz w:val="24"/>
    </w:rPr>
  </w:style>
  <w:style w:type="paragraph" w:customStyle="1" w:styleId="Char4CharCharCharCharCharCharCharCharCharCharCharCharCharCharCharCharCharChar">
    <w:name w:val="Char4 Char Char Char Char Char Char Char Char Char Char Char Char Char Char Char Char Char Char"/>
    <w:basedOn w:val="Normln"/>
    <w:rsid w:val="00027E88"/>
    <w:pPr>
      <w:spacing w:after="160" w:line="240" w:lineRule="exact"/>
      <w:jc w:val="left"/>
    </w:pPr>
    <w:rPr>
      <w:rFonts w:ascii="Times New Roman Bold" w:hAnsi="Times New Roman Bold"/>
      <w:sz w:val="22"/>
      <w:szCs w:val="26"/>
      <w:lang w:val="sk-SK" w:eastAsia="en-US"/>
    </w:rPr>
  </w:style>
  <w:style w:type="paragraph" w:styleId="Odstavecseseznamem">
    <w:name w:val="List Paragraph"/>
    <w:basedOn w:val="Normln"/>
    <w:uiPriority w:val="34"/>
    <w:qFormat/>
    <w:rsid w:val="00495649"/>
    <w:pPr>
      <w:spacing w:after="200" w:line="276" w:lineRule="auto"/>
      <w:ind w:left="720"/>
      <w:contextualSpacing/>
      <w:jc w:val="left"/>
    </w:pPr>
    <w:rPr>
      <w:rFonts w:ascii="Calibri" w:eastAsia="Calibri" w:hAnsi="Calibri"/>
      <w:sz w:val="22"/>
      <w:szCs w:val="22"/>
      <w:lang w:eastAsia="en-US"/>
    </w:rPr>
  </w:style>
  <w:style w:type="paragraph" w:customStyle="1" w:styleId="Textodstavce">
    <w:name w:val="Text odstavce"/>
    <w:basedOn w:val="Normln"/>
    <w:rsid w:val="00384F67"/>
    <w:pPr>
      <w:numPr>
        <w:numId w:val="22"/>
      </w:numPr>
      <w:tabs>
        <w:tab w:val="clear" w:pos="1350"/>
        <w:tab w:val="num" w:pos="357"/>
        <w:tab w:val="left" w:pos="851"/>
      </w:tabs>
      <w:spacing w:before="120" w:after="120"/>
      <w:ind w:left="-425"/>
      <w:outlineLvl w:val="6"/>
    </w:pPr>
    <w:rPr>
      <w:szCs w:val="20"/>
    </w:rPr>
  </w:style>
  <w:style w:type="paragraph" w:customStyle="1" w:styleId="Textbodu">
    <w:name w:val="Text bodu"/>
    <w:basedOn w:val="Normln"/>
    <w:rsid w:val="00384F67"/>
    <w:pPr>
      <w:numPr>
        <w:ilvl w:val="2"/>
        <w:numId w:val="22"/>
      </w:numPr>
      <w:tabs>
        <w:tab w:val="clear" w:pos="567"/>
        <w:tab w:val="num" w:pos="283"/>
        <w:tab w:val="num" w:pos="566"/>
      </w:tabs>
      <w:ind w:left="566"/>
      <w:outlineLvl w:val="8"/>
    </w:pPr>
    <w:rPr>
      <w:szCs w:val="20"/>
    </w:rPr>
  </w:style>
  <w:style w:type="paragraph" w:customStyle="1" w:styleId="Textpsmene">
    <w:name w:val="Text písmene"/>
    <w:basedOn w:val="Normln"/>
    <w:rsid w:val="00384F67"/>
    <w:pPr>
      <w:numPr>
        <w:ilvl w:val="1"/>
        <w:numId w:val="22"/>
      </w:numPr>
      <w:outlineLvl w:val="7"/>
    </w:pPr>
    <w:rPr>
      <w:szCs w:val="20"/>
    </w:rPr>
  </w:style>
  <w:style w:type="character" w:styleId="Hypertextovodkaz">
    <w:name w:val="Hyperlink"/>
    <w:unhideWhenUsed/>
    <w:rsid w:val="00BD30E2"/>
    <w:rPr>
      <w:color w:val="0000FF"/>
      <w:u w:val="single"/>
    </w:rPr>
  </w:style>
</w:styles>
</file>

<file path=word/webSettings.xml><?xml version="1.0" encoding="utf-8"?>
<w:webSettings xmlns:r="http://schemas.openxmlformats.org/officeDocument/2006/relationships" xmlns:w="http://schemas.openxmlformats.org/wordprocessingml/2006/main">
  <w:divs>
    <w:div w:id="253589208">
      <w:bodyDiv w:val="1"/>
      <w:marLeft w:val="0"/>
      <w:marRight w:val="0"/>
      <w:marTop w:val="0"/>
      <w:marBottom w:val="0"/>
      <w:divBdr>
        <w:top w:val="none" w:sz="0" w:space="0" w:color="auto"/>
        <w:left w:val="none" w:sz="0" w:space="0" w:color="auto"/>
        <w:bottom w:val="none" w:sz="0" w:space="0" w:color="auto"/>
        <w:right w:val="none" w:sz="0" w:space="0" w:color="auto"/>
      </w:divBdr>
    </w:div>
    <w:div w:id="394160530">
      <w:bodyDiv w:val="1"/>
      <w:marLeft w:val="0"/>
      <w:marRight w:val="0"/>
      <w:marTop w:val="0"/>
      <w:marBottom w:val="0"/>
      <w:divBdr>
        <w:top w:val="none" w:sz="0" w:space="0" w:color="auto"/>
        <w:left w:val="none" w:sz="0" w:space="0" w:color="auto"/>
        <w:bottom w:val="none" w:sz="0" w:space="0" w:color="auto"/>
        <w:right w:val="none" w:sz="0" w:space="0" w:color="auto"/>
      </w:divBdr>
    </w:div>
    <w:div w:id="799570007">
      <w:bodyDiv w:val="1"/>
      <w:marLeft w:val="0"/>
      <w:marRight w:val="0"/>
      <w:marTop w:val="0"/>
      <w:marBottom w:val="0"/>
      <w:divBdr>
        <w:top w:val="none" w:sz="0" w:space="0" w:color="auto"/>
        <w:left w:val="none" w:sz="0" w:space="0" w:color="auto"/>
        <w:bottom w:val="none" w:sz="0" w:space="0" w:color="auto"/>
        <w:right w:val="none" w:sz="0" w:space="0" w:color="auto"/>
      </w:divBdr>
    </w:div>
    <w:div w:id="1398280712">
      <w:bodyDiv w:val="1"/>
      <w:marLeft w:val="60"/>
      <w:marRight w:val="60"/>
      <w:marTop w:val="60"/>
      <w:marBottom w:val="15"/>
      <w:divBdr>
        <w:top w:val="none" w:sz="0" w:space="0" w:color="auto"/>
        <w:left w:val="none" w:sz="0" w:space="0" w:color="auto"/>
        <w:bottom w:val="none" w:sz="0" w:space="0" w:color="auto"/>
        <w:right w:val="none" w:sz="0" w:space="0" w:color="auto"/>
      </w:divBdr>
      <w:divsChild>
        <w:div w:id="1519084266">
          <w:marLeft w:val="0"/>
          <w:marRight w:val="0"/>
          <w:marTop w:val="0"/>
          <w:marBottom w:val="0"/>
          <w:divBdr>
            <w:top w:val="none" w:sz="0" w:space="0" w:color="auto"/>
            <w:left w:val="none" w:sz="0" w:space="0" w:color="auto"/>
            <w:bottom w:val="none" w:sz="0" w:space="0" w:color="auto"/>
            <w:right w:val="none" w:sz="0" w:space="0" w:color="auto"/>
          </w:divBdr>
        </w:div>
      </w:divsChild>
    </w:div>
    <w:div w:id="1804692377">
      <w:bodyDiv w:val="1"/>
      <w:marLeft w:val="60"/>
      <w:marRight w:val="60"/>
      <w:marTop w:val="60"/>
      <w:marBottom w:val="15"/>
      <w:divBdr>
        <w:top w:val="none" w:sz="0" w:space="0" w:color="auto"/>
        <w:left w:val="none" w:sz="0" w:space="0" w:color="auto"/>
        <w:bottom w:val="none" w:sz="0" w:space="0" w:color="auto"/>
        <w:right w:val="none" w:sz="0" w:space="0" w:color="auto"/>
      </w:divBdr>
      <w:divsChild>
        <w:div w:id="1614900024">
          <w:marLeft w:val="0"/>
          <w:marRight w:val="0"/>
          <w:marTop w:val="0"/>
          <w:marBottom w:val="0"/>
          <w:divBdr>
            <w:top w:val="none" w:sz="0" w:space="0" w:color="auto"/>
            <w:left w:val="none" w:sz="0" w:space="0" w:color="auto"/>
            <w:bottom w:val="none" w:sz="0" w:space="0" w:color="auto"/>
            <w:right w:val="none" w:sz="0" w:space="0" w:color="auto"/>
          </w:divBdr>
        </w:div>
        <w:div w:id="1677803951">
          <w:marLeft w:val="0"/>
          <w:marRight w:val="0"/>
          <w:marTop w:val="0"/>
          <w:marBottom w:val="0"/>
          <w:divBdr>
            <w:top w:val="none" w:sz="0" w:space="0" w:color="auto"/>
            <w:left w:val="none" w:sz="0" w:space="0" w:color="auto"/>
            <w:bottom w:val="none" w:sz="0" w:space="0" w:color="auto"/>
            <w:right w:val="none" w:sz="0" w:space="0" w:color="auto"/>
          </w:divBdr>
        </w:div>
      </w:divsChild>
    </w:div>
    <w:div w:id="1887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ea.cerge-ei.cz/files/IDEA_Studie_04_2019_Dopady_zvysovani_minimalni_mzdy/IDEA_Studie_04_2019_Dopady_zvysovani_minimalni_mzdy.html" TargetMode="External"/><Relationship Id="rId2" Type="http://schemas.openxmlformats.org/officeDocument/2006/relationships/hyperlink" Target="http://cepr.net/documents/publications/min-wage-2013-02.pdf" TargetMode="External"/><Relationship Id="rId1" Type="http://schemas.openxmlformats.org/officeDocument/2006/relationships/hyperlink" Target="http://www.vlada.cz/assets/media-centrum/aktualne/VLIV-MINIMALNI-MZDY-NA-NEZAMESTNANOST-V-CR.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6201-F0BA-445D-8095-937304F5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3920</Words>
  <Characters>23132</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1</vt:lpstr>
    </vt:vector>
  </TitlesOfParts>
  <Company>Ministerstvo financí</Company>
  <LinksUpToDate>false</LinksUpToDate>
  <CharactersWithSpaces>26999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RouckovaD</dc:creator>
  <cp:lastModifiedBy>OSPZV3 ospzv3</cp:lastModifiedBy>
  <cp:revision>2</cp:revision>
  <cp:lastPrinted>2018-11-15T08:39:00Z</cp:lastPrinted>
  <dcterms:created xsi:type="dcterms:W3CDTF">2019-11-07T11:17:00Z</dcterms:created>
  <dcterms:modified xsi:type="dcterms:W3CDTF">2019-11-07T11:17:00Z</dcterms:modified>
</cp:coreProperties>
</file>