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0C" w:rsidRDefault="00F3310C" w:rsidP="009F0C6A">
      <w:pPr>
        <w:spacing w:after="0" w:line="240" w:lineRule="auto"/>
        <w:ind w:left="-567" w:right="-567"/>
      </w:pPr>
    </w:p>
    <w:p w:rsidR="009F0C6A" w:rsidRDefault="009F0C6A" w:rsidP="009F0C6A">
      <w:pPr>
        <w:spacing w:after="0" w:line="240" w:lineRule="auto"/>
        <w:ind w:left="-567" w:right="-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9F0C6A">
        <w:rPr>
          <w:rFonts w:ascii="Calibri" w:hAnsi="Calibri" w:cs="Calibri"/>
          <w:b/>
          <w:sz w:val="24"/>
          <w:szCs w:val="24"/>
          <w:shd w:val="clear" w:color="auto" w:fill="F5F5F5"/>
        </w:rPr>
        <w:t>250 milionů pro zdravé stravovací návyky š</w:t>
      </w:r>
      <w:r w:rsidRPr="009F0C6A">
        <w:rPr>
          <w:rFonts w:ascii="Calibri" w:hAnsi="Calibri" w:cs="Calibri"/>
          <w:b/>
          <w:sz w:val="24"/>
          <w:szCs w:val="24"/>
          <w:shd w:val="clear" w:color="auto" w:fill="F5F5F5"/>
        </w:rPr>
        <w:t>kolní</w:t>
      </w:r>
      <w:r w:rsidRPr="009F0C6A">
        <w:rPr>
          <w:rFonts w:ascii="Calibri" w:hAnsi="Calibri" w:cs="Calibri"/>
          <w:b/>
          <w:sz w:val="24"/>
          <w:szCs w:val="24"/>
          <w:shd w:val="clear" w:color="auto" w:fill="F5F5F5"/>
        </w:rPr>
        <w:t>ch</w:t>
      </w:r>
      <w:r w:rsidRPr="009F0C6A">
        <w:rPr>
          <w:rFonts w:ascii="Calibri" w:hAnsi="Calibri" w:cs="Calibri"/>
          <w:b/>
          <w:sz w:val="24"/>
          <w:szCs w:val="24"/>
          <w:shd w:val="clear" w:color="auto" w:fill="F5F5F5"/>
        </w:rPr>
        <w:t xml:space="preserve"> dět</w:t>
      </w:r>
      <w:r w:rsidRPr="009F0C6A">
        <w:rPr>
          <w:rFonts w:ascii="Calibri" w:hAnsi="Calibri" w:cs="Calibri"/>
          <w:b/>
          <w:sz w:val="24"/>
          <w:szCs w:val="24"/>
          <w:shd w:val="clear" w:color="auto" w:fill="F5F5F5"/>
        </w:rPr>
        <w:t>í</w:t>
      </w:r>
    </w:p>
    <w:p w:rsidR="009F0C6A" w:rsidRDefault="009F0C6A" w:rsidP="009F0C6A">
      <w:pPr>
        <w:spacing w:after="0" w:line="240" w:lineRule="auto"/>
        <w:ind w:left="-567" w:right="-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9F0C6A">
        <w:rPr>
          <w:rFonts w:ascii="Calibri" w:hAnsi="Calibri" w:cs="Calibri"/>
          <w:sz w:val="24"/>
          <w:szCs w:val="24"/>
          <w:shd w:val="clear" w:color="auto" w:fill="F5F5F5"/>
        </w:rPr>
        <w:t>IP / 19/1848</w:t>
      </w:r>
    </w:p>
    <w:p w:rsidR="009F0C6A" w:rsidRDefault="009F0C6A" w:rsidP="009F0C6A">
      <w:pPr>
        <w:spacing w:after="0" w:line="240" w:lineRule="auto"/>
        <w:ind w:left="-567" w:right="-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9F0C6A">
        <w:rPr>
          <w:rFonts w:ascii="Calibri" w:hAnsi="Calibri" w:cs="Calibri"/>
          <w:sz w:val="24"/>
          <w:szCs w:val="24"/>
          <w:shd w:val="clear" w:color="auto" w:fill="F5F5F5"/>
        </w:rPr>
        <w:t>V Bruselu dne 27. března 2019</w:t>
      </w:r>
    </w:p>
    <w:p w:rsidR="009F0C6A" w:rsidRDefault="009F0C6A" w:rsidP="009F0C6A">
      <w:pPr>
        <w:spacing w:after="0" w:line="240" w:lineRule="auto"/>
        <w:ind w:left="-567" w:right="-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 xml:space="preserve">Miliony dětí v celé EU dostanou v roce 2019/2020 mléko, ovoce a zeleninu v rámci školského programu EU. </w:t>
      </w:r>
      <w:r>
        <w:rPr>
          <w:rFonts w:ascii="Calibri" w:hAnsi="Calibri" w:cs="Calibri"/>
          <w:sz w:val="24"/>
          <w:szCs w:val="24"/>
          <w:shd w:val="clear" w:color="auto" w:fill="F5F5F5"/>
        </w:rPr>
        <w:t>P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 xml:space="preserve">rogram dosáhl ve školním roce 2017/2018 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na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více než 20 milionů dětí v celé EU.</w:t>
      </w:r>
      <w:r w:rsidRPr="009F0C6A">
        <w:rPr>
          <w:rFonts w:ascii="Calibri" w:hAnsi="Calibri" w:cs="Calibri"/>
          <w:sz w:val="24"/>
          <w:szCs w:val="24"/>
        </w:rPr>
        <w:br/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Příspěvky na národní rozpočty na programy EU pro ovoce, zeleninu a mléko EU na školní rok 2019/2020 byly přijaty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27. </w:t>
      </w:r>
      <w:proofErr w:type="gramStart"/>
      <w:r>
        <w:rPr>
          <w:rFonts w:ascii="Calibri" w:hAnsi="Calibri" w:cs="Calibri"/>
          <w:sz w:val="24"/>
          <w:szCs w:val="24"/>
          <w:shd w:val="clear" w:color="auto" w:fill="F5F5F5"/>
        </w:rPr>
        <w:t xml:space="preserve">března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.</w:t>
      </w:r>
      <w:proofErr w:type="gramEnd"/>
      <w:r w:rsidRPr="009F0C6A">
        <w:rPr>
          <w:rFonts w:ascii="Calibri" w:hAnsi="Calibri" w:cs="Calibri"/>
          <w:sz w:val="24"/>
          <w:szCs w:val="24"/>
          <w:shd w:val="clear" w:color="auto" w:fill="F5F5F5"/>
        </w:rPr>
        <w:t xml:space="preserve"> 145 milionů EUR je vyhrazeno na ovoce a zeleninu a 105 milionů EUR na mléko a jiné mléčné výrobky. Distribuční program je doplněn vzdělávacími opatřeními, která učí děti o zemědělství a podporují zdravé stravování.</w:t>
      </w:r>
    </w:p>
    <w:p w:rsidR="009F0C6A" w:rsidRDefault="009F0C6A" w:rsidP="009F0C6A">
      <w:pPr>
        <w:spacing w:after="0" w:line="240" w:lineRule="auto"/>
        <w:ind w:left="-567" w:right="-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 xml:space="preserve">Komisař pro zemědělství a rozvoj venkova Phil </w:t>
      </w:r>
      <w:proofErr w:type="spellStart"/>
      <w:r w:rsidRPr="009F0C6A">
        <w:rPr>
          <w:rFonts w:ascii="Calibri" w:hAnsi="Calibri" w:cs="Calibri"/>
          <w:sz w:val="24"/>
          <w:szCs w:val="24"/>
          <w:shd w:val="clear" w:color="auto" w:fill="F5F5F5"/>
        </w:rPr>
        <w:t>Hogan</w:t>
      </w:r>
      <w:proofErr w:type="spellEnd"/>
      <w:r w:rsidRPr="009F0C6A">
        <w:rPr>
          <w:rFonts w:ascii="Calibri" w:hAnsi="Calibri" w:cs="Calibri"/>
          <w:sz w:val="24"/>
          <w:szCs w:val="24"/>
          <w:shd w:val="clear" w:color="auto" w:fill="F5F5F5"/>
        </w:rPr>
        <w:t xml:space="preserve"> prohlásil: „Díky školskému programu EU mohou naši mladí občané těžit z výživných, bezpečných a vysoce kvalitních potravin, které produkují naši evropští zemědělci, a zároveň se dozvědí, odkud pocházejí. přispět k této důležité vzdělávací cestě a vytvořit zdravé návyky od mladého věku.</w:t>
      </w:r>
    </w:p>
    <w:p w:rsidR="00022E6A" w:rsidRDefault="009F0C6A" w:rsidP="009F0C6A">
      <w:pPr>
        <w:spacing w:after="0" w:line="240" w:lineRule="auto"/>
        <w:ind w:left="-567" w:right="-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Komise dnes také zveřejnila hodnotící zprávu, která ukazuje, že pro školní rok 2017/2018 se do školského systému EU zapojilo asi 159 000 škol. Během této doby bylo evropským dětem rozdáno 255 500 tun čerstvého ovoce a zeleniny a 178 milionů litrů mléka díky více než 182 milionům EUR z rozpočtu EU.</w:t>
      </w:r>
      <w:r w:rsidRPr="009F0C6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  <w:shd w:val="clear" w:color="auto" w:fill="F5F5F5"/>
        </w:rPr>
        <w:t>Souvislosti</w:t>
      </w:r>
      <w:r w:rsidRPr="009F0C6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Země, které si přejí zapojit se do školního systému EU, musí do konce ledna oznámit Komisi svou žádost o podporu. Orientační rozdělení rozpočtu EU každému členskému státu je založeno na počtu žáků v každé zemi a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v případě mléka na zavedení předchozího režimu. Vnitrostátní orgány mohou volně převést částku (</w:t>
      </w:r>
      <w:proofErr w:type="gramStart"/>
      <w:r w:rsidRPr="009F0C6A">
        <w:rPr>
          <w:rFonts w:ascii="Calibri" w:hAnsi="Calibri" w:cs="Calibri"/>
          <w:sz w:val="24"/>
          <w:szCs w:val="24"/>
          <w:shd w:val="clear" w:color="auto" w:fill="F5F5F5"/>
        </w:rPr>
        <w:t>20%</w:t>
      </w:r>
      <w:proofErr w:type="gramEnd"/>
      <w:r w:rsidRPr="009F0C6A">
        <w:rPr>
          <w:rFonts w:ascii="Calibri" w:hAnsi="Calibri" w:cs="Calibri"/>
          <w:sz w:val="24"/>
          <w:szCs w:val="24"/>
          <w:shd w:val="clear" w:color="auto" w:fill="F5F5F5"/>
        </w:rPr>
        <w:t xml:space="preserve"> - 25%) rozpočtu přiděleného z jednoho sektoru do druhého. Mohou rovněž oznámit svou ochotu utratit více, než je požadovaná částka podpory, pokud ostatní členské státy upustí od jejich plného rozdělení.</w:t>
      </w:r>
      <w:r w:rsidR="00022E6A">
        <w:rPr>
          <w:rFonts w:ascii="Calibri" w:hAnsi="Calibri" w:cs="Calibri"/>
          <w:sz w:val="24"/>
          <w:szCs w:val="24"/>
        </w:rPr>
        <w:t xml:space="preserve"> </w:t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Kromě toho se členské státy mohou rozhodnout o způsobu provádění programu, včetně toho, jaké zemědělské produkty dostanou děti, nebo o tématech zavedených vzdělávacích opatření. Mají také možnost doplnit fondy EU národními fondy  financování programu.</w:t>
      </w:r>
    </w:p>
    <w:p w:rsidR="00022E6A" w:rsidRDefault="009F0C6A" w:rsidP="00022E6A">
      <w:pPr>
        <w:spacing w:after="0" w:line="240" w:lineRule="auto"/>
        <w:ind w:left="-567" w:right="-567" w:firstLine="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9F0C6A">
        <w:rPr>
          <w:rFonts w:ascii="Calibri" w:hAnsi="Calibri" w:cs="Calibri"/>
          <w:sz w:val="24"/>
          <w:szCs w:val="24"/>
          <w:shd w:val="clear" w:color="auto" w:fill="F5F5F5"/>
        </w:rPr>
        <w:t>Výběr distribuovaných produktů je založen na ohledech na zdraví a životní prostředí, sezónnosti, rozmanitosti a dostupnosti. Členské státy mohou podporovat místní nebo regionální nákup, ekologické produkty, krátké dodavatelské řetězce, přínosy pro životní prostředí, systémy zemědělské jakosti.</w:t>
      </w:r>
      <w:r w:rsidRPr="009F0C6A">
        <w:rPr>
          <w:rFonts w:ascii="Calibri" w:hAnsi="Calibri" w:cs="Calibri"/>
          <w:sz w:val="24"/>
          <w:szCs w:val="24"/>
        </w:rPr>
        <w:br/>
      </w:r>
      <w:r w:rsidRPr="009F0C6A">
        <w:rPr>
          <w:rFonts w:ascii="Calibri" w:hAnsi="Calibri" w:cs="Calibri"/>
          <w:sz w:val="24"/>
          <w:szCs w:val="24"/>
          <w:shd w:val="clear" w:color="auto" w:fill="F5F5F5"/>
        </w:rPr>
        <w:t>Pro více informací</w:t>
      </w:r>
      <w:r w:rsidR="00022E6A">
        <w:rPr>
          <w:rFonts w:ascii="Calibri" w:hAnsi="Calibri" w:cs="Calibri"/>
          <w:sz w:val="24"/>
          <w:szCs w:val="24"/>
          <w:shd w:val="clear" w:color="auto" w:fill="F5F5F5"/>
        </w:rPr>
        <w:t>:</w:t>
      </w:r>
    </w:p>
    <w:p w:rsidR="006C7C1A" w:rsidRPr="00022E6A" w:rsidRDefault="009F0C6A" w:rsidP="00022E6A">
      <w:pPr>
        <w:spacing w:after="0" w:line="240" w:lineRule="auto"/>
        <w:ind w:left="-567" w:right="-567"/>
        <w:jc w:val="both"/>
        <w:rPr>
          <w:rFonts w:cstheme="minorHAnsi"/>
          <w:sz w:val="24"/>
          <w:szCs w:val="24"/>
        </w:rPr>
      </w:pPr>
      <w:r w:rsidRPr="00022E6A">
        <w:rPr>
          <w:rFonts w:cstheme="minorHAnsi"/>
          <w:sz w:val="24"/>
          <w:szCs w:val="24"/>
          <w:shd w:val="clear" w:color="auto" w:fill="F5F5F5"/>
        </w:rPr>
        <w:t>Monitorovací zprávy členských států o programu EU pro ovoce a zeleninu v letech 2017–2018</w:t>
      </w:r>
      <w:r w:rsidRPr="00022E6A">
        <w:rPr>
          <w:rFonts w:cstheme="minorHAnsi"/>
          <w:sz w:val="24"/>
          <w:szCs w:val="24"/>
        </w:rPr>
        <w:br/>
      </w:r>
      <w:r w:rsidRPr="00022E6A">
        <w:rPr>
          <w:rFonts w:cstheme="minorHAnsi"/>
          <w:sz w:val="24"/>
          <w:szCs w:val="24"/>
          <w:shd w:val="clear" w:color="auto" w:fill="F5F5F5"/>
        </w:rPr>
        <w:t>Program EU pro ovoce a zeleninu a mléko</w:t>
      </w:r>
    </w:p>
    <w:p w:rsidR="006C7C1A" w:rsidRPr="00022E6A" w:rsidRDefault="00A621F0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b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b/>
          <w:sz w:val="20"/>
          <w:szCs w:val="20"/>
          <w:lang w:eastAsia="cs-CZ"/>
        </w:rPr>
        <w:t xml:space="preserve">           </w:t>
      </w:r>
      <w:r w:rsidR="00022E6A" w:rsidRPr="00022E6A">
        <w:rPr>
          <w:rFonts w:ascii="inherit" w:eastAsia="Times New Roman" w:hAnsi="inherit" w:cs="Times New Roman"/>
          <w:b/>
          <w:sz w:val="20"/>
          <w:szCs w:val="20"/>
          <w:lang w:eastAsia="cs-CZ"/>
        </w:rPr>
        <w:t>Příloha: školní ovoce, zelenina a mléko pro školy EU</w:t>
      </w:r>
      <w:r w:rsidR="006C7C1A" w:rsidRPr="001743CA">
        <w:rPr>
          <w:rFonts w:ascii="inherit" w:eastAsia="Times New Roman" w:hAnsi="inherit" w:cs="Times New Roman"/>
          <w:b/>
          <w:sz w:val="20"/>
          <w:szCs w:val="20"/>
          <w:lang w:eastAsia="cs-CZ"/>
        </w:rPr>
        <w:t> </w:t>
      </w:r>
      <w:r w:rsidR="00022E6A" w:rsidRPr="00022E6A">
        <w:rPr>
          <w:rFonts w:ascii="inherit" w:eastAsia="Times New Roman" w:hAnsi="inherit" w:cs="Times New Roman"/>
          <w:b/>
          <w:sz w:val="20"/>
          <w:szCs w:val="20"/>
          <w:lang w:eastAsia="cs-CZ"/>
        </w:rPr>
        <w:t>pro školní rok 2019/2020</w:t>
      </w: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3120"/>
        <w:gridCol w:w="2835"/>
      </w:tblGrid>
      <w:tr w:rsidR="00A621F0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21F0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Stát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21F0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Ovoce a zelenina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21F0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mléko</w:t>
            </w:r>
            <w:bookmarkStart w:id="0" w:name="_GoBack"/>
            <w:bookmarkEnd w:id="0"/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Belgi</w:t>
            </w: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3,405,459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1,613,200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Bul</w:t>
            </w: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h</w:t>
            </w: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ar</w:t>
            </w: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2,592,914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1,156,473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Česká republika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3,974,570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1,832,711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D</w:t>
            </w: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á</w:t>
            </w: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n</w:t>
            </w: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1,807,661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1,460,645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Německo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24,899,150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10,821,840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Eston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549,208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730,298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lastRenderedPageBreak/>
              <w:t>Ir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2,266,887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1,039,137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Řecko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3,218,885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1,550,685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Š</w:t>
            </w:r>
            <w:r w:rsidR="00022E6A"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pan</w:t>
            </w: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ělsko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16,498,394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6,302,784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Franc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i</w:t>
            </w: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17,990,469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17,123,194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C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ho</w:t>
            </w: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r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v</w:t>
            </w: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at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1,660,486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800,354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It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álie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20,811,379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9,120,871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K</w:t>
            </w:r>
            <w:r w:rsidR="00022E6A"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ypr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390,044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400,177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L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otyšsko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782,082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740,753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Lit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va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1,100,497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1,086,853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Lu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c</w:t>
            </w: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embur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336,518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200,000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Maďarsko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3,730,788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1,947,865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Malta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290,000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201,358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N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izozemí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6,775,648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2,401,061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Rakousko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2,834,481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1,263,019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Pol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14,579,625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11,005,606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Portugal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3,283,397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2,220,981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R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umunsko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6,866,848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10,815,474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Slov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insko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708,635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362,276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Slov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ensko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2,115,888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1,011,357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Fin</w:t>
            </w:r>
            <w:r w:rsidR="00A621F0">
              <w:rPr>
                <w:rFonts w:ascii="inherit" w:eastAsia="Times New Roman" w:hAnsi="inherit" w:cs="Times New Roman"/>
                <w:color w:val="000000"/>
                <w:lang w:eastAsia="cs-CZ"/>
              </w:rPr>
              <w:t>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1,599,047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3,824,689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Švédsko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8,998,717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cs-CZ"/>
              </w:rPr>
              <w:t>Spojené království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color w:val="000000"/>
                <w:lang w:eastAsia="cs-CZ"/>
              </w:rPr>
              <w:t>4,898,661</w:t>
            </w:r>
          </w:p>
        </w:tc>
      </w:tr>
      <w:tr w:rsidR="00022E6A" w:rsidRPr="00022E6A" w:rsidTr="00022E6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A621F0" w:rsidP="00022E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cs-CZ"/>
              </w:rPr>
              <w:t>Celkem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cs-CZ"/>
              </w:rPr>
              <w:t>145,068,962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E6A" w:rsidRPr="00022E6A" w:rsidRDefault="00022E6A" w:rsidP="00022E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cs-CZ"/>
              </w:rPr>
            </w:pPr>
            <w:r w:rsidRPr="00022E6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cs-CZ"/>
              </w:rPr>
              <w:t>104,931,038</w:t>
            </w:r>
          </w:p>
        </w:tc>
      </w:tr>
    </w:tbl>
    <w:p w:rsidR="00022E6A" w:rsidRPr="00022E6A" w:rsidRDefault="00022E6A" w:rsidP="00022E6A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022E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022E6A" w:rsidRPr="001743CA" w:rsidRDefault="00022E6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</w:p>
    <w:p w:rsidR="006C7C1A" w:rsidRPr="001743CA" w:rsidRDefault="006C7C1A" w:rsidP="009F0C6A">
      <w:pPr>
        <w:spacing w:after="0" w:line="240" w:lineRule="auto"/>
        <w:ind w:left="-567" w:right="-567"/>
        <w:rPr>
          <w:rFonts w:ascii="inherit" w:eastAsia="Times New Roman" w:hAnsi="inherit" w:cs="Times New Roman"/>
          <w:sz w:val="20"/>
          <w:szCs w:val="20"/>
          <w:lang w:eastAsia="cs-CZ"/>
        </w:rPr>
      </w:pPr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EU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school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fruit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,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vegetables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milk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scheme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: EU budget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for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school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>year</w:t>
      </w:r>
      <w:proofErr w:type="spellEnd"/>
      <w:r w:rsidRPr="001743CA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2019/2020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2"/>
        <w:gridCol w:w="597"/>
        <w:gridCol w:w="585"/>
      </w:tblGrid>
      <w:tr w:rsidR="006C7C1A" w:rsidRPr="001743CA" w:rsidTr="007A6B19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Member</w:t>
            </w:r>
            <w:proofErr w:type="spellEnd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 xml:space="preserve"> </w:t>
            </w:r>
          </w:p>
          <w:tbl>
            <w:tblPr>
              <w:tblW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2740"/>
              <w:gridCol w:w="2502"/>
            </w:tblGrid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Ireland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2,266,887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1,039,137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Greece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3,218,885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1,550,685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Spain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16,498,394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6,302,784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France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17,990,469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17,123,194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Croatia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1,660,486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800,354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Italy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20,811,379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9,120,871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Cyprus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390,044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400,177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Latvia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782,082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740,753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Lithuania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1,100,497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1,086,853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Luxembourg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336,518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200,000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Hungary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3,730,788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1,947,865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Malta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290,000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201,358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Netherlands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6,775,648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2,401,061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Austria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2,834,481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1,263,019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Poland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14,579,625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11,005,606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Portugal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3,283,397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2,220,981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Romania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6,866,848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10,815,474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Slovenia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708,635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362,276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Slovakia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2,115,888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1,011,357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Finland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1,599,047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3,824,689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Sweden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8,998,717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 xml:space="preserve">United </w:t>
                  </w:r>
                  <w:proofErr w:type="spellStart"/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Kingdom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lang w:eastAsia="cs-CZ"/>
                    </w:rPr>
                    <w:t>4,898,661</w:t>
                  </w:r>
                </w:p>
              </w:tc>
            </w:tr>
            <w:tr w:rsidR="006C7C1A" w:rsidRPr="001743CA" w:rsidTr="007A6B19"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proofErr w:type="spellStart"/>
                  <w:r w:rsidRPr="001743CA">
                    <w:rPr>
                      <w:rFonts w:ascii="inherit" w:eastAsia="Times New Roman" w:hAnsi="inherit" w:cs="Times New Roman"/>
                      <w:b/>
                      <w:bCs/>
                      <w:bdr w:val="none" w:sz="0" w:space="0" w:color="auto" w:frame="1"/>
                      <w:lang w:eastAsia="cs-CZ"/>
                    </w:rPr>
                    <w:t>Total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b/>
                      <w:bCs/>
                      <w:bdr w:val="none" w:sz="0" w:space="0" w:color="auto" w:frame="1"/>
                      <w:lang w:eastAsia="cs-CZ"/>
                    </w:rPr>
                    <w:t>145,068,962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7C1A" w:rsidRPr="001743CA" w:rsidRDefault="006C7C1A" w:rsidP="009F0C6A">
                  <w:pPr>
                    <w:spacing w:after="0" w:line="240" w:lineRule="auto"/>
                    <w:ind w:left="-567" w:right="-567"/>
                    <w:rPr>
                      <w:rFonts w:ascii="inherit" w:eastAsia="Times New Roman" w:hAnsi="inherit" w:cs="Times New Roman"/>
                      <w:lang w:eastAsia="cs-CZ"/>
                    </w:rPr>
                  </w:pPr>
                  <w:r w:rsidRPr="001743CA">
                    <w:rPr>
                      <w:rFonts w:ascii="inherit" w:eastAsia="Times New Roman" w:hAnsi="inherit" w:cs="Times New Roman"/>
                      <w:b/>
                      <w:bCs/>
                      <w:bdr w:val="none" w:sz="0" w:space="0" w:color="auto" w:frame="1"/>
                      <w:lang w:eastAsia="cs-CZ"/>
                    </w:rPr>
                    <w:t>104,931,038</w:t>
                  </w:r>
                </w:p>
              </w:tc>
            </w:tr>
          </w:tbl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State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School</w:t>
            </w:r>
            <w:proofErr w:type="spellEnd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fruit</w:t>
            </w:r>
            <w:proofErr w:type="spellEnd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 xml:space="preserve"> and </w:t>
            </w:r>
            <w:proofErr w:type="spellStart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vegetables</w:t>
            </w:r>
            <w:proofErr w:type="spellEnd"/>
          </w:p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in €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School</w:t>
            </w:r>
            <w:proofErr w:type="spellEnd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milk</w:t>
            </w:r>
            <w:proofErr w:type="spellEnd"/>
          </w:p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cs-CZ"/>
              </w:rPr>
              <w:t>in €</w:t>
            </w:r>
          </w:p>
        </w:tc>
      </w:tr>
      <w:tr w:rsidR="006C7C1A" w:rsidRPr="001743CA" w:rsidTr="007A6B19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lang w:eastAsia="cs-CZ"/>
              </w:rPr>
              <w:t>Belgium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3,405,459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1,613,200</w:t>
            </w:r>
          </w:p>
        </w:tc>
      </w:tr>
      <w:tr w:rsidR="006C7C1A" w:rsidRPr="001743CA" w:rsidTr="007A6B19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lang w:eastAsia="cs-CZ"/>
              </w:rPr>
              <w:t>Bulgaria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2,592,914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1,156,473</w:t>
            </w:r>
          </w:p>
        </w:tc>
      </w:tr>
      <w:tr w:rsidR="006C7C1A" w:rsidRPr="001743CA" w:rsidTr="007A6B19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Czech Republic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3,974,570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1,832,711</w:t>
            </w:r>
          </w:p>
        </w:tc>
      </w:tr>
      <w:tr w:rsidR="006C7C1A" w:rsidRPr="001743CA" w:rsidTr="007A6B19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lang w:eastAsia="cs-CZ"/>
              </w:rPr>
              <w:t>Denmark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1,807,661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1,460,645</w:t>
            </w:r>
          </w:p>
        </w:tc>
      </w:tr>
      <w:tr w:rsidR="006C7C1A" w:rsidRPr="001743CA" w:rsidTr="007A6B19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Germany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24,899,150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10,821,840</w:t>
            </w:r>
          </w:p>
        </w:tc>
      </w:tr>
      <w:tr w:rsidR="006C7C1A" w:rsidRPr="001743CA" w:rsidTr="007A6B19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1743CA">
              <w:rPr>
                <w:rFonts w:ascii="inherit" w:eastAsia="Times New Roman" w:hAnsi="inherit" w:cs="Times New Roman"/>
                <w:lang w:eastAsia="cs-CZ"/>
              </w:rPr>
              <w:t>Estonia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549,208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7C1A" w:rsidRPr="001743CA" w:rsidRDefault="006C7C1A" w:rsidP="009F0C6A">
            <w:pPr>
              <w:spacing w:after="0" w:line="240" w:lineRule="auto"/>
              <w:ind w:left="-567" w:right="-567"/>
              <w:rPr>
                <w:rFonts w:ascii="inherit" w:eastAsia="Times New Roman" w:hAnsi="inherit" w:cs="Times New Roman"/>
                <w:lang w:eastAsia="cs-CZ"/>
              </w:rPr>
            </w:pPr>
            <w:r w:rsidRPr="001743CA">
              <w:rPr>
                <w:rFonts w:ascii="inherit" w:eastAsia="Times New Roman" w:hAnsi="inherit" w:cs="Times New Roman"/>
                <w:lang w:eastAsia="cs-CZ"/>
              </w:rPr>
              <w:t>730,298</w:t>
            </w:r>
          </w:p>
        </w:tc>
      </w:tr>
    </w:tbl>
    <w:p w:rsidR="006C7C1A" w:rsidRDefault="006C7C1A" w:rsidP="009F0C6A">
      <w:pPr>
        <w:spacing w:after="0" w:line="240" w:lineRule="auto"/>
        <w:ind w:left="-567" w:right="-567"/>
      </w:pPr>
    </w:p>
    <w:sectPr w:rsidR="006C7C1A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3E3"/>
    <w:multiLevelType w:val="multilevel"/>
    <w:tmpl w:val="253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A"/>
    <w:rsid w:val="00022E6A"/>
    <w:rsid w:val="001743CA"/>
    <w:rsid w:val="0066011A"/>
    <w:rsid w:val="006C7C1A"/>
    <w:rsid w:val="009F0C6A"/>
    <w:rsid w:val="00A621F0"/>
    <w:rsid w:val="00D52A38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0227"/>
  <w15:chartTrackingRefBased/>
  <w15:docId w15:val="{938EC389-4E76-4F0F-9487-390CACC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3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43C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743CA"/>
    <w:rPr>
      <w:b/>
      <w:bCs/>
    </w:rPr>
  </w:style>
  <w:style w:type="character" w:styleId="Zdraznn">
    <w:name w:val="Emphasis"/>
    <w:basedOn w:val="Standardnpsmoodstavce"/>
    <w:uiPriority w:val="20"/>
    <w:qFormat/>
    <w:rsid w:val="001743CA"/>
    <w:rPr>
      <w:i/>
      <w:iCs/>
    </w:rPr>
  </w:style>
  <w:style w:type="paragraph" w:customStyle="1" w:styleId="reference">
    <w:name w:val="reference"/>
    <w:basedOn w:val="Normln"/>
    <w:rsid w:val="001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1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1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17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630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7697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8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4797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41098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254685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1431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2</cp:revision>
  <dcterms:created xsi:type="dcterms:W3CDTF">2019-03-27T13:34:00Z</dcterms:created>
  <dcterms:modified xsi:type="dcterms:W3CDTF">2019-03-27T13:34:00Z</dcterms:modified>
</cp:coreProperties>
</file>