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60B" w:rsidRPr="007C53EB" w:rsidRDefault="002B260B" w:rsidP="002B260B">
      <w:pPr>
        <w:pStyle w:val="Zhlav"/>
        <w:jc w:val="both"/>
        <w:rPr>
          <w:b/>
          <w:sz w:val="24"/>
          <w:szCs w:val="24"/>
        </w:rPr>
      </w:pPr>
      <w:r w:rsidRPr="007C53EB">
        <w:rPr>
          <w:b/>
          <w:sz w:val="24"/>
          <w:szCs w:val="24"/>
        </w:rPr>
        <w:t>Zveřejnění nejnovějších údajů o zemědělsko-potravinářském obchodu: pozitivní obchodní bilance pro EU</w:t>
      </w:r>
    </w:p>
    <w:p w:rsidR="002B260B" w:rsidRDefault="002B260B" w:rsidP="002B260B">
      <w:pPr>
        <w:pStyle w:val="Zhlav"/>
        <w:jc w:val="both"/>
      </w:pPr>
      <w:bookmarkStart w:id="0" w:name="_GoBack"/>
      <w:bookmarkEnd w:id="0"/>
      <w:r>
        <w:t xml:space="preserve">          Podle Denních zpráv Evropské komise ze dne 24. října poslední zveřejněná měsíční zpráva o zemědělsko-potravinářském obchodu, která byla dnes zveřejněna, ukazuje, že přebytek zemědělství a potravinářského obchodu v EU v srpnu 2019 činil 2,93 miliardy EUR, což je o 29% nárůst kladné obchodní bilance ve srovnání s loňskými údaji za stejné období. Hodnota agropotravinářského vývozu v tomto měsíci rostla ve srovnání s předchozím rokem a dosáhla 12,07 miliard EUR (nárůst o 5,6%), zatímco měsíční dovoz klesl o 0,2% na 9,14 miliard EUR. Při porovnání měsíčních vývozních </w:t>
      </w:r>
      <w:proofErr w:type="gramStart"/>
      <w:r>
        <w:t>hodnot z srpna</w:t>
      </w:r>
      <w:proofErr w:type="gramEnd"/>
      <w:r>
        <w:t xml:space="preserve"> 2019 s srpnem 2018 bylo nejvyšší zvýšení zaznamenáno v Číně, USA a Japonsku. Odvětví, které se v srpnu 2019 daří dobře, je pšenice, vepřové maso, lihoviny a likéry a sýr. Měsíční zpráva obsahuje tabulku představující obchodní bilanci, její vývoj podle kategorie produktů a hlavních obchodních partnerů od září 2017 do srpna 2019.</w:t>
      </w:r>
    </w:p>
    <w:p w:rsidR="002B260B" w:rsidRDefault="002B260B" w:rsidP="002B260B">
      <w:pPr>
        <w:pStyle w:val="Zhlav"/>
        <w:jc w:val="both"/>
      </w:pPr>
      <w:r w:rsidRPr="002B260B">
        <w:drawing>
          <wp:inline distT="0" distB="0" distL="0" distR="0" wp14:anchorId="4A73F793" wp14:editId="53FEE84D">
            <wp:extent cx="5760720" cy="3821086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0B" w:rsidRDefault="002B260B">
      <w:r>
        <w:lastRenderedPageBreak/>
        <w:t xml:space="preserve"> </w:t>
      </w:r>
      <w:r w:rsidRPr="002B260B">
        <w:drawing>
          <wp:inline distT="0" distB="0" distL="0" distR="0" wp14:anchorId="68792E63" wp14:editId="4E64C14B">
            <wp:extent cx="5760720" cy="3797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190" w:rsidRPr="002B260B" w:rsidRDefault="002B260B" w:rsidP="002B260B">
      <w:pPr>
        <w:jc w:val="center"/>
      </w:pPr>
      <w:r w:rsidRPr="002B260B">
        <w:drawing>
          <wp:inline distT="0" distB="0" distL="0" distR="0" wp14:anchorId="3DB39C63" wp14:editId="45279398">
            <wp:extent cx="5760720" cy="361224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190" w:rsidRPr="002B26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60B"/>
    <w:rsid w:val="002B260B"/>
    <w:rsid w:val="0053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2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260B"/>
  </w:style>
  <w:style w:type="paragraph" w:styleId="Textbubliny">
    <w:name w:val="Balloon Text"/>
    <w:basedOn w:val="Normln"/>
    <w:link w:val="TextbublinyChar"/>
    <w:uiPriority w:val="99"/>
    <w:semiHidden/>
    <w:unhideWhenUsed/>
    <w:rsid w:val="002B2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2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260B"/>
  </w:style>
  <w:style w:type="paragraph" w:styleId="Textbubliny">
    <w:name w:val="Balloon Text"/>
    <w:basedOn w:val="Normln"/>
    <w:link w:val="TextbublinyChar"/>
    <w:uiPriority w:val="99"/>
    <w:semiHidden/>
    <w:unhideWhenUsed/>
    <w:rsid w:val="002B2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149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Antonín Peltrám</dc:creator>
  <cp:lastModifiedBy>Antonín Peltrám</cp:lastModifiedBy>
  <cp:revision>1</cp:revision>
  <dcterms:created xsi:type="dcterms:W3CDTF">2019-10-24T12:25:00Z</dcterms:created>
  <dcterms:modified xsi:type="dcterms:W3CDTF">2019-10-24T12:36:00Z</dcterms:modified>
</cp:coreProperties>
</file>