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58" w:rsidRDefault="00931958" w:rsidP="00931958">
      <w:pPr>
        <w:spacing w:after="0" w:line="240" w:lineRule="auto"/>
        <w:jc w:val="both"/>
        <w:rPr>
          <w:b/>
        </w:rPr>
      </w:pPr>
      <w:r w:rsidRPr="00931958">
        <w:rPr>
          <w:b/>
        </w:rPr>
        <w:t>Z</w:t>
      </w:r>
      <w:r w:rsidRPr="00931958">
        <w:rPr>
          <w:b/>
        </w:rPr>
        <w:t>práva Komise ukazuje dobrý výkon programu interoperability EU pro orgány veřejné správy, podniky a občany</w:t>
      </w:r>
    </w:p>
    <w:p w:rsidR="00931958" w:rsidRDefault="00931958" w:rsidP="00931958">
      <w:pPr>
        <w:spacing w:after="0" w:line="240" w:lineRule="auto"/>
        <w:jc w:val="both"/>
      </w:pPr>
      <w:r w:rsidRPr="00931958">
        <w:t xml:space="preserve">          Podle Denních zpráv Evropské komise z 24.9</w:t>
      </w:r>
      <w:r>
        <w:rPr>
          <w:b/>
        </w:rPr>
        <w:t xml:space="preserve">. </w:t>
      </w:r>
      <w:r>
        <w:t>Komise včera zveřejnila zprávu o tom, že program ISA² (tj. Řešení interoperability pro orgány veřejné správy, podniky a občany) je na dobré cestě. Program ISA², který běží od 1. ledna 2016 do 31. prosince 2020, podporuje vývoj digitálních řešení, která umožní veřejným správám, podnikům a občanům v Evropě těžit z interoperabilních přeshraničních a meziodvětvových veřejných služeb. Je to také hlavní nástroj na podporu provádění evropského rámce interoperability a splnění cílů akčního plánu pro elektronickou veřejnou správu na období 2016–2020. Průběžné hodnocení potvrzuje, že provádění ISA2 je dobře sladěno s příslušnými iniciativami EU, jako je Nástroj pro propojení Evropy a Program podpory strukturálních reforem a celkový politický rámec EU týkající se digitalizace veřejné správy EU. Zúčastněné strany používající ISA2 souhlasí s tím, že program hraje ústřední roli při zlepšování prostředí interoperability v EU a doplňuje a podporuje úsilí evropských orgánů veřejné správy o podporu digitalizace veřejného sektoru v Evropě. Další kroky programu budou zahrnovat větší úsilí o zvyšování povědomí a poradenství v regionálních a místních správách, zlepšení kvality stávajících řešení pomocí přístupu založeného na uživateli a zajištění udržitelnosti výsledků dosažených programem. Po ukončení programu ISA2 v roce 2020 bude Komise tyto cíle pokračovat v rámci navrhovaného programu Digitální Evropa na období 2021–2027, který bude formovat a podporovat digitální transformaci evropské společnosti a hospodářství. Více informací o průběžném hodnocení ISA2 naleznete zde. Úp</w:t>
      </w:r>
      <w:r>
        <w:t xml:space="preserve">lná zpráva je k dispozici </w:t>
      </w:r>
      <w:proofErr w:type="gramStart"/>
      <w:r>
        <w:t xml:space="preserve">zde. </w:t>
      </w:r>
      <w:r>
        <w:t>)</w:t>
      </w:r>
      <w:proofErr w:type="gramEnd"/>
    </w:p>
    <w:p w:rsidR="00931958" w:rsidRDefault="00931958" w:rsidP="00931958">
      <w:pPr>
        <w:spacing w:after="0" w:line="240" w:lineRule="auto"/>
        <w:jc w:val="both"/>
      </w:pPr>
      <w:r>
        <w:t> </w:t>
      </w:r>
    </w:p>
    <w:p w:rsidR="00931958" w:rsidRDefault="00931958">
      <w:pPr>
        <w:spacing w:after="0" w:line="240" w:lineRule="auto"/>
        <w:jc w:val="both"/>
      </w:pPr>
      <w:r>
        <w:t>Zpráva Komise</w:t>
      </w:r>
    </w:p>
    <w:p w:rsidR="00931958" w:rsidRDefault="00931958" w:rsidP="00931958">
      <w:pPr>
        <w:spacing w:after="0" w:line="240" w:lineRule="auto"/>
        <w:jc w:val="both"/>
      </w:pPr>
      <w:r>
        <w:t>1. ÚVOD</w:t>
      </w:r>
    </w:p>
    <w:p w:rsidR="00931958" w:rsidRDefault="00931958" w:rsidP="00931958">
      <w:pPr>
        <w:spacing w:after="0" w:line="240" w:lineRule="auto"/>
        <w:jc w:val="both"/>
      </w:pPr>
      <w:r>
        <w:t>Jak je stanoveno v rozhodnutí ISA2 1, byl v návaznosti na program ISA 2 zahájen 1. ledna 2016 pětiletý program řešení interoperability a společných rámců pro evropské orgány veřejné správy, podniky a občany (program ISA2).</w:t>
      </w:r>
    </w:p>
    <w:p w:rsidR="00931958" w:rsidRDefault="00931958" w:rsidP="00931958">
      <w:pPr>
        <w:spacing w:after="0" w:line="240" w:lineRule="auto"/>
        <w:jc w:val="both"/>
      </w:pPr>
      <w:r>
        <w:t>Tato zpráva představuje zjištění a doporučení z průběžného hodnocení programu ISA2 3. Podle čl. 13 odst. 3 rozhodnutí ISA2 je Komise povinna provést toto hodnocení a do 30. září 2019 sdělit své výsledky Evropskému parlamentu a Radě.</w:t>
      </w:r>
    </w:p>
    <w:p w:rsidR="00931958" w:rsidRDefault="00931958" w:rsidP="00931958">
      <w:pPr>
        <w:spacing w:after="0" w:line="240" w:lineRule="auto"/>
        <w:jc w:val="both"/>
      </w:pPr>
      <w:r>
        <w:t>Komise provedla hodnocení pomocí týmu nezávislých odborníků z poradenské společnosti 4. Na hodnocení dohlížela řídící skupina 5 mezi útvary.</w:t>
      </w:r>
    </w:p>
    <w:p w:rsidR="006940A3" w:rsidRPr="006940A3" w:rsidRDefault="00931958" w:rsidP="006940A3">
      <w:pPr>
        <w:spacing w:after="0" w:line="240" w:lineRule="auto"/>
        <w:jc w:val="both"/>
        <w:rPr>
          <w:b/>
        </w:rPr>
      </w:pPr>
      <w:r>
        <w:t> </w:t>
      </w:r>
      <w:proofErr w:type="gramStart"/>
      <w:r w:rsidR="006940A3" w:rsidRPr="006940A3">
        <w:rPr>
          <w:b/>
        </w:rPr>
        <w:t>2.SOUVISLOSTI</w:t>
      </w:r>
      <w:proofErr w:type="gramEnd"/>
    </w:p>
    <w:p w:rsidR="006940A3" w:rsidRDefault="006940A3" w:rsidP="006940A3">
      <w:pPr>
        <w:spacing w:after="0" w:line="240" w:lineRule="auto"/>
        <w:jc w:val="both"/>
      </w:pPr>
      <w:r>
        <w:t xml:space="preserve">Konečným cílem programu ISA2 je podporovat modernizaci veřejného </w:t>
      </w:r>
      <w:r>
        <w:t>sektoru v Evropě založenou na IC</w:t>
      </w:r>
      <w:r>
        <w:t>T a usnadnit řešení potřeb podniků a občanů prostřednictvím lepší interoperability evropských orgánů veřejné správy.</w:t>
      </w:r>
    </w:p>
    <w:p w:rsidR="006940A3" w:rsidRDefault="006940A3" w:rsidP="006940A3">
      <w:pPr>
        <w:spacing w:after="0" w:line="240" w:lineRule="auto"/>
        <w:jc w:val="both"/>
      </w:pPr>
      <w:r>
        <w:t>Cílem programu je zejména:</w:t>
      </w:r>
    </w:p>
    <w:p w:rsidR="006940A3" w:rsidRDefault="006940A3" w:rsidP="006940A3">
      <w:pPr>
        <w:spacing w:after="0" w:line="240" w:lineRule="auto"/>
        <w:jc w:val="both"/>
      </w:pPr>
      <w:r>
        <w:t>- Usnadnit účinnou a účinnou elektronickou přeshraniční nebo mezisektorovou interakci mezi evropskými orgány veřejné správy, podniky a občany.</w:t>
      </w:r>
    </w:p>
    <w:p w:rsidR="006940A3" w:rsidRDefault="006940A3" w:rsidP="006940A3">
      <w:pPr>
        <w:spacing w:after="0" w:line="240" w:lineRule="auto"/>
        <w:jc w:val="both"/>
      </w:pPr>
      <w:r>
        <w:t>- Přispět k rozvoji účinnější, zjednodušené a uživatelsky přívětivější elektronické správy na vnitrostátní, regionální a místní úrovni správy.</w:t>
      </w:r>
    </w:p>
    <w:p w:rsidR="006940A3" w:rsidRDefault="006940A3" w:rsidP="006940A3">
      <w:pPr>
        <w:spacing w:after="0" w:line="240" w:lineRule="auto"/>
        <w:jc w:val="both"/>
      </w:pPr>
      <w:r>
        <w:t>- Podporovat holistický přístup k interoperabilitě v EU určením, vytvořením a provozováním řešení interoperability a usnadněním jejich opětovného použití evropskými orgány veřejné správy. To podpoří provádění různých politik a činností EU.</w:t>
      </w:r>
    </w:p>
    <w:p w:rsidR="006940A3" w:rsidRDefault="006940A3" w:rsidP="006940A3">
      <w:pPr>
        <w:spacing w:after="0" w:line="240" w:lineRule="auto"/>
        <w:jc w:val="both"/>
      </w:pPr>
      <w:r>
        <w:t xml:space="preserve">Pro splnění těchto cílů 6 program staví na úspěších svého předchůdce, programu ISA 7. Rovněž klade důraz na hladké začlenění do širšího politického rámce týkajícího se digitalizace veřejné správy v EU. V tomto ohledu je program ISA2 hlavním nástrojem na podporu provádění evropského rámce interoperability (EIF) 8, který byl aktualizován a rozšířen podle plánu ve sdělení o strategii jednotného digitálního trhu pro Evropu 9. Mezi další politické iniciativy, k nimž ISA2 přispívá, patří akční plán pro elektronickou veřejnou správu na období 2016–2020 10, </w:t>
      </w:r>
      <w:proofErr w:type="spellStart"/>
      <w:r>
        <w:t>Tallinská</w:t>
      </w:r>
      <w:proofErr w:type="spellEnd"/>
      <w:r>
        <w:t xml:space="preserve"> deklarace z roku 2017 o elektronické veřejné správě 11 a nařízení o jednotných digitálních vstupech 12.</w:t>
      </w:r>
    </w:p>
    <w:p w:rsidR="006940A3" w:rsidRDefault="006940A3" w:rsidP="006940A3">
      <w:pPr>
        <w:spacing w:after="0" w:line="240" w:lineRule="auto"/>
        <w:jc w:val="both"/>
      </w:pPr>
      <w:r>
        <w:t xml:space="preserve">Prakticky jde o ISA2 od 1. ledna 2016 do 31. prosince 2020 s celkovým rozpočtem 130,9 milionu EUR. Financuje akce definované každoročně v ročním průběžném pracovním programu. Řízení programu </w:t>
      </w:r>
      <w:r>
        <w:lastRenderedPageBreak/>
        <w:t>rovněž podporuje synergie s jinými programy EU, jako je Nástroj pro propojení Evropy (CEF) 13 nebo Program podpory strukturálních reforem (SRSP) 14.</w:t>
      </w:r>
    </w:p>
    <w:p w:rsidR="006940A3" w:rsidRDefault="006940A3" w:rsidP="006940A3">
      <w:pPr>
        <w:spacing w:after="0" w:line="240" w:lineRule="auto"/>
        <w:jc w:val="both"/>
      </w:pPr>
      <w:r>
        <w:t>Hlavními zúčastněnými stranami programu jsou evropské veřejné správy na všech úrovních: EU, národní, regionální a místní. Program se však týká mnohem širší skupiny zúčastněných stran, včetně podniků a občanů EU. ISA2 je otevřen členským státům EU, dalším zemím Evropského hospodářského prostoru a kandidátským zemím. Programu se kromě 28 členských států EU účastní 3 další země: Island, Norsko (od roku 2016) a Černá Hora (od roku 2018). Program rovněž podporuje spolupráci s ostatními zeměmi mimo EU as mezinárodními organizacemi a orgány.</w:t>
      </w:r>
    </w:p>
    <w:p w:rsidR="006940A3" w:rsidRDefault="006940A3" w:rsidP="006940A3">
      <w:pPr>
        <w:spacing w:after="0" w:line="240" w:lineRule="auto"/>
        <w:jc w:val="both"/>
      </w:pPr>
      <w:r>
        <w:t> </w:t>
      </w:r>
      <w:r>
        <w:t xml:space="preserve">3. </w:t>
      </w:r>
      <w:proofErr w:type="gramStart"/>
      <w:r>
        <w:t xml:space="preserve">SPOLEČNÉ </w:t>
      </w:r>
      <w:r>
        <w:t xml:space="preserve"> POROZUMĚNÍ</w:t>
      </w:r>
      <w:proofErr w:type="gramEnd"/>
      <w:r>
        <w:t xml:space="preserve"> INTEROPERABILITY</w:t>
      </w:r>
    </w:p>
    <w:p w:rsidR="006940A3" w:rsidRDefault="006940A3" w:rsidP="006940A3">
      <w:pPr>
        <w:spacing w:after="0" w:line="240" w:lineRule="auto"/>
        <w:jc w:val="both"/>
      </w:pPr>
      <w:r>
        <w:t>V souladu s čl. 1 odst. 2 rozhodnutí o ISA2 ‘program ISA2 zajistí společné porozumění interoperabilitě prostřednictvím EIF a jeho provádění ve správách členských států. Komise prostřednictvím programu ISA2 sleduje provádění EIF. “</w:t>
      </w:r>
    </w:p>
    <w:p w:rsidR="006940A3" w:rsidRDefault="006940A3" w:rsidP="006940A3">
      <w:pPr>
        <w:spacing w:after="0" w:line="240" w:lineRule="auto"/>
        <w:jc w:val="both"/>
      </w:pPr>
      <w:r>
        <w:t>V tomto ohledu program ISA2 vyvíjí integrovaný rámec pro sledování, hodnocení a podávání zpráv o pokroku dosaženém při provádění EIF 15 jak členskými státy, tak Komisí. Návrh a implementace tohoto monitorovacího rámce jsou prováděny v rámci akce Národní observatoře rámce pro interoperabilitu (NIFO), financované z programu ISA².</w:t>
      </w:r>
    </w:p>
    <w:p w:rsidR="006940A3" w:rsidRDefault="006940A3" w:rsidP="006940A3">
      <w:pPr>
        <w:spacing w:after="0" w:line="240" w:lineRule="auto"/>
        <w:jc w:val="both"/>
      </w:pPr>
      <w:r>
        <w:t>Výsledky provádění EIF v celé EU budou každoročně předkládány prostřednictvím online srovnávacího přehledu, aby se lépe informovalo o tvorbě politik a komunikovalo se širší veřejností vizuálním a intuitivnějším způsobem 16. Cílem hodnotící zprávy je v praxi zlepšit komunikaci a budování kapacit, aby si členské státy lépe uvědomily svůj současný stav při provádění EIF a pomohly jim snáze plnit doporučení EIF.</w:t>
      </w:r>
    </w:p>
    <w:p w:rsidR="006940A3" w:rsidRDefault="006940A3" w:rsidP="006940A3">
      <w:pPr>
        <w:spacing w:after="0" w:line="240" w:lineRule="auto"/>
        <w:jc w:val="both"/>
      </w:pPr>
      <w:r>
        <w:t>K dosažení těchto cílů budou členským státům poskytnuty nástroje, které poskytnou praktické pokyny pro provádění EIF prostřednictvím osvědčených postupů a řešení.</w:t>
      </w:r>
    </w:p>
    <w:p w:rsidR="006940A3" w:rsidRDefault="006940A3" w:rsidP="006940A3">
      <w:pPr>
        <w:spacing w:after="0" w:line="240" w:lineRule="auto"/>
        <w:jc w:val="both"/>
      </w:pPr>
      <w:r>
        <w:t>Účelem monitorovacího rámce pro provádění EIF je poskytnout důkaz pro budoucí hodnocení EIF, které mělo být původně naplánováno na konec roku 2019 17. Aby se však členským státům ponechal realistický časový rámec, aby přizpůsobily své vnitrostátní politiky v oblasti elektronické veřejné správy, digitálních služeb a interoperability EIF a vzhledem k tomu, že širší oblast působnosti nového EIF vyžaduje dodatečnou interní a externí koordinaci, aby byla dokončena obecně přijímaná a integrovaná Pokud jde o monitorovací rámec, zdá se nezbytné odložit hodnocení EIF do roku 2021. Ve skutečnosti tyto faktory vedly k tomu, že proces sběru údajů byl zahájen teprve v roce 2019, takže chybí údaje k vyhodnocení provádění EIF ve stejném roce.</w:t>
      </w:r>
    </w:p>
    <w:p w:rsidR="006940A3" w:rsidRDefault="006940A3" w:rsidP="006940A3">
      <w:pPr>
        <w:spacing w:after="0" w:line="240" w:lineRule="auto"/>
        <w:jc w:val="both"/>
      </w:pPr>
      <w:r>
        <w:t>Kromě toho, spuštěním hodnocení EIF zpětně s konečným hodnocením programu ISA2 v roce 2021 lze vytvořit několik synergií, protože program je hlavním nástrojem podporujícím provádění EIF.</w:t>
      </w:r>
    </w:p>
    <w:p w:rsidR="006940A3" w:rsidRDefault="006940A3" w:rsidP="006940A3">
      <w:pPr>
        <w:spacing w:after="0" w:line="240" w:lineRule="auto"/>
        <w:jc w:val="both"/>
      </w:pPr>
      <w:r>
        <w:t> </w:t>
      </w:r>
      <w:r>
        <w:t>4.</w:t>
      </w:r>
      <w:r w:rsidRPr="006940A3">
        <w:t xml:space="preserve"> </w:t>
      </w:r>
      <w:r>
        <w:t>METODOLOGIE</w:t>
      </w:r>
    </w:p>
    <w:p w:rsidR="006940A3" w:rsidRDefault="006940A3" w:rsidP="006940A3">
      <w:pPr>
        <w:spacing w:after="0" w:line="240" w:lineRule="auto"/>
        <w:jc w:val="both"/>
      </w:pPr>
      <w:r>
        <w:t>Průběžné hodnocení programu ISA2 bylo založeno na kvantitativních a kvalitativních údajích shromážděných různými metodami, jako je laboratorní výzkum, veřejné konzultace, cílené online průzkumy, hloubkové rozhovory a úvodní workshop. Konzultační činnosti umožnily široké pokrytí různých zúčastněných stran ISA2, od zástupců členských států a útvarů Komise až po občany a normalizační organizace.</w:t>
      </w:r>
    </w:p>
    <w:p w:rsidR="006940A3" w:rsidRDefault="006940A3" w:rsidP="006940A3">
      <w:pPr>
        <w:spacing w:after="0" w:line="240" w:lineRule="auto"/>
        <w:jc w:val="both"/>
      </w:pPr>
      <w:r>
        <w:t>Pro lepší</w:t>
      </w:r>
      <w:r>
        <w:t xml:space="preserve"> shromažďování údajů o průvodcích byl vybrán vzorek 20 akcí z 53 akcí - seskupených do 9 balíčků - financovaných z programu ISA2 do roku 2018. Výběr vzorku se řídil čtyřmi předem definovanými kritérii, aby se zajistilo, že vybrané akce budou z velké části zástupce programu. Kromě toho byl celkový sběr údajů doplněn odborným posouzením programu provedeným čtyřmi technickými odborníky v oblasti interoperability.</w:t>
      </w:r>
    </w:p>
    <w:p w:rsidR="00962A2E" w:rsidRDefault="00962A2E" w:rsidP="00962A2E">
      <w:pPr>
        <w:spacing w:after="0" w:line="240" w:lineRule="auto"/>
        <w:jc w:val="both"/>
      </w:pPr>
      <w:r>
        <w:t xml:space="preserve">. </w:t>
      </w:r>
      <w:r>
        <w:t xml:space="preserve">5. </w:t>
      </w:r>
      <w:r>
        <w:t xml:space="preserve">HODNOCENÍ PROBLÉMY </w:t>
      </w:r>
      <w:r>
        <w:t xml:space="preserve">A OTÁZKY </w:t>
      </w:r>
    </w:p>
    <w:p w:rsidR="00962A2E" w:rsidRDefault="00962A2E" w:rsidP="00962A2E">
      <w:pPr>
        <w:spacing w:after="0" w:line="240" w:lineRule="auto"/>
        <w:jc w:val="both"/>
      </w:pPr>
      <w:r>
        <w:t>Hodnocení se zaměřilo na následujících sedm hlavních kritérií 18:</w:t>
      </w:r>
    </w:p>
    <w:p w:rsidR="00962A2E" w:rsidRDefault="00962A2E" w:rsidP="00962A2E">
      <w:pPr>
        <w:spacing w:after="0" w:line="240" w:lineRule="auto"/>
        <w:jc w:val="both"/>
      </w:pPr>
      <w:r>
        <w:t>- Relevance - do jaké míry jsou cíle programu ISA² stále relevantní ve vztahu k vyvíjejícím se potřebám a problémům na vnitrostátní úrovni i na úrovni EU?</w:t>
      </w:r>
    </w:p>
    <w:p w:rsidR="00962A2E" w:rsidRDefault="00962A2E" w:rsidP="00962A2E">
      <w:pPr>
        <w:spacing w:after="0" w:line="240" w:lineRule="auto"/>
        <w:jc w:val="both"/>
      </w:pPr>
      <w:r>
        <w:t>- Účinnost - do jaké míry jsou výsledky programu ISA² v procesu dosažení cílů programu? Existují aspekty, které jsou více či méně účinné než ostatní, a pokud ano, jaké ponaučení z toho lze vyvodit?</w:t>
      </w:r>
    </w:p>
    <w:p w:rsidR="00962A2E" w:rsidRDefault="00962A2E" w:rsidP="00962A2E">
      <w:pPr>
        <w:spacing w:after="0" w:line="240" w:lineRule="auto"/>
        <w:jc w:val="both"/>
      </w:pPr>
      <w:r>
        <w:lastRenderedPageBreak/>
        <w:t>–E</w:t>
      </w:r>
      <w:r>
        <w:t>fektivnost</w:t>
      </w:r>
      <w:r>
        <w:t xml:space="preserve"> - do jaké míry byl program nákladově efektivní? Které aspekty programu jsou nejúčinnější nebo nejefektivnější, zejména pokud jde o mobilizované zdroje? Jak funguje program ve vztahu k plánované práci a rozpočtu?</w:t>
      </w:r>
    </w:p>
    <w:p w:rsidR="00962A2E" w:rsidRDefault="00962A2E" w:rsidP="00962A2E">
      <w:pPr>
        <w:spacing w:after="0" w:line="240" w:lineRule="auto"/>
        <w:jc w:val="both"/>
      </w:pPr>
      <w:r>
        <w:t>–Koherence - do jaké míry jsou akce ISA² součástí „holistického“ přístupu v rámci programu (vnitřní soudržnost)? Do jaké míry je program ISA² v souladu s ostatními zásahy EU, které mají podobné cíle, as globálními iniciativami ve stejné oblasti (vnější soudržnost)?</w:t>
      </w:r>
    </w:p>
    <w:p w:rsidR="00962A2E" w:rsidRDefault="00962A2E" w:rsidP="00962A2E">
      <w:pPr>
        <w:spacing w:after="0" w:line="240" w:lineRule="auto"/>
        <w:jc w:val="both"/>
      </w:pPr>
      <w:r>
        <w:t>–EU přidaná hodnota - jaká je další hodnota vyplývající z programu ISA² ve srovnání s tím, co lze rozumně očekávat od členských států jednajících na vnitrostátní, regionální a / nebo místní úrovni?</w:t>
      </w:r>
    </w:p>
    <w:p w:rsidR="00962A2E" w:rsidRDefault="00962A2E" w:rsidP="00962A2E">
      <w:pPr>
        <w:spacing w:after="0" w:line="240" w:lineRule="auto"/>
        <w:jc w:val="both"/>
      </w:pPr>
      <w:r>
        <w:t>- Použitelnost - jak se akce a výsledky programu ISA², dosahované a očekávané, porovnávají s potřebami, které mají řešit?</w:t>
      </w:r>
    </w:p>
    <w:p w:rsidR="00962A2E" w:rsidRDefault="00962A2E" w:rsidP="00962A2E">
      <w:pPr>
        <w:spacing w:after="0" w:line="240" w:lineRule="auto"/>
        <w:jc w:val="both"/>
      </w:pPr>
      <w:r>
        <w:t>- Udržitelnost - do jaké míry je zajištěna finanční, technická a provozní udržitelnost vyvinutých řešení - udržovaných a provozovaných prostřednictvím programu ISA²?</w:t>
      </w:r>
    </w:p>
    <w:p w:rsidR="00962A2E" w:rsidRDefault="00962A2E" w:rsidP="00962A2E">
      <w:pPr>
        <w:spacing w:after="0" w:line="240" w:lineRule="auto"/>
        <w:jc w:val="both"/>
      </w:pPr>
      <w:proofErr w:type="gramStart"/>
      <w:r>
        <w:t>6.</w:t>
      </w:r>
      <w:r>
        <w:t>POZNATKY</w:t>
      </w:r>
      <w:proofErr w:type="gramEnd"/>
    </w:p>
    <w:p w:rsidR="00962A2E" w:rsidRDefault="00962A2E" w:rsidP="00962A2E">
      <w:pPr>
        <w:spacing w:after="0" w:line="240" w:lineRule="auto"/>
        <w:jc w:val="both"/>
      </w:pPr>
      <w:r>
        <w:t>Na základě údajů shromážděných od 129 konzultovaných zúčastněných stran 19, rozsáhlého teoretického výzkumu a odborných hodnocení potvrzuje průběžné hodnocení, že ISA2 je ve všech hodnotících kritériích dobře. Hodnocení se však omezuje na akce financované v letech 2016 až 2018; Výsledky probíhajících akcí i dlouhodobé výsledky ISA2 lze tedy zachytit až po skončení programu.</w:t>
      </w:r>
    </w:p>
    <w:p w:rsidR="00962A2E" w:rsidRDefault="00962A2E" w:rsidP="00962A2E">
      <w:pPr>
        <w:spacing w:after="0" w:line="240" w:lineRule="auto"/>
        <w:jc w:val="both"/>
      </w:pPr>
      <w:proofErr w:type="gramStart"/>
      <w:r>
        <w:t>6.1</w:t>
      </w:r>
      <w:proofErr w:type="gramEnd"/>
      <w:r>
        <w:t>.</w:t>
      </w:r>
      <w:proofErr w:type="gramStart"/>
      <w:r>
        <w:t>VÝZNAM</w:t>
      </w:r>
      <w:proofErr w:type="gramEnd"/>
    </w:p>
    <w:p w:rsidR="00962A2E" w:rsidRDefault="00962A2E" w:rsidP="00962A2E">
      <w:pPr>
        <w:spacing w:after="0" w:line="240" w:lineRule="auto"/>
        <w:jc w:val="both"/>
      </w:pPr>
      <w:r>
        <w:t>Cíle, které sleduje ISA2, jsou stále relevantní ve vztahu k vyvíjejícím se potřebám a problémům v oblasti interoperability digitálních veřejných služeb, což potvrzuje relevanci programu. Většina konzultovaných zúčastněných stran souhlasí s tím, že problém administrativních elektronických překážek a souvisejících potřeb, které byly původně identifikovány programem, stále přetrvávají. Některé z nich (46 ze 129) však v současné době mají některé další potřeby (jako je předvídavější přístup k navrhování interoperabilních veřejných služeb) a problémy (včetně omezení zdrojů), které ISA2 lze řešit pouze částečně.</w:t>
      </w:r>
    </w:p>
    <w:p w:rsidR="00962A2E" w:rsidRDefault="00962A2E" w:rsidP="00962A2E">
      <w:pPr>
        <w:spacing w:after="0" w:line="240" w:lineRule="auto"/>
        <w:jc w:val="both"/>
      </w:pPr>
      <w:r>
        <w:t>Jednou z dalších potřeb, která si zaslouží zvláštní pozornost, je zajištění větší spolupráce a výměn s regionálními a místními správami s cílem zvýšit povědomí o interoperabilitě a zavádění řešení ISA2 na nižší než vnitrostátní úrovni.</w:t>
      </w:r>
    </w:p>
    <w:p w:rsidR="00962A2E" w:rsidRDefault="00962A2E" w:rsidP="00962A2E">
      <w:pPr>
        <w:spacing w:after="0" w:line="240" w:lineRule="auto"/>
        <w:jc w:val="both"/>
      </w:pPr>
      <w:r>
        <w:t>Zvyšování povědomí veřejné správy o interoperabilitě bylo prvním ze tří doporučení v závěrečném hodnocení programu ISA 20. Program ISA2 reagoval na tuto výzvu přijetím své komunikační strategie a plánu zapojení v roce 2017 a uspořádáním 10 hlavních akcí v letech 2016 až 2018, s průměrnou hodnotou 211 účastníků na jednu akci. Zástupci ISA2 navíc hráli aktivní roli v 60 akcích pořádaných ve stejném období. Průběžné hodnocení ukazuje, že toto úsilí se vyplatilo, protože většina zúčastněných stran, s nimiž se konzultovalo, naznačila, že mají odborné znalosti o interoperabilitě (91 ze 128) a ISA2 (81 ze 128). Navzdory tomuto obecnému povědomí naznačují výše uvedené dodatečné potřeby signály, že by program měl pokračovat ve svých činnostech zaměřených na zvyšování povědomí zaměřených na regionální a místní správy a případně nepřímé příjemce, jako jsou občané a podniky.</w:t>
      </w:r>
    </w:p>
    <w:p w:rsidR="00962A2E" w:rsidRDefault="00962A2E" w:rsidP="00962A2E">
      <w:pPr>
        <w:spacing w:after="0" w:line="240" w:lineRule="auto"/>
        <w:jc w:val="both"/>
      </w:pPr>
      <w:r>
        <w:t> 6.2 Účinnost</w:t>
      </w:r>
    </w:p>
    <w:p w:rsidR="00962A2E" w:rsidRDefault="00962A2E" w:rsidP="00962A2E">
      <w:pPr>
        <w:spacing w:after="0" w:line="240" w:lineRule="auto"/>
        <w:jc w:val="both"/>
      </w:pPr>
      <w:r>
        <w:t>Dosud dosažené výsledky ISA2 jsou v souladu s cíli programu. Přesto stále ještě zcela neodpovídají očekávaným výsledkům, protože většina akcí stále probíhá a řešení se stále vyvíjejí. Trvání programu také ovlivňuje míru nasazení řešení. Proto akce, které pokračovaly z předchozích vydání programu, přinesly řešení, která se nyní používají v širším měřítku než řešení vyplývající z akcí zavedených v rámci ISA2.</w:t>
      </w:r>
    </w:p>
    <w:p w:rsidR="00962A2E" w:rsidRDefault="00962A2E" w:rsidP="00962A2E">
      <w:pPr>
        <w:spacing w:after="0" w:line="240" w:lineRule="auto"/>
        <w:jc w:val="both"/>
      </w:pPr>
      <w:r>
        <w:t>Existuje jeden konkrétní cíl ISA2, kde hodnocení zjistilo, že program sám o sobě je méně účinný: rozvoj účinnější, zjednodušené a uživatelsky přívětivější elektronické správy na vnitrostátní, regionální a místní úrovni. Zde mohou mít členské státy skutečně velký dopad a doplňovat iniciativy na úrovni EU týkající se interoperability a digitalizace.</w:t>
      </w:r>
    </w:p>
    <w:p w:rsidR="00962A2E" w:rsidRDefault="00962A2E" w:rsidP="00962A2E">
      <w:pPr>
        <w:spacing w:after="0" w:line="240" w:lineRule="auto"/>
        <w:jc w:val="both"/>
      </w:pPr>
      <w:r>
        <w:t>Vnější faktory mohou zlepšit, ale také ohrozit způsob, jakým program dosahuje svých cílů a přináší své výsledky. Požadavek na společné standardy a rámce ze strany veřejné správy představuje vnější faktor přispívající k výkonu programu. Naproti tomu by institucionální složitost mohla bránit dosažení interoperability přes hranice a napříč odvětvími.</w:t>
      </w:r>
    </w:p>
    <w:p w:rsidR="00962A2E" w:rsidRDefault="00962A2E" w:rsidP="00962A2E">
      <w:pPr>
        <w:spacing w:after="0" w:line="240" w:lineRule="auto"/>
        <w:jc w:val="both"/>
      </w:pPr>
      <w:r>
        <w:lastRenderedPageBreak/>
        <w:t xml:space="preserve">Hodnocení nakonec ukázalo, že akce ISA2 jsou do značné míry v souladu s obecnými zásadami uvedenými v článku 4 rozhodnutí o ISA2, a to z důvodu průběžného pracovního programu, který zajišťuje systematické zohlednění těchto zásad při přípravě pracovního </w:t>
      </w:r>
      <w:proofErr w:type="gramStart"/>
      <w:r>
        <w:t>programu. .</w:t>
      </w:r>
      <w:proofErr w:type="gramEnd"/>
    </w:p>
    <w:p w:rsidR="00962A2E" w:rsidRDefault="00962A2E" w:rsidP="00962A2E">
      <w:pPr>
        <w:spacing w:after="0" w:line="240" w:lineRule="auto"/>
        <w:jc w:val="both"/>
      </w:pPr>
      <w:proofErr w:type="gramStart"/>
      <w:r>
        <w:t>6.3.Účinnost</w:t>
      </w:r>
      <w:proofErr w:type="gramEnd"/>
    </w:p>
    <w:p w:rsidR="00962A2E" w:rsidRDefault="00962A2E" w:rsidP="00962A2E">
      <w:pPr>
        <w:spacing w:after="0" w:line="240" w:lineRule="auto"/>
        <w:jc w:val="both"/>
      </w:pPr>
      <w:r>
        <w:t>Implementace programu pokračuje podle plánu; všechny akce probíhají nebo se blíží dosažení plánované úrovně práce. Díky různorodosti výkonnostních ukazatelů je však obtížné vyvodit závěry o celkové nákladové efektivnosti programu. U těch balíčků ISA2, kde bylo možné agregovat ukazatele výkonnosti různých akcí, byly náklady na koncového uživatele (např. Podniky, občané) odhadnuty jako velmi nízké.</w:t>
      </w:r>
    </w:p>
    <w:p w:rsidR="00962A2E" w:rsidRDefault="00962A2E" w:rsidP="00962A2E">
      <w:pPr>
        <w:spacing w:after="0" w:line="240" w:lineRule="auto"/>
        <w:jc w:val="both"/>
      </w:pPr>
      <w:r>
        <w:t>Proces výběru akcí financovaných z ISA2 je považován za relativně účinný. Náklady na přípravu návrhu jsou poměrně malé a pohybují se v rozmezí od 0,07% do 0,4% potenciálních finančních prostředků, které by mohly být přiděleny na návrh, jakmile budou přijaty. Výběrový proces by se však mohl dále zlepšit zjednodušením průběžného pracovního programu (např. Zvýšením pružnosti šablony) a zahájením tematických výzev k akci, čímž by se zajistilo, že výběrový proces bude poháněn cíli.</w:t>
      </w:r>
    </w:p>
    <w:p w:rsidR="00962A2E" w:rsidRDefault="00962A2E" w:rsidP="00962A2E">
      <w:pPr>
        <w:spacing w:after="0" w:line="240" w:lineRule="auto"/>
        <w:jc w:val="both"/>
      </w:pPr>
      <w:proofErr w:type="gramStart"/>
      <w:r>
        <w:t>6.4.Koherence</w:t>
      </w:r>
      <w:proofErr w:type="gramEnd"/>
    </w:p>
    <w:p w:rsidR="00962A2E" w:rsidRDefault="00962A2E" w:rsidP="00962A2E">
      <w:pPr>
        <w:spacing w:after="0" w:line="240" w:lineRule="auto"/>
        <w:jc w:val="both"/>
      </w:pPr>
      <w:r>
        <w:t>Podle konzultovaných zúčastněných stran charakterizují akce ISA2 značné synergie a omezené překrývání. Tato silná vnitřní soudržnost je v souladu s druhým doporučením závěrečného hodnocení ISA, které vyžadovalo holistický přístup k interoperabilitě v rámci ISA2.</w:t>
      </w:r>
    </w:p>
    <w:p w:rsidR="00962A2E" w:rsidRDefault="00962A2E" w:rsidP="00962A2E">
      <w:pPr>
        <w:spacing w:after="0" w:line="240" w:lineRule="auto"/>
        <w:jc w:val="both"/>
      </w:pPr>
      <w:r>
        <w:t>Pokud jde o vnější soudržnost, ISA2 se řídila třetím a posledním doporučením závěrečného hodnocení ISA a navázala úzkou spolupráci s ostatními politikami a iniciativami EU. Podporovala synergie s CEF, programem Horizont 2020 a programem podpory strukturálních reforem. ISA2 také spolupracuje s iniciativami, jako je jednotná digitální brána, strategie jednotného digitálního trhu, akční plán pro elektronickou veřejnou správu, Tallinnská deklarace o elektronické správě a postupný plán pro standardizaci IKT 21. Nicméně byla pozorována určitá překrývání mezi konkrétními řešeními v rámci ISA2 a CEF, která by mohla být vyřešena lepším vymezením rozsahu každého řešení.</w:t>
      </w:r>
    </w:p>
    <w:p w:rsidR="00962A2E" w:rsidRDefault="00962A2E" w:rsidP="00962A2E">
      <w:pPr>
        <w:spacing w:after="0" w:line="240" w:lineRule="auto"/>
        <w:jc w:val="both"/>
      </w:pPr>
      <w:r>
        <w:t>6.5 PŘIDANÁ HODNOTA EU</w:t>
      </w:r>
    </w:p>
    <w:p w:rsidR="00962A2E" w:rsidRDefault="00962A2E" w:rsidP="00962A2E">
      <w:pPr>
        <w:spacing w:after="0" w:line="240" w:lineRule="auto"/>
        <w:jc w:val="both"/>
      </w:pPr>
      <w:r>
        <w:t xml:space="preserve">Úroveň koordinace zajištěná ISA2 je zásadní pro zlepšení celkové interoperability mezi evropskými orgány veřejné správy. Kromě toho 91 ze 109 respondentů zdůraznilo, že ISA2 je schopna dosáhnout svých cílů s nižšími náklady než srovnatelné vnitrostátní nebo </w:t>
      </w:r>
      <w:proofErr w:type="spellStart"/>
      <w:r>
        <w:t>subnárodní</w:t>
      </w:r>
      <w:proofErr w:type="spellEnd"/>
      <w:r>
        <w:t xml:space="preserve"> iniciativy.</w:t>
      </w:r>
    </w:p>
    <w:p w:rsidR="00962A2E" w:rsidRDefault="00962A2E" w:rsidP="00962A2E">
      <w:pPr>
        <w:spacing w:after="0" w:line="240" w:lineRule="auto"/>
        <w:jc w:val="both"/>
      </w:pPr>
      <w:r>
        <w:t xml:space="preserve">Je zřejmé, že ISA2 pomohl zlepšit přeshraniční interoperabilitu v EU: i) zvyšuje povědomí o interoperabilitě mezi členskými státy; </w:t>
      </w:r>
      <w:proofErr w:type="spellStart"/>
      <w:r>
        <w:t>ii</w:t>
      </w:r>
      <w:proofErr w:type="spellEnd"/>
      <w:r>
        <w:t xml:space="preserve">) pomáhá uvést téma do národních agend; a </w:t>
      </w:r>
      <w:proofErr w:type="spellStart"/>
      <w:r>
        <w:t>iii</w:t>
      </w:r>
      <w:proofErr w:type="spellEnd"/>
      <w:r>
        <w:t>) vytváří sítě a usnadňuje výměny. ISA2 také pomohl k dalším společným politikám EU: hraje při provádění EIF ústřední roli a podporuje vytvoření jednotného digitálního trhu.</w:t>
      </w:r>
    </w:p>
    <w:p w:rsidR="001D2050" w:rsidRDefault="00962A2E" w:rsidP="001D2050">
      <w:pPr>
        <w:spacing w:after="0" w:line="240" w:lineRule="auto"/>
        <w:jc w:val="both"/>
      </w:pPr>
      <w:r>
        <w:t> </w:t>
      </w:r>
      <w:proofErr w:type="gramStart"/>
      <w:r w:rsidR="001D2050">
        <w:t>6.6.Utilita</w:t>
      </w:r>
      <w:proofErr w:type="gramEnd"/>
    </w:p>
    <w:p w:rsidR="001D2050" w:rsidRDefault="001D2050" w:rsidP="001D2050">
      <w:pPr>
        <w:spacing w:after="0" w:line="240" w:lineRule="auto"/>
        <w:jc w:val="both"/>
      </w:pPr>
      <w:r>
        <w:t>Spokojenost uživatelů s řešeními ISA2 bývá pozitivní a pouze 7 ze 110 zúčastněných stran uvádí „omezenou spokojenost“. Jak program pokračuje, očekává se, že se zvýší nasazení řešení ISA2, čímž se zlepší způsob, jakým řešení vyhovují potřebám uživatelů, a tím se zvyšuje celková spokojenost uživatelů.</w:t>
      </w:r>
    </w:p>
    <w:p w:rsidR="001D2050" w:rsidRDefault="001D2050" w:rsidP="001D2050">
      <w:pPr>
        <w:spacing w:after="0" w:line="240" w:lineRule="auto"/>
        <w:jc w:val="both"/>
      </w:pPr>
      <w:r>
        <w:t>6.7</w:t>
      </w:r>
      <w:r>
        <w:t xml:space="preserve"> </w:t>
      </w:r>
      <w:r>
        <w:t>Udržitelnost</w:t>
      </w:r>
    </w:p>
    <w:p w:rsidR="001D2050" w:rsidRDefault="001D2050" w:rsidP="001D2050">
      <w:pPr>
        <w:spacing w:after="0" w:line="240" w:lineRule="auto"/>
        <w:jc w:val="both"/>
      </w:pPr>
      <w:r>
        <w:t>Udržitelnost řešení ISA2 získala smíšenou zpětnou vazbu od konzultovaných zúčastněných stran. Zatímco 66 z 84 respondentů se domnívá, že výsledky programu by přetrvávaly bez budoucího financování, více než 55 z 85 respondentů se domnívá, že potřeba operací a náklady na údržbu požadované pro řešení by mohla poškodit schopnost řešení ISA2 poskytovat jejich výsledky, pokud byl program ukončen.</w:t>
      </w:r>
    </w:p>
    <w:p w:rsidR="001D2050" w:rsidRDefault="001D2050" w:rsidP="001D2050">
      <w:pPr>
        <w:spacing w:after="0" w:line="240" w:lineRule="auto"/>
        <w:jc w:val="both"/>
      </w:pPr>
      <w:r>
        <w:t>Zúčastněné strany se však shodují na tom, že ISA2 hraje ústřední roli při zlepšování prostředí interoperability v EU a jeho absence by ohrozila úsilí evropských orgánů veřejné správy o zlepšení interoperability a podporu modernizace veřejného</w:t>
      </w:r>
      <w:r>
        <w:t xml:space="preserve"> sektoru v Evropě založené na IC</w:t>
      </w:r>
      <w:r>
        <w:t>T.</w:t>
      </w:r>
    </w:p>
    <w:p w:rsidR="001D2050" w:rsidRDefault="001D2050" w:rsidP="001D2050">
      <w:pPr>
        <w:spacing w:after="0" w:line="240" w:lineRule="auto"/>
        <w:jc w:val="both"/>
      </w:pPr>
      <w:r>
        <w:t>7. DOPORUČENÍ</w:t>
      </w:r>
    </w:p>
    <w:p w:rsidR="001D2050" w:rsidRDefault="001D2050" w:rsidP="001D2050">
      <w:pPr>
        <w:spacing w:after="0" w:line="240" w:lineRule="auto"/>
        <w:jc w:val="both"/>
      </w:pPr>
      <w:r>
        <w:t xml:space="preserve">Průběžné hodnocení vykresluje pozitivní obraz dosavadního výkonu programu ISA2. Identifikuje však také oblasti pro možné zlepšení. Níže uvedená doporučení se zabývají těmito aspekty programu a </w:t>
      </w:r>
      <w:proofErr w:type="spellStart"/>
      <w:r>
        <w:t>nastíňují</w:t>
      </w:r>
      <w:proofErr w:type="spellEnd"/>
      <w:r>
        <w:t xml:space="preserve"> krátkodobá i dlouhodobá opatření. Krátkodobá opatření jsou ta, která by mohla být přijata v </w:t>
      </w:r>
      <w:r>
        <w:lastRenderedPageBreak/>
        <w:t>posledním průběžném pracovním programu ISA2 v roce 2020 a během přechodného období vedoucího ke zřízení nového víceletého finančního rámce (VFR) 22. Dlouhodobější opatření by k dosažení výsledků vyžadovala více let.</w:t>
      </w:r>
    </w:p>
    <w:p w:rsidR="001D2050" w:rsidRDefault="001D2050" w:rsidP="001D2050">
      <w:pPr>
        <w:spacing w:after="0" w:line="240" w:lineRule="auto"/>
        <w:jc w:val="both"/>
      </w:pPr>
      <w:r>
        <w:t>7.1 ZVYŠOVÁNÍ POVĚDOMÍ NAD RÁMEC VNITROSTÁTNÍCH SPRÁVNÍCH ORGÁNŮ</w:t>
      </w:r>
    </w:p>
    <w:p w:rsidR="001D2050" w:rsidRDefault="001D2050" w:rsidP="001D2050">
      <w:pPr>
        <w:spacing w:after="0" w:line="240" w:lineRule="auto"/>
        <w:jc w:val="both"/>
      </w:pPr>
      <w:r>
        <w:t>Komise bude prostřednictvím programu ISA2 pokračovat ve svém úsilí zvýšit povědomí evropského veřejného sektoru o interoperabilitě, která je klíčovým faktorem digitalizace, a zejména během této práce zajistí větší spolupráci s regionálními a místními správami.</w:t>
      </w:r>
    </w:p>
    <w:p w:rsidR="001D2050" w:rsidRDefault="001D2050" w:rsidP="001D2050">
      <w:pPr>
        <w:spacing w:after="0" w:line="240" w:lineRule="auto"/>
        <w:jc w:val="both"/>
      </w:pPr>
      <w:r>
        <w:t>Nejprve by měly být navrženy cílené propagační činnosti, které zdůrazňují přínosy (opětovného) používání řešení interoperability ISA2. K odůvodnění tohoto sdělení by mohly být v roce 2020 provedeny studie, které by kvantifikovaly dopad některých řešení ISA2 na efektivitu a produktivitu veřejné správy.</w:t>
      </w:r>
    </w:p>
    <w:p w:rsidR="001D2050" w:rsidRDefault="001D2050" w:rsidP="001D2050">
      <w:pPr>
        <w:spacing w:after="0" w:line="240" w:lineRule="auto"/>
        <w:jc w:val="both"/>
      </w:pPr>
      <w:r>
        <w:t xml:space="preserve">V závěrečné fázi programu ISA2 by se měl klást ještě větší důraz na zajištění toho, aby orgány veřejné správy, akademická obec a zainteresovaní odborníci mezi sebou sdíleli osvědčené postupy. Nedávno zahájená akce Interoperability </w:t>
      </w:r>
      <w:proofErr w:type="spellStart"/>
      <w:r>
        <w:t>Academy</w:t>
      </w:r>
      <w:proofErr w:type="spellEnd"/>
      <w:r>
        <w:t xml:space="preserve"> </w:t>
      </w:r>
      <w:proofErr w:type="spellStart"/>
      <w:r>
        <w:t>Academy</w:t>
      </w:r>
      <w:proofErr w:type="spellEnd"/>
      <w:r>
        <w:t xml:space="preserve"> z programu by měla také vyvinout vhodné školicí materiály.</w:t>
      </w:r>
    </w:p>
    <w:p w:rsidR="001D2050" w:rsidRDefault="001D2050" w:rsidP="001D2050">
      <w:pPr>
        <w:spacing w:after="0" w:line="240" w:lineRule="auto"/>
        <w:jc w:val="both"/>
      </w:pPr>
      <w:r>
        <w:t>Aby se zesílil dopad výše navrhovaných opatření, měli by vlastníci akcí ISA2 dále využívat potenciální vlivy (jako výzkumné pracovníky, angažované veřejné zaměstnance) a vytvářet komunitu velvyslanců interoperability.</w:t>
      </w:r>
    </w:p>
    <w:p w:rsidR="001D2050" w:rsidRDefault="001D2050" w:rsidP="001D2050">
      <w:pPr>
        <w:spacing w:after="0" w:line="240" w:lineRule="auto"/>
        <w:jc w:val="both"/>
      </w:pPr>
      <w:r>
        <w:t>Z dlouhodobějšího hlediska by měly být poradenské schopnosti budovány na interoperabilitě. To by zúčastněným stranám pomohlo při výběru vhodných řešení interoperability odpovídající jejich potřebám a současně by poskytovalo podpůrné služby a technickou pomoc pro účinné provádění řešení.</w:t>
      </w:r>
    </w:p>
    <w:p w:rsidR="001D2050" w:rsidRDefault="001D2050" w:rsidP="001D2050">
      <w:pPr>
        <w:spacing w:after="0" w:line="240" w:lineRule="auto"/>
        <w:jc w:val="both"/>
      </w:pPr>
      <w:r>
        <w:t> </w:t>
      </w:r>
      <w:proofErr w:type="gramStart"/>
      <w:r>
        <w:t>7.2</w:t>
      </w:r>
      <w:proofErr w:type="gramEnd"/>
      <w:r>
        <w:t>.</w:t>
      </w:r>
      <w:proofErr w:type="gramStart"/>
      <w:r>
        <w:t>OD</w:t>
      </w:r>
      <w:proofErr w:type="gramEnd"/>
      <w:r>
        <w:t xml:space="preserve"> UŽIVATELSKY ORIENTOVANÝCH ŘEŠENÍ ORIENTOVANÝCH NA UŽIVATELE</w:t>
      </w:r>
    </w:p>
    <w:p w:rsidR="001D2050" w:rsidRDefault="001D2050" w:rsidP="001D2050">
      <w:pPr>
        <w:spacing w:after="0" w:line="240" w:lineRule="auto"/>
        <w:jc w:val="both"/>
      </w:pPr>
      <w:r>
        <w:t>Pro zvýšení užitečnosti programu by ISA2 mohla zlepšit kvalitu svých stávajících řešení tím, že lépe zohlední potřeby uživatelů. Tento přístup by mohl převládnout během provádění posledního pracovního programu ISA2, čímž by se prosazovala zásada EIF zaměřená na uživatele v Komisi i v členských státech.</w:t>
      </w:r>
    </w:p>
    <w:p w:rsidR="001D2050" w:rsidRDefault="001D2050" w:rsidP="001D2050">
      <w:pPr>
        <w:spacing w:after="0" w:line="240" w:lineRule="auto"/>
        <w:jc w:val="both"/>
      </w:pPr>
      <w:r>
        <w:t xml:space="preserve">V nadcházejících letech je však vhodné přejít od paradigmatu zaměřeného na uživatele k paradigmatu zaměřenému na uživatele, kde se uživatelé zapojí do fáze návrhu řešení interoperability. Inkubátor interoperability by mohl podpořit takový proces spoluvytváření, který by umožnil experimentovat a </w:t>
      </w:r>
      <w:proofErr w:type="spellStart"/>
      <w:r>
        <w:t>prototypovat</w:t>
      </w:r>
      <w:proofErr w:type="spellEnd"/>
      <w:r>
        <w:t xml:space="preserve"> nová uživatelsky orientovaná řešení v bezpečném prostředí. Inkubátor by pomohl při zavádění nových technologií a výměně inovativních postupů mezi průkopníky veřejných orgánů.</w:t>
      </w:r>
    </w:p>
    <w:p w:rsidR="001D2050" w:rsidRDefault="001D2050" w:rsidP="001D2050">
      <w:pPr>
        <w:spacing w:after="0" w:line="240" w:lineRule="auto"/>
        <w:jc w:val="both"/>
      </w:pPr>
      <w:r>
        <w:t>Pokud jde o první dvě doporučení této zprávy, digitální strategie Komise 23 dokazuje, že Komise splňuje své sliby: interoperabilita i zaměření na uživatele patří mezi klíčové zásady strategie a EIF je jedním z jejích referenčních bodů. ISA2 navíc hraje poradní roli při pokračujícím provádění strategie a pomáhá Komisi v různých oblastech politiky modernizovat stávající IT systémy a vyvíjet nová digitální řešení s ohledem na interoperabilitu.</w:t>
      </w:r>
    </w:p>
    <w:p w:rsidR="001D2050" w:rsidRDefault="001D2050" w:rsidP="001D2050">
      <w:pPr>
        <w:spacing w:after="0" w:line="240" w:lineRule="auto"/>
        <w:jc w:val="both"/>
      </w:pPr>
      <w:proofErr w:type="gramStart"/>
      <w:r>
        <w:t>7.3. CESTA</w:t>
      </w:r>
      <w:proofErr w:type="gramEnd"/>
      <w:r>
        <w:t xml:space="preserve"> KE ZVÝŠENÍ UDRŽITELNOSTI</w:t>
      </w:r>
    </w:p>
    <w:p w:rsidR="001D2050" w:rsidRDefault="001D2050" w:rsidP="001D2050">
      <w:pPr>
        <w:spacing w:after="0" w:line="240" w:lineRule="auto"/>
        <w:jc w:val="both"/>
      </w:pPr>
      <w:r>
        <w:t>Při posuzování přidané hodnoty a udržitelnosti programu ISA2 v EU zjistilo průběžné hodnocení, že hraje zásadní roli při vytváření jednotného prostředí interoperability v evropském veřejném sektoru. ISA2 také pomáhá vyvíjet a zavádět přeshraniční a meziodvětvová digitální řešení mezi správami členských států. ISA2 také pomáhá s prosazováním společných politik, protože se velmi spoléhají na tyto vzájemně propojené a interoperabilní sítě a systémy.</w:t>
      </w:r>
    </w:p>
    <w:p w:rsidR="001D2050" w:rsidRDefault="001D2050" w:rsidP="001D2050">
      <w:pPr>
        <w:spacing w:after="0" w:line="240" w:lineRule="auto"/>
        <w:jc w:val="both"/>
      </w:pPr>
      <w:r>
        <w:t xml:space="preserve">Po skončení programu ISA2 je nezbytné zachovat a zvýšit schopnost evropských orgánů veřejné správy spolupracovat na dosažení vzájemně prospěšných cílů, včetně sdílení informací a znalostí, což je jádro interoperability obecně. K tomu je zapotřebí silný politický závazek a solidní financování. Pokud jde o politický závazek, ministři odpovědní za politiku </w:t>
      </w:r>
      <w:proofErr w:type="spellStart"/>
      <w:r>
        <w:t>eGovernmentu</w:t>
      </w:r>
      <w:proofErr w:type="spellEnd"/>
      <w:r>
        <w:t xml:space="preserve"> v celé Evropě - v </w:t>
      </w:r>
      <w:proofErr w:type="spellStart"/>
      <w:r>
        <w:t>Tallinské</w:t>
      </w:r>
      <w:proofErr w:type="spellEnd"/>
      <w:r>
        <w:t xml:space="preserve"> deklaraci o </w:t>
      </w:r>
      <w:proofErr w:type="spellStart"/>
      <w:r>
        <w:t>eGovernmentu</w:t>
      </w:r>
      <w:proofErr w:type="spellEnd"/>
      <w:r>
        <w:t xml:space="preserve"> - potvrdili, že se zavázali budovat veřejné služby zaměřené na občany s digitálním designem a dosáhnout vize stanovené v EIF. Pokud jde o budoucí financování interoperability, předpokládá se program Digitální Evropa 24, který je jedním z odvětvových návrhů Komise v rámci legislativního balíčku VFR 2021–2027.</w:t>
      </w:r>
    </w:p>
    <w:p w:rsidR="001D2050" w:rsidRDefault="001D2050" w:rsidP="001D2050">
      <w:pPr>
        <w:spacing w:after="0" w:line="240" w:lineRule="auto"/>
        <w:jc w:val="both"/>
      </w:pPr>
      <w:r>
        <w:lastRenderedPageBreak/>
        <w:t>Kromě toho by Komise měla jednat na základě synergií vytvořených mezi ISA2 a ostatními programy EU, aby obecně propagovala EIF a interoperabilitu a usnadnila široké opětovné použití řešení ISA2. Tento přístup by navíc mohl vést k účinnému a racionálnímu řízení programů, které by podpořilo budoucí provádění návrhu DEP.</w:t>
      </w:r>
    </w:p>
    <w:p w:rsidR="001D2050" w:rsidRDefault="001D2050" w:rsidP="001D2050">
      <w:pPr>
        <w:spacing w:after="0" w:line="240" w:lineRule="auto"/>
        <w:jc w:val="both"/>
      </w:pPr>
      <w:r>
        <w:t>Souběžně s přípravami na zřízení nových programů VFR se doporučuje prozkoumat možnosti zvýšení udržitelnosti výsledků dosažených stávajícími řešeními ISA2. Je třeba posoudit proveditelnost a náklady různých opatření udržitelnosti a Komise by do nich měla investovat. Komise by například mohla zvážit převod některých řešení ISA2 do komunit s otevřeným zdrojovým kódem nebo povzbudit společnosti, aby budovaly služby kolem bezplatných řešení ISA2 na základě veřejné licence Evropské unie (EUPL) 25.</w:t>
      </w:r>
    </w:p>
    <w:p w:rsidR="001D2050" w:rsidRDefault="001D2050" w:rsidP="001D2050">
      <w:pPr>
        <w:spacing w:after="0" w:line="240" w:lineRule="auto"/>
        <w:jc w:val="both"/>
      </w:pPr>
      <w:r>
        <w:t>Nakonec může být pro Komisi užitečné posoudit důkladnost a dopady možného závazného nástroje interoperability. Toto hodnocení by se mělo opírat o zjištění konečného hodnocení programu ISA2 a o důkazy, které je třeba shromáždit při hodnocení provádění EIF v roce 2021.</w:t>
      </w:r>
    </w:p>
    <w:p w:rsidR="001D2050" w:rsidRDefault="001D2050" w:rsidP="001D2050">
      <w:pPr>
        <w:spacing w:after="0" w:line="240" w:lineRule="auto"/>
        <w:jc w:val="both"/>
      </w:pPr>
      <w:r>
        <w:t>8. DALŠÍ KROKY</w:t>
      </w:r>
    </w:p>
    <w:p w:rsidR="001D2050" w:rsidRDefault="001D2050" w:rsidP="001D2050">
      <w:pPr>
        <w:spacing w:after="0" w:line="240" w:lineRule="auto"/>
        <w:jc w:val="both"/>
      </w:pPr>
      <w:r>
        <w:t> Při probíhajícím provádění programu ISA² bude Komise věnovat maximální pozornost výše uvedeným zjištěním a doporučením a analyzovat je, aby potvrdila a řešila vznesené otázky, pokud je to vhodné, v úzké spolupráci s členskými státy. Zjištění a doporučení průběžného hodnocení programu ISA² budou také informovat o přechodu na nové programy VFR.</w:t>
      </w:r>
    </w:p>
    <w:p w:rsidR="001D2050" w:rsidRDefault="00615E47" w:rsidP="001D2050">
      <w:pPr>
        <w:spacing w:after="0" w:line="240" w:lineRule="auto"/>
        <w:jc w:val="both"/>
      </w:pPr>
      <w:r>
        <w:t>(1)</w:t>
      </w:r>
      <w:r w:rsidR="001D2050">
        <w:t xml:space="preserve">Rozhodnutí Evropského parlamentu a Rady (EU) 2015/2240 ze dne 25. listopadu 2015, kterým se zavádí program řešení interoperability a společných rámců pro evropské orgány veřejné správy, podniky a občany (program ISA2) jako prostředek modernizace veřejného sektoru, </w:t>
      </w:r>
      <w:proofErr w:type="spellStart"/>
      <w:r w:rsidR="001D2050">
        <w:t>Úř</w:t>
      </w:r>
      <w:proofErr w:type="spellEnd"/>
      <w:r w:rsidR="001D2050">
        <w:t xml:space="preserve">. </w:t>
      </w:r>
      <w:proofErr w:type="spellStart"/>
      <w:r w:rsidR="001D2050">
        <w:t>Věst</w:t>
      </w:r>
      <w:proofErr w:type="spellEnd"/>
      <w:r w:rsidR="001D2050">
        <w:t xml:space="preserve">. L 318, </w:t>
      </w:r>
      <w:proofErr w:type="gramStart"/>
      <w:r w:rsidR="001D2050">
        <w:t>4.12.2015</w:t>
      </w:r>
      <w:proofErr w:type="gramEnd"/>
      <w:r w:rsidR="001D2050">
        <w:t>, str. 1.</w:t>
      </w:r>
    </w:p>
    <w:p w:rsidR="001D2050" w:rsidRDefault="00615E47" w:rsidP="001D2050">
      <w:pPr>
        <w:spacing w:after="0" w:line="240" w:lineRule="auto"/>
        <w:jc w:val="both"/>
      </w:pPr>
      <w:r>
        <w:t>(2)</w:t>
      </w:r>
      <w:r w:rsidR="001D2050">
        <w:t xml:space="preserve">Rozhodnutí Evropského parlamentu a Rady č. 922/2009 / ES ze dne 16. září 2009 o řešeních interoperability pro evropské orgány veřejné správy (ISA), </w:t>
      </w:r>
      <w:proofErr w:type="spellStart"/>
      <w:r w:rsidR="001D2050">
        <w:t>Úř</w:t>
      </w:r>
      <w:proofErr w:type="spellEnd"/>
      <w:r w:rsidR="001D2050">
        <w:t xml:space="preserve">. </w:t>
      </w:r>
      <w:proofErr w:type="spellStart"/>
      <w:r w:rsidR="001D2050">
        <w:t>Věst</w:t>
      </w:r>
      <w:proofErr w:type="spellEnd"/>
      <w:r w:rsidR="001D2050">
        <w:t xml:space="preserve">. L 260, </w:t>
      </w:r>
      <w:proofErr w:type="gramStart"/>
      <w:r w:rsidR="001D2050">
        <w:t>3.10.2009</w:t>
      </w:r>
      <w:proofErr w:type="gramEnd"/>
      <w:r w:rsidR="001D2050">
        <w:t>, s. 1. 20.</w:t>
      </w:r>
    </w:p>
    <w:p w:rsidR="001D2050" w:rsidRDefault="00615E47" w:rsidP="001D2050">
      <w:pPr>
        <w:spacing w:after="0" w:line="240" w:lineRule="auto"/>
        <w:jc w:val="both"/>
      </w:pPr>
      <w:r>
        <w:t>(3)</w:t>
      </w:r>
      <w:r w:rsidR="001D2050">
        <w:t>Podrobnosti procesu hodnocení a výsledky spolu s podpůrnými důkazy jsou k dispozici v pracovním dokumentu útvarů Komise: SWD (2019) 1615 v konečném znění.</w:t>
      </w:r>
    </w:p>
    <w:p w:rsidR="001D2050" w:rsidRDefault="00615E47" w:rsidP="001D2050">
      <w:pPr>
        <w:spacing w:after="0" w:line="240" w:lineRule="auto"/>
        <w:jc w:val="both"/>
      </w:pPr>
      <w:r>
        <w:t>(4)</w:t>
      </w:r>
      <w:r w:rsidR="001D2050">
        <w:t>Hodnotící studie nezávislých odborníků je k dispozici na adrese: https://data.europa.eu/doi/10.2799/13397</w:t>
      </w:r>
    </w:p>
    <w:p w:rsidR="001D2050" w:rsidRDefault="00615E47" w:rsidP="001D2050">
      <w:pPr>
        <w:spacing w:after="0" w:line="240" w:lineRule="auto"/>
        <w:jc w:val="both"/>
      </w:pPr>
      <w:r>
        <w:t>(5)</w:t>
      </w:r>
      <w:r w:rsidR="001D2050">
        <w:t>Členy skupiny byli DG CNECT, DIGIT, EMPL, FISMA, GROW, OP, SG, TAXUD a JRC.</w:t>
      </w:r>
    </w:p>
    <w:p w:rsidR="001D2050" w:rsidRDefault="00615E47" w:rsidP="001D2050">
      <w:pPr>
        <w:spacing w:after="0" w:line="240" w:lineRule="auto"/>
        <w:jc w:val="both"/>
      </w:pPr>
      <w:r>
        <w:t>(6)</w:t>
      </w:r>
      <w:r w:rsidR="001D2050">
        <w:t>1 odst. 1 rozhodnutí ISA2 (viz poznámka pod čarou 1).</w:t>
      </w:r>
    </w:p>
    <w:p w:rsidR="001D2050" w:rsidRDefault="00615E47" w:rsidP="001D2050">
      <w:pPr>
        <w:spacing w:after="0" w:line="240" w:lineRule="auto"/>
        <w:jc w:val="both"/>
      </w:pPr>
      <w:r>
        <w:t>(7)</w:t>
      </w:r>
      <w:r w:rsidR="001D2050">
        <w:t>1 odst. 3 rozhodnutí ISA2 (viz poznámka pod čarou 1).</w:t>
      </w:r>
    </w:p>
    <w:p w:rsidR="001D2050" w:rsidRDefault="00615E47" w:rsidP="001D2050">
      <w:pPr>
        <w:spacing w:after="0" w:line="240" w:lineRule="auto"/>
        <w:jc w:val="both"/>
      </w:pPr>
      <w:r>
        <w:t>(8)</w:t>
      </w:r>
      <w:r w:rsidR="001D2050">
        <w:t>Sdělení Komise Evropskému parlamentu, Radě, Evropskému hospodářskému a sociálnímu výboru a Výboru regionů, Evropský rámec interoperability - prováděcí strategie, Brusel, 23. 3. 2017, KOM (2017) 134 v konečném znění.</w:t>
      </w:r>
    </w:p>
    <w:p w:rsidR="001D2050" w:rsidRDefault="00615E47" w:rsidP="001D2050">
      <w:pPr>
        <w:spacing w:after="0" w:line="240" w:lineRule="auto"/>
        <w:jc w:val="both"/>
      </w:pPr>
      <w:r>
        <w:t>(9)</w:t>
      </w:r>
      <w:r w:rsidR="001D2050">
        <w:t xml:space="preserve">Sdělení Komise Evropskému parlamentu, Radě, Evropskému hospodářskému a sociálnímu výboru a Výboru regionů - Strategie jednotného digitálního trhu pro Evropu, Brusel, </w:t>
      </w:r>
      <w:proofErr w:type="gramStart"/>
      <w:r w:rsidR="001D2050">
        <w:t>6.5.2015</w:t>
      </w:r>
      <w:proofErr w:type="gramEnd"/>
      <w:r w:rsidR="001D2050">
        <w:t>, KOM (2015) 192 v konečném znění.</w:t>
      </w:r>
    </w:p>
    <w:p w:rsidR="001D2050" w:rsidRDefault="00615E47" w:rsidP="001D2050">
      <w:pPr>
        <w:spacing w:after="0" w:line="240" w:lineRule="auto"/>
        <w:jc w:val="both"/>
      </w:pPr>
      <w:r>
        <w:t xml:space="preserve">(10) </w:t>
      </w:r>
      <w:r w:rsidR="001D2050">
        <w:t>Sdělení Komise Evropskému parlamentu, Radě, Evropskému hospodářskému a sociálnímu výboru a Výboru regionů EU, akční plán pro elektronickou veřejnou správu na období 2016–2020. Urychlení digitální transformace vlády, KOM / 2016/0179 v konečném znění.</w:t>
      </w:r>
    </w:p>
    <w:p w:rsidR="001D2050" w:rsidRDefault="00615E47" w:rsidP="001D2050">
      <w:pPr>
        <w:spacing w:after="0" w:line="240" w:lineRule="auto"/>
        <w:jc w:val="both"/>
      </w:pPr>
      <w:r>
        <w:t>(11)</w:t>
      </w:r>
      <w:r w:rsidR="001D2050">
        <w:t xml:space="preserve">Tallinnská deklarace o </w:t>
      </w:r>
      <w:proofErr w:type="spellStart"/>
      <w:r w:rsidR="001D2050">
        <w:t>eGovernmentu</w:t>
      </w:r>
      <w:proofErr w:type="spellEnd"/>
      <w:r w:rsidR="001D2050">
        <w:t xml:space="preserve"> na ministerské schůzce během estonského předsednictví Rady EU dne 6. října 2017.</w:t>
      </w:r>
    </w:p>
    <w:p w:rsidR="001D2050" w:rsidRDefault="00615E47" w:rsidP="001D2050">
      <w:pPr>
        <w:spacing w:after="0" w:line="240" w:lineRule="auto"/>
        <w:jc w:val="both"/>
      </w:pPr>
      <w:r>
        <w:t>(12)</w:t>
      </w:r>
      <w:r w:rsidR="001D2050">
        <w:t xml:space="preserve">Nařízení Evropského parlamentu a Rady (EU) 2018/1724 ze dne 2. října 2018, kterým se zřizuje jednotná digitální brána pro poskytování přístupu k informacím, postupům a službám asistence a řešení problémů a kterým se mění nařízení (EU) č. 1024/2012 </w:t>
      </w:r>
      <w:proofErr w:type="spellStart"/>
      <w:r w:rsidR="001D2050">
        <w:t>Úř</w:t>
      </w:r>
      <w:proofErr w:type="spellEnd"/>
      <w:r w:rsidR="001D2050">
        <w:t xml:space="preserve">. </w:t>
      </w:r>
      <w:proofErr w:type="spellStart"/>
      <w:r w:rsidR="001D2050">
        <w:t>Věst</w:t>
      </w:r>
      <w:proofErr w:type="spellEnd"/>
      <w:r w:rsidR="001D2050">
        <w:t xml:space="preserve">. L 295, </w:t>
      </w:r>
      <w:proofErr w:type="gramStart"/>
      <w:r w:rsidR="001D2050">
        <w:t>21.11.2018</w:t>
      </w:r>
      <w:proofErr w:type="gramEnd"/>
      <w:r w:rsidR="001D2050">
        <w:t>, s. 1. 1-38.</w:t>
      </w:r>
    </w:p>
    <w:p w:rsidR="001D2050" w:rsidRDefault="00615E47" w:rsidP="001D2050">
      <w:pPr>
        <w:spacing w:after="0" w:line="240" w:lineRule="auto"/>
        <w:jc w:val="both"/>
      </w:pPr>
      <w:r>
        <w:t>(13)</w:t>
      </w:r>
      <w:r w:rsidR="001D2050">
        <w:t xml:space="preserve">Nařízení Evropského parlamentu a Rady (EU) č. 1316/2013 ze dne 11. prosince 2013, kterým se zřizuje Nástroj pro propojení Evropy, kterým se mění nařízení (EU) č. 913/2010 a zrušují nařízení (ES) č. 680/2007 a (ES) č. </w:t>
      </w:r>
      <w:proofErr w:type="spellStart"/>
      <w:r w:rsidR="001D2050">
        <w:t>Věst</w:t>
      </w:r>
      <w:proofErr w:type="spellEnd"/>
      <w:r w:rsidR="001D2050">
        <w:t xml:space="preserve">. L 384, </w:t>
      </w:r>
      <w:proofErr w:type="gramStart"/>
      <w:r w:rsidR="001D2050">
        <w:t>20.12.2013</w:t>
      </w:r>
      <w:proofErr w:type="gramEnd"/>
      <w:r w:rsidR="001D2050">
        <w:t xml:space="preserve">, s. 67, </w:t>
      </w:r>
      <w:proofErr w:type="spellStart"/>
      <w:r w:rsidR="001D2050">
        <w:t>Úř</w:t>
      </w:r>
      <w:proofErr w:type="spellEnd"/>
      <w:r w:rsidR="001D2050">
        <w:t xml:space="preserve">. </w:t>
      </w:r>
      <w:proofErr w:type="spellStart"/>
      <w:r w:rsidR="001D2050">
        <w:t>Věst</w:t>
      </w:r>
      <w:proofErr w:type="spellEnd"/>
      <w:r w:rsidR="001D2050">
        <w:t>. 129-171.</w:t>
      </w:r>
    </w:p>
    <w:p w:rsidR="001D2050" w:rsidRDefault="00615E47" w:rsidP="001D2050">
      <w:pPr>
        <w:spacing w:after="0" w:line="240" w:lineRule="auto"/>
        <w:jc w:val="both"/>
      </w:pPr>
      <w:r>
        <w:t>(14)</w:t>
      </w:r>
      <w:r w:rsidR="001D2050">
        <w:t xml:space="preserve">Nařízení Evropského parlamentu a Rady (EU) 2018/1671 ze dne 23. října 2018, kterým se mění nařízení (EU) 2017/825 za účelem zvýšení finančního krytí programu na podporu strukturálních reforem a přizpůsobení jeho obecného cíle, </w:t>
      </w:r>
      <w:proofErr w:type="spellStart"/>
      <w:r w:rsidR="001D2050">
        <w:t>Úř</w:t>
      </w:r>
      <w:proofErr w:type="spellEnd"/>
      <w:r w:rsidR="001D2050">
        <w:t xml:space="preserve">. </w:t>
      </w:r>
      <w:proofErr w:type="spellStart"/>
      <w:r w:rsidR="001D2050">
        <w:t>Věst</w:t>
      </w:r>
      <w:proofErr w:type="spellEnd"/>
      <w:r w:rsidR="001D2050">
        <w:t xml:space="preserve">. L 284, </w:t>
      </w:r>
      <w:proofErr w:type="gramStart"/>
      <w:r w:rsidR="001D2050">
        <w:t>12.11. 2018</w:t>
      </w:r>
      <w:proofErr w:type="gramEnd"/>
      <w:r w:rsidR="001D2050">
        <w:t>, str. 3-5.</w:t>
      </w:r>
    </w:p>
    <w:p w:rsidR="001D2050" w:rsidRDefault="001D2050" w:rsidP="001D2050">
      <w:pPr>
        <w:spacing w:after="0" w:line="240" w:lineRule="auto"/>
        <w:jc w:val="both"/>
      </w:pPr>
      <w:r>
        <w:lastRenderedPageBreak/>
        <w:t>(15)Tento monitorovací mechanismus se rovněž vztahuje na provádění akčního plánu interoperability uvedeného v příloze I sdělení EIF uvedeného v poznámce pod čarou 8.</w:t>
      </w:r>
    </w:p>
    <w:p w:rsidR="001D2050" w:rsidRDefault="00615E47" w:rsidP="001D2050">
      <w:pPr>
        <w:spacing w:after="0" w:line="240" w:lineRule="auto"/>
        <w:jc w:val="both"/>
      </w:pPr>
      <w:r>
        <w:t>(16)</w:t>
      </w:r>
      <w:r w:rsidR="001D2050">
        <w:t xml:space="preserve">Hodnotící zpráva bude k dispozici v rámci kolekce „NIFO“ na platformě </w:t>
      </w:r>
      <w:proofErr w:type="spellStart"/>
      <w:r w:rsidR="001D2050">
        <w:t>Joinup</w:t>
      </w:r>
      <w:proofErr w:type="spellEnd"/>
      <w:r w:rsidR="001D2050">
        <w:t xml:space="preserve"> v roce 2020.</w:t>
      </w:r>
    </w:p>
    <w:p w:rsidR="001D2050" w:rsidRDefault="00615E47" w:rsidP="001D2050">
      <w:pPr>
        <w:spacing w:after="0" w:line="240" w:lineRule="auto"/>
        <w:jc w:val="both"/>
      </w:pPr>
      <w:r>
        <w:t>(17)</w:t>
      </w:r>
      <w:r w:rsidR="001D2050">
        <w:t>Viz oddíl 6 sdělení EIF uvedeného v poznámce pod čarou 8.</w:t>
      </w:r>
    </w:p>
    <w:p w:rsidR="001D2050" w:rsidRDefault="00615E47" w:rsidP="001D2050">
      <w:pPr>
        <w:spacing w:after="0" w:line="240" w:lineRule="auto"/>
        <w:jc w:val="both"/>
      </w:pPr>
      <w:r>
        <w:t>(18)</w:t>
      </w:r>
      <w:r w:rsidR="001D2050">
        <w:t>Viz Nástroj č. 47 Nástroje pro lepší regulaci Evropské komise.</w:t>
      </w:r>
    </w:p>
    <w:p w:rsidR="001D2050" w:rsidRDefault="00615E47" w:rsidP="001D2050">
      <w:pPr>
        <w:spacing w:after="0" w:line="240" w:lineRule="auto"/>
        <w:jc w:val="both"/>
      </w:pPr>
      <w:r>
        <w:t>(19)</w:t>
      </w:r>
      <w:r w:rsidR="001D2050">
        <w:t>Z důvodu důvěrnosti a ochrany údajů požádal hodnotící tým majitele akce, aby kontaktovali uživatele svých řešení jako prostředníky konzultačních činností. Tento dvoustupňový přístup může omezit počet obdržených odpovědí.</w:t>
      </w:r>
    </w:p>
    <w:p w:rsidR="001D2050" w:rsidRDefault="00615E47" w:rsidP="001D2050">
      <w:pPr>
        <w:spacing w:after="0" w:line="240" w:lineRule="auto"/>
        <w:jc w:val="both"/>
      </w:pPr>
      <w:r>
        <w:t>(20)</w:t>
      </w:r>
      <w:r w:rsidR="001D2050">
        <w:t xml:space="preserve">Zpráva Komise Evropskému parlamentu a Radě, Výsledky závěrečného hodnocení programu ISA, Brusel, </w:t>
      </w:r>
      <w:proofErr w:type="gramStart"/>
      <w:r w:rsidR="001D2050">
        <w:t>1.9.2016</w:t>
      </w:r>
      <w:proofErr w:type="gramEnd"/>
      <w:r w:rsidR="001D2050">
        <w:t>, KOM (2016) 550 v konečném znění.</w:t>
      </w:r>
    </w:p>
    <w:p w:rsidR="001D2050" w:rsidRDefault="00615E47" w:rsidP="001D2050">
      <w:pPr>
        <w:spacing w:after="0" w:line="240" w:lineRule="auto"/>
        <w:jc w:val="both"/>
      </w:pPr>
      <w:r>
        <w:t>(21)</w:t>
      </w:r>
      <w:r w:rsidR="001D2050">
        <w:t>Viz: https://ec.europa.eu/digital-single-market/en/rolling-plan-ict-standardisation</w:t>
      </w:r>
    </w:p>
    <w:p w:rsidR="001D2050" w:rsidRDefault="00615E47" w:rsidP="001D2050">
      <w:pPr>
        <w:spacing w:after="0" w:line="240" w:lineRule="auto"/>
        <w:jc w:val="both"/>
      </w:pPr>
      <w:r>
        <w:t>(22)</w:t>
      </w:r>
      <w:r w:rsidR="001D2050">
        <w:t>Viz: https://ec.europa.eu/commission/future-europe/eu-budget-future_en.</w:t>
      </w:r>
    </w:p>
    <w:p w:rsidR="001D2050" w:rsidRDefault="00615E47" w:rsidP="001D2050">
      <w:pPr>
        <w:spacing w:after="0" w:line="240" w:lineRule="auto"/>
        <w:jc w:val="both"/>
      </w:pPr>
      <w:r>
        <w:t>(23)</w:t>
      </w:r>
      <w:r w:rsidR="001D2050">
        <w:t xml:space="preserve">Sdělení Komisi, Digitální strategie Evropské komise - Digitálně transformovaná, na uživatele zaměřená a datově orientovaná Komise, Brusel, </w:t>
      </w:r>
      <w:proofErr w:type="gramStart"/>
      <w:r w:rsidR="001D2050">
        <w:t>21.11.2018</w:t>
      </w:r>
      <w:proofErr w:type="gramEnd"/>
      <w:r w:rsidR="001D2050">
        <w:t>, C (2018) 7118 v konečném znění.</w:t>
      </w:r>
    </w:p>
    <w:p w:rsidR="001D2050" w:rsidRDefault="00615E47" w:rsidP="001D2050">
      <w:pPr>
        <w:spacing w:after="0" w:line="240" w:lineRule="auto"/>
        <w:jc w:val="both"/>
      </w:pPr>
      <w:r>
        <w:t>(24)</w:t>
      </w:r>
      <w:r w:rsidR="001D2050">
        <w:t xml:space="preserve">Návrh nařízení Evropského parlamentu a Rady, kterým se zavádí program Digitální Evropa na období 2021–2027, Brusel, </w:t>
      </w:r>
      <w:proofErr w:type="gramStart"/>
      <w:r w:rsidR="001D2050">
        <w:t>6.6.2018</w:t>
      </w:r>
      <w:proofErr w:type="gramEnd"/>
      <w:r w:rsidR="001D2050">
        <w:t>, KOM (2018) 434 v konečném znění.</w:t>
      </w:r>
    </w:p>
    <w:p w:rsidR="001D2050" w:rsidRDefault="00615E47" w:rsidP="001D2050">
      <w:pPr>
        <w:spacing w:after="0" w:line="240" w:lineRule="auto"/>
        <w:jc w:val="both"/>
      </w:pPr>
      <w:r>
        <w:t>(</w:t>
      </w:r>
      <w:bookmarkStart w:id="0" w:name="_GoBack"/>
      <w:bookmarkEnd w:id="0"/>
      <w:r>
        <w:t>25)</w:t>
      </w:r>
      <w:r w:rsidR="001D2050">
        <w:t>Viz: https://eupl.eu/</w:t>
      </w:r>
    </w:p>
    <w:p w:rsidR="001D2050" w:rsidRDefault="001D2050" w:rsidP="001D2050">
      <w:pPr>
        <w:spacing w:after="0" w:line="240" w:lineRule="auto"/>
        <w:jc w:val="both"/>
      </w:pPr>
      <w:r>
        <w:t> </w:t>
      </w:r>
    </w:p>
    <w:sectPr w:rsidR="001D2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58"/>
    <w:rsid w:val="000036F2"/>
    <w:rsid w:val="001D2050"/>
    <w:rsid w:val="00615E47"/>
    <w:rsid w:val="006940A3"/>
    <w:rsid w:val="00931958"/>
    <w:rsid w:val="00962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3700</Words>
  <Characters>22240</Characters>
  <Application>Microsoft Office Word</Application>
  <DocSecurity>0</DocSecurity>
  <Lines>353</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2019-09-24T11:05:00Z</dcterms:created>
  <dcterms:modified xsi:type="dcterms:W3CDTF">2019-09-24T11:54:00Z</dcterms:modified>
</cp:coreProperties>
</file>