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bookmarkStart w:id="0" w:name="_GoBack"/>
      <w:bookmarkEnd w:id="0"/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b/>
          <w:kern w:val="36"/>
          <w:sz w:val="24"/>
          <w:szCs w:val="24"/>
          <w:lang w:eastAsia="cs-CZ"/>
        </w:rPr>
        <w:t>Zpráva EU: Moldavská republika pokročila v klíčových reformách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IP / 19/5548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V Bruselu dne 12. září 2019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Po změně vlády v červnu 2019 se Moldavská republika rozhodně posunula v provádění klíčových reforem zaměřených na zhoršování demokratických norem a právní stát, aby občané mohli plně využívat výhody dohody o přidružení mezi EU a </w:t>
      </w:r>
      <w:proofErr w:type="gram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Moldavskem .</w:t>
      </w:r>
      <w:proofErr w:type="gramEnd"/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Vyplývá to ze zprávy o provádění přidružení, kterou EU zveřejnila 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12. září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- v souvislosti s revidovanou evropskou politikou sousedství - o plnění závazků vyplývajících z dohody o přidružení mezi EU a Moldavskem za poslední rok. Tato zpráva bude zahrnuta do výroční rady přidružení EU-Moldavsko, která se bude konat v Bruselu dne 30. září 2019.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„Nová moldavská vláda zahájila důležitý plán reforem na posílení demokracie a právního státu v zemi. Očekáváme, že úřady splní přijaté závazky a provedou ambiciózní dohodu mezi EU a Moldavskem ve prospěch našich občanů. Jako EU jsme připraveni tuto práci doprovázet a podporovat, protože si vážíme našeho přátelství, “uvedla vysoká představitelka / místopředsedkyně Federica </w:t>
      </w:r>
      <w:proofErr w:type="spell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Mogherini</w:t>
      </w:r>
      <w:proofErr w:type="spellEnd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Komisař pro evropskou politiku sousedství a jednání o rozšíření Johannes Hahn dodal: „V červenci 2019 jsme již obnovili platby rozpočtové podpory; podepsali jsme také vládní dohody o financování udržitelného místního rozvoje a právního státu, které umožní provádění programů přinášejících hmatatelné výsledky pro obyvatele Moldavska. Jsme připraveni dále zintenzivnit naši finanční podporu a poradenství v reakci na robustní vládní program reforem. To vše je jasným znakem našeho uznání již podniknutých kroků a povzbuzení orgánů, aby pokračovaly na jejich ambiciózní reformní cestě. “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Dnešní zpráva - připravená Evropskou službou pro vnější činnost a útvary Evropské komise - ukazuje, že zatímco reformy v hospodářském a bankovním sektoru pokročily v průběhu roku 2018, zásadní strukturální reformy soudního systému, boj proti korupci, stíhání bankovnictví v roce 2014 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pro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podvody a zajištění plurality médií zaostávaly.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Po netranspar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entním zneplatnění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voleb 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starosty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v Kišiněvě v červnu 2018 zaznamenala EU a další mezinárodní aktéři protikladný stav v oblasti právního státu a demokracie, což jsou klíčové hodnoty a zásady v jádru ambiciózní asociace EU-Moldavsko Dohoda. S ohledem na tento vývoj se EU v roce 2018 rozhodla pozastavit platby na rozpočtovou podporu a makrofinanční pomoc a znovu kalibrovat a snížit další finanční podporu.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Nová vláda, která 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po</w:t>
      </w: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stoupila k moci v červnu 2019, se zavázala posílit a důsledně provádět dohodu o přidružení s hlubokou a komplexní zónou volného obchodu při plném dodržování svých základních zásad. Vláda přijala řadu programů zaměřených na nejnaléhavější reformy a učinila významné kroky, zejména v oblasti volebního rámce, v boji proti korupci a </w:t>
      </w:r>
      <w:proofErr w:type="spell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odpolitizaci</w:t>
      </w:r>
      <w:proofErr w:type="spellEnd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 státních institucí. V reakci na to Komise obnovila pomoc v oblasti rozpočtové podpory a podepsala tři klíčové dohody o financování v celkové hodnotě téměř 55 milionů EUR.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b/>
          <w:kern w:val="36"/>
          <w:sz w:val="24"/>
          <w:szCs w:val="24"/>
          <w:lang w:eastAsia="cs-CZ"/>
        </w:rPr>
        <w:t>Pro více informací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2019 Zpráva o provádění přidružení o Moldavsku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Informační přehled - vztahy mezi EU a Moldavskem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Závěry Evropské rady o Moldavské republice ze dne 20. června 2019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Delegace EU v Moldavské republice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 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EU report: </w:t>
      </w:r>
      <w:proofErr w:type="spell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the</w:t>
      </w:r>
      <w:proofErr w:type="spellEnd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 Republic </w:t>
      </w:r>
      <w:proofErr w:type="spell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of</w:t>
      </w:r>
      <w:proofErr w:type="spellEnd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gram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Moldova</w:t>
      </w:r>
      <w:proofErr w:type="gramEnd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moved</w:t>
      </w:r>
      <w:proofErr w:type="spellEnd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 forward </w:t>
      </w:r>
      <w:proofErr w:type="spell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with</w:t>
      </w:r>
      <w:proofErr w:type="spellEnd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key</w:t>
      </w:r>
      <w:proofErr w:type="spellEnd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eastAsia="Times New Roman" w:cstheme="minorHAnsi"/>
          <w:kern w:val="36"/>
          <w:sz w:val="24"/>
          <w:szCs w:val="24"/>
          <w:lang w:eastAsia="cs-CZ"/>
        </w:rPr>
        <w:t>reforms</w:t>
      </w:r>
      <w:proofErr w:type="spellEnd"/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A3E26">
        <w:rPr>
          <w:rFonts w:eastAsia="Times New Roman" w:cstheme="minorHAnsi"/>
          <w:sz w:val="24"/>
          <w:szCs w:val="24"/>
          <w:lang w:eastAsia="cs-CZ"/>
        </w:rPr>
        <w:t>IP/19/5548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AA3E26">
        <w:rPr>
          <w:rFonts w:ascii="Verdana" w:eastAsia="Times New Roman" w:hAnsi="Verdana" w:cs="Times New Roman"/>
          <w:sz w:val="24"/>
          <w:szCs w:val="24"/>
          <w:lang w:eastAsia="cs-CZ"/>
        </w:rPr>
        <w:t>Brussels</w:t>
      </w:r>
      <w:proofErr w:type="spellEnd"/>
      <w:r w:rsidRPr="00AA3E2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12 </w:t>
      </w:r>
      <w:proofErr w:type="spellStart"/>
      <w:r w:rsidRPr="00AA3E26">
        <w:rPr>
          <w:rFonts w:ascii="Verdana" w:eastAsia="Times New Roman" w:hAnsi="Verdana" w:cs="Times New Roman"/>
          <w:sz w:val="24"/>
          <w:szCs w:val="24"/>
          <w:lang w:eastAsia="cs-CZ"/>
        </w:rPr>
        <w:t>September</w:t>
      </w:r>
      <w:proofErr w:type="spellEnd"/>
      <w:r w:rsidRPr="00AA3E2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2019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Following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change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government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June 2019,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  <w:hyperlink r:id="rId5" w:history="1"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Republic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of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gram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Moldova</w:t>
        </w:r>
        <w:proofErr w:type="gramEnd"/>
      </w:hyperlink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has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moved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resolutely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with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implementation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key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reforms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address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deterioration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democratic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standards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rule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law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order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allow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citizens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fully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benefit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from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EU-Moldova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Association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Agreement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This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stems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from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fldChar w:fldCharType="begin"/>
      </w: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instrText xml:space="preserve"> HYPERLINK "https://eeas.europa.eu/headquarters/headquarters-homepage/67202/association-implementation-report-moldova_en" </w:instrText>
      </w: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fldChar w:fldCharType="separate"/>
      </w:r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>Association</w:t>
      </w:r>
      <w:proofErr w:type="spellEnd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>Implementation</w:t>
      </w:r>
      <w:proofErr w:type="spellEnd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 xml:space="preserve"> Report</w:t>
      </w: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fldChar w:fldCharType="end"/>
      </w: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EU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published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today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-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context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fldChar w:fldCharType="begin"/>
      </w: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instrText xml:space="preserve"> HYPERLINK "https://eeas.europa.eu/diplomatic-network/european-neighbourhood-policy-enp/330/european-neighbourhood-policy-enp_en" </w:instrText>
      </w: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fldChar w:fldCharType="separate"/>
      </w:r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>revised</w:t>
      </w:r>
      <w:proofErr w:type="spellEnd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>European</w:t>
      </w:r>
      <w:proofErr w:type="spellEnd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>Neighbourhood</w:t>
      </w:r>
      <w:proofErr w:type="spellEnd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AA3E26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cs-CZ"/>
        </w:rPr>
        <w:t>Policy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fldChar w:fldCharType="end"/>
      </w: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- on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implementation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commitments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under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EU-Moldova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Association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Agreement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over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past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year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report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will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feed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into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annual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EU-Moldova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Association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Council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taking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place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Brussels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on 30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September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2019.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"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new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Moldovan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government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has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started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an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important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reform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plan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reinforce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democracy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rule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law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country.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expect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authorities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deliver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commitments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made and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implement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ambitious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EU-Moldova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Agreement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,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benefit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our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citizens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. As EU,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 are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ready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to 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continue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to 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accompany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and support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this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work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because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value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our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friendship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a lot”, 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said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High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Representative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/Vice-President Federica </w:t>
      </w:r>
      <w:proofErr w:type="spellStart"/>
      <w:r w:rsidRPr="00AA3E2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Mogherini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Commissioner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for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European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Neighbourhood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Policy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Enlargement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Negotiations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, Johannes </w:t>
      </w:r>
      <w:r w:rsidRPr="00AA3E2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Hahn</w:t>
      </w: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added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: </w:t>
      </w:r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"In July 2019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already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resumed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budget support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payments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;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also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signed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with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Government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financing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agreements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sustainable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local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development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and rule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law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that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will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allow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for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implementation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programmes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bringing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tangible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results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Moldova</w:t>
      </w:r>
      <w:proofErr w:type="gram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We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ready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further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step up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our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financial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support and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advice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in response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Government's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robust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reform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agenda.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All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these are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clear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signs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our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appreciation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steps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already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taken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an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encouragement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authorities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continue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their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ambitious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reform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path</w:t>
      </w:r>
      <w:proofErr w:type="spellEnd"/>
      <w:r w:rsidRPr="00AA3E26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."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Today's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report -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prepared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by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European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External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Action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Service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European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Commission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services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–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shows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that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while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reforms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economic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banking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sector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advanced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during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2018,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fundamental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structural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reforms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judicial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system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fight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against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corruption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prosecution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2014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banking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fraud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ensuring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media plurality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were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lagging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behind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Following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non-transparent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invalidation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mayoral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elections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Chisinau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</w:t>
      </w:r>
      <w:proofErr w:type="gram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June</w:t>
      </w:r>
      <w:proofErr w:type="gram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2018,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EU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other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international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actors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noted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backsliding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rule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law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democracy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situation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which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are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key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values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principles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core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ambitious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EU- Moldova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Association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Agreement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light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these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developments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EU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decided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2018 to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put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on hold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payments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on budget support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macro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financial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assistance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as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well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as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recalibrated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reduced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further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financial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support.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new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Government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that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came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power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</w:t>
      </w:r>
      <w:proofErr w:type="gram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June</w:t>
      </w:r>
      <w:proofErr w:type="gram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2019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committed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a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strengthened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consistent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implementation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Association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Agreement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with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its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Deep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Comprehensive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Free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Trade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Area in full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respect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its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core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principles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Government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adopted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number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programmes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focussed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on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most urgent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reforms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took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significant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steps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particular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on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electoral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framework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fight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against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corruption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in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de-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politicisation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of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state</w:t>
      </w:r>
      <w:proofErr w:type="spellEnd"/>
      <w:proofErr w:type="gram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institutions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In response,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Commission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resumed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budget support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assistance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signed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three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crucial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financing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agreements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altogether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worth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close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€55 </w:t>
      </w:r>
      <w:proofErr w:type="spellStart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million</w:t>
      </w:r>
      <w:proofErr w:type="spellEnd"/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AA3E2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For</w:t>
      </w:r>
      <w:proofErr w:type="spellEnd"/>
      <w:r w:rsidRPr="00AA3E2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More </w:t>
      </w:r>
      <w:proofErr w:type="spellStart"/>
      <w:r w:rsidRPr="00AA3E2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Information</w:t>
      </w:r>
      <w:proofErr w:type="spellEnd"/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6" w:history="1"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2019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Association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Implementation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Report on Moldova</w:t>
        </w:r>
      </w:hyperlink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7" w:history="1"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Factsheet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- EU-Moldova relations</w:t>
        </w:r>
      </w:hyperlink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8" w:history="1"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European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Council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Conclusions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on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the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Republic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of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gram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Moldova</w:t>
        </w:r>
        <w:proofErr w:type="gram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, 20 June 2019</w:t>
        </w:r>
      </w:hyperlink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9" w:history="1"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EU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Delegation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to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the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Republic </w:t>
        </w:r>
        <w:proofErr w:type="spell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of</w:t>
        </w:r>
        <w:proofErr w:type="spellEnd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gramStart"/>
        <w:r w:rsidRPr="00AA3E26">
          <w:rPr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cs-CZ"/>
          </w:rPr>
          <w:t>Moldova</w:t>
        </w:r>
        <w:proofErr w:type="gramEnd"/>
      </w:hyperlink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A3E26">
        <w:rPr>
          <w:rFonts w:ascii="inherit" w:eastAsia="Times New Roman" w:hAnsi="inherit" w:cs="Times New Roman"/>
          <w:sz w:val="24"/>
          <w:szCs w:val="24"/>
          <w:lang w:eastAsia="cs-CZ"/>
        </w:rPr>
        <w:lastRenderedPageBreak/>
        <w:t> </w:t>
      </w:r>
    </w:p>
    <w:p w:rsidR="00AA3E26" w:rsidRPr="00AA3E26" w:rsidRDefault="00AA3E26" w:rsidP="00AA3E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AA3E26">
        <w:rPr>
          <w:rFonts w:ascii="Verdana" w:eastAsia="Times New Roman" w:hAnsi="Verdana" w:cs="Times New Roman"/>
          <w:sz w:val="24"/>
          <w:szCs w:val="24"/>
          <w:lang w:eastAsia="cs-CZ"/>
        </w:rPr>
        <w:t>IP/19/5548</w:t>
      </w:r>
    </w:p>
    <w:p w:rsidR="00BF6F48" w:rsidRPr="00AA3E26" w:rsidRDefault="00BF6F48" w:rsidP="00AA3E26">
      <w:pPr>
        <w:spacing w:after="0" w:line="240" w:lineRule="auto"/>
        <w:jc w:val="both"/>
        <w:rPr>
          <w:sz w:val="24"/>
          <w:szCs w:val="24"/>
        </w:rPr>
      </w:pPr>
    </w:p>
    <w:sectPr w:rsidR="00BF6F48" w:rsidRPr="00AA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6"/>
    <w:rsid w:val="001B1B42"/>
    <w:rsid w:val="00AA3E26"/>
    <w:rsid w:val="00B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3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E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A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3E2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A3E26"/>
    <w:rPr>
      <w:i/>
      <w:iCs/>
    </w:rPr>
  </w:style>
  <w:style w:type="character" w:styleId="Siln">
    <w:name w:val="Strong"/>
    <w:basedOn w:val="Standardnpsmoodstavce"/>
    <w:uiPriority w:val="22"/>
    <w:qFormat/>
    <w:rsid w:val="00AA3E26"/>
    <w:rPr>
      <w:b/>
      <w:bCs/>
    </w:rPr>
  </w:style>
  <w:style w:type="paragraph" w:customStyle="1" w:styleId="reference">
    <w:name w:val="reference"/>
    <w:basedOn w:val="Normln"/>
    <w:rsid w:val="00A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3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E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A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3E2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A3E26"/>
    <w:rPr>
      <w:i/>
      <w:iCs/>
    </w:rPr>
  </w:style>
  <w:style w:type="character" w:styleId="Siln">
    <w:name w:val="Strong"/>
    <w:basedOn w:val="Standardnpsmoodstavce"/>
    <w:uiPriority w:val="22"/>
    <w:qFormat/>
    <w:rsid w:val="00AA3E26"/>
    <w:rPr>
      <w:b/>
      <w:bCs/>
    </w:rPr>
  </w:style>
  <w:style w:type="paragraph" w:customStyle="1" w:styleId="reference">
    <w:name w:val="reference"/>
    <w:basedOn w:val="Normln"/>
    <w:rsid w:val="00A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media/39922/20-21-euco-final-conclusions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eas.europa.eu/headquarters/headquarters-homepage_en/4011/EU-Moldova%20rela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eas.europa.eu/headquarters/headquarters-homepage/67202/association-implementation-report-moldova_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eas.europa.eu/delegations/moldova_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eas.europa.eu/delegations/moldova_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2019-09-12T11:29:00Z</dcterms:created>
  <dcterms:modified xsi:type="dcterms:W3CDTF">2019-09-12T11:40:00Z</dcterms:modified>
</cp:coreProperties>
</file>