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42" w:rsidRPr="00077342" w:rsidRDefault="00077342" w:rsidP="00AB1082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</w:pPr>
      <w:bookmarkStart w:id="0" w:name="_GoBack"/>
      <w:r w:rsidRPr="00077342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>Výpadek příjmů z DPH: země EU v roce 2017 nedokázaly vybrat DPH ve výši 137 miliard eur</w:t>
      </w:r>
    </w:p>
    <w:p w:rsidR="00077342" w:rsidRPr="007B3B50" w:rsidRDefault="00077342" w:rsidP="00AB108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77342">
        <w:rPr>
          <w:rFonts w:eastAsia="Times New Roman" w:cstheme="minorHAnsi"/>
          <w:b/>
          <w:color w:val="000000"/>
          <w:sz w:val="24"/>
          <w:szCs w:val="24"/>
          <w:lang w:eastAsia="cs-CZ"/>
        </w:rPr>
        <w:t>Brusel 5. září 2019</w:t>
      </w:r>
    </w:p>
    <w:p w:rsidR="00077342" w:rsidRPr="00077342" w:rsidRDefault="00AB1082" w:rsidP="00AB10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Za rok 2017 se v zemích EU na dani z přidané hodnoty (DPH) nevybralo 137 miliard eur, ukazuje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5.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září 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zveřejněná</w:t>
      </w:r>
      <w:proofErr w:type="gramEnd"/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studie Evropské komise. Výpadek příjmů z DPH, tedy celkový rozdíl mezi očekávanými příjmy z DPH a skutečně vybranou částkou, se oproti minulým rokům poněkud snížil, ale je stále velmi vysoký. Existence takto výrazného výpadku opět poukazuje na nutnost komplexní reformy pravidel EU v oblasti DPH, kterou v roce 2017 navrhla Evropská komise. Pro účely boje proti podvodům v oblasti DPH a k tomu, aby pravidla fungovala pro poctivé podnikatele a obchodníky, je také nutná lepší spolupráce mezi členskými státy. Výpadek příjmů z DPH měří efektivitu kroků, které jednotlivé členské státy podnikají k vynucování předpisů v oblasti DPH: poskytuje odhad příjmů ztracených v důsledku daňových podvodů a úniků, vyhýbání se daňovým povinnostem, úpadků a platební neschopnosti i nesprávných výpočtů.</w:t>
      </w:r>
    </w:p>
    <w:p w:rsidR="00077342" w:rsidRPr="00077342" w:rsidRDefault="00AB1082" w:rsidP="00AB10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Komisař pro hospodářské a finanční záležitosti, daně a cla </w:t>
      </w:r>
      <w:proofErr w:type="spellStart"/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Pierre</w:t>
      </w:r>
      <w:proofErr w:type="spellEnd"/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="00077342" w:rsidRPr="00AB108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Moscovici</w:t>
      </w:r>
      <w:proofErr w:type="spellEnd"/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 řekl: </w:t>
      </w:r>
      <w:r w:rsidR="00077342" w:rsidRPr="00AB1082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„Příznivé hospodářské podmínky a určitá krátkodobá opatření, která EU zavedla, pomohly v roce 2017 výpadek příjmů z DPH snížit. K dosažení výraznějšího pokroku je nicméně nutná důkladná reforma systému DPH, která zvýší jeho odolnost vůči podvodům. Naše návrhy na zavedení definitivního a k podnikatelům vstřícného systému DPH zůstávají na stole. Členské státy si nemohou dovolit přihlížet tomu, jak se vinou karuselových podvodů s DPH a nekonzistentnosti systému ztrácejí miliardy eur.“</w:t>
      </w:r>
    </w:p>
    <w:p w:rsidR="00077342" w:rsidRPr="00077342" w:rsidRDefault="00AB1082" w:rsidP="00AB10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Nejvyšší výpadek příjmů z DPH zaznamenalo Rumunsko: v roce 2017 se mu nepodařilo vybrat 36 % příjmů z této daně. Následovaly Řecko (34 %) a Litva (25 %). Naopak nejnižší výpadek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byl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 Švédsku, Lucembursku a na Kypru, kde se v průměru nevybralo jen jedno procento příjmů z DPH. V absolutním vyjádření měla největší výpadek Itálie, ve výši přibližně 33,5 miliardy eur.</w:t>
      </w:r>
    </w:p>
    <w:p w:rsidR="00077342" w:rsidRPr="00077342" w:rsidRDefault="00AB1082" w:rsidP="00AB10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Situace v jednotlivých členských státech se nadále značně liší. Ve 25 z nich se výpadek snížil, ve třech se zvýšil. Dobrých výsledků, a tedy podstatného snížení výpadků svých příjmů z DPH, dosáhly Malta (snížení o 7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%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), Polsko (snížení o 6 p. b.) a Kypr (snížení o 4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6%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.). Solidní výsledky vykázalo i dalších sedm členských států, a to Česko, Slovinsko, Itálie, Lucembursko, Slovensko, Portugalsko a Francie, jimž se podařilo výpadek snížit o více než 2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%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. Výpadek se však znatelně zvýšil v Řecku (2,6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%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.) a v Lotyšsku (1,9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%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) a marginálně v Německu (0,2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%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). </w:t>
      </w:r>
    </w:p>
    <w:p w:rsidR="00077342" w:rsidRPr="00077342" w:rsidRDefault="00077342" w:rsidP="00AB10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77342">
        <w:rPr>
          <w:rFonts w:eastAsia="Times New Roman" w:cstheme="minorHAnsi"/>
          <w:color w:val="000000"/>
          <w:sz w:val="24"/>
          <w:szCs w:val="24"/>
          <w:lang w:eastAsia="cs-CZ"/>
        </w:rPr>
        <w:t>V nominálním vyjádření se výpadek příjmů z DPH v roce 2017 snížil o 8 miliard eur na 137,5 miliardy. V roce 2016 bylo snížení podobné, konkrétně o 7,8 miliardy eur. Výpadek tak v roce 2017 představoval 11,2 % celkových příjmů z DPH v EU, zatímco v předchozím roce to bylo 12,2 %. Tato sestupná tendence nyní trvá již pátým rokem.</w:t>
      </w:r>
    </w:p>
    <w:p w:rsidR="00077342" w:rsidRPr="00077342" w:rsidRDefault="00AB1082" w:rsidP="00AB10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Tato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zveřejněná zpráva o výpadku příjmů z DPH se zaměřuje na rok 2017, jelikož je to poslední období, za které jsou k dispozici kompletní údaje o národních účtech a vlastních zdrojích. Letošní studie však přichází s novinkou: obsahuje prognózu poskytující „rychlý odhad“ výsledků za rok předcházející roku publikace, tj. 2018. Podle tohoto rychlého odhadu bude sestupná tendence výpadku pokračovat, takže v roce 2018 zřejmě poklesne pod 130 miliard eur a 10 % celkové daňové povinnosti k DPH.</w:t>
      </w:r>
    </w:p>
    <w:p w:rsidR="00077342" w:rsidRPr="00077342" w:rsidRDefault="00077342" w:rsidP="00AB10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B108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Souvislosti</w:t>
      </w:r>
    </w:p>
    <w:p w:rsidR="00077342" w:rsidRPr="00077342" w:rsidRDefault="00AB1082" w:rsidP="00AB10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Studie výpadku příjmů z DPH se financuje z rozpočtu EU. Její zjištění jsou užitečná pro EU i členské státy, DPH totiž představuje významný zdroj příjmů pro jejich rozpočty. Studie byla provedena podle tzv. metodiky </w:t>
      </w:r>
      <w:r w:rsidR="00077342" w:rsidRPr="00AB1082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top </w:t>
      </w:r>
      <w:proofErr w:type="spellStart"/>
      <w:r w:rsidR="00077342" w:rsidRPr="00AB1082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down</w:t>
      </w:r>
      <w:proofErr w:type="spellEnd"/>
      <w:r w:rsidR="00077342" w:rsidRPr="00077342">
        <w:rPr>
          <w:rFonts w:eastAsia="Times New Roman" w:cstheme="minorHAnsi"/>
          <w:color w:val="000000"/>
          <w:sz w:val="24"/>
          <w:szCs w:val="24"/>
          <w:lang w:eastAsia="cs-CZ"/>
        </w:rPr>
        <w:t>, kdy k odhadům ušlé DPH využila údaje z národních účtů. Použitá metoda byla v průběhu několika let postupně zdokonalena a nyní nabízí nejlepší kombinaci odhadů, pokud jde o porovnatelnost výsledků a přesnost.</w:t>
      </w:r>
    </w:p>
    <w:p w:rsidR="00077342" w:rsidRPr="00077342" w:rsidRDefault="00077342" w:rsidP="00AB10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B108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Další informace</w:t>
      </w:r>
    </w:p>
    <w:p w:rsidR="00077342" w:rsidRPr="00077342" w:rsidRDefault="00077342" w:rsidP="00AB10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77342">
        <w:rPr>
          <w:rFonts w:eastAsia="Times New Roman" w:cstheme="minorHAnsi"/>
          <w:color w:val="000000"/>
          <w:sz w:val="24"/>
          <w:szCs w:val="24"/>
          <w:lang w:eastAsia="cs-CZ"/>
        </w:rPr>
        <w:t>Další informace naleznete v </w:t>
      </w:r>
      <w:hyperlink r:id="rId5" w:history="1">
        <w:r w:rsidRPr="00AB1082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otázkách a odpovědích</w:t>
        </w:r>
      </w:hyperlink>
      <w:r w:rsidRPr="0007734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077342" w:rsidRPr="00077342" w:rsidRDefault="00077342" w:rsidP="00AB108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77342">
        <w:rPr>
          <w:rFonts w:eastAsia="Times New Roman" w:cstheme="minorHAnsi"/>
          <w:color w:val="000000"/>
          <w:sz w:val="24"/>
          <w:szCs w:val="24"/>
          <w:lang w:eastAsia="cs-CZ"/>
        </w:rPr>
        <w:t>Celá </w:t>
      </w:r>
      <w:hyperlink r:id="rId6" w:history="1">
        <w:r w:rsidRPr="00AB1082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zpráva</w:t>
        </w:r>
      </w:hyperlink>
      <w:r w:rsidRPr="00077342">
        <w:rPr>
          <w:rFonts w:eastAsia="Times New Roman" w:cstheme="minorHAnsi"/>
          <w:color w:val="000000"/>
          <w:sz w:val="24"/>
          <w:szCs w:val="24"/>
          <w:lang w:eastAsia="cs-CZ"/>
        </w:rPr>
        <w:t> a </w:t>
      </w:r>
      <w:hyperlink r:id="rId7" w:history="1">
        <w:r w:rsidRPr="00AB1082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informativní přehled</w:t>
        </w:r>
      </w:hyperlink>
      <w:r w:rsidRPr="00077342">
        <w:rPr>
          <w:rFonts w:eastAsia="Times New Roman" w:cstheme="minorHAnsi"/>
          <w:color w:val="000000"/>
          <w:sz w:val="24"/>
          <w:szCs w:val="24"/>
          <w:lang w:eastAsia="cs-CZ"/>
        </w:rPr>
        <w:t> jsou k dispozici </w:t>
      </w:r>
      <w:hyperlink r:id="rId8" w:history="1">
        <w:r w:rsidRPr="00AB1082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zde</w:t>
        </w:r>
      </w:hyperlink>
      <w:r w:rsidRPr="0007734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bookmarkEnd w:id="0"/>
    <w:p w:rsidR="00BF0491" w:rsidRPr="00AB1082" w:rsidRDefault="00BF0491" w:rsidP="00AB1082">
      <w:pPr>
        <w:spacing w:after="0"/>
        <w:jc w:val="both"/>
        <w:rPr>
          <w:rFonts w:cstheme="minorHAnsi"/>
          <w:sz w:val="24"/>
          <w:szCs w:val="24"/>
        </w:rPr>
      </w:pPr>
    </w:p>
    <w:sectPr w:rsidR="00BF0491" w:rsidRPr="00AB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42"/>
    <w:rsid w:val="00077342"/>
    <w:rsid w:val="000D6F51"/>
    <w:rsid w:val="003C3A1D"/>
    <w:rsid w:val="007B3B50"/>
    <w:rsid w:val="00874344"/>
    <w:rsid w:val="00AB1082"/>
    <w:rsid w:val="00B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7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73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07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7342"/>
    <w:rPr>
      <w:b/>
      <w:bCs/>
    </w:rPr>
  </w:style>
  <w:style w:type="character" w:styleId="Zvraznn">
    <w:name w:val="Emphasis"/>
    <w:basedOn w:val="Standardnpsmoodstavce"/>
    <w:uiPriority w:val="20"/>
    <w:qFormat/>
    <w:rsid w:val="0007734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77342"/>
    <w:rPr>
      <w:color w:val="0000FF"/>
      <w:u w:val="single"/>
    </w:rPr>
  </w:style>
  <w:style w:type="paragraph" w:customStyle="1" w:styleId="reference">
    <w:name w:val="reference"/>
    <w:basedOn w:val="Normln"/>
    <w:rsid w:val="0007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7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73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07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7342"/>
    <w:rPr>
      <w:b/>
      <w:bCs/>
    </w:rPr>
  </w:style>
  <w:style w:type="character" w:styleId="Zvraznn">
    <w:name w:val="Emphasis"/>
    <w:basedOn w:val="Standardnpsmoodstavce"/>
    <w:uiPriority w:val="20"/>
    <w:qFormat/>
    <w:rsid w:val="0007734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77342"/>
    <w:rPr>
      <w:color w:val="0000FF"/>
      <w:u w:val="single"/>
    </w:rPr>
  </w:style>
  <w:style w:type="paragraph" w:customStyle="1" w:styleId="reference">
    <w:name w:val="reference"/>
    <w:basedOn w:val="Normln"/>
    <w:rsid w:val="0007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axation_customs/business/tax-cooperation-control/vat-gap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taxation_customs/sites/taxation/files/vat-gap-factsheet-2019_e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taxation_customs/sites/taxation/files/vat-gap-full-report-2019_en.pdf" TargetMode="External"/><Relationship Id="rId5" Type="http://schemas.openxmlformats.org/officeDocument/2006/relationships/hyperlink" Target="https://ec.europa.eu/commission/presscorner/detail/en/qanda_19_55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2019-09-05T12:39:00Z</dcterms:created>
  <dcterms:modified xsi:type="dcterms:W3CDTF">2019-09-05T12:39:00Z</dcterms:modified>
</cp:coreProperties>
</file>