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8C" w:rsidRPr="00C26F49" w:rsidRDefault="00953C8C" w:rsidP="00CE1652">
      <w:pPr>
        <w:shd w:val="clear" w:color="auto" w:fill="FFFFFF"/>
        <w:spacing w:after="0" w:line="240" w:lineRule="auto"/>
        <w:jc w:val="both"/>
        <w:outlineLvl w:val="0"/>
        <w:rPr>
          <w:rFonts w:eastAsia="Times New Roman" w:cstheme="minorHAnsi"/>
          <w:b/>
          <w:kern w:val="36"/>
          <w:sz w:val="24"/>
          <w:szCs w:val="24"/>
          <w:lang w:eastAsia="cs-CZ"/>
        </w:rPr>
      </w:pPr>
      <w:bookmarkStart w:id="0" w:name="_GoBack"/>
      <w:r w:rsidRPr="00C26F49">
        <w:rPr>
          <w:rFonts w:eastAsia="Times New Roman" w:cstheme="minorHAnsi"/>
          <w:b/>
          <w:kern w:val="36"/>
          <w:sz w:val="24"/>
          <w:szCs w:val="24"/>
          <w:lang w:eastAsia="cs-CZ"/>
        </w:rPr>
        <w:t>VAT Gap: Často kladené otázky</w:t>
      </w:r>
    </w:p>
    <w:p w:rsidR="00953C8C" w:rsidRPr="000E5D73" w:rsidRDefault="00953C8C" w:rsidP="00CE1652">
      <w:pPr>
        <w:shd w:val="clear" w:color="auto" w:fill="FFFFFF"/>
        <w:spacing w:after="0" w:line="240" w:lineRule="auto"/>
        <w:jc w:val="both"/>
        <w:rPr>
          <w:rFonts w:ascii="Verdana" w:eastAsia="Times New Roman" w:hAnsi="Verdana" w:cs="Times New Roman"/>
          <w:sz w:val="18"/>
          <w:szCs w:val="18"/>
          <w:lang w:eastAsia="cs-CZ"/>
        </w:rPr>
      </w:pPr>
      <w:r w:rsidRPr="000E5D73">
        <w:rPr>
          <w:rFonts w:ascii="Verdana" w:eastAsia="Times New Roman" w:hAnsi="Verdana" w:cs="Times New Roman"/>
          <w:sz w:val="18"/>
          <w:szCs w:val="18"/>
          <w:lang w:eastAsia="cs-CZ"/>
        </w:rPr>
        <w:t>QANDA/19/5513</w:t>
      </w:r>
    </w:p>
    <w:p w:rsidR="00953C8C" w:rsidRPr="00C26F49" w:rsidRDefault="00953C8C" w:rsidP="00CE1652">
      <w:pPr>
        <w:shd w:val="clear" w:color="auto" w:fill="FFFFFF"/>
        <w:spacing w:after="0" w:line="240" w:lineRule="auto"/>
        <w:jc w:val="both"/>
        <w:outlineLvl w:val="0"/>
        <w:rPr>
          <w:rFonts w:eastAsia="Times New Roman" w:cstheme="minorHAnsi"/>
          <w:b/>
          <w:kern w:val="36"/>
          <w:sz w:val="24"/>
          <w:szCs w:val="24"/>
          <w:lang w:eastAsia="cs-CZ"/>
        </w:rPr>
      </w:pPr>
      <w:r w:rsidRPr="00C26F49">
        <w:rPr>
          <w:rFonts w:eastAsia="Times New Roman" w:cstheme="minorHAnsi"/>
          <w:b/>
          <w:kern w:val="36"/>
          <w:sz w:val="24"/>
          <w:szCs w:val="24"/>
          <w:lang w:eastAsia="cs-CZ"/>
        </w:rPr>
        <w:t>Co je to DPH</w:t>
      </w:r>
    </w:p>
    <w:p w:rsidR="00953C8C" w:rsidRPr="00C26F49" w:rsidRDefault="00953C8C"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Daň z přidané hodnoty (DPH) je spotřební daň, která se účtuje za většinu zboží a služeb obchodovaných v EU. Daň se vybírá z „přidané hodnoty“ k produktu v každé fázi výroby a distribuce. To znamená, že DPH je účtována, když podniky registrované k DPH prodávají jiným podnikům (B-2-B) nebo konečnému spotřebiteli (B-2-C). Účelem DPH je „neutrální“</w:t>
      </w:r>
      <w:r w:rsidR="00CE1652" w:rsidRPr="00C26F49">
        <w:rPr>
          <w:rFonts w:eastAsia="Times New Roman" w:cstheme="minorHAnsi"/>
          <w:kern w:val="36"/>
          <w:sz w:val="24"/>
          <w:szCs w:val="24"/>
          <w:lang w:eastAsia="cs-CZ"/>
        </w:rPr>
        <w:t xml:space="preserve"> daň</w:t>
      </w:r>
      <w:r w:rsidRPr="00C26F49">
        <w:rPr>
          <w:rFonts w:eastAsia="Times New Roman" w:cstheme="minorHAnsi"/>
          <w:kern w:val="36"/>
          <w:sz w:val="24"/>
          <w:szCs w:val="24"/>
          <w:lang w:eastAsia="cs-CZ"/>
        </w:rPr>
        <w:t>, jelikož podniky mohou získat zpět jakoukoli DPH, kterou platí za zboží nebo služby. Nakonec by konečný spotřebitel měl být jediný, kdo je skutečně zdaněn. Podnikům je přiděleno identifikační číslo pro DPH a musí na svých fakturách uvádět DPH účtovanou zákazníkům. Systém DPH v EU se řídí společným právním rámcem.</w:t>
      </w:r>
    </w:p>
    <w:p w:rsidR="00953C8C" w:rsidRPr="00C26F49" w:rsidRDefault="00953C8C" w:rsidP="00CE1652">
      <w:pPr>
        <w:shd w:val="clear" w:color="auto" w:fill="FFFFFF"/>
        <w:spacing w:after="0" w:line="240" w:lineRule="auto"/>
        <w:jc w:val="both"/>
        <w:outlineLvl w:val="0"/>
        <w:rPr>
          <w:rFonts w:eastAsia="Times New Roman" w:cstheme="minorHAnsi"/>
          <w:b/>
          <w:kern w:val="36"/>
          <w:sz w:val="24"/>
          <w:szCs w:val="24"/>
          <w:lang w:eastAsia="cs-CZ"/>
        </w:rPr>
      </w:pPr>
      <w:r w:rsidRPr="00C26F49">
        <w:rPr>
          <w:rFonts w:eastAsia="Times New Roman" w:cstheme="minorHAnsi"/>
          <w:b/>
          <w:kern w:val="36"/>
          <w:sz w:val="24"/>
          <w:szCs w:val="24"/>
          <w:lang w:eastAsia="cs-CZ"/>
        </w:rPr>
        <w:t>Co je mezera v DPH</w:t>
      </w:r>
    </w:p>
    <w:p w:rsidR="00953C8C" w:rsidRPr="00C26F49" w:rsidRDefault="00953C8C"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Mezera v DPH je celkový rozdíl mezi očekávanými příjmy z DPH a skutečně vybranou částkou. Mezera DPH je definována jako rozdíl mezi částkou skutečně vybrané částky DPH a celkovou daňovou povinností k DPH (VTTL) v absolutním nebo procentním vyjádření. VTTL je odhadovaná částka DPH, která je teoreticky vybírána na základě právních předpisů o DPH a souvisejících předpisů.</w:t>
      </w:r>
    </w:p>
    <w:p w:rsidR="00953C8C" w:rsidRPr="00C26F49" w:rsidRDefault="00953C8C"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Mezera v DPH měří účinnost opatření na vymáhání DPH a dodržování předpisů v každém členském státě, protože poskytuje odhad ztrát příjmů způsobených podvody a úniky, vyhýbáním se daňovým povinnostem, bankrotem, finančními úpadky a nesprávným výpočtem.</w:t>
      </w:r>
    </w:p>
    <w:p w:rsidR="00953C8C" w:rsidRPr="00C26F49" w:rsidRDefault="00953C8C"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Jaká jsou hlavní zjištění zprávy o DPH za rok 2017?</w:t>
      </w:r>
    </w:p>
    <w:p w:rsidR="00953C8C" w:rsidRPr="00C26F49" w:rsidRDefault="00953C8C"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Během roku 2017 se celková daňová povinnost k DPH (VTTL) pro členské státy EU zvýšila o 2,9%, zatímco příjmy z DPH vzrostly o 4,1%. V důsledku toho se celková mezera v DPH v členských státech EU snížila </w:t>
      </w:r>
      <w:proofErr w:type="gramStart"/>
      <w:r w:rsidRPr="00C26F49">
        <w:rPr>
          <w:rFonts w:eastAsia="Times New Roman" w:cstheme="minorHAnsi"/>
          <w:kern w:val="36"/>
          <w:sz w:val="24"/>
          <w:szCs w:val="24"/>
          <w:lang w:eastAsia="cs-CZ"/>
        </w:rPr>
        <w:t>ze</w:t>
      </w:r>
      <w:proofErr w:type="gramEnd"/>
      <w:r w:rsidRPr="00C26F49">
        <w:rPr>
          <w:rFonts w:eastAsia="Times New Roman" w:cstheme="minorHAnsi"/>
          <w:kern w:val="36"/>
          <w:sz w:val="24"/>
          <w:szCs w:val="24"/>
          <w:lang w:eastAsia="cs-CZ"/>
        </w:rPr>
        <w:t xml:space="preserve"> 145,4 miliard EUR v roce 2016 na 137,5 miliard EUR v roce 2017. V relativním vyjádření se mezera v celé EU snížila z 11,2% v roce 2016 na 11,2%.</w:t>
      </w:r>
    </w:p>
    <w:p w:rsidR="00953C8C" w:rsidRPr="00C26F49" w:rsidRDefault="00953C8C"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V roce 2017 se odhadované mezery členských států v oblasti DPH pohybovaly od 0,6% na Kypru po 35,5% v Rumunsku. Celkově se mezera v DPH ve většině členských států snížila, s největším zlepšením zaznamenaným na Maltě, v Polsku, na Kypru, ve Slovinsku, Itálii, Lucembursku, na Slovensku, v Portugalsku, v Česku a ve Francii a ve třech se zvýšila: v Řecku, </w:t>
      </w:r>
    </w:p>
    <w:p w:rsidR="00CE1652" w:rsidRPr="00C26F49" w:rsidRDefault="00CE1652" w:rsidP="00CE1652">
      <w:pPr>
        <w:shd w:val="clear" w:color="auto" w:fill="FFFFFF"/>
        <w:spacing w:after="0" w:line="240" w:lineRule="auto"/>
        <w:jc w:val="both"/>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Lotyšsku a nepatrně v </w:t>
      </w:r>
      <w:proofErr w:type="gramStart"/>
      <w:r w:rsidRPr="00C26F49">
        <w:rPr>
          <w:rFonts w:eastAsia="Times New Roman" w:cstheme="minorHAnsi"/>
          <w:kern w:val="36"/>
          <w:sz w:val="24"/>
          <w:szCs w:val="24"/>
          <w:lang w:eastAsia="cs-CZ"/>
        </w:rPr>
        <w:t>Německu .</w:t>
      </w:r>
      <w:proofErr w:type="gramEnd"/>
    </w:p>
    <w:p w:rsidR="00CE1652" w:rsidRPr="00C26F49" w:rsidRDefault="00CE1652" w:rsidP="00953C8C">
      <w:pPr>
        <w:shd w:val="clear" w:color="auto" w:fill="FFFFFF"/>
        <w:spacing w:after="150" w:line="240" w:lineRule="auto"/>
        <w:outlineLvl w:val="0"/>
        <w:rPr>
          <w:rFonts w:eastAsia="Times New Roman" w:cstheme="minorHAnsi"/>
          <w:kern w:val="36"/>
          <w:sz w:val="24"/>
          <w:szCs w:val="24"/>
          <w:lang w:eastAsia="cs-CZ"/>
        </w:rPr>
      </w:pPr>
    </w:p>
    <w:tbl>
      <w:tblPr>
        <w:tblStyle w:val="Mkatabulky"/>
        <w:tblW w:w="0" w:type="auto"/>
        <w:tblLook w:val="04A0" w:firstRow="1" w:lastRow="0" w:firstColumn="1" w:lastColumn="0" w:noHBand="0" w:noVBand="1"/>
      </w:tblPr>
      <w:tblGrid>
        <w:gridCol w:w="2302"/>
        <w:gridCol w:w="1151"/>
        <w:gridCol w:w="1151"/>
        <w:gridCol w:w="2304"/>
        <w:gridCol w:w="1152"/>
        <w:gridCol w:w="1152"/>
      </w:tblGrid>
      <w:tr w:rsidR="00C26F49"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členský stát </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GAP DPH</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příjmy v </w:t>
            </w:r>
            <w:proofErr w:type="gramStart"/>
            <w:r w:rsidRPr="00C26F49">
              <w:rPr>
                <w:rFonts w:eastAsia="Times New Roman" w:cstheme="minorHAnsi"/>
                <w:kern w:val="36"/>
                <w:sz w:val="24"/>
                <w:szCs w:val="24"/>
                <w:lang w:eastAsia="cs-CZ"/>
              </w:rPr>
              <w:t>mil.€</w:t>
            </w:r>
            <w:proofErr w:type="gramEnd"/>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Členský stát </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GAP DPH</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příjmy v </w:t>
            </w:r>
            <w:proofErr w:type="gramStart"/>
            <w:r w:rsidRPr="00C26F49">
              <w:rPr>
                <w:rFonts w:eastAsia="Times New Roman" w:cstheme="minorHAnsi"/>
                <w:kern w:val="36"/>
                <w:sz w:val="24"/>
                <w:szCs w:val="24"/>
                <w:lang w:eastAsia="cs-CZ"/>
              </w:rPr>
              <w:t>mil.€</w:t>
            </w:r>
            <w:proofErr w:type="gramEnd"/>
          </w:p>
        </w:tc>
      </w:tr>
      <w:tr w:rsidR="00CE1652"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Belgie</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12%</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3996</w:t>
            </w:r>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Litva</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25%</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1119</w:t>
            </w:r>
          </w:p>
        </w:tc>
      </w:tr>
      <w:tr w:rsidR="00CE1652"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Bulharsko</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12%</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625</w:t>
            </w:r>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Lucembursko</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23</w:t>
            </w:r>
          </w:p>
        </w:tc>
      </w:tr>
      <w:tr w:rsidR="00CE1652"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Česko</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12%</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2082</w:t>
            </w:r>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Maďarsko </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14%</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1893</w:t>
            </w:r>
          </w:p>
        </w:tc>
      </w:tr>
      <w:tr w:rsidR="00CE1652"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Dánsko</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7%</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2235</w:t>
            </w:r>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Malta</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13</w:t>
            </w:r>
          </w:p>
        </w:tc>
      </w:tr>
      <w:tr w:rsidR="00CE1652"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Německo</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10%</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25016</w:t>
            </w:r>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Nizozemí</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5%</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2744</w:t>
            </w:r>
          </w:p>
        </w:tc>
      </w:tr>
      <w:tr w:rsidR="00CE1652" w:rsidRPr="00C26F49" w:rsidTr="002226CF">
        <w:tc>
          <w:tcPr>
            <w:tcW w:w="2302"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Estonsko</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5%</w:t>
            </w:r>
          </w:p>
        </w:tc>
        <w:tc>
          <w:tcPr>
            <w:tcW w:w="1151"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122</w:t>
            </w:r>
          </w:p>
        </w:tc>
        <w:tc>
          <w:tcPr>
            <w:tcW w:w="2304" w:type="dxa"/>
          </w:tcPr>
          <w:p w:rsidR="00CE1652" w:rsidRPr="00C26F49" w:rsidRDefault="00CE1652"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Rakousko</w:t>
            </w:r>
          </w:p>
        </w:tc>
        <w:tc>
          <w:tcPr>
            <w:tcW w:w="1152" w:type="dxa"/>
          </w:tcPr>
          <w:p w:rsidR="00CE1652" w:rsidRPr="00C26F49" w:rsidRDefault="00CE1652"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8%</w:t>
            </w:r>
          </w:p>
        </w:tc>
        <w:tc>
          <w:tcPr>
            <w:tcW w:w="1152" w:type="dxa"/>
          </w:tcPr>
          <w:p w:rsidR="00CE1652"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2444</w:t>
            </w:r>
          </w:p>
        </w:tc>
      </w:tr>
      <w:tr w:rsidR="009054B9" w:rsidRPr="00C26F49" w:rsidTr="002226CF">
        <w:tc>
          <w:tcPr>
            <w:tcW w:w="2302"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Irsko</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13%</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1938</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Polsko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14%</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5764</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Řecko</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34%</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7399</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Portugalsko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10%</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1929</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lastRenderedPageBreak/>
              <w:t>Španělsko</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1896</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Rumunsko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36%</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6413</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Francie</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7%</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12030</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Slovinsko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4%</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128</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Chorvatsko</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7%</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459</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Slovensko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23%</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1791</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 xml:space="preserve">Itálie </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24%</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33629</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Finsko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7%</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1622</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Kypr</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11</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Švédsko</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654</w:t>
            </w:r>
          </w:p>
        </w:tc>
      </w:tr>
      <w:tr w:rsidR="009054B9" w:rsidRPr="00C26F49" w:rsidTr="002226CF">
        <w:tc>
          <w:tcPr>
            <w:tcW w:w="2302" w:type="dxa"/>
          </w:tcPr>
          <w:p w:rsidR="009054B9" w:rsidRPr="00C26F49" w:rsidRDefault="009054B9" w:rsidP="009054B9">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Lotyšsko</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15%</w:t>
            </w:r>
          </w:p>
        </w:tc>
        <w:tc>
          <w:tcPr>
            <w:tcW w:w="1151"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385</w:t>
            </w:r>
          </w:p>
        </w:tc>
        <w:tc>
          <w:tcPr>
            <w:tcW w:w="2304" w:type="dxa"/>
          </w:tcPr>
          <w:p w:rsidR="009054B9" w:rsidRPr="00C26F49" w:rsidRDefault="009054B9" w:rsidP="00953C8C">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Spojené království</w:t>
            </w:r>
          </w:p>
        </w:tc>
        <w:tc>
          <w:tcPr>
            <w:tcW w:w="1152" w:type="dxa"/>
          </w:tcPr>
          <w:p w:rsidR="009054B9" w:rsidRPr="00C26F49" w:rsidRDefault="009054B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11%</w:t>
            </w:r>
          </w:p>
        </w:tc>
        <w:tc>
          <w:tcPr>
            <w:tcW w:w="1152" w:type="dxa"/>
          </w:tcPr>
          <w:p w:rsidR="009054B9" w:rsidRPr="00C26F49" w:rsidRDefault="00C26F49" w:rsidP="00D10475">
            <w:pPr>
              <w:spacing w:after="150"/>
              <w:outlineLvl w:val="0"/>
              <w:rPr>
                <w:rFonts w:eastAsia="Times New Roman" w:cstheme="minorHAnsi"/>
                <w:kern w:val="36"/>
                <w:sz w:val="24"/>
                <w:szCs w:val="24"/>
                <w:lang w:eastAsia="cs-CZ"/>
              </w:rPr>
            </w:pPr>
            <w:r w:rsidRPr="00C26F49">
              <w:rPr>
                <w:rFonts w:eastAsia="Times New Roman" w:cstheme="minorHAnsi"/>
                <w:kern w:val="36"/>
                <w:sz w:val="24"/>
                <w:szCs w:val="24"/>
                <w:lang w:eastAsia="cs-CZ"/>
              </w:rPr>
              <w:t>19199</w:t>
            </w:r>
          </w:p>
        </w:tc>
      </w:tr>
    </w:tbl>
    <w:tbl>
      <w:tblPr>
        <w:tblW w:w="0" w:type="auto"/>
        <w:tblCellSpacing w:w="15" w:type="dxa"/>
        <w:tblInd w:w="1164" w:type="dxa"/>
        <w:tblCellMar>
          <w:top w:w="15" w:type="dxa"/>
          <w:left w:w="15" w:type="dxa"/>
          <w:bottom w:w="15" w:type="dxa"/>
          <w:right w:w="15" w:type="dxa"/>
        </w:tblCellMar>
        <w:tblLook w:val="04A0" w:firstRow="1" w:lastRow="0" w:firstColumn="1" w:lastColumn="0" w:noHBand="0" w:noVBand="1"/>
      </w:tblPr>
      <w:tblGrid>
        <w:gridCol w:w="117"/>
        <w:gridCol w:w="1038"/>
        <w:gridCol w:w="1158"/>
        <w:gridCol w:w="1602"/>
        <w:gridCol w:w="1266"/>
        <w:gridCol w:w="1281"/>
      </w:tblGrid>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953C8C" w:rsidP="000E5D73">
            <w:pPr>
              <w:spacing w:after="0" w:line="240" w:lineRule="auto"/>
              <w:rPr>
                <w:rFonts w:ascii="inherit" w:eastAsia="Times New Roman" w:hAnsi="inherit" w:cs="Times New Roman"/>
                <w:sz w:val="24"/>
                <w:szCs w:val="24"/>
                <w:lang w:eastAsia="cs-CZ"/>
              </w:rPr>
            </w:pPr>
            <w:r w:rsidRPr="00C26F49">
              <w:rPr>
                <w:rFonts w:eastAsia="Times New Roman" w:cstheme="minorHAnsi"/>
                <w:kern w:val="36"/>
                <w:sz w:val="24"/>
                <w:szCs w:val="24"/>
                <w:lang w:eastAsia="cs-CZ"/>
              </w:rPr>
              <w:t> </w:t>
            </w: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9054B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r w:rsidR="00C26F49" w:rsidRPr="000E5D73" w:rsidTr="00C26F49">
        <w:trPr>
          <w:tblCellSpacing w:w="15" w:type="dxa"/>
        </w:trPr>
        <w:tc>
          <w:tcPr>
            <w:tcW w:w="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00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128"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572"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c>
          <w:tcPr>
            <w:tcW w:w="1236" w:type="dxa"/>
            <w:tcBorders>
              <w:top w:val="nil"/>
              <w:left w:val="nil"/>
              <w:bottom w:val="nil"/>
              <w:right w:val="nil"/>
            </w:tcBorders>
            <w:tcMar>
              <w:top w:w="0" w:type="dxa"/>
              <w:left w:w="0" w:type="dxa"/>
              <w:bottom w:w="0" w:type="dxa"/>
              <w:right w:w="0" w:type="dxa"/>
            </w:tcMar>
            <w:vAlign w:val="center"/>
          </w:tcPr>
          <w:p w:rsidR="000E5D73" w:rsidRPr="000E5D73" w:rsidRDefault="000E5D73" w:rsidP="000E5D73">
            <w:pPr>
              <w:spacing w:after="0" w:line="240" w:lineRule="auto"/>
              <w:rPr>
                <w:rFonts w:ascii="inherit" w:eastAsia="Times New Roman" w:hAnsi="inherit" w:cs="Times New Roman"/>
                <w:sz w:val="24"/>
                <w:szCs w:val="24"/>
                <w:lang w:eastAsia="cs-CZ"/>
              </w:rPr>
            </w:pPr>
          </w:p>
        </w:tc>
      </w:tr>
    </w:tbl>
    <w:p w:rsidR="00C26F49" w:rsidRPr="00C26F49" w:rsidRDefault="000E5D73" w:rsidP="00C26F49">
      <w:pPr>
        <w:shd w:val="clear" w:color="auto" w:fill="FFFFFF"/>
        <w:spacing w:after="0" w:line="240" w:lineRule="auto"/>
        <w:jc w:val="both"/>
        <w:rPr>
          <w:rFonts w:eastAsia="Times New Roman" w:cstheme="minorHAnsi"/>
          <w:b/>
          <w:sz w:val="24"/>
          <w:szCs w:val="24"/>
          <w:lang w:eastAsia="cs-CZ"/>
        </w:rPr>
      </w:pPr>
      <w:r w:rsidRPr="000E5D73">
        <w:rPr>
          <w:rFonts w:eastAsia="Times New Roman" w:cstheme="minorHAnsi"/>
          <w:sz w:val="24"/>
          <w:szCs w:val="24"/>
          <w:lang w:eastAsia="cs-CZ"/>
        </w:rPr>
        <w:t> </w:t>
      </w:r>
      <w:r w:rsidR="00C26F49" w:rsidRPr="00C26F49">
        <w:rPr>
          <w:rFonts w:eastAsia="Times New Roman" w:cstheme="minorHAnsi"/>
          <w:b/>
          <w:sz w:val="24"/>
          <w:szCs w:val="24"/>
          <w:lang w:eastAsia="cs-CZ"/>
        </w:rPr>
        <w:t>Co se dělá na úrovni EU s cílem zlepšit výběr DPH</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Od začátku funkčního období Junckerovy komise bylo dosaženo velkého pokroku v posílení schopnosti členských států spravovat a vybírat DPH ve svých zemích:</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xml:space="preserve">• V roce 2015 vstoupila v platnost nová pravidla pro prodej elektronických služeb online, která členským státům umožňují vybírat DPH tam, kde je spotřebitel umístěn - základní </w:t>
      </w:r>
      <w:proofErr w:type="spellStart"/>
      <w:r w:rsidRPr="00C26F49">
        <w:rPr>
          <w:rFonts w:eastAsia="Times New Roman" w:cstheme="minorHAnsi"/>
          <w:sz w:val="24"/>
          <w:szCs w:val="24"/>
          <w:lang w:eastAsia="cs-CZ"/>
        </w:rPr>
        <w:t>základní</w:t>
      </w:r>
      <w:proofErr w:type="spellEnd"/>
      <w:r w:rsidRPr="00C26F49">
        <w:rPr>
          <w:rFonts w:eastAsia="Times New Roman" w:cstheme="minorHAnsi"/>
          <w:sz w:val="24"/>
          <w:szCs w:val="24"/>
          <w:lang w:eastAsia="cs-CZ"/>
        </w:rPr>
        <w:t xml:space="preserve"> princip daně. To je umožněno prostřednictvím „</w:t>
      </w:r>
      <w:proofErr w:type="spellStart"/>
      <w:r w:rsidRPr="00C26F49">
        <w:rPr>
          <w:rFonts w:eastAsia="Times New Roman" w:cstheme="minorHAnsi"/>
          <w:sz w:val="24"/>
          <w:szCs w:val="24"/>
          <w:lang w:eastAsia="cs-CZ"/>
        </w:rPr>
        <w:t>One</w:t>
      </w:r>
      <w:proofErr w:type="spellEnd"/>
      <w:r w:rsidRPr="00C26F49">
        <w:rPr>
          <w:rFonts w:eastAsia="Times New Roman" w:cstheme="minorHAnsi"/>
          <w:sz w:val="24"/>
          <w:szCs w:val="24"/>
          <w:lang w:eastAsia="cs-CZ"/>
        </w:rPr>
        <w:t xml:space="preserve"> Stop </w:t>
      </w:r>
      <w:proofErr w:type="spellStart"/>
      <w:r w:rsidRPr="00C26F49">
        <w:rPr>
          <w:rFonts w:eastAsia="Times New Roman" w:cstheme="minorHAnsi"/>
          <w:sz w:val="24"/>
          <w:szCs w:val="24"/>
          <w:lang w:eastAsia="cs-CZ"/>
        </w:rPr>
        <w:t>Shop</w:t>
      </w:r>
      <w:proofErr w:type="spellEnd"/>
      <w:r w:rsidRPr="00C26F49">
        <w:rPr>
          <w:rFonts w:eastAsia="Times New Roman" w:cstheme="minorHAnsi"/>
          <w:sz w:val="24"/>
          <w:szCs w:val="24"/>
          <w:lang w:eastAsia="cs-CZ"/>
        </w:rPr>
        <w:t>“, který umožňuje obchodníkům postarat se o všechny své povinnosti týkající se DPH pomocí jednoho online portálu.</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V roce 2017 se členské státy také nyní dohodly na rozšíření tohoto nového systému na prodej zboží online, což přináší další podporu pro výběr DPH v EU a pomáhá orgánům získat zpět každoročně odhadovanou 5 miliard EUR DPH ztracenou při online prodeji. Poprvé budou online tržiště rovněž odpovědná za to, že budou vybírány DPH z prodeje na jejich platformách, které uskutečňují společnosti ze třetích zemí spotřebitelům v EU.</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V roce 2018 se EU rovněž dohodla na průkopnickém novém rámci pro výměnu více informací a posílení spolupráce mezi vnitrostátními daňovými orgány a donucovacími orgány. Jakmile vstoupí v platnost, budou si členské státy moci vyměňovat relevantnější informace a užší spolupráci v boji proti zločineckým organizacím, včetně teroristů.</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xml:space="preserve">Členské státy by nyní měly pokročit vpřed a co nejdříve se dohodnout na mnohem širší reformě zaměřené na omezení podvodů s DPH v systému EU, jak navrhuje Komise v roce 2017. Podvody s DPH vyplývají ze slabých stránek současného systému DPH a ze způsobu, jakým daňové správy spravují výběr DPH. Protože DPH je pro členské státy významným zdrojem příjmů, mají ztráty na DPH, včetně ztrát způsobených podvody s DPH, velký dopad </w:t>
      </w:r>
      <w:r w:rsidRPr="00C26F49">
        <w:rPr>
          <w:rFonts w:eastAsia="Times New Roman" w:cstheme="minorHAnsi"/>
          <w:sz w:val="24"/>
          <w:szCs w:val="24"/>
          <w:lang w:eastAsia="cs-CZ"/>
        </w:rPr>
        <w:lastRenderedPageBreak/>
        <w:t>na státní rozpočet. Nová pravidla by pomohla učinit systém DPH mnohem odolnějším vůči podvodům a snadnějším používáním pro podnikání a zároveň přinést tolik potřebné příjmy pro členské státy.</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Jaká metodika byla použita pro výpočet mezery v DPH?</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xml:space="preserve">Studie odvozuje VTTL pro každou zemi z národních účtů mapováním informací o různých sazbách DPH (standardní, snížené a osvobození) na údaje, které jsou k dispozici o konečné a </w:t>
      </w:r>
      <w:proofErr w:type="spellStart"/>
      <w:r w:rsidRPr="00C26F49">
        <w:rPr>
          <w:rFonts w:eastAsia="Times New Roman" w:cstheme="minorHAnsi"/>
          <w:sz w:val="24"/>
          <w:szCs w:val="24"/>
          <w:lang w:eastAsia="cs-CZ"/>
        </w:rPr>
        <w:t>mezispotřebě</w:t>
      </w:r>
      <w:proofErr w:type="spellEnd"/>
      <w:r w:rsidRPr="00C26F49">
        <w:rPr>
          <w:rFonts w:eastAsia="Times New Roman" w:cstheme="minorHAnsi"/>
          <w:sz w:val="24"/>
          <w:szCs w:val="24"/>
          <w:lang w:eastAsia="cs-CZ"/>
        </w:rPr>
        <w:t>, spolu s dalšími informacemi poskytnutými členskými státy. To znamená, že kvalita odhadů mezery v DPH závisí na přesnosti a úplnosti údajů národních účtů.</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Pokud jsou údaje národních účtů spolehlivé, je metodika dostatečně přesná, aby bylo možné odhadnout mezeru v DPH. Hlavním omezením metodiky je kvalita národních účtů: shromažďování lepších údajů a méně spoléhání se na odhady. Kromě toho členské státy používají odlišnou metodiku k odhadu neformální ekonomiky a její zohlednění ve svých národních účtech, což nepřímo ovlivňuje údaje o mezerách v DPH.</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Co způsobuje takové rozdíly v mezeře DPH mezi členskými státy?</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Změny v mezeře DPH odrážejí rozdíly v členských státech, pokud jde o dodržování daňových předpisů, podvody, vyhýbání se daňovým povinnostem, bankroty, platební neschopnost a správu daní. Odhady rovněž odrážejí strukturální rozdíly v národních ekonomikách a další proměnné. Na velikost mezery v DPH by mohly mít dopad i nepřímé okolnosti, jako je organizace vnitrostátních statistik.</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Co je to politická mezera?</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Mezera v politice je ukazatelem dodatečných příjmů z DPH, které by členský stát mohl teoreticky vybírat, kdyby uplatňoval jednotnou sazbu DPH na veškerou spotřebu zboží a služeb dodávaných za úplatu.</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Mezera v politice, jak je definována výše, může být zase rozdělena na mezeru a mezeru výjimek. Jak naznačuje terminologie, míra rozdílů představuje potenciální ztrátu příjmů v důsledku existence snížených sazeb, zatímco mezera výjimek představuje potenciální ztrátu příjmů v důsledku existence osvobozených dodávek zboží a služeb.</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xml:space="preserve">Mezera výjimek nebo průměrný podíl „ideálních příjmů“ ztracených v důsledku různých výjimek je obvykle větší z těchto dvou hodnot a v EU dosahuje průměrně 35%. Členské státy s nejvyšší mezerou pro výjimku jsou Španělsko (46,4%) a Spojené království (44,3%), zatímco nejnižší hodnota mezery pro výjimku byla zaznamenána na Kypru (15,9%) a v šesti dalších zemích (Bulharsko, Chorvatsko, Litva, Lucembursko, Malta a Rumunsko) byla mezera výjimek pod 30%. Výjimka ve Španělsku je relativně vysoká díky použití jiných nepřímých daní z DPH na Kanárských ostrovech, </w:t>
      </w:r>
      <w:proofErr w:type="spellStart"/>
      <w:r w:rsidRPr="00C26F49">
        <w:rPr>
          <w:rFonts w:eastAsia="Times New Roman" w:cstheme="minorHAnsi"/>
          <w:sz w:val="24"/>
          <w:szCs w:val="24"/>
          <w:lang w:eastAsia="cs-CZ"/>
        </w:rPr>
        <w:t>Ceutě</w:t>
      </w:r>
      <w:proofErr w:type="spellEnd"/>
      <w:r w:rsidRPr="00C26F49">
        <w:rPr>
          <w:rFonts w:eastAsia="Times New Roman" w:cstheme="minorHAnsi"/>
          <w:sz w:val="24"/>
          <w:szCs w:val="24"/>
          <w:lang w:eastAsia="cs-CZ"/>
        </w:rPr>
        <w:t xml:space="preserve"> a </w:t>
      </w:r>
      <w:proofErr w:type="spellStart"/>
      <w:r w:rsidRPr="00C26F49">
        <w:rPr>
          <w:rFonts w:eastAsia="Times New Roman" w:cstheme="minorHAnsi"/>
          <w:sz w:val="24"/>
          <w:szCs w:val="24"/>
          <w:lang w:eastAsia="cs-CZ"/>
        </w:rPr>
        <w:t>Melille</w:t>
      </w:r>
      <w:proofErr w:type="spellEnd"/>
      <w:r w:rsidRPr="00C26F49">
        <w:rPr>
          <w:rFonts w:eastAsia="Times New Roman" w:cstheme="minorHAnsi"/>
          <w:sz w:val="24"/>
          <w:szCs w:val="24"/>
          <w:lang w:eastAsia="cs-CZ"/>
        </w:rPr>
        <w:t>. Největší část výjimky z výjimky se skládá z osvobození od daně ze služeb, které nelze v zásadě zdanit, jako jsou imputované nájemné, poskytování veřejných statků vládou nebo finanční služby. Zbývající úroveň takzvané „akční“ výjimky je v průměru asi 3,4%.</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Na druhé straně se míra rozdílů pohybuje od nízkých pod 1% v případě Dánska až po 29,6% na Kypru. Průměr je 9,6%.</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Výsledky umírňují názory na relativní význam snížených sazeb a osvobození od daně při snižování potenciálního příjmu z DPH</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Co je rychlý odhad?</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Metodika použitá pro odhad VTTL pro rok 2018 se výrazně liší od metodiky použité pro odhad VTTL pro období 2013–2017. Mezi hlavní zjednodušení a předpoklady patří:</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Struktura konečné spotřeby domácností se oproti roku 2017 nemění. Ve skutečnosti se z důvodu nedostupnosti aktuálních údajů ve většině případů spoléhá na tříleté opožděné řady.</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lastRenderedPageBreak/>
        <w:t>• neodpočitatelné změny závazků za tvorbu hrubého fixního kapitálu (GFCF) v souladu s meziroční změnou vládního GFCF zveřejněnou v databázi AMECO.</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xml:space="preserve">• Ve velké většině případů, kdy nedochází k žádným významným změnám zákonných sazeb, se od roku 2017 upraví čistá úprava a závazek na </w:t>
      </w:r>
      <w:proofErr w:type="spellStart"/>
      <w:r w:rsidRPr="00C26F49">
        <w:rPr>
          <w:rFonts w:eastAsia="Times New Roman" w:cstheme="minorHAnsi"/>
          <w:sz w:val="24"/>
          <w:szCs w:val="24"/>
          <w:lang w:eastAsia="cs-CZ"/>
        </w:rPr>
        <w:t>mezispotřebu</w:t>
      </w:r>
      <w:proofErr w:type="spellEnd"/>
      <w:r w:rsidRPr="00C26F49">
        <w:rPr>
          <w:rFonts w:eastAsia="Times New Roman" w:cstheme="minorHAnsi"/>
          <w:sz w:val="24"/>
          <w:szCs w:val="24"/>
          <w:lang w:eastAsia="cs-CZ"/>
        </w:rPr>
        <w:t xml:space="preserve"> pomocí sazeb růstu pro celý daňový základ.</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Hlavním omezením této zjednodušené metody je potenciálně velká chyba odhadu, ke které by mohlo dojít v důsledku některé důležité součásti úprav specifických pro jednotlivé země. V tomto případě nejsou rychlé odhady pro dotčený členský stát nebo dotčené členské státy možné.</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Rychlé odhady naznačují, že mezera DPH bude pravděpodobně pokračovat ve svém klesajícím trendu a v roce 2018 klesne pod 130 miliard EUR a 10% hodnoty VTTL.</w:t>
      </w:r>
    </w:p>
    <w:p w:rsidR="00C26F49" w:rsidRPr="00C26F49" w:rsidRDefault="00C26F49" w:rsidP="00C26F49">
      <w:pPr>
        <w:shd w:val="clear" w:color="auto" w:fill="FFFFFF"/>
        <w:spacing w:after="0" w:line="240" w:lineRule="auto"/>
        <w:jc w:val="both"/>
        <w:rPr>
          <w:rFonts w:eastAsia="Times New Roman" w:cstheme="minorHAnsi"/>
          <w:sz w:val="24"/>
          <w:szCs w:val="24"/>
          <w:lang w:eastAsia="cs-CZ"/>
        </w:rPr>
      </w:pPr>
      <w:r w:rsidRPr="00C26F49">
        <w:rPr>
          <w:rFonts w:eastAsia="Times New Roman" w:cstheme="minorHAnsi"/>
          <w:sz w:val="24"/>
          <w:szCs w:val="24"/>
          <w:lang w:eastAsia="cs-CZ"/>
        </w:rPr>
        <w:t> </w:t>
      </w:r>
      <w:bookmarkEnd w:id="0"/>
    </w:p>
    <w:sectPr w:rsidR="00C26F49" w:rsidRPr="00C2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359B"/>
    <w:multiLevelType w:val="multilevel"/>
    <w:tmpl w:val="6B7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F4831"/>
    <w:multiLevelType w:val="multilevel"/>
    <w:tmpl w:val="947C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73"/>
    <w:rsid w:val="000E5D73"/>
    <w:rsid w:val="005707AB"/>
    <w:rsid w:val="009054B9"/>
    <w:rsid w:val="00953C8C"/>
    <w:rsid w:val="00BF0491"/>
    <w:rsid w:val="00C26F49"/>
    <w:rsid w:val="00CE1652"/>
    <w:rsid w:val="00DF0CC0"/>
    <w:rsid w:val="00E35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E5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5D73"/>
    <w:rPr>
      <w:rFonts w:ascii="Times New Roman" w:eastAsia="Times New Roman" w:hAnsi="Times New Roman" w:cs="Times New Roman"/>
      <w:b/>
      <w:bCs/>
      <w:kern w:val="36"/>
      <w:sz w:val="48"/>
      <w:szCs w:val="48"/>
      <w:lang w:eastAsia="cs-CZ"/>
    </w:rPr>
  </w:style>
  <w:style w:type="paragraph" w:customStyle="1" w:styleId="Datum1">
    <w:name w:val="Datum1"/>
    <w:basedOn w:val="Normln"/>
    <w:rsid w:val="000E5D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0E5D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E5D73"/>
    <w:rPr>
      <w:color w:val="0000FF"/>
      <w:u w:val="single"/>
    </w:rPr>
  </w:style>
  <w:style w:type="character" w:styleId="Siln">
    <w:name w:val="Strong"/>
    <w:basedOn w:val="Standardnpsmoodstavce"/>
    <w:uiPriority w:val="22"/>
    <w:qFormat/>
    <w:rsid w:val="000E5D73"/>
    <w:rPr>
      <w:b/>
      <w:bCs/>
    </w:rPr>
  </w:style>
  <w:style w:type="paragraph" w:customStyle="1" w:styleId="reference">
    <w:name w:val="reference"/>
    <w:basedOn w:val="Normln"/>
    <w:rsid w:val="000E5D7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5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E5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5D73"/>
    <w:rPr>
      <w:rFonts w:ascii="Times New Roman" w:eastAsia="Times New Roman" w:hAnsi="Times New Roman" w:cs="Times New Roman"/>
      <w:b/>
      <w:bCs/>
      <w:kern w:val="36"/>
      <w:sz w:val="48"/>
      <w:szCs w:val="48"/>
      <w:lang w:eastAsia="cs-CZ"/>
    </w:rPr>
  </w:style>
  <w:style w:type="paragraph" w:customStyle="1" w:styleId="Datum1">
    <w:name w:val="Datum1"/>
    <w:basedOn w:val="Normln"/>
    <w:rsid w:val="000E5D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0E5D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E5D73"/>
    <w:rPr>
      <w:color w:val="0000FF"/>
      <w:u w:val="single"/>
    </w:rPr>
  </w:style>
  <w:style w:type="character" w:styleId="Siln">
    <w:name w:val="Strong"/>
    <w:basedOn w:val="Standardnpsmoodstavce"/>
    <w:uiPriority w:val="22"/>
    <w:qFormat/>
    <w:rsid w:val="000E5D73"/>
    <w:rPr>
      <w:b/>
      <w:bCs/>
    </w:rPr>
  </w:style>
  <w:style w:type="paragraph" w:customStyle="1" w:styleId="reference">
    <w:name w:val="reference"/>
    <w:basedOn w:val="Normln"/>
    <w:rsid w:val="000E5D7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5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7504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2</cp:revision>
  <dcterms:created xsi:type="dcterms:W3CDTF">2019-09-05T12:41:00Z</dcterms:created>
  <dcterms:modified xsi:type="dcterms:W3CDTF">2019-09-05T12:41:00Z</dcterms:modified>
</cp:coreProperties>
</file>