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67" w:rsidRPr="005C7467" w:rsidRDefault="005C7467" w:rsidP="005C7467">
      <w:pPr>
        <w:spacing w:after="0" w:line="240" w:lineRule="auto"/>
        <w:jc w:val="both"/>
        <w:rPr>
          <w:b/>
          <w:sz w:val="24"/>
          <w:szCs w:val="24"/>
        </w:rPr>
      </w:pPr>
      <w:r w:rsidRPr="005C7467">
        <w:rPr>
          <w:b/>
          <w:sz w:val="24"/>
          <w:szCs w:val="24"/>
        </w:rPr>
        <w:t>V posledních dvou letech podpořil Evropský fond pro přizpůsobení se globalizaci více než 14 500 pracovníků</w:t>
      </w:r>
    </w:p>
    <w:p w:rsidR="005C7467" w:rsidRPr="005C7467" w:rsidRDefault="005C7467" w:rsidP="005C7467">
      <w:pPr>
        <w:spacing w:after="0" w:line="240" w:lineRule="auto"/>
        <w:jc w:val="both"/>
        <w:rPr>
          <w:sz w:val="24"/>
          <w:szCs w:val="24"/>
        </w:rPr>
      </w:pPr>
      <w:r w:rsidRPr="005C7467">
        <w:rPr>
          <w:sz w:val="24"/>
          <w:szCs w:val="24"/>
        </w:rPr>
        <w:t xml:space="preserve">          Evropská komise dnes zveřejnila zprávu o činnosti a výsledcích Evropského fondu pro přizpůsobení se globalizaci (EGF) v letech 2017 a 2018. Publikace potvrzuje význam tohoto fondu ve sledovaném období: Evropský parlament a Rada přijaly 15 rozhodnutí uvolnit finanční prostředky z EFG v celkové výši 45,5 milionu EUR na podporu více než 14 500 příjemců. </w:t>
      </w:r>
    </w:p>
    <w:p w:rsidR="005C7467" w:rsidRPr="005C7467" w:rsidRDefault="005C7467" w:rsidP="005C7467">
      <w:pPr>
        <w:spacing w:after="0" w:line="240" w:lineRule="auto"/>
        <w:jc w:val="both"/>
        <w:rPr>
          <w:sz w:val="24"/>
          <w:szCs w:val="24"/>
        </w:rPr>
      </w:pPr>
      <w:r w:rsidRPr="005C7467">
        <w:rPr>
          <w:sz w:val="24"/>
          <w:szCs w:val="24"/>
        </w:rPr>
        <w:t xml:space="preserve">            Komisařka pro zaměstnanost, sociální věci, dovednosti a pracovní mobilitu </w:t>
      </w:r>
      <w:proofErr w:type="spellStart"/>
      <w:r w:rsidRPr="005C7467">
        <w:rPr>
          <w:sz w:val="24"/>
          <w:szCs w:val="24"/>
        </w:rPr>
        <w:t>Marianne</w:t>
      </w:r>
      <w:proofErr w:type="spellEnd"/>
      <w:r w:rsidRPr="005C7467">
        <w:rPr>
          <w:sz w:val="24"/>
          <w:szCs w:val="24"/>
        </w:rPr>
        <w:t xml:space="preserve"> </w:t>
      </w:r>
      <w:proofErr w:type="spellStart"/>
      <w:r w:rsidRPr="005C7467">
        <w:rPr>
          <w:sz w:val="24"/>
          <w:szCs w:val="24"/>
        </w:rPr>
        <w:t>Thyssenová</w:t>
      </w:r>
      <w:proofErr w:type="spellEnd"/>
      <w:r w:rsidRPr="005C7467">
        <w:rPr>
          <w:sz w:val="24"/>
          <w:szCs w:val="24"/>
        </w:rPr>
        <w:t xml:space="preserve"> uvedla: „Evropský fond pro přizpůsobení se globalizaci v průběhu let skutečně prokázal evropskou solidaritu a pomohl tisícům propuštěných pracovníků přeškolit. Na období po roce 2020 bude fond revidován tak, aby mohl účinněji zasáhnout na podporu pracovníků, kteří přišli o práci. “Zejména se to týkalo odvětví strojů / zařízení, následovaného maloobchodem a leteckou dopravou. Pokud jde o 23 případů EFG přijatých v letech 2014 až 2016, výsledky ukázaly, že 60% pracovníků, kteří se účastnili opatření, si do konce prováděcího období našlo nová pracovní místa. Jedná se o nárůst o 13 procentních bodů ve srovnání s předchozími vykazovanými obdobími. EFG byl zřízen v roce 2007 na podporu pracovníků, kteří ztratili zaměstnání v důsledku globalizace a měnících se obchodních vzorců nebo finanční a hospodářské krize. Je to výraz evropské solidarity s pracovníky tím, že jim pomáhá přizpůsobit své dovednosti a hledat nová pracovní místa. </w:t>
      </w:r>
    </w:p>
    <w:p w:rsidR="00A745C3" w:rsidRDefault="005C7467" w:rsidP="005C7467">
      <w:pPr>
        <w:spacing w:after="0" w:line="240" w:lineRule="auto"/>
        <w:jc w:val="both"/>
        <w:rPr>
          <w:sz w:val="24"/>
          <w:szCs w:val="24"/>
        </w:rPr>
      </w:pPr>
      <w:r w:rsidRPr="005C7467">
        <w:rPr>
          <w:sz w:val="24"/>
          <w:szCs w:val="24"/>
        </w:rPr>
        <w:t xml:space="preserve">          Od svého zavedení obdržel EGF 161 žádostí. Bylo požádáno o přibližně 635 milionů EUR, aby nabídly pomoc více než 151 000 pracovníkům a 4 429 mladým lidem, kteří nejsou zaměstnáni, nejsou vzděláváni ani školeni (NEET). Nejnověji Komise přijala návrh, který stanoví, že na propouštění z důvodu neobchodního </w:t>
      </w:r>
      <w:proofErr w:type="spellStart"/>
      <w:r w:rsidRPr="005C7467">
        <w:rPr>
          <w:sz w:val="24"/>
          <w:szCs w:val="24"/>
        </w:rPr>
        <w:t>Brexitu</w:t>
      </w:r>
      <w:proofErr w:type="spellEnd"/>
      <w:r w:rsidRPr="005C7467">
        <w:rPr>
          <w:sz w:val="24"/>
          <w:szCs w:val="24"/>
        </w:rPr>
        <w:t xml:space="preserve"> se vztahuje EFG. Pro příští dlouhodobý rozpočet 2021–2027 navrhla Komise řadu revizí fondu, včetně zvýšeného rozpočtu a nižšího prahu způsobilosti, aby mohl ještě účinněji zasáhnout na podporu pracovníků, kteří přišli o práci.</w:t>
      </w:r>
    </w:p>
    <w:tbl>
      <w:tblPr>
        <w:tblpPr w:leftFromText="141" w:rightFromText="141" w:bottomFromText="160" w:vertAnchor="text" w:horzAnchor="margin" w:tblpXSpec="center" w:tblpY="37"/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369"/>
        <w:gridCol w:w="543"/>
        <w:gridCol w:w="449"/>
        <w:gridCol w:w="536"/>
        <w:gridCol w:w="497"/>
        <w:gridCol w:w="444"/>
        <w:gridCol w:w="439"/>
        <w:gridCol w:w="444"/>
        <w:gridCol w:w="565"/>
        <w:gridCol w:w="402"/>
        <w:gridCol w:w="424"/>
        <w:gridCol w:w="424"/>
        <w:gridCol w:w="427"/>
        <w:gridCol w:w="424"/>
        <w:gridCol w:w="426"/>
        <w:gridCol w:w="424"/>
        <w:gridCol w:w="403"/>
        <w:gridCol w:w="24"/>
        <w:gridCol w:w="540"/>
      </w:tblGrid>
      <w:tr w:rsidR="00E232D0" w:rsidRPr="00D130B9" w:rsidTr="00E232D0">
        <w:trPr>
          <w:gridAfter w:val="4"/>
          <w:wAfter w:w="817" w:type="pct"/>
          <w:trHeight w:val="274"/>
        </w:trPr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D130B9">
              <w:rPr>
                <w:rFonts w:cstheme="minorHAnsi"/>
                <w:sz w:val="16"/>
                <w:szCs w:val="16"/>
              </w:rPr>
              <w:t>cIS</w:t>
            </w:r>
            <w:proofErr w:type="spellEnd"/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DEN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MĚSÍC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KÓD-PÍS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ROK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KÓD – ČÍS</w:t>
            </w:r>
          </w:p>
        </w:tc>
      </w:tr>
      <w:tr w:rsidR="00E232D0" w:rsidRPr="00D130B9" w:rsidTr="00E232D0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 xml:space="preserve">9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19</w:t>
            </w:r>
          </w:p>
        </w:tc>
      </w:tr>
      <w:tr w:rsidR="00E232D0" w:rsidRPr="00FF4B22" w:rsidTr="00E232D0">
        <w:trPr>
          <w:trHeight w:val="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bookmarkStart w:id="0" w:name="_GoBack"/>
            <w:bookmarkEnd w:id="0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B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D130B9" w:rsidRDefault="00E232D0" w:rsidP="00E232D0">
            <w:pPr>
              <w:tabs>
                <w:tab w:val="left" w:pos="9923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D0" w:rsidRPr="00FF4B22" w:rsidRDefault="00E232D0" w:rsidP="00E232D0">
            <w:pPr>
              <w:tabs>
                <w:tab w:val="right" w:pos="348"/>
              </w:tabs>
              <w:spacing w:after="0" w:line="240" w:lineRule="auto"/>
              <w:ind w:left="719" w:hanging="9923"/>
              <w:jc w:val="both"/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ab/>
            </w:r>
            <w:proofErr w:type="spellStart"/>
            <w:r>
              <w:rPr>
                <w:rFonts w:cstheme="minorHAnsi"/>
                <w:sz w:val="16"/>
                <w:szCs w:val="16"/>
              </w:rPr>
              <w:t>M</w:t>
            </w:r>
            <w:proofErr w:type="spellEnd"/>
          </w:p>
        </w:tc>
      </w:tr>
    </w:tbl>
    <w:p w:rsidR="00E232D0" w:rsidRPr="005C7467" w:rsidRDefault="00E232D0" w:rsidP="005C7467">
      <w:pPr>
        <w:spacing w:after="0" w:line="240" w:lineRule="auto"/>
        <w:jc w:val="both"/>
        <w:rPr>
          <w:sz w:val="24"/>
          <w:szCs w:val="24"/>
        </w:rPr>
      </w:pPr>
    </w:p>
    <w:sectPr w:rsidR="00E232D0" w:rsidRPr="005C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67"/>
    <w:rsid w:val="00530C73"/>
    <w:rsid w:val="005C7467"/>
    <w:rsid w:val="00A745C3"/>
    <w:rsid w:val="00E2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2019-09-16T12:14:00Z</dcterms:created>
  <dcterms:modified xsi:type="dcterms:W3CDTF">2019-09-16T14:37:00Z</dcterms:modified>
</cp:coreProperties>
</file>