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91" w:rsidRPr="003A6F91" w:rsidRDefault="003A6F91" w:rsidP="003A6F91">
      <w:pPr>
        <w:spacing w:after="0" w:line="240" w:lineRule="auto"/>
        <w:jc w:val="both"/>
        <w:rPr>
          <w:b/>
          <w:sz w:val="24"/>
          <w:szCs w:val="24"/>
        </w:rPr>
      </w:pPr>
      <w:r w:rsidRPr="003A6F91">
        <w:rPr>
          <w:b/>
          <w:sz w:val="24"/>
          <w:szCs w:val="24"/>
        </w:rPr>
        <w:t>Státní podpora: Komise schvaluje režim podpory pro energeticky náročné společnosti na Slovensku</w:t>
      </w:r>
    </w:p>
    <w:p w:rsidR="005601CD" w:rsidRPr="003A6F91" w:rsidRDefault="003A6F91" w:rsidP="003A6F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Podle denních zpráv Komise ze dne 19. září </w:t>
      </w:r>
      <w:r w:rsidRPr="003A6F91">
        <w:rPr>
          <w:sz w:val="24"/>
          <w:szCs w:val="24"/>
        </w:rPr>
        <w:t>Evropská komise v souladu s pravidly EU pro státní podporu schválila slovenské plány částečně kompenzovat energeticky náročným společnostem vnitrostátní</w:t>
      </w:r>
      <w:r>
        <w:rPr>
          <w:sz w:val="24"/>
          <w:szCs w:val="24"/>
        </w:rPr>
        <w:t>m</w:t>
      </w:r>
      <w:r w:rsidRPr="003A6F91">
        <w:rPr>
          <w:sz w:val="24"/>
          <w:szCs w:val="24"/>
        </w:rPr>
        <w:t xml:space="preserve"> poplatk</w:t>
      </w:r>
      <w:r>
        <w:rPr>
          <w:sz w:val="24"/>
          <w:szCs w:val="24"/>
        </w:rPr>
        <w:t>em</w:t>
      </w:r>
      <w:r w:rsidRPr="003A6F91">
        <w:rPr>
          <w:sz w:val="24"/>
          <w:szCs w:val="24"/>
        </w:rPr>
        <w:t xml:space="preserve"> na podporu výroby obnovitelné energie. Slovenská podpora obnovitelné energie je v současné době financována z příspěvků na základě spotřeby elektřiny. Režim, který bude platit do 31. prosince 2029 a bude mít předběžný rozpočet 120 milionů EUR na roky 2019 až 2021, bude výhodný pro společnosti působící na Slovensku v odvětvích, která jsou zvláště energeticky náročná (tedy s vyšší spotřebou elektřiny) a více vystaven</w:t>
      </w:r>
      <w:r>
        <w:rPr>
          <w:sz w:val="24"/>
          <w:szCs w:val="24"/>
        </w:rPr>
        <w:t>a</w:t>
      </w:r>
      <w:r w:rsidRPr="003A6F91">
        <w:rPr>
          <w:sz w:val="24"/>
          <w:szCs w:val="24"/>
        </w:rPr>
        <w:t xml:space="preserve"> mezinárodnímu obchodu. Příjemci obdrží náhradu až do výše 85% svého příspěvku na financování podpory obnovitelné energie. Komise posoudila opatření podle pravidel státní podpory EU, zejména podle pokynů ke státní podpoře na ochranu životního prostředí a energetiku na období 2014–2020. Pokyny povolují snížení příspěvků vybíraných od energeticky náročných společností působících v určitých odvětvích a vystavených mezinárodnímu obchodu až do určité úrovně, aby byla zajištěna jejich globální konkurenceschopnost. Komise zjistila, že kompenzace bude poskytnuta pouze energeticky náročným společnostem vystaveným mezinárodnímu obchodu v souladu s požadavky pokynů. Opatření dále podpoří energetické a klimatické cíle EU a zajistí globální konkurenceschopnost energeticky náročných uživatelů a průmyslových odvětví, aniž by to nepřiměřeně narušovalo hospodářskou soutěž. Na tomto základě Komise dospěla k závěru, že opatření je v souladu s pravidly EU o státní podpoře. Další informace budou k dispozici na internetových stránkách Komise o hospodářské soutěži v rejstříku státní podpory pod číslem případu SA. 53564</w:t>
      </w:r>
      <w:bookmarkStart w:id="0" w:name="_GoBack"/>
      <w:bookmarkEnd w:id="0"/>
    </w:p>
    <w:sectPr w:rsidR="005601CD" w:rsidRPr="003A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91"/>
    <w:rsid w:val="003A6F91"/>
    <w:rsid w:val="005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2019-09-19T11:41:00Z</dcterms:created>
  <dcterms:modified xsi:type="dcterms:W3CDTF">2019-09-19T11:45:00Z</dcterms:modified>
</cp:coreProperties>
</file>