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69E" w:rsidRPr="009A669E" w:rsidRDefault="009A669E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:rsidR="009A669E" w:rsidRPr="00BD3CD5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BD3CD5">
        <w:rPr>
          <w:rFonts w:asciiTheme="minorHAnsi" w:hAnsiTheme="minorHAnsi" w:cstheme="minorHAnsi"/>
          <w:bCs w:val="0"/>
          <w:sz w:val="24"/>
          <w:szCs w:val="24"/>
        </w:rPr>
        <w:t>S</w:t>
      </w:r>
      <w:r w:rsidR="009A669E" w:rsidRPr="00BD3CD5">
        <w:rPr>
          <w:rFonts w:asciiTheme="minorHAnsi" w:hAnsiTheme="minorHAnsi" w:cstheme="minorHAnsi"/>
          <w:bCs w:val="0"/>
          <w:sz w:val="24"/>
          <w:szCs w:val="24"/>
        </w:rPr>
        <w:t>tátní podpora: Komise schvaluje režim britského trhu s kapacitami</w:t>
      </w:r>
    </w:p>
    <w:p w:rsidR="009A669E" w:rsidRPr="009A669E" w:rsidRDefault="009A669E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IP / 19/6152</w:t>
      </w:r>
    </w:p>
    <w:p w:rsidR="009A669E" w:rsidRPr="009A669E" w:rsidRDefault="009A669E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V Bruselu dne 24. října 2019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Po důkladném šetření Evropská komise schválila podle pravidel EU pro státní podporu režim britského trhu kapacit zavedený v roce 2014 k zajištění bezpečnosti dodávek elektřiny.</w:t>
      </w:r>
    </w:p>
    <w:p w:rsidR="009A669E" w:rsidRPr="009A669E" w:rsidRDefault="009A669E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V červenci 2014 Komise shledala, že režim britského kapacitního trhu je slučitelný s </w:t>
      </w:r>
      <w:r w:rsidR="00BD3CD5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pravidly EU pro státní podporu. </w:t>
      </w:r>
      <w:r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V listopadu 2018 na základě odvolání proti rozhodnutí Komise z roku 2014 společností, která působí na trhu, zrušil Tribunál rozhodnutí Komise z procesních důvodů (věc T-793/14). Přestože Tribunál nerozhodl o slučitelnosti systému britského trhu s kapacitami s pravidly státní podpory EU, domníval se, že by Komise měla zahájit hloubkové šetření s cílem získat více informací o některých prvcích režimu. Tyto prvky se týkaly zejména účasti spotřebitelů energie, kteří nabízejí snížení své spotřeby elektřiny v době nerovnováhy dodávek (tzv. „Provozovatelé reakce na poptávku“) do systému.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Komise se odvolala proti rozsudku Tribunálu (věc C-57/19 P), ale toto odvolání nezastavilo účinky rozsudku. Za účelem provedení rozsudku a od chvíle, kdy Spojené království vyjádřilo svůj záměr zachovat systém kapacitních trhů, zahájila Komise v únoru 2019 hloubkové šetření s cílem znovu posoudit slučitelnost režimu s pravidly státní podpory EU.</w:t>
      </w:r>
    </w:p>
    <w:p w:rsidR="009A669E" w:rsidRPr="00BD3CD5" w:rsidRDefault="009A669E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BD3CD5">
        <w:rPr>
          <w:rFonts w:asciiTheme="minorHAnsi" w:hAnsiTheme="minorHAnsi" w:cstheme="minorHAnsi"/>
          <w:bCs w:val="0"/>
          <w:sz w:val="24"/>
          <w:szCs w:val="24"/>
        </w:rPr>
        <w:t>Šetření Komise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V rámci formálního šetření Komise obdržela a analyzovala zpětnou vazbu a připomínky předložené 35 zúčastněnými stranami (včetně výrobců energie, provozovatelů propojovacích vedení, provozovatelů reakce na poptávku, obchodních sdružení, nevládních or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ganizací a provozovatelů sítí).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Šetření Komise potvrdilo, že režim britského kapacitního trhu pokrývající období 2014–2024 je v souladu s pravidly EU o státní podpoře, zejména s pokyny pro státní podporu na ochranu životního prostředí a energii z roku 2014. Šetření zejména potvrdilo, že tento režim je nezbytný k zajištění bezpečnosti dodávek elektřiny ve Velké Británii, je v souladu s cíli energetické politiky EU a nenarušuje hospodářskou soutěž na jednotném trhu.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Komise zejména nezjistila žádné důkazy, že by tento režim znevýhodňoval provozovatele reakce na poptávku nebo jiné poskytovatele kapacit, pokud jde o jejich účast v systému.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Kromě toho se Spojené království vzhledem k nedávnému vývoji na trhu a regulaci (včetně vstupu nového nařízení o elektřině v platnost) a dalších otázek zjištěných během nedávného pětiletého přezkumu kapacitního trhu ve Spojeném království zavázalo provést některá zlepšení systému pro budoucnost. Tato zlepšení se týkají zejména: i) snížení prahu minimální kapacity pro účast v aukcích; </w:t>
      </w:r>
      <w:proofErr w:type="spellStart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ii</w:t>
      </w:r>
      <w:proofErr w:type="spellEnd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přímá účast zahraniční kapacity; </w:t>
      </w:r>
      <w:proofErr w:type="spellStart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iii</w:t>
      </w:r>
      <w:proofErr w:type="spellEnd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pravidla účasti pro nové typy kapacit; </w:t>
      </w:r>
      <w:proofErr w:type="spellStart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iv</w:t>
      </w:r>
      <w:proofErr w:type="spellEnd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) přístup k dlouhodobým smlouvám; v) objem v předcházející aukci a </w:t>
      </w:r>
      <w:proofErr w:type="spellStart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vi</w:t>
      </w:r>
      <w:proofErr w:type="spellEnd"/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) soulad s novým nařízením o elektřině.</w:t>
      </w:r>
    </w:p>
    <w:p w:rsidR="009A669E" w:rsidRPr="00BD3CD5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4"/>
          <w:szCs w:val="24"/>
        </w:rPr>
      </w:pPr>
      <w:r w:rsidRPr="00BD3CD5">
        <w:rPr>
          <w:rFonts w:asciiTheme="minorHAnsi" w:hAnsiTheme="minorHAnsi" w:cstheme="minorHAnsi"/>
          <w:bCs w:val="0"/>
          <w:sz w:val="24"/>
          <w:szCs w:val="24"/>
        </w:rPr>
        <w:t>Souvislosti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>Cílem britského schématu kapacitních trhů je zajistit bezpečnost dodávek elektřiny s ohledem na plánované zvýšení poptávky po elektřině a na nadcházející uzavření významného podílu výrobní kapacity. Za stálé platby po dobu trvání dohody o kapacitě (v rozmezí od 1 do 15 let) jsou úspěšní uchazeči v aukcích povinni poskytnout kapacitu v době stresových událostí v elektroenergetické soustavě nebo čelit finančním pokutám.</w:t>
      </w:r>
    </w:p>
    <w:p w:rsidR="009A669E" w:rsidRPr="009A669E" w:rsidRDefault="00BD3CD5" w:rsidP="009A669E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Po vyřešení jakýchkoli otázek důvěrnosti bude verze rozhodnutí, která nemá důvěrný charakter, k dispozici pod číslem věci SA.35980 v registru státní podpory na webové stránce </w:t>
      </w:r>
      <w:r w:rsidR="009A669E" w:rsidRPr="009A669E">
        <w:rPr>
          <w:rFonts w:asciiTheme="minorHAnsi" w:hAnsiTheme="minorHAnsi" w:cstheme="minorHAnsi"/>
          <w:b w:val="0"/>
          <w:bCs w:val="0"/>
          <w:sz w:val="24"/>
          <w:szCs w:val="24"/>
        </w:rPr>
        <w:lastRenderedPageBreak/>
        <w:t>Komise o hospodářské soutěži. Nové publikace rozhodnutí o státní podpoře na internetu a v Úředním věstníku jsou uvedeny v elektronických zprávách o státní podpoře.</w:t>
      </w:r>
    </w:p>
    <w:p w:rsidR="009A669E" w:rsidRDefault="009A669E" w:rsidP="009A669E">
      <w:pPr>
        <w:pStyle w:val="Nadpis1"/>
        <w:shd w:val="clear" w:color="auto" w:fill="FFFFFF"/>
        <w:spacing w:before="0" w:beforeAutospacing="0" w:after="150" w:afterAutospacing="0"/>
        <w:rPr>
          <w:rFonts w:ascii="Verdana" w:hAnsi="Verdana"/>
          <w:b w:val="0"/>
          <w:bCs w:val="0"/>
          <w:color w:val="284F75"/>
          <w:sz w:val="50"/>
          <w:szCs w:val="50"/>
        </w:rPr>
      </w:pPr>
      <w:bookmarkStart w:id="0" w:name="_GoBack"/>
      <w:bookmarkEnd w:id="0"/>
    </w:p>
    <w:sectPr w:rsidR="009A6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0E"/>
    <w:rsid w:val="00534190"/>
    <w:rsid w:val="00690E0E"/>
    <w:rsid w:val="009A669E"/>
    <w:rsid w:val="00BD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E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0E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90E0E"/>
    <w:rPr>
      <w:b/>
      <w:bCs/>
    </w:rPr>
  </w:style>
  <w:style w:type="paragraph" w:customStyle="1" w:styleId="reference">
    <w:name w:val="reference"/>
    <w:basedOn w:val="Normln"/>
    <w:rsid w:val="006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A669E"/>
    <w:rPr>
      <w:i/>
      <w:iCs/>
    </w:rPr>
  </w:style>
  <w:style w:type="paragraph" w:customStyle="1" w:styleId="off-screen">
    <w:name w:val="off-screen"/>
    <w:basedOn w:val="Normln"/>
    <w:rsid w:val="009A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90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0E0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6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90E0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90E0E"/>
    <w:rPr>
      <w:b/>
      <w:bCs/>
    </w:rPr>
  </w:style>
  <w:style w:type="paragraph" w:customStyle="1" w:styleId="reference">
    <w:name w:val="reference"/>
    <w:basedOn w:val="Normln"/>
    <w:rsid w:val="00690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A669E"/>
    <w:rPr>
      <w:i/>
      <w:iCs/>
    </w:rPr>
  </w:style>
  <w:style w:type="paragraph" w:customStyle="1" w:styleId="off-screen">
    <w:name w:val="off-screen"/>
    <w:basedOn w:val="Normln"/>
    <w:rsid w:val="009A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7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29925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2852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3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98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207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0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052451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980809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  <w:div w:id="19044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15</vt:i4>
      </vt:variant>
    </vt:vector>
  </HeadingPairs>
  <TitlesOfParts>
    <vt:vector size="16" baseType="lpstr">
      <vt:lpstr/>
      <vt:lpstr/>
      <vt:lpstr>Státní podpora: Komise schvaluje režim britského trhu s kapacitami</vt:lpstr>
      <vt:lpstr>IP / 19/6152</vt:lpstr>
      <vt:lpstr>V Bruselu dne 24. října 2019</vt:lpstr>
      <vt:lpstr>Po důkladném šetření Evropská komise schválila podle pravidel EU pro s</vt:lpstr>
      <vt:lpstr>V červenci 2014 Komise shledala, že režim britského kapacitního trhu je slučitel</vt:lpstr>
      <vt:lpstr>Komise se odvolala proti rozsudku Tribunálu (věc C-57/19 P), ale toto </vt:lpstr>
      <vt:lpstr>Šetření Komise</vt:lpstr>
      <vt:lpstr>V rámci formálního šetření Komise obdržela a analyzovala zpětnou vazb</vt:lpstr>
      <vt:lpstr>Komise zejména nezjistila žádné důkazy, že by tento režim znevýhodňov</vt:lpstr>
      <vt:lpstr>Kromě toho se Spojené království vzhledem k nedávnému vývoji na trhu a</vt:lpstr>
      <vt:lpstr>Souvislosti</vt:lpstr>
      <vt:lpstr>Cílem britského schématu kapacitních trhů je zajistit bezpečnost dod</vt:lpstr>
      <vt:lpstr>Po vyřešení jakýchkoli otázek důvěrnosti bude verze rozhodnutí, která </vt:lpstr>
      <vt:lpstr/>
    </vt:vector>
  </TitlesOfParts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2019-10-24T10:39:00Z</dcterms:created>
  <dcterms:modified xsi:type="dcterms:W3CDTF">2019-10-24T11:06:00Z</dcterms:modified>
</cp:coreProperties>
</file>