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F8A" w:rsidRPr="00975F8A" w:rsidRDefault="00975F8A" w:rsidP="008A6CD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18"/>
          <w:szCs w:val="18"/>
          <w:lang w:eastAsia="cs-CZ"/>
        </w:rPr>
      </w:pPr>
      <w:r w:rsidRPr="00975F8A">
        <w:rPr>
          <w:rFonts w:ascii="inherit" w:eastAsia="Times New Roman" w:hAnsi="inherit" w:cs="Times New Roman"/>
          <w:i/>
          <w:iCs/>
          <w:color w:val="000000"/>
          <w:sz w:val="18"/>
          <w:szCs w:val="18"/>
          <w:lang w:eastAsia="cs-CZ"/>
        </w:rPr>
        <w:t>)</w:t>
      </w:r>
    </w:p>
    <w:p w:rsidR="00975F8A" w:rsidRDefault="00975F8A" w:rsidP="00975F8A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i/>
          <w:iCs/>
          <w:color w:val="000000"/>
          <w:sz w:val="18"/>
          <w:szCs w:val="18"/>
          <w:lang w:eastAsia="cs-CZ"/>
        </w:rPr>
      </w:pPr>
      <w:r w:rsidRPr="00975F8A">
        <w:rPr>
          <w:rFonts w:ascii="inherit" w:eastAsia="Times New Roman" w:hAnsi="inherit" w:cs="Times New Roman"/>
          <w:i/>
          <w:iCs/>
          <w:color w:val="000000"/>
          <w:sz w:val="18"/>
          <w:szCs w:val="18"/>
          <w:lang w:eastAsia="cs-CZ"/>
        </w:rPr>
        <w:t> </w:t>
      </w:r>
    </w:p>
    <w:p w:rsidR="008A6CD7" w:rsidRDefault="008A6CD7" w:rsidP="008A6CD7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 w:rsidRPr="008A6CD7">
        <w:rPr>
          <w:rFonts w:eastAsia="Times New Roman" w:cstheme="minorHAnsi"/>
          <w:b/>
          <w:color w:val="000000"/>
          <w:sz w:val="24"/>
          <w:szCs w:val="24"/>
          <w:lang w:eastAsia="cs-CZ"/>
        </w:rPr>
        <w:t>Státní podpora: Komise schvaluje belgický režim na podporu elektroenergetických uživatelů</w:t>
      </w:r>
    </w:p>
    <w:p w:rsidR="008A6CD7" w:rsidRPr="00975F8A" w:rsidRDefault="008A6CD7" w:rsidP="00E724E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18"/>
          <w:szCs w:val="18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        Podle denních z</w:t>
      </w:r>
      <w:r w:rsidRPr="008A6CD7">
        <w:rPr>
          <w:rFonts w:eastAsia="Times New Roman" w:cstheme="minorHAnsi"/>
          <w:color w:val="000000"/>
          <w:sz w:val="24"/>
          <w:szCs w:val="24"/>
          <w:lang w:eastAsia="cs-CZ"/>
        </w:rPr>
        <w:t>p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r</w:t>
      </w:r>
      <w:r w:rsidRPr="008A6CD7">
        <w:rPr>
          <w:rFonts w:eastAsia="Times New Roman" w:cstheme="minorHAnsi"/>
          <w:color w:val="000000"/>
          <w:sz w:val="24"/>
          <w:szCs w:val="24"/>
          <w:lang w:eastAsia="cs-CZ"/>
        </w:rPr>
        <w:t xml:space="preserve">áv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Komise ze dne 16. září </w:t>
      </w:r>
      <w:r w:rsidRPr="008A6CD7">
        <w:rPr>
          <w:rFonts w:eastAsia="Times New Roman" w:cstheme="minorHAnsi"/>
          <w:color w:val="000000"/>
          <w:sz w:val="24"/>
          <w:szCs w:val="24"/>
          <w:lang w:eastAsia="cs-CZ"/>
        </w:rPr>
        <w:t>Evropská komise schválila podle pravidel EU o státní podpoře belgický režim podpory podporující elektricky náročné společnosti ve Flandrech (Belgie). V rámci tohoto režimu budou elektricky nároční uživatelé využívat snížení svého příspěvku do regionálního energetického fondu na podporu obnovitelné energie a kombinované výroby tepla a elektřiny. Příspěvek je omezen na určité procento hrubé přidané hodnoty příjemců (GVA). Hlavním cílem opatření je zabránit tomu, aby elektroenergetické společnosti, které nesou značné náklady na podporu výroby energie z obnovitelných zdrojů a kombinované výroby, byly vystaveny konkurenční nevýhodě. Komise posoudila opatření podle pravidel státní podpory EU, zejména podle pokynů ke státní podpoře na ochranu životního prostředí a energetiku na období 2014–2020. Zjistil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a</w:t>
      </w:r>
      <w:r w:rsidRPr="008A6CD7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že opatření podporuje výrobu elektřiny z obnovitelných zdrojů energie a vysoce účinnou kombinovanou výrobu tepla a elektřiny v souladu s environmentálními cíli EU, aniž by to nepřiměřeně narušovalo hospodářskou soutěž. Na tomto základě Komise dospěla k závěru, že belgický režim je v souladu s pravidly EU o státní podpoře. Více informací bude k dispozici na internetových stránkách Komise o hospodářské soutěži v rejstříku případů pod číslem SA.52367. </w:t>
      </w:r>
      <w:bookmarkStart w:id="0" w:name="_GoBack"/>
      <w:bookmarkEnd w:id="0"/>
    </w:p>
    <w:sectPr w:rsidR="008A6CD7" w:rsidRPr="00975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F8A"/>
    <w:rsid w:val="008A6CD7"/>
    <w:rsid w:val="00975F8A"/>
    <w:rsid w:val="00A745C3"/>
    <w:rsid w:val="00C0326F"/>
    <w:rsid w:val="00E7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75F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75F8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date">
    <w:name w:val="date"/>
    <w:basedOn w:val="Normln"/>
    <w:rsid w:val="00975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75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75F8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75F8A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975F8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75F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75F8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date">
    <w:name w:val="date"/>
    <w:basedOn w:val="Normln"/>
    <w:rsid w:val="00975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75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75F8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75F8A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975F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Peltrám</dc:creator>
  <cp:lastModifiedBy>Antonín Peltrám</cp:lastModifiedBy>
  <cp:revision>1</cp:revision>
  <dcterms:created xsi:type="dcterms:W3CDTF">2019-09-16T11:50:00Z</dcterms:created>
  <dcterms:modified xsi:type="dcterms:W3CDTF">2019-09-16T12:33:00Z</dcterms:modified>
</cp:coreProperties>
</file>