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0F" w:rsidRPr="00EF677C" w:rsidRDefault="0076160F" w:rsidP="0076160F">
      <w:pPr>
        <w:spacing w:before="120" w:after="12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F677C">
        <w:rPr>
          <w:b/>
          <w:sz w:val="28"/>
          <w:szCs w:val="28"/>
          <w:u w:val="single"/>
        </w:rPr>
        <w:t>Stavby Silničního okruhu kolem Prahy – Pražský okruh – dálnice D0</w:t>
      </w:r>
    </w:p>
    <w:p w:rsidR="00811ECE" w:rsidRPr="00811ECE" w:rsidRDefault="00811ECE" w:rsidP="00811ECE">
      <w:pPr>
        <w:spacing w:before="120" w:after="120" w:line="240" w:lineRule="auto"/>
        <w:jc w:val="both"/>
        <w:rPr>
          <w:b/>
          <w:sz w:val="28"/>
          <w:szCs w:val="28"/>
        </w:rPr>
      </w:pPr>
      <w:r w:rsidRPr="00811ECE">
        <w:rPr>
          <w:b/>
          <w:sz w:val="28"/>
          <w:szCs w:val="28"/>
        </w:rPr>
        <w:t>Stavba 511</w:t>
      </w:r>
    </w:p>
    <w:p w:rsidR="00811ECE" w:rsidRPr="00811ECE" w:rsidRDefault="00811ECE" w:rsidP="00811ECE">
      <w:pPr>
        <w:jc w:val="both"/>
        <w:rPr>
          <w:rFonts w:cs="Calibri"/>
          <w:sz w:val="24"/>
          <w:szCs w:val="24"/>
        </w:rPr>
      </w:pPr>
      <w:r w:rsidRPr="00811ECE">
        <w:rPr>
          <w:rFonts w:cs="Calibri"/>
          <w:sz w:val="24"/>
          <w:szCs w:val="24"/>
        </w:rPr>
        <w:t>Úsek 511 Běchovice – D1. Silniční okruh kolem Prahy je situován do východního okraje Prahy. Navazuje na již realizovaný úsek v rámci stavby 510 a končí před křižovatkou s dálnicí D1. Je z pohledu realizace Silničního okruhu kolem Prahy úsekem, který uzavře východní část okruhu</w:t>
      </w:r>
      <w:r w:rsidR="006D50F3">
        <w:rPr>
          <w:rFonts w:cs="Calibri"/>
          <w:sz w:val="24"/>
          <w:szCs w:val="24"/>
        </w:rPr>
        <w:t xml:space="preserve"> a umožní zcela odklonit tranzitní dopravu z Městského okruhu. </w:t>
      </w:r>
      <w:r w:rsidR="00E35DDD">
        <w:rPr>
          <w:rFonts w:cs="Calibri"/>
          <w:sz w:val="24"/>
          <w:szCs w:val="24"/>
        </w:rPr>
        <w:t xml:space="preserve">Délka </w:t>
      </w:r>
      <w:r w:rsidRPr="00811ECE">
        <w:rPr>
          <w:rFonts w:cs="Calibri"/>
          <w:sz w:val="24"/>
          <w:szCs w:val="24"/>
        </w:rPr>
        <w:t xml:space="preserve">12,571 km. </w:t>
      </w:r>
    </w:p>
    <w:p w:rsidR="00811ECE" w:rsidRPr="002569D0" w:rsidRDefault="00811ECE" w:rsidP="00811ECE">
      <w:pPr>
        <w:spacing w:after="120" w:line="240" w:lineRule="auto"/>
        <w:jc w:val="both"/>
        <w:rPr>
          <w:rFonts w:ascii="Arial" w:hAnsi="Arial" w:cs="Arial"/>
          <w:b/>
        </w:rPr>
      </w:pPr>
      <w:r w:rsidRPr="002569D0">
        <w:rPr>
          <w:rFonts w:ascii="Arial" w:hAnsi="Arial" w:cs="Arial"/>
          <w:b/>
        </w:rPr>
        <w:t xml:space="preserve">Předpokládaný rok </w:t>
      </w:r>
      <w:r w:rsidR="006D50F3">
        <w:rPr>
          <w:rFonts w:ascii="Arial" w:hAnsi="Arial" w:cs="Arial"/>
          <w:b/>
        </w:rPr>
        <w:t xml:space="preserve">zahájení </w:t>
      </w:r>
      <w:r w:rsidRPr="002569D0">
        <w:rPr>
          <w:rFonts w:ascii="Arial" w:hAnsi="Arial" w:cs="Arial"/>
          <w:b/>
        </w:rPr>
        <w:t>realizace stavby: 2021</w:t>
      </w:r>
    </w:p>
    <w:p w:rsidR="00811ECE" w:rsidRDefault="00D43105" w:rsidP="00811ECE">
      <w:pPr>
        <w:spacing w:after="12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Předpokládané</w:t>
      </w:r>
      <w:r w:rsidR="00811ECE" w:rsidRPr="002569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náklady</w:t>
      </w:r>
      <w:r w:rsidR="00811ECE">
        <w:rPr>
          <w:rFonts w:ascii="Arial" w:hAnsi="Arial" w:cs="Arial"/>
          <w:b/>
        </w:rPr>
        <w:t>: 1</w:t>
      </w:r>
      <w:r w:rsidR="005D20A9">
        <w:rPr>
          <w:rFonts w:ascii="Arial" w:hAnsi="Arial" w:cs="Arial"/>
          <w:b/>
        </w:rPr>
        <w:t>4</w:t>
      </w:r>
      <w:r w:rsidR="00811ECE">
        <w:rPr>
          <w:rFonts w:ascii="Arial" w:hAnsi="Arial" w:cs="Arial"/>
          <w:b/>
        </w:rPr>
        <w:t xml:space="preserve"> mld. Kč</w:t>
      </w:r>
    </w:p>
    <w:p w:rsidR="00811ECE" w:rsidRPr="00811ECE" w:rsidRDefault="00811ECE" w:rsidP="00811ECE">
      <w:pPr>
        <w:spacing w:after="120" w:line="240" w:lineRule="auto"/>
        <w:jc w:val="both"/>
        <w:rPr>
          <w:rFonts w:ascii="Arial" w:hAnsi="Arial" w:cs="Arial"/>
          <w:b/>
        </w:rPr>
      </w:pPr>
    </w:p>
    <w:p w:rsidR="00811ECE" w:rsidRDefault="00811ECE" w:rsidP="00811ECE">
      <w:pPr>
        <w:spacing w:before="12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Stav přípravy:</w:t>
      </w:r>
    </w:p>
    <w:p w:rsidR="00811ECE" w:rsidRDefault="00811ECE" w:rsidP="00811ECE">
      <w:pPr>
        <w:pStyle w:val="Odstavecseseznamem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Čistopis dokumentace pro územní rozhodnutí (DÚR) byl dokončen v květnu 2018 a následně jej</w:t>
      </w:r>
      <w:r w:rsidR="00E35DDD">
        <w:rPr>
          <w:rFonts w:cs="Calibri"/>
          <w:sz w:val="24"/>
          <w:szCs w:val="24"/>
        </w:rPr>
        <w:t xml:space="preserve"> ŘSD rozeslalo dotčeným orgánům, souhlasné stanovisko EIA vydáno</w:t>
      </w:r>
      <w:r>
        <w:rPr>
          <w:rFonts w:cs="Calibri"/>
          <w:sz w:val="24"/>
          <w:szCs w:val="24"/>
        </w:rPr>
        <w:t xml:space="preserve"> </w:t>
      </w:r>
    </w:p>
    <w:p w:rsidR="00811ECE" w:rsidRDefault="00811ECE" w:rsidP="00811ECE">
      <w:pPr>
        <w:pStyle w:val="Odstavecseseznamem"/>
        <w:numPr>
          <w:ilvl w:val="0"/>
          <w:numId w:val="1"/>
        </w:numPr>
        <w:spacing w:line="25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jednání zastupitelstva dne </w:t>
      </w:r>
      <w:proofErr w:type="gramStart"/>
      <w:r>
        <w:rPr>
          <w:rFonts w:cs="Calibri"/>
          <w:sz w:val="24"/>
          <w:szCs w:val="24"/>
        </w:rPr>
        <w:t>6.9.2018</w:t>
      </w:r>
      <w:proofErr w:type="gramEnd"/>
      <w:r>
        <w:rPr>
          <w:rFonts w:cs="Calibri"/>
          <w:sz w:val="24"/>
          <w:szCs w:val="24"/>
        </w:rPr>
        <w:t xml:space="preserve"> </w:t>
      </w:r>
      <w:r w:rsidR="005D20A9">
        <w:rPr>
          <w:rFonts w:cs="Calibri"/>
          <w:sz w:val="24"/>
          <w:szCs w:val="24"/>
        </w:rPr>
        <w:t>by měly být</w:t>
      </w:r>
      <w:r>
        <w:rPr>
          <w:rFonts w:cs="Calibri"/>
          <w:sz w:val="24"/>
          <w:szCs w:val="24"/>
        </w:rPr>
        <w:t xml:space="preserve"> projednány i změny regulativů pro stavby 511 a I/12</w:t>
      </w:r>
      <w:r w:rsidR="005D20A9">
        <w:rPr>
          <w:rFonts w:cs="Calibri"/>
          <w:sz w:val="24"/>
          <w:szCs w:val="24"/>
        </w:rPr>
        <w:t xml:space="preserve"> (změna ÚP 2832/00)</w:t>
      </w:r>
      <w:r>
        <w:rPr>
          <w:rFonts w:cs="Calibri"/>
          <w:sz w:val="24"/>
          <w:szCs w:val="24"/>
        </w:rPr>
        <w:t>.</w:t>
      </w:r>
    </w:p>
    <w:p w:rsidR="00811ECE" w:rsidRDefault="00811ECE" w:rsidP="00811ECE">
      <w:pPr>
        <w:pStyle w:val="Odstavecseseznamem"/>
        <w:numPr>
          <w:ilvl w:val="0"/>
          <w:numId w:val="1"/>
        </w:numPr>
        <w:spacing w:line="254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Vydání územního rozhodnutí pro stavbu 511 je podmíněno změnou územního plánu HMP</w:t>
      </w:r>
      <w:r w:rsidR="005D20A9">
        <w:rPr>
          <w:rFonts w:cs="Calibri"/>
          <w:sz w:val="24"/>
          <w:szCs w:val="24"/>
        </w:rPr>
        <w:t>, viz výše.</w:t>
      </w:r>
    </w:p>
    <w:p w:rsidR="00811ECE" w:rsidRDefault="005D20A9" w:rsidP="00811ECE">
      <w:pPr>
        <w:pStyle w:val="Odstavecseseznamem"/>
        <w:numPr>
          <w:ilvl w:val="0"/>
          <w:numId w:val="1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Stavba</w:t>
      </w:r>
      <w:r w:rsidR="00811ECE">
        <w:rPr>
          <w:rFonts w:cs="Calibri"/>
          <w:sz w:val="24"/>
          <w:szCs w:val="24"/>
        </w:rPr>
        <w:t xml:space="preserve"> silnice I/12, je termínově koordinována s přípravou stavby 511.</w:t>
      </w:r>
    </w:p>
    <w:p w:rsidR="00811ECE" w:rsidRPr="00811ECE" w:rsidRDefault="00811ECE" w:rsidP="00811ECE">
      <w:pPr>
        <w:pStyle w:val="Odstavecseseznamem"/>
        <w:jc w:val="both"/>
        <w:rPr>
          <w:rFonts w:cs="Calibri"/>
          <w:sz w:val="24"/>
          <w:szCs w:val="24"/>
        </w:rPr>
      </w:pPr>
    </w:p>
    <w:p w:rsidR="00811ECE" w:rsidRPr="00811ECE" w:rsidRDefault="00811ECE" w:rsidP="00811ECE">
      <w:pPr>
        <w:spacing w:before="120" w:after="120" w:line="240" w:lineRule="auto"/>
        <w:jc w:val="both"/>
        <w:rPr>
          <w:b/>
          <w:sz w:val="28"/>
          <w:szCs w:val="28"/>
        </w:rPr>
      </w:pPr>
      <w:r w:rsidRPr="00811ECE">
        <w:rPr>
          <w:b/>
          <w:sz w:val="28"/>
          <w:szCs w:val="28"/>
        </w:rPr>
        <w:t>Stavby 518, 519 a 520</w:t>
      </w:r>
    </w:p>
    <w:p w:rsidR="00811ECE" w:rsidRPr="005D20A9" w:rsidRDefault="00811ECE" w:rsidP="00811ECE">
      <w:pPr>
        <w:jc w:val="both"/>
        <w:rPr>
          <w:rFonts w:cstheme="minorHAnsi"/>
          <w:sz w:val="24"/>
          <w:szCs w:val="24"/>
        </w:rPr>
      </w:pPr>
      <w:r w:rsidRPr="005D20A9">
        <w:rPr>
          <w:rFonts w:cstheme="minorHAnsi"/>
          <w:sz w:val="24"/>
          <w:szCs w:val="24"/>
        </w:rPr>
        <w:t xml:space="preserve">Úsek 518 Ruzyně – Suchdol Silničního okruhu kolem Prahy je situován do severozápadního okraje hlavního města Prahy v délce 9,401km. V současné době </w:t>
      </w:r>
      <w:r w:rsidR="005D20A9">
        <w:rPr>
          <w:rFonts w:cstheme="minorHAnsi"/>
          <w:sz w:val="24"/>
          <w:szCs w:val="24"/>
        </w:rPr>
        <w:t>je dokončována technická</w:t>
      </w:r>
      <w:r w:rsidRPr="005D20A9">
        <w:rPr>
          <w:rFonts w:cstheme="minorHAnsi"/>
          <w:sz w:val="24"/>
          <w:szCs w:val="24"/>
        </w:rPr>
        <w:t xml:space="preserve"> studie. Zajišťují se podklady pro zahájení prací na dokumentaci EIA</w:t>
      </w:r>
      <w:r w:rsidR="005D20A9">
        <w:rPr>
          <w:rFonts w:cstheme="minorHAnsi"/>
          <w:sz w:val="24"/>
          <w:szCs w:val="24"/>
        </w:rPr>
        <w:t xml:space="preserve"> (dopravní modelování v závislosti na součinnosti </w:t>
      </w:r>
      <w:r w:rsidR="005461E4">
        <w:rPr>
          <w:rFonts w:cstheme="minorHAnsi"/>
          <w:sz w:val="24"/>
          <w:szCs w:val="24"/>
        </w:rPr>
        <w:t>Technická správa komunikací (TSK) versus Institut plánování a rozvoje (</w:t>
      </w:r>
      <w:r w:rsidR="005D20A9">
        <w:rPr>
          <w:rFonts w:cstheme="minorHAnsi"/>
          <w:sz w:val="24"/>
          <w:szCs w:val="24"/>
        </w:rPr>
        <w:t>IPR)</w:t>
      </w:r>
      <w:r w:rsidR="005461E4">
        <w:rPr>
          <w:rFonts w:cstheme="minorHAnsi"/>
          <w:sz w:val="24"/>
          <w:szCs w:val="24"/>
        </w:rPr>
        <w:t>)</w:t>
      </w:r>
      <w:r w:rsidRPr="005D20A9">
        <w:rPr>
          <w:rFonts w:cstheme="minorHAnsi"/>
          <w:sz w:val="24"/>
          <w:szCs w:val="24"/>
        </w:rPr>
        <w:t>.</w:t>
      </w:r>
    </w:p>
    <w:p w:rsidR="00811ECE" w:rsidRPr="005D20A9" w:rsidRDefault="00811ECE" w:rsidP="00811EC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D20A9">
        <w:rPr>
          <w:rFonts w:cstheme="minorHAnsi"/>
          <w:b/>
          <w:sz w:val="24"/>
          <w:szCs w:val="24"/>
        </w:rPr>
        <w:t xml:space="preserve">Předpokládaný </w:t>
      </w:r>
      <w:r w:rsidR="005461E4">
        <w:rPr>
          <w:rFonts w:cstheme="minorHAnsi"/>
          <w:b/>
          <w:sz w:val="24"/>
          <w:szCs w:val="24"/>
        </w:rPr>
        <w:t xml:space="preserve">možný </w:t>
      </w:r>
      <w:r w:rsidRPr="005D20A9">
        <w:rPr>
          <w:rFonts w:cstheme="minorHAnsi"/>
          <w:b/>
          <w:sz w:val="24"/>
          <w:szCs w:val="24"/>
        </w:rPr>
        <w:t xml:space="preserve">rok </w:t>
      </w:r>
      <w:r w:rsidR="006D50F3" w:rsidRPr="005D20A9">
        <w:rPr>
          <w:rFonts w:cstheme="minorHAnsi"/>
          <w:b/>
          <w:sz w:val="24"/>
          <w:szCs w:val="24"/>
        </w:rPr>
        <w:t xml:space="preserve">zahájení </w:t>
      </w:r>
      <w:r w:rsidRPr="005D20A9">
        <w:rPr>
          <w:rFonts w:cstheme="minorHAnsi"/>
          <w:b/>
          <w:sz w:val="24"/>
          <w:szCs w:val="24"/>
        </w:rPr>
        <w:t>realizace stavby: 2026</w:t>
      </w:r>
    </w:p>
    <w:p w:rsidR="00811ECE" w:rsidRPr="005D20A9" w:rsidRDefault="00811ECE" w:rsidP="005D20A9">
      <w:pPr>
        <w:spacing w:before="240" w:line="257" w:lineRule="auto"/>
        <w:jc w:val="both"/>
        <w:rPr>
          <w:rFonts w:cstheme="minorHAnsi"/>
          <w:sz w:val="24"/>
          <w:szCs w:val="24"/>
        </w:rPr>
      </w:pPr>
      <w:r w:rsidRPr="005D20A9">
        <w:rPr>
          <w:rFonts w:cstheme="minorHAnsi"/>
          <w:sz w:val="24"/>
          <w:szCs w:val="24"/>
        </w:rPr>
        <w:t>Úsek 519 Suchdol – Březiněves Silničního okruhu kolem Prahy je situován do severního okraje hlavn</w:t>
      </w:r>
      <w:r w:rsidR="005D20A9">
        <w:rPr>
          <w:rFonts w:cstheme="minorHAnsi"/>
          <w:sz w:val="24"/>
          <w:szCs w:val="24"/>
        </w:rPr>
        <w:t>ího města Prahy v délce 6,679km</w:t>
      </w:r>
      <w:r w:rsidRPr="005D20A9">
        <w:rPr>
          <w:rFonts w:cstheme="minorHAnsi"/>
          <w:sz w:val="24"/>
          <w:szCs w:val="24"/>
        </w:rPr>
        <w:t>.</w:t>
      </w:r>
      <w:r w:rsidR="005D20A9">
        <w:rPr>
          <w:rFonts w:cstheme="minorHAnsi"/>
          <w:sz w:val="24"/>
          <w:szCs w:val="24"/>
        </w:rPr>
        <w:t xml:space="preserve"> </w:t>
      </w:r>
      <w:r w:rsidR="005D20A9" w:rsidRPr="005D20A9">
        <w:rPr>
          <w:rFonts w:cstheme="minorHAnsi"/>
          <w:sz w:val="24"/>
          <w:szCs w:val="24"/>
        </w:rPr>
        <w:t xml:space="preserve">V současné době </w:t>
      </w:r>
      <w:r w:rsidR="005D20A9">
        <w:rPr>
          <w:rFonts w:cstheme="minorHAnsi"/>
          <w:sz w:val="24"/>
          <w:szCs w:val="24"/>
        </w:rPr>
        <w:t>je dokončována technická</w:t>
      </w:r>
      <w:r w:rsidR="005D20A9" w:rsidRPr="005D20A9">
        <w:rPr>
          <w:rFonts w:cstheme="minorHAnsi"/>
          <w:sz w:val="24"/>
          <w:szCs w:val="24"/>
        </w:rPr>
        <w:t xml:space="preserve"> studie. Zajišťují se podklady pro zahájení prací na dokumentaci EIA</w:t>
      </w:r>
      <w:r w:rsidR="005D20A9">
        <w:rPr>
          <w:rFonts w:cstheme="minorHAnsi"/>
          <w:sz w:val="24"/>
          <w:szCs w:val="24"/>
        </w:rPr>
        <w:t xml:space="preserve"> (dopravní modelování v závislosti na součinnosti na TSK+IPR)</w:t>
      </w:r>
      <w:r w:rsidR="005D20A9" w:rsidRPr="005D20A9">
        <w:rPr>
          <w:rFonts w:cstheme="minorHAnsi"/>
          <w:sz w:val="24"/>
          <w:szCs w:val="24"/>
        </w:rPr>
        <w:t>.</w:t>
      </w:r>
    </w:p>
    <w:p w:rsidR="00811ECE" w:rsidRPr="005D20A9" w:rsidRDefault="00811ECE" w:rsidP="00811EC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D20A9">
        <w:rPr>
          <w:rFonts w:cstheme="minorHAnsi"/>
          <w:b/>
          <w:sz w:val="24"/>
          <w:szCs w:val="24"/>
        </w:rPr>
        <w:t xml:space="preserve">Předpokládaný </w:t>
      </w:r>
      <w:r w:rsidR="005461E4">
        <w:rPr>
          <w:rFonts w:cstheme="minorHAnsi"/>
          <w:b/>
          <w:sz w:val="24"/>
          <w:szCs w:val="24"/>
        </w:rPr>
        <w:t xml:space="preserve">možný </w:t>
      </w:r>
      <w:r w:rsidRPr="005D20A9">
        <w:rPr>
          <w:rFonts w:cstheme="minorHAnsi"/>
          <w:b/>
          <w:sz w:val="24"/>
          <w:szCs w:val="24"/>
        </w:rPr>
        <w:t xml:space="preserve">rok </w:t>
      </w:r>
      <w:r w:rsidR="006D50F3" w:rsidRPr="005D20A9">
        <w:rPr>
          <w:rFonts w:cstheme="minorHAnsi"/>
          <w:b/>
          <w:sz w:val="24"/>
          <w:szCs w:val="24"/>
        </w:rPr>
        <w:t xml:space="preserve">zahájení </w:t>
      </w:r>
      <w:r w:rsidRPr="005D20A9">
        <w:rPr>
          <w:rFonts w:cstheme="minorHAnsi"/>
          <w:b/>
          <w:sz w:val="24"/>
          <w:szCs w:val="24"/>
        </w:rPr>
        <w:t>realizace stavby: 2026</w:t>
      </w:r>
    </w:p>
    <w:p w:rsidR="00811ECE" w:rsidRPr="005D20A9" w:rsidRDefault="00811ECE" w:rsidP="005D20A9">
      <w:pPr>
        <w:spacing w:before="240" w:line="257" w:lineRule="auto"/>
        <w:jc w:val="both"/>
        <w:rPr>
          <w:rFonts w:cstheme="minorHAnsi"/>
          <w:sz w:val="24"/>
          <w:szCs w:val="24"/>
        </w:rPr>
      </w:pPr>
      <w:r w:rsidRPr="005D20A9">
        <w:rPr>
          <w:rFonts w:cstheme="minorHAnsi"/>
          <w:sz w:val="24"/>
          <w:szCs w:val="24"/>
        </w:rPr>
        <w:t>Úsek 520 Březiněves – Satalice Silniční okruh kolem Prahy je situován do severovýchodního okraje Prahy je z pohledu realizace Silničního okruhu kolem Prahy úsekem, který celý okruh uzavře</w:t>
      </w:r>
      <w:r w:rsidR="005461E4">
        <w:rPr>
          <w:rFonts w:cstheme="minorHAnsi"/>
          <w:sz w:val="24"/>
          <w:szCs w:val="24"/>
        </w:rPr>
        <w:t xml:space="preserve"> (</w:t>
      </w:r>
      <w:r w:rsidRPr="005D20A9">
        <w:rPr>
          <w:rFonts w:cstheme="minorHAnsi"/>
          <w:sz w:val="24"/>
          <w:szCs w:val="24"/>
        </w:rPr>
        <w:t>dél</w:t>
      </w:r>
      <w:r w:rsidR="005461E4">
        <w:rPr>
          <w:rFonts w:cstheme="minorHAnsi"/>
          <w:sz w:val="24"/>
          <w:szCs w:val="24"/>
        </w:rPr>
        <w:t>ka</w:t>
      </w:r>
      <w:r w:rsidRPr="005D20A9">
        <w:rPr>
          <w:rFonts w:cstheme="minorHAnsi"/>
          <w:sz w:val="24"/>
          <w:szCs w:val="24"/>
        </w:rPr>
        <w:t xml:space="preserve"> 13,151</w:t>
      </w:r>
      <w:r w:rsidR="005461E4">
        <w:rPr>
          <w:rFonts w:cstheme="minorHAnsi"/>
          <w:sz w:val="24"/>
          <w:szCs w:val="24"/>
        </w:rPr>
        <w:t xml:space="preserve"> </w:t>
      </w:r>
      <w:r w:rsidRPr="005D20A9">
        <w:rPr>
          <w:rFonts w:cstheme="minorHAnsi"/>
          <w:sz w:val="24"/>
          <w:szCs w:val="24"/>
        </w:rPr>
        <w:t>km</w:t>
      </w:r>
      <w:r w:rsidR="005461E4">
        <w:rPr>
          <w:rFonts w:cstheme="minorHAnsi"/>
          <w:sz w:val="24"/>
          <w:szCs w:val="24"/>
        </w:rPr>
        <w:t>)</w:t>
      </w:r>
      <w:r w:rsidRPr="005D20A9">
        <w:rPr>
          <w:rFonts w:cstheme="minorHAnsi"/>
          <w:sz w:val="24"/>
          <w:szCs w:val="24"/>
        </w:rPr>
        <w:t xml:space="preserve">. V současné době se zpracovává </w:t>
      </w:r>
      <w:r w:rsidR="005D20A9">
        <w:rPr>
          <w:rFonts w:cstheme="minorHAnsi"/>
          <w:sz w:val="24"/>
          <w:szCs w:val="24"/>
        </w:rPr>
        <w:t>technická</w:t>
      </w:r>
      <w:r w:rsidRPr="005D20A9">
        <w:rPr>
          <w:rFonts w:cstheme="minorHAnsi"/>
          <w:sz w:val="24"/>
          <w:szCs w:val="24"/>
        </w:rPr>
        <w:t xml:space="preserve"> studie a projednáva</w:t>
      </w:r>
      <w:r w:rsidR="005461E4">
        <w:rPr>
          <w:rFonts w:cstheme="minorHAnsi"/>
          <w:sz w:val="24"/>
          <w:szCs w:val="24"/>
        </w:rPr>
        <w:t>jí se připomínky dotčených obcí, zejména počty a tvary mimoúrovňových křižovatek, navazující komunikace</w:t>
      </w:r>
    </w:p>
    <w:p w:rsidR="00811ECE" w:rsidRDefault="00811ECE" w:rsidP="00811ECE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  <w:r w:rsidRPr="005D20A9">
        <w:rPr>
          <w:rFonts w:cstheme="minorHAnsi"/>
          <w:b/>
          <w:sz w:val="24"/>
          <w:szCs w:val="24"/>
        </w:rPr>
        <w:t xml:space="preserve">Předpokládaný rok </w:t>
      </w:r>
      <w:r w:rsidR="006D50F3" w:rsidRPr="005D20A9">
        <w:rPr>
          <w:rFonts w:cstheme="minorHAnsi"/>
          <w:b/>
          <w:sz w:val="24"/>
          <w:szCs w:val="24"/>
        </w:rPr>
        <w:t xml:space="preserve">zahájení </w:t>
      </w:r>
      <w:r w:rsidRPr="005D20A9">
        <w:rPr>
          <w:rFonts w:cstheme="minorHAnsi"/>
          <w:b/>
          <w:sz w:val="24"/>
          <w:szCs w:val="24"/>
        </w:rPr>
        <w:t>realizace stavby: 2026</w:t>
      </w:r>
      <w:r w:rsidR="005D20A9">
        <w:rPr>
          <w:rFonts w:cstheme="minorHAnsi"/>
          <w:b/>
          <w:sz w:val="24"/>
          <w:szCs w:val="24"/>
        </w:rPr>
        <w:t>+</w:t>
      </w:r>
    </w:p>
    <w:p w:rsidR="00777A41" w:rsidRPr="005D20A9" w:rsidRDefault="00D43105" w:rsidP="005461E4">
      <w:pPr>
        <w:spacing w:after="12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Předpokládané náklady na soubor staveb 518-520: 35 mld. Kč</w:t>
      </w:r>
    </w:p>
    <w:sectPr w:rsidR="00777A41" w:rsidRPr="005D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0D45"/>
    <w:multiLevelType w:val="hybridMultilevel"/>
    <w:tmpl w:val="7674C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CE"/>
    <w:rsid w:val="00270E9C"/>
    <w:rsid w:val="004F0E0C"/>
    <w:rsid w:val="005461E4"/>
    <w:rsid w:val="005D20A9"/>
    <w:rsid w:val="006D50F3"/>
    <w:rsid w:val="0076160F"/>
    <w:rsid w:val="00777A41"/>
    <w:rsid w:val="00811ECE"/>
    <w:rsid w:val="00D43105"/>
    <w:rsid w:val="00E35DDD"/>
    <w:rsid w:val="00E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CE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11ECE"/>
    <w:pPr>
      <w:keepNext/>
      <w:keepLines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E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1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11ECE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811ECE"/>
    <w:pPr>
      <w:keepNext/>
      <w:keepLines/>
      <w:spacing w:before="240" w:after="0" w:line="259" w:lineRule="auto"/>
      <w:jc w:val="both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11E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11E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MD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Svobodová Johana Ing.</dc:creator>
  <cp:lastModifiedBy>Kryštof Jiří</cp:lastModifiedBy>
  <cp:revision>2</cp:revision>
  <dcterms:created xsi:type="dcterms:W3CDTF">2018-09-05T09:23:00Z</dcterms:created>
  <dcterms:modified xsi:type="dcterms:W3CDTF">2018-09-05T09:23:00Z</dcterms:modified>
</cp:coreProperties>
</file>