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 w:rsidRPr="007D1D4A">
        <w:rPr>
          <w:sz w:val="24"/>
          <w:szCs w:val="24"/>
        </w:rPr>
        <w:t>Odborníci Komise podporují rozvoj 13 bulharských výzkumných a inovačních center</w:t>
      </w:r>
    </w:p>
    <w:p w:rsid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 w:rsidRPr="007D1D4A">
        <w:rPr>
          <w:sz w:val="24"/>
          <w:szCs w:val="24"/>
        </w:rPr>
        <w:t>V Bruselu dne 26. září 2019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 w:rsidRPr="007D1D4A">
        <w:rPr>
          <w:sz w:val="24"/>
          <w:szCs w:val="24"/>
        </w:rPr>
        <w:t>IP / 19/5829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D1D4A">
        <w:rPr>
          <w:sz w:val="24"/>
          <w:szCs w:val="24"/>
        </w:rPr>
        <w:t>Odborníci Komise ze Společného výzkumného střediska poskytnou podporu a vedení 13 bulharským výzkumným a inovačním střediskům, aby jim pomohli uvést své inovativní nápady na trh, usnadnit přenos a šíření znalostí a posílit jejich vazby s podniky i jejich účast v evropských a projekty mezinárodní spolupráce.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D1D4A">
        <w:rPr>
          <w:sz w:val="24"/>
          <w:szCs w:val="24"/>
        </w:rPr>
        <w:t>Odborníci rovněž pomohou 13 střediskům zlepšit jejich právní, manažerské a operační rámce, řešit otázky státní podpory a identifikovat možnosti financování, a to i prostřednictvím fondů EU.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D1D4A">
        <w:rPr>
          <w:sz w:val="24"/>
          <w:szCs w:val="24"/>
        </w:rPr>
        <w:t>Komisař pro politiku sousedství, jednání o rozšíření a regionální politiku Johannes Hahn řekl: „Rozvoj těchto 13 středisek financovaných EU a podpora poskytovaná Komisí zlepší výkon bulharského inovačního systému. To pomůže místním vědcům proměnit jejich práci v projekty s vysokou přidanou hodnotou, pro ekonomiku a pro lidi a nabídne jim potenciál pro podporu jejich inovativního přís</w:t>
      </w:r>
      <w:r>
        <w:rPr>
          <w:sz w:val="24"/>
          <w:szCs w:val="24"/>
        </w:rPr>
        <w:t>tupu v celosvětovém měřítku. “</w:t>
      </w:r>
      <w:r w:rsidRPr="007D1D4A">
        <w:rPr>
          <w:sz w:val="24"/>
          <w:szCs w:val="24"/>
        </w:rPr>
        <w:t xml:space="preserve">Tibor </w:t>
      </w:r>
      <w:proofErr w:type="spellStart"/>
      <w:r w:rsidRPr="007D1D4A">
        <w:rPr>
          <w:sz w:val="24"/>
          <w:szCs w:val="24"/>
        </w:rPr>
        <w:t>Navracsics</w:t>
      </w:r>
      <w:proofErr w:type="spellEnd"/>
      <w:r w:rsidRPr="007D1D4A">
        <w:rPr>
          <w:sz w:val="24"/>
          <w:szCs w:val="24"/>
        </w:rPr>
        <w:t>, komisař pro vzdělávání, kulturu, mládež a sport, odpovědný za Společné výzkumné středisko, uvedl: „Spojení místních orgánů, akademické obce, podnikání a občanské společnosti je klíčem k nalezení nejlepších způsobů, jak mohou fondy EU podpořit místní ekonomiky a podporovat je rozvoj. Tento inkluzivní přístup založený na důkazech založený na důkazech má vynikající výsledky v tom, že umožňuje evropským regionům soustředit se na jej</w:t>
      </w:r>
      <w:r>
        <w:rPr>
          <w:sz w:val="24"/>
          <w:szCs w:val="24"/>
        </w:rPr>
        <w:t>ich silné stránky a priority. “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D1D4A">
        <w:rPr>
          <w:sz w:val="24"/>
          <w:szCs w:val="24"/>
        </w:rPr>
        <w:t xml:space="preserve">13 center zahrnuje čtyři „centra excelence“, tj. Základní výzkumné instituce a devět „kompetenčních center“, zaměřených na aktivity aplikovaného výzkumu s potenciálem průmyslového využití. Týká se odvětví, jako je </w:t>
      </w:r>
      <w:proofErr w:type="spellStart"/>
      <w:r w:rsidRPr="007D1D4A">
        <w:rPr>
          <w:sz w:val="24"/>
          <w:szCs w:val="24"/>
        </w:rPr>
        <w:t>mechatronika</w:t>
      </w:r>
      <w:proofErr w:type="spellEnd"/>
      <w:r w:rsidRPr="007D1D4A">
        <w:rPr>
          <w:sz w:val="24"/>
          <w:szCs w:val="24"/>
        </w:rPr>
        <w:t xml:space="preserve">, digitální technologie, kreativní a herní průmysl a biotechnologie a další oblasti v souladu s prioritami bulharské strategie inteligentní specializace, její průmyslové a inovační strategie založené na místních </w:t>
      </w:r>
      <w:proofErr w:type="gramStart"/>
      <w:r w:rsidRPr="007D1D4A">
        <w:rPr>
          <w:sz w:val="24"/>
          <w:szCs w:val="24"/>
        </w:rPr>
        <w:t>siln</w:t>
      </w:r>
      <w:r>
        <w:rPr>
          <w:sz w:val="24"/>
          <w:szCs w:val="24"/>
        </w:rPr>
        <w:t xml:space="preserve">ých </w:t>
      </w:r>
      <w:r w:rsidRPr="007D1D4A">
        <w:rPr>
          <w:sz w:val="24"/>
          <w:szCs w:val="24"/>
        </w:rPr>
        <w:t xml:space="preserve"> stránkách</w:t>
      </w:r>
      <w:proofErr w:type="gramEnd"/>
      <w:r w:rsidRPr="007D1D4A">
        <w:rPr>
          <w:sz w:val="24"/>
          <w:szCs w:val="24"/>
        </w:rPr>
        <w:t>.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D1D4A">
        <w:rPr>
          <w:sz w:val="24"/>
          <w:szCs w:val="24"/>
        </w:rPr>
        <w:t xml:space="preserve">Tento podpůrný projekt bude realizován do června 2020 s dodatečným rozpočtem 250 000 EUR z Evropského fondu pro regionální rozvoj a 170 milionů EUR vyčleněných na výzkum a inovace v rámci bulharské vědy a vzdělávání 2014–2020 pro Program fondů EU pro inteligentní růst. Výsledky této iniciativy přispějí k vytvoření nových programů politiky soudržnosti na období 2021–2027 </w:t>
      </w:r>
      <w:proofErr w:type="spellStart"/>
      <w:r w:rsidRPr="007D1D4A">
        <w:rPr>
          <w:sz w:val="24"/>
          <w:szCs w:val="24"/>
        </w:rPr>
        <w:t>ak</w:t>
      </w:r>
      <w:proofErr w:type="spellEnd"/>
      <w:r w:rsidRPr="007D1D4A">
        <w:rPr>
          <w:sz w:val="24"/>
          <w:szCs w:val="24"/>
        </w:rPr>
        <w:t xml:space="preserve"> úsilí Bulharska o modernizaci svého ekosystému v oblasti výzkumu a inovací.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Souvislosti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D1D4A">
        <w:rPr>
          <w:sz w:val="24"/>
          <w:szCs w:val="24"/>
        </w:rPr>
        <w:t>Komise prostřednictvím Společného výzkumného střediska již dříve pomohla zlepšit operační kapacitu Sofijského technologického parku, vědeckotechnického parku v Bulharsku, rovněž spolufinancovaného z rozpočtu EU.</w:t>
      </w:r>
      <w:r>
        <w:rPr>
          <w:sz w:val="24"/>
          <w:szCs w:val="24"/>
        </w:rPr>
        <w:t xml:space="preserve"> </w:t>
      </w:r>
      <w:r w:rsidRPr="007D1D4A">
        <w:rPr>
          <w:sz w:val="24"/>
          <w:szCs w:val="24"/>
        </w:rPr>
        <w:t>Komise pomáhá členským státům a regionům při navrhování a provádění jejich strategií inteligentní specializace a prostřednictvím platformy inteligentní specializace. V roce 2017 Komise navíc zahájila iniciativu podporující 12 členských států a regionů v průmyslovém přechodu. Odborníci Komise se posadili s vnitrostátními a regionálními orgány, aby jim pomohli diagnostikovat, co brzdilo vytváření pracovních míst a růst, a přijali inovace potřebné k tomu, aby si udrželi vlastní postavení v globalizovaném hospodářství.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D1D4A">
        <w:rPr>
          <w:sz w:val="24"/>
          <w:szCs w:val="24"/>
        </w:rPr>
        <w:t>Projekt EU4TECH „Budování kapacit v transferu technologií pro západní Balkán“ financovaný prostřednictvím nástroje předvstupní pomoci pomáhá 15 místním univerzitám rozvíjet kapacitu pro inovace a přenos technologií.</w:t>
      </w:r>
    </w:p>
    <w:p w:rsidR="007D1D4A" w:rsidRPr="007D1D4A" w:rsidRDefault="007D1D4A" w:rsidP="007D1D4A">
      <w:pPr>
        <w:spacing w:after="0" w:line="240" w:lineRule="auto"/>
        <w:jc w:val="both"/>
        <w:rPr>
          <w:b/>
          <w:sz w:val="24"/>
          <w:szCs w:val="24"/>
        </w:rPr>
      </w:pPr>
      <w:r w:rsidRPr="007D1D4A">
        <w:rPr>
          <w:b/>
          <w:sz w:val="24"/>
          <w:szCs w:val="24"/>
        </w:rPr>
        <w:t>Pro více informací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 w:rsidRPr="007D1D4A">
        <w:rPr>
          <w:sz w:val="24"/>
          <w:szCs w:val="24"/>
        </w:rPr>
        <w:lastRenderedPageBreak/>
        <w:t>Inteligentní strategie specializace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 w:rsidRPr="007D1D4A">
        <w:rPr>
          <w:sz w:val="24"/>
          <w:szCs w:val="24"/>
        </w:rPr>
        <w:t>Fondy EU v Bulharsku 2014–2020</w:t>
      </w:r>
    </w:p>
    <w:p w:rsidR="007D1D4A" w:rsidRPr="007D1D4A" w:rsidRDefault="007D1D4A" w:rsidP="007D1D4A">
      <w:pPr>
        <w:spacing w:after="0" w:line="240" w:lineRule="auto"/>
        <w:jc w:val="both"/>
        <w:rPr>
          <w:sz w:val="24"/>
          <w:szCs w:val="24"/>
        </w:rPr>
      </w:pPr>
      <w:r w:rsidRPr="007D1D4A">
        <w:rPr>
          <w:sz w:val="24"/>
          <w:szCs w:val="24"/>
        </w:rPr>
        <w:t>Návrh Komise na bu</w:t>
      </w:r>
      <w:bookmarkStart w:id="0" w:name="_GoBack"/>
      <w:bookmarkEnd w:id="0"/>
      <w:r w:rsidRPr="007D1D4A">
        <w:rPr>
          <w:sz w:val="24"/>
          <w:szCs w:val="24"/>
        </w:rPr>
        <w:t>doucí politiku soudržnosti 2021–2027</w:t>
      </w:r>
    </w:p>
    <w:sectPr w:rsidR="007D1D4A" w:rsidRPr="007D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4A"/>
    <w:rsid w:val="001202B6"/>
    <w:rsid w:val="007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2019-09-26T13:05:00Z</dcterms:created>
  <dcterms:modified xsi:type="dcterms:W3CDTF">2019-09-26T13:11:00Z</dcterms:modified>
</cp:coreProperties>
</file>