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67674A" w:rsidRPr="0067674A" w:rsidTr="006767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6D0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/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9656D0" w:rsidRPr="009656D0" w:rsidRDefault="009656D0" w:rsidP="00965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omise navrhuje rybolovná práva v Atlantiku a Severním moři do roku 2020</w:t>
            </w:r>
          </w:p>
          <w:p w:rsidR="009656D0" w:rsidRPr="009656D0" w:rsidRDefault="009656D0" w:rsidP="00965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IP / 19/6151</w:t>
            </w:r>
          </w:p>
          <w:p w:rsidR="009656D0" w:rsidRPr="009656D0" w:rsidRDefault="009656D0" w:rsidP="009656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V Bruselu dne 24. října 2019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 zasedáním Rady ve dnech 16. – 17.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rosince o rybolovu  Komise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24.října</w:t>
            </w:r>
            <w:proofErr w:type="gramEnd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přijala svůj návrh rybolovných práv pro 72 populací v Atlantiku a Severním moři do roku 2020: u 32 populací je rybolovná kvóta buď zvýšena, nebo zůstává stejná; u 40 zásob se kvóta snižuje. Rybolovná práva neboli celkový přípustný odlov (TAC) jsou stanoveny pro většinu komerčních populací ryb s cílem zachovat nebo obnovit zdravé populace a zároveň umožnit průmyslu těžit z rybolovu s největším množstvím ryb.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Karmenu Vella, komisař pro životní prostředí, námořní záležitosti a rybolov, uvedl: „Dnešní návrh konsoliduje naše úsilí o udržitelný rybolov ve vodách Atlantiku a Severního moře. V posledních letech jsme neustále zvyšovali počet zdravých populací a - v důsledku toho - také stálý růst zisků našeho odvětví rybolovu. Je to důsledek odpovědného řízení a neustálého úsilí o provádění, zejména našimi rybáři, kteří jsou prvními, kteří realizují naše ochranná opatření, a také těmi, kteří </w:t>
            </w:r>
            <w:proofErr w:type="gramStart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mají</w:t>
            </w:r>
            <w:proofErr w:type="gramEnd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největší prospěch díky takovým trvalým závazkům </w:t>
            </w:r>
            <w:proofErr w:type="gramStart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bude</w:t>
            </w:r>
            <w:proofErr w:type="gramEnd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rok 2020 dalším rokem evropského rybolovu. ““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 souladu s cíli a právním rámcem společné rybářské politiky (SRP) navrhuje Komise rybolovná práva pro populace s „maximálním udržitelným výnosem“ (MSY) s úplným vědeckým posouzením a „preventivní úrovní“ pro ostatní </w:t>
            </w:r>
            <w:proofErr w:type="gramStart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populace. . Návrh</w:t>
            </w:r>
            <w:proofErr w:type="gramEnd"/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vychází z doporučení Mezinárodní rady pro průzkum moří (ICES).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Udržitelný rybolov dosáhl v EU podstatného pokroku: v roce 2019 se loví 59 populací na úrovni maximálního udržitelného výnosu, z 53 v roce 2018 a ve srovnání s 5 v roce 2009. To znamená, že rybolovný tlak na populace je omezen na úroveň, která umožní zdravou budoucnost biomasy rybích populací, přičemž zohlední socioekonomické faktory. Komise spolupracuje s členskými státy na podpoře rybářů při dosahování cíle rybolovu všech populací na udržitelné úrovni do roku 2020, jak stanoví společná rybářská politika. Vzhledem k tomu, že se velikost některých klíčových populací ryb zvyšuje - například treska jednoskvrnná v Keltském moři a Sole v Bristolském průlivu -, má ziskovost odvětví rybolovu s odhadovaným hrubým ziskem 1,3 miliardy EUR na rok 2019.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Dnešní návrh bude předložen členským státům EU k projednání a rozhodnutí na zasedání Rady ve složení pro rybolov dne 16. až 17. prosince v Bruselu, které se použije ode dne 1. ledna 2020.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9656D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Podrobnosti návrhu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Pro rok 2020 poskytují víceleté plány pro Severní moře a západní vody rámec pro přizpůsobení řídících opatření složitému smíšenému rybolovu a pro zamezení extrémním odchylkám TAC. Například: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Komise navrhuje omezit snížení TAC pro štikozubce severní a jižní štikozubce na -20% s využitím horní části rozmezí MSY podle víceletého plánu pro západní vody. Populace mají zdravou biomasu, a proto by podle vědců stačilo omezené snížení tlaku rybolovu, aby se populace udržovala v dobrém stavu.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TAC tresky jednoskvrnné v Keltském moři by se mohlo v souladu s doporučeními ICES (+ 100%) výrazně zvýšit, ale Komise navrhuje zvýšení o 30% za použití spodní části rozmezí MSY, aby byla chráněna zranitelná populace tresky obecné, která je ulovena jako vedlejší úlovek tresky jednoskvrnné.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Pokud víceleté plány nejsou zavedeny, obrátila se Komise na strategie řízení poradních sborů, které ICES vyhodnotila jako udržitelné. Například v případě jižního koňáka obecného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Komise navrhla postupovat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trategie řízení Pelagic Advisory Council, která doporučuje snížení kvóty o 50%.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Komise rovněž navrhla ochranná opatření, která zajistí, aby se množství tresky obecné a tresky bezvousé v Keltském moři obnovilo na bezpečnou úroveň. Tato opatření spočívají ve zvýšené selektivitě, uzávěrech a vhodné kontrole, aby se předešlo nelegálním výmětům.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Komise navrhuje pokračovat v systému výměny kvót pro vedlejší úlovky. Jedná se o kvóty stanovené pro populace lovené jako vedlejší úlovky v jiných zdravých cílových rybolovných oblastech. Tento systém zajišťuje, aby členské státy bez kvóty pro jednu z těchto zásob vedlejších úlovků mohly pokračovat v lovu ostatních cílových populací. Přesné částky pro TAC vedlejších úlovků a jejich doprovodná opatření budou vydány později poté, co ICES poskytne vědecké doporučení.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Od 1. ledna 2019 se povinnost vykládky vztahuje na rybářsk</w:t>
            </w:r>
            <w:r w:rsidR="00DC3AAA">
              <w:rPr>
                <w:rFonts w:eastAsia="Times New Roman" w:cstheme="minorHAnsi"/>
                <w:sz w:val="24"/>
                <w:szCs w:val="24"/>
                <w:lang w:eastAsia="cs-CZ"/>
              </w:rPr>
              <w:t>ou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flotil</w:t>
            </w:r>
            <w:r w:rsidR="00DC3AAA">
              <w:rPr>
                <w:rFonts w:eastAsia="Times New Roman" w:cstheme="minorHAnsi"/>
                <w:sz w:val="24"/>
                <w:szCs w:val="24"/>
                <w:lang w:eastAsia="cs-CZ"/>
              </w:rPr>
              <w:t>u</w:t>
            </w: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EU: všechny úlovky regulovaných komerčních druhů (včetně vedlejších úlovků) musí být vyloženy a započítány do kvóty každého členského státu. V dnešním návrhu Komise již odpočítala od doporučených úlovků částky odpovídající dohodnutým výjimkám z povinnosti vykládky.</w:t>
            </w:r>
          </w:p>
          <w:p w:rsidR="009656D0" w:rsidRPr="009656D0" w:rsidRDefault="009656D0" w:rsidP="009656D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56D0">
              <w:rPr>
                <w:rFonts w:eastAsia="Times New Roman" w:cstheme="minorHAnsi"/>
                <w:sz w:val="24"/>
                <w:szCs w:val="24"/>
                <w:lang w:eastAsia="cs-CZ"/>
              </w:rPr>
              <w:t>Návrh se týká populací spravovaných pouze EU a populací spravovaných ve spolupráci se třetími zeměmi, jako je Norsko, nebo prostřednictvím regionálních organizací pro řízení rybolovu (RFMO). Mezinárodní jednání o mnoha dotčených populacích stále probíhají a některé další populace čekají na vědecké doporučení. U těchto budou čísla zahrnuta v pozdější fázi.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Návrh se týká populací spravovaných pouze EU a populací spravovaných ve spolupráci se třetími zeměmi, jako je Norsko, nebo prostřednictvím regionálních organizací pro řízení rybolovu (RFMO). Mezinárodní jednání o mnoha dotčených populacích stále probíhají a některé další populace čekají na vědecké doporučení. U těchto budou čísla zahrnuta v pozdější fázi.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 Pro více informací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Podrobnosti o současných návrzích pro Atlantik a Severní moře jsou uvedeny v tabulkách </w:t>
            </w:r>
            <w:r w:rsidRPr="00DC3AA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níže.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TAC a kvóty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Vědecké poradenství: Navrhované TAC náležitě zohledňují vědecké doporučení Mezinárodní rady pro průzkum moří (ICES) a Vědeckotechnického a hospodářského výboru pro rybolov (STECF).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Zúčastněné strany byly konzultovány na základě konzultačního dokumentu Komise.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Víceleté plány řízení</w:t>
            </w:r>
          </w:p>
          <w:p w:rsidR="00DC3AAA" w:rsidRPr="00DC3AAA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3AAA">
              <w:rPr>
                <w:rFonts w:eastAsia="Times New Roman" w:cstheme="minorHAnsi"/>
                <w:sz w:val="24"/>
                <w:szCs w:val="24"/>
                <w:lang w:eastAsia="cs-CZ"/>
              </w:rPr>
              <w:t>Mapa rybolovných oblastí</w:t>
            </w:r>
          </w:p>
          <w:p w:rsidR="0067674A" w:rsidRPr="007D0CD6" w:rsidRDefault="00DC3AAA" w:rsidP="00DC3A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7674A"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See </w:t>
            </w:r>
            <w:r w:rsidR="0067674A" w:rsidRPr="007D0CD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tables below</w:t>
            </w:r>
            <w:r w:rsidR="0067674A"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 for details of today's proposals for the Atlantic and the North Sea.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6" w:history="1">
              <w:r w:rsidRPr="007D0CD6">
                <w:rPr>
                  <w:rFonts w:eastAsia="Times New Roman" w:cstheme="minorHAnsi"/>
                  <w:b/>
                  <w:bCs/>
                  <w:color w:val="551A8B"/>
                  <w:sz w:val="24"/>
                  <w:szCs w:val="24"/>
                  <w:bdr w:val="none" w:sz="0" w:space="0" w:color="auto" w:frame="1"/>
                  <w:lang w:eastAsia="cs-CZ"/>
                </w:rPr>
                <w:t>TACs and quotas</w:t>
              </w:r>
            </w:hyperlink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Scientific advice:</w:t>
            </w:r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 the proposed TACs take due account of the </w:t>
            </w:r>
            <w:hyperlink r:id="rId7" w:history="1">
              <w:r w:rsidRPr="007D0CD6">
                <w:rPr>
                  <w:rFonts w:eastAsia="Times New Roman" w:cstheme="minorHAnsi"/>
                  <w:color w:val="551A8B"/>
                  <w:sz w:val="24"/>
                  <w:szCs w:val="24"/>
                  <w:bdr w:val="none" w:sz="0" w:space="0" w:color="auto" w:frame="1"/>
                  <w:lang w:eastAsia="cs-CZ"/>
                </w:rPr>
                <w:t>scientific advice</w:t>
              </w:r>
            </w:hyperlink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 from the International Council for the Exploration of the Sea (ICES) and the Scientific, Technical and Economic Committee for Fisheries (STECF).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Stakeholders were consulted</w:t>
            </w:r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 based on the </w:t>
            </w:r>
            <w:hyperlink r:id="rId8" w:history="1">
              <w:r w:rsidRPr="007D0CD6">
                <w:rPr>
                  <w:rFonts w:eastAsia="Times New Roman" w:cstheme="minorHAnsi"/>
                  <w:color w:val="551A8B"/>
                  <w:sz w:val="24"/>
                  <w:szCs w:val="24"/>
                  <w:bdr w:val="none" w:sz="0" w:space="0" w:color="auto" w:frame="1"/>
                  <w:lang w:eastAsia="cs-CZ"/>
                </w:rPr>
                <w:t>Commission's Consultation document</w:t>
              </w:r>
            </w:hyperlink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9" w:history="1">
              <w:r w:rsidRPr="007D0CD6">
                <w:rPr>
                  <w:rFonts w:eastAsia="Times New Roman" w:cstheme="minorHAnsi"/>
                  <w:b/>
                  <w:bCs/>
                  <w:color w:val="551A8B"/>
                  <w:sz w:val="24"/>
                  <w:szCs w:val="24"/>
                  <w:bdr w:val="none" w:sz="0" w:space="0" w:color="auto" w:frame="1"/>
                  <w:lang w:eastAsia="cs-CZ"/>
                </w:rPr>
                <w:t>Multiannual management plans</w:t>
              </w:r>
            </w:hyperlink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0" w:history="1">
              <w:r w:rsidRPr="007D0CD6">
                <w:rPr>
                  <w:rFonts w:eastAsia="Times New Roman" w:cstheme="minorHAnsi"/>
                  <w:b/>
                  <w:bCs/>
                  <w:color w:val="551A8B"/>
                  <w:sz w:val="24"/>
                  <w:szCs w:val="24"/>
                  <w:bdr w:val="none" w:sz="0" w:space="0" w:color="auto" w:frame="1"/>
                  <w:lang w:eastAsia="cs-CZ"/>
                </w:rPr>
                <w:t>Map of fishing areas</w:t>
              </w:r>
            </w:hyperlink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Note: The tables below only list EU stocks, which are not shared with third countries. All TAC values are expressed in tonnes and rounded to the nearest full number.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Final TAC figures for 2019 reflect the total TAC set by the EU for a certain stock, after transfers to third countries where applicable.</w:t>
            </w:r>
          </w:p>
          <w:p w:rsidR="0067674A" w:rsidRPr="007D0CD6" w:rsidRDefault="0067674A" w:rsidP="006767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D0CD6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gramStart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Table</w:t>
            </w:r>
            <w:proofErr w:type="gramEnd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 1: Stocks with proposals for increased Total Allowable Catch (TAC)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657"/>
              <w:gridCol w:w="1410"/>
              <w:gridCol w:w="1410"/>
              <w:gridCol w:w="1410"/>
              <w:gridCol w:w="1112"/>
            </w:tblGrid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Common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Scientific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Unit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Final TAC in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2020 (Proposal)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change: 2019 - 2020 (Proposal)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Anglerfish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Lophiidae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32999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35299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Anglerfish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Lophiidae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8a, 8b, 8d and 8e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8371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9008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3a; Union waters of Subdivisions 22-24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457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1478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19%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7f and 7g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1528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Haddock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Melanogrammus aeglefinus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7b-k, 8,9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8329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10859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Herring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Clupea harengus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6896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8064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Megrims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Lepidorhombus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2887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2922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Megrims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Lepidorhombus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18132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18732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Megrims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Lepidorhombus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8a, 8b, 8d and 8e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1794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Megrims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Lepidorhombus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1872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2089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7f and 7g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1662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2003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21%</w:t>
                  </w:r>
                </w:p>
              </w:tc>
            </w:tr>
          </w:tbl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gramStart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Table</w:t>
            </w:r>
            <w:proofErr w:type="gramEnd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 2: Stocks with no changes in Total Allowable Catch (TAC)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410"/>
              <w:gridCol w:w="1410"/>
              <w:gridCol w:w="1410"/>
              <w:gridCol w:w="1425"/>
            </w:tblGrid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Common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Scientific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Unit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Final TAC in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2020 (Proposal)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6; Union and international waters of 5b; international waters of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7b and 7c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Greater silver smelt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Argentina silus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1 and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Greater silver smelt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Argentina silus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3a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1234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Herring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Clupea harengus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7e and 7f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930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molva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170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molva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1 and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molva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molva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6, 7, 8, 9, 10,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20396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20396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molva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4035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4035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Norway lobster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Nephrops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Norway lobster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Nephrops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13733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13733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6; Union and international waters of 5b; international waters of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658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7b and 7c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Saithe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virens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7, 8,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3176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Tusk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Brosme brosme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Tusk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Brosme brosme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1, 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Tusk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Brosme brosme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5, 6 and 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4130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Tusk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Brosme brosme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251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251</w:t>
                  </w:r>
                </w:p>
              </w:tc>
            </w:tr>
          </w:tbl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gramStart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Table</w:t>
            </w:r>
            <w:proofErr w:type="gramEnd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 3: Stocks with proposals for decreased Total Allowable Catch (TAC)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657"/>
              <w:gridCol w:w="1410"/>
              <w:gridCol w:w="1410"/>
              <w:gridCol w:w="1410"/>
              <w:gridCol w:w="1112"/>
            </w:tblGrid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Common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Scientific name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Unit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Final TAC in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2020 (Proposal)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change: 2019 - 2020 (Proposal)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Anglerfish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Lophiidae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4166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4023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-3%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Blue 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dypterygia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3a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-38%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Blue 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dypterygia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International waters of 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Blue 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dypterygia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2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Blue ling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Molva dypterygia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5b, 6 and 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11778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11150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-5%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Boarfish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Caproidae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6, 7 and 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21830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19152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-12%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Gadus morhua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257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-68%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Gadus morhua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7b, 7c, 7e-k, 8,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1610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189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-88%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12555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12317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8a and 8b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3872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3666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-5%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Common 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7h, 7j and 7k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213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-44%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Greater silver smelt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Argentina silus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5, 6 and 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4661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3729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Haddock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Melanogrammus aeglefinus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3739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-16%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Merluccius merluccius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8a, 8b, 8d and 8e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52118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42235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-19%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Merluccius merluccius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9258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7406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Merluccius merluccius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4286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3403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Merluccius merluccius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 and 7; Union and international waters of 5b; international waters of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79762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63325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Merluccius merluccius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4994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3940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Herring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Clupea harengus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and international waters of 5b, 6b and 6aN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4170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3480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-17%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Herring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Clupea harengus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6aS, 7b, 7c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1630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-17%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4b, 4c and 7d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15179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13763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-9%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2a, 4a; 6, 7a-c,7e-k, 8a, 8b, 8d and 8e; Union and international waters of 5b; internat</w:t>
                  </w: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softHyphen/>
                    <w:t>ional waters of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119118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70617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18858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11179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-41%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94017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46659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-50%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Lemon sole and witch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Microstomus kitt &amp; Glyptocephalus cynoglossus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7874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5580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-29%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Norway lobster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Nephrops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22103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22077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-0.2%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Norway lobster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Nephrops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401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309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-23%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3075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2790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-9%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7d and 7e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10354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9114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-12%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395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316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Plaice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Pleuronectes platessa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Kattegat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1141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-33%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Pollack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pollachius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Pollack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pollachius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208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Pollack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pollachius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8a, 8b, 8d and 8e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1482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1334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Pollack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pollachius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12163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7298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Pollack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Pollachius pollachius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6; Union and international waters of 5b; internat</w:t>
                  </w: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softHyphen/>
                    <w:t>ional waters of 12 and 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397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238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Sole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Solea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8c, 8d, 8e, 9 and 10; Union waters of CECAF 34.1.1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1072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643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-40%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Sprat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Sprattus sprattus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7d and 7e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2637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1506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-43%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Turbot and Brill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Psetta maxima &amp; Scophthalmus rhombus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2a and 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8122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5876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-28%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Whiting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Merlangius merlangius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2540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2203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-13%</w:t>
                  </w:r>
                </w:p>
              </w:tc>
            </w:tr>
          </w:tbl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gramStart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Table</w:t>
            </w:r>
            <w:proofErr w:type="gramEnd"/>
            <w:r w:rsidRPr="006767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 xml:space="preserve"> 4: Stocks for which the Total Allowable Catch (TAC) is delegated to an individual Member State</w:t>
            </w:r>
          </w:p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36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202"/>
              <w:gridCol w:w="1789"/>
              <w:gridCol w:w="2064"/>
            </w:tblGrid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Common name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Scientific name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TAC Unit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Delegated to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Herring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Clupea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6 Clyde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United Kingdom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CECAF (Canaries)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Spain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Union waters of CECAF (Madeira)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Portugal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Horse Mackerel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Trachurus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10, Union waters of CECAF (Azores)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Portugal</w:t>
                  </w:r>
                </w:p>
              </w:tc>
            </w:tr>
            <w:tr w:rsidR="0067674A" w:rsidRPr="0067674A" w:rsidTr="0067674A">
              <w:trPr>
                <w:tblCellSpacing w:w="15" w:type="dxa"/>
              </w:trPr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Penaeus shrimps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cs-CZ"/>
                    </w:rPr>
                    <w:t>Penaeus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French Guyana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  <w:r w:rsidRPr="0067674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  <w:t>France</w:t>
                  </w:r>
                </w:p>
              </w:tc>
            </w:tr>
          </w:tbl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67674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IP/19/6151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67674A" w:rsidRPr="0067674A" w:rsidTr="006767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74A" w:rsidRPr="0067674A" w:rsidRDefault="0067674A" w:rsidP="0067674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7674A" w:rsidRPr="0067674A" w:rsidRDefault="0067674A" w:rsidP="00676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:rsidR="0067674A" w:rsidRPr="0067674A" w:rsidRDefault="0067674A" w:rsidP="0067674A">
      <w:pPr>
        <w:spacing w:after="15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sectPr w:rsidR="0067674A" w:rsidRPr="0067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CA6"/>
    <w:multiLevelType w:val="multilevel"/>
    <w:tmpl w:val="B8D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A"/>
    <w:rsid w:val="00534190"/>
    <w:rsid w:val="0067674A"/>
    <w:rsid w:val="007D0CD6"/>
    <w:rsid w:val="009656D0"/>
    <w:rsid w:val="00D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6D0"/>
  </w:style>
  <w:style w:type="paragraph" w:styleId="Nadpis1">
    <w:name w:val="heading 1"/>
    <w:basedOn w:val="Normln"/>
    <w:link w:val="Nadpis1Char"/>
    <w:uiPriority w:val="9"/>
    <w:qFormat/>
    <w:rsid w:val="0067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67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674A"/>
    <w:rPr>
      <w:b/>
      <w:bCs/>
    </w:rPr>
  </w:style>
  <w:style w:type="character" w:styleId="Zvraznn">
    <w:name w:val="Emphasis"/>
    <w:basedOn w:val="Standardnpsmoodstavce"/>
    <w:uiPriority w:val="20"/>
    <w:qFormat/>
    <w:rsid w:val="006767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7674A"/>
    <w:rPr>
      <w:color w:val="0000FF"/>
      <w:u w:val="single"/>
    </w:rPr>
  </w:style>
  <w:style w:type="paragraph" w:customStyle="1" w:styleId="reference">
    <w:name w:val="reference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6D0"/>
  </w:style>
  <w:style w:type="paragraph" w:styleId="Nadpis1">
    <w:name w:val="heading 1"/>
    <w:basedOn w:val="Normln"/>
    <w:link w:val="Nadpis1Char"/>
    <w:uiPriority w:val="9"/>
    <w:qFormat/>
    <w:rsid w:val="0067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67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674A"/>
    <w:rPr>
      <w:b/>
      <w:bCs/>
    </w:rPr>
  </w:style>
  <w:style w:type="character" w:styleId="Zvraznn">
    <w:name w:val="Emphasis"/>
    <w:basedOn w:val="Standardnpsmoodstavce"/>
    <w:uiPriority w:val="20"/>
    <w:qFormat/>
    <w:rsid w:val="006767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7674A"/>
    <w:rPr>
      <w:color w:val="0000FF"/>
      <w:u w:val="single"/>
    </w:rPr>
  </w:style>
  <w:style w:type="paragraph" w:customStyle="1" w:styleId="reference">
    <w:name w:val="reference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6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8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8990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6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18071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73490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OM:2019:274:F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fisheries/cfp/fishing_rules/scientific_advice/index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fisheries/cfp/fishing_rules/tacs_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fisheries/documentation/publications/cfp_factsheets/fishing_area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fisheries/cfp/fishing_rules/multi_annual_plans/index_en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1870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2019-10-24T10:39:00Z</dcterms:created>
  <dcterms:modified xsi:type="dcterms:W3CDTF">2019-10-24T11:34:00Z</dcterms:modified>
</cp:coreProperties>
</file>