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5E" w:rsidRPr="006D725E" w:rsidRDefault="006D725E" w:rsidP="006D725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6D725E">
        <w:rPr>
          <w:rFonts w:eastAsia="Times New Roman" w:cstheme="minorHAnsi"/>
          <w:b/>
          <w:kern w:val="36"/>
          <w:sz w:val="24"/>
          <w:szCs w:val="24"/>
          <w:lang w:eastAsia="cs-CZ"/>
        </w:rPr>
        <w:t>Antimonopolní politika: Komise vznesla námitky proti dohodě o sdílení sítí mezi O2 CZ/CETIN a T-Mobile CZ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725E">
        <w:rPr>
          <w:rFonts w:eastAsia="Times New Roman" w:cstheme="minorHAnsi"/>
          <w:sz w:val="24"/>
          <w:szCs w:val="24"/>
          <w:lang w:eastAsia="cs-CZ"/>
        </w:rPr>
        <w:t>IP/19/5110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 </w:t>
      </w:r>
      <w:r w:rsidRPr="006D725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Komise sdělila 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7. srpna 2019 </w:t>
      </w:r>
      <w:r w:rsidRPr="006D725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českým mobilním operátorům O2 a T-Mobile a provozovateli telekomunikační infrastruktury CETIN, že podle jejích předběžných závěrů jejich dohoda o sdílení sítí omezuje hospodářskou soutěž, čímž porušuje antimonopolní předpisy EU</w:t>
      </w:r>
      <w:r w:rsidRPr="006D725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D725E">
        <w:rPr>
          <w:rFonts w:eastAsia="Times New Roman" w:cstheme="minorHAnsi"/>
          <w:sz w:val="24"/>
          <w:szCs w:val="24"/>
          <w:lang w:eastAsia="cs-CZ"/>
        </w:rPr>
        <w:t xml:space="preserve">Slovy komisařky odpovědné za politiku hospodářské soutěže </w:t>
      </w:r>
      <w:proofErr w:type="spellStart"/>
      <w:r w:rsidRPr="006D725E">
        <w:rPr>
          <w:rFonts w:eastAsia="Times New Roman" w:cstheme="minorHAnsi"/>
          <w:sz w:val="24"/>
          <w:szCs w:val="24"/>
          <w:lang w:eastAsia="cs-CZ"/>
        </w:rPr>
        <w:t>Margrethe</w:t>
      </w:r>
      <w:proofErr w:type="spellEnd"/>
      <w:r w:rsidRPr="006D725E">
        <w:rPr>
          <w:rFonts w:eastAsia="Times New Roman" w:cstheme="minorHAnsi"/>
          <w:sz w:val="24"/>
          <w:szCs w:val="24"/>
          <w:lang w:eastAsia="cs-CZ"/>
        </w:rPr>
        <w:t> </w:t>
      </w:r>
      <w:proofErr w:type="spellStart"/>
      <w:r w:rsidRPr="006D725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Vestager</w:t>
      </w:r>
      <w:proofErr w:type="spellEnd"/>
      <w:r w:rsidRPr="006D725E">
        <w:rPr>
          <w:rFonts w:eastAsia="Times New Roman" w:cstheme="minorHAnsi"/>
          <w:sz w:val="24"/>
          <w:szCs w:val="24"/>
          <w:lang w:eastAsia="cs-CZ"/>
        </w:rPr>
        <w:t>: </w:t>
      </w:r>
      <w:r w:rsidRPr="006D725E">
        <w:rPr>
          <w:rFonts w:eastAsia="Times New Roman" w:cstheme="minorHAnsi"/>
          <w:i/>
          <w:iCs/>
          <w:sz w:val="24"/>
          <w:szCs w:val="24"/>
          <w:lang w:eastAsia="cs-CZ"/>
        </w:rPr>
        <w:t>„Sdílení sítí operátory je obecně ve prospěch spotřebitele, protože s sebou nese rychlejší rozvoj sítí, úspory nákladů a pokrytí venkovských oblastí.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Pr="006D725E">
        <w:rPr>
          <w:rFonts w:eastAsia="Times New Roman" w:cstheme="minorHAnsi"/>
          <w:i/>
          <w:iCs/>
          <w:sz w:val="24"/>
          <w:szCs w:val="24"/>
          <w:lang w:eastAsia="cs-CZ"/>
        </w:rPr>
        <w:t>Pokud se ale objeví náznaky, že dohody o spolupráci mohou spotřebitele poškozovat, je naší povinností je prošetřit a zajistit, aby na trhu fungovala skutečná hospodářská soutěž. V tomto případě se obáváme, že dohoda o sdílení sítí mezi dvěma největšími operátory v Česku omezuje hospodářskou soutěž v hustěji osídlených částech země.“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Společnosti </w:t>
      </w:r>
      <w:r w:rsidRPr="006D725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O2 CZ</w:t>
      </w:r>
      <w:r w:rsidRPr="006D725E">
        <w:rPr>
          <w:rFonts w:eastAsia="Times New Roman" w:cstheme="minorHAnsi"/>
          <w:sz w:val="24"/>
          <w:szCs w:val="24"/>
          <w:lang w:eastAsia="cs-CZ"/>
        </w:rPr>
        <w:t> a </w:t>
      </w:r>
      <w:r w:rsidRPr="006D725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T-Mobile CZ</w:t>
      </w:r>
      <w:r w:rsidRPr="006D725E">
        <w:rPr>
          <w:rFonts w:eastAsia="Times New Roman" w:cstheme="minorHAnsi"/>
          <w:sz w:val="24"/>
          <w:szCs w:val="24"/>
          <w:lang w:eastAsia="cs-CZ"/>
        </w:rPr>
        <w:t> jsou na českém maloobchodním trhu s mobilními telekomunikačními službami hlavními operátory. Společnost O2 převedla svou mobilní infrastrukturu a velkoobchodní služby na společnost </w:t>
      </w:r>
      <w:r w:rsidRPr="006D725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CETIN</w:t>
      </w:r>
      <w:r w:rsidRPr="006D725E">
        <w:rPr>
          <w:rFonts w:eastAsia="Times New Roman" w:cstheme="minorHAnsi"/>
          <w:sz w:val="24"/>
          <w:szCs w:val="24"/>
          <w:lang w:eastAsia="cs-CZ"/>
        </w:rPr>
        <w:t>, která funguje jako správce a provozovatel síťové infrastruktury a která patří do stejné skupiny.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Vzájemnou spolupráci v podobě sdílení sítí navázaly O2/CETIN a T-Mobile v roce 2011 a neustále ji rozšiřují. V současnosti se spolupráce týká všech generací mobilních technologií (2G, 3G i 4G) a celého území Česka s výjimkou Prahy a Brna, tedy přibližně 85 % obyvatelstva.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725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Sdílení sítí</w:t>
      </w:r>
      <w:r w:rsidRPr="006D725E">
        <w:rPr>
          <w:rFonts w:eastAsia="Times New Roman" w:cstheme="minorHAnsi"/>
          <w:sz w:val="24"/>
          <w:szCs w:val="24"/>
          <w:lang w:eastAsia="cs-CZ"/>
        </w:rPr>
        <w:t> je běžná praxe, s jejíž pomocí lze snížit náklady a usnadnit rozvoj sítí elektronických komunikací. Ve většině případů vede k větší efektivitě. Za určitých okolností ovšem může mít negativní dopad na hospodářskou soutěž.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725E">
        <w:rPr>
          <w:rFonts w:eastAsia="Times New Roman" w:cstheme="minorHAnsi"/>
          <w:sz w:val="24"/>
          <w:szCs w:val="24"/>
          <w:lang w:eastAsia="cs-CZ"/>
        </w:rPr>
        <w:t>Komise tento případ posoudila z několika hledisek. Mimo jiné uvážila, že:</w:t>
      </w:r>
    </w:p>
    <w:p w:rsidR="006D725E" w:rsidRPr="006D725E" w:rsidRDefault="006D725E" w:rsidP="006D7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725E">
        <w:rPr>
          <w:rFonts w:eastAsia="Times New Roman" w:cstheme="minorHAnsi"/>
          <w:sz w:val="24"/>
          <w:szCs w:val="24"/>
          <w:lang w:eastAsia="cs-CZ"/>
        </w:rPr>
        <w:t>český trh mobilních komunikací je s pouhými třemi mobilními operátory vysoce koncentrovaný a</w:t>
      </w:r>
    </w:p>
    <w:p w:rsidR="006D725E" w:rsidRPr="006D725E" w:rsidRDefault="006D725E" w:rsidP="006D72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725E">
        <w:rPr>
          <w:rFonts w:eastAsia="Times New Roman" w:cstheme="minorHAnsi"/>
          <w:sz w:val="24"/>
          <w:szCs w:val="24"/>
          <w:lang w:eastAsia="cs-CZ"/>
        </w:rPr>
        <w:t>O2/CETIN a T-Mobile, dva největší operátoři, kteří se dohodli na sdílení sítí, obsluhují přibližně tři čtvrtiny uživatelů.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725E">
        <w:rPr>
          <w:rFonts w:eastAsia="Times New Roman" w:cstheme="minorHAnsi"/>
          <w:sz w:val="24"/>
          <w:szCs w:val="24"/>
          <w:lang w:eastAsia="cs-CZ"/>
        </w:rPr>
        <w:t>Komise proto předběžně dospěla k závěru, že dohoda o sdílení sítí mezi dvěma hlavními českými mobilními operátory </w:t>
      </w:r>
      <w:r w:rsidRPr="006D725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omezuje hospodářskou soutěž, čímž brání inovacím</w:t>
      </w:r>
      <w:r w:rsidRPr="006D725E">
        <w:rPr>
          <w:rFonts w:eastAsia="Times New Roman" w:cstheme="minorHAnsi"/>
          <w:sz w:val="24"/>
          <w:szCs w:val="24"/>
          <w:lang w:eastAsia="cs-CZ"/>
        </w:rPr>
        <w:t>, a porušuje tak antimonopolní předpisy EU.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 xml:space="preserve">Komise je toho názoru, že v tomto konkrétním případě dohoda nevede k větší efektivitě a kvalitě služeb, ale pravděpodobně </w:t>
      </w:r>
      <w:r w:rsidRPr="006D725E">
        <w:rPr>
          <w:rFonts w:eastAsia="Times New Roman" w:cstheme="minorHAnsi"/>
          <w:sz w:val="24"/>
          <w:szCs w:val="24"/>
          <w:lang w:eastAsia="cs-CZ"/>
        </w:rPr>
        <w:t>spíše</w:t>
      </w:r>
      <w:r w:rsidRPr="006D725E">
        <w:rPr>
          <w:rFonts w:eastAsia="Times New Roman" w:cstheme="minorHAnsi"/>
          <w:sz w:val="24"/>
          <w:szCs w:val="24"/>
          <w:lang w:eastAsia="cs-CZ"/>
        </w:rPr>
        <w:t xml:space="preserve"> k tomu, že daní operátoři nejsou motivovaní své sítě a služby zlepšovat ve prospěch uživatelů.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Pokud se předběžné závěry Komise potvrdí, bude to znamenat, že dochází k porušování </w:t>
      </w:r>
      <w:hyperlink r:id="rId6" w:history="1">
        <w:r w:rsidRPr="006D725E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článku 101</w:t>
        </w:r>
      </w:hyperlink>
      <w:r w:rsidRPr="006D725E">
        <w:rPr>
          <w:rFonts w:eastAsia="Times New Roman" w:cstheme="minorHAnsi"/>
          <w:sz w:val="24"/>
          <w:szCs w:val="24"/>
          <w:lang w:eastAsia="cs-CZ"/>
        </w:rPr>
        <w:t> Smlouvy o fungování Evropské unie, který zakazuje protisoutěžní dohody.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Zaslání prohlášení o námitkách nepředjímá výsledek šetření.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725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Souvislosti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Komise zahájila </w:t>
      </w:r>
      <w:hyperlink r:id="rId7" w:history="1">
        <w:r w:rsidRPr="006D725E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formální šetření</w:t>
        </w:r>
      </w:hyperlink>
      <w:r w:rsidRPr="006D725E">
        <w:rPr>
          <w:rFonts w:eastAsia="Times New Roman" w:cstheme="minorHAnsi"/>
          <w:sz w:val="24"/>
          <w:szCs w:val="24"/>
          <w:lang w:eastAsia="cs-CZ"/>
        </w:rPr>
        <w:t> v říjnu 2016.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Mobilní operátor O2 Czech Republic, dceřiná společnost skupiny PPF, provozuje přes šest milionů pevných a mobilních linek. 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D725E">
        <w:rPr>
          <w:rFonts w:eastAsia="Times New Roman" w:cstheme="minorHAnsi"/>
          <w:sz w:val="24"/>
          <w:szCs w:val="24"/>
          <w:lang w:eastAsia="cs-CZ"/>
        </w:rPr>
        <w:t xml:space="preserve">Mobilní operátor T-Mobile Czech Republic je dceřiná společnost skupiny </w:t>
      </w:r>
      <w:proofErr w:type="spellStart"/>
      <w:r w:rsidRPr="006D725E">
        <w:rPr>
          <w:rFonts w:eastAsia="Times New Roman" w:cstheme="minorHAnsi"/>
          <w:sz w:val="24"/>
          <w:szCs w:val="24"/>
          <w:lang w:eastAsia="cs-CZ"/>
        </w:rPr>
        <w:t>Deutsche</w:t>
      </w:r>
      <w:proofErr w:type="spellEnd"/>
      <w:r w:rsidRPr="006D725E">
        <w:rPr>
          <w:rFonts w:eastAsia="Times New Roman" w:cstheme="minorHAnsi"/>
          <w:sz w:val="24"/>
          <w:szCs w:val="24"/>
          <w:lang w:eastAsia="cs-CZ"/>
        </w:rPr>
        <w:t xml:space="preserve"> Telekom, která působí v České republice od roku 1996.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Český trh mobilních komunikací je vysoce koncentrovaný – téměř celý trh připadá na tři mobilní operátory (O2, T-Mobile a Vodafone). O2/CETIN a T-Mobile dohromady obsluhují zhruba tři čtvrtiny uživatelů. Vodafone je menší a na rozdíl od ostatních dvou operátorů sdílejících své sítě nemá významný podíl v segmentu pevných linek.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Analýza Komise byla vypracovaná podle zásad Sdružení evropských regulačních orgánů v oblasti elektronických komunikací (BEREC), které jsou zakotveny v jeho </w:t>
      </w:r>
      <w:hyperlink r:id="rId8" w:history="1">
        <w:r w:rsidRPr="006D725E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společném postoji</w:t>
        </w:r>
      </w:hyperlink>
      <w:r w:rsidRPr="006D725E">
        <w:rPr>
          <w:rFonts w:eastAsia="Times New Roman" w:cstheme="minorHAnsi"/>
          <w:sz w:val="24"/>
          <w:szCs w:val="24"/>
          <w:lang w:eastAsia="cs-CZ"/>
        </w:rPr>
        <w:t xml:space="preserve"> ke sdílení mobilní infrastruktury z 13. června </w:t>
      </w:r>
      <w:proofErr w:type="gramStart"/>
      <w:r w:rsidRPr="006D725E">
        <w:rPr>
          <w:rFonts w:eastAsia="Times New Roman" w:cstheme="minorHAnsi"/>
          <w:sz w:val="24"/>
          <w:szCs w:val="24"/>
          <w:lang w:eastAsia="cs-CZ"/>
        </w:rPr>
        <w:t>2019.Bere</w:t>
      </w:r>
      <w:proofErr w:type="gramEnd"/>
      <w:r w:rsidRPr="006D725E">
        <w:rPr>
          <w:rFonts w:eastAsia="Times New Roman" w:cstheme="minorHAnsi"/>
          <w:sz w:val="24"/>
          <w:szCs w:val="24"/>
          <w:lang w:eastAsia="cs-CZ"/>
        </w:rPr>
        <w:t xml:space="preserve"> v úvahu současné i starší technologie (2G/3G/4G) a nevylučuje provedení dalších posouzení v budoucnu, která by se zaměřila na dohody o sdílení sítí zahrnujících vznikající technologie, jako je 5G, jež mohou mít velmi odlišné vlastnosti.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Článek 101 Smlouvy o fungování Evropské unie (SFEU) a článek 53 Dohody o EHP zakazují dohody a jednání ve vzájemné shodě, které by mohly ovlivnit obchod a vyloučit nebo omezit hospodářskou soutěž.  Provádění těchto ustanovení se řídí antimonopolním nařízením (nařízení Rady č. 1/2003), které mohou uplatňovat i vnitrostátní orgány na ochranu hospodářské soutěže.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Podle čl. 11 odst. 6 antimonopolního nařízení orgány na ochranu hospodářské soutěže členských států zahájením řízení ze strany Komise ztrácejí příslušnost aplikovat na předmětné jednání pravidla hospodářské soutěže EU. V čl. 16 odst. 1 nařízení se dále uvádí, že vnitrostátní soudy nesmí vydat rozhodnutí, jež by bylo v rozporu s rozhodnutím, které má Komise v úmyslu přijmout v řízení, jež zahájila.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Pr="006D725E">
        <w:rPr>
          <w:rFonts w:eastAsia="Times New Roman" w:cstheme="minorHAnsi"/>
          <w:sz w:val="24"/>
          <w:szCs w:val="24"/>
          <w:lang w:eastAsia="cs-CZ"/>
        </w:rPr>
        <w:t>Délka antimonopolního šetření není právně nijak omezena a záleží na mnoha faktorech, včetně složitosti případu, míry, do jaké podniky s Komisí spolupracují, a výkonu práv na obhajobu.</w:t>
      </w:r>
    </w:p>
    <w:p w:rsidR="006D725E" w:rsidRPr="006D725E" w:rsidRDefault="006D725E" w:rsidP="006D72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725E">
        <w:rPr>
          <w:rFonts w:eastAsia="Times New Roman" w:cstheme="minorHAnsi"/>
          <w:sz w:val="24"/>
          <w:szCs w:val="24"/>
          <w:lang w:eastAsia="cs-CZ"/>
        </w:rPr>
        <w:t>Další informace naleznete na </w:t>
      </w:r>
      <w:hyperlink r:id="rId9" w:history="1">
        <w:r w:rsidRPr="006D725E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internetové stránce</w:t>
        </w:r>
      </w:hyperlink>
      <w:r w:rsidRPr="006D725E">
        <w:rPr>
          <w:rFonts w:eastAsia="Times New Roman" w:cstheme="minorHAnsi"/>
          <w:sz w:val="24"/>
          <w:szCs w:val="24"/>
          <w:lang w:eastAsia="cs-CZ"/>
        </w:rPr>
        <w:t> Komise věnované hospodářské soutěži, ve veřejném </w:t>
      </w:r>
      <w:hyperlink r:id="rId10" w:history="1">
        <w:r w:rsidRPr="006D725E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rejstříku</w:t>
        </w:r>
      </w:hyperlink>
      <w:r w:rsidRPr="006D725E">
        <w:rPr>
          <w:rFonts w:eastAsia="Times New Roman" w:cstheme="minorHAnsi"/>
          <w:sz w:val="24"/>
          <w:szCs w:val="24"/>
          <w:lang w:eastAsia="cs-CZ"/>
        </w:rPr>
        <w:t> pod číslem případu </w:t>
      </w:r>
      <w:hyperlink r:id="rId11" w:history="1">
        <w:r w:rsidRPr="006D725E">
          <w:rPr>
            <w:rFonts w:eastAsia="Times New Roman" w:cstheme="minorHAnsi"/>
            <w:sz w:val="24"/>
            <w:szCs w:val="24"/>
            <w:bdr w:val="none" w:sz="0" w:space="0" w:color="auto" w:frame="1"/>
            <w:lang w:eastAsia="cs-CZ"/>
          </w:rPr>
          <w:t>40305</w:t>
        </w:r>
      </w:hyperlink>
      <w:r w:rsidRPr="006D725E">
        <w:rPr>
          <w:rFonts w:eastAsia="Times New Roman" w:cstheme="minorHAnsi"/>
          <w:sz w:val="24"/>
          <w:szCs w:val="24"/>
          <w:lang w:eastAsia="cs-CZ"/>
        </w:rPr>
        <w:t>.</w:t>
      </w:r>
    </w:p>
    <w:p w:rsidR="00420B16" w:rsidRPr="006D725E" w:rsidRDefault="00420B16" w:rsidP="006D72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20B16" w:rsidRPr="006D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6288"/>
    <w:multiLevelType w:val="multilevel"/>
    <w:tmpl w:val="A2C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5E"/>
    <w:rsid w:val="00420B16"/>
    <w:rsid w:val="006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7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72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D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725E"/>
    <w:rPr>
      <w:b/>
      <w:bCs/>
    </w:rPr>
  </w:style>
  <w:style w:type="character" w:styleId="Zvraznn">
    <w:name w:val="Emphasis"/>
    <w:basedOn w:val="Standardnpsmoodstavce"/>
    <w:uiPriority w:val="20"/>
    <w:qFormat/>
    <w:rsid w:val="006D725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D725E"/>
    <w:rPr>
      <w:color w:val="0000FF"/>
      <w:u w:val="single"/>
    </w:rPr>
  </w:style>
  <w:style w:type="paragraph" w:customStyle="1" w:styleId="reference">
    <w:name w:val="reference"/>
    <w:basedOn w:val="Normln"/>
    <w:rsid w:val="006D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7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72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D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725E"/>
    <w:rPr>
      <w:b/>
      <w:bCs/>
    </w:rPr>
  </w:style>
  <w:style w:type="character" w:styleId="Zvraznn">
    <w:name w:val="Emphasis"/>
    <w:basedOn w:val="Standardnpsmoodstavce"/>
    <w:uiPriority w:val="20"/>
    <w:qFormat/>
    <w:rsid w:val="006D725E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D725E"/>
    <w:rPr>
      <w:color w:val="0000FF"/>
      <w:u w:val="single"/>
    </w:rPr>
  </w:style>
  <w:style w:type="paragraph" w:customStyle="1" w:styleId="reference">
    <w:name w:val="reference"/>
    <w:basedOn w:val="Normln"/>
    <w:rsid w:val="006D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c.europa.eu/eng/document_register/subject_matter/berec/regulatory_best_practices/common_approaches_positions/8605-berec-common-position-on-infrastructure-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uropa.eu/rapid/press-release_IP-16-3539_c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CS/ALL/?uri=CELEX:12008E101" TargetMode="External"/><Relationship Id="rId11" Type="http://schemas.openxmlformats.org/officeDocument/2006/relationships/hyperlink" Target="http://ec.europa.eu/competition/elojade/isef/case_details.cfm?proc_code=1_403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.europa.eu/competition/elojade/isef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competition/index_en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2019-08-07T10:39:00Z</dcterms:created>
  <dcterms:modified xsi:type="dcterms:W3CDTF">2019-08-07T10:51:00Z</dcterms:modified>
</cp:coreProperties>
</file>