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4C" w:rsidRPr="001E064C" w:rsidRDefault="001E064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bookmarkStart w:id="0" w:name="_GoBack"/>
    </w:p>
    <w:p w:rsidR="001E064C" w:rsidRPr="001E064C" w:rsidRDefault="001E064C" w:rsidP="001E06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1E06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E</w:t>
      </w:r>
      <w:r w:rsidRPr="001E06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vropská komise zahájila samostatná hloubková šetření s cílem posoudit, zda daňová rozhodnutí „nad zisk“ přiznaná Belgií 39 nadnárodním společnostem poskytla těmto společnostem nespravedlivou výhodu oproti jejich konkurentům, což je v rozporu s pravidly EU o státní podpoře.</w:t>
      </w:r>
    </w:p>
    <w:p w:rsidR="001E064C" w:rsidRPr="001E064C" w:rsidRDefault="001E064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IP / 19/5578</w:t>
      </w:r>
    </w:p>
    <w:p w:rsidR="001E064C" w:rsidRPr="001E064C" w:rsidRDefault="001E064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Evropská komise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rozhodla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16. září 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 zahájení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řízení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navazují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na rozhodnutí Tribunálu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 února 2019, kterým bylo zrušeno rozhodnutí Komise z ledna 2016, podle kterého jsou stejná daňová rozhodnutí součástí belgického režimu podpory, který byl podle pravidel EU o státní podpoře nezákonný. 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Tribunál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nezaujal stanovisko k tomu, zda osvobození od daně z nadměrného zisku vedla k nezákonné státní podpoře, ale zjistil, že Komise neprokázala existenci režimu. To znamená, že podle Tribunálu musí být slučitelnost daňových rozhodnutí s pravidly EU v oblasti státní podpory posuzována individuálně, a proto Komise nyní zahájila samostatné hloubkové vyšetřování jednotlivých daňových rozhodnutí. Současně se Komise odvolala proti rozsudku Tribunálu k Evropskému soudnímu dvoru, aby získala další objasnění ohledně existence režimu podpory. Tato řízení probíhají.</w:t>
      </w:r>
    </w:p>
    <w:p w:rsidR="001E064C" w:rsidRPr="001E064C" w:rsidRDefault="001E064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Komisařka </w:t>
      </w:r>
      <w:proofErr w:type="spellStart"/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Margrethe</w:t>
      </w:r>
      <w:proofErr w:type="spellEnd"/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Vestager</w:t>
      </w:r>
      <w:proofErr w:type="spellEnd"/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odpovědná za politiku hospodářské soutěže uvedla: „Všechny společnosti musí platit svůj spravedlivý podíl na dani. Jsme znepokojeni, že belgický daňový systém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za 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„nadzisk“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udělil podstatné snížení daně pouze některým nadnárodním společnostem, které by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ly s </w:t>
      </w:r>
      <w:proofErr w:type="spellStart"/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s</w:t>
      </w:r>
      <w:proofErr w:type="spellEnd"/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proofErr w:type="gramStart"/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těmito 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společnostm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i</w:t>
      </w:r>
      <w:proofErr w:type="gramEnd"/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v srovnateln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é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situac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i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. Na základě pokynů Tribunálu jsme se rozhodli zahájit samostatná vyšetřování státní podpory za účelem posouzení daňových rozhodnutí. Čekáme také další vyjasnění od Evropského soudního dvora ohledně existence režimu podpory. “</w:t>
      </w:r>
    </w:p>
    <w:p w:rsidR="001E064C" w:rsidRPr="001E064C" w:rsidRDefault="00950F7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Hloubková šetření se týkají jednotlivých daňových rozhodnutí o „nadměrném zisku“ vydaných Belgií v letech 2005 až 2014 ve prospěch 39 belgických společností patřících do nadnárodních skupin (viz podrobnosti níže). Většina z těchto nadnárodních skupin sídlí v Evropě.</w:t>
      </w:r>
    </w:p>
    <w:p w:rsidR="001E064C" w:rsidRPr="001E064C" w:rsidRDefault="00950F7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Belgická pravidla pro zdanění společností vyžadují, aby společnosti byly na počátku zdaněny na základě zisku skutečně zaznamenaného z činností v Belgii. Belgická rozhodnutí o „nadměrném zisku“, která se spoléhají na belgický zákon o dani z příjmu (čl. 185 odst. 2 písm. B) „</w:t>
      </w:r>
      <w:proofErr w:type="spellStart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Code</w:t>
      </w:r>
      <w:proofErr w:type="spellEnd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des </w:t>
      </w:r>
      <w:proofErr w:type="spellStart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Impôts</w:t>
      </w:r>
      <w:proofErr w:type="spellEnd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sur</w:t>
      </w:r>
      <w:proofErr w:type="spellEnd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les </w:t>
      </w:r>
      <w:proofErr w:type="spellStart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Revenus</w:t>
      </w:r>
      <w:proofErr w:type="spellEnd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/ </w:t>
      </w:r>
      <w:proofErr w:type="spellStart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Wetboek</w:t>
      </w:r>
      <w:proofErr w:type="spellEnd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Inkomstenbelastingen</w:t>
      </w:r>
      <w:proofErr w:type="spellEnd"/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“), však umožnila nadnárodním společnostem v Belgii snížit daň z příj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mu právnických osob o </w:t>
      </w:r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tzv. „nadměrný zisk“, která údajně vyplývá z výhody, že je součástí nadnárodní skupiny. Tyto výhody zahrnovaly např. synergie, úspory z rozsahu, reputace, klientské a dodavatelské sítě nebo přístup na nové trhy. V praxi tato rozhodnutí obvykle vedla k tomu, že více než 50% a v některých případech až 90% účetního zisku těchto společností bylo osvobozeno od zdanění.</w:t>
      </w:r>
    </w:p>
    <w:p w:rsidR="001E064C" w:rsidRPr="001E064C" w:rsidRDefault="001E064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Komise předběžně zastává názor, že diskontováním „nadměrného zisku“ ze základu daně příjemců byla daňová rozhodnutí, která j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sou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předmětem šetření, selektivně nesprávně použita 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podle 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belgick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ého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zákon</w:t>
      </w:r>
      <w:r w:rsidR="00950F7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a</w:t>
      </w:r>
      <w:r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o dani z příjmu. Zejména se Komise obává, že rozhodnutí potvrdila jednostranné úpravy základu daně příjemců směrem dolů, ačkoli právní podmínky nebyly splněny. Komise se dále obává, že belgická praxe vydávání rozhodnutí o „nadbytku zisku“ ve prospěch určitých společností mohla diskriminovat některé další belgické společnosti, které takové rozhodnutí nezískaly nebo nemohly přijmout.</w:t>
      </w:r>
    </w:p>
    <w:p w:rsidR="001E064C" w:rsidRPr="001E064C" w:rsidRDefault="00950F7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V důsledku toho mohla daňová rozhodnutí poskytnout 39 nadnárodním společnostem selektivní výhodu, což jim umožnilo platit podstatně nižší daň.</w:t>
      </w:r>
    </w:p>
    <w:p w:rsidR="001E064C" w:rsidRPr="001E064C" w:rsidRDefault="00950F7C" w:rsidP="001E06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</w:t>
      </w:r>
      <w:r w:rsidR="001E064C" w:rsidRPr="001E064C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Zahájení hloubkového vyšetřování dává Belgii a zúčastněným třetím stranám příležitost předložit připomínky. Nepředjímá výsledek šetření.</w:t>
      </w:r>
    </w:p>
    <w:p w:rsidR="001E064C" w:rsidRPr="00950F7C" w:rsidRDefault="001E064C" w:rsidP="00950F7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950F7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Společnosti, kterých se šetření týká</w:t>
      </w:r>
    </w:p>
    <w:p w:rsidR="001E064C" w:rsidRPr="001E064C" w:rsidRDefault="001E064C" w:rsidP="00950F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Luciad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                                         SA.53964</w:t>
      </w:r>
    </w:p>
    <w:p w:rsidR="001E064C" w:rsidRPr="001E064C" w:rsidRDefault="001E064C" w:rsidP="00950F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BASF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Antwerpen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                           SA.53965</w:t>
      </w:r>
    </w:p>
    <w:p w:rsidR="001E064C" w:rsidRPr="001E064C" w:rsidRDefault="001E064C" w:rsidP="00950F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EVAL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                                 SA.53966</w:t>
      </w:r>
    </w:p>
    <w:p w:rsidR="001E064C" w:rsidRPr="001E064C" w:rsidRDefault="001E064C" w:rsidP="00950F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BP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Aromatics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Limited NV                                        SA.53967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The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Heating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Company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                        SA.53968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British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American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TobaccoCoordination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Center VOF     SA.53969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Evonik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Oxeno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Antwerpen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 and “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NewCo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”                SA.53970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Nomacorc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SA                                                      SA.53971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Delta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Light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                                  SA.53972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Henkel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Electronic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Materials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Belgium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) NV                SA.53973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Puratos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                                              SA.53974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Omega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Pharma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International NV                           SA.53975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LMS International NV                                          SA.53976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Noble International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         SA.53977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Trane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                                      SA.53978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VF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                               SA.53979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St.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Jude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Medical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Coordination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Center BVBA             SA.53980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Soudal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                                      SA.53981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Ontex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                                     SA.53982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Atlas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Copco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Airpower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                   SA.53983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Belgacom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International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Carrier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Services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 SA.53984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Dow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Corning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NV/SA                                  SA.53985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Capsugel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Belgium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                        SA.53986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Kinepolis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Group NV                                             SA.53987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Pfizer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Animal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Health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SA /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Zoetis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Belgium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SA            SA.53988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Anheuser-Busch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Inbev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 /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Ampar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 SA.53989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Flir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Systems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Trading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Belgium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      SA.53990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Wabco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                          SA.53991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Celio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International NV/SA                                    SA.53992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Magnetrol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International NV                                   SA.53993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Ansell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Healthcare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                        SA.53994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Esko-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Graphics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                          SA.53995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Victaulic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BVBA                                         SA.53996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Astra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Sweets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                                 SA.53997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Mayekawa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  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                              SA.53998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Tekelec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International SPRL                                   SA.53999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Bridgestone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                                       SA.54000</w:t>
      </w:r>
    </w:p>
    <w:p w:rsidR="001E064C" w:rsidRP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Chep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Equipment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Pooling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NV                                 SA.54001</w:t>
      </w:r>
    </w:p>
    <w:p w:rsidR="001E064C" w:rsidRDefault="001E064C" w:rsidP="001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Knauf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Insulation</w:t>
      </w:r>
      <w:proofErr w:type="spellEnd"/>
      <w:r w:rsidRPr="001E06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SPRL                                         SA.54002</w:t>
      </w:r>
    </w:p>
    <w:p w:rsidR="004D1060" w:rsidRPr="001E064C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b/>
          <w:color w:val="000000"/>
          <w:sz w:val="24"/>
          <w:szCs w:val="24"/>
          <w:lang w:eastAsia="cs-CZ"/>
        </w:rPr>
        <w:t>Souvislosti vyšetřování Komise belgické daně z výjimky zdanění nadměrného zisku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</w:t>
      </w: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V lednu 2016 Komise po důkladném šetření dospěla k závěru, že osvobození od „nadměrného zisku“ udělená Belgií prostřednictvím daňových rozhodnutí představují režim podpory a že tento režim je podle pravidel státní podpory EU nezákonný. Na tomto základě Komise nařídila Belgii, aby navrátila podporu poskytnutou společnostem, které využily tohoto systému.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únoru 2019 Tribunál zrušil rozhodnutí Komise. Účetní dvůr zjistil, že Komise neprokázala existenci režimu podpory. Komise se proti tomuto zjištění odvolala k Evropskému soudnímu dvoru. Ve svém rozsudku Tribunál nedospěl k závěru, zda osvobození od daně „nad </w:t>
      </w:r>
      <w:proofErr w:type="gramStart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zisk</w:t>
      </w:r>
      <w:r w:rsidR="00E12085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proofErr w:type="gramEnd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“ způsobuje protiprávní státní podporu. Účetní dvůr výslovně potvrdil, že je v pravomoci Komise podle pravidel státní podpory přezkoumávat, zda daňová opatření snižující základ daně z příjmu právnických osob vedou k selektivní výhodě. Dále rozhodl, že osvobození od daně z „nadměrného zisku“ udělené Belgií </w:t>
      </w:r>
      <w:r w:rsidR="00E1208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se </w:t>
      </w: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nezdá sledova</w:t>
      </w:r>
      <w:r w:rsidR="00E12085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cíl zamezit dvojímu zdanění.</w:t>
      </w:r>
    </w:p>
    <w:p w:rsidR="004D1060" w:rsidRPr="00E12085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12085">
        <w:rPr>
          <w:rFonts w:eastAsia="Times New Roman" w:cstheme="minorHAnsi"/>
          <w:b/>
          <w:color w:val="000000"/>
          <w:sz w:val="24"/>
          <w:szCs w:val="24"/>
          <w:lang w:eastAsia="cs-CZ"/>
        </w:rPr>
        <w:t>Souvislosti vyšetřování Komise v oblasti státní podpory v oblasti daní</w:t>
      </w:r>
    </w:p>
    <w:p w:rsidR="004D1060" w:rsidRDefault="00E12085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          </w:t>
      </w:r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>Daňová rozhodnutí jako taková nejsou podle pravidel EU o státní podpoře problémem, pokud jednoduše potvrdí, že daňové dohody mezi společnostmi ve stejné skupině jsou v souladu s příslušnými daňovými předpisy. Daňová rozhodnutí, která poskytují určitým společnostem selektivní výhodu, však mohou narušit hospodářskou soutěž na jednotném trhu EU, což je v rozporu s pravidly EU o státní podpoře.</w:t>
      </w:r>
    </w:p>
    <w:p w:rsidR="004D1060" w:rsidRPr="004D1060" w:rsidRDefault="00E12085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>Od června 2013 Komise vyšetřuje jednotlivá daňová rozhodnutí nebo rozhodnutí vydaná v rámci daňových režimů členských států podle pravidel státní podpory EU. V prosinci 2014 rozšířil toto informační šetření na všechny členské státy.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Komise již ukončila tato šetření týkající se daňových rozhodnutí: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 říjnu 2015 Komise dospěla k závěru, že Lucembursko a Nizozemsko poskytly selektivní daňové výhody společnosti Fiat a </w:t>
      </w:r>
      <w:proofErr w:type="spellStart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Starbucks</w:t>
      </w:r>
      <w:proofErr w:type="spellEnd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V důsledku těchto rozhodnutí Lucembursko získalo zpět od </w:t>
      </w:r>
      <w:proofErr w:type="gramStart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Fiat</w:t>
      </w:r>
      <w:proofErr w:type="gramEnd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23,1 milionu EUR a Nizozemsko od </w:t>
      </w:r>
      <w:proofErr w:type="spellStart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Starbucks</w:t>
      </w:r>
      <w:proofErr w:type="spellEnd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získalo 25,7 milionu EUR.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• V srpnu 2016 Komise dospěla k závěru, že Irsko poskytlo společnosti Apple nepřiměřené daňové výhody, což vedlo k tomu, že Irsko získalo zpět 14,3 miliardy EUR.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• V říjnu 2017 Komise dospěla k závěru, že Lucembursko poskytlo Amazonu nepřiměřené daňové výhody, což vedlo k tomu, že Lucembursko vrátilo zpět 282,7 milionu EUR.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• V červnu 2018 Komise dospěla k závěru, že Lucembursko poskytlo společnosti </w:t>
      </w:r>
      <w:proofErr w:type="spellStart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Engie</w:t>
      </w:r>
      <w:proofErr w:type="spellEnd"/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nepřiměřené daňové výhody, což vedlo k tomu, že Lucembursko získalo zpět 123 milionů EUR.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• V září 2018 Komise zjistila, že nezdanění určitých zisků společnosti McDonald v Lucemburku nevedlo k nezákonné státní podpoře, protože je v souladu s vnitrostátními daňovými zákony a lucembursko-americkou smlouvou o zamezení dvojího zdanění.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• V prosinci 2018 Komise dospěla k závěru, že Gibraltar přiznal nepřiměřeným daňovým výhodám ve výši přibližně 100 milionů EUR několika nadnárodním společnostem prostřednictvím systému osvobození od daně z příjmu právnických osob a pěti daňových rozhodnutí. Probíhá proces vymáhání.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• V dubnu 2019 Komise dospěla k závěru, že Spojené království poskytlo nepřiměřené daňové výhody několika nadnárodním společnostem tím, že umožnilo, aby určité uměle převedené příjmy z financování skupiny zůstaly mimo oblast působnosti britských ustanovení o vyhýbání se daňovým povinnostem. Postup obnovy stále probíhá.</w:t>
      </w:r>
    </w:p>
    <w:p w:rsidR="004D1060" w:rsidRPr="004D1060" w:rsidRDefault="00E12085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Komise rovněž vede dvě hloubková šetření týkající se daňových rozhodnutí vydaných Nizozemskem ve prospěch Inter IKEA a </w:t>
      </w:r>
      <w:proofErr w:type="spellStart"/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>Nike</w:t>
      </w:r>
      <w:proofErr w:type="spellEnd"/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šetření týkající se daňových rozhodnutí vydaných Lucemburskem ve prospěch společnosti </w:t>
      </w:r>
      <w:proofErr w:type="spellStart"/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>Huhtamäki</w:t>
      </w:r>
      <w:proofErr w:type="spellEnd"/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4D1060" w:rsidRPr="004D1060" w:rsidRDefault="00E12085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</w:t>
      </w:r>
      <w:r w:rsidR="004D1060" w:rsidRPr="004D1060">
        <w:rPr>
          <w:rFonts w:eastAsia="Times New Roman" w:cstheme="minorHAnsi"/>
          <w:color w:val="000000"/>
          <w:sz w:val="24"/>
          <w:szCs w:val="24"/>
          <w:lang w:eastAsia="cs-CZ"/>
        </w:rPr>
        <w:t>Po vyřešení jakýchkoli otázek důvěrnosti budou verze rozhodnutí, které nejsou důvěrné, zpřístupněny pod číslem případu uvedeným v seznamu níže v registru státní podpory na webové stránce Komise o hospodářské soutěži. Nové publikace rozhodnutí o státní podpoře na internetu a v Úředním věstníku jsou uvedeny v elektronických zprávách o státní podpoře.</w:t>
      </w:r>
    </w:p>
    <w:p w:rsidR="004D1060" w:rsidRPr="004D1060" w:rsidRDefault="004D1060" w:rsidP="004D10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D106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bookmarkEnd w:id="0"/>
    </w:p>
    <w:sectPr w:rsidR="004D1060" w:rsidRPr="004D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899"/>
    <w:multiLevelType w:val="multilevel"/>
    <w:tmpl w:val="6ED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12F86"/>
    <w:multiLevelType w:val="multilevel"/>
    <w:tmpl w:val="C91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4C"/>
    <w:rsid w:val="001E064C"/>
    <w:rsid w:val="004D1060"/>
    <w:rsid w:val="00950F7C"/>
    <w:rsid w:val="00A745C3"/>
    <w:rsid w:val="00E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e">
    <w:name w:val="date"/>
    <w:basedOn w:val="Normln"/>
    <w:rsid w:val="001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64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064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E064C"/>
    <w:rPr>
      <w:i/>
      <w:iCs/>
    </w:rPr>
  </w:style>
  <w:style w:type="paragraph" w:customStyle="1" w:styleId="reference">
    <w:name w:val="reference"/>
    <w:basedOn w:val="Normln"/>
    <w:rsid w:val="001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e">
    <w:name w:val="date"/>
    <w:basedOn w:val="Normln"/>
    <w:rsid w:val="001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64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064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E064C"/>
    <w:rPr>
      <w:i/>
      <w:iCs/>
    </w:rPr>
  </w:style>
  <w:style w:type="paragraph" w:customStyle="1" w:styleId="reference">
    <w:name w:val="reference"/>
    <w:basedOn w:val="Normln"/>
    <w:rsid w:val="001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1519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2019-09-16T11:08:00Z</dcterms:created>
  <dcterms:modified xsi:type="dcterms:W3CDTF">2019-09-16T11:45:00Z</dcterms:modified>
</cp:coreProperties>
</file>