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A4" w:rsidRPr="00781FA4" w:rsidRDefault="00781FA4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bookmarkStart w:id="0" w:name="_GoBack"/>
    </w:p>
    <w:p w:rsidR="00781FA4" w:rsidRPr="00781FA4" w:rsidRDefault="00781FA4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r w:rsidRPr="00781FA4">
        <w:rPr>
          <w:rFonts w:eastAsia="Times New Roman" w:cstheme="minorHAnsi"/>
          <w:b/>
          <w:kern w:val="36"/>
          <w:sz w:val="24"/>
          <w:szCs w:val="24"/>
          <w:lang w:eastAsia="cs-CZ"/>
        </w:rPr>
        <w:t xml:space="preserve">EU </w:t>
      </w:r>
      <w:proofErr w:type="gramStart"/>
      <w:r w:rsidRPr="00781FA4">
        <w:rPr>
          <w:rFonts w:eastAsia="Times New Roman" w:cstheme="minorHAnsi"/>
          <w:b/>
          <w:kern w:val="36"/>
          <w:sz w:val="24"/>
          <w:szCs w:val="24"/>
          <w:lang w:eastAsia="cs-CZ"/>
        </w:rPr>
        <w:t>v</w:t>
      </w:r>
      <w:r w:rsidRPr="00781FA4">
        <w:rPr>
          <w:rFonts w:eastAsia="Times New Roman" w:cstheme="minorHAnsi"/>
          <w:b/>
          <w:kern w:val="36"/>
          <w:sz w:val="24"/>
          <w:szCs w:val="24"/>
          <w:lang w:eastAsia="cs-CZ"/>
        </w:rPr>
        <w:t xml:space="preserve">ede v </w:t>
      </w:r>
      <w:r w:rsidRPr="00781FA4">
        <w:rPr>
          <w:rFonts w:eastAsia="Times New Roman" w:cstheme="minorHAnsi"/>
          <w:b/>
          <w:kern w:val="36"/>
          <w:sz w:val="24"/>
          <w:szCs w:val="24"/>
          <w:lang w:eastAsia="cs-CZ"/>
        </w:rPr>
        <w:t xml:space="preserve"> celosvětovém</w:t>
      </w:r>
      <w:proofErr w:type="gramEnd"/>
      <w:r w:rsidRPr="00781FA4">
        <w:rPr>
          <w:rFonts w:eastAsia="Times New Roman" w:cstheme="minorHAnsi"/>
          <w:b/>
          <w:kern w:val="36"/>
          <w:sz w:val="24"/>
          <w:szCs w:val="24"/>
          <w:lang w:eastAsia="cs-CZ"/>
        </w:rPr>
        <w:t xml:space="preserve"> zemědělsko-potravinářském obchodu</w:t>
      </w:r>
    </w:p>
    <w:p w:rsidR="00781FA4" w:rsidRPr="00781FA4" w:rsidRDefault="00781FA4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>IP / 19/5527</w:t>
      </w:r>
    </w:p>
    <w:p w:rsidR="00781FA4" w:rsidRPr="00781FA4" w:rsidRDefault="00781FA4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 xml:space="preserve">Ve zprávě zveřejněné </w:t>
      </w:r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 xml:space="preserve">5. září </w:t>
      </w:r>
      <w:proofErr w:type="gramStart"/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 xml:space="preserve">2019 </w:t>
      </w:r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 xml:space="preserve"> EU</w:t>
      </w:r>
      <w:proofErr w:type="gramEnd"/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 xml:space="preserve"> potvrzuje ještě další rok své postavení největšího světového vývozce zemědělsko-potravinářských výrobků, přičemž vývoz EU dosáhl v roce 2018 138 miliard EUR.</w:t>
      </w:r>
    </w:p>
    <w:p w:rsidR="00781FA4" w:rsidRPr="00781FA4" w:rsidRDefault="00781FA4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>Zemědělské produkty představují solidní podíl 7% z hodnoty celkového zboží EU vyvezeného v roce 2018 a čtvrté míst</w:t>
      </w:r>
      <w:r>
        <w:rPr>
          <w:rFonts w:eastAsia="Times New Roman" w:cstheme="minorHAnsi"/>
          <w:kern w:val="36"/>
          <w:sz w:val="24"/>
          <w:szCs w:val="24"/>
          <w:lang w:eastAsia="cs-CZ"/>
        </w:rPr>
        <w:t>o</w:t>
      </w:r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 xml:space="preserve"> za stroji, ostatním vyrobeným zbožím a chemikáliemi. Zemědělství a potravinářský průmysl a služby společně poskytují v EU téměř 44 milionů pracovních míst. Řetězec produkce a zpracování potravin představuje v EU 7,5% zaměstnanosti a 3,7% celkové přidané hodnoty.</w:t>
      </w:r>
    </w:p>
    <w:p w:rsidR="00781FA4" w:rsidRPr="00781FA4" w:rsidRDefault="00781FA4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proofErr w:type="spellStart"/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>Phil</w:t>
      </w:r>
      <w:proofErr w:type="spellEnd"/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spellStart"/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>Hogan</w:t>
      </w:r>
      <w:proofErr w:type="spellEnd"/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 xml:space="preserve">, komisař pro zemědělství a </w:t>
      </w:r>
      <w:r>
        <w:rPr>
          <w:rFonts w:eastAsia="Times New Roman" w:cstheme="minorHAnsi"/>
          <w:kern w:val="36"/>
          <w:sz w:val="24"/>
          <w:szCs w:val="24"/>
          <w:lang w:eastAsia="cs-CZ"/>
        </w:rPr>
        <w:t>rozvoj venkova, uvedl: „Společná</w:t>
      </w:r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 xml:space="preserve"> zemědělská politika, která je stále více orientována na trh, rozhodujícím způsobem přispěla k úspěchu EU v obchodě se zemědělskými produkty. Pověst EU pro bezpečné, udržitelně vyráběné, výživné a kvalitní výrobky je na světovém trhu vítěznou recepturou. Komise je zde proto, aby pomohla výrobcům plně využívat příležitostí po celém světě a vždy se ujistila, že našim citlivějším odvětvím jsou poskytovány dostatečné záruky. “</w:t>
      </w:r>
    </w:p>
    <w:p w:rsidR="00781FA4" w:rsidRPr="00781FA4" w:rsidRDefault="00781FA4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  </w:t>
      </w:r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 xml:space="preserve">Pět největších destinací zemědělských a potravinářských produktů EU jsou nadále Spojené státy, Čína, Švýcarsko, Japonsko a Rusko, které představují 40% vývozu EU. Kromě vyjednávání obchodních dohod, které poskytují zemědělcům v EU další příležitosti, pomáhá Evropská komise vývozcům v EU vstoupit na nové trhy a těžit z obchodních možností prostřednictvím propagačních činností, včetně misí na vysoké úrovni vedených komisařem </w:t>
      </w:r>
      <w:proofErr w:type="spellStart"/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>Hoganem</w:t>
      </w:r>
      <w:proofErr w:type="spellEnd"/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 xml:space="preserve">. V letech 2018 a 2019 cestoval komisař </w:t>
      </w:r>
      <w:proofErr w:type="spellStart"/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>Hogan</w:t>
      </w:r>
      <w:proofErr w:type="spellEnd"/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 xml:space="preserve"> doprovázený výrobci EU do Číny, Japonska a Spojených arabských emirátů.</w:t>
      </w:r>
    </w:p>
    <w:p w:rsidR="00781FA4" w:rsidRPr="00781FA4" w:rsidRDefault="00781FA4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   </w:t>
      </w:r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 xml:space="preserve">Vína a vermut nadále </w:t>
      </w:r>
      <w:proofErr w:type="spellStart"/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>dominují</w:t>
      </w:r>
      <w:r>
        <w:rPr>
          <w:rFonts w:eastAsia="Times New Roman" w:cstheme="minorHAnsi"/>
          <w:kern w:val="36"/>
          <w:sz w:val="24"/>
          <w:szCs w:val="24"/>
          <w:lang w:eastAsia="cs-CZ"/>
        </w:rPr>
        <w:t>v</w:t>
      </w:r>
      <w:proofErr w:type="spellEnd"/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 xml:space="preserve"> koši vyvážených produktů s lihovinami a likéry na druhém místě. Pak přijde kojenecká výživa a různé potravinové přípravky, čokoláda, těstoviny a pečivo.</w:t>
      </w:r>
    </w:p>
    <w:p w:rsidR="00781FA4" w:rsidRPr="00781FA4" w:rsidRDefault="00781FA4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>Pokud jde o dovoz, zpráva dospěla k závěru, že EU se stala druhým největším dovozcem zemědělsko-potravinářských výrobků s dovozem v hodnotě 116 miliard EUR. Tím se obchodní bilance EU v tomto odvětví zvýší na kladnou čistou částku 22 miliard EUR.</w:t>
      </w:r>
    </w:p>
    <w:p w:rsidR="00781FA4" w:rsidRPr="00781FA4" w:rsidRDefault="00781FA4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</w:t>
      </w:r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>EU vyrábí hlavně tři druhy produktů: produkty, které se v EU nevyráb</w:t>
      </w:r>
      <w:r>
        <w:rPr>
          <w:rFonts w:eastAsia="Times New Roman" w:cstheme="minorHAnsi"/>
          <w:kern w:val="36"/>
          <w:sz w:val="24"/>
          <w:szCs w:val="24"/>
          <w:lang w:eastAsia="cs-CZ"/>
        </w:rPr>
        <w:t>ě</w:t>
      </w:r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>jí, nebo jen v malé míře, jako je tropické ovoce, káva a čerstvé nebo sušené ovoce (což představuje 23,4% dovozu v roce 2018); produkty určené k výživě zvířat (včetně olejnin a sójových bobů - spolu 10,8% dovozu); a produkty používané jako přísady při dalším zpracování (jako je palmový olej).</w:t>
      </w:r>
    </w:p>
    <w:p w:rsidR="00781FA4" w:rsidRPr="00781FA4" w:rsidRDefault="00781FA4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</w:t>
      </w:r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>Dovoz ze Spojených států byl nejrychleji rostoucí v roce 2018, kdy došlo k nárůstu o 10%, což z této země učinilo tuto zemi předním dodavatelem zemědělsko-potravinářských výrobků v EU.</w:t>
      </w:r>
    </w:p>
    <w:p w:rsidR="00781FA4" w:rsidRPr="00781FA4" w:rsidRDefault="00781FA4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 xml:space="preserve">Úplná zpráva rovněž obsahuje přehled o obchodní výkonnosti klíčových partnerů EU (USA, Čína, Brazílie, Japonsko, Rusko) a jejich obchodních </w:t>
      </w:r>
      <w:proofErr w:type="spellStart"/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>tokech</w:t>
      </w:r>
      <w:proofErr w:type="spellEnd"/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 xml:space="preserve"> s EU, jakož i kapitolu o obchodu a spolupráci s nejméně rozvinutými zeměmi ( LDC).</w:t>
      </w:r>
    </w:p>
    <w:p w:rsidR="00781FA4" w:rsidRPr="00781FA4" w:rsidRDefault="00781FA4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>Pro více informací</w:t>
      </w:r>
    </w:p>
    <w:p w:rsidR="00781FA4" w:rsidRPr="00781FA4" w:rsidRDefault="00781FA4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 xml:space="preserve">Monitorování </w:t>
      </w:r>
      <w:proofErr w:type="spellStart"/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>agroobchodní</w:t>
      </w:r>
      <w:proofErr w:type="spellEnd"/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 xml:space="preserve"> politiky</w:t>
      </w:r>
    </w:p>
    <w:p w:rsidR="00781FA4" w:rsidRPr="00781FA4" w:rsidRDefault="00781FA4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781FA4">
        <w:rPr>
          <w:rFonts w:eastAsia="Times New Roman" w:cstheme="minorHAnsi"/>
          <w:kern w:val="36"/>
          <w:sz w:val="24"/>
          <w:szCs w:val="24"/>
          <w:lang w:eastAsia="cs-CZ"/>
        </w:rPr>
        <w:t> </w:t>
      </w:r>
    </w:p>
    <w:p w:rsidR="00781FA4" w:rsidRPr="00781FA4" w:rsidRDefault="00781FA4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</w:p>
    <w:p w:rsidR="00781FA4" w:rsidRPr="00781FA4" w:rsidRDefault="00781FA4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</w:p>
    <w:p w:rsidR="00781FA4" w:rsidRPr="00781FA4" w:rsidRDefault="00781FA4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</w:p>
    <w:p w:rsidR="00781FA4" w:rsidRPr="00781FA4" w:rsidRDefault="00781FA4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</w:p>
    <w:p w:rsidR="00781FA4" w:rsidRPr="00781FA4" w:rsidRDefault="00781FA4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</w:p>
    <w:p w:rsidR="00035B01" w:rsidRPr="00781FA4" w:rsidRDefault="00035B01" w:rsidP="00781FA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035B01">
        <w:rPr>
          <w:rFonts w:eastAsia="Times New Roman" w:cstheme="minorHAnsi"/>
          <w:kern w:val="36"/>
          <w:sz w:val="24"/>
          <w:szCs w:val="24"/>
          <w:lang w:eastAsia="cs-CZ"/>
        </w:rPr>
        <w:t xml:space="preserve">EU </w:t>
      </w:r>
      <w:proofErr w:type="spellStart"/>
      <w:r w:rsidRPr="00035B01">
        <w:rPr>
          <w:rFonts w:eastAsia="Times New Roman" w:cstheme="minorHAnsi"/>
          <w:kern w:val="36"/>
          <w:sz w:val="24"/>
          <w:szCs w:val="24"/>
          <w:lang w:eastAsia="cs-CZ"/>
        </w:rPr>
        <w:t>leading</w:t>
      </w:r>
      <w:proofErr w:type="spellEnd"/>
      <w:r w:rsidRPr="00035B01">
        <w:rPr>
          <w:rFonts w:eastAsia="Times New Roman" w:cstheme="minorHAnsi"/>
          <w:kern w:val="36"/>
          <w:sz w:val="24"/>
          <w:szCs w:val="24"/>
          <w:lang w:eastAsia="cs-CZ"/>
        </w:rPr>
        <w:t xml:space="preserve"> in </w:t>
      </w:r>
      <w:proofErr w:type="spellStart"/>
      <w:r w:rsidRPr="00035B01">
        <w:rPr>
          <w:rFonts w:eastAsia="Times New Roman" w:cstheme="minorHAnsi"/>
          <w:kern w:val="36"/>
          <w:sz w:val="24"/>
          <w:szCs w:val="24"/>
          <w:lang w:eastAsia="cs-CZ"/>
        </w:rPr>
        <w:t>global</w:t>
      </w:r>
      <w:proofErr w:type="spellEnd"/>
      <w:r w:rsidRPr="00035B01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spellStart"/>
      <w:r w:rsidRPr="00035B01">
        <w:rPr>
          <w:rFonts w:eastAsia="Times New Roman" w:cstheme="minorHAnsi"/>
          <w:kern w:val="36"/>
          <w:sz w:val="24"/>
          <w:szCs w:val="24"/>
          <w:lang w:eastAsia="cs-CZ"/>
        </w:rPr>
        <w:t>agri</w:t>
      </w:r>
      <w:proofErr w:type="spellEnd"/>
      <w:r w:rsidRPr="00035B01">
        <w:rPr>
          <w:rFonts w:eastAsia="Times New Roman" w:cstheme="minorHAnsi"/>
          <w:kern w:val="36"/>
          <w:sz w:val="24"/>
          <w:szCs w:val="24"/>
          <w:lang w:eastAsia="cs-CZ"/>
        </w:rPr>
        <w:t xml:space="preserve">-food </w:t>
      </w:r>
      <w:proofErr w:type="spellStart"/>
      <w:r w:rsidRPr="00035B01">
        <w:rPr>
          <w:rFonts w:eastAsia="Times New Roman" w:cstheme="minorHAnsi"/>
          <w:kern w:val="36"/>
          <w:sz w:val="24"/>
          <w:szCs w:val="24"/>
          <w:lang w:eastAsia="cs-CZ"/>
        </w:rPr>
        <w:t>trade</w:t>
      </w:r>
      <w:proofErr w:type="spellEnd"/>
    </w:p>
    <w:p w:rsidR="00781FA4" w:rsidRPr="00035B01" w:rsidRDefault="00781FA4" w:rsidP="00781FA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035B01">
        <w:rPr>
          <w:rFonts w:ascii="Verdana" w:eastAsia="Times New Roman" w:hAnsi="Verdana" w:cs="Times New Roman"/>
          <w:sz w:val="18"/>
          <w:szCs w:val="18"/>
          <w:lang w:eastAsia="cs-CZ"/>
        </w:rPr>
        <w:t>IP/19/5527</w:t>
      </w:r>
    </w:p>
    <w:p w:rsidR="00035B01" w:rsidRPr="00035B01" w:rsidRDefault="00035B01" w:rsidP="00781FA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035B01">
        <w:rPr>
          <w:rFonts w:ascii="Verdana" w:eastAsia="Times New Roman" w:hAnsi="Verdana" w:cs="Times New Roman"/>
          <w:sz w:val="18"/>
          <w:szCs w:val="18"/>
          <w:lang w:eastAsia="cs-CZ"/>
        </w:rPr>
        <w:t>Brussels</w:t>
      </w:r>
      <w:proofErr w:type="spellEnd"/>
      <w:r w:rsidRPr="00035B01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5 </w:t>
      </w:r>
      <w:proofErr w:type="spellStart"/>
      <w:r w:rsidRPr="00035B01">
        <w:rPr>
          <w:rFonts w:ascii="Verdana" w:eastAsia="Times New Roman" w:hAnsi="Verdana" w:cs="Times New Roman"/>
          <w:sz w:val="18"/>
          <w:szCs w:val="18"/>
          <w:lang w:eastAsia="cs-CZ"/>
        </w:rPr>
        <w:t>September</w:t>
      </w:r>
      <w:proofErr w:type="spellEnd"/>
      <w:r w:rsidRPr="00035B01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2019</w:t>
      </w:r>
    </w:p>
    <w:p w:rsidR="00035B01" w:rsidRPr="00035B01" w:rsidRDefault="00035B01" w:rsidP="00781FA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18"/>
          <w:szCs w:val="18"/>
          <w:lang w:eastAsia="cs-CZ"/>
        </w:rPr>
      </w:pPr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In a </w:t>
      </w:r>
      <w:hyperlink r:id="rId5" w:history="1">
        <w:r w:rsidRPr="00781FA4">
          <w:rPr>
            <w:rFonts w:ascii="inherit" w:eastAsia="Times New Roman" w:hAnsi="inherit" w:cs="Times New Roman"/>
            <w:b/>
            <w:bCs/>
            <w:sz w:val="18"/>
            <w:szCs w:val="18"/>
            <w:bdr w:val="none" w:sz="0" w:space="0" w:color="auto" w:frame="1"/>
            <w:lang w:eastAsia="cs-CZ"/>
          </w:rPr>
          <w:t xml:space="preserve">report </w:t>
        </w:r>
        <w:proofErr w:type="spellStart"/>
        <w:r w:rsidRPr="00781FA4">
          <w:rPr>
            <w:rFonts w:ascii="inherit" w:eastAsia="Times New Roman" w:hAnsi="inherit" w:cs="Times New Roman"/>
            <w:b/>
            <w:bCs/>
            <w:sz w:val="18"/>
            <w:szCs w:val="18"/>
            <w:bdr w:val="none" w:sz="0" w:space="0" w:color="auto" w:frame="1"/>
            <w:lang w:eastAsia="cs-CZ"/>
          </w:rPr>
          <w:t>published</w:t>
        </w:r>
        <w:proofErr w:type="spellEnd"/>
        <w:r w:rsidRPr="00781FA4">
          <w:rPr>
            <w:rFonts w:ascii="inherit" w:eastAsia="Times New Roman" w:hAnsi="inherit" w:cs="Times New Roman"/>
            <w:b/>
            <w:bCs/>
            <w:sz w:val="18"/>
            <w:szCs w:val="18"/>
            <w:bdr w:val="none" w:sz="0" w:space="0" w:color="auto" w:frame="1"/>
            <w:lang w:eastAsia="cs-CZ"/>
          </w:rPr>
          <w:t xml:space="preserve"> </w:t>
        </w:r>
        <w:proofErr w:type="spellStart"/>
        <w:r w:rsidRPr="00781FA4">
          <w:rPr>
            <w:rFonts w:ascii="inherit" w:eastAsia="Times New Roman" w:hAnsi="inherit" w:cs="Times New Roman"/>
            <w:b/>
            <w:bCs/>
            <w:sz w:val="18"/>
            <w:szCs w:val="18"/>
            <w:bdr w:val="none" w:sz="0" w:space="0" w:color="auto" w:frame="1"/>
            <w:lang w:eastAsia="cs-CZ"/>
          </w:rPr>
          <w:t>today</w:t>
        </w:r>
        <w:proofErr w:type="spellEnd"/>
      </w:hyperlink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, </w:t>
      </w: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the</w:t>
      </w:r>
      <w:proofErr w:type="spellEnd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 EU </w:t>
      </w: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confirms</w:t>
      </w:r>
      <w:proofErr w:type="spellEnd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for</w:t>
      </w:r>
      <w:proofErr w:type="spellEnd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yet</w:t>
      </w:r>
      <w:proofErr w:type="spellEnd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another</w:t>
      </w:r>
      <w:proofErr w:type="spellEnd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year</w:t>
      </w:r>
      <w:proofErr w:type="spellEnd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its</w:t>
      </w:r>
      <w:proofErr w:type="spellEnd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position</w:t>
      </w:r>
      <w:proofErr w:type="spellEnd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 as </w:t>
      </w: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largest</w:t>
      </w:r>
      <w:proofErr w:type="spellEnd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global</w:t>
      </w:r>
      <w:proofErr w:type="spellEnd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exporter</w:t>
      </w:r>
      <w:proofErr w:type="spellEnd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of</w:t>
      </w:r>
      <w:proofErr w:type="spellEnd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agri</w:t>
      </w:r>
      <w:proofErr w:type="spellEnd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-food </w:t>
      </w: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products</w:t>
      </w:r>
      <w:proofErr w:type="spellEnd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, </w:t>
      </w: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with</w:t>
      </w:r>
      <w:proofErr w:type="spellEnd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 EU </w:t>
      </w: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exports</w:t>
      </w:r>
      <w:proofErr w:type="spellEnd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reaching</w:t>
      </w:r>
      <w:proofErr w:type="spellEnd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 €138 </w:t>
      </w: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billion</w:t>
      </w:r>
      <w:proofErr w:type="spellEnd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 in 2018.</w:t>
      </w:r>
    </w:p>
    <w:p w:rsidR="00035B01" w:rsidRPr="00035B01" w:rsidRDefault="00035B01" w:rsidP="00781FA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18"/>
          <w:szCs w:val="18"/>
          <w:lang w:eastAsia="cs-CZ"/>
        </w:rPr>
      </w:pP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Agriculture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products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represent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a solid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share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of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7%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of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value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of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EU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total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goods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exported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in 2018,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ranking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fourth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after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machinery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,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other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manufactured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goods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and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chemicals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.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Agriculture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and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food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related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industries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and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services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together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provide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almost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44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million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jobs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in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EU.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food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production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and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processing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chain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accounts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for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7.5%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of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employment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and 3.7%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of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total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value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added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in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EU.</w:t>
      </w:r>
    </w:p>
    <w:p w:rsidR="00035B01" w:rsidRPr="00035B01" w:rsidRDefault="00035B01" w:rsidP="00781FA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18"/>
          <w:szCs w:val="18"/>
          <w:lang w:eastAsia="cs-CZ"/>
        </w:rPr>
      </w:pP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Phil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 </w:t>
      </w: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Hogan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,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Commissioner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for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Agriculture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and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Rural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Development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said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: “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The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increasingly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market-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oriented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Common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Agricultural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Policy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has made a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decisive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contribution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to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the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EU's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success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in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agricultural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trade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.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The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EU's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reputation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for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having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safe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,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sustainably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produced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,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nutritious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and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quality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products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is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a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winning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formula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in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the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global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marketplace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.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The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Commission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is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here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to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assist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producers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in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taking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full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advantage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of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opportunities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around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the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globe,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while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always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making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sure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that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our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more sensitive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sectors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are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provided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with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sufficient</w:t>
      </w:r>
      <w:proofErr w:type="spellEnd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 xml:space="preserve"> </w:t>
      </w:r>
      <w:proofErr w:type="spellStart"/>
      <w:r w:rsidRPr="00781FA4">
        <w:rPr>
          <w:rFonts w:ascii="inherit" w:eastAsia="Times New Roman" w:hAnsi="inherit" w:cs="Times New Roman"/>
          <w:i/>
          <w:iCs/>
          <w:sz w:val="18"/>
          <w:szCs w:val="18"/>
          <w:lang w:eastAsia="cs-CZ"/>
        </w:rPr>
        <w:t>safeguards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.”</w:t>
      </w:r>
    </w:p>
    <w:p w:rsidR="00035B01" w:rsidRPr="00035B01" w:rsidRDefault="00035B01" w:rsidP="00781FA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18"/>
          <w:szCs w:val="18"/>
          <w:lang w:eastAsia="cs-CZ"/>
        </w:rPr>
      </w:pP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top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five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destinations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for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EU's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agri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-food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products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continues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to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be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United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States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,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China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,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Switzerland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, Japan and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Russia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,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accounting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for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40%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of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EU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exports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. In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addition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to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negotiating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trade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agreements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that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provide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further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opportunities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for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EU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farmers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,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European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Commission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helps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EU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exporters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to enter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new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markets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and benefit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from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business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possibilities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through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 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fldChar w:fldCharType="begin"/>
      </w:r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instrText xml:space="preserve"> HYPERLINK "https://ec.europa.eu/info/food-farming-fisheries/key-policies/common-agricultural-policy/market-measures/promotion-eu-farm-products_en" </w:instrText>
      </w:r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fldChar w:fldCharType="separate"/>
      </w:r>
      <w:r w:rsidRPr="00781FA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cs-CZ"/>
        </w:rPr>
        <w:t>promotion</w:t>
      </w:r>
      <w:proofErr w:type="spellEnd"/>
      <w:r w:rsidRPr="00781FA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 w:rsidRPr="00781FA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cs-CZ"/>
        </w:rPr>
        <w:t>activities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fldChar w:fldCharType="end"/>
      </w:r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,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including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high-level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missions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led by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Commissioner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Hogan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. In 2018 and 2019,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Commissioner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Hogan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accompanied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by EU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producers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travelled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to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China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, Japan and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United Arab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Emirates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.</w:t>
      </w:r>
    </w:p>
    <w:p w:rsidR="00035B01" w:rsidRPr="00035B01" w:rsidRDefault="00035B01" w:rsidP="00781FA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18"/>
          <w:szCs w:val="18"/>
          <w:lang w:eastAsia="cs-CZ"/>
        </w:rPr>
      </w:pP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Wines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and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vermouth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continue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to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dominate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basket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of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exported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products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with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spirits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and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liqueurs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ranking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second.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Then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come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infant food and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various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food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preparations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,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chocolate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, pasta and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pastry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.</w:t>
      </w:r>
    </w:p>
    <w:p w:rsidR="00035B01" w:rsidRPr="00035B01" w:rsidRDefault="00035B01" w:rsidP="00781FA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18"/>
          <w:szCs w:val="18"/>
          <w:lang w:eastAsia="cs-CZ"/>
        </w:rPr>
      </w:pP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Regarding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imports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,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report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concludes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that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EU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became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second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biggest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importer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of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agri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-food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products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with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€116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billion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worth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of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imports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.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This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brings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EU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trade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balance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for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this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sector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to a positive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net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of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€22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billion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.</w:t>
      </w:r>
    </w:p>
    <w:p w:rsidR="00035B01" w:rsidRPr="00035B01" w:rsidRDefault="00035B01" w:rsidP="00781FA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18"/>
          <w:szCs w:val="18"/>
          <w:lang w:eastAsia="cs-CZ"/>
        </w:rPr>
      </w:pP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EU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mainly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sources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three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types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of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products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: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products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that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are not,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only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to a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small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extent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,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produced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in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EU such as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tropical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fruit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,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coffee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and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fresh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dried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fruits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(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representing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23.4%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of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imports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in 2018);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products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that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are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destined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for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animal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feed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(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including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oilcakes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and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soybeans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–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together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10.8%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of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imports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); and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products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used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as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ingredients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in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further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processing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(such as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palm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oil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).</w:t>
      </w:r>
    </w:p>
    <w:p w:rsidR="00035B01" w:rsidRPr="00035B01" w:rsidRDefault="00035B01" w:rsidP="00781FA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18"/>
          <w:szCs w:val="18"/>
          <w:lang w:eastAsia="cs-CZ"/>
        </w:rPr>
      </w:pP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Imports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from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proofErr w:type="gram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U.S.</w:t>
      </w:r>
      <w:proofErr w:type="gram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were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fastest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growing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in 2018,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with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an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increase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of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10%,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which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makes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this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country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EU's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top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supplier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of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agri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-food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products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.</w:t>
      </w:r>
    </w:p>
    <w:p w:rsidR="00035B01" w:rsidRPr="00035B01" w:rsidRDefault="00035B01" w:rsidP="00781FA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18"/>
          <w:szCs w:val="18"/>
          <w:lang w:eastAsia="cs-CZ"/>
        </w:rPr>
      </w:pP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full report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also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includes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an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overview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of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trade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performance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of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EU's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key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partners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(United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States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,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China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,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Brazil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, Japan,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Russia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) and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their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trade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flows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with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the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EU, as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well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as a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chapter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on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trade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and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cooperation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with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Least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Developed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Countries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(</w:t>
      </w:r>
      <w:proofErr w:type="spellStart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LDCs</w:t>
      </w:r>
      <w:proofErr w:type="spellEnd"/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).</w:t>
      </w:r>
    </w:p>
    <w:p w:rsidR="00035B01" w:rsidRPr="00035B01" w:rsidRDefault="00035B01" w:rsidP="00781FA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18"/>
          <w:szCs w:val="18"/>
          <w:lang w:eastAsia="cs-CZ"/>
        </w:rPr>
      </w:pP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For</w:t>
      </w:r>
      <w:proofErr w:type="spellEnd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 More </w:t>
      </w:r>
      <w:proofErr w:type="spellStart"/>
      <w:r w:rsidRPr="00781FA4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Information</w:t>
      </w:r>
      <w:proofErr w:type="spellEnd"/>
    </w:p>
    <w:p w:rsidR="00035B01" w:rsidRPr="00035B01" w:rsidRDefault="00035B01" w:rsidP="00781FA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18"/>
          <w:szCs w:val="18"/>
          <w:lang w:eastAsia="cs-CZ"/>
        </w:rPr>
      </w:pPr>
      <w:hyperlink r:id="rId6" w:history="1">
        <w:r w:rsidRPr="00781FA4">
          <w:rPr>
            <w:rFonts w:ascii="Verdana" w:eastAsia="Times New Roman" w:hAnsi="Verdana" w:cs="Times New Roman"/>
            <w:sz w:val="18"/>
            <w:szCs w:val="18"/>
            <w:bdr w:val="none" w:sz="0" w:space="0" w:color="auto" w:frame="1"/>
            <w:lang w:eastAsia="cs-CZ"/>
          </w:rPr>
          <w:t xml:space="preserve">Monitoring </w:t>
        </w:r>
        <w:proofErr w:type="spellStart"/>
        <w:r w:rsidRPr="00781FA4">
          <w:rPr>
            <w:rFonts w:ascii="Verdana" w:eastAsia="Times New Roman" w:hAnsi="Verdana" w:cs="Times New Roman"/>
            <w:sz w:val="18"/>
            <w:szCs w:val="18"/>
            <w:bdr w:val="none" w:sz="0" w:space="0" w:color="auto" w:frame="1"/>
            <w:lang w:eastAsia="cs-CZ"/>
          </w:rPr>
          <w:t>Agri-trade</w:t>
        </w:r>
        <w:proofErr w:type="spellEnd"/>
        <w:r w:rsidRPr="00781FA4">
          <w:rPr>
            <w:rFonts w:ascii="Verdana" w:eastAsia="Times New Roman" w:hAnsi="Verdana" w:cs="Times New Roman"/>
            <w:sz w:val="18"/>
            <w:szCs w:val="18"/>
            <w:bdr w:val="none" w:sz="0" w:space="0" w:color="auto" w:frame="1"/>
            <w:lang w:eastAsia="cs-CZ"/>
          </w:rPr>
          <w:t xml:space="preserve"> </w:t>
        </w:r>
        <w:proofErr w:type="spellStart"/>
        <w:r w:rsidRPr="00781FA4">
          <w:rPr>
            <w:rFonts w:ascii="Verdana" w:eastAsia="Times New Roman" w:hAnsi="Verdana" w:cs="Times New Roman"/>
            <w:sz w:val="18"/>
            <w:szCs w:val="18"/>
            <w:bdr w:val="none" w:sz="0" w:space="0" w:color="auto" w:frame="1"/>
            <w:lang w:eastAsia="cs-CZ"/>
          </w:rPr>
          <w:t>Policy</w:t>
        </w:r>
        <w:proofErr w:type="spellEnd"/>
      </w:hyperlink>
    </w:p>
    <w:p w:rsidR="00035B01" w:rsidRPr="00035B01" w:rsidRDefault="00035B01" w:rsidP="00781FA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18"/>
          <w:szCs w:val="18"/>
          <w:lang w:eastAsia="cs-CZ"/>
        </w:rPr>
      </w:pPr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 </w:t>
      </w:r>
    </w:p>
    <w:p w:rsidR="00035B01" w:rsidRPr="00035B01" w:rsidRDefault="00035B01" w:rsidP="00035B0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18"/>
          <w:szCs w:val="18"/>
          <w:lang w:eastAsia="cs-CZ"/>
        </w:rPr>
      </w:pPr>
      <w:r w:rsidRPr="00035B01">
        <w:rPr>
          <w:rFonts w:ascii="inherit" w:eastAsia="Times New Roman" w:hAnsi="inherit" w:cs="Times New Roman"/>
          <w:sz w:val="18"/>
          <w:szCs w:val="18"/>
          <w:lang w:eastAsia="cs-CZ"/>
        </w:rPr>
        <w:t> </w:t>
      </w:r>
      <w:bookmarkEnd w:id="0"/>
    </w:p>
    <w:sectPr w:rsidR="00035B01" w:rsidRPr="0003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01"/>
    <w:rsid w:val="00035B01"/>
    <w:rsid w:val="0005755A"/>
    <w:rsid w:val="006672C4"/>
    <w:rsid w:val="00781FA4"/>
    <w:rsid w:val="007F5B6C"/>
    <w:rsid w:val="00B3391E"/>
    <w:rsid w:val="00BF0491"/>
    <w:rsid w:val="00B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35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5B0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03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5B0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35B0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35B01"/>
    <w:rPr>
      <w:i/>
      <w:iCs/>
    </w:rPr>
  </w:style>
  <w:style w:type="paragraph" w:customStyle="1" w:styleId="reference">
    <w:name w:val="reference"/>
    <w:basedOn w:val="Normln"/>
    <w:rsid w:val="0003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35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5B0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03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5B0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35B0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35B01"/>
    <w:rPr>
      <w:i/>
      <w:iCs/>
    </w:rPr>
  </w:style>
  <w:style w:type="paragraph" w:customStyle="1" w:styleId="reference">
    <w:name w:val="reference"/>
    <w:basedOn w:val="Normln"/>
    <w:rsid w:val="0003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.europa.eu/agriculture/trade-analysis/map_en" TargetMode="External"/><Relationship Id="rId5" Type="http://schemas.openxmlformats.org/officeDocument/2006/relationships/hyperlink" Target="https://ec.europa.eu/agriculture/trade-analysis/map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2019-09-05T12:42:00Z</dcterms:created>
  <dcterms:modified xsi:type="dcterms:W3CDTF">2019-09-05T12:42:00Z</dcterms:modified>
</cp:coreProperties>
</file>