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A86D8D" w:rsidRPr="00CF6318" w:rsidRDefault="000C725B" w:rsidP="002A6C04">
      <w:pPr>
        <w:spacing w:before="120" w:after="0" w:line="288" w:lineRule="auto"/>
        <w:jc w:val="both"/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  <w:r w:rsidR="002A6C04">
        <w:rPr>
          <w:rFonts w:cs="Arial"/>
        </w:rPr>
        <w:t xml:space="preserve"> </w:t>
      </w:r>
      <w:r w:rsidR="00A86D8D" w:rsidRPr="00CF6318">
        <w:t>V bodě III.1 b) uložila ministru dopravy předkládat vládě každé dva měsíce přehled investorské přípravy staveb, které mají předpokládané datum zahájení realizace v letech 2016 až 2018 a jejichž stavební náklady přesahují 300 mil. Kč, přičemž taxativní výčet těchto staveb byl přílohou č. III.b předkládaného materiálu.</w:t>
      </w:r>
    </w:p>
    <w:p w:rsidR="00A86D8D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Ministerstvo dopravy plní předmětný úkol a předkládá aktualizovaný přehled investorské přípravy </w:t>
      </w:r>
      <w:r w:rsidR="00CF6318">
        <w:rPr>
          <w:rFonts w:cs="Arial"/>
        </w:rPr>
        <w:t xml:space="preserve">definovaných </w:t>
      </w:r>
      <w:r>
        <w:rPr>
          <w:rFonts w:cs="Arial"/>
        </w:rPr>
        <w:t xml:space="preserve">staveb, přičemž tento přehled je zpracován v tabulkové formě a aktualizuje data o přípravě staveb uvedená v materiálu pro jednání vlády dne 11.5.2016. Touto formou </w:t>
      </w:r>
      <w:r w:rsidR="00E85BD5">
        <w:rPr>
          <w:rFonts w:cs="Arial"/>
        </w:rPr>
        <w:t>byl materiál zpracován k datu 11.7.2016,</w:t>
      </w:r>
      <w:r w:rsidR="00AD551A">
        <w:rPr>
          <w:rFonts w:cs="Arial"/>
        </w:rPr>
        <w:t xml:space="preserve"> 11.9.2016,</w:t>
      </w:r>
      <w:r w:rsidR="00E85BD5">
        <w:rPr>
          <w:rFonts w:cs="Arial"/>
        </w:rPr>
        <w:t xml:space="preserve"> </w:t>
      </w:r>
      <w:r w:rsidR="00E1698F">
        <w:rPr>
          <w:rFonts w:cs="Arial"/>
        </w:rPr>
        <w:t xml:space="preserve">11.11.2016, </w:t>
      </w:r>
      <w:r w:rsidR="00D570B9">
        <w:rPr>
          <w:rFonts w:cs="Arial"/>
        </w:rPr>
        <w:t>11.1.2017</w:t>
      </w:r>
      <w:r w:rsidR="00254E4D">
        <w:rPr>
          <w:rFonts w:cs="Arial"/>
        </w:rPr>
        <w:t>, 11.3.2017</w:t>
      </w:r>
      <w:r w:rsidR="00001E13">
        <w:rPr>
          <w:rFonts w:cs="Arial"/>
        </w:rPr>
        <w:t>, 11.5.2017</w:t>
      </w:r>
      <w:r w:rsidR="002A6C04">
        <w:rPr>
          <w:rFonts w:cs="Arial"/>
        </w:rPr>
        <w:t>, 11.7.2017</w:t>
      </w:r>
      <w:r w:rsidR="000F043C">
        <w:rPr>
          <w:rFonts w:cs="Arial"/>
        </w:rPr>
        <w:t>, 11.9.2017</w:t>
      </w:r>
      <w:r w:rsidR="007F5268">
        <w:rPr>
          <w:rFonts w:cs="Arial"/>
        </w:rPr>
        <w:t>, 11.11.2017</w:t>
      </w:r>
      <w:r w:rsidR="00D570B9">
        <w:rPr>
          <w:rFonts w:cs="Arial"/>
        </w:rPr>
        <w:t>. A</w:t>
      </w:r>
      <w:r w:rsidR="00E85BD5">
        <w:rPr>
          <w:rFonts w:cs="Arial"/>
        </w:rPr>
        <w:t>ktuálně jsou předkládány informace k datu 11.</w:t>
      </w:r>
      <w:r w:rsidR="000F043C">
        <w:rPr>
          <w:rFonts w:cs="Arial"/>
        </w:rPr>
        <w:t>1</w:t>
      </w:r>
      <w:r w:rsidR="00E85BD5">
        <w:rPr>
          <w:rFonts w:cs="Arial"/>
        </w:rPr>
        <w:t>.201</w:t>
      </w:r>
      <w:r w:rsidR="007F5268">
        <w:rPr>
          <w:rFonts w:cs="Arial"/>
        </w:rPr>
        <w:t>8.</w:t>
      </w:r>
    </w:p>
    <w:p w:rsidR="00CF6318" w:rsidRDefault="00A86D8D" w:rsidP="00CF6318">
      <w:pPr>
        <w:spacing w:before="120" w:after="0" w:line="288" w:lineRule="auto"/>
        <w:jc w:val="both"/>
      </w:pPr>
      <w:r w:rsidRPr="001F2EA0">
        <w:rPr>
          <w:rFonts w:cs="Arial"/>
          <w:b/>
        </w:rPr>
        <w:t>Materiál obsahuje též informace ve vztahu k přípravě tzv. prioritních dopravních záměrů</w:t>
      </w:r>
      <w:r>
        <w:rPr>
          <w:rFonts w:cs="Arial"/>
        </w:rPr>
        <w:t>, pro které bude zvolen zrychlený režim znovuposouzení vlivů záměrů na životní prostředí</w:t>
      </w:r>
      <w:r w:rsidR="000F043C">
        <w:rPr>
          <w:rFonts w:cs="Arial"/>
        </w:rPr>
        <w:t>.</w:t>
      </w:r>
      <w:r w:rsidR="001F2EA0">
        <w:rPr>
          <w:rFonts w:cs="Arial"/>
        </w:rPr>
        <w:t xml:space="preserve"> </w:t>
      </w:r>
      <w:r w:rsidR="00AD551A">
        <w:rPr>
          <w:rFonts w:cs="Arial"/>
        </w:rPr>
        <w:t xml:space="preserve">V současné době jsou </w:t>
      </w:r>
      <w:r w:rsidR="00D570B9">
        <w:rPr>
          <w:rFonts w:cs="Arial"/>
        </w:rPr>
        <w:t>vydána všechna</w:t>
      </w:r>
      <w:r w:rsidR="00AD551A">
        <w:rPr>
          <w:rFonts w:cs="Arial"/>
        </w:rPr>
        <w:t xml:space="preserve"> závazn</w:t>
      </w:r>
      <w:r w:rsidR="00D570B9">
        <w:rPr>
          <w:rFonts w:cs="Arial"/>
        </w:rPr>
        <w:t>á</w:t>
      </w:r>
      <w:r w:rsidR="00AD551A">
        <w:rPr>
          <w:rFonts w:cs="Arial"/>
        </w:rPr>
        <w:t xml:space="preserve"> stanovisk</w:t>
      </w:r>
      <w:r w:rsidR="00D570B9">
        <w:rPr>
          <w:rFonts w:cs="Arial"/>
        </w:rPr>
        <w:t>a</w:t>
      </w:r>
      <w:r w:rsidR="00AD551A">
        <w:rPr>
          <w:rFonts w:cs="Arial"/>
        </w:rPr>
        <w:t xml:space="preserve"> ke všem prioritním dopravní záměrům </w:t>
      </w:r>
      <w:r w:rsidR="00D570B9">
        <w:rPr>
          <w:rFonts w:cs="Arial"/>
        </w:rPr>
        <w:t>(</w:t>
      </w:r>
      <w:r w:rsidR="00AD551A">
        <w:rPr>
          <w:rFonts w:cs="Arial"/>
        </w:rPr>
        <w:t xml:space="preserve">D1 0136, </w:t>
      </w:r>
      <w:r w:rsidR="00E1698F">
        <w:rPr>
          <w:rFonts w:cs="Arial"/>
        </w:rPr>
        <w:t xml:space="preserve">D3 0310, </w:t>
      </w:r>
      <w:r w:rsidR="00AD551A">
        <w:rPr>
          <w:rFonts w:cs="Arial"/>
        </w:rPr>
        <w:t>D11 1106</w:t>
      </w:r>
      <w:r w:rsidR="00E1698F">
        <w:rPr>
          <w:rFonts w:cs="Arial"/>
        </w:rPr>
        <w:t xml:space="preserve">, </w:t>
      </w:r>
      <w:r w:rsidR="00AD551A">
        <w:rPr>
          <w:rFonts w:cs="Arial"/>
        </w:rPr>
        <w:t>D49 4901</w:t>
      </w:r>
      <w:r w:rsidR="00E1698F">
        <w:rPr>
          <w:rFonts w:cs="Arial"/>
        </w:rPr>
        <w:t xml:space="preserve">, </w:t>
      </w:r>
      <w:r w:rsidR="00AD551A">
        <w:rPr>
          <w:rFonts w:cs="Arial"/>
        </w:rPr>
        <w:t>D55 5505, Modernizace trati Sudo</w:t>
      </w:r>
      <w:bookmarkStart w:id="0" w:name="_GoBack"/>
      <w:bookmarkEnd w:id="0"/>
      <w:r w:rsidR="00AD551A">
        <w:rPr>
          <w:rFonts w:cs="Arial"/>
        </w:rPr>
        <w:t>měřice – Votice</w:t>
      </w:r>
      <w:r w:rsidR="00D570B9">
        <w:rPr>
          <w:rFonts w:cs="Arial"/>
        </w:rPr>
        <w:t xml:space="preserve">, </w:t>
      </w:r>
      <w:r w:rsidR="00AD551A">
        <w:t>D35 Opatovice – Ostrov</w:t>
      </w:r>
      <w:r w:rsidR="00D570B9">
        <w:t>,</w:t>
      </w:r>
      <w:r w:rsidR="00AD551A">
        <w:t xml:space="preserve"> D48 Frýdek-Místek obchvat</w:t>
      </w:r>
      <w:r w:rsidR="00D570B9">
        <w:t>,</w:t>
      </w:r>
      <w:r w:rsidR="00AD551A">
        <w:t xml:space="preserve"> D6 Nové Strašecí - Řevničov - Krušovice + Lubenec</w:t>
      </w:r>
      <w:r w:rsidR="000F043C" w:rsidRPr="00254D70">
        <w:t>)</w:t>
      </w:r>
      <w:r w:rsidR="00D570B9" w:rsidRPr="00254D70">
        <w:t xml:space="preserve">. </w:t>
      </w:r>
      <w:r w:rsidR="001F2EA0" w:rsidRPr="00254D70">
        <w:t>Stanoviska byla vydávána postupně od 22.11.2016 do 10.2.2017, přičemž většinu podkladů předložilo ŘSD ČR resp. SŽDC koncem září 201</w:t>
      </w:r>
      <w:r w:rsidR="00254D70" w:rsidRPr="00254D70">
        <w:t>6</w:t>
      </w:r>
      <w:r w:rsidR="001F2EA0" w:rsidRPr="00254D70">
        <w:t xml:space="preserve">. Rozsah potřebných podkladů byl následně s MŽP zpřesňován v rámci intenzivních jednání. </w:t>
      </w:r>
      <w:r w:rsidR="00E17472">
        <w:t>Všechna s</w:t>
      </w:r>
      <w:r w:rsidR="00D14DCA">
        <w:rPr>
          <w:rFonts w:ascii="Helv" w:hAnsi="Helv" w:cs="Helv"/>
          <w:color w:val="000000"/>
          <w:sz w:val="20"/>
          <w:szCs w:val="20"/>
        </w:rPr>
        <w:t xml:space="preserve">tanoviska </w:t>
      </w:r>
      <w:r w:rsidR="00A91FDA">
        <w:rPr>
          <w:rFonts w:ascii="Helv" w:hAnsi="Helv" w:cs="Helv"/>
          <w:color w:val="000000"/>
          <w:sz w:val="20"/>
          <w:szCs w:val="20"/>
        </w:rPr>
        <w:t xml:space="preserve">MŽP </w:t>
      </w:r>
      <w:r w:rsidR="00D14DCA">
        <w:rPr>
          <w:rFonts w:ascii="Helv" w:hAnsi="Helv" w:cs="Helv"/>
          <w:color w:val="000000"/>
          <w:sz w:val="20"/>
          <w:szCs w:val="20"/>
        </w:rPr>
        <w:t>vydalo vždy do 3 měsíců od předložení kompletních podkladů</w:t>
      </w:r>
      <w:r w:rsidR="00E17472">
        <w:rPr>
          <w:rFonts w:ascii="Helv" w:hAnsi="Helv" w:cs="Helv"/>
          <w:color w:val="000000"/>
          <w:sz w:val="20"/>
          <w:szCs w:val="20"/>
        </w:rPr>
        <w:t xml:space="preserve"> ze strany ŘSD ČR, resp. SŽDC</w:t>
      </w:r>
      <w:r w:rsidR="00D14DCA">
        <w:rPr>
          <w:rFonts w:ascii="Helv" w:hAnsi="Helv" w:cs="Helv"/>
          <w:color w:val="000000"/>
          <w:sz w:val="20"/>
          <w:szCs w:val="20"/>
        </w:rPr>
        <w:t xml:space="preserve">, Následně se mohla znovu obnovit </w:t>
      </w:r>
      <w:r w:rsidR="00D14DCA">
        <w:t>v</w:t>
      </w:r>
      <w:r w:rsidR="001F2EA0">
        <w:t>šechna správní řízení</w:t>
      </w:r>
      <w:r w:rsidR="00D14DCA">
        <w:t>.</w:t>
      </w:r>
      <w:r w:rsidR="00A91FDA">
        <w:t xml:space="preserve"> </w:t>
      </w:r>
      <w:r w:rsidR="001F2EA0">
        <w:t xml:space="preserve">Stanoviska jsou postupně využívána v navazujících řízeních – v návaznosti na vydání rozhodnutí v navazujících řízení </w:t>
      </w:r>
      <w:r w:rsidR="001F2EA0" w:rsidRPr="00001E13">
        <w:rPr>
          <w:b/>
        </w:rPr>
        <w:t>došlo již u vybraných staveb k</w:t>
      </w:r>
      <w:r w:rsidR="001F2EA0">
        <w:rPr>
          <w:b/>
        </w:rPr>
        <w:t xml:space="preserve"> podání</w:t>
      </w:r>
      <w:r w:rsidR="001F2EA0" w:rsidRPr="00001E13">
        <w:rPr>
          <w:b/>
        </w:rPr>
        <w:t xml:space="preserve"> odvolání / podání rozkladu, v rámci něhož je žádán i přezkum předmětných závazných stanovisek</w:t>
      </w:r>
      <w:r w:rsidR="001F2EA0">
        <w:t xml:space="preserve"> (rozklad řešený ministrem životního prostředí). </w:t>
      </w:r>
      <w:r w:rsidR="000F043C">
        <w:t xml:space="preserve">Jedná se o stanoviska k prioritním dopravním záměrům D11 a D48 Frýdek-Místek. </w:t>
      </w:r>
      <w:r w:rsidR="001F2EA0">
        <w:t xml:space="preserve">V materiálu jsou v tabulce u jednotlivých prioritních dopravních záměrů uvedena data, kdy došlo (předpokládá se, že dojde) k zahájení zadávacích řízení na výběr zhotovitele. </w:t>
      </w:r>
      <w:r w:rsidR="007F5268">
        <w:t xml:space="preserve">Počátkem ledna 2018 byla zahájena 2. kola zadávacího řízení </w:t>
      </w:r>
      <w:r w:rsidR="001F2EA0">
        <w:t>pro stavby D3 Úsilné – Třebonín a D55 Otrokovice, obchvat JV.</w:t>
      </w:r>
      <w:r w:rsidR="007F5268">
        <w:t xml:space="preserve"> V současné době není z prioritních dopravních záměrů zahájeno 2. kola zadávacího řízení jen pro stavbu </w:t>
      </w:r>
      <w:r w:rsidR="007F5268" w:rsidRPr="007F5268">
        <w:rPr>
          <w:b/>
        </w:rPr>
        <w:t>D1 0136 Říkovice – Přerov. Tuto stavbu</w:t>
      </w:r>
      <w:r w:rsidR="007F5268">
        <w:rPr>
          <w:b/>
        </w:rPr>
        <w:t>,</w:t>
      </w:r>
      <w:r w:rsidR="007F5268" w:rsidRPr="007F5268">
        <w:rPr>
          <w:b/>
        </w:rPr>
        <w:t xml:space="preserve"> stejně jako stavbu D49 Hulín – Fryšták</w:t>
      </w:r>
      <w:r w:rsidR="007F5268">
        <w:rPr>
          <w:b/>
        </w:rPr>
        <w:t>,</w:t>
      </w:r>
      <w:r w:rsidR="007F5268" w:rsidRPr="007F5268">
        <w:rPr>
          <w:b/>
        </w:rPr>
        <w:t xml:space="preserve"> blokuje soudní přezkum výjimek ze zásadu do biotopů</w:t>
      </w:r>
      <w:r w:rsidR="007F5268">
        <w:rPr>
          <w:b/>
        </w:rPr>
        <w:t>, kde soud přiznal žalobám odkladný účinek</w:t>
      </w:r>
      <w:r w:rsidR="007F5268" w:rsidRPr="007F5268">
        <w:rPr>
          <w:b/>
        </w:rPr>
        <w:t>.</w:t>
      </w:r>
      <w:r w:rsidR="007F5268">
        <w:t xml:space="preserve"> Soud by měl rozhodnout dle novelizovaného zákona č. 416/2009 Sb. do 90 dní (novela účinná od 1.1.2018).</w:t>
      </w:r>
    </w:p>
    <w:p w:rsidR="00001E13" w:rsidRDefault="00001E13" w:rsidP="00CF6318">
      <w:pPr>
        <w:spacing w:before="120" w:after="0" w:line="288" w:lineRule="auto"/>
        <w:jc w:val="both"/>
      </w:pPr>
      <w:r>
        <w:t xml:space="preserve">V rámci podaných odvolání / rozkladů je mimo jiné </w:t>
      </w:r>
      <w:r w:rsidR="00254D70">
        <w:rPr>
          <w:b/>
        </w:rPr>
        <w:t>poukazováno i na nesoulad zákona</w:t>
      </w:r>
      <w:r w:rsidRPr="00001E13">
        <w:rPr>
          <w:b/>
        </w:rPr>
        <w:t xml:space="preserve"> č. 256/2016 Sb., kterým byl zaveden režim pro prioritní dopravní záměry (§23a) s Ústavou ČR, potažmo na nesoulad se směrnicí EIA.</w:t>
      </w:r>
      <w:r>
        <w:t xml:space="preserve"> Nelze tak vyloučit potřebu obhajoby tohoto zákona u Ústavního soudu, resp. u Evropského soudního dvora.</w:t>
      </w:r>
    </w:p>
    <w:p w:rsidR="00E1698F" w:rsidRDefault="00D570B9" w:rsidP="00CF6318">
      <w:pPr>
        <w:spacing w:before="120" w:after="0" w:line="288" w:lineRule="auto"/>
        <w:jc w:val="both"/>
      </w:pPr>
      <w:r>
        <w:t>U vybraných staveb je momentálně</w:t>
      </w:r>
      <w:r w:rsidRPr="00001E13">
        <w:t xml:space="preserve"> </w:t>
      </w:r>
      <w:r w:rsidR="00001E13">
        <w:t>vysokým</w:t>
      </w:r>
      <w:r w:rsidRPr="00001E13">
        <w:t xml:space="preserve"> rizikem dokončení majetkoprávní </w:t>
      </w:r>
      <w:r w:rsidR="007F5268">
        <w:t>přípravy, většinou probíhající vyvlastňovací</w:t>
      </w:r>
      <w:r w:rsidRPr="00001E13">
        <w:t xml:space="preserve"> řízení a samotný průběh navazujících řízení, kde </w:t>
      </w:r>
      <w:r w:rsidR="002A6C04">
        <w:t>dochází k</w:t>
      </w:r>
      <w:r w:rsidR="007F5268">
        <w:t> </w:t>
      </w:r>
      <w:r w:rsidRPr="00001E13">
        <w:t>odvolání</w:t>
      </w:r>
      <w:r w:rsidR="007F5268">
        <w:t xml:space="preserve"> a podávání soudních žalob</w:t>
      </w:r>
      <w:r w:rsidRPr="00001E13">
        <w:t>.</w:t>
      </w:r>
      <w:r w:rsidR="00001E13">
        <w:t xml:space="preserve"> </w:t>
      </w:r>
      <w:r w:rsidR="002A6C04">
        <w:t xml:space="preserve">V tomto ohledu hodně pomůže novelizovaný stavební zákon, který umožňuje vydat stavební povolení pro veřejně prospěšnou stavbu ještě před dokončením </w:t>
      </w:r>
      <w:r w:rsidR="002A6C04">
        <w:lastRenderedPageBreak/>
        <w:t xml:space="preserve">majetkoprávního vypořádání. </w:t>
      </w:r>
      <w:r w:rsidR="00001E13" w:rsidRPr="00001E13">
        <w:rPr>
          <w:b/>
        </w:rPr>
        <w:t>Katastrofální důsledky pro připravované stavby by nastaly v okamžiku, kdy by bylo</w:t>
      </w:r>
      <w:r w:rsidR="00001E13">
        <w:rPr>
          <w:b/>
        </w:rPr>
        <w:t xml:space="preserve"> následně</w:t>
      </w:r>
      <w:r w:rsidR="00001E13" w:rsidRPr="00001E13">
        <w:rPr>
          <w:b/>
        </w:rPr>
        <w:t xml:space="preserve"> shledáno, že zákon č. 256/2016 Sb. je protiústavní.</w:t>
      </w:r>
      <w:r w:rsidR="00001E13">
        <w:t xml:space="preserve"> Při tvorbě zákona č. 256/2016 Sb. však byla brána v potaz judikatura Ústavního soudu, na kterou se nyní dovolávají odvolavatelé, čímž by riziko úspěšnosti ústavní stížnosti mělo být dostatečně sníženo. Riziko konstatování nesouladu zákona č. 256/2016 Sb. se směrnicí EIA je v tomto ohledu možno považovat za relativně nižší, neboť jeho podoba byla dojednávána a odsouhlasena i ze strany Evropské komise.</w:t>
      </w:r>
    </w:p>
    <w:p w:rsidR="00F12F22" w:rsidRDefault="00F12F22" w:rsidP="00CF6318">
      <w:pPr>
        <w:spacing w:before="120" w:after="0" w:line="288" w:lineRule="auto"/>
        <w:jc w:val="both"/>
      </w:pPr>
      <w:r>
        <w:t xml:space="preserve">Dodržení termínů </w:t>
      </w:r>
      <w:r w:rsidR="007F5268">
        <w:t xml:space="preserve">předpokládaného zahájení jednotlivých staveb </w:t>
      </w:r>
      <w:r>
        <w:t>závisí primárně na získání pravomocného stavebního povolení a na úspěšném dokončení procesu výběru zhotovitele, kdy rizika těchto procesů jsou pouze velmi obtížně predikovatelná.</w:t>
      </w:r>
    </w:p>
    <w:p w:rsidR="000F043C" w:rsidRDefault="000F043C" w:rsidP="00CF6318">
      <w:pPr>
        <w:spacing w:before="120" w:after="0" w:line="288" w:lineRule="auto"/>
        <w:jc w:val="both"/>
        <w:rPr>
          <w:b/>
        </w:rPr>
      </w:pPr>
      <w:r>
        <w:t>Podstat</w:t>
      </w:r>
      <w:r w:rsidR="00254D70">
        <w:t>n</w:t>
      </w:r>
      <w:r>
        <w:t xml:space="preserve">ou informací je také </w:t>
      </w:r>
      <w:r w:rsidRPr="000F043C">
        <w:rPr>
          <w:b/>
        </w:rPr>
        <w:t xml:space="preserve">skutečnost, že zahajovaná zadávací řízení představují ve svém důsledku značnou finanční zátěž pro rozpočet SFDI, jehož </w:t>
      </w:r>
      <w:r w:rsidR="006C6A23">
        <w:rPr>
          <w:b/>
        </w:rPr>
        <w:t>výše</w:t>
      </w:r>
      <w:r w:rsidRPr="000F043C">
        <w:rPr>
          <w:b/>
        </w:rPr>
        <w:t xml:space="preserve"> pro rok 2018 a rozpočtový výhled na roky 2019 a 2020 je nedostatečn</w:t>
      </w:r>
      <w:r w:rsidR="006C6A23">
        <w:rPr>
          <w:b/>
        </w:rPr>
        <w:t>á</w:t>
      </w:r>
      <w:r w:rsidRPr="000F043C">
        <w:rPr>
          <w:b/>
        </w:rPr>
        <w:t xml:space="preserve"> pro pokrytí realizace všech staveb, u nichž by to připravenost umožňovala</w:t>
      </w:r>
      <w:r w:rsidR="00254D70">
        <w:rPr>
          <w:b/>
        </w:rPr>
        <w:t>,</w:t>
      </w:r>
      <w:r>
        <w:t xml:space="preserve"> a to i při reflektování výrazných poklesů realizačních cen v zadávacích řízeníc</w:t>
      </w:r>
      <w:r w:rsidR="006C6A23">
        <w:t>h. ŘSD ČR jen v roce 2017 zahájilo</w:t>
      </w:r>
      <w:r>
        <w:t xml:space="preserve"> velké stavby (stavby sledované v předkládaném materiálu) se stavebními náklady ve výši </w:t>
      </w:r>
      <w:r w:rsidR="006C6A23">
        <w:t>12,5 </w:t>
      </w:r>
      <w:r>
        <w:t xml:space="preserve">mld. Kč (započteny již ceny po otevření obálek), v roce 2018 je potom plán zahájit u ŘSD ČR stavby s rozpočtovanými stavebními náklady ve výši </w:t>
      </w:r>
      <w:r w:rsidR="006C6A23">
        <w:t>69,85</w:t>
      </w:r>
      <w:r>
        <w:t xml:space="preserve"> mld. Kč, v ro</w:t>
      </w:r>
      <w:r w:rsidR="00C019F8">
        <w:t>ce 2019 potom v částce dalších 55,7</w:t>
      </w:r>
      <w:r w:rsidR="006C6A23">
        <w:t> </w:t>
      </w:r>
      <w:r>
        <w:t>mld. Kč. U SŽDC je situace obdobná, v</w:t>
      </w:r>
      <w:r w:rsidR="006C6A23">
        <w:t> roce 2017 se na železnici zahájili</w:t>
      </w:r>
      <w:r>
        <w:t xml:space="preserve"> </w:t>
      </w:r>
      <w:r w:rsidR="0016552E">
        <w:t xml:space="preserve">velké </w:t>
      </w:r>
      <w:r>
        <w:t xml:space="preserve">stavby </w:t>
      </w:r>
      <w:r w:rsidR="0016552E">
        <w:t xml:space="preserve">se stavebními náklady ve výši téměř </w:t>
      </w:r>
      <w:r w:rsidR="006C6A23">
        <w:t>10,7</w:t>
      </w:r>
      <w:r w:rsidR="0016552E">
        <w:t xml:space="preserve"> mld. Kč (započteny již ceny po otevření obálek), v roce 2018 je pak plán zahájit velké stavby s rozpočtovanými stavebními náklady ve výši dalších 2</w:t>
      </w:r>
      <w:r w:rsidR="006C6A23">
        <w:t>7,8</w:t>
      </w:r>
      <w:r w:rsidR="0016552E">
        <w:t xml:space="preserve"> mld. Kč. V obdobné výši stavební nákladů je kalkulován objem staveb plánovaných k zahájení v roce 2019. </w:t>
      </w:r>
      <w:r w:rsidR="0016552E" w:rsidRPr="0016552E">
        <w:rPr>
          <w:b/>
        </w:rPr>
        <w:t xml:space="preserve">Při naplnění těchto realistických předpokladů </w:t>
      </w:r>
      <w:r w:rsidR="0016552E">
        <w:rPr>
          <w:b/>
        </w:rPr>
        <w:t xml:space="preserve">to </w:t>
      </w:r>
      <w:r w:rsidR="0016552E" w:rsidRPr="0016552E">
        <w:rPr>
          <w:b/>
        </w:rPr>
        <w:t xml:space="preserve">bude </w:t>
      </w:r>
      <w:r w:rsidR="0016552E">
        <w:rPr>
          <w:b/>
        </w:rPr>
        <w:t xml:space="preserve">spolu s mandatorními výdaji a výdaji na menší stavby </w:t>
      </w:r>
      <w:r w:rsidR="0016552E" w:rsidRPr="0016552E">
        <w:rPr>
          <w:b/>
        </w:rPr>
        <w:t>znamenat značnou kumulaci finančních potřeb na fakticky zahájené stavby především v letech 2019 a 2020, resp. v letech následujících.</w:t>
      </w:r>
    </w:p>
    <w:p w:rsidR="0047493D" w:rsidRDefault="0047493D" w:rsidP="00CF6318">
      <w:pPr>
        <w:spacing w:before="120" w:after="0" w:line="288" w:lineRule="auto"/>
        <w:jc w:val="both"/>
        <w:rPr>
          <w:b/>
        </w:rPr>
      </w:pPr>
    </w:p>
    <w:p w:rsidR="0047493D" w:rsidRDefault="0047493D" w:rsidP="00CF6318">
      <w:pPr>
        <w:spacing w:before="120" w:after="0" w:line="288" w:lineRule="auto"/>
        <w:jc w:val="both"/>
        <w:rPr>
          <w:b/>
        </w:rPr>
      </w:pPr>
    </w:p>
    <w:sectPr w:rsidR="0047493D" w:rsidSect="002A6C0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9A" w:rsidRDefault="0053369A" w:rsidP="002F05B2">
      <w:pPr>
        <w:spacing w:after="0" w:line="240" w:lineRule="auto"/>
      </w:pPr>
      <w:r>
        <w:separator/>
      </w:r>
    </w:p>
  </w:endnote>
  <w:endnote w:type="continuationSeparator" w:id="0">
    <w:p w:rsidR="0053369A" w:rsidRDefault="0053369A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9A" w:rsidRDefault="0053369A" w:rsidP="002F05B2">
      <w:pPr>
        <w:spacing w:after="0" w:line="240" w:lineRule="auto"/>
      </w:pPr>
      <w:r>
        <w:separator/>
      </w:r>
    </w:p>
  </w:footnote>
  <w:footnote w:type="continuationSeparator" w:id="0">
    <w:p w:rsidR="0053369A" w:rsidRDefault="0053369A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01E13"/>
    <w:rsid w:val="0003000A"/>
    <w:rsid w:val="00065D69"/>
    <w:rsid w:val="000C725B"/>
    <w:rsid w:val="000D719F"/>
    <w:rsid w:val="000F043C"/>
    <w:rsid w:val="00135B29"/>
    <w:rsid w:val="0016552E"/>
    <w:rsid w:val="001F2EA0"/>
    <w:rsid w:val="00211D00"/>
    <w:rsid w:val="00254D70"/>
    <w:rsid w:val="00254E4D"/>
    <w:rsid w:val="00277EC4"/>
    <w:rsid w:val="00286FFB"/>
    <w:rsid w:val="002921E9"/>
    <w:rsid w:val="00293A34"/>
    <w:rsid w:val="002A6C04"/>
    <w:rsid w:val="002B30EF"/>
    <w:rsid w:val="002C34A9"/>
    <w:rsid w:val="002C6270"/>
    <w:rsid w:val="002F05B2"/>
    <w:rsid w:val="003712B2"/>
    <w:rsid w:val="003B12E7"/>
    <w:rsid w:val="0047493D"/>
    <w:rsid w:val="004F0B63"/>
    <w:rsid w:val="0053369A"/>
    <w:rsid w:val="005500B1"/>
    <w:rsid w:val="0057741F"/>
    <w:rsid w:val="00594C75"/>
    <w:rsid w:val="005C3DE4"/>
    <w:rsid w:val="005F69D4"/>
    <w:rsid w:val="005F714F"/>
    <w:rsid w:val="0064369B"/>
    <w:rsid w:val="006440E7"/>
    <w:rsid w:val="0069004B"/>
    <w:rsid w:val="006A5EE6"/>
    <w:rsid w:val="006C16F7"/>
    <w:rsid w:val="006C6A23"/>
    <w:rsid w:val="006E1E79"/>
    <w:rsid w:val="00700E90"/>
    <w:rsid w:val="007571AA"/>
    <w:rsid w:val="00790918"/>
    <w:rsid w:val="00794C77"/>
    <w:rsid w:val="007F5268"/>
    <w:rsid w:val="008E21D0"/>
    <w:rsid w:val="00957085"/>
    <w:rsid w:val="00976DAD"/>
    <w:rsid w:val="009A27A8"/>
    <w:rsid w:val="009B5A20"/>
    <w:rsid w:val="009D42FB"/>
    <w:rsid w:val="009E485E"/>
    <w:rsid w:val="00A04E4E"/>
    <w:rsid w:val="00A86D8D"/>
    <w:rsid w:val="00A91FDA"/>
    <w:rsid w:val="00AD551A"/>
    <w:rsid w:val="00B163A5"/>
    <w:rsid w:val="00B37033"/>
    <w:rsid w:val="00B4042C"/>
    <w:rsid w:val="00B60E46"/>
    <w:rsid w:val="00B94E8F"/>
    <w:rsid w:val="00C019F8"/>
    <w:rsid w:val="00C33C93"/>
    <w:rsid w:val="00C42A01"/>
    <w:rsid w:val="00CB3EDD"/>
    <w:rsid w:val="00CF6318"/>
    <w:rsid w:val="00D02AA0"/>
    <w:rsid w:val="00D118A7"/>
    <w:rsid w:val="00D14DCA"/>
    <w:rsid w:val="00D570B9"/>
    <w:rsid w:val="00E044CE"/>
    <w:rsid w:val="00E1698F"/>
    <w:rsid w:val="00E17472"/>
    <w:rsid w:val="00E83BC3"/>
    <w:rsid w:val="00E85BD5"/>
    <w:rsid w:val="00F0062F"/>
    <w:rsid w:val="00F12F22"/>
    <w:rsid w:val="00F32D28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E769-82D1-4E45-AE4E-4941A21E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2018-03-05T14:04:00Z</cp:lastPrinted>
  <dcterms:created xsi:type="dcterms:W3CDTF">2018-03-05T14:05:00Z</dcterms:created>
  <dcterms:modified xsi:type="dcterms:W3CDTF">2018-03-05T14:05:00Z</dcterms:modified>
</cp:coreProperties>
</file>