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drawings/drawing3.xml" ContentType="application/vnd.openxmlformats-officedocument.drawingml.chartshapes+xml"/>
  <Override PartName="/word/charts/chart28.xml" ContentType="application/vnd.openxmlformats-officedocument.drawingml.chart+xml"/>
  <Override PartName="/word/charts/chart29.xml" ContentType="application/vnd.openxmlformats-officedocument.drawingml.chart+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3D" w:rsidRPr="00E04C25" w:rsidRDefault="0015793D" w:rsidP="0015793D">
      <w:pPr>
        <w:pStyle w:val="Obsah1"/>
        <w:rPr>
          <w:color w:val="auto"/>
        </w:rPr>
      </w:pPr>
      <w:bookmarkStart w:id="0" w:name="_GoBack"/>
      <w:bookmarkStart w:id="1" w:name="_Toc165108040"/>
      <w:bookmarkStart w:id="2" w:name="_Toc258997886"/>
      <w:bookmarkStart w:id="3" w:name="_Toc493637895"/>
      <w:bookmarkStart w:id="4" w:name="_Toc493638573"/>
      <w:bookmarkStart w:id="5" w:name="_Toc493658507"/>
      <w:bookmarkStart w:id="6" w:name="_Toc494090614"/>
      <w:bookmarkStart w:id="7" w:name="_Toc494090998"/>
      <w:bookmarkStart w:id="8" w:name="_Toc494092433"/>
      <w:bookmarkStart w:id="9" w:name="_Toc494092508"/>
      <w:bookmarkStart w:id="10" w:name="_Toc494092749"/>
      <w:bookmarkStart w:id="11" w:name="_Toc495290415"/>
      <w:bookmarkStart w:id="12" w:name="_Toc495291300"/>
      <w:bookmarkStart w:id="13" w:name="_Toc495291792"/>
      <w:bookmarkStart w:id="14" w:name="_Toc2390096"/>
      <w:bookmarkStart w:id="15" w:name="_Toc2732393"/>
      <w:bookmarkStart w:id="16" w:name="_Toc3362268"/>
      <w:bookmarkStart w:id="17" w:name="_Toc3362447"/>
      <w:bookmarkStart w:id="18" w:name="_Toc3691339"/>
      <w:bookmarkStart w:id="19" w:name="_Toc3691408"/>
      <w:bookmarkStart w:id="20" w:name="_Toc3691438"/>
      <w:bookmarkStart w:id="21" w:name="_Toc4291457"/>
      <w:bookmarkStart w:id="22" w:name="_Toc4299299"/>
      <w:bookmarkStart w:id="23" w:name="_Toc4300570"/>
      <w:bookmarkStart w:id="24" w:name="_Toc4478897"/>
      <w:bookmarkStart w:id="25" w:name="_Toc5520197"/>
      <w:bookmarkStart w:id="26" w:name="_Toc5529574"/>
      <w:bookmarkStart w:id="27" w:name="_Toc35939669"/>
      <w:bookmarkStart w:id="28" w:name="_Toc38420071"/>
      <w:bookmarkStart w:id="29" w:name="_Toc69281076"/>
      <w:bookmarkStart w:id="30" w:name="_Toc71015627"/>
      <w:bookmarkStart w:id="31" w:name="_Toc101149466"/>
      <w:bookmarkStart w:id="32" w:name="_Toc102269856"/>
      <w:bookmarkStart w:id="33" w:name="_Toc116354714"/>
      <w:bookmarkStart w:id="34" w:name="_Toc116354803"/>
      <w:bookmarkStart w:id="35" w:name="_Toc116355039"/>
      <w:bookmarkStart w:id="36" w:name="_Toc179787911"/>
      <w:bookmarkEnd w:id="0"/>
      <w:r w:rsidRPr="00E04C25">
        <w:rPr>
          <w:color w:val="auto"/>
        </w:rPr>
        <w:t>I.</w:t>
      </w:r>
    </w:p>
    <w:p w:rsidR="0015793D" w:rsidRPr="00E04C25" w:rsidRDefault="0015793D" w:rsidP="0015793D">
      <w:pPr>
        <w:pStyle w:val="Obsah1"/>
        <w:rPr>
          <w:color w:val="auto"/>
        </w:rPr>
      </w:pPr>
    </w:p>
    <w:p w:rsidR="00E8751A" w:rsidRPr="00E04C25" w:rsidRDefault="00E8751A" w:rsidP="00FB132C">
      <w:pPr>
        <w:pStyle w:val="Obsah1"/>
        <w:jc w:val="center"/>
        <w:rPr>
          <w:color w:val="auto"/>
        </w:rPr>
      </w:pPr>
      <w:r w:rsidRPr="00E04C25">
        <w:rPr>
          <w:color w:val="auto"/>
        </w:rPr>
        <w:t>Analýza vývoje zaměstnanosti a nezaměstnanosti v</w:t>
      </w:r>
      <w:r w:rsidR="00E63B0C" w:rsidRPr="00E04C25">
        <w:rPr>
          <w:color w:val="auto"/>
        </w:rPr>
        <w:t> </w:t>
      </w:r>
      <w:r w:rsidR="00762875" w:rsidRPr="00E04C25">
        <w:rPr>
          <w:color w:val="auto"/>
        </w:rPr>
        <w:t>roce</w:t>
      </w:r>
      <w:r w:rsidR="00E63B0C" w:rsidRPr="00E04C25">
        <w:rPr>
          <w:color w:val="auto"/>
        </w:rPr>
        <w:t xml:space="preserve"> </w:t>
      </w:r>
      <w:r w:rsidRPr="00E04C25">
        <w:rPr>
          <w:color w:val="auto"/>
        </w:rPr>
        <w:t>201</w:t>
      </w:r>
      <w:r w:rsidR="00536B64" w:rsidRPr="00E04C25">
        <w:rPr>
          <w:color w:val="auto"/>
        </w:rPr>
        <w:t>7</w:t>
      </w:r>
    </w:p>
    <w:p w:rsidR="00E8751A" w:rsidRPr="00E04C25" w:rsidRDefault="00E8751A" w:rsidP="00AE65A5">
      <w:pPr>
        <w:tabs>
          <w:tab w:val="left" w:pos="709"/>
        </w:tabs>
      </w:pPr>
    </w:p>
    <w:p w:rsidR="00E8751A" w:rsidRPr="00E04C25" w:rsidRDefault="00E8751A" w:rsidP="00AE65A5">
      <w:pPr>
        <w:tabs>
          <w:tab w:val="left" w:pos="709"/>
        </w:tabs>
        <w:rPr>
          <w:rFonts w:ascii="Arial" w:hAnsi="Arial" w:cs="Arial"/>
        </w:rPr>
      </w:pPr>
    </w:p>
    <w:p w:rsidR="00135F05" w:rsidRPr="00135F05" w:rsidRDefault="005E39E1">
      <w:pPr>
        <w:pStyle w:val="Obsah1"/>
        <w:rPr>
          <w:rFonts w:asciiTheme="minorHAnsi" w:eastAsiaTheme="minorEastAsia" w:hAnsiTheme="minorHAnsi" w:cstheme="minorBidi"/>
          <w:b w:val="0"/>
          <w:bCs w:val="0"/>
          <w:color w:val="auto"/>
          <w:sz w:val="22"/>
          <w:szCs w:val="22"/>
        </w:rPr>
      </w:pPr>
      <w:r w:rsidRPr="005E39E1">
        <w:rPr>
          <w:color w:val="auto"/>
          <w:sz w:val="24"/>
          <w:szCs w:val="24"/>
        </w:rPr>
        <w:fldChar w:fldCharType="begin"/>
      </w:r>
      <w:r w:rsidR="00E8751A" w:rsidRPr="00135F05">
        <w:rPr>
          <w:color w:val="auto"/>
          <w:sz w:val="24"/>
          <w:szCs w:val="24"/>
        </w:rPr>
        <w:instrText xml:space="preserve"> TOC \o "1-2" \u </w:instrText>
      </w:r>
      <w:r w:rsidRPr="005E39E1">
        <w:rPr>
          <w:color w:val="auto"/>
          <w:sz w:val="24"/>
          <w:szCs w:val="24"/>
        </w:rPr>
        <w:fldChar w:fldCharType="separate"/>
      </w:r>
      <w:r w:rsidR="00135F05" w:rsidRPr="00135F05">
        <w:rPr>
          <w:iCs/>
        </w:rPr>
        <w:t>I.</w:t>
      </w:r>
      <w:r w:rsidR="00135F05" w:rsidRPr="00135F05">
        <w:rPr>
          <w:rFonts w:asciiTheme="minorHAnsi" w:eastAsiaTheme="minorEastAsia" w:hAnsiTheme="minorHAnsi" w:cstheme="minorBidi"/>
          <w:b w:val="0"/>
          <w:bCs w:val="0"/>
          <w:color w:val="auto"/>
          <w:sz w:val="22"/>
          <w:szCs w:val="22"/>
        </w:rPr>
        <w:tab/>
      </w:r>
      <w:r w:rsidR="00135F05" w:rsidRPr="00135F05">
        <w:t>Hlavní tendence ve vývoji zaměstnanosti a nezaměstnanosti</w:t>
      </w:r>
      <w:r w:rsidR="00135F05" w:rsidRPr="00135F05">
        <w:tab/>
      </w:r>
      <w:r w:rsidRPr="00135F05">
        <w:fldChar w:fldCharType="begin"/>
      </w:r>
      <w:r w:rsidR="00135F05" w:rsidRPr="00135F05">
        <w:instrText xml:space="preserve"> PAGEREF _Toc513198670 \h </w:instrText>
      </w:r>
      <w:r w:rsidRPr="00135F05">
        <w:fldChar w:fldCharType="separate"/>
      </w:r>
      <w:r w:rsidR="003C22E4">
        <w:t>2</w:t>
      </w:r>
      <w:r w:rsidRPr="00135F05">
        <w:fldChar w:fldCharType="end"/>
      </w:r>
    </w:p>
    <w:p w:rsidR="00135F05" w:rsidRPr="00135F05" w:rsidRDefault="00135F05">
      <w:pPr>
        <w:pStyle w:val="Obsah1"/>
        <w:rPr>
          <w:rFonts w:asciiTheme="minorHAnsi" w:eastAsiaTheme="minorEastAsia" w:hAnsiTheme="minorHAnsi" w:cstheme="minorBidi"/>
          <w:b w:val="0"/>
          <w:bCs w:val="0"/>
          <w:color w:val="auto"/>
          <w:sz w:val="22"/>
          <w:szCs w:val="22"/>
        </w:rPr>
      </w:pPr>
      <w:r w:rsidRPr="00135F05">
        <w:t>II.</w:t>
      </w:r>
      <w:r w:rsidRPr="00135F05">
        <w:rPr>
          <w:rFonts w:asciiTheme="minorHAnsi" w:eastAsiaTheme="minorEastAsia" w:hAnsiTheme="minorHAnsi" w:cstheme="minorBidi"/>
          <w:b w:val="0"/>
          <w:bCs w:val="0"/>
          <w:color w:val="auto"/>
          <w:sz w:val="22"/>
          <w:szCs w:val="22"/>
        </w:rPr>
        <w:tab/>
      </w:r>
      <w:r w:rsidRPr="00135F05">
        <w:t>Zaměstnanost</w:t>
      </w:r>
      <w:r w:rsidRPr="00135F05">
        <w:tab/>
      </w:r>
      <w:r w:rsidR="005E39E1" w:rsidRPr="00135F05">
        <w:fldChar w:fldCharType="begin"/>
      </w:r>
      <w:r w:rsidRPr="00135F05">
        <w:instrText xml:space="preserve"> PAGEREF _Toc513198671 \h </w:instrText>
      </w:r>
      <w:r w:rsidR="005E39E1" w:rsidRPr="00135F05">
        <w:fldChar w:fldCharType="separate"/>
      </w:r>
      <w:r w:rsidR="003C22E4">
        <w:t>7</w:t>
      </w:r>
      <w:r w:rsidR="005E39E1" w:rsidRPr="00135F05">
        <w:fldChar w:fldCharType="end"/>
      </w:r>
    </w:p>
    <w:p w:rsidR="00135F05" w:rsidRPr="00135F05" w:rsidRDefault="00135F05">
      <w:pPr>
        <w:pStyle w:val="Obsah2"/>
        <w:rPr>
          <w:rFonts w:asciiTheme="minorHAnsi" w:eastAsiaTheme="minorEastAsia" w:hAnsiTheme="minorHAnsi" w:cstheme="minorBidi"/>
          <w:smallCaps w:val="0"/>
          <w:sz w:val="22"/>
          <w:szCs w:val="22"/>
        </w:rPr>
      </w:pPr>
      <w:r w:rsidRPr="00135F05">
        <w:rPr>
          <w:smallCaps w:val="0"/>
        </w:rPr>
        <w:t>1.</w:t>
      </w:r>
      <w:r w:rsidRPr="00135F05">
        <w:rPr>
          <w:rFonts w:asciiTheme="minorHAnsi" w:eastAsiaTheme="minorEastAsia" w:hAnsiTheme="minorHAnsi" w:cstheme="minorBidi"/>
          <w:smallCaps w:val="0"/>
          <w:sz w:val="22"/>
          <w:szCs w:val="22"/>
        </w:rPr>
        <w:tab/>
      </w:r>
      <w:r w:rsidRPr="00135F05">
        <w:rPr>
          <w:smallCaps w:val="0"/>
        </w:rPr>
        <w:t>Stav a vývoj zaměstnanosti</w:t>
      </w:r>
      <w:r w:rsidRPr="00135F05">
        <w:rPr>
          <w:smallCaps w:val="0"/>
        </w:rPr>
        <w:tab/>
      </w:r>
      <w:r w:rsidR="005E39E1" w:rsidRPr="00135F05">
        <w:rPr>
          <w:smallCaps w:val="0"/>
        </w:rPr>
        <w:fldChar w:fldCharType="begin"/>
      </w:r>
      <w:r w:rsidRPr="00135F05">
        <w:rPr>
          <w:smallCaps w:val="0"/>
        </w:rPr>
        <w:instrText xml:space="preserve"> PAGEREF _Toc513198672 \h </w:instrText>
      </w:r>
      <w:r w:rsidR="005E39E1" w:rsidRPr="00135F05">
        <w:rPr>
          <w:smallCaps w:val="0"/>
        </w:rPr>
      </w:r>
      <w:r w:rsidR="005E39E1" w:rsidRPr="00135F05">
        <w:rPr>
          <w:smallCaps w:val="0"/>
        </w:rPr>
        <w:fldChar w:fldCharType="separate"/>
      </w:r>
      <w:r w:rsidR="003C22E4">
        <w:rPr>
          <w:smallCaps w:val="0"/>
        </w:rPr>
        <w:t>7</w:t>
      </w:r>
      <w:r w:rsidR="005E39E1" w:rsidRPr="00135F05">
        <w:rPr>
          <w:smallCaps w:val="0"/>
        </w:rPr>
        <w:fldChar w:fldCharType="end"/>
      </w:r>
    </w:p>
    <w:p w:rsidR="00135F05" w:rsidRPr="00135F05" w:rsidRDefault="00135F05">
      <w:pPr>
        <w:pStyle w:val="Obsah2"/>
        <w:rPr>
          <w:rFonts w:asciiTheme="minorHAnsi" w:eastAsiaTheme="minorEastAsia" w:hAnsiTheme="minorHAnsi" w:cstheme="minorBidi"/>
          <w:smallCaps w:val="0"/>
          <w:sz w:val="22"/>
          <w:szCs w:val="22"/>
        </w:rPr>
      </w:pPr>
      <w:r w:rsidRPr="00135F05">
        <w:rPr>
          <w:smallCaps w:val="0"/>
        </w:rPr>
        <w:t>2.</w:t>
      </w:r>
      <w:r w:rsidRPr="00135F05">
        <w:rPr>
          <w:rFonts w:asciiTheme="minorHAnsi" w:eastAsiaTheme="minorEastAsia" w:hAnsiTheme="minorHAnsi" w:cstheme="minorBidi"/>
          <w:smallCaps w:val="0"/>
          <w:sz w:val="22"/>
          <w:szCs w:val="22"/>
        </w:rPr>
        <w:tab/>
      </w:r>
      <w:r w:rsidRPr="00135F05">
        <w:rPr>
          <w:smallCaps w:val="0"/>
        </w:rPr>
        <w:t>Struktura zaměstnanosti v sektorech, odvětvích a podle klasifikace zaměstnání</w:t>
      </w:r>
      <w:r w:rsidRPr="00135F05">
        <w:rPr>
          <w:smallCaps w:val="0"/>
        </w:rPr>
        <w:tab/>
      </w:r>
      <w:r w:rsidR="005E39E1" w:rsidRPr="00135F05">
        <w:rPr>
          <w:smallCaps w:val="0"/>
        </w:rPr>
        <w:fldChar w:fldCharType="begin"/>
      </w:r>
      <w:r w:rsidRPr="00135F05">
        <w:rPr>
          <w:smallCaps w:val="0"/>
        </w:rPr>
        <w:instrText xml:space="preserve"> PAGEREF _Toc513198673 \h </w:instrText>
      </w:r>
      <w:r w:rsidR="005E39E1" w:rsidRPr="00135F05">
        <w:rPr>
          <w:smallCaps w:val="0"/>
        </w:rPr>
      </w:r>
      <w:r w:rsidR="005E39E1" w:rsidRPr="00135F05">
        <w:rPr>
          <w:smallCaps w:val="0"/>
        </w:rPr>
        <w:fldChar w:fldCharType="separate"/>
      </w:r>
      <w:r w:rsidR="003C22E4">
        <w:rPr>
          <w:smallCaps w:val="0"/>
        </w:rPr>
        <w:t>14</w:t>
      </w:r>
      <w:r w:rsidR="005E39E1" w:rsidRPr="00135F05">
        <w:rPr>
          <w:smallCaps w:val="0"/>
        </w:rPr>
        <w:fldChar w:fldCharType="end"/>
      </w:r>
    </w:p>
    <w:p w:rsidR="00135F05" w:rsidRPr="00135F05" w:rsidRDefault="00135F05">
      <w:pPr>
        <w:pStyle w:val="Obsah2"/>
        <w:rPr>
          <w:rFonts w:asciiTheme="minorHAnsi" w:eastAsiaTheme="minorEastAsia" w:hAnsiTheme="minorHAnsi" w:cstheme="minorBidi"/>
          <w:smallCaps w:val="0"/>
          <w:sz w:val="22"/>
          <w:szCs w:val="22"/>
        </w:rPr>
      </w:pPr>
      <w:r w:rsidRPr="00135F05">
        <w:rPr>
          <w:smallCaps w:val="0"/>
        </w:rPr>
        <w:t>3.</w:t>
      </w:r>
      <w:r w:rsidRPr="00135F05">
        <w:rPr>
          <w:rFonts w:asciiTheme="minorHAnsi" w:eastAsiaTheme="minorEastAsia" w:hAnsiTheme="minorHAnsi" w:cstheme="minorBidi"/>
          <w:smallCaps w:val="0"/>
          <w:sz w:val="22"/>
          <w:szCs w:val="22"/>
        </w:rPr>
        <w:tab/>
      </w:r>
      <w:r w:rsidRPr="00135F05">
        <w:rPr>
          <w:smallCaps w:val="0"/>
        </w:rPr>
        <w:t>Vzdělanostní struktura zaměstnanosti</w:t>
      </w:r>
      <w:r w:rsidRPr="00135F05">
        <w:rPr>
          <w:smallCaps w:val="0"/>
        </w:rPr>
        <w:tab/>
      </w:r>
      <w:r w:rsidR="005E39E1" w:rsidRPr="00135F05">
        <w:rPr>
          <w:smallCaps w:val="0"/>
        </w:rPr>
        <w:fldChar w:fldCharType="begin"/>
      </w:r>
      <w:r w:rsidRPr="00135F05">
        <w:rPr>
          <w:smallCaps w:val="0"/>
        </w:rPr>
        <w:instrText xml:space="preserve"> PAGEREF _Toc513198674 \h </w:instrText>
      </w:r>
      <w:r w:rsidR="005E39E1" w:rsidRPr="00135F05">
        <w:rPr>
          <w:smallCaps w:val="0"/>
        </w:rPr>
      </w:r>
      <w:r w:rsidR="005E39E1" w:rsidRPr="00135F05">
        <w:rPr>
          <w:smallCaps w:val="0"/>
        </w:rPr>
        <w:fldChar w:fldCharType="separate"/>
      </w:r>
      <w:r w:rsidR="003C22E4">
        <w:rPr>
          <w:smallCaps w:val="0"/>
        </w:rPr>
        <w:t>16</w:t>
      </w:r>
      <w:r w:rsidR="005E39E1" w:rsidRPr="00135F05">
        <w:rPr>
          <w:smallCaps w:val="0"/>
        </w:rPr>
        <w:fldChar w:fldCharType="end"/>
      </w:r>
    </w:p>
    <w:p w:rsidR="00135F05" w:rsidRPr="00135F05" w:rsidRDefault="00135F05">
      <w:pPr>
        <w:pStyle w:val="Obsah2"/>
        <w:rPr>
          <w:rFonts w:asciiTheme="minorHAnsi" w:eastAsiaTheme="minorEastAsia" w:hAnsiTheme="minorHAnsi" w:cstheme="minorBidi"/>
          <w:smallCaps w:val="0"/>
          <w:sz w:val="22"/>
          <w:szCs w:val="22"/>
        </w:rPr>
      </w:pPr>
      <w:r w:rsidRPr="00135F05">
        <w:rPr>
          <w:smallCaps w:val="0"/>
        </w:rPr>
        <w:t>4.</w:t>
      </w:r>
      <w:r w:rsidRPr="00135F05">
        <w:rPr>
          <w:rFonts w:asciiTheme="minorHAnsi" w:eastAsiaTheme="minorEastAsia" w:hAnsiTheme="minorHAnsi" w:cstheme="minorBidi"/>
          <w:smallCaps w:val="0"/>
          <w:sz w:val="22"/>
          <w:szCs w:val="22"/>
        </w:rPr>
        <w:tab/>
      </w:r>
      <w:r w:rsidRPr="00135F05">
        <w:rPr>
          <w:smallCaps w:val="0"/>
        </w:rPr>
        <w:t>Regionální zaměstnanost</w:t>
      </w:r>
      <w:r w:rsidRPr="00135F05">
        <w:rPr>
          <w:smallCaps w:val="0"/>
        </w:rPr>
        <w:tab/>
      </w:r>
      <w:r w:rsidR="005E39E1" w:rsidRPr="00135F05">
        <w:rPr>
          <w:smallCaps w:val="0"/>
        </w:rPr>
        <w:fldChar w:fldCharType="begin"/>
      </w:r>
      <w:r w:rsidRPr="00135F05">
        <w:rPr>
          <w:smallCaps w:val="0"/>
        </w:rPr>
        <w:instrText xml:space="preserve"> PAGEREF _Toc513198675 \h </w:instrText>
      </w:r>
      <w:r w:rsidR="005E39E1" w:rsidRPr="00135F05">
        <w:rPr>
          <w:smallCaps w:val="0"/>
        </w:rPr>
      </w:r>
      <w:r w:rsidR="005E39E1" w:rsidRPr="00135F05">
        <w:rPr>
          <w:smallCaps w:val="0"/>
        </w:rPr>
        <w:fldChar w:fldCharType="separate"/>
      </w:r>
      <w:r w:rsidR="003C22E4">
        <w:rPr>
          <w:smallCaps w:val="0"/>
        </w:rPr>
        <w:t>17</w:t>
      </w:r>
      <w:r w:rsidR="005E39E1" w:rsidRPr="00135F05">
        <w:rPr>
          <w:smallCaps w:val="0"/>
        </w:rPr>
        <w:fldChar w:fldCharType="end"/>
      </w:r>
    </w:p>
    <w:p w:rsidR="00135F05" w:rsidRPr="00135F05" w:rsidRDefault="00135F05">
      <w:pPr>
        <w:pStyle w:val="Obsah2"/>
        <w:rPr>
          <w:rFonts w:asciiTheme="minorHAnsi" w:eastAsiaTheme="minorEastAsia" w:hAnsiTheme="minorHAnsi" w:cstheme="minorBidi"/>
          <w:smallCaps w:val="0"/>
          <w:sz w:val="22"/>
          <w:szCs w:val="22"/>
        </w:rPr>
      </w:pPr>
      <w:r w:rsidRPr="00135F05">
        <w:rPr>
          <w:smallCaps w:val="0"/>
        </w:rPr>
        <w:t>5.</w:t>
      </w:r>
      <w:r w:rsidRPr="00135F05">
        <w:rPr>
          <w:rFonts w:asciiTheme="minorHAnsi" w:eastAsiaTheme="minorEastAsia" w:hAnsiTheme="minorHAnsi" w:cstheme="minorBidi"/>
          <w:smallCaps w:val="0"/>
          <w:sz w:val="22"/>
          <w:szCs w:val="22"/>
        </w:rPr>
        <w:tab/>
      </w:r>
      <w:r w:rsidRPr="00135F05">
        <w:rPr>
          <w:smallCaps w:val="0"/>
        </w:rPr>
        <w:t>Insolvence</w:t>
      </w:r>
      <w:r w:rsidRPr="00135F05">
        <w:rPr>
          <w:smallCaps w:val="0"/>
        </w:rPr>
        <w:tab/>
      </w:r>
      <w:r w:rsidR="005E39E1" w:rsidRPr="00135F05">
        <w:rPr>
          <w:smallCaps w:val="0"/>
        </w:rPr>
        <w:fldChar w:fldCharType="begin"/>
      </w:r>
      <w:r w:rsidRPr="00135F05">
        <w:rPr>
          <w:smallCaps w:val="0"/>
        </w:rPr>
        <w:instrText xml:space="preserve"> PAGEREF _Toc513198676 \h </w:instrText>
      </w:r>
      <w:r w:rsidR="005E39E1" w:rsidRPr="00135F05">
        <w:rPr>
          <w:smallCaps w:val="0"/>
        </w:rPr>
      </w:r>
      <w:r w:rsidR="005E39E1" w:rsidRPr="00135F05">
        <w:rPr>
          <w:smallCaps w:val="0"/>
        </w:rPr>
        <w:fldChar w:fldCharType="separate"/>
      </w:r>
      <w:r w:rsidR="003C22E4">
        <w:rPr>
          <w:smallCaps w:val="0"/>
        </w:rPr>
        <w:t>21</w:t>
      </w:r>
      <w:r w:rsidR="005E39E1" w:rsidRPr="00135F05">
        <w:rPr>
          <w:smallCaps w:val="0"/>
        </w:rPr>
        <w:fldChar w:fldCharType="end"/>
      </w:r>
    </w:p>
    <w:p w:rsidR="00135F05" w:rsidRPr="00135F05" w:rsidRDefault="00135F05">
      <w:pPr>
        <w:pStyle w:val="Obsah1"/>
        <w:rPr>
          <w:rFonts w:asciiTheme="minorHAnsi" w:eastAsiaTheme="minorEastAsia" w:hAnsiTheme="minorHAnsi" w:cstheme="minorBidi"/>
          <w:b w:val="0"/>
          <w:bCs w:val="0"/>
          <w:color w:val="auto"/>
          <w:sz w:val="22"/>
          <w:szCs w:val="22"/>
        </w:rPr>
      </w:pPr>
      <w:r w:rsidRPr="00135F05">
        <w:t>III.</w:t>
      </w:r>
      <w:r w:rsidRPr="00135F05">
        <w:rPr>
          <w:rFonts w:asciiTheme="minorHAnsi" w:eastAsiaTheme="minorEastAsia" w:hAnsiTheme="minorHAnsi" w:cstheme="minorBidi"/>
          <w:b w:val="0"/>
          <w:bCs w:val="0"/>
          <w:color w:val="auto"/>
          <w:sz w:val="22"/>
          <w:szCs w:val="22"/>
        </w:rPr>
        <w:tab/>
      </w:r>
      <w:r w:rsidRPr="00135F05">
        <w:t>Nezaměstnanost</w:t>
      </w:r>
      <w:r w:rsidRPr="00135F05">
        <w:tab/>
      </w:r>
      <w:r w:rsidR="005E39E1" w:rsidRPr="00135F05">
        <w:fldChar w:fldCharType="begin"/>
      </w:r>
      <w:r w:rsidRPr="00135F05">
        <w:instrText xml:space="preserve"> PAGEREF _Toc513198677 \h </w:instrText>
      </w:r>
      <w:r w:rsidR="005E39E1" w:rsidRPr="00135F05">
        <w:fldChar w:fldCharType="separate"/>
      </w:r>
      <w:r w:rsidR="003C22E4">
        <w:t>24</w:t>
      </w:r>
      <w:r w:rsidR="005E39E1" w:rsidRPr="00135F05">
        <w:fldChar w:fldCharType="end"/>
      </w:r>
    </w:p>
    <w:p w:rsidR="00135F05" w:rsidRPr="00135F05" w:rsidRDefault="00135F05">
      <w:pPr>
        <w:pStyle w:val="Obsah2"/>
        <w:rPr>
          <w:rFonts w:asciiTheme="minorHAnsi" w:eastAsiaTheme="minorEastAsia" w:hAnsiTheme="minorHAnsi" w:cstheme="minorBidi"/>
          <w:smallCaps w:val="0"/>
          <w:sz w:val="22"/>
          <w:szCs w:val="22"/>
        </w:rPr>
      </w:pPr>
      <w:r w:rsidRPr="00135F05">
        <w:rPr>
          <w:smallCaps w:val="0"/>
        </w:rPr>
        <w:t>1.</w:t>
      </w:r>
      <w:r w:rsidRPr="00135F05">
        <w:rPr>
          <w:rFonts w:asciiTheme="minorHAnsi" w:eastAsiaTheme="minorEastAsia" w:hAnsiTheme="minorHAnsi" w:cstheme="minorBidi"/>
          <w:smallCaps w:val="0"/>
          <w:sz w:val="22"/>
          <w:szCs w:val="22"/>
        </w:rPr>
        <w:tab/>
      </w:r>
      <w:r w:rsidRPr="00135F05">
        <w:rPr>
          <w:smallCaps w:val="0"/>
        </w:rPr>
        <w:t>Stav a vývoj nezaměstnanosti</w:t>
      </w:r>
      <w:r w:rsidRPr="00135F05">
        <w:rPr>
          <w:smallCaps w:val="0"/>
        </w:rPr>
        <w:tab/>
      </w:r>
      <w:r w:rsidR="005E39E1" w:rsidRPr="00135F05">
        <w:rPr>
          <w:smallCaps w:val="0"/>
        </w:rPr>
        <w:fldChar w:fldCharType="begin"/>
      </w:r>
      <w:r w:rsidRPr="00135F05">
        <w:rPr>
          <w:smallCaps w:val="0"/>
        </w:rPr>
        <w:instrText xml:space="preserve"> PAGEREF _Toc513198678 \h </w:instrText>
      </w:r>
      <w:r w:rsidR="005E39E1" w:rsidRPr="00135F05">
        <w:rPr>
          <w:smallCaps w:val="0"/>
        </w:rPr>
      </w:r>
      <w:r w:rsidR="005E39E1" w:rsidRPr="00135F05">
        <w:rPr>
          <w:smallCaps w:val="0"/>
        </w:rPr>
        <w:fldChar w:fldCharType="separate"/>
      </w:r>
      <w:r w:rsidR="003C22E4">
        <w:rPr>
          <w:smallCaps w:val="0"/>
        </w:rPr>
        <w:t>24</w:t>
      </w:r>
      <w:r w:rsidR="005E39E1" w:rsidRPr="00135F05">
        <w:rPr>
          <w:smallCaps w:val="0"/>
        </w:rPr>
        <w:fldChar w:fldCharType="end"/>
      </w:r>
    </w:p>
    <w:p w:rsidR="00135F05" w:rsidRPr="00135F05" w:rsidRDefault="00135F05">
      <w:pPr>
        <w:pStyle w:val="Obsah2"/>
        <w:rPr>
          <w:rFonts w:asciiTheme="minorHAnsi" w:eastAsiaTheme="minorEastAsia" w:hAnsiTheme="minorHAnsi" w:cstheme="minorBidi"/>
          <w:smallCaps w:val="0"/>
          <w:sz w:val="22"/>
          <w:szCs w:val="22"/>
        </w:rPr>
      </w:pPr>
      <w:r w:rsidRPr="00135F05">
        <w:rPr>
          <w:smallCaps w:val="0"/>
        </w:rPr>
        <w:t>2.</w:t>
      </w:r>
      <w:r w:rsidRPr="00135F05">
        <w:rPr>
          <w:rFonts w:asciiTheme="minorHAnsi" w:eastAsiaTheme="minorEastAsia" w:hAnsiTheme="minorHAnsi" w:cstheme="minorBidi"/>
          <w:smallCaps w:val="0"/>
          <w:sz w:val="22"/>
          <w:szCs w:val="22"/>
        </w:rPr>
        <w:tab/>
      </w:r>
      <w:r w:rsidRPr="00135F05">
        <w:rPr>
          <w:smallCaps w:val="0"/>
        </w:rPr>
        <w:t>Toky nezaměstnanosti</w:t>
      </w:r>
      <w:r w:rsidRPr="00135F05">
        <w:rPr>
          <w:smallCaps w:val="0"/>
        </w:rPr>
        <w:tab/>
      </w:r>
      <w:r w:rsidR="005E39E1" w:rsidRPr="00135F05">
        <w:rPr>
          <w:smallCaps w:val="0"/>
        </w:rPr>
        <w:fldChar w:fldCharType="begin"/>
      </w:r>
      <w:r w:rsidRPr="00135F05">
        <w:rPr>
          <w:smallCaps w:val="0"/>
        </w:rPr>
        <w:instrText xml:space="preserve"> PAGEREF _Toc513198679 \h </w:instrText>
      </w:r>
      <w:r w:rsidR="005E39E1" w:rsidRPr="00135F05">
        <w:rPr>
          <w:smallCaps w:val="0"/>
        </w:rPr>
      </w:r>
      <w:r w:rsidR="005E39E1" w:rsidRPr="00135F05">
        <w:rPr>
          <w:smallCaps w:val="0"/>
        </w:rPr>
        <w:fldChar w:fldCharType="separate"/>
      </w:r>
      <w:r w:rsidR="003C22E4">
        <w:rPr>
          <w:smallCaps w:val="0"/>
        </w:rPr>
        <w:t>32</w:t>
      </w:r>
      <w:r w:rsidR="005E39E1" w:rsidRPr="00135F05">
        <w:rPr>
          <w:smallCaps w:val="0"/>
        </w:rPr>
        <w:fldChar w:fldCharType="end"/>
      </w:r>
    </w:p>
    <w:p w:rsidR="00135F05" w:rsidRPr="00135F05" w:rsidRDefault="00135F05">
      <w:pPr>
        <w:pStyle w:val="Obsah2"/>
        <w:rPr>
          <w:rFonts w:asciiTheme="minorHAnsi" w:eastAsiaTheme="minorEastAsia" w:hAnsiTheme="minorHAnsi" w:cstheme="minorBidi"/>
          <w:smallCaps w:val="0"/>
          <w:sz w:val="22"/>
          <w:szCs w:val="22"/>
        </w:rPr>
      </w:pPr>
      <w:r w:rsidRPr="00135F05">
        <w:rPr>
          <w:smallCaps w:val="0"/>
        </w:rPr>
        <w:t>3.</w:t>
      </w:r>
      <w:r w:rsidRPr="00135F05">
        <w:rPr>
          <w:rFonts w:asciiTheme="minorHAnsi" w:eastAsiaTheme="minorEastAsia" w:hAnsiTheme="minorHAnsi" w:cstheme="minorBidi"/>
          <w:smallCaps w:val="0"/>
          <w:sz w:val="22"/>
          <w:szCs w:val="22"/>
        </w:rPr>
        <w:tab/>
      </w:r>
      <w:r w:rsidRPr="00135F05">
        <w:rPr>
          <w:smallCaps w:val="0"/>
        </w:rPr>
        <w:t>Struktura uchazečů o zaměstnání</w:t>
      </w:r>
      <w:r w:rsidRPr="00135F05">
        <w:rPr>
          <w:smallCaps w:val="0"/>
        </w:rPr>
        <w:tab/>
      </w:r>
      <w:r w:rsidR="005E39E1" w:rsidRPr="00135F05">
        <w:rPr>
          <w:smallCaps w:val="0"/>
        </w:rPr>
        <w:fldChar w:fldCharType="begin"/>
      </w:r>
      <w:r w:rsidRPr="00135F05">
        <w:rPr>
          <w:smallCaps w:val="0"/>
        </w:rPr>
        <w:instrText xml:space="preserve"> PAGEREF _Toc513198680 \h </w:instrText>
      </w:r>
      <w:r w:rsidR="005E39E1" w:rsidRPr="00135F05">
        <w:rPr>
          <w:smallCaps w:val="0"/>
        </w:rPr>
      </w:r>
      <w:r w:rsidR="005E39E1" w:rsidRPr="00135F05">
        <w:rPr>
          <w:smallCaps w:val="0"/>
        </w:rPr>
        <w:fldChar w:fldCharType="separate"/>
      </w:r>
      <w:r w:rsidR="003C22E4">
        <w:rPr>
          <w:smallCaps w:val="0"/>
        </w:rPr>
        <w:t>35</w:t>
      </w:r>
      <w:r w:rsidR="005E39E1" w:rsidRPr="00135F05">
        <w:rPr>
          <w:smallCaps w:val="0"/>
        </w:rPr>
        <w:fldChar w:fldCharType="end"/>
      </w:r>
    </w:p>
    <w:p w:rsidR="00135F05" w:rsidRPr="00135F05" w:rsidRDefault="00135F05">
      <w:pPr>
        <w:pStyle w:val="Obsah2"/>
        <w:rPr>
          <w:rFonts w:asciiTheme="minorHAnsi" w:eastAsiaTheme="minorEastAsia" w:hAnsiTheme="minorHAnsi" w:cstheme="minorBidi"/>
          <w:smallCaps w:val="0"/>
          <w:sz w:val="22"/>
          <w:szCs w:val="22"/>
        </w:rPr>
      </w:pPr>
      <w:r w:rsidRPr="00135F05">
        <w:rPr>
          <w:smallCaps w:val="0"/>
        </w:rPr>
        <w:t>4.</w:t>
      </w:r>
      <w:r w:rsidRPr="00135F05">
        <w:rPr>
          <w:rFonts w:asciiTheme="minorHAnsi" w:eastAsiaTheme="minorEastAsia" w:hAnsiTheme="minorHAnsi" w:cstheme="minorBidi"/>
          <w:smallCaps w:val="0"/>
          <w:sz w:val="22"/>
          <w:szCs w:val="22"/>
        </w:rPr>
        <w:tab/>
      </w:r>
      <w:r w:rsidRPr="00135F05">
        <w:rPr>
          <w:smallCaps w:val="0"/>
        </w:rPr>
        <w:t>Regionální nezaměstnanost</w:t>
      </w:r>
      <w:r w:rsidRPr="00135F05">
        <w:rPr>
          <w:smallCaps w:val="0"/>
        </w:rPr>
        <w:tab/>
      </w:r>
      <w:r w:rsidR="005E39E1" w:rsidRPr="00135F05">
        <w:rPr>
          <w:smallCaps w:val="0"/>
        </w:rPr>
        <w:fldChar w:fldCharType="begin"/>
      </w:r>
      <w:r w:rsidRPr="00135F05">
        <w:rPr>
          <w:smallCaps w:val="0"/>
        </w:rPr>
        <w:instrText xml:space="preserve"> PAGEREF _Toc513198681 \h </w:instrText>
      </w:r>
      <w:r w:rsidR="005E39E1" w:rsidRPr="00135F05">
        <w:rPr>
          <w:smallCaps w:val="0"/>
        </w:rPr>
      </w:r>
      <w:r w:rsidR="005E39E1" w:rsidRPr="00135F05">
        <w:rPr>
          <w:smallCaps w:val="0"/>
        </w:rPr>
        <w:fldChar w:fldCharType="separate"/>
      </w:r>
      <w:r w:rsidR="003C22E4">
        <w:rPr>
          <w:smallCaps w:val="0"/>
        </w:rPr>
        <w:t>45</w:t>
      </w:r>
      <w:r w:rsidR="005E39E1" w:rsidRPr="00135F05">
        <w:rPr>
          <w:smallCaps w:val="0"/>
        </w:rPr>
        <w:fldChar w:fldCharType="end"/>
      </w:r>
    </w:p>
    <w:p w:rsidR="00135F05" w:rsidRPr="00135F05" w:rsidRDefault="00135F05">
      <w:pPr>
        <w:pStyle w:val="Obsah1"/>
        <w:rPr>
          <w:rFonts w:asciiTheme="minorHAnsi" w:eastAsiaTheme="minorEastAsia" w:hAnsiTheme="minorHAnsi" w:cstheme="minorBidi"/>
          <w:b w:val="0"/>
          <w:bCs w:val="0"/>
          <w:color w:val="auto"/>
          <w:sz w:val="22"/>
          <w:szCs w:val="22"/>
        </w:rPr>
      </w:pPr>
      <w:r w:rsidRPr="00135F05">
        <w:t>IV.</w:t>
      </w:r>
      <w:r w:rsidRPr="00135F05">
        <w:rPr>
          <w:rFonts w:asciiTheme="minorHAnsi" w:eastAsiaTheme="minorEastAsia" w:hAnsiTheme="minorHAnsi" w:cstheme="minorBidi"/>
          <w:b w:val="0"/>
          <w:bCs w:val="0"/>
          <w:color w:val="auto"/>
          <w:sz w:val="22"/>
          <w:szCs w:val="22"/>
        </w:rPr>
        <w:tab/>
      </w:r>
      <w:r w:rsidRPr="00135F05">
        <w:t>Politika zaměstnanosti</w:t>
      </w:r>
      <w:r w:rsidRPr="00135F05">
        <w:tab/>
      </w:r>
      <w:r w:rsidR="005E39E1" w:rsidRPr="00135F05">
        <w:fldChar w:fldCharType="begin"/>
      </w:r>
      <w:r w:rsidRPr="00135F05">
        <w:instrText xml:space="preserve"> PAGEREF _Toc513198682 \h </w:instrText>
      </w:r>
      <w:r w:rsidR="005E39E1" w:rsidRPr="00135F05">
        <w:fldChar w:fldCharType="separate"/>
      </w:r>
      <w:r w:rsidR="003C22E4">
        <w:t>50</w:t>
      </w:r>
      <w:r w:rsidR="005E39E1" w:rsidRPr="00135F05">
        <w:fldChar w:fldCharType="end"/>
      </w:r>
    </w:p>
    <w:p w:rsidR="00135F05" w:rsidRPr="00135F05" w:rsidRDefault="00135F05">
      <w:pPr>
        <w:pStyle w:val="Obsah2"/>
        <w:rPr>
          <w:rFonts w:asciiTheme="minorHAnsi" w:eastAsiaTheme="minorEastAsia" w:hAnsiTheme="minorHAnsi" w:cstheme="minorBidi"/>
          <w:smallCaps w:val="0"/>
          <w:sz w:val="22"/>
          <w:szCs w:val="22"/>
        </w:rPr>
      </w:pPr>
      <w:r w:rsidRPr="00135F05">
        <w:rPr>
          <w:smallCaps w:val="0"/>
        </w:rPr>
        <w:t>1.</w:t>
      </w:r>
      <w:r w:rsidRPr="00135F05">
        <w:rPr>
          <w:rFonts w:asciiTheme="minorHAnsi" w:eastAsiaTheme="minorEastAsia" w:hAnsiTheme="minorHAnsi" w:cstheme="minorBidi"/>
          <w:smallCaps w:val="0"/>
          <w:sz w:val="22"/>
          <w:szCs w:val="22"/>
        </w:rPr>
        <w:tab/>
      </w:r>
      <w:r w:rsidRPr="00135F05">
        <w:rPr>
          <w:smallCaps w:val="0"/>
        </w:rPr>
        <w:t>Zaměření politiky zaměstnanosti</w:t>
      </w:r>
      <w:r w:rsidRPr="00135F05">
        <w:rPr>
          <w:smallCaps w:val="0"/>
        </w:rPr>
        <w:tab/>
      </w:r>
      <w:r w:rsidR="005E39E1" w:rsidRPr="00135F05">
        <w:rPr>
          <w:smallCaps w:val="0"/>
        </w:rPr>
        <w:fldChar w:fldCharType="begin"/>
      </w:r>
      <w:r w:rsidRPr="00135F05">
        <w:rPr>
          <w:smallCaps w:val="0"/>
        </w:rPr>
        <w:instrText xml:space="preserve"> PAGEREF _Toc513198683 \h </w:instrText>
      </w:r>
      <w:r w:rsidR="005E39E1" w:rsidRPr="00135F05">
        <w:rPr>
          <w:smallCaps w:val="0"/>
        </w:rPr>
      </w:r>
      <w:r w:rsidR="005E39E1" w:rsidRPr="00135F05">
        <w:rPr>
          <w:smallCaps w:val="0"/>
        </w:rPr>
        <w:fldChar w:fldCharType="separate"/>
      </w:r>
      <w:r w:rsidR="003C22E4">
        <w:rPr>
          <w:smallCaps w:val="0"/>
        </w:rPr>
        <w:t>50</w:t>
      </w:r>
      <w:r w:rsidR="005E39E1" w:rsidRPr="00135F05">
        <w:rPr>
          <w:smallCaps w:val="0"/>
        </w:rPr>
        <w:fldChar w:fldCharType="end"/>
      </w:r>
    </w:p>
    <w:p w:rsidR="00135F05" w:rsidRPr="00135F05" w:rsidRDefault="00135F05">
      <w:pPr>
        <w:pStyle w:val="Obsah2"/>
        <w:rPr>
          <w:rFonts w:asciiTheme="minorHAnsi" w:eastAsiaTheme="minorEastAsia" w:hAnsiTheme="minorHAnsi" w:cstheme="minorBidi"/>
          <w:smallCaps w:val="0"/>
          <w:sz w:val="22"/>
          <w:szCs w:val="22"/>
        </w:rPr>
      </w:pPr>
      <w:r w:rsidRPr="00135F05">
        <w:rPr>
          <w:smallCaps w:val="0"/>
        </w:rPr>
        <w:t>2.</w:t>
      </w:r>
      <w:r w:rsidRPr="00135F05">
        <w:rPr>
          <w:rFonts w:asciiTheme="minorHAnsi" w:eastAsiaTheme="minorEastAsia" w:hAnsiTheme="minorHAnsi" w:cstheme="minorBidi"/>
          <w:smallCaps w:val="0"/>
          <w:sz w:val="22"/>
          <w:szCs w:val="22"/>
        </w:rPr>
        <w:tab/>
      </w:r>
      <w:r w:rsidRPr="00135F05">
        <w:rPr>
          <w:smallCaps w:val="0"/>
        </w:rPr>
        <w:t>Výdaje na politiku zaměstnanosti</w:t>
      </w:r>
      <w:r w:rsidRPr="00135F05">
        <w:rPr>
          <w:smallCaps w:val="0"/>
        </w:rPr>
        <w:tab/>
      </w:r>
      <w:r w:rsidR="005E39E1" w:rsidRPr="00135F05">
        <w:rPr>
          <w:smallCaps w:val="0"/>
        </w:rPr>
        <w:fldChar w:fldCharType="begin"/>
      </w:r>
      <w:r w:rsidRPr="00135F05">
        <w:rPr>
          <w:smallCaps w:val="0"/>
        </w:rPr>
        <w:instrText xml:space="preserve"> PAGEREF _Toc513198684 \h </w:instrText>
      </w:r>
      <w:r w:rsidR="005E39E1" w:rsidRPr="00135F05">
        <w:rPr>
          <w:smallCaps w:val="0"/>
        </w:rPr>
      </w:r>
      <w:r w:rsidR="005E39E1" w:rsidRPr="00135F05">
        <w:rPr>
          <w:smallCaps w:val="0"/>
        </w:rPr>
        <w:fldChar w:fldCharType="separate"/>
      </w:r>
      <w:r w:rsidR="003C22E4">
        <w:rPr>
          <w:smallCaps w:val="0"/>
        </w:rPr>
        <w:t>51</w:t>
      </w:r>
      <w:r w:rsidR="005E39E1" w:rsidRPr="00135F05">
        <w:rPr>
          <w:smallCaps w:val="0"/>
        </w:rPr>
        <w:fldChar w:fldCharType="end"/>
      </w:r>
    </w:p>
    <w:p w:rsidR="00135F05" w:rsidRPr="00135F05" w:rsidRDefault="00135F05">
      <w:pPr>
        <w:pStyle w:val="Obsah2"/>
        <w:rPr>
          <w:rFonts w:asciiTheme="minorHAnsi" w:eastAsiaTheme="minorEastAsia" w:hAnsiTheme="minorHAnsi" w:cstheme="minorBidi"/>
          <w:smallCaps w:val="0"/>
          <w:sz w:val="22"/>
          <w:szCs w:val="22"/>
        </w:rPr>
      </w:pPr>
      <w:r w:rsidRPr="00135F05">
        <w:rPr>
          <w:smallCaps w:val="0"/>
        </w:rPr>
        <w:t>3.</w:t>
      </w:r>
      <w:r w:rsidRPr="00135F05">
        <w:rPr>
          <w:rFonts w:asciiTheme="minorHAnsi" w:eastAsiaTheme="minorEastAsia" w:hAnsiTheme="minorHAnsi" w:cstheme="minorBidi"/>
          <w:smallCaps w:val="0"/>
          <w:sz w:val="22"/>
          <w:szCs w:val="22"/>
        </w:rPr>
        <w:tab/>
      </w:r>
      <w:r w:rsidRPr="00135F05">
        <w:rPr>
          <w:smallCaps w:val="0"/>
        </w:rPr>
        <w:t>Aktivní politika zaměstnanosti realizovaná ÚP ČR</w:t>
      </w:r>
      <w:r w:rsidRPr="00135F05">
        <w:rPr>
          <w:smallCaps w:val="0"/>
        </w:rPr>
        <w:tab/>
      </w:r>
      <w:r w:rsidR="005E39E1" w:rsidRPr="00135F05">
        <w:rPr>
          <w:smallCaps w:val="0"/>
        </w:rPr>
        <w:fldChar w:fldCharType="begin"/>
      </w:r>
      <w:r w:rsidRPr="00135F05">
        <w:rPr>
          <w:smallCaps w:val="0"/>
        </w:rPr>
        <w:instrText xml:space="preserve"> PAGEREF _Toc513198685 \h </w:instrText>
      </w:r>
      <w:r w:rsidR="005E39E1" w:rsidRPr="00135F05">
        <w:rPr>
          <w:smallCaps w:val="0"/>
        </w:rPr>
      </w:r>
      <w:r w:rsidR="005E39E1" w:rsidRPr="00135F05">
        <w:rPr>
          <w:smallCaps w:val="0"/>
        </w:rPr>
        <w:fldChar w:fldCharType="separate"/>
      </w:r>
      <w:r w:rsidR="003C22E4">
        <w:rPr>
          <w:smallCaps w:val="0"/>
        </w:rPr>
        <w:t>52</w:t>
      </w:r>
      <w:r w:rsidR="005E39E1" w:rsidRPr="00135F05">
        <w:rPr>
          <w:smallCaps w:val="0"/>
        </w:rPr>
        <w:fldChar w:fldCharType="end"/>
      </w:r>
    </w:p>
    <w:p w:rsidR="00135F05" w:rsidRPr="00135F05" w:rsidRDefault="00135F05">
      <w:pPr>
        <w:pStyle w:val="Obsah2"/>
        <w:rPr>
          <w:rFonts w:asciiTheme="minorHAnsi" w:eastAsiaTheme="minorEastAsia" w:hAnsiTheme="minorHAnsi" w:cstheme="minorBidi"/>
          <w:smallCaps w:val="0"/>
          <w:sz w:val="22"/>
          <w:szCs w:val="22"/>
        </w:rPr>
      </w:pPr>
      <w:r w:rsidRPr="00135F05">
        <w:rPr>
          <w:smallCaps w:val="0"/>
        </w:rPr>
        <w:t>4.</w:t>
      </w:r>
      <w:r w:rsidRPr="00135F05">
        <w:rPr>
          <w:rFonts w:asciiTheme="minorHAnsi" w:eastAsiaTheme="minorEastAsia" w:hAnsiTheme="minorHAnsi" w:cstheme="minorBidi"/>
          <w:smallCaps w:val="0"/>
          <w:sz w:val="22"/>
          <w:szCs w:val="22"/>
        </w:rPr>
        <w:tab/>
      </w:r>
      <w:r w:rsidRPr="00135F05">
        <w:rPr>
          <w:smallCaps w:val="0"/>
        </w:rPr>
        <w:t>Systém investičních pobídek</w:t>
      </w:r>
      <w:r w:rsidRPr="00135F05">
        <w:rPr>
          <w:smallCaps w:val="0"/>
        </w:rPr>
        <w:tab/>
      </w:r>
      <w:r w:rsidR="005E39E1" w:rsidRPr="00135F05">
        <w:rPr>
          <w:smallCaps w:val="0"/>
        </w:rPr>
        <w:fldChar w:fldCharType="begin"/>
      </w:r>
      <w:r w:rsidRPr="00135F05">
        <w:rPr>
          <w:smallCaps w:val="0"/>
        </w:rPr>
        <w:instrText xml:space="preserve"> PAGEREF _Toc513198686 \h </w:instrText>
      </w:r>
      <w:r w:rsidR="005E39E1" w:rsidRPr="00135F05">
        <w:rPr>
          <w:smallCaps w:val="0"/>
        </w:rPr>
      </w:r>
      <w:r w:rsidR="005E39E1" w:rsidRPr="00135F05">
        <w:rPr>
          <w:smallCaps w:val="0"/>
        </w:rPr>
        <w:fldChar w:fldCharType="separate"/>
      </w:r>
      <w:r w:rsidR="003C22E4">
        <w:rPr>
          <w:smallCaps w:val="0"/>
        </w:rPr>
        <w:t>68</w:t>
      </w:r>
      <w:r w:rsidR="005E39E1" w:rsidRPr="00135F05">
        <w:rPr>
          <w:smallCaps w:val="0"/>
        </w:rPr>
        <w:fldChar w:fldCharType="end"/>
      </w:r>
    </w:p>
    <w:p w:rsidR="00135F05" w:rsidRPr="00135F05" w:rsidRDefault="00135F05">
      <w:pPr>
        <w:pStyle w:val="Obsah2"/>
        <w:rPr>
          <w:rFonts w:asciiTheme="minorHAnsi" w:eastAsiaTheme="minorEastAsia" w:hAnsiTheme="minorHAnsi" w:cstheme="minorBidi"/>
          <w:smallCaps w:val="0"/>
          <w:sz w:val="22"/>
          <w:szCs w:val="22"/>
        </w:rPr>
      </w:pPr>
      <w:r w:rsidRPr="00135F05">
        <w:rPr>
          <w:smallCaps w:val="0"/>
        </w:rPr>
        <w:t>5.</w:t>
      </w:r>
      <w:r w:rsidRPr="00135F05">
        <w:rPr>
          <w:rFonts w:asciiTheme="minorHAnsi" w:eastAsiaTheme="minorEastAsia" w:hAnsiTheme="minorHAnsi" w:cstheme="minorBidi"/>
          <w:smallCaps w:val="0"/>
          <w:sz w:val="22"/>
          <w:szCs w:val="22"/>
        </w:rPr>
        <w:tab/>
      </w:r>
      <w:r w:rsidRPr="00135F05">
        <w:rPr>
          <w:smallCaps w:val="0"/>
        </w:rPr>
        <w:t>Projekty financované z prostředků Evropského sociálního fondu</w:t>
      </w:r>
      <w:r w:rsidRPr="00135F05">
        <w:rPr>
          <w:smallCaps w:val="0"/>
        </w:rPr>
        <w:tab/>
      </w:r>
      <w:r w:rsidR="005E39E1" w:rsidRPr="00135F05">
        <w:rPr>
          <w:smallCaps w:val="0"/>
        </w:rPr>
        <w:fldChar w:fldCharType="begin"/>
      </w:r>
      <w:r w:rsidRPr="00135F05">
        <w:rPr>
          <w:smallCaps w:val="0"/>
        </w:rPr>
        <w:instrText xml:space="preserve"> PAGEREF _Toc513198687 \h </w:instrText>
      </w:r>
      <w:r w:rsidR="005E39E1" w:rsidRPr="00135F05">
        <w:rPr>
          <w:smallCaps w:val="0"/>
        </w:rPr>
      </w:r>
      <w:r w:rsidR="005E39E1" w:rsidRPr="00135F05">
        <w:rPr>
          <w:smallCaps w:val="0"/>
        </w:rPr>
        <w:fldChar w:fldCharType="separate"/>
      </w:r>
      <w:r w:rsidR="003C22E4">
        <w:rPr>
          <w:smallCaps w:val="0"/>
        </w:rPr>
        <w:t>69</w:t>
      </w:r>
      <w:r w:rsidR="005E39E1" w:rsidRPr="00135F05">
        <w:rPr>
          <w:smallCaps w:val="0"/>
        </w:rPr>
        <w:fldChar w:fldCharType="end"/>
      </w:r>
    </w:p>
    <w:p w:rsidR="00135F05" w:rsidRPr="00135F05" w:rsidRDefault="00135F05">
      <w:pPr>
        <w:pStyle w:val="Obsah1"/>
        <w:rPr>
          <w:rFonts w:asciiTheme="minorHAnsi" w:eastAsiaTheme="minorEastAsia" w:hAnsiTheme="minorHAnsi" w:cstheme="minorBidi"/>
          <w:b w:val="0"/>
          <w:bCs w:val="0"/>
          <w:color w:val="auto"/>
          <w:sz w:val="22"/>
          <w:szCs w:val="22"/>
        </w:rPr>
      </w:pPr>
      <w:r w:rsidRPr="00135F05">
        <w:t>V.</w:t>
      </w:r>
      <w:r w:rsidRPr="00135F05">
        <w:rPr>
          <w:rFonts w:asciiTheme="minorHAnsi" w:eastAsiaTheme="minorEastAsia" w:hAnsiTheme="minorHAnsi" w:cstheme="minorBidi"/>
          <w:b w:val="0"/>
          <w:bCs w:val="0"/>
          <w:color w:val="auto"/>
          <w:sz w:val="22"/>
          <w:szCs w:val="22"/>
        </w:rPr>
        <w:tab/>
      </w:r>
      <w:r w:rsidRPr="00135F05">
        <w:t>Mezinárodní srovnání zaměstnanosti a nezaměstnanosti</w:t>
      </w:r>
      <w:r w:rsidRPr="00135F05">
        <w:tab/>
      </w:r>
      <w:r w:rsidR="005E39E1" w:rsidRPr="00135F05">
        <w:fldChar w:fldCharType="begin"/>
      </w:r>
      <w:r w:rsidRPr="00135F05">
        <w:instrText xml:space="preserve"> PAGEREF _Toc513198688 \h </w:instrText>
      </w:r>
      <w:r w:rsidR="005E39E1" w:rsidRPr="00135F05">
        <w:fldChar w:fldCharType="separate"/>
      </w:r>
      <w:r w:rsidR="003C22E4">
        <w:t>92</w:t>
      </w:r>
      <w:r w:rsidR="005E39E1" w:rsidRPr="00135F05">
        <w:fldChar w:fldCharType="end"/>
      </w:r>
    </w:p>
    <w:p w:rsidR="00135F05" w:rsidRPr="00135F05" w:rsidRDefault="00135F05">
      <w:pPr>
        <w:pStyle w:val="Obsah1"/>
        <w:rPr>
          <w:rFonts w:asciiTheme="minorHAnsi" w:eastAsiaTheme="minorEastAsia" w:hAnsiTheme="minorHAnsi" w:cstheme="minorBidi"/>
          <w:b w:val="0"/>
          <w:bCs w:val="0"/>
          <w:color w:val="auto"/>
          <w:sz w:val="22"/>
          <w:szCs w:val="22"/>
        </w:rPr>
      </w:pPr>
      <w:r w:rsidRPr="00135F05">
        <w:t>VI.</w:t>
      </w:r>
      <w:r w:rsidRPr="00135F05">
        <w:rPr>
          <w:rFonts w:asciiTheme="minorHAnsi" w:eastAsiaTheme="minorEastAsia" w:hAnsiTheme="minorHAnsi" w:cstheme="minorBidi"/>
          <w:b w:val="0"/>
          <w:bCs w:val="0"/>
          <w:color w:val="auto"/>
          <w:sz w:val="22"/>
          <w:szCs w:val="22"/>
        </w:rPr>
        <w:tab/>
      </w:r>
      <w:r w:rsidRPr="00135F05">
        <w:t>Očekávání ve vývoji zaměstnanosti a nezaměstnanosti</w:t>
      </w:r>
      <w:r w:rsidRPr="00135F05">
        <w:tab/>
      </w:r>
      <w:r w:rsidR="005E39E1" w:rsidRPr="00135F05">
        <w:fldChar w:fldCharType="begin"/>
      </w:r>
      <w:r w:rsidRPr="00135F05">
        <w:instrText xml:space="preserve"> PAGEREF _Toc513198689 \h </w:instrText>
      </w:r>
      <w:r w:rsidR="005E39E1" w:rsidRPr="00135F05">
        <w:fldChar w:fldCharType="separate"/>
      </w:r>
      <w:r w:rsidR="003C22E4">
        <w:t>99</w:t>
      </w:r>
      <w:r w:rsidR="005E39E1" w:rsidRPr="00135F05">
        <w:fldChar w:fldCharType="end"/>
      </w:r>
    </w:p>
    <w:p w:rsidR="00E8751A" w:rsidRPr="00E04C25" w:rsidRDefault="005E39E1" w:rsidP="00AE65A5">
      <w:pPr>
        <w:tabs>
          <w:tab w:val="left" w:pos="709"/>
        </w:tabs>
        <w:rPr>
          <w:rFonts w:ascii="Arial" w:hAnsi="Arial" w:cs="Arial"/>
          <w:sz w:val="20"/>
          <w:szCs w:val="20"/>
        </w:rPr>
      </w:pPr>
      <w:r w:rsidRPr="00135F05">
        <w:rPr>
          <w:rFonts w:ascii="Arial" w:hAnsi="Arial" w:cs="Arial"/>
        </w:rPr>
        <w:fldChar w:fldCharType="end"/>
      </w:r>
    </w:p>
    <w:p w:rsidR="00E8751A" w:rsidRPr="00E04C25" w:rsidRDefault="00E8751A" w:rsidP="00AE65A5">
      <w:pPr>
        <w:tabs>
          <w:tab w:val="left" w:pos="709"/>
        </w:tabs>
        <w:rPr>
          <w:rFonts w:ascii="Arial" w:hAnsi="Arial" w:cs="Arial"/>
        </w:rPr>
      </w:pPr>
      <w:r w:rsidRPr="00E04C25">
        <w:rPr>
          <w:rFonts w:ascii="Arial" w:hAnsi="Arial" w:cs="Arial"/>
        </w:rPr>
        <w:t>Metodické poznámky</w:t>
      </w:r>
    </w:p>
    <w:p w:rsidR="00E8751A" w:rsidRPr="00E04C25" w:rsidRDefault="00E8751A" w:rsidP="00AE65A5">
      <w:pPr>
        <w:tabs>
          <w:tab w:val="left" w:pos="709"/>
        </w:tabs>
        <w:rPr>
          <w:rFonts w:ascii="Arial" w:hAnsi="Arial" w:cs="Arial"/>
        </w:rPr>
      </w:pPr>
      <w:r w:rsidRPr="00E04C25">
        <w:rPr>
          <w:rFonts w:ascii="Arial" w:hAnsi="Arial" w:cs="Arial"/>
        </w:rPr>
        <w:t>Seznam použitých zkratek</w:t>
      </w:r>
    </w:p>
    <w:p w:rsidR="00E8751A" w:rsidRPr="00E04C25" w:rsidRDefault="00E8751A" w:rsidP="00AE65A5">
      <w:pPr>
        <w:tabs>
          <w:tab w:val="left" w:pos="709"/>
        </w:tabs>
        <w:rPr>
          <w:rFonts w:ascii="Arial" w:hAnsi="Arial" w:cs="Arial"/>
        </w:rPr>
      </w:pPr>
    </w:p>
    <w:p w:rsidR="00E8751A" w:rsidRPr="00E04C25" w:rsidRDefault="00E8751A" w:rsidP="00AE65A5">
      <w:pPr>
        <w:tabs>
          <w:tab w:val="left" w:pos="709"/>
        </w:tabs>
        <w:rPr>
          <w:rFonts w:ascii="Arial" w:hAnsi="Arial" w:cs="Arial"/>
        </w:rPr>
      </w:pPr>
      <w:r w:rsidRPr="00E04C25">
        <w:rPr>
          <w:rFonts w:ascii="Arial" w:hAnsi="Arial" w:cs="Arial"/>
        </w:rPr>
        <w:t>Přílohy</w:t>
      </w:r>
    </w:p>
    <w:p w:rsidR="00217815" w:rsidRPr="00E04C25" w:rsidRDefault="00E8751A" w:rsidP="00AE65A5">
      <w:pPr>
        <w:tabs>
          <w:tab w:val="left" w:pos="709"/>
        </w:tabs>
        <w:rPr>
          <w:rFonts w:ascii="Arial" w:hAnsi="Arial" w:cs="Arial"/>
        </w:rPr>
      </w:pPr>
      <w:r w:rsidRPr="00E04C25">
        <w:rPr>
          <w:rFonts w:ascii="Arial" w:hAnsi="Arial" w:cs="Arial"/>
        </w:rPr>
        <w:t>Zdroj dat: MPSV (pokud není uvedeno jinak)</w:t>
      </w:r>
    </w:p>
    <w:p w:rsidR="00E8751A" w:rsidRPr="00E04C25" w:rsidRDefault="004B3AF1" w:rsidP="00AE65A5">
      <w:pPr>
        <w:tabs>
          <w:tab w:val="left" w:pos="709"/>
        </w:tabs>
      </w:pPr>
      <w:r w:rsidRPr="00E04C25">
        <w:rPr>
          <w:rFonts w:ascii="Arial" w:hAnsi="Arial" w:cs="Arial"/>
        </w:rPr>
        <w:t>Údaje platné k </w:t>
      </w:r>
      <w:r w:rsidR="00794B3F" w:rsidRPr="00E04C25">
        <w:rPr>
          <w:rFonts w:ascii="Arial" w:hAnsi="Arial" w:cs="Arial"/>
        </w:rPr>
        <w:t>16</w:t>
      </w:r>
      <w:r w:rsidRPr="00E04C25">
        <w:rPr>
          <w:rFonts w:ascii="Arial" w:hAnsi="Arial" w:cs="Arial"/>
        </w:rPr>
        <w:t>. dubnu 201</w:t>
      </w:r>
      <w:r w:rsidR="005210CE" w:rsidRPr="00E04C25">
        <w:rPr>
          <w:rFonts w:ascii="Arial" w:hAnsi="Arial" w:cs="Arial"/>
        </w:rPr>
        <w:t>8</w:t>
      </w:r>
    </w:p>
    <w:p w:rsidR="00012C08" w:rsidRPr="00E04C25" w:rsidRDefault="00E8751A" w:rsidP="00BF03B8">
      <w:pPr>
        <w:pStyle w:val="Nadpis1"/>
        <w:rPr>
          <w:iCs/>
        </w:rPr>
      </w:pPr>
      <w:r w:rsidRPr="00E04C25">
        <w:br w:type="column"/>
      </w:r>
      <w:bookmarkStart w:id="37" w:name="_Toc513198670"/>
      <w:r w:rsidR="00012C08" w:rsidRPr="00E04C25">
        <w:lastRenderedPageBreak/>
        <w:t>Hlavní tendence ve vývoji zaměstnanosti a nezaměstnanosti</w:t>
      </w:r>
      <w:bookmarkEnd w:id="37"/>
      <w:r w:rsidR="00012C08" w:rsidRPr="00E04C25">
        <w:t xml:space="preserve"> </w:t>
      </w:r>
    </w:p>
    <w:p w:rsidR="006832D4" w:rsidRPr="00E04C25" w:rsidRDefault="006832D4" w:rsidP="00BF03B8">
      <w:pPr>
        <w:pStyle w:val="Nadpis1"/>
        <w:numPr>
          <w:ilvl w:val="0"/>
          <w:numId w:val="0"/>
        </w:numPr>
        <w:ind w:left="426"/>
      </w:pPr>
      <w:bookmarkStart w:id="38" w:name="_Toc3725301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832D4" w:rsidRPr="00E04C25" w:rsidRDefault="006832D4" w:rsidP="00AE65A5">
      <w:pPr>
        <w:tabs>
          <w:tab w:val="left" w:pos="709"/>
        </w:tabs>
        <w:ind w:firstLine="720"/>
        <w:jc w:val="both"/>
        <w:rPr>
          <w:rFonts w:ascii="Arial" w:hAnsi="Arial" w:cs="Arial"/>
        </w:rPr>
      </w:pPr>
    </w:p>
    <w:p w:rsidR="0050387D" w:rsidRPr="00E04C25" w:rsidRDefault="00762875" w:rsidP="0050387D">
      <w:pPr>
        <w:pStyle w:val="Odstavecseseznamem"/>
        <w:numPr>
          <w:ilvl w:val="0"/>
          <w:numId w:val="16"/>
        </w:numPr>
        <w:tabs>
          <w:tab w:val="clear" w:pos="1117"/>
          <w:tab w:val="num" w:pos="-709"/>
          <w:tab w:val="center" w:pos="0"/>
          <w:tab w:val="left" w:pos="709"/>
        </w:tabs>
        <w:spacing w:after="60" w:line="360" w:lineRule="auto"/>
        <w:ind w:left="425" w:hanging="425"/>
        <w:jc w:val="both"/>
        <w:rPr>
          <w:rFonts w:ascii="Arial" w:hAnsi="Arial" w:cs="Arial"/>
        </w:rPr>
      </w:pPr>
      <w:bookmarkStart w:id="39" w:name="_Toc383686934"/>
      <w:bookmarkStart w:id="40" w:name="_Toc383686939"/>
      <w:bookmarkStart w:id="41" w:name="_Toc400528523"/>
      <w:bookmarkStart w:id="42" w:name="_Toc400528524"/>
      <w:bookmarkStart w:id="43" w:name="_Toc337125226"/>
      <w:bookmarkStart w:id="44" w:name="_Toc258997892"/>
      <w:r w:rsidRPr="00E04C25">
        <w:rPr>
          <w:rFonts w:ascii="Arial" w:hAnsi="Arial" w:cs="Arial"/>
          <w:b/>
          <w:bCs/>
        </w:rPr>
        <w:t>V roce 201</w:t>
      </w:r>
      <w:r w:rsidR="0050387D" w:rsidRPr="00E04C25">
        <w:rPr>
          <w:rFonts w:ascii="Arial" w:hAnsi="Arial" w:cs="Arial"/>
          <w:b/>
          <w:bCs/>
        </w:rPr>
        <w:t>7</w:t>
      </w:r>
      <w:r w:rsidRPr="00E04C25">
        <w:rPr>
          <w:rFonts w:ascii="Arial" w:hAnsi="Arial" w:cs="Arial"/>
          <w:bCs/>
        </w:rPr>
        <w:t xml:space="preserve"> </w:t>
      </w:r>
      <w:r w:rsidRPr="00E04C25">
        <w:rPr>
          <w:rFonts w:ascii="Arial" w:hAnsi="Arial" w:cs="Arial"/>
        </w:rPr>
        <w:t xml:space="preserve">dosáhl podle výsledků Výběrového šetření pracovních sil ČSÚ (VŠPS) průměrný </w:t>
      </w:r>
      <w:r w:rsidRPr="00E04C25">
        <w:rPr>
          <w:rFonts w:ascii="Arial" w:hAnsi="Arial" w:cs="Arial"/>
          <w:b/>
          <w:bCs/>
        </w:rPr>
        <w:t>počet zaměstnaných</w:t>
      </w:r>
      <w:r w:rsidRPr="00E04C25">
        <w:rPr>
          <w:rFonts w:ascii="Arial" w:hAnsi="Arial" w:cs="Arial"/>
        </w:rPr>
        <w:t xml:space="preserve"> ve všech sférách národního hospodářství </w:t>
      </w:r>
      <w:r w:rsidR="0050387D" w:rsidRPr="00E04C25">
        <w:rPr>
          <w:rFonts w:ascii="Arial" w:hAnsi="Arial" w:cs="Arial"/>
          <w:b/>
        </w:rPr>
        <w:t>5</w:t>
      </w:r>
      <w:r w:rsidR="0050387D" w:rsidRPr="00E04C25">
        <w:rPr>
          <w:rFonts w:ascii="Arial" w:hAnsi="Arial" w:cs="Arial"/>
          <w:b/>
          <w:bCs/>
        </w:rPr>
        <w:t xml:space="preserve"> 221,6 </w:t>
      </w:r>
      <w:r w:rsidR="00A4288E" w:rsidRPr="00E04C25">
        <w:rPr>
          <w:rFonts w:ascii="Arial" w:hAnsi="Arial" w:cs="Arial"/>
          <w:b/>
          <w:bCs/>
        </w:rPr>
        <w:t>tis. osob</w:t>
      </w:r>
      <w:r w:rsidR="00A4288E" w:rsidRPr="00E04C25">
        <w:rPr>
          <w:rFonts w:ascii="Arial" w:hAnsi="Arial" w:cs="Arial"/>
          <w:bCs/>
        </w:rPr>
        <w:t>.</w:t>
      </w:r>
      <w:r w:rsidRPr="00E04C25">
        <w:rPr>
          <w:rFonts w:ascii="Arial" w:hAnsi="Arial" w:cs="Arial"/>
        </w:rPr>
        <w:t xml:space="preserve"> Jejich počet meziročně </w:t>
      </w:r>
      <w:r w:rsidRPr="00E04C25">
        <w:rPr>
          <w:rFonts w:ascii="Arial" w:hAnsi="Arial" w:cs="Arial"/>
          <w:b/>
        </w:rPr>
        <w:t xml:space="preserve">vzrostl </w:t>
      </w:r>
      <w:r w:rsidRPr="00E04C25">
        <w:rPr>
          <w:rFonts w:ascii="Arial" w:hAnsi="Arial" w:cs="Arial"/>
        </w:rPr>
        <w:t>absolutně</w:t>
      </w:r>
      <w:r w:rsidRPr="00E04C25">
        <w:rPr>
          <w:rFonts w:ascii="Arial" w:hAnsi="Arial" w:cs="Arial"/>
          <w:b/>
        </w:rPr>
        <w:t xml:space="preserve"> </w:t>
      </w:r>
      <w:r w:rsidRPr="00E04C25">
        <w:rPr>
          <w:rFonts w:ascii="Arial" w:hAnsi="Arial" w:cs="Arial"/>
          <w:bCs/>
        </w:rPr>
        <w:t>o </w:t>
      </w:r>
      <w:r w:rsidR="0050387D" w:rsidRPr="00E04C25">
        <w:rPr>
          <w:rFonts w:ascii="Arial" w:hAnsi="Arial" w:cs="Arial"/>
          <w:bCs/>
        </w:rPr>
        <w:t>83,0 </w:t>
      </w:r>
      <w:r w:rsidRPr="00E04C25">
        <w:rPr>
          <w:rFonts w:ascii="Arial" w:hAnsi="Arial" w:cs="Arial"/>
          <w:bCs/>
        </w:rPr>
        <w:t xml:space="preserve">tis., v relativním vyjádření </w:t>
      </w:r>
      <w:r w:rsidRPr="00E04C25">
        <w:rPr>
          <w:rFonts w:ascii="Arial" w:hAnsi="Arial" w:cs="Arial"/>
          <w:b/>
          <w:bCs/>
        </w:rPr>
        <w:t>o</w:t>
      </w:r>
      <w:r w:rsidRPr="00E04C25">
        <w:rPr>
          <w:rFonts w:ascii="Arial" w:hAnsi="Arial" w:cs="Arial"/>
          <w:bCs/>
        </w:rPr>
        <w:t> </w:t>
      </w:r>
      <w:r w:rsidRPr="00E04C25">
        <w:rPr>
          <w:rFonts w:ascii="Arial" w:hAnsi="Arial" w:cs="Arial"/>
          <w:b/>
          <w:bCs/>
        </w:rPr>
        <w:t>1,</w:t>
      </w:r>
      <w:r w:rsidR="0050387D" w:rsidRPr="00E04C25">
        <w:rPr>
          <w:rFonts w:ascii="Arial" w:hAnsi="Arial" w:cs="Arial"/>
          <w:b/>
          <w:bCs/>
        </w:rPr>
        <w:t>6</w:t>
      </w:r>
      <w:r w:rsidRPr="00E04C25">
        <w:rPr>
          <w:rFonts w:ascii="Arial" w:hAnsi="Arial" w:cs="Arial"/>
          <w:b/>
          <w:bCs/>
        </w:rPr>
        <w:t> %</w:t>
      </w:r>
      <w:r w:rsidR="005210CE" w:rsidRPr="00E04C25">
        <w:rPr>
          <w:rFonts w:ascii="Arial" w:hAnsi="Arial" w:cs="Arial"/>
          <w:b/>
          <w:bCs/>
        </w:rPr>
        <w:t xml:space="preserve">, </w:t>
      </w:r>
      <w:r w:rsidR="005210CE" w:rsidRPr="00E04C25">
        <w:rPr>
          <w:rFonts w:ascii="Arial" w:hAnsi="Arial" w:cs="Arial"/>
          <w:bCs/>
        </w:rPr>
        <w:t>nepatrně pomaleji než v roce 2016 (1,9 %)</w:t>
      </w:r>
      <w:r w:rsidRPr="00E04C25">
        <w:rPr>
          <w:rFonts w:ascii="Arial" w:hAnsi="Arial" w:cs="Arial"/>
        </w:rPr>
        <w:t xml:space="preserve">. </w:t>
      </w:r>
      <w:r w:rsidR="00051A22" w:rsidRPr="00E04C25">
        <w:rPr>
          <w:rFonts w:ascii="Arial" w:hAnsi="Arial" w:cs="Arial"/>
        </w:rPr>
        <w:t>M</w:t>
      </w:r>
      <w:r w:rsidR="00A4288E" w:rsidRPr="00E04C25">
        <w:rPr>
          <w:rFonts w:ascii="Arial" w:hAnsi="Arial" w:cs="Arial"/>
        </w:rPr>
        <w:t xml:space="preserve">eziroční nárůst v 1. čtvrtletí </w:t>
      </w:r>
      <w:r w:rsidR="00051A22" w:rsidRPr="00E04C25">
        <w:rPr>
          <w:rFonts w:ascii="Arial" w:hAnsi="Arial" w:cs="Arial"/>
        </w:rPr>
        <w:t xml:space="preserve">činil </w:t>
      </w:r>
      <w:r w:rsidR="0050387D" w:rsidRPr="00E04C25">
        <w:rPr>
          <w:rFonts w:ascii="Arial" w:hAnsi="Arial" w:cs="Arial"/>
        </w:rPr>
        <w:t>1</w:t>
      </w:r>
      <w:r w:rsidRPr="00E04C25">
        <w:rPr>
          <w:rFonts w:ascii="Arial" w:hAnsi="Arial" w:cs="Arial"/>
        </w:rPr>
        <w:t>,</w:t>
      </w:r>
      <w:r w:rsidR="005A7A9D" w:rsidRPr="00E04C25">
        <w:rPr>
          <w:rFonts w:ascii="Arial" w:hAnsi="Arial" w:cs="Arial"/>
        </w:rPr>
        <w:t>6</w:t>
      </w:r>
      <w:r w:rsidRPr="00E04C25">
        <w:rPr>
          <w:rFonts w:ascii="Arial" w:hAnsi="Arial" w:cs="Arial"/>
        </w:rPr>
        <w:t> %, ve 2. čtvrtletí 1,</w:t>
      </w:r>
      <w:r w:rsidR="005A7A9D" w:rsidRPr="00E04C25">
        <w:rPr>
          <w:rFonts w:ascii="Arial" w:hAnsi="Arial" w:cs="Arial"/>
        </w:rPr>
        <w:t>3</w:t>
      </w:r>
      <w:r w:rsidRPr="00E04C25">
        <w:rPr>
          <w:rFonts w:ascii="Arial" w:hAnsi="Arial" w:cs="Arial"/>
        </w:rPr>
        <w:t> %, ve 3. čtvrtletí z</w:t>
      </w:r>
      <w:r w:rsidR="00A4288E" w:rsidRPr="00E04C25">
        <w:rPr>
          <w:rFonts w:ascii="Arial" w:hAnsi="Arial" w:cs="Arial"/>
        </w:rPr>
        <w:t>rychlil</w:t>
      </w:r>
      <w:r w:rsidRPr="00E04C25">
        <w:rPr>
          <w:rFonts w:ascii="Arial" w:hAnsi="Arial" w:cs="Arial"/>
        </w:rPr>
        <w:t xml:space="preserve"> na </w:t>
      </w:r>
      <w:r w:rsidR="0050387D" w:rsidRPr="00E04C25">
        <w:rPr>
          <w:rFonts w:ascii="Arial" w:hAnsi="Arial" w:cs="Arial"/>
        </w:rPr>
        <w:t>2</w:t>
      </w:r>
      <w:r w:rsidRPr="00E04C25">
        <w:rPr>
          <w:rFonts w:ascii="Arial" w:hAnsi="Arial" w:cs="Arial"/>
        </w:rPr>
        <w:t>,</w:t>
      </w:r>
      <w:r w:rsidR="0050387D" w:rsidRPr="00E04C25">
        <w:rPr>
          <w:rFonts w:ascii="Arial" w:hAnsi="Arial" w:cs="Arial"/>
        </w:rPr>
        <w:t>0</w:t>
      </w:r>
      <w:r w:rsidRPr="00E04C25">
        <w:rPr>
          <w:rFonts w:ascii="Arial" w:hAnsi="Arial" w:cs="Arial"/>
        </w:rPr>
        <w:t xml:space="preserve"> % a ve 4. čtvrtletí </w:t>
      </w:r>
      <w:r w:rsidR="0050387D" w:rsidRPr="00E04C25">
        <w:rPr>
          <w:rFonts w:ascii="Arial" w:hAnsi="Arial" w:cs="Arial"/>
        </w:rPr>
        <w:t xml:space="preserve">zpomalil </w:t>
      </w:r>
      <w:r w:rsidRPr="00E04C25">
        <w:rPr>
          <w:rFonts w:ascii="Arial" w:hAnsi="Arial" w:cs="Arial"/>
        </w:rPr>
        <w:t xml:space="preserve">na </w:t>
      </w:r>
      <w:r w:rsidR="0050387D" w:rsidRPr="00E04C25">
        <w:rPr>
          <w:rFonts w:ascii="Arial" w:hAnsi="Arial" w:cs="Arial"/>
        </w:rPr>
        <w:t>1</w:t>
      </w:r>
      <w:r w:rsidRPr="00E04C25">
        <w:rPr>
          <w:rFonts w:ascii="Arial" w:hAnsi="Arial" w:cs="Arial"/>
        </w:rPr>
        <w:t>,</w:t>
      </w:r>
      <w:r w:rsidR="0050387D" w:rsidRPr="00E04C25">
        <w:rPr>
          <w:rFonts w:ascii="Arial" w:hAnsi="Arial" w:cs="Arial"/>
        </w:rPr>
        <w:t>5</w:t>
      </w:r>
      <w:r w:rsidRPr="00E04C25">
        <w:rPr>
          <w:rFonts w:ascii="Arial" w:hAnsi="Arial" w:cs="Arial"/>
        </w:rPr>
        <w:t> %.</w:t>
      </w:r>
    </w:p>
    <w:p w:rsidR="00E90358" w:rsidRPr="00E04C25" w:rsidRDefault="00E90358" w:rsidP="00304119">
      <w:pPr>
        <w:pStyle w:val="Odstavecseseznamem"/>
        <w:numPr>
          <w:ilvl w:val="0"/>
          <w:numId w:val="16"/>
        </w:numPr>
        <w:tabs>
          <w:tab w:val="center" w:pos="0"/>
          <w:tab w:val="left" w:pos="709"/>
        </w:tabs>
        <w:spacing w:after="60" w:line="360" w:lineRule="auto"/>
        <w:ind w:left="425" w:hanging="425"/>
        <w:jc w:val="both"/>
        <w:rPr>
          <w:rFonts w:ascii="Arial" w:hAnsi="Arial" w:cs="Arial"/>
        </w:rPr>
      </w:pPr>
      <w:r w:rsidRPr="00E04C25">
        <w:rPr>
          <w:rFonts w:ascii="Arial" w:hAnsi="Arial" w:cs="Arial"/>
          <w:bCs/>
        </w:rPr>
        <w:t xml:space="preserve">Počet zaměstnaných </w:t>
      </w:r>
      <w:r w:rsidRPr="00E04C25">
        <w:rPr>
          <w:rFonts w:ascii="Arial" w:hAnsi="Arial" w:cs="Arial"/>
          <w:b/>
          <w:bCs/>
        </w:rPr>
        <w:t xml:space="preserve">žen vzrostl </w:t>
      </w:r>
      <w:r w:rsidRPr="00E04C25">
        <w:rPr>
          <w:rFonts w:ascii="Arial" w:hAnsi="Arial" w:cs="Arial"/>
          <w:bCs/>
        </w:rPr>
        <w:t>o 43,9 tis.</w:t>
      </w:r>
      <w:r w:rsidRPr="00E04C25">
        <w:rPr>
          <w:rFonts w:ascii="Arial" w:hAnsi="Arial" w:cs="Arial"/>
          <w:b/>
          <w:bCs/>
        </w:rPr>
        <w:t xml:space="preserve"> na </w:t>
      </w:r>
      <w:r w:rsidRPr="00E04C25">
        <w:rPr>
          <w:rFonts w:ascii="Arial" w:hAnsi="Arial" w:cs="Arial"/>
          <w:b/>
        </w:rPr>
        <w:t xml:space="preserve">2 305,8, </w:t>
      </w:r>
      <w:r w:rsidRPr="00E04C25">
        <w:rPr>
          <w:rFonts w:ascii="Arial" w:hAnsi="Arial" w:cs="Arial"/>
        </w:rPr>
        <w:t>počet p</w:t>
      </w:r>
      <w:r w:rsidRPr="00E04C25">
        <w:rPr>
          <w:rFonts w:ascii="Arial" w:hAnsi="Arial" w:cs="Arial"/>
          <w:bCs/>
        </w:rPr>
        <w:t>racujících</w:t>
      </w:r>
      <w:r w:rsidRPr="00E04C25">
        <w:rPr>
          <w:rFonts w:ascii="Arial" w:hAnsi="Arial" w:cs="Arial"/>
          <w:b/>
          <w:bCs/>
        </w:rPr>
        <w:t xml:space="preserve"> mužů </w:t>
      </w:r>
      <w:r w:rsidRPr="00E04C25">
        <w:rPr>
          <w:rFonts w:ascii="Arial" w:hAnsi="Arial" w:cs="Arial"/>
          <w:bCs/>
        </w:rPr>
        <w:t>byl vyšší</w:t>
      </w:r>
      <w:r w:rsidRPr="00E04C25">
        <w:rPr>
          <w:rFonts w:ascii="Arial" w:hAnsi="Arial" w:cs="Arial"/>
          <w:b/>
          <w:bCs/>
        </w:rPr>
        <w:t xml:space="preserve"> </w:t>
      </w:r>
      <w:r w:rsidRPr="00E04C25">
        <w:rPr>
          <w:rFonts w:ascii="Arial" w:hAnsi="Arial" w:cs="Arial"/>
          <w:bCs/>
        </w:rPr>
        <w:t>o 39,1 tis.</w:t>
      </w:r>
      <w:r w:rsidRPr="00E04C25">
        <w:rPr>
          <w:rFonts w:ascii="Arial" w:hAnsi="Arial" w:cs="Arial"/>
          <w:b/>
          <w:bCs/>
        </w:rPr>
        <w:t xml:space="preserve"> </w:t>
      </w:r>
      <w:r w:rsidRPr="00E04C25">
        <w:rPr>
          <w:rFonts w:ascii="Arial" w:hAnsi="Arial" w:cs="Arial"/>
          <w:bCs/>
        </w:rPr>
        <w:t>a jejich počet dosáhl</w:t>
      </w:r>
      <w:r w:rsidRPr="00E04C25">
        <w:rPr>
          <w:rFonts w:ascii="Arial" w:hAnsi="Arial" w:cs="Arial"/>
          <w:b/>
          <w:bCs/>
        </w:rPr>
        <w:t xml:space="preserve"> </w:t>
      </w:r>
      <w:r w:rsidRPr="00E04C25">
        <w:rPr>
          <w:rFonts w:ascii="Arial" w:hAnsi="Arial" w:cs="Arial"/>
          <w:b/>
        </w:rPr>
        <w:t>2 915,8</w:t>
      </w:r>
      <w:r w:rsidRPr="00E04C25">
        <w:rPr>
          <w:rFonts w:ascii="Arial" w:hAnsi="Arial" w:cs="Arial"/>
          <w:b/>
          <w:bCs/>
        </w:rPr>
        <w:t xml:space="preserve"> tis. Z</w:t>
      </w:r>
      <w:r w:rsidRPr="00E04C25">
        <w:rPr>
          <w:rFonts w:ascii="Arial" w:hAnsi="Arial" w:cs="Arial"/>
          <w:b/>
        </w:rPr>
        <w:t>astoupení mužů</w:t>
      </w:r>
      <w:r w:rsidRPr="00E04C25">
        <w:rPr>
          <w:rFonts w:ascii="Arial" w:hAnsi="Arial" w:cs="Arial"/>
        </w:rPr>
        <w:t xml:space="preserve"> mezi zaměstnanými se </w:t>
      </w:r>
      <w:r w:rsidRPr="00E04C25">
        <w:rPr>
          <w:rFonts w:ascii="Arial" w:hAnsi="Arial" w:cs="Arial"/>
          <w:b/>
        </w:rPr>
        <w:t>snížilo na</w:t>
      </w:r>
      <w:r w:rsidRPr="00E04C25">
        <w:rPr>
          <w:rFonts w:ascii="Arial" w:hAnsi="Arial" w:cs="Arial"/>
        </w:rPr>
        <w:t xml:space="preserve"> </w:t>
      </w:r>
      <w:r w:rsidRPr="00E04C25">
        <w:rPr>
          <w:rFonts w:ascii="Arial" w:hAnsi="Arial" w:cs="Arial"/>
          <w:b/>
        </w:rPr>
        <w:t>55,8 % a žen vzrostlo na 44,2 %.</w:t>
      </w:r>
    </w:p>
    <w:p w:rsidR="00A4288E" w:rsidRPr="00E04C25" w:rsidRDefault="00762875" w:rsidP="00304119">
      <w:pPr>
        <w:pStyle w:val="Odstavecseseznamem"/>
        <w:numPr>
          <w:ilvl w:val="0"/>
          <w:numId w:val="16"/>
        </w:numPr>
        <w:tabs>
          <w:tab w:val="center" w:pos="0"/>
          <w:tab w:val="left" w:pos="709"/>
        </w:tabs>
        <w:spacing w:after="60" w:line="360" w:lineRule="auto"/>
        <w:ind w:left="425" w:hanging="425"/>
        <w:jc w:val="both"/>
        <w:rPr>
          <w:rFonts w:ascii="Arial" w:hAnsi="Arial" w:cs="Arial"/>
        </w:rPr>
      </w:pPr>
      <w:r w:rsidRPr="00E04C25">
        <w:rPr>
          <w:rFonts w:ascii="Arial" w:hAnsi="Arial" w:cs="Arial"/>
        </w:rPr>
        <w:t xml:space="preserve">Zaměstnanost </w:t>
      </w:r>
      <w:r w:rsidRPr="00E04C25">
        <w:rPr>
          <w:rFonts w:ascii="Arial" w:hAnsi="Arial" w:cs="Arial"/>
          <w:b/>
        </w:rPr>
        <w:t>v primárním sektoru</w:t>
      </w:r>
      <w:r w:rsidRPr="00E04C25">
        <w:rPr>
          <w:rFonts w:ascii="Arial" w:hAnsi="Arial" w:cs="Arial"/>
        </w:rPr>
        <w:t xml:space="preserve"> se </w:t>
      </w:r>
      <w:r w:rsidR="00A4288E" w:rsidRPr="00E04C25">
        <w:rPr>
          <w:rFonts w:ascii="Arial" w:hAnsi="Arial" w:cs="Arial"/>
        </w:rPr>
        <w:t xml:space="preserve">meziročně </w:t>
      </w:r>
      <w:r w:rsidR="00E90358" w:rsidRPr="00E04C25">
        <w:rPr>
          <w:rFonts w:ascii="Arial" w:hAnsi="Arial" w:cs="Arial"/>
          <w:b/>
        </w:rPr>
        <w:t xml:space="preserve">snížila </w:t>
      </w:r>
      <w:r w:rsidR="00A4288E" w:rsidRPr="00E04C25">
        <w:rPr>
          <w:rFonts w:ascii="Arial" w:hAnsi="Arial" w:cs="Arial"/>
        </w:rPr>
        <w:t>o </w:t>
      </w:r>
      <w:r w:rsidR="00E90358" w:rsidRPr="00E04C25">
        <w:rPr>
          <w:rFonts w:ascii="Arial" w:hAnsi="Arial" w:cs="Arial"/>
        </w:rPr>
        <w:t>2</w:t>
      </w:r>
      <w:r w:rsidR="00A4288E" w:rsidRPr="00E04C25">
        <w:rPr>
          <w:rFonts w:ascii="Arial" w:hAnsi="Arial" w:cs="Arial"/>
        </w:rPr>
        <w:t>,</w:t>
      </w:r>
      <w:r w:rsidR="00E90358" w:rsidRPr="00E04C25">
        <w:rPr>
          <w:rFonts w:ascii="Arial" w:hAnsi="Arial" w:cs="Arial"/>
        </w:rPr>
        <w:t>8</w:t>
      </w:r>
      <w:r w:rsidR="00A4288E" w:rsidRPr="00E04C25">
        <w:rPr>
          <w:rFonts w:ascii="Arial" w:hAnsi="Arial" w:cs="Arial"/>
        </w:rPr>
        <w:t xml:space="preserve"> tis. </w:t>
      </w:r>
      <w:r w:rsidR="00A4288E" w:rsidRPr="00E04C25">
        <w:rPr>
          <w:rFonts w:ascii="Arial" w:hAnsi="Arial" w:cs="Arial"/>
          <w:b/>
        </w:rPr>
        <w:t>na 14</w:t>
      </w:r>
      <w:r w:rsidR="00E90358" w:rsidRPr="00E04C25">
        <w:rPr>
          <w:rFonts w:ascii="Arial" w:hAnsi="Arial" w:cs="Arial"/>
          <w:b/>
        </w:rPr>
        <w:t>6</w:t>
      </w:r>
      <w:r w:rsidR="00A4288E" w:rsidRPr="00E04C25">
        <w:rPr>
          <w:rFonts w:ascii="Arial" w:hAnsi="Arial" w:cs="Arial"/>
          <w:b/>
        </w:rPr>
        <w:t>,</w:t>
      </w:r>
      <w:r w:rsidR="00E90358" w:rsidRPr="00E04C25">
        <w:rPr>
          <w:rFonts w:ascii="Arial" w:hAnsi="Arial" w:cs="Arial"/>
          <w:b/>
        </w:rPr>
        <w:t>3</w:t>
      </w:r>
      <w:r w:rsidR="00A4288E" w:rsidRPr="00E04C25">
        <w:rPr>
          <w:rFonts w:ascii="Arial" w:hAnsi="Arial" w:cs="Arial"/>
          <w:b/>
        </w:rPr>
        <w:t xml:space="preserve"> tis. osob. </w:t>
      </w:r>
    </w:p>
    <w:p w:rsidR="009069B7" w:rsidRPr="00E04C25" w:rsidRDefault="00762875" w:rsidP="00304119">
      <w:pPr>
        <w:pStyle w:val="Odstavecseseznamem"/>
        <w:numPr>
          <w:ilvl w:val="0"/>
          <w:numId w:val="16"/>
        </w:numPr>
        <w:tabs>
          <w:tab w:val="left" w:pos="709"/>
        </w:tabs>
        <w:spacing w:after="60" w:line="360" w:lineRule="auto"/>
        <w:ind w:left="425" w:hanging="425"/>
        <w:jc w:val="both"/>
        <w:rPr>
          <w:rFonts w:ascii="Arial" w:hAnsi="Arial" w:cs="Arial"/>
        </w:rPr>
      </w:pPr>
      <w:r w:rsidRPr="00E04C25">
        <w:rPr>
          <w:rFonts w:ascii="Arial" w:hAnsi="Arial" w:cs="Arial"/>
        </w:rPr>
        <w:t xml:space="preserve">Na celkovém nárůstu zaměstnanosti se podílel </w:t>
      </w:r>
      <w:r w:rsidRPr="00E04C25">
        <w:rPr>
          <w:rFonts w:ascii="Arial" w:hAnsi="Arial" w:cs="Arial"/>
          <w:b/>
        </w:rPr>
        <w:t xml:space="preserve">sekundární sektor </w:t>
      </w:r>
      <w:r w:rsidRPr="00E04C25">
        <w:rPr>
          <w:rFonts w:ascii="Arial" w:hAnsi="Arial" w:cs="Arial"/>
        </w:rPr>
        <w:t xml:space="preserve">(průmysl vč. stavebnictví), v němž </w:t>
      </w:r>
      <w:r w:rsidRPr="00E04C25">
        <w:rPr>
          <w:rFonts w:ascii="Arial" w:hAnsi="Arial" w:cs="Arial"/>
          <w:b/>
          <w:bCs/>
        </w:rPr>
        <w:t xml:space="preserve">zaměstnanost meziročně </w:t>
      </w:r>
      <w:r w:rsidR="00A4288E" w:rsidRPr="00E04C25">
        <w:rPr>
          <w:rFonts w:ascii="Arial" w:hAnsi="Arial" w:cs="Arial"/>
          <w:b/>
          <w:bCs/>
        </w:rPr>
        <w:t xml:space="preserve">vzrostla </w:t>
      </w:r>
      <w:r w:rsidR="00A4288E" w:rsidRPr="00E04C25">
        <w:rPr>
          <w:rFonts w:ascii="Arial" w:hAnsi="Arial" w:cs="Arial"/>
          <w:bCs/>
        </w:rPr>
        <w:t>o 3</w:t>
      </w:r>
      <w:r w:rsidR="00E90358" w:rsidRPr="00E04C25">
        <w:rPr>
          <w:rFonts w:ascii="Arial" w:hAnsi="Arial" w:cs="Arial"/>
          <w:bCs/>
        </w:rPr>
        <w:t>0</w:t>
      </w:r>
      <w:r w:rsidR="00A4288E" w:rsidRPr="00E04C25">
        <w:rPr>
          <w:rFonts w:ascii="Arial" w:hAnsi="Arial" w:cs="Arial"/>
          <w:bCs/>
        </w:rPr>
        <w:t>,</w:t>
      </w:r>
      <w:r w:rsidR="00E90358" w:rsidRPr="00E04C25">
        <w:rPr>
          <w:rFonts w:ascii="Arial" w:hAnsi="Arial" w:cs="Arial"/>
          <w:bCs/>
        </w:rPr>
        <w:t>8</w:t>
      </w:r>
      <w:r w:rsidR="00A4288E" w:rsidRPr="00E04C25">
        <w:rPr>
          <w:rFonts w:ascii="Arial" w:hAnsi="Arial" w:cs="Arial"/>
          <w:bCs/>
        </w:rPr>
        <w:t xml:space="preserve"> tis. </w:t>
      </w:r>
      <w:r w:rsidR="00A4288E" w:rsidRPr="00E04C25">
        <w:rPr>
          <w:rFonts w:ascii="Arial" w:hAnsi="Arial" w:cs="Arial"/>
          <w:b/>
          <w:bCs/>
        </w:rPr>
        <w:t>na 1 9</w:t>
      </w:r>
      <w:r w:rsidR="00E90358" w:rsidRPr="00E04C25">
        <w:rPr>
          <w:rFonts w:ascii="Arial" w:hAnsi="Arial" w:cs="Arial"/>
          <w:b/>
          <w:bCs/>
        </w:rPr>
        <w:t>86</w:t>
      </w:r>
      <w:r w:rsidR="00A4288E" w:rsidRPr="00E04C25">
        <w:rPr>
          <w:rFonts w:ascii="Arial" w:hAnsi="Arial" w:cs="Arial"/>
          <w:b/>
          <w:bCs/>
        </w:rPr>
        <w:t>,</w:t>
      </w:r>
      <w:r w:rsidR="00E90358" w:rsidRPr="00E04C25">
        <w:rPr>
          <w:rFonts w:ascii="Arial" w:hAnsi="Arial" w:cs="Arial"/>
          <w:b/>
          <w:bCs/>
        </w:rPr>
        <w:t>9</w:t>
      </w:r>
      <w:r w:rsidR="009935AC" w:rsidRPr="00E04C25">
        <w:rPr>
          <w:rFonts w:ascii="Arial" w:hAnsi="Arial" w:cs="Arial"/>
          <w:b/>
          <w:bCs/>
        </w:rPr>
        <w:t> </w:t>
      </w:r>
      <w:r w:rsidR="00A4288E" w:rsidRPr="00E04C25">
        <w:rPr>
          <w:rFonts w:ascii="Arial" w:hAnsi="Arial" w:cs="Arial"/>
          <w:b/>
          <w:bCs/>
        </w:rPr>
        <w:t>tis. osob</w:t>
      </w:r>
      <w:r w:rsidR="00A4288E" w:rsidRPr="00E04C25">
        <w:rPr>
          <w:rFonts w:ascii="Arial" w:hAnsi="Arial" w:cs="Arial"/>
          <w:bCs/>
        </w:rPr>
        <w:t xml:space="preserve">. </w:t>
      </w:r>
      <w:r w:rsidRPr="00E04C25">
        <w:rPr>
          <w:rFonts w:ascii="Arial" w:hAnsi="Arial" w:cs="Arial"/>
          <w:b/>
        </w:rPr>
        <w:t xml:space="preserve">Na nárůstu </w:t>
      </w:r>
      <w:r w:rsidRPr="00E04C25">
        <w:rPr>
          <w:rFonts w:ascii="Arial" w:hAnsi="Arial" w:cs="Arial"/>
        </w:rPr>
        <w:t xml:space="preserve">se podílel </w:t>
      </w:r>
      <w:r w:rsidR="009069B7" w:rsidRPr="00E04C25">
        <w:rPr>
          <w:rFonts w:ascii="Arial" w:hAnsi="Arial" w:cs="Arial"/>
        </w:rPr>
        <w:t xml:space="preserve">především </w:t>
      </w:r>
      <w:r w:rsidRPr="00E04C25">
        <w:rPr>
          <w:rFonts w:ascii="Arial" w:hAnsi="Arial" w:cs="Arial"/>
          <w:b/>
        </w:rPr>
        <w:t xml:space="preserve">průmysl, </w:t>
      </w:r>
      <w:r w:rsidRPr="00E04C25">
        <w:rPr>
          <w:rFonts w:ascii="Arial" w:hAnsi="Arial" w:cs="Arial"/>
        </w:rPr>
        <w:t>kde se</w:t>
      </w:r>
      <w:r w:rsidRPr="00E04C25">
        <w:rPr>
          <w:rFonts w:ascii="Arial" w:hAnsi="Arial" w:cs="Arial"/>
          <w:b/>
        </w:rPr>
        <w:t xml:space="preserve"> zvýšil </w:t>
      </w:r>
      <w:r w:rsidRPr="00E04C25">
        <w:rPr>
          <w:rFonts w:ascii="Arial" w:hAnsi="Arial" w:cs="Arial"/>
          <w:bCs/>
        </w:rPr>
        <w:t xml:space="preserve">počet </w:t>
      </w:r>
      <w:r w:rsidR="005210CE" w:rsidRPr="00E04C25">
        <w:rPr>
          <w:rFonts w:ascii="Arial" w:hAnsi="Arial" w:cs="Arial"/>
          <w:bCs/>
        </w:rPr>
        <w:t>pracujících</w:t>
      </w:r>
      <w:r w:rsidRPr="00E04C25">
        <w:rPr>
          <w:rFonts w:ascii="Arial" w:hAnsi="Arial" w:cs="Arial"/>
          <w:bCs/>
        </w:rPr>
        <w:t xml:space="preserve"> </w:t>
      </w:r>
      <w:r w:rsidR="009935AC" w:rsidRPr="00E04C25">
        <w:rPr>
          <w:rFonts w:ascii="Arial" w:hAnsi="Arial" w:cs="Arial"/>
        </w:rPr>
        <w:t>o 25</w:t>
      </w:r>
      <w:r w:rsidR="00A4288E" w:rsidRPr="00E04C25">
        <w:rPr>
          <w:rFonts w:ascii="Arial" w:hAnsi="Arial" w:cs="Arial"/>
        </w:rPr>
        <w:t>,</w:t>
      </w:r>
      <w:r w:rsidR="009935AC" w:rsidRPr="00E04C25">
        <w:rPr>
          <w:rFonts w:ascii="Arial" w:hAnsi="Arial" w:cs="Arial"/>
        </w:rPr>
        <w:t>2</w:t>
      </w:r>
      <w:r w:rsidR="00A4288E" w:rsidRPr="00E04C25">
        <w:rPr>
          <w:rFonts w:ascii="Arial" w:hAnsi="Arial" w:cs="Arial"/>
        </w:rPr>
        <w:t> tis.</w:t>
      </w:r>
      <w:r w:rsidR="00A4288E" w:rsidRPr="00E04C25">
        <w:rPr>
          <w:rFonts w:ascii="Arial" w:hAnsi="Arial" w:cs="Arial"/>
          <w:b/>
        </w:rPr>
        <w:t xml:space="preserve"> na </w:t>
      </w:r>
      <w:r w:rsidR="00A4288E" w:rsidRPr="00E04C25">
        <w:rPr>
          <w:rFonts w:ascii="Arial" w:hAnsi="Arial" w:cs="Arial"/>
          <w:b/>
          <w:bCs/>
        </w:rPr>
        <w:t>1 5</w:t>
      </w:r>
      <w:r w:rsidR="009935AC" w:rsidRPr="00E04C25">
        <w:rPr>
          <w:rFonts w:ascii="Arial" w:hAnsi="Arial" w:cs="Arial"/>
          <w:b/>
          <w:bCs/>
        </w:rPr>
        <w:t>95</w:t>
      </w:r>
      <w:r w:rsidR="00A4288E" w:rsidRPr="00E04C25">
        <w:rPr>
          <w:rFonts w:ascii="Arial" w:hAnsi="Arial" w:cs="Arial"/>
          <w:b/>
          <w:bCs/>
        </w:rPr>
        <w:t>,</w:t>
      </w:r>
      <w:r w:rsidR="009935AC" w:rsidRPr="00E04C25">
        <w:rPr>
          <w:rFonts w:ascii="Arial" w:hAnsi="Arial" w:cs="Arial"/>
          <w:b/>
          <w:bCs/>
        </w:rPr>
        <w:t>0</w:t>
      </w:r>
      <w:r w:rsidR="00A4288E" w:rsidRPr="00E04C25">
        <w:rPr>
          <w:rFonts w:ascii="Arial" w:hAnsi="Arial" w:cs="Arial"/>
          <w:b/>
          <w:bCs/>
        </w:rPr>
        <w:t xml:space="preserve"> tis.</w:t>
      </w:r>
      <w:r w:rsidR="009069B7" w:rsidRPr="00E04C25">
        <w:rPr>
          <w:rFonts w:ascii="Arial" w:hAnsi="Arial" w:cs="Arial"/>
          <w:bCs/>
        </w:rPr>
        <w:t xml:space="preserve"> </w:t>
      </w:r>
      <w:r w:rsidRPr="00E04C25">
        <w:rPr>
          <w:rFonts w:ascii="Arial" w:hAnsi="Arial" w:cs="Arial"/>
        </w:rPr>
        <w:t xml:space="preserve">Zaměstnanost ve </w:t>
      </w:r>
      <w:r w:rsidRPr="00E04C25">
        <w:rPr>
          <w:rFonts w:ascii="Arial" w:hAnsi="Arial" w:cs="Arial"/>
          <w:b/>
        </w:rPr>
        <w:t xml:space="preserve">stavebnictví </w:t>
      </w:r>
      <w:r w:rsidR="00BA47D6" w:rsidRPr="00E04C25">
        <w:rPr>
          <w:rFonts w:ascii="Arial" w:hAnsi="Arial" w:cs="Arial"/>
        </w:rPr>
        <w:t xml:space="preserve">vzrostla </w:t>
      </w:r>
      <w:r w:rsidR="00A4288E" w:rsidRPr="00E04C25">
        <w:rPr>
          <w:rFonts w:ascii="Arial" w:hAnsi="Arial" w:cs="Arial"/>
        </w:rPr>
        <w:t>o </w:t>
      </w:r>
      <w:r w:rsidR="00BA47D6" w:rsidRPr="00E04C25">
        <w:rPr>
          <w:rFonts w:ascii="Arial" w:hAnsi="Arial" w:cs="Arial"/>
        </w:rPr>
        <w:t>5</w:t>
      </w:r>
      <w:r w:rsidR="00A4288E" w:rsidRPr="00E04C25">
        <w:rPr>
          <w:rFonts w:ascii="Arial" w:hAnsi="Arial" w:cs="Arial"/>
        </w:rPr>
        <w:t>,</w:t>
      </w:r>
      <w:r w:rsidR="00BA47D6" w:rsidRPr="00E04C25">
        <w:rPr>
          <w:rFonts w:ascii="Arial" w:hAnsi="Arial" w:cs="Arial"/>
        </w:rPr>
        <w:t>6</w:t>
      </w:r>
      <w:r w:rsidR="00A4288E" w:rsidRPr="00E04C25">
        <w:rPr>
          <w:rFonts w:ascii="Arial" w:hAnsi="Arial" w:cs="Arial"/>
        </w:rPr>
        <w:t> tis.</w:t>
      </w:r>
      <w:r w:rsidR="00A4288E" w:rsidRPr="00E04C25">
        <w:rPr>
          <w:rFonts w:ascii="Arial" w:hAnsi="Arial" w:cs="Arial"/>
          <w:b/>
        </w:rPr>
        <w:t xml:space="preserve"> na</w:t>
      </w:r>
      <w:r w:rsidR="00A4288E" w:rsidRPr="00E04C25">
        <w:rPr>
          <w:rFonts w:ascii="Arial" w:hAnsi="Arial" w:cs="Arial"/>
        </w:rPr>
        <w:t xml:space="preserve"> </w:t>
      </w:r>
      <w:r w:rsidR="00A4288E" w:rsidRPr="00E04C25">
        <w:rPr>
          <w:rFonts w:ascii="Arial" w:hAnsi="Arial" w:cs="Arial"/>
          <w:b/>
        </w:rPr>
        <w:t>3</w:t>
      </w:r>
      <w:r w:rsidR="00BA47D6" w:rsidRPr="00E04C25">
        <w:rPr>
          <w:rFonts w:ascii="Arial" w:hAnsi="Arial" w:cs="Arial"/>
          <w:b/>
        </w:rPr>
        <w:t>91</w:t>
      </w:r>
      <w:r w:rsidR="00A4288E" w:rsidRPr="00E04C25">
        <w:rPr>
          <w:rFonts w:ascii="Arial" w:hAnsi="Arial" w:cs="Arial"/>
          <w:b/>
        </w:rPr>
        <w:t>,</w:t>
      </w:r>
      <w:r w:rsidR="00BA47D6" w:rsidRPr="00E04C25">
        <w:rPr>
          <w:rFonts w:ascii="Arial" w:hAnsi="Arial" w:cs="Arial"/>
          <w:b/>
        </w:rPr>
        <w:t>9</w:t>
      </w:r>
      <w:r w:rsidR="00A4288E" w:rsidRPr="00E04C25">
        <w:rPr>
          <w:rFonts w:ascii="Arial" w:hAnsi="Arial" w:cs="Arial"/>
          <w:b/>
        </w:rPr>
        <w:t xml:space="preserve"> tis. osob. </w:t>
      </w:r>
    </w:p>
    <w:p w:rsidR="00762875" w:rsidRPr="00E04C25" w:rsidRDefault="00762875" w:rsidP="00304119">
      <w:pPr>
        <w:pStyle w:val="Odstavecseseznamem"/>
        <w:numPr>
          <w:ilvl w:val="0"/>
          <w:numId w:val="16"/>
        </w:numPr>
        <w:tabs>
          <w:tab w:val="left" w:pos="709"/>
        </w:tabs>
        <w:spacing w:after="60" w:line="360" w:lineRule="auto"/>
        <w:ind w:left="425" w:hanging="425"/>
        <w:jc w:val="both"/>
        <w:rPr>
          <w:rFonts w:ascii="Arial" w:hAnsi="Arial" w:cs="Arial"/>
        </w:rPr>
      </w:pPr>
      <w:r w:rsidRPr="00E04C25">
        <w:rPr>
          <w:rFonts w:ascii="Arial" w:hAnsi="Arial" w:cs="Arial"/>
          <w:b/>
          <w:bCs/>
        </w:rPr>
        <w:t xml:space="preserve">V terciárním sektoru služeb </w:t>
      </w:r>
      <w:r w:rsidRPr="00E04C25">
        <w:rPr>
          <w:rFonts w:ascii="Arial" w:hAnsi="Arial" w:cs="Arial"/>
          <w:bCs/>
        </w:rPr>
        <w:t xml:space="preserve">zaměstnanost </w:t>
      </w:r>
      <w:r w:rsidR="005210CE" w:rsidRPr="00E04C25">
        <w:rPr>
          <w:rFonts w:ascii="Arial" w:hAnsi="Arial" w:cs="Arial"/>
          <w:b/>
          <w:bCs/>
        </w:rPr>
        <w:t>vzrostla</w:t>
      </w:r>
      <w:r w:rsidRPr="00E04C25">
        <w:rPr>
          <w:rFonts w:ascii="Arial" w:hAnsi="Arial" w:cs="Arial"/>
          <w:b/>
          <w:bCs/>
        </w:rPr>
        <w:t xml:space="preserve"> </w:t>
      </w:r>
      <w:r w:rsidR="00A4288E" w:rsidRPr="00E04C25">
        <w:rPr>
          <w:rFonts w:ascii="Arial" w:hAnsi="Arial" w:cs="Arial"/>
          <w:bCs/>
        </w:rPr>
        <w:t>o 5</w:t>
      </w:r>
      <w:r w:rsidR="00BA47D6" w:rsidRPr="00E04C25">
        <w:rPr>
          <w:rFonts w:ascii="Arial" w:hAnsi="Arial" w:cs="Arial"/>
          <w:bCs/>
        </w:rPr>
        <w:t>4</w:t>
      </w:r>
      <w:r w:rsidR="00A4288E" w:rsidRPr="00E04C25">
        <w:rPr>
          <w:rFonts w:ascii="Arial" w:hAnsi="Arial" w:cs="Arial"/>
          <w:bCs/>
        </w:rPr>
        <w:t>,</w:t>
      </w:r>
      <w:r w:rsidR="00BA47D6" w:rsidRPr="00E04C25">
        <w:rPr>
          <w:rFonts w:ascii="Arial" w:hAnsi="Arial" w:cs="Arial"/>
          <w:bCs/>
        </w:rPr>
        <w:t>7</w:t>
      </w:r>
      <w:r w:rsidR="00A4288E" w:rsidRPr="00E04C25">
        <w:rPr>
          <w:rFonts w:ascii="Arial" w:hAnsi="Arial" w:cs="Arial"/>
          <w:bCs/>
        </w:rPr>
        <w:t xml:space="preserve"> tis.</w:t>
      </w:r>
      <w:r w:rsidR="00A4288E" w:rsidRPr="00E04C25">
        <w:rPr>
          <w:rFonts w:ascii="Arial" w:hAnsi="Arial" w:cs="Arial"/>
          <w:b/>
          <w:bCs/>
        </w:rPr>
        <w:t xml:space="preserve"> </w:t>
      </w:r>
      <w:r w:rsidR="00A4288E" w:rsidRPr="00E04C25">
        <w:rPr>
          <w:rFonts w:ascii="Arial" w:hAnsi="Arial" w:cs="Arial"/>
          <w:b/>
        </w:rPr>
        <w:t>na</w:t>
      </w:r>
      <w:r w:rsidR="00A4288E" w:rsidRPr="00E04C25">
        <w:rPr>
          <w:rFonts w:ascii="Arial" w:hAnsi="Arial" w:cs="Arial"/>
          <w:b/>
          <w:bCs/>
        </w:rPr>
        <w:t xml:space="preserve"> 3 0</w:t>
      </w:r>
      <w:r w:rsidR="00BA47D6" w:rsidRPr="00E04C25">
        <w:rPr>
          <w:rFonts w:ascii="Arial" w:hAnsi="Arial" w:cs="Arial"/>
          <w:b/>
          <w:bCs/>
        </w:rPr>
        <w:t>87</w:t>
      </w:r>
      <w:r w:rsidR="00A4288E" w:rsidRPr="00E04C25">
        <w:rPr>
          <w:rFonts w:ascii="Arial" w:hAnsi="Arial" w:cs="Arial"/>
          <w:b/>
          <w:bCs/>
        </w:rPr>
        <w:t>,</w:t>
      </w:r>
      <w:r w:rsidR="00BA47D6" w:rsidRPr="00E04C25">
        <w:rPr>
          <w:rFonts w:ascii="Arial" w:hAnsi="Arial" w:cs="Arial"/>
          <w:b/>
          <w:bCs/>
        </w:rPr>
        <w:t>5</w:t>
      </w:r>
      <w:r w:rsidR="00A4288E" w:rsidRPr="00E04C25">
        <w:rPr>
          <w:rFonts w:ascii="Arial" w:hAnsi="Arial" w:cs="Arial"/>
          <w:b/>
          <w:bCs/>
        </w:rPr>
        <w:t> tis. osob</w:t>
      </w:r>
      <w:r w:rsidR="00A4288E" w:rsidRPr="00E04C25">
        <w:rPr>
          <w:rFonts w:ascii="Arial" w:hAnsi="Arial" w:cs="Arial"/>
          <w:bCs/>
        </w:rPr>
        <w:t xml:space="preserve">. </w:t>
      </w:r>
    </w:p>
    <w:p w:rsidR="009069B7" w:rsidRPr="00E04C25" w:rsidRDefault="009069B7" w:rsidP="009069B7">
      <w:pPr>
        <w:pStyle w:val="Odstavecseseznamem"/>
        <w:numPr>
          <w:ilvl w:val="0"/>
          <w:numId w:val="16"/>
        </w:numPr>
        <w:tabs>
          <w:tab w:val="center" w:pos="0"/>
          <w:tab w:val="left" w:pos="709"/>
        </w:tabs>
        <w:spacing w:after="60" w:line="360" w:lineRule="auto"/>
        <w:ind w:left="425" w:hanging="425"/>
        <w:jc w:val="both"/>
        <w:rPr>
          <w:rFonts w:ascii="Arial" w:hAnsi="Arial" w:cs="Arial"/>
        </w:rPr>
      </w:pPr>
      <w:r w:rsidRPr="00E04C25">
        <w:rPr>
          <w:rFonts w:ascii="Arial" w:hAnsi="Arial" w:cs="Arial"/>
          <w:bCs/>
        </w:rPr>
        <w:t>V zastoupení jednotlivých sektorů došlo pouze k nepatrným změnám.</w:t>
      </w:r>
      <w:r w:rsidRPr="00E04C25">
        <w:rPr>
          <w:rFonts w:ascii="Arial" w:hAnsi="Arial" w:cs="Arial"/>
        </w:rPr>
        <w:t xml:space="preserve"> </w:t>
      </w:r>
      <w:r w:rsidRPr="00E04C25">
        <w:rPr>
          <w:rFonts w:ascii="Arial" w:hAnsi="Arial" w:cs="Arial"/>
          <w:b/>
        </w:rPr>
        <w:t>Podíl</w:t>
      </w:r>
      <w:r w:rsidRPr="00E04C25">
        <w:rPr>
          <w:rFonts w:ascii="Arial" w:hAnsi="Arial" w:cs="Arial"/>
        </w:rPr>
        <w:t xml:space="preserve"> </w:t>
      </w:r>
      <w:r w:rsidR="001B4C5E">
        <w:rPr>
          <w:rFonts w:ascii="Arial" w:hAnsi="Arial" w:cs="Arial"/>
          <w:b/>
        </w:rPr>
        <w:t>primární</w:t>
      </w:r>
      <w:r w:rsidRPr="00E04C25">
        <w:rPr>
          <w:rFonts w:ascii="Arial" w:hAnsi="Arial" w:cs="Arial"/>
          <w:b/>
        </w:rPr>
        <w:t>h</w:t>
      </w:r>
      <w:r w:rsidR="001B4C5E">
        <w:rPr>
          <w:rFonts w:ascii="Arial" w:hAnsi="Arial" w:cs="Arial"/>
          <w:b/>
        </w:rPr>
        <w:t>o</w:t>
      </w:r>
      <w:r w:rsidRPr="00E04C25">
        <w:rPr>
          <w:rFonts w:ascii="Arial" w:hAnsi="Arial" w:cs="Arial"/>
          <w:b/>
        </w:rPr>
        <w:t xml:space="preserve"> sektoru</w:t>
      </w:r>
      <w:r w:rsidRPr="00E04C25">
        <w:rPr>
          <w:rFonts w:ascii="Arial" w:hAnsi="Arial" w:cs="Arial"/>
        </w:rPr>
        <w:t xml:space="preserve"> poklesl o 0,1 p. b. na </w:t>
      </w:r>
      <w:r w:rsidRPr="00E04C25">
        <w:rPr>
          <w:rFonts w:ascii="Arial" w:hAnsi="Arial" w:cs="Arial"/>
          <w:b/>
        </w:rPr>
        <w:t>2,8 %</w:t>
      </w:r>
      <w:r w:rsidRPr="00E04C25">
        <w:rPr>
          <w:rFonts w:ascii="Arial" w:hAnsi="Arial" w:cs="Arial"/>
        </w:rPr>
        <w:t xml:space="preserve">, podíl </w:t>
      </w:r>
      <w:r w:rsidRPr="00E04C25">
        <w:rPr>
          <w:rFonts w:ascii="Arial" w:hAnsi="Arial" w:cs="Arial"/>
          <w:b/>
        </w:rPr>
        <w:t>terciárního</w:t>
      </w:r>
      <w:r w:rsidRPr="00E04C25">
        <w:rPr>
          <w:rFonts w:ascii="Arial" w:hAnsi="Arial" w:cs="Arial"/>
        </w:rPr>
        <w:t xml:space="preserve"> se zvýšil o 0,1 p. b. na </w:t>
      </w:r>
      <w:r w:rsidRPr="00E04C25">
        <w:rPr>
          <w:rFonts w:ascii="Arial" w:hAnsi="Arial" w:cs="Arial"/>
          <w:b/>
        </w:rPr>
        <w:t>59,1 %</w:t>
      </w:r>
      <w:r w:rsidRPr="00E04C25">
        <w:rPr>
          <w:rFonts w:ascii="Arial" w:hAnsi="Arial" w:cs="Arial"/>
        </w:rPr>
        <w:t xml:space="preserve">. Zastoupení </w:t>
      </w:r>
      <w:r w:rsidRPr="00E04C25">
        <w:rPr>
          <w:rFonts w:ascii="Arial" w:hAnsi="Arial" w:cs="Arial"/>
          <w:b/>
        </w:rPr>
        <w:t>sekundárního sektoru</w:t>
      </w:r>
      <w:r w:rsidRPr="00E04C25">
        <w:rPr>
          <w:rFonts w:ascii="Arial" w:hAnsi="Arial" w:cs="Arial"/>
        </w:rPr>
        <w:t xml:space="preserve"> zůstalo na stejné hodnotě </w:t>
      </w:r>
      <w:r w:rsidRPr="00E04C25">
        <w:rPr>
          <w:rFonts w:ascii="Arial" w:hAnsi="Arial" w:cs="Arial"/>
          <w:b/>
        </w:rPr>
        <w:t>38,1 %</w:t>
      </w:r>
      <w:r w:rsidRPr="00E04C25">
        <w:rPr>
          <w:rFonts w:ascii="Arial" w:hAnsi="Arial" w:cs="Arial"/>
        </w:rPr>
        <w:t xml:space="preserve">. </w:t>
      </w:r>
    </w:p>
    <w:p w:rsidR="00762875" w:rsidRPr="00E04C25" w:rsidRDefault="00762875" w:rsidP="00304119">
      <w:pPr>
        <w:pStyle w:val="Odstavecseseznamem"/>
        <w:numPr>
          <w:ilvl w:val="0"/>
          <w:numId w:val="16"/>
        </w:numPr>
        <w:tabs>
          <w:tab w:val="left" w:pos="709"/>
        </w:tabs>
        <w:spacing w:after="60" w:line="360" w:lineRule="auto"/>
        <w:ind w:left="425" w:hanging="425"/>
        <w:jc w:val="both"/>
        <w:rPr>
          <w:rFonts w:ascii="Arial" w:hAnsi="Arial" w:cs="Arial"/>
          <w:bCs/>
          <w:iCs/>
        </w:rPr>
      </w:pPr>
      <w:r w:rsidRPr="00E04C25">
        <w:rPr>
          <w:rFonts w:ascii="Arial" w:hAnsi="Arial" w:cs="Arial"/>
        </w:rPr>
        <w:t xml:space="preserve">Počet </w:t>
      </w:r>
      <w:r w:rsidRPr="00E04C25">
        <w:rPr>
          <w:rFonts w:ascii="Arial" w:hAnsi="Arial" w:cs="Arial"/>
          <w:b/>
          <w:bCs/>
        </w:rPr>
        <w:t xml:space="preserve">zaměstnanců, </w:t>
      </w:r>
      <w:r w:rsidRPr="00E04C25">
        <w:rPr>
          <w:rFonts w:ascii="Arial" w:hAnsi="Arial" w:cs="Arial"/>
          <w:bCs/>
        </w:rPr>
        <w:t>kteří</w:t>
      </w:r>
      <w:r w:rsidRPr="00E04C25">
        <w:rPr>
          <w:rFonts w:ascii="Arial" w:hAnsi="Arial" w:cs="Arial"/>
          <w:b/>
          <w:bCs/>
        </w:rPr>
        <w:t xml:space="preserve"> </w:t>
      </w:r>
      <w:r w:rsidRPr="00E04C25">
        <w:rPr>
          <w:rFonts w:ascii="Arial" w:hAnsi="Arial" w:cs="Arial"/>
        </w:rPr>
        <w:t xml:space="preserve">tvoří </w:t>
      </w:r>
      <w:r w:rsidRPr="00E04C25">
        <w:rPr>
          <w:rFonts w:ascii="Arial" w:hAnsi="Arial" w:cs="Arial"/>
          <w:b/>
          <w:bCs/>
        </w:rPr>
        <w:t xml:space="preserve">nejpočetnější skupinu </w:t>
      </w:r>
      <w:r w:rsidR="00AB5EC7" w:rsidRPr="00E04C25">
        <w:rPr>
          <w:rFonts w:ascii="Arial" w:hAnsi="Arial" w:cs="Arial"/>
          <w:b/>
          <w:bCs/>
        </w:rPr>
        <w:t xml:space="preserve">pracujících </w:t>
      </w:r>
      <w:r w:rsidRPr="00E04C25">
        <w:rPr>
          <w:rFonts w:ascii="Arial" w:hAnsi="Arial" w:cs="Arial"/>
          <w:bCs/>
        </w:rPr>
        <w:t>(82,</w:t>
      </w:r>
      <w:r w:rsidR="00BA47D6" w:rsidRPr="00E04C25">
        <w:rPr>
          <w:rFonts w:ascii="Arial" w:hAnsi="Arial" w:cs="Arial"/>
          <w:bCs/>
        </w:rPr>
        <w:t>9</w:t>
      </w:r>
      <w:r w:rsidRPr="00E04C25">
        <w:rPr>
          <w:rFonts w:ascii="Arial" w:hAnsi="Arial" w:cs="Arial"/>
          <w:bCs/>
        </w:rPr>
        <w:t xml:space="preserve"> %), vzrostl </w:t>
      </w:r>
      <w:r w:rsidR="002D2CCC" w:rsidRPr="00E04C25">
        <w:rPr>
          <w:rFonts w:ascii="Arial" w:hAnsi="Arial" w:cs="Arial"/>
          <w:bCs/>
        </w:rPr>
        <w:t>o </w:t>
      </w:r>
      <w:r w:rsidR="00BA47D6" w:rsidRPr="00E04C25">
        <w:rPr>
          <w:rFonts w:ascii="Arial" w:hAnsi="Arial" w:cs="Arial"/>
          <w:bCs/>
        </w:rPr>
        <w:t>70</w:t>
      </w:r>
      <w:r w:rsidR="002D2CCC" w:rsidRPr="00E04C25">
        <w:rPr>
          <w:rFonts w:ascii="Arial" w:hAnsi="Arial" w:cs="Arial"/>
          <w:bCs/>
        </w:rPr>
        <w:t>,</w:t>
      </w:r>
      <w:r w:rsidR="00BA47D6" w:rsidRPr="00E04C25">
        <w:rPr>
          <w:rFonts w:ascii="Arial" w:hAnsi="Arial" w:cs="Arial"/>
          <w:bCs/>
        </w:rPr>
        <w:t>8</w:t>
      </w:r>
      <w:r w:rsidR="002D2CCC" w:rsidRPr="00E04C25">
        <w:rPr>
          <w:rFonts w:ascii="Arial" w:hAnsi="Arial" w:cs="Arial"/>
          <w:bCs/>
        </w:rPr>
        <w:t xml:space="preserve"> tis. </w:t>
      </w:r>
      <w:r w:rsidR="002D2CCC" w:rsidRPr="00E04C25">
        <w:rPr>
          <w:rFonts w:ascii="Arial" w:hAnsi="Arial" w:cs="Arial"/>
          <w:b/>
          <w:bCs/>
        </w:rPr>
        <w:t xml:space="preserve">na </w:t>
      </w:r>
      <w:r w:rsidR="002D2CCC" w:rsidRPr="00E04C25">
        <w:rPr>
          <w:rFonts w:ascii="Arial" w:hAnsi="Arial" w:cs="Arial"/>
          <w:b/>
        </w:rPr>
        <w:t>4</w:t>
      </w:r>
      <w:r w:rsidR="00BA47D6" w:rsidRPr="00E04C25">
        <w:rPr>
          <w:rFonts w:ascii="Arial" w:hAnsi="Arial" w:cs="Arial"/>
          <w:b/>
          <w:bCs/>
        </w:rPr>
        <w:t> 327,6</w:t>
      </w:r>
      <w:r w:rsidR="002D2CCC" w:rsidRPr="00E04C25">
        <w:rPr>
          <w:rFonts w:ascii="Arial" w:hAnsi="Arial" w:cs="Arial"/>
          <w:b/>
          <w:bCs/>
        </w:rPr>
        <w:t xml:space="preserve"> tis.</w:t>
      </w:r>
      <w:r w:rsidRPr="00E04C25">
        <w:rPr>
          <w:rFonts w:ascii="Arial" w:hAnsi="Arial" w:cs="Arial"/>
          <w:b/>
          <w:bCs/>
        </w:rPr>
        <w:t xml:space="preserve">, </w:t>
      </w:r>
      <w:r w:rsidRPr="00E04C25">
        <w:rPr>
          <w:rFonts w:ascii="Arial" w:hAnsi="Arial" w:cs="Arial"/>
          <w:bCs/>
        </w:rPr>
        <w:t xml:space="preserve">počet žen </w:t>
      </w:r>
      <w:r w:rsidR="005A7A9D" w:rsidRPr="00E04C25">
        <w:rPr>
          <w:rFonts w:ascii="Arial" w:hAnsi="Arial" w:cs="Arial"/>
          <w:bCs/>
        </w:rPr>
        <w:t xml:space="preserve">v postavení zaměstnanců </w:t>
      </w:r>
      <w:r w:rsidRPr="00E04C25">
        <w:rPr>
          <w:rFonts w:ascii="Arial" w:hAnsi="Arial" w:cs="Arial"/>
          <w:bCs/>
        </w:rPr>
        <w:t xml:space="preserve">vzrostl </w:t>
      </w:r>
      <w:r w:rsidR="002D2CCC" w:rsidRPr="00E04C25">
        <w:rPr>
          <w:rFonts w:ascii="Arial" w:hAnsi="Arial" w:cs="Arial"/>
        </w:rPr>
        <w:t>o </w:t>
      </w:r>
      <w:r w:rsidR="00BA47D6" w:rsidRPr="00E04C25">
        <w:rPr>
          <w:rFonts w:ascii="Arial" w:hAnsi="Arial" w:cs="Arial"/>
        </w:rPr>
        <w:t>45</w:t>
      </w:r>
      <w:r w:rsidR="002D2CCC" w:rsidRPr="00E04C25">
        <w:rPr>
          <w:rFonts w:ascii="Arial" w:hAnsi="Arial" w:cs="Arial"/>
        </w:rPr>
        <w:t>,</w:t>
      </w:r>
      <w:r w:rsidR="00BA47D6" w:rsidRPr="00E04C25">
        <w:rPr>
          <w:rFonts w:ascii="Arial" w:hAnsi="Arial" w:cs="Arial"/>
        </w:rPr>
        <w:t>9</w:t>
      </w:r>
      <w:r w:rsidR="002D2CCC" w:rsidRPr="00E04C25">
        <w:rPr>
          <w:rFonts w:ascii="Arial" w:hAnsi="Arial" w:cs="Arial"/>
        </w:rPr>
        <w:t xml:space="preserve"> tis. </w:t>
      </w:r>
      <w:r w:rsidR="002D2CCC" w:rsidRPr="00E04C25">
        <w:rPr>
          <w:rFonts w:ascii="Arial" w:hAnsi="Arial" w:cs="Arial"/>
          <w:bCs/>
        </w:rPr>
        <w:t xml:space="preserve">na </w:t>
      </w:r>
      <w:r w:rsidR="00BA47D6" w:rsidRPr="00E04C25">
        <w:rPr>
          <w:rFonts w:ascii="Arial" w:hAnsi="Arial" w:cs="Arial"/>
          <w:bCs/>
        </w:rPr>
        <w:t>2</w:t>
      </w:r>
      <w:r w:rsidR="002D2CCC" w:rsidRPr="00E04C25">
        <w:rPr>
          <w:rFonts w:ascii="Arial" w:hAnsi="Arial" w:cs="Arial"/>
          <w:bCs/>
        </w:rPr>
        <w:t> </w:t>
      </w:r>
      <w:r w:rsidR="00BA47D6" w:rsidRPr="00E04C25">
        <w:rPr>
          <w:rFonts w:ascii="Arial" w:hAnsi="Arial" w:cs="Arial"/>
          <w:bCs/>
        </w:rPr>
        <w:t>008</w:t>
      </w:r>
      <w:r w:rsidR="002D2CCC" w:rsidRPr="00E04C25">
        <w:rPr>
          <w:rFonts w:ascii="Arial" w:hAnsi="Arial" w:cs="Arial"/>
          <w:bCs/>
        </w:rPr>
        <w:t>,</w:t>
      </w:r>
      <w:r w:rsidR="00BA47D6" w:rsidRPr="00E04C25">
        <w:rPr>
          <w:rFonts w:ascii="Arial" w:hAnsi="Arial" w:cs="Arial"/>
          <w:bCs/>
        </w:rPr>
        <w:t>5</w:t>
      </w:r>
      <w:r w:rsidR="002D2CCC" w:rsidRPr="00E04C25">
        <w:rPr>
          <w:rFonts w:ascii="Arial" w:hAnsi="Arial" w:cs="Arial"/>
          <w:bCs/>
        </w:rPr>
        <w:t xml:space="preserve"> tis.</w:t>
      </w:r>
      <w:r w:rsidRPr="00E04C25">
        <w:rPr>
          <w:rFonts w:ascii="Arial" w:hAnsi="Arial" w:cs="Arial"/>
          <w:bCs/>
        </w:rPr>
        <w:t xml:space="preserve"> a</w:t>
      </w:r>
      <w:r w:rsidR="00BA47D6" w:rsidRPr="00E04C25">
        <w:rPr>
          <w:rFonts w:ascii="Arial" w:hAnsi="Arial" w:cs="Arial"/>
          <w:bCs/>
        </w:rPr>
        <w:t> </w:t>
      </w:r>
      <w:r w:rsidRPr="00E04C25">
        <w:rPr>
          <w:rFonts w:ascii="Arial" w:hAnsi="Arial" w:cs="Arial"/>
          <w:bCs/>
        </w:rPr>
        <w:t xml:space="preserve">mužů </w:t>
      </w:r>
      <w:r w:rsidR="002D2CCC" w:rsidRPr="00E04C25">
        <w:rPr>
          <w:rFonts w:ascii="Arial" w:hAnsi="Arial" w:cs="Arial"/>
        </w:rPr>
        <w:t>o </w:t>
      </w:r>
      <w:r w:rsidR="00BA47D6" w:rsidRPr="00E04C25">
        <w:rPr>
          <w:rFonts w:ascii="Arial" w:hAnsi="Arial" w:cs="Arial"/>
        </w:rPr>
        <w:t>2</w:t>
      </w:r>
      <w:r w:rsidR="002D2CCC" w:rsidRPr="00E04C25">
        <w:rPr>
          <w:rFonts w:ascii="Arial" w:hAnsi="Arial" w:cs="Arial"/>
        </w:rPr>
        <w:t>4,</w:t>
      </w:r>
      <w:r w:rsidR="00BA47D6" w:rsidRPr="00E04C25">
        <w:rPr>
          <w:rFonts w:ascii="Arial" w:hAnsi="Arial" w:cs="Arial"/>
        </w:rPr>
        <w:t>9</w:t>
      </w:r>
      <w:r w:rsidR="002D2CCC" w:rsidRPr="00E04C25">
        <w:rPr>
          <w:rFonts w:ascii="Arial" w:hAnsi="Arial" w:cs="Arial"/>
        </w:rPr>
        <w:t xml:space="preserve"> tis. </w:t>
      </w:r>
      <w:r w:rsidR="002D2CCC" w:rsidRPr="00E04C25">
        <w:rPr>
          <w:rFonts w:ascii="Arial" w:hAnsi="Arial" w:cs="Arial"/>
          <w:bCs/>
        </w:rPr>
        <w:t>na</w:t>
      </w:r>
      <w:r w:rsidR="002D2CCC" w:rsidRPr="00E04C25">
        <w:rPr>
          <w:rFonts w:ascii="Arial" w:hAnsi="Arial" w:cs="Arial"/>
          <w:b/>
          <w:bCs/>
        </w:rPr>
        <w:t xml:space="preserve"> </w:t>
      </w:r>
      <w:r w:rsidR="002D2CCC" w:rsidRPr="00E04C25">
        <w:rPr>
          <w:rFonts w:ascii="Arial" w:hAnsi="Arial" w:cs="Arial"/>
          <w:bCs/>
        </w:rPr>
        <w:t>2 </w:t>
      </w:r>
      <w:r w:rsidR="00BA47D6" w:rsidRPr="00E04C25">
        <w:rPr>
          <w:rFonts w:ascii="Arial" w:hAnsi="Arial" w:cs="Arial"/>
          <w:bCs/>
        </w:rPr>
        <w:t>319</w:t>
      </w:r>
      <w:r w:rsidR="002D2CCC" w:rsidRPr="00E04C25">
        <w:rPr>
          <w:rFonts w:ascii="Arial" w:hAnsi="Arial" w:cs="Arial"/>
          <w:bCs/>
        </w:rPr>
        <w:t>,</w:t>
      </w:r>
      <w:r w:rsidR="00BA47D6" w:rsidRPr="00E04C25">
        <w:rPr>
          <w:rFonts w:ascii="Arial" w:hAnsi="Arial" w:cs="Arial"/>
          <w:bCs/>
        </w:rPr>
        <w:t>0</w:t>
      </w:r>
      <w:r w:rsidR="002D2CCC" w:rsidRPr="00E04C25">
        <w:rPr>
          <w:rFonts w:ascii="Arial" w:hAnsi="Arial" w:cs="Arial"/>
          <w:bCs/>
        </w:rPr>
        <w:t xml:space="preserve"> tis.</w:t>
      </w:r>
    </w:p>
    <w:p w:rsidR="00762875" w:rsidRPr="00E04C25" w:rsidRDefault="00762875" w:rsidP="00304119">
      <w:pPr>
        <w:pStyle w:val="Odstavecseseznamem"/>
        <w:numPr>
          <w:ilvl w:val="0"/>
          <w:numId w:val="16"/>
        </w:numPr>
        <w:tabs>
          <w:tab w:val="left" w:pos="709"/>
        </w:tabs>
        <w:spacing w:after="60" w:line="360" w:lineRule="auto"/>
        <w:ind w:left="425" w:hanging="425"/>
        <w:jc w:val="both"/>
        <w:rPr>
          <w:rFonts w:ascii="Arial" w:hAnsi="Arial" w:cs="Arial"/>
          <w:bCs/>
          <w:iCs/>
        </w:rPr>
      </w:pPr>
      <w:r w:rsidRPr="00E04C25">
        <w:rPr>
          <w:rFonts w:ascii="Arial" w:hAnsi="Arial" w:cs="Arial"/>
          <w:b/>
          <w:bCs/>
        </w:rPr>
        <w:t>Celkový počet podnikatelů</w:t>
      </w:r>
      <w:r w:rsidRPr="00E04C25">
        <w:rPr>
          <w:rFonts w:ascii="Arial" w:hAnsi="Arial" w:cs="Arial"/>
          <w:bCs/>
        </w:rPr>
        <w:t xml:space="preserve"> </w:t>
      </w:r>
      <w:r w:rsidRPr="00E04C25">
        <w:rPr>
          <w:rFonts w:ascii="Arial" w:hAnsi="Arial" w:cs="Arial"/>
          <w:b/>
          <w:bCs/>
        </w:rPr>
        <w:t xml:space="preserve">činil </w:t>
      </w:r>
      <w:r w:rsidR="002D2CCC" w:rsidRPr="00E04C25">
        <w:rPr>
          <w:rFonts w:ascii="Arial" w:hAnsi="Arial" w:cs="Arial"/>
          <w:b/>
          <w:bCs/>
        </w:rPr>
        <w:t>8</w:t>
      </w:r>
      <w:r w:rsidR="00906F0D" w:rsidRPr="00E04C25">
        <w:rPr>
          <w:rFonts w:ascii="Arial" w:hAnsi="Arial" w:cs="Arial"/>
          <w:b/>
          <w:bCs/>
        </w:rPr>
        <w:t>94</w:t>
      </w:r>
      <w:r w:rsidR="002D2CCC" w:rsidRPr="00E04C25">
        <w:rPr>
          <w:rFonts w:ascii="Arial" w:hAnsi="Arial" w:cs="Arial"/>
          <w:b/>
          <w:bCs/>
        </w:rPr>
        <w:t>,</w:t>
      </w:r>
      <w:r w:rsidR="00906F0D" w:rsidRPr="00E04C25">
        <w:rPr>
          <w:rFonts w:ascii="Arial" w:hAnsi="Arial" w:cs="Arial"/>
          <w:b/>
          <w:bCs/>
        </w:rPr>
        <w:t>0</w:t>
      </w:r>
      <w:r w:rsidR="002D2CCC" w:rsidRPr="00E04C25">
        <w:rPr>
          <w:rFonts w:ascii="Arial" w:hAnsi="Arial" w:cs="Arial"/>
          <w:b/>
          <w:bCs/>
        </w:rPr>
        <w:t xml:space="preserve"> tis</w:t>
      </w:r>
      <w:r w:rsidR="002D2CCC" w:rsidRPr="00E04C25">
        <w:rPr>
          <w:rFonts w:ascii="Arial" w:hAnsi="Arial" w:cs="Arial"/>
          <w:bCs/>
        </w:rPr>
        <w:t>.</w:t>
      </w:r>
      <w:r w:rsidRPr="00E04C25">
        <w:rPr>
          <w:rFonts w:ascii="Arial" w:hAnsi="Arial" w:cs="Arial"/>
          <w:bCs/>
        </w:rPr>
        <w:t xml:space="preserve"> </w:t>
      </w:r>
      <w:r w:rsidR="00906F0D" w:rsidRPr="00E04C25">
        <w:rPr>
          <w:rFonts w:ascii="Arial" w:hAnsi="Arial" w:cs="Arial"/>
          <w:bCs/>
        </w:rPr>
        <w:t xml:space="preserve">Výrazněji </w:t>
      </w:r>
      <w:r w:rsidR="00906F0D" w:rsidRPr="00E04C25">
        <w:rPr>
          <w:rFonts w:ascii="Arial" w:hAnsi="Arial" w:cs="Arial"/>
          <w:b/>
          <w:bCs/>
        </w:rPr>
        <w:t xml:space="preserve">vzrostl </w:t>
      </w:r>
      <w:r w:rsidR="00906F0D" w:rsidRPr="00E04C25">
        <w:rPr>
          <w:rFonts w:ascii="Arial" w:hAnsi="Arial" w:cs="Arial"/>
          <w:bCs/>
        </w:rPr>
        <w:t xml:space="preserve">počet </w:t>
      </w:r>
      <w:r w:rsidR="00906F0D" w:rsidRPr="00E04C25">
        <w:rPr>
          <w:rFonts w:ascii="Arial" w:hAnsi="Arial" w:cs="Arial"/>
          <w:b/>
          <w:bCs/>
        </w:rPr>
        <w:t>podnikatelů</w:t>
      </w:r>
      <w:r w:rsidR="00906F0D" w:rsidRPr="00E04C25">
        <w:rPr>
          <w:rFonts w:ascii="Arial" w:hAnsi="Arial" w:cs="Arial"/>
          <w:bCs/>
        </w:rPr>
        <w:t xml:space="preserve"> </w:t>
      </w:r>
      <w:r w:rsidR="00906F0D" w:rsidRPr="00E04C25">
        <w:rPr>
          <w:rFonts w:ascii="Arial" w:hAnsi="Arial" w:cs="Arial"/>
          <w:b/>
          <w:bCs/>
        </w:rPr>
        <w:t xml:space="preserve">bez zaměstnanců, </w:t>
      </w:r>
      <w:r w:rsidR="00906F0D" w:rsidRPr="00E04C25">
        <w:rPr>
          <w:rFonts w:ascii="Arial" w:hAnsi="Arial" w:cs="Arial"/>
          <w:bCs/>
        </w:rPr>
        <w:t>a to o 12,1 tis.</w:t>
      </w:r>
      <w:r w:rsidR="00906F0D" w:rsidRPr="00E04C25">
        <w:rPr>
          <w:rFonts w:ascii="Arial" w:hAnsi="Arial" w:cs="Arial"/>
          <w:b/>
          <w:bCs/>
        </w:rPr>
        <w:t xml:space="preserve"> na</w:t>
      </w:r>
      <w:r w:rsidR="00906F0D" w:rsidRPr="00E04C25">
        <w:rPr>
          <w:rFonts w:ascii="Arial" w:hAnsi="Arial" w:cs="Arial"/>
          <w:bCs/>
        </w:rPr>
        <w:t xml:space="preserve"> </w:t>
      </w:r>
      <w:r w:rsidR="00906F0D" w:rsidRPr="00E04C25">
        <w:rPr>
          <w:rFonts w:ascii="Arial" w:hAnsi="Arial" w:cs="Arial"/>
          <w:b/>
          <w:bCs/>
        </w:rPr>
        <w:t>705,5 tis.</w:t>
      </w:r>
      <w:r w:rsidR="00906F0D" w:rsidRPr="00E04C25">
        <w:rPr>
          <w:rFonts w:ascii="Arial" w:hAnsi="Arial" w:cs="Arial"/>
          <w:bCs/>
        </w:rPr>
        <w:t xml:space="preserve"> </w:t>
      </w:r>
      <w:r w:rsidR="00906F0D" w:rsidRPr="00E04C25">
        <w:rPr>
          <w:rFonts w:ascii="Arial" w:hAnsi="Arial" w:cs="Arial"/>
          <w:b/>
          <w:bCs/>
        </w:rPr>
        <w:t>P</w:t>
      </w:r>
      <w:r w:rsidRPr="00E04C25">
        <w:rPr>
          <w:rFonts w:ascii="Arial" w:hAnsi="Arial" w:cs="Arial"/>
          <w:b/>
          <w:bCs/>
        </w:rPr>
        <w:t>očet</w:t>
      </w:r>
      <w:r w:rsidRPr="00E04C25">
        <w:rPr>
          <w:rFonts w:ascii="Arial" w:hAnsi="Arial" w:cs="Arial"/>
          <w:bCs/>
        </w:rPr>
        <w:t xml:space="preserve"> </w:t>
      </w:r>
      <w:r w:rsidRPr="00E04C25">
        <w:rPr>
          <w:rFonts w:ascii="Arial" w:hAnsi="Arial" w:cs="Arial"/>
          <w:b/>
          <w:bCs/>
        </w:rPr>
        <w:t xml:space="preserve">podnikatelů se zaměstnanci </w:t>
      </w:r>
      <w:r w:rsidR="00906F0D" w:rsidRPr="00E04C25">
        <w:rPr>
          <w:rFonts w:ascii="Arial" w:hAnsi="Arial" w:cs="Arial"/>
          <w:b/>
          <w:bCs/>
        </w:rPr>
        <w:t xml:space="preserve">se zvýšil </w:t>
      </w:r>
      <w:r w:rsidR="00906F0D" w:rsidRPr="00E04C25">
        <w:rPr>
          <w:rFonts w:ascii="Arial" w:hAnsi="Arial" w:cs="Arial"/>
          <w:bCs/>
        </w:rPr>
        <w:t>o 2,5</w:t>
      </w:r>
      <w:r w:rsidR="002D2CCC" w:rsidRPr="00E04C25">
        <w:rPr>
          <w:rFonts w:ascii="Arial" w:hAnsi="Arial" w:cs="Arial"/>
          <w:bCs/>
        </w:rPr>
        <w:t> tis.</w:t>
      </w:r>
      <w:r w:rsidR="002D2CCC" w:rsidRPr="00E04C25">
        <w:rPr>
          <w:rFonts w:ascii="Arial" w:hAnsi="Arial" w:cs="Arial"/>
          <w:b/>
          <w:bCs/>
        </w:rPr>
        <w:t xml:space="preserve"> na</w:t>
      </w:r>
      <w:r w:rsidR="002D2CCC" w:rsidRPr="00E04C25">
        <w:rPr>
          <w:rFonts w:ascii="Arial" w:hAnsi="Arial" w:cs="Arial"/>
          <w:bCs/>
        </w:rPr>
        <w:t xml:space="preserve"> </w:t>
      </w:r>
      <w:r w:rsidR="002D2CCC" w:rsidRPr="00E04C25">
        <w:rPr>
          <w:rFonts w:ascii="Arial" w:hAnsi="Arial" w:cs="Arial"/>
          <w:b/>
          <w:bCs/>
        </w:rPr>
        <w:t>16</w:t>
      </w:r>
      <w:r w:rsidR="00906F0D" w:rsidRPr="00E04C25">
        <w:rPr>
          <w:rFonts w:ascii="Arial" w:hAnsi="Arial" w:cs="Arial"/>
          <w:b/>
          <w:bCs/>
        </w:rPr>
        <w:t>3</w:t>
      </w:r>
      <w:r w:rsidR="002D2CCC" w:rsidRPr="00E04C25">
        <w:rPr>
          <w:rFonts w:ascii="Arial" w:hAnsi="Arial" w:cs="Arial"/>
          <w:b/>
          <w:bCs/>
        </w:rPr>
        <w:t>,</w:t>
      </w:r>
      <w:r w:rsidR="00906F0D" w:rsidRPr="00E04C25">
        <w:rPr>
          <w:rFonts w:ascii="Arial" w:hAnsi="Arial" w:cs="Arial"/>
          <w:b/>
          <w:bCs/>
        </w:rPr>
        <w:t>8</w:t>
      </w:r>
      <w:r w:rsidR="002D2CCC" w:rsidRPr="00E04C25">
        <w:rPr>
          <w:rFonts w:ascii="Arial" w:hAnsi="Arial" w:cs="Arial"/>
          <w:b/>
          <w:bCs/>
        </w:rPr>
        <w:t xml:space="preserve"> tis.</w:t>
      </w:r>
      <w:r w:rsidRPr="00E04C25">
        <w:rPr>
          <w:rFonts w:ascii="Arial" w:hAnsi="Arial" w:cs="Arial"/>
          <w:bCs/>
        </w:rPr>
        <w:t xml:space="preserve"> </w:t>
      </w:r>
      <w:r w:rsidR="00906F0D" w:rsidRPr="00E04C25">
        <w:rPr>
          <w:rFonts w:ascii="Arial" w:hAnsi="Arial" w:cs="Arial"/>
          <w:bCs/>
        </w:rPr>
        <w:t>Snížil se pouze p</w:t>
      </w:r>
      <w:r w:rsidRPr="00E04C25">
        <w:rPr>
          <w:rFonts w:ascii="Arial" w:hAnsi="Arial" w:cs="Arial"/>
          <w:bCs/>
        </w:rPr>
        <w:t>oč</w:t>
      </w:r>
      <w:r w:rsidR="00C54521" w:rsidRPr="00E04C25">
        <w:rPr>
          <w:rFonts w:ascii="Arial" w:hAnsi="Arial" w:cs="Arial"/>
          <w:bCs/>
        </w:rPr>
        <w:t>e</w:t>
      </w:r>
      <w:r w:rsidRPr="00E04C25">
        <w:rPr>
          <w:rFonts w:ascii="Arial" w:hAnsi="Arial" w:cs="Arial"/>
          <w:bCs/>
        </w:rPr>
        <w:t>t pomáhajících rodinných příslušníků</w:t>
      </w:r>
      <w:r w:rsidR="00C54521" w:rsidRPr="00E04C25">
        <w:rPr>
          <w:rFonts w:ascii="Arial" w:hAnsi="Arial" w:cs="Arial"/>
          <w:bCs/>
        </w:rPr>
        <w:t>.</w:t>
      </w:r>
      <w:r w:rsidRPr="00E04C25">
        <w:rPr>
          <w:rFonts w:ascii="Arial" w:hAnsi="Arial" w:cs="Arial"/>
          <w:b/>
          <w:bCs/>
        </w:rPr>
        <w:t xml:space="preserve"> </w:t>
      </w:r>
      <w:r w:rsidR="00906F0D" w:rsidRPr="00E04C25">
        <w:rPr>
          <w:rFonts w:ascii="Arial" w:hAnsi="Arial" w:cs="Arial"/>
          <w:b/>
          <w:bCs/>
        </w:rPr>
        <w:t>Celkový p</w:t>
      </w:r>
      <w:r w:rsidRPr="00E04C25">
        <w:rPr>
          <w:rFonts w:ascii="Arial" w:hAnsi="Arial" w:cs="Arial"/>
          <w:b/>
          <w:iCs/>
        </w:rPr>
        <w:t xml:space="preserve">odíl podnikatelů </w:t>
      </w:r>
      <w:r w:rsidRPr="00E04C25">
        <w:rPr>
          <w:rFonts w:ascii="Arial" w:hAnsi="Arial" w:cs="Arial"/>
          <w:iCs/>
        </w:rPr>
        <w:t xml:space="preserve">na zaměstnanosti meziročně </w:t>
      </w:r>
      <w:r w:rsidR="005210CE" w:rsidRPr="00E04C25">
        <w:rPr>
          <w:rFonts w:ascii="Arial" w:hAnsi="Arial" w:cs="Arial"/>
          <w:iCs/>
        </w:rPr>
        <w:t xml:space="preserve">nepatrně </w:t>
      </w:r>
      <w:r w:rsidR="005210CE" w:rsidRPr="00E04C25">
        <w:rPr>
          <w:rFonts w:ascii="Arial" w:hAnsi="Arial" w:cs="Arial"/>
          <w:b/>
          <w:iCs/>
        </w:rPr>
        <w:t>poklesl</w:t>
      </w:r>
      <w:r w:rsidRPr="00E04C25">
        <w:rPr>
          <w:rFonts w:ascii="Arial" w:hAnsi="Arial" w:cs="Arial"/>
          <w:iCs/>
        </w:rPr>
        <w:t xml:space="preserve"> </w:t>
      </w:r>
      <w:r w:rsidR="002D2CCC" w:rsidRPr="00E04C25">
        <w:rPr>
          <w:rFonts w:ascii="Arial" w:hAnsi="Arial" w:cs="Arial"/>
          <w:iCs/>
        </w:rPr>
        <w:t>(</w:t>
      </w:r>
      <w:r w:rsidRPr="00E04C25">
        <w:rPr>
          <w:rFonts w:ascii="Arial" w:hAnsi="Arial" w:cs="Arial"/>
          <w:iCs/>
        </w:rPr>
        <w:t>o 0,</w:t>
      </w:r>
      <w:r w:rsidR="002D2CCC" w:rsidRPr="00E04C25">
        <w:rPr>
          <w:rFonts w:ascii="Arial" w:hAnsi="Arial" w:cs="Arial"/>
          <w:iCs/>
        </w:rPr>
        <w:t>1</w:t>
      </w:r>
      <w:r w:rsidRPr="00E04C25">
        <w:rPr>
          <w:rFonts w:ascii="Arial" w:hAnsi="Arial" w:cs="Arial"/>
          <w:iCs/>
        </w:rPr>
        <w:t> </w:t>
      </w:r>
      <w:r w:rsidRPr="00E04C25">
        <w:rPr>
          <w:rFonts w:ascii="Arial" w:hAnsi="Arial" w:cs="Arial"/>
        </w:rPr>
        <w:t>p. b.</w:t>
      </w:r>
      <w:r w:rsidR="002D2CCC" w:rsidRPr="00E04C25">
        <w:rPr>
          <w:rFonts w:ascii="Arial" w:hAnsi="Arial" w:cs="Arial"/>
        </w:rPr>
        <w:t>)</w:t>
      </w:r>
      <w:r w:rsidRPr="00E04C25">
        <w:rPr>
          <w:rFonts w:ascii="Arial" w:hAnsi="Arial" w:cs="Arial"/>
        </w:rPr>
        <w:t xml:space="preserve"> </w:t>
      </w:r>
      <w:r w:rsidRPr="00E04C25">
        <w:rPr>
          <w:rFonts w:ascii="Arial" w:hAnsi="Arial" w:cs="Arial"/>
          <w:b/>
          <w:bCs/>
          <w:iCs/>
        </w:rPr>
        <w:t>na 17,</w:t>
      </w:r>
      <w:r w:rsidR="00906F0D" w:rsidRPr="00E04C25">
        <w:rPr>
          <w:rFonts w:ascii="Arial" w:hAnsi="Arial" w:cs="Arial"/>
          <w:b/>
          <w:bCs/>
          <w:iCs/>
        </w:rPr>
        <w:t>1</w:t>
      </w:r>
      <w:r w:rsidRPr="00E04C25">
        <w:rPr>
          <w:rFonts w:ascii="Arial" w:hAnsi="Arial" w:cs="Arial"/>
          <w:b/>
          <w:bCs/>
          <w:iCs/>
        </w:rPr>
        <w:t> %.</w:t>
      </w:r>
    </w:p>
    <w:p w:rsidR="00762875" w:rsidRPr="00E04C25" w:rsidRDefault="005210CE" w:rsidP="00304119">
      <w:pPr>
        <w:pStyle w:val="Odstavecseseznamem"/>
        <w:numPr>
          <w:ilvl w:val="0"/>
          <w:numId w:val="16"/>
        </w:numPr>
        <w:tabs>
          <w:tab w:val="clear" w:pos="1117"/>
          <w:tab w:val="left" w:pos="709"/>
          <w:tab w:val="num" w:pos="12049"/>
        </w:tabs>
        <w:spacing w:after="60" w:line="360" w:lineRule="auto"/>
        <w:ind w:left="425" w:hanging="425"/>
        <w:jc w:val="both"/>
        <w:rPr>
          <w:rFonts w:ascii="Arial" w:hAnsi="Arial" w:cs="Arial"/>
        </w:rPr>
      </w:pPr>
      <w:r w:rsidRPr="00E04C25">
        <w:rPr>
          <w:rFonts w:ascii="Arial" w:hAnsi="Arial" w:cs="Arial"/>
          <w:b/>
        </w:rPr>
        <w:lastRenderedPageBreak/>
        <w:t xml:space="preserve">Zvýšil </w:t>
      </w:r>
      <w:r w:rsidR="001616A0" w:rsidRPr="00E04C25">
        <w:rPr>
          <w:rFonts w:ascii="Arial" w:hAnsi="Arial" w:cs="Arial"/>
          <w:b/>
        </w:rPr>
        <w:t>s</w:t>
      </w:r>
      <w:r w:rsidRPr="00E04C25">
        <w:rPr>
          <w:rFonts w:ascii="Arial" w:hAnsi="Arial" w:cs="Arial"/>
          <w:b/>
        </w:rPr>
        <w:t>e p</w:t>
      </w:r>
      <w:r w:rsidR="00762875" w:rsidRPr="00E04C25">
        <w:rPr>
          <w:rFonts w:ascii="Arial" w:hAnsi="Arial" w:cs="Arial"/>
          <w:b/>
        </w:rPr>
        <w:t>očet</w:t>
      </w:r>
      <w:r w:rsidR="00762875" w:rsidRPr="00E04C25">
        <w:rPr>
          <w:rFonts w:ascii="Arial" w:hAnsi="Arial" w:cs="Arial"/>
        </w:rPr>
        <w:t xml:space="preserve"> </w:t>
      </w:r>
      <w:r w:rsidR="00762875" w:rsidRPr="00E04C25">
        <w:rPr>
          <w:rFonts w:ascii="Arial" w:hAnsi="Arial" w:cs="Arial"/>
          <w:b/>
        </w:rPr>
        <w:t>osob pracujících na dobu neurčitou</w:t>
      </w:r>
      <w:r w:rsidR="00762875" w:rsidRPr="00E04C25">
        <w:rPr>
          <w:rFonts w:ascii="Arial" w:hAnsi="Arial" w:cs="Arial"/>
        </w:rPr>
        <w:t xml:space="preserve"> (zaměstnanců s pracovními úvazky na dobu neurčitou nebo jako podnikatel)</w:t>
      </w:r>
      <w:r w:rsidRPr="00E04C25">
        <w:rPr>
          <w:rFonts w:ascii="Arial" w:hAnsi="Arial" w:cs="Arial"/>
        </w:rPr>
        <w:t>, a to</w:t>
      </w:r>
      <w:r w:rsidR="00762875" w:rsidRPr="00E04C25">
        <w:rPr>
          <w:rFonts w:ascii="Arial" w:hAnsi="Arial" w:cs="Arial"/>
        </w:rPr>
        <w:t xml:space="preserve"> </w:t>
      </w:r>
      <w:r w:rsidR="002D2CCC" w:rsidRPr="00E04C25">
        <w:rPr>
          <w:rFonts w:ascii="Arial" w:hAnsi="Arial" w:cs="Arial"/>
        </w:rPr>
        <w:t xml:space="preserve">o </w:t>
      </w:r>
      <w:r w:rsidR="00906F0D" w:rsidRPr="00E04C25">
        <w:rPr>
          <w:rFonts w:ascii="Arial" w:hAnsi="Arial" w:cs="Arial"/>
        </w:rPr>
        <w:t>82,9</w:t>
      </w:r>
      <w:r w:rsidR="002D2CCC" w:rsidRPr="00E04C25">
        <w:rPr>
          <w:rFonts w:ascii="Arial" w:hAnsi="Arial" w:cs="Arial"/>
        </w:rPr>
        <w:t xml:space="preserve"> tis. </w:t>
      </w:r>
      <w:r w:rsidR="002D2CCC" w:rsidRPr="00E04C25">
        <w:rPr>
          <w:rFonts w:ascii="Arial" w:hAnsi="Arial" w:cs="Arial"/>
          <w:b/>
        </w:rPr>
        <w:t>na</w:t>
      </w:r>
      <w:r w:rsidR="002D2CCC" w:rsidRPr="00E04C25">
        <w:rPr>
          <w:rFonts w:ascii="Arial" w:hAnsi="Arial" w:cs="Arial"/>
        </w:rPr>
        <w:t xml:space="preserve"> </w:t>
      </w:r>
      <w:r w:rsidR="002D2CCC" w:rsidRPr="00E04C25">
        <w:rPr>
          <w:rFonts w:ascii="Arial" w:hAnsi="Arial" w:cs="Arial"/>
          <w:b/>
        </w:rPr>
        <w:t>4 7</w:t>
      </w:r>
      <w:r w:rsidR="00906F0D" w:rsidRPr="00E04C25">
        <w:rPr>
          <w:rFonts w:ascii="Arial" w:hAnsi="Arial" w:cs="Arial"/>
          <w:b/>
        </w:rPr>
        <w:t>85</w:t>
      </w:r>
      <w:r w:rsidR="002D2CCC" w:rsidRPr="00E04C25">
        <w:rPr>
          <w:rFonts w:ascii="Arial" w:hAnsi="Arial" w:cs="Arial"/>
          <w:b/>
        </w:rPr>
        <w:t>,</w:t>
      </w:r>
      <w:r w:rsidR="00906F0D" w:rsidRPr="00E04C25">
        <w:rPr>
          <w:rFonts w:ascii="Arial" w:hAnsi="Arial" w:cs="Arial"/>
          <w:b/>
        </w:rPr>
        <w:t>5</w:t>
      </w:r>
      <w:r w:rsidR="002D2CCC" w:rsidRPr="00E04C25">
        <w:rPr>
          <w:rFonts w:ascii="Arial" w:hAnsi="Arial" w:cs="Arial"/>
          <w:b/>
        </w:rPr>
        <w:t> tis</w:t>
      </w:r>
      <w:r w:rsidR="00340EF4" w:rsidRPr="00E04C25">
        <w:rPr>
          <w:rFonts w:ascii="Arial" w:hAnsi="Arial" w:cs="Arial"/>
          <w:b/>
        </w:rPr>
        <w:t>.</w:t>
      </w:r>
      <w:r w:rsidR="002D2CCC" w:rsidRPr="00E04C25">
        <w:rPr>
          <w:rFonts w:ascii="Arial" w:hAnsi="Arial" w:cs="Arial"/>
          <w:b/>
        </w:rPr>
        <w:t xml:space="preserve"> P</w:t>
      </w:r>
      <w:r w:rsidR="00762875" w:rsidRPr="00E04C25">
        <w:rPr>
          <w:rFonts w:ascii="Arial" w:hAnsi="Arial" w:cs="Arial"/>
          <w:b/>
          <w:bCs/>
        </w:rPr>
        <w:t xml:space="preserve">očet osob pracujících na dobu určitou </w:t>
      </w:r>
      <w:r w:rsidR="00762875" w:rsidRPr="00E04C25">
        <w:rPr>
          <w:rFonts w:ascii="Arial" w:hAnsi="Arial" w:cs="Arial"/>
          <w:bCs/>
        </w:rPr>
        <w:t>(</w:t>
      </w:r>
      <w:r w:rsidR="00762875" w:rsidRPr="00E04C25">
        <w:rPr>
          <w:rFonts w:ascii="Arial" w:hAnsi="Arial" w:cs="Arial"/>
        </w:rPr>
        <w:t>včetně práce dočasné, příležitostní a sezónní a dalších časově omezených smluv)</w:t>
      </w:r>
      <w:r w:rsidR="002D2CCC" w:rsidRPr="00E04C25">
        <w:rPr>
          <w:rFonts w:ascii="Arial" w:hAnsi="Arial" w:cs="Arial"/>
        </w:rPr>
        <w:t xml:space="preserve"> nepatrně </w:t>
      </w:r>
      <w:r w:rsidR="00340EF4" w:rsidRPr="00E04C25">
        <w:rPr>
          <w:rFonts w:ascii="Arial" w:hAnsi="Arial" w:cs="Arial"/>
          <w:b/>
        </w:rPr>
        <w:t>klesl</w:t>
      </w:r>
      <w:r w:rsidR="00762875" w:rsidRPr="00E04C25">
        <w:rPr>
          <w:rFonts w:ascii="Arial" w:hAnsi="Arial" w:cs="Arial"/>
        </w:rPr>
        <w:t xml:space="preserve"> </w:t>
      </w:r>
      <w:r w:rsidR="002D2CCC" w:rsidRPr="00E04C25">
        <w:rPr>
          <w:rFonts w:ascii="Arial" w:hAnsi="Arial" w:cs="Arial"/>
          <w:b/>
        </w:rPr>
        <w:t>na</w:t>
      </w:r>
      <w:r w:rsidR="002D2CCC" w:rsidRPr="00E04C25">
        <w:rPr>
          <w:rFonts w:ascii="Arial" w:hAnsi="Arial" w:cs="Arial"/>
        </w:rPr>
        <w:t xml:space="preserve"> </w:t>
      </w:r>
      <w:r w:rsidR="002D2CCC" w:rsidRPr="00E04C25">
        <w:rPr>
          <w:rFonts w:ascii="Arial" w:hAnsi="Arial" w:cs="Arial"/>
          <w:b/>
        </w:rPr>
        <w:t>43</w:t>
      </w:r>
      <w:r w:rsidR="00906F0D" w:rsidRPr="00E04C25">
        <w:rPr>
          <w:rFonts w:ascii="Arial" w:hAnsi="Arial" w:cs="Arial"/>
          <w:b/>
        </w:rPr>
        <w:t>3</w:t>
      </w:r>
      <w:r w:rsidR="002D2CCC" w:rsidRPr="00E04C25">
        <w:rPr>
          <w:rFonts w:ascii="Arial" w:hAnsi="Arial" w:cs="Arial"/>
          <w:b/>
          <w:bCs/>
        </w:rPr>
        <w:t>,</w:t>
      </w:r>
      <w:r w:rsidR="00906F0D" w:rsidRPr="00E04C25">
        <w:rPr>
          <w:rFonts w:ascii="Arial" w:hAnsi="Arial" w:cs="Arial"/>
          <w:b/>
          <w:bCs/>
        </w:rPr>
        <w:t>6</w:t>
      </w:r>
      <w:r w:rsidR="002D2CCC" w:rsidRPr="00E04C25">
        <w:rPr>
          <w:rFonts w:ascii="Arial" w:hAnsi="Arial" w:cs="Arial"/>
          <w:b/>
          <w:bCs/>
        </w:rPr>
        <w:t xml:space="preserve"> tis. </w:t>
      </w:r>
      <w:r w:rsidR="00762875" w:rsidRPr="00E04C25">
        <w:rPr>
          <w:rFonts w:ascii="Arial" w:hAnsi="Arial" w:cs="Arial"/>
          <w:b/>
          <w:bCs/>
        </w:rPr>
        <w:t xml:space="preserve"> </w:t>
      </w:r>
    </w:p>
    <w:p w:rsidR="007B4EE0" w:rsidRPr="00E04C25" w:rsidRDefault="00906F0D" w:rsidP="00304119">
      <w:pPr>
        <w:pStyle w:val="Odstavecseseznamem"/>
        <w:numPr>
          <w:ilvl w:val="0"/>
          <w:numId w:val="16"/>
        </w:numPr>
        <w:tabs>
          <w:tab w:val="clear" w:pos="1117"/>
          <w:tab w:val="left" w:pos="-1418"/>
          <w:tab w:val="left" w:pos="709"/>
          <w:tab w:val="num" w:pos="10915"/>
        </w:tabs>
        <w:spacing w:after="60" w:line="360" w:lineRule="auto"/>
        <w:ind w:left="425" w:hanging="425"/>
        <w:jc w:val="both"/>
        <w:rPr>
          <w:rFonts w:ascii="Arial" w:hAnsi="Arial" w:cs="Arial"/>
        </w:rPr>
      </w:pPr>
      <w:r w:rsidRPr="00E04C25">
        <w:rPr>
          <w:rFonts w:ascii="Arial" w:hAnsi="Arial" w:cs="Arial"/>
          <w:bCs/>
        </w:rPr>
        <w:t>P</w:t>
      </w:r>
      <w:r w:rsidRPr="00E04C25">
        <w:rPr>
          <w:rFonts w:ascii="Arial" w:hAnsi="Arial" w:cs="Arial"/>
        </w:rPr>
        <w:t>očet osob pracujících</w:t>
      </w:r>
      <w:r w:rsidRPr="00E04C25">
        <w:rPr>
          <w:rFonts w:ascii="Arial" w:hAnsi="Arial" w:cs="Arial"/>
          <w:b/>
        </w:rPr>
        <w:t xml:space="preserve"> na plnou pracovní dobu</w:t>
      </w:r>
      <w:r w:rsidRPr="00E04C25">
        <w:rPr>
          <w:rFonts w:ascii="Arial" w:hAnsi="Arial" w:cs="Arial"/>
        </w:rPr>
        <w:t xml:space="preserve"> se </w:t>
      </w:r>
      <w:r w:rsidRPr="00E04C25">
        <w:rPr>
          <w:rFonts w:ascii="Arial" w:hAnsi="Arial" w:cs="Arial"/>
          <w:b/>
        </w:rPr>
        <w:t>zvýšil</w:t>
      </w:r>
      <w:r w:rsidRPr="00E04C25">
        <w:rPr>
          <w:rFonts w:ascii="Arial" w:hAnsi="Arial" w:cs="Arial"/>
        </w:rPr>
        <w:t xml:space="preserve"> </w:t>
      </w:r>
      <w:r w:rsidR="007B4EE0" w:rsidRPr="00E04C25">
        <w:rPr>
          <w:rFonts w:ascii="Arial" w:hAnsi="Arial" w:cs="Arial"/>
        </w:rPr>
        <w:t>o </w:t>
      </w:r>
      <w:r w:rsidRPr="00E04C25">
        <w:rPr>
          <w:rFonts w:ascii="Arial" w:hAnsi="Arial" w:cs="Arial"/>
        </w:rPr>
        <w:t>46</w:t>
      </w:r>
      <w:r w:rsidR="007B4EE0" w:rsidRPr="00E04C25">
        <w:rPr>
          <w:rFonts w:ascii="Arial" w:hAnsi="Arial" w:cs="Arial"/>
        </w:rPr>
        <w:t>,</w:t>
      </w:r>
      <w:r w:rsidRPr="00E04C25">
        <w:rPr>
          <w:rFonts w:ascii="Arial" w:hAnsi="Arial" w:cs="Arial"/>
        </w:rPr>
        <w:t>1</w:t>
      </w:r>
      <w:r w:rsidR="007B4EE0" w:rsidRPr="00E04C25">
        <w:rPr>
          <w:rFonts w:ascii="Arial" w:hAnsi="Arial" w:cs="Arial"/>
        </w:rPr>
        <w:t xml:space="preserve"> tis.</w:t>
      </w:r>
      <w:r w:rsidR="007B4EE0" w:rsidRPr="00E04C25">
        <w:rPr>
          <w:rFonts w:ascii="Arial" w:hAnsi="Arial" w:cs="Arial"/>
          <w:b/>
        </w:rPr>
        <w:t xml:space="preserve"> </w:t>
      </w:r>
      <w:r w:rsidR="00340EF4" w:rsidRPr="00E04C25">
        <w:rPr>
          <w:rFonts w:ascii="Arial" w:hAnsi="Arial" w:cs="Arial"/>
        </w:rPr>
        <w:t>a dosáhl</w:t>
      </w:r>
      <w:r w:rsidR="00340EF4" w:rsidRPr="00E04C25">
        <w:rPr>
          <w:rFonts w:ascii="Arial" w:hAnsi="Arial" w:cs="Arial"/>
          <w:b/>
        </w:rPr>
        <w:t xml:space="preserve"> </w:t>
      </w:r>
      <w:r w:rsidR="007B4EE0" w:rsidRPr="00E04C25">
        <w:rPr>
          <w:rFonts w:ascii="Arial" w:hAnsi="Arial" w:cs="Arial"/>
          <w:b/>
        </w:rPr>
        <w:t>4 </w:t>
      </w:r>
      <w:r w:rsidRPr="00E04C25">
        <w:rPr>
          <w:rFonts w:ascii="Arial" w:hAnsi="Arial" w:cs="Arial"/>
          <w:b/>
        </w:rPr>
        <w:t>839</w:t>
      </w:r>
      <w:r w:rsidR="007B4EE0" w:rsidRPr="00E04C25">
        <w:rPr>
          <w:rFonts w:ascii="Arial" w:hAnsi="Arial" w:cs="Arial"/>
          <w:b/>
        </w:rPr>
        <w:t>,</w:t>
      </w:r>
      <w:r w:rsidRPr="00E04C25">
        <w:rPr>
          <w:rFonts w:ascii="Arial" w:hAnsi="Arial" w:cs="Arial"/>
          <w:b/>
        </w:rPr>
        <w:t>1 </w:t>
      </w:r>
      <w:r w:rsidR="007B4EE0" w:rsidRPr="00E04C25">
        <w:rPr>
          <w:rFonts w:ascii="Arial" w:hAnsi="Arial" w:cs="Arial"/>
          <w:b/>
        </w:rPr>
        <w:t>tis</w:t>
      </w:r>
      <w:r w:rsidR="007B4EE0" w:rsidRPr="00E04C25">
        <w:rPr>
          <w:rFonts w:ascii="Arial" w:hAnsi="Arial" w:cs="Arial"/>
        </w:rPr>
        <w:t>.</w:t>
      </w:r>
      <w:r w:rsidR="007B4EE0" w:rsidRPr="00E04C25">
        <w:rPr>
          <w:rFonts w:ascii="Arial" w:hAnsi="Arial" w:cs="Arial"/>
          <w:b/>
        </w:rPr>
        <w:t>,</w:t>
      </w:r>
      <w:r w:rsidR="007B4EE0" w:rsidRPr="00E04C25">
        <w:rPr>
          <w:rFonts w:ascii="Arial" w:hAnsi="Arial" w:cs="Arial"/>
        </w:rPr>
        <w:t xml:space="preserve"> </w:t>
      </w:r>
      <w:r w:rsidR="00762875" w:rsidRPr="00E04C25">
        <w:rPr>
          <w:rFonts w:ascii="Arial" w:hAnsi="Arial" w:cs="Arial"/>
        </w:rPr>
        <w:t>počet</w:t>
      </w:r>
      <w:r w:rsidR="00762875" w:rsidRPr="00E04C25">
        <w:rPr>
          <w:rFonts w:ascii="Arial" w:hAnsi="Arial" w:cs="Arial"/>
          <w:b/>
        </w:rPr>
        <w:t xml:space="preserve"> </w:t>
      </w:r>
      <w:r w:rsidR="00762875" w:rsidRPr="00E04C25">
        <w:rPr>
          <w:rFonts w:ascii="Arial" w:hAnsi="Arial" w:cs="Arial"/>
        </w:rPr>
        <w:t xml:space="preserve">pracujících </w:t>
      </w:r>
      <w:r w:rsidR="00762875" w:rsidRPr="00E04C25">
        <w:rPr>
          <w:rFonts w:ascii="Arial" w:hAnsi="Arial" w:cs="Arial"/>
          <w:b/>
        </w:rPr>
        <w:t xml:space="preserve">na kratší dobu </w:t>
      </w:r>
      <w:r w:rsidRPr="00E04C25">
        <w:rPr>
          <w:rFonts w:ascii="Arial" w:hAnsi="Arial" w:cs="Arial"/>
          <w:b/>
        </w:rPr>
        <w:t xml:space="preserve">vzrostl </w:t>
      </w:r>
      <w:r w:rsidR="007B4EE0" w:rsidRPr="00E04C25">
        <w:rPr>
          <w:rFonts w:ascii="Arial" w:hAnsi="Arial" w:cs="Arial"/>
        </w:rPr>
        <w:t>o </w:t>
      </w:r>
      <w:r w:rsidRPr="00E04C25">
        <w:rPr>
          <w:rFonts w:ascii="Arial" w:hAnsi="Arial" w:cs="Arial"/>
        </w:rPr>
        <w:t>36</w:t>
      </w:r>
      <w:r w:rsidR="007B4EE0" w:rsidRPr="00E04C25">
        <w:rPr>
          <w:rFonts w:ascii="Arial" w:hAnsi="Arial" w:cs="Arial"/>
        </w:rPr>
        <w:t>,</w:t>
      </w:r>
      <w:r w:rsidRPr="00E04C25">
        <w:rPr>
          <w:rFonts w:ascii="Arial" w:hAnsi="Arial" w:cs="Arial"/>
        </w:rPr>
        <w:t>7</w:t>
      </w:r>
      <w:r w:rsidR="007B4EE0" w:rsidRPr="00E04C25">
        <w:rPr>
          <w:rFonts w:ascii="Arial" w:hAnsi="Arial" w:cs="Arial"/>
        </w:rPr>
        <w:t xml:space="preserve"> tis. </w:t>
      </w:r>
      <w:r w:rsidR="007B4EE0" w:rsidRPr="00E04C25">
        <w:rPr>
          <w:rFonts w:ascii="Arial" w:hAnsi="Arial" w:cs="Arial"/>
          <w:b/>
        </w:rPr>
        <w:t xml:space="preserve">na </w:t>
      </w:r>
      <w:r w:rsidR="007B4EE0" w:rsidRPr="00E04C25">
        <w:rPr>
          <w:rFonts w:ascii="Arial" w:hAnsi="Arial" w:cs="Arial"/>
          <w:b/>
          <w:bCs/>
        </w:rPr>
        <w:t>3</w:t>
      </w:r>
      <w:r w:rsidRPr="00E04C25">
        <w:rPr>
          <w:rFonts w:ascii="Arial" w:hAnsi="Arial" w:cs="Arial"/>
          <w:b/>
          <w:bCs/>
        </w:rPr>
        <w:t>82</w:t>
      </w:r>
      <w:r w:rsidR="007B4EE0" w:rsidRPr="00E04C25">
        <w:rPr>
          <w:rFonts w:ascii="Arial" w:hAnsi="Arial" w:cs="Arial"/>
          <w:b/>
          <w:bCs/>
        </w:rPr>
        <w:t>,</w:t>
      </w:r>
      <w:r w:rsidRPr="00E04C25">
        <w:rPr>
          <w:rFonts w:ascii="Arial" w:hAnsi="Arial" w:cs="Arial"/>
          <w:b/>
          <w:bCs/>
        </w:rPr>
        <w:t>3</w:t>
      </w:r>
      <w:r w:rsidR="007B4EE0" w:rsidRPr="00E04C25">
        <w:rPr>
          <w:rFonts w:ascii="Arial" w:hAnsi="Arial" w:cs="Arial"/>
          <w:b/>
          <w:bCs/>
        </w:rPr>
        <w:t xml:space="preserve"> tis. </w:t>
      </w:r>
      <w:r w:rsidR="007B4EE0" w:rsidRPr="00E04C25">
        <w:rPr>
          <w:rFonts w:ascii="Arial" w:hAnsi="Arial" w:cs="Arial"/>
          <w:b/>
        </w:rPr>
        <w:t xml:space="preserve">osob, </w:t>
      </w:r>
      <w:r w:rsidR="007B4EE0" w:rsidRPr="00E04C25">
        <w:rPr>
          <w:rFonts w:ascii="Arial" w:hAnsi="Arial" w:cs="Arial"/>
        </w:rPr>
        <w:t>a to především</w:t>
      </w:r>
      <w:r w:rsidR="007B4EE0" w:rsidRPr="00E04C25">
        <w:rPr>
          <w:rFonts w:ascii="Arial" w:hAnsi="Arial" w:cs="Arial"/>
          <w:b/>
        </w:rPr>
        <w:t xml:space="preserve"> nárůstem počtu žen </w:t>
      </w:r>
      <w:r w:rsidR="007B4EE0" w:rsidRPr="00E04C25">
        <w:rPr>
          <w:rFonts w:ascii="Arial" w:hAnsi="Arial" w:cs="Arial"/>
        </w:rPr>
        <w:t>(o 2</w:t>
      </w:r>
      <w:r w:rsidR="00B065BE" w:rsidRPr="00E04C25">
        <w:rPr>
          <w:rFonts w:ascii="Arial" w:hAnsi="Arial" w:cs="Arial"/>
        </w:rPr>
        <w:t>8</w:t>
      </w:r>
      <w:r w:rsidR="007B4EE0" w:rsidRPr="00E04C25">
        <w:rPr>
          <w:rFonts w:ascii="Arial" w:hAnsi="Arial" w:cs="Arial"/>
        </w:rPr>
        <w:t>,</w:t>
      </w:r>
      <w:r w:rsidR="00B065BE" w:rsidRPr="00E04C25">
        <w:rPr>
          <w:rFonts w:ascii="Arial" w:hAnsi="Arial" w:cs="Arial"/>
        </w:rPr>
        <w:t>2</w:t>
      </w:r>
      <w:r w:rsidR="007B4EE0" w:rsidRPr="00E04C25">
        <w:rPr>
          <w:rFonts w:ascii="Arial" w:hAnsi="Arial" w:cs="Arial"/>
        </w:rPr>
        <w:t xml:space="preserve"> tis.). </w:t>
      </w:r>
    </w:p>
    <w:p w:rsidR="00041B9D" w:rsidRPr="00E04C25" w:rsidRDefault="00762875" w:rsidP="00304119">
      <w:pPr>
        <w:pStyle w:val="Odstavecseseznamem"/>
        <w:numPr>
          <w:ilvl w:val="0"/>
          <w:numId w:val="16"/>
        </w:numPr>
        <w:tabs>
          <w:tab w:val="clear" w:pos="1117"/>
          <w:tab w:val="left" w:pos="-1418"/>
          <w:tab w:val="left" w:pos="709"/>
          <w:tab w:val="num" w:pos="10915"/>
        </w:tabs>
        <w:spacing w:after="60" w:line="360" w:lineRule="auto"/>
        <w:ind w:left="425" w:hanging="425"/>
        <w:jc w:val="both"/>
        <w:rPr>
          <w:rFonts w:ascii="Arial" w:hAnsi="Arial" w:cs="Arial"/>
        </w:rPr>
      </w:pPr>
      <w:r w:rsidRPr="00E04C25">
        <w:rPr>
          <w:rFonts w:ascii="Arial" w:hAnsi="Arial" w:cs="Arial"/>
          <w:b/>
        </w:rPr>
        <w:t xml:space="preserve">Největší </w:t>
      </w:r>
      <w:r w:rsidRPr="00E04C25">
        <w:rPr>
          <w:rFonts w:ascii="Arial" w:hAnsi="Arial" w:cs="Arial"/>
        </w:rPr>
        <w:t xml:space="preserve">meziroční </w:t>
      </w:r>
      <w:r w:rsidRPr="00E04C25">
        <w:rPr>
          <w:rFonts w:ascii="Arial" w:hAnsi="Arial" w:cs="Arial"/>
          <w:b/>
        </w:rPr>
        <w:t>nárůst zaměstnanosti</w:t>
      </w:r>
      <w:r w:rsidRPr="00E04C25">
        <w:rPr>
          <w:rFonts w:ascii="Arial" w:hAnsi="Arial" w:cs="Arial"/>
        </w:rPr>
        <w:t xml:space="preserve"> byl zaznamenán u pracujících s bydlištěm </w:t>
      </w:r>
      <w:r w:rsidR="00B065BE" w:rsidRPr="00E04C25">
        <w:rPr>
          <w:rFonts w:ascii="Arial" w:hAnsi="Arial" w:cs="Arial"/>
          <w:b/>
        </w:rPr>
        <w:t>v </w:t>
      </w:r>
      <w:r w:rsidR="008D6DAA" w:rsidRPr="00E04C25">
        <w:rPr>
          <w:rFonts w:ascii="Arial" w:hAnsi="Arial" w:cs="Arial"/>
          <w:b/>
        </w:rPr>
        <w:t>hl.</w:t>
      </w:r>
      <w:r w:rsidR="00B065BE" w:rsidRPr="00E04C25">
        <w:rPr>
          <w:rFonts w:ascii="Arial" w:hAnsi="Arial" w:cs="Arial"/>
          <w:b/>
        </w:rPr>
        <w:t> m. Praze</w:t>
      </w:r>
      <w:r w:rsidR="00B065BE" w:rsidRPr="00E04C25">
        <w:rPr>
          <w:rFonts w:ascii="Arial" w:hAnsi="Arial" w:cs="Arial"/>
        </w:rPr>
        <w:t xml:space="preserve"> (o 22,5 tis.), </w:t>
      </w:r>
      <w:r w:rsidR="00B065BE" w:rsidRPr="009B255D">
        <w:rPr>
          <w:rFonts w:ascii="Arial" w:hAnsi="Arial" w:cs="Arial"/>
          <w:b/>
        </w:rPr>
        <w:t>ve Středočeském</w:t>
      </w:r>
      <w:r w:rsidR="00B065BE" w:rsidRPr="00E04C25">
        <w:rPr>
          <w:rFonts w:ascii="Arial" w:hAnsi="Arial" w:cs="Arial"/>
        </w:rPr>
        <w:t xml:space="preserve"> (o 14,6 tis.) </w:t>
      </w:r>
      <w:r w:rsidR="00B065BE" w:rsidRPr="009B255D">
        <w:rPr>
          <w:rFonts w:ascii="Arial" w:hAnsi="Arial" w:cs="Arial"/>
        </w:rPr>
        <w:t>a</w:t>
      </w:r>
      <w:r w:rsidR="00B065BE" w:rsidRPr="00E04C25">
        <w:rPr>
          <w:rFonts w:ascii="Arial" w:hAnsi="Arial" w:cs="Arial"/>
          <w:b/>
        </w:rPr>
        <w:t> </w:t>
      </w:r>
      <w:r w:rsidR="007B4EE0" w:rsidRPr="00E04C25">
        <w:rPr>
          <w:rFonts w:ascii="Arial" w:hAnsi="Arial" w:cs="Arial"/>
          <w:b/>
        </w:rPr>
        <w:t xml:space="preserve">Moravskoslezském </w:t>
      </w:r>
      <w:r w:rsidR="00B065BE" w:rsidRPr="00E04C25">
        <w:rPr>
          <w:rFonts w:ascii="Arial" w:hAnsi="Arial" w:cs="Arial"/>
          <w:b/>
        </w:rPr>
        <w:t xml:space="preserve">kraji </w:t>
      </w:r>
      <w:r w:rsidR="007B4EE0" w:rsidRPr="00E04C25">
        <w:rPr>
          <w:rFonts w:ascii="Arial" w:hAnsi="Arial" w:cs="Arial"/>
        </w:rPr>
        <w:t>(o 1</w:t>
      </w:r>
      <w:r w:rsidR="00B065BE" w:rsidRPr="00E04C25">
        <w:rPr>
          <w:rFonts w:ascii="Arial" w:hAnsi="Arial" w:cs="Arial"/>
        </w:rPr>
        <w:t>2</w:t>
      </w:r>
      <w:r w:rsidR="007B4EE0" w:rsidRPr="00E04C25">
        <w:rPr>
          <w:rFonts w:ascii="Arial" w:hAnsi="Arial" w:cs="Arial"/>
        </w:rPr>
        <w:t>,</w:t>
      </w:r>
      <w:r w:rsidR="00B065BE" w:rsidRPr="00E04C25">
        <w:rPr>
          <w:rFonts w:ascii="Arial" w:hAnsi="Arial" w:cs="Arial"/>
        </w:rPr>
        <w:t>0</w:t>
      </w:r>
      <w:r w:rsidR="007B4EE0" w:rsidRPr="00E04C25">
        <w:rPr>
          <w:rFonts w:ascii="Arial" w:hAnsi="Arial" w:cs="Arial"/>
        </w:rPr>
        <w:t> tis.)</w:t>
      </w:r>
      <w:r w:rsidR="00B065BE" w:rsidRPr="00E04C25">
        <w:rPr>
          <w:rFonts w:ascii="Arial" w:hAnsi="Arial" w:cs="Arial"/>
        </w:rPr>
        <w:t>.</w:t>
      </w:r>
      <w:r w:rsidR="007B4EE0" w:rsidRPr="00E04C25">
        <w:rPr>
          <w:rFonts w:ascii="Arial" w:hAnsi="Arial" w:cs="Arial"/>
        </w:rPr>
        <w:t xml:space="preserve"> </w:t>
      </w:r>
      <w:r w:rsidRPr="00E04C25">
        <w:rPr>
          <w:rFonts w:ascii="Arial" w:hAnsi="Arial" w:cs="Arial"/>
        </w:rPr>
        <w:t>Zaměstnanost meziročně</w:t>
      </w:r>
      <w:r w:rsidRPr="00E04C25">
        <w:rPr>
          <w:rFonts w:ascii="Arial" w:hAnsi="Arial" w:cs="Arial"/>
          <w:b/>
        </w:rPr>
        <w:t xml:space="preserve"> </w:t>
      </w:r>
      <w:r w:rsidRPr="00E04C25">
        <w:rPr>
          <w:rFonts w:ascii="Arial" w:hAnsi="Arial" w:cs="Arial"/>
        </w:rPr>
        <w:t xml:space="preserve">nepatrně </w:t>
      </w:r>
      <w:r w:rsidRPr="00E04C25">
        <w:rPr>
          <w:rFonts w:ascii="Arial" w:hAnsi="Arial" w:cs="Arial"/>
          <w:b/>
        </w:rPr>
        <w:t>poklesla</w:t>
      </w:r>
      <w:r w:rsidRPr="00E04C25">
        <w:rPr>
          <w:rFonts w:ascii="Arial" w:hAnsi="Arial" w:cs="Arial"/>
        </w:rPr>
        <w:t xml:space="preserve"> pouze </w:t>
      </w:r>
      <w:r w:rsidR="007B4EE0" w:rsidRPr="00E04C25">
        <w:rPr>
          <w:rFonts w:ascii="Arial" w:hAnsi="Arial" w:cs="Arial"/>
          <w:b/>
        </w:rPr>
        <w:t>v </w:t>
      </w:r>
      <w:r w:rsidR="00B065BE" w:rsidRPr="00E04C25">
        <w:rPr>
          <w:rFonts w:ascii="Arial" w:hAnsi="Arial" w:cs="Arial"/>
          <w:b/>
        </w:rPr>
        <w:t>Libereckém</w:t>
      </w:r>
      <w:r w:rsidR="007B4EE0" w:rsidRPr="00E04C25">
        <w:rPr>
          <w:rFonts w:ascii="Arial" w:hAnsi="Arial" w:cs="Arial"/>
          <w:b/>
        </w:rPr>
        <w:t xml:space="preserve"> kraji.</w:t>
      </w:r>
    </w:p>
    <w:p w:rsidR="00041B9D" w:rsidRPr="00E04C25" w:rsidRDefault="00762875" w:rsidP="00304119">
      <w:pPr>
        <w:pStyle w:val="Odstavecseseznamem"/>
        <w:numPr>
          <w:ilvl w:val="0"/>
          <w:numId w:val="16"/>
        </w:numPr>
        <w:tabs>
          <w:tab w:val="clear" w:pos="1117"/>
          <w:tab w:val="left" w:pos="-1418"/>
          <w:tab w:val="left" w:pos="709"/>
          <w:tab w:val="num" w:pos="10915"/>
        </w:tabs>
        <w:spacing w:after="60" w:line="360" w:lineRule="auto"/>
        <w:ind w:left="425" w:hanging="425"/>
        <w:jc w:val="both"/>
        <w:rPr>
          <w:rFonts w:ascii="Arial" w:hAnsi="Arial" w:cs="Arial"/>
        </w:rPr>
      </w:pPr>
      <w:r w:rsidRPr="00E04C25">
        <w:rPr>
          <w:rFonts w:ascii="Arial" w:hAnsi="Arial" w:cs="Arial"/>
        </w:rPr>
        <w:t xml:space="preserve">S absolutním nárůstem zaměstnanosti </w:t>
      </w:r>
      <w:r w:rsidRPr="00E04C25">
        <w:rPr>
          <w:rFonts w:ascii="Arial" w:hAnsi="Arial" w:cs="Arial"/>
          <w:b/>
        </w:rPr>
        <w:t>rostla i</w:t>
      </w:r>
      <w:r w:rsidRPr="00E04C25">
        <w:rPr>
          <w:rFonts w:ascii="Arial" w:hAnsi="Arial" w:cs="Arial"/>
        </w:rPr>
        <w:t> </w:t>
      </w:r>
      <w:r w:rsidRPr="00E04C25">
        <w:rPr>
          <w:rFonts w:ascii="Arial" w:hAnsi="Arial" w:cs="Arial"/>
          <w:b/>
        </w:rPr>
        <w:t>m</w:t>
      </w:r>
      <w:r w:rsidRPr="00E04C25">
        <w:rPr>
          <w:rFonts w:ascii="Arial" w:hAnsi="Arial" w:cs="Arial"/>
          <w:b/>
          <w:bCs/>
        </w:rPr>
        <w:t>íra zaměstnanosti (MZ)</w:t>
      </w:r>
      <w:r w:rsidRPr="00E04C25">
        <w:rPr>
          <w:rFonts w:ascii="Arial" w:hAnsi="Arial" w:cs="Arial"/>
        </w:rPr>
        <w:t xml:space="preserve"> </w:t>
      </w:r>
      <w:r w:rsidR="00041B9D" w:rsidRPr="00E04C25">
        <w:rPr>
          <w:rFonts w:ascii="Arial" w:hAnsi="Arial" w:cs="Arial"/>
        </w:rPr>
        <w:t xml:space="preserve">Celková </w:t>
      </w:r>
      <w:r w:rsidR="00041B9D" w:rsidRPr="00E04C25">
        <w:rPr>
          <w:rFonts w:ascii="Arial" w:hAnsi="Arial" w:cs="Arial"/>
          <w:b/>
        </w:rPr>
        <w:t>MZ</w:t>
      </w:r>
      <w:r w:rsidR="00041B9D" w:rsidRPr="00E04C25">
        <w:rPr>
          <w:rFonts w:ascii="Arial" w:hAnsi="Arial" w:cs="Arial"/>
        </w:rPr>
        <w:t xml:space="preserve"> osob ve věku </w:t>
      </w:r>
      <w:r w:rsidR="00041B9D" w:rsidRPr="00E04C25">
        <w:rPr>
          <w:rFonts w:ascii="Arial" w:hAnsi="Arial" w:cs="Arial"/>
          <w:b/>
        </w:rPr>
        <w:t>15+ se zvýšila</w:t>
      </w:r>
      <w:r w:rsidR="00041B9D" w:rsidRPr="00E04C25">
        <w:rPr>
          <w:rFonts w:ascii="Arial" w:hAnsi="Arial" w:cs="Arial"/>
        </w:rPr>
        <w:t xml:space="preserve"> (o </w:t>
      </w:r>
      <w:r w:rsidR="00B065BE" w:rsidRPr="00E04C25">
        <w:rPr>
          <w:rFonts w:ascii="Arial" w:hAnsi="Arial" w:cs="Arial"/>
        </w:rPr>
        <w:t>0</w:t>
      </w:r>
      <w:r w:rsidR="00041B9D" w:rsidRPr="00E04C25">
        <w:rPr>
          <w:rFonts w:ascii="Arial" w:hAnsi="Arial" w:cs="Arial"/>
        </w:rPr>
        <w:t>,</w:t>
      </w:r>
      <w:r w:rsidR="00B065BE" w:rsidRPr="00E04C25">
        <w:rPr>
          <w:rFonts w:ascii="Arial" w:hAnsi="Arial" w:cs="Arial"/>
        </w:rPr>
        <w:t>9</w:t>
      </w:r>
      <w:r w:rsidR="00041B9D" w:rsidRPr="00E04C25">
        <w:rPr>
          <w:rFonts w:ascii="Arial" w:hAnsi="Arial" w:cs="Arial"/>
        </w:rPr>
        <w:t xml:space="preserve"> p. b.) </w:t>
      </w:r>
      <w:r w:rsidR="00041B9D" w:rsidRPr="00E04C25">
        <w:rPr>
          <w:rFonts w:ascii="Arial" w:hAnsi="Arial" w:cs="Arial"/>
          <w:b/>
        </w:rPr>
        <w:t>na 5</w:t>
      </w:r>
      <w:r w:rsidR="00B065BE" w:rsidRPr="00E04C25">
        <w:rPr>
          <w:rFonts w:ascii="Arial" w:hAnsi="Arial" w:cs="Arial"/>
          <w:b/>
        </w:rPr>
        <w:t>8</w:t>
      </w:r>
      <w:r w:rsidR="00041B9D" w:rsidRPr="00E04C25">
        <w:rPr>
          <w:rFonts w:ascii="Arial" w:hAnsi="Arial" w:cs="Arial"/>
          <w:b/>
        </w:rPr>
        <w:t>,</w:t>
      </w:r>
      <w:r w:rsidR="00313F9A" w:rsidRPr="00E04C25">
        <w:rPr>
          <w:rFonts w:ascii="Arial" w:hAnsi="Arial" w:cs="Arial"/>
          <w:b/>
        </w:rPr>
        <w:t>5</w:t>
      </w:r>
      <w:r w:rsidR="00041B9D" w:rsidRPr="00E04C25">
        <w:rPr>
          <w:rFonts w:ascii="Arial" w:hAnsi="Arial" w:cs="Arial"/>
          <w:b/>
        </w:rPr>
        <w:t> %</w:t>
      </w:r>
      <w:r w:rsidR="00041B9D" w:rsidRPr="00E04C25">
        <w:rPr>
          <w:rFonts w:ascii="Arial" w:hAnsi="Arial" w:cs="Arial"/>
        </w:rPr>
        <w:t xml:space="preserve">, osob ve věku </w:t>
      </w:r>
      <w:r w:rsidR="00041B9D" w:rsidRPr="00E04C25">
        <w:rPr>
          <w:rFonts w:ascii="Arial" w:hAnsi="Arial" w:cs="Arial"/>
          <w:b/>
        </w:rPr>
        <w:t>15</w:t>
      </w:r>
      <w:r w:rsidR="00976F7F" w:rsidRPr="00E04C25">
        <w:rPr>
          <w:rFonts w:ascii="Arial" w:hAnsi="Arial" w:cs="Arial"/>
          <w:b/>
        </w:rPr>
        <w:t>-</w:t>
      </w:r>
      <w:r w:rsidR="00041B9D" w:rsidRPr="00E04C25">
        <w:rPr>
          <w:rFonts w:ascii="Arial" w:hAnsi="Arial" w:cs="Arial"/>
          <w:b/>
        </w:rPr>
        <w:t>64 let</w:t>
      </w:r>
      <w:r w:rsidR="00041B9D" w:rsidRPr="00E04C25">
        <w:rPr>
          <w:rFonts w:ascii="Arial" w:hAnsi="Arial" w:cs="Arial"/>
        </w:rPr>
        <w:t xml:space="preserve"> (o 1,</w:t>
      </w:r>
      <w:r w:rsidR="00B065BE" w:rsidRPr="00E04C25">
        <w:rPr>
          <w:rFonts w:ascii="Arial" w:hAnsi="Arial" w:cs="Arial"/>
        </w:rPr>
        <w:t>6</w:t>
      </w:r>
      <w:r w:rsidR="00041B9D" w:rsidRPr="00E04C25">
        <w:rPr>
          <w:rFonts w:ascii="Arial" w:hAnsi="Arial" w:cs="Arial"/>
        </w:rPr>
        <w:t xml:space="preserve"> p. b.) </w:t>
      </w:r>
      <w:r w:rsidR="00041B9D" w:rsidRPr="00E04C25">
        <w:rPr>
          <w:rFonts w:ascii="Arial" w:hAnsi="Arial" w:cs="Arial"/>
          <w:b/>
        </w:rPr>
        <w:t>na 7</w:t>
      </w:r>
      <w:r w:rsidR="00B065BE" w:rsidRPr="00E04C25">
        <w:rPr>
          <w:rFonts w:ascii="Arial" w:hAnsi="Arial" w:cs="Arial"/>
          <w:b/>
        </w:rPr>
        <w:t>3</w:t>
      </w:r>
      <w:r w:rsidR="00041B9D" w:rsidRPr="00E04C25">
        <w:rPr>
          <w:rFonts w:ascii="Arial" w:hAnsi="Arial" w:cs="Arial"/>
          <w:b/>
        </w:rPr>
        <w:t>,</w:t>
      </w:r>
      <w:r w:rsidR="00B065BE" w:rsidRPr="00E04C25">
        <w:rPr>
          <w:rFonts w:ascii="Arial" w:hAnsi="Arial" w:cs="Arial"/>
          <w:b/>
        </w:rPr>
        <w:t>6</w:t>
      </w:r>
      <w:r w:rsidR="00041B9D" w:rsidRPr="00E04C25">
        <w:rPr>
          <w:rFonts w:ascii="Arial" w:hAnsi="Arial" w:cs="Arial"/>
          <w:b/>
        </w:rPr>
        <w:t> %</w:t>
      </w:r>
      <w:r w:rsidR="00041B9D" w:rsidRPr="00E04C25">
        <w:rPr>
          <w:rFonts w:ascii="Arial" w:hAnsi="Arial" w:cs="Arial"/>
        </w:rPr>
        <w:t xml:space="preserve">. </w:t>
      </w:r>
    </w:p>
    <w:p w:rsidR="00B065BE" w:rsidRPr="00E04C25" w:rsidRDefault="00762875" w:rsidP="00B065BE">
      <w:pPr>
        <w:pStyle w:val="Odstavecseseznamem"/>
        <w:widowControl w:val="0"/>
        <w:numPr>
          <w:ilvl w:val="0"/>
          <w:numId w:val="16"/>
        </w:numPr>
        <w:tabs>
          <w:tab w:val="left" w:pos="426"/>
          <w:tab w:val="left" w:pos="709"/>
        </w:tabs>
        <w:spacing w:after="60" w:line="360" w:lineRule="auto"/>
        <w:ind w:left="425" w:hanging="425"/>
        <w:jc w:val="both"/>
        <w:rPr>
          <w:rFonts w:ascii="Arial" w:hAnsi="Arial" w:cs="Arial"/>
        </w:rPr>
      </w:pPr>
      <w:r w:rsidRPr="00E04C25">
        <w:rPr>
          <w:rFonts w:ascii="Arial" w:hAnsi="Arial" w:cs="Arial"/>
        </w:rPr>
        <w:t xml:space="preserve">V návaznosti na hlavní cíle </w:t>
      </w:r>
      <w:r w:rsidRPr="00E04C25">
        <w:rPr>
          <w:rFonts w:ascii="Arial" w:hAnsi="Arial" w:cs="Arial"/>
          <w:b/>
        </w:rPr>
        <w:t>Strategie Evropa 2020</w:t>
      </w:r>
      <w:r w:rsidRPr="00E04C25">
        <w:rPr>
          <w:rFonts w:ascii="Arial" w:hAnsi="Arial" w:cs="Arial"/>
        </w:rPr>
        <w:t xml:space="preserve"> si </w:t>
      </w:r>
      <w:r w:rsidRPr="00E04C25">
        <w:rPr>
          <w:rFonts w:ascii="Arial" w:hAnsi="Arial" w:cs="Arial"/>
          <w:b/>
        </w:rPr>
        <w:t>ČR</w:t>
      </w:r>
      <w:r w:rsidRPr="00E04C25">
        <w:rPr>
          <w:rFonts w:ascii="Arial" w:hAnsi="Arial" w:cs="Arial"/>
        </w:rPr>
        <w:t xml:space="preserve"> do roku 2020</w:t>
      </w:r>
      <w:r w:rsidRPr="00E04C25">
        <w:rPr>
          <w:rFonts w:ascii="Arial" w:hAnsi="Arial" w:cs="Arial"/>
          <w:b/>
        </w:rPr>
        <w:t xml:space="preserve"> </w:t>
      </w:r>
      <w:r w:rsidR="00340EF4" w:rsidRPr="00E04C25">
        <w:rPr>
          <w:rFonts w:ascii="Arial" w:hAnsi="Arial" w:cs="Arial"/>
          <w:b/>
        </w:rPr>
        <w:t>v oblasti zaměstnanosti</w:t>
      </w:r>
      <w:r w:rsidR="00340EF4" w:rsidRPr="00E04C25">
        <w:rPr>
          <w:rFonts w:ascii="Arial" w:hAnsi="Arial" w:cs="Arial"/>
        </w:rPr>
        <w:t xml:space="preserve"> </w:t>
      </w:r>
      <w:r w:rsidRPr="00E04C25">
        <w:rPr>
          <w:rFonts w:ascii="Arial" w:hAnsi="Arial" w:cs="Arial"/>
        </w:rPr>
        <w:t xml:space="preserve">stanovila </w:t>
      </w:r>
      <w:r w:rsidRPr="00E04C25">
        <w:rPr>
          <w:rFonts w:ascii="Arial" w:hAnsi="Arial" w:cs="Arial"/>
          <w:b/>
        </w:rPr>
        <w:t xml:space="preserve">národní </w:t>
      </w:r>
      <w:r w:rsidR="001616A0" w:rsidRPr="00E04C25">
        <w:rPr>
          <w:rFonts w:ascii="Arial" w:hAnsi="Arial" w:cs="Arial"/>
          <w:b/>
        </w:rPr>
        <w:t>cíl</w:t>
      </w:r>
      <w:r w:rsidR="001B4C5E">
        <w:rPr>
          <w:rFonts w:ascii="Arial" w:hAnsi="Arial" w:cs="Arial"/>
          <w:b/>
        </w:rPr>
        <w:t>e</w:t>
      </w:r>
      <w:r w:rsidR="001616A0" w:rsidRPr="00E04C25">
        <w:rPr>
          <w:rFonts w:ascii="Arial" w:hAnsi="Arial" w:cs="Arial"/>
          <w:b/>
        </w:rPr>
        <w:t xml:space="preserve"> </w:t>
      </w:r>
      <w:r w:rsidRPr="00E04C25">
        <w:rPr>
          <w:rFonts w:ascii="Arial" w:hAnsi="Arial" w:cs="Arial"/>
        </w:rPr>
        <w:t>zvýš</w:t>
      </w:r>
      <w:r w:rsidR="00340EF4" w:rsidRPr="00E04C25">
        <w:rPr>
          <w:rFonts w:ascii="Arial" w:hAnsi="Arial" w:cs="Arial"/>
        </w:rPr>
        <w:t>it</w:t>
      </w:r>
      <w:r w:rsidRPr="00E04C25">
        <w:rPr>
          <w:rFonts w:ascii="Arial" w:hAnsi="Arial" w:cs="Arial"/>
        </w:rPr>
        <w:t xml:space="preserve"> celkov</w:t>
      </w:r>
      <w:r w:rsidR="00340EF4" w:rsidRPr="00E04C25">
        <w:rPr>
          <w:rFonts w:ascii="Arial" w:hAnsi="Arial" w:cs="Arial"/>
        </w:rPr>
        <w:t>ou</w:t>
      </w:r>
      <w:r w:rsidRPr="00E04C25">
        <w:rPr>
          <w:rFonts w:ascii="Arial" w:hAnsi="Arial" w:cs="Arial"/>
        </w:rPr>
        <w:t xml:space="preserve"> mír</w:t>
      </w:r>
      <w:r w:rsidR="00340EF4" w:rsidRPr="00E04C25">
        <w:rPr>
          <w:rFonts w:ascii="Arial" w:hAnsi="Arial" w:cs="Arial"/>
        </w:rPr>
        <w:t>u</w:t>
      </w:r>
      <w:r w:rsidRPr="00E04C25">
        <w:rPr>
          <w:rFonts w:ascii="Arial" w:hAnsi="Arial" w:cs="Arial"/>
        </w:rPr>
        <w:t xml:space="preserve"> zaměstnanosti </w:t>
      </w:r>
      <w:r w:rsidR="00340EF4" w:rsidRPr="00E04C25">
        <w:rPr>
          <w:rFonts w:ascii="Arial" w:hAnsi="Arial" w:cs="Arial"/>
        </w:rPr>
        <w:t xml:space="preserve">(MZ) </w:t>
      </w:r>
      <w:r w:rsidRPr="00E04C25">
        <w:rPr>
          <w:rFonts w:ascii="Arial" w:hAnsi="Arial" w:cs="Arial"/>
        </w:rPr>
        <w:t>ve věkové skupině</w:t>
      </w:r>
      <w:r w:rsidR="00041D3B" w:rsidRPr="00E04C25">
        <w:rPr>
          <w:rFonts w:ascii="Arial" w:hAnsi="Arial" w:cs="Arial"/>
        </w:rPr>
        <w:t xml:space="preserve"> </w:t>
      </w:r>
      <w:r w:rsidRPr="00E04C25">
        <w:rPr>
          <w:rFonts w:ascii="Arial" w:hAnsi="Arial" w:cs="Arial"/>
        </w:rPr>
        <w:t>20</w:t>
      </w:r>
      <w:r w:rsidR="00976F7F" w:rsidRPr="00E04C25">
        <w:rPr>
          <w:rFonts w:ascii="Arial" w:hAnsi="Arial" w:cs="Arial"/>
        </w:rPr>
        <w:t>-</w:t>
      </w:r>
      <w:r w:rsidRPr="00E04C25">
        <w:rPr>
          <w:rFonts w:ascii="Arial" w:hAnsi="Arial" w:cs="Arial"/>
        </w:rPr>
        <w:t>64 let na 75 %, MZ žen v této věkové skupině na 65 % a</w:t>
      </w:r>
      <w:r w:rsidR="001616A0" w:rsidRPr="00E04C25">
        <w:rPr>
          <w:rFonts w:ascii="Arial" w:hAnsi="Arial" w:cs="Arial"/>
        </w:rPr>
        <w:t> </w:t>
      </w:r>
      <w:r w:rsidRPr="00E04C25">
        <w:rPr>
          <w:rFonts w:ascii="Arial" w:hAnsi="Arial" w:cs="Arial"/>
        </w:rPr>
        <w:t>MZ starších pracovníků (55</w:t>
      </w:r>
      <w:r w:rsidR="00976F7F" w:rsidRPr="00E04C25">
        <w:rPr>
          <w:rFonts w:ascii="Arial" w:hAnsi="Arial" w:cs="Arial"/>
        </w:rPr>
        <w:t>-</w:t>
      </w:r>
      <w:r w:rsidRPr="00E04C25">
        <w:rPr>
          <w:rFonts w:ascii="Arial" w:hAnsi="Arial" w:cs="Arial"/>
        </w:rPr>
        <w:t xml:space="preserve">64 let) na 55 %. </w:t>
      </w:r>
      <w:r w:rsidR="00041B9D" w:rsidRPr="00E04C25">
        <w:rPr>
          <w:rFonts w:ascii="Arial" w:hAnsi="Arial" w:cs="Arial"/>
        </w:rPr>
        <w:t xml:space="preserve">MZ obyvatelstva </w:t>
      </w:r>
      <w:r w:rsidR="00041B9D" w:rsidRPr="00E04C25">
        <w:rPr>
          <w:rFonts w:ascii="Arial" w:hAnsi="Arial" w:cs="Arial"/>
          <w:b/>
          <w:bCs/>
        </w:rPr>
        <w:t>ve věku 20</w:t>
      </w:r>
      <w:r w:rsidR="00976F7F" w:rsidRPr="00E04C25">
        <w:rPr>
          <w:rFonts w:ascii="Arial" w:hAnsi="Arial" w:cs="Arial"/>
          <w:b/>
          <w:bCs/>
        </w:rPr>
        <w:t>-</w:t>
      </w:r>
      <w:r w:rsidR="00041B9D" w:rsidRPr="00E04C25">
        <w:rPr>
          <w:rFonts w:ascii="Arial" w:hAnsi="Arial" w:cs="Arial"/>
          <w:b/>
          <w:bCs/>
        </w:rPr>
        <w:t>64 let</w:t>
      </w:r>
      <w:r w:rsidR="00B065BE" w:rsidRPr="00E04C25">
        <w:rPr>
          <w:rFonts w:ascii="Arial" w:hAnsi="Arial" w:cs="Arial"/>
        </w:rPr>
        <w:t xml:space="preserve"> se v roce 2017</w:t>
      </w:r>
      <w:r w:rsidR="00041B9D" w:rsidRPr="00E04C25">
        <w:rPr>
          <w:rFonts w:ascii="Arial" w:hAnsi="Arial" w:cs="Arial"/>
        </w:rPr>
        <w:t xml:space="preserve"> meziročně </w:t>
      </w:r>
      <w:r w:rsidR="00041B9D" w:rsidRPr="00E04C25">
        <w:rPr>
          <w:rFonts w:ascii="Arial" w:hAnsi="Arial" w:cs="Arial"/>
          <w:b/>
        </w:rPr>
        <w:t>zvýšila</w:t>
      </w:r>
      <w:r w:rsidR="00041B9D" w:rsidRPr="00E04C25">
        <w:rPr>
          <w:rFonts w:ascii="Arial" w:hAnsi="Arial" w:cs="Arial"/>
        </w:rPr>
        <w:t xml:space="preserve"> </w:t>
      </w:r>
      <w:r w:rsidR="00041B9D" w:rsidRPr="00E04C25">
        <w:rPr>
          <w:rFonts w:ascii="Arial" w:hAnsi="Arial" w:cs="Arial"/>
          <w:bCs/>
        </w:rPr>
        <w:t>o 1</w:t>
      </w:r>
      <w:r w:rsidR="00B065BE" w:rsidRPr="00E04C25">
        <w:rPr>
          <w:rFonts w:ascii="Arial" w:hAnsi="Arial" w:cs="Arial"/>
        </w:rPr>
        <w:t>,8</w:t>
      </w:r>
      <w:r w:rsidR="00041B9D" w:rsidRPr="00E04C25">
        <w:rPr>
          <w:rFonts w:ascii="Arial" w:hAnsi="Arial" w:cs="Arial"/>
        </w:rPr>
        <w:t xml:space="preserve"> p. b. </w:t>
      </w:r>
      <w:r w:rsidR="00041B9D" w:rsidRPr="00E04C25">
        <w:rPr>
          <w:rFonts w:ascii="Arial" w:hAnsi="Arial" w:cs="Arial"/>
          <w:b/>
          <w:bCs/>
        </w:rPr>
        <w:t>na 7</w:t>
      </w:r>
      <w:r w:rsidR="00B065BE" w:rsidRPr="00E04C25">
        <w:rPr>
          <w:rFonts w:ascii="Arial" w:hAnsi="Arial" w:cs="Arial"/>
          <w:b/>
          <w:bCs/>
        </w:rPr>
        <w:t>8</w:t>
      </w:r>
      <w:r w:rsidR="00041B9D" w:rsidRPr="00E04C25">
        <w:rPr>
          <w:rFonts w:ascii="Arial" w:hAnsi="Arial" w:cs="Arial"/>
          <w:b/>
          <w:bCs/>
        </w:rPr>
        <w:t>,</w:t>
      </w:r>
      <w:r w:rsidR="00B065BE" w:rsidRPr="00E04C25">
        <w:rPr>
          <w:rFonts w:ascii="Arial" w:hAnsi="Arial" w:cs="Arial"/>
          <w:b/>
          <w:bCs/>
        </w:rPr>
        <w:t>5</w:t>
      </w:r>
      <w:r w:rsidR="00041B9D" w:rsidRPr="00E04C25">
        <w:rPr>
          <w:rFonts w:ascii="Arial" w:hAnsi="Arial" w:cs="Arial"/>
          <w:b/>
          <w:bCs/>
        </w:rPr>
        <w:t xml:space="preserve"> %</w:t>
      </w:r>
      <w:r w:rsidRPr="00E04C25">
        <w:rPr>
          <w:rFonts w:ascii="Arial" w:hAnsi="Arial" w:cs="Arial"/>
          <w:b/>
          <w:bCs/>
        </w:rPr>
        <w:t>,</w:t>
      </w:r>
      <w:r w:rsidRPr="00E04C25">
        <w:rPr>
          <w:rFonts w:ascii="Arial" w:hAnsi="Arial" w:cs="Arial"/>
        </w:rPr>
        <w:t xml:space="preserve"> </w:t>
      </w:r>
      <w:r w:rsidR="00041B9D" w:rsidRPr="00E04C25">
        <w:rPr>
          <w:rFonts w:ascii="Arial" w:hAnsi="Arial" w:cs="Arial"/>
        </w:rPr>
        <w:t>MZ</w:t>
      </w:r>
      <w:r w:rsidR="00041B9D" w:rsidRPr="00E04C25">
        <w:rPr>
          <w:rFonts w:ascii="Arial" w:hAnsi="Arial" w:cs="Arial"/>
          <w:b/>
          <w:bCs/>
        </w:rPr>
        <w:t xml:space="preserve"> žen </w:t>
      </w:r>
      <w:r w:rsidR="00041B9D" w:rsidRPr="00E04C25">
        <w:rPr>
          <w:rFonts w:ascii="Arial" w:hAnsi="Arial" w:cs="Arial"/>
          <w:bCs/>
        </w:rPr>
        <w:t xml:space="preserve">ve stejném věku </w:t>
      </w:r>
      <w:r w:rsidR="00041B9D" w:rsidRPr="00E04C25">
        <w:rPr>
          <w:rFonts w:ascii="Arial" w:hAnsi="Arial" w:cs="Arial"/>
          <w:b/>
          <w:bCs/>
        </w:rPr>
        <w:t xml:space="preserve">vzrostla </w:t>
      </w:r>
      <w:r w:rsidR="00041B9D" w:rsidRPr="00E04C25">
        <w:rPr>
          <w:rFonts w:ascii="Arial" w:hAnsi="Arial" w:cs="Arial"/>
        </w:rPr>
        <w:t>o </w:t>
      </w:r>
      <w:r w:rsidR="00B065BE" w:rsidRPr="00E04C25">
        <w:rPr>
          <w:rFonts w:ascii="Arial" w:hAnsi="Arial" w:cs="Arial"/>
        </w:rPr>
        <w:t>1</w:t>
      </w:r>
      <w:r w:rsidR="00041B9D" w:rsidRPr="00E04C25">
        <w:rPr>
          <w:rFonts w:ascii="Arial" w:hAnsi="Arial" w:cs="Arial"/>
        </w:rPr>
        <w:t>,</w:t>
      </w:r>
      <w:r w:rsidR="00B065BE" w:rsidRPr="00E04C25">
        <w:rPr>
          <w:rFonts w:ascii="Arial" w:hAnsi="Arial" w:cs="Arial"/>
        </w:rPr>
        <w:t>9</w:t>
      </w:r>
      <w:r w:rsidR="00041B9D" w:rsidRPr="00E04C25">
        <w:rPr>
          <w:rFonts w:ascii="Arial" w:hAnsi="Arial" w:cs="Arial"/>
        </w:rPr>
        <w:t xml:space="preserve"> p. b. </w:t>
      </w:r>
      <w:r w:rsidR="00041B9D" w:rsidRPr="00E04C25">
        <w:rPr>
          <w:rFonts w:ascii="Arial" w:hAnsi="Arial" w:cs="Arial"/>
          <w:b/>
          <w:bCs/>
        </w:rPr>
        <w:t xml:space="preserve">na </w:t>
      </w:r>
      <w:r w:rsidR="00B065BE" w:rsidRPr="00E04C25">
        <w:rPr>
          <w:rFonts w:ascii="Arial" w:hAnsi="Arial" w:cs="Arial"/>
          <w:b/>
          <w:bCs/>
        </w:rPr>
        <w:t>70</w:t>
      </w:r>
      <w:r w:rsidR="00041B9D" w:rsidRPr="00E04C25">
        <w:rPr>
          <w:rFonts w:ascii="Arial" w:hAnsi="Arial" w:cs="Arial"/>
          <w:b/>
          <w:bCs/>
        </w:rPr>
        <w:t>,</w:t>
      </w:r>
      <w:r w:rsidR="00B065BE" w:rsidRPr="00E04C25">
        <w:rPr>
          <w:rFonts w:ascii="Arial" w:hAnsi="Arial" w:cs="Arial"/>
          <w:b/>
          <w:bCs/>
        </w:rPr>
        <w:t>5</w:t>
      </w:r>
      <w:r w:rsidR="00041B9D" w:rsidRPr="00E04C25">
        <w:rPr>
          <w:rFonts w:ascii="Arial" w:hAnsi="Arial" w:cs="Arial"/>
          <w:b/>
          <w:bCs/>
        </w:rPr>
        <w:t> %</w:t>
      </w:r>
      <w:r w:rsidR="00041B9D" w:rsidRPr="00E04C25">
        <w:rPr>
          <w:rFonts w:ascii="Arial" w:hAnsi="Arial" w:cs="Arial"/>
        </w:rPr>
        <w:t xml:space="preserve">, MZ ve věkové skupině </w:t>
      </w:r>
      <w:r w:rsidR="00041B9D" w:rsidRPr="00E04C25">
        <w:rPr>
          <w:rFonts w:ascii="Arial" w:hAnsi="Arial" w:cs="Arial"/>
          <w:b/>
        </w:rPr>
        <w:t>55</w:t>
      </w:r>
      <w:r w:rsidR="00976F7F" w:rsidRPr="00E04C25">
        <w:rPr>
          <w:rFonts w:ascii="Arial" w:hAnsi="Arial" w:cs="Arial"/>
          <w:b/>
        </w:rPr>
        <w:t>-</w:t>
      </w:r>
      <w:r w:rsidR="00041B9D" w:rsidRPr="00E04C25">
        <w:rPr>
          <w:rFonts w:ascii="Arial" w:hAnsi="Arial" w:cs="Arial"/>
          <w:b/>
        </w:rPr>
        <w:t>64 let vzrostla</w:t>
      </w:r>
      <w:r w:rsidR="00041B9D" w:rsidRPr="00E04C25">
        <w:rPr>
          <w:rFonts w:ascii="Arial" w:hAnsi="Arial" w:cs="Arial"/>
        </w:rPr>
        <w:t xml:space="preserve"> o 3,</w:t>
      </w:r>
      <w:r w:rsidR="00B065BE" w:rsidRPr="00E04C25">
        <w:rPr>
          <w:rFonts w:ascii="Arial" w:hAnsi="Arial" w:cs="Arial"/>
        </w:rPr>
        <w:t>6</w:t>
      </w:r>
      <w:r w:rsidR="00041B9D" w:rsidRPr="00E04C25">
        <w:rPr>
          <w:rFonts w:ascii="Arial" w:hAnsi="Arial" w:cs="Arial"/>
        </w:rPr>
        <w:t xml:space="preserve"> p. b.</w:t>
      </w:r>
      <w:r w:rsidR="00041B9D" w:rsidRPr="00E04C25">
        <w:rPr>
          <w:rFonts w:ascii="Arial" w:hAnsi="Arial" w:cs="Arial"/>
          <w:b/>
        </w:rPr>
        <w:t xml:space="preserve"> na</w:t>
      </w:r>
      <w:r w:rsidR="00041B9D" w:rsidRPr="00E04C25">
        <w:rPr>
          <w:rFonts w:ascii="Arial" w:hAnsi="Arial" w:cs="Arial"/>
        </w:rPr>
        <w:t xml:space="preserve"> </w:t>
      </w:r>
      <w:r w:rsidR="00B065BE" w:rsidRPr="00E04C25">
        <w:rPr>
          <w:rFonts w:ascii="Arial" w:hAnsi="Arial" w:cs="Arial"/>
          <w:b/>
        </w:rPr>
        <w:t>62</w:t>
      </w:r>
      <w:r w:rsidR="00041B9D" w:rsidRPr="00E04C25">
        <w:rPr>
          <w:rFonts w:ascii="Arial" w:hAnsi="Arial" w:cs="Arial"/>
          <w:b/>
        </w:rPr>
        <w:t>,</w:t>
      </w:r>
      <w:r w:rsidR="00B065BE" w:rsidRPr="00E04C25">
        <w:rPr>
          <w:rFonts w:ascii="Arial" w:hAnsi="Arial" w:cs="Arial"/>
          <w:b/>
        </w:rPr>
        <w:t>1</w:t>
      </w:r>
      <w:r w:rsidR="00041B9D" w:rsidRPr="00E04C25">
        <w:rPr>
          <w:rFonts w:ascii="Arial" w:hAnsi="Arial" w:cs="Arial"/>
          <w:b/>
        </w:rPr>
        <w:t> %.</w:t>
      </w:r>
      <w:r w:rsidRPr="00E04C25">
        <w:rPr>
          <w:rFonts w:ascii="Arial" w:hAnsi="Arial" w:cs="Arial"/>
        </w:rPr>
        <w:t xml:space="preserve"> Nad úrovní cílů jsou momentálně </w:t>
      </w:r>
      <w:r w:rsidR="00041B9D" w:rsidRPr="00E04C25">
        <w:rPr>
          <w:rFonts w:ascii="Arial" w:hAnsi="Arial" w:cs="Arial"/>
        </w:rPr>
        <w:t>všechny</w:t>
      </w:r>
      <w:r w:rsidR="002E1A06" w:rsidRPr="00E04C25">
        <w:rPr>
          <w:rFonts w:ascii="Arial" w:hAnsi="Arial" w:cs="Arial"/>
        </w:rPr>
        <w:t xml:space="preserve"> tři</w:t>
      </w:r>
      <w:r w:rsidRPr="00E04C25">
        <w:rPr>
          <w:rFonts w:ascii="Arial" w:hAnsi="Arial" w:cs="Arial"/>
        </w:rPr>
        <w:t xml:space="preserve"> ukazatele </w:t>
      </w:r>
      <w:r w:rsidR="00041B9D" w:rsidRPr="00E04C25">
        <w:rPr>
          <w:rFonts w:ascii="Arial" w:hAnsi="Arial" w:cs="Arial"/>
        </w:rPr>
        <w:t>zaměstnanosti</w:t>
      </w:r>
      <w:r w:rsidRPr="00E04C25">
        <w:rPr>
          <w:rFonts w:ascii="Arial" w:hAnsi="Arial" w:cs="Arial"/>
        </w:rPr>
        <w:t>.</w:t>
      </w:r>
    </w:p>
    <w:p w:rsidR="00B065BE" w:rsidRPr="00E04C25" w:rsidRDefault="00340EF4" w:rsidP="00B065BE">
      <w:pPr>
        <w:pStyle w:val="Odstavecseseznamem"/>
        <w:widowControl w:val="0"/>
        <w:numPr>
          <w:ilvl w:val="0"/>
          <w:numId w:val="16"/>
        </w:numPr>
        <w:tabs>
          <w:tab w:val="left" w:pos="426"/>
          <w:tab w:val="left" w:pos="709"/>
        </w:tabs>
        <w:spacing w:after="60" w:line="360" w:lineRule="auto"/>
        <w:ind w:left="425" w:hanging="425"/>
        <w:jc w:val="both"/>
        <w:rPr>
          <w:rFonts w:ascii="Arial" w:hAnsi="Arial" w:cs="Arial"/>
        </w:rPr>
      </w:pPr>
      <w:r w:rsidRPr="00E04C25">
        <w:rPr>
          <w:rFonts w:ascii="Arial" w:hAnsi="Arial" w:cs="Arial"/>
          <w:b/>
          <w:bCs/>
        </w:rPr>
        <w:t>Zvýšil se p</w:t>
      </w:r>
      <w:r w:rsidR="00B065BE" w:rsidRPr="00E04C25">
        <w:rPr>
          <w:rFonts w:ascii="Arial" w:hAnsi="Arial" w:cs="Arial"/>
          <w:b/>
          <w:bCs/>
        </w:rPr>
        <w:t>očet ekonomicky aktivních osob,</w:t>
      </w:r>
      <w:r w:rsidR="00B065BE" w:rsidRPr="00E04C25">
        <w:rPr>
          <w:rFonts w:ascii="Arial" w:hAnsi="Arial" w:cs="Arial"/>
          <w:bCs/>
        </w:rPr>
        <w:t xml:space="preserve"> tj. </w:t>
      </w:r>
      <w:r w:rsidR="001B4C5E">
        <w:rPr>
          <w:rFonts w:ascii="Arial" w:hAnsi="Arial" w:cs="Arial"/>
          <w:bCs/>
        </w:rPr>
        <w:t xml:space="preserve">součet </w:t>
      </w:r>
      <w:r w:rsidR="00B065BE" w:rsidRPr="00E04C25">
        <w:rPr>
          <w:rFonts w:ascii="Arial" w:hAnsi="Arial" w:cs="Arial"/>
          <w:bCs/>
        </w:rPr>
        <w:t>zaměstnaných a nezaměstnaných</w:t>
      </w:r>
      <w:r w:rsidRPr="00E04C25">
        <w:rPr>
          <w:rFonts w:ascii="Arial" w:hAnsi="Arial" w:cs="Arial"/>
          <w:bCs/>
        </w:rPr>
        <w:t>, a to</w:t>
      </w:r>
      <w:r w:rsidR="00B065BE" w:rsidRPr="00E04C25">
        <w:rPr>
          <w:rFonts w:ascii="Arial" w:hAnsi="Arial" w:cs="Arial"/>
          <w:bCs/>
        </w:rPr>
        <w:t xml:space="preserve"> </w:t>
      </w:r>
      <w:r w:rsidR="00B065BE" w:rsidRPr="00E04C25">
        <w:rPr>
          <w:rFonts w:ascii="Arial" w:hAnsi="Arial" w:cs="Arial"/>
        </w:rPr>
        <w:t>o 27,1</w:t>
      </w:r>
      <w:r w:rsidR="00B065BE" w:rsidRPr="00E04C25">
        <w:rPr>
          <w:rFonts w:ascii="Arial" w:hAnsi="Arial" w:cs="Arial"/>
          <w:bCs/>
        </w:rPr>
        <w:t xml:space="preserve"> tis.</w:t>
      </w:r>
      <w:r w:rsidR="00B065BE" w:rsidRPr="00E04C25">
        <w:rPr>
          <w:rFonts w:ascii="Arial" w:hAnsi="Arial" w:cs="Arial"/>
          <w:b/>
          <w:bCs/>
        </w:rPr>
        <w:t xml:space="preserve"> </w:t>
      </w:r>
      <w:r w:rsidR="00B065BE" w:rsidRPr="00E04C25">
        <w:rPr>
          <w:rFonts w:ascii="Arial" w:hAnsi="Arial" w:cs="Arial"/>
          <w:b/>
        </w:rPr>
        <w:t>na 5 377,1 tis</w:t>
      </w:r>
      <w:r w:rsidR="00B065BE" w:rsidRPr="00E04C25">
        <w:rPr>
          <w:rFonts w:ascii="Arial" w:hAnsi="Arial" w:cs="Arial"/>
          <w:b/>
          <w:bCs/>
        </w:rPr>
        <w:t xml:space="preserve">. </w:t>
      </w:r>
      <w:r w:rsidR="00B065BE" w:rsidRPr="00E04C25">
        <w:rPr>
          <w:rFonts w:ascii="Arial" w:hAnsi="Arial" w:cs="Arial"/>
        </w:rPr>
        <w:t xml:space="preserve">Pozitivní vývoj ekonomiky se na trhu práce projevil </w:t>
      </w:r>
      <w:r w:rsidR="00B065BE" w:rsidRPr="00E04C25">
        <w:rPr>
          <w:rFonts w:ascii="Arial" w:hAnsi="Arial" w:cs="Arial"/>
          <w:b/>
        </w:rPr>
        <w:t>nárůstem počtu zaměstnaných</w:t>
      </w:r>
      <w:r w:rsidR="00B065BE" w:rsidRPr="00E04C25">
        <w:rPr>
          <w:rFonts w:ascii="Arial" w:hAnsi="Arial" w:cs="Arial"/>
        </w:rPr>
        <w:t xml:space="preserve"> o 83,0 tis., </w:t>
      </w:r>
      <w:r w:rsidR="00B065BE" w:rsidRPr="00E04C25">
        <w:rPr>
          <w:rFonts w:ascii="Arial" w:hAnsi="Arial" w:cs="Arial"/>
          <w:b/>
        </w:rPr>
        <w:t>pokles počtu ne</w:t>
      </w:r>
      <w:r w:rsidR="00B065BE" w:rsidRPr="00E04C25">
        <w:rPr>
          <w:rFonts w:ascii="Arial" w:hAnsi="Arial" w:cs="Arial"/>
          <w:b/>
          <w:bCs/>
        </w:rPr>
        <w:t>zaměstnaných</w:t>
      </w:r>
      <w:r w:rsidR="00B065BE" w:rsidRPr="00E04C25">
        <w:rPr>
          <w:rFonts w:ascii="Arial" w:hAnsi="Arial" w:cs="Arial"/>
          <w:bCs/>
        </w:rPr>
        <w:t xml:space="preserve"> (podle VŠPS – metodika </w:t>
      </w:r>
      <w:r w:rsidR="008D6DAA" w:rsidRPr="00E04C25">
        <w:rPr>
          <w:rFonts w:ascii="Arial" w:hAnsi="Arial" w:cs="Arial"/>
          <w:bCs/>
        </w:rPr>
        <w:t xml:space="preserve">mezinárodní organizace práce </w:t>
      </w:r>
      <w:r w:rsidR="00B065BE" w:rsidRPr="00E04C25">
        <w:rPr>
          <w:rFonts w:ascii="Arial" w:hAnsi="Arial" w:cs="Arial"/>
          <w:bCs/>
        </w:rPr>
        <w:t>ILO)</w:t>
      </w:r>
      <w:r w:rsidR="00B065BE" w:rsidRPr="00E04C25">
        <w:rPr>
          <w:rFonts w:ascii="Arial" w:hAnsi="Arial" w:cs="Arial"/>
          <w:b/>
          <w:bCs/>
        </w:rPr>
        <w:t xml:space="preserve"> </w:t>
      </w:r>
      <w:r w:rsidR="00B065BE" w:rsidRPr="00E04C25">
        <w:rPr>
          <w:rFonts w:ascii="Arial" w:hAnsi="Arial" w:cs="Arial"/>
          <w:bCs/>
        </w:rPr>
        <w:t>činil 55,9 tis.</w:t>
      </w:r>
      <w:r w:rsidR="00B065BE" w:rsidRPr="00E04C25">
        <w:rPr>
          <w:rFonts w:ascii="Arial" w:hAnsi="Arial" w:cs="Arial"/>
          <w:b/>
        </w:rPr>
        <w:t xml:space="preserve"> </w:t>
      </w:r>
    </w:p>
    <w:p w:rsidR="00762875" w:rsidRPr="00E04C25" w:rsidRDefault="00762875" w:rsidP="00AE65A5">
      <w:pPr>
        <w:numPr>
          <w:ilvl w:val="1"/>
          <w:numId w:val="2"/>
        </w:numPr>
        <w:tabs>
          <w:tab w:val="left" w:pos="0"/>
          <w:tab w:val="left" w:pos="709"/>
        </w:tabs>
        <w:spacing w:after="60" w:line="360" w:lineRule="auto"/>
        <w:ind w:left="425" w:hanging="425"/>
        <w:jc w:val="both"/>
      </w:pPr>
      <w:r w:rsidRPr="00E04C25">
        <w:rPr>
          <w:rFonts w:ascii="Arial" w:hAnsi="Arial" w:cs="Arial"/>
          <w:b/>
        </w:rPr>
        <w:t>Obecná míra nezaměstnanosti</w:t>
      </w:r>
      <w:r w:rsidRPr="00E04C25">
        <w:rPr>
          <w:rFonts w:ascii="Arial" w:hAnsi="Arial" w:cs="Arial"/>
        </w:rPr>
        <w:t xml:space="preserve"> (metodika ILO) v roce 201</w:t>
      </w:r>
      <w:r w:rsidR="00B065BE" w:rsidRPr="00E04C25">
        <w:rPr>
          <w:rFonts w:ascii="Arial" w:hAnsi="Arial" w:cs="Arial"/>
        </w:rPr>
        <w:t>7</w:t>
      </w:r>
      <w:r w:rsidRPr="00E04C25">
        <w:rPr>
          <w:rFonts w:ascii="Arial" w:hAnsi="Arial" w:cs="Arial"/>
        </w:rPr>
        <w:t xml:space="preserve"> dosáhla hodnoty </w:t>
      </w:r>
      <w:r w:rsidR="00B065BE" w:rsidRPr="00E04C25">
        <w:rPr>
          <w:rFonts w:ascii="Arial" w:hAnsi="Arial" w:cs="Arial"/>
          <w:b/>
        </w:rPr>
        <w:t>2</w:t>
      </w:r>
      <w:r w:rsidRPr="00E04C25">
        <w:rPr>
          <w:rFonts w:ascii="Arial" w:hAnsi="Arial" w:cs="Arial"/>
          <w:b/>
        </w:rPr>
        <w:t>,</w:t>
      </w:r>
      <w:r w:rsidR="00B065BE" w:rsidRPr="00E04C25">
        <w:rPr>
          <w:rFonts w:ascii="Arial" w:hAnsi="Arial" w:cs="Arial"/>
          <w:b/>
        </w:rPr>
        <w:t>9</w:t>
      </w:r>
      <w:r w:rsidRPr="00E04C25">
        <w:rPr>
          <w:rFonts w:ascii="Arial" w:hAnsi="Arial" w:cs="Arial"/>
          <w:b/>
        </w:rPr>
        <w:t> %</w:t>
      </w:r>
      <w:r w:rsidRPr="00E04C25">
        <w:rPr>
          <w:rFonts w:ascii="Arial" w:hAnsi="Arial" w:cs="Arial"/>
        </w:rPr>
        <w:t xml:space="preserve"> a meziročně se snížila o 1,</w:t>
      </w:r>
      <w:r w:rsidR="00B065BE" w:rsidRPr="00E04C25">
        <w:rPr>
          <w:rFonts w:ascii="Arial" w:hAnsi="Arial" w:cs="Arial"/>
        </w:rPr>
        <w:t>1</w:t>
      </w:r>
      <w:r w:rsidRPr="00E04C25">
        <w:rPr>
          <w:rFonts w:ascii="Arial" w:hAnsi="Arial" w:cs="Arial"/>
        </w:rPr>
        <w:t xml:space="preserve"> p. b. </w:t>
      </w:r>
    </w:p>
    <w:p w:rsidR="00B7270C" w:rsidRPr="00E04C25" w:rsidRDefault="00B7270C" w:rsidP="00AE65A5">
      <w:pPr>
        <w:numPr>
          <w:ilvl w:val="1"/>
          <w:numId w:val="2"/>
        </w:numPr>
        <w:tabs>
          <w:tab w:val="left" w:pos="0"/>
          <w:tab w:val="left" w:pos="709"/>
        </w:tabs>
        <w:spacing w:after="60" w:line="360" w:lineRule="auto"/>
        <w:ind w:left="425" w:hanging="425"/>
        <w:jc w:val="both"/>
      </w:pPr>
      <w:r w:rsidRPr="00E04C25">
        <w:rPr>
          <w:rFonts w:ascii="Arial" w:hAnsi="Arial" w:cs="Arial"/>
        </w:rPr>
        <w:t xml:space="preserve">Do národních cílů </w:t>
      </w:r>
      <w:r w:rsidRPr="00E04C25">
        <w:rPr>
          <w:rFonts w:ascii="Arial" w:hAnsi="Arial" w:cs="Arial"/>
          <w:b/>
        </w:rPr>
        <w:t>Strategie Evropa 2020</w:t>
      </w:r>
      <w:r w:rsidRPr="00E04C25">
        <w:rPr>
          <w:rFonts w:ascii="Arial" w:hAnsi="Arial" w:cs="Arial"/>
        </w:rPr>
        <w:t xml:space="preserve"> ČR zařadila také cíl </w:t>
      </w:r>
      <w:r w:rsidRPr="00E04C25">
        <w:rPr>
          <w:rFonts w:ascii="Arial" w:hAnsi="Arial" w:cs="Arial"/>
          <w:b/>
        </w:rPr>
        <w:t xml:space="preserve">snížení míry nezaměstnanosti </w:t>
      </w:r>
      <w:r w:rsidR="00F82A0F" w:rsidRPr="00E04C25">
        <w:rPr>
          <w:rFonts w:ascii="Arial" w:hAnsi="Arial" w:cs="Arial"/>
        </w:rPr>
        <w:t>(MN)</w:t>
      </w:r>
      <w:r w:rsidR="00F82A0F" w:rsidRPr="00E04C25">
        <w:rPr>
          <w:rFonts w:ascii="Arial" w:hAnsi="Arial" w:cs="Arial"/>
          <w:b/>
        </w:rPr>
        <w:t xml:space="preserve"> </w:t>
      </w:r>
      <w:r w:rsidRPr="00E04C25">
        <w:rPr>
          <w:rFonts w:ascii="Arial" w:hAnsi="Arial" w:cs="Arial"/>
          <w:b/>
        </w:rPr>
        <w:t>mladých osob</w:t>
      </w:r>
      <w:r w:rsidRPr="00E04C25">
        <w:rPr>
          <w:rFonts w:ascii="Arial" w:hAnsi="Arial" w:cs="Arial"/>
        </w:rPr>
        <w:t xml:space="preserve"> (15–24 let) </w:t>
      </w:r>
      <w:r w:rsidRPr="00E04C25">
        <w:rPr>
          <w:rFonts w:ascii="Arial" w:hAnsi="Arial" w:cs="Arial"/>
          <w:b/>
        </w:rPr>
        <w:t>o třetinu</w:t>
      </w:r>
      <w:r w:rsidRPr="00E04C25">
        <w:rPr>
          <w:rFonts w:ascii="Arial" w:hAnsi="Arial" w:cs="Arial"/>
        </w:rPr>
        <w:t xml:space="preserve"> (na </w:t>
      </w:r>
      <w:r w:rsidR="00F82A0F" w:rsidRPr="00E04C25">
        <w:rPr>
          <w:rFonts w:ascii="Arial" w:hAnsi="Arial" w:cs="Arial"/>
        </w:rPr>
        <w:t xml:space="preserve">cca </w:t>
      </w:r>
      <w:r w:rsidR="006F0A44" w:rsidRPr="00E04C25">
        <w:rPr>
          <w:rFonts w:ascii="Arial" w:hAnsi="Arial" w:cs="Arial"/>
        </w:rPr>
        <w:t>12,2 %</w:t>
      </w:r>
      <w:r w:rsidRPr="00E04C25">
        <w:rPr>
          <w:rFonts w:ascii="Arial" w:hAnsi="Arial" w:cs="Arial"/>
        </w:rPr>
        <w:t xml:space="preserve">) </w:t>
      </w:r>
      <w:r w:rsidRPr="00E04C25">
        <w:rPr>
          <w:rFonts w:ascii="Arial" w:hAnsi="Arial" w:cs="Arial"/>
        </w:rPr>
        <w:lastRenderedPageBreak/>
        <w:t>a</w:t>
      </w:r>
      <w:r w:rsidR="00F82A0F" w:rsidRPr="00E04C25">
        <w:rPr>
          <w:rFonts w:ascii="Arial" w:hAnsi="Arial" w:cs="Arial"/>
        </w:rPr>
        <w:t> </w:t>
      </w:r>
      <w:r w:rsidRPr="00E04C25">
        <w:rPr>
          <w:rFonts w:ascii="Arial" w:hAnsi="Arial" w:cs="Arial"/>
          <w:b/>
        </w:rPr>
        <w:t xml:space="preserve">snížení </w:t>
      </w:r>
      <w:r w:rsidR="00F82A0F" w:rsidRPr="00E04C25">
        <w:rPr>
          <w:rFonts w:ascii="Arial" w:hAnsi="Arial" w:cs="Arial"/>
          <w:b/>
        </w:rPr>
        <w:t>MN</w:t>
      </w:r>
      <w:r w:rsidRPr="00E04C25">
        <w:rPr>
          <w:rFonts w:ascii="Arial" w:hAnsi="Arial" w:cs="Arial"/>
          <w:b/>
        </w:rPr>
        <w:t xml:space="preserve"> osob s nízkou kvalifikací</w:t>
      </w:r>
      <w:r w:rsidRPr="00E04C25">
        <w:rPr>
          <w:rFonts w:ascii="Arial" w:hAnsi="Arial" w:cs="Arial"/>
        </w:rPr>
        <w:t xml:space="preserve"> (stupeň ISCED 0-2</w:t>
      </w:r>
      <w:r w:rsidR="006F0A44" w:rsidRPr="00E04C25">
        <w:rPr>
          <w:rFonts w:ascii="Arial" w:hAnsi="Arial" w:cs="Arial"/>
        </w:rPr>
        <w:t xml:space="preserve"> </w:t>
      </w:r>
      <w:r w:rsidRPr="00E04C25">
        <w:rPr>
          <w:rFonts w:ascii="Arial" w:hAnsi="Arial" w:cs="Arial"/>
        </w:rPr>
        <w:t xml:space="preserve">klasifikace vzdělání) </w:t>
      </w:r>
      <w:r w:rsidRPr="00E04C25">
        <w:rPr>
          <w:rFonts w:ascii="Arial" w:hAnsi="Arial" w:cs="Arial"/>
          <w:b/>
        </w:rPr>
        <w:t>o čtvrtinu</w:t>
      </w:r>
      <w:r w:rsidRPr="00E04C25">
        <w:rPr>
          <w:rFonts w:ascii="Arial" w:hAnsi="Arial" w:cs="Arial"/>
        </w:rPr>
        <w:t xml:space="preserve"> </w:t>
      </w:r>
      <w:r w:rsidRPr="00E04C25">
        <w:rPr>
          <w:rFonts w:ascii="Arial" w:hAnsi="Arial" w:cs="Arial"/>
          <w:b/>
        </w:rPr>
        <w:t xml:space="preserve">oproti roku 2010 </w:t>
      </w:r>
      <w:r w:rsidRPr="00E04C25">
        <w:rPr>
          <w:rFonts w:ascii="Arial" w:hAnsi="Arial" w:cs="Arial"/>
        </w:rPr>
        <w:t>(</w:t>
      </w:r>
      <w:r w:rsidR="006F0A44" w:rsidRPr="00E04C25">
        <w:rPr>
          <w:rFonts w:ascii="Arial" w:hAnsi="Arial" w:cs="Arial"/>
        </w:rPr>
        <w:t xml:space="preserve">na </w:t>
      </w:r>
      <w:r w:rsidR="00F82A0F" w:rsidRPr="00E04C25">
        <w:rPr>
          <w:rFonts w:ascii="Arial" w:hAnsi="Arial" w:cs="Arial"/>
        </w:rPr>
        <w:t xml:space="preserve">cca </w:t>
      </w:r>
      <w:r w:rsidR="006F0A44" w:rsidRPr="00E04C25">
        <w:rPr>
          <w:rFonts w:ascii="Arial" w:hAnsi="Arial" w:cs="Arial"/>
        </w:rPr>
        <w:t>18,8 %</w:t>
      </w:r>
      <w:r w:rsidRPr="00E04C25">
        <w:rPr>
          <w:rFonts w:ascii="Arial" w:hAnsi="Arial" w:cs="Arial"/>
        </w:rPr>
        <w:t>).</w:t>
      </w:r>
      <w:r w:rsidRPr="00E04C25">
        <w:rPr>
          <w:rFonts w:ascii="Arial" w:hAnsi="Arial" w:cs="Arial"/>
          <w:b/>
        </w:rPr>
        <w:t xml:space="preserve"> </w:t>
      </w:r>
      <w:r w:rsidRPr="00E04C25">
        <w:rPr>
          <w:rFonts w:ascii="Arial" w:hAnsi="Arial" w:cs="Arial"/>
        </w:rPr>
        <w:t>V roce 2017</w:t>
      </w:r>
      <w:r w:rsidRPr="00E04C25">
        <w:rPr>
          <w:rFonts w:ascii="Arial" w:hAnsi="Arial" w:cs="Arial"/>
          <w:b/>
        </w:rPr>
        <w:t xml:space="preserve"> </w:t>
      </w:r>
      <w:r w:rsidRPr="00E04C25">
        <w:rPr>
          <w:rFonts w:ascii="Arial" w:hAnsi="Arial" w:cs="Arial"/>
        </w:rPr>
        <w:t xml:space="preserve">se </w:t>
      </w:r>
      <w:r w:rsidR="00F82A0F" w:rsidRPr="00E04C25">
        <w:rPr>
          <w:rFonts w:ascii="Arial" w:hAnsi="Arial" w:cs="Arial"/>
          <w:b/>
        </w:rPr>
        <w:t xml:space="preserve">u </w:t>
      </w:r>
      <w:r w:rsidRPr="00E04C25">
        <w:rPr>
          <w:rFonts w:ascii="Arial" w:hAnsi="Arial" w:cs="Arial"/>
          <w:b/>
        </w:rPr>
        <w:t xml:space="preserve">mladých snížila na 7,9 % a </w:t>
      </w:r>
      <w:r w:rsidR="00F82A0F" w:rsidRPr="00E04C25">
        <w:rPr>
          <w:rFonts w:ascii="Arial" w:hAnsi="Arial" w:cs="Arial"/>
          <w:b/>
        </w:rPr>
        <w:t xml:space="preserve">u </w:t>
      </w:r>
      <w:r w:rsidRPr="00E04C25">
        <w:rPr>
          <w:rFonts w:ascii="Arial" w:hAnsi="Arial" w:cs="Arial"/>
          <w:b/>
        </w:rPr>
        <w:t xml:space="preserve">osob s nízkou kvalifikací na 13,1 %. </w:t>
      </w:r>
      <w:r w:rsidRPr="00E04C25">
        <w:rPr>
          <w:rFonts w:ascii="Arial" w:hAnsi="Arial" w:cs="Arial"/>
        </w:rPr>
        <w:t xml:space="preserve">V oblasti nezaměstnanosti jsou hodnoty těchto dvou ukazatelů </w:t>
      </w:r>
      <w:r w:rsidR="005A7A9D" w:rsidRPr="00E04C25">
        <w:rPr>
          <w:rFonts w:ascii="Arial" w:hAnsi="Arial" w:cs="Arial"/>
        </w:rPr>
        <w:t xml:space="preserve">aktuálně </w:t>
      </w:r>
      <w:r w:rsidRPr="00E04C25">
        <w:rPr>
          <w:rFonts w:ascii="Arial" w:hAnsi="Arial" w:cs="Arial"/>
        </w:rPr>
        <w:t xml:space="preserve">pod stanovenými národními cíli. </w:t>
      </w:r>
    </w:p>
    <w:p w:rsidR="00762875" w:rsidRPr="00E04C25" w:rsidRDefault="00762875" w:rsidP="00AE65A5">
      <w:pPr>
        <w:numPr>
          <w:ilvl w:val="1"/>
          <w:numId w:val="2"/>
        </w:numPr>
        <w:tabs>
          <w:tab w:val="left" w:pos="360"/>
          <w:tab w:val="left" w:pos="709"/>
        </w:tabs>
        <w:spacing w:after="120" w:line="360" w:lineRule="auto"/>
        <w:ind w:left="360"/>
        <w:jc w:val="both"/>
        <w:rPr>
          <w:rFonts w:ascii="Arial" w:hAnsi="Arial" w:cs="Arial"/>
        </w:rPr>
      </w:pPr>
      <w:r w:rsidRPr="00E04C25">
        <w:rPr>
          <w:rFonts w:ascii="Arial" w:hAnsi="Arial" w:cs="Arial"/>
          <w:b/>
        </w:rPr>
        <w:t>Průměrný podíl nezaměstnaných osob,</w:t>
      </w:r>
      <w:r w:rsidRPr="00E04C25">
        <w:rPr>
          <w:rFonts w:ascii="Arial" w:hAnsi="Arial" w:cs="Arial"/>
          <w:i/>
        </w:rPr>
        <w:t xml:space="preserve"> </w:t>
      </w:r>
      <w:r w:rsidRPr="00E04C25">
        <w:rPr>
          <w:rFonts w:ascii="Arial" w:hAnsi="Arial" w:cs="Arial"/>
        </w:rPr>
        <w:t>tj. počet dosažitelných uchazečů o zaměstnání ve věku 15</w:t>
      </w:r>
      <w:r w:rsidR="00976F7F" w:rsidRPr="00E04C25">
        <w:rPr>
          <w:rFonts w:ascii="Arial" w:hAnsi="Arial" w:cs="Arial"/>
        </w:rPr>
        <w:t>-</w:t>
      </w:r>
      <w:r w:rsidRPr="00E04C25">
        <w:rPr>
          <w:rFonts w:ascii="Arial" w:hAnsi="Arial" w:cs="Arial"/>
        </w:rPr>
        <w:t>64 let k obyvatelstvu stejného věku</w:t>
      </w:r>
      <w:r w:rsidRPr="00E04C25">
        <w:rPr>
          <w:rFonts w:ascii="Arial" w:hAnsi="Arial" w:cs="Arial"/>
          <w:b/>
        </w:rPr>
        <w:t xml:space="preserve"> </w:t>
      </w:r>
      <w:r w:rsidRPr="00E04C25">
        <w:rPr>
          <w:rFonts w:ascii="Arial" w:eastAsiaTheme="minorHAnsi" w:hAnsi="Arial" w:cstheme="minorBidi"/>
          <w:bCs/>
          <w:szCs w:val="22"/>
          <w:lang w:eastAsia="en-US"/>
        </w:rPr>
        <w:t>v roce 201</w:t>
      </w:r>
      <w:r w:rsidR="006F0A44" w:rsidRPr="00E04C25">
        <w:rPr>
          <w:rFonts w:ascii="Arial" w:eastAsiaTheme="minorHAnsi" w:hAnsi="Arial" w:cstheme="minorBidi"/>
          <w:bCs/>
          <w:szCs w:val="22"/>
          <w:lang w:eastAsia="en-US"/>
        </w:rPr>
        <w:t>7</w:t>
      </w:r>
      <w:r w:rsidRPr="00E04C25">
        <w:rPr>
          <w:rFonts w:ascii="Arial" w:eastAsiaTheme="minorHAnsi" w:hAnsi="Arial" w:cstheme="minorBidi"/>
          <w:b/>
          <w:bCs/>
          <w:szCs w:val="22"/>
          <w:lang w:eastAsia="en-US"/>
        </w:rPr>
        <w:t xml:space="preserve"> </w:t>
      </w:r>
      <w:r w:rsidRPr="00E04C25">
        <w:rPr>
          <w:rFonts w:ascii="Arial" w:hAnsi="Arial" w:cs="Arial"/>
          <w:b/>
          <w:bCs/>
        </w:rPr>
        <w:t>poklesl na</w:t>
      </w:r>
      <w:r w:rsidRPr="00E04C25">
        <w:rPr>
          <w:rFonts w:ascii="Arial" w:hAnsi="Arial" w:cs="Arial"/>
          <w:bCs/>
        </w:rPr>
        <w:t xml:space="preserve"> </w:t>
      </w:r>
      <w:r w:rsidR="006F0A44" w:rsidRPr="00E04C25">
        <w:rPr>
          <w:rFonts w:ascii="Arial" w:hAnsi="Arial" w:cs="Arial"/>
          <w:b/>
          <w:bCs/>
        </w:rPr>
        <w:t>4</w:t>
      </w:r>
      <w:r w:rsidRPr="00E04C25">
        <w:rPr>
          <w:rFonts w:ascii="Arial" w:hAnsi="Arial" w:cs="Arial"/>
          <w:b/>
          <w:bCs/>
        </w:rPr>
        <w:t>,</w:t>
      </w:r>
      <w:r w:rsidR="006F0A44" w:rsidRPr="00E04C25">
        <w:rPr>
          <w:rFonts w:ascii="Arial" w:hAnsi="Arial" w:cs="Arial"/>
          <w:b/>
          <w:bCs/>
        </w:rPr>
        <w:t>3</w:t>
      </w:r>
      <w:r w:rsidRPr="00E04C25">
        <w:rPr>
          <w:rFonts w:ascii="Arial" w:hAnsi="Arial" w:cs="Arial"/>
          <w:b/>
          <w:bCs/>
        </w:rPr>
        <w:t> %,</w:t>
      </w:r>
      <w:r w:rsidRPr="00E04C25">
        <w:rPr>
          <w:rFonts w:ascii="Arial" w:hAnsi="Arial" w:cs="Arial"/>
          <w:bCs/>
        </w:rPr>
        <w:t xml:space="preserve"> meziročně byl nižší o 1,</w:t>
      </w:r>
      <w:r w:rsidR="006F0A44" w:rsidRPr="00E04C25">
        <w:rPr>
          <w:rFonts w:ascii="Arial" w:hAnsi="Arial" w:cs="Arial"/>
          <w:bCs/>
        </w:rPr>
        <w:t>3</w:t>
      </w:r>
      <w:r w:rsidRPr="00E04C25">
        <w:rPr>
          <w:rFonts w:ascii="Arial" w:hAnsi="Arial" w:cs="Arial"/>
          <w:bCs/>
        </w:rPr>
        <w:t> p. b.</w:t>
      </w:r>
      <w:r w:rsidRPr="00E04C25">
        <w:rPr>
          <w:rFonts w:ascii="Arial" w:hAnsi="Arial" w:cs="Arial"/>
        </w:rPr>
        <w:t xml:space="preserve"> K</w:t>
      </w:r>
      <w:r w:rsidR="006F0A44" w:rsidRPr="00E04C25">
        <w:rPr>
          <w:rFonts w:ascii="Arial" w:hAnsi="Arial" w:cs="Arial"/>
          <w:b/>
          <w:bCs/>
        </w:rPr>
        <w:t> 31. 12. 2017</w:t>
      </w:r>
      <w:r w:rsidRPr="00E04C25">
        <w:rPr>
          <w:rFonts w:ascii="Arial" w:hAnsi="Arial" w:cs="Arial"/>
          <w:b/>
          <w:bCs/>
        </w:rPr>
        <w:t xml:space="preserve"> se snížil na </w:t>
      </w:r>
      <w:r w:rsidRPr="00E04C25">
        <w:rPr>
          <w:rFonts w:ascii="Arial" w:hAnsi="Arial" w:cs="Arial"/>
          <w:bCs/>
        </w:rPr>
        <w:t>hodnotu</w:t>
      </w:r>
      <w:r w:rsidR="004412ED" w:rsidRPr="00E04C25">
        <w:rPr>
          <w:rFonts w:ascii="Arial" w:hAnsi="Arial" w:cs="Arial"/>
          <w:b/>
          <w:bCs/>
        </w:rPr>
        <w:t xml:space="preserve"> </w:t>
      </w:r>
      <w:r w:rsidR="006F0A44" w:rsidRPr="00E04C25">
        <w:rPr>
          <w:rFonts w:ascii="Arial" w:hAnsi="Arial" w:cs="Arial"/>
          <w:b/>
          <w:bCs/>
        </w:rPr>
        <w:t>3</w:t>
      </w:r>
      <w:r w:rsidRPr="00E04C25">
        <w:rPr>
          <w:rFonts w:ascii="Arial" w:hAnsi="Arial" w:cs="Arial"/>
          <w:b/>
          <w:bCs/>
        </w:rPr>
        <w:t>,</w:t>
      </w:r>
      <w:r w:rsidR="006F0A44" w:rsidRPr="00E04C25">
        <w:rPr>
          <w:rFonts w:ascii="Arial" w:hAnsi="Arial" w:cs="Arial"/>
          <w:b/>
          <w:bCs/>
        </w:rPr>
        <w:t>8</w:t>
      </w:r>
      <w:r w:rsidRPr="00E04C25">
        <w:rPr>
          <w:rFonts w:ascii="Arial" w:hAnsi="Arial" w:cs="Arial"/>
          <w:b/>
          <w:bCs/>
        </w:rPr>
        <w:t xml:space="preserve"> % </w:t>
      </w:r>
      <w:r w:rsidRPr="00E04C25">
        <w:rPr>
          <w:rFonts w:ascii="Arial" w:hAnsi="Arial" w:cs="Arial"/>
          <w:bCs/>
        </w:rPr>
        <w:t>a proti prosinci 201</w:t>
      </w:r>
      <w:r w:rsidR="006F0A44" w:rsidRPr="00E04C25">
        <w:rPr>
          <w:rFonts w:ascii="Arial" w:hAnsi="Arial" w:cs="Arial"/>
          <w:bCs/>
        </w:rPr>
        <w:t>6</w:t>
      </w:r>
      <w:r w:rsidRPr="00E04C25">
        <w:rPr>
          <w:rFonts w:ascii="Arial" w:hAnsi="Arial" w:cs="Arial"/>
          <w:bCs/>
        </w:rPr>
        <w:t xml:space="preserve"> byl</w:t>
      </w:r>
      <w:r w:rsidRPr="00E04C25">
        <w:rPr>
          <w:rFonts w:ascii="Arial" w:hAnsi="Arial" w:cs="Arial"/>
          <w:b/>
          <w:bCs/>
        </w:rPr>
        <w:t xml:space="preserve"> </w:t>
      </w:r>
      <w:r w:rsidRPr="00E04C25">
        <w:rPr>
          <w:rFonts w:ascii="Arial" w:hAnsi="Arial" w:cs="Arial"/>
          <w:bCs/>
        </w:rPr>
        <w:t>nižší o 1,</w:t>
      </w:r>
      <w:r w:rsidR="006F0A44" w:rsidRPr="00E04C25">
        <w:rPr>
          <w:rFonts w:ascii="Arial" w:hAnsi="Arial" w:cs="Arial"/>
          <w:bCs/>
        </w:rPr>
        <w:t>4</w:t>
      </w:r>
      <w:r w:rsidRPr="00E04C25">
        <w:rPr>
          <w:rFonts w:ascii="Arial" w:hAnsi="Arial" w:cs="Arial"/>
          <w:bCs/>
        </w:rPr>
        <w:t> p. b</w:t>
      </w:r>
      <w:r w:rsidRPr="00E04C25">
        <w:rPr>
          <w:rFonts w:ascii="Arial" w:hAnsi="Arial" w:cs="Arial"/>
          <w:b/>
          <w:bCs/>
        </w:rPr>
        <w:t>.</w:t>
      </w:r>
      <w:r w:rsidRPr="00E04C25">
        <w:rPr>
          <w:rFonts w:ascii="Arial" w:hAnsi="Arial" w:cs="Arial"/>
          <w:bCs/>
        </w:rPr>
        <w:t xml:space="preserve"> </w:t>
      </w:r>
    </w:p>
    <w:p w:rsidR="007A5C9F" w:rsidRPr="00E04C25" w:rsidRDefault="00762875" w:rsidP="007A5C9F">
      <w:pPr>
        <w:numPr>
          <w:ilvl w:val="1"/>
          <w:numId w:val="2"/>
        </w:numPr>
        <w:tabs>
          <w:tab w:val="left" w:pos="360"/>
          <w:tab w:val="left" w:pos="709"/>
        </w:tabs>
        <w:spacing w:after="120" w:line="360" w:lineRule="auto"/>
        <w:ind w:left="360"/>
        <w:jc w:val="both"/>
        <w:rPr>
          <w:rFonts w:ascii="Arial" w:hAnsi="Arial" w:cs="Arial"/>
        </w:rPr>
      </w:pPr>
      <w:r w:rsidRPr="00E04C25">
        <w:rPr>
          <w:rFonts w:ascii="Arial" w:hAnsi="Arial" w:cs="Arial"/>
          <w:b/>
        </w:rPr>
        <w:t xml:space="preserve">Průměrný počet </w:t>
      </w:r>
      <w:r w:rsidRPr="00E04C25">
        <w:rPr>
          <w:rFonts w:ascii="Arial" w:hAnsi="Arial" w:cs="Arial"/>
        </w:rPr>
        <w:t>uchazečů o zaměstnání</w:t>
      </w:r>
      <w:r w:rsidRPr="00E04C25">
        <w:rPr>
          <w:rFonts w:ascii="Arial" w:hAnsi="Arial" w:cs="Arial"/>
          <w:b/>
        </w:rPr>
        <w:t xml:space="preserve"> </w:t>
      </w:r>
      <w:r w:rsidR="008D6DAA" w:rsidRPr="00E04C25">
        <w:rPr>
          <w:rFonts w:ascii="Arial" w:hAnsi="Arial" w:cs="Arial"/>
        </w:rPr>
        <w:t>(UoZ)</w:t>
      </w:r>
      <w:r w:rsidR="008D6DAA" w:rsidRPr="00E04C25">
        <w:rPr>
          <w:rFonts w:ascii="Arial" w:hAnsi="Arial" w:cs="Arial"/>
          <w:b/>
        </w:rPr>
        <w:t xml:space="preserve"> </w:t>
      </w:r>
      <w:r w:rsidR="00FA2DF9" w:rsidRPr="00E04C25">
        <w:rPr>
          <w:rFonts w:ascii="Arial" w:hAnsi="Arial" w:cs="Arial"/>
          <w:b/>
        </w:rPr>
        <w:t xml:space="preserve">se </w:t>
      </w:r>
      <w:r w:rsidRPr="00E04C25">
        <w:rPr>
          <w:rFonts w:ascii="Arial" w:hAnsi="Arial" w:cs="Arial"/>
        </w:rPr>
        <w:t xml:space="preserve">v hodnoceném </w:t>
      </w:r>
      <w:r w:rsidR="00F82A0F" w:rsidRPr="00E04C25">
        <w:rPr>
          <w:rFonts w:ascii="Arial" w:hAnsi="Arial" w:cs="Arial"/>
        </w:rPr>
        <w:t>roce</w:t>
      </w:r>
      <w:r w:rsidRPr="00E04C25">
        <w:rPr>
          <w:rFonts w:ascii="Arial" w:hAnsi="Arial" w:cs="Arial"/>
          <w:b/>
        </w:rPr>
        <w:t xml:space="preserve"> snížil </w:t>
      </w:r>
      <w:r w:rsidRPr="00E04C25">
        <w:rPr>
          <w:rFonts w:ascii="Arial" w:hAnsi="Arial" w:cs="Arial"/>
        </w:rPr>
        <w:t>o </w:t>
      </w:r>
      <w:r w:rsidR="006F0A44" w:rsidRPr="00E04C25">
        <w:rPr>
          <w:rFonts w:ascii="Arial" w:hAnsi="Arial" w:cs="Arial"/>
        </w:rPr>
        <w:t>88</w:t>
      </w:r>
      <w:r w:rsidRPr="00E04C25">
        <w:rPr>
          <w:rFonts w:ascii="Arial" w:hAnsi="Arial" w:cs="Arial"/>
        </w:rPr>
        <w:t>,</w:t>
      </w:r>
      <w:r w:rsidR="006F0A44" w:rsidRPr="00E04C25">
        <w:rPr>
          <w:rFonts w:ascii="Arial" w:hAnsi="Arial" w:cs="Arial"/>
        </w:rPr>
        <w:t>4</w:t>
      </w:r>
      <w:r w:rsidRPr="00E04C25">
        <w:rPr>
          <w:rFonts w:ascii="Arial" w:hAnsi="Arial" w:cs="Arial"/>
        </w:rPr>
        <w:t xml:space="preserve"> tis. </w:t>
      </w:r>
      <w:r w:rsidRPr="00E04C25">
        <w:rPr>
          <w:rFonts w:ascii="Arial" w:hAnsi="Arial" w:cs="Arial"/>
          <w:b/>
        </w:rPr>
        <w:t xml:space="preserve">na </w:t>
      </w:r>
      <w:r w:rsidR="006F0A44" w:rsidRPr="00E04C25">
        <w:rPr>
          <w:rFonts w:ascii="Arial" w:hAnsi="Arial" w:cs="Arial"/>
          <w:b/>
        </w:rPr>
        <w:t>317</w:t>
      </w:r>
      <w:r w:rsidRPr="00E04C25">
        <w:rPr>
          <w:rFonts w:ascii="Arial" w:hAnsi="Arial" w:cs="Arial"/>
          <w:b/>
          <w:bCs/>
        </w:rPr>
        <w:t>,</w:t>
      </w:r>
      <w:r w:rsidR="006F0A44" w:rsidRPr="00E04C25">
        <w:rPr>
          <w:rFonts w:ascii="Arial" w:hAnsi="Arial" w:cs="Arial"/>
          <w:b/>
          <w:bCs/>
        </w:rPr>
        <w:t>6</w:t>
      </w:r>
      <w:r w:rsidRPr="00E04C25">
        <w:rPr>
          <w:rFonts w:ascii="Arial" w:hAnsi="Arial" w:cs="Arial"/>
          <w:b/>
          <w:bCs/>
          <w:sz w:val="18"/>
          <w:szCs w:val="18"/>
        </w:rPr>
        <w:t xml:space="preserve"> </w:t>
      </w:r>
      <w:r w:rsidRPr="00E04C25">
        <w:rPr>
          <w:rFonts w:ascii="Arial" w:hAnsi="Arial" w:cs="Arial"/>
          <w:b/>
        </w:rPr>
        <w:t xml:space="preserve">tis., na konci prosince jich bylo evidováno </w:t>
      </w:r>
      <w:r w:rsidR="006F0A44" w:rsidRPr="00E04C25">
        <w:rPr>
          <w:rFonts w:ascii="Arial" w:hAnsi="Arial" w:cs="Arial"/>
          <w:b/>
        </w:rPr>
        <w:t>2</w:t>
      </w:r>
      <w:r w:rsidR="004412ED" w:rsidRPr="00E04C25">
        <w:rPr>
          <w:rFonts w:ascii="Arial" w:hAnsi="Arial" w:cs="Arial"/>
          <w:b/>
        </w:rPr>
        <w:t>8</w:t>
      </w:r>
      <w:r w:rsidR="006F0A44" w:rsidRPr="00E04C25">
        <w:rPr>
          <w:rFonts w:ascii="Arial" w:hAnsi="Arial" w:cs="Arial"/>
          <w:b/>
        </w:rPr>
        <w:t>0</w:t>
      </w:r>
      <w:r w:rsidRPr="00E04C25">
        <w:rPr>
          <w:rFonts w:ascii="Arial" w:hAnsi="Arial" w:cs="Arial"/>
          <w:b/>
        </w:rPr>
        <w:t>,</w:t>
      </w:r>
      <w:r w:rsidR="006F0A44" w:rsidRPr="00E04C25">
        <w:rPr>
          <w:rFonts w:ascii="Arial" w:hAnsi="Arial" w:cs="Arial"/>
          <w:b/>
        </w:rPr>
        <w:t>6</w:t>
      </w:r>
      <w:r w:rsidRPr="00E04C25">
        <w:rPr>
          <w:rFonts w:ascii="Arial" w:hAnsi="Arial" w:cs="Arial"/>
          <w:b/>
        </w:rPr>
        <w:t xml:space="preserve"> tis., </w:t>
      </w:r>
      <w:r w:rsidRPr="00E04C25">
        <w:rPr>
          <w:rFonts w:ascii="Arial" w:hAnsi="Arial" w:cs="Arial"/>
        </w:rPr>
        <w:t>o </w:t>
      </w:r>
      <w:r w:rsidR="006F0A44" w:rsidRPr="00E04C25">
        <w:rPr>
          <w:rFonts w:ascii="Arial" w:hAnsi="Arial" w:cs="Arial"/>
        </w:rPr>
        <w:t>100</w:t>
      </w:r>
      <w:r w:rsidRPr="00E04C25">
        <w:rPr>
          <w:rFonts w:ascii="Arial" w:hAnsi="Arial" w:cs="Arial"/>
        </w:rPr>
        <w:t>,</w:t>
      </w:r>
      <w:r w:rsidR="006F0A44" w:rsidRPr="00E04C25">
        <w:rPr>
          <w:rFonts w:ascii="Arial" w:hAnsi="Arial" w:cs="Arial"/>
        </w:rPr>
        <w:t>8</w:t>
      </w:r>
      <w:r w:rsidRPr="00E04C25">
        <w:rPr>
          <w:rFonts w:ascii="Arial" w:hAnsi="Arial" w:cs="Arial"/>
        </w:rPr>
        <w:t> tis.</w:t>
      </w:r>
      <w:r w:rsidRPr="00E04C25">
        <w:rPr>
          <w:rFonts w:ascii="Arial" w:hAnsi="Arial" w:cs="Arial"/>
          <w:bCs/>
        </w:rPr>
        <w:t xml:space="preserve"> (tj. o </w:t>
      </w:r>
      <w:r w:rsidR="006F0A44" w:rsidRPr="00E04C25">
        <w:rPr>
          <w:rFonts w:ascii="Arial" w:hAnsi="Arial" w:cs="Arial"/>
          <w:bCs/>
        </w:rPr>
        <w:t>26</w:t>
      </w:r>
      <w:r w:rsidRPr="00E04C25">
        <w:rPr>
          <w:rFonts w:ascii="Arial" w:hAnsi="Arial" w:cs="Arial"/>
          <w:bCs/>
        </w:rPr>
        <w:t>,</w:t>
      </w:r>
      <w:r w:rsidR="006F0A44" w:rsidRPr="00E04C25">
        <w:rPr>
          <w:rFonts w:ascii="Arial" w:hAnsi="Arial" w:cs="Arial"/>
          <w:bCs/>
        </w:rPr>
        <w:t>4</w:t>
      </w:r>
      <w:r w:rsidRPr="00E04C25">
        <w:rPr>
          <w:rFonts w:ascii="Arial" w:hAnsi="Arial" w:cs="Arial"/>
          <w:bCs/>
        </w:rPr>
        <w:t> %) méně než před rokem.</w:t>
      </w:r>
      <w:r w:rsidRPr="00E04C25">
        <w:rPr>
          <w:rFonts w:ascii="Arial" w:hAnsi="Arial" w:cs="Arial"/>
        </w:rPr>
        <w:t xml:space="preserve"> </w:t>
      </w:r>
    </w:p>
    <w:p w:rsidR="007A5C9F" w:rsidRPr="00E04C25" w:rsidRDefault="00762875" w:rsidP="007A5C9F">
      <w:pPr>
        <w:numPr>
          <w:ilvl w:val="1"/>
          <w:numId w:val="2"/>
        </w:numPr>
        <w:tabs>
          <w:tab w:val="left" w:pos="360"/>
          <w:tab w:val="left" w:pos="709"/>
        </w:tabs>
        <w:spacing w:after="120" w:line="360" w:lineRule="auto"/>
        <w:ind w:left="360"/>
        <w:jc w:val="both"/>
        <w:rPr>
          <w:rFonts w:ascii="Arial" w:hAnsi="Arial" w:cs="Arial"/>
        </w:rPr>
      </w:pPr>
      <w:r w:rsidRPr="00E04C25">
        <w:rPr>
          <w:rFonts w:ascii="Arial" w:eastAsiaTheme="minorHAnsi" w:hAnsi="Arial" w:cstheme="minorBidi"/>
          <w:b/>
          <w:szCs w:val="22"/>
          <w:lang w:eastAsia="en-US"/>
        </w:rPr>
        <w:t xml:space="preserve">Počty nahlášených volných pracovních míst </w:t>
      </w:r>
      <w:r w:rsidR="00F82A0F" w:rsidRPr="00E04C25">
        <w:rPr>
          <w:rFonts w:ascii="Arial" w:eastAsiaTheme="minorHAnsi" w:hAnsi="Arial" w:cstheme="minorBidi"/>
          <w:szCs w:val="22"/>
          <w:lang w:eastAsia="en-US"/>
        </w:rPr>
        <w:t xml:space="preserve">(VPM) </w:t>
      </w:r>
      <w:r w:rsidRPr="00E04C25">
        <w:rPr>
          <w:rFonts w:ascii="Arial" w:eastAsiaTheme="minorHAnsi" w:hAnsi="Arial" w:cstheme="minorBidi"/>
          <w:b/>
          <w:szCs w:val="22"/>
          <w:lang w:eastAsia="en-US"/>
        </w:rPr>
        <w:t xml:space="preserve">se </w:t>
      </w:r>
      <w:r w:rsidRPr="00E04C25">
        <w:rPr>
          <w:rFonts w:ascii="Arial" w:hAnsi="Arial" w:cs="Arial"/>
        </w:rPr>
        <w:t xml:space="preserve">plynule zvyšovaly, jejich počet </w:t>
      </w:r>
      <w:r w:rsidRPr="00E04C25">
        <w:rPr>
          <w:rFonts w:ascii="Arial" w:hAnsi="Arial" w:cs="Arial"/>
          <w:b/>
        </w:rPr>
        <w:t>na konci</w:t>
      </w:r>
      <w:r w:rsidRPr="00E04C25">
        <w:rPr>
          <w:rFonts w:ascii="Arial" w:hAnsi="Arial" w:cs="Arial"/>
        </w:rPr>
        <w:t xml:space="preserve"> </w:t>
      </w:r>
      <w:r w:rsidRPr="00E04C25">
        <w:rPr>
          <w:rFonts w:ascii="Arial" w:hAnsi="Arial" w:cs="Arial"/>
          <w:b/>
        </w:rPr>
        <w:t>prosince</w:t>
      </w:r>
      <w:r w:rsidRPr="00E04C25">
        <w:rPr>
          <w:rFonts w:ascii="Arial" w:hAnsi="Arial" w:cs="Arial"/>
        </w:rPr>
        <w:t xml:space="preserve"> dosáhl </w:t>
      </w:r>
      <w:r w:rsidR="007A5C9F" w:rsidRPr="00E04C25">
        <w:rPr>
          <w:rFonts w:ascii="Arial" w:hAnsi="Arial" w:cs="Arial"/>
          <w:b/>
        </w:rPr>
        <w:t>216,6 tis.,</w:t>
      </w:r>
      <w:r w:rsidR="007A5C9F" w:rsidRPr="00E04C25">
        <w:rPr>
          <w:rFonts w:ascii="Arial" w:hAnsi="Arial" w:cs="Arial"/>
        </w:rPr>
        <w:t xml:space="preserve"> meziročně více o 84,1 tis.</w:t>
      </w:r>
      <w:r w:rsidRPr="00E04C25">
        <w:rPr>
          <w:rFonts w:ascii="Arial" w:hAnsi="Arial" w:cs="Arial"/>
        </w:rPr>
        <w:t xml:space="preserve"> </w:t>
      </w:r>
      <w:r w:rsidRPr="00E04C25">
        <w:rPr>
          <w:rFonts w:ascii="Arial" w:hAnsi="Arial" w:cs="Arial"/>
          <w:b/>
        </w:rPr>
        <w:t xml:space="preserve">Průměrný počet </w:t>
      </w:r>
      <w:r w:rsidRPr="00E04C25">
        <w:rPr>
          <w:rFonts w:ascii="Arial" w:hAnsi="Arial" w:cs="Arial"/>
        </w:rPr>
        <w:t xml:space="preserve">hlášených </w:t>
      </w:r>
      <w:r w:rsidRPr="00E04C25">
        <w:rPr>
          <w:rFonts w:ascii="Arial" w:eastAsiaTheme="minorHAnsi" w:hAnsi="Arial" w:cstheme="minorBidi"/>
          <w:b/>
          <w:szCs w:val="22"/>
          <w:lang w:eastAsia="en-US"/>
        </w:rPr>
        <w:t>volných pracovních míst za rok</w:t>
      </w:r>
      <w:r w:rsidRPr="00E04C25">
        <w:rPr>
          <w:rFonts w:ascii="Arial" w:hAnsi="Arial" w:cs="Arial"/>
        </w:rPr>
        <w:t xml:space="preserve"> </w:t>
      </w:r>
      <w:r w:rsidRPr="00E04C25">
        <w:rPr>
          <w:rFonts w:ascii="Arial" w:hAnsi="Arial" w:cs="Arial"/>
          <w:b/>
        </w:rPr>
        <w:t>201</w:t>
      </w:r>
      <w:r w:rsidR="007A5C9F" w:rsidRPr="00E04C25">
        <w:rPr>
          <w:rFonts w:ascii="Arial" w:hAnsi="Arial" w:cs="Arial"/>
          <w:b/>
        </w:rPr>
        <w:t>7</w:t>
      </w:r>
      <w:r w:rsidRPr="00E04C25">
        <w:rPr>
          <w:rFonts w:ascii="Arial" w:hAnsi="Arial" w:cs="Arial"/>
          <w:b/>
        </w:rPr>
        <w:t xml:space="preserve"> (</w:t>
      </w:r>
      <w:r w:rsidR="007A5C9F" w:rsidRPr="00E04C25">
        <w:rPr>
          <w:rFonts w:ascii="Arial" w:hAnsi="Arial" w:cs="Arial"/>
          <w:b/>
        </w:rPr>
        <w:t>178,2 tis.</w:t>
      </w:r>
      <w:r w:rsidRPr="00E04C25">
        <w:rPr>
          <w:rFonts w:ascii="Arial" w:hAnsi="Arial" w:cs="Arial"/>
          <w:b/>
        </w:rPr>
        <w:t>)</w:t>
      </w:r>
      <w:r w:rsidRPr="00E04C25">
        <w:rPr>
          <w:rFonts w:ascii="Arial" w:hAnsi="Arial" w:cs="Arial"/>
        </w:rPr>
        <w:t>, byl proti roku 201</w:t>
      </w:r>
      <w:r w:rsidR="007A5C9F" w:rsidRPr="00E04C25">
        <w:rPr>
          <w:rFonts w:ascii="Arial" w:hAnsi="Arial" w:cs="Arial"/>
        </w:rPr>
        <w:t>6</w:t>
      </w:r>
      <w:r w:rsidRPr="00E04C25">
        <w:rPr>
          <w:rFonts w:ascii="Arial" w:hAnsi="Arial" w:cs="Arial"/>
        </w:rPr>
        <w:t xml:space="preserve"> vyšší </w:t>
      </w:r>
      <w:r w:rsidR="007A5C9F" w:rsidRPr="00E04C25">
        <w:rPr>
          <w:rFonts w:ascii="Arial" w:hAnsi="Arial" w:cs="Arial"/>
        </w:rPr>
        <w:t xml:space="preserve">o 50,3 tis. </w:t>
      </w:r>
    </w:p>
    <w:p w:rsidR="00762875" w:rsidRPr="00E04C25" w:rsidRDefault="00762875" w:rsidP="00AE65A5">
      <w:pPr>
        <w:numPr>
          <w:ilvl w:val="1"/>
          <w:numId w:val="2"/>
        </w:numPr>
        <w:tabs>
          <w:tab w:val="left" w:pos="360"/>
          <w:tab w:val="left" w:pos="567"/>
          <w:tab w:val="left" w:pos="709"/>
        </w:tabs>
        <w:spacing w:after="120" w:line="360" w:lineRule="auto"/>
        <w:ind w:left="360"/>
        <w:jc w:val="both"/>
        <w:rPr>
          <w:rFonts w:ascii="Arial" w:hAnsi="Arial" w:cs="Arial"/>
          <w:b/>
        </w:rPr>
      </w:pPr>
      <w:r w:rsidRPr="00E04C25">
        <w:rPr>
          <w:rFonts w:ascii="Arial" w:hAnsi="Arial" w:cs="Arial"/>
        </w:rPr>
        <w:t>Počet</w:t>
      </w:r>
      <w:r w:rsidRPr="00E04C25">
        <w:rPr>
          <w:rFonts w:ascii="Arial" w:hAnsi="Arial" w:cs="Arial"/>
          <w:b/>
        </w:rPr>
        <w:t xml:space="preserve"> uchazečů o zaměstnání </w:t>
      </w:r>
      <w:r w:rsidRPr="00E04C25">
        <w:rPr>
          <w:rFonts w:ascii="Arial" w:hAnsi="Arial" w:cs="Arial"/>
        </w:rPr>
        <w:t>připadající</w:t>
      </w:r>
      <w:r w:rsidRPr="00E04C25">
        <w:rPr>
          <w:rFonts w:ascii="Arial" w:hAnsi="Arial" w:cs="Arial"/>
          <w:b/>
        </w:rPr>
        <w:t xml:space="preserve"> na 1 volné pracovní místo (</w:t>
      </w:r>
      <w:r w:rsidR="007A5C9F" w:rsidRPr="00E04C25">
        <w:rPr>
          <w:rFonts w:ascii="Arial" w:hAnsi="Arial" w:cs="Arial"/>
          <w:b/>
        </w:rPr>
        <w:t>1</w:t>
      </w:r>
      <w:r w:rsidRPr="00E04C25">
        <w:rPr>
          <w:rFonts w:ascii="Arial" w:hAnsi="Arial" w:cs="Arial"/>
          <w:b/>
        </w:rPr>
        <w:t>,</w:t>
      </w:r>
      <w:r w:rsidR="007A5C9F" w:rsidRPr="00E04C25">
        <w:rPr>
          <w:rFonts w:ascii="Arial" w:hAnsi="Arial" w:cs="Arial"/>
          <w:b/>
        </w:rPr>
        <w:t>8</w:t>
      </w:r>
      <w:r w:rsidRPr="00E04C25">
        <w:rPr>
          <w:rFonts w:ascii="Arial" w:hAnsi="Arial" w:cs="Arial"/>
          <w:b/>
        </w:rPr>
        <w:t xml:space="preserve">) </w:t>
      </w:r>
      <w:r w:rsidRPr="00E04C25">
        <w:rPr>
          <w:rFonts w:ascii="Arial" w:hAnsi="Arial" w:cs="Arial"/>
        </w:rPr>
        <w:t>byl ve srovnání s rokem 201</w:t>
      </w:r>
      <w:r w:rsidR="007A5C9F" w:rsidRPr="00E04C25">
        <w:rPr>
          <w:rFonts w:ascii="Arial" w:hAnsi="Arial" w:cs="Arial"/>
        </w:rPr>
        <w:t>6</w:t>
      </w:r>
      <w:r w:rsidRPr="00E04C25">
        <w:rPr>
          <w:rFonts w:ascii="Arial" w:hAnsi="Arial" w:cs="Arial"/>
        </w:rPr>
        <w:t xml:space="preserve"> (</w:t>
      </w:r>
      <w:r w:rsidR="007A5C9F" w:rsidRPr="00E04C25">
        <w:rPr>
          <w:rFonts w:ascii="Arial" w:hAnsi="Arial" w:cs="Arial"/>
        </w:rPr>
        <w:t>3</w:t>
      </w:r>
      <w:r w:rsidRPr="00E04C25">
        <w:rPr>
          <w:rFonts w:ascii="Arial" w:hAnsi="Arial" w:cs="Arial"/>
        </w:rPr>
        <w:t>,</w:t>
      </w:r>
      <w:r w:rsidR="007A5C9F" w:rsidRPr="00E04C25">
        <w:rPr>
          <w:rFonts w:ascii="Arial" w:hAnsi="Arial" w:cs="Arial"/>
        </w:rPr>
        <w:t>2</w:t>
      </w:r>
      <w:r w:rsidRPr="00E04C25">
        <w:rPr>
          <w:rFonts w:ascii="Arial" w:hAnsi="Arial" w:cs="Arial"/>
        </w:rPr>
        <w:t xml:space="preserve">) </w:t>
      </w:r>
      <w:r w:rsidRPr="00E04C25">
        <w:rPr>
          <w:rFonts w:ascii="Arial" w:hAnsi="Arial" w:cs="Arial"/>
          <w:b/>
        </w:rPr>
        <w:t xml:space="preserve">nižší. </w:t>
      </w:r>
      <w:r w:rsidR="00F82A0F" w:rsidRPr="00E04C25">
        <w:rPr>
          <w:rFonts w:ascii="Arial" w:hAnsi="Arial" w:cs="Arial"/>
          <w:b/>
        </w:rPr>
        <w:t>N</w:t>
      </w:r>
      <w:r w:rsidRPr="00E04C25">
        <w:rPr>
          <w:rFonts w:ascii="Arial" w:hAnsi="Arial" w:cs="Arial"/>
          <w:b/>
        </w:rPr>
        <w:t xml:space="preserve">a konci roku </w:t>
      </w:r>
      <w:r w:rsidRPr="00E04C25">
        <w:rPr>
          <w:rFonts w:ascii="Arial" w:hAnsi="Arial" w:cs="Arial"/>
        </w:rPr>
        <w:t>dosáhl hodnoty</w:t>
      </w:r>
      <w:r w:rsidRPr="00E04C25">
        <w:rPr>
          <w:rFonts w:ascii="Arial" w:hAnsi="Arial" w:cs="Arial"/>
          <w:b/>
        </w:rPr>
        <w:t xml:space="preserve"> </w:t>
      </w:r>
      <w:r w:rsidR="007A5C9F" w:rsidRPr="00E04C25">
        <w:rPr>
          <w:rFonts w:ascii="Arial" w:hAnsi="Arial" w:cs="Arial"/>
          <w:b/>
        </w:rPr>
        <w:t>1</w:t>
      </w:r>
      <w:r w:rsidRPr="00E04C25">
        <w:rPr>
          <w:rFonts w:ascii="Arial" w:hAnsi="Arial" w:cs="Arial"/>
          <w:b/>
        </w:rPr>
        <w:t>,</w:t>
      </w:r>
      <w:r w:rsidR="007A5C9F" w:rsidRPr="00E04C25">
        <w:rPr>
          <w:rFonts w:ascii="Arial" w:hAnsi="Arial" w:cs="Arial"/>
          <w:b/>
        </w:rPr>
        <w:t>3</w:t>
      </w:r>
      <w:r w:rsidRPr="00E04C25">
        <w:rPr>
          <w:rFonts w:ascii="Arial" w:hAnsi="Arial" w:cs="Arial"/>
          <w:b/>
        </w:rPr>
        <w:t xml:space="preserve">, zatímco </w:t>
      </w:r>
      <w:r w:rsidRPr="00E04C25">
        <w:rPr>
          <w:rFonts w:ascii="Arial" w:hAnsi="Arial" w:cs="Arial"/>
        </w:rPr>
        <w:t xml:space="preserve">na konci </w:t>
      </w:r>
      <w:r w:rsidR="004B153E" w:rsidRPr="00E04C25">
        <w:rPr>
          <w:rFonts w:ascii="Arial" w:hAnsi="Arial" w:cs="Arial"/>
        </w:rPr>
        <w:t>roku</w:t>
      </w:r>
      <w:r w:rsidRPr="00E04C25">
        <w:rPr>
          <w:rFonts w:ascii="Arial" w:hAnsi="Arial" w:cs="Arial"/>
        </w:rPr>
        <w:t xml:space="preserve"> 201</w:t>
      </w:r>
      <w:r w:rsidR="007A5C9F" w:rsidRPr="00E04C25">
        <w:rPr>
          <w:rFonts w:ascii="Arial" w:hAnsi="Arial" w:cs="Arial"/>
        </w:rPr>
        <w:t>6</w:t>
      </w:r>
      <w:r w:rsidRPr="00E04C25">
        <w:rPr>
          <w:rFonts w:ascii="Arial" w:hAnsi="Arial" w:cs="Arial"/>
        </w:rPr>
        <w:t xml:space="preserve"> to bylo </w:t>
      </w:r>
      <w:r w:rsidR="007A5C9F" w:rsidRPr="00E04C25">
        <w:rPr>
          <w:rFonts w:ascii="Arial" w:hAnsi="Arial" w:cs="Arial"/>
        </w:rPr>
        <w:t>2</w:t>
      </w:r>
      <w:r w:rsidRPr="00E04C25">
        <w:rPr>
          <w:rFonts w:ascii="Arial" w:hAnsi="Arial" w:cs="Arial"/>
        </w:rPr>
        <w:t>,</w:t>
      </w:r>
      <w:r w:rsidR="007A5C9F" w:rsidRPr="00E04C25">
        <w:rPr>
          <w:rFonts w:ascii="Arial" w:hAnsi="Arial" w:cs="Arial"/>
        </w:rPr>
        <w:t>9</w:t>
      </w:r>
      <w:r w:rsidRPr="00E04C25">
        <w:rPr>
          <w:rFonts w:ascii="Arial" w:hAnsi="Arial" w:cs="Arial"/>
        </w:rPr>
        <w:t xml:space="preserve"> uchazeče na 1 VPM</w:t>
      </w:r>
      <w:r w:rsidRPr="00E04C25">
        <w:rPr>
          <w:rFonts w:ascii="Arial" w:hAnsi="Arial" w:cs="Arial"/>
          <w:b/>
        </w:rPr>
        <w:t xml:space="preserve">. </w:t>
      </w:r>
    </w:p>
    <w:p w:rsidR="00762875" w:rsidRPr="00E04C25" w:rsidRDefault="00762875" w:rsidP="00AE65A5">
      <w:pPr>
        <w:numPr>
          <w:ilvl w:val="1"/>
          <w:numId w:val="2"/>
        </w:numPr>
        <w:tabs>
          <w:tab w:val="left" w:pos="360"/>
          <w:tab w:val="left" w:pos="567"/>
          <w:tab w:val="left" w:pos="709"/>
        </w:tabs>
        <w:spacing w:after="120" w:line="360" w:lineRule="auto"/>
        <w:ind w:left="360"/>
        <w:jc w:val="both"/>
        <w:rPr>
          <w:rFonts w:ascii="Arial" w:hAnsi="Arial" w:cs="Arial"/>
          <w:b/>
        </w:rPr>
      </w:pPr>
      <w:r w:rsidRPr="00E04C25">
        <w:rPr>
          <w:rFonts w:ascii="Arial" w:hAnsi="Arial" w:cs="Arial"/>
          <w:b/>
        </w:rPr>
        <w:t xml:space="preserve">Průměrný počet </w:t>
      </w:r>
      <w:r w:rsidRPr="00E04C25">
        <w:rPr>
          <w:rFonts w:ascii="Arial" w:hAnsi="Arial" w:cs="Arial"/>
        </w:rPr>
        <w:t>uchazečů o zaměstnání</w:t>
      </w:r>
      <w:r w:rsidRPr="00E04C25">
        <w:rPr>
          <w:rFonts w:ascii="Arial" w:hAnsi="Arial" w:cs="Arial"/>
          <w:b/>
        </w:rPr>
        <w:t xml:space="preserve"> s nárokem na podporu v nezaměstnanosti</w:t>
      </w:r>
      <w:r w:rsidRPr="00E04C25">
        <w:rPr>
          <w:rFonts w:ascii="Arial" w:hAnsi="Arial" w:cs="Arial"/>
        </w:rPr>
        <w:t xml:space="preserve"> </w:t>
      </w:r>
      <w:r w:rsidR="00F82A0F" w:rsidRPr="00E04C25">
        <w:rPr>
          <w:rFonts w:ascii="Arial" w:hAnsi="Arial" w:cs="Arial"/>
        </w:rPr>
        <w:t xml:space="preserve">(PvN) </w:t>
      </w:r>
      <w:r w:rsidRPr="00E04C25">
        <w:rPr>
          <w:rFonts w:ascii="Arial" w:hAnsi="Arial" w:cs="Arial"/>
        </w:rPr>
        <w:t>v roce 201</w:t>
      </w:r>
      <w:r w:rsidR="007A5C9F" w:rsidRPr="00E04C25">
        <w:rPr>
          <w:rFonts w:ascii="Arial" w:hAnsi="Arial" w:cs="Arial"/>
        </w:rPr>
        <w:t>7</w:t>
      </w:r>
      <w:r w:rsidRPr="00E04C25">
        <w:rPr>
          <w:rFonts w:ascii="Arial" w:hAnsi="Arial" w:cs="Arial"/>
          <w:b/>
        </w:rPr>
        <w:t xml:space="preserve"> </w:t>
      </w:r>
      <w:r w:rsidRPr="00E04C25">
        <w:rPr>
          <w:rFonts w:ascii="Arial" w:hAnsi="Arial" w:cs="Arial"/>
        </w:rPr>
        <w:t>meziročně</w:t>
      </w:r>
      <w:r w:rsidRPr="00E04C25">
        <w:rPr>
          <w:rFonts w:ascii="Arial" w:hAnsi="Arial" w:cs="Arial"/>
          <w:b/>
        </w:rPr>
        <w:t xml:space="preserve"> poklesl</w:t>
      </w:r>
      <w:r w:rsidRPr="00E04C25">
        <w:rPr>
          <w:rFonts w:ascii="Arial" w:hAnsi="Arial" w:cs="Arial"/>
        </w:rPr>
        <w:t xml:space="preserve"> o </w:t>
      </w:r>
      <w:r w:rsidR="007A5C9F" w:rsidRPr="00E04C25">
        <w:rPr>
          <w:rFonts w:ascii="Arial" w:hAnsi="Arial" w:cs="Arial"/>
        </w:rPr>
        <w:t>10</w:t>
      </w:r>
      <w:r w:rsidRPr="00E04C25">
        <w:rPr>
          <w:rFonts w:ascii="Arial" w:hAnsi="Arial" w:cs="Arial"/>
        </w:rPr>
        <w:t>,</w:t>
      </w:r>
      <w:r w:rsidR="007A5C9F" w:rsidRPr="00E04C25">
        <w:rPr>
          <w:rFonts w:ascii="Arial" w:hAnsi="Arial" w:cs="Arial"/>
        </w:rPr>
        <w:t>8</w:t>
      </w:r>
      <w:r w:rsidRPr="00E04C25">
        <w:rPr>
          <w:rFonts w:ascii="Arial" w:hAnsi="Arial" w:cs="Arial"/>
        </w:rPr>
        <w:t xml:space="preserve"> tis. </w:t>
      </w:r>
      <w:r w:rsidRPr="00E04C25">
        <w:rPr>
          <w:rFonts w:ascii="Arial" w:hAnsi="Arial" w:cs="Arial"/>
          <w:b/>
        </w:rPr>
        <w:t xml:space="preserve">na </w:t>
      </w:r>
      <w:r w:rsidR="007A5C9F" w:rsidRPr="00E04C25">
        <w:rPr>
          <w:rFonts w:ascii="Arial" w:hAnsi="Arial" w:cs="Arial"/>
          <w:b/>
        </w:rPr>
        <w:t>87</w:t>
      </w:r>
      <w:r w:rsidRPr="00E04C25">
        <w:rPr>
          <w:rFonts w:ascii="Arial" w:hAnsi="Arial" w:cs="Arial"/>
          <w:b/>
          <w:bCs/>
        </w:rPr>
        <w:t>,</w:t>
      </w:r>
      <w:r w:rsidR="007A5C9F" w:rsidRPr="00E04C25">
        <w:rPr>
          <w:rFonts w:ascii="Arial" w:hAnsi="Arial" w:cs="Arial"/>
          <w:b/>
          <w:bCs/>
        </w:rPr>
        <w:t>1</w:t>
      </w:r>
      <w:r w:rsidRPr="00E04C25">
        <w:rPr>
          <w:rFonts w:ascii="Arial" w:hAnsi="Arial" w:cs="Arial"/>
          <w:b/>
          <w:bCs/>
        </w:rPr>
        <w:t> </w:t>
      </w:r>
      <w:r w:rsidRPr="00E04C25">
        <w:rPr>
          <w:rFonts w:ascii="Arial" w:hAnsi="Arial" w:cs="Arial"/>
          <w:b/>
        </w:rPr>
        <w:t>tis.</w:t>
      </w:r>
      <w:r w:rsidRPr="00E04C25">
        <w:rPr>
          <w:rFonts w:ascii="Arial" w:hAnsi="Arial" w:cs="Arial"/>
        </w:rPr>
        <w:t>, k</w:t>
      </w:r>
      <w:r w:rsidRPr="00E04C25">
        <w:rPr>
          <w:rFonts w:ascii="Arial" w:hAnsi="Arial" w:cs="Arial"/>
          <w:b/>
        </w:rPr>
        <w:t> 31. 12. 201</w:t>
      </w:r>
      <w:r w:rsidR="007A5C9F" w:rsidRPr="00E04C25">
        <w:rPr>
          <w:rFonts w:ascii="Arial" w:hAnsi="Arial" w:cs="Arial"/>
          <w:b/>
        </w:rPr>
        <w:t>7</w:t>
      </w:r>
      <w:r w:rsidRPr="00E04C25">
        <w:rPr>
          <w:rFonts w:ascii="Arial" w:hAnsi="Arial" w:cs="Arial"/>
          <w:b/>
        </w:rPr>
        <w:t xml:space="preserve"> </w:t>
      </w:r>
      <w:r w:rsidR="00F82A0F" w:rsidRPr="00E04C25">
        <w:rPr>
          <w:rFonts w:ascii="Arial" w:hAnsi="Arial" w:cs="Arial"/>
        </w:rPr>
        <w:t xml:space="preserve">PvN </w:t>
      </w:r>
      <w:r w:rsidRPr="00E04C25">
        <w:rPr>
          <w:rFonts w:ascii="Arial" w:hAnsi="Arial" w:cs="Arial"/>
        </w:rPr>
        <w:t xml:space="preserve">pobíralo </w:t>
      </w:r>
      <w:r w:rsidR="007A5C9F" w:rsidRPr="00E04C25">
        <w:rPr>
          <w:rFonts w:ascii="Arial" w:hAnsi="Arial" w:cs="Arial"/>
          <w:b/>
        </w:rPr>
        <w:t>85</w:t>
      </w:r>
      <w:r w:rsidRPr="00E04C25">
        <w:rPr>
          <w:rFonts w:ascii="Arial" w:hAnsi="Arial" w:cs="Arial"/>
          <w:b/>
          <w:bCs/>
        </w:rPr>
        <w:t>,</w:t>
      </w:r>
      <w:r w:rsidR="007A5C9F" w:rsidRPr="00E04C25">
        <w:rPr>
          <w:rFonts w:ascii="Arial" w:hAnsi="Arial" w:cs="Arial"/>
          <w:b/>
          <w:bCs/>
        </w:rPr>
        <w:t>6</w:t>
      </w:r>
      <w:r w:rsidRPr="00E04C25">
        <w:rPr>
          <w:rFonts w:ascii="Arial" w:hAnsi="Arial" w:cs="Arial"/>
          <w:b/>
          <w:bCs/>
        </w:rPr>
        <w:t> </w:t>
      </w:r>
      <w:r w:rsidRPr="00E04C25">
        <w:rPr>
          <w:rFonts w:ascii="Arial" w:hAnsi="Arial" w:cs="Arial"/>
          <w:b/>
        </w:rPr>
        <w:t>tis. uchazečů</w:t>
      </w:r>
      <w:r w:rsidRPr="00E04C25">
        <w:rPr>
          <w:rFonts w:ascii="Arial" w:hAnsi="Arial" w:cs="Arial"/>
        </w:rPr>
        <w:t xml:space="preserve"> o zaměstnání, tj. o </w:t>
      </w:r>
      <w:r w:rsidR="007A5C9F" w:rsidRPr="00E04C25">
        <w:rPr>
          <w:rFonts w:ascii="Arial" w:hAnsi="Arial" w:cs="Arial"/>
        </w:rPr>
        <w:t>17,4</w:t>
      </w:r>
      <w:r w:rsidRPr="00E04C25">
        <w:rPr>
          <w:rFonts w:ascii="Arial" w:hAnsi="Arial" w:cs="Arial"/>
        </w:rPr>
        <w:t xml:space="preserve"> tis. méně než před rokem. </w:t>
      </w:r>
    </w:p>
    <w:p w:rsidR="00643A45" w:rsidRPr="00E04C25" w:rsidRDefault="00762875" w:rsidP="00643A45">
      <w:pPr>
        <w:numPr>
          <w:ilvl w:val="1"/>
          <w:numId w:val="2"/>
        </w:numPr>
        <w:tabs>
          <w:tab w:val="left" w:pos="360"/>
          <w:tab w:val="left" w:pos="567"/>
          <w:tab w:val="left" w:pos="709"/>
        </w:tabs>
        <w:spacing w:after="120" w:line="360" w:lineRule="auto"/>
        <w:ind w:left="360"/>
        <w:jc w:val="both"/>
        <w:rPr>
          <w:rFonts w:ascii="Arial" w:hAnsi="Arial" w:cs="Arial"/>
          <w:bCs/>
        </w:rPr>
      </w:pPr>
      <w:r w:rsidRPr="00E04C25">
        <w:rPr>
          <w:rFonts w:ascii="Arial" w:hAnsi="Arial" w:cs="Arial"/>
          <w:b/>
        </w:rPr>
        <w:t xml:space="preserve">Podíl </w:t>
      </w:r>
      <w:r w:rsidRPr="00E04C25">
        <w:rPr>
          <w:rFonts w:ascii="Arial" w:hAnsi="Arial" w:cs="Arial"/>
        </w:rPr>
        <w:t>uchazečů o zaměstnání</w:t>
      </w:r>
      <w:r w:rsidRPr="00E04C25">
        <w:rPr>
          <w:rFonts w:ascii="Arial" w:hAnsi="Arial" w:cs="Arial"/>
          <w:b/>
        </w:rPr>
        <w:t xml:space="preserve"> s </w:t>
      </w:r>
      <w:r w:rsidR="004B153E" w:rsidRPr="00E04C25">
        <w:rPr>
          <w:rFonts w:ascii="Arial" w:hAnsi="Arial" w:cs="Arial"/>
          <w:b/>
        </w:rPr>
        <w:t>podporou v nezaměstnanosti</w:t>
      </w:r>
      <w:r w:rsidRPr="00E04C25">
        <w:rPr>
          <w:rFonts w:ascii="Arial" w:hAnsi="Arial" w:cs="Arial"/>
          <w:b/>
        </w:rPr>
        <w:t xml:space="preserve"> </w:t>
      </w:r>
      <w:r w:rsidR="008D2184" w:rsidRPr="00E04C25">
        <w:rPr>
          <w:rFonts w:ascii="Arial" w:hAnsi="Arial" w:cs="Arial"/>
        </w:rPr>
        <w:t xml:space="preserve">na celkové registrované nezaměstnanosti na konci roku </w:t>
      </w:r>
      <w:r w:rsidRPr="00E04C25">
        <w:rPr>
          <w:rFonts w:ascii="Arial" w:hAnsi="Arial" w:cs="Arial"/>
          <w:b/>
        </w:rPr>
        <w:t xml:space="preserve">vzrostl na </w:t>
      </w:r>
      <w:r w:rsidR="007A5C9F" w:rsidRPr="00E04C25">
        <w:rPr>
          <w:rFonts w:ascii="Arial" w:hAnsi="Arial" w:cs="Arial"/>
          <w:b/>
        </w:rPr>
        <w:t>30</w:t>
      </w:r>
      <w:r w:rsidRPr="00E04C25">
        <w:rPr>
          <w:rFonts w:ascii="Arial" w:hAnsi="Arial" w:cs="Arial"/>
          <w:b/>
        </w:rPr>
        <w:t>,</w:t>
      </w:r>
      <w:r w:rsidR="007A5C9F" w:rsidRPr="00E04C25">
        <w:rPr>
          <w:rFonts w:ascii="Arial" w:hAnsi="Arial" w:cs="Arial"/>
          <w:b/>
        </w:rPr>
        <w:t>5</w:t>
      </w:r>
      <w:r w:rsidRPr="00E04C25">
        <w:rPr>
          <w:rFonts w:ascii="Arial" w:hAnsi="Arial" w:cs="Arial"/>
          <w:b/>
        </w:rPr>
        <w:t> %</w:t>
      </w:r>
      <w:r w:rsidRPr="00E04C25">
        <w:rPr>
          <w:rFonts w:ascii="Arial" w:hAnsi="Arial" w:cs="Arial"/>
        </w:rPr>
        <w:t xml:space="preserve"> (k 31. 12. 201</w:t>
      </w:r>
      <w:r w:rsidR="007A5C9F" w:rsidRPr="00E04C25">
        <w:rPr>
          <w:rFonts w:ascii="Arial" w:hAnsi="Arial" w:cs="Arial"/>
        </w:rPr>
        <w:t>6</w:t>
      </w:r>
      <w:r w:rsidRPr="00E04C25">
        <w:rPr>
          <w:rFonts w:ascii="Arial" w:hAnsi="Arial" w:cs="Arial"/>
        </w:rPr>
        <w:t xml:space="preserve"> činil 2</w:t>
      </w:r>
      <w:r w:rsidR="00643A45" w:rsidRPr="00E04C25">
        <w:rPr>
          <w:rFonts w:ascii="Arial" w:hAnsi="Arial" w:cs="Arial"/>
        </w:rPr>
        <w:t>7</w:t>
      </w:r>
      <w:r w:rsidRPr="00E04C25">
        <w:rPr>
          <w:rFonts w:ascii="Arial" w:hAnsi="Arial" w:cs="Arial"/>
        </w:rPr>
        <w:t>,</w:t>
      </w:r>
      <w:r w:rsidR="00643A45" w:rsidRPr="00E04C25">
        <w:rPr>
          <w:rFonts w:ascii="Arial" w:hAnsi="Arial" w:cs="Arial"/>
        </w:rPr>
        <w:t>0</w:t>
      </w:r>
      <w:r w:rsidRPr="00E04C25">
        <w:rPr>
          <w:rFonts w:ascii="Arial" w:hAnsi="Arial" w:cs="Arial"/>
        </w:rPr>
        <w:t> %) a </w:t>
      </w:r>
      <w:r w:rsidR="008D2184" w:rsidRPr="00E04C25">
        <w:rPr>
          <w:rFonts w:ascii="Arial" w:hAnsi="Arial" w:cs="Arial"/>
        </w:rPr>
        <w:t xml:space="preserve">jejich </w:t>
      </w:r>
      <w:r w:rsidRPr="00E04C25">
        <w:rPr>
          <w:rFonts w:ascii="Arial" w:hAnsi="Arial" w:cs="Arial"/>
          <w:b/>
        </w:rPr>
        <w:t xml:space="preserve">průměrný podíl </w:t>
      </w:r>
      <w:r w:rsidRPr="00E04C25">
        <w:rPr>
          <w:rFonts w:ascii="Arial" w:hAnsi="Arial" w:cs="Arial"/>
        </w:rPr>
        <w:t>za celý rok</w:t>
      </w:r>
      <w:r w:rsidRPr="00E04C25">
        <w:rPr>
          <w:rFonts w:ascii="Arial" w:hAnsi="Arial" w:cs="Arial"/>
          <w:b/>
        </w:rPr>
        <w:t xml:space="preserve"> </w:t>
      </w:r>
      <w:r w:rsidR="00C55FE8" w:rsidRPr="00E04C25">
        <w:rPr>
          <w:rFonts w:ascii="Arial" w:hAnsi="Arial" w:cs="Arial"/>
        </w:rPr>
        <w:t>201</w:t>
      </w:r>
      <w:r w:rsidR="00643A45" w:rsidRPr="00E04C25">
        <w:rPr>
          <w:rFonts w:ascii="Arial" w:hAnsi="Arial" w:cs="Arial"/>
        </w:rPr>
        <w:t>7</w:t>
      </w:r>
      <w:r w:rsidR="00C55FE8" w:rsidRPr="00E04C25">
        <w:rPr>
          <w:rFonts w:ascii="Arial" w:hAnsi="Arial" w:cs="Arial"/>
          <w:b/>
        </w:rPr>
        <w:t xml:space="preserve"> </w:t>
      </w:r>
      <w:r w:rsidRPr="00E04C25">
        <w:rPr>
          <w:rFonts w:ascii="Arial" w:hAnsi="Arial" w:cs="Arial"/>
          <w:b/>
        </w:rPr>
        <w:t>se zvýšil</w:t>
      </w:r>
      <w:r w:rsidRPr="00E04C25">
        <w:rPr>
          <w:rFonts w:ascii="Arial" w:hAnsi="Arial" w:cs="Arial"/>
        </w:rPr>
        <w:t xml:space="preserve"> (z 2</w:t>
      </w:r>
      <w:r w:rsidR="00643A45" w:rsidRPr="00E04C25">
        <w:rPr>
          <w:rFonts w:ascii="Arial" w:hAnsi="Arial" w:cs="Arial"/>
        </w:rPr>
        <w:t>4</w:t>
      </w:r>
      <w:r w:rsidRPr="00E04C25">
        <w:rPr>
          <w:rFonts w:ascii="Arial" w:hAnsi="Arial" w:cs="Arial"/>
        </w:rPr>
        <w:t>,</w:t>
      </w:r>
      <w:r w:rsidR="00643A45" w:rsidRPr="00E04C25">
        <w:rPr>
          <w:rFonts w:ascii="Arial" w:hAnsi="Arial" w:cs="Arial"/>
        </w:rPr>
        <w:t>1</w:t>
      </w:r>
      <w:r w:rsidRPr="00E04C25">
        <w:rPr>
          <w:rFonts w:ascii="Arial" w:hAnsi="Arial" w:cs="Arial"/>
        </w:rPr>
        <w:t xml:space="preserve"> %) na </w:t>
      </w:r>
      <w:r w:rsidRPr="00E04C25">
        <w:rPr>
          <w:rFonts w:ascii="Arial" w:hAnsi="Arial" w:cs="Arial"/>
          <w:b/>
        </w:rPr>
        <w:t>2</w:t>
      </w:r>
      <w:r w:rsidR="00643A45" w:rsidRPr="00E04C25">
        <w:rPr>
          <w:rFonts w:ascii="Arial" w:hAnsi="Arial" w:cs="Arial"/>
          <w:b/>
        </w:rPr>
        <w:t>7</w:t>
      </w:r>
      <w:r w:rsidRPr="00E04C25">
        <w:rPr>
          <w:rFonts w:ascii="Arial" w:hAnsi="Arial" w:cs="Arial"/>
          <w:b/>
        </w:rPr>
        <w:t>,</w:t>
      </w:r>
      <w:r w:rsidR="00E73332" w:rsidRPr="00E04C25">
        <w:rPr>
          <w:rFonts w:ascii="Arial" w:hAnsi="Arial" w:cs="Arial"/>
          <w:b/>
        </w:rPr>
        <w:t>4</w:t>
      </w:r>
      <w:r w:rsidRPr="00E04C25">
        <w:rPr>
          <w:rFonts w:ascii="Arial" w:hAnsi="Arial" w:cs="Arial"/>
          <w:b/>
        </w:rPr>
        <w:t> %</w:t>
      </w:r>
      <w:r w:rsidRPr="00E04C25">
        <w:rPr>
          <w:rFonts w:ascii="Arial" w:hAnsi="Arial" w:cs="Arial"/>
        </w:rPr>
        <w:t>.</w:t>
      </w:r>
    </w:p>
    <w:p w:rsidR="007A5C9F" w:rsidRPr="00E04C25" w:rsidRDefault="00762875" w:rsidP="00643A45">
      <w:pPr>
        <w:numPr>
          <w:ilvl w:val="1"/>
          <w:numId w:val="2"/>
        </w:numPr>
        <w:tabs>
          <w:tab w:val="left" w:pos="360"/>
          <w:tab w:val="left" w:pos="567"/>
          <w:tab w:val="left" w:pos="709"/>
        </w:tabs>
        <w:spacing w:after="120" w:line="360" w:lineRule="auto"/>
        <w:ind w:left="360"/>
        <w:jc w:val="both"/>
        <w:rPr>
          <w:rFonts w:ascii="Arial" w:hAnsi="Arial" w:cs="Arial"/>
          <w:bCs/>
        </w:rPr>
      </w:pPr>
      <w:r w:rsidRPr="00E04C25">
        <w:rPr>
          <w:rFonts w:ascii="Arial" w:hAnsi="Arial" w:cs="Arial"/>
          <w:b/>
        </w:rPr>
        <w:t>P</w:t>
      </w:r>
      <w:r w:rsidRPr="00E04C25">
        <w:rPr>
          <w:rFonts w:ascii="Arial" w:hAnsi="Arial" w:cs="Arial"/>
          <w:b/>
          <w:bCs/>
        </w:rPr>
        <w:t xml:space="preserve">růměrná výše </w:t>
      </w:r>
      <w:r w:rsidR="004B153E" w:rsidRPr="00E04C25">
        <w:rPr>
          <w:rFonts w:ascii="Arial" w:hAnsi="Arial" w:cs="Arial"/>
          <w:b/>
          <w:bCs/>
        </w:rPr>
        <w:t>podpory</w:t>
      </w:r>
      <w:r w:rsidRPr="00E04C25">
        <w:rPr>
          <w:rFonts w:ascii="Arial" w:hAnsi="Arial" w:cs="Arial"/>
          <w:b/>
          <w:bCs/>
        </w:rPr>
        <w:t xml:space="preserve"> </w:t>
      </w:r>
      <w:r w:rsidRPr="00E04C25">
        <w:rPr>
          <w:rFonts w:ascii="Arial" w:hAnsi="Arial" w:cs="Arial"/>
          <w:bCs/>
        </w:rPr>
        <w:t>v roce 201</w:t>
      </w:r>
      <w:r w:rsidR="007A5C9F" w:rsidRPr="00E04C25">
        <w:rPr>
          <w:rFonts w:ascii="Arial" w:hAnsi="Arial" w:cs="Arial"/>
          <w:bCs/>
        </w:rPr>
        <w:t>7</w:t>
      </w:r>
      <w:r w:rsidRPr="00E04C25">
        <w:rPr>
          <w:rFonts w:ascii="Arial" w:hAnsi="Arial" w:cs="Arial"/>
          <w:b/>
          <w:bCs/>
        </w:rPr>
        <w:t xml:space="preserve"> vzrostla </w:t>
      </w:r>
      <w:r w:rsidRPr="00E04C25">
        <w:rPr>
          <w:rFonts w:ascii="Arial" w:hAnsi="Arial" w:cs="Arial"/>
          <w:bCs/>
        </w:rPr>
        <w:t>o </w:t>
      </w:r>
      <w:r w:rsidR="00643A45" w:rsidRPr="00E04C25">
        <w:rPr>
          <w:rFonts w:ascii="Arial" w:hAnsi="Arial" w:cs="Arial"/>
          <w:bCs/>
        </w:rPr>
        <w:t>370</w:t>
      </w:r>
      <w:r w:rsidRPr="00E04C25">
        <w:rPr>
          <w:rFonts w:ascii="Arial" w:hAnsi="Arial" w:cs="Arial"/>
          <w:bCs/>
        </w:rPr>
        <w:t> Kč</w:t>
      </w:r>
      <w:r w:rsidRPr="00E04C25">
        <w:rPr>
          <w:rFonts w:ascii="Arial" w:hAnsi="Arial" w:cs="Arial"/>
          <w:b/>
          <w:bCs/>
        </w:rPr>
        <w:t xml:space="preserve"> </w:t>
      </w:r>
      <w:r w:rsidRPr="00E04C25">
        <w:rPr>
          <w:rFonts w:ascii="Arial" w:hAnsi="Arial" w:cs="Arial"/>
          <w:bCs/>
        </w:rPr>
        <w:t>na</w:t>
      </w:r>
      <w:r w:rsidRPr="00E04C25">
        <w:rPr>
          <w:rFonts w:ascii="Arial" w:hAnsi="Arial" w:cs="Arial"/>
          <w:b/>
          <w:bCs/>
        </w:rPr>
        <w:t xml:space="preserve"> 6 </w:t>
      </w:r>
      <w:r w:rsidR="00643A45" w:rsidRPr="00E04C25">
        <w:rPr>
          <w:rFonts w:ascii="Arial" w:hAnsi="Arial" w:cs="Arial"/>
          <w:b/>
          <w:bCs/>
        </w:rPr>
        <w:t>746</w:t>
      </w:r>
      <w:r w:rsidRPr="00E04C25">
        <w:rPr>
          <w:rFonts w:ascii="Arial" w:hAnsi="Arial" w:cs="Arial"/>
          <w:b/>
          <w:bCs/>
          <w:sz w:val="18"/>
          <w:szCs w:val="18"/>
        </w:rPr>
        <w:t> </w:t>
      </w:r>
      <w:r w:rsidRPr="00E04C25">
        <w:rPr>
          <w:rFonts w:ascii="Arial" w:hAnsi="Arial" w:cs="Arial"/>
          <w:b/>
          <w:bCs/>
        </w:rPr>
        <w:t>Kč</w:t>
      </w:r>
      <w:r w:rsidRPr="00E04C25">
        <w:rPr>
          <w:rFonts w:ascii="Arial" w:hAnsi="Arial" w:cs="Arial"/>
        </w:rPr>
        <w:t xml:space="preserve">. Průměrná podpora </w:t>
      </w:r>
      <w:r w:rsidRPr="00E04C25">
        <w:rPr>
          <w:rFonts w:ascii="Arial" w:hAnsi="Arial" w:cs="Arial"/>
          <w:b/>
        </w:rPr>
        <w:t>k 31. 12. 201</w:t>
      </w:r>
      <w:r w:rsidR="00643A45" w:rsidRPr="00E04C25">
        <w:rPr>
          <w:rFonts w:ascii="Arial" w:hAnsi="Arial" w:cs="Arial"/>
          <w:b/>
        </w:rPr>
        <w:t>7</w:t>
      </w:r>
      <w:r w:rsidRPr="00E04C25">
        <w:rPr>
          <w:rFonts w:ascii="Arial" w:hAnsi="Arial" w:cs="Arial"/>
          <w:b/>
        </w:rPr>
        <w:t xml:space="preserve"> </w:t>
      </w:r>
      <w:r w:rsidRPr="00E04C25">
        <w:rPr>
          <w:rFonts w:ascii="Arial" w:hAnsi="Arial" w:cs="Arial"/>
        </w:rPr>
        <w:t xml:space="preserve">činila </w:t>
      </w:r>
      <w:r w:rsidRPr="00E04C25">
        <w:rPr>
          <w:rFonts w:ascii="Arial" w:hAnsi="Arial" w:cs="Arial"/>
          <w:b/>
        </w:rPr>
        <w:t>6 </w:t>
      </w:r>
      <w:r w:rsidR="00643A45" w:rsidRPr="00E04C25">
        <w:rPr>
          <w:rFonts w:ascii="Arial" w:hAnsi="Arial" w:cs="Arial"/>
          <w:b/>
        </w:rPr>
        <w:t>969</w:t>
      </w:r>
      <w:r w:rsidRPr="00E04C25">
        <w:rPr>
          <w:rFonts w:ascii="Arial" w:hAnsi="Arial" w:cs="Arial"/>
          <w:b/>
        </w:rPr>
        <w:t xml:space="preserve"> Kč </w:t>
      </w:r>
      <w:r w:rsidRPr="00E04C25">
        <w:rPr>
          <w:rFonts w:ascii="Arial" w:hAnsi="Arial" w:cs="Arial"/>
        </w:rPr>
        <w:t>a byla</w:t>
      </w:r>
      <w:r w:rsidRPr="00E04C25">
        <w:rPr>
          <w:rFonts w:ascii="Arial" w:hAnsi="Arial" w:cs="Arial"/>
          <w:b/>
        </w:rPr>
        <w:t xml:space="preserve"> </w:t>
      </w:r>
      <w:r w:rsidRPr="00E04C25">
        <w:rPr>
          <w:rFonts w:ascii="Arial" w:hAnsi="Arial" w:cs="Arial"/>
        </w:rPr>
        <w:t xml:space="preserve">meziročně </w:t>
      </w:r>
      <w:r w:rsidRPr="00E04C25">
        <w:rPr>
          <w:rFonts w:ascii="Arial" w:hAnsi="Arial" w:cs="Arial"/>
          <w:b/>
        </w:rPr>
        <w:t xml:space="preserve">vyšší </w:t>
      </w:r>
      <w:r w:rsidRPr="00E04C25">
        <w:rPr>
          <w:rFonts w:ascii="Arial" w:hAnsi="Arial" w:cs="Arial"/>
        </w:rPr>
        <w:t>o </w:t>
      </w:r>
      <w:r w:rsidR="00643A45" w:rsidRPr="00E04C25">
        <w:rPr>
          <w:rFonts w:ascii="Arial" w:hAnsi="Arial" w:cs="Arial"/>
        </w:rPr>
        <w:t>512</w:t>
      </w:r>
      <w:r w:rsidRPr="00E04C25">
        <w:rPr>
          <w:rFonts w:ascii="Arial" w:hAnsi="Arial" w:cs="Arial"/>
        </w:rPr>
        <w:t> Kč.</w:t>
      </w:r>
      <w:r w:rsidR="00C66EAA" w:rsidRPr="00E04C25">
        <w:rPr>
          <w:rFonts w:ascii="Arial" w:hAnsi="Arial" w:cs="Arial"/>
        </w:rPr>
        <w:t xml:space="preserve"> </w:t>
      </w:r>
    </w:p>
    <w:p w:rsidR="00762875" w:rsidRPr="00E04C25" w:rsidRDefault="00762875" w:rsidP="00AE65A5">
      <w:pPr>
        <w:numPr>
          <w:ilvl w:val="1"/>
          <w:numId w:val="2"/>
        </w:numPr>
        <w:tabs>
          <w:tab w:val="left" w:pos="360"/>
          <w:tab w:val="left" w:pos="567"/>
          <w:tab w:val="left" w:pos="709"/>
        </w:tabs>
        <w:spacing w:after="120" w:line="360" w:lineRule="auto"/>
        <w:ind w:left="360"/>
        <w:jc w:val="both"/>
        <w:rPr>
          <w:rFonts w:ascii="Arial" w:hAnsi="Arial" w:cs="Arial"/>
          <w:bCs/>
        </w:rPr>
      </w:pPr>
      <w:r w:rsidRPr="00E04C25">
        <w:rPr>
          <w:rFonts w:ascii="Arial" w:hAnsi="Arial" w:cs="Arial"/>
          <w:b/>
          <w:bCs/>
          <w:iCs/>
        </w:rPr>
        <w:t>K</w:t>
      </w:r>
      <w:r w:rsidRPr="00E04C25">
        <w:rPr>
          <w:rFonts w:ascii="Arial" w:hAnsi="Arial" w:cs="Arial"/>
          <w:b/>
        </w:rPr>
        <w:t> </w:t>
      </w:r>
      <w:r w:rsidRPr="00E04C25">
        <w:rPr>
          <w:rFonts w:ascii="Arial" w:hAnsi="Arial" w:cs="Arial"/>
          <w:b/>
          <w:bCs/>
        </w:rPr>
        <w:t>31. 12. 201</w:t>
      </w:r>
      <w:r w:rsidR="005A7A9D" w:rsidRPr="00E04C25">
        <w:rPr>
          <w:rFonts w:ascii="Arial" w:hAnsi="Arial" w:cs="Arial"/>
          <w:b/>
          <w:bCs/>
        </w:rPr>
        <w:t>7</w:t>
      </w:r>
      <w:r w:rsidRPr="00E04C25">
        <w:rPr>
          <w:rFonts w:ascii="Arial" w:hAnsi="Arial" w:cs="Arial"/>
        </w:rPr>
        <w:t xml:space="preserve"> bylo v evidenci </w:t>
      </w:r>
      <w:r w:rsidR="000F6297" w:rsidRPr="00E04C25">
        <w:rPr>
          <w:rFonts w:ascii="Arial" w:hAnsi="Arial" w:cs="Arial"/>
        </w:rPr>
        <w:t>Úřadu práce ČR (</w:t>
      </w:r>
      <w:r w:rsidRPr="00E04C25">
        <w:rPr>
          <w:rFonts w:ascii="Arial" w:hAnsi="Arial" w:cs="Arial"/>
        </w:rPr>
        <w:t>ÚP ČR</w:t>
      </w:r>
      <w:r w:rsidR="000F6297" w:rsidRPr="00E04C25">
        <w:rPr>
          <w:rFonts w:ascii="Arial" w:hAnsi="Arial" w:cs="Arial"/>
        </w:rPr>
        <w:t>)</w:t>
      </w:r>
      <w:r w:rsidRPr="00E04C25">
        <w:rPr>
          <w:rFonts w:ascii="Arial" w:hAnsi="Arial" w:cs="Arial"/>
        </w:rPr>
        <w:t xml:space="preserve"> </w:t>
      </w:r>
      <w:r w:rsidR="00643A45" w:rsidRPr="00E04C25">
        <w:rPr>
          <w:rFonts w:ascii="Arial" w:hAnsi="Arial" w:cs="Arial"/>
          <w:b/>
        </w:rPr>
        <w:t>46</w:t>
      </w:r>
      <w:r w:rsidRPr="00E04C25">
        <w:rPr>
          <w:rFonts w:ascii="Arial" w:hAnsi="Arial" w:cs="Arial"/>
          <w:b/>
        </w:rPr>
        <w:t>,</w:t>
      </w:r>
      <w:r w:rsidR="00643A45" w:rsidRPr="00E04C25">
        <w:rPr>
          <w:rFonts w:ascii="Arial" w:hAnsi="Arial" w:cs="Arial"/>
          <w:b/>
        </w:rPr>
        <w:t>0</w:t>
      </w:r>
      <w:r w:rsidRPr="00E04C25">
        <w:rPr>
          <w:rFonts w:ascii="Arial" w:hAnsi="Arial" w:cs="Arial"/>
        </w:rPr>
        <w:t xml:space="preserve"> </w:t>
      </w:r>
      <w:r w:rsidRPr="00E04C25">
        <w:rPr>
          <w:rFonts w:ascii="Arial" w:hAnsi="Arial" w:cs="Arial"/>
          <w:b/>
          <w:bCs/>
        </w:rPr>
        <w:t xml:space="preserve">tis. </w:t>
      </w:r>
      <w:r w:rsidRPr="00E04C25">
        <w:rPr>
          <w:rFonts w:ascii="Arial" w:hAnsi="Arial" w:cs="Arial"/>
          <w:bCs/>
          <w:iCs/>
        </w:rPr>
        <w:t>uchazečů o zaměstnání</w:t>
      </w:r>
      <w:r w:rsidRPr="00E04C25">
        <w:rPr>
          <w:rFonts w:ascii="Arial" w:hAnsi="Arial" w:cs="Arial"/>
          <w:b/>
          <w:bCs/>
          <w:iCs/>
        </w:rPr>
        <w:t xml:space="preserve"> </w:t>
      </w:r>
      <w:r w:rsidRPr="00E04C25">
        <w:rPr>
          <w:rFonts w:ascii="Arial" w:hAnsi="Arial" w:cs="Arial"/>
          <w:bCs/>
          <w:iCs/>
        </w:rPr>
        <w:t xml:space="preserve">– </w:t>
      </w:r>
      <w:r w:rsidRPr="00E04C25">
        <w:rPr>
          <w:rFonts w:ascii="Arial" w:hAnsi="Arial" w:cs="Arial"/>
          <w:b/>
          <w:bCs/>
          <w:iCs/>
        </w:rPr>
        <w:t xml:space="preserve">osob se zdravotním postižením </w:t>
      </w:r>
      <w:r w:rsidRPr="00E04C25">
        <w:rPr>
          <w:rFonts w:ascii="Arial" w:hAnsi="Arial" w:cs="Arial"/>
          <w:bCs/>
          <w:iCs/>
        </w:rPr>
        <w:t>(OZP)</w:t>
      </w:r>
      <w:r w:rsidRPr="00E04C25">
        <w:rPr>
          <w:rFonts w:ascii="Arial" w:hAnsi="Arial" w:cs="Arial"/>
          <w:b/>
          <w:bCs/>
        </w:rPr>
        <w:t>,</w:t>
      </w:r>
      <w:r w:rsidRPr="00E04C25">
        <w:rPr>
          <w:rFonts w:ascii="Arial" w:hAnsi="Arial" w:cs="Arial"/>
        </w:rPr>
        <w:t xml:space="preserve"> tj. o </w:t>
      </w:r>
      <w:r w:rsidR="00643A45" w:rsidRPr="00E04C25">
        <w:rPr>
          <w:rFonts w:ascii="Arial" w:hAnsi="Arial" w:cs="Arial"/>
        </w:rPr>
        <w:t>8</w:t>
      </w:r>
      <w:r w:rsidRPr="00E04C25">
        <w:rPr>
          <w:rFonts w:ascii="Arial" w:hAnsi="Arial" w:cs="Arial"/>
        </w:rPr>
        <w:t>,</w:t>
      </w:r>
      <w:r w:rsidR="00245ABE" w:rsidRPr="00E04C25">
        <w:rPr>
          <w:rFonts w:ascii="Arial" w:hAnsi="Arial" w:cs="Arial"/>
        </w:rPr>
        <w:t>6</w:t>
      </w:r>
      <w:r w:rsidRPr="00E04C25">
        <w:rPr>
          <w:rFonts w:ascii="Arial" w:hAnsi="Arial" w:cs="Arial"/>
        </w:rPr>
        <w:t xml:space="preserve"> tis. méně než </w:t>
      </w:r>
      <w:r w:rsidRPr="00E04C25">
        <w:rPr>
          <w:rFonts w:ascii="Arial" w:hAnsi="Arial" w:cs="Arial"/>
        </w:rPr>
        <w:lastRenderedPageBreak/>
        <w:t xml:space="preserve">před rokem. </w:t>
      </w:r>
      <w:r w:rsidRPr="00E04C25">
        <w:rPr>
          <w:rFonts w:ascii="Arial" w:hAnsi="Arial" w:cs="Arial"/>
          <w:b/>
        </w:rPr>
        <w:t>Podíl OZP</w:t>
      </w:r>
      <w:r w:rsidRPr="00E04C25">
        <w:rPr>
          <w:rFonts w:ascii="Arial" w:hAnsi="Arial" w:cs="Arial"/>
        </w:rPr>
        <w:t xml:space="preserve"> na konci prosince 201</w:t>
      </w:r>
      <w:r w:rsidR="00643A45" w:rsidRPr="00E04C25">
        <w:rPr>
          <w:rFonts w:ascii="Arial" w:hAnsi="Arial" w:cs="Arial"/>
        </w:rPr>
        <w:t>7</w:t>
      </w:r>
      <w:r w:rsidRPr="00E04C25">
        <w:rPr>
          <w:rFonts w:ascii="Arial" w:hAnsi="Arial" w:cs="Arial"/>
        </w:rPr>
        <w:t xml:space="preserve"> vzhledem k pomalejšímu poklesu ve srovnání s celkovým počtem </w:t>
      </w:r>
      <w:r w:rsidR="008D2184" w:rsidRPr="00E04C25">
        <w:rPr>
          <w:rFonts w:ascii="Arial" w:hAnsi="Arial" w:cs="Arial"/>
        </w:rPr>
        <w:t xml:space="preserve">UoZ </w:t>
      </w:r>
      <w:r w:rsidRPr="00E04C25">
        <w:rPr>
          <w:rFonts w:ascii="Arial" w:hAnsi="Arial" w:cs="Arial"/>
        </w:rPr>
        <w:t xml:space="preserve"> meziročně </w:t>
      </w:r>
      <w:r w:rsidRPr="00E04C25">
        <w:rPr>
          <w:rFonts w:ascii="Arial" w:hAnsi="Arial" w:cs="Arial"/>
          <w:b/>
        </w:rPr>
        <w:t>vzrostl</w:t>
      </w:r>
      <w:r w:rsidRPr="00E04C25">
        <w:rPr>
          <w:rFonts w:ascii="Arial" w:hAnsi="Arial" w:cs="Arial"/>
        </w:rPr>
        <w:t xml:space="preserve"> z 1</w:t>
      </w:r>
      <w:r w:rsidR="00643A45" w:rsidRPr="00E04C25">
        <w:rPr>
          <w:rFonts w:ascii="Arial" w:hAnsi="Arial" w:cs="Arial"/>
        </w:rPr>
        <w:t>4</w:t>
      </w:r>
      <w:r w:rsidRPr="00E04C25">
        <w:rPr>
          <w:rFonts w:ascii="Arial" w:hAnsi="Arial" w:cs="Arial"/>
        </w:rPr>
        <w:t>,</w:t>
      </w:r>
      <w:r w:rsidR="00643A45" w:rsidRPr="00E04C25">
        <w:rPr>
          <w:rFonts w:ascii="Arial" w:hAnsi="Arial" w:cs="Arial"/>
        </w:rPr>
        <w:t>3</w:t>
      </w:r>
      <w:r w:rsidRPr="00E04C25">
        <w:rPr>
          <w:rFonts w:ascii="Arial" w:hAnsi="Arial" w:cs="Arial"/>
        </w:rPr>
        <w:t xml:space="preserve"> % </w:t>
      </w:r>
      <w:r w:rsidRPr="00E04C25">
        <w:rPr>
          <w:rFonts w:ascii="Arial" w:hAnsi="Arial" w:cs="Arial"/>
          <w:b/>
        </w:rPr>
        <w:t>na</w:t>
      </w:r>
      <w:r w:rsidRPr="00E04C25">
        <w:rPr>
          <w:rFonts w:ascii="Arial" w:hAnsi="Arial" w:cs="Arial"/>
        </w:rPr>
        <w:t xml:space="preserve"> </w:t>
      </w:r>
      <w:r w:rsidRPr="00E04C25">
        <w:rPr>
          <w:rFonts w:ascii="Arial" w:hAnsi="Arial" w:cs="Arial"/>
          <w:b/>
        </w:rPr>
        <w:t>1</w:t>
      </w:r>
      <w:r w:rsidR="00643A45" w:rsidRPr="00E04C25">
        <w:rPr>
          <w:rFonts w:ascii="Arial" w:hAnsi="Arial" w:cs="Arial"/>
          <w:b/>
        </w:rPr>
        <w:t>6</w:t>
      </w:r>
      <w:r w:rsidRPr="00E04C25">
        <w:rPr>
          <w:rFonts w:ascii="Arial" w:hAnsi="Arial" w:cs="Arial"/>
          <w:b/>
          <w:bCs/>
        </w:rPr>
        <w:t>,</w:t>
      </w:r>
      <w:r w:rsidR="00643A45" w:rsidRPr="00E04C25">
        <w:rPr>
          <w:rFonts w:ascii="Arial" w:hAnsi="Arial" w:cs="Arial"/>
          <w:b/>
          <w:bCs/>
        </w:rPr>
        <w:t>4</w:t>
      </w:r>
      <w:r w:rsidRPr="00E04C25">
        <w:rPr>
          <w:rFonts w:ascii="Arial" w:hAnsi="Arial" w:cs="Arial"/>
          <w:b/>
          <w:bCs/>
        </w:rPr>
        <w:t> %</w:t>
      </w:r>
      <w:r w:rsidRPr="00E04C25">
        <w:rPr>
          <w:rFonts w:ascii="Arial" w:hAnsi="Arial" w:cs="Arial"/>
          <w:bCs/>
        </w:rPr>
        <w:t>.</w:t>
      </w:r>
    </w:p>
    <w:p w:rsidR="00762875" w:rsidRPr="00E04C25" w:rsidRDefault="00762875" w:rsidP="00AE65A5">
      <w:pPr>
        <w:numPr>
          <w:ilvl w:val="1"/>
          <w:numId w:val="2"/>
        </w:numPr>
        <w:tabs>
          <w:tab w:val="left" w:pos="360"/>
          <w:tab w:val="left" w:pos="709"/>
        </w:tabs>
        <w:spacing w:after="120" w:line="360" w:lineRule="auto"/>
        <w:ind w:left="360"/>
        <w:jc w:val="both"/>
        <w:rPr>
          <w:rFonts w:ascii="Arial" w:hAnsi="Arial" w:cs="Arial"/>
          <w:bCs/>
        </w:rPr>
      </w:pPr>
      <w:r w:rsidRPr="00E04C25">
        <w:rPr>
          <w:rFonts w:ascii="Arial" w:hAnsi="Arial" w:cs="Arial"/>
          <w:b/>
        </w:rPr>
        <w:t>Počet</w:t>
      </w:r>
      <w:r w:rsidRPr="00E04C25">
        <w:rPr>
          <w:rFonts w:ascii="Arial" w:hAnsi="Arial" w:cs="Arial"/>
        </w:rPr>
        <w:t xml:space="preserve"> uchazečů</w:t>
      </w:r>
      <w:r w:rsidR="00C55FE8" w:rsidRPr="00E04C25">
        <w:rPr>
          <w:rFonts w:ascii="Arial" w:hAnsi="Arial" w:cs="Arial"/>
        </w:rPr>
        <w:t xml:space="preserve"> o zaměstnání </w:t>
      </w:r>
      <w:r w:rsidRPr="00E04C25">
        <w:rPr>
          <w:rFonts w:ascii="Arial" w:hAnsi="Arial" w:cs="Arial"/>
        </w:rPr>
        <w:t>ve věku</w:t>
      </w:r>
      <w:r w:rsidRPr="00E04C25">
        <w:rPr>
          <w:rFonts w:ascii="Arial" w:hAnsi="Arial" w:cs="Arial"/>
          <w:b/>
        </w:rPr>
        <w:t xml:space="preserve"> 50 a více let</w:t>
      </w:r>
      <w:r w:rsidRPr="00E04C25">
        <w:rPr>
          <w:rFonts w:ascii="Arial" w:hAnsi="Arial" w:cs="Arial"/>
        </w:rPr>
        <w:t xml:space="preserve"> na konci roku </w:t>
      </w:r>
      <w:r w:rsidR="00643A45" w:rsidRPr="00E04C25">
        <w:rPr>
          <w:rFonts w:ascii="Arial" w:hAnsi="Arial" w:cs="Arial"/>
        </w:rPr>
        <w:t xml:space="preserve">2017 </w:t>
      </w:r>
      <w:r w:rsidRPr="00E04C25">
        <w:rPr>
          <w:rFonts w:ascii="Arial" w:hAnsi="Arial" w:cs="Arial"/>
          <w:b/>
        </w:rPr>
        <w:t xml:space="preserve">poklesl </w:t>
      </w:r>
      <w:r w:rsidRPr="00E04C25">
        <w:rPr>
          <w:rFonts w:ascii="Arial" w:hAnsi="Arial" w:cs="Arial"/>
        </w:rPr>
        <w:t>o </w:t>
      </w:r>
      <w:r w:rsidR="00643A45" w:rsidRPr="00E04C25">
        <w:rPr>
          <w:rFonts w:ascii="Arial" w:hAnsi="Arial" w:cs="Arial"/>
        </w:rPr>
        <w:t>25</w:t>
      </w:r>
      <w:r w:rsidR="00D8087D" w:rsidRPr="00E04C25">
        <w:rPr>
          <w:rFonts w:ascii="Arial" w:hAnsi="Arial" w:cs="Arial"/>
        </w:rPr>
        <w:t>,</w:t>
      </w:r>
      <w:r w:rsidR="00643A45" w:rsidRPr="00E04C25">
        <w:rPr>
          <w:rFonts w:ascii="Arial" w:hAnsi="Arial" w:cs="Arial"/>
        </w:rPr>
        <w:t>0</w:t>
      </w:r>
      <w:r w:rsidRPr="00E04C25">
        <w:rPr>
          <w:rFonts w:ascii="Arial" w:hAnsi="Arial" w:cs="Arial"/>
        </w:rPr>
        <w:t> tis. osob</w:t>
      </w:r>
      <w:r w:rsidRPr="00E04C25">
        <w:rPr>
          <w:rFonts w:ascii="Arial" w:hAnsi="Arial" w:cs="Arial"/>
          <w:b/>
        </w:rPr>
        <w:t xml:space="preserve"> </w:t>
      </w:r>
      <w:r w:rsidR="00643A45" w:rsidRPr="00E04C25">
        <w:rPr>
          <w:rFonts w:ascii="Arial" w:hAnsi="Arial" w:cs="Arial"/>
          <w:b/>
        </w:rPr>
        <w:t xml:space="preserve">na 102,3 tis. </w:t>
      </w:r>
      <w:r w:rsidRPr="00E04C25">
        <w:rPr>
          <w:rFonts w:ascii="Arial" w:hAnsi="Arial" w:cs="Arial"/>
        </w:rPr>
        <w:t xml:space="preserve">Jejich </w:t>
      </w:r>
      <w:r w:rsidRPr="00E04C25">
        <w:rPr>
          <w:rFonts w:ascii="Arial" w:hAnsi="Arial" w:cs="Arial"/>
          <w:b/>
        </w:rPr>
        <w:t>podíl</w:t>
      </w:r>
      <w:r w:rsidRPr="00E04C25">
        <w:rPr>
          <w:rFonts w:ascii="Arial" w:hAnsi="Arial" w:cs="Arial"/>
        </w:rPr>
        <w:t xml:space="preserve"> na celkovém počtu uchazečů </w:t>
      </w:r>
      <w:r w:rsidRPr="00E04C25">
        <w:rPr>
          <w:rFonts w:ascii="Arial" w:hAnsi="Arial" w:cs="Arial"/>
          <w:b/>
        </w:rPr>
        <w:t xml:space="preserve">se </w:t>
      </w:r>
      <w:r w:rsidRPr="00E04C25">
        <w:rPr>
          <w:rFonts w:ascii="Arial" w:hAnsi="Arial" w:cs="Arial"/>
        </w:rPr>
        <w:t>však</w:t>
      </w:r>
      <w:r w:rsidRPr="00E04C25">
        <w:rPr>
          <w:rFonts w:ascii="Arial" w:hAnsi="Arial" w:cs="Arial"/>
          <w:b/>
        </w:rPr>
        <w:t xml:space="preserve"> zvýšil</w:t>
      </w:r>
      <w:r w:rsidRPr="00E04C25">
        <w:rPr>
          <w:rFonts w:ascii="Arial" w:hAnsi="Arial" w:cs="Arial"/>
        </w:rPr>
        <w:t xml:space="preserve"> </w:t>
      </w:r>
      <w:r w:rsidR="00643A45" w:rsidRPr="00E04C25">
        <w:rPr>
          <w:rFonts w:ascii="Arial" w:hAnsi="Arial" w:cs="Arial"/>
        </w:rPr>
        <w:t>o 3,1</w:t>
      </w:r>
      <w:r w:rsidR="00643A45" w:rsidRPr="00E04C25">
        <w:rPr>
          <w:rFonts w:cs="Arial"/>
        </w:rPr>
        <w:t> </w:t>
      </w:r>
      <w:r w:rsidR="00643A45" w:rsidRPr="00E04C25">
        <w:rPr>
          <w:rFonts w:ascii="Arial" w:hAnsi="Arial" w:cs="Arial"/>
        </w:rPr>
        <w:t xml:space="preserve">p. b. </w:t>
      </w:r>
      <w:r w:rsidR="00643A45" w:rsidRPr="00E04C25">
        <w:rPr>
          <w:rFonts w:ascii="Arial" w:hAnsi="Arial" w:cs="Arial"/>
          <w:b/>
        </w:rPr>
        <w:t>na 36,</w:t>
      </w:r>
      <w:r w:rsidR="00E73332" w:rsidRPr="00E04C25">
        <w:rPr>
          <w:rFonts w:ascii="Arial" w:hAnsi="Arial" w:cs="Arial"/>
          <w:b/>
        </w:rPr>
        <w:t>5</w:t>
      </w:r>
      <w:r w:rsidR="00643A45" w:rsidRPr="00E04C25">
        <w:rPr>
          <w:rFonts w:ascii="Arial" w:hAnsi="Arial" w:cs="Arial"/>
          <w:b/>
        </w:rPr>
        <w:t> %.</w:t>
      </w:r>
    </w:p>
    <w:p w:rsidR="00643A45" w:rsidRPr="00E04C25" w:rsidRDefault="00762875" w:rsidP="00643A45">
      <w:pPr>
        <w:numPr>
          <w:ilvl w:val="1"/>
          <w:numId w:val="2"/>
        </w:numPr>
        <w:tabs>
          <w:tab w:val="left" w:pos="360"/>
          <w:tab w:val="left" w:pos="709"/>
        </w:tabs>
        <w:spacing w:after="120" w:line="360" w:lineRule="auto"/>
        <w:ind w:left="360"/>
        <w:jc w:val="both"/>
        <w:rPr>
          <w:rFonts w:ascii="Arial" w:hAnsi="Arial" w:cs="Arial"/>
        </w:rPr>
      </w:pPr>
      <w:r w:rsidRPr="00E04C25">
        <w:rPr>
          <w:rFonts w:ascii="Arial" w:hAnsi="Arial" w:cs="Arial"/>
        </w:rPr>
        <w:t>Věková kategorie uchazečů</w:t>
      </w:r>
      <w:r w:rsidRPr="00E04C25">
        <w:rPr>
          <w:rFonts w:ascii="Arial" w:hAnsi="Arial" w:cs="Arial"/>
          <w:b/>
        </w:rPr>
        <w:t xml:space="preserve"> </w:t>
      </w:r>
      <w:r w:rsidR="00C55FE8" w:rsidRPr="00E04C25">
        <w:rPr>
          <w:rFonts w:ascii="Arial" w:hAnsi="Arial" w:cs="Arial"/>
        </w:rPr>
        <w:t>o zaměstnání</w:t>
      </w:r>
      <w:r w:rsidR="00C55FE8" w:rsidRPr="00E04C25">
        <w:rPr>
          <w:rFonts w:ascii="Arial" w:hAnsi="Arial" w:cs="Arial"/>
          <w:b/>
        </w:rPr>
        <w:t xml:space="preserve"> </w:t>
      </w:r>
      <w:r w:rsidRPr="00E04C25">
        <w:rPr>
          <w:rFonts w:ascii="Arial" w:hAnsi="Arial" w:cs="Arial"/>
          <w:b/>
        </w:rPr>
        <w:t xml:space="preserve">do 25 let </w:t>
      </w:r>
      <w:r w:rsidRPr="00E04C25">
        <w:rPr>
          <w:rFonts w:ascii="Arial" w:hAnsi="Arial" w:cs="Arial"/>
        </w:rPr>
        <w:t xml:space="preserve">zaznamenala </w:t>
      </w:r>
      <w:r w:rsidRPr="00E04C25">
        <w:rPr>
          <w:rFonts w:ascii="Arial" w:hAnsi="Arial" w:cs="Arial"/>
          <w:b/>
        </w:rPr>
        <w:t xml:space="preserve">pokles </w:t>
      </w:r>
      <w:r w:rsidR="00643A45" w:rsidRPr="00E04C25">
        <w:rPr>
          <w:rFonts w:ascii="Arial" w:hAnsi="Arial" w:cs="Arial"/>
        </w:rPr>
        <w:t xml:space="preserve">o 15,5 tis., </w:t>
      </w:r>
      <w:r w:rsidR="00643A45" w:rsidRPr="00E04C25">
        <w:rPr>
          <w:rFonts w:ascii="Arial" w:hAnsi="Arial" w:cs="Arial"/>
          <w:b/>
        </w:rPr>
        <w:t>k 31. 12. 2017</w:t>
      </w:r>
      <w:r w:rsidR="00643A45" w:rsidRPr="00E04C25">
        <w:rPr>
          <w:rFonts w:ascii="Arial" w:hAnsi="Arial" w:cs="Arial"/>
        </w:rPr>
        <w:t xml:space="preserve"> jich bylo evidováno </w:t>
      </w:r>
      <w:r w:rsidR="00643A45" w:rsidRPr="00E04C25">
        <w:rPr>
          <w:rFonts w:ascii="Arial" w:hAnsi="Arial" w:cs="Arial"/>
          <w:b/>
        </w:rPr>
        <w:t>31,3 tis</w:t>
      </w:r>
      <w:r w:rsidR="00643A45" w:rsidRPr="00E04C25">
        <w:rPr>
          <w:rFonts w:ascii="Arial" w:hAnsi="Arial" w:cs="Arial"/>
        </w:rPr>
        <w:t xml:space="preserve">. Její </w:t>
      </w:r>
      <w:r w:rsidR="00643A45" w:rsidRPr="00E04C25">
        <w:rPr>
          <w:rFonts w:ascii="Arial" w:hAnsi="Arial" w:cs="Arial"/>
          <w:b/>
        </w:rPr>
        <w:t xml:space="preserve">podíl </w:t>
      </w:r>
      <w:r w:rsidR="00643A45" w:rsidRPr="00E04C25">
        <w:rPr>
          <w:rFonts w:ascii="Arial" w:hAnsi="Arial" w:cs="Arial"/>
        </w:rPr>
        <w:t xml:space="preserve">na celkovém počtu nezaměstnaných </w:t>
      </w:r>
      <w:r w:rsidR="00643A45" w:rsidRPr="00E04C25">
        <w:rPr>
          <w:rFonts w:ascii="Arial" w:hAnsi="Arial" w:cs="Arial"/>
          <w:b/>
        </w:rPr>
        <w:t xml:space="preserve">11,2 % </w:t>
      </w:r>
      <w:r w:rsidR="00643A45" w:rsidRPr="00E04C25">
        <w:rPr>
          <w:rFonts w:ascii="Arial" w:hAnsi="Arial" w:cs="Arial"/>
        </w:rPr>
        <w:t>byl ve srovnání s koncem roku 2016</w:t>
      </w:r>
      <w:r w:rsidR="00643A45" w:rsidRPr="00E04C25">
        <w:rPr>
          <w:rFonts w:ascii="Arial" w:hAnsi="Arial" w:cs="Arial"/>
          <w:b/>
        </w:rPr>
        <w:t xml:space="preserve"> nižší </w:t>
      </w:r>
      <w:r w:rsidR="00643A45" w:rsidRPr="00E04C25">
        <w:rPr>
          <w:rFonts w:ascii="Arial" w:hAnsi="Arial" w:cs="Arial"/>
        </w:rPr>
        <w:t xml:space="preserve">o 1,1 p. b. </w:t>
      </w:r>
    </w:p>
    <w:p w:rsidR="00762875" w:rsidRPr="00E04C25" w:rsidRDefault="00762875" w:rsidP="00AE65A5">
      <w:pPr>
        <w:numPr>
          <w:ilvl w:val="1"/>
          <w:numId w:val="2"/>
        </w:numPr>
        <w:tabs>
          <w:tab w:val="left" w:pos="0"/>
          <w:tab w:val="left" w:pos="360"/>
          <w:tab w:val="left" w:pos="709"/>
        </w:tabs>
        <w:spacing w:after="120" w:line="360" w:lineRule="auto"/>
        <w:ind w:left="360"/>
        <w:jc w:val="both"/>
        <w:rPr>
          <w:rFonts w:ascii="Arial" w:hAnsi="Arial" w:cs="Arial"/>
        </w:rPr>
      </w:pPr>
      <w:r w:rsidRPr="00E04C25">
        <w:rPr>
          <w:rFonts w:ascii="Arial" w:hAnsi="Arial" w:cs="Arial"/>
        </w:rPr>
        <w:t>K </w:t>
      </w:r>
      <w:r w:rsidRPr="00E04C25">
        <w:rPr>
          <w:rFonts w:ascii="Arial" w:hAnsi="Arial" w:cs="Arial"/>
          <w:b/>
          <w:bCs/>
        </w:rPr>
        <w:t>31. 12. 201</w:t>
      </w:r>
      <w:r w:rsidR="00421FA8" w:rsidRPr="00E04C25">
        <w:rPr>
          <w:rFonts w:ascii="Arial" w:hAnsi="Arial" w:cs="Arial"/>
          <w:b/>
          <w:bCs/>
        </w:rPr>
        <w:t>7</w:t>
      </w:r>
      <w:r w:rsidRPr="00E04C25">
        <w:rPr>
          <w:rFonts w:ascii="Arial" w:hAnsi="Arial" w:cs="Arial"/>
        </w:rPr>
        <w:t xml:space="preserve"> bylo evidováno </w:t>
      </w:r>
      <w:r w:rsidR="00D8087D" w:rsidRPr="00E04C25">
        <w:rPr>
          <w:rFonts w:ascii="Arial" w:hAnsi="Arial" w:cs="Arial"/>
          <w:b/>
        </w:rPr>
        <w:t>1</w:t>
      </w:r>
      <w:r w:rsidR="00421FA8" w:rsidRPr="00E04C25">
        <w:rPr>
          <w:rFonts w:ascii="Arial" w:hAnsi="Arial" w:cs="Arial"/>
          <w:b/>
        </w:rPr>
        <w:t>1</w:t>
      </w:r>
      <w:r w:rsidRPr="00E04C25">
        <w:rPr>
          <w:rFonts w:ascii="Arial" w:hAnsi="Arial" w:cs="Arial"/>
          <w:b/>
        </w:rPr>
        <w:t>,</w:t>
      </w:r>
      <w:r w:rsidR="00421FA8" w:rsidRPr="00E04C25">
        <w:rPr>
          <w:rFonts w:ascii="Arial" w:hAnsi="Arial" w:cs="Arial"/>
          <w:b/>
        </w:rPr>
        <w:t>4</w:t>
      </w:r>
      <w:r w:rsidRPr="00E04C25">
        <w:rPr>
          <w:rFonts w:ascii="Arial" w:hAnsi="Arial" w:cs="Arial"/>
          <w:b/>
        </w:rPr>
        <w:t> </w:t>
      </w:r>
      <w:r w:rsidRPr="00E04C25">
        <w:rPr>
          <w:rFonts w:ascii="Arial" w:hAnsi="Arial" w:cs="Arial"/>
          <w:b/>
          <w:bCs/>
        </w:rPr>
        <w:t>tis.</w:t>
      </w:r>
      <w:r w:rsidRPr="00E04C25">
        <w:rPr>
          <w:rFonts w:ascii="Arial" w:hAnsi="Arial" w:cs="Arial"/>
          <w:b/>
        </w:rPr>
        <w:t xml:space="preserve"> absolventů škol</w:t>
      </w:r>
      <w:r w:rsidRPr="00E04C25">
        <w:rPr>
          <w:rFonts w:ascii="Arial" w:hAnsi="Arial" w:cs="Arial"/>
        </w:rPr>
        <w:t xml:space="preserve"> všech stupňů vzdělání </w:t>
      </w:r>
      <w:r w:rsidRPr="00E04C25">
        <w:rPr>
          <w:rFonts w:ascii="Arial" w:hAnsi="Arial" w:cs="Arial"/>
          <w:b/>
        </w:rPr>
        <w:t>a</w:t>
      </w:r>
      <w:r w:rsidRPr="00E04C25">
        <w:rPr>
          <w:rFonts w:ascii="Arial" w:hAnsi="Arial" w:cs="Arial"/>
        </w:rPr>
        <w:t> </w:t>
      </w:r>
      <w:r w:rsidRPr="00E04C25">
        <w:rPr>
          <w:rFonts w:ascii="Arial" w:hAnsi="Arial" w:cs="Arial"/>
          <w:b/>
          <w:bCs/>
        </w:rPr>
        <w:t>mladistvých</w:t>
      </w:r>
      <w:r w:rsidRPr="00E04C25">
        <w:rPr>
          <w:rFonts w:ascii="Arial" w:hAnsi="Arial" w:cs="Arial"/>
        </w:rPr>
        <w:t xml:space="preserve"> po ukončení základní školy, což je </w:t>
      </w:r>
      <w:r w:rsidRPr="00E04C25">
        <w:rPr>
          <w:rFonts w:ascii="Arial" w:hAnsi="Arial" w:cs="Arial"/>
          <w:b/>
        </w:rPr>
        <w:t>o 5,</w:t>
      </w:r>
      <w:r w:rsidR="00421FA8" w:rsidRPr="00E04C25">
        <w:rPr>
          <w:rFonts w:ascii="Arial" w:hAnsi="Arial" w:cs="Arial"/>
          <w:b/>
        </w:rPr>
        <w:t>6</w:t>
      </w:r>
      <w:r w:rsidRPr="00E04C25">
        <w:rPr>
          <w:rFonts w:ascii="Arial" w:hAnsi="Arial" w:cs="Arial"/>
          <w:b/>
        </w:rPr>
        <w:t> tis. méně</w:t>
      </w:r>
      <w:r w:rsidRPr="00E04C25">
        <w:rPr>
          <w:rFonts w:ascii="Arial" w:hAnsi="Arial" w:cs="Arial"/>
        </w:rPr>
        <w:t xml:space="preserve"> než před rokem.</w:t>
      </w:r>
      <w:r w:rsidRPr="00E04C25">
        <w:rPr>
          <w:rFonts w:ascii="Arial" w:hAnsi="Arial" w:cs="Arial"/>
          <w:bCs/>
        </w:rPr>
        <w:t xml:space="preserve"> </w:t>
      </w:r>
      <w:r w:rsidRPr="00E04C25">
        <w:rPr>
          <w:rFonts w:ascii="Arial" w:hAnsi="Arial" w:cs="Arial"/>
          <w:b/>
          <w:bCs/>
        </w:rPr>
        <w:t xml:space="preserve">Jejich podíl </w:t>
      </w:r>
      <w:r w:rsidRPr="00E04C25">
        <w:rPr>
          <w:rFonts w:ascii="Arial" w:hAnsi="Arial" w:cs="Arial"/>
        </w:rPr>
        <w:t xml:space="preserve">na celkovém počtu uchazečů o zaměstnání </w:t>
      </w:r>
      <w:r w:rsidRPr="00E04C25">
        <w:rPr>
          <w:rFonts w:ascii="Arial" w:hAnsi="Arial" w:cs="Arial"/>
          <w:b/>
        </w:rPr>
        <w:t>se</w:t>
      </w:r>
      <w:r w:rsidRPr="00E04C25">
        <w:rPr>
          <w:rFonts w:ascii="Arial" w:hAnsi="Arial" w:cs="Arial"/>
        </w:rPr>
        <w:t xml:space="preserve"> meziročně </w:t>
      </w:r>
      <w:r w:rsidRPr="00E04C25">
        <w:rPr>
          <w:rFonts w:ascii="Arial" w:hAnsi="Arial" w:cs="Arial"/>
          <w:b/>
        </w:rPr>
        <w:t>snížil</w:t>
      </w:r>
      <w:r w:rsidRPr="00E04C25">
        <w:rPr>
          <w:rFonts w:ascii="Arial" w:hAnsi="Arial" w:cs="Arial"/>
        </w:rPr>
        <w:t xml:space="preserve"> z </w:t>
      </w:r>
      <w:r w:rsidR="00D8087D" w:rsidRPr="00E04C25">
        <w:rPr>
          <w:rFonts w:ascii="Arial" w:hAnsi="Arial" w:cs="Arial"/>
        </w:rPr>
        <w:t>4</w:t>
      </w:r>
      <w:r w:rsidRPr="00E04C25">
        <w:rPr>
          <w:rFonts w:ascii="Arial" w:hAnsi="Arial" w:cs="Arial"/>
        </w:rPr>
        <w:t>,</w:t>
      </w:r>
      <w:r w:rsidR="00421FA8" w:rsidRPr="00E04C25">
        <w:rPr>
          <w:rFonts w:ascii="Arial" w:hAnsi="Arial" w:cs="Arial"/>
        </w:rPr>
        <w:t>5</w:t>
      </w:r>
      <w:r w:rsidRPr="00E04C25">
        <w:rPr>
          <w:rFonts w:ascii="Arial" w:hAnsi="Arial" w:cs="Arial"/>
        </w:rPr>
        <w:t xml:space="preserve"> % </w:t>
      </w:r>
      <w:r w:rsidRPr="00E04C25">
        <w:rPr>
          <w:rFonts w:ascii="Arial" w:hAnsi="Arial" w:cs="Arial"/>
          <w:b/>
        </w:rPr>
        <w:t>na 4,</w:t>
      </w:r>
      <w:r w:rsidR="00421FA8" w:rsidRPr="00E04C25">
        <w:rPr>
          <w:rFonts w:ascii="Arial" w:hAnsi="Arial" w:cs="Arial"/>
          <w:b/>
        </w:rPr>
        <w:t>1</w:t>
      </w:r>
      <w:r w:rsidRPr="00E04C25">
        <w:rPr>
          <w:rFonts w:ascii="Arial" w:hAnsi="Arial" w:cs="Arial"/>
          <w:b/>
          <w:bCs/>
        </w:rPr>
        <w:t> %</w:t>
      </w:r>
      <w:r w:rsidRPr="00E04C25">
        <w:rPr>
          <w:rFonts w:ascii="Arial" w:hAnsi="Arial" w:cs="Arial"/>
          <w:bCs/>
        </w:rPr>
        <w:t xml:space="preserve">. </w:t>
      </w:r>
    </w:p>
    <w:p w:rsidR="003B7871" w:rsidRPr="00E04C25" w:rsidRDefault="00762875" w:rsidP="003B7871">
      <w:pPr>
        <w:numPr>
          <w:ilvl w:val="1"/>
          <w:numId w:val="2"/>
        </w:numPr>
        <w:tabs>
          <w:tab w:val="left" w:pos="360"/>
          <w:tab w:val="left" w:pos="709"/>
        </w:tabs>
        <w:spacing w:after="120" w:line="360" w:lineRule="auto"/>
        <w:ind w:left="360"/>
        <w:jc w:val="both"/>
        <w:rPr>
          <w:rFonts w:ascii="Arial" w:hAnsi="Arial" w:cs="Arial"/>
          <w:b/>
        </w:rPr>
      </w:pPr>
      <w:r w:rsidRPr="00E04C25">
        <w:rPr>
          <w:rFonts w:ascii="Arial" w:hAnsi="Arial" w:cs="Arial"/>
        </w:rPr>
        <w:t xml:space="preserve">Počet uchazečů o zaměstnání evidovaných </w:t>
      </w:r>
      <w:r w:rsidRPr="00E04C25">
        <w:rPr>
          <w:rFonts w:ascii="Arial" w:hAnsi="Arial" w:cs="Arial"/>
          <w:b/>
        </w:rPr>
        <w:t>déle než 12 měsíců</w:t>
      </w:r>
      <w:r w:rsidRPr="00E04C25">
        <w:rPr>
          <w:rFonts w:ascii="Arial" w:hAnsi="Arial" w:cs="Arial"/>
        </w:rPr>
        <w:t xml:space="preserve"> meziročně </w:t>
      </w:r>
      <w:r w:rsidRPr="00E04C25">
        <w:rPr>
          <w:rFonts w:ascii="Arial" w:hAnsi="Arial" w:cs="Arial"/>
          <w:b/>
        </w:rPr>
        <w:t xml:space="preserve">poklesl </w:t>
      </w:r>
      <w:r w:rsidRPr="00E04C25">
        <w:rPr>
          <w:rFonts w:ascii="Arial" w:hAnsi="Arial" w:cs="Arial"/>
        </w:rPr>
        <w:t xml:space="preserve">o </w:t>
      </w:r>
      <w:r w:rsidR="003B7871" w:rsidRPr="00E04C25">
        <w:rPr>
          <w:rFonts w:ascii="Arial" w:hAnsi="Arial" w:cs="Arial"/>
          <w:b/>
        </w:rPr>
        <w:t>49,7 tis.</w:t>
      </w:r>
      <w:r w:rsidR="003B7871" w:rsidRPr="00E04C25">
        <w:rPr>
          <w:rFonts w:ascii="Arial" w:hAnsi="Arial" w:cs="Arial"/>
        </w:rPr>
        <w:t xml:space="preserve"> (tj. o 34,5 %) </w:t>
      </w:r>
      <w:r w:rsidR="003B7871" w:rsidRPr="00E04C25">
        <w:rPr>
          <w:rFonts w:ascii="Arial" w:hAnsi="Arial" w:cs="Arial"/>
          <w:b/>
        </w:rPr>
        <w:t>na 94,5 tis.</w:t>
      </w:r>
      <w:r w:rsidRPr="00E04C25">
        <w:rPr>
          <w:rFonts w:ascii="Arial" w:hAnsi="Arial" w:cs="Arial"/>
        </w:rPr>
        <w:t xml:space="preserve">, jejich podíl na celkové nezaměstnanosti se snížil </w:t>
      </w:r>
      <w:r w:rsidR="003B7871" w:rsidRPr="00E04C25">
        <w:rPr>
          <w:rFonts w:ascii="Arial" w:hAnsi="Arial" w:cs="Arial"/>
        </w:rPr>
        <w:t xml:space="preserve">z 37,8 % </w:t>
      </w:r>
      <w:r w:rsidR="003B7871" w:rsidRPr="00E04C25">
        <w:rPr>
          <w:rFonts w:ascii="Arial" w:hAnsi="Arial" w:cs="Arial"/>
          <w:b/>
        </w:rPr>
        <w:t>na 33,7 %</w:t>
      </w:r>
      <w:r w:rsidRPr="00E04C25">
        <w:rPr>
          <w:rFonts w:ascii="Arial" w:hAnsi="Arial" w:cs="Arial"/>
        </w:rPr>
        <w:t xml:space="preserve">. Z nich </w:t>
      </w:r>
      <w:r w:rsidRPr="00E04C25">
        <w:rPr>
          <w:rFonts w:ascii="Arial" w:hAnsi="Arial" w:cs="Arial"/>
          <w:b/>
        </w:rPr>
        <w:t>6</w:t>
      </w:r>
      <w:r w:rsidR="00D8087D" w:rsidRPr="00E04C25">
        <w:rPr>
          <w:rFonts w:ascii="Arial" w:hAnsi="Arial" w:cs="Arial"/>
          <w:b/>
        </w:rPr>
        <w:t>1</w:t>
      </w:r>
      <w:r w:rsidRPr="00E04C25">
        <w:rPr>
          <w:rFonts w:ascii="Arial" w:hAnsi="Arial" w:cs="Arial"/>
          <w:b/>
        </w:rPr>
        <w:t>,</w:t>
      </w:r>
      <w:r w:rsidR="00D8087D" w:rsidRPr="00E04C25">
        <w:rPr>
          <w:rFonts w:ascii="Arial" w:hAnsi="Arial" w:cs="Arial"/>
          <w:b/>
        </w:rPr>
        <w:t>8</w:t>
      </w:r>
      <w:r w:rsidRPr="00E04C25">
        <w:rPr>
          <w:rFonts w:ascii="Arial" w:hAnsi="Arial" w:cs="Arial"/>
          <w:b/>
        </w:rPr>
        <w:t> %</w:t>
      </w:r>
      <w:r w:rsidRPr="00E04C25">
        <w:rPr>
          <w:rFonts w:ascii="Arial" w:hAnsi="Arial" w:cs="Arial"/>
        </w:rPr>
        <w:t xml:space="preserve"> tvoří ti, kteří jsou v evidenci ÚP</w:t>
      </w:r>
      <w:r w:rsidR="000F6297" w:rsidRPr="00E04C25">
        <w:rPr>
          <w:rFonts w:ascii="Arial" w:hAnsi="Arial" w:cs="Arial"/>
        </w:rPr>
        <w:t> </w:t>
      </w:r>
      <w:r w:rsidRPr="00E04C25">
        <w:rPr>
          <w:rFonts w:ascii="Arial" w:hAnsi="Arial" w:cs="Arial"/>
        </w:rPr>
        <w:t xml:space="preserve">ČR </w:t>
      </w:r>
      <w:r w:rsidRPr="00E04C25">
        <w:rPr>
          <w:rFonts w:ascii="Arial" w:hAnsi="Arial" w:cs="Arial"/>
          <w:b/>
        </w:rPr>
        <w:t xml:space="preserve">déle než 24 měsíců. </w:t>
      </w:r>
      <w:r w:rsidRPr="00E04C25">
        <w:rPr>
          <w:rFonts w:ascii="Arial" w:hAnsi="Arial" w:cs="Arial"/>
        </w:rPr>
        <w:t xml:space="preserve">Jejich </w:t>
      </w:r>
      <w:r w:rsidRPr="00E04C25">
        <w:rPr>
          <w:rFonts w:ascii="Arial" w:hAnsi="Arial" w:cs="Arial"/>
          <w:b/>
        </w:rPr>
        <w:t xml:space="preserve">počet </w:t>
      </w:r>
      <w:r w:rsidR="00D8087D" w:rsidRPr="00E04C25">
        <w:rPr>
          <w:rFonts w:ascii="Arial" w:hAnsi="Arial" w:cs="Arial"/>
          <w:b/>
        </w:rPr>
        <w:t xml:space="preserve">se </w:t>
      </w:r>
      <w:r w:rsidRPr="00E04C25">
        <w:rPr>
          <w:rFonts w:ascii="Arial" w:hAnsi="Arial" w:cs="Arial"/>
        </w:rPr>
        <w:t xml:space="preserve">meziročně </w:t>
      </w:r>
      <w:r w:rsidR="00D8087D" w:rsidRPr="00E04C25">
        <w:rPr>
          <w:rFonts w:ascii="Arial" w:hAnsi="Arial" w:cs="Arial"/>
          <w:b/>
        </w:rPr>
        <w:t>snížil</w:t>
      </w:r>
      <w:r w:rsidRPr="00E04C25">
        <w:rPr>
          <w:rFonts w:ascii="Arial" w:hAnsi="Arial" w:cs="Arial"/>
          <w:b/>
        </w:rPr>
        <w:t xml:space="preserve"> </w:t>
      </w:r>
      <w:r w:rsidR="003B7871" w:rsidRPr="00E04C25">
        <w:rPr>
          <w:rFonts w:ascii="Arial" w:hAnsi="Arial" w:cs="Arial"/>
        </w:rPr>
        <w:t xml:space="preserve">o 33,5 tis. </w:t>
      </w:r>
      <w:r w:rsidR="003B7871" w:rsidRPr="00E04C25">
        <w:rPr>
          <w:rFonts w:ascii="Arial" w:hAnsi="Arial" w:cs="Arial"/>
          <w:b/>
        </w:rPr>
        <w:t>na 65,4 tis.</w:t>
      </w:r>
      <w:r w:rsidR="003B7871" w:rsidRPr="00E04C25">
        <w:rPr>
          <w:rFonts w:ascii="Arial" w:hAnsi="Arial" w:cs="Arial"/>
        </w:rPr>
        <w:t xml:space="preserve"> </w:t>
      </w:r>
      <w:r w:rsidR="00D8087D" w:rsidRPr="00E04C25">
        <w:rPr>
          <w:rFonts w:ascii="Arial" w:hAnsi="Arial" w:cs="Arial"/>
          <w:b/>
        </w:rPr>
        <w:t>a</w:t>
      </w:r>
      <w:r w:rsidRPr="00E04C25">
        <w:rPr>
          <w:rFonts w:ascii="Arial" w:hAnsi="Arial" w:cs="Arial"/>
        </w:rPr>
        <w:t xml:space="preserve"> </w:t>
      </w:r>
      <w:r w:rsidRPr="00E04C25">
        <w:rPr>
          <w:rFonts w:ascii="Arial" w:hAnsi="Arial" w:cs="Arial"/>
          <w:b/>
        </w:rPr>
        <w:t xml:space="preserve">podíl </w:t>
      </w:r>
      <w:r w:rsidR="00D8087D" w:rsidRPr="00E04C25">
        <w:rPr>
          <w:rFonts w:ascii="Arial" w:hAnsi="Arial" w:cs="Arial"/>
          <w:b/>
        </w:rPr>
        <w:t>poklesl</w:t>
      </w:r>
      <w:r w:rsidRPr="00E04C25">
        <w:rPr>
          <w:rFonts w:ascii="Arial" w:hAnsi="Arial" w:cs="Arial"/>
          <w:b/>
        </w:rPr>
        <w:t xml:space="preserve"> </w:t>
      </w:r>
      <w:r w:rsidRPr="00E04C25">
        <w:rPr>
          <w:rFonts w:ascii="Arial" w:hAnsi="Arial" w:cs="Arial"/>
        </w:rPr>
        <w:t>z 2</w:t>
      </w:r>
      <w:r w:rsidR="003B7871" w:rsidRPr="00E04C25">
        <w:rPr>
          <w:rFonts w:ascii="Arial" w:hAnsi="Arial" w:cs="Arial"/>
        </w:rPr>
        <w:t>5</w:t>
      </w:r>
      <w:r w:rsidRPr="00E04C25">
        <w:rPr>
          <w:rFonts w:ascii="Arial" w:hAnsi="Arial" w:cs="Arial"/>
        </w:rPr>
        <w:t>,</w:t>
      </w:r>
      <w:r w:rsidR="003B7871" w:rsidRPr="00E04C25">
        <w:rPr>
          <w:rFonts w:ascii="Arial" w:hAnsi="Arial" w:cs="Arial"/>
        </w:rPr>
        <w:t>9</w:t>
      </w:r>
      <w:r w:rsidRPr="00E04C25">
        <w:rPr>
          <w:rFonts w:ascii="Arial" w:hAnsi="Arial" w:cs="Arial"/>
        </w:rPr>
        <w:t> %</w:t>
      </w:r>
      <w:r w:rsidRPr="00E04C25">
        <w:rPr>
          <w:rFonts w:ascii="Arial" w:hAnsi="Arial" w:cs="Arial"/>
          <w:b/>
        </w:rPr>
        <w:t xml:space="preserve"> na 2</w:t>
      </w:r>
      <w:r w:rsidR="003B7871" w:rsidRPr="00E04C25">
        <w:rPr>
          <w:rFonts w:ascii="Arial" w:hAnsi="Arial" w:cs="Arial"/>
          <w:b/>
        </w:rPr>
        <w:t>3</w:t>
      </w:r>
      <w:r w:rsidRPr="00E04C25">
        <w:rPr>
          <w:rFonts w:ascii="Arial" w:hAnsi="Arial" w:cs="Arial"/>
          <w:b/>
        </w:rPr>
        <w:t>,</w:t>
      </w:r>
      <w:r w:rsidR="003B7871" w:rsidRPr="00E04C25">
        <w:rPr>
          <w:rFonts w:ascii="Arial" w:hAnsi="Arial" w:cs="Arial"/>
          <w:b/>
        </w:rPr>
        <w:t>3</w:t>
      </w:r>
      <w:r w:rsidRPr="00E04C25">
        <w:rPr>
          <w:rFonts w:ascii="Arial" w:hAnsi="Arial" w:cs="Arial"/>
          <w:b/>
        </w:rPr>
        <w:t xml:space="preserve"> %. </w:t>
      </w:r>
    </w:p>
    <w:p w:rsidR="00762875" w:rsidRPr="00E04C25" w:rsidRDefault="00762875" w:rsidP="00AE65A5">
      <w:pPr>
        <w:numPr>
          <w:ilvl w:val="1"/>
          <w:numId w:val="2"/>
        </w:numPr>
        <w:tabs>
          <w:tab w:val="left" w:pos="0"/>
          <w:tab w:val="left" w:pos="709"/>
        </w:tabs>
        <w:spacing w:after="120" w:line="360" w:lineRule="auto"/>
        <w:ind w:left="360"/>
        <w:jc w:val="both"/>
        <w:rPr>
          <w:rFonts w:ascii="Arial" w:hAnsi="Arial" w:cs="Arial"/>
        </w:rPr>
      </w:pPr>
      <w:r w:rsidRPr="00E04C25">
        <w:rPr>
          <w:rFonts w:ascii="Arial" w:hAnsi="Arial" w:cs="Arial"/>
        </w:rPr>
        <w:t>K 31. 12. 201</w:t>
      </w:r>
      <w:r w:rsidR="00CD7DF1" w:rsidRPr="00E04C25">
        <w:rPr>
          <w:rFonts w:ascii="Arial" w:hAnsi="Arial" w:cs="Arial"/>
        </w:rPr>
        <w:t>7</w:t>
      </w:r>
      <w:r w:rsidRPr="00E04C25">
        <w:rPr>
          <w:rFonts w:ascii="Arial" w:hAnsi="Arial" w:cs="Arial"/>
        </w:rPr>
        <w:t xml:space="preserve"> byl zaznamenán meziroční </w:t>
      </w:r>
      <w:r w:rsidR="00D8087D" w:rsidRPr="00E04C25">
        <w:rPr>
          <w:rFonts w:ascii="Arial" w:hAnsi="Arial" w:cs="Arial"/>
          <w:b/>
        </w:rPr>
        <w:t>pokles</w:t>
      </w:r>
      <w:r w:rsidRPr="00E04C25">
        <w:rPr>
          <w:rFonts w:ascii="Arial" w:hAnsi="Arial" w:cs="Arial"/>
          <w:b/>
        </w:rPr>
        <w:t xml:space="preserve"> </w:t>
      </w:r>
      <w:r w:rsidRPr="00E04C25">
        <w:rPr>
          <w:rFonts w:ascii="Arial" w:hAnsi="Arial" w:cs="Arial"/>
        </w:rPr>
        <w:t>uchazečů o zaměstnání</w:t>
      </w:r>
      <w:r w:rsidRPr="00E04C25">
        <w:rPr>
          <w:rFonts w:ascii="Arial" w:hAnsi="Arial" w:cs="Arial"/>
          <w:b/>
        </w:rPr>
        <w:t xml:space="preserve"> </w:t>
      </w:r>
      <w:r w:rsidR="00D8087D" w:rsidRPr="00E04C25">
        <w:rPr>
          <w:rFonts w:ascii="Arial" w:hAnsi="Arial" w:cs="Arial"/>
          <w:b/>
        </w:rPr>
        <w:t>ve všech vzdělanostních skupinách</w:t>
      </w:r>
      <w:r w:rsidR="00C062E1" w:rsidRPr="00E04C25">
        <w:rPr>
          <w:rFonts w:ascii="Arial" w:hAnsi="Arial" w:cs="Arial"/>
          <w:b/>
        </w:rPr>
        <w:t>,</w:t>
      </w:r>
      <w:r w:rsidRPr="00E04C25">
        <w:rPr>
          <w:rFonts w:ascii="Arial" w:hAnsi="Arial" w:cs="Arial"/>
        </w:rPr>
        <w:t xml:space="preserve"> </w:t>
      </w:r>
      <w:r w:rsidR="00C062E1" w:rsidRPr="00E04C25">
        <w:rPr>
          <w:rFonts w:ascii="Arial" w:hAnsi="Arial" w:cs="Arial"/>
          <w:b/>
        </w:rPr>
        <w:t>a</w:t>
      </w:r>
      <w:r w:rsidRPr="00E04C25">
        <w:rPr>
          <w:rFonts w:ascii="Arial" w:hAnsi="Arial" w:cs="Arial"/>
          <w:b/>
        </w:rPr>
        <w:t xml:space="preserve">bsolutně nejvíce </w:t>
      </w:r>
      <w:r w:rsidRPr="00E04C25">
        <w:rPr>
          <w:rFonts w:ascii="Arial" w:hAnsi="Arial" w:cs="Arial"/>
        </w:rPr>
        <w:t>počet uchazečů o</w:t>
      </w:r>
      <w:r w:rsidR="00C062E1" w:rsidRPr="00E04C25">
        <w:rPr>
          <w:rFonts w:ascii="Arial" w:hAnsi="Arial" w:cs="Arial"/>
        </w:rPr>
        <w:t> </w:t>
      </w:r>
      <w:r w:rsidRPr="00E04C25">
        <w:rPr>
          <w:rFonts w:ascii="Arial" w:hAnsi="Arial" w:cs="Arial"/>
        </w:rPr>
        <w:t>zaměstnání</w:t>
      </w:r>
      <w:r w:rsidRPr="00E04C25">
        <w:rPr>
          <w:rFonts w:ascii="Arial" w:hAnsi="Arial" w:cs="Arial"/>
          <w:b/>
        </w:rPr>
        <w:t xml:space="preserve"> s vyučením </w:t>
      </w:r>
      <w:r w:rsidRPr="00E04C25">
        <w:rPr>
          <w:rFonts w:ascii="Arial" w:hAnsi="Arial" w:cs="Arial"/>
        </w:rPr>
        <w:t>(o </w:t>
      </w:r>
      <w:r w:rsidR="00CD7DF1" w:rsidRPr="00E04C25">
        <w:rPr>
          <w:rFonts w:ascii="Arial" w:hAnsi="Arial" w:cs="Arial"/>
        </w:rPr>
        <w:t>38</w:t>
      </w:r>
      <w:r w:rsidRPr="00E04C25">
        <w:rPr>
          <w:rFonts w:ascii="Arial" w:hAnsi="Arial" w:cs="Arial"/>
        </w:rPr>
        <w:t>,</w:t>
      </w:r>
      <w:r w:rsidR="00CD7DF1" w:rsidRPr="00E04C25">
        <w:rPr>
          <w:rFonts w:ascii="Arial" w:hAnsi="Arial" w:cs="Arial"/>
        </w:rPr>
        <w:t>6</w:t>
      </w:r>
      <w:r w:rsidRPr="00E04C25">
        <w:rPr>
          <w:rFonts w:ascii="Arial" w:hAnsi="Arial" w:cs="Arial"/>
        </w:rPr>
        <w:t>  tis.</w:t>
      </w:r>
      <w:r w:rsidR="00CD7DF1" w:rsidRPr="00E04C25">
        <w:rPr>
          <w:rFonts w:ascii="Arial" w:hAnsi="Arial" w:cs="Arial"/>
        </w:rPr>
        <w:t>, tj. o 27,5 %</w:t>
      </w:r>
      <w:r w:rsidRPr="00E04C25">
        <w:rPr>
          <w:rFonts w:ascii="Arial" w:hAnsi="Arial" w:cs="Arial"/>
        </w:rPr>
        <w:t>).</w:t>
      </w:r>
      <w:r w:rsidRPr="00E04C25">
        <w:rPr>
          <w:rFonts w:ascii="Arial" w:hAnsi="Arial" w:cs="Arial"/>
          <w:b/>
        </w:rPr>
        <w:t xml:space="preserve"> </w:t>
      </w:r>
    </w:p>
    <w:p w:rsidR="00D8087D" w:rsidRPr="00E04C25" w:rsidRDefault="00762875" w:rsidP="00D8087D">
      <w:pPr>
        <w:numPr>
          <w:ilvl w:val="1"/>
          <w:numId w:val="2"/>
        </w:numPr>
        <w:tabs>
          <w:tab w:val="left" w:pos="0"/>
          <w:tab w:val="left" w:pos="360"/>
          <w:tab w:val="left" w:pos="709"/>
        </w:tabs>
        <w:spacing w:after="120" w:line="360" w:lineRule="auto"/>
        <w:ind w:left="360"/>
        <w:jc w:val="both"/>
        <w:rPr>
          <w:rFonts w:ascii="Arial" w:hAnsi="Arial" w:cs="Arial"/>
        </w:rPr>
      </w:pPr>
      <w:r w:rsidRPr="00E04C25">
        <w:rPr>
          <w:rFonts w:ascii="Arial" w:hAnsi="Arial" w:cs="Arial"/>
          <w:b/>
        </w:rPr>
        <w:t xml:space="preserve">Uchazeči s vyučením </w:t>
      </w:r>
      <w:r w:rsidRPr="00E04C25">
        <w:rPr>
          <w:rFonts w:ascii="Arial" w:hAnsi="Arial" w:cs="Arial"/>
        </w:rPr>
        <w:t>(</w:t>
      </w:r>
      <w:r w:rsidR="00D8087D" w:rsidRPr="00E04C25">
        <w:rPr>
          <w:rFonts w:ascii="Arial" w:hAnsi="Arial" w:cs="Arial"/>
        </w:rPr>
        <w:t>1</w:t>
      </w:r>
      <w:r w:rsidR="00CD7DF1" w:rsidRPr="00E04C25">
        <w:rPr>
          <w:rFonts w:ascii="Arial" w:hAnsi="Arial" w:cs="Arial"/>
        </w:rPr>
        <w:t>01</w:t>
      </w:r>
      <w:r w:rsidRPr="00E04C25">
        <w:rPr>
          <w:rFonts w:ascii="Arial" w:hAnsi="Arial" w:cs="Arial"/>
        </w:rPr>
        <w:t>,</w:t>
      </w:r>
      <w:r w:rsidR="00CD7DF1" w:rsidRPr="00E04C25">
        <w:rPr>
          <w:rFonts w:ascii="Arial" w:hAnsi="Arial" w:cs="Arial"/>
        </w:rPr>
        <w:t>9</w:t>
      </w:r>
      <w:r w:rsidRPr="00E04C25">
        <w:rPr>
          <w:rFonts w:ascii="Arial" w:hAnsi="Arial" w:cs="Arial"/>
        </w:rPr>
        <w:t> tis.)</w:t>
      </w:r>
      <w:r w:rsidRPr="00E04C25">
        <w:rPr>
          <w:rFonts w:ascii="Arial" w:hAnsi="Arial" w:cs="Arial"/>
          <w:b/>
        </w:rPr>
        <w:t xml:space="preserve"> </w:t>
      </w:r>
      <w:r w:rsidRPr="00E04C25">
        <w:rPr>
          <w:rFonts w:ascii="Arial" w:hAnsi="Arial" w:cs="Arial"/>
        </w:rPr>
        <w:t xml:space="preserve">i nadále zůstali </w:t>
      </w:r>
      <w:r w:rsidRPr="00E04C25">
        <w:rPr>
          <w:rFonts w:ascii="Arial" w:hAnsi="Arial" w:cs="Arial"/>
          <w:b/>
        </w:rPr>
        <w:t xml:space="preserve">nejpočetnější kategorií </w:t>
      </w:r>
      <w:r w:rsidRPr="00E04C25">
        <w:rPr>
          <w:rFonts w:ascii="Arial" w:hAnsi="Arial" w:cs="Arial"/>
        </w:rPr>
        <w:t>a představují</w:t>
      </w:r>
      <w:r w:rsidRPr="00E04C25">
        <w:rPr>
          <w:rFonts w:ascii="Arial" w:hAnsi="Arial" w:cs="Arial"/>
          <w:b/>
        </w:rPr>
        <w:t xml:space="preserve"> 3</w:t>
      </w:r>
      <w:r w:rsidR="00D8087D" w:rsidRPr="00E04C25">
        <w:rPr>
          <w:rFonts w:ascii="Arial" w:hAnsi="Arial" w:cs="Arial"/>
          <w:b/>
        </w:rPr>
        <w:t>6</w:t>
      </w:r>
      <w:r w:rsidRPr="00E04C25">
        <w:rPr>
          <w:rFonts w:ascii="Arial" w:hAnsi="Arial" w:cs="Arial"/>
          <w:b/>
        </w:rPr>
        <w:t>,</w:t>
      </w:r>
      <w:r w:rsidR="00CD7DF1" w:rsidRPr="00E04C25">
        <w:rPr>
          <w:rFonts w:ascii="Arial" w:hAnsi="Arial" w:cs="Arial"/>
          <w:b/>
        </w:rPr>
        <w:t>3</w:t>
      </w:r>
      <w:r w:rsidRPr="00E04C25">
        <w:rPr>
          <w:rFonts w:ascii="Arial" w:hAnsi="Arial" w:cs="Arial"/>
          <w:b/>
        </w:rPr>
        <w:t xml:space="preserve"> % </w:t>
      </w:r>
      <w:r w:rsidRPr="00E04C25">
        <w:rPr>
          <w:rFonts w:ascii="Arial" w:hAnsi="Arial" w:cs="Arial"/>
        </w:rPr>
        <w:t xml:space="preserve">všech uchazečů o zaměstnání. Druhou nejpočetnější skupinou jsou </w:t>
      </w:r>
      <w:r w:rsidR="00C55FE8" w:rsidRPr="00E04C25">
        <w:rPr>
          <w:rFonts w:ascii="Arial" w:hAnsi="Arial" w:cs="Arial"/>
        </w:rPr>
        <w:t>stále</w:t>
      </w:r>
      <w:r w:rsidRPr="00E04C25">
        <w:rPr>
          <w:rFonts w:ascii="Arial" w:hAnsi="Arial" w:cs="Arial"/>
        </w:rPr>
        <w:t xml:space="preserve"> uchazeči </w:t>
      </w:r>
      <w:r w:rsidRPr="00E04C25">
        <w:rPr>
          <w:rFonts w:ascii="Arial" w:hAnsi="Arial" w:cs="Arial"/>
          <w:b/>
        </w:rPr>
        <w:t>se základním vzděláním</w:t>
      </w:r>
      <w:r w:rsidR="00D8087D" w:rsidRPr="00E04C25">
        <w:rPr>
          <w:rFonts w:ascii="Arial" w:hAnsi="Arial" w:cs="Arial"/>
          <w:b/>
        </w:rPr>
        <w:t xml:space="preserve"> </w:t>
      </w:r>
      <w:r w:rsidR="00D8087D" w:rsidRPr="00E04C25">
        <w:rPr>
          <w:rFonts w:ascii="Arial" w:hAnsi="Arial" w:cs="Arial"/>
        </w:rPr>
        <w:t>vč. neukončeného</w:t>
      </w:r>
      <w:r w:rsidRPr="00E04C25">
        <w:rPr>
          <w:rFonts w:ascii="Arial" w:hAnsi="Arial" w:cs="Arial"/>
        </w:rPr>
        <w:t xml:space="preserve"> (</w:t>
      </w:r>
      <w:r w:rsidR="00CD7DF1" w:rsidRPr="00E04C25">
        <w:rPr>
          <w:rFonts w:ascii="Arial" w:hAnsi="Arial" w:cs="Arial"/>
        </w:rPr>
        <w:t>85,9</w:t>
      </w:r>
      <w:r w:rsidRPr="00E04C25">
        <w:rPr>
          <w:rFonts w:ascii="Arial" w:hAnsi="Arial" w:cs="Arial"/>
        </w:rPr>
        <w:t xml:space="preserve"> tis. osob), kteří tvoří na celkové nezaměstnanosti </w:t>
      </w:r>
      <w:r w:rsidR="00D8087D" w:rsidRPr="00E04C25">
        <w:rPr>
          <w:rFonts w:ascii="Arial" w:hAnsi="Arial" w:cs="Arial"/>
        </w:rPr>
        <w:t>30,</w:t>
      </w:r>
      <w:r w:rsidR="00CD7DF1" w:rsidRPr="00E04C25">
        <w:rPr>
          <w:rFonts w:ascii="Arial" w:hAnsi="Arial" w:cs="Arial"/>
        </w:rPr>
        <w:t>6</w:t>
      </w:r>
      <w:r w:rsidRPr="00E04C25">
        <w:rPr>
          <w:rFonts w:ascii="Arial" w:hAnsi="Arial" w:cs="Arial"/>
        </w:rPr>
        <w:t> %.</w:t>
      </w:r>
      <w:r w:rsidR="00D8087D" w:rsidRPr="00E04C25">
        <w:rPr>
          <w:rFonts w:ascii="Arial" w:hAnsi="Arial"/>
          <w:b/>
          <w:bCs/>
          <w:szCs w:val="23"/>
        </w:rPr>
        <w:t xml:space="preserve"> </w:t>
      </w:r>
    </w:p>
    <w:p w:rsidR="00762875" w:rsidRPr="00E04C25" w:rsidRDefault="00D8087D" w:rsidP="00D8087D">
      <w:pPr>
        <w:numPr>
          <w:ilvl w:val="1"/>
          <w:numId w:val="2"/>
        </w:numPr>
        <w:tabs>
          <w:tab w:val="left" w:pos="0"/>
          <w:tab w:val="left" w:pos="360"/>
          <w:tab w:val="left" w:pos="709"/>
        </w:tabs>
        <w:spacing w:after="120" w:line="360" w:lineRule="auto"/>
        <w:ind w:left="360"/>
        <w:jc w:val="both"/>
        <w:rPr>
          <w:rFonts w:ascii="Arial" w:hAnsi="Arial" w:cs="Arial"/>
        </w:rPr>
      </w:pPr>
      <w:r w:rsidRPr="00E04C25">
        <w:rPr>
          <w:rFonts w:ascii="Arial" w:hAnsi="Arial"/>
          <w:b/>
          <w:bCs/>
          <w:szCs w:val="23"/>
        </w:rPr>
        <w:t>Průměrný počet</w:t>
      </w:r>
      <w:r w:rsidRPr="00E04C25">
        <w:rPr>
          <w:rFonts w:ascii="Arial" w:hAnsi="Arial"/>
          <w:bCs/>
          <w:szCs w:val="23"/>
        </w:rPr>
        <w:t xml:space="preserve"> evidovaných </w:t>
      </w:r>
      <w:r w:rsidRPr="00E04C25">
        <w:rPr>
          <w:rFonts w:ascii="Arial" w:hAnsi="Arial"/>
          <w:b/>
          <w:bCs/>
          <w:szCs w:val="23"/>
        </w:rPr>
        <w:t xml:space="preserve">žen </w:t>
      </w:r>
      <w:r w:rsidRPr="00E04C25">
        <w:rPr>
          <w:rFonts w:ascii="Arial" w:hAnsi="Arial"/>
          <w:bCs/>
          <w:szCs w:val="23"/>
        </w:rPr>
        <w:t>v roce 201</w:t>
      </w:r>
      <w:r w:rsidR="00C14BE2" w:rsidRPr="00E04C25">
        <w:rPr>
          <w:rFonts w:ascii="Arial" w:hAnsi="Arial"/>
          <w:bCs/>
          <w:szCs w:val="23"/>
        </w:rPr>
        <w:t>7</w:t>
      </w:r>
      <w:r w:rsidRPr="00E04C25">
        <w:rPr>
          <w:rFonts w:ascii="Arial" w:hAnsi="Arial"/>
          <w:b/>
          <w:bCs/>
          <w:szCs w:val="23"/>
        </w:rPr>
        <w:t xml:space="preserve"> dosáhl</w:t>
      </w:r>
      <w:r w:rsidRPr="00E04C25">
        <w:rPr>
          <w:rFonts w:ascii="Arial" w:hAnsi="Arial"/>
          <w:bCs/>
          <w:szCs w:val="23"/>
        </w:rPr>
        <w:t xml:space="preserve"> </w:t>
      </w:r>
      <w:r w:rsidR="00C14BE2" w:rsidRPr="00E04C25">
        <w:rPr>
          <w:rFonts w:ascii="Arial" w:hAnsi="Arial"/>
          <w:b/>
          <w:bCs/>
          <w:szCs w:val="23"/>
        </w:rPr>
        <w:t>164</w:t>
      </w:r>
      <w:r w:rsidR="00C14BE2" w:rsidRPr="00E04C25">
        <w:rPr>
          <w:rFonts w:ascii="Arial" w:hAnsi="Arial" w:cs="Arial"/>
          <w:b/>
          <w:szCs w:val="23"/>
        </w:rPr>
        <w:t>,2 tis.</w:t>
      </w:r>
      <w:r w:rsidRPr="00E04C25">
        <w:rPr>
          <w:rFonts w:ascii="Arial" w:hAnsi="Arial" w:cs="Arial"/>
          <w:b/>
          <w:szCs w:val="23"/>
        </w:rPr>
        <w:t>,</w:t>
      </w:r>
      <w:r w:rsidRPr="00E04C25">
        <w:rPr>
          <w:rFonts w:ascii="Arial" w:hAnsi="Arial" w:cs="Arial"/>
          <w:szCs w:val="23"/>
        </w:rPr>
        <w:t xml:space="preserve"> oproti předchozímu roku je to méně </w:t>
      </w:r>
      <w:r w:rsidR="00C14BE2" w:rsidRPr="00E04C25">
        <w:rPr>
          <w:rFonts w:ascii="Arial" w:hAnsi="Arial"/>
          <w:bCs/>
          <w:szCs w:val="23"/>
        </w:rPr>
        <w:t>o 44,9 tis.</w:t>
      </w:r>
      <w:r w:rsidRPr="00E04C25">
        <w:rPr>
          <w:rFonts w:ascii="Arial" w:hAnsi="Arial" w:cs="Arial"/>
          <w:szCs w:val="23"/>
        </w:rPr>
        <w:t xml:space="preserve">, </w:t>
      </w:r>
      <w:r w:rsidRPr="00E04C25">
        <w:rPr>
          <w:rFonts w:ascii="Arial" w:hAnsi="Arial"/>
          <w:b/>
          <w:bCs/>
          <w:szCs w:val="23"/>
        </w:rPr>
        <w:t xml:space="preserve">mužů </w:t>
      </w:r>
      <w:r w:rsidRPr="00E04C25">
        <w:rPr>
          <w:rFonts w:ascii="Arial" w:hAnsi="Arial"/>
          <w:bCs/>
          <w:szCs w:val="23"/>
        </w:rPr>
        <w:t xml:space="preserve">bylo v průměru </w:t>
      </w:r>
      <w:r w:rsidR="00C14BE2" w:rsidRPr="00E04C25">
        <w:rPr>
          <w:rFonts w:ascii="Arial" w:hAnsi="Arial"/>
          <w:b/>
          <w:bCs/>
          <w:szCs w:val="23"/>
        </w:rPr>
        <w:t>153,4 tis.</w:t>
      </w:r>
      <w:r w:rsidRPr="00E04C25">
        <w:rPr>
          <w:rFonts w:ascii="Arial" w:hAnsi="Arial"/>
          <w:bCs/>
          <w:szCs w:val="23"/>
        </w:rPr>
        <w:t xml:space="preserve">, což je </w:t>
      </w:r>
      <w:r w:rsidR="00C14BE2" w:rsidRPr="00E04C25">
        <w:rPr>
          <w:rFonts w:ascii="Arial" w:hAnsi="Arial"/>
          <w:bCs/>
          <w:szCs w:val="23"/>
        </w:rPr>
        <w:t>o 43,</w:t>
      </w:r>
      <w:r w:rsidR="00E73332" w:rsidRPr="00E04C25">
        <w:rPr>
          <w:rFonts w:ascii="Arial" w:hAnsi="Arial"/>
          <w:bCs/>
          <w:szCs w:val="23"/>
        </w:rPr>
        <w:t>5</w:t>
      </w:r>
      <w:r w:rsidR="00C14BE2" w:rsidRPr="00E04C25">
        <w:rPr>
          <w:rFonts w:ascii="Arial" w:hAnsi="Arial"/>
          <w:bCs/>
          <w:szCs w:val="23"/>
        </w:rPr>
        <w:t xml:space="preserve"> tis. </w:t>
      </w:r>
      <w:r w:rsidRPr="00E04C25">
        <w:rPr>
          <w:rFonts w:ascii="Arial" w:hAnsi="Arial"/>
          <w:bCs/>
          <w:szCs w:val="23"/>
        </w:rPr>
        <w:t>méně než v roce 201</w:t>
      </w:r>
      <w:r w:rsidR="00C14BE2" w:rsidRPr="00E04C25">
        <w:rPr>
          <w:rFonts w:ascii="Arial" w:hAnsi="Arial"/>
          <w:bCs/>
          <w:szCs w:val="23"/>
        </w:rPr>
        <w:t>6</w:t>
      </w:r>
      <w:r w:rsidRPr="00E04C25">
        <w:rPr>
          <w:rFonts w:ascii="Arial" w:hAnsi="Arial"/>
          <w:bCs/>
          <w:szCs w:val="23"/>
        </w:rPr>
        <w:t xml:space="preserve">. </w:t>
      </w:r>
      <w:r w:rsidRPr="00E04C25">
        <w:rPr>
          <w:rFonts w:ascii="Arial" w:hAnsi="Arial" w:cs="Arial"/>
          <w:b/>
          <w:szCs w:val="23"/>
        </w:rPr>
        <w:t>P</w:t>
      </w:r>
      <w:r w:rsidRPr="00E04C25">
        <w:rPr>
          <w:rFonts w:ascii="Arial" w:hAnsi="Arial"/>
          <w:b/>
          <w:bCs/>
          <w:szCs w:val="23"/>
        </w:rPr>
        <w:t xml:space="preserve">růměrný </w:t>
      </w:r>
      <w:r w:rsidRPr="00E04C25">
        <w:rPr>
          <w:rFonts w:ascii="Arial" w:hAnsi="Arial"/>
          <w:b/>
          <w:szCs w:val="23"/>
        </w:rPr>
        <w:t>podíl</w:t>
      </w:r>
      <w:r w:rsidRPr="00E04C25">
        <w:rPr>
          <w:rFonts w:ascii="Arial" w:hAnsi="Arial"/>
          <w:bCs/>
          <w:szCs w:val="23"/>
        </w:rPr>
        <w:t xml:space="preserve"> </w:t>
      </w:r>
      <w:r w:rsidRPr="00E04C25">
        <w:rPr>
          <w:rFonts w:ascii="Arial" w:hAnsi="Arial"/>
          <w:b/>
          <w:bCs/>
          <w:szCs w:val="23"/>
        </w:rPr>
        <w:t>žen</w:t>
      </w:r>
      <w:r w:rsidRPr="00E04C25">
        <w:rPr>
          <w:rFonts w:ascii="Arial" w:hAnsi="Arial"/>
          <w:bCs/>
          <w:szCs w:val="23"/>
        </w:rPr>
        <w:t xml:space="preserve"> na celkovém počtu registrovaných nezaměstnaných </w:t>
      </w:r>
      <w:r w:rsidRPr="00E04C25">
        <w:rPr>
          <w:rFonts w:ascii="Arial" w:hAnsi="Arial"/>
          <w:b/>
          <w:bCs/>
          <w:szCs w:val="23"/>
        </w:rPr>
        <w:t>vzrostl na 51,</w:t>
      </w:r>
      <w:r w:rsidR="00AA2D1E" w:rsidRPr="00E04C25">
        <w:rPr>
          <w:rFonts w:ascii="Arial" w:hAnsi="Arial"/>
          <w:b/>
          <w:bCs/>
          <w:szCs w:val="23"/>
        </w:rPr>
        <w:t>7</w:t>
      </w:r>
      <w:r w:rsidRPr="00E04C25">
        <w:rPr>
          <w:rFonts w:ascii="Arial" w:hAnsi="Arial"/>
          <w:b/>
          <w:bCs/>
          <w:szCs w:val="23"/>
        </w:rPr>
        <w:t> %</w:t>
      </w:r>
      <w:r w:rsidRPr="00E04C25">
        <w:rPr>
          <w:rFonts w:ascii="Arial" w:hAnsi="Arial"/>
          <w:bCs/>
          <w:szCs w:val="23"/>
        </w:rPr>
        <w:t xml:space="preserve"> (v roce 201</w:t>
      </w:r>
      <w:r w:rsidR="00AA2D1E" w:rsidRPr="00E04C25">
        <w:rPr>
          <w:rFonts w:ascii="Arial" w:hAnsi="Arial"/>
          <w:bCs/>
          <w:szCs w:val="23"/>
        </w:rPr>
        <w:t>6</w:t>
      </w:r>
      <w:r w:rsidRPr="00E04C25">
        <w:rPr>
          <w:rFonts w:ascii="Arial" w:hAnsi="Arial"/>
          <w:bCs/>
          <w:szCs w:val="23"/>
        </w:rPr>
        <w:t> – </w:t>
      </w:r>
      <w:r w:rsidR="001C6F2A" w:rsidRPr="00E04C25">
        <w:rPr>
          <w:rFonts w:ascii="Arial" w:hAnsi="Arial"/>
          <w:bCs/>
          <w:szCs w:val="23"/>
        </w:rPr>
        <w:t>51</w:t>
      </w:r>
      <w:r w:rsidRPr="00E04C25">
        <w:rPr>
          <w:rFonts w:ascii="Arial" w:hAnsi="Arial"/>
          <w:bCs/>
          <w:szCs w:val="23"/>
        </w:rPr>
        <w:t>,</w:t>
      </w:r>
      <w:r w:rsidR="00AA2D1E" w:rsidRPr="00E04C25">
        <w:rPr>
          <w:rFonts w:ascii="Arial" w:hAnsi="Arial"/>
          <w:bCs/>
          <w:szCs w:val="23"/>
        </w:rPr>
        <w:t>5</w:t>
      </w:r>
      <w:r w:rsidRPr="00E04C25">
        <w:rPr>
          <w:rFonts w:ascii="Arial" w:hAnsi="Arial"/>
          <w:bCs/>
          <w:szCs w:val="23"/>
        </w:rPr>
        <w:t> %). K 31. 12. 201</w:t>
      </w:r>
      <w:r w:rsidR="008D6DAA" w:rsidRPr="00E04C25">
        <w:rPr>
          <w:rFonts w:ascii="Arial" w:hAnsi="Arial"/>
          <w:bCs/>
          <w:szCs w:val="23"/>
        </w:rPr>
        <w:t>7</w:t>
      </w:r>
      <w:r w:rsidRPr="00E04C25">
        <w:rPr>
          <w:rFonts w:ascii="Arial" w:hAnsi="Arial"/>
          <w:bCs/>
          <w:szCs w:val="23"/>
        </w:rPr>
        <w:t xml:space="preserve"> </w:t>
      </w:r>
      <w:r w:rsidR="001C6F2A" w:rsidRPr="00E04C25">
        <w:rPr>
          <w:rFonts w:ascii="Arial" w:hAnsi="Arial"/>
          <w:bCs/>
          <w:szCs w:val="23"/>
        </w:rPr>
        <w:t xml:space="preserve">byly počty téměř vyrovnané, </w:t>
      </w:r>
      <w:r w:rsidRPr="00E04C25">
        <w:rPr>
          <w:rFonts w:ascii="Arial" w:hAnsi="Arial"/>
          <w:b/>
          <w:bCs/>
          <w:szCs w:val="23"/>
        </w:rPr>
        <w:t>počet mužů</w:t>
      </w:r>
      <w:r w:rsidRPr="00E04C25">
        <w:rPr>
          <w:rFonts w:ascii="Arial" w:hAnsi="Arial"/>
          <w:bCs/>
          <w:szCs w:val="23"/>
        </w:rPr>
        <w:t xml:space="preserve"> dosáhl </w:t>
      </w:r>
      <w:r w:rsidR="00AA2D1E" w:rsidRPr="00E04C25">
        <w:rPr>
          <w:rFonts w:ascii="Arial" w:hAnsi="Arial"/>
          <w:b/>
          <w:bCs/>
          <w:szCs w:val="23"/>
        </w:rPr>
        <w:t>139,7 tis., žen bylo 140,9 </w:t>
      </w:r>
      <w:r w:rsidR="00AA2D1E" w:rsidRPr="00E04C25">
        <w:rPr>
          <w:rFonts w:ascii="Arial" w:hAnsi="Arial"/>
          <w:b/>
          <w:szCs w:val="23"/>
        </w:rPr>
        <w:t>tis</w:t>
      </w:r>
      <w:r w:rsidR="00AA2D1E" w:rsidRPr="00E04C25">
        <w:rPr>
          <w:rFonts w:ascii="Arial" w:hAnsi="Arial"/>
          <w:bCs/>
          <w:szCs w:val="23"/>
        </w:rPr>
        <w:t>.</w:t>
      </w:r>
    </w:p>
    <w:p w:rsidR="00BF03B8" w:rsidRPr="00E04C25" w:rsidRDefault="00762875" w:rsidP="00BF03B8">
      <w:pPr>
        <w:numPr>
          <w:ilvl w:val="1"/>
          <w:numId w:val="2"/>
        </w:numPr>
        <w:tabs>
          <w:tab w:val="left" w:pos="360"/>
          <w:tab w:val="left" w:pos="709"/>
        </w:tabs>
        <w:spacing w:after="120" w:line="360" w:lineRule="auto"/>
        <w:ind w:left="360"/>
        <w:jc w:val="both"/>
        <w:rPr>
          <w:rFonts w:ascii="Arial" w:hAnsi="Arial" w:cs="Arial"/>
        </w:rPr>
      </w:pPr>
      <w:r w:rsidRPr="00E04C25">
        <w:rPr>
          <w:rFonts w:ascii="Arial" w:hAnsi="Arial" w:cs="Arial"/>
          <w:b/>
          <w:bCs/>
        </w:rPr>
        <w:lastRenderedPageBreak/>
        <w:t xml:space="preserve">Podíl nezaměstnaných osob </w:t>
      </w:r>
      <w:r w:rsidR="005A7A9D" w:rsidRPr="00E04C25">
        <w:rPr>
          <w:rFonts w:ascii="Arial" w:hAnsi="Arial" w:cs="Arial"/>
          <w:b/>
          <w:bCs/>
        </w:rPr>
        <w:t xml:space="preserve">na obyvatelstvu </w:t>
      </w:r>
      <w:r w:rsidRPr="00E04C25">
        <w:rPr>
          <w:rFonts w:ascii="Arial" w:hAnsi="Arial" w:cs="Arial"/>
          <w:szCs w:val="23"/>
        </w:rPr>
        <w:t>vyšší než celorepublikový průměr (</w:t>
      </w:r>
      <w:r w:rsidR="003F2C0E" w:rsidRPr="00E04C25">
        <w:rPr>
          <w:rFonts w:ascii="Arial" w:hAnsi="Arial" w:cs="Arial"/>
          <w:szCs w:val="23"/>
        </w:rPr>
        <w:t>3</w:t>
      </w:r>
      <w:r w:rsidRPr="00E04C25">
        <w:rPr>
          <w:rFonts w:ascii="Arial" w:hAnsi="Arial" w:cs="Arial"/>
          <w:szCs w:val="23"/>
        </w:rPr>
        <w:t>,</w:t>
      </w:r>
      <w:r w:rsidR="003F2C0E" w:rsidRPr="00E04C25">
        <w:rPr>
          <w:rFonts w:ascii="Arial" w:hAnsi="Arial" w:cs="Arial"/>
          <w:szCs w:val="23"/>
        </w:rPr>
        <w:t>8</w:t>
      </w:r>
      <w:r w:rsidRPr="00E04C25">
        <w:rPr>
          <w:rFonts w:ascii="Arial" w:hAnsi="Arial" w:cs="Arial"/>
          <w:szCs w:val="23"/>
        </w:rPr>
        <w:t> %) byl k 31. 12. 201</w:t>
      </w:r>
      <w:r w:rsidR="003F2C0E" w:rsidRPr="00E04C25">
        <w:rPr>
          <w:rFonts w:ascii="Arial" w:hAnsi="Arial" w:cs="Arial"/>
          <w:szCs w:val="23"/>
        </w:rPr>
        <w:t>7</w:t>
      </w:r>
      <w:r w:rsidRPr="00E04C25">
        <w:rPr>
          <w:rFonts w:ascii="Arial" w:hAnsi="Arial" w:cs="Arial"/>
          <w:szCs w:val="23"/>
        </w:rPr>
        <w:t xml:space="preserve"> zaznamenán v </w:t>
      </w:r>
      <w:r w:rsidR="001C6F2A" w:rsidRPr="00E04C25">
        <w:rPr>
          <w:rFonts w:ascii="Arial" w:hAnsi="Arial" w:cs="Arial"/>
          <w:szCs w:val="23"/>
        </w:rPr>
        <w:t>pěti</w:t>
      </w:r>
      <w:r w:rsidRPr="00E04C25">
        <w:rPr>
          <w:rFonts w:ascii="Arial" w:hAnsi="Arial" w:cs="Arial"/>
          <w:szCs w:val="23"/>
        </w:rPr>
        <w:t xml:space="preserve"> krajích. N</w:t>
      </w:r>
      <w:r w:rsidRPr="00E04C25">
        <w:rPr>
          <w:rFonts w:ascii="Arial" w:hAnsi="Arial" w:cs="Arial"/>
          <w:iCs/>
          <w:szCs w:val="23"/>
        </w:rPr>
        <w:t xml:space="preserve">ejvyšší </w:t>
      </w:r>
      <w:r w:rsidRPr="00E04C25">
        <w:rPr>
          <w:rFonts w:ascii="Arial" w:hAnsi="Arial" w:cs="Arial"/>
          <w:szCs w:val="23"/>
        </w:rPr>
        <w:t xml:space="preserve">byl </w:t>
      </w:r>
      <w:r w:rsidRPr="00E04C25">
        <w:rPr>
          <w:rFonts w:ascii="Arial" w:hAnsi="Arial" w:cs="Arial"/>
          <w:iCs/>
          <w:szCs w:val="23"/>
        </w:rPr>
        <w:t>v </w:t>
      </w:r>
      <w:r w:rsidR="003F2C0E" w:rsidRPr="00E04C25">
        <w:rPr>
          <w:rFonts w:ascii="Arial" w:hAnsi="Arial" w:cs="Arial"/>
          <w:b/>
          <w:iCs/>
          <w:szCs w:val="23"/>
        </w:rPr>
        <w:t xml:space="preserve">Moravskoslezském </w:t>
      </w:r>
      <w:r w:rsidRPr="00E04C25">
        <w:rPr>
          <w:rFonts w:ascii="Arial" w:hAnsi="Arial" w:cs="Arial"/>
          <w:iCs/>
          <w:szCs w:val="23"/>
        </w:rPr>
        <w:t>(</w:t>
      </w:r>
      <w:r w:rsidR="003F2C0E" w:rsidRPr="00E04C25">
        <w:rPr>
          <w:rFonts w:ascii="Arial" w:hAnsi="Arial" w:cs="Arial"/>
          <w:iCs/>
          <w:szCs w:val="23"/>
        </w:rPr>
        <w:t>5,8</w:t>
      </w:r>
      <w:r w:rsidRPr="00E04C25">
        <w:rPr>
          <w:rFonts w:ascii="Arial" w:hAnsi="Arial" w:cs="Arial"/>
          <w:iCs/>
          <w:szCs w:val="23"/>
        </w:rPr>
        <w:t> %)</w:t>
      </w:r>
      <w:r w:rsidRPr="00E04C25">
        <w:rPr>
          <w:rFonts w:ascii="Arial" w:hAnsi="Arial" w:cs="Arial"/>
          <w:b/>
          <w:iCs/>
          <w:szCs w:val="23"/>
        </w:rPr>
        <w:t xml:space="preserve"> a  </w:t>
      </w:r>
      <w:r w:rsidR="003F2C0E" w:rsidRPr="00E04C25">
        <w:rPr>
          <w:rFonts w:ascii="Arial" w:hAnsi="Arial" w:cs="Arial"/>
          <w:b/>
          <w:iCs/>
          <w:szCs w:val="23"/>
        </w:rPr>
        <w:t xml:space="preserve">Ústeckém </w:t>
      </w:r>
      <w:r w:rsidRPr="00E04C25">
        <w:rPr>
          <w:rFonts w:ascii="Arial" w:hAnsi="Arial" w:cs="Arial"/>
          <w:b/>
          <w:iCs/>
          <w:szCs w:val="23"/>
        </w:rPr>
        <w:t xml:space="preserve">kraji </w:t>
      </w:r>
      <w:r w:rsidRPr="00E04C25">
        <w:rPr>
          <w:rFonts w:ascii="Arial" w:hAnsi="Arial" w:cs="Arial"/>
          <w:iCs/>
          <w:szCs w:val="23"/>
        </w:rPr>
        <w:t>(</w:t>
      </w:r>
      <w:r w:rsidR="003F2C0E" w:rsidRPr="00E04C25">
        <w:rPr>
          <w:rFonts w:ascii="Arial" w:hAnsi="Arial" w:cs="Arial"/>
          <w:iCs/>
          <w:szCs w:val="23"/>
        </w:rPr>
        <w:t>5</w:t>
      </w:r>
      <w:r w:rsidRPr="00E04C25">
        <w:rPr>
          <w:rFonts w:ascii="Arial" w:hAnsi="Arial" w:cs="Arial"/>
          <w:iCs/>
          <w:szCs w:val="23"/>
        </w:rPr>
        <w:t>,</w:t>
      </w:r>
      <w:r w:rsidR="003F2C0E" w:rsidRPr="00E04C25">
        <w:rPr>
          <w:rFonts w:ascii="Arial" w:hAnsi="Arial" w:cs="Arial"/>
          <w:iCs/>
          <w:szCs w:val="23"/>
        </w:rPr>
        <w:t>4</w:t>
      </w:r>
      <w:r w:rsidRPr="00E04C25">
        <w:rPr>
          <w:rFonts w:ascii="Arial" w:hAnsi="Arial" w:cs="Arial"/>
          <w:iCs/>
          <w:szCs w:val="23"/>
        </w:rPr>
        <w:t> %).</w:t>
      </w:r>
      <w:r w:rsidR="00BF03B8" w:rsidRPr="00E04C25">
        <w:rPr>
          <w:rFonts w:ascii="Arial" w:hAnsi="Arial" w:cs="Arial"/>
          <w:iCs/>
          <w:szCs w:val="23"/>
        </w:rPr>
        <w:t xml:space="preserve"> </w:t>
      </w:r>
    </w:p>
    <w:p w:rsidR="00BF03B8" w:rsidRPr="00E04C25" w:rsidRDefault="00D83A0B" w:rsidP="00BF03B8">
      <w:pPr>
        <w:numPr>
          <w:ilvl w:val="1"/>
          <w:numId w:val="2"/>
        </w:numPr>
        <w:tabs>
          <w:tab w:val="left" w:pos="360"/>
          <w:tab w:val="left" w:pos="709"/>
        </w:tabs>
        <w:spacing w:after="120" w:line="360" w:lineRule="auto"/>
        <w:ind w:left="360"/>
        <w:jc w:val="both"/>
        <w:rPr>
          <w:rFonts w:ascii="Arial" w:hAnsi="Arial" w:cs="Arial"/>
        </w:rPr>
      </w:pPr>
      <w:r w:rsidRPr="00E04C25">
        <w:rPr>
          <w:rFonts w:ascii="Arial" w:hAnsi="Arial" w:cs="Arial"/>
          <w:b/>
          <w:szCs w:val="23"/>
        </w:rPr>
        <w:t>Největší pokles počtu uchazečů o zaměstnání</w:t>
      </w:r>
      <w:r w:rsidRPr="00E04C25">
        <w:rPr>
          <w:rFonts w:ascii="Arial" w:hAnsi="Arial" w:cs="Arial"/>
          <w:szCs w:val="23"/>
        </w:rPr>
        <w:t xml:space="preserve"> byl zaznamenán </w:t>
      </w:r>
      <w:r w:rsidRPr="00E04C25">
        <w:rPr>
          <w:rFonts w:ascii="Arial" w:hAnsi="Arial" w:cs="Arial"/>
          <w:b/>
          <w:szCs w:val="23"/>
        </w:rPr>
        <w:t>v Moravskoslezském</w:t>
      </w:r>
      <w:r w:rsidRPr="00E04C25">
        <w:rPr>
          <w:rFonts w:ascii="Arial" w:hAnsi="Arial" w:cs="Arial"/>
          <w:szCs w:val="23"/>
        </w:rPr>
        <w:t xml:space="preserve"> (o 14 549</w:t>
      </w:r>
      <w:r w:rsidR="005A7A9D" w:rsidRPr="00E04C25">
        <w:rPr>
          <w:rFonts w:ascii="Arial" w:hAnsi="Arial" w:cs="Arial"/>
          <w:szCs w:val="23"/>
        </w:rPr>
        <w:t>),</w:t>
      </w:r>
      <w:r w:rsidRPr="00E04C25">
        <w:rPr>
          <w:rFonts w:ascii="Arial" w:hAnsi="Arial" w:cs="Arial"/>
          <w:szCs w:val="23"/>
        </w:rPr>
        <w:t xml:space="preserve"> Ústeckém</w:t>
      </w:r>
      <w:r w:rsidRPr="00E04C25">
        <w:rPr>
          <w:rFonts w:ascii="Arial" w:hAnsi="Arial" w:cs="Arial"/>
          <w:b/>
          <w:szCs w:val="23"/>
        </w:rPr>
        <w:t xml:space="preserve"> </w:t>
      </w:r>
      <w:r w:rsidRPr="00E04C25">
        <w:rPr>
          <w:rFonts w:ascii="Arial" w:hAnsi="Arial" w:cs="Arial"/>
          <w:szCs w:val="23"/>
        </w:rPr>
        <w:t>(o 13 006</w:t>
      </w:r>
      <w:r w:rsidR="005A7A9D" w:rsidRPr="00E04C25">
        <w:rPr>
          <w:rFonts w:ascii="Arial" w:hAnsi="Arial" w:cs="Arial"/>
          <w:szCs w:val="23"/>
        </w:rPr>
        <w:t>)</w:t>
      </w:r>
      <w:r w:rsidRPr="00E04C25">
        <w:rPr>
          <w:rFonts w:ascii="Arial" w:hAnsi="Arial" w:cs="Arial"/>
          <w:szCs w:val="23"/>
        </w:rPr>
        <w:t xml:space="preserve"> a Jihomoravském kraji (o 11 742 osob), ovšem </w:t>
      </w:r>
      <w:r w:rsidRPr="00E04C25">
        <w:rPr>
          <w:rFonts w:ascii="Arial" w:hAnsi="Arial" w:cs="Arial"/>
          <w:b/>
          <w:szCs w:val="23"/>
        </w:rPr>
        <w:t xml:space="preserve">v relativním vyjádření </w:t>
      </w:r>
      <w:r w:rsidRPr="00E04C25">
        <w:rPr>
          <w:rFonts w:ascii="Arial" w:hAnsi="Arial" w:cs="Arial"/>
          <w:szCs w:val="23"/>
        </w:rPr>
        <w:t xml:space="preserve">byl jejich </w:t>
      </w:r>
      <w:r w:rsidRPr="00E04C25">
        <w:rPr>
          <w:rFonts w:ascii="Arial" w:hAnsi="Arial" w:cs="Arial"/>
          <w:b/>
          <w:szCs w:val="23"/>
        </w:rPr>
        <w:t>pokles nejvýraznější v Karlovarském</w:t>
      </w:r>
      <w:r w:rsidRPr="00E04C25">
        <w:rPr>
          <w:rFonts w:ascii="Arial" w:hAnsi="Arial" w:cs="Arial"/>
          <w:szCs w:val="23"/>
        </w:rPr>
        <w:t xml:space="preserve"> (o 36,5 %), Pardubickém (o 29,5 %), Zlínském (o 29,3 %) a Ústeckém kraji (o 29,2 %). </w:t>
      </w:r>
    </w:p>
    <w:p w:rsidR="00BF03B8" w:rsidRPr="00E04C25" w:rsidRDefault="00AE4253" w:rsidP="00BF03B8">
      <w:pPr>
        <w:numPr>
          <w:ilvl w:val="1"/>
          <w:numId w:val="2"/>
        </w:numPr>
        <w:tabs>
          <w:tab w:val="left" w:pos="360"/>
          <w:tab w:val="left" w:pos="709"/>
        </w:tabs>
        <w:spacing w:after="120" w:line="360" w:lineRule="auto"/>
        <w:ind w:left="360"/>
        <w:jc w:val="both"/>
        <w:rPr>
          <w:rFonts w:ascii="Arial" w:hAnsi="Arial" w:cs="Arial"/>
        </w:rPr>
      </w:pPr>
      <w:r w:rsidRPr="00E04C25">
        <w:rPr>
          <w:rFonts w:ascii="Arial" w:hAnsi="Arial" w:cs="Arial"/>
        </w:rPr>
        <w:t xml:space="preserve">Výdaje </w:t>
      </w:r>
      <w:r w:rsidRPr="00E04C25">
        <w:rPr>
          <w:rFonts w:ascii="Arial" w:hAnsi="Arial" w:cs="Arial"/>
          <w:b/>
          <w:bCs/>
        </w:rPr>
        <w:t>ze státního rozpočtu (SR)</w:t>
      </w:r>
      <w:r w:rsidRPr="00E04C25">
        <w:rPr>
          <w:rFonts w:ascii="Arial" w:hAnsi="Arial" w:cs="Arial"/>
          <w:bCs/>
        </w:rPr>
        <w:t xml:space="preserve"> </w:t>
      </w:r>
      <w:r w:rsidRPr="00E04C25">
        <w:rPr>
          <w:rFonts w:ascii="Arial" w:hAnsi="Arial" w:cs="Arial"/>
          <w:b/>
        </w:rPr>
        <w:t xml:space="preserve">související </w:t>
      </w:r>
      <w:r w:rsidRPr="00E04C25">
        <w:rPr>
          <w:rFonts w:ascii="Arial" w:hAnsi="Arial" w:cs="Arial"/>
        </w:rPr>
        <w:t xml:space="preserve">s výplatou podpor v nezaměstnanosti </w:t>
      </w:r>
      <w:r w:rsidR="00BF03B8" w:rsidRPr="00E04C25">
        <w:rPr>
          <w:rFonts w:ascii="Arial" w:hAnsi="Arial" w:cs="Arial"/>
          <w:b/>
          <w:bCs/>
        </w:rPr>
        <w:t>v </w:t>
      </w:r>
      <w:r w:rsidR="00BF03B8" w:rsidRPr="00E04C25">
        <w:rPr>
          <w:rFonts w:ascii="Arial" w:hAnsi="Arial"/>
          <w:b/>
        </w:rPr>
        <w:t xml:space="preserve">roce 2017 </w:t>
      </w:r>
      <w:r w:rsidR="00BF03B8" w:rsidRPr="00E04C25">
        <w:rPr>
          <w:rFonts w:ascii="Arial" w:hAnsi="Arial" w:cs="Arial"/>
          <w:bCs/>
        </w:rPr>
        <w:t xml:space="preserve">dosáhly </w:t>
      </w:r>
      <w:r w:rsidR="00BF03B8" w:rsidRPr="00E04C25">
        <w:rPr>
          <w:rFonts w:ascii="Arial" w:hAnsi="Arial" w:cs="Arial"/>
          <w:b/>
          <w:bCs/>
        </w:rPr>
        <w:t>7</w:t>
      </w:r>
      <w:r w:rsidR="00BF03B8" w:rsidRPr="00E04C25">
        <w:rPr>
          <w:rFonts w:ascii="Arial" w:hAnsi="Arial" w:cs="Arial"/>
          <w:b/>
        </w:rPr>
        <w:t> 853 520</w:t>
      </w:r>
      <w:r w:rsidR="00BF03B8" w:rsidRPr="00E04C25">
        <w:rPr>
          <w:rFonts w:ascii="Arial" w:hAnsi="Arial" w:cs="Arial"/>
          <w:b/>
          <w:bCs/>
        </w:rPr>
        <w:t> </w:t>
      </w:r>
      <w:r w:rsidR="00BF03B8" w:rsidRPr="00E04C25">
        <w:rPr>
          <w:rFonts w:ascii="Arial" w:hAnsi="Arial" w:cs="Arial"/>
          <w:b/>
        </w:rPr>
        <w:t>tis. Kč</w:t>
      </w:r>
      <w:r w:rsidR="00BF03B8" w:rsidRPr="00E04C25">
        <w:rPr>
          <w:rFonts w:ascii="Arial" w:hAnsi="Arial" w:cs="Arial"/>
        </w:rPr>
        <w:t xml:space="preserve"> a byly ve srovnání s výdaji v </w:t>
      </w:r>
      <w:r w:rsidR="00BF03B8" w:rsidRPr="00E04C25">
        <w:rPr>
          <w:rFonts w:ascii="Arial" w:hAnsi="Arial"/>
        </w:rPr>
        <w:t>roce 2016</w:t>
      </w:r>
      <w:r w:rsidR="00BF03B8" w:rsidRPr="00E04C25">
        <w:rPr>
          <w:rFonts w:ascii="Arial" w:hAnsi="Arial"/>
          <w:b/>
        </w:rPr>
        <w:t xml:space="preserve"> </w:t>
      </w:r>
      <w:r w:rsidR="00BF03B8" w:rsidRPr="00E04C25">
        <w:rPr>
          <w:rFonts w:ascii="Arial" w:hAnsi="Arial" w:cs="Arial"/>
        </w:rPr>
        <w:t>(8 254 527</w:t>
      </w:r>
      <w:r w:rsidR="00BF03B8" w:rsidRPr="00E04C25">
        <w:rPr>
          <w:rFonts w:ascii="Arial" w:hAnsi="Arial" w:cs="Arial"/>
          <w:bCs/>
        </w:rPr>
        <w:t> </w:t>
      </w:r>
      <w:r w:rsidR="00BF03B8" w:rsidRPr="00E04C25">
        <w:rPr>
          <w:rFonts w:ascii="Arial" w:hAnsi="Arial" w:cs="Arial"/>
        </w:rPr>
        <w:t xml:space="preserve">tis. Kč) </w:t>
      </w:r>
      <w:r w:rsidR="00BF03B8" w:rsidRPr="00E04C25">
        <w:rPr>
          <w:rFonts w:ascii="Arial" w:hAnsi="Arial" w:cs="Arial"/>
          <w:b/>
        </w:rPr>
        <w:t>o 401 007</w:t>
      </w:r>
      <w:r w:rsidR="00BF03B8" w:rsidRPr="00E04C25">
        <w:rPr>
          <w:rFonts w:ascii="Arial" w:hAnsi="Arial" w:cs="Arial"/>
          <w:b/>
          <w:bCs/>
        </w:rPr>
        <w:t> </w:t>
      </w:r>
      <w:r w:rsidR="00BF03B8" w:rsidRPr="00E04C25">
        <w:rPr>
          <w:rFonts w:ascii="Arial" w:hAnsi="Arial" w:cs="Arial"/>
          <w:b/>
        </w:rPr>
        <w:t>tis. Kč</w:t>
      </w:r>
      <w:r w:rsidR="003F215B" w:rsidRPr="00E04C25">
        <w:rPr>
          <w:rFonts w:ascii="Arial" w:hAnsi="Arial" w:cs="Arial"/>
          <w:b/>
        </w:rPr>
        <w:t xml:space="preserve"> nižší</w:t>
      </w:r>
      <w:r w:rsidR="00BF03B8" w:rsidRPr="00E04C25">
        <w:rPr>
          <w:rFonts w:ascii="Arial" w:hAnsi="Arial" w:cs="Arial"/>
          <w:b/>
        </w:rPr>
        <w:t>, tj. o 4,9 %</w:t>
      </w:r>
      <w:r w:rsidR="00BF03B8" w:rsidRPr="00E04C25">
        <w:rPr>
          <w:rFonts w:ascii="Arial" w:hAnsi="Arial" w:cs="Arial"/>
        </w:rPr>
        <w:t xml:space="preserve">. </w:t>
      </w:r>
    </w:p>
    <w:p w:rsidR="00BF03B8" w:rsidRPr="00E04C25" w:rsidRDefault="00BF03B8" w:rsidP="00BF03B8">
      <w:pPr>
        <w:numPr>
          <w:ilvl w:val="1"/>
          <w:numId w:val="2"/>
        </w:numPr>
        <w:tabs>
          <w:tab w:val="left" w:pos="360"/>
          <w:tab w:val="left" w:pos="709"/>
        </w:tabs>
        <w:spacing w:after="120" w:line="360" w:lineRule="auto"/>
        <w:ind w:left="360"/>
        <w:jc w:val="both"/>
        <w:rPr>
          <w:rFonts w:ascii="Arial" w:hAnsi="Arial" w:cs="Arial"/>
        </w:rPr>
      </w:pPr>
      <w:r w:rsidRPr="00E04C25">
        <w:rPr>
          <w:rFonts w:ascii="Arial" w:hAnsi="Arial" w:cs="Arial"/>
          <w:b/>
          <w:bCs/>
        </w:rPr>
        <w:t>Na aktivní politiku zaměstnanosti (APZ)</w:t>
      </w:r>
      <w:r w:rsidRPr="00E04C25">
        <w:rPr>
          <w:rFonts w:ascii="Arial" w:hAnsi="Arial" w:cs="Arial"/>
        </w:rPr>
        <w:t xml:space="preserve"> bylo </w:t>
      </w:r>
      <w:r w:rsidRPr="00E04C25">
        <w:rPr>
          <w:rFonts w:ascii="Arial" w:hAnsi="Arial" w:cs="Arial"/>
          <w:bCs/>
        </w:rPr>
        <w:t>v </w:t>
      </w:r>
      <w:r w:rsidRPr="00E04C25">
        <w:rPr>
          <w:rFonts w:ascii="Arial" w:hAnsi="Arial"/>
          <w:b/>
        </w:rPr>
        <w:t xml:space="preserve">roce 2017 </w:t>
      </w:r>
      <w:r w:rsidRPr="00E04C25">
        <w:rPr>
          <w:rFonts w:ascii="Arial" w:hAnsi="Arial" w:cs="Arial"/>
        </w:rPr>
        <w:t xml:space="preserve">na MPSV a ÚP ČR vynaloženo </w:t>
      </w:r>
      <w:r w:rsidRPr="00E04C25">
        <w:rPr>
          <w:rFonts w:ascii="Arial" w:hAnsi="Arial" w:cs="Arial"/>
          <w:b/>
        </w:rPr>
        <w:t>4 760</w:t>
      </w:r>
      <w:r w:rsidRPr="00E04C25">
        <w:rPr>
          <w:rFonts w:ascii="Arial" w:hAnsi="Arial" w:cs="Arial"/>
          <w:b/>
          <w:bCs/>
        </w:rPr>
        <w:t> 642 tis. Kč</w:t>
      </w:r>
      <w:r w:rsidR="00E73332" w:rsidRPr="00E04C25">
        <w:rPr>
          <w:rFonts w:ascii="Arial" w:hAnsi="Arial" w:cs="Arial"/>
          <w:b/>
          <w:bCs/>
        </w:rPr>
        <w:t xml:space="preserve"> </w:t>
      </w:r>
      <w:r w:rsidR="00E73332" w:rsidRPr="00E04C25">
        <w:rPr>
          <w:rFonts w:ascii="Arial" w:hAnsi="Arial" w:cs="Arial"/>
          <w:bCs/>
        </w:rPr>
        <w:t>(</w:t>
      </w:r>
      <w:r w:rsidRPr="00E04C25">
        <w:rPr>
          <w:rFonts w:ascii="Arial" w:hAnsi="Arial" w:cs="Arial"/>
          <w:bCs/>
        </w:rPr>
        <w:t>MPSV 57 453 tis. Kč, ÚP ČR 4 703 189 tis. Kč</w:t>
      </w:r>
      <w:r w:rsidR="00E73332" w:rsidRPr="00E04C25">
        <w:rPr>
          <w:rFonts w:ascii="Arial" w:hAnsi="Arial" w:cs="Arial"/>
          <w:bCs/>
        </w:rPr>
        <w:t>)</w:t>
      </w:r>
      <w:r w:rsidRPr="00E04C25">
        <w:rPr>
          <w:rFonts w:ascii="Arial" w:hAnsi="Arial" w:cs="Arial"/>
          <w:bCs/>
        </w:rPr>
        <w:t xml:space="preserve">. </w:t>
      </w:r>
      <w:r w:rsidRPr="00E04C25">
        <w:rPr>
          <w:rFonts w:ascii="Arial" w:hAnsi="Arial" w:cs="Arial"/>
        </w:rPr>
        <w:t>Ve srovnání s </w:t>
      </w:r>
      <w:r w:rsidRPr="00E04C25">
        <w:rPr>
          <w:rFonts w:ascii="Arial" w:hAnsi="Arial"/>
        </w:rPr>
        <w:t>rokem 2016</w:t>
      </w:r>
      <w:r w:rsidRPr="00E04C25">
        <w:rPr>
          <w:rFonts w:ascii="Arial" w:hAnsi="Arial"/>
          <w:b/>
        </w:rPr>
        <w:t xml:space="preserve"> </w:t>
      </w:r>
      <w:r w:rsidRPr="00E04C25">
        <w:rPr>
          <w:rFonts w:ascii="Arial" w:hAnsi="Arial" w:cs="Arial"/>
          <w:b/>
        </w:rPr>
        <w:t>klesly výdaje</w:t>
      </w:r>
      <w:r w:rsidRPr="00E04C25">
        <w:rPr>
          <w:rFonts w:ascii="Arial" w:hAnsi="Arial" w:cs="Arial"/>
        </w:rPr>
        <w:t xml:space="preserve"> </w:t>
      </w:r>
      <w:r w:rsidRPr="00E04C25">
        <w:rPr>
          <w:rFonts w:ascii="Arial" w:hAnsi="Arial" w:cs="Arial"/>
          <w:bCs/>
        </w:rPr>
        <w:t>na APZ o 2 106 163 tis. Kč</w:t>
      </w:r>
      <w:r w:rsidRPr="00E04C25">
        <w:rPr>
          <w:rFonts w:ascii="Arial" w:hAnsi="Arial" w:cs="Arial"/>
        </w:rPr>
        <w:t>, tj. </w:t>
      </w:r>
      <w:r w:rsidRPr="00E04C25">
        <w:rPr>
          <w:rFonts w:ascii="Arial" w:hAnsi="Arial" w:cs="Arial"/>
          <w:b/>
        </w:rPr>
        <w:t>o 30,7 %</w:t>
      </w:r>
      <w:r w:rsidRPr="00E04C25">
        <w:rPr>
          <w:rFonts w:ascii="Arial" w:hAnsi="Arial" w:cs="Arial"/>
        </w:rPr>
        <w:t xml:space="preserve">. </w:t>
      </w:r>
      <w:r w:rsidR="00507C7D" w:rsidRPr="00E04C25">
        <w:rPr>
          <w:rFonts w:ascii="Arial" w:hAnsi="Arial" w:cs="Arial"/>
        </w:rPr>
        <w:t>Nejvíce využívanými nástroji byly veřejně prospěšné práce</w:t>
      </w:r>
      <w:r w:rsidRPr="00E04C25">
        <w:rPr>
          <w:rFonts w:ascii="Arial" w:hAnsi="Arial" w:cs="Arial"/>
        </w:rPr>
        <w:t>,</w:t>
      </w:r>
      <w:r w:rsidR="00AE4253" w:rsidRPr="00E04C25">
        <w:rPr>
          <w:rFonts w:ascii="Arial" w:hAnsi="Arial" w:cs="Arial"/>
        </w:rPr>
        <w:t xml:space="preserve"> rekvalifikace</w:t>
      </w:r>
      <w:r w:rsidRPr="00E04C25">
        <w:rPr>
          <w:rFonts w:ascii="Arial" w:hAnsi="Arial" w:cs="Arial"/>
        </w:rPr>
        <w:t xml:space="preserve"> a</w:t>
      </w:r>
      <w:r w:rsidR="00E73332" w:rsidRPr="00E04C25">
        <w:rPr>
          <w:rFonts w:ascii="Arial" w:hAnsi="Arial" w:cs="Arial"/>
        </w:rPr>
        <w:t> </w:t>
      </w:r>
      <w:r w:rsidRPr="00E04C25">
        <w:rPr>
          <w:rFonts w:ascii="Arial" w:hAnsi="Arial" w:cs="Arial"/>
        </w:rPr>
        <w:t>společensky účelná pracovní místa</w:t>
      </w:r>
      <w:r w:rsidR="00507C7D" w:rsidRPr="00E04C25">
        <w:rPr>
          <w:rFonts w:ascii="Arial" w:hAnsi="Arial" w:cs="Arial"/>
        </w:rPr>
        <w:t>.</w:t>
      </w:r>
    </w:p>
    <w:p w:rsidR="00BF03B8" w:rsidRPr="00E04C25" w:rsidRDefault="00BF03B8" w:rsidP="00BF03B8">
      <w:pPr>
        <w:numPr>
          <w:ilvl w:val="1"/>
          <w:numId w:val="2"/>
        </w:numPr>
        <w:tabs>
          <w:tab w:val="left" w:pos="360"/>
          <w:tab w:val="left" w:pos="709"/>
        </w:tabs>
        <w:spacing w:after="120" w:line="360" w:lineRule="auto"/>
        <w:ind w:left="360"/>
        <w:jc w:val="both"/>
        <w:rPr>
          <w:rFonts w:ascii="Arial" w:hAnsi="Arial" w:cs="Arial"/>
        </w:rPr>
      </w:pPr>
      <w:r w:rsidRPr="00E04C25">
        <w:rPr>
          <w:rFonts w:ascii="Arial" w:hAnsi="Arial" w:cs="Arial"/>
        </w:rPr>
        <w:t>Dále bylo v rámci státní politiky zaměstnanosti ze státního rozpočtu jako</w:t>
      </w:r>
      <w:r w:rsidRPr="00E04C25">
        <w:rPr>
          <w:rFonts w:ascii="Arial" w:hAnsi="Arial" w:cs="Arial"/>
          <w:b/>
        </w:rPr>
        <w:t xml:space="preserve"> příspěvek zaměstnavatelům zaměstnávajícím více než 50 % osob se zdravotním postižením</w:t>
      </w:r>
      <w:r w:rsidRPr="00E04C25">
        <w:rPr>
          <w:rFonts w:ascii="Arial" w:hAnsi="Arial" w:cs="Arial"/>
        </w:rPr>
        <w:t xml:space="preserve"> vynaloženo </w:t>
      </w:r>
      <w:r w:rsidRPr="00E04C25">
        <w:rPr>
          <w:rFonts w:ascii="Arial" w:hAnsi="Arial" w:cs="Arial"/>
          <w:b/>
        </w:rPr>
        <w:t>5</w:t>
      </w:r>
      <w:r w:rsidRPr="00E04C25">
        <w:rPr>
          <w:rFonts w:ascii="Arial" w:hAnsi="Arial" w:cs="Arial"/>
          <w:b/>
          <w:bCs/>
        </w:rPr>
        <w:t> 675 572 </w:t>
      </w:r>
      <w:r w:rsidRPr="00E04C25">
        <w:rPr>
          <w:rFonts w:ascii="Arial" w:hAnsi="Arial" w:cs="Arial"/>
          <w:b/>
        </w:rPr>
        <w:t>tis. Kč</w:t>
      </w:r>
      <w:r w:rsidRPr="00E04C25">
        <w:rPr>
          <w:rFonts w:ascii="Arial" w:hAnsi="Arial" w:cs="Arial"/>
        </w:rPr>
        <w:t>, což bylo o 723 057</w:t>
      </w:r>
      <w:r w:rsidRPr="00E04C25">
        <w:rPr>
          <w:rFonts w:ascii="Arial" w:hAnsi="Arial" w:cs="Arial"/>
          <w:bCs/>
        </w:rPr>
        <w:t xml:space="preserve"> tis. Kč, tj. </w:t>
      </w:r>
      <w:r w:rsidRPr="00E04C25">
        <w:rPr>
          <w:rFonts w:ascii="Arial" w:hAnsi="Arial" w:cs="Arial"/>
          <w:b/>
          <w:bCs/>
        </w:rPr>
        <w:t>o 14,6 % více</w:t>
      </w:r>
      <w:r w:rsidRPr="00E04C25">
        <w:rPr>
          <w:rFonts w:ascii="Arial" w:hAnsi="Arial" w:cs="Arial"/>
          <w:bCs/>
        </w:rPr>
        <w:t xml:space="preserve"> než v </w:t>
      </w:r>
      <w:r w:rsidRPr="00E04C25">
        <w:rPr>
          <w:rFonts w:ascii="Arial" w:hAnsi="Arial"/>
        </w:rPr>
        <w:t>roce 2016</w:t>
      </w:r>
      <w:r w:rsidRPr="00E04C25">
        <w:rPr>
          <w:rFonts w:ascii="Arial" w:hAnsi="Arial" w:cs="Arial"/>
          <w:bCs/>
        </w:rPr>
        <w:t xml:space="preserve">. </w:t>
      </w:r>
    </w:p>
    <w:p w:rsidR="00507C7D" w:rsidRPr="00E04C25" w:rsidRDefault="00BF03B8" w:rsidP="00BF03B8">
      <w:pPr>
        <w:numPr>
          <w:ilvl w:val="1"/>
          <w:numId w:val="2"/>
        </w:numPr>
        <w:tabs>
          <w:tab w:val="left" w:pos="360"/>
          <w:tab w:val="left" w:pos="709"/>
        </w:tabs>
        <w:spacing w:after="120" w:line="360" w:lineRule="auto"/>
        <w:ind w:left="360"/>
        <w:jc w:val="both"/>
        <w:rPr>
          <w:rFonts w:ascii="Arial" w:hAnsi="Arial" w:cs="Arial"/>
        </w:rPr>
      </w:pPr>
      <w:r w:rsidRPr="00E04C25">
        <w:rPr>
          <w:rFonts w:ascii="Arial" w:hAnsi="Arial" w:cs="Arial"/>
          <w:bCs/>
        </w:rPr>
        <w:t>N</w:t>
      </w:r>
      <w:r w:rsidRPr="00E04C25">
        <w:rPr>
          <w:rFonts w:ascii="Arial" w:hAnsi="Arial" w:cs="Arial"/>
        </w:rPr>
        <w:t>a výplatu mzdových nároků zaměstnancům při platební neschopnosti zaměstnavatele, tzv. </w:t>
      </w:r>
      <w:r w:rsidRPr="00E04C25">
        <w:rPr>
          <w:rFonts w:ascii="Arial" w:hAnsi="Arial" w:cs="Arial"/>
          <w:b/>
        </w:rPr>
        <w:t>insolvenci</w:t>
      </w:r>
      <w:r w:rsidRPr="00E04C25">
        <w:rPr>
          <w:rFonts w:ascii="Arial" w:hAnsi="Arial" w:cs="Arial"/>
        </w:rPr>
        <w:t>,</w:t>
      </w:r>
      <w:r w:rsidRPr="00E04C25">
        <w:rPr>
          <w:rFonts w:ascii="Arial" w:hAnsi="Arial" w:cs="Arial"/>
          <w:b/>
        </w:rPr>
        <w:t xml:space="preserve"> </w:t>
      </w:r>
      <w:r w:rsidRPr="00E04C25">
        <w:rPr>
          <w:rFonts w:ascii="Arial" w:hAnsi="Arial" w:cs="Arial"/>
        </w:rPr>
        <w:t>bylo vynaloženo</w:t>
      </w:r>
      <w:r w:rsidRPr="00E04C25">
        <w:rPr>
          <w:rFonts w:ascii="Arial" w:hAnsi="Arial" w:cs="Arial"/>
          <w:b/>
        </w:rPr>
        <w:t xml:space="preserve"> 167</w:t>
      </w:r>
      <w:r w:rsidRPr="00E04C25">
        <w:rPr>
          <w:rFonts w:ascii="Arial" w:hAnsi="Arial" w:cs="Arial"/>
          <w:b/>
          <w:bCs/>
        </w:rPr>
        <w:t> 343 </w:t>
      </w:r>
      <w:r w:rsidRPr="00E04C25">
        <w:rPr>
          <w:rFonts w:ascii="Arial" w:hAnsi="Arial" w:cs="Arial"/>
          <w:b/>
        </w:rPr>
        <w:t>tis. Kč</w:t>
      </w:r>
      <w:r w:rsidR="00E73332" w:rsidRPr="00E04C25">
        <w:rPr>
          <w:rFonts w:ascii="Arial" w:hAnsi="Arial" w:cs="Arial"/>
          <w:b/>
        </w:rPr>
        <w:t xml:space="preserve">, </w:t>
      </w:r>
      <w:r w:rsidRPr="00E04C25">
        <w:rPr>
          <w:rFonts w:ascii="Arial" w:hAnsi="Arial" w:cs="Arial"/>
        </w:rPr>
        <w:t xml:space="preserve">meziročně </w:t>
      </w:r>
      <w:r w:rsidRPr="00E04C25">
        <w:rPr>
          <w:rFonts w:ascii="Arial" w:hAnsi="Arial" w:cs="Arial"/>
          <w:b/>
        </w:rPr>
        <w:t>méně</w:t>
      </w:r>
      <w:r w:rsidRPr="00E04C25">
        <w:rPr>
          <w:rFonts w:ascii="Arial" w:hAnsi="Arial" w:cs="Arial"/>
        </w:rPr>
        <w:t xml:space="preserve"> o 82 996</w:t>
      </w:r>
      <w:r w:rsidRPr="00E04C25">
        <w:rPr>
          <w:rFonts w:ascii="Arial" w:hAnsi="Arial" w:cs="Arial"/>
          <w:bCs/>
        </w:rPr>
        <w:t> tis. Kč, tj. </w:t>
      </w:r>
      <w:r w:rsidRPr="00E04C25">
        <w:rPr>
          <w:rFonts w:ascii="Arial" w:hAnsi="Arial" w:cs="Arial"/>
          <w:b/>
        </w:rPr>
        <w:t>o 33</w:t>
      </w:r>
      <w:r w:rsidRPr="00E04C25">
        <w:rPr>
          <w:rFonts w:ascii="Arial" w:hAnsi="Arial" w:cs="Arial"/>
          <w:b/>
          <w:bCs/>
        </w:rPr>
        <w:t>,2 </w:t>
      </w:r>
      <w:r w:rsidRPr="00E04C25">
        <w:rPr>
          <w:rFonts w:ascii="Arial" w:hAnsi="Arial" w:cs="Arial"/>
          <w:b/>
        </w:rPr>
        <w:t>%</w:t>
      </w:r>
      <w:r w:rsidRPr="00E04C25">
        <w:rPr>
          <w:rFonts w:ascii="Arial" w:hAnsi="Arial" w:cs="Arial"/>
        </w:rPr>
        <w:t xml:space="preserve">. </w:t>
      </w:r>
    </w:p>
    <w:p w:rsidR="00E63B0C" w:rsidRPr="00E04C25" w:rsidRDefault="00E63B0C" w:rsidP="00135F05">
      <w:pPr>
        <w:pStyle w:val="Nadpis1"/>
      </w:pPr>
      <w:r w:rsidRPr="00E04C25">
        <w:rPr>
          <w:szCs w:val="23"/>
        </w:rPr>
        <w:br w:type="column"/>
      </w:r>
      <w:bookmarkStart w:id="45" w:name="_Toc400528518"/>
      <w:bookmarkStart w:id="46" w:name="_Toc404672659"/>
      <w:bookmarkStart w:id="47" w:name="_Toc513198671"/>
      <w:r w:rsidRPr="00E04C25">
        <w:lastRenderedPageBreak/>
        <w:t>Zaměstnanost</w:t>
      </w:r>
      <w:bookmarkEnd w:id="39"/>
      <w:bookmarkEnd w:id="45"/>
      <w:bookmarkEnd w:id="46"/>
      <w:bookmarkEnd w:id="47"/>
    </w:p>
    <w:p w:rsidR="00E63B0C" w:rsidRPr="00E04C25" w:rsidRDefault="00E63B0C" w:rsidP="00AE65A5">
      <w:pPr>
        <w:pStyle w:val="Hlavikarejstku"/>
        <w:tabs>
          <w:tab w:val="left" w:pos="709"/>
        </w:tabs>
        <w:rPr>
          <w:sz w:val="16"/>
        </w:rPr>
      </w:pPr>
    </w:p>
    <w:p w:rsidR="00E63B0C" w:rsidRPr="00E04C25" w:rsidRDefault="00E63B0C" w:rsidP="00AE65A5">
      <w:pPr>
        <w:pStyle w:val="Styl2"/>
        <w:tabs>
          <w:tab w:val="clear" w:pos="720"/>
          <w:tab w:val="left" w:pos="709"/>
          <w:tab w:val="num" w:pos="900"/>
        </w:tabs>
        <w:rPr>
          <w:color w:val="auto"/>
        </w:rPr>
      </w:pPr>
      <w:bookmarkStart w:id="48" w:name="_Toc383686935"/>
      <w:bookmarkStart w:id="49" w:name="_Toc400528519"/>
      <w:bookmarkStart w:id="50" w:name="_Toc404672660"/>
      <w:bookmarkStart w:id="51" w:name="_Toc513198672"/>
      <w:bookmarkStart w:id="52" w:name="_Toc69281066"/>
      <w:bookmarkStart w:id="53" w:name="_Toc71015618"/>
      <w:bookmarkStart w:id="54" w:name="_Toc85008443"/>
      <w:bookmarkStart w:id="55" w:name="_Toc101149457"/>
      <w:bookmarkStart w:id="56" w:name="_Toc102269846"/>
      <w:bookmarkStart w:id="57" w:name="_Toc116354704"/>
      <w:bookmarkStart w:id="58" w:name="_Toc116354793"/>
      <w:bookmarkStart w:id="59" w:name="_Toc116355029"/>
      <w:bookmarkStart w:id="60" w:name="_Toc149033455"/>
      <w:bookmarkStart w:id="61" w:name="_Toc179787901"/>
      <w:bookmarkStart w:id="62" w:name="_Toc211067149"/>
      <w:bookmarkStart w:id="63" w:name="_Toc258997887"/>
      <w:bookmarkStart w:id="64" w:name="_Toc274310689"/>
      <w:r w:rsidRPr="00E04C25">
        <w:rPr>
          <w:color w:val="auto"/>
        </w:rPr>
        <w:t>Stav a vývoj zaměstnanosti</w:t>
      </w:r>
      <w:bookmarkEnd w:id="48"/>
      <w:bookmarkEnd w:id="49"/>
      <w:bookmarkEnd w:id="50"/>
      <w:bookmarkEnd w:id="51"/>
      <w:r w:rsidRPr="00E04C25">
        <w:rPr>
          <w:color w:val="auto"/>
        </w:rPr>
        <w:t xml:space="preserve"> </w:t>
      </w:r>
      <w:bookmarkEnd w:id="52"/>
      <w:bookmarkEnd w:id="53"/>
      <w:bookmarkEnd w:id="54"/>
      <w:bookmarkEnd w:id="55"/>
      <w:bookmarkEnd w:id="56"/>
      <w:bookmarkEnd w:id="57"/>
      <w:bookmarkEnd w:id="58"/>
      <w:bookmarkEnd w:id="59"/>
      <w:bookmarkEnd w:id="60"/>
      <w:bookmarkEnd w:id="61"/>
      <w:bookmarkEnd w:id="62"/>
      <w:bookmarkEnd w:id="63"/>
      <w:bookmarkEnd w:id="64"/>
    </w:p>
    <w:p w:rsidR="00E63B0C" w:rsidRPr="00E04C25" w:rsidRDefault="00E63B0C" w:rsidP="00AE65A5">
      <w:pPr>
        <w:pStyle w:val="Styl2"/>
        <w:numPr>
          <w:ilvl w:val="0"/>
          <w:numId w:val="0"/>
        </w:numPr>
        <w:tabs>
          <w:tab w:val="clear" w:pos="720"/>
          <w:tab w:val="left" w:pos="709"/>
        </w:tabs>
        <w:ind w:left="357"/>
        <w:rPr>
          <w:color w:val="auto"/>
          <w:sz w:val="12"/>
          <w:szCs w:val="12"/>
        </w:rPr>
      </w:pPr>
    </w:p>
    <w:p w:rsidR="00762875" w:rsidRPr="00E04C25" w:rsidRDefault="00AC1001" w:rsidP="00AE65A5">
      <w:pPr>
        <w:pStyle w:val="Textpoznpodarou"/>
        <w:tabs>
          <w:tab w:val="left" w:pos="709"/>
        </w:tabs>
        <w:spacing w:line="360" w:lineRule="auto"/>
        <w:ind w:firstLine="567"/>
        <w:jc w:val="both"/>
        <w:rPr>
          <w:rFonts w:ascii="Arial" w:hAnsi="Arial" w:cs="Arial"/>
          <w:sz w:val="24"/>
          <w:szCs w:val="24"/>
        </w:rPr>
      </w:pPr>
      <w:r w:rsidRPr="00E04C25">
        <w:rPr>
          <w:rFonts w:ascii="Arial" w:hAnsi="Arial" w:cs="Arial"/>
          <w:sz w:val="24"/>
          <w:szCs w:val="24"/>
        </w:rPr>
        <w:t>Ke zpracování č</w:t>
      </w:r>
      <w:r w:rsidR="00762875" w:rsidRPr="00E04C25">
        <w:rPr>
          <w:rFonts w:ascii="Arial" w:hAnsi="Arial" w:cs="Arial"/>
          <w:sz w:val="24"/>
          <w:szCs w:val="24"/>
        </w:rPr>
        <w:t>ást</w:t>
      </w:r>
      <w:r w:rsidRPr="00E04C25">
        <w:rPr>
          <w:rFonts w:ascii="Arial" w:hAnsi="Arial" w:cs="Arial"/>
          <w:sz w:val="24"/>
          <w:szCs w:val="24"/>
        </w:rPr>
        <w:t>í</w:t>
      </w:r>
      <w:r w:rsidR="00762875" w:rsidRPr="00E04C25">
        <w:rPr>
          <w:rFonts w:ascii="Arial" w:hAnsi="Arial" w:cs="Arial"/>
          <w:sz w:val="24"/>
          <w:szCs w:val="24"/>
        </w:rPr>
        <w:t xml:space="preserve"> II.1 až II.4 </w:t>
      </w:r>
      <w:r w:rsidRPr="00E04C25">
        <w:rPr>
          <w:rFonts w:ascii="Arial" w:hAnsi="Arial" w:cs="Arial"/>
          <w:sz w:val="24"/>
          <w:szCs w:val="24"/>
        </w:rPr>
        <w:t xml:space="preserve">byly použity výsledky </w:t>
      </w:r>
      <w:r w:rsidR="00762875" w:rsidRPr="00E04C25">
        <w:rPr>
          <w:rFonts w:ascii="Arial" w:hAnsi="Arial" w:cs="Arial"/>
          <w:sz w:val="24"/>
          <w:szCs w:val="24"/>
        </w:rPr>
        <w:t>Výběrových šetření pracovních sil (VŠPS)</w:t>
      </w:r>
      <w:r w:rsidR="00762875" w:rsidRPr="00E04C25">
        <w:rPr>
          <w:rStyle w:val="Znakapoznpodarou"/>
        </w:rPr>
        <w:footnoteReference w:id="1"/>
      </w:r>
      <w:r w:rsidR="00762875" w:rsidRPr="00E04C25">
        <w:rPr>
          <w:rFonts w:ascii="Arial" w:hAnsi="Arial" w:cs="Arial"/>
          <w:sz w:val="24"/>
          <w:szCs w:val="24"/>
        </w:rPr>
        <w:t>. Hodnoty za rok 201</w:t>
      </w:r>
      <w:r w:rsidR="007F298C" w:rsidRPr="00E04C25">
        <w:rPr>
          <w:rFonts w:ascii="Arial" w:hAnsi="Arial" w:cs="Arial"/>
          <w:sz w:val="24"/>
          <w:szCs w:val="24"/>
        </w:rPr>
        <w:t>6</w:t>
      </w:r>
      <w:r w:rsidR="00762875" w:rsidRPr="00E04C25">
        <w:rPr>
          <w:rFonts w:ascii="Arial" w:hAnsi="Arial" w:cs="Arial"/>
          <w:sz w:val="24"/>
          <w:szCs w:val="24"/>
        </w:rPr>
        <w:t xml:space="preserve"> a 201</w:t>
      </w:r>
      <w:r w:rsidR="007F298C" w:rsidRPr="00E04C25">
        <w:rPr>
          <w:rFonts w:ascii="Arial" w:hAnsi="Arial" w:cs="Arial"/>
          <w:sz w:val="24"/>
          <w:szCs w:val="24"/>
        </w:rPr>
        <w:t>7</w:t>
      </w:r>
      <w:r w:rsidR="00762875" w:rsidRPr="00E04C25">
        <w:rPr>
          <w:rFonts w:ascii="Arial" w:hAnsi="Arial" w:cs="Arial"/>
          <w:sz w:val="24"/>
          <w:szCs w:val="24"/>
        </w:rPr>
        <w:t xml:space="preserve"> </w:t>
      </w:r>
      <w:r w:rsidRPr="00E04C25">
        <w:rPr>
          <w:rFonts w:ascii="Arial" w:hAnsi="Arial" w:cs="Arial"/>
          <w:sz w:val="24"/>
          <w:szCs w:val="24"/>
        </w:rPr>
        <w:t>byly</w:t>
      </w:r>
      <w:r w:rsidR="00762875" w:rsidRPr="00E04C25">
        <w:rPr>
          <w:rFonts w:ascii="Arial" w:hAnsi="Arial" w:cs="Arial"/>
          <w:sz w:val="24"/>
          <w:szCs w:val="24"/>
        </w:rPr>
        <w:t xml:space="preserve"> spočteny jako průměry jednotlivých čtvrtletí. V</w:t>
      </w:r>
      <w:r w:rsidR="00762875" w:rsidRPr="00E04C25">
        <w:rPr>
          <w:rFonts w:ascii="Arial" w:hAnsi="Arial"/>
          <w:bCs/>
          <w:sz w:val="24"/>
          <w:szCs w:val="24"/>
        </w:rPr>
        <w:t>šechny údaje</w:t>
      </w:r>
      <w:r w:rsidR="00762875" w:rsidRPr="00E04C25">
        <w:rPr>
          <w:rFonts w:ascii="Arial" w:hAnsi="Arial"/>
          <w:sz w:val="24"/>
          <w:szCs w:val="24"/>
        </w:rPr>
        <w:t xml:space="preserve"> z výběrového souboru VŠPS jsou převažovány na věkovou strukturu obyvatelstva podle demografické projekce.</w:t>
      </w:r>
    </w:p>
    <w:p w:rsidR="00762875" w:rsidRPr="00E04C25" w:rsidRDefault="00762875" w:rsidP="00AE65A5">
      <w:pPr>
        <w:pStyle w:val="Textpoznpodarou"/>
        <w:tabs>
          <w:tab w:val="left" w:pos="709"/>
        </w:tabs>
        <w:jc w:val="center"/>
        <w:rPr>
          <w:rFonts w:ascii="Arial" w:hAnsi="Arial" w:cs="Arial"/>
          <w:b/>
          <w:bCs/>
          <w:sz w:val="16"/>
          <w:szCs w:val="16"/>
        </w:rPr>
      </w:pPr>
    </w:p>
    <w:p w:rsidR="00762875" w:rsidRPr="00E04C25" w:rsidRDefault="00762875" w:rsidP="00AE65A5">
      <w:pPr>
        <w:pStyle w:val="Textpoznpodarou"/>
        <w:tabs>
          <w:tab w:val="left" w:pos="709"/>
        </w:tabs>
        <w:ind w:left="709" w:firstLine="709"/>
        <w:rPr>
          <w:rFonts w:ascii="Arial" w:hAnsi="Arial" w:cs="Arial"/>
          <w:b/>
          <w:bCs/>
          <w:sz w:val="24"/>
          <w:szCs w:val="24"/>
        </w:rPr>
      </w:pPr>
      <w:r w:rsidRPr="00E04C25">
        <w:rPr>
          <w:rFonts w:ascii="Arial" w:hAnsi="Arial" w:cs="Arial"/>
          <w:b/>
          <w:bCs/>
          <w:sz w:val="24"/>
          <w:szCs w:val="24"/>
        </w:rPr>
        <w:t xml:space="preserve">Ekonomická aktivita obyvatel ČR ve věku 15 a více let </w:t>
      </w:r>
    </w:p>
    <w:p w:rsidR="00762875" w:rsidRPr="00E04C25" w:rsidRDefault="00762875" w:rsidP="00AE65A5">
      <w:pPr>
        <w:pStyle w:val="Textpoznpodarou"/>
        <w:tabs>
          <w:tab w:val="left" w:pos="709"/>
        </w:tabs>
        <w:ind w:left="709" w:firstLine="709"/>
        <w:jc w:val="right"/>
        <w:rPr>
          <w:rFonts w:ascii="Arial" w:hAnsi="Arial" w:cs="Arial"/>
          <w:b/>
          <w:bCs/>
          <w:sz w:val="24"/>
          <w:szCs w:val="24"/>
        </w:rPr>
      </w:pPr>
      <w:r w:rsidRPr="00E04C25">
        <w:rPr>
          <w:rFonts w:ascii="Arial" w:hAnsi="Arial" w:cs="Arial"/>
          <w:b/>
          <w:bCs/>
          <w:sz w:val="24"/>
          <w:szCs w:val="24"/>
        </w:rPr>
        <w:tab/>
        <w:t xml:space="preserve">        </w:t>
      </w:r>
      <w:r w:rsidRPr="00E04C25">
        <w:rPr>
          <w:rFonts w:ascii="Arial" w:hAnsi="Arial" w:cs="Arial"/>
          <w:szCs w:val="24"/>
        </w:rPr>
        <w:t>tab. č. 1</w:t>
      </w:r>
    </w:p>
    <w:tbl>
      <w:tblPr>
        <w:tblW w:w="9808" w:type="dxa"/>
        <w:jc w:val="center"/>
        <w:tblCellMar>
          <w:left w:w="70" w:type="dxa"/>
          <w:right w:w="70" w:type="dxa"/>
        </w:tblCellMar>
        <w:tblLook w:val="0000"/>
      </w:tblPr>
      <w:tblGrid>
        <w:gridCol w:w="2262"/>
        <w:gridCol w:w="769"/>
        <w:gridCol w:w="726"/>
        <w:gridCol w:w="726"/>
        <w:gridCol w:w="768"/>
        <w:gridCol w:w="726"/>
        <w:gridCol w:w="726"/>
        <w:gridCol w:w="768"/>
        <w:gridCol w:w="638"/>
        <w:gridCol w:w="638"/>
        <w:gridCol w:w="1061"/>
      </w:tblGrid>
      <w:tr w:rsidR="00536B64" w:rsidRPr="00E04C25" w:rsidTr="000D7FF0">
        <w:trPr>
          <w:trHeight w:val="255"/>
          <w:jc w:val="center"/>
        </w:trPr>
        <w:tc>
          <w:tcPr>
            <w:tcW w:w="2262" w:type="dxa"/>
            <w:vMerge w:val="restart"/>
            <w:tcBorders>
              <w:top w:val="double" w:sz="6" w:space="0" w:color="auto"/>
              <w:left w:val="double" w:sz="6" w:space="0" w:color="auto"/>
              <w:bottom w:val="nil"/>
              <w:right w:val="nil"/>
            </w:tcBorders>
            <w:noWrap/>
            <w:vAlign w:val="bottom"/>
          </w:tcPr>
          <w:p w:rsidR="00762875" w:rsidRPr="00E04C25" w:rsidRDefault="00762875" w:rsidP="002413D1">
            <w:pPr>
              <w:tabs>
                <w:tab w:val="left" w:pos="709"/>
              </w:tabs>
              <w:ind w:firstLineChars="200" w:firstLine="321"/>
              <w:rPr>
                <w:rFonts w:ascii="Arial" w:hAnsi="Arial" w:cs="Arial"/>
                <w:b/>
                <w:sz w:val="16"/>
                <w:szCs w:val="16"/>
              </w:rPr>
            </w:pPr>
            <w:r w:rsidRPr="00E04C25">
              <w:rPr>
                <w:rFonts w:ascii="Arial" w:hAnsi="Arial" w:cs="Arial"/>
                <w:b/>
                <w:sz w:val="16"/>
                <w:szCs w:val="16"/>
              </w:rPr>
              <w:t> </w:t>
            </w:r>
          </w:p>
          <w:p w:rsidR="00762875" w:rsidRPr="00E04C25" w:rsidRDefault="00762875" w:rsidP="00AE65A5">
            <w:pPr>
              <w:tabs>
                <w:tab w:val="left" w:pos="709"/>
              </w:tabs>
              <w:ind w:right="-70"/>
              <w:rPr>
                <w:rFonts w:ascii="Arial" w:hAnsi="Arial" w:cs="Arial"/>
                <w:b/>
                <w:sz w:val="16"/>
                <w:szCs w:val="16"/>
              </w:rPr>
            </w:pPr>
            <w:r w:rsidRPr="00E04C25">
              <w:rPr>
                <w:rFonts w:ascii="Arial" w:hAnsi="Arial" w:cs="Arial"/>
                <w:b/>
                <w:sz w:val="16"/>
                <w:szCs w:val="16"/>
              </w:rPr>
              <w:t> </w:t>
            </w:r>
          </w:p>
        </w:tc>
        <w:tc>
          <w:tcPr>
            <w:tcW w:w="2221" w:type="dxa"/>
            <w:gridSpan w:val="3"/>
            <w:tcBorders>
              <w:top w:val="double" w:sz="6" w:space="0" w:color="auto"/>
              <w:left w:val="single" w:sz="8" w:space="0" w:color="auto"/>
              <w:bottom w:val="single" w:sz="8" w:space="0" w:color="auto"/>
              <w:right w:val="single" w:sz="8" w:space="0" w:color="000000"/>
            </w:tcBorders>
            <w:noWrap/>
            <w:vAlign w:val="center"/>
          </w:tcPr>
          <w:p w:rsidR="00D054E5" w:rsidRPr="00E04C25" w:rsidRDefault="00762875" w:rsidP="00EC746A">
            <w:pPr>
              <w:tabs>
                <w:tab w:val="left" w:pos="709"/>
              </w:tabs>
              <w:jc w:val="center"/>
              <w:rPr>
                <w:rFonts w:ascii="Arial" w:hAnsi="Arial" w:cs="Arial"/>
                <w:b/>
                <w:bCs/>
                <w:sz w:val="18"/>
                <w:szCs w:val="18"/>
              </w:rPr>
            </w:pPr>
            <w:r w:rsidRPr="00E04C25">
              <w:rPr>
                <w:rFonts w:ascii="Arial" w:hAnsi="Arial" w:cs="Arial"/>
                <w:b/>
                <w:bCs/>
                <w:sz w:val="18"/>
                <w:szCs w:val="18"/>
              </w:rPr>
              <w:t>201</w:t>
            </w:r>
            <w:r w:rsidR="00EC746A" w:rsidRPr="00E04C25">
              <w:rPr>
                <w:rFonts w:ascii="Arial" w:hAnsi="Arial" w:cs="Arial"/>
                <w:b/>
                <w:bCs/>
                <w:sz w:val="18"/>
                <w:szCs w:val="18"/>
              </w:rPr>
              <w:t>6</w:t>
            </w:r>
          </w:p>
        </w:tc>
        <w:tc>
          <w:tcPr>
            <w:tcW w:w="2220" w:type="dxa"/>
            <w:gridSpan w:val="3"/>
            <w:tcBorders>
              <w:top w:val="double" w:sz="6" w:space="0" w:color="auto"/>
              <w:left w:val="single" w:sz="8" w:space="0" w:color="auto"/>
              <w:bottom w:val="single" w:sz="8" w:space="0" w:color="auto"/>
              <w:right w:val="single" w:sz="8" w:space="0" w:color="000000"/>
            </w:tcBorders>
            <w:noWrap/>
            <w:vAlign w:val="center"/>
          </w:tcPr>
          <w:p w:rsidR="00762875" w:rsidRPr="00E04C25" w:rsidRDefault="00762875" w:rsidP="00EC746A">
            <w:pPr>
              <w:tabs>
                <w:tab w:val="left" w:pos="709"/>
              </w:tabs>
              <w:jc w:val="center"/>
              <w:rPr>
                <w:rFonts w:ascii="Arial" w:hAnsi="Arial" w:cs="Arial"/>
                <w:b/>
                <w:bCs/>
                <w:sz w:val="18"/>
                <w:szCs w:val="18"/>
              </w:rPr>
            </w:pPr>
            <w:r w:rsidRPr="00E04C25">
              <w:rPr>
                <w:rFonts w:ascii="Arial" w:hAnsi="Arial" w:cs="Arial"/>
                <w:b/>
                <w:bCs/>
                <w:sz w:val="18"/>
                <w:szCs w:val="18"/>
              </w:rPr>
              <w:t>201</w:t>
            </w:r>
            <w:r w:rsidR="00EC746A" w:rsidRPr="00E04C25">
              <w:rPr>
                <w:rFonts w:ascii="Arial" w:hAnsi="Arial" w:cs="Arial"/>
                <w:b/>
                <w:bCs/>
                <w:sz w:val="18"/>
                <w:szCs w:val="18"/>
              </w:rPr>
              <w:t>7</w:t>
            </w:r>
          </w:p>
        </w:tc>
        <w:tc>
          <w:tcPr>
            <w:tcW w:w="2044" w:type="dxa"/>
            <w:gridSpan w:val="3"/>
            <w:tcBorders>
              <w:top w:val="double" w:sz="6" w:space="0" w:color="auto"/>
              <w:left w:val="nil"/>
              <w:bottom w:val="single" w:sz="8" w:space="0" w:color="auto"/>
              <w:right w:val="single" w:sz="8" w:space="0" w:color="000000"/>
            </w:tcBorders>
            <w:noWrap/>
            <w:vAlign w:val="center"/>
          </w:tcPr>
          <w:p w:rsidR="00762875" w:rsidRPr="00E04C25" w:rsidRDefault="00762875" w:rsidP="00EC746A">
            <w:pPr>
              <w:tabs>
                <w:tab w:val="left" w:pos="709"/>
              </w:tabs>
              <w:jc w:val="center"/>
              <w:rPr>
                <w:rFonts w:ascii="Arial" w:hAnsi="Arial" w:cs="Arial"/>
                <w:b/>
                <w:bCs/>
                <w:sz w:val="18"/>
                <w:szCs w:val="18"/>
              </w:rPr>
            </w:pPr>
            <w:r w:rsidRPr="00E04C25">
              <w:rPr>
                <w:rFonts w:ascii="Arial" w:hAnsi="Arial" w:cs="Arial"/>
                <w:b/>
                <w:bCs/>
                <w:sz w:val="18"/>
                <w:szCs w:val="18"/>
              </w:rPr>
              <w:t>rozdíl 201</w:t>
            </w:r>
            <w:r w:rsidR="00EC746A" w:rsidRPr="00E04C25">
              <w:rPr>
                <w:rFonts w:ascii="Arial" w:hAnsi="Arial" w:cs="Arial"/>
                <w:b/>
                <w:bCs/>
                <w:sz w:val="18"/>
                <w:szCs w:val="18"/>
              </w:rPr>
              <w:t>7</w:t>
            </w:r>
            <w:r w:rsidRPr="00E04C25">
              <w:rPr>
                <w:rFonts w:ascii="Arial" w:hAnsi="Arial" w:cs="Arial"/>
                <w:b/>
                <w:bCs/>
                <w:sz w:val="18"/>
                <w:szCs w:val="18"/>
              </w:rPr>
              <w:t>-201</w:t>
            </w:r>
            <w:r w:rsidR="00EC746A" w:rsidRPr="00E04C25">
              <w:rPr>
                <w:rFonts w:ascii="Arial" w:hAnsi="Arial" w:cs="Arial"/>
                <w:b/>
                <w:bCs/>
                <w:sz w:val="18"/>
                <w:szCs w:val="18"/>
              </w:rPr>
              <w:t>6</w:t>
            </w:r>
          </w:p>
        </w:tc>
        <w:tc>
          <w:tcPr>
            <w:tcW w:w="1061" w:type="dxa"/>
            <w:tcBorders>
              <w:top w:val="double" w:sz="6" w:space="0" w:color="auto"/>
              <w:left w:val="nil"/>
              <w:bottom w:val="single" w:sz="8" w:space="0" w:color="auto"/>
              <w:right w:val="double" w:sz="6" w:space="0" w:color="auto"/>
            </w:tcBorders>
            <w:noWrap/>
            <w:vAlign w:val="center"/>
          </w:tcPr>
          <w:p w:rsidR="00762875" w:rsidRPr="00E04C25" w:rsidRDefault="00762875" w:rsidP="00EC746A">
            <w:pPr>
              <w:tabs>
                <w:tab w:val="left" w:pos="709"/>
              </w:tabs>
              <w:jc w:val="center"/>
              <w:rPr>
                <w:rFonts w:ascii="Arial" w:hAnsi="Arial" w:cs="Arial"/>
                <w:b/>
                <w:bCs/>
                <w:sz w:val="18"/>
                <w:szCs w:val="18"/>
              </w:rPr>
            </w:pPr>
            <w:r w:rsidRPr="00E04C25">
              <w:rPr>
                <w:rFonts w:ascii="Arial" w:hAnsi="Arial" w:cs="Arial"/>
                <w:b/>
                <w:bCs/>
                <w:sz w:val="18"/>
                <w:szCs w:val="18"/>
              </w:rPr>
              <w:t>index1</w:t>
            </w:r>
            <w:r w:rsidR="00EC746A" w:rsidRPr="00E04C25">
              <w:rPr>
                <w:rFonts w:ascii="Arial" w:hAnsi="Arial" w:cs="Arial"/>
                <w:b/>
                <w:bCs/>
                <w:sz w:val="18"/>
                <w:szCs w:val="18"/>
              </w:rPr>
              <w:t>7</w:t>
            </w:r>
            <w:r w:rsidRPr="00E04C25">
              <w:rPr>
                <w:rFonts w:ascii="Arial" w:hAnsi="Arial" w:cs="Arial"/>
                <w:b/>
                <w:bCs/>
                <w:sz w:val="18"/>
                <w:szCs w:val="18"/>
              </w:rPr>
              <w:t>/1</w:t>
            </w:r>
            <w:r w:rsidR="00EC746A" w:rsidRPr="00E04C25">
              <w:rPr>
                <w:rFonts w:ascii="Arial" w:hAnsi="Arial" w:cs="Arial"/>
                <w:b/>
                <w:bCs/>
                <w:sz w:val="18"/>
                <w:szCs w:val="18"/>
              </w:rPr>
              <w:t>6</w:t>
            </w:r>
            <w:r w:rsidRPr="00E04C25">
              <w:rPr>
                <w:rFonts w:ascii="Arial" w:hAnsi="Arial" w:cs="Arial"/>
                <w:b/>
                <w:bCs/>
                <w:sz w:val="18"/>
                <w:szCs w:val="18"/>
              </w:rPr>
              <w:t xml:space="preserve"> </w:t>
            </w:r>
          </w:p>
        </w:tc>
      </w:tr>
      <w:tr w:rsidR="00536B64" w:rsidRPr="00E04C25" w:rsidTr="000D7FF0">
        <w:trPr>
          <w:trHeight w:val="255"/>
          <w:jc w:val="center"/>
        </w:trPr>
        <w:tc>
          <w:tcPr>
            <w:tcW w:w="2262" w:type="dxa"/>
            <w:vMerge/>
            <w:tcBorders>
              <w:left w:val="double" w:sz="6" w:space="0" w:color="auto"/>
              <w:right w:val="single" w:sz="8" w:space="0" w:color="auto"/>
            </w:tcBorders>
            <w:vAlign w:val="center"/>
          </w:tcPr>
          <w:p w:rsidR="00762875" w:rsidRPr="00E04C25" w:rsidRDefault="00762875" w:rsidP="00AE65A5">
            <w:pPr>
              <w:tabs>
                <w:tab w:val="left" w:pos="709"/>
              </w:tabs>
              <w:rPr>
                <w:rFonts w:ascii="Arial" w:hAnsi="Arial" w:cs="Arial"/>
                <w:b/>
                <w:sz w:val="16"/>
                <w:szCs w:val="16"/>
              </w:rPr>
            </w:pPr>
          </w:p>
        </w:tc>
        <w:tc>
          <w:tcPr>
            <w:tcW w:w="769" w:type="dxa"/>
            <w:tcBorders>
              <w:top w:val="nil"/>
              <w:left w:val="nil"/>
              <w:bottom w:val="nil"/>
              <w:right w:val="nil"/>
            </w:tcBorders>
            <w:noWrap/>
            <w:vAlign w:val="center"/>
          </w:tcPr>
          <w:p w:rsidR="00762875" w:rsidRPr="00E04C25" w:rsidRDefault="00762875" w:rsidP="00AE65A5">
            <w:pPr>
              <w:tabs>
                <w:tab w:val="left" w:pos="709"/>
              </w:tabs>
              <w:jc w:val="center"/>
              <w:rPr>
                <w:rFonts w:ascii="Arial" w:hAnsi="Arial" w:cs="Arial"/>
                <w:b/>
                <w:sz w:val="18"/>
                <w:szCs w:val="18"/>
              </w:rPr>
            </w:pPr>
            <w:r w:rsidRPr="00E04C25">
              <w:rPr>
                <w:rFonts w:ascii="Arial" w:hAnsi="Arial" w:cs="Arial"/>
                <w:b/>
                <w:sz w:val="18"/>
                <w:szCs w:val="18"/>
              </w:rPr>
              <w:t>celkem</w:t>
            </w:r>
          </w:p>
        </w:tc>
        <w:tc>
          <w:tcPr>
            <w:tcW w:w="726" w:type="dxa"/>
            <w:tcBorders>
              <w:top w:val="nil"/>
              <w:left w:val="nil"/>
              <w:bottom w:val="nil"/>
              <w:right w:val="nil"/>
            </w:tcBorders>
            <w:noWrap/>
            <w:vAlign w:val="center"/>
          </w:tcPr>
          <w:p w:rsidR="00762875" w:rsidRPr="00E04C25" w:rsidRDefault="00762875" w:rsidP="00AE65A5">
            <w:pPr>
              <w:tabs>
                <w:tab w:val="left" w:pos="709"/>
              </w:tabs>
              <w:jc w:val="center"/>
              <w:rPr>
                <w:rFonts w:ascii="Arial" w:hAnsi="Arial" w:cs="Arial"/>
                <w:b/>
                <w:sz w:val="18"/>
                <w:szCs w:val="18"/>
              </w:rPr>
            </w:pPr>
            <w:r w:rsidRPr="00E04C25">
              <w:rPr>
                <w:rFonts w:ascii="Arial" w:hAnsi="Arial" w:cs="Arial"/>
                <w:b/>
                <w:sz w:val="18"/>
                <w:szCs w:val="18"/>
              </w:rPr>
              <w:t>muži</w:t>
            </w:r>
          </w:p>
        </w:tc>
        <w:tc>
          <w:tcPr>
            <w:tcW w:w="726" w:type="dxa"/>
            <w:tcBorders>
              <w:top w:val="nil"/>
              <w:left w:val="nil"/>
              <w:bottom w:val="nil"/>
              <w:right w:val="nil"/>
            </w:tcBorders>
            <w:noWrap/>
            <w:vAlign w:val="center"/>
          </w:tcPr>
          <w:p w:rsidR="00762875" w:rsidRPr="00E04C25" w:rsidRDefault="00762875" w:rsidP="00AE65A5">
            <w:pPr>
              <w:tabs>
                <w:tab w:val="left" w:pos="709"/>
              </w:tabs>
              <w:jc w:val="center"/>
              <w:rPr>
                <w:rFonts w:ascii="Arial" w:hAnsi="Arial" w:cs="Arial"/>
                <w:b/>
                <w:sz w:val="18"/>
                <w:szCs w:val="18"/>
              </w:rPr>
            </w:pPr>
            <w:r w:rsidRPr="00E04C25">
              <w:rPr>
                <w:rFonts w:ascii="Arial" w:hAnsi="Arial" w:cs="Arial"/>
                <w:b/>
                <w:sz w:val="18"/>
                <w:szCs w:val="18"/>
              </w:rPr>
              <w:t>ženy</w:t>
            </w:r>
          </w:p>
        </w:tc>
        <w:tc>
          <w:tcPr>
            <w:tcW w:w="768" w:type="dxa"/>
            <w:tcBorders>
              <w:top w:val="nil"/>
              <w:left w:val="single" w:sz="8" w:space="0" w:color="auto"/>
              <w:bottom w:val="nil"/>
              <w:right w:val="nil"/>
            </w:tcBorders>
            <w:noWrap/>
            <w:vAlign w:val="center"/>
          </w:tcPr>
          <w:p w:rsidR="00762875" w:rsidRPr="00E04C25" w:rsidRDefault="00762875" w:rsidP="00AE65A5">
            <w:pPr>
              <w:tabs>
                <w:tab w:val="left" w:pos="709"/>
              </w:tabs>
              <w:jc w:val="center"/>
              <w:rPr>
                <w:rFonts w:ascii="Arial" w:hAnsi="Arial" w:cs="Arial"/>
                <w:b/>
                <w:sz w:val="18"/>
                <w:szCs w:val="18"/>
              </w:rPr>
            </w:pPr>
            <w:r w:rsidRPr="00E04C25">
              <w:rPr>
                <w:rFonts w:ascii="Arial" w:hAnsi="Arial" w:cs="Arial"/>
                <w:b/>
                <w:sz w:val="18"/>
                <w:szCs w:val="18"/>
              </w:rPr>
              <w:t>celkem</w:t>
            </w:r>
          </w:p>
        </w:tc>
        <w:tc>
          <w:tcPr>
            <w:tcW w:w="726" w:type="dxa"/>
            <w:tcBorders>
              <w:top w:val="nil"/>
              <w:left w:val="nil"/>
              <w:bottom w:val="nil"/>
              <w:right w:val="nil"/>
            </w:tcBorders>
            <w:noWrap/>
            <w:vAlign w:val="center"/>
          </w:tcPr>
          <w:p w:rsidR="00762875" w:rsidRPr="00E04C25" w:rsidRDefault="00762875" w:rsidP="00AE65A5">
            <w:pPr>
              <w:tabs>
                <w:tab w:val="left" w:pos="709"/>
              </w:tabs>
              <w:jc w:val="center"/>
              <w:rPr>
                <w:rFonts w:ascii="Arial" w:hAnsi="Arial" w:cs="Arial"/>
                <w:b/>
                <w:sz w:val="18"/>
                <w:szCs w:val="18"/>
              </w:rPr>
            </w:pPr>
            <w:r w:rsidRPr="00E04C25">
              <w:rPr>
                <w:rFonts w:ascii="Arial" w:hAnsi="Arial" w:cs="Arial"/>
                <w:b/>
                <w:sz w:val="18"/>
                <w:szCs w:val="18"/>
              </w:rPr>
              <w:t>muži</w:t>
            </w:r>
          </w:p>
        </w:tc>
        <w:tc>
          <w:tcPr>
            <w:tcW w:w="726" w:type="dxa"/>
            <w:tcBorders>
              <w:top w:val="nil"/>
              <w:left w:val="nil"/>
              <w:bottom w:val="nil"/>
              <w:right w:val="single" w:sz="8" w:space="0" w:color="auto"/>
            </w:tcBorders>
            <w:noWrap/>
            <w:vAlign w:val="center"/>
          </w:tcPr>
          <w:p w:rsidR="00762875" w:rsidRPr="00E04C25" w:rsidRDefault="00762875" w:rsidP="00AE65A5">
            <w:pPr>
              <w:tabs>
                <w:tab w:val="left" w:pos="709"/>
              </w:tabs>
              <w:jc w:val="center"/>
              <w:rPr>
                <w:rFonts w:ascii="Arial" w:hAnsi="Arial" w:cs="Arial"/>
                <w:b/>
                <w:sz w:val="18"/>
                <w:szCs w:val="18"/>
              </w:rPr>
            </w:pPr>
            <w:r w:rsidRPr="00E04C25">
              <w:rPr>
                <w:rFonts w:ascii="Arial" w:hAnsi="Arial" w:cs="Arial"/>
                <w:b/>
                <w:sz w:val="18"/>
                <w:szCs w:val="18"/>
              </w:rPr>
              <w:t>ženy</w:t>
            </w:r>
          </w:p>
        </w:tc>
        <w:tc>
          <w:tcPr>
            <w:tcW w:w="768" w:type="dxa"/>
            <w:tcBorders>
              <w:top w:val="nil"/>
              <w:left w:val="nil"/>
              <w:bottom w:val="nil"/>
              <w:right w:val="nil"/>
            </w:tcBorders>
            <w:noWrap/>
            <w:vAlign w:val="center"/>
          </w:tcPr>
          <w:p w:rsidR="00762875" w:rsidRPr="00E04C25" w:rsidRDefault="00762875" w:rsidP="00AE65A5">
            <w:pPr>
              <w:tabs>
                <w:tab w:val="left" w:pos="709"/>
              </w:tabs>
              <w:jc w:val="center"/>
              <w:rPr>
                <w:rFonts w:ascii="Arial" w:hAnsi="Arial" w:cs="Arial"/>
                <w:b/>
                <w:sz w:val="18"/>
                <w:szCs w:val="18"/>
              </w:rPr>
            </w:pPr>
            <w:r w:rsidRPr="00E04C25">
              <w:rPr>
                <w:rFonts w:ascii="Arial" w:hAnsi="Arial" w:cs="Arial"/>
                <w:b/>
                <w:sz w:val="18"/>
                <w:szCs w:val="18"/>
              </w:rPr>
              <w:t>celkem</w:t>
            </w:r>
          </w:p>
        </w:tc>
        <w:tc>
          <w:tcPr>
            <w:tcW w:w="638" w:type="dxa"/>
            <w:tcBorders>
              <w:top w:val="nil"/>
              <w:left w:val="nil"/>
              <w:bottom w:val="nil"/>
              <w:right w:val="nil"/>
            </w:tcBorders>
            <w:noWrap/>
            <w:vAlign w:val="center"/>
          </w:tcPr>
          <w:p w:rsidR="00762875" w:rsidRPr="00E04C25" w:rsidRDefault="00762875" w:rsidP="00AE65A5">
            <w:pPr>
              <w:tabs>
                <w:tab w:val="left" w:pos="709"/>
              </w:tabs>
              <w:jc w:val="center"/>
              <w:rPr>
                <w:rFonts w:ascii="Arial" w:hAnsi="Arial" w:cs="Arial"/>
                <w:b/>
                <w:sz w:val="18"/>
                <w:szCs w:val="18"/>
              </w:rPr>
            </w:pPr>
            <w:r w:rsidRPr="00E04C25">
              <w:rPr>
                <w:rFonts w:ascii="Arial" w:hAnsi="Arial" w:cs="Arial"/>
                <w:b/>
                <w:sz w:val="18"/>
                <w:szCs w:val="18"/>
              </w:rPr>
              <w:t>muži</w:t>
            </w:r>
          </w:p>
        </w:tc>
        <w:tc>
          <w:tcPr>
            <w:tcW w:w="638" w:type="dxa"/>
            <w:tcBorders>
              <w:top w:val="nil"/>
              <w:left w:val="nil"/>
              <w:bottom w:val="nil"/>
              <w:right w:val="single" w:sz="8" w:space="0" w:color="auto"/>
            </w:tcBorders>
            <w:noWrap/>
            <w:vAlign w:val="center"/>
          </w:tcPr>
          <w:p w:rsidR="00762875" w:rsidRPr="00E04C25" w:rsidRDefault="00762875" w:rsidP="00AE65A5">
            <w:pPr>
              <w:tabs>
                <w:tab w:val="left" w:pos="709"/>
              </w:tabs>
              <w:jc w:val="center"/>
              <w:rPr>
                <w:rFonts w:ascii="Arial" w:hAnsi="Arial" w:cs="Arial"/>
                <w:b/>
                <w:sz w:val="18"/>
                <w:szCs w:val="18"/>
              </w:rPr>
            </w:pPr>
            <w:r w:rsidRPr="00E04C25">
              <w:rPr>
                <w:rFonts w:ascii="Arial" w:hAnsi="Arial" w:cs="Arial"/>
                <w:b/>
                <w:sz w:val="18"/>
                <w:szCs w:val="18"/>
              </w:rPr>
              <w:t>ženy</w:t>
            </w:r>
          </w:p>
        </w:tc>
        <w:tc>
          <w:tcPr>
            <w:tcW w:w="1061" w:type="dxa"/>
            <w:tcBorders>
              <w:top w:val="nil"/>
              <w:left w:val="nil"/>
              <w:bottom w:val="nil"/>
              <w:right w:val="double" w:sz="6" w:space="0" w:color="auto"/>
            </w:tcBorders>
            <w:noWrap/>
            <w:vAlign w:val="center"/>
          </w:tcPr>
          <w:p w:rsidR="00762875" w:rsidRPr="00E04C25" w:rsidRDefault="00762875" w:rsidP="00AE65A5">
            <w:pPr>
              <w:tabs>
                <w:tab w:val="left" w:pos="709"/>
              </w:tabs>
              <w:jc w:val="center"/>
              <w:rPr>
                <w:rFonts w:ascii="Arial" w:hAnsi="Arial" w:cs="Arial"/>
                <w:b/>
                <w:sz w:val="18"/>
                <w:szCs w:val="18"/>
              </w:rPr>
            </w:pPr>
            <w:r w:rsidRPr="00E04C25">
              <w:rPr>
                <w:rFonts w:ascii="Arial" w:hAnsi="Arial" w:cs="Arial"/>
                <w:b/>
                <w:sz w:val="18"/>
                <w:szCs w:val="18"/>
              </w:rPr>
              <w:t>celkem</w:t>
            </w:r>
          </w:p>
        </w:tc>
      </w:tr>
      <w:tr w:rsidR="00536B64" w:rsidRPr="00E04C25" w:rsidTr="000D7FF0">
        <w:trPr>
          <w:trHeight w:val="227"/>
          <w:jc w:val="center"/>
        </w:trPr>
        <w:tc>
          <w:tcPr>
            <w:tcW w:w="2262" w:type="dxa"/>
            <w:vMerge/>
            <w:tcBorders>
              <w:left w:val="double" w:sz="6" w:space="0" w:color="auto"/>
              <w:bottom w:val="single" w:sz="8" w:space="0" w:color="000000"/>
              <w:right w:val="single" w:sz="8" w:space="0" w:color="auto"/>
            </w:tcBorders>
            <w:vAlign w:val="center"/>
          </w:tcPr>
          <w:p w:rsidR="00762875" w:rsidRPr="00E04C25" w:rsidRDefault="00762875" w:rsidP="00AE65A5">
            <w:pPr>
              <w:tabs>
                <w:tab w:val="left" w:pos="709"/>
              </w:tabs>
              <w:rPr>
                <w:rFonts w:ascii="Arial" w:hAnsi="Arial" w:cs="Arial"/>
                <w:b/>
                <w:sz w:val="16"/>
                <w:szCs w:val="16"/>
              </w:rPr>
            </w:pPr>
          </w:p>
        </w:tc>
        <w:tc>
          <w:tcPr>
            <w:tcW w:w="2221" w:type="dxa"/>
            <w:gridSpan w:val="3"/>
            <w:tcBorders>
              <w:top w:val="single" w:sz="8" w:space="0" w:color="auto"/>
              <w:left w:val="nil"/>
              <w:bottom w:val="single" w:sz="8" w:space="0" w:color="auto"/>
              <w:right w:val="single" w:sz="8" w:space="0" w:color="000000"/>
            </w:tcBorders>
            <w:noWrap/>
            <w:vAlign w:val="center"/>
          </w:tcPr>
          <w:p w:rsidR="00762875" w:rsidRPr="00E04C25" w:rsidRDefault="00762875" w:rsidP="00AE65A5">
            <w:pPr>
              <w:tabs>
                <w:tab w:val="left" w:pos="709"/>
              </w:tabs>
              <w:jc w:val="center"/>
              <w:rPr>
                <w:rFonts w:ascii="Arial" w:hAnsi="Arial" w:cs="Arial"/>
                <w:b/>
                <w:sz w:val="18"/>
                <w:szCs w:val="18"/>
              </w:rPr>
            </w:pPr>
            <w:r w:rsidRPr="00E04C25">
              <w:rPr>
                <w:rFonts w:ascii="Arial" w:hAnsi="Arial" w:cs="Arial"/>
                <w:b/>
                <w:sz w:val="18"/>
                <w:szCs w:val="18"/>
              </w:rPr>
              <w:t>v tis.</w:t>
            </w:r>
          </w:p>
        </w:tc>
        <w:tc>
          <w:tcPr>
            <w:tcW w:w="2220" w:type="dxa"/>
            <w:gridSpan w:val="3"/>
            <w:tcBorders>
              <w:top w:val="single" w:sz="8" w:space="0" w:color="auto"/>
              <w:left w:val="nil"/>
              <w:bottom w:val="single" w:sz="8" w:space="0" w:color="auto"/>
              <w:right w:val="single" w:sz="8" w:space="0" w:color="000000"/>
            </w:tcBorders>
            <w:noWrap/>
            <w:vAlign w:val="center"/>
          </w:tcPr>
          <w:p w:rsidR="00762875" w:rsidRPr="00E04C25" w:rsidRDefault="00762875" w:rsidP="00AE65A5">
            <w:pPr>
              <w:tabs>
                <w:tab w:val="left" w:pos="709"/>
              </w:tabs>
              <w:jc w:val="center"/>
              <w:rPr>
                <w:rFonts w:ascii="Arial" w:hAnsi="Arial" w:cs="Arial"/>
                <w:b/>
                <w:sz w:val="18"/>
                <w:szCs w:val="18"/>
              </w:rPr>
            </w:pPr>
            <w:r w:rsidRPr="00E04C25">
              <w:rPr>
                <w:rFonts w:ascii="Arial" w:hAnsi="Arial" w:cs="Arial"/>
                <w:b/>
                <w:sz w:val="18"/>
                <w:szCs w:val="18"/>
              </w:rPr>
              <w:t>v tis.</w:t>
            </w:r>
          </w:p>
        </w:tc>
        <w:tc>
          <w:tcPr>
            <w:tcW w:w="2044" w:type="dxa"/>
            <w:gridSpan w:val="3"/>
            <w:tcBorders>
              <w:top w:val="single" w:sz="8" w:space="0" w:color="auto"/>
              <w:left w:val="nil"/>
              <w:bottom w:val="single" w:sz="8" w:space="0" w:color="auto"/>
              <w:right w:val="single" w:sz="8" w:space="0" w:color="000000"/>
            </w:tcBorders>
            <w:noWrap/>
            <w:vAlign w:val="center"/>
          </w:tcPr>
          <w:p w:rsidR="00762875" w:rsidRPr="00E04C25" w:rsidRDefault="00762875" w:rsidP="00AE65A5">
            <w:pPr>
              <w:tabs>
                <w:tab w:val="left" w:pos="709"/>
              </w:tabs>
              <w:jc w:val="center"/>
              <w:rPr>
                <w:rFonts w:ascii="Arial" w:hAnsi="Arial" w:cs="Arial"/>
                <w:b/>
                <w:sz w:val="18"/>
                <w:szCs w:val="18"/>
              </w:rPr>
            </w:pPr>
            <w:r w:rsidRPr="00E04C25">
              <w:rPr>
                <w:rFonts w:ascii="Arial" w:hAnsi="Arial" w:cs="Arial"/>
                <w:b/>
                <w:sz w:val="18"/>
                <w:szCs w:val="18"/>
              </w:rPr>
              <w:t>v tis.</w:t>
            </w:r>
          </w:p>
        </w:tc>
        <w:tc>
          <w:tcPr>
            <w:tcW w:w="1061" w:type="dxa"/>
            <w:tcBorders>
              <w:top w:val="single" w:sz="8" w:space="0" w:color="auto"/>
              <w:left w:val="nil"/>
              <w:bottom w:val="single" w:sz="8" w:space="0" w:color="auto"/>
              <w:right w:val="double" w:sz="6" w:space="0" w:color="auto"/>
            </w:tcBorders>
            <w:noWrap/>
            <w:vAlign w:val="center"/>
          </w:tcPr>
          <w:p w:rsidR="00762875" w:rsidRPr="00E04C25" w:rsidRDefault="00762875" w:rsidP="00AE65A5">
            <w:pPr>
              <w:tabs>
                <w:tab w:val="left" w:pos="709"/>
              </w:tabs>
              <w:jc w:val="center"/>
              <w:rPr>
                <w:rFonts w:ascii="Arial" w:hAnsi="Arial" w:cs="Arial"/>
                <w:b/>
                <w:sz w:val="18"/>
                <w:szCs w:val="18"/>
              </w:rPr>
            </w:pPr>
            <w:r w:rsidRPr="00E04C25">
              <w:rPr>
                <w:rFonts w:ascii="Arial" w:hAnsi="Arial" w:cs="Arial"/>
                <w:b/>
                <w:bCs/>
                <w:sz w:val="18"/>
                <w:szCs w:val="18"/>
              </w:rPr>
              <w:t>(%)</w:t>
            </w:r>
          </w:p>
        </w:tc>
      </w:tr>
      <w:tr w:rsidR="001E6631" w:rsidRPr="00E04C25" w:rsidTr="001E6631">
        <w:trPr>
          <w:trHeight w:val="278"/>
          <w:jc w:val="center"/>
        </w:trPr>
        <w:tc>
          <w:tcPr>
            <w:tcW w:w="2262" w:type="dxa"/>
            <w:tcBorders>
              <w:top w:val="single" w:sz="8" w:space="0" w:color="000000"/>
              <w:left w:val="double" w:sz="6" w:space="0" w:color="auto"/>
              <w:right w:val="nil"/>
            </w:tcBorders>
            <w:noWrap/>
            <w:vAlign w:val="center"/>
          </w:tcPr>
          <w:p w:rsidR="001E6631" w:rsidRPr="00E04C25" w:rsidRDefault="001E6631" w:rsidP="00AE65A5">
            <w:pPr>
              <w:tabs>
                <w:tab w:val="left" w:pos="709"/>
              </w:tabs>
              <w:rPr>
                <w:rFonts w:ascii="Arial" w:hAnsi="Arial" w:cs="Arial"/>
                <w:b/>
                <w:sz w:val="16"/>
                <w:szCs w:val="16"/>
              </w:rPr>
            </w:pPr>
            <w:r w:rsidRPr="00E04C25">
              <w:rPr>
                <w:rFonts w:ascii="Arial" w:hAnsi="Arial" w:cs="Arial"/>
                <w:b/>
                <w:sz w:val="16"/>
                <w:szCs w:val="16"/>
              </w:rPr>
              <w:t>Populace 15+ celkem </w:t>
            </w:r>
          </w:p>
        </w:tc>
        <w:tc>
          <w:tcPr>
            <w:tcW w:w="769" w:type="dxa"/>
            <w:tcBorders>
              <w:top w:val="nil"/>
              <w:left w:val="single" w:sz="8" w:space="0" w:color="auto"/>
              <w:right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8928,7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4353,7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4575,0 </w:t>
            </w:r>
          </w:p>
        </w:tc>
        <w:tc>
          <w:tcPr>
            <w:tcW w:w="768" w:type="dxa"/>
            <w:tcBorders>
              <w:top w:val="nil"/>
              <w:left w:val="single" w:sz="8" w:space="0" w:color="auto"/>
              <w:right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8929,2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4355,7 </w:t>
            </w:r>
          </w:p>
        </w:tc>
        <w:tc>
          <w:tcPr>
            <w:tcW w:w="726" w:type="dxa"/>
            <w:tcBorders>
              <w:top w:val="nil"/>
              <w:left w:val="nil"/>
              <w:right w:val="single" w:sz="8" w:space="0" w:color="auto"/>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4573,5 </w:t>
            </w:r>
          </w:p>
        </w:tc>
        <w:tc>
          <w:tcPr>
            <w:tcW w:w="768" w:type="dxa"/>
            <w:tcBorders>
              <w:top w:val="nil"/>
              <w:left w:val="nil"/>
              <w:right w:val="nil"/>
            </w:tcBorders>
            <w:noWrap/>
            <w:tcMar>
              <w:left w:w="0" w:type="dxa"/>
              <w:right w:w="0"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0,5 </w:t>
            </w:r>
          </w:p>
        </w:tc>
        <w:tc>
          <w:tcPr>
            <w:tcW w:w="638"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2,0 </w:t>
            </w:r>
          </w:p>
        </w:tc>
        <w:tc>
          <w:tcPr>
            <w:tcW w:w="638" w:type="dxa"/>
            <w:tcBorders>
              <w:top w:val="nil"/>
              <w:left w:val="nil"/>
              <w:right w:val="single" w:sz="8" w:space="0" w:color="auto"/>
            </w:tcBorders>
            <w:noWrap/>
            <w:tcMar>
              <w:left w:w="57" w:type="dxa"/>
              <w:right w:w="57"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-1,5 </w:t>
            </w:r>
          </w:p>
        </w:tc>
        <w:tc>
          <w:tcPr>
            <w:tcW w:w="1061" w:type="dxa"/>
            <w:tcBorders>
              <w:top w:val="single" w:sz="8" w:space="0" w:color="auto"/>
              <w:left w:val="nil"/>
              <w:right w:val="double" w:sz="6" w:space="0" w:color="auto"/>
            </w:tcBorders>
            <w:noWrap/>
            <w:tcMar>
              <w:right w:w="340"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100,0 </w:t>
            </w:r>
          </w:p>
        </w:tc>
      </w:tr>
      <w:tr w:rsidR="001E6631" w:rsidRPr="00E04C25" w:rsidTr="001E6631">
        <w:trPr>
          <w:trHeight w:val="278"/>
          <w:jc w:val="center"/>
        </w:trPr>
        <w:tc>
          <w:tcPr>
            <w:tcW w:w="2262" w:type="dxa"/>
            <w:tcBorders>
              <w:top w:val="nil"/>
              <w:left w:val="double" w:sz="6" w:space="0" w:color="auto"/>
              <w:right w:val="nil"/>
            </w:tcBorders>
            <w:noWrap/>
            <w:vAlign w:val="center"/>
          </w:tcPr>
          <w:p w:rsidR="001E6631" w:rsidRPr="00E04C25" w:rsidRDefault="001E6631" w:rsidP="00C10EFD">
            <w:pPr>
              <w:tabs>
                <w:tab w:val="left" w:pos="709"/>
              </w:tabs>
              <w:rPr>
                <w:rFonts w:ascii="Arial" w:hAnsi="Arial" w:cs="Arial"/>
                <w:sz w:val="16"/>
                <w:szCs w:val="16"/>
              </w:rPr>
            </w:pPr>
            <w:r w:rsidRPr="00E04C25">
              <w:rPr>
                <w:rFonts w:ascii="Arial" w:hAnsi="Arial" w:cs="Arial"/>
                <w:sz w:val="16"/>
                <w:szCs w:val="16"/>
              </w:rPr>
              <w:t xml:space="preserve">   z toho: 15-64 let</w:t>
            </w:r>
          </w:p>
        </w:tc>
        <w:tc>
          <w:tcPr>
            <w:tcW w:w="769" w:type="dxa"/>
            <w:tcBorders>
              <w:top w:val="nil"/>
              <w:left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6968,4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3536,9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3431,5 </w:t>
            </w:r>
          </w:p>
        </w:tc>
        <w:tc>
          <w:tcPr>
            <w:tcW w:w="768" w:type="dxa"/>
            <w:tcBorders>
              <w:top w:val="nil"/>
              <w:left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6916,7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3514,4 </w:t>
            </w:r>
          </w:p>
        </w:tc>
        <w:tc>
          <w:tcPr>
            <w:tcW w:w="726" w:type="dxa"/>
            <w:tcBorders>
              <w:top w:val="nil"/>
              <w:left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3402,3 </w:t>
            </w:r>
          </w:p>
        </w:tc>
        <w:tc>
          <w:tcPr>
            <w:tcW w:w="768" w:type="dxa"/>
            <w:tcBorders>
              <w:top w:val="nil"/>
              <w:left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-51,7 </w:t>
            </w:r>
          </w:p>
        </w:tc>
        <w:tc>
          <w:tcPr>
            <w:tcW w:w="638"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-22,5 </w:t>
            </w:r>
          </w:p>
        </w:tc>
        <w:tc>
          <w:tcPr>
            <w:tcW w:w="638" w:type="dxa"/>
            <w:tcBorders>
              <w:top w:val="nil"/>
              <w:left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-29,2 </w:t>
            </w:r>
          </w:p>
        </w:tc>
        <w:tc>
          <w:tcPr>
            <w:tcW w:w="1061" w:type="dxa"/>
            <w:tcBorders>
              <w:top w:val="nil"/>
              <w:left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99,3 </w:t>
            </w:r>
          </w:p>
        </w:tc>
      </w:tr>
      <w:tr w:rsidR="001E6631" w:rsidRPr="00E04C25" w:rsidTr="001E6631">
        <w:trPr>
          <w:trHeight w:val="278"/>
          <w:jc w:val="center"/>
        </w:trPr>
        <w:tc>
          <w:tcPr>
            <w:tcW w:w="2262" w:type="dxa"/>
            <w:tcBorders>
              <w:top w:val="nil"/>
              <w:left w:val="double" w:sz="6" w:space="0" w:color="auto"/>
              <w:bottom w:val="single" w:sz="8" w:space="0" w:color="auto"/>
              <w:right w:val="nil"/>
            </w:tcBorders>
            <w:noWrap/>
            <w:vAlign w:val="center"/>
          </w:tcPr>
          <w:p w:rsidR="001E6631" w:rsidRPr="00E04C25" w:rsidRDefault="001E6631" w:rsidP="00C10EFD">
            <w:pPr>
              <w:tabs>
                <w:tab w:val="left" w:pos="709"/>
              </w:tabs>
              <w:rPr>
                <w:rFonts w:ascii="Arial" w:hAnsi="Arial" w:cs="Arial"/>
                <w:sz w:val="16"/>
                <w:szCs w:val="16"/>
              </w:rPr>
            </w:pPr>
            <w:r w:rsidRPr="00E04C25">
              <w:rPr>
                <w:rFonts w:ascii="Arial" w:hAnsi="Arial" w:cs="Arial"/>
                <w:sz w:val="16"/>
                <w:szCs w:val="16"/>
              </w:rPr>
              <w:t xml:space="preserve">               20-64 let</w:t>
            </w:r>
          </w:p>
        </w:tc>
        <w:tc>
          <w:tcPr>
            <w:tcW w:w="769" w:type="dxa"/>
            <w:tcBorders>
              <w:top w:val="nil"/>
              <w:left w:val="single" w:sz="8" w:space="0" w:color="auto"/>
              <w:bottom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6509,9 </w:t>
            </w:r>
          </w:p>
        </w:tc>
        <w:tc>
          <w:tcPr>
            <w:tcW w:w="726" w:type="dxa"/>
            <w:tcBorders>
              <w:top w:val="nil"/>
              <w:left w:val="nil"/>
              <w:bottom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3301,5 </w:t>
            </w:r>
          </w:p>
        </w:tc>
        <w:tc>
          <w:tcPr>
            <w:tcW w:w="726" w:type="dxa"/>
            <w:tcBorders>
              <w:top w:val="nil"/>
              <w:left w:val="nil"/>
              <w:bottom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3208,4 </w:t>
            </w:r>
          </w:p>
        </w:tc>
        <w:tc>
          <w:tcPr>
            <w:tcW w:w="768" w:type="dxa"/>
            <w:tcBorders>
              <w:top w:val="nil"/>
              <w:left w:val="single" w:sz="8" w:space="0" w:color="auto"/>
              <w:bottom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6456,1 </w:t>
            </w:r>
          </w:p>
        </w:tc>
        <w:tc>
          <w:tcPr>
            <w:tcW w:w="726" w:type="dxa"/>
            <w:tcBorders>
              <w:top w:val="nil"/>
              <w:left w:val="nil"/>
              <w:bottom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3277,8 </w:t>
            </w:r>
          </w:p>
        </w:tc>
        <w:tc>
          <w:tcPr>
            <w:tcW w:w="726" w:type="dxa"/>
            <w:tcBorders>
              <w:top w:val="nil"/>
              <w:left w:val="nil"/>
              <w:bottom w:val="single" w:sz="8" w:space="0" w:color="auto"/>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3178,3 </w:t>
            </w:r>
          </w:p>
        </w:tc>
        <w:tc>
          <w:tcPr>
            <w:tcW w:w="768" w:type="dxa"/>
            <w:tcBorders>
              <w:top w:val="nil"/>
              <w:left w:val="nil"/>
              <w:bottom w:val="single" w:sz="8" w:space="0" w:color="auto"/>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-53,8 </w:t>
            </w:r>
          </w:p>
        </w:tc>
        <w:tc>
          <w:tcPr>
            <w:tcW w:w="638" w:type="dxa"/>
            <w:tcBorders>
              <w:top w:val="nil"/>
              <w:left w:val="nil"/>
              <w:bottom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-23,7 </w:t>
            </w:r>
          </w:p>
        </w:tc>
        <w:tc>
          <w:tcPr>
            <w:tcW w:w="638" w:type="dxa"/>
            <w:tcBorders>
              <w:top w:val="nil"/>
              <w:left w:val="nil"/>
              <w:bottom w:val="single" w:sz="8" w:space="0" w:color="auto"/>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-30,1 </w:t>
            </w:r>
          </w:p>
        </w:tc>
        <w:tc>
          <w:tcPr>
            <w:tcW w:w="1061" w:type="dxa"/>
            <w:tcBorders>
              <w:top w:val="nil"/>
              <w:left w:val="nil"/>
              <w:bottom w:val="single" w:sz="8" w:space="0" w:color="auto"/>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99,2 </w:t>
            </w:r>
          </w:p>
        </w:tc>
      </w:tr>
      <w:tr w:rsidR="001E6631" w:rsidRPr="00E04C25" w:rsidTr="001E6631">
        <w:trPr>
          <w:trHeight w:val="278"/>
          <w:jc w:val="center"/>
        </w:trPr>
        <w:tc>
          <w:tcPr>
            <w:tcW w:w="2262" w:type="dxa"/>
            <w:tcBorders>
              <w:top w:val="single" w:sz="8" w:space="0" w:color="auto"/>
              <w:left w:val="double" w:sz="6" w:space="0" w:color="auto"/>
              <w:bottom w:val="nil"/>
              <w:right w:val="single" w:sz="8" w:space="0" w:color="auto"/>
            </w:tcBorders>
            <w:vAlign w:val="center"/>
          </w:tcPr>
          <w:p w:rsidR="001E6631" w:rsidRPr="00E04C25" w:rsidRDefault="001E6631" w:rsidP="00AE65A5">
            <w:pPr>
              <w:tabs>
                <w:tab w:val="left" w:pos="709"/>
              </w:tabs>
              <w:rPr>
                <w:rFonts w:ascii="Arial" w:hAnsi="Arial" w:cs="Arial"/>
                <w:b/>
                <w:sz w:val="16"/>
                <w:szCs w:val="16"/>
              </w:rPr>
            </w:pPr>
            <w:r w:rsidRPr="00E04C25">
              <w:rPr>
                <w:rFonts w:ascii="Arial" w:hAnsi="Arial" w:cs="Arial"/>
                <w:b/>
                <w:sz w:val="16"/>
                <w:szCs w:val="16"/>
              </w:rPr>
              <w:t xml:space="preserve">Ekonomicky aktivní celkem </w:t>
            </w:r>
            <w:r w:rsidRPr="00E04C25">
              <w:rPr>
                <w:rFonts w:ascii="Arial" w:hAnsi="Arial" w:cs="Arial"/>
                <w:sz w:val="16"/>
                <w:szCs w:val="16"/>
              </w:rPr>
              <w:t>(zaměst.+nezam.)</w:t>
            </w:r>
            <w:r w:rsidRPr="00E04C25">
              <w:rPr>
                <w:rFonts w:ascii="Arial" w:hAnsi="Arial" w:cs="Arial"/>
                <w:b/>
                <w:sz w:val="16"/>
                <w:szCs w:val="16"/>
              </w:rPr>
              <w:t xml:space="preserve"> </w:t>
            </w:r>
          </w:p>
        </w:tc>
        <w:tc>
          <w:tcPr>
            <w:tcW w:w="769" w:type="dxa"/>
            <w:tcBorders>
              <w:top w:val="single" w:sz="8" w:space="0" w:color="auto"/>
              <w:left w:val="single" w:sz="8" w:space="0" w:color="auto"/>
              <w:bottom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5350,0 </w:t>
            </w:r>
          </w:p>
        </w:tc>
        <w:tc>
          <w:tcPr>
            <w:tcW w:w="726" w:type="dxa"/>
            <w:tcBorders>
              <w:top w:val="single" w:sz="8" w:space="0" w:color="auto"/>
              <w:bottom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2977,2 </w:t>
            </w:r>
          </w:p>
        </w:tc>
        <w:tc>
          <w:tcPr>
            <w:tcW w:w="726" w:type="dxa"/>
            <w:tcBorders>
              <w:top w:val="single" w:sz="8" w:space="0" w:color="auto"/>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2372,8 </w:t>
            </w:r>
          </w:p>
        </w:tc>
        <w:tc>
          <w:tcPr>
            <w:tcW w:w="768" w:type="dxa"/>
            <w:tcBorders>
              <w:top w:val="single" w:sz="8" w:space="0" w:color="auto"/>
              <w:left w:val="single" w:sz="8" w:space="0" w:color="auto"/>
              <w:bottom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5377,1 </w:t>
            </w:r>
          </w:p>
        </w:tc>
        <w:tc>
          <w:tcPr>
            <w:tcW w:w="726" w:type="dxa"/>
            <w:tcBorders>
              <w:top w:val="single" w:sz="8" w:space="0" w:color="auto"/>
              <w:bottom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2985,6 </w:t>
            </w:r>
          </w:p>
        </w:tc>
        <w:tc>
          <w:tcPr>
            <w:tcW w:w="726" w:type="dxa"/>
            <w:tcBorders>
              <w:top w:val="single" w:sz="8" w:space="0" w:color="auto"/>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2391,5 </w:t>
            </w:r>
          </w:p>
        </w:tc>
        <w:tc>
          <w:tcPr>
            <w:tcW w:w="768" w:type="dxa"/>
            <w:tcBorders>
              <w:top w:val="single" w:sz="8" w:space="0" w:color="auto"/>
              <w:left w:val="single" w:sz="8" w:space="0" w:color="auto"/>
              <w:bottom w:val="nil"/>
            </w:tcBorders>
            <w:noWrap/>
            <w:tcMar>
              <w:left w:w="0" w:type="dxa"/>
              <w:right w:w="0"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27,1 </w:t>
            </w:r>
          </w:p>
        </w:tc>
        <w:tc>
          <w:tcPr>
            <w:tcW w:w="638" w:type="dxa"/>
            <w:tcBorders>
              <w:top w:val="single" w:sz="8" w:space="0" w:color="auto"/>
              <w:bottom w:val="nil"/>
            </w:tcBorders>
            <w:noWrap/>
            <w:tcMar>
              <w:left w:w="57" w:type="dxa"/>
              <w:right w:w="57"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8,4 </w:t>
            </w:r>
          </w:p>
        </w:tc>
        <w:tc>
          <w:tcPr>
            <w:tcW w:w="638" w:type="dxa"/>
            <w:tcBorders>
              <w:top w:val="single" w:sz="8" w:space="0" w:color="auto"/>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18,7 </w:t>
            </w:r>
          </w:p>
        </w:tc>
        <w:tc>
          <w:tcPr>
            <w:tcW w:w="1061" w:type="dxa"/>
            <w:tcBorders>
              <w:top w:val="single" w:sz="8" w:space="0" w:color="auto"/>
              <w:left w:val="single" w:sz="8" w:space="0" w:color="auto"/>
              <w:bottom w:val="nil"/>
              <w:right w:val="double" w:sz="6" w:space="0" w:color="auto"/>
            </w:tcBorders>
            <w:noWrap/>
            <w:tcMar>
              <w:right w:w="340"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100,5 </w:t>
            </w:r>
          </w:p>
        </w:tc>
      </w:tr>
      <w:tr w:rsidR="001E6631" w:rsidRPr="00E04C25" w:rsidTr="001E6631">
        <w:trPr>
          <w:trHeight w:val="278"/>
          <w:jc w:val="center"/>
        </w:trPr>
        <w:tc>
          <w:tcPr>
            <w:tcW w:w="2262" w:type="dxa"/>
            <w:tcBorders>
              <w:top w:val="nil"/>
              <w:left w:val="double" w:sz="6" w:space="0" w:color="auto"/>
              <w:bottom w:val="nil"/>
              <w:right w:val="nil"/>
            </w:tcBorders>
            <w:noWrap/>
            <w:vAlign w:val="center"/>
          </w:tcPr>
          <w:p w:rsidR="001E6631" w:rsidRPr="00E04C25" w:rsidRDefault="001E6631" w:rsidP="00C10EFD">
            <w:pPr>
              <w:tabs>
                <w:tab w:val="left" w:pos="709"/>
              </w:tabs>
              <w:rPr>
                <w:rFonts w:ascii="Arial" w:hAnsi="Arial" w:cs="Arial"/>
                <w:sz w:val="16"/>
                <w:szCs w:val="16"/>
              </w:rPr>
            </w:pPr>
            <w:r w:rsidRPr="00E04C25">
              <w:rPr>
                <w:rFonts w:ascii="Arial" w:hAnsi="Arial" w:cs="Arial"/>
                <w:sz w:val="16"/>
                <w:szCs w:val="16"/>
              </w:rPr>
              <w:t xml:space="preserve"> z toho:  15-64 let</w:t>
            </w:r>
          </w:p>
        </w:tc>
        <w:tc>
          <w:tcPr>
            <w:tcW w:w="769"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5226,3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2905,7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2320,6 </w:t>
            </w:r>
          </w:p>
        </w:tc>
        <w:tc>
          <w:tcPr>
            <w:tcW w:w="768"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5248,2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2912,2 </w:t>
            </w:r>
          </w:p>
        </w:tc>
        <w:tc>
          <w:tcPr>
            <w:tcW w:w="726"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2336,0 </w:t>
            </w:r>
          </w:p>
        </w:tc>
        <w:tc>
          <w:tcPr>
            <w:tcW w:w="768" w:type="dxa"/>
            <w:tcBorders>
              <w:top w:val="nil"/>
              <w:left w:val="nil"/>
              <w:bottom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21,9 </w:t>
            </w:r>
          </w:p>
        </w:tc>
        <w:tc>
          <w:tcPr>
            <w:tcW w:w="638"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6,5 </w:t>
            </w:r>
          </w:p>
        </w:tc>
        <w:tc>
          <w:tcPr>
            <w:tcW w:w="638"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15,4 </w:t>
            </w:r>
          </w:p>
        </w:tc>
        <w:tc>
          <w:tcPr>
            <w:tcW w:w="1061" w:type="dxa"/>
            <w:tcBorders>
              <w:top w:val="nil"/>
              <w:left w:val="nil"/>
              <w:bottom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100,4 </w:t>
            </w:r>
          </w:p>
        </w:tc>
      </w:tr>
      <w:tr w:rsidR="001E6631" w:rsidRPr="00E04C25" w:rsidTr="001E6631">
        <w:trPr>
          <w:trHeight w:val="278"/>
          <w:jc w:val="center"/>
        </w:trPr>
        <w:tc>
          <w:tcPr>
            <w:tcW w:w="2262" w:type="dxa"/>
            <w:tcBorders>
              <w:top w:val="nil"/>
              <w:left w:val="double" w:sz="6" w:space="0" w:color="auto"/>
              <w:bottom w:val="nil"/>
              <w:right w:val="nil"/>
            </w:tcBorders>
            <w:noWrap/>
            <w:vAlign w:val="center"/>
          </w:tcPr>
          <w:p w:rsidR="001E6631" w:rsidRPr="00E04C25" w:rsidRDefault="001E6631" w:rsidP="00C10EFD">
            <w:pPr>
              <w:tabs>
                <w:tab w:val="left" w:pos="709"/>
              </w:tabs>
              <w:rPr>
                <w:rFonts w:ascii="Arial" w:hAnsi="Arial" w:cs="Arial"/>
                <w:sz w:val="16"/>
                <w:szCs w:val="16"/>
              </w:rPr>
            </w:pPr>
            <w:r w:rsidRPr="00E04C25">
              <w:rPr>
                <w:rFonts w:ascii="Arial" w:hAnsi="Arial" w:cs="Arial"/>
                <w:sz w:val="16"/>
                <w:szCs w:val="16"/>
              </w:rPr>
              <w:t xml:space="preserve">               20-64 let</w:t>
            </w:r>
          </w:p>
        </w:tc>
        <w:tc>
          <w:tcPr>
            <w:tcW w:w="769"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5198,6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2890,9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2307,7 </w:t>
            </w:r>
          </w:p>
        </w:tc>
        <w:tc>
          <w:tcPr>
            <w:tcW w:w="768"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5218,8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2895,2 </w:t>
            </w:r>
          </w:p>
        </w:tc>
        <w:tc>
          <w:tcPr>
            <w:tcW w:w="726"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2323,6 </w:t>
            </w:r>
          </w:p>
        </w:tc>
        <w:tc>
          <w:tcPr>
            <w:tcW w:w="768" w:type="dxa"/>
            <w:tcBorders>
              <w:top w:val="nil"/>
              <w:left w:val="nil"/>
              <w:bottom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20,2 </w:t>
            </w:r>
          </w:p>
        </w:tc>
        <w:tc>
          <w:tcPr>
            <w:tcW w:w="638"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4,3 </w:t>
            </w:r>
          </w:p>
        </w:tc>
        <w:tc>
          <w:tcPr>
            <w:tcW w:w="638"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15,9 </w:t>
            </w:r>
          </w:p>
        </w:tc>
        <w:tc>
          <w:tcPr>
            <w:tcW w:w="1061" w:type="dxa"/>
            <w:tcBorders>
              <w:top w:val="nil"/>
              <w:left w:val="nil"/>
              <w:bottom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100,4 </w:t>
            </w:r>
          </w:p>
        </w:tc>
      </w:tr>
      <w:tr w:rsidR="001E6631" w:rsidRPr="00E04C25" w:rsidTr="001E6631">
        <w:trPr>
          <w:trHeight w:val="278"/>
          <w:jc w:val="center"/>
        </w:trPr>
        <w:tc>
          <w:tcPr>
            <w:tcW w:w="2262" w:type="dxa"/>
            <w:tcBorders>
              <w:top w:val="nil"/>
              <w:left w:val="double" w:sz="6" w:space="0" w:color="auto"/>
              <w:bottom w:val="nil"/>
              <w:right w:val="nil"/>
            </w:tcBorders>
            <w:noWrap/>
            <w:vAlign w:val="center"/>
          </w:tcPr>
          <w:p w:rsidR="001E6631" w:rsidRPr="00E04C25" w:rsidRDefault="001E6631" w:rsidP="00C10EFD">
            <w:pPr>
              <w:tabs>
                <w:tab w:val="left" w:pos="709"/>
              </w:tabs>
              <w:rPr>
                <w:rFonts w:ascii="Arial" w:hAnsi="Arial" w:cs="Arial"/>
                <w:sz w:val="16"/>
                <w:szCs w:val="16"/>
              </w:rPr>
            </w:pPr>
            <w:r w:rsidRPr="00E04C25">
              <w:rPr>
                <w:rFonts w:ascii="Arial" w:hAnsi="Arial" w:cs="Arial"/>
                <w:sz w:val="16"/>
                <w:szCs w:val="16"/>
              </w:rPr>
              <w:t xml:space="preserve">               55-64 let</w:t>
            </w:r>
          </w:p>
        </w:tc>
        <w:tc>
          <w:tcPr>
            <w:tcW w:w="769"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826,9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470,4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356,5 </w:t>
            </w:r>
          </w:p>
        </w:tc>
        <w:tc>
          <w:tcPr>
            <w:tcW w:w="768"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846,3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476,1 </w:t>
            </w:r>
          </w:p>
        </w:tc>
        <w:tc>
          <w:tcPr>
            <w:tcW w:w="726"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370,3 </w:t>
            </w:r>
          </w:p>
        </w:tc>
        <w:tc>
          <w:tcPr>
            <w:tcW w:w="768" w:type="dxa"/>
            <w:tcBorders>
              <w:top w:val="nil"/>
              <w:left w:val="nil"/>
              <w:bottom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19,4 </w:t>
            </w:r>
          </w:p>
        </w:tc>
        <w:tc>
          <w:tcPr>
            <w:tcW w:w="638"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5,7 </w:t>
            </w:r>
          </w:p>
        </w:tc>
        <w:tc>
          <w:tcPr>
            <w:tcW w:w="638"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13,8 </w:t>
            </w:r>
          </w:p>
        </w:tc>
        <w:tc>
          <w:tcPr>
            <w:tcW w:w="1061" w:type="dxa"/>
            <w:tcBorders>
              <w:top w:val="nil"/>
              <w:left w:val="nil"/>
              <w:bottom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102,3 </w:t>
            </w:r>
          </w:p>
        </w:tc>
      </w:tr>
      <w:tr w:rsidR="001E6631" w:rsidRPr="00E04C25" w:rsidTr="001E6631">
        <w:trPr>
          <w:trHeight w:val="278"/>
          <w:jc w:val="center"/>
        </w:trPr>
        <w:tc>
          <w:tcPr>
            <w:tcW w:w="2262" w:type="dxa"/>
            <w:tcBorders>
              <w:top w:val="nil"/>
              <w:left w:val="double" w:sz="6" w:space="0" w:color="auto"/>
              <w:bottom w:val="nil"/>
              <w:right w:val="nil"/>
            </w:tcBorders>
            <w:noWrap/>
            <w:vAlign w:val="center"/>
          </w:tcPr>
          <w:p w:rsidR="001E6631" w:rsidRPr="00E04C25" w:rsidRDefault="001E6631" w:rsidP="00AE65A5">
            <w:pPr>
              <w:tabs>
                <w:tab w:val="left" w:pos="709"/>
              </w:tabs>
              <w:rPr>
                <w:rFonts w:ascii="Arial" w:hAnsi="Arial" w:cs="Arial"/>
                <w:b/>
                <w:sz w:val="16"/>
                <w:szCs w:val="16"/>
              </w:rPr>
            </w:pPr>
            <w:r w:rsidRPr="00E04C25">
              <w:rPr>
                <w:rFonts w:ascii="Arial" w:hAnsi="Arial" w:cs="Arial"/>
                <w:b/>
                <w:sz w:val="16"/>
                <w:szCs w:val="16"/>
              </w:rPr>
              <w:t>Zaměstnaní v NH</w:t>
            </w:r>
          </w:p>
        </w:tc>
        <w:tc>
          <w:tcPr>
            <w:tcW w:w="769"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5138,6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2876,7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2261,9 </w:t>
            </w:r>
          </w:p>
        </w:tc>
        <w:tc>
          <w:tcPr>
            <w:tcW w:w="768"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5221,6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2915,8 </w:t>
            </w:r>
          </w:p>
        </w:tc>
        <w:tc>
          <w:tcPr>
            <w:tcW w:w="726"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2305,8 </w:t>
            </w:r>
          </w:p>
        </w:tc>
        <w:tc>
          <w:tcPr>
            <w:tcW w:w="768" w:type="dxa"/>
            <w:tcBorders>
              <w:top w:val="nil"/>
              <w:left w:val="nil"/>
              <w:bottom w:val="nil"/>
              <w:right w:val="nil"/>
            </w:tcBorders>
            <w:noWrap/>
            <w:tcMar>
              <w:left w:w="0" w:type="dxa"/>
              <w:right w:w="0"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83,0 </w:t>
            </w:r>
          </w:p>
        </w:tc>
        <w:tc>
          <w:tcPr>
            <w:tcW w:w="638"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39,1 </w:t>
            </w:r>
          </w:p>
        </w:tc>
        <w:tc>
          <w:tcPr>
            <w:tcW w:w="638" w:type="dxa"/>
            <w:tcBorders>
              <w:top w:val="nil"/>
              <w:left w:val="nil"/>
              <w:right w:val="single" w:sz="8" w:space="0" w:color="auto"/>
            </w:tcBorders>
            <w:noWrap/>
            <w:tcMar>
              <w:left w:w="57" w:type="dxa"/>
              <w:right w:w="57"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43,9 </w:t>
            </w:r>
          </w:p>
        </w:tc>
        <w:tc>
          <w:tcPr>
            <w:tcW w:w="1061" w:type="dxa"/>
            <w:tcBorders>
              <w:top w:val="nil"/>
              <w:left w:val="nil"/>
              <w:bottom w:val="nil"/>
              <w:right w:val="double" w:sz="6" w:space="0" w:color="auto"/>
            </w:tcBorders>
            <w:noWrap/>
            <w:tcMar>
              <w:right w:w="340"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101,6 </w:t>
            </w:r>
          </w:p>
        </w:tc>
      </w:tr>
      <w:tr w:rsidR="001E6631" w:rsidRPr="00E04C25" w:rsidTr="001E6631">
        <w:trPr>
          <w:trHeight w:val="278"/>
          <w:jc w:val="center"/>
        </w:trPr>
        <w:tc>
          <w:tcPr>
            <w:tcW w:w="2262" w:type="dxa"/>
            <w:tcBorders>
              <w:top w:val="nil"/>
              <w:left w:val="double" w:sz="6" w:space="0" w:color="auto"/>
              <w:bottom w:val="nil"/>
              <w:right w:val="nil"/>
            </w:tcBorders>
            <w:noWrap/>
            <w:vAlign w:val="center"/>
          </w:tcPr>
          <w:p w:rsidR="001E6631" w:rsidRPr="00E04C25" w:rsidRDefault="001E6631" w:rsidP="00C10EFD">
            <w:pPr>
              <w:tabs>
                <w:tab w:val="left" w:pos="709"/>
              </w:tabs>
              <w:rPr>
                <w:rFonts w:ascii="Arial" w:hAnsi="Arial" w:cs="Arial"/>
                <w:sz w:val="16"/>
                <w:szCs w:val="16"/>
              </w:rPr>
            </w:pPr>
            <w:r w:rsidRPr="00E04C25">
              <w:rPr>
                <w:rFonts w:ascii="Arial" w:hAnsi="Arial" w:cs="Arial"/>
                <w:sz w:val="16"/>
                <w:szCs w:val="16"/>
              </w:rPr>
              <w:t xml:space="preserve">  z toho: 15- 64 let</w:t>
            </w:r>
          </w:p>
        </w:tc>
        <w:tc>
          <w:tcPr>
            <w:tcW w:w="769"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5015,9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2805,6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2210,3 </w:t>
            </w:r>
          </w:p>
        </w:tc>
        <w:tc>
          <w:tcPr>
            <w:tcW w:w="768"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5093,9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2842,9 </w:t>
            </w:r>
          </w:p>
        </w:tc>
        <w:tc>
          <w:tcPr>
            <w:tcW w:w="726"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2251,0 </w:t>
            </w:r>
          </w:p>
        </w:tc>
        <w:tc>
          <w:tcPr>
            <w:tcW w:w="768" w:type="dxa"/>
            <w:tcBorders>
              <w:top w:val="nil"/>
              <w:left w:val="nil"/>
              <w:bottom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78,0 </w:t>
            </w:r>
          </w:p>
        </w:tc>
        <w:tc>
          <w:tcPr>
            <w:tcW w:w="638"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37,3 </w:t>
            </w:r>
          </w:p>
        </w:tc>
        <w:tc>
          <w:tcPr>
            <w:tcW w:w="638"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40,7 </w:t>
            </w:r>
          </w:p>
        </w:tc>
        <w:tc>
          <w:tcPr>
            <w:tcW w:w="1061" w:type="dxa"/>
            <w:tcBorders>
              <w:top w:val="nil"/>
              <w:left w:val="nil"/>
              <w:bottom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101,6 </w:t>
            </w:r>
          </w:p>
        </w:tc>
      </w:tr>
      <w:tr w:rsidR="001E6631" w:rsidRPr="00E04C25" w:rsidTr="001E6631">
        <w:trPr>
          <w:trHeight w:val="278"/>
          <w:jc w:val="center"/>
        </w:trPr>
        <w:tc>
          <w:tcPr>
            <w:tcW w:w="2262" w:type="dxa"/>
            <w:tcBorders>
              <w:top w:val="nil"/>
              <w:left w:val="double" w:sz="6" w:space="0" w:color="auto"/>
              <w:bottom w:val="nil"/>
              <w:right w:val="nil"/>
            </w:tcBorders>
            <w:noWrap/>
            <w:vAlign w:val="center"/>
          </w:tcPr>
          <w:p w:rsidR="001E6631" w:rsidRPr="00E04C25" w:rsidRDefault="001E6631" w:rsidP="00C10EFD">
            <w:pPr>
              <w:tabs>
                <w:tab w:val="left" w:pos="709"/>
              </w:tabs>
              <w:rPr>
                <w:rFonts w:ascii="Arial" w:hAnsi="Arial" w:cs="Arial"/>
                <w:sz w:val="16"/>
                <w:szCs w:val="16"/>
              </w:rPr>
            </w:pPr>
            <w:r w:rsidRPr="00E04C25">
              <w:rPr>
                <w:rFonts w:ascii="Arial" w:hAnsi="Arial" w:cs="Arial"/>
                <w:sz w:val="16"/>
                <w:szCs w:val="16"/>
              </w:rPr>
              <w:t xml:space="preserve">               20-64 let</w:t>
            </w:r>
          </w:p>
        </w:tc>
        <w:tc>
          <w:tcPr>
            <w:tcW w:w="769"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4995,0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2794,1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2200,9 </w:t>
            </w:r>
          </w:p>
        </w:tc>
        <w:tc>
          <w:tcPr>
            <w:tcW w:w="768"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5070,9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2829,4 </w:t>
            </w:r>
          </w:p>
        </w:tc>
        <w:tc>
          <w:tcPr>
            <w:tcW w:w="726"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2241,5 </w:t>
            </w:r>
          </w:p>
        </w:tc>
        <w:tc>
          <w:tcPr>
            <w:tcW w:w="768" w:type="dxa"/>
            <w:tcBorders>
              <w:top w:val="nil"/>
              <w:left w:val="nil"/>
              <w:bottom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75,9 </w:t>
            </w:r>
          </w:p>
        </w:tc>
        <w:tc>
          <w:tcPr>
            <w:tcW w:w="638"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35,3 </w:t>
            </w:r>
          </w:p>
        </w:tc>
        <w:tc>
          <w:tcPr>
            <w:tcW w:w="638"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40,6 </w:t>
            </w:r>
          </w:p>
        </w:tc>
        <w:tc>
          <w:tcPr>
            <w:tcW w:w="1061" w:type="dxa"/>
            <w:tcBorders>
              <w:top w:val="nil"/>
              <w:left w:val="nil"/>
              <w:bottom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101,5 </w:t>
            </w:r>
          </w:p>
        </w:tc>
      </w:tr>
      <w:tr w:rsidR="001E6631" w:rsidRPr="00E04C25" w:rsidTr="001E6631">
        <w:trPr>
          <w:trHeight w:val="278"/>
          <w:jc w:val="center"/>
        </w:trPr>
        <w:tc>
          <w:tcPr>
            <w:tcW w:w="2262" w:type="dxa"/>
            <w:tcBorders>
              <w:top w:val="nil"/>
              <w:left w:val="double" w:sz="6" w:space="0" w:color="auto"/>
              <w:bottom w:val="nil"/>
              <w:right w:val="nil"/>
            </w:tcBorders>
            <w:noWrap/>
            <w:vAlign w:val="center"/>
          </w:tcPr>
          <w:p w:rsidR="001E6631" w:rsidRPr="00E04C25" w:rsidRDefault="001E6631" w:rsidP="00AE65A5">
            <w:pPr>
              <w:tabs>
                <w:tab w:val="left" w:pos="709"/>
              </w:tabs>
              <w:rPr>
                <w:rFonts w:ascii="Arial" w:hAnsi="Arial" w:cs="Arial"/>
                <w:sz w:val="16"/>
                <w:szCs w:val="16"/>
              </w:rPr>
            </w:pPr>
            <w:r w:rsidRPr="00E04C25">
              <w:rPr>
                <w:rFonts w:ascii="Arial" w:hAnsi="Arial" w:cs="Arial"/>
                <w:sz w:val="16"/>
                <w:szCs w:val="16"/>
              </w:rPr>
              <w:t xml:space="preserve">               55-64 let</w:t>
            </w:r>
          </w:p>
        </w:tc>
        <w:tc>
          <w:tcPr>
            <w:tcW w:w="769"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795,3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452,4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342,9 </w:t>
            </w:r>
          </w:p>
        </w:tc>
        <w:tc>
          <w:tcPr>
            <w:tcW w:w="768"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826,0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466,4 </w:t>
            </w:r>
          </w:p>
        </w:tc>
        <w:tc>
          <w:tcPr>
            <w:tcW w:w="726"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359,6 </w:t>
            </w:r>
          </w:p>
        </w:tc>
        <w:tc>
          <w:tcPr>
            <w:tcW w:w="768" w:type="dxa"/>
            <w:tcBorders>
              <w:top w:val="nil"/>
              <w:left w:val="nil"/>
              <w:bottom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30,7 </w:t>
            </w:r>
          </w:p>
        </w:tc>
        <w:tc>
          <w:tcPr>
            <w:tcW w:w="638"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14,0 </w:t>
            </w:r>
          </w:p>
        </w:tc>
        <w:tc>
          <w:tcPr>
            <w:tcW w:w="638"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16,7 </w:t>
            </w:r>
          </w:p>
        </w:tc>
        <w:tc>
          <w:tcPr>
            <w:tcW w:w="1061" w:type="dxa"/>
            <w:tcBorders>
              <w:top w:val="nil"/>
              <w:left w:val="nil"/>
              <w:bottom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103,9 </w:t>
            </w:r>
          </w:p>
        </w:tc>
      </w:tr>
      <w:tr w:rsidR="001E6631" w:rsidRPr="00E04C25" w:rsidTr="001E6631">
        <w:trPr>
          <w:trHeight w:val="278"/>
          <w:jc w:val="center"/>
        </w:trPr>
        <w:tc>
          <w:tcPr>
            <w:tcW w:w="2262" w:type="dxa"/>
            <w:tcBorders>
              <w:top w:val="nil"/>
              <w:left w:val="double" w:sz="6" w:space="0" w:color="auto"/>
              <w:right w:val="nil"/>
            </w:tcBorders>
            <w:noWrap/>
            <w:vAlign w:val="center"/>
          </w:tcPr>
          <w:p w:rsidR="001E6631" w:rsidRPr="00E04C25" w:rsidRDefault="001E6631" w:rsidP="00AE65A5">
            <w:pPr>
              <w:tabs>
                <w:tab w:val="left" w:pos="709"/>
              </w:tabs>
              <w:rPr>
                <w:rFonts w:ascii="Arial" w:hAnsi="Arial" w:cs="Arial"/>
                <w:b/>
                <w:sz w:val="16"/>
                <w:szCs w:val="16"/>
              </w:rPr>
            </w:pPr>
            <w:r w:rsidRPr="00E04C25">
              <w:rPr>
                <w:rFonts w:ascii="Arial" w:hAnsi="Arial" w:cs="Arial"/>
                <w:b/>
                <w:sz w:val="16"/>
                <w:szCs w:val="16"/>
              </w:rPr>
              <w:t>Nezaměstnaní</w:t>
            </w:r>
          </w:p>
        </w:tc>
        <w:tc>
          <w:tcPr>
            <w:tcW w:w="769" w:type="dxa"/>
            <w:tcBorders>
              <w:top w:val="nil"/>
              <w:left w:val="single" w:sz="8" w:space="0" w:color="auto"/>
              <w:right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211,4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100,6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110,9 </w:t>
            </w:r>
          </w:p>
        </w:tc>
        <w:tc>
          <w:tcPr>
            <w:tcW w:w="768" w:type="dxa"/>
            <w:tcBorders>
              <w:top w:val="nil"/>
              <w:left w:val="single" w:sz="8" w:space="0" w:color="auto"/>
              <w:right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155,5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69,9 </w:t>
            </w:r>
          </w:p>
        </w:tc>
        <w:tc>
          <w:tcPr>
            <w:tcW w:w="726" w:type="dxa"/>
            <w:tcBorders>
              <w:top w:val="nil"/>
              <w:left w:val="nil"/>
              <w:right w:val="single" w:sz="8" w:space="0" w:color="auto"/>
            </w:tcBorders>
            <w:noWrap/>
            <w:tcMar>
              <w:left w:w="57" w:type="dxa"/>
              <w:right w:w="57" w:type="dxa"/>
            </w:tcMar>
            <w:vAlign w:val="center"/>
          </w:tcPr>
          <w:p w:rsidR="001E6631" w:rsidRPr="00E04C25" w:rsidRDefault="001E6631">
            <w:pPr>
              <w:jc w:val="right"/>
              <w:rPr>
                <w:rFonts w:ascii="Arial" w:hAnsi="Arial" w:cs="Arial"/>
                <w:b/>
                <w:bCs/>
                <w:sz w:val="16"/>
                <w:szCs w:val="16"/>
              </w:rPr>
            </w:pPr>
            <w:r w:rsidRPr="00E04C25">
              <w:rPr>
                <w:rFonts w:ascii="Arial" w:hAnsi="Arial" w:cs="Arial"/>
                <w:b/>
                <w:bCs/>
                <w:sz w:val="16"/>
                <w:szCs w:val="16"/>
              </w:rPr>
              <w:t xml:space="preserve">85,7 </w:t>
            </w:r>
          </w:p>
        </w:tc>
        <w:tc>
          <w:tcPr>
            <w:tcW w:w="768" w:type="dxa"/>
            <w:tcBorders>
              <w:top w:val="nil"/>
              <w:left w:val="nil"/>
              <w:right w:val="nil"/>
            </w:tcBorders>
            <w:noWrap/>
            <w:tcMar>
              <w:left w:w="0" w:type="dxa"/>
              <w:right w:w="0"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-55,9 </w:t>
            </w:r>
          </w:p>
        </w:tc>
        <w:tc>
          <w:tcPr>
            <w:tcW w:w="638"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-30,7 </w:t>
            </w:r>
          </w:p>
        </w:tc>
        <w:tc>
          <w:tcPr>
            <w:tcW w:w="638" w:type="dxa"/>
            <w:tcBorders>
              <w:top w:val="nil"/>
              <w:left w:val="nil"/>
              <w:right w:val="single" w:sz="8" w:space="0" w:color="auto"/>
            </w:tcBorders>
            <w:noWrap/>
            <w:tcMar>
              <w:left w:w="57" w:type="dxa"/>
              <w:right w:w="57"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-25,2 </w:t>
            </w:r>
          </w:p>
        </w:tc>
        <w:tc>
          <w:tcPr>
            <w:tcW w:w="1061" w:type="dxa"/>
            <w:tcBorders>
              <w:top w:val="nil"/>
              <w:left w:val="nil"/>
              <w:right w:val="double" w:sz="6" w:space="0" w:color="auto"/>
            </w:tcBorders>
            <w:noWrap/>
            <w:tcMar>
              <w:right w:w="340"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73,6 </w:t>
            </w:r>
          </w:p>
        </w:tc>
      </w:tr>
      <w:tr w:rsidR="001E6631" w:rsidRPr="00E04C25" w:rsidTr="001E6631">
        <w:trPr>
          <w:trHeight w:val="278"/>
          <w:jc w:val="center"/>
        </w:trPr>
        <w:tc>
          <w:tcPr>
            <w:tcW w:w="2262" w:type="dxa"/>
            <w:tcBorders>
              <w:top w:val="nil"/>
              <w:left w:val="double" w:sz="6" w:space="0" w:color="auto"/>
              <w:right w:val="nil"/>
            </w:tcBorders>
            <w:noWrap/>
            <w:vAlign w:val="center"/>
          </w:tcPr>
          <w:p w:rsidR="001E6631" w:rsidRPr="00E04C25" w:rsidRDefault="001E6631" w:rsidP="00C10EFD">
            <w:pPr>
              <w:tabs>
                <w:tab w:val="left" w:pos="709"/>
              </w:tabs>
              <w:rPr>
                <w:rFonts w:ascii="Arial" w:hAnsi="Arial" w:cs="Arial"/>
                <w:sz w:val="16"/>
                <w:szCs w:val="16"/>
              </w:rPr>
            </w:pPr>
            <w:r w:rsidRPr="00E04C25">
              <w:rPr>
                <w:rFonts w:ascii="Arial" w:hAnsi="Arial" w:cs="Arial"/>
                <w:sz w:val="16"/>
                <w:szCs w:val="16"/>
              </w:rPr>
              <w:t xml:space="preserve">   z toho: 15-64 let</w:t>
            </w:r>
          </w:p>
        </w:tc>
        <w:tc>
          <w:tcPr>
            <w:tcW w:w="769" w:type="dxa"/>
            <w:tcBorders>
              <w:top w:val="nil"/>
              <w:left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210,5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100,2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110,3 </w:t>
            </w:r>
          </w:p>
        </w:tc>
        <w:tc>
          <w:tcPr>
            <w:tcW w:w="768" w:type="dxa"/>
            <w:tcBorders>
              <w:top w:val="nil"/>
              <w:left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154,4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69,3 </w:t>
            </w:r>
          </w:p>
        </w:tc>
        <w:tc>
          <w:tcPr>
            <w:tcW w:w="726" w:type="dxa"/>
            <w:tcBorders>
              <w:top w:val="nil"/>
              <w:left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85,0 </w:t>
            </w:r>
          </w:p>
        </w:tc>
        <w:tc>
          <w:tcPr>
            <w:tcW w:w="768" w:type="dxa"/>
            <w:tcBorders>
              <w:top w:val="nil"/>
              <w:left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-56,1 </w:t>
            </w:r>
          </w:p>
        </w:tc>
        <w:tc>
          <w:tcPr>
            <w:tcW w:w="638"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-30,9 </w:t>
            </w:r>
          </w:p>
        </w:tc>
        <w:tc>
          <w:tcPr>
            <w:tcW w:w="638" w:type="dxa"/>
            <w:tcBorders>
              <w:top w:val="nil"/>
              <w:left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-25,3 </w:t>
            </w:r>
          </w:p>
        </w:tc>
        <w:tc>
          <w:tcPr>
            <w:tcW w:w="1061" w:type="dxa"/>
            <w:tcBorders>
              <w:top w:val="nil"/>
              <w:left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73,3 </w:t>
            </w:r>
          </w:p>
        </w:tc>
      </w:tr>
      <w:tr w:rsidR="001E6631" w:rsidRPr="00E04C25" w:rsidTr="001E6631">
        <w:trPr>
          <w:trHeight w:val="278"/>
          <w:jc w:val="center"/>
        </w:trPr>
        <w:tc>
          <w:tcPr>
            <w:tcW w:w="2262" w:type="dxa"/>
            <w:tcBorders>
              <w:left w:val="double" w:sz="6" w:space="0" w:color="auto"/>
              <w:right w:val="nil"/>
            </w:tcBorders>
            <w:noWrap/>
            <w:vAlign w:val="center"/>
          </w:tcPr>
          <w:p w:rsidR="001E6631" w:rsidRPr="00E04C25" w:rsidRDefault="001E6631" w:rsidP="00C10EFD">
            <w:pPr>
              <w:tabs>
                <w:tab w:val="left" w:pos="709"/>
              </w:tabs>
              <w:rPr>
                <w:rFonts w:ascii="Arial" w:hAnsi="Arial" w:cs="Arial"/>
                <w:sz w:val="16"/>
                <w:szCs w:val="16"/>
              </w:rPr>
            </w:pPr>
            <w:r w:rsidRPr="00E04C25">
              <w:rPr>
                <w:rFonts w:ascii="Arial" w:hAnsi="Arial" w:cs="Arial"/>
                <w:sz w:val="16"/>
                <w:szCs w:val="16"/>
              </w:rPr>
              <w:t xml:space="preserve">               20-64 let</w:t>
            </w:r>
          </w:p>
        </w:tc>
        <w:tc>
          <w:tcPr>
            <w:tcW w:w="769" w:type="dxa"/>
            <w:tcBorders>
              <w:left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203,6 </w:t>
            </w:r>
          </w:p>
        </w:tc>
        <w:tc>
          <w:tcPr>
            <w:tcW w:w="726" w:type="dxa"/>
            <w:tcBorders>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96,8 </w:t>
            </w:r>
          </w:p>
        </w:tc>
        <w:tc>
          <w:tcPr>
            <w:tcW w:w="726" w:type="dxa"/>
            <w:tcBorders>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106,8 </w:t>
            </w:r>
          </w:p>
        </w:tc>
        <w:tc>
          <w:tcPr>
            <w:tcW w:w="768" w:type="dxa"/>
            <w:tcBorders>
              <w:left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147,8 </w:t>
            </w:r>
          </w:p>
        </w:tc>
        <w:tc>
          <w:tcPr>
            <w:tcW w:w="726" w:type="dxa"/>
            <w:tcBorders>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65,7 </w:t>
            </w:r>
          </w:p>
        </w:tc>
        <w:tc>
          <w:tcPr>
            <w:tcW w:w="726" w:type="dxa"/>
            <w:tcBorders>
              <w:left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82,1 </w:t>
            </w:r>
          </w:p>
        </w:tc>
        <w:tc>
          <w:tcPr>
            <w:tcW w:w="768" w:type="dxa"/>
            <w:tcBorders>
              <w:left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-55,8 </w:t>
            </w:r>
          </w:p>
        </w:tc>
        <w:tc>
          <w:tcPr>
            <w:tcW w:w="638" w:type="dxa"/>
            <w:tcBorders>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-31,1 </w:t>
            </w:r>
          </w:p>
        </w:tc>
        <w:tc>
          <w:tcPr>
            <w:tcW w:w="638" w:type="dxa"/>
            <w:tcBorders>
              <w:left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-24,7 </w:t>
            </w:r>
          </w:p>
        </w:tc>
        <w:tc>
          <w:tcPr>
            <w:tcW w:w="1061" w:type="dxa"/>
            <w:tcBorders>
              <w:left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72,6 </w:t>
            </w:r>
          </w:p>
        </w:tc>
      </w:tr>
      <w:tr w:rsidR="001E6631" w:rsidRPr="00E04C25" w:rsidTr="001E6631">
        <w:trPr>
          <w:trHeight w:val="278"/>
          <w:jc w:val="center"/>
        </w:trPr>
        <w:tc>
          <w:tcPr>
            <w:tcW w:w="2262" w:type="dxa"/>
            <w:tcBorders>
              <w:left w:val="double" w:sz="6" w:space="0" w:color="auto"/>
              <w:bottom w:val="single" w:sz="8" w:space="0" w:color="auto"/>
              <w:right w:val="nil"/>
            </w:tcBorders>
            <w:noWrap/>
            <w:vAlign w:val="center"/>
          </w:tcPr>
          <w:p w:rsidR="001E6631" w:rsidRPr="00E04C25" w:rsidRDefault="001E6631" w:rsidP="00AE65A5">
            <w:pPr>
              <w:tabs>
                <w:tab w:val="left" w:pos="709"/>
              </w:tabs>
              <w:rPr>
                <w:rFonts w:ascii="Arial" w:hAnsi="Arial" w:cs="Arial"/>
                <w:sz w:val="16"/>
                <w:szCs w:val="16"/>
              </w:rPr>
            </w:pPr>
            <w:r w:rsidRPr="00E04C25">
              <w:rPr>
                <w:rFonts w:ascii="Arial" w:hAnsi="Arial" w:cs="Arial"/>
                <w:sz w:val="16"/>
                <w:szCs w:val="16"/>
              </w:rPr>
              <w:t xml:space="preserve">               55-64 let</w:t>
            </w:r>
          </w:p>
        </w:tc>
        <w:tc>
          <w:tcPr>
            <w:tcW w:w="769" w:type="dxa"/>
            <w:tcBorders>
              <w:left w:val="single" w:sz="8" w:space="0" w:color="auto"/>
              <w:bottom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31,6 </w:t>
            </w:r>
          </w:p>
        </w:tc>
        <w:tc>
          <w:tcPr>
            <w:tcW w:w="726" w:type="dxa"/>
            <w:tcBorders>
              <w:left w:val="nil"/>
              <w:bottom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18,0 </w:t>
            </w:r>
          </w:p>
        </w:tc>
        <w:tc>
          <w:tcPr>
            <w:tcW w:w="726" w:type="dxa"/>
            <w:tcBorders>
              <w:left w:val="nil"/>
              <w:bottom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13,6 </w:t>
            </w:r>
          </w:p>
        </w:tc>
        <w:tc>
          <w:tcPr>
            <w:tcW w:w="768" w:type="dxa"/>
            <w:tcBorders>
              <w:left w:val="single" w:sz="8" w:space="0" w:color="auto"/>
              <w:bottom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20,3 </w:t>
            </w:r>
          </w:p>
        </w:tc>
        <w:tc>
          <w:tcPr>
            <w:tcW w:w="726" w:type="dxa"/>
            <w:tcBorders>
              <w:left w:val="nil"/>
              <w:bottom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9,6 </w:t>
            </w:r>
          </w:p>
        </w:tc>
        <w:tc>
          <w:tcPr>
            <w:tcW w:w="726" w:type="dxa"/>
            <w:tcBorders>
              <w:left w:val="nil"/>
              <w:bottom w:val="single" w:sz="8" w:space="0" w:color="auto"/>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10,7 </w:t>
            </w:r>
          </w:p>
        </w:tc>
        <w:tc>
          <w:tcPr>
            <w:tcW w:w="768" w:type="dxa"/>
            <w:tcBorders>
              <w:left w:val="nil"/>
              <w:bottom w:val="single" w:sz="8" w:space="0" w:color="auto"/>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-11,3 </w:t>
            </w:r>
          </w:p>
        </w:tc>
        <w:tc>
          <w:tcPr>
            <w:tcW w:w="638" w:type="dxa"/>
            <w:tcBorders>
              <w:left w:val="nil"/>
              <w:bottom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-8,4 </w:t>
            </w:r>
          </w:p>
        </w:tc>
        <w:tc>
          <w:tcPr>
            <w:tcW w:w="638" w:type="dxa"/>
            <w:tcBorders>
              <w:left w:val="nil"/>
              <w:bottom w:val="single" w:sz="8" w:space="0" w:color="auto"/>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-2,9 </w:t>
            </w:r>
          </w:p>
        </w:tc>
        <w:tc>
          <w:tcPr>
            <w:tcW w:w="1061" w:type="dxa"/>
            <w:tcBorders>
              <w:left w:val="nil"/>
              <w:bottom w:val="single" w:sz="8" w:space="0" w:color="auto"/>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64,2 </w:t>
            </w:r>
          </w:p>
        </w:tc>
      </w:tr>
      <w:tr w:rsidR="001E6631" w:rsidRPr="00E04C25" w:rsidTr="001E6631">
        <w:trPr>
          <w:trHeight w:val="278"/>
          <w:jc w:val="center"/>
        </w:trPr>
        <w:tc>
          <w:tcPr>
            <w:tcW w:w="2262" w:type="dxa"/>
            <w:tcBorders>
              <w:top w:val="single" w:sz="8" w:space="0" w:color="auto"/>
              <w:left w:val="double" w:sz="6" w:space="0" w:color="auto"/>
              <w:bottom w:val="nil"/>
              <w:right w:val="nil"/>
            </w:tcBorders>
            <w:noWrap/>
            <w:vAlign w:val="center"/>
          </w:tcPr>
          <w:p w:rsidR="001E6631" w:rsidRPr="00E04C25" w:rsidRDefault="001E6631" w:rsidP="00AE65A5">
            <w:pPr>
              <w:tabs>
                <w:tab w:val="left" w:pos="709"/>
              </w:tabs>
              <w:rPr>
                <w:rFonts w:ascii="Arial" w:hAnsi="Arial" w:cs="Arial"/>
                <w:b/>
                <w:sz w:val="16"/>
                <w:szCs w:val="16"/>
              </w:rPr>
            </w:pPr>
            <w:r w:rsidRPr="00E04C25">
              <w:rPr>
                <w:rFonts w:ascii="Arial" w:hAnsi="Arial" w:cs="Arial"/>
                <w:b/>
                <w:sz w:val="16"/>
                <w:szCs w:val="16"/>
              </w:rPr>
              <w:t>Ekonomicky neaktivní</w:t>
            </w:r>
            <w:r w:rsidR="00B668E3" w:rsidRPr="00E04C25">
              <w:rPr>
                <w:rFonts w:ascii="Arial" w:hAnsi="Arial" w:cs="Arial"/>
                <w:b/>
                <w:sz w:val="16"/>
                <w:szCs w:val="16"/>
              </w:rPr>
              <w:t xml:space="preserve"> 15+</w:t>
            </w:r>
          </w:p>
        </w:tc>
        <w:tc>
          <w:tcPr>
            <w:tcW w:w="769" w:type="dxa"/>
            <w:tcBorders>
              <w:top w:val="single" w:sz="8" w:space="0" w:color="auto"/>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3578,7 </w:t>
            </w:r>
          </w:p>
        </w:tc>
        <w:tc>
          <w:tcPr>
            <w:tcW w:w="726" w:type="dxa"/>
            <w:tcBorders>
              <w:top w:val="single" w:sz="8" w:space="0" w:color="auto"/>
              <w:left w:val="nil"/>
              <w:bottom w:val="nil"/>
              <w:right w:val="nil"/>
            </w:tcBorders>
            <w:noWrap/>
            <w:tcMar>
              <w:left w:w="57" w:type="dxa"/>
              <w:right w:w="57"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1376,4 </w:t>
            </w:r>
          </w:p>
        </w:tc>
        <w:tc>
          <w:tcPr>
            <w:tcW w:w="726" w:type="dxa"/>
            <w:tcBorders>
              <w:top w:val="single" w:sz="8" w:space="0" w:color="auto"/>
              <w:left w:val="nil"/>
              <w:bottom w:val="nil"/>
              <w:right w:val="nil"/>
            </w:tcBorders>
            <w:noWrap/>
            <w:tcMar>
              <w:left w:w="57" w:type="dxa"/>
              <w:right w:w="57"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2202,2 </w:t>
            </w:r>
          </w:p>
        </w:tc>
        <w:tc>
          <w:tcPr>
            <w:tcW w:w="768" w:type="dxa"/>
            <w:tcBorders>
              <w:top w:val="single" w:sz="8" w:space="0" w:color="auto"/>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3552,0 </w:t>
            </w:r>
          </w:p>
        </w:tc>
        <w:tc>
          <w:tcPr>
            <w:tcW w:w="726" w:type="dxa"/>
            <w:tcBorders>
              <w:top w:val="single" w:sz="8" w:space="0" w:color="auto"/>
              <w:left w:val="nil"/>
              <w:bottom w:val="nil"/>
              <w:right w:val="nil"/>
            </w:tcBorders>
            <w:noWrap/>
            <w:tcMar>
              <w:left w:w="57" w:type="dxa"/>
              <w:right w:w="57"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1370,0 </w:t>
            </w:r>
          </w:p>
        </w:tc>
        <w:tc>
          <w:tcPr>
            <w:tcW w:w="726" w:type="dxa"/>
            <w:tcBorders>
              <w:top w:val="single" w:sz="8" w:space="0" w:color="auto"/>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2182,0 </w:t>
            </w:r>
          </w:p>
        </w:tc>
        <w:tc>
          <w:tcPr>
            <w:tcW w:w="768" w:type="dxa"/>
            <w:tcBorders>
              <w:top w:val="single" w:sz="8" w:space="0" w:color="auto"/>
              <w:left w:val="nil"/>
              <w:bottom w:val="nil"/>
              <w:right w:val="nil"/>
            </w:tcBorders>
            <w:noWrap/>
            <w:tcMar>
              <w:left w:w="0" w:type="dxa"/>
              <w:right w:w="0"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-26,7 </w:t>
            </w:r>
          </w:p>
        </w:tc>
        <w:tc>
          <w:tcPr>
            <w:tcW w:w="638" w:type="dxa"/>
            <w:tcBorders>
              <w:top w:val="single" w:sz="8" w:space="0" w:color="auto"/>
              <w:left w:val="nil"/>
              <w:bottom w:val="nil"/>
              <w:right w:val="nil"/>
            </w:tcBorders>
            <w:noWrap/>
            <w:tcMar>
              <w:left w:w="57" w:type="dxa"/>
              <w:right w:w="57"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-6,4 </w:t>
            </w:r>
          </w:p>
        </w:tc>
        <w:tc>
          <w:tcPr>
            <w:tcW w:w="638" w:type="dxa"/>
            <w:tcBorders>
              <w:top w:val="single" w:sz="8" w:space="0" w:color="auto"/>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-20,2 </w:t>
            </w:r>
          </w:p>
        </w:tc>
        <w:tc>
          <w:tcPr>
            <w:tcW w:w="1061" w:type="dxa"/>
            <w:tcBorders>
              <w:top w:val="single" w:sz="8" w:space="0" w:color="auto"/>
              <w:left w:val="nil"/>
              <w:bottom w:val="nil"/>
              <w:right w:val="double" w:sz="6" w:space="0" w:color="auto"/>
            </w:tcBorders>
            <w:noWrap/>
            <w:tcMar>
              <w:right w:w="340" w:type="dxa"/>
            </w:tcMar>
            <w:vAlign w:val="center"/>
          </w:tcPr>
          <w:p w:rsidR="001E6631" w:rsidRPr="00E04C25" w:rsidRDefault="001E6631">
            <w:pPr>
              <w:jc w:val="right"/>
              <w:rPr>
                <w:rFonts w:ascii="Arial" w:hAnsi="Arial" w:cs="Arial"/>
                <w:b/>
                <w:sz w:val="16"/>
                <w:szCs w:val="16"/>
              </w:rPr>
            </w:pPr>
            <w:r w:rsidRPr="00E04C25">
              <w:rPr>
                <w:rFonts w:ascii="Arial" w:hAnsi="Arial" w:cs="Arial"/>
                <w:b/>
                <w:sz w:val="16"/>
                <w:szCs w:val="16"/>
              </w:rPr>
              <w:t xml:space="preserve">99,3 </w:t>
            </w:r>
          </w:p>
        </w:tc>
      </w:tr>
      <w:tr w:rsidR="001E6631" w:rsidRPr="00E04C25" w:rsidTr="001E6631">
        <w:trPr>
          <w:trHeight w:val="278"/>
          <w:jc w:val="center"/>
        </w:trPr>
        <w:tc>
          <w:tcPr>
            <w:tcW w:w="2262" w:type="dxa"/>
            <w:tcBorders>
              <w:top w:val="nil"/>
              <w:left w:val="double" w:sz="6" w:space="0" w:color="auto"/>
              <w:bottom w:val="nil"/>
              <w:right w:val="nil"/>
            </w:tcBorders>
            <w:noWrap/>
            <w:vAlign w:val="center"/>
          </w:tcPr>
          <w:p w:rsidR="001E6631" w:rsidRPr="00E04C25" w:rsidRDefault="001E6631" w:rsidP="00C10EFD">
            <w:pPr>
              <w:tabs>
                <w:tab w:val="left" w:pos="709"/>
              </w:tabs>
              <w:rPr>
                <w:rFonts w:ascii="Arial" w:hAnsi="Arial" w:cs="Arial"/>
                <w:sz w:val="16"/>
                <w:szCs w:val="16"/>
              </w:rPr>
            </w:pPr>
            <w:r w:rsidRPr="00E04C25">
              <w:rPr>
                <w:rFonts w:ascii="Arial" w:hAnsi="Arial" w:cs="Arial"/>
                <w:sz w:val="16"/>
                <w:szCs w:val="16"/>
              </w:rPr>
              <w:t xml:space="preserve">  z toho:  15-64 let</w:t>
            </w:r>
          </w:p>
        </w:tc>
        <w:tc>
          <w:tcPr>
            <w:tcW w:w="769"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1742,1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631,2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1110,9 </w:t>
            </w:r>
          </w:p>
        </w:tc>
        <w:tc>
          <w:tcPr>
            <w:tcW w:w="768"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1668,5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602,2 </w:t>
            </w:r>
          </w:p>
        </w:tc>
        <w:tc>
          <w:tcPr>
            <w:tcW w:w="726"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1066,3 </w:t>
            </w:r>
          </w:p>
        </w:tc>
        <w:tc>
          <w:tcPr>
            <w:tcW w:w="768" w:type="dxa"/>
            <w:tcBorders>
              <w:top w:val="nil"/>
              <w:left w:val="nil"/>
              <w:bottom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-73,6 </w:t>
            </w:r>
          </w:p>
        </w:tc>
        <w:tc>
          <w:tcPr>
            <w:tcW w:w="638"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-29,0 </w:t>
            </w:r>
          </w:p>
        </w:tc>
        <w:tc>
          <w:tcPr>
            <w:tcW w:w="638"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-44,6 </w:t>
            </w:r>
          </w:p>
        </w:tc>
        <w:tc>
          <w:tcPr>
            <w:tcW w:w="1061" w:type="dxa"/>
            <w:tcBorders>
              <w:top w:val="nil"/>
              <w:left w:val="nil"/>
              <w:bottom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95,8 </w:t>
            </w:r>
          </w:p>
        </w:tc>
      </w:tr>
      <w:tr w:rsidR="001E6631" w:rsidRPr="00E04C25" w:rsidTr="001E6631">
        <w:trPr>
          <w:trHeight w:val="278"/>
          <w:jc w:val="center"/>
        </w:trPr>
        <w:tc>
          <w:tcPr>
            <w:tcW w:w="2262" w:type="dxa"/>
            <w:tcBorders>
              <w:top w:val="nil"/>
              <w:left w:val="double" w:sz="6" w:space="0" w:color="auto"/>
              <w:bottom w:val="nil"/>
              <w:right w:val="nil"/>
            </w:tcBorders>
            <w:noWrap/>
            <w:vAlign w:val="center"/>
          </w:tcPr>
          <w:p w:rsidR="001E6631" w:rsidRPr="00E04C25" w:rsidRDefault="001E6631" w:rsidP="00C10EFD">
            <w:pPr>
              <w:tabs>
                <w:tab w:val="left" w:pos="709"/>
              </w:tabs>
              <w:rPr>
                <w:rFonts w:ascii="Arial" w:hAnsi="Arial" w:cs="Arial"/>
                <w:sz w:val="16"/>
                <w:szCs w:val="16"/>
              </w:rPr>
            </w:pPr>
            <w:r w:rsidRPr="00E04C25">
              <w:rPr>
                <w:rFonts w:ascii="Arial" w:hAnsi="Arial" w:cs="Arial"/>
                <w:sz w:val="16"/>
                <w:szCs w:val="16"/>
              </w:rPr>
              <w:t xml:space="preserve">                20-64 let</w:t>
            </w:r>
          </w:p>
        </w:tc>
        <w:tc>
          <w:tcPr>
            <w:tcW w:w="769"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1311,3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410,6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900,6 </w:t>
            </w:r>
          </w:p>
        </w:tc>
        <w:tc>
          <w:tcPr>
            <w:tcW w:w="768"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1237,3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382,6 </w:t>
            </w:r>
          </w:p>
        </w:tc>
        <w:tc>
          <w:tcPr>
            <w:tcW w:w="726"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854,7 </w:t>
            </w:r>
          </w:p>
        </w:tc>
        <w:tc>
          <w:tcPr>
            <w:tcW w:w="768" w:type="dxa"/>
            <w:tcBorders>
              <w:top w:val="nil"/>
              <w:left w:val="nil"/>
              <w:bottom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-74,0 </w:t>
            </w:r>
          </w:p>
        </w:tc>
        <w:tc>
          <w:tcPr>
            <w:tcW w:w="638"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-28,0 </w:t>
            </w:r>
          </w:p>
        </w:tc>
        <w:tc>
          <w:tcPr>
            <w:tcW w:w="638"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-45,9 </w:t>
            </w:r>
          </w:p>
        </w:tc>
        <w:tc>
          <w:tcPr>
            <w:tcW w:w="1061" w:type="dxa"/>
            <w:tcBorders>
              <w:top w:val="nil"/>
              <w:left w:val="nil"/>
              <w:bottom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94,4 </w:t>
            </w:r>
          </w:p>
        </w:tc>
      </w:tr>
      <w:tr w:rsidR="001E6631" w:rsidRPr="00E04C25" w:rsidTr="001E6631">
        <w:trPr>
          <w:trHeight w:val="278"/>
          <w:jc w:val="center"/>
        </w:trPr>
        <w:tc>
          <w:tcPr>
            <w:tcW w:w="2262" w:type="dxa"/>
            <w:tcBorders>
              <w:top w:val="nil"/>
              <w:left w:val="double" w:sz="6" w:space="0" w:color="auto"/>
              <w:right w:val="nil"/>
            </w:tcBorders>
            <w:noWrap/>
            <w:vAlign w:val="center"/>
          </w:tcPr>
          <w:p w:rsidR="001E6631" w:rsidRPr="00E04C25" w:rsidRDefault="001E6631" w:rsidP="00AE65A5">
            <w:pPr>
              <w:tabs>
                <w:tab w:val="left" w:pos="709"/>
              </w:tabs>
              <w:rPr>
                <w:rFonts w:ascii="Arial" w:hAnsi="Arial" w:cs="Arial"/>
                <w:sz w:val="16"/>
                <w:szCs w:val="16"/>
              </w:rPr>
            </w:pPr>
            <w:r w:rsidRPr="00E04C25">
              <w:rPr>
                <w:rFonts w:ascii="Arial" w:hAnsi="Arial" w:cs="Arial"/>
                <w:sz w:val="16"/>
                <w:szCs w:val="16"/>
              </w:rPr>
              <w:t xml:space="preserve">                55-64 let</w:t>
            </w:r>
          </w:p>
        </w:tc>
        <w:tc>
          <w:tcPr>
            <w:tcW w:w="769" w:type="dxa"/>
            <w:tcBorders>
              <w:top w:val="nil"/>
              <w:left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532,2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192,7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339,4 </w:t>
            </w:r>
          </w:p>
        </w:tc>
        <w:tc>
          <w:tcPr>
            <w:tcW w:w="768" w:type="dxa"/>
            <w:tcBorders>
              <w:top w:val="nil"/>
              <w:left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483,4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174,7 </w:t>
            </w:r>
          </w:p>
        </w:tc>
        <w:tc>
          <w:tcPr>
            <w:tcW w:w="726" w:type="dxa"/>
            <w:tcBorders>
              <w:top w:val="nil"/>
              <w:left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308,7 </w:t>
            </w:r>
          </w:p>
        </w:tc>
        <w:tc>
          <w:tcPr>
            <w:tcW w:w="768" w:type="dxa"/>
            <w:tcBorders>
              <w:top w:val="nil"/>
              <w:left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-48,8 </w:t>
            </w:r>
          </w:p>
        </w:tc>
        <w:tc>
          <w:tcPr>
            <w:tcW w:w="638"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-18,0 </w:t>
            </w:r>
          </w:p>
        </w:tc>
        <w:tc>
          <w:tcPr>
            <w:tcW w:w="638" w:type="dxa"/>
            <w:tcBorders>
              <w:top w:val="nil"/>
              <w:left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-30,7 </w:t>
            </w:r>
          </w:p>
        </w:tc>
        <w:tc>
          <w:tcPr>
            <w:tcW w:w="1061" w:type="dxa"/>
            <w:tcBorders>
              <w:top w:val="nil"/>
              <w:left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90,8 </w:t>
            </w:r>
          </w:p>
        </w:tc>
      </w:tr>
      <w:tr w:rsidR="001E6631" w:rsidRPr="00E04C25" w:rsidTr="001E6631">
        <w:trPr>
          <w:trHeight w:val="278"/>
          <w:jc w:val="center"/>
        </w:trPr>
        <w:tc>
          <w:tcPr>
            <w:tcW w:w="2262" w:type="dxa"/>
            <w:tcBorders>
              <w:top w:val="nil"/>
              <w:left w:val="double" w:sz="6" w:space="0" w:color="auto"/>
              <w:bottom w:val="nil"/>
              <w:right w:val="nil"/>
            </w:tcBorders>
            <w:noWrap/>
            <w:vAlign w:val="center"/>
          </w:tcPr>
          <w:p w:rsidR="001E6631" w:rsidRPr="00E04C25" w:rsidRDefault="001E6631" w:rsidP="00AE65A5">
            <w:pPr>
              <w:tabs>
                <w:tab w:val="left" w:pos="709"/>
              </w:tabs>
              <w:rPr>
                <w:rFonts w:ascii="Arial" w:hAnsi="Arial" w:cs="Arial"/>
                <w:sz w:val="16"/>
                <w:szCs w:val="16"/>
              </w:rPr>
            </w:pPr>
            <w:r w:rsidRPr="00E04C25">
              <w:rPr>
                <w:rFonts w:ascii="Arial" w:hAnsi="Arial" w:cs="Arial"/>
                <w:sz w:val="16"/>
                <w:szCs w:val="16"/>
              </w:rPr>
              <w:t>důchodci v předčas. důchodu</w:t>
            </w:r>
          </w:p>
        </w:tc>
        <w:tc>
          <w:tcPr>
            <w:tcW w:w="769"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25,4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12,4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13,0 </w:t>
            </w:r>
          </w:p>
        </w:tc>
        <w:tc>
          <w:tcPr>
            <w:tcW w:w="768"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21,1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8,4 </w:t>
            </w:r>
          </w:p>
        </w:tc>
        <w:tc>
          <w:tcPr>
            <w:tcW w:w="726"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12,6 </w:t>
            </w:r>
          </w:p>
        </w:tc>
        <w:tc>
          <w:tcPr>
            <w:tcW w:w="768" w:type="dxa"/>
            <w:tcBorders>
              <w:top w:val="nil"/>
              <w:left w:val="nil"/>
              <w:bottom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-4,3 </w:t>
            </w:r>
          </w:p>
        </w:tc>
        <w:tc>
          <w:tcPr>
            <w:tcW w:w="638"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-4,0 </w:t>
            </w:r>
          </w:p>
        </w:tc>
        <w:tc>
          <w:tcPr>
            <w:tcW w:w="638"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-0,4 </w:t>
            </w:r>
          </w:p>
        </w:tc>
        <w:tc>
          <w:tcPr>
            <w:tcW w:w="1061" w:type="dxa"/>
            <w:tcBorders>
              <w:top w:val="nil"/>
              <w:left w:val="nil"/>
              <w:bottom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83,1 </w:t>
            </w:r>
          </w:p>
        </w:tc>
      </w:tr>
      <w:tr w:rsidR="001E6631" w:rsidRPr="00E04C25" w:rsidTr="001E6631">
        <w:trPr>
          <w:trHeight w:val="278"/>
          <w:jc w:val="center"/>
        </w:trPr>
        <w:tc>
          <w:tcPr>
            <w:tcW w:w="2262" w:type="dxa"/>
            <w:tcBorders>
              <w:top w:val="nil"/>
              <w:left w:val="double" w:sz="6" w:space="0" w:color="auto"/>
              <w:bottom w:val="nil"/>
              <w:right w:val="nil"/>
            </w:tcBorders>
            <w:noWrap/>
            <w:vAlign w:val="center"/>
          </w:tcPr>
          <w:p w:rsidR="001E6631" w:rsidRPr="00E04C25" w:rsidRDefault="001E6631" w:rsidP="00AE65A5">
            <w:pPr>
              <w:tabs>
                <w:tab w:val="left" w:pos="709"/>
              </w:tabs>
              <w:rPr>
                <w:rFonts w:ascii="Arial" w:hAnsi="Arial" w:cs="Arial"/>
                <w:sz w:val="16"/>
                <w:szCs w:val="16"/>
              </w:rPr>
            </w:pPr>
            <w:r w:rsidRPr="00E04C25">
              <w:rPr>
                <w:rFonts w:ascii="Arial" w:hAnsi="Arial" w:cs="Arial"/>
                <w:sz w:val="16"/>
                <w:szCs w:val="16"/>
              </w:rPr>
              <w:t>důchodci v řádném důchodu</w:t>
            </w:r>
          </w:p>
        </w:tc>
        <w:tc>
          <w:tcPr>
            <w:tcW w:w="769"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2224,7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863,0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1361,7 </w:t>
            </w:r>
          </w:p>
        </w:tc>
        <w:tc>
          <w:tcPr>
            <w:tcW w:w="768"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2229,2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872,0 </w:t>
            </w:r>
          </w:p>
        </w:tc>
        <w:tc>
          <w:tcPr>
            <w:tcW w:w="726"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1357,2 </w:t>
            </w:r>
          </w:p>
        </w:tc>
        <w:tc>
          <w:tcPr>
            <w:tcW w:w="768" w:type="dxa"/>
            <w:tcBorders>
              <w:top w:val="nil"/>
              <w:left w:val="nil"/>
              <w:bottom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4,5 </w:t>
            </w:r>
          </w:p>
        </w:tc>
        <w:tc>
          <w:tcPr>
            <w:tcW w:w="638"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9,0 </w:t>
            </w:r>
          </w:p>
        </w:tc>
        <w:tc>
          <w:tcPr>
            <w:tcW w:w="638"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-4,5 </w:t>
            </w:r>
          </w:p>
        </w:tc>
        <w:tc>
          <w:tcPr>
            <w:tcW w:w="1061" w:type="dxa"/>
            <w:tcBorders>
              <w:top w:val="nil"/>
              <w:left w:val="nil"/>
              <w:bottom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100,2 </w:t>
            </w:r>
          </w:p>
        </w:tc>
      </w:tr>
      <w:tr w:rsidR="001E6631" w:rsidRPr="00E04C25" w:rsidTr="001E6631">
        <w:trPr>
          <w:trHeight w:val="278"/>
          <w:jc w:val="center"/>
        </w:trPr>
        <w:tc>
          <w:tcPr>
            <w:tcW w:w="2262" w:type="dxa"/>
            <w:tcBorders>
              <w:top w:val="nil"/>
              <w:left w:val="double" w:sz="6" w:space="0" w:color="auto"/>
              <w:bottom w:val="nil"/>
              <w:right w:val="nil"/>
            </w:tcBorders>
            <w:noWrap/>
            <w:vAlign w:val="center"/>
          </w:tcPr>
          <w:p w:rsidR="001E6631" w:rsidRPr="00E04C25" w:rsidRDefault="001E6631" w:rsidP="00AE65A5">
            <w:pPr>
              <w:tabs>
                <w:tab w:val="left" w:pos="709"/>
              </w:tabs>
              <w:rPr>
                <w:rFonts w:ascii="Arial" w:hAnsi="Arial" w:cs="Arial"/>
                <w:sz w:val="16"/>
                <w:szCs w:val="16"/>
              </w:rPr>
            </w:pPr>
            <w:r w:rsidRPr="00E04C25">
              <w:rPr>
                <w:rFonts w:ascii="Arial" w:hAnsi="Arial" w:cs="Arial"/>
                <w:sz w:val="16"/>
                <w:szCs w:val="16"/>
              </w:rPr>
              <w:t>invalidní důchodci</w:t>
            </w:r>
          </w:p>
        </w:tc>
        <w:tc>
          <w:tcPr>
            <w:tcW w:w="769"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235,1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124,8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110,3 </w:t>
            </w:r>
          </w:p>
        </w:tc>
        <w:tc>
          <w:tcPr>
            <w:tcW w:w="768"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224,3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116,4 </w:t>
            </w:r>
          </w:p>
        </w:tc>
        <w:tc>
          <w:tcPr>
            <w:tcW w:w="726"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107,9 </w:t>
            </w:r>
          </w:p>
        </w:tc>
        <w:tc>
          <w:tcPr>
            <w:tcW w:w="768" w:type="dxa"/>
            <w:tcBorders>
              <w:top w:val="nil"/>
              <w:left w:val="nil"/>
              <w:bottom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-10,8 </w:t>
            </w:r>
          </w:p>
        </w:tc>
        <w:tc>
          <w:tcPr>
            <w:tcW w:w="638"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-8,4 </w:t>
            </w:r>
          </w:p>
        </w:tc>
        <w:tc>
          <w:tcPr>
            <w:tcW w:w="638"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-2,4 </w:t>
            </w:r>
          </w:p>
        </w:tc>
        <w:tc>
          <w:tcPr>
            <w:tcW w:w="1061" w:type="dxa"/>
            <w:tcBorders>
              <w:top w:val="nil"/>
              <w:left w:val="nil"/>
              <w:bottom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95,4 </w:t>
            </w:r>
          </w:p>
        </w:tc>
      </w:tr>
      <w:tr w:rsidR="001E6631" w:rsidRPr="00E04C25" w:rsidTr="001E6631">
        <w:trPr>
          <w:trHeight w:val="278"/>
          <w:jc w:val="center"/>
        </w:trPr>
        <w:tc>
          <w:tcPr>
            <w:tcW w:w="2262" w:type="dxa"/>
            <w:tcBorders>
              <w:top w:val="nil"/>
              <w:left w:val="double" w:sz="6" w:space="0" w:color="auto"/>
              <w:bottom w:val="nil"/>
              <w:right w:val="nil"/>
            </w:tcBorders>
            <w:noWrap/>
            <w:vAlign w:val="center"/>
          </w:tcPr>
          <w:p w:rsidR="001E6631" w:rsidRPr="00E04C25" w:rsidRDefault="001E6631" w:rsidP="00AE65A5">
            <w:pPr>
              <w:tabs>
                <w:tab w:val="left" w:pos="709"/>
              </w:tabs>
              <w:rPr>
                <w:rFonts w:ascii="Arial" w:hAnsi="Arial" w:cs="Arial"/>
                <w:sz w:val="16"/>
                <w:szCs w:val="16"/>
              </w:rPr>
            </w:pPr>
            <w:r w:rsidRPr="00E04C25">
              <w:rPr>
                <w:rFonts w:ascii="Arial" w:hAnsi="Arial" w:cs="Arial"/>
                <w:sz w:val="16"/>
                <w:szCs w:val="16"/>
              </w:rPr>
              <w:t>žáci na 2. stupni  zákl. školy</w:t>
            </w:r>
          </w:p>
        </w:tc>
        <w:tc>
          <w:tcPr>
            <w:tcW w:w="769"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56,3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32,6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23,7 </w:t>
            </w:r>
          </w:p>
        </w:tc>
        <w:tc>
          <w:tcPr>
            <w:tcW w:w="768" w:type="dxa"/>
            <w:tcBorders>
              <w:top w:val="nil"/>
              <w:left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58,0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31,8 </w:t>
            </w:r>
          </w:p>
        </w:tc>
        <w:tc>
          <w:tcPr>
            <w:tcW w:w="726"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26,2 </w:t>
            </w:r>
          </w:p>
        </w:tc>
        <w:tc>
          <w:tcPr>
            <w:tcW w:w="768" w:type="dxa"/>
            <w:tcBorders>
              <w:top w:val="nil"/>
              <w:left w:val="nil"/>
              <w:bottom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1,7 </w:t>
            </w:r>
          </w:p>
        </w:tc>
        <w:tc>
          <w:tcPr>
            <w:tcW w:w="638"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-0,8 </w:t>
            </w:r>
          </w:p>
        </w:tc>
        <w:tc>
          <w:tcPr>
            <w:tcW w:w="638"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2,5 </w:t>
            </w:r>
          </w:p>
        </w:tc>
        <w:tc>
          <w:tcPr>
            <w:tcW w:w="1061" w:type="dxa"/>
            <w:tcBorders>
              <w:top w:val="nil"/>
              <w:left w:val="nil"/>
              <w:bottom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103,0 </w:t>
            </w:r>
          </w:p>
        </w:tc>
      </w:tr>
      <w:tr w:rsidR="001E6631" w:rsidRPr="00E04C25" w:rsidTr="001E6631">
        <w:trPr>
          <w:trHeight w:val="278"/>
          <w:jc w:val="center"/>
        </w:trPr>
        <w:tc>
          <w:tcPr>
            <w:tcW w:w="2262" w:type="dxa"/>
            <w:tcBorders>
              <w:top w:val="nil"/>
              <w:left w:val="double" w:sz="6" w:space="0" w:color="auto"/>
              <w:bottom w:val="nil"/>
              <w:right w:val="nil"/>
            </w:tcBorders>
            <w:noWrap/>
            <w:vAlign w:val="center"/>
          </w:tcPr>
          <w:p w:rsidR="001E6631" w:rsidRPr="00E04C25" w:rsidRDefault="001E6631" w:rsidP="00AE65A5">
            <w:pPr>
              <w:tabs>
                <w:tab w:val="left" w:pos="709"/>
              </w:tabs>
              <w:rPr>
                <w:rFonts w:ascii="Arial" w:hAnsi="Arial" w:cs="Arial"/>
                <w:sz w:val="16"/>
                <w:szCs w:val="16"/>
              </w:rPr>
            </w:pPr>
            <w:r w:rsidRPr="00E04C25">
              <w:rPr>
                <w:rFonts w:ascii="Arial" w:hAnsi="Arial" w:cs="Arial"/>
                <w:sz w:val="16"/>
                <w:szCs w:val="16"/>
              </w:rPr>
              <w:t>učení bez maturity</w:t>
            </w:r>
          </w:p>
        </w:tc>
        <w:tc>
          <w:tcPr>
            <w:tcW w:w="769" w:type="dxa"/>
            <w:tcBorders>
              <w:top w:val="nil"/>
              <w:left w:val="single" w:sz="8" w:space="0" w:color="auto"/>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74,3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48,8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25,5 </w:t>
            </w:r>
          </w:p>
        </w:tc>
        <w:tc>
          <w:tcPr>
            <w:tcW w:w="768" w:type="dxa"/>
            <w:tcBorders>
              <w:top w:val="nil"/>
              <w:left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73,5 </w:t>
            </w:r>
          </w:p>
        </w:tc>
        <w:tc>
          <w:tcPr>
            <w:tcW w:w="726"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49,8 </w:t>
            </w:r>
          </w:p>
        </w:tc>
        <w:tc>
          <w:tcPr>
            <w:tcW w:w="726"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23,6 </w:t>
            </w:r>
          </w:p>
        </w:tc>
        <w:tc>
          <w:tcPr>
            <w:tcW w:w="768" w:type="dxa"/>
            <w:tcBorders>
              <w:top w:val="nil"/>
              <w:left w:val="nil"/>
              <w:bottom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-0,8 </w:t>
            </w:r>
          </w:p>
        </w:tc>
        <w:tc>
          <w:tcPr>
            <w:tcW w:w="638" w:type="dxa"/>
            <w:tcBorders>
              <w:top w:val="nil"/>
              <w:left w:val="nil"/>
              <w:bottom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 </w:t>
            </w:r>
          </w:p>
        </w:tc>
        <w:tc>
          <w:tcPr>
            <w:tcW w:w="638" w:type="dxa"/>
            <w:tcBorders>
              <w:top w:val="nil"/>
              <w:left w:val="nil"/>
              <w:bottom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-1,9 </w:t>
            </w:r>
          </w:p>
        </w:tc>
        <w:tc>
          <w:tcPr>
            <w:tcW w:w="1061" w:type="dxa"/>
            <w:tcBorders>
              <w:top w:val="nil"/>
              <w:left w:val="nil"/>
              <w:bottom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98,9 </w:t>
            </w:r>
          </w:p>
        </w:tc>
      </w:tr>
      <w:tr w:rsidR="001E6631" w:rsidRPr="00E04C25" w:rsidTr="001E6631">
        <w:trPr>
          <w:trHeight w:val="278"/>
          <w:jc w:val="center"/>
        </w:trPr>
        <w:tc>
          <w:tcPr>
            <w:tcW w:w="2262" w:type="dxa"/>
            <w:tcBorders>
              <w:top w:val="nil"/>
              <w:left w:val="double" w:sz="6" w:space="0" w:color="auto"/>
              <w:right w:val="nil"/>
            </w:tcBorders>
            <w:noWrap/>
            <w:vAlign w:val="center"/>
          </w:tcPr>
          <w:p w:rsidR="001E6631" w:rsidRPr="00E04C25" w:rsidRDefault="001E6631" w:rsidP="00AB5EC7">
            <w:pPr>
              <w:tabs>
                <w:tab w:val="left" w:pos="709"/>
              </w:tabs>
              <w:rPr>
                <w:rFonts w:ascii="Arial" w:hAnsi="Arial" w:cs="Arial"/>
                <w:sz w:val="16"/>
                <w:szCs w:val="16"/>
              </w:rPr>
            </w:pPr>
            <w:r w:rsidRPr="00E04C25">
              <w:rPr>
                <w:rFonts w:ascii="Arial" w:hAnsi="Arial" w:cs="Arial"/>
                <w:sz w:val="16"/>
                <w:szCs w:val="16"/>
              </w:rPr>
              <w:t xml:space="preserve">střední škola </w:t>
            </w:r>
          </w:p>
        </w:tc>
        <w:tc>
          <w:tcPr>
            <w:tcW w:w="769" w:type="dxa"/>
            <w:tcBorders>
              <w:top w:val="nil"/>
              <w:left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302,3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145,8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156,4 </w:t>
            </w:r>
          </w:p>
        </w:tc>
        <w:tc>
          <w:tcPr>
            <w:tcW w:w="768" w:type="dxa"/>
            <w:tcBorders>
              <w:top w:val="nil"/>
              <w:left w:val="single" w:sz="8" w:space="0" w:color="auto"/>
              <w:right w:val="nil"/>
            </w:tcBorders>
            <w:shd w:val="clear" w:color="auto" w:fill="auto"/>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294,2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140,0 </w:t>
            </w:r>
          </w:p>
        </w:tc>
        <w:tc>
          <w:tcPr>
            <w:tcW w:w="726" w:type="dxa"/>
            <w:tcBorders>
              <w:top w:val="nil"/>
              <w:left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154,3 </w:t>
            </w:r>
          </w:p>
        </w:tc>
        <w:tc>
          <w:tcPr>
            <w:tcW w:w="768" w:type="dxa"/>
            <w:tcBorders>
              <w:top w:val="nil"/>
              <w:left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-8,1 </w:t>
            </w:r>
          </w:p>
        </w:tc>
        <w:tc>
          <w:tcPr>
            <w:tcW w:w="638"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-5,8 </w:t>
            </w:r>
          </w:p>
        </w:tc>
        <w:tc>
          <w:tcPr>
            <w:tcW w:w="638" w:type="dxa"/>
            <w:tcBorders>
              <w:top w:val="nil"/>
              <w:left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-2,1 </w:t>
            </w:r>
          </w:p>
        </w:tc>
        <w:tc>
          <w:tcPr>
            <w:tcW w:w="1061" w:type="dxa"/>
            <w:tcBorders>
              <w:top w:val="nil"/>
              <w:left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97,3 </w:t>
            </w:r>
          </w:p>
        </w:tc>
      </w:tr>
      <w:tr w:rsidR="001E6631" w:rsidRPr="00E04C25" w:rsidTr="001E6631">
        <w:trPr>
          <w:trHeight w:val="278"/>
          <w:jc w:val="center"/>
        </w:trPr>
        <w:tc>
          <w:tcPr>
            <w:tcW w:w="2262" w:type="dxa"/>
            <w:tcBorders>
              <w:top w:val="nil"/>
              <w:left w:val="double" w:sz="6" w:space="0" w:color="auto"/>
              <w:right w:val="nil"/>
            </w:tcBorders>
            <w:noWrap/>
            <w:vAlign w:val="center"/>
          </w:tcPr>
          <w:p w:rsidR="001E6631" w:rsidRPr="00E04C25" w:rsidRDefault="001E6631" w:rsidP="00AE65A5">
            <w:pPr>
              <w:tabs>
                <w:tab w:val="left" w:pos="709"/>
              </w:tabs>
              <w:rPr>
                <w:rFonts w:ascii="Arial" w:hAnsi="Arial" w:cs="Arial"/>
                <w:sz w:val="16"/>
                <w:szCs w:val="16"/>
              </w:rPr>
            </w:pPr>
            <w:r w:rsidRPr="00E04C25">
              <w:rPr>
                <w:rFonts w:ascii="Arial" w:hAnsi="Arial" w:cs="Arial"/>
                <w:sz w:val="16"/>
                <w:szCs w:val="16"/>
              </w:rPr>
              <w:t>vysokoškolské studium*)</w:t>
            </w:r>
          </w:p>
        </w:tc>
        <w:tc>
          <w:tcPr>
            <w:tcW w:w="769" w:type="dxa"/>
            <w:tcBorders>
              <w:top w:val="nil"/>
              <w:left w:val="single" w:sz="8"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263,7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109,4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154,3 </w:t>
            </w:r>
          </w:p>
        </w:tc>
        <w:tc>
          <w:tcPr>
            <w:tcW w:w="768" w:type="dxa"/>
            <w:tcBorders>
              <w:top w:val="nil"/>
              <w:left w:val="single" w:sz="8" w:space="0" w:color="auto"/>
              <w:right w:val="nil"/>
            </w:tcBorders>
            <w:shd w:val="clear" w:color="auto" w:fill="auto"/>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255,9 </w:t>
            </w:r>
          </w:p>
        </w:tc>
        <w:tc>
          <w:tcPr>
            <w:tcW w:w="726"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111,7 </w:t>
            </w:r>
          </w:p>
        </w:tc>
        <w:tc>
          <w:tcPr>
            <w:tcW w:w="726" w:type="dxa"/>
            <w:tcBorders>
              <w:top w:val="nil"/>
              <w:left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144,3 </w:t>
            </w:r>
          </w:p>
        </w:tc>
        <w:tc>
          <w:tcPr>
            <w:tcW w:w="768" w:type="dxa"/>
            <w:tcBorders>
              <w:top w:val="nil"/>
              <w:left w:val="nil"/>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-7,8 </w:t>
            </w:r>
          </w:p>
        </w:tc>
        <w:tc>
          <w:tcPr>
            <w:tcW w:w="638" w:type="dxa"/>
            <w:tcBorders>
              <w:top w:val="nil"/>
              <w:left w:val="nil"/>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2,3 </w:t>
            </w:r>
          </w:p>
        </w:tc>
        <w:tc>
          <w:tcPr>
            <w:tcW w:w="638" w:type="dxa"/>
            <w:tcBorders>
              <w:top w:val="nil"/>
              <w:left w:val="nil"/>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-10,0 </w:t>
            </w:r>
          </w:p>
        </w:tc>
        <w:tc>
          <w:tcPr>
            <w:tcW w:w="1061" w:type="dxa"/>
            <w:tcBorders>
              <w:top w:val="nil"/>
              <w:left w:val="nil"/>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97,0 </w:t>
            </w:r>
          </w:p>
        </w:tc>
      </w:tr>
      <w:tr w:rsidR="001E6631" w:rsidRPr="00E04C25" w:rsidTr="001E6631">
        <w:trPr>
          <w:trHeight w:val="278"/>
          <w:jc w:val="center"/>
        </w:trPr>
        <w:tc>
          <w:tcPr>
            <w:tcW w:w="2262" w:type="dxa"/>
            <w:tcBorders>
              <w:top w:val="nil"/>
              <w:left w:val="double" w:sz="6" w:space="0" w:color="auto"/>
              <w:bottom w:val="double" w:sz="6" w:space="0" w:color="auto"/>
              <w:right w:val="nil"/>
            </w:tcBorders>
            <w:noWrap/>
            <w:vAlign w:val="center"/>
          </w:tcPr>
          <w:p w:rsidR="001E6631" w:rsidRPr="00E04C25" w:rsidRDefault="001E6631" w:rsidP="00AE65A5">
            <w:pPr>
              <w:tabs>
                <w:tab w:val="left" w:pos="709"/>
              </w:tabs>
              <w:rPr>
                <w:rFonts w:ascii="Arial" w:hAnsi="Arial" w:cs="Arial"/>
                <w:sz w:val="16"/>
                <w:szCs w:val="16"/>
              </w:rPr>
            </w:pPr>
            <w:r w:rsidRPr="00E04C25">
              <w:rPr>
                <w:rFonts w:ascii="Arial" w:hAnsi="Arial" w:cs="Arial"/>
                <w:sz w:val="16"/>
                <w:szCs w:val="16"/>
              </w:rPr>
              <w:t>doktorské studium</w:t>
            </w:r>
          </w:p>
        </w:tc>
        <w:tc>
          <w:tcPr>
            <w:tcW w:w="769" w:type="dxa"/>
            <w:tcBorders>
              <w:top w:val="nil"/>
              <w:left w:val="single" w:sz="8" w:space="0" w:color="auto"/>
              <w:bottom w:val="double" w:sz="6"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3,9 </w:t>
            </w:r>
          </w:p>
        </w:tc>
        <w:tc>
          <w:tcPr>
            <w:tcW w:w="726" w:type="dxa"/>
            <w:tcBorders>
              <w:top w:val="nil"/>
              <w:left w:val="nil"/>
              <w:bottom w:val="double" w:sz="6"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2,3 </w:t>
            </w:r>
          </w:p>
        </w:tc>
        <w:tc>
          <w:tcPr>
            <w:tcW w:w="726" w:type="dxa"/>
            <w:tcBorders>
              <w:top w:val="nil"/>
              <w:left w:val="nil"/>
              <w:bottom w:val="double" w:sz="6"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1,6 </w:t>
            </w:r>
          </w:p>
        </w:tc>
        <w:tc>
          <w:tcPr>
            <w:tcW w:w="768" w:type="dxa"/>
            <w:tcBorders>
              <w:top w:val="nil"/>
              <w:left w:val="single" w:sz="8" w:space="0" w:color="auto"/>
              <w:bottom w:val="double" w:sz="6" w:space="0" w:color="auto"/>
              <w:right w:val="nil"/>
            </w:tcBorders>
            <w:shd w:val="clear" w:color="auto" w:fill="auto"/>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3,6 </w:t>
            </w:r>
          </w:p>
        </w:tc>
        <w:tc>
          <w:tcPr>
            <w:tcW w:w="726" w:type="dxa"/>
            <w:tcBorders>
              <w:top w:val="nil"/>
              <w:left w:val="nil"/>
              <w:bottom w:val="double" w:sz="6"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1,9 </w:t>
            </w:r>
          </w:p>
        </w:tc>
        <w:tc>
          <w:tcPr>
            <w:tcW w:w="726" w:type="dxa"/>
            <w:tcBorders>
              <w:top w:val="nil"/>
              <w:left w:val="nil"/>
              <w:bottom w:val="double" w:sz="6" w:space="0" w:color="auto"/>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1,8 </w:t>
            </w:r>
          </w:p>
        </w:tc>
        <w:tc>
          <w:tcPr>
            <w:tcW w:w="768" w:type="dxa"/>
            <w:tcBorders>
              <w:top w:val="nil"/>
              <w:left w:val="nil"/>
              <w:bottom w:val="double" w:sz="6" w:space="0" w:color="auto"/>
              <w:right w:val="nil"/>
            </w:tcBorders>
            <w:noWrap/>
            <w:tcMar>
              <w:left w:w="0" w:type="dxa"/>
              <w:right w:w="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-0,3 </w:t>
            </w:r>
          </w:p>
        </w:tc>
        <w:tc>
          <w:tcPr>
            <w:tcW w:w="638" w:type="dxa"/>
            <w:tcBorders>
              <w:top w:val="nil"/>
              <w:left w:val="nil"/>
              <w:bottom w:val="double" w:sz="6" w:space="0" w:color="auto"/>
              <w:right w:val="nil"/>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-0,4 </w:t>
            </w:r>
          </w:p>
        </w:tc>
        <w:tc>
          <w:tcPr>
            <w:tcW w:w="638" w:type="dxa"/>
            <w:tcBorders>
              <w:top w:val="nil"/>
              <w:left w:val="nil"/>
              <w:bottom w:val="double" w:sz="6" w:space="0" w:color="auto"/>
              <w:right w:val="single" w:sz="8" w:space="0" w:color="auto"/>
            </w:tcBorders>
            <w:noWrap/>
            <w:tcMar>
              <w:left w:w="57" w:type="dxa"/>
              <w:right w:w="57"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0,2 </w:t>
            </w:r>
          </w:p>
        </w:tc>
        <w:tc>
          <w:tcPr>
            <w:tcW w:w="1061" w:type="dxa"/>
            <w:tcBorders>
              <w:top w:val="nil"/>
              <w:left w:val="nil"/>
              <w:bottom w:val="double" w:sz="6" w:space="0" w:color="auto"/>
              <w:right w:val="double" w:sz="6" w:space="0" w:color="auto"/>
            </w:tcBorders>
            <w:noWrap/>
            <w:tcMar>
              <w:right w:w="340" w:type="dxa"/>
            </w:tcMar>
            <w:vAlign w:val="center"/>
          </w:tcPr>
          <w:p w:rsidR="001E6631" w:rsidRPr="00E04C25" w:rsidRDefault="001E6631">
            <w:pPr>
              <w:jc w:val="right"/>
              <w:rPr>
                <w:rFonts w:ascii="Arial" w:hAnsi="Arial" w:cs="Arial"/>
                <w:sz w:val="16"/>
                <w:szCs w:val="16"/>
              </w:rPr>
            </w:pPr>
            <w:r w:rsidRPr="00E04C25">
              <w:rPr>
                <w:rFonts w:ascii="Arial" w:hAnsi="Arial" w:cs="Arial"/>
                <w:sz w:val="16"/>
                <w:szCs w:val="16"/>
              </w:rPr>
              <w:t xml:space="preserve">92,3 </w:t>
            </w:r>
          </w:p>
        </w:tc>
      </w:tr>
    </w:tbl>
    <w:p w:rsidR="00762875" w:rsidRPr="00E04C25" w:rsidRDefault="00762875" w:rsidP="00AE65A5">
      <w:pPr>
        <w:tabs>
          <w:tab w:val="left" w:pos="709"/>
        </w:tabs>
        <w:spacing w:before="60"/>
        <w:jc w:val="both"/>
        <w:rPr>
          <w:rFonts w:ascii="Arial" w:hAnsi="Arial" w:cs="Arial"/>
          <w:i/>
          <w:iCs/>
          <w:sz w:val="16"/>
          <w:szCs w:val="16"/>
        </w:rPr>
      </w:pPr>
      <w:r w:rsidRPr="00E04C25">
        <w:rPr>
          <w:rFonts w:ascii="Arial" w:hAnsi="Arial" w:cs="Arial"/>
          <w:i/>
          <w:iCs/>
          <w:sz w:val="16"/>
          <w:szCs w:val="16"/>
        </w:rPr>
        <w:t>Zdroj: ČSÚ – VŠPS</w:t>
      </w:r>
    </w:p>
    <w:p w:rsidR="00860FC7" w:rsidRPr="00E04C25" w:rsidRDefault="00860FC7" w:rsidP="00AE65A5">
      <w:pPr>
        <w:tabs>
          <w:tab w:val="left" w:pos="709"/>
        </w:tabs>
        <w:spacing w:before="60"/>
        <w:jc w:val="both"/>
        <w:rPr>
          <w:rFonts w:ascii="Arial" w:hAnsi="Arial" w:cs="Arial"/>
          <w:i/>
          <w:iCs/>
          <w:sz w:val="16"/>
          <w:szCs w:val="16"/>
        </w:rPr>
      </w:pPr>
      <w:r w:rsidRPr="00E04C25">
        <w:rPr>
          <w:rFonts w:ascii="Arial" w:hAnsi="Arial" w:cs="Arial"/>
          <w:i/>
          <w:sz w:val="16"/>
          <w:szCs w:val="16"/>
        </w:rPr>
        <w:t>*) včetně konzervatoří a VOŠ</w:t>
      </w:r>
    </w:p>
    <w:p w:rsidR="00762875" w:rsidRPr="00E04C25" w:rsidRDefault="00D7789D" w:rsidP="00AE65A5">
      <w:pPr>
        <w:tabs>
          <w:tab w:val="left" w:pos="709"/>
        </w:tabs>
        <w:spacing w:line="360" w:lineRule="auto"/>
        <w:ind w:firstLine="567"/>
        <w:jc w:val="both"/>
        <w:rPr>
          <w:rFonts w:ascii="Arial" w:hAnsi="Arial" w:cs="Arial"/>
        </w:rPr>
      </w:pPr>
      <w:r w:rsidRPr="00E04C25">
        <w:rPr>
          <w:rFonts w:ascii="Arial" w:hAnsi="Arial" w:cs="Arial"/>
        </w:rPr>
        <w:lastRenderedPageBreak/>
        <w:t>V roce 201</w:t>
      </w:r>
      <w:r w:rsidR="007F298C" w:rsidRPr="00E04C25">
        <w:rPr>
          <w:rFonts w:ascii="Arial" w:hAnsi="Arial" w:cs="Arial"/>
        </w:rPr>
        <w:t>7</w:t>
      </w:r>
      <w:r w:rsidRPr="00E04C25">
        <w:rPr>
          <w:rFonts w:ascii="Arial" w:hAnsi="Arial" w:cs="Arial"/>
        </w:rPr>
        <w:t xml:space="preserve"> </w:t>
      </w:r>
      <w:r w:rsidRPr="00E04C25">
        <w:rPr>
          <w:rFonts w:ascii="Arial" w:hAnsi="Arial" w:cs="Arial"/>
          <w:b/>
        </w:rPr>
        <w:t>p</w:t>
      </w:r>
      <w:r w:rsidR="00762875" w:rsidRPr="00E04C25">
        <w:rPr>
          <w:rFonts w:ascii="Arial" w:hAnsi="Arial" w:cs="Arial"/>
          <w:b/>
        </w:rPr>
        <w:t>oč</w:t>
      </w:r>
      <w:r w:rsidR="00B668E3" w:rsidRPr="00E04C25">
        <w:rPr>
          <w:rFonts w:ascii="Arial" w:hAnsi="Arial" w:cs="Arial"/>
          <w:b/>
        </w:rPr>
        <w:t>e</w:t>
      </w:r>
      <w:r w:rsidR="00762875" w:rsidRPr="00E04C25">
        <w:rPr>
          <w:rFonts w:ascii="Arial" w:hAnsi="Arial" w:cs="Arial"/>
          <w:b/>
        </w:rPr>
        <w:t>t obyvatel starších 15 let</w:t>
      </w:r>
      <w:r w:rsidRPr="00E04C25">
        <w:rPr>
          <w:rFonts w:ascii="Arial" w:hAnsi="Arial" w:cs="Arial"/>
          <w:b/>
        </w:rPr>
        <w:t xml:space="preserve"> </w:t>
      </w:r>
      <w:r w:rsidR="00B668E3" w:rsidRPr="00E04C25">
        <w:rPr>
          <w:rFonts w:ascii="Arial" w:hAnsi="Arial" w:cs="Arial"/>
          <w:b/>
        </w:rPr>
        <w:t xml:space="preserve">dosáhl 8 929,2  tis. </w:t>
      </w:r>
      <w:r w:rsidR="00B668E3" w:rsidRPr="00E04C25">
        <w:rPr>
          <w:rFonts w:ascii="Arial" w:hAnsi="Arial" w:cs="Arial"/>
        </w:rPr>
        <w:t>a</w:t>
      </w:r>
      <w:r w:rsidR="00B668E3" w:rsidRPr="00E04C25">
        <w:rPr>
          <w:rFonts w:ascii="Arial" w:hAnsi="Arial" w:cs="Arial"/>
          <w:b/>
          <w:bCs/>
          <w:sz w:val="16"/>
          <w:szCs w:val="16"/>
        </w:rPr>
        <w:t xml:space="preserve"> </w:t>
      </w:r>
      <w:r w:rsidRPr="00E04C25">
        <w:rPr>
          <w:rFonts w:ascii="Arial" w:hAnsi="Arial" w:cs="Arial"/>
        </w:rPr>
        <w:t xml:space="preserve">meziročně </w:t>
      </w:r>
      <w:r w:rsidR="00B668E3" w:rsidRPr="00E04C25">
        <w:rPr>
          <w:rFonts w:ascii="Arial" w:hAnsi="Arial" w:cs="Arial"/>
        </w:rPr>
        <w:t>se téměř nezměnil</w:t>
      </w:r>
      <w:r w:rsidR="00762875" w:rsidRPr="00E04C25">
        <w:rPr>
          <w:rFonts w:ascii="Arial" w:hAnsi="Arial" w:cs="Arial"/>
          <w:b/>
        </w:rPr>
        <w:t>. Ve věkové skupině 15</w:t>
      </w:r>
      <w:r w:rsidR="00976F7F" w:rsidRPr="00E04C25">
        <w:rPr>
          <w:rFonts w:ascii="Arial" w:hAnsi="Arial" w:cs="Arial"/>
          <w:b/>
        </w:rPr>
        <w:t>-</w:t>
      </w:r>
      <w:r w:rsidR="00762875" w:rsidRPr="00E04C25">
        <w:rPr>
          <w:rFonts w:ascii="Arial" w:hAnsi="Arial" w:cs="Arial"/>
          <w:b/>
        </w:rPr>
        <w:t xml:space="preserve">64 let, </w:t>
      </w:r>
      <w:r w:rsidR="00762875" w:rsidRPr="00E04C25">
        <w:rPr>
          <w:rFonts w:ascii="Arial" w:hAnsi="Arial" w:cs="Arial"/>
        </w:rPr>
        <w:t xml:space="preserve">rozhodující pro zaměstnanost, </w:t>
      </w:r>
      <w:r w:rsidR="00B668E3" w:rsidRPr="00E04C25">
        <w:rPr>
          <w:rFonts w:ascii="Arial" w:hAnsi="Arial" w:cs="Arial"/>
        </w:rPr>
        <w:t xml:space="preserve">však </w:t>
      </w:r>
      <w:r w:rsidR="00762875" w:rsidRPr="00E04C25">
        <w:rPr>
          <w:rFonts w:ascii="Arial" w:hAnsi="Arial" w:cs="Arial"/>
          <w:b/>
        </w:rPr>
        <w:t>poklesl</w:t>
      </w:r>
      <w:r w:rsidR="00762875" w:rsidRPr="00E04C25">
        <w:rPr>
          <w:rFonts w:ascii="Arial" w:hAnsi="Arial" w:cs="Arial"/>
        </w:rPr>
        <w:t xml:space="preserve"> až </w:t>
      </w:r>
      <w:r w:rsidR="00762875" w:rsidRPr="00E04C25">
        <w:rPr>
          <w:rFonts w:ascii="Arial" w:hAnsi="Arial" w:cs="Arial"/>
          <w:b/>
        </w:rPr>
        <w:t xml:space="preserve">o </w:t>
      </w:r>
      <w:r w:rsidR="00B668E3" w:rsidRPr="00E04C25">
        <w:rPr>
          <w:rFonts w:ascii="Arial" w:hAnsi="Arial" w:cs="Arial"/>
          <w:b/>
        </w:rPr>
        <w:t>51</w:t>
      </w:r>
      <w:r w:rsidR="00762875" w:rsidRPr="00E04C25">
        <w:rPr>
          <w:rFonts w:ascii="Arial" w:hAnsi="Arial" w:cs="Arial"/>
          <w:b/>
        </w:rPr>
        <w:t>,</w:t>
      </w:r>
      <w:r w:rsidR="007F298C" w:rsidRPr="00E04C25">
        <w:rPr>
          <w:rFonts w:ascii="Arial" w:hAnsi="Arial" w:cs="Arial"/>
          <w:b/>
        </w:rPr>
        <w:t>7</w:t>
      </w:r>
      <w:r w:rsidR="00762875" w:rsidRPr="00E04C25">
        <w:rPr>
          <w:rFonts w:ascii="Arial" w:hAnsi="Arial" w:cs="Arial"/>
          <w:b/>
        </w:rPr>
        <w:t> tis.</w:t>
      </w:r>
      <w:r w:rsidR="00762875" w:rsidRPr="00E04C25">
        <w:rPr>
          <w:rFonts w:ascii="Arial" w:hAnsi="Arial" w:cs="Arial"/>
        </w:rPr>
        <w:t xml:space="preserve"> </w:t>
      </w:r>
      <w:r w:rsidR="00762875" w:rsidRPr="00E04C25">
        <w:rPr>
          <w:rFonts w:ascii="Arial" w:hAnsi="Arial" w:cs="Arial"/>
          <w:b/>
        </w:rPr>
        <w:t xml:space="preserve">na </w:t>
      </w:r>
      <w:r w:rsidR="004A60C6" w:rsidRPr="00E04C25">
        <w:rPr>
          <w:rFonts w:ascii="Arial" w:hAnsi="Arial" w:cs="Arial"/>
          <w:b/>
        </w:rPr>
        <w:t>6</w:t>
      </w:r>
      <w:r w:rsidR="00762875" w:rsidRPr="00E04C25">
        <w:rPr>
          <w:rFonts w:ascii="Arial" w:hAnsi="Arial" w:cs="Arial"/>
          <w:b/>
        </w:rPr>
        <w:t> </w:t>
      </w:r>
      <w:r w:rsidR="004A60C6" w:rsidRPr="00E04C25">
        <w:rPr>
          <w:rFonts w:ascii="Arial" w:hAnsi="Arial" w:cs="Arial"/>
          <w:b/>
        </w:rPr>
        <w:t>9</w:t>
      </w:r>
      <w:r w:rsidR="00714AB1" w:rsidRPr="00E04C25">
        <w:rPr>
          <w:rFonts w:ascii="Arial" w:hAnsi="Arial" w:cs="Arial"/>
          <w:b/>
        </w:rPr>
        <w:t>16</w:t>
      </w:r>
      <w:r w:rsidR="004A60C6" w:rsidRPr="00E04C25">
        <w:rPr>
          <w:rFonts w:ascii="Arial" w:hAnsi="Arial" w:cs="Arial"/>
          <w:b/>
        </w:rPr>
        <w:t>,</w:t>
      </w:r>
      <w:r w:rsidR="007F298C" w:rsidRPr="00E04C25">
        <w:rPr>
          <w:rFonts w:ascii="Arial" w:hAnsi="Arial" w:cs="Arial"/>
          <w:b/>
        </w:rPr>
        <w:t>7</w:t>
      </w:r>
      <w:r w:rsidR="00762875" w:rsidRPr="00E04C25">
        <w:rPr>
          <w:rFonts w:ascii="Arial" w:hAnsi="Arial" w:cs="Arial"/>
          <w:b/>
        </w:rPr>
        <w:t> tis.</w:t>
      </w:r>
      <w:r w:rsidR="004A60C6" w:rsidRPr="00E04C25">
        <w:rPr>
          <w:rFonts w:ascii="Arial" w:hAnsi="Arial" w:cs="Arial"/>
        </w:rPr>
        <w:t xml:space="preserve"> </w:t>
      </w:r>
      <w:r w:rsidR="00793896" w:rsidRPr="00E04C25">
        <w:rPr>
          <w:rFonts w:ascii="Arial" w:hAnsi="Arial" w:cs="Arial"/>
          <w:b/>
        </w:rPr>
        <w:t xml:space="preserve">Vzrostl </w:t>
      </w:r>
      <w:r w:rsidR="00793896" w:rsidRPr="00E04C25">
        <w:rPr>
          <w:rFonts w:ascii="Arial" w:hAnsi="Arial" w:cs="Arial"/>
        </w:rPr>
        <w:t xml:space="preserve">pouze ve věkové skupině </w:t>
      </w:r>
      <w:r w:rsidR="00793896" w:rsidRPr="00E04C25">
        <w:rPr>
          <w:rFonts w:ascii="Arial" w:hAnsi="Arial" w:cs="Arial"/>
          <w:b/>
        </w:rPr>
        <w:t>40-54 let</w:t>
      </w:r>
      <w:r w:rsidR="00793896" w:rsidRPr="00E04C25">
        <w:rPr>
          <w:rFonts w:ascii="Arial" w:hAnsi="Arial" w:cs="Arial"/>
        </w:rPr>
        <w:t xml:space="preserve"> (zahrnující největší část silné</w:t>
      </w:r>
      <w:r w:rsidR="00793896" w:rsidRPr="00E04C25">
        <w:rPr>
          <w:rFonts w:ascii="Arial" w:hAnsi="Arial" w:cs="Arial"/>
          <w:b/>
        </w:rPr>
        <w:t xml:space="preserve"> </w:t>
      </w:r>
      <w:r w:rsidR="00793896" w:rsidRPr="00E04C25">
        <w:rPr>
          <w:rFonts w:ascii="Arial" w:hAnsi="Arial" w:cs="Arial"/>
        </w:rPr>
        <w:t xml:space="preserve">populační vlny ze 70. let minulého století), a to celkem </w:t>
      </w:r>
      <w:r w:rsidR="00793896" w:rsidRPr="00E04C25">
        <w:rPr>
          <w:rFonts w:ascii="Arial" w:hAnsi="Arial" w:cs="Arial"/>
          <w:b/>
        </w:rPr>
        <w:t>o 55,9 tis.</w:t>
      </w:r>
      <w:r w:rsidR="00793896" w:rsidRPr="00E04C25">
        <w:rPr>
          <w:rFonts w:ascii="Arial" w:hAnsi="Arial" w:cs="Arial"/>
        </w:rPr>
        <w:t xml:space="preserve">, z toho téměř polovinu (26,6 tis.) představuje nárůst ve věkové skupině 40-44 let. </w:t>
      </w:r>
      <w:r w:rsidR="004A60C6" w:rsidRPr="00E04C25">
        <w:rPr>
          <w:rFonts w:ascii="Arial" w:hAnsi="Arial" w:cs="Arial"/>
          <w:b/>
        </w:rPr>
        <w:t>P</w:t>
      </w:r>
      <w:r w:rsidR="00762875" w:rsidRPr="00E04C25">
        <w:rPr>
          <w:rFonts w:ascii="Arial" w:hAnsi="Arial" w:cs="Arial"/>
          <w:b/>
        </w:rPr>
        <w:t>okles</w:t>
      </w:r>
      <w:r w:rsidR="00762875" w:rsidRPr="00E04C25">
        <w:rPr>
          <w:rFonts w:ascii="Arial" w:hAnsi="Arial" w:cs="Arial"/>
        </w:rPr>
        <w:t xml:space="preserve"> byl zaznamenán </w:t>
      </w:r>
      <w:r w:rsidR="004A60C6" w:rsidRPr="00E04C25">
        <w:rPr>
          <w:rFonts w:ascii="Arial" w:hAnsi="Arial" w:cs="Arial"/>
        </w:rPr>
        <w:t xml:space="preserve">především </w:t>
      </w:r>
      <w:r w:rsidR="00762875" w:rsidRPr="00E04C25">
        <w:rPr>
          <w:rFonts w:ascii="Arial" w:hAnsi="Arial" w:cs="Arial"/>
        </w:rPr>
        <w:t xml:space="preserve">v mladších věkových skupinách </w:t>
      </w:r>
      <w:r w:rsidR="007F298C" w:rsidRPr="00E04C25">
        <w:rPr>
          <w:rFonts w:ascii="Arial" w:hAnsi="Arial" w:cs="Arial"/>
          <w:b/>
        </w:rPr>
        <w:t>15</w:t>
      </w:r>
      <w:r w:rsidR="00976F7F" w:rsidRPr="00E04C25">
        <w:rPr>
          <w:rFonts w:ascii="Arial" w:hAnsi="Arial" w:cs="Arial"/>
          <w:b/>
        </w:rPr>
        <w:t>-</w:t>
      </w:r>
      <w:r w:rsidR="00762875" w:rsidRPr="00E04C25">
        <w:rPr>
          <w:rFonts w:ascii="Arial" w:hAnsi="Arial" w:cs="Arial"/>
          <w:b/>
        </w:rPr>
        <w:t>39 let</w:t>
      </w:r>
      <w:r w:rsidR="00976F7F" w:rsidRPr="00E04C25">
        <w:rPr>
          <w:rFonts w:ascii="Arial" w:hAnsi="Arial" w:cs="Arial"/>
          <w:b/>
        </w:rPr>
        <w:t xml:space="preserve"> </w:t>
      </w:r>
      <w:r w:rsidR="00976F7F" w:rsidRPr="00E04C25">
        <w:rPr>
          <w:rFonts w:ascii="Arial" w:hAnsi="Arial" w:cs="Arial"/>
        </w:rPr>
        <w:t xml:space="preserve">- </w:t>
      </w:r>
      <w:r w:rsidR="00762875" w:rsidRPr="00E04C25">
        <w:rPr>
          <w:rFonts w:ascii="Arial" w:hAnsi="Arial" w:cs="Arial"/>
        </w:rPr>
        <w:t xml:space="preserve">celkem </w:t>
      </w:r>
      <w:r w:rsidR="00762875" w:rsidRPr="00E04C25">
        <w:rPr>
          <w:rFonts w:ascii="Arial" w:hAnsi="Arial" w:cs="Arial"/>
          <w:b/>
        </w:rPr>
        <w:t>o </w:t>
      </w:r>
      <w:r w:rsidR="007F298C" w:rsidRPr="00E04C25">
        <w:rPr>
          <w:rFonts w:ascii="Arial" w:hAnsi="Arial" w:cs="Arial"/>
          <w:b/>
        </w:rPr>
        <w:t>7</w:t>
      </w:r>
      <w:r w:rsidR="00762875" w:rsidRPr="00E04C25">
        <w:rPr>
          <w:rFonts w:ascii="Arial" w:hAnsi="Arial" w:cs="Arial"/>
          <w:b/>
        </w:rPr>
        <w:t>8,</w:t>
      </w:r>
      <w:r w:rsidR="004A60C6" w:rsidRPr="00E04C25">
        <w:rPr>
          <w:rFonts w:ascii="Arial" w:hAnsi="Arial" w:cs="Arial"/>
          <w:b/>
        </w:rPr>
        <w:t>3</w:t>
      </w:r>
      <w:r w:rsidR="00762875" w:rsidRPr="00E04C25">
        <w:rPr>
          <w:rFonts w:ascii="Arial" w:hAnsi="Arial" w:cs="Arial"/>
          <w:b/>
        </w:rPr>
        <w:t> tis.</w:t>
      </w:r>
      <w:r w:rsidR="00762875" w:rsidRPr="00E04C25">
        <w:rPr>
          <w:rFonts w:ascii="Arial" w:hAnsi="Arial" w:cs="Arial"/>
        </w:rPr>
        <w:t xml:space="preserve"> </w:t>
      </w:r>
      <w:r w:rsidR="00793896" w:rsidRPr="00E04C25">
        <w:rPr>
          <w:rFonts w:ascii="Arial" w:hAnsi="Arial" w:cs="Arial"/>
        </w:rPr>
        <w:t xml:space="preserve">Ve věkové skupině </w:t>
      </w:r>
      <w:r w:rsidR="00793896" w:rsidRPr="00E04C25">
        <w:rPr>
          <w:rFonts w:ascii="Arial" w:hAnsi="Arial" w:cs="Arial"/>
          <w:b/>
        </w:rPr>
        <w:t>55-64 let se snížil</w:t>
      </w:r>
      <w:r w:rsidR="00793896" w:rsidRPr="00E04C25">
        <w:rPr>
          <w:rFonts w:ascii="Arial" w:hAnsi="Arial" w:cs="Arial"/>
        </w:rPr>
        <w:t xml:space="preserve"> počet obyvatel </w:t>
      </w:r>
      <w:r w:rsidR="00793896" w:rsidRPr="00E04C25">
        <w:rPr>
          <w:rFonts w:ascii="Arial" w:hAnsi="Arial" w:cs="Arial"/>
          <w:b/>
        </w:rPr>
        <w:t xml:space="preserve">o 29,3 tis. </w:t>
      </w:r>
      <w:r w:rsidR="00762875" w:rsidRPr="00E04C25">
        <w:rPr>
          <w:rFonts w:ascii="Arial" w:hAnsi="Arial" w:cs="Arial"/>
        </w:rPr>
        <w:t xml:space="preserve">Pokles v této kategorii a </w:t>
      </w:r>
      <w:r w:rsidR="00762875" w:rsidRPr="00E04C25">
        <w:rPr>
          <w:rFonts w:ascii="Arial" w:hAnsi="Arial" w:cs="Arial"/>
          <w:b/>
        </w:rPr>
        <w:t>nárůst</w:t>
      </w:r>
      <w:r w:rsidR="00762875" w:rsidRPr="00E04C25">
        <w:rPr>
          <w:rFonts w:ascii="Arial" w:hAnsi="Arial" w:cs="Arial"/>
        </w:rPr>
        <w:t xml:space="preserve"> počtu obyvatel ve věku </w:t>
      </w:r>
      <w:r w:rsidR="00762875" w:rsidRPr="00E04C25">
        <w:rPr>
          <w:rFonts w:ascii="Arial" w:hAnsi="Arial" w:cs="Arial"/>
          <w:b/>
        </w:rPr>
        <w:t>65</w:t>
      </w:r>
      <w:r w:rsidR="00366E54" w:rsidRPr="00E04C25">
        <w:rPr>
          <w:rFonts w:ascii="Arial" w:hAnsi="Arial" w:cs="Arial"/>
          <w:b/>
        </w:rPr>
        <w:t> </w:t>
      </w:r>
      <w:r w:rsidR="003A2B30" w:rsidRPr="00E04C25">
        <w:rPr>
          <w:rFonts w:ascii="Arial" w:hAnsi="Arial" w:cs="Arial"/>
          <w:b/>
        </w:rPr>
        <w:t xml:space="preserve">a více </w:t>
      </w:r>
      <w:r w:rsidR="00762875" w:rsidRPr="00E04C25">
        <w:rPr>
          <w:rFonts w:ascii="Arial" w:hAnsi="Arial" w:cs="Arial"/>
          <w:b/>
        </w:rPr>
        <w:t>let</w:t>
      </w:r>
      <w:r w:rsidR="00762875" w:rsidRPr="00E04C25">
        <w:rPr>
          <w:rFonts w:ascii="Arial" w:hAnsi="Arial" w:cs="Arial"/>
        </w:rPr>
        <w:t xml:space="preserve"> (o 5</w:t>
      </w:r>
      <w:r w:rsidR="00C3550B" w:rsidRPr="00E04C25">
        <w:rPr>
          <w:rFonts w:ascii="Arial" w:hAnsi="Arial" w:cs="Arial"/>
        </w:rPr>
        <w:t>2</w:t>
      </w:r>
      <w:r w:rsidR="00762875" w:rsidRPr="00E04C25">
        <w:rPr>
          <w:rFonts w:ascii="Arial" w:hAnsi="Arial" w:cs="Arial"/>
        </w:rPr>
        <w:t xml:space="preserve">,1 tis.) je důsledkem postupného přesunu silné poválečné vlny do poproduktivního věku, a také prodlužující se délky života. </w:t>
      </w:r>
    </w:p>
    <w:p w:rsidR="00762875" w:rsidRPr="00E04C25" w:rsidRDefault="00762875" w:rsidP="00AE65A5">
      <w:pPr>
        <w:tabs>
          <w:tab w:val="left" w:pos="709"/>
        </w:tabs>
        <w:ind w:firstLine="720"/>
        <w:jc w:val="both"/>
        <w:rPr>
          <w:rFonts w:ascii="Arial" w:hAnsi="Arial" w:cs="Arial"/>
          <w:sz w:val="16"/>
          <w:szCs w:val="16"/>
        </w:rPr>
      </w:pPr>
    </w:p>
    <w:p w:rsidR="00762875" w:rsidRPr="00E04C25" w:rsidRDefault="00762875" w:rsidP="00AE65A5">
      <w:pPr>
        <w:tabs>
          <w:tab w:val="left" w:pos="709"/>
        </w:tabs>
        <w:jc w:val="center"/>
        <w:rPr>
          <w:rFonts w:ascii="Arial" w:hAnsi="Arial" w:cs="Arial"/>
          <w:b/>
        </w:rPr>
      </w:pPr>
      <w:r w:rsidRPr="00E04C25">
        <w:rPr>
          <w:rFonts w:ascii="Arial" w:hAnsi="Arial" w:cs="Arial"/>
          <w:b/>
        </w:rPr>
        <w:t>Věková struktura obyvatelstva 15+ (v tis.)</w:t>
      </w:r>
    </w:p>
    <w:p w:rsidR="00762875" w:rsidRPr="00E04C25" w:rsidRDefault="00762875" w:rsidP="00AE65A5">
      <w:pPr>
        <w:pStyle w:val="Textpoznpodarou"/>
        <w:tabs>
          <w:tab w:val="left" w:pos="709"/>
        </w:tabs>
        <w:ind w:right="-108"/>
        <w:jc w:val="right"/>
      </w:pPr>
      <w:r w:rsidRPr="00E04C25">
        <w:rPr>
          <w:rFonts w:ascii="Arial" w:hAnsi="Arial" w:cs="Arial"/>
        </w:rPr>
        <w:t>tab. č. 2</w:t>
      </w:r>
    </w:p>
    <w:tbl>
      <w:tblPr>
        <w:tblW w:w="9255" w:type="dxa"/>
        <w:tblInd w:w="47" w:type="dxa"/>
        <w:tblCellMar>
          <w:left w:w="70" w:type="dxa"/>
          <w:right w:w="70" w:type="dxa"/>
        </w:tblCellMar>
        <w:tblLook w:val="0000"/>
      </w:tblPr>
      <w:tblGrid>
        <w:gridCol w:w="896"/>
        <w:gridCol w:w="970"/>
        <w:gridCol w:w="851"/>
        <w:gridCol w:w="850"/>
        <w:gridCol w:w="992"/>
        <w:gridCol w:w="851"/>
        <w:gridCol w:w="850"/>
        <w:gridCol w:w="851"/>
        <w:gridCol w:w="709"/>
        <w:gridCol w:w="726"/>
        <w:gridCol w:w="709"/>
      </w:tblGrid>
      <w:tr w:rsidR="00AA305A" w:rsidRPr="00E04C25" w:rsidTr="00762875">
        <w:trPr>
          <w:trHeight w:val="284"/>
        </w:trPr>
        <w:tc>
          <w:tcPr>
            <w:tcW w:w="896" w:type="dxa"/>
            <w:vMerge w:val="restart"/>
            <w:tcBorders>
              <w:top w:val="double" w:sz="6" w:space="0" w:color="auto"/>
              <w:left w:val="double" w:sz="6" w:space="0" w:color="auto"/>
              <w:bottom w:val="single" w:sz="4" w:space="0" w:color="000000"/>
              <w:right w:val="single" w:sz="4" w:space="0" w:color="auto"/>
            </w:tcBorders>
            <w:shd w:val="clear" w:color="auto" w:fill="auto"/>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Věkové skupiny</w:t>
            </w:r>
          </w:p>
        </w:tc>
        <w:tc>
          <w:tcPr>
            <w:tcW w:w="2671" w:type="dxa"/>
            <w:gridSpan w:val="3"/>
            <w:tcBorders>
              <w:top w:val="double" w:sz="6" w:space="0" w:color="auto"/>
              <w:left w:val="nil"/>
              <w:bottom w:val="single" w:sz="4" w:space="0" w:color="auto"/>
              <w:right w:val="single" w:sz="4" w:space="0" w:color="auto"/>
            </w:tcBorders>
            <w:shd w:val="clear" w:color="auto" w:fill="auto"/>
            <w:noWrap/>
            <w:vAlign w:val="bottom"/>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201</w:t>
            </w:r>
            <w:r w:rsidR="00EC746A" w:rsidRPr="00E04C25">
              <w:rPr>
                <w:rFonts w:ascii="Arial" w:hAnsi="Arial" w:cs="Arial"/>
                <w:b/>
                <w:bCs/>
                <w:sz w:val="20"/>
                <w:szCs w:val="20"/>
              </w:rPr>
              <w:t>6</w:t>
            </w:r>
          </w:p>
        </w:tc>
        <w:tc>
          <w:tcPr>
            <w:tcW w:w="2693" w:type="dxa"/>
            <w:gridSpan w:val="3"/>
            <w:tcBorders>
              <w:top w:val="double" w:sz="6" w:space="0" w:color="auto"/>
              <w:left w:val="nil"/>
              <w:bottom w:val="single" w:sz="4" w:space="0" w:color="auto"/>
              <w:right w:val="single" w:sz="4" w:space="0" w:color="auto"/>
            </w:tcBorders>
            <w:shd w:val="clear" w:color="auto" w:fill="auto"/>
            <w:noWrap/>
            <w:vAlign w:val="bottom"/>
          </w:tcPr>
          <w:p w:rsidR="00762875" w:rsidRPr="00E04C25" w:rsidRDefault="00762875" w:rsidP="00EC746A">
            <w:pPr>
              <w:tabs>
                <w:tab w:val="left" w:pos="709"/>
              </w:tabs>
              <w:jc w:val="center"/>
              <w:rPr>
                <w:rFonts w:ascii="Arial" w:hAnsi="Arial" w:cs="Arial"/>
                <w:b/>
                <w:bCs/>
                <w:sz w:val="20"/>
                <w:szCs w:val="20"/>
              </w:rPr>
            </w:pPr>
            <w:r w:rsidRPr="00E04C25">
              <w:rPr>
                <w:rFonts w:ascii="Arial" w:hAnsi="Arial" w:cs="Arial"/>
                <w:b/>
                <w:bCs/>
                <w:sz w:val="20"/>
                <w:szCs w:val="20"/>
              </w:rPr>
              <w:t>201</w:t>
            </w:r>
            <w:r w:rsidR="00EC746A" w:rsidRPr="00E04C25">
              <w:rPr>
                <w:rFonts w:ascii="Arial" w:hAnsi="Arial" w:cs="Arial"/>
                <w:b/>
                <w:bCs/>
                <w:sz w:val="20"/>
                <w:szCs w:val="20"/>
              </w:rPr>
              <w:t>7</w:t>
            </w:r>
          </w:p>
        </w:tc>
        <w:tc>
          <w:tcPr>
            <w:tcW w:w="2286" w:type="dxa"/>
            <w:gridSpan w:val="3"/>
            <w:tcBorders>
              <w:top w:val="double" w:sz="6" w:space="0" w:color="auto"/>
              <w:left w:val="single" w:sz="4" w:space="0" w:color="auto"/>
              <w:bottom w:val="single" w:sz="4" w:space="0" w:color="auto"/>
              <w:right w:val="single" w:sz="4" w:space="0" w:color="auto"/>
            </w:tcBorders>
            <w:shd w:val="clear" w:color="auto" w:fill="auto"/>
            <w:noWrap/>
            <w:vAlign w:val="bottom"/>
          </w:tcPr>
          <w:p w:rsidR="00762875" w:rsidRPr="00E04C25" w:rsidRDefault="00762875" w:rsidP="00EC746A">
            <w:pPr>
              <w:tabs>
                <w:tab w:val="left" w:pos="709"/>
              </w:tabs>
              <w:jc w:val="center"/>
              <w:rPr>
                <w:rFonts w:ascii="Arial" w:hAnsi="Arial" w:cs="Arial"/>
                <w:b/>
                <w:bCs/>
                <w:sz w:val="20"/>
                <w:szCs w:val="20"/>
              </w:rPr>
            </w:pPr>
            <w:r w:rsidRPr="00E04C25">
              <w:rPr>
                <w:rFonts w:ascii="Arial" w:hAnsi="Arial" w:cs="Arial"/>
                <w:b/>
                <w:bCs/>
                <w:sz w:val="20"/>
                <w:szCs w:val="20"/>
              </w:rPr>
              <w:t>rozdíl 201</w:t>
            </w:r>
            <w:r w:rsidR="00EC746A" w:rsidRPr="00E04C25">
              <w:rPr>
                <w:rFonts w:ascii="Arial" w:hAnsi="Arial" w:cs="Arial"/>
                <w:b/>
                <w:bCs/>
                <w:sz w:val="20"/>
                <w:szCs w:val="20"/>
              </w:rPr>
              <w:t>7-</w:t>
            </w:r>
            <w:r w:rsidRPr="00E04C25">
              <w:rPr>
                <w:rFonts w:ascii="Arial" w:hAnsi="Arial" w:cs="Arial"/>
                <w:b/>
                <w:bCs/>
                <w:sz w:val="20"/>
                <w:szCs w:val="20"/>
              </w:rPr>
              <w:t>201</w:t>
            </w:r>
            <w:r w:rsidR="00EC746A" w:rsidRPr="00E04C25">
              <w:rPr>
                <w:rFonts w:ascii="Arial" w:hAnsi="Arial" w:cs="Arial"/>
                <w:b/>
                <w:bCs/>
                <w:sz w:val="20"/>
                <w:szCs w:val="20"/>
              </w:rPr>
              <w:t>6</w:t>
            </w:r>
          </w:p>
        </w:tc>
        <w:tc>
          <w:tcPr>
            <w:tcW w:w="709" w:type="dxa"/>
            <w:vMerge w:val="restart"/>
            <w:tcBorders>
              <w:top w:val="double" w:sz="6" w:space="0" w:color="auto"/>
              <w:left w:val="single" w:sz="4" w:space="0" w:color="auto"/>
              <w:bottom w:val="single" w:sz="4" w:space="0" w:color="000000"/>
              <w:right w:val="double" w:sz="6" w:space="0" w:color="auto"/>
            </w:tcBorders>
            <w:shd w:val="clear" w:color="auto" w:fill="auto"/>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index 1</w:t>
            </w:r>
            <w:r w:rsidR="00EC746A" w:rsidRPr="00E04C25">
              <w:rPr>
                <w:rFonts w:ascii="Arial" w:hAnsi="Arial" w:cs="Arial"/>
                <w:b/>
                <w:bCs/>
                <w:sz w:val="20"/>
                <w:szCs w:val="20"/>
              </w:rPr>
              <w:t>7</w:t>
            </w:r>
            <w:r w:rsidRPr="00E04C25">
              <w:rPr>
                <w:rFonts w:ascii="Arial" w:hAnsi="Arial" w:cs="Arial"/>
                <w:b/>
                <w:bCs/>
                <w:sz w:val="20"/>
                <w:szCs w:val="20"/>
              </w:rPr>
              <w:t>/1</w:t>
            </w:r>
            <w:r w:rsidR="00EC746A" w:rsidRPr="00E04C25">
              <w:rPr>
                <w:rFonts w:ascii="Arial" w:hAnsi="Arial" w:cs="Arial"/>
                <w:b/>
                <w:bCs/>
                <w:sz w:val="20"/>
                <w:szCs w:val="20"/>
              </w:rPr>
              <w:t>6</w:t>
            </w:r>
          </w:p>
          <w:p w:rsidR="00762875" w:rsidRPr="00E04C25" w:rsidRDefault="00762875" w:rsidP="00AE65A5">
            <w:pPr>
              <w:tabs>
                <w:tab w:val="left" w:pos="709"/>
              </w:tabs>
              <w:jc w:val="center"/>
              <w:rPr>
                <w:rFonts w:ascii="Arial" w:hAnsi="Arial" w:cs="Arial"/>
                <w:bCs/>
                <w:sz w:val="20"/>
                <w:szCs w:val="20"/>
              </w:rPr>
            </w:pPr>
            <w:r w:rsidRPr="00E04C25">
              <w:rPr>
                <w:rFonts w:ascii="Arial" w:hAnsi="Arial" w:cs="Arial"/>
                <w:b/>
                <w:bCs/>
                <w:sz w:val="20"/>
                <w:szCs w:val="20"/>
              </w:rPr>
              <w:t xml:space="preserve"> </w:t>
            </w:r>
            <w:r w:rsidRPr="00E04C25">
              <w:rPr>
                <w:rFonts w:ascii="Arial" w:hAnsi="Arial" w:cs="Arial"/>
                <w:b/>
                <w:sz w:val="20"/>
                <w:szCs w:val="20"/>
              </w:rPr>
              <w:t>(%)</w:t>
            </w:r>
          </w:p>
        </w:tc>
      </w:tr>
      <w:tr w:rsidR="00AA305A" w:rsidRPr="00E04C25" w:rsidTr="00762875">
        <w:trPr>
          <w:trHeight w:val="284"/>
        </w:trPr>
        <w:tc>
          <w:tcPr>
            <w:tcW w:w="896" w:type="dxa"/>
            <w:vMerge/>
            <w:tcBorders>
              <w:top w:val="double" w:sz="6" w:space="0" w:color="auto"/>
              <w:left w:val="double" w:sz="6" w:space="0" w:color="auto"/>
              <w:bottom w:val="single" w:sz="4" w:space="0" w:color="000000"/>
              <w:right w:val="single" w:sz="4" w:space="0" w:color="auto"/>
            </w:tcBorders>
            <w:vAlign w:val="center"/>
          </w:tcPr>
          <w:p w:rsidR="00762875" w:rsidRPr="00E04C25" w:rsidRDefault="00762875" w:rsidP="00AE65A5">
            <w:pPr>
              <w:tabs>
                <w:tab w:val="left" w:pos="709"/>
              </w:tabs>
              <w:rPr>
                <w:rFonts w:ascii="Arial" w:hAnsi="Arial" w:cs="Arial"/>
                <w:b/>
                <w:bCs/>
                <w:sz w:val="20"/>
                <w:szCs w:val="20"/>
              </w:rPr>
            </w:pPr>
          </w:p>
        </w:tc>
        <w:tc>
          <w:tcPr>
            <w:tcW w:w="970" w:type="dxa"/>
            <w:tcBorders>
              <w:top w:val="nil"/>
              <w:left w:val="nil"/>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celkem</w:t>
            </w:r>
          </w:p>
        </w:tc>
        <w:tc>
          <w:tcPr>
            <w:tcW w:w="851" w:type="dxa"/>
            <w:tcBorders>
              <w:top w:val="nil"/>
              <w:left w:val="nil"/>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muži</w:t>
            </w:r>
          </w:p>
        </w:tc>
        <w:tc>
          <w:tcPr>
            <w:tcW w:w="850" w:type="dxa"/>
            <w:tcBorders>
              <w:top w:val="nil"/>
              <w:left w:val="nil"/>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ženy</w:t>
            </w:r>
          </w:p>
        </w:tc>
        <w:tc>
          <w:tcPr>
            <w:tcW w:w="992" w:type="dxa"/>
            <w:tcBorders>
              <w:top w:val="nil"/>
              <w:left w:val="nil"/>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celkem</w:t>
            </w:r>
          </w:p>
        </w:tc>
        <w:tc>
          <w:tcPr>
            <w:tcW w:w="851" w:type="dxa"/>
            <w:tcBorders>
              <w:top w:val="nil"/>
              <w:left w:val="nil"/>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muži</w:t>
            </w:r>
          </w:p>
        </w:tc>
        <w:tc>
          <w:tcPr>
            <w:tcW w:w="850" w:type="dxa"/>
            <w:tcBorders>
              <w:top w:val="nil"/>
              <w:left w:val="nil"/>
              <w:bottom w:val="single" w:sz="4" w:space="0" w:color="auto"/>
              <w:right w:val="nil"/>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ženy</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celkem</w:t>
            </w:r>
          </w:p>
        </w:tc>
        <w:tc>
          <w:tcPr>
            <w:tcW w:w="709" w:type="dxa"/>
            <w:tcBorders>
              <w:top w:val="nil"/>
              <w:left w:val="nil"/>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muži</w:t>
            </w:r>
          </w:p>
        </w:tc>
        <w:tc>
          <w:tcPr>
            <w:tcW w:w="726" w:type="dxa"/>
            <w:tcBorders>
              <w:top w:val="nil"/>
              <w:left w:val="nil"/>
              <w:bottom w:val="single" w:sz="4" w:space="0" w:color="auto"/>
              <w:right w:val="nil"/>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ženy</w:t>
            </w:r>
          </w:p>
        </w:tc>
        <w:tc>
          <w:tcPr>
            <w:tcW w:w="709" w:type="dxa"/>
            <w:vMerge/>
            <w:tcBorders>
              <w:top w:val="double" w:sz="6" w:space="0" w:color="auto"/>
              <w:left w:val="single" w:sz="4" w:space="0" w:color="auto"/>
              <w:bottom w:val="single" w:sz="4" w:space="0" w:color="000000"/>
              <w:right w:val="double" w:sz="6" w:space="0" w:color="auto"/>
            </w:tcBorders>
            <w:vAlign w:val="center"/>
          </w:tcPr>
          <w:p w:rsidR="00762875" w:rsidRPr="00E04C25" w:rsidRDefault="00762875" w:rsidP="00AE65A5">
            <w:pPr>
              <w:tabs>
                <w:tab w:val="left" w:pos="709"/>
              </w:tabs>
              <w:rPr>
                <w:rFonts w:ascii="Arial" w:hAnsi="Arial" w:cs="Arial"/>
                <w:b/>
                <w:bCs/>
                <w:sz w:val="20"/>
                <w:szCs w:val="20"/>
              </w:rPr>
            </w:pPr>
          </w:p>
        </w:tc>
      </w:tr>
      <w:tr w:rsidR="00AD5340" w:rsidRPr="00E04C25" w:rsidTr="00AD5340">
        <w:trPr>
          <w:trHeight w:val="340"/>
        </w:trPr>
        <w:tc>
          <w:tcPr>
            <w:tcW w:w="896" w:type="dxa"/>
            <w:tcBorders>
              <w:top w:val="nil"/>
              <w:left w:val="double" w:sz="6" w:space="0" w:color="auto"/>
              <w:bottom w:val="nil"/>
              <w:right w:val="nil"/>
            </w:tcBorders>
            <w:shd w:val="clear" w:color="auto" w:fill="auto"/>
            <w:noWrap/>
            <w:vAlign w:val="center"/>
          </w:tcPr>
          <w:p w:rsidR="00AD5340" w:rsidRPr="00E04C25" w:rsidRDefault="00AD5340" w:rsidP="00AE65A5">
            <w:pPr>
              <w:tabs>
                <w:tab w:val="left" w:pos="709"/>
              </w:tabs>
              <w:jc w:val="center"/>
              <w:rPr>
                <w:rFonts w:ascii="Arial" w:hAnsi="Arial" w:cs="Arial"/>
                <w:bCs/>
                <w:sz w:val="18"/>
                <w:szCs w:val="18"/>
              </w:rPr>
            </w:pPr>
            <w:r w:rsidRPr="00E04C25">
              <w:rPr>
                <w:rFonts w:ascii="Arial" w:hAnsi="Arial" w:cs="Arial"/>
                <w:sz w:val="18"/>
                <w:szCs w:val="18"/>
              </w:rPr>
              <w:t>15-24</w:t>
            </w:r>
          </w:p>
        </w:tc>
        <w:tc>
          <w:tcPr>
            <w:tcW w:w="970" w:type="dxa"/>
            <w:tcBorders>
              <w:top w:val="nil"/>
              <w:left w:val="single" w:sz="4" w:space="0" w:color="auto"/>
              <w:bottom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1030,5</w:t>
            </w:r>
          </w:p>
        </w:tc>
        <w:tc>
          <w:tcPr>
            <w:tcW w:w="851"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527,9</w:t>
            </w:r>
          </w:p>
        </w:tc>
        <w:tc>
          <w:tcPr>
            <w:tcW w:w="850"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502,6</w:t>
            </w:r>
          </w:p>
        </w:tc>
        <w:tc>
          <w:tcPr>
            <w:tcW w:w="992"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999,6</w:t>
            </w:r>
          </w:p>
        </w:tc>
        <w:tc>
          <w:tcPr>
            <w:tcW w:w="851"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512,2</w:t>
            </w:r>
          </w:p>
        </w:tc>
        <w:tc>
          <w:tcPr>
            <w:tcW w:w="850" w:type="dxa"/>
            <w:tcBorders>
              <w:top w:val="nil"/>
              <w:left w:val="nil"/>
              <w:bottom w:val="nil"/>
              <w:right w:val="nil"/>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487,4</w:t>
            </w:r>
          </w:p>
        </w:tc>
        <w:tc>
          <w:tcPr>
            <w:tcW w:w="851" w:type="dxa"/>
            <w:tcBorders>
              <w:top w:val="nil"/>
              <w:left w:val="single" w:sz="4" w:space="0" w:color="auto"/>
              <w:bottom w:val="nil"/>
              <w:right w:val="single" w:sz="4"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-30,9 </w:t>
            </w:r>
          </w:p>
        </w:tc>
        <w:tc>
          <w:tcPr>
            <w:tcW w:w="709"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-15,7 </w:t>
            </w:r>
          </w:p>
        </w:tc>
        <w:tc>
          <w:tcPr>
            <w:tcW w:w="726" w:type="dxa"/>
            <w:tcBorders>
              <w:top w:val="nil"/>
              <w:left w:val="nil"/>
              <w:bottom w:val="nil"/>
              <w:right w:val="nil"/>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-15,2 </w:t>
            </w:r>
          </w:p>
        </w:tc>
        <w:tc>
          <w:tcPr>
            <w:tcW w:w="709" w:type="dxa"/>
            <w:tcBorders>
              <w:top w:val="nil"/>
              <w:left w:val="single" w:sz="4" w:space="0" w:color="auto"/>
              <w:bottom w:val="nil"/>
              <w:right w:val="double" w:sz="6"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97,0 </w:t>
            </w:r>
          </w:p>
        </w:tc>
      </w:tr>
      <w:tr w:rsidR="00AD5340" w:rsidRPr="00E04C25" w:rsidTr="00AD5340">
        <w:trPr>
          <w:trHeight w:val="340"/>
        </w:trPr>
        <w:tc>
          <w:tcPr>
            <w:tcW w:w="896" w:type="dxa"/>
            <w:tcBorders>
              <w:top w:val="nil"/>
              <w:left w:val="double" w:sz="6" w:space="0" w:color="auto"/>
              <w:bottom w:val="nil"/>
              <w:right w:val="nil"/>
            </w:tcBorders>
            <w:shd w:val="clear" w:color="auto" w:fill="auto"/>
            <w:noWrap/>
            <w:vAlign w:val="center"/>
          </w:tcPr>
          <w:p w:rsidR="00AD5340" w:rsidRPr="00E04C25" w:rsidRDefault="00AD5340" w:rsidP="00AE65A5">
            <w:pPr>
              <w:tabs>
                <w:tab w:val="left" w:pos="709"/>
              </w:tabs>
              <w:jc w:val="center"/>
              <w:rPr>
                <w:rFonts w:ascii="Arial" w:hAnsi="Arial" w:cs="Arial"/>
                <w:sz w:val="18"/>
                <w:szCs w:val="18"/>
              </w:rPr>
            </w:pPr>
            <w:r w:rsidRPr="00E04C25">
              <w:rPr>
                <w:rFonts w:ascii="Arial" w:hAnsi="Arial" w:cs="Arial"/>
                <w:sz w:val="18"/>
                <w:szCs w:val="18"/>
              </w:rPr>
              <w:t>25-39</w:t>
            </w:r>
          </w:p>
        </w:tc>
        <w:tc>
          <w:tcPr>
            <w:tcW w:w="970" w:type="dxa"/>
            <w:tcBorders>
              <w:top w:val="nil"/>
              <w:left w:val="single" w:sz="4" w:space="0" w:color="auto"/>
              <w:bottom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2286,5</w:t>
            </w:r>
          </w:p>
        </w:tc>
        <w:tc>
          <w:tcPr>
            <w:tcW w:w="851"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1174,2</w:t>
            </w:r>
          </w:p>
        </w:tc>
        <w:tc>
          <w:tcPr>
            <w:tcW w:w="850"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1112,2</w:t>
            </w:r>
          </w:p>
        </w:tc>
        <w:tc>
          <w:tcPr>
            <w:tcW w:w="992"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2239,1</w:t>
            </w:r>
          </w:p>
        </w:tc>
        <w:tc>
          <w:tcPr>
            <w:tcW w:w="851"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1150,3</w:t>
            </w:r>
          </w:p>
        </w:tc>
        <w:tc>
          <w:tcPr>
            <w:tcW w:w="850" w:type="dxa"/>
            <w:tcBorders>
              <w:top w:val="nil"/>
              <w:left w:val="nil"/>
              <w:bottom w:val="nil"/>
              <w:right w:val="nil"/>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1088,8</w:t>
            </w:r>
          </w:p>
        </w:tc>
        <w:tc>
          <w:tcPr>
            <w:tcW w:w="851" w:type="dxa"/>
            <w:tcBorders>
              <w:top w:val="nil"/>
              <w:left w:val="single" w:sz="4" w:space="0" w:color="auto"/>
              <w:bottom w:val="nil"/>
              <w:right w:val="single" w:sz="4"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-47,4 </w:t>
            </w:r>
          </w:p>
        </w:tc>
        <w:tc>
          <w:tcPr>
            <w:tcW w:w="709"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-23,9 </w:t>
            </w:r>
          </w:p>
        </w:tc>
        <w:tc>
          <w:tcPr>
            <w:tcW w:w="726" w:type="dxa"/>
            <w:tcBorders>
              <w:top w:val="nil"/>
              <w:left w:val="nil"/>
              <w:bottom w:val="nil"/>
              <w:right w:val="nil"/>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-23,4 </w:t>
            </w:r>
          </w:p>
        </w:tc>
        <w:tc>
          <w:tcPr>
            <w:tcW w:w="709" w:type="dxa"/>
            <w:tcBorders>
              <w:top w:val="nil"/>
              <w:left w:val="single" w:sz="4" w:space="0" w:color="auto"/>
              <w:bottom w:val="nil"/>
              <w:right w:val="double" w:sz="6"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97,9 </w:t>
            </w:r>
          </w:p>
        </w:tc>
      </w:tr>
      <w:tr w:rsidR="00AD5340" w:rsidRPr="00E04C25" w:rsidTr="00AD5340">
        <w:trPr>
          <w:trHeight w:val="340"/>
        </w:trPr>
        <w:tc>
          <w:tcPr>
            <w:tcW w:w="896" w:type="dxa"/>
            <w:tcBorders>
              <w:top w:val="nil"/>
              <w:left w:val="double" w:sz="6" w:space="0" w:color="auto"/>
              <w:right w:val="nil"/>
            </w:tcBorders>
            <w:shd w:val="clear" w:color="auto" w:fill="auto"/>
            <w:noWrap/>
            <w:vAlign w:val="center"/>
          </w:tcPr>
          <w:p w:rsidR="00AD5340" w:rsidRPr="00E04C25" w:rsidRDefault="00AD5340" w:rsidP="00AE65A5">
            <w:pPr>
              <w:tabs>
                <w:tab w:val="left" w:pos="709"/>
              </w:tabs>
              <w:jc w:val="center"/>
              <w:rPr>
                <w:rFonts w:ascii="Arial" w:hAnsi="Arial" w:cs="Arial"/>
                <w:sz w:val="18"/>
                <w:szCs w:val="18"/>
              </w:rPr>
            </w:pPr>
            <w:r w:rsidRPr="00E04C25">
              <w:rPr>
                <w:rFonts w:ascii="Arial" w:hAnsi="Arial" w:cs="Arial"/>
                <w:sz w:val="18"/>
                <w:szCs w:val="18"/>
              </w:rPr>
              <w:t>40-54</w:t>
            </w:r>
          </w:p>
        </w:tc>
        <w:tc>
          <w:tcPr>
            <w:tcW w:w="970" w:type="dxa"/>
            <w:tcBorders>
              <w:top w:val="nil"/>
              <w:left w:val="single" w:sz="4" w:space="0" w:color="auto"/>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2292,4</w:t>
            </w:r>
          </w:p>
        </w:tc>
        <w:tc>
          <w:tcPr>
            <w:tcW w:w="851" w:type="dxa"/>
            <w:tcBorders>
              <w:top w:val="nil"/>
              <w:left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1171,6</w:t>
            </w:r>
          </w:p>
        </w:tc>
        <w:tc>
          <w:tcPr>
            <w:tcW w:w="850" w:type="dxa"/>
            <w:tcBorders>
              <w:top w:val="nil"/>
              <w:left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1120,7</w:t>
            </w:r>
          </w:p>
        </w:tc>
        <w:tc>
          <w:tcPr>
            <w:tcW w:w="992" w:type="dxa"/>
            <w:tcBorders>
              <w:top w:val="nil"/>
              <w:left w:val="nil"/>
              <w:right w:val="single" w:sz="4" w:space="0" w:color="auto"/>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2348,3</w:t>
            </w:r>
          </w:p>
        </w:tc>
        <w:tc>
          <w:tcPr>
            <w:tcW w:w="851" w:type="dxa"/>
            <w:tcBorders>
              <w:top w:val="nil"/>
              <w:left w:val="nil"/>
              <w:right w:val="single" w:sz="4" w:space="0" w:color="auto"/>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1201,1</w:t>
            </w:r>
          </w:p>
        </w:tc>
        <w:tc>
          <w:tcPr>
            <w:tcW w:w="850" w:type="dxa"/>
            <w:tcBorders>
              <w:top w:val="nil"/>
              <w:left w:val="nil"/>
              <w:right w:val="nil"/>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1147,2</w:t>
            </w:r>
          </w:p>
        </w:tc>
        <w:tc>
          <w:tcPr>
            <w:tcW w:w="851" w:type="dxa"/>
            <w:tcBorders>
              <w:top w:val="nil"/>
              <w:left w:val="single" w:sz="4" w:space="0" w:color="auto"/>
              <w:right w:val="single" w:sz="4"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55,9 </w:t>
            </w:r>
          </w:p>
        </w:tc>
        <w:tc>
          <w:tcPr>
            <w:tcW w:w="709" w:type="dxa"/>
            <w:tcBorders>
              <w:top w:val="nil"/>
              <w:left w:val="nil"/>
              <w:right w:val="single" w:sz="4"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29,5 </w:t>
            </w:r>
          </w:p>
        </w:tc>
        <w:tc>
          <w:tcPr>
            <w:tcW w:w="726" w:type="dxa"/>
            <w:tcBorders>
              <w:top w:val="nil"/>
              <w:left w:val="nil"/>
              <w:right w:val="nil"/>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26,5 </w:t>
            </w:r>
          </w:p>
        </w:tc>
        <w:tc>
          <w:tcPr>
            <w:tcW w:w="709" w:type="dxa"/>
            <w:tcBorders>
              <w:top w:val="nil"/>
              <w:left w:val="single" w:sz="4" w:space="0" w:color="auto"/>
              <w:right w:val="double" w:sz="6"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102,4 </w:t>
            </w:r>
          </w:p>
        </w:tc>
      </w:tr>
      <w:tr w:rsidR="00AD5340" w:rsidRPr="00E04C25" w:rsidTr="00AD5340">
        <w:trPr>
          <w:trHeight w:val="340"/>
        </w:trPr>
        <w:tc>
          <w:tcPr>
            <w:tcW w:w="896" w:type="dxa"/>
            <w:tcBorders>
              <w:top w:val="nil"/>
              <w:left w:val="double" w:sz="6" w:space="0" w:color="auto"/>
              <w:bottom w:val="nil"/>
              <w:right w:val="nil"/>
            </w:tcBorders>
            <w:shd w:val="clear" w:color="auto" w:fill="auto"/>
            <w:noWrap/>
            <w:vAlign w:val="center"/>
          </w:tcPr>
          <w:p w:rsidR="00AD5340" w:rsidRPr="00E04C25" w:rsidRDefault="00AD5340" w:rsidP="00AE65A5">
            <w:pPr>
              <w:tabs>
                <w:tab w:val="left" w:pos="709"/>
              </w:tabs>
              <w:jc w:val="center"/>
              <w:rPr>
                <w:rFonts w:ascii="Arial" w:hAnsi="Arial" w:cs="Arial"/>
                <w:sz w:val="18"/>
                <w:szCs w:val="18"/>
              </w:rPr>
            </w:pPr>
            <w:r w:rsidRPr="00E04C25">
              <w:rPr>
                <w:rFonts w:ascii="Arial" w:hAnsi="Arial" w:cs="Arial"/>
                <w:sz w:val="18"/>
                <w:szCs w:val="18"/>
              </w:rPr>
              <w:t>55-64</w:t>
            </w:r>
          </w:p>
        </w:tc>
        <w:tc>
          <w:tcPr>
            <w:tcW w:w="970" w:type="dxa"/>
            <w:tcBorders>
              <w:top w:val="nil"/>
              <w:left w:val="single" w:sz="4" w:space="0" w:color="auto"/>
              <w:bottom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1359,1</w:t>
            </w:r>
          </w:p>
        </w:tc>
        <w:tc>
          <w:tcPr>
            <w:tcW w:w="851"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663,1</w:t>
            </w:r>
          </w:p>
        </w:tc>
        <w:tc>
          <w:tcPr>
            <w:tcW w:w="850"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696,0</w:t>
            </w:r>
          </w:p>
        </w:tc>
        <w:tc>
          <w:tcPr>
            <w:tcW w:w="992"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1329,8</w:t>
            </w:r>
          </w:p>
        </w:tc>
        <w:tc>
          <w:tcPr>
            <w:tcW w:w="851"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650,8</w:t>
            </w:r>
          </w:p>
        </w:tc>
        <w:tc>
          <w:tcPr>
            <w:tcW w:w="850" w:type="dxa"/>
            <w:tcBorders>
              <w:top w:val="nil"/>
              <w:left w:val="nil"/>
              <w:bottom w:val="nil"/>
              <w:right w:val="nil"/>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679,0</w:t>
            </w:r>
          </w:p>
        </w:tc>
        <w:tc>
          <w:tcPr>
            <w:tcW w:w="851" w:type="dxa"/>
            <w:tcBorders>
              <w:top w:val="nil"/>
              <w:left w:val="single" w:sz="4" w:space="0" w:color="auto"/>
              <w:bottom w:val="nil"/>
              <w:right w:val="single" w:sz="4"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-29,3 </w:t>
            </w:r>
          </w:p>
        </w:tc>
        <w:tc>
          <w:tcPr>
            <w:tcW w:w="709"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-12,3 </w:t>
            </w:r>
          </w:p>
        </w:tc>
        <w:tc>
          <w:tcPr>
            <w:tcW w:w="726" w:type="dxa"/>
            <w:tcBorders>
              <w:top w:val="nil"/>
              <w:left w:val="nil"/>
              <w:bottom w:val="nil"/>
              <w:right w:val="nil"/>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-17,0 </w:t>
            </w:r>
          </w:p>
        </w:tc>
        <w:tc>
          <w:tcPr>
            <w:tcW w:w="709" w:type="dxa"/>
            <w:tcBorders>
              <w:top w:val="nil"/>
              <w:left w:val="single" w:sz="4" w:space="0" w:color="auto"/>
              <w:bottom w:val="nil"/>
              <w:right w:val="double" w:sz="6"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97,8 </w:t>
            </w:r>
          </w:p>
        </w:tc>
      </w:tr>
      <w:tr w:rsidR="00AD5340" w:rsidRPr="00E04C25" w:rsidTr="00AD5340">
        <w:trPr>
          <w:trHeight w:val="340"/>
        </w:trPr>
        <w:tc>
          <w:tcPr>
            <w:tcW w:w="896" w:type="dxa"/>
            <w:tcBorders>
              <w:top w:val="nil"/>
              <w:left w:val="double" w:sz="6" w:space="0" w:color="auto"/>
              <w:bottom w:val="single" w:sz="4" w:space="0" w:color="auto"/>
              <w:right w:val="nil"/>
            </w:tcBorders>
            <w:shd w:val="clear" w:color="auto" w:fill="auto"/>
            <w:noWrap/>
            <w:vAlign w:val="center"/>
          </w:tcPr>
          <w:p w:rsidR="00AD5340" w:rsidRPr="00E04C25" w:rsidRDefault="00AD5340" w:rsidP="00AE65A5">
            <w:pPr>
              <w:tabs>
                <w:tab w:val="left" w:pos="709"/>
              </w:tabs>
              <w:jc w:val="center"/>
              <w:rPr>
                <w:rFonts w:ascii="Arial" w:hAnsi="Arial" w:cs="Arial"/>
                <w:sz w:val="18"/>
                <w:szCs w:val="18"/>
              </w:rPr>
            </w:pPr>
            <w:r w:rsidRPr="00E04C25">
              <w:rPr>
                <w:rFonts w:ascii="Arial" w:hAnsi="Arial" w:cs="Arial"/>
                <w:sz w:val="18"/>
                <w:szCs w:val="18"/>
              </w:rPr>
              <w:t>65+</w:t>
            </w:r>
          </w:p>
        </w:tc>
        <w:tc>
          <w:tcPr>
            <w:tcW w:w="970"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1960,3</w:t>
            </w:r>
          </w:p>
        </w:tc>
        <w:tc>
          <w:tcPr>
            <w:tcW w:w="85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816,8</w:t>
            </w:r>
          </w:p>
        </w:tc>
        <w:tc>
          <w:tcPr>
            <w:tcW w:w="850" w:type="dxa"/>
            <w:tcBorders>
              <w:top w:val="nil"/>
              <w:left w:val="nil"/>
              <w:bottom w:val="single" w:sz="4" w:space="0" w:color="auto"/>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1143,5</w:t>
            </w:r>
          </w:p>
        </w:tc>
        <w:tc>
          <w:tcPr>
            <w:tcW w:w="992" w:type="dxa"/>
            <w:tcBorders>
              <w:top w:val="nil"/>
              <w:left w:val="nil"/>
              <w:bottom w:val="single" w:sz="4" w:space="0" w:color="auto"/>
              <w:right w:val="single" w:sz="4" w:space="0" w:color="auto"/>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2012,4</w:t>
            </w:r>
          </w:p>
        </w:tc>
        <w:tc>
          <w:tcPr>
            <w:tcW w:w="85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841,2</w:t>
            </w:r>
          </w:p>
        </w:tc>
        <w:tc>
          <w:tcPr>
            <w:tcW w:w="850" w:type="dxa"/>
            <w:tcBorders>
              <w:top w:val="nil"/>
              <w:left w:val="nil"/>
              <w:bottom w:val="single" w:sz="4" w:space="0" w:color="auto"/>
              <w:right w:val="nil"/>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1171,2</w:t>
            </w:r>
          </w:p>
        </w:tc>
        <w:tc>
          <w:tcPr>
            <w:tcW w:w="851"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52,1 </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24,4 </w:t>
            </w:r>
          </w:p>
        </w:tc>
        <w:tc>
          <w:tcPr>
            <w:tcW w:w="726" w:type="dxa"/>
            <w:tcBorders>
              <w:top w:val="nil"/>
              <w:left w:val="nil"/>
              <w:bottom w:val="single" w:sz="4" w:space="0" w:color="auto"/>
              <w:right w:val="nil"/>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27,7 </w:t>
            </w:r>
          </w:p>
        </w:tc>
        <w:tc>
          <w:tcPr>
            <w:tcW w:w="709" w:type="dxa"/>
            <w:tcBorders>
              <w:top w:val="nil"/>
              <w:left w:val="single" w:sz="4" w:space="0" w:color="auto"/>
              <w:bottom w:val="single" w:sz="4" w:space="0" w:color="auto"/>
              <w:right w:val="double" w:sz="6"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102,7 </w:t>
            </w:r>
          </w:p>
        </w:tc>
      </w:tr>
      <w:tr w:rsidR="00AD5340" w:rsidRPr="00E04C25" w:rsidTr="00AD5340">
        <w:trPr>
          <w:trHeight w:val="340"/>
        </w:trPr>
        <w:tc>
          <w:tcPr>
            <w:tcW w:w="896" w:type="dxa"/>
            <w:tcBorders>
              <w:top w:val="single" w:sz="4" w:space="0" w:color="auto"/>
              <w:left w:val="double" w:sz="6" w:space="0" w:color="auto"/>
              <w:bottom w:val="nil"/>
              <w:right w:val="nil"/>
            </w:tcBorders>
            <w:shd w:val="clear" w:color="auto" w:fill="auto"/>
            <w:noWrap/>
            <w:vAlign w:val="center"/>
          </w:tcPr>
          <w:p w:rsidR="00AD5340" w:rsidRPr="00E04C25" w:rsidRDefault="00AD5340" w:rsidP="00AE65A5">
            <w:pPr>
              <w:tabs>
                <w:tab w:val="left" w:pos="709"/>
              </w:tabs>
              <w:jc w:val="center"/>
              <w:rPr>
                <w:rFonts w:ascii="Arial" w:hAnsi="Arial" w:cs="Arial"/>
                <w:b/>
                <w:sz w:val="18"/>
                <w:szCs w:val="18"/>
              </w:rPr>
            </w:pPr>
            <w:r w:rsidRPr="00E04C25">
              <w:rPr>
                <w:rFonts w:ascii="Arial" w:hAnsi="Arial" w:cs="Arial"/>
                <w:b/>
                <w:sz w:val="18"/>
                <w:szCs w:val="18"/>
              </w:rPr>
              <w:t>15+</w:t>
            </w:r>
          </w:p>
        </w:tc>
        <w:tc>
          <w:tcPr>
            <w:tcW w:w="970"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8928,7</w:t>
            </w:r>
          </w:p>
        </w:tc>
        <w:tc>
          <w:tcPr>
            <w:tcW w:w="851" w:type="dxa"/>
            <w:tcBorders>
              <w:top w:val="single" w:sz="4" w:space="0" w:color="auto"/>
              <w:left w:val="nil"/>
              <w:bottom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4353,7</w:t>
            </w:r>
          </w:p>
        </w:tc>
        <w:tc>
          <w:tcPr>
            <w:tcW w:w="850" w:type="dxa"/>
            <w:tcBorders>
              <w:top w:val="single" w:sz="4" w:space="0" w:color="auto"/>
              <w:left w:val="nil"/>
              <w:bottom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4575,0</w:t>
            </w:r>
          </w:p>
        </w:tc>
        <w:tc>
          <w:tcPr>
            <w:tcW w:w="992" w:type="dxa"/>
            <w:tcBorders>
              <w:top w:val="single" w:sz="4" w:space="0" w:color="auto"/>
              <w:left w:val="nil"/>
              <w:bottom w:val="nil"/>
              <w:right w:val="single" w:sz="4" w:space="0" w:color="auto"/>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8929,2</w:t>
            </w:r>
          </w:p>
        </w:tc>
        <w:tc>
          <w:tcPr>
            <w:tcW w:w="851" w:type="dxa"/>
            <w:tcBorders>
              <w:top w:val="single" w:sz="4" w:space="0" w:color="auto"/>
              <w:left w:val="nil"/>
              <w:bottom w:val="nil"/>
              <w:right w:val="single" w:sz="4" w:space="0" w:color="auto"/>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4355,7</w:t>
            </w:r>
          </w:p>
        </w:tc>
        <w:tc>
          <w:tcPr>
            <w:tcW w:w="850" w:type="dxa"/>
            <w:tcBorders>
              <w:top w:val="single" w:sz="4" w:space="0" w:color="auto"/>
              <w:left w:val="nil"/>
              <w:bottom w:val="nil"/>
              <w:right w:val="nil"/>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4573,5</w:t>
            </w:r>
          </w:p>
        </w:tc>
        <w:tc>
          <w:tcPr>
            <w:tcW w:w="851" w:type="dxa"/>
            <w:tcBorders>
              <w:top w:val="single" w:sz="4" w:space="0" w:color="auto"/>
              <w:left w:val="single" w:sz="4" w:space="0" w:color="auto"/>
              <w:bottom w:val="nil"/>
              <w:right w:val="single" w:sz="4"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0,5 </w:t>
            </w:r>
          </w:p>
        </w:tc>
        <w:tc>
          <w:tcPr>
            <w:tcW w:w="709" w:type="dxa"/>
            <w:tcBorders>
              <w:top w:val="single" w:sz="4" w:space="0" w:color="auto"/>
              <w:left w:val="nil"/>
              <w:bottom w:val="nil"/>
              <w:right w:val="single" w:sz="4"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2,0 </w:t>
            </w:r>
          </w:p>
        </w:tc>
        <w:tc>
          <w:tcPr>
            <w:tcW w:w="726" w:type="dxa"/>
            <w:tcBorders>
              <w:top w:val="single" w:sz="4" w:space="0" w:color="auto"/>
              <w:left w:val="nil"/>
              <w:bottom w:val="nil"/>
              <w:right w:val="nil"/>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-1,5 </w:t>
            </w:r>
          </w:p>
        </w:tc>
        <w:tc>
          <w:tcPr>
            <w:tcW w:w="709" w:type="dxa"/>
            <w:tcBorders>
              <w:top w:val="single" w:sz="4" w:space="0" w:color="auto"/>
              <w:left w:val="single" w:sz="4" w:space="0" w:color="auto"/>
              <w:bottom w:val="nil"/>
              <w:right w:val="double" w:sz="6"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100,0 </w:t>
            </w:r>
          </w:p>
        </w:tc>
      </w:tr>
      <w:tr w:rsidR="00AD5340" w:rsidRPr="00E04C25" w:rsidTr="00AD5340">
        <w:trPr>
          <w:trHeight w:val="340"/>
        </w:trPr>
        <w:tc>
          <w:tcPr>
            <w:tcW w:w="896" w:type="dxa"/>
            <w:tcBorders>
              <w:top w:val="nil"/>
              <w:left w:val="double" w:sz="6" w:space="0" w:color="auto"/>
              <w:bottom w:val="nil"/>
              <w:right w:val="nil"/>
            </w:tcBorders>
            <w:shd w:val="clear" w:color="auto" w:fill="auto"/>
            <w:noWrap/>
            <w:vAlign w:val="center"/>
          </w:tcPr>
          <w:p w:rsidR="00AD5340" w:rsidRPr="00E04C25" w:rsidRDefault="00AD5340" w:rsidP="00AE65A5">
            <w:pPr>
              <w:tabs>
                <w:tab w:val="left" w:pos="709"/>
              </w:tabs>
              <w:jc w:val="center"/>
              <w:rPr>
                <w:rFonts w:ascii="Arial" w:hAnsi="Arial" w:cs="Arial"/>
                <w:b/>
                <w:bCs/>
                <w:sz w:val="18"/>
                <w:szCs w:val="18"/>
              </w:rPr>
            </w:pPr>
            <w:r w:rsidRPr="00E04C25">
              <w:rPr>
                <w:rFonts w:ascii="Arial" w:hAnsi="Arial" w:cs="Arial"/>
                <w:b/>
                <w:bCs/>
                <w:sz w:val="18"/>
                <w:szCs w:val="18"/>
              </w:rPr>
              <w:t>15-64</w:t>
            </w:r>
          </w:p>
        </w:tc>
        <w:tc>
          <w:tcPr>
            <w:tcW w:w="970" w:type="dxa"/>
            <w:tcBorders>
              <w:top w:val="nil"/>
              <w:left w:val="single" w:sz="4" w:space="0" w:color="auto"/>
              <w:bottom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6968,4</w:t>
            </w:r>
          </w:p>
        </w:tc>
        <w:tc>
          <w:tcPr>
            <w:tcW w:w="851"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3536,9</w:t>
            </w:r>
          </w:p>
        </w:tc>
        <w:tc>
          <w:tcPr>
            <w:tcW w:w="850"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3431,5</w:t>
            </w:r>
          </w:p>
        </w:tc>
        <w:tc>
          <w:tcPr>
            <w:tcW w:w="992"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6916,7</w:t>
            </w:r>
          </w:p>
        </w:tc>
        <w:tc>
          <w:tcPr>
            <w:tcW w:w="851"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3514,4</w:t>
            </w:r>
          </w:p>
        </w:tc>
        <w:tc>
          <w:tcPr>
            <w:tcW w:w="850" w:type="dxa"/>
            <w:tcBorders>
              <w:top w:val="nil"/>
              <w:left w:val="nil"/>
              <w:bottom w:val="nil"/>
              <w:right w:val="nil"/>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3402,3</w:t>
            </w:r>
          </w:p>
        </w:tc>
        <w:tc>
          <w:tcPr>
            <w:tcW w:w="851" w:type="dxa"/>
            <w:tcBorders>
              <w:top w:val="nil"/>
              <w:left w:val="single" w:sz="4" w:space="0" w:color="auto"/>
              <w:bottom w:val="nil"/>
              <w:right w:val="single" w:sz="4"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-51,7 </w:t>
            </w:r>
          </w:p>
        </w:tc>
        <w:tc>
          <w:tcPr>
            <w:tcW w:w="709" w:type="dxa"/>
            <w:tcBorders>
              <w:top w:val="nil"/>
              <w:left w:val="nil"/>
              <w:bottom w:val="nil"/>
              <w:right w:val="single" w:sz="4"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-22,5 </w:t>
            </w:r>
          </w:p>
        </w:tc>
        <w:tc>
          <w:tcPr>
            <w:tcW w:w="726" w:type="dxa"/>
            <w:tcBorders>
              <w:top w:val="nil"/>
              <w:left w:val="nil"/>
              <w:bottom w:val="nil"/>
              <w:right w:val="nil"/>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-29,2 </w:t>
            </w:r>
          </w:p>
        </w:tc>
        <w:tc>
          <w:tcPr>
            <w:tcW w:w="709" w:type="dxa"/>
            <w:tcBorders>
              <w:top w:val="nil"/>
              <w:left w:val="single" w:sz="4" w:space="0" w:color="auto"/>
              <w:bottom w:val="nil"/>
              <w:right w:val="double" w:sz="6"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99,3 </w:t>
            </w:r>
          </w:p>
        </w:tc>
      </w:tr>
      <w:tr w:rsidR="00AD5340" w:rsidRPr="00E04C25" w:rsidTr="00AD5340">
        <w:trPr>
          <w:trHeight w:val="340"/>
        </w:trPr>
        <w:tc>
          <w:tcPr>
            <w:tcW w:w="896" w:type="dxa"/>
            <w:tcBorders>
              <w:top w:val="nil"/>
              <w:left w:val="double" w:sz="6" w:space="0" w:color="auto"/>
              <w:bottom w:val="double" w:sz="6" w:space="0" w:color="auto"/>
              <w:right w:val="nil"/>
            </w:tcBorders>
            <w:shd w:val="clear" w:color="auto" w:fill="auto"/>
            <w:noWrap/>
            <w:vAlign w:val="center"/>
          </w:tcPr>
          <w:p w:rsidR="00AD5340" w:rsidRPr="00E04C25" w:rsidRDefault="00AD5340" w:rsidP="00AE65A5">
            <w:pPr>
              <w:tabs>
                <w:tab w:val="left" w:pos="709"/>
              </w:tabs>
              <w:jc w:val="center"/>
              <w:rPr>
                <w:b/>
              </w:rPr>
            </w:pPr>
            <w:r w:rsidRPr="00E04C25">
              <w:rPr>
                <w:rFonts w:ascii="Arial" w:hAnsi="Arial" w:cs="Arial"/>
                <w:b/>
                <w:sz w:val="18"/>
                <w:szCs w:val="18"/>
              </w:rPr>
              <w:t>20-64</w:t>
            </w:r>
          </w:p>
        </w:tc>
        <w:tc>
          <w:tcPr>
            <w:tcW w:w="970" w:type="dxa"/>
            <w:tcBorders>
              <w:top w:val="nil"/>
              <w:left w:val="single" w:sz="4" w:space="0" w:color="auto"/>
              <w:bottom w:val="double" w:sz="6" w:space="0" w:color="auto"/>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6509,9</w:t>
            </w:r>
          </w:p>
        </w:tc>
        <w:tc>
          <w:tcPr>
            <w:tcW w:w="851" w:type="dxa"/>
            <w:tcBorders>
              <w:top w:val="nil"/>
              <w:left w:val="nil"/>
              <w:bottom w:val="double" w:sz="6" w:space="0" w:color="auto"/>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3301,5</w:t>
            </w:r>
          </w:p>
        </w:tc>
        <w:tc>
          <w:tcPr>
            <w:tcW w:w="850" w:type="dxa"/>
            <w:tcBorders>
              <w:top w:val="nil"/>
              <w:left w:val="nil"/>
              <w:bottom w:val="double" w:sz="6" w:space="0" w:color="auto"/>
              <w:right w:val="single" w:sz="4" w:space="0" w:color="auto"/>
            </w:tcBorders>
            <w:shd w:val="clear" w:color="auto" w:fill="auto"/>
            <w:noWrap/>
            <w:tcMar>
              <w:left w:w="57" w:type="dxa"/>
              <w:right w:w="57" w:type="dxa"/>
            </w:tcMar>
            <w:vAlign w:val="center"/>
          </w:tcPr>
          <w:p w:rsidR="00AD5340" w:rsidRPr="00E04C25" w:rsidRDefault="00AD5340" w:rsidP="00AD5340">
            <w:pPr>
              <w:tabs>
                <w:tab w:val="left" w:pos="709"/>
              </w:tabs>
              <w:jc w:val="right"/>
              <w:rPr>
                <w:rFonts w:ascii="Arial" w:hAnsi="Arial" w:cs="Arial"/>
                <w:sz w:val="18"/>
                <w:szCs w:val="18"/>
              </w:rPr>
            </w:pPr>
            <w:r w:rsidRPr="00E04C25">
              <w:rPr>
                <w:rFonts w:ascii="Arial" w:hAnsi="Arial" w:cs="Arial"/>
                <w:sz w:val="18"/>
                <w:szCs w:val="18"/>
              </w:rPr>
              <w:t>3208,4</w:t>
            </w:r>
          </w:p>
        </w:tc>
        <w:tc>
          <w:tcPr>
            <w:tcW w:w="992" w:type="dxa"/>
            <w:tcBorders>
              <w:top w:val="nil"/>
              <w:left w:val="nil"/>
              <w:bottom w:val="double" w:sz="6" w:space="0" w:color="auto"/>
              <w:right w:val="single" w:sz="4" w:space="0" w:color="auto"/>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6456,1</w:t>
            </w:r>
          </w:p>
        </w:tc>
        <w:tc>
          <w:tcPr>
            <w:tcW w:w="851" w:type="dxa"/>
            <w:tcBorders>
              <w:top w:val="nil"/>
              <w:left w:val="nil"/>
              <w:bottom w:val="double" w:sz="6" w:space="0" w:color="auto"/>
              <w:right w:val="single" w:sz="4" w:space="0" w:color="auto"/>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3277,8</w:t>
            </w:r>
          </w:p>
        </w:tc>
        <w:tc>
          <w:tcPr>
            <w:tcW w:w="850" w:type="dxa"/>
            <w:tcBorders>
              <w:top w:val="nil"/>
              <w:left w:val="nil"/>
              <w:bottom w:val="double" w:sz="6" w:space="0" w:color="auto"/>
              <w:right w:val="nil"/>
            </w:tcBorders>
            <w:shd w:val="clear" w:color="auto" w:fill="auto"/>
            <w:noWrap/>
            <w:tcMar>
              <w:left w:w="57" w:type="dxa"/>
              <w:right w:w="57" w:type="dxa"/>
            </w:tcMar>
            <w:vAlign w:val="center"/>
          </w:tcPr>
          <w:p w:rsidR="00AD5340" w:rsidRPr="00E04C25" w:rsidRDefault="00AD5340">
            <w:pPr>
              <w:jc w:val="center"/>
              <w:rPr>
                <w:rFonts w:ascii="Arial" w:hAnsi="Arial" w:cs="Arial"/>
                <w:sz w:val="18"/>
                <w:szCs w:val="18"/>
              </w:rPr>
            </w:pPr>
            <w:r w:rsidRPr="00E04C25">
              <w:rPr>
                <w:rFonts w:ascii="Arial" w:hAnsi="Arial" w:cs="Arial"/>
                <w:sz w:val="18"/>
                <w:szCs w:val="18"/>
              </w:rPr>
              <w:t>3178,3</w:t>
            </w:r>
          </w:p>
        </w:tc>
        <w:tc>
          <w:tcPr>
            <w:tcW w:w="851" w:type="dxa"/>
            <w:tcBorders>
              <w:top w:val="nil"/>
              <w:left w:val="single" w:sz="4" w:space="0" w:color="auto"/>
              <w:bottom w:val="double" w:sz="6" w:space="0" w:color="auto"/>
              <w:right w:val="single" w:sz="4"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-53,8 </w:t>
            </w:r>
          </w:p>
        </w:tc>
        <w:tc>
          <w:tcPr>
            <w:tcW w:w="709" w:type="dxa"/>
            <w:tcBorders>
              <w:top w:val="nil"/>
              <w:left w:val="nil"/>
              <w:bottom w:val="double" w:sz="6" w:space="0" w:color="auto"/>
              <w:right w:val="single" w:sz="4"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-23,7 </w:t>
            </w:r>
          </w:p>
        </w:tc>
        <w:tc>
          <w:tcPr>
            <w:tcW w:w="726" w:type="dxa"/>
            <w:tcBorders>
              <w:top w:val="nil"/>
              <w:left w:val="nil"/>
              <w:bottom w:val="double" w:sz="6" w:space="0" w:color="auto"/>
              <w:right w:val="nil"/>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-30,1 </w:t>
            </w:r>
          </w:p>
        </w:tc>
        <w:tc>
          <w:tcPr>
            <w:tcW w:w="709" w:type="dxa"/>
            <w:tcBorders>
              <w:top w:val="nil"/>
              <w:left w:val="single" w:sz="4" w:space="0" w:color="auto"/>
              <w:bottom w:val="double" w:sz="6" w:space="0" w:color="auto"/>
              <w:right w:val="double" w:sz="6" w:space="0" w:color="auto"/>
            </w:tcBorders>
            <w:shd w:val="clear" w:color="auto" w:fill="auto"/>
            <w:noWrap/>
            <w:tcMar>
              <w:left w:w="57" w:type="dxa"/>
              <w:right w:w="57" w:type="dxa"/>
            </w:tcMar>
            <w:vAlign w:val="center"/>
          </w:tcPr>
          <w:p w:rsidR="00AD5340" w:rsidRPr="00E04C25" w:rsidRDefault="00AD5340">
            <w:pPr>
              <w:jc w:val="right"/>
              <w:rPr>
                <w:rFonts w:ascii="Arial" w:hAnsi="Arial" w:cs="Arial"/>
                <w:sz w:val="18"/>
                <w:szCs w:val="18"/>
              </w:rPr>
            </w:pPr>
            <w:r w:rsidRPr="00E04C25">
              <w:rPr>
                <w:rFonts w:ascii="Arial" w:hAnsi="Arial" w:cs="Arial"/>
                <w:sz w:val="18"/>
                <w:szCs w:val="18"/>
              </w:rPr>
              <w:t xml:space="preserve">99,2 </w:t>
            </w:r>
          </w:p>
        </w:tc>
      </w:tr>
    </w:tbl>
    <w:p w:rsidR="00762875" w:rsidRPr="00E04C25" w:rsidRDefault="00762875" w:rsidP="00AE65A5">
      <w:pPr>
        <w:tabs>
          <w:tab w:val="left" w:pos="709"/>
        </w:tabs>
        <w:spacing w:line="480" w:lineRule="auto"/>
        <w:jc w:val="both"/>
        <w:rPr>
          <w:rFonts w:ascii="Arial" w:hAnsi="Arial" w:cs="Arial"/>
          <w:i/>
          <w:iCs/>
          <w:sz w:val="18"/>
          <w:szCs w:val="18"/>
        </w:rPr>
      </w:pPr>
      <w:r w:rsidRPr="00E04C25">
        <w:rPr>
          <w:rFonts w:ascii="Arial" w:hAnsi="Arial" w:cs="Arial"/>
          <w:i/>
          <w:iCs/>
          <w:sz w:val="18"/>
          <w:szCs w:val="18"/>
        </w:rPr>
        <w:t xml:space="preserve">Zdroj: ČSÚ – VŠPS </w:t>
      </w:r>
    </w:p>
    <w:p w:rsidR="00762875" w:rsidRPr="00E04C25" w:rsidRDefault="00762875" w:rsidP="00AE65A5">
      <w:pPr>
        <w:tabs>
          <w:tab w:val="left" w:pos="709"/>
        </w:tabs>
        <w:ind w:firstLine="720"/>
        <w:jc w:val="both"/>
        <w:rPr>
          <w:rFonts w:ascii="Arial" w:hAnsi="Arial" w:cs="Arial"/>
          <w:b/>
          <w:bCs/>
          <w:sz w:val="16"/>
          <w:szCs w:val="16"/>
        </w:rPr>
      </w:pPr>
    </w:p>
    <w:p w:rsidR="00762875" w:rsidRPr="00E04C25" w:rsidRDefault="00762875" w:rsidP="00AE65A5">
      <w:pPr>
        <w:tabs>
          <w:tab w:val="left" w:pos="709"/>
        </w:tabs>
        <w:spacing w:line="360" w:lineRule="auto"/>
        <w:ind w:firstLine="720"/>
        <w:jc w:val="both"/>
        <w:rPr>
          <w:rFonts w:ascii="Arial" w:hAnsi="Arial" w:cs="Arial"/>
        </w:rPr>
      </w:pPr>
      <w:r w:rsidRPr="00E04C25">
        <w:rPr>
          <w:rFonts w:ascii="Arial" w:hAnsi="Arial" w:cs="Arial"/>
          <w:b/>
          <w:bCs/>
        </w:rPr>
        <w:t>Počet ekonomicky aktivních osob</w:t>
      </w:r>
      <w:r w:rsidRPr="00E04C25">
        <w:rPr>
          <w:rFonts w:ascii="Arial" w:hAnsi="Arial" w:cs="Arial"/>
          <w:bCs/>
        </w:rPr>
        <w:t xml:space="preserve"> (EAO),</w:t>
      </w:r>
      <w:r w:rsidRPr="00E04C25">
        <w:rPr>
          <w:rFonts w:ascii="Arial" w:hAnsi="Arial" w:cs="Arial"/>
          <w:b/>
          <w:bCs/>
        </w:rPr>
        <w:t xml:space="preserve"> </w:t>
      </w:r>
      <w:r w:rsidRPr="00E04C25">
        <w:rPr>
          <w:rFonts w:ascii="Arial" w:hAnsi="Arial" w:cs="Arial"/>
          <w:bCs/>
        </w:rPr>
        <w:t>tj. souhrn zaměstnaných a nezaměstnaných</w:t>
      </w:r>
      <w:r w:rsidR="008D6DAA" w:rsidRPr="00E04C25">
        <w:rPr>
          <w:rFonts w:ascii="Arial" w:hAnsi="Arial" w:cs="Arial"/>
          <w:bCs/>
        </w:rPr>
        <w:t>,</w:t>
      </w:r>
      <w:r w:rsidRPr="00E04C25">
        <w:rPr>
          <w:rFonts w:ascii="Arial" w:hAnsi="Arial" w:cs="Arial"/>
          <w:bCs/>
        </w:rPr>
        <w:t xml:space="preserve"> se </w:t>
      </w:r>
      <w:r w:rsidRPr="00E04C25">
        <w:rPr>
          <w:rFonts w:ascii="Arial" w:hAnsi="Arial" w:cs="Arial"/>
          <w:b/>
          <w:bCs/>
        </w:rPr>
        <w:t xml:space="preserve">zvýšil </w:t>
      </w:r>
      <w:r w:rsidRPr="00E04C25">
        <w:rPr>
          <w:rFonts w:ascii="Arial" w:hAnsi="Arial" w:cs="Arial"/>
        </w:rPr>
        <w:t>o </w:t>
      </w:r>
      <w:r w:rsidR="004F6685" w:rsidRPr="00E04C25">
        <w:rPr>
          <w:rFonts w:ascii="Arial" w:hAnsi="Arial" w:cs="Arial"/>
        </w:rPr>
        <w:t>27</w:t>
      </w:r>
      <w:r w:rsidRPr="00E04C25">
        <w:rPr>
          <w:rFonts w:ascii="Arial" w:hAnsi="Arial" w:cs="Arial"/>
        </w:rPr>
        <w:t>,</w:t>
      </w:r>
      <w:r w:rsidR="007E4ADB" w:rsidRPr="00E04C25">
        <w:rPr>
          <w:rFonts w:ascii="Arial" w:hAnsi="Arial" w:cs="Arial"/>
        </w:rPr>
        <w:t>1</w:t>
      </w:r>
      <w:r w:rsidRPr="00E04C25">
        <w:rPr>
          <w:rFonts w:ascii="Arial" w:hAnsi="Arial" w:cs="Arial"/>
          <w:bCs/>
        </w:rPr>
        <w:t xml:space="preserve"> tis.</w:t>
      </w:r>
      <w:r w:rsidRPr="00E04C25">
        <w:rPr>
          <w:rFonts w:ascii="Arial" w:hAnsi="Arial" w:cs="Arial"/>
          <w:b/>
          <w:bCs/>
        </w:rPr>
        <w:t xml:space="preserve"> </w:t>
      </w:r>
      <w:r w:rsidRPr="00E04C25">
        <w:rPr>
          <w:rFonts w:ascii="Arial" w:hAnsi="Arial" w:cs="Arial"/>
          <w:b/>
        </w:rPr>
        <w:t xml:space="preserve">na </w:t>
      </w:r>
      <w:r w:rsidR="004F6685" w:rsidRPr="00E04C25">
        <w:rPr>
          <w:rFonts w:ascii="Arial" w:hAnsi="Arial" w:cs="Arial"/>
          <w:b/>
        </w:rPr>
        <w:t>5 377,1</w:t>
      </w:r>
      <w:r w:rsidRPr="00E04C25">
        <w:rPr>
          <w:rFonts w:ascii="Arial" w:hAnsi="Arial" w:cs="Arial"/>
          <w:b/>
        </w:rPr>
        <w:t> tis</w:t>
      </w:r>
      <w:r w:rsidRPr="00E04C25">
        <w:rPr>
          <w:rFonts w:ascii="Arial" w:hAnsi="Arial" w:cs="Arial"/>
          <w:b/>
          <w:bCs/>
        </w:rPr>
        <w:t>. V</w:t>
      </w:r>
      <w:r w:rsidR="007E4ADB" w:rsidRPr="00E04C25">
        <w:rPr>
          <w:rFonts w:ascii="Arial" w:hAnsi="Arial" w:cs="Arial"/>
          <w:b/>
          <w:bCs/>
        </w:rPr>
        <w:t xml:space="preserve">ýrazněji </w:t>
      </w:r>
      <w:r w:rsidR="00573911" w:rsidRPr="00E04C25">
        <w:rPr>
          <w:rFonts w:ascii="Arial" w:hAnsi="Arial" w:cs="Arial"/>
        </w:rPr>
        <w:t>(o </w:t>
      </w:r>
      <w:r w:rsidR="004F6685" w:rsidRPr="00E04C25">
        <w:rPr>
          <w:rFonts w:ascii="Arial" w:hAnsi="Arial" w:cs="Arial"/>
        </w:rPr>
        <w:t>18</w:t>
      </w:r>
      <w:r w:rsidR="00573911" w:rsidRPr="00E04C25">
        <w:rPr>
          <w:rFonts w:ascii="Arial" w:hAnsi="Arial" w:cs="Arial"/>
        </w:rPr>
        <w:t>,</w:t>
      </w:r>
      <w:r w:rsidR="004F6685" w:rsidRPr="00E04C25">
        <w:rPr>
          <w:rFonts w:ascii="Arial" w:hAnsi="Arial" w:cs="Arial"/>
        </w:rPr>
        <w:t>7</w:t>
      </w:r>
      <w:r w:rsidR="00573911" w:rsidRPr="00E04C25">
        <w:rPr>
          <w:rFonts w:ascii="Arial" w:hAnsi="Arial" w:cs="Arial"/>
        </w:rPr>
        <w:t xml:space="preserve"> tis.) </w:t>
      </w:r>
      <w:r w:rsidR="007E4ADB" w:rsidRPr="00E04C25">
        <w:rPr>
          <w:rFonts w:ascii="Arial" w:hAnsi="Arial" w:cs="Arial"/>
          <w:b/>
          <w:bCs/>
        </w:rPr>
        <w:t>v</w:t>
      </w:r>
      <w:r w:rsidRPr="00E04C25">
        <w:rPr>
          <w:rFonts w:ascii="Arial" w:hAnsi="Arial" w:cs="Arial"/>
          <w:b/>
          <w:bCs/>
        </w:rPr>
        <w:t xml:space="preserve">zrostl počet </w:t>
      </w:r>
      <w:r w:rsidRPr="00E04C25">
        <w:rPr>
          <w:rFonts w:ascii="Arial" w:hAnsi="Arial" w:cs="Arial"/>
          <w:bCs/>
        </w:rPr>
        <w:t>ekonomick</w:t>
      </w:r>
      <w:r w:rsidR="005B51EC" w:rsidRPr="00E04C25">
        <w:rPr>
          <w:rFonts w:ascii="Arial" w:hAnsi="Arial" w:cs="Arial"/>
          <w:bCs/>
        </w:rPr>
        <w:t>y aktivních</w:t>
      </w:r>
      <w:r w:rsidRPr="00E04C25">
        <w:rPr>
          <w:rFonts w:ascii="Arial" w:hAnsi="Arial" w:cs="Arial"/>
          <w:b/>
          <w:bCs/>
        </w:rPr>
        <w:t xml:space="preserve"> </w:t>
      </w:r>
      <w:r w:rsidRPr="00E04C25">
        <w:rPr>
          <w:rFonts w:ascii="Arial" w:hAnsi="Arial" w:cs="Arial"/>
          <w:b/>
        </w:rPr>
        <w:t>žen</w:t>
      </w:r>
      <w:r w:rsidRPr="00E04C25">
        <w:rPr>
          <w:rFonts w:ascii="Arial" w:hAnsi="Arial" w:cs="Arial"/>
        </w:rPr>
        <w:t xml:space="preserve">, zatímco počet ekonomicky aktivních mužů se </w:t>
      </w:r>
      <w:r w:rsidR="00F33B98" w:rsidRPr="00E04C25">
        <w:rPr>
          <w:rFonts w:ascii="Arial" w:hAnsi="Arial" w:cs="Arial"/>
        </w:rPr>
        <w:t>zvýšil</w:t>
      </w:r>
      <w:r w:rsidR="00573911" w:rsidRPr="00E04C25">
        <w:rPr>
          <w:rFonts w:ascii="Arial" w:hAnsi="Arial" w:cs="Arial"/>
        </w:rPr>
        <w:t xml:space="preserve"> mírněji (</w:t>
      </w:r>
      <w:r w:rsidRPr="00E04C25">
        <w:rPr>
          <w:rFonts w:ascii="Arial" w:hAnsi="Arial" w:cs="Arial"/>
        </w:rPr>
        <w:t>o </w:t>
      </w:r>
      <w:r w:rsidR="004F6685" w:rsidRPr="00E04C25">
        <w:rPr>
          <w:rFonts w:ascii="Arial" w:hAnsi="Arial" w:cs="Arial"/>
        </w:rPr>
        <w:t>8,</w:t>
      </w:r>
      <w:r w:rsidR="00F33B98" w:rsidRPr="00E04C25">
        <w:rPr>
          <w:rFonts w:ascii="Arial" w:hAnsi="Arial" w:cs="Arial"/>
        </w:rPr>
        <w:t>4</w:t>
      </w:r>
      <w:r w:rsidRPr="00E04C25">
        <w:rPr>
          <w:rFonts w:ascii="Arial" w:hAnsi="Arial" w:cs="Arial"/>
        </w:rPr>
        <w:t> tis.</w:t>
      </w:r>
      <w:r w:rsidR="00573911" w:rsidRPr="00E04C25">
        <w:rPr>
          <w:rFonts w:ascii="Arial" w:hAnsi="Arial" w:cs="Arial"/>
        </w:rPr>
        <w:t>).</w:t>
      </w:r>
      <w:r w:rsidRPr="00E04C25">
        <w:rPr>
          <w:rFonts w:ascii="Arial" w:hAnsi="Arial" w:cs="Arial"/>
        </w:rPr>
        <w:t xml:space="preserve"> </w:t>
      </w:r>
      <w:r w:rsidR="00F33B98" w:rsidRPr="00E04C25">
        <w:rPr>
          <w:rFonts w:ascii="Arial" w:hAnsi="Arial" w:cs="Arial"/>
        </w:rPr>
        <w:t xml:space="preserve">Pozitivní </w:t>
      </w:r>
      <w:r w:rsidRPr="00E04C25">
        <w:rPr>
          <w:rFonts w:ascii="Arial" w:hAnsi="Arial" w:cs="Arial"/>
        </w:rPr>
        <w:t xml:space="preserve">vývoj ekonomiky se na trhu práce projevil </w:t>
      </w:r>
      <w:r w:rsidRPr="00E04C25">
        <w:rPr>
          <w:rFonts w:ascii="Arial" w:hAnsi="Arial" w:cs="Arial"/>
          <w:b/>
        </w:rPr>
        <w:t>nárůstem počtu zaměstnaných</w:t>
      </w:r>
      <w:r w:rsidRPr="00E04C25">
        <w:rPr>
          <w:rFonts w:ascii="Arial" w:hAnsi="Arial" w:cs="Arial"/>
        </w:rPr>
        <w:t xml:space="preserve"> </w:t>
      </w:r>
      <w:r w:rsidRPr="00E04C25">
        <w:rPr>
          <w:rFonts w:ascii="Arial" w:hAnsi="Arial" w:cs="Arial"/>
          <w:b/>
        </w:rPr>
        <w:t>o </w:t>
      </w:r>
      <w:r w:rsidR="004F6685" w:rsidRPr="00E04C25">
        <w:rPr>
          <w:rFonts w:ascii="Arial" w:hAnsi="Arial" w:cs="Arial"/>
          <w:b/>
        </w:rPr>
        <w:t>83</w:t>
      </w:r>
      <w:r w:rsidRPr="00E04C25">
        <w:rPr>
          <w:rFonts w:ascii="Arial" w:hAnsi="Arial" w:cs="Arial"/>
          <w:b/>
        </w:rPr>
        <w:t>,</w:t>
      </w:r>
      <w:r w:rsidR="004F6685" w:rsidRPr="00E04C25">
        <w:rPr>
          <w:rFonts w:ascii="Arial" w:hAnsi="Arial" w:cs="Arial"/>
          <w:b/>
        </w:rPr>
        <w:t>0</w:t>
      </w:r>
      <w:r w:rsidRPr="00E04C25">
        <w:rPr>
          <w:rFonts w:ascii="Arial" w:hAnsi="Arial" w:cs="Arial"/>
          <w:b/>
        </w:rPr>
        <w:t> tis.,</w:t>
      </w:r>
      <w:r w:rsidRPr="00E04C25">
        <w:rPr>
          <w:rFonts w:ascii="Arial" w:hAnsi="Arial" w:cs="Arial"/>
        </w:rPr>
        <w:t xml:space="preserve"> pokles počtu ne</w:t>
      </w:r>
      <w:r w:rsidRPr="00E04C25">
        <w:rPr>
          <w:rFonts w:ascii="Arial" w:hAnsi="Arial" w:cs="Arial"/>
          <w:bCs/>
        </w:rPr>
        <w:t xml:space="preserve">zaměstnaných </w:t>
      </w:r>
      <w:r w:rsidR="00573911" w:rsidRPr="00E04C25">
        <w:rPr>
          <w:rFonts w:ascii="Arial" w:hAnsi="Arial" w:cs="Arial"/>
          <w:bCs/>
        </w:rPr>
        <w:t>(podle VŠPS – metodika ILO)</w:t>
      </w:r>
      <w:r w:rsidR="00573911" w:rsidRPr="00E04C25">
        <w:rPr>
          <w:rFonts w:ascii="Arial" w:hAnsi="Arial" w:cs="Arial"/>
          <w:b/>
          <w:bCs/>
        </w:rPr>
        <w:t xml:space="preserve"> </w:t>
      </w:r>
      <w:r w:rsidR="00F33B98" w:rsidRPr="00E04C25">
        <w:rPr>
          <w:rFonts w:ascii="Arial" w:hAnsi="Arial" w:cs="Arial"/>
          <w:bCs/>
        </w:rPr>
        <w:t>činil</w:t>
      </w:r>
      <w:r w:rsidRPr="00E04C25">
        <w:rPr>
          <w:rFonts w:ascii="Arial" w:hAnsi="Arial" w:cs="Arial"/>
          <w:bCs/>
        </w:rPr>
        <w:t> 5</w:t>
      </w:r>
      <w:r w:rsidR="004F6685" w:rsidRPr="00E04C25">
        <w:rPr>
          <w:rFonts w:ascii="Arial" w:hAnsi="Arial" w:cs="Arial"/>
          <w:bCs/>
        </w:rPr>
        <w:t>5</w:t>
      </w:r>
      <w:r w:rsidRPr="00E04C25">
        <w:rPr>
          <w:rFonts w:ascii="Arial" w:hAnsi="Arial" w:cs="Arial"/>
          <w:bCs/>
        </w:rPr>
        <w:t>,</w:t>
      </w:r>
      <w:r w:rsidR="004F6685" w:rsidRPr="00E04C25">
        <w:rPr>
          <w:rFonts w:ascii="Arial" w:hAnsi="Arial" w:cs="Arial"/>
          <w:bCs/>
        </w:rPr>
        <w:t>9</w:t>
      </w:r>
      <w:r w:rsidRPr="00E04C25">
        <w:rPr>
          <w:rFonts w:ascii="Arial" w:hAnsi="Arial" w:cs="Arial"/>
          <w:bCs/>
        </w:rPr>
        <w:t> tis.</w:t>
      </w:r>
      <w:r w:rsidRPr="00E04C25">
        <w:rPr>
          <w:rFonts w:ascii="Arial" w:hAnsi="Arial" w:cs="Arial"/>
          <w:b/>
        </w:rPr>
        <w:t xml:space="preserve"> </w:t>
      </w:r>
    </w:p>
    <w:p w:rsidR="00762875" w:rsidRPr="00E04C25" w:rsidRDefault="00AE65A5" w:rsidP="00AE65A5">
      <w:pPr>
        <w:tabs>
          <w:tab w:val="left" w:pos="709"/>
        </w:tabs>
        <w:spacing w:line="360" w:lineRule="auto"/>
        <w:jc w:val="both"/>
        <w:rPr>
          <w:rFonts w:ascii="Arial" w:hAnsi="Arial" w:cs="Arial"/>
        </w:rPr>
      </w:pPr>
      <w:r w:rsidRPr="00E04C25">
        <w:rPr>
          <w:rFonts w:ascii="Arial" w:hAnsi="Arial" w:cs="Arial"/>
        </w:rPr>
        <w:tab/>
      </w:r>
      <w:r w:rsidR="00762875" w:rsidRPr="00E04C25">
        <w:rPr>
          <w:rFonts w:ascii="Arial" w:hAnsi="Arial" w:cs="Arial"/>
        </w:rPr>
        <w:t xml:space="preserve">Celkový </w:t>
      </w:r>
      <w:r w:rsidR="00762875" w:rsidRPr="00E04C25">
        <w:rPr>
          <w:rFonts w:ascii="Arial" w:hAnsi="Arial" w:cs="Arial"/>
          <w:b/>
        </w:rPr>
        <w:t>p</w:t>
      </w:r>
      <w:r w:rsidR="00762875" w:rsidRPr="00E04C25">
        <w:rPr>
          <w:rFonts w:ascii="Arial" w:hAnsi="Arial" w:cs="Arial"/>
          <w:b/>
          <w:bCs/>
        </w:rPr>
        <w:t xml:space="preserve">očet ekonomicky neaktivních poklesl </w:t>
      </w:r>
      <w:r w:rsidR="00762875" w:rsidRPr="00E04C25">
        <w:rPr>
          <w:rFonts w:ascii="Arial" w:hAnsi="Arial" w:cs="Arial"/>
          <w:bCs/>
        </w:rPr>
        <w:t>o </w:t>
      </w:r>
      <w:r w:rsidR="004F6685" w:rsidRPr="00E04C25">
        <w:rPr>
          <w:rFonts w:ascii="Arial" w:hAnsi="Arial" w:cs="Arial"/>
          <w:bCs/>
        </w:rPr>
        <w:t>26</w:t>
      </w:r>
      <w:r w:rsidR="00762875" w:rsidRPr="00E04C25">
        <w:rPr>
          <w:rFonts w:ascii="Arial" w:hAnsi="Arial" w:cs="Arial"/>
          <w:bCs/>
        </w:rPr>
        <w:t>,</w:t>
      </w:r>
      <w:r w:rsidR="004F6685" w:rsidRPr="00E04C25">
        <w:rPr>
          <w:rFonts w:ascii="Arial" w:hAnsi="Arial" w:cs="Arial"/>
          <w:bCs/>
        </w:rPr>
        <w:t>7</w:t>
      </w:r>
      <w:r w:rsidR="00762875" w:rsidRPr="00E04C25">
        <w:rPr>
          <w:rFonts w:ascii="Arial" w:hAnsi="Arial" w:cs="Arial"/>
          <w:bCs/>
        </w:rPr>
        <w:t xml:space="preserve"> tis.</w:t>
      </w:r>
      <w:r w:rsidR="00762875" w:rsidRPr="00E04C25">
        <w:rPr>
          <w:rFonts w:ascii="Arial" w:hAnsi="Arial" w:cs="Arial"/>
          <w:b/>
          <w:bCs/>
        </w:rPr>
        <w:t xml:space="preserve"> na 3 </w:t>
      </w:r>
      <w:r w:rsidR="00F33B98" w:rsidRPr="00E04C25">
        <w:rPr>
          <w:rFonts w:ascii="Arial" w:hAnsi="Arial" w:cs="Arial"/>
          <w:b/>
          <w:bCs/>
        </w:rPr>
        <w:t>5</w:t>
      </w:r>
      <w:r w:rsidR="004F6685" w:rsidRPr="00E04C25">
        <w:rPr>
          <w:rFonts w:ascii="Arial" w:hAnsi="Arial" w:cs="Arial"/>
          <w:b/>
          <w:bCs/>
        </w:rPr>
        <w:t>52</w:t>
      </w:r>
      <w:r w:rsidR="00762875" w:rsidRPr="00E04C25">
        <w:rPr>
          <w:rFonts w:ascii="Arial" w:hAnsi="Arial" w:cs="Arial"/>
          <w:b/>
          <w:bCs/>
        </w:rPr>
        <w:t>,</w:t>
      </w:r>
      <w:r w:rsidR="004F6685" w:rsidRPr="00E04C25">
        <w:rPr>
          <w:rFonts w:ascii="Arial" w:hAnsi="Arial" w:cs="Arial"/>
          <w:b/>
          <w:bCs/>
        </w:rPr>
        <w:t>0</w:t>
      </w:r>
      <w:r w:rsidR="00762875" w:rsidRPr="00E04C25">
        <w:rPr>
          <w:rFonts w:ascii="Arial" w:hAnsi="Arial" w:cs="Arial"/>
          <w:b/>
          <w:bCs/>
        </w:rPr>
        <w:t xml:space="preserve"> tis., </w:t>
      </w:r>
      <w:r w:rsidR="00762875" w:rsidRPr="00E04C25">
        <w:rPr>
          <w:rFonts w:ascii="Arial" w:hAnsi="Arial" w:cs="Arial"/>
          <w:bCs/>
        </w:rPr>
        <w:t xml:space="preserve">snížil se </w:t>
      </w:r>
      <w:r w:rsidR="004F6685" w:rsidRPr="00E04C25">
        <w:rPr>
          <w:rFonts w:ascii="Arial" w:hAnsi="Arial" w:cs="Arial"/>
          <w:bCs/>
        </w:rPr>
        <w:t xml:space="preserve">především </w:t>
      </w:r>
      <w:r w:rsidR="00762875" w:rsidRPr="00E04C25">
        <w:rPr>
          <w:rFonts w:ascii="Arial" w:hAnsi="Arial" w:cs="Arial"/>
          <w:bCs/>
        </w:rPr>
        <w:t xml:space="preserve">počet </w:t>
      </w:r>
      <w:r w:rsidR="004F6685" w:rsidRPr="00E04C25">
        <w:rPr>
          <w:rFonts w:ascii="Arial" w:hAnsi="Arial" w:cs="Arial"/>
          <w:bCs/>
        </w:rPr>
        <w:t xml:space="preserve">ekonomicky neaktivních </w:t>
      </w:r>
      <w:r w:rsidR="00762875" w:rsidRPr="00E04C25">
        <w:rPr>
          <w:rFonts w:ascii="Arial" w:hAnsi="Arial" w:cs="Arial"/>
          <w:bCs/>
        </w:rPr>
        <w:t>žen (o </w:t>
      </w:r>
      <w:r w:rsidR="004F6685" w:rsidRPr="00E04C25">
        <w:rPr>
          <w:rFonts w:ascii="Arial" w:hAnsi="Arial" w:cs="Arial"/>
          <w:bCs/>
        </w:rPr>
        <w:t>20</w:t>
      </w:r>
      <w:r w:rsidR="00B109F9" w:rsidRPr="00E04C25">
        <w:rPr>
          <w:rFonts w:ascii="Arial" w:hAnsi="Arial" w:cs="Arial"/>
          <w:bCs/>
        </w:rPr>
        <w:t>,</w:t>
      </w:r>
      <w:r w:rsidR="004F6685" w:rsidRPr="00E04C25">
        <w:rPr>
          <w:rFonts w:ascii="Arial" w:hAnsi="Arial" w:cs="Arial"/>
          <w:bCs/>
        </w:rPr>
        <w:t>2</w:t>
      </w:r>
      <w:r w:rsidR="00762875" w:rsidRPr="00E04C25">
        <w:rPr>
          <w:rFonts w:ascii="Arial" w:hAnsi="Arial" w:cs="Arial"/>
          <w:bCs/>
        </w:rPr>
        <w:t> tis.).</w:t>
      </w:r>
      <w:r w:rsidR="00762875" w:rsidRPr="00E04C25">
        <w:rPr>
          <w:rFonts w:ascii="Arial" w:hAnsi="Arial" w:cs="Arial"/>
          <w:b/>
          <w:bCs/>
        </w:rPr>
        <w:t xml:space="preserve"> </w:t>
      </w:r>
    </w:p>
    <w:p w:rsidR="00B4305F" w:rsidRPr="00E04C25" w:rsidRDefault="00AE65A5" w:rsidP="00AE65A5">
      <w:pPr>
        <w:tabs>
          <w:tab w:val="left" w:pos="709"/>
        </w:tabs>
        <w:spacing w:line="360" w:lineRule="auto"/>
        <w:jc w:val="both"/>
        <w:rPr>
          <w:rFonts w:ascii="Arial" w:hAnsi="Arial" w:cs="Arial"/>
        </w:rPr>
      </w:pPr>
      <w:r w:rsidRPr="00E04C25">
        <w:rPr>
          <w:rFonts w:ascii="Arial" w:hAnsi="Arial" w:cs="Arial"/>
        </w:rPr>
        <w:tab/>
      </w:r>
      <w:r w:rsidR="00B4305F" w:rsidRPr="00E04C25">
        <w:rPr>
          <w:rFonts w:ascii="Arial" w:hAnsi="Arial" w:cs="Arial"/>
        </w:rPr>
        <w:t>V</w:t>
      </w:r>
      <w:r w:rsidR="00B4305F" w:rsidRPr="00E04C25">
        <w:rPr>
          <w:rFonts w:ascii="Arial" w:hAnsi="Arial" w:cs="Arial"/>
          <w:bCs/>
        </w:rPr>
        <w:t xml:space="preserve"> nejmladších věkových skupinách produktivního věku poklesly počty osob </w:t>
      </w:r>
      <w:r w:rsidR="00B4305F" w:rsidRPr="00E04C25">
        <w:rPr>
          <w:rFonts w:ascii="Arial" w:hAnsi="Arial" w:cs="Arial"/>
          <w:b/>
          <w:bCs/>
        </w:rPr>
        <w:t>připravujících se na povolání</w:t>
      </w:r>
      <w:r w:rsidR="00B4305F" w:rsidRPr="00E04C25">
        <w:rPr>
          <w:rFonts w:ascii="Arial" w:hAnsi="Arial" w:cs="Arial"/>
          <w:bCs/>
        </w:rPr>
        <w:t xml:space="preserve"> (o </w:t>
      </w:r>
      <w:r w:rsidR="00B64315" w:rsidRPr="00E04C25">
        <w:rPr>
          <w:rFonts w:ascii="Arial" w:hAnsi="Arial" w:cs="Arial"/>
          <w:bCs/>
        </w:rPr>
        <w:t>15</w:t>
      </w:r>
      <w:r w:rsidR="00B4305F" w:rsidRPr="00E04C25">
        <w:rPr>
          <w:rFonts w:ascii="Arial" w:hAnsi="Arial" w:cs="Arial"/>
          <w:bCs/>
        </w:rPr>
        <w:t>,</w:t>
      </w:r>
      <w:r w:rsidR="00B64315" w:rsidRPr="00E04C25">
        <w:rPr>
          <w:rFonts w:ascii="Arial" w:hAnsi="Arial" w:cs="Arial"/>
          <w:bCs/>
        </w:rPr>
        <w:t>3</w:t>
      </w:r>
      <w:r w:rsidR="00B4305F" w:rsidRPr="00E04C25">
        <w:rPr>
          <w:rFonts w:ascii="Arial" w:hAnsi="Arial" w:cs="Arial"/>
          <w:bCs/>
        </w:rPr>
        <w:t> tis.). V této skupině</w:t>
      </w:r>
      <w:r w:rsidR="00B4305F" w:rsidRPr="00E04C25">
        <w:rPr>
          <w:rFonts w:ascii="Arial" w:hAnsi="Arial" w:cs="Arial"/>
          <w:b/>
          <w:bCs/>
        </w:rPr>
        <w:t xml:space="preserve"> </w:t>
      </w:r>
      <w:r w:rsidR="00B4305F" w:rsidRPr="00E04C25">
        <w:rPr>
          <w:rFonts w:ascii="Arial" w:hAnsi="Arial" w:cs="Arial"/>
          <w:bCs/>
        </w:rPr>
        <w:t xml:space="preserve">se nejvíce snížily počty ekonomicky neaktivních </w:t>
      </w:r>
      <w:r w:rsidR="00B64315" w:rsidRPr="00E04C25">
        <w:rPr>
          <w:rFonts w:ascii="Arial" w:hAnsi="Arial" w:cs="Arial"/>
          <w:bCs/>
        </w:rPr>
        <w:t xml:space="preserve">středoškoláků a </w:t>
      </w:r>
      <w:r w:rsidR="00E917D3" w:rsidRPr="00E04C25">
        <w:rPr>
          <w:rFonts w:ascii="Arial" w:hAnsi="Arial" w:cs="Arial"/>
          <w:bCs/>
        </w:rPr>
        <w:t>vysokoškoláků</w:t>
      </w:r>
      <w:r w:rsidR="00B4305F" w:rsidRPr="00E04C25">
        <w:rPr>
          <w:rFonts w:ascii="Arial" w:hAnsi="Arial" w:cs="Arial"/>
          <w:bCs/>
        </w:rPr>
        <w:t xml:space="preserve">. Čím vyšší je úroveň formálního vzdělávání, tím vyšší je zastoupení dívek. Podíl dívek </w:t>
      </w:r>
      <w:r w:rsidR="00573911" w:rsidRPr="00E04C25">
        <w:rPr>
          <w:rFonts w:ascii="Arial" w:hAnsi="Arial" w:cs="Arial"/>
          <w:bCs/>
        </w:rPr>
        <w:t>v roce 201</w:t>
      </w:r>
      <w:r w:rsidR="00B64315" w:rsidRPr="00E04C25">
        <w:rPr>
          <w:rFonts w:ascii="Arial" w:hAnsi="Arial" w:cs="Arial"/>
          <w:bCs/>
        </w:rPr>
        <w:t>7</w:t>
      </w:r>
      <w:r w:rsidR="00573911" w:rsidRPr="00E04C25">
        <w:rPr>
          <w:rFonts w:ascii="Arial" w:hAnsi="Arial" w:cs="Arial"/>
          <w:bCs/>
        </w:rPr>
        <w:t xml:space="preserve"> </w:t>
      </w:r>
      <w:r w:rsidR="00B4305F" w:rsidRPr="00E04C25">
        <w:rPr>
          <w:rFonts w:ascii="Arial" w:hAnsi="Arial" w:cs="Arial"/>
          <w:bCs/>
        </w:rPr>
        <w:t>dos</w:t>
      </w:r>
      <w:r w:rsidR="00573911" w:rsidRPr="00E04C25">
        <w:rPr>
          <w:rFonts w:ascii="Arial" w:hAnsi="Arial" w:cs="Arial"/>
          <w:bCs/>
        </w:rPr>
        <w:t>áhl</w:t>
      </w:r>
      <w:r w:rsidR="00B4305F" w:rsidRPr="00E04C25">
        <w:rPr>
          <w:rFonts w:ascii="Arial" w:hAnsi="Arial" w:cs="Arial"/>
          <w:bCs/>
        </w:rPr>
        <w:t xml:space="preserve"> </w:t>
      </w:r>
      <w:r w:rsidR="00B4305F" w:rsidRPr="00E04C25">
        <w:rPr>
          <w:rFonts w:ascii="Arial" w:hAnsi="Arial" w:cs="Arial"/>
          <w:bCs/>
        </w:rPr>
        <w:lastRenderedPageBreak/>
        <w:t xml:space="preserve">u studentů středních škol </w:t>
      </w:r>
      <w:r w:rsidR="00B4305F" w:rsidRPr="00E04C25">
        <w:rPr>
          <w:rFonts w:ascii="Arial" w:hAnsi="Arial" w:cs="Arial"/>
        </w:rPr>
        <w:t>5</w:t>
      </w:r>
      <w:r w:rsidR="00B64315" w:rsidRPr="00E04C25">
        <w:rPr>
          <w:rFonts w:ascii="Arial" w:hAnsi="Arial" w:cs="Arial"/>
        </w:rPr>
        <w:t>2</w:t>
      </w:r>
      <w:r w:rsidR="00B4305F" w:rsidRPr="00E04C25">
        <w:rPr>
          <w:rFonts w:ascii="Arial" w:hAnsi="Arial" w:cs="Arial"/>
        </w:rPr>
        <w:t>,</w:t>
      </w:r>
      <w:r w:rsidR="00B64315" w:rsidRPr="00E04C25">
        <w:rPr>
          <w:rFonts w:ascii="Arial" w:hAnsi="Arial" w:cs="Arial"/>
        </w:rPr>
        <w:t>4</w:t>
      </w:r>
      <w:r w:rsidR="00B4305F" w:rsidRPr="00E04C25">
        <w:rPr>
          <w:rFonts w:ascii="Arial" w:hAnsi="Arial" w:cs="Arial"/>
        </w:rPr>
        <w:t xml:space="preserve"> %</w:t>
      </w:r>
      <w:r w:rsidR="00E969FE" w:rsidRPr="00E04C25">
        <w:rPr>
          <w:rFonts w:ascii="Arial" w:hAnsi="Arial" w:cs="Arial"/>
        </w:rPr>
        <w:t xml:space="preserve"> a</w:t>
      </w:r>
      <w:r w:rsidR="00B4305F" w:rsidRPr="00E04C25">
        <w:rPr>
          <w:rFonts w:ascii="Arial" w:hAnsi="Arial" w:cs="Arial"/>
        </w:rPr>
        <w:t xml:space="preserve"> na vysokých školách</w:t>
      </w:r>
      <w:r w:rsidR="00B64315" w:rsidRPr="00E04C25">
        <w:rPr>
          <w:rFonts w:ascii="Arial" w:hAnsi="Arial" w:cs="Arial"/>
        </w:rPr>
        <w:t xml:space="preserve"> (vč. doktorského studia) </w:t>
      </w:r>
      <w:r w:rsidR="00B4305F" w:rsidRPr="00E04C25">
        <w:rPr>
          <w:rFonts w:ascii="Arial" w:hAnsi="Arial" w:cs="Arial"/>
        </w:rPr>
        <w:t xml:space="preserve"> 5</w:t>
      </w:r>
      <w:r w:rsidR="00B64315" w:rsidRPr="00E04C25">
        <w:rPr>
          <w:rFonts w:ascii="Arial" w:hAnsi="Arial" w:cs="Arial"/>
        </w:rPr>
        <w:t>6</w:t>
      </w:r>
      <w:r w:rsidR="00B4305F" w:rsidRPr="00E04C25">
        <w:rPr>
          <w:rFonts w:ascii="Arial" w:hAnsi="Arial" w:cs="Arial"/>
        </w:rPr>
        <w:t>,</w:t>
      </w:r>
      <w:r w:rsidR="00B64315" w:rsidRPr="00E04C25">
        <w:rPr>
          <w:rFonts w:ascii="Arial" w:hAnsi="Arial" w:cs="Arial"/>
        </w:rPr>
        <w:t>3</w:t>
      </w:r>
      <w:r w:rsidR="00B4305F" w:rsidRPr="00E04C25">
        <w:rPr>
          <w:rFonts w:ascii="Arial" w:hAnsi="Arial" w:cs="Arial"/>
        </w:rPr>
        <w:t> %</w:t>
      </w:r>
      <w:r w:rsidR="00E969FE" w:rsidRPr="00E04C25">
        <w:rPr>
          <w:rFonts w:ascii="Arial" w:hAnsi="Arial" w:cs="Arial"/>
        </w:rPr>
        <w:t xml:space="preserve">. </w:t>
      </w:r>
      <w:r w:rsidR="00B4305F" w:rsidRPr="00E04C25">
        <w:rPr>
          <w:rFonts w:ascii="Arial" w:hAnsi="Arial" w:cs="Arial"/>
        </w:rPr>
        <w:t>Chlapci převaž</w:t>
      </w:r>
      <w:r w:rsidR="00573911" w:rsidRPr="00E04C25">
        <w:rPr>
          <w:rFonts w:ascii="Arial" w:hAnsi="Arial" w:cs="Arial"/>
        </w:rPr>
        <w:t>ovali</w:t>
      </w:r>
      <w:r w:rsidR="00B4305F" w:rsidRPr="00E04C25">
        <w:rPr>
          <w:rFonts w:ascii="Arial" w:hAnsi="Arial" w:cs="Arial"/>
        </w:rPr>
        <w:t xml:space="preserve"> na středním studiu bez maturity (6</w:t>
      </w:r>
      <w:r w:rsidR="00B64315" w:rsidRPr="00E04C25">
        <w:rPr>
          <w:rFonts w:ascii="Arial" w:hAnsi="Arial" w:cs="Arial"/>
        </w:rPr>
        <w:t>7</w:t>
      </w:r>
      <w:r w:rsidR="00B4305F" w:rsidRPr="00E04C25">
        <w:rPr>
          <w:rFonts w:ascii="Arial" w:hAnsi="Arial" w:cs="Arial"/>
        </w:rPr>
        <w:t>,</w:t>
      </w:r>
      <w:r w:rsidR="00B64315" w:rsidRPr="00E04C25">
        <w:rPr>
          <w:rFonts w:ascii="Arial" w:hAnsi="Arial" w:cs="Arial"/>
        </w:rPr>
        <w:t>8</w:t>
      </w:r>
      <w:r w:rsidR="00B4305F" w:rsidRPr="00E04C25">
        <w:rPr>
          <w:rFonts w:ascii="Arial" w:hAnsi="Arial" w:cs="Arial"/>
        </w:rPr>
        <w:t xml:space="preserve"> %). </w:t>
      </w:r>
    </w:p>
    <w:p w:rsidR="00D80E1F" w:rsidRPr="00E04C25" w:rsidRDefault="00D80E1F" w:rsidP="00D80E1F">
      <w:pPr>
        <w:tabs>
          <w:tab w:val="center" w:pos="720"/>
        </w:tabs>
        <w:spacing w:line="360" w:lineRule="auto"/>
        <w:ind w:firstLine="720"/>
        <w:jc w:val="both"/>
        <w:rPr>
          <w:rFonts w:ascii="Arial" w:hAnsi="Arial" w:cs="Arial"/>
          <w:bCs/>
        </w:rPr>
      </w:pPr>
      <w:r w:rsidRPr="00E04C25">
        <w:rPr>
          <w:rFonts w:ascii="Arial" w:hAnsi="Arial" w:cs="Arial"/>
          <w:b/>
        </w:rPr>
        <w:t>P</w:t>
      </w:r>
      <w:r w:rsidRPr="00E04C25">
        <w:rPr>
          <w:rFonts w:ascii="Arial" w:hAnsi="Arial" w:cs="Arial"/>
          <w:b/>
          <w:bCs/>
        </w:rPr>
        <w:t>okles</w:t>
      </w:r>
      <w:r w:rsidRPr="00E04C25">
        <w:rPr>
          <w:rFonts w:ascii="Arial" w:hAnsi="Arial" w:cs="Arial"/>
          <w:bCs/>
        </w:rPr>
        <w:t xml:space="preserve"> ekonomicky neaktivních </w:t>
      </w:r>
      <w:r w:rsidRPr="00E04C25">
        <w:rPr>
          <w:rFonts w:ascii="Arial" w:hAnsi="Arial" w:cs="Arial"/>
          <w:b/>
          <w:bCs/>
        </w:rPr>
        <w:t>ve věkové skupině 55–64 let</w:t>
      </w:r>
      <w:r w:rsidRPr="00E04C25">
        <w:rPr>
          <w:rFonts w:ascii="Arial" w:hAnsi="Arial" w:cs="Arial"/>
          <w:bCs/>
        </w:rPr>
        <w:t xml:space="preserve"> (o 48,8 tis.) souvisí s prodlužující se věkovou hranicí odchodu do důchodu. </w:t>
      </w:r>
      <w:r w:rsidRPr="00E04C25">
        <w:rPr>
          <w:rFonts w:ascii="Arial" w:hAnsi="Arial" w:cs="Arial"/>
        </w:rPr>
        <w:t>V </w:t>
      </w:r>
      <w:r w:rsidRPr="00E04C25">
        <w:rPr>
          <w:rFonts w:ascii="Arial" w:hAnsi="Arial" w:cs="Arial"/>
          <w:bCs/>
        </w:rPr>
        <w:t xml:space="preserve">kategorii neaktivních </w:t>
      </w:r>
      <w:r w:rsidRPr="00E04C25">
        <w:rPr>
          <w:rFonts w:ascii="Arial" w:hAnsi="Arial" w:cs="Arial"/>
          <w:b/>
          <w:bCs/>
        </w:rPr>
        <w:t>důchodců</w:t>
      </w:r>
      <w:r w:rsidRPr="00E04C25">
        <w:rPr>
          <w:rFonts w:ascii="Arial" w:hAnsi="Arial" w:cs="Arial"/>
          <w:bCs/>
        </w:rPr>
        <w:t xml:space="preserve"> vzrostl počet řádných starobních důchodců o 4,5 tis., počet invalidních důchodců poklesl o 10,8 tis., počet předčasných důchodců se snížil o 4,3 tis. K nárůstu počtu řádných starobních důchodců došlo i proto, že při dosažení </w:t>
      </w:r>
      <w:r w:rsidR="00E52DCA" w:rsidRPr="00E04C25">
        <w:rPr>
          <w:rFonts w:ascii="Arial" w:hAnsi="Arial" w:cs="Arial"/>
          <w:bCs/>
        </w:rPr>
        <w:t xml:space="preserve">věku </w:t>
      </w:r>
      <w:r w:rsidRPr="00E04C25">
        <w:rPr>
          <w:rFonts w:ascii="Arial" w:hAnsi="Arial" w:cs="Arial"/>
          <w:bCs/>
        </w:rPr>
        <w:t xml:space="preserve">65 let se automaticky přeřazuje invalidní důchod na starobní. </w:t>
      </w:r>
    </w:p>
    <w:p w:rsidR="00762875" w:rsidRPr="00E04C25" w:rsidRDefault="00AE65A5" w:rsidP="00D80E1F">
      <w:pPr>
        <w:tabs>
          <w:tab w:val="left" w:pos="709"/>
        </w:tabs>
        <w:spacing w:line="360" w:lineRule="auto"/>
        <w:jc w:val="both"/>
        <w:rPr>
          <w:rFonts w:ascii="Arial" w:hAnsi="Arial" w:cs="Arial"/>
          <w:sz w:val="16"/>
          <w:szCs w:val="16"/>
        </w:rPr>
      </w:pPr>
      <w:r w:rsidRPr="00E04C25">
        <w:rPr>
          <w:rFonts w:ascii="Arial" w:hAnsi="Arial" w:cs="Arial"/>
          <w:bCs/>
        </w:rPr>
        <w:tab/>
      </w:r>
    </w:p>
    <w:p w:rsidR="007A3807" w:rsidRPr="00E04C25" w:rsidRDefault="00AE65A5" w:rsidP="007A3807">
      <w:pPr>
        <w:tabs>
          <w:tab w:val="center" w:pos="0"/>
          <w:tab w:val="left" w:pos="709"/>
        </w:tabs>
        <w:spacing w:line="360" w:lineRule="auto"/>
        <w:jc w:val="both"/>
        <w:rPr>
          <w:rFonts w:ascii="Arial" w:hAnsi="Arial" w:cs="Arial"/>
        </w:rPr>
      </w:pPr>
      <w:r w:rsidRPr="00E04C25">
        <w:rPr>
          <w:rFonts w:ascii="Arial" w:hAnsi="Arial" w:cs="Arial"/>
        </w:rPr>
        <w:tab/>
      </w:r>
      <w:r w:rsidR="00762875" w:rsidRPr="00E04C25">
        <w:rPr>
          <w:rFonts w:ascii="Arial" w:hAnsi="Arial" w:cs="Arial"/>
        </w:rPr>
        <w:t xml:space="preserve">Průměrný </w:t>
      </w:r>
      <w:r w:rsidR="00762875" w:rsidRPr="00E04C25">
        <w:rPr>
          <w:rFonts w:ascii="Arial" w:hAnsi="Arial" w:cs="Arial"/>
          <w:b/>
          <w:bCs/>
        </w:rPr>
        <w:t>počet zaměstnaných</w:t>
      </w:r>
      <w:r w:rsidR="00762875" w:rsidRPr="00E04C25">
        <w:rPr>
          <w:rFonts w:ascii="Arial" w:hAnsi="Arial" w:cs="Arial"/>
        </w:rPr>
        <w:t xml:space="preserve"> ve všech sférách národního hospodářství</w:t>
      </w:r>
      <w:r w:rsidR="00762875" w:rsidRPr="00E04C25">
        <w:rPr>
          <w:rFonts w:ascii="Arial" w:hAnsi="Arial" w:cs="Arial"/>
          <w:b/>
          <w:bCs/>
        </w:rPr>
        <w:t xml:space="preserve"> </w:t>
      </w:r>
      <w:r w:rsidR="00762875" w:rsidRPr="00E04C25">
        <w:rPr>
          <w:rFonts w:ascii="Arial" w:hAnsi="Arial" w:cs="Arial"/>
          <w:bCs/>
        </w:rPr>
        <w:t>v roce 201</w:t>
      </w:r>
      <w:r w:rsidR="00C3550B" w:rsidRPr="00E04C25">
        <w:rPr>
          <w:rFonts w:ascii="Arial" w:hAnsi="Arial" w:cs="Arial"/>
          <w:bCs/>
        </w:rPr>
        <w:t>7</w:t>
      </w:r>
      <w:r w:rsidR="00762875" w:rsidRPr="00E04C25">
        <w:rPr>
          <w:rFonts w:ascii="Arial" w:hAnsi="Arial" w:cs="Arial"/>
          <w:b/>
          <w:bCs/>
        </w:rPr>
        <w:t xml:space="preserve"> </w:t>
      </w:r>
      <w:r w:rsidR="00762875" w:rsidRPr="00E04C25">
        <w:rPr>
          <w:rFonts w:ascii="Arial" w:hAnsi="Arial" w:cs="Arial"/>
        </w:rPr>
        <w:t xml:space="preserve">dosáhl </w:t>
      </w:r>
      <w:r w:rsidR="00762875" w:rsidRPr="00E04C25">
        <w:rPr>
          <w:rFonts w:ascii="Arial" w:hAnsi="Arial" w:cs="Arial"/>
          <w:b/>
        </w:rPr>
        <w:t>5</w:t>
      </w:r>
      <w:r w:rsidR="00C3550B" w:rsidRPr="00E04C25">
        <w:rPr>
          <w:rFonts w:ascii="Arial" w:hAnsi="Arial" w:cs="Arial"/>
          <w:b/>
          <w:bCs/>
        </w:rPr>
        <w:t> 221,6</w:t>
      </w:r>
      <w:r w:rsidR="00762875" w:rsidRPr="00E04C25">
        <w:rPr>
          <w:rFonts w:ascii="Arial" w:hAnsi="Arial" w:cs="Arial"/>
          <w:b/>
          <w:bCs/>
        </w:rPr>
        <w:t xml:space="preserve"> tis. osob</w:t>
      </w:r>
      <w:r w:rsidR="00762875" w:rsidRPr="00E04C25">
        <w:rPr>
          <w:rFonts w:ascii="Arial" w:hAnsi="Arial" w:cs="Arial"/>
          <w:bCs/>
        </w:rPr>
        <w:t>.</w:t>
      </w:r>
      <w:r w:rsidR="00762875" w:rsidRPr="00E04C25">
        <w:rPr>
          <w:rFonts w:ascii="Arial" w:hAnsi="Arial" w:cs="Arial"/>
        </w:rPr>
        <w:t xml:space="preserve"> Jejich počet meziročně </w:t>
      </w:r>
      <w:r w:rsidR="00762875" w:rsidRPr="00E04C25">
        <w:rPr>
          <w:rFonts w:ascii="Arial" w:hAnsi="Arial" w:cs="Arial"/>
          <w:b/>
        </w:rPr>
        <w:t xml:space="preserve">vzrostl </w:t>
      </w:r>
      <w:r w:rsidR="00762875" w:rsidRPr="00E04C25">
        <w:rPr>
          <w:rFonts w:ascii="Arial" w:hAnsi="Arial" w:cs="Arial"/>
        </w:rPr>
        <w:t>absolutně</w:t>
      </w:r>
      <w:r w:rsidR="00762875" w:rsidRPr="00E04C25">
        <w:rPr>
          <w:rFonts w:ascii="Arial" w:hAnsi="Arial" w:cs="Arial"/>
          <w:b/>
        </w:rPr>
        <w:t xml:space="preserve"> </w:t>
      </w:r>
      <w:r w:rsidR="00762875" w:rsidRPr="00E04C25">
        <w:rPr>
          <w:rFonts w:ascii="Arial" w:hAnsi="Arial" w:cs="Arial"/>
          <w:bCs/>
        </w:rPr>
        <w:t>o </w:t>
      </w:r>
      <w:r w:rsidR="00C3550B" w:rsidRPr="00E04C25">
        <w:rPr>
          <w:rFonts w:ascii="Arial" w:hAnsi="Arial" w:cs="Arial"/>
          <w:bCs/>
        </w:rPr>
        <w:t>83</w:t>
      </w:r>
      <w:r w:rsidR="00762875" w:rsidRPr="00E04C25">
        <w:rPr>
          <w:rFonts w:ascii="Arial" w:hAnsi="Arial" w:cs="Arial"/>
          <w:bCs/>
        </w:rPr>
        <w:t>,</w:t>
      </w:r>
      <w:r w:rsidR="00C3550B" w:rsidRPr="00E04C25">
        <w:rPr>
          <w:rFonts w:ascii="Arial" w:hAnsi="Arial" w:cs="Arial"/>
          <w:bCs/>
        </w:rPr>
        <w:t>0</w:t>
      </w:r>
      <w:r w:rsidR="00762875" w:rsidRPr="00E04C25">
        <w:rPr>
          <w:rFonts w:ascii="Arial" w:hAnsi="Arial" w:cs="Arial"/>
          <w:bCs/>
        </w:rPr>
        <w:t xml:space="preserve"> tis., v relativním vyjádření </w:t>
      </w:r>
      <w:r w:rsidR="00762875" w:rsidRPr="00E04C25">
        <w:rPr>
          <w:rFonts w:ascii="Arial" w:hAnsi="Arial" w:cs="Arial"/>
          <w:b/>
          <w:bCs/>
        </w:rPr>
        <w:t>o</w:t>
      </w:r>
      <w:r w:rsidR="00762875" w:rsidRPr="00E04C25">
        <w:rPr>
          <w:rFonts w:ascii="Arial" w:hAnsi="Arial" w:cs="Arial"/>
          <w:bCs/>
        </w:rPr>
        <w:t> </w:t>
      </w:r>
      <w:r w:rsidR="00762875" w:rsidRPr="00E04C25">
        <w:rPr>
          <w:rFonts w:ascii="Arial" w:hAnsi="Arial" w:cs="Arial"/>
          <w:b/>
          <w:bCs/>
        </w:rPr>
        <w:t>1,</w:t>
      </w:r>
      <w:r w:rsidR="00C3550B" w:rsidRPr="00E04C25">
        <w:rPr>
          <w:rFonts w:ascii="Arial" w:hAnsi="Arial" w:cs="Arial"/>
          <w:b/>
          <w:bCs/>
        </w:rPr>
        <w:t>6</w:t>
      </w:r>
      <w:r w:rsidR="00762875" w:rsidRPr="00E04C25">
        <w:rPr>
          <w:rFonts w:ascii="Arial" w:hAnsi="Arial" w:cs="Arial"/>
          <w:b/>
          <w:bCs/>
        </w:rPr>
        <w:t> %</w:t>
      </w:r>
      <w:r w:rsidR="000641A6" w:rsidRPr="00E04C25">
        <w:rPr>
          <w:rFonts w:ascii="Arial" w:hAnsi="Arial" w:cs="Arial"/>
          <w:b/>
          <w:bCs/>
        </w:rPr>
        <w:t xml:space="preserve">, </w:t>
      </w:r>
      <w:r w:rsidR="000641A6" w:rsidRPr="00E04C25">
        <w:rPr>
          <w:rFonts w:ascii="Arial" w:hAnsi="Arial" w:cs="Arial"/>
          <w:bCs/>
        </w:rPr>
        <w:t>méně než v roce 2016 (o 1,9 %)</w:t>
      </w:r>
      <w:r w:rsidR="00762875" w:rsidRPr="00E04C25">
        <w:rPr>
          <w:rFonts w:ascii="Arial" w:hAnsi="Arial" w:cs="Arial"/>
        </w:rPr>
        <w:t xml:space="preserve">. </w:t>
      </w:r>
      <w:r w:rsidR="007E1B61" w:rsidRPr="00E04C25">
        <w:rPr>
          <w:rFonts w:ascii="Arial" w:hAnsi="Arial" w:cs="Arial"/>
        </w:rPr>
        <w:t>V 1. čtvrtletí vzrostla zaměstnanost meziročně o 1,</w:t>
      </w:r>
      <w:r w:rsidR="00E52DCA" w:rsidRPr="00E04C25">
        <w:rPr>
          <w:rFonts w:ascii="Arial" w:hAnsi="Arial" w:cs="Arial"/>
        </w:rPr>
        <w:t>6</w:t>
      </w:r>
      <w:r w:rsidR="007E1B61" w:rsidRPr="00E04C25">
        <w:rPr>
          <w:rFonts w:ascii="Arial" w:hAnsi="Arial" w:cs="Arial"/>
        </w:rPr>
        <w:t> %, v</w:t>
      </w:r>
      <w:r w:rsidR="007A3807" w:rsidRPr="00E04C25">
        <w:rPr>
          <w:rFonts w:ascii="Arial" w:hAnsi="Arial" w:cs="Arial"/>
        </w:rPr>
        <w:t xml:space="preserve">e 2. čtvrtletí </w:t>
      </w:r>
      <w:r w:rsidR="001B4C5E">
        <w:rPr>
          <w:rFonts w:ascii="Arial" w:hAnsi="Arial" w:cs="Arial"/>
        </w:rPr>
        <w:t>ná</w:t>
      </w:r>
      <w:r w:rsidR="007E1B61" w:rsidRPr="00E04C25">
        <w:rPr>
          <w:rFonts w:ascii="Arial" w:hAnsi="Arial" w:cs="Arial"/>
        </w:rPr>
        <w:t xml:space="preserve">růst zaměstnanosti </w:t>
      </w:r>
      <w:r w:rsidR="001B4C5E">
        <w:rPr>
          <w:rFonts w:ascii="Arial" w:hAnsi="Arial" w:cs="Arial"/>
        </w:rPr>
        <w:t>činil</w:t>
      </w:r>
      <w:r w:rsidR="007E1B61" w:rsidRPr="00E04C25">
        <w:rPr>
          <w:rFonts w:ascii="Arial" w:hAnsi="Arial" w:cs="Arial"/>
        </w:rPr>
        <w:t> 1,</w:t>
      </w:r>
      <w:r w:rsidR="00E52DCA" w:rsidRPr="00E04C25">
        <w:rPr>
          <w:rFonts w:ascii="Arial" w:hAnsi="Arial" w:cs="Arial"/>
        </w:rPr>
        <w:t>3</w:t>
      </w:r>
      <w:r w:rsidR="007E1B61" w:rsidRPr="00E04C25">
        <w:rPr>
          <w:rFonts w:ascii="Arial" w:hAnsi="Arial" w:cs="Arial"/>
        </w:rPr>
        <w:t> %. Po</w:t>
      </w:r>
      <w:r w:rsidR="00C3550B" w:rsidRPr="00E04C25">
        <w:rPr>
          <w:rFonts w:ascii="Arial" w:hAnsi="Arial" w:cs="Arial"/>
        </w:rPr>
        <w:t xml:space="preserve"> opětovném nárůstu </w:t>
      </w:r>
      <w:r w:rsidR="007A3807" w:rsidRPr="00E04C25">
        <w:rPr>
          <w:rFonts w:ascii="Arial" w:hAnsi="Arial" w:cs="Arial"/>
        </w:rPr>
        <w:t xml:space="preserve">ve </w:t>
      </w:r>
      <w:r w:rsidR="00C3550B" w:rsidRPr="00E04C25">
        <w:rPr>
          <w:rFonts w:ascii="Arial" w:hAnsi="Arial" w:cs="Arial"/>
        </w:rPr>
        <w:t xml:space="preserve">3. čtvrtletí o 2,0 % </w:t>
      </w:r>
      <w:r w:rsidR="00E52DCA" w:rsidRPr="00E04C25">
        <w:rPr>
          <w:rFonts w:ascii="Arial" w:hAnsi="Arial" w:cs="Arial"/>
        </w:rPr>
        <w:t xml:space="preserve">růst zaměstnanosti </w:t>
      </w:r>
      <w:r w:rsidR="007E1B61" w:rsidRPr="00E04C25">
        <w:rPr>
          <w:rFonts w:ascii="Arial" w:hAnsi="Arial" w:cs="Arial"/>
        </w:rPr>
        <w:t xml:space="preserve">zpomalil také </w:t>
      </w:r>
      <w:r w:rsidR="007A3807" w:rsidRPr="00E04C25">
        <w:rPr>
          <w:rFonts w:ascii="Arial" w:hAnsi="Arial" w:cs="Arial"/>
        </w:rPr>
        <w:t xml:space="preserve">ve 4. </w:t>
      </w:r>
      <w:r w:rsidR="007E1B61" w:rsidRPr="00E04C25">
        <w:rPr>
          <w:rFonts w:ascii="Arial" w:hAnsi="Arial" w:cs="Arial"/>
        </w:rPr>
        <w:t>č</w:t>
      </w:r>
      <w:r w:rsidR="007A3807" w:rsidRPr="00E04C25">
        <w:rPr>
          <w:rFonts w:ascii="Arial" w:hAnsi="Arial" w:cs="Arial"/>
        </w:rPr>
        <w:t>tvrtletí</w:t>
      </w:r>
      <w:r w:rsidR="007E1B61" w:rsidRPr="00E04C25">
        <w:rPr>
          <w:rFonts w:ascii="Arial" w:hAnsi="Arial" w:cs="Arial"/>
        </w:rPr>
        <w:t xml:space="preserve">, a to </w:t>
      </w:r>
      <w:r w:rsidR="00C3550B" w:rsidRPr="00E04C25">
        <w:rPr>
          <w:rFonts w:ascii="Arial" w:hAnsi="Arial" w:cs="Arial"/>
        </w:rPr>
        <w:t>na 1,5 %.</w:t>
      </w:r>
      <w:r w:rsidR="007A3807" w:rsidRPr="00E04C25">
        <w:rPr>
          <w:rFonts w:ascii="Arial" w:hAnsi="Arial" w:cs="Arial"/>
        </w:rPr>
        <w:t xml:space="preserve">  </w:t>
      </w:r>
    </w:p>
    <w:p w:rsidR="00762875" w:rsidRPr="00E04C25" w:rsidRDefault="00372E07" w:rsidP="00AE65A5">
      <w:pPr>
        <w:tabs>
          <w:tab w:val="center" w:pos="0"/>
          <w:tab w:val="left" w:pos="709"/>
        </w:tabs>
        <w:spacing w:line="360" w:lineRule="auto"/>
        <w:jc w:val="both"/>
        <w:rPr>
          <w:rFonts w:ascii="Arial" w:hAnsi="Arial" w:cs="Arial"/>
        </w:rPr>
      </w:pPr>
      <w:r w:rsidRPr="00E04C25">
        <w:rPr>
          <w:rFonts w:ascii="Arial" w:hAnsi="Arial" w:cs="Arial"/>
        </w:rPr>
        <w:tab/>
      </w:r>
      <w:r w:rsidR="000641A6" w:rsidRPr="00E04C25">
        <w:rPr>
          <w:rFonts w:ascii="Arial" w:hAnsi="Arial" w:cs="Arial"/>
        </w:rPr>
        <w:t>Nárůst z</w:t>
      </w:r>
      <w:r w:rsidR="00004934" w:rsidRPr="00E04C25">
        <w:rPr>
          <w:rFonts w:ascii="Arial" w:hAnsi="Arial" w:cs="Arial"/>
        </w:rPr>
        <w:t xml:space="preserve">aměstnanosti žen </w:t>
      </w:r>
      <w:r w:rsidR="000641A6" w:rsidRPr="00E04C25">
        <w:rPr>
          <w:rFonts w:ascii="Arial" w:hAnsi="Arial" w:cs="Arial"/>
        </w:rPr>
        <w:t>a</w:t>
      </w:r>
      <w:r w:rsidR="00004934" w:rsidRPr="00E04C25">
        <w:rPr>
          <w:rFonts w:ascii="Arial" w:hAnsi="Arial" w:cs="Arial"/>
        </w:rPr>
        <w:t xml:space="preserve"> muž</w:t>
      </w:r>
      <w:r w:rsidR="000641A6" w:rsidRPr="00E04C25">
        <w:rPr>
          <w:rFonts w:ascii="Arial" w:hAnsi="Arial" w:cs="Arial"/>
        </w:rPr>
        <w:t>ů se významněji nelišil</w:t>
      </w:r>
      <w:r w:rsidR="00E52DCA" w:rsidRPr="00E04C25">
        <w:rPr>
          <w:rFonts w:ascii="Arial" w:hAnsi="Arial" w:cs="Arial"/>
        </w:rPr>
        <w:t xml:space="preserve"> (na rozdíl od dvou předchozích let, kdy růst celkové zaměstnanosti ovlivnily především ženy)</w:t>
      </w:r>
      <w:r w:rsidR="00004934" w:rsidRPr="00E04C25">
        <w:rPr>
          <w:rFonts w:ascii="Arial" w:hAnsi="Arial" w:cs="Arial"/>
        </w:rPr>
        <w:t>.</w:t>
      </w:r>
      <w:r w:rsidR="00004934" w:rsidRPr="00E04C25">
        <w:rPr>
          <w:rFonts w:ascii="Arial" w:hAnsi="Arial" w:cs="Arial"/>
          <w:bCs/>
        </w:rPr>
        <w:t xml:space="preserve"> Počet zaměstnaných </w:t>
      </w:r>
      <w:r w:rsidR="00004934" w:rsidRPr="00E04C25">
        <w:rPr>
          <w:rFonts w:ascii="Arial" w:hAnsi="Arial" w:cs="Arial"/>
          <w:b/>
          <w:bCs/>
        </w:rPr>
        <w:t xml:space="preserve">žen vzrostl </w:t>
      </w:r>
      <w:r w:rsidR="00004934" w:rsidRPr="00E04C25">
        <w:rPr>
          <w:rFonts w:ascii="Arial" w:hAnsi="Arial" w:cs="Arial"/>
          <w:bCs/>
        </w:rPr>
        <w:t>o 43,9 tis.</w:t>
      </w:r>
      <w:r w:rsidR="00004934" w:rsidRPr="00E04C25">
        <w:rPr>
          <w:rFonts w:ascii="Arial" w:hAnsi="Arial" w:cs="Arial"/>
          <w:b/>
          <w:bCs/>
        </w:rPr>
        <w:t xml:space="preserve"> na </w:t>
      </w:r>
      <w:r w:rsidR="00004934" w:rsidRPr="00E04C25">
        <w:rPr>
          <w:rFonts w:ascii="Arial" w:hAnsi="Arial" w:cs="Arial"/>
          <w:b/>
        </w:rPr>
        <w:t>2</w:t>
      </w:r>
      <w:r w:rsidR="00D80E1F" w:rsidRPr="00E04C25">
        <w:rPr>
          <w:rFonts w:ascii="Arial" w:hAnsi="Arial" w:cs="Arial"/>
          <w:b/>
        </w:rPr>
        <w:t> </w:t>
      </w:r>
      <w:r w:rsidR="00004934" w:rsidRPr="00E04C25">
        <w:rPr>
          <w:rFonts w:ascii="Arial" w:hAnsi="Arial" w:cs="Arial"/>
          <w:b/>
        </w:rPr>
        <w:t>305,8</w:t>
      </w:r>
      <w:r w:rsidR="009277A6">
        <w:rPr>
          <w:rFonts w:ascii="Arial" w:hAnsi="Arial" w:cs="Arial"/>
          <w:b/>
        </w:rPr>
        <w:t> tis.</w:t>
      </w:r>
      <w:r w:rsidR="00004934" w:rsidRPr="00E04C25">
        <w:rPr>
          <w:rFonts w:ascii="Arial" w:hAnsi="Arial" w:cs="Arial"/>
          <w:b/>
        </w:rPr>
        <w:t xml:space="preserve">, </w:t>
      </w:r>
      <w:r w:rsidR="00004934" w:rsidRPr="00E04C25">
        <w:rPr>
          <w:rFonts w:ascii="Arial" w:hAnsi="Arial" w:cs="Arial"/>
        </w:rPr>
        <w:t>počet p</w:t>
      </w:r>
      <w:r w:rsidR="00004934" w:rsidRPr="00E04C25">
        <w:rPr>
          <w:rFonts w:ascii="Arial" w:hAnsi="Arial" w:cs="Arial"/>
          <w:bCs/>
        </w:rPr>
        <w:t>racujících</w:t>
      </w:r>
      <w:r w:rsidR="00004934" w:rsidRPr="00E04C25">
        <w:rPr>
          <w:rFonts w:ascii="Arial" w:hAnsi="Arial" w:cs="Arial"/>
          <w:b/>
          <w:bCs/>
        </w:rPr>
        <w:t xml:space="preserve"> mužů byl vyšší </w:t>
      </w:r>
      <w:r w:rsidR="00004934" w:rsidRPr="00E04C25">
        <w:rPr>
          <w:rFonts w:ascii="Arial" w:hAnsi="Arial" w:cs="Arial"/>
          <w:bCs/>
        </w:rPr>
        <w:t>o 39,1 tis.</w:t>
      </w:r>
      <w:r w:rsidR="00004934" w:rsidRPr="00E04C25">
        <w:rPr>
          <w:rFonts w:ascii="Arial" w:hAnsi="Arial" w:cs="Arial"/>
          <w:b/>
          <w:bCs/>
        </w:rPr>
        <w:t xml:space="preserve"> </w:t>
      </w:r>
      <w:r w:rsidR="00004934" w:rsidRPr="00E04C25">
        <w:rPr>
          <w:rFonts w:ascii="Arial" w:hAnsi="Arial" w:cs="Arial"/>
          <w:bCs/>
        </w:rPr>
        <w:t>a</w:t>
      </w:r>
      <w:r w:rsidR="000641A6" w:rsidRPr="00E04C25">
        <w:rPr>
          <w:rFonts w:ascii="Arial" w:hAnsi="Arial" w:cs="Arial"/>
          <w:bCs/>
        </w:rPr>
        <w:t> </w:t>
      </w:r>
      <w:r w:rsidR="00004934" w:rsidRPr="00E04C25">
        <w:rPr>
          <w:rFonts w:ascii="Arial" w:hAnsi="Arial" w:cs="Arial"/>
          <w:bCs/>
        </w:rPr>
        <w:t>jejich počet dosáhl</w:t>
      </w:r>
      <w:r w:rsidR="00004934" w:rsidRPr="00E04C25">
        <w:rPr>
          <w:rFonts w:ascii="Arial" w:hAnsi="Arial" w:cs="Arial"/>
          <w:b/>
          <w:bCs/>
        </w:rPr>
        <w:t xml:space="preserve"> </w:t>
      </w:r>
      <w:r w:rsidR="00004934" w:rsidRPr="00E04C25">
        <w:rPr>
          <w:rFonts w:ascii="Arial" w:hAnsi="Arial" w:cs="Arial"/>
          <w:b/>
        </w:rPr>
        <w:t>2</w:t>
      </w:r>
      <w:r w:rsidR="00D80E1F" w:rsidRPr="00E04C25">
        <w:rPr>
          <w:rFonts w:ascii="Arial" w:hAnsi="Arial" w:cs="Arial"/>
          <w:b/>
        </w:rPr>
        <w:t> </w:t>
      </w:r>
      <w:r w:rsidR="00004934" w:rsidRPr="00E04C25">
        <w:rPr>
          <w:rFonts w:ascii="Arial" w:hAnsi="Arial" w:cs="Arial"/>
          <w:b/>
        </w:rPr>
        <w:t>915,8</w:t>
      </w:r>
      <w:r w:rsidRPr="00E04C25">
        <w:rPr>
          <w:rFonts w:ascii="Arial" w:hAnsi="Arial" w:cs="Arial"/>
          <w:b/>
          <w:bCs/>
        </w:rPr>
        <w:t xml:space="preserve"> tis. Z</w:t>
      </w:r>
      <w:r w:rsidRPr="00E04C25">
        <w:rPr>
          <w:rFonts w:ascii="Arial" w:hAnsi="Arial" w:cs="Arial"/>
          <w:b/>
        </w:rPr>
        <w:t>astoupení mužů</w:t>
      </w:r>
      <w:r w:rsidRPr="00E04C25">
        <w:rPr>
          <w:rFonts w:ascii="Arial" w:hAnsi="Arial" w:cs="Arial"/>
        </w:rPr>
        <w:t xml:space="preserve"> mezi zaměstnanými se </w:t>
      </w:r>
      <w:r w:rsidRPr="00E04C25">
        <w:rPr>
          <w:rFonts w:ascii="Arial" w:hAnsi="Arial" w:cs="Arial"/>
          <w:b/>
        </w:rPr>
        <w:t>snížilo na</w:t>
      </w:r>
      <w:r w:rsidRPr="00E04C25">
        <w:rPr>
          <w:rFonts w:ascii="Arial" w:hAnsi="Arial" w:cs="Arial"/>
        </w:rPr>
        <w:t xml:space="preserve"> </w:t>
      </w:r>
      <w:r w:rsidRPr="00E04C25">
        <w:rPr>
          <w:rFonts w:ascii="Arial" w:hAnsi="Arial" w:cs="Arial"/>
          <w:b/>
        </w:rPr>
        <w:t>5</w:t>
      </w:r>
      <w:r w:rsidR="00004934" w:rsidRPr="00E04C25">
        <w:rPr>
          <w:rFonts w:ascii="Arial" w:hAnsi="Arial" w:cs="Arial"/>
          <w:b/>
        </w:rPr>
        <w:t>5,8</w:t>
      </w:r>
      <w:r w:rsidRPr="00E04C25">
        <w:rPr>
          <w:rFonts w:ascii="Arial" w:hAnsi="Arial" w:cs="Arial"/>
          <w:b/>
        </w:rPr>
        <w:t> % a žen vzrostlo na 44,</w:t>
      </w:r>
      <w:r w:rsidR="00004934" w:rsidRPr="00E04C25">
        <w:rPr>
          <w:rFonts w:ascii="Arial" w:hAnsi="Arial" w:cs="Arial"/>
          <w:b/>
        </w:rPr>
        <w:t>2</w:t>
      </w:r>
      <w:r w:rsidRPr="00E04C25">
        <w:rPr>
          <w:rFonts w:ascii="Arial" w:hAnsi="Arial" w:cs="Arial"/>
          <w:b/>
        </w:rPr>
        <w:t> %</w:t>
      </w:r>
      <w:r w:rsidRPr="00E04C25">
        <w:rPr>
          <w:rStyle w:val="Znakapoznpodarou"/>
        </w:rPr>
        <w:footnoteReference w:id="2"/>
      </w:r>
      <w:r w:rsidRPr="00E04C25">
        <w:rPr>
          <w:rFonts w:ascii="Arial" w:hAnsi="Arial" w:cs="Arial"/>
        </w:rPr>
        <w:t>.</w:t>
      </w:r>
    </w:p>
    <w:p w:rsidR="00762875" w:rsidRPr="00E04C25" w:rsidRDefault="00D80E1F" w:rsidP="00D80E1F">
      <w:pPr>
        <w:tabs>
          <w:tab w:val="center" w:pos="0"/>
          <w:tab w:val="left" w:pos="709"/>
        </w:tabs>
        <w:rPr>
          <w:rFonts w:ascii="Arial" w:hAnsi="Arial" w:cs="Arial"/>
          <w:sz w:val="20"/>
          <w:szCs w:val="20"/>
        </w:rPr>
      </w:pP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00762875" w:rsidRPr="00E04C25">
        <w:rPr>
          <w:rFonts w:ascii="Arial" w:hAnsi="Arial" w:cs="Arial"/>
          <w:sz w:val="20"/>
          <w:szCs w:val="20"/>
        </w:rPr>
        <w:t>graf č. 1</w:t>
      </w:r>
    </w:p>
    <w:p w:rsidR="00762875" w:rsidRPr="00E04C25" w:rsidRDefault="00CA0370" w:rsidP="00AE65A5">
      <w:pPr>
        <w:tabs>
          <w:tab w:val="left" w:pos="709"/>
        </w:tabs>
        <w:jc w:val="center"/>
        <w:rPr>
          <w:rFonts w:ascii="Arial" w:hAnsi="Arial" w:cs="Arial"/>
          <w:sz w:val="20"/>
          <w:szCs w:val="20"/>
        </w:rPr>
      </w:pPr>
      <w:r w:rsidRPr="00E04C25">
        <w:rPr>
          <w:noProof/>
        </w:rPr>
        <w:drawing>
          <wp:inline distT="0" distB="0" distL="0" distR="0">
            <wp:extent cx="5762625" cy="3124200"/>
            <wp:effectExtent l="0" t="0" r="9525"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0986" w:rsidRPr="00E04C25" w:rsidRDefault="00AE65A5" w:rsidP="00372E07">
      <w:pPr>
        <w:tabs>
          <w:tab w:val="center" w:pos="0"/>
          <w:tab w:val="left" w:pos="709"/>
        </w:tabs>
        <w:spacing w:line="360" w:lineRule="auto"/>
        <w:jc w:val="both"/>
        <w:rPr>
          <w:rFonts w:ascii="Arial" w:hAnsi="Arial" w:cs="Arial"/>
        </w:rPr>
      </w:pPr>
      <w:r w:rsidRPr="00E04C25">
        <w:rPr>
          <w:rFonts w:ascii="Arial" w:hAnsi="Arial" w:cs="Arial"/>
        </w:rPr>
        <w:lastRenderedPageBreak/>
        <w:tab/>
      </w:r>
      <w:r w:rsidR="007A3807" w:rsidRPr="00E04C25">
        <w:rPr>
          <w:rFonts w:ascii="Arial" w:hAnsi="Arial" w:cs="Arial"/>
        </w:rPr>
        <w:t xml:space="preserve"> </w:t>
      </w:r>
      <w:r w:rsidR="00762875" w:rsidRPr="00E04C25">
        <w:rPr>
          <w:rFonts w:ascii="Arial" w:hAnsi="Arial" w:cs="Arial"/>
          <w:b/>
        </w:rPr>
        <w:t>Vývoj zaměstnanosti</w:t>
      </w:r>
      <w:r w:rsidR="00762875" w:rsidRPr="00E04C25">
        <w:rPr>
          <w:rFonts w:ascii="Arial" w:hAnsi="Arial" w:cs="Arial"/>
        </w:rPr>
        <w:t xml:space="preserve"> z hlediska její věkové struktury se </w:t>
      </w:r>
      <w:r w:rsidR="00D20986" w:rsidRPr="00E04C25">
        <w:rPr>
          <w:rFonts w:ascii="Arial" w:hAnsi="Arial" w:cs="Arial"/>
        </w:rPr>
        <w:t xml:space="preserve">vyvíjel </w:t>
      </w:r>
      <w:r w:rsidR="00D20986" w:rsidRPr="00E04C25">
        <w:rPr>
          <w:rFonts w:ascii="Arial" w:hAnsi="Arial" w:cs="Arial"/>
          <w:b/>
        </w:rPr>
        <w:t>v souladu s vývojem věkové struktury obyvatelstva</w:t>
      </w:r>
      <w:r w:rsidR="00D20986" w:rsidRPr="00E04C25">
        <w:rPr>
          <w:rFonts w:ascii="Arial" w:hAnsi="Arial" w:cs="Arial"/>
        </w:rPr>
        <w:t xml:space="preserve">. </w:t>
      </w:r>
      <w:r w:rsidR="00D20986" w:rsidRPr="00E04C25">
        <w:rPr>
          <w:rFonts w:ascii="Arial" w:hAnsi="Arial" w:cs="Arial"/>
          <w:b/>
        </w:rPr>
        <w:t>L</w:t>
      </w:r>
      <w:r w:rsidR="00762875" w:rsidRPr="00E04C25">
        <w:rPr>
          <w:rFonts w:ascii="Arial" w:hAnsi="Arial" w:cs="Arial"/>
          <w:b/>
        </w:rPr>
        <w:t xml:space="preserve">išil </w:t>
      </w:r>
      <w:r w:rsidR="00D20986" w:rsidRPr="00E04C25">
        <w:rPr>
          <w:rFonts w:ascii="Arial" w:hAnsi="Arial" w:cs="Arial"/>
          <w:b/>
        </w:rPr>
        <w:t xml:space="preserve">se </w:t>
      </w:r>
      <w:r w:rsidR="00F44017" w:rsidRPr="00E04C25">
        <w:rPr>
          <w:rFonts w:ascii="Arial" w:hAnsi="Arial" w:cs="Arial"/>
          <w:b/>
        </w:rPr>
        <w:t>pouze</w:t>
      </w:r>
      <w:r w:rsidR="00762875" w:rsidRPr="00E04C25">
        <w:rPr>
          <w:rFonts w:ascii="Arial" w:hAnsi="Arial" w:cs="Arial"/>
          <w:b/>
        </w:rPr>
        <w:t xml:space="preserve"> </w:t>
      </w:r>
      <w:r w:rsidR="00F44017" w:rsidRPr="00E04C25">
        <w:rPr>
          <w:rFonts w:ascii="Arial" w:hAnsi="Arial" w:cs="Arial"/>
          <w:b/>
        </w:rPr>
        <w:t>u věkové skupiny</w:t>
      </w:r>
      <w:r w:rsidR="00F44017" w:rsidRPr="00E04C25">
        <w:rPr>
          <w:rFonts w:ascii="Arial" w:hAnsi="Arial" w:cs="Arial"/>
        </w:rPr>
        <w:t xml:space="preserve"> </w:t>
      </w:r>
      <w:r w:rsidR="00E52DCA" w:rsidRPr="00E04C25">
        <w:rPr>
          <w:rFonts w:ascii="Arial" w:hAnsi="Arial" w:cs="Arial"/>
        </w:rPr>
        <w:t xml:space="preserve">    </w:t>
      </w:r>
      <w:r w:rsidR="00762875" w:rsidRPr="00E04C25">
        <w:rPr>
          <w:rFonts w:ascii="Arial" w:hAnsi="Arial" w:cs="Arial"/>
          <w:b/>
        </w:rPr>
        <w:t>55</w:t>
      </w:r>
      <w:r w:rsidR="00976F7F" w:rsidRPr="00E04C25">
        <w:rPr>
          <w:rFonts w:ascii="Arial" w:hAnsi="Arial" w:cs="Arial"/>
          <w:b/>
        </w:rPr>
        <w:t>-</w:t>
      </w:r>
      <w:r w:rsidR="00762875" w:rsidRPr="00E04C25">
        <w:rPr>
          <w:rFonts w:ascii="Arial" w:hAnsi="Arial" w:cs="Arial"/>
          <w:b/>
        </w:rPr>
        <w:t>64 let</w:t>
      </w:r>
      <w:r w:rsidR="00F44017" w:rsidRPr="00E04C25">
        <w:rPr>
          <w:rFonts w:ascii="Arial" w:hAnsi="Arial" w:cs="Arial"/>
        </w:rPr>
        <w:t>, v</w:t>
      </w:r>
      <w:r w:rsidR="00E52DCA" w:rsidRPr="00E04C25">
        <w:rPr>
          <w:rFonts w:ascii="Arial" w:hAnsi="Arial" w:cs="Arial"/>
        </w:rPr>
        <w:t> </w:t>
      </w:r>
      <w:r w:rsidR="00D20986" w:rsidRPr="00E04C25">
        <w:rPr>
          <w:rFonts w:ascii="Arial" w:hAnsi="Arial" w:cs="Arial"/>
        </w:rPr>
        <w:t>níž</w:t>
      </w:r>
      <w:r w:rsidR="00F44017" w:rsidRPr="00E04C25">
        <w:rPr>
          <w:rFonts w:ascii="Arial" w:hAnsi="Arial" w:cs="Arial"/>
        </w:rPr>
        <w:t xml:space="preserve"> </w:t>
      </w:r>
      <w:r w:rsidR="00762875" w:rsidRPr="00E04C25">
        <w:rPr>
          <w:rFonts w:ascii="Arial" w:hAnsi="Arial" w:cs="Arial"/>
          <w:b/>
        </w:rPr>
        <w:t xml:space="preserve">počet zaměstnaných vzrostl </w:t>
      </w:r>
      <w:r w:rsidR="00762875" w:rsidRPr="00E04C25">
        <w:rPr>
          <w:rFonts w:ascii="Arial" w:hAnsi="Arial" w:cs="Arial"/>
        </w:rPr>
        <w:t>o </w:t>
      </w:r>
      <w:r w:rsidR="00020451" w:rsidRPr="00E04C25">
        <w:rPr>
          <w:rFonts w:ascii="Arial" w:hAnsi="Arial" w:cs="Arial"/>
        </w:rPr>
        <w:t>30</w:t>
      </w:r>
      <w:r w:rsidR="00762875" w:rsidRPr="00E04C25">
        <w:rPr>
          <w:rFonts w:ascii="Arial" w:hAnsi="Arial" w:cs="Arial"/>
        </w:rPr>
        <w:t>,</w:t>
      </w:r>
      <w:r w:rsidR="00020451" w:rsidRPr="00E04C25">
        <w:rPr>
          <w:rFonts w:ascii="Arial" w:hAnsi="Arial" w:cs="Arial"/>
        </w:rPr>
        <w:t>7</w:t>
      </w:r>
      <w:r w:rsidR="00762875" w:rsidRPr="00E04C25">
        <w:rPr>
          <w:rFonts w:ascii="Arial" w:hAnsi="Arial" w:cs="Arial"/>
        </w:rPr>
        <w:t> tis.</w:t>
      </w:r>
      <w:r w:rsidR="00762875" w:rsidRPr="00E04C25">
        <w:rPr>
          <w:rFonts w:ascii="Arial" w:hAnsi="Arial" w:cs="Arial"/>
          <w:b/>
        </w:rPr>
        <w:t xml:space="preserve"> při poklesu obyvatelstva</w:t>
      </w:r>
      <w:r w:rsidR="00762875" w:rsidRPr="00E04C25">
        <w:rPr>
          <w:rFonts w:ascii="Arial" w:hAnsi="Arial" w:cs="Arial"/>
        </w:rPr>
        <w:t xml:space="preserve"> o </w:t>
      </w:r>
      <w:r w:rsidR="00020451" w:rsidRPr="00E04C25">
        <w:rPr>
          <w:rFonts w:ascii="Arial" w:hAnsi="Arial" w:cs="Arial"/>
        </w:rPr>
        <w:t>29</w:t>
      </w:r>
      <w:r w:rsidR="00762875" w:rsidRPr="00E04C25">
        <w:rPr>
          <w:rFonts w:ascii="Arial" w:hAnsi="Arial" w:cs="Arial"/>
        </w:rPr>
        <w:t>,</w:t>
      </w:r>
      <w:r w:rsidR="00020451" w:rsidRPr="00E04C25">
        <w:rPr>
          <w:rFonts w:ascii="Arial" w:hAnsi="Arial" w:cs="Arial"/>
        </w:rPr>
        <w:t>3</w:t>
      </w:r>
      <w:r w:rsidR="00762875" w:rsidRPr="00E04C25">
        <w:rPr>
          <w:rFonts w:ascii="Arial" w:hAnsi="Arial" w:cs="Arial"/>
        </w:rPr>
        <w:t> tis. Nárůst</w:t>
      </w:r>
      <w:r w:rsidR="00762875" w:rsidRPr="00E04C25">
        <w:rPr>
          <w:rFonts w:ascii="Arial" w:hAnsi="Arial" w:cs="Arial"/>
          <w:b/>
        </w:rPr>
        <w:t xml:space="preserve"> </w:t>
      </w:r>
      <w:r w:rsidR="00E52DCA" w:rsidRPr="00E04C25">
        <w:rPr>
          <w:rFonts w:ascii="Arial" w:hAnsi="Arial" w:cs="Arial"/>
        </w:rPr>
        <w:t>v této skupině</w:t>
      </w:r>
      <w:r w:rsidR="00E52DCA" w:rsidRPr="00E04C25">
        <w:rPr>
          <w:rFonts w:ascii="Arial" w:hAnsi="Arial" w:cs="Arial"/>
          <w:b/>
        </w:rPr>
        <w:t xml:space="preserve"> </w:t>
      </w:r>
      <w:r w:rsidR="00894178" w:rsidRPr="00E04C25">
        <w:rPr>
          <w:rFonts w:ascii="Arial" w:hAnsi="Arial" w:cs="Arial"/>
        </w:rPr>
        <w:t xml:space="preserve">byl ovlivněn zvyšující se </w:t>
      </w:r>
      <w:r w:rsidR="00762875" w:rsidRPr="00E04C25">
        <w:rPr>
          <w:rFonts w:ascii="Arial" w:hAnsi="Arial" w:cs="Arial"/>
        </w:rPr>
        <w:t>věkov</w:t>
      </w:r>
      <w:r w:rsidR="00894178" w:rsidRPr="00E04C25">
        <w:rPr>
          <w:rFonts w:ascii="Arial" w:hAnsi="Arial" w:cs="Arial"/>
        </w:rPr>
        <w:t>ou</w:t>
      </w:r>
      <w:r w:rsidR="00762875" w:rsidRPr="00E04C25">
        <w:rPr>
          <w:rFonts w:ascii="Arial" w:hAnsi="Arial" w:cs="Arial"/>
        </w:rPr>
        <w:t xml:space="preserve"> hranic</w:t>
      </w:r>
      <w:r w:rsidR="00894178" w:rsidRPr="00E04C25">
        <w:rPr>
          <w:rFonts w:ascii="Arial" w:hAnsi="Arial" w:cs="Arial"/>
        </w:rPr>
        <w:t>í</w:t>
      </w:r>
      <w:r w:rsidR="00762875" w:rsidRPr="00E04C25">
        <w:rPr>
          <w:rFonts w:ascii="Arial" w:hAnsi="Arial" w:cs="Arial"/>
        </w:rPr>
        <w:t xml:space="preserve"> pro odchod do důchodu</w:t>
      </w:r>
      <w:r w:rsidR="00762875" w:rsidRPr="00E04C25">
        <w:rPr>
          <w:rFonts w:ascii="Arial" w:hAnsi="Arial" w:cs="Arial"/>
          <w:b/>
        </w:rPr>
        <w:t xml:space="preserve"> </w:t>
      </w:r>
      <w:r w:rsidR="00762875" w:rsidRPr="00E04C25">
        <w:rPr>
          <w:rFonts w:ascii="Arial" w:hAnsi="Arial" w:cs="Arial"/>
        </w:rPr>
        <w:t xml:space="preserve">(nárůst zaměstnanosti byl patrný </w:t>
      </w:r>
      <w:r w:rsidR="00D20986" w:rsidRPr="00E04C25">
        <w:rPr>
          <w:rFonts w:ascii="Arial" w:hAnsi="Arial" w:cs="Arial"/>
        </w:rPr>
        <w:t>u obou pohlaví ve věku 60</w:t>
      </w:r>
      <w:r w:rsidR="00E52DCA" w:rsidRPr="00E04C25">
        <w:rPr>
          <w:rFonts w:ascii="Arial" w:hAnsi="Arial" w:cs="Arial"/>
        </w:rPr>
        <w:t>-</w:t>
      </w:r>
      <w:r w:rsidR="00D20986" w:rsidRPr="00E04C25">
        <w:rPr>
          <w:rFonts w:ascii="Arial" w:hAnsi="Arial" w:cs="Arial"/>
        </w:rPr>
        <w:t>64 let, u</w:t>
      </w:r>
      <w:r w:rsidR="00E52DCA" w:rsidRPr="00E04C25">
        <w:rPr>
          <w:rFonts w:ascii="Arial" w:hAnsi="Arial" w:cs="Arial"/>
        </w:rPr>
        <w:t> </w:t>
      </w:r>
      <w:r w:rsidR="00D20986" w:rsidRPr="00E04C25">
        <w:rPr>
          <w:rFonts w:ascii="Arial" w:hAnsi="Arial" w:cs="Arial"/>
        </w:rPr>
        <w:t>mužů o 1</w:t>
      </w:r>
      <w:r w:rsidR="00020451" w:rsidRPr="00E04C25">
        <w:rPr>
          <w:rFonts w:ascii="Arial" w:hAnsi="Arial" w:cs="Arial"/>
        </w:rPr>
        <w:t>5</w:t>
      </w:r>
      <w:r w:rsidR="00D20986" w:rsidRPr="00E04C25">
        <w:rPr>
          <w:rFonts w:ascii="Arial" w:hAnsi="Arial" w:cs="Arial"/>
        </w:rPr>
        <w:t>,</w:t>
      </w:r>
      <w:r w:rsidR="00020451" w:rsidRPr="00E04C25">
        <w:rPr>
          <w:rFonts w:ascii="Arial" w:hAnsi="Arial" w:cs="Arial"/>
        </w:rPr>
        <w:t>4</w:t>
      </w:r>
      <w:r w:rsidR="00D20986" w:rsidRPr="00E04C25">
        <w:rPr>
          <w:rFonts w:ascii="Arial" w:hAnsi="Arial" w:cs="Arial"/>
        </w:rPr>
        <w:t> tis., u žen o 1</w:t>
      </w:r>
      <w:r w:rsidR="00020451" w:rsidRPr="00E04C25">
        <w:rPr>
          <w:rFonts w:ascii="Arial" w:hAnsi="Arial" w:cs="Arial"/>
        </w:rPr>
        <w:t>3</w:t>
      </w:r>
      <w:r w:rsidR="00D20986" w:rsidRPr="00E04C25">
        <w:rPr>
          <w:rFonts w:ascii="Arial" w:hAnsi="Arial" w:cs="Arial"/>
        </w:rPr>
        <w:t>,</w:t>
      </w:r>
      <w:r w:rsidR="00020451" w:rsidRPr="00E04C25">
        <w:rPr>
          <w:rFonts w:ascii="Arial" w:hAnsi="Arial" w:cs="Arial"/>
        </w:rPr>
        <w:t>9</w:t>
      </w:r>
      <w:r w:rsidR="00D20986" w:rsidRPr="00E04C25">
        <w:rPr>
          <w:rFonts w:ascii="Arial" w:hAnsi="Arial" w:cs="Arial"/>
        </w:rPr>
        <w:t xml:space="preserve"> tis., </w:t>
      </w:r>
      <w:r w:rsidR="00A0114E" w:rsidRPr="00E04C25">
        <w:rPr>
          <w:rFonts w:ascii="Arial" w:hAnsi="Arial" w:cs="Arial"/>
        </w:rPr>
        <w:t xml:space="preserve">u žen </w:t>
      </w:r>
      <w:r w:rsidR="00D20986" w:rsidRPr="00E04C25">
        <w:rPr>
          <w:rFonts w:ascii="Arial" w:hAnsi="Arial" w:cs="Arial"/>
        </w:rPr>
        <w:t xml:space="preserve">také </w:t>
      </w:r>
      <w:r w:rsidR="00A0114E" w:rsidRPr="00E04C25">
        <w:rPr>
          <w:rFonts w:ascii="Arial" w:hAnsi="Arial" w:cs="Arial"/>
        </w:rPr>
        <w:t>ve věku 55</w:t>
      </w:r>
      <w:r w:rsidR="00E52DCA" w:rsidRPr="00E04C25">
        <w:rPr>
          <w:rFonts w:ascii="Arial" w:hAnsi="Arial" w:cs="Arial"/>
        </w:rPr>
        <w:t>-</w:t>
      </w:r>
      <w:r w:rsidR="00A0114E" w:rsidRPr="00E04C25">
        <w:rPr>
          <w:rFonts w:ascii="Arial" w:hAnsi="Arial" w:cs="Arial"/>
        </w:rPr>
        <w:t>59 let o 2,8 tis.</w:t>
      </w:r>
      <w:r w:rsidR="00D20986" w:rsidRPr="00E04C25">
        <w:rPr>
          <w:rFonts w:ascii="Arial" w:hAnsi="Arial" w:cs="Arial"/>
        </w:rPr>
        <w:t>)</w:t>
      </w:r>
      <w:r w:rsidR="00A0114E" w:rsidRPr="00E04C25">
        <w:rPr>
          <w:rFonts w:ascii="Arial" w:hAnsi="Arial" w:cs="Arial"/>
        </w:rPr>
        <w:t>.</w:t>
      </w:r>
    </w:p>
    <w:p w:rsidR="005D5C58" w:rsidRPr="00E04C25" w:rsidRDefault="00AE65A5" w:rsidP="00E52DCA">
      <w:pPr>
        <w:tabs>
          <w:tab w:val="left" w:pos="709"/>
        </w:tabs>
        <w:spacing w:line="360" w:lineRule="auto"/>
        <w:jc w:val="both"/>
        <w:rPr>
          <w:rFonts w:ascii="Arial" w:hAnsi="Arial" w:cs="Arial"/>
        </w:rPr>
      </w:pPr>
      <w:r w:rsidRPr="00E04C25">
        <w:rPr>
          <w:rFonts w:ascii="Arial" w:hAnsi="Arial" w:cs="Arial"/>
          <w:b/>
        </w:rPr>
        <w:tab/>
      </w:r>
      <w:r w:rsidR="00480ABA" w:rsidRPr="00E04C25">
        <w:rPr>
          <w:rFonts w:ascii="Arial" w:hAnsi="Arial" w:cs="Arial"/>
          <w:b/>
        </w:rPr>
        <w:t>Zaměstnanost poklesla</w:t>
      </w:r>
      <w:r w:rsidR="00480ABA" w:rsidRPr="00E04C25">
        <w:rPr>
          <w:rFonts w:ascii="Arial" w:hAnsi="Arial" w:cs="Arial"/>
        </w:rPr>
        <w:t xml:space="preserve"> </w:t>
      </w:r>
      <w:r w:rsidR="00894178" w:rsidRPr="00E04C25">
        <w:rPr>
          <w:rFonts w:ascii="Arial" w:hAnsi="Arial" w:cs="Arial"/>
        </w:rPr>
        <w:t>zejména</w:t>
      </w:r>
      <w:r w:rsidR="00480ABA" w:rsidRPr="00E04C25">
        <w:rPr>
          <w:rFonts w:ascii="Arial" w:hAnsi="Arial" w:cs="Arial"/>
        </w:rPr>
        <w:t xml:space="preserve"> v mladších věkových skupinách</w:t>
      </w:r>
      <w:r w:rsidR="00783CA5" w:rsidRPr="00E04C25">
        <w:rPr>
          <w:rFonts w:ascii="Arial" w:hAnsi="Arial" w:cs="Arial"/>
        </w:rPr>
        <w:t xml:space="preserve"> </w:t>
      </w:r>
      <w:r w:rsidR="00783CA5" w:rsidRPr="00E04C25">
        <w:rPr>
          <w:rFonts w:ascii="Arial" w:hAnsi="Arial" w:cs="Arial"/>
          <w:b/>
        </w:rPr>
        <w:t>do 40 let</w:t>
      </w:r>
      <w:r w:rsidR="005D5C58" w:rsidRPr="00E04C25">
        <w:rPr>
          <w:rFonts w:ascii="Arial" w:hAnsi="Arial" w:cs="Arial"/>
          <w:b/>
        </w:rPr>
        <w:t xml:space="preserve"> </w:t>
      </w:r>
      <w:r w:rsidR="005D5C58" w:rsidRPr="00E04C25">
        <w:rPr>
          <w:rFonts w:ascii="Arial" w:hAnsi="Arial" w:cs="Arial"/>
        </w:rPr>
        <w:t xml:space="preserve">celkem o </w:t>
      </w:r>
      <w:r w:rsidR="00020451" w:rsidRPr="00E04C25">
        <w:rPr>
          <w:rFonts w:ascii="Arial" w:hAnsi="Arial" w:cs="Arial"/>
        </w:rPr>
        <w:t>24</w:t>
      </w:r>
      <w:r w:rsidR="005D5C58" w:rsidRPr="00E04C25">
        <w:rPr>
          <w:rFonts w:ascii="Arial" w:hAnsi="Arial" w:cs="Arial"/>
        </w:rPr>
        <w:t>,6 tis.</w:t>
      </w:r>
      <w:r w:rsidR="00783CA5" w:rsidRPr="00E04C25">
        <w:rPr>
          <w:rFonts w:ascii="Arial" w:hAnsi="Arial" w:cs="Arial"/>
        </w:rPr>
        <w:t xml:space="preserve">, kde </w:t>
      </w:r>
      <w:r w:rsidR="00783CA5" w:rsidRPr="00E04C25">
        <w:rPr>
          <w:rFonts w:ascii="Arial" w:hAnsi="Arial" w:cs="Arial"/>
          <w:b/>
        </w:rPr>
        <w:t>pokles</w:t>
      </w:r>
      <w:r w:rsidR="00783CA5" w:rsidRPr="00E04C25">
        <w:rPr>
          <w:rFonts w:ascii="Arial" w:hAnsi="Arial" w:cs="Arial"/>
        </w:rPr>
        <w:t xml:space="preserve"> zaměstnanosti </w:t>
      </w:r>
      <w:r w:rsidR="00783CA5" w:rsidRPr="00E04C25">
        <w:rPr>
          <w:rFonts w:ascii="Arial" w:hAnsi="Arial" w:cs="Arial"/>
          <w:b/>
        </w:rPr>
        <w:t xml:space="preserve">ovlivnily </w:t>
      </w:r>
      <w:r w:rsidR="00783CA5" w:rsidRPr="00E04C25">
        <w:rPr>
          <w:rFonts w:ascii="Arial" w:hAnsi="Arial" w:cs="Arial"/>
        </w:rPr>
        <w:t xml:space="preserve">zejména osoby </w:t>
      </w:r>
      <w:r w:rsidR="00783CA5" w:rsidRPr="00E04C25">
        <w:rPr>
          <w:rFonts w:ascii="Arial" w:hAnsi="Arial" w:cs="Arial"/>
          <w:b/>
        </w:rPr>
        <w:t xml:space="preserve">ve věku </w:t>
      </w:r>
      <w:r w:rsidR="00E73332" w:rsidRPr="00E04C25">
        <w:rPr>
          <w:rFonts w:ascii="Arial" w:hAnsi="Arial" w:cs="Arial"/>
          <w:b/>
        </w:rPr>
        <w:t xml:space="preserve">   </w:t>
      </w:r>
      <w:r w:rsidR="00783CA5" w:rsidRPr="00E04C25">
        <w:rPr>
          <w:rFonts w:ascii="Arial" w:hAnsi="Arial" w:cs="Arial"/>
          <w:b/>
        </w:rPr>
        <w:t>3</w:t>
      </w:r>
      <w:r w:rsidR="001B4C5E">
        <w:rPr>
          <w:rFonts w:ascii="Arial" w:hAnsi="Arial" w:cs="Arial"/>
          <w:b/>
        </w:rPr>
        <w:t>5</w:t>
      </w:r>
      <w:r w:rsidR="00D80E1F" w:rsidRPr="00E04C25">
        <w:rPr>
          <w:rFonts w:ascii="Arial" w:hAnsi="Arial" w:cs="Arial"/>
          <w:b/>
        </w:rPr>
        <w:t>-</w:t>
      </w:r>
      <w:r w:rsidR="00783CA5" w:rsidRPr="00E04C25">
        <w:rPr>
          <w:rFonts w:ascii="Arial" w:hAnsi="Arial" w:cs="Arial"/>
          <w:b/>
        </w:rPr>
        <w:t>39 let</w:t>
      </w:r>
      <w:r w:rsidR="00783CA5" w:rsidRPr="00E04C25">
        <w:rPr>
          <w:rFonts w:ascii="Arial" w:hAnsi="Arial" w:cs="Arial"/>
        </w:rPr>
        <w:t xml:space="preserve">. </w:t>
      </w:r>
      <w:r w:rsidR="00886D0F" w:rsidRPr="00E04C25">
        <w:rPr>
          <w:rFonts w:ascii="Arial" w:hAnsi="Arial" w:cs="Arial"/>
        </w:rPr>
        <w:t xml:space="preserve">Pokles jejich zaměstnanosti o 32,5 tis. korespondoval s poklesem </w:t>
      </w:r>
      <w:r w:rsidR="00B80375" w:rsidRPr="00E04C25">
        <w:rPr>
          <w:rFonts w:ascii="Arial" w:hAnsi="Arial" w:cs="Arial"/>
        </w:rPr>
        <w:t>počtu obyvatel o 34,</w:t>
      </w:r>
      <w:r w:rsidR="00020451" w:rsidRPr="00E04C25">
        <w:rPr>
          <w:rFonts w:ascii="Arial" w:hAnsi="Arial" w:cs="Arial"/>
        </w:rPr>
        <w:t>3</w:t>
      </w:r>
      <w:r w:rsidR="00B80375" w:rsidRPr="00E04C25">
        <w:rPr>
          <w:rFonts w:ascii="Arial" w:hAnsi="Arial" w:cs="Arial"/>
        </w:rPr>
        <w:t> tis. (jednalo se o postupný posun silné populační vlny ze 70. let do vyšší věkové kategorie)</w:t>
      </w:r>
      <w:r w:rsidR="00886D0F" w:rsidRPr="00E04C25">
        <w:rPr>
          <w:rFonts w:ascii="Arial" w:hAnsi="Arial" w:cs="Arial"/>
        </w:rPr>
        <w:t xml:space="preserve">. Nepatrně větší pokles zaměstnanosti </w:t>
      </w:r>
      <w:r w:rsidR="00F52672" w:rsidRPr="00E04C25">
        <w:rPr>
          <w:rFonts w:ascii="Arial" w:hAnsi="Arial" w:cs="Arial"/>
        </w:rPr>
        <w:t>žen</w:t>
      </w:r>
      <w:r w:rsidR="00B80375" w:rsidRPr="00E04C25">
        <w:rPr>
          <w:rFonts w:ascii="Arial" w:hAnsi="Arial" w:cs="Arial"/>
        </w:rPr>
        <w:t xml:space="preserve"> </w:t>
      </w:r>
      <w:r w:rsidR="00886D0F" w:rsidRPr="00E04C25">
        <w:rPr>
          <w:rFonts w:ascii="Arial" w:hAnsi="Arial" w:cs="Arial"/>
        </w:rPr>
        <w:t xml:space="preserve">v tomto věku </w:t>
      </w:r>
      <w:r w:rsidR="00B80375" w:rsidRPr="00E04C25">
        <w:rPr>
          <w:rFonts w:ascii="Arial" w:hAnsi="Arial" w:cs="Arial"/>
        </w:rPr>
        <w:t>(o 1</w:t>
      </w:r>
      <w:r w:rsidR="00F52672" w:rsidRPr="00E04C25">
        <w:rPr>
          <w:rFonts w:ascii="Arial" w:hAnsi="Arial" w:cs="Arial"/>
        </w:rPr>
        <w:t>8</w:t>
      </w:r>
      <w:r w:rsidR="00B80375" w:rsidRPr="00E04C25">
        <w:rPr>
          <w:rFonts w:ascii="Arial" w:hAnsi="Arial" w:cs="Arial"/>
        </w:rPr>
        <w:t>,</w:t>
      </w:r>
      <w:r w:rsidR="00020451" w:rsidRPr="00E04C25">
        <w:rPr>
          <w:rFonts w:ascii="Arial" w:hAnsi="Arial" w:cs="Arial"/>
        </w:rPr>
        <w:t>3</w:t>
      </w:r>
      <w:r w:rsidR="00B80375" w:rsidRPr="00E04C25">
        <w:rPr>
          <w:rFonts w:ascii="Arial" w:hAnsi="Arial" w:cs="Arial"/>
        </w:rPr>
        <w:t> tis.)</w:t>
      </w:r>
      <w:r w:rsidR="00886D0F" w:rsidRPr="00E04C25">
        <w:rPr>
          <w:rFonts w:ascii="Arial" w:hAnsi="Arial" w:cs="Arial"/>
        </w:rPr>
        <w:t xml:space="preserve"> proti mužům (14,3 tis.) souvisel s jejich </w:t>
      </w:r>
      <w:r w:rsidR="000F3AEE" w:rsidRPr="00E04C25">
        <w:rPr>
          <w:rFonts w:ascii="Arial" w:hAnsi="Arial" w:cs="Arial"/>
        </w:rPr>
        <w:t xml:space="preserve">ekonomickou </w:t>
      </w:r>
      <w:r w:rsidR="00886D0F" w:rsidRPr="00E04C25">
        <w:rPr>
          <w:rFonts w:ascii="Arial" w:hAnsi="Arial" w:cs="Arial"/>
        </w:rPr>
        <w:t xml:space="preserve">neaktivitou kvůli péči o dítě. </w:t>
      </w:r>
    </w:p>
    <w:p w:rsidR="000F3AEE" w:rsidRPr="00E04C25" w:rsidRDefault="000F3AEE" w:rsidP="000F3AEE">
      <w:pPr>
        <w:tabs>
          <w:tab w:val="left" w:pos="709"/>
        </w:tabs>
        <w:spacing w:line="360" w:lineRule="auto"/>
        <w:ind w:firstLine="708"/>
        <w:jc w:val="both"/>
        <w:rPr>
          <w:rFonts w:ascii="Arial" w:hAnsi="Arial" w:cs="Arial"/>
          <w:sz w:val="18"/>
          <w:szCs w:val="18"/>
        </w:rPr>
      </w:pPr>
      <w:r w:rsidRPr="00E04C25">
        <w:rPr>
          <w:rFonts w:ascii="Arial" w:hAnsi="Arial" w:cs="Arial"/>
        </w:rPr>
        <w:t xml:space="preserve">Zaměstnanost </w:t>
      </w:r>
      <w:r w:rsidR="001B4C5E">
        <w:rPr>
          <w:rFonts w:ascii="Arial" w:hAnsi="Arial" w:cs="Arial"/>
        </w:rPr>
        <w:t xml:space="preserve">populace </w:t>
      </w:r>
      <w:r w:rsidR="001B4C5E" w:rsidRPr="001B4C5E">
        <w:rPr>
          <w:rFonts w:ascii="Arial" w:hAnsi="Arial" w:cs="Arial"/>
          <w:b/>
        </w:rPr>
        <w:t>ve věku 65 let a více</w:t>
      </w:r>
      <w:r w:rsidRPr="00E04C25">
        <w:rPr>
          <w:rFonts w:ascii="Arial" w:hAnsi="Arial" w:cs="Arial"/>
        </w:rPr>
        <w:t xml:space="preserve"> (nárůst o 5,0 tis.) </w:t>
      </w:r>
      <w:r w:rsidRPr="00E04C25">
        <w:rPr>
          <w:rFonts w:ascii="Arial" w:hAnsi="Arial" w:cs="Arial"/>
          <w:b/>
        </w:rPr>
        <w:t xml:space="preserve">ovlivňují </w:t>
      </w:r>
      <w:r w:rsidRPr="00E04C25">
        <w:rPr>
          <w:rFonts w:ascii="Arial" w:hAnsi="Arial" w:cs="Arial"/>
        </w:rPr>
        <w:t>především </w:t>
      </w:r>
      <w:r w:rsidRPr="00E04C25">
        <w:rPr>
          <w:rFonts w:ascii="Arial" w:hAnsi="Arial" w:cs="Arial"/>
          <w:b/>
        </w:rPr>
        <w:t>pracující důchodci</w:t>
      </w:r>
      <w:r w:rsidRPr="00E04C25">
        <w:rPr>
          <w:rFonts w:ascii="Arial" w:hAnsi="Arial" w:cs="Arial"/>
        </w:rPr>
        <w:t xml:space="preserve">. V roce 2017 pracovalo 205,2 tis. důchodců v řádném starobním důchodu, o 8,1 tis. více než v roce 2016. </w:t>
      </w:r>
    </w:p>
    <w:p w:rsidR="005D5C58" w:rsidRPr="00E04C25" w:rsidRDefault="005D5C58" w:rsidP="00AE65A5">
      <w:pPr>
        <w:tabs>
          <w:tab w:val="left" w:pos="709"/>
        </w:tabs>
        <w:ind w:firstLine="708"/>
        <w:jc w:val="both"/>
        <w:rPr>
          <w:rFonts w:ascii="Arial" w:hAnsi="Arial" w:cs="Arial"/>
          <w:sz w:val="16"/>
          <w:szCs w:val="16"/>
        </w:rPr>
      </w:pPr>
    </w:p>
    <w:p w:rsidR="00762875" w:rsidRPr="00E04C25" w:rsidRDefault="00762875" w:rsidP="00AE65A5">
      <w:pPr>
        <w:tabs>
          <w:tab w:val="left" w:pos="709"/>
        </w:tabs>
        <w:spacing w:line="360" w:lineRule="auto"/>
        <w:ind w:firstLine="708"/>
        <w:jc w:val="center"/>
        <w:rPr>
          <w:rFonts w:ascii="Arial" w:hAnsi="Arial" w:cs="Arial"/>
          <w:b/>
        </w:rPr>
      </w:pPr>
      <w:r w:rsidRPr="00E04C25">
        <w:rPr>
          <w:rFonts w:ascii="Arial" w:hAnsi="Arial" w:cs="Arial"/>
          <w:b/>
        </w:rPr>
        <w:t>Věková struktura zaměstnaných (v tis.)</w:t>
      </w:r>
    </w:p>
    <w:p w:rsidR="00762875" w:rsidRPr="00E04C25" w:rsidRDefault="00762875" w:rsidP="00AE65A5">
      <w:pPr>
        <w:pStyle w:val="Textpoznpodarou"/>
        <w:tabs>
          <w:tab w:val="left" w:pos="709"/>
        </w:tabs>
        <w:ind w:right="-108"/>
        <w:jc w:val="right"/>
      </w:pPr>
      <w:r w:rsidRPr="00E04C25">
        <w:rPr>
          <w:rFonts w:ascii="Arial" w:hAnsi="Arial" w:cs="Arial"/>
        </w:rPr>
        <w:t xml:space="preserve">tab. č. </w:t>
      </w:r>
      <w:r w:rsidR="00AC1001" w:rsidRPr="00E04C25">
        <w:rPr>
          <w:rFonts w:ascii="Arial" w:hAnsi="Arial" w:cs="Arial"/>
        </w:rPr>
        <w:t>3</w:t>
      </w:r>
    </w:p>
    <w:tbl>
      <w:tblPr>
        <w:tblW w:w="9255" w:type="dxa"/>
        <w:tblInd w:w="47" w:type="dxa"/>
        <w:tblCellMar>
          <w:left w:w="70" w:type="dxa"/>
          <w:right w:w="70" w:type="dxa"/>
        </w:tblCellMar>
        <w:tblLook w:val="0000"/>
      </w:tblPr>
      <w:tblGrid>
        <w:gridCol w:w="896"/>
        <w:gridCol w:w="970"/>
        <w:gridCol w:w="851"/>
        <w:gridCol w:w="850"/>
        <w:gridCol w:w="992"/>
        <w:gridCol w:w="851"/>
        <w:gridCol w:w="850"/>
        <w:gridCol w:w="851"/>
        <w:gridCol w:w="709"/>
        <w:gridCol w:w="726"/>
        <w:gridCol w:w="709"/>
      </w:tblGrid>
      <w:tr w:rsidR="00FA5464" w:rsidRPr="00E04C25" w:rsidTr="00762875">
        <w:trPr>
          <w:trHeight w:val="284"/>
        </w:trPr>
        <w:tc>
          <w:tcPr>
            <w:tcW w:w="896" w:type="dxa"/>
            <w:vMerge w:val="restart"/>
            <w:tcBorders>
              <w:top w:val="double" w:sz="6" w:space="0" w:color="auto"/>
              <w:left w:val="double" w:sz="6" w:space="0" w:color="auto"/>
              <w:bottom w:val="single" w:sz="4" w:space="0" w:color="000000"/>
              <w:right w:val="single" w:sz="4" w:space="0" w:color="auto"/>
            </w:tcBorders>
            <w:shd w:val="clear" w:color="auto" w:fill="auto"/>
            <w:vAlign w:val="center"/>
          </w:tcPr>
          <w:p w:rsidR="00FA5464" w:rsidRPr="00E04C25" w:rsidRDefault="00FA5464" w:rsidP="00AE65A5">
            <w:pPr>
              <w:tabs>
                <w:tab w:val="left" w:pos="709"/>
              </w:tabs>
              <w:jc w:val="center"/>
              <w:rPr>
                <w:rFonts w:ascii="Arial" w:hAnsi="Arial" w:cs="Arial"/>
                <w:b/>
                <w:bCs/>
                <w:sz w:val="20"/>
                <w:szCs w:val="20"/>
              </w:rPr>
            </w:pPr>
            <w:r w:rsidRPr="00E04C25">
              <w:rPr>
                <w:rFonts w:ascii="Arial" w:hAnsi="Arial" w:cs="Arial"/>
                <w:b/>
                <w:bCs/>
                <w:sz w:val="20"/>
                <w:szCs w:val="20"/>
              </w:rPr>
              <w:t>Věkové skupiny</w:t>
            </w:r>
          </w:p>
        </w:tc>
        <w:tc>
          <w:tcPr>
            <w:tcW w:w="2671" w:type="dxa"/>
            <w:gridSpan w:val="3"/>
            <w:tcBorders>
              <w:top w:val="double" w:sz="6" w:space="0" w:color="auto"/>
              <w:left w:val="nil"/>
              <w:bottom w:val="single" w:sz="4" w:space="0" w:color="auto"/>
              <w:right w:val="single" w:sz="4" w:space="0" w:color="auto"/>
            </w:tcBorders>
            <w:shd w:val="clear" w:color="auto" w:fill="auto"/>
            <w:noWrap/>
            <w:vAlign w:val="bottom"/>
          </w:tcPr>
          <w:p w:rsidR="00FA5464" w:rsidRPr="00E04C25" w:rsidRDefault="00FA5464" w:rsidP="00AE65A5">
            <w:pPr>
              <w:tabs>
                <w:tab w:val="left" w:pos="709"/>
              </w:tabs>
              <w:jc w:val="center"/>
              <w:rPr>
                <w:rFonts w:ascii="Arial" w:hAnsi="Arial" w:cs="Arial"/>
                <w:b/>
                <w:bCs/>
                <w:sz w:val="20"/>
                <w:szCs w:val="20"/>
              </w:rPr>
            </w:pPr>
            <w:r w:rsidRPr="00E04C25">
              <w:rPr>
                <w:rFonts w:ascii="Arial" w:hAnsi="Arial" w:cs="Arial"/>
                <w:b/>
                <w:bCs/>
                <w:sz w:val="20"/>
                <w:szCs w:val="20"/>
              </w:rPr>
              <w:t>201</w:t>
            </w:r>
            <w:r w:rsidR="00EC746A" w:rsidRPr="00E04C25">
              <w:rPr>
                <w:rFonts w:ascii="Arial" w:hAnsi="Arial" w:cs="Arial"/>
                <w:b/>
                <w:bCs/>
                <w:sz w:val="20"/>
                <w:szCs w:val="20"/>
              </w:rPr>
              <w:t>6</w:t>
            </w:r>
          </w:p>
        </w:tc>
        <w:tc>
          <w:tcPr>
            <w:tcW w:w="2693" w:type="dxa"/>
            <w:gridSpan w:val="3"/>
            <w:tcBorders>
              <w:top w:val="double" w:sz="6" w:space="0" w:color="auto"/>
              <w:left w:val="nil"/>
              <w:bottom w:val="single" w:sz="4" w:space="0" w:color="auto"/>
              <w:right w:val="single" w:sz="4" w:space="0" w:color="auto"/>
            </w:tcBorders>
            <w:shd w:val="clear" w:color="auto" w:fill="auto"/>
            <w:noWrap/>
            <w:vAlign w:val="bottom"/>
          </w:tcPr>
          <w:p w:rsidR="00FA5464" w:rsidRPr="00E04C25" w:rsidRDefault="00FA5464" w:rsidP="00AE65A5">
            <w:pPr>
              <w:tabs>
                <w:tab w:val="left" w:pos="709"/>
              </w:tabs>
              <w:jc w:val="center"/>
              <w:rPr>
                <w:rFonts w:ascii="Arial" w:hAnsi="Arial" w:cs="Arial"/>
                <w:b/>
                <w:bCs/>
                <w:sz w:val="20"/>
                <w:szCs w:val="20"/>
              </w:rPr>
            </w:pPr>
            <w:r w:rsidRPr="00E04C25">
              <w:rPr>
                <w:rFonts w:ascii="Arial" w:hAnsi="Arial" w:cs="Arial"/>
                <w:b/>
                <w:bCs/>
                <w:sz w:val="20"/>
                <w:szCs w:val="20"/>
              </w:rPr>
              <w:t>201</w:t>
            </w:r>
            <w:r w:rsidR="00EC746A" w:rsidRPr="00E04C25">
              <w:rPr>
                <w:rFonts w:ascii="Arial" w:hAnsi="Arial" w:cs="Arial"/>
                <w:b/>
                <w:bCs/>
                <w:sz w:val="20"/>
                <w:szCs w:val="20"/>
              </w:rPr>
              <w:t>7</w:t>
            </w:r>
          </w:p>
        </w:tc>
        <w:tc>
          <w:tcPr>
            <w:tcW w:w="2286" w:type="dxa"/>
            <w:gridSpan w:val="3"/>
            <w:tcBorders>
              <w:top w:val="double" w:sz="6" w:space="0" w:color="auto"/>
              <w:left w:val="single" w:sz="4" w:space="0" w:color="auto"/>
              <w:bottom w:val="single" w:sz="4" w:space="0" w:color="auto"/>
              <w:right w:val="single" w:sz="4" w:space="0" w:color="auto"/>
            </w:tcBorders>
            <w:shd w:val="clear" w:color="auto" w:fill="auto"/>
            <w:noWrap/>
            <w:vAlign w:val="bottom"/>
          </w:tcPr>
          <w:p w:rsidR="00FA5464" w:rsidRPr="00E04C25" w:rsidRDefault="00FA5464" w:rsidP="00EC746A">
            <w:pPr>
              <w:tabs>
                <w:tab w:val="left" w:pos="709"/>
              </w:tabs>
              <w:jc w:val="center"/>
              <w:rPr>
                <w:rFonts w:ascii="Arial" w:hAnsi="Arial" w:cs="Arial"/>
                <w:b/>
                <w:bCs/>
                <w:sz w:val="20"/>
                <w:szCs w:val="20"/>
              </w:rPr>
            </w:pPr>
            <w:r w:rsidRPr="00E04C25">
              <w:rPr>
                <w:rFonts w:ascii="Arial" w:hAnsi="Arial" w:cs="Arial"/>
                <w:b/>
                <w:bCs/>
                <w:sz w:val="20"/>
                <w:szCs w:val="20"/>
              </w:rPr>
              <w:t>rozdíl 201</w:t>
            </w:r>
            <w:r w:rsidR="00EC746A" w:rsidRPr="00E04C25">
              <w:rPr>
                <w:rFonts w:ascii="Arial" w:hAnsi="Arial" w:cs="Arial"/>
                <w:b/>
                <w:bCs/>
                <w:sz w:val="20"/>
                <w:szCs w:val="20"/>
              </w:rPr>
              <w:t>7-</w:t>
            </w:r>
            <w:r w:rsidRPr="00E04C25">
              <w:rPr>
                <w:rFonts w:ascii="Arial" w:hAnsi="Arial" w:cs="Arial"/>
                <w:b/>
                <w:bCs/>
                <w:sz w:val="20"/>
                <w:szCs w:val="20"/>
              </w:rPr>
              <w:t>201</w:t>
            </w:r>
            <w:r w:rsidR="00EC746A" w:rsidRPr="00E04C25">
              <w:rPr>
                <w:rFonts w:ascii="Arial" w:hAnsi="Arial" w:cs="Arial"/>
                <w:b/>
                <w:bCs/>
                <w:sz w:val="20"/>
                <w:szCs w:val="20"/>
              </w:rPr>
              <w:t>6</w:t>
            </w:r>
          </w:p>
        </w:tc>
        <w:tc>
          <w:tcPr>
            <w:tcW w:w="709" w:type="dxa"/>
            <w:vMerge w:val="restart"/>
            <w:tcBorders>
              <w:top w:val="double" w:sz="6" w:space="0" w:color="auto"/>
              <w:left w:val="single" w:sz="4" w:space="0" w:color="auto"/>
              <w:bottom w:val="single" w:sz="4" w:space="0" w:color="000000"/>
              <w:right w:val="double" w:sz="6" w:space="0" w:color="auto"/>
            </w:tcBorders>
            <w:shd w:val="clear" w:color="auto" w:fill="auto"/>
            <w:vAlign w:val="center"/>
          </w:tcPr>
          <w:p w:rsidR="00FA5464" w:rsidRPr="00E04C25" w:rsidRDefault="00FA5464" w:rsidP="00AE65A5">
            <w:pPr>
              <w:tabs>
                <w:tab w:val="left" w:pos="709"/>
              </w:tabs>
              <w:jc w:val="center"/>
              <w:rPr>
                <w:rFonts w:ascii="Arial" w:hAnsi="Arial" w:cs="Arial"/>
                <w:b/>
                <w:bCs/>
                <w:sz w:val="20"/>
                <w:szCs w:val="20"/>
              </w:rPr>
            </w:pPr>
            <w:r w:rsidRPr="00E04C25">
              <w:rPr>
                <w:rFonts w:ascii="Arial" w:hAnsi="Arial" w:cs="Arial"/>
                <w:b/>
                <w:bCs/>
                <w:sz w:val="20"/>
                <w:szCs w:val="20"/>
              </w:rPr>
              <w:t>index 1</w:t>
            </w:r>
            <w:r w:rsidR="00EC746A" w:rsidRPr="00E04C25">
              <w:rPr>
                <w:rFonts w:ascii="Arial" w:hAnsi="Arial" w:cs="Arial"/>
                <w:b/>
                <w:bCs/>
                <w:sz w:val="20"/>
                <w:szCs w:val="20"/>
              </w:rPr>
              <w:t>7</w:t>
            </w:r>
            <w:r w:rsidRPr="00E04C25">
              <w:rPr>
                <w:rFonts w:ascii="Arial" w:hAnsi="Arial" w:cs="Arial"/>
                <w:b/>
                <w:bCs/>
                <w:sz w:val="20"/>
                <w:szCs w:val="20"/>
              </w:rPr>
              <w:t>/1</w:t>
            </w:r>
            <w:r w:rsidR="00EC746A" w:rsidRPr="00E04C25">
              <w:rPr>
                <w:rFonts w:ascii="Arial" w:hAnsi="Arial" w:cs="Arial"/>
                <w:b/>
                <w:bCs/>
                <w:sz w:val="20"/>
                <w:szCs w:val="20"/>
              </w:rPr>
              <w:t>6</w:t>
            </w:r>
          </w:p>
          <w:p w:rsidR="00FA5464" w:rsidRPr="00E04C25" w:rsidRDefault="00FA5464" w:rsidP="00AE65A5">
            <w:pPr>
              <w:tabs>
                <w:tab w:val="left" w:pos="709"/>
              </w:tabs>
              <w:jc w:val="center"/>
              <w:rPr>
                <w:rFonts w:ascii="Arial" w:hAnsi="Arial" w:cs="Arial"/>
                <w:bCs/>
                <w:sz w:val="20"/>
                <w:szCs w:val="20"/>
              </w:rPr>
            </w:pPr>
            <w:r w:rsidRPr="00E04C25">
              <w:rPr>
                <w:rFonts w:ascii="Arial" w:hAnsi="Arial" w:cs="Arial"/>
                <w:b/>
                <w:bCs/>
                <w:sz w:val="20"/>
                <w:szCs w:val="20"/>
              </w:rPr>
              <w:t xml:space="preserve"> </w:t>
            </w:r>
            <w:r w:rsidRPr="00E04C25">
              <w:rPr>
                <w:rFonts w:ascii="Arial" w:hAnsi="Arial" w:cs="Arial"/>
                <w:b/>
                <w:sz w:val="20"/>
                <w:szCs w:val="20"/>
              </w:rPr>
              <w:t>(%)</w:t>
            </w:r>
          </w:p>
        </w:tc>
      </w:tr>
      <w:tr w:rsidR="00D141D5" w:rsidRPr="00E04C25" w:rsidTr="00762875">
        <w:trPr>
          <w:trHeight w:val="284"/>
        </w:trPr>
        <w:tc>
          <w:tcPr>
            <w:tcW w:w="896" w:type="dxa"/>
            <w:vMerge/>
            <w:tcBorders>
              <w:top w:val="double" w:sz="6" w:space="0" w:color="auto"/>
              <w:left w:val="double" w:sz="6" w:space="0" w:color="auto"/>
              <w:bottom w:val="single" w:sz="4" w:space="0" w:color="000000"/>
              <w:right w:val="single" w:sz="4" w:space="0" w:color="auto"/>
            </w:tcBorders>
            <w:vAlign w:val="center"/>
          </w:tcPr>
          <w:p w:rsidR="00762875" w:rsidRPr="00E04C25" w:rsidRDefault="00762875" w:rsidP="00AE65A5">
            <w:pPr>
              <w:tabs>
                <w:tab w:val="left" w:pos="709"/>
              </w:tabs>
              <w:rPr>
                <w:rFonts w:ascii="Arial" w:hAnsi="Arial" w:cs="Arial"/>
                <w:b/>
                <w:bCs/>
                <w:sz w:val="20"/>
                <w:szCs w:val="20"/>
              </w:rPr>
            </w:pPr>
          </w:p>
        </w:tc>
        <w:tc>
          <w:tcPr>
            <w:tcW w:w="970" w:type="dxa"/>
            <w:tcBorders>
              <w:top w:val="nil"/>
              <w:left w:val="nil"/>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celkem</w:t>
            </w:r>
          </w:p>
        </w:tc>
        <w:tc>
          <w:tcPr>
            <w:tcW w:w="851" w:type="dxa"/>
            <w:tcBorders>
              <w:top w:val="nil"/>
              <w:left w:val="nil"/>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muži</w:t>
            </w:r>
          </w:p>
        </w:tc>
        <w:tc>
          <w:tcPr>
            <w:tcW w:w="850" w:type="dxa"/>
            <w:tcBorders>
              <w:top w:val="nil"/>
              <w:left w:val="nil"/>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ženy</w:t>
            </w:r>
          </w:p>
        </w:tc>
        <w:tc>
          <w:tcPr>
            <w:tcW w:w="992" w:type="dxa"/>
            <w:tcBorders>
              <w:top w:val="nil"/>
              <w:left w:val="nil"/>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celkem</w:t>
            </w:r>
          </w:p>
        </w:tc>
        <w:tc>
          <w:tcPr>
            <w:tcW w:w="851" w:type="dxa"/>
            <w:tcBorders>
              <w:top w:val="nil"/>
              <w:left w:val="nil"/>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muži</w:t>
            </w:r>
          </w:p>
        </w:tc>
        <w:tc>
          <w:tcPr>
            <w:tcW w:w="850" w:type="dxa"/>
            <w:tcBorders>
              <w:top w:val="nil"/>
              <w:left w:val="nil"/>
              <w:bottom w:val="single" w:sz="4" w:space="0" w:color="auto"/>
              <w:right w:val="nil"/>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ženy</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celkem</w:t>
            </w:r>
          </w:p>
        </w:tc>
        <w:tc>
          <w:tcPr>
            <w:tcW w:w="709" w:type="dxa"/>
            <w:tcBorders>
              <w:top w:val="nil"/>
              <w:left w:val="nil"/>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muži</w:t>
            </w:r>
          </w:p>
        </w:tc>
        <w:tc>
          <w:tcPr>
            <w:tcW w:w="726" w:type="dxa"/>
            <w:tcBorders>
              <w:top w:val="nil"/>
              <w:left w:val="nil"/>
              <w:bottom w:val="single" w:sz="4" w:space="0" w:color="auto"/>
              <w:right w:val="nil"/>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ženy</w:t>
            </w:r>
          </w:p>
        </w:tc>
        <w:tc>
          <w:tcPr>
            <w:tcW w:w="709" w:type="dxa"/>
            <w:vMerge/>
            <w:tcBorders>
              <w:top w:val="double" w:sz="6" w:space="0" w:color="auto"/>
              <w:left w:val="single" w:sz="4" w:space="0" w:color="auto"/>
              <w:bottom w:val="single" w:sz="4" w:space="0" w:color="000000"/>
              <w:right w:val="double" w:sz="6" w:space="0" w:color="auto"/>
            </w:tcBorders>
            <w:vAlign w:val="center"/>
          </w:tcPr>
          <w:p w:rsidR="00762875" w:rsidRPr="00E04C25" w:rsidRDefault="00762875" w:rsidP="00AE65A5">
            <w:pPr>
              <w:tabs>
                <w:tab w:val="left" w:pos="709"/>
              </w:tabs>
              <w:rPr>
                <w:rFonts w:ascii="Arial" w:hAnsi="Arial" w:cs="Arial"/>
                <w:b/>
                <w:bCs/>
                <w:sz w:val="20"/>
                <w:szCs w:val="20"/>
              </w:rPr>
            </w:pPr>
          </w:p>
        </w:tc>
      </w:tr>
      <w:tr w:rsidR="00CA0370" w:rsidRPr="00E04C25" w:rsidTr="00CA0370">
        <w:trPr>
          <w:trHeight w:val="340"/>
        </w:trPr>
        <w:tc>
          <w:tcPr>
            <w:tcW w:w="896" w:type="dxa"/>
            <w:tcBorders>
              <w:top w:val="nil"/>
              <w:left w:val="double" w:sz="6" w:space="0" w:color="auto"/>
              <w:bottom w:val="single" w:sz="4" w:space="0" w:color="auto"/>
              <w:right w:val="nil"/>
            </w:tcBorders>
            <w:shd w:val="clear" w:color="auto" w:fill="auto"/>
            <w:noWrap/>
            <w:vAlign w:val="center"/>
          </w:tcPr>
          <w:p w:rsidR="00CA0370" w:rsidRPr="00E04C25" w:rsidRDefault="00CA0370" w:rsidP="00AE65A5">
            <w:pPr>
              <w:tabs>
                <w:tab w:val="left" w:pos="709"/>
              </w:tabs>
              <w:jc w:val="center"/>
              <w:rPr>
                <w:rFonts w:ascii="Arial" w:hAnsi="Arial" w:cs="Arial"/>
                <w:b/>
                <w:bCs/>
                <w:sz w:val="18"/>
                <w:szCs w:val="18"/>
              </w:rPr>
            </w:pPr>
            <w:r w:rsidRPr="00E04C25">
              <w:rPr>
                <w:rFonts w:ascii="Arial" w:hAnsi="Arial" w:cs="Arial"/>
                <w:b/>
                <w:bCs/>
                <w:sz w:val="18"/>
                <w:szCs w:val="18"/>
              </w:rPr>
              <w:t>celkem</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5138,6</w:t>
            </w:r>
          </w:p>
        </w:tc>
        <w:tc>
          <w:tcPr>
            <w:tcW w:w="851" w:type="dxa"/>
            <w:tcBorders>
              <w:top w:val="nil"/>
              <w:left w:val="nil"/>
              <w:bottom w:val="single" w:sz="4" w:space="0" w:color="auto"/>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2876,7</w:t>
            </w:r>
          </w:p>
        </w:tc>
        <w:tc>
          <w:tcPr>
            <w:tcW w:w="850" w:type="dxa"/>
            <w:tcBorders>
              <w:top w:val="nil"/>
              <w:left w:val="nil"/>
              <w:bottom w:val="single" w:sz="4" w:space="0" w:color="auto"/>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2261,9</w:t>
            </w:r>
          </w:p>
        </w:tc>
        <w:tc>
          <w:tcPr>
            <w:tcW w:w="992" w:type="dxa"/>
            <w:tcBorders>
              <w:top w:val="nil"/>
              <w:left w:val="nil"/>
              <w:bottom w:val="single" w:sz="4" w:space="0" w:color="auto"/>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5221,6</w:t>
            </w:r>
          </w:p>
        </w:tc>
        <w:tc>
          <w:tcPr>
            <w:tcW w:w="851" w:type="dxa"/>
            <w:tcBorders>
              <w:top w:val="nil"/>
              <w:left w:val="nil"/>
              <w:bottom w:val="single" w:sz="4" w:space="0" w:color="auto"/>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2915,8</w:t>
            </w:r>
          </w:p>
        </w:tc>
        <w:tc>
          <w:tcPr>
            <w:tcW w:w="850" w:type="dxa"/>
            <w:tcBorders>
              <w:top w:val="nil"/>
              <w:left w:val="nil"/>
              <w:bottom w:val="single" w:sz="4" w:space="0" w:color="auto"/>
              <w:right w:val="nil"/>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2305,8</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83,0 </w:t>
            </w:r>
          </w:p>
        </w:tc>
        <w:tc>
          <w:tcPr>
            <w:tcW w:w="709" w:type="dxa"/>
            <w:tcBorders>
              <w:top w:val="nil"/>
              <w:left w:val="nil"/>
              <w:bottom w:val="single" w:sz="4" w:space="0" w:color="auto"/>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39,1 </w:t>
            </w:r>
          </w:p>
        </w:tc>
        <w:tc>
          <w:tcPr>
            <w:tcW w:w="726" w:type="dxa"/>
            <w:tcBorders>
              <w:top w:val="nil"/>
              <w:left w:val="nil"/>
              <w:bottom w:val="single" w:sz="4" w:space="0" w:color="auto"/>
              <w:right w:val="nil"/>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43,9 </w:t>
            </w:r>
          </w:p>
        </w:tc>
        <w:tc>
          <w:tcPr>
            <w:tcW w:w="709" w:type="dxa"/>
            <w:tcBorders>
              <w:top w:val="nil"/>
              <w:left w:val="single" w:sz="4" w:space="0" w:color="auto"/>
              <w:bottom w:val="single" w:sz="4" w:space="0" w:color="auto"/>
              <w:right w:val="double" w:sz="6"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101,6 </w:t>
            </w:r>
          </w:p>
        </w:tc>
      </w:tr>
      <w:tr w:rsidR="00CA0370" w:rsidRPr="00E04C25" w:rsidTr="00CA0370">
        <w:trPr>
          <w:trHeight w:val="312"/>
        </w:trPr>
        <w:tc>
          <w:tcPr>
            <w:tcW w:w="896" w:type="dxa"/>
            <w:tcBorders>
              <w:top w:val="nil"/>
              <w:left w:val="double" w:sz="6" w:space="0" w:color="auto"/>
              <w:bottom w:val="nil"/>
              <w:right w:val="nil"/>
            </w:tcBorders>
            <w:shd w:val="clear" w:color="auto" w:fill="auto"/>
            <w:noWrap/>
            <w:vAlign w:val="center"/>
          </w:tcPr>
          <w:p w:rsidR="00CA0370" w:rsidRPr="00E04C25" w:rsidRDefault="00CA0370" w:rsidP="00AE65A5">
            <w:pPr>
              <w:tabs>
                <w:tab w:val="left" w:pos="709"/>
              </w:tabs>
              <w:jc w:val="center"/>
              <w:rPr>
                <w:rFonts w:ascii="Arial" w:hAnsi="Arial" w:cs="Arial"/>
                <w:b/>
                <w:bCs/>
                <w:sz w:val="18"/>
                <w:szCs w:val="18"/>
              </w:rPr>
            </w:pPr>
            <w:r w:rsidRPr="00E04C25">
              <w:rPr>
                <w:rFonts w:ascii="Arial" w:hAnsi="Arial" w:cs="Arial"/>
                <w:sz w:val="18"/>
                <w:szCs w:val="18"/>
              </w:rPr>
              <w:t>15-24</w:t>
            </w:r>
          </w:p>
        </w:tc>
        <w:tc>
          <w:tcPr>
            <w:tcW w:w="970" w:type="dxa"/>
            <w:tcBorders>
              <w:top w:val="nil"/>
              <w:left w:val="single" w:sz="4" w:space="0" w:color="auto"/>
              <w:bottom w:val="nil"/>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294,9</w:t>
            </w:r>
          </w:p>
        </w:tc>
        <w:tc>
          <w:tcPr>
            <w:tcW w:w="851" w:type="dxa"/>
            <w:tcBorders>
              <w:top w:val="nil"/>
              <w:left w:val="nil"/>
              <w:bottom w:val="nil"/>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178,2</w:t>
            </w:r>
          </w:p>
        </w:tc>
        <w:tc>
          <w:tcPr>
            <w:tcW w:w="850" w:type="dxa"/>
            <w:tcBorders>
              <w:top w:val="nil"/>
              <w:left w:val="nil"/>
              <w:bottom w:val="nil"/>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116,7</w:t>
            </w:r>
          </w:p>
        </w:tc>
        <w:tc>
          <w:tcPr>
            <w:tcW w:w="992" w:type="dxa"/>
            <w:tcBorders>
              <w:top w:val="nil"/>
              <w:left w:val="nil"/>
              <w:bottom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291,2</w:t>
            </w:r>
          </w:p>
        </w:tc>
        <w:tc>
          <w:tcPr>
            <w:tcW w:w="851" w:type="dxa"/>
            <w:tcBorders>
              <w:top w:val="nil"/>
              <w:left w:val="nil"/>
              <w:bottom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173,0</w:t>
            </w:r>
          </w:p>
        </w:tc>
        <w:tc>
          <w:tcPr>
            <w:tcW w:w="850" w:type="dxa"/>
            <w:tcBorders>
              <w:top w:val="nil"/>
              <w:left w:val="nil"/>
              <w:bottom w:val="nil"/>
              <w:right w:val="nil"/>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118,2</w:t>
            </w:r>
          </w:p>
        </w:tc>
        <w:tc>
          <w:tcPr>
            <w:tcW w:w="851" w:type="dxa"/>
            <w:tcBorders>
              <w:top w:val="nil"/>
              <w:left w:val="single" w:sz="4" w:space="0" w:color="auto"/>
              <w:bottom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-3,7 </w:t>
            </w:r>
          </w:p>
        </w:tc>
        <w:tc>
          <w:tcPr>
            <w:tcW w:w="709" w:type="dxa"/>
            <w:tcBorders>
              <w:top w:val="nil"/>
              <w:left w:val="nil"/>
              <w:bottom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-5,2 </w:t>
            </w:r>
          </w:p>
        </w:tc>
        <w:tc>
          <w:tcPr>
            <w:tcW w:w="726" w:type="dxa"/>
            <w:tcBorders>
              <w:top w:val="nil"/>
              <w:left w:val="nil"/>
              <w:bottom w:val="nil"/>
              <w:right w:val="nil"/>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1,5 </w:t>
            </w:r>
          </w:p>
        </w:tc>
        <w:tc>
          <w:tcPr>
            <w:tcW w:w="709" w:type="dxa"/>
            <w:tcBorders>
              <w:top w:val="nil"/>
              <w:left w:val="single" w:sz="4" w:space="0" w:color="auto"/>
              <w:bottom w:val="nil"/>
              <w:right w:val="double" w:sz="6"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98,7 </w:t>
            </w:r>
          </w:p>
        </w:tc>
      </w:tr>
      <w:tr w:rsidR="00CA0370" w:rsidRPr="00E04C25" w:rsidTr="00CA0370">
        <w:trPr>
          <w:trHeight w:val="312"/>
        </w:trPr>
        <w:tc>
          <w:tcPr>
            <w:tcW w:w="896" w:type="dxa"/>
            <w:tcBorders>
              <w:top w:val="nil"/>
              <w:left w:val="double" w:sz="6" w:space="0" w:color="auto"/>
              <w:bottom w:val="nil"/>
              <w:right w:val="nil"/>
            </w:tcBorders>
            <w:shd w:val="clear" w:color="auto" w:fill="auto"/>
            <w:noWrap/>
            <w:vAlign w:val="center"/>
          </w:tcPr>
          <w:p w:rsidR="00CA0370" w:rsidRPr="00E04C25" w:rsidRDefault="00CA0370" w:rsidP="00AE65A5">
            <w:pPr>
              <w:tabs>
                <w:tab w:val="left" w:pos="709"/>
              </w:tabs>
              <w:jc w:val="center"/>
              <w:rPr>
                <w:rFonts w:ascii="Arial" w:hAnsi="Arial" w:cs="Arial"/>
                <w:sz w:val="18"/>
                <w:szCs w:val="18"/>
              </w:rPr>
            </w:pPr>
            <w:r w:rsidRPr="00E04C25">
              <w:rPr>
                <w:rFonts w:ascii="Arial" w:hAnsi="Arial" w:cs="Arial"/>
                <w:sz w:val="18"/>
                <w:szCs w:val="18"/>
              </w:rPr>
              <w:t>25-39</w:t>
            </w:r>
          </w:p>
        </w:tc>
        <w:tc>
          <w:tcPr>
            <w:tcW w:w="970" w:type="dxa"/>
            <w:tcBorders>
              <w:top w:val="nil"/>
              <w:left w:val="single" w:sz="4" w:space="0" w:color="auto"/>
              <w:bottom w:val="nil"/>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1851,6</w:t>
            </w:r>
          </w:p>
        </w:tc>
        <w:tc>
          <w:tcPr>
            <w:tcW w:w="851" w:type="dxa"/>
            <w:tcBorders>
              <w:top w:val="nil"/>
              <w:left w:val="nil"/>
              <w:bottom w:val="nil"/>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1084,3</w:t>
            </w:r>
          </w:p>
        </w:tc>
        <w:tc>
          <w:tcPr>
            <w:tcW w:w="850" w:type="dxa"/>
            <w:tcBorders>
              <w:top w:val="nil"/>
              <w:left w:val="nil"/>
              <w:bottom w:val="nil"/>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767,3</w:t>
            </w:r>
          </w:p>
        </w:tc>
        <w:tc>
          <w:tcPr>
            <w:tcW w:w="992" w:type="dxa"/>
            <w:tcBorders>
              <w:top w:val="nil"/>
              <w:left w:val="nil"/>
              <w:bottom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1830,7</w:t>
            </w:r>
          </w:p>
        </w:tc>
        <w:tc>
          <w:tcPr>
            <w:tcW w:w="851" w:type="dxa"/>
            <w:tcBorders>
              <w:top w:val="nil"/>
              <w:left w:val="nil"/>
              <w:bottom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1075,0</w:t>
            </w:r>
          </w:p>
        </w:tc>
        <w:tc>
          <w:tcPr>
            <w:tcW w:w="850" w:type="dxa"/>
            <w:tcBorders>
              <w:top w:val="nil"/>
              <w:left w:val="nil"/>
              <w:bottom w:val="nil"/>
              <w:right w:val="nil"/>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755,6</w:t>
            </w:r>
          </w:p>
        </w:tc>
        <w:tc>
          <w:tcPr>
            <w:tcW w:w="851" w:type="dxa"/>
            <w:tcBorders>
              <w:top w:val="nil"/>
              <w:left w:val="single" w:sz="4" w:space="0" w:color="auto"/>
              <w:bottom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-20,9 </w:t>
            </w:r>
          </w:p>
        </w:tc>
        <w:tc>
          <w:tcPr>
            <w:tcW w:w="709" w:type="dxa"/>
            <w:tcBorders>
              <w:top w:val="nil"/>
              <w:left w:val="nil"/>
              <w:bottom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-9,3 </w:t>
            </w:r>
          </w:p>
        </w:tc>
        <w:tc>
          <w:tcPr>
            <w:tcW w:w="726" w:type="dxa"/>
            <w:tcBorders>
              <w:top w:val="nil"/>
              <w:left w:val="nil"/>
              <w:bottom w:val="nil"/>
              <w:right w:val="nil"/>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-11,7 </w:t>
            </w:r>
          </w:p>
        </w:tc>
        <w:tc>
          <w:tcPr>
            <w:tcW w:w="709" w:type="dxa"/>
            <w:tcBorders>
              <w:top w:val="nil"/>
              <w:left w:val="single" w:sz="4" w:space="0" w:color="auto"/>
              <w:bottom w:val="nil"/>
              <w:right w:val="double" w:sz="6"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98,9 </w:t>
            </w:r>
          </w:p>
        </w:tc>
      </w:tr>
      <w:tr w:rsidR="00CA0370" w:rsidRPr="00E04C25" w:rsidTr="00CA0370">
        <w:trPr>
          <w:trHeight w:val="312"/>
        </w:trPr>
        <w:tc>
          <w:tcPr>
            <w:tcW w:w="896" w:type="dxa"/>
            <w:tcBorders>
              <w:top w:val="nil"/>
              <w:left w:val="double" w:sz="6" w:space="0" w:color="auto"/>
              <w:bottom w:val="nil"/>
              <w:right w:val="nil"/>
            </w:tcBorders>
            <w:shd w:val="clear" w:color="auto" w:fill="auto"/>
            <w:noWrap/>
            <w:vAlign w:val="center"/>
          </w:tcPr>
          <w:p w:rsidR="00CA0370" w:rsidRPr="00E04C25" w:rsidRDefault="00CA0370" w:rsidP="00AE65A5">
            <w:pPr>
              <w:tabs>
                <w:tab w:val="left" w:pos="709"/>
              </w:tabs>
              <w:jc w:val="center"/>
              <w:rPr>
                <w:rFonts w:ascii="Arial" w:hAnsi="Arial" w:cs="Arial"/>
                <w:sz w:val="18"/>
                <w:szCs w:val="18"/>
              </w:rPr>
            </w:pPr>
            <w:r w:rsidRPr="00E04C25">
              <w:rPr>
                <w:rFonts w:ascii="Arial" w:hAnsi="Arial" w:cs="Arial"/>
                <w:sz w:val="18"/>
                <w:szCs w:val="18"/>
              </w:rPr>
              <w:t>40-54</w:t>
            </w:r>
          </w:p>
        </w:tc>
        <w:tc>
          <w:tcPr>
            <w:tcW w:w="970" w:type="dxa"/>
            <w:tcBorders>
              <w:top w:val="nil"/>
              <w:left w:val="single" w:sz="4" w:space="0" w:color="auto"/>
              <w:bottom w:val="nil"/>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2074,0</w:t>
            </w:r>
          </w:p>
        </w:tc>
        <w:tc>
          <w:tcPr>
            <w:tcW w:w="851" w:type="dxa"/>
            <w:tcBorders>
              <w:top w:val="nil"/>
              <w:left w:val="nil"/>
              <w:bottom w:val="nil"/>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1090,7</w:t>
            </w:r>
          </w:p>
        </w:tc>
        <w:tc>
          <w:tcPr>
            <w:tcW w:w="850" w:type="dxa"/>
            <w:tcBorders>
              <w:top w:val="nil"/>
              <w:left w:val="nil"/>
              <w:bottom w:val="nil"/>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983,4</w:t>
            </w:r>
          </w:p>
        </w:tc>
        <w:tc>
          <w:tcPr>
            <w:tcW w:w="992" w:type="dxa"/>
            <w:tcBorders>
              <w:top w:val="nil"/>
              <w:left w:val="nil"/>
              <w:bottom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2145,9</w:t>
            </w:r>
          </w:p>
        </w:tc>
        <w:tc>
          <w:tcPr>
            <w:tcW w:w="851" w:type="dxa"/>
            <w:tcBorders>
              <w:top w:val="nil"/>
              <w:left w:val="nil"/>
              <w:bottom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1128,4</w:t>
            </w:r>
          </w:p>
        </w:tc>
        <w:tc>
          <w:tcPr>
            <w:tcW w:w="850" w:type="dxa"/>
            <w:tcBorders>
              <w:top w:val="nil"/>
              <w:left w:val="nil"/>
              <w:bottom w:val="nil"/>
              <w:right w:val="nil"/>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1017,6</w:t>
            </w:r>
          </w:p>
        </w:tc>
        <w:tc>
          <w:tcPr>
            <w:tcW w:w="851" w:type="dxa"/>
            <w:tcBorders>
              <w:top w:val="nil"/>
              <w:left w:val="single" w:sz="4" w:space="0" w:color="auto"/>
              <w:bottom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71,9 </w:t>
            </w:r>
          </w:p>
        </w:tc>
        <w:tc>
          <w:tcPr>
            <w:tcW w:w="709" w:type="dxa"/>
            <w:tcBorders>
              <w:top w:val="nil"/>
              <w:left w:val="nil"/>
              <w:bottom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37,7 </w:t>
            </w:r>
          </w:p>
        </w:tc>
        <w:tc>
          <w:tcPr>
            <w:tcW w:w="726" w:type="dxa"/>
            <w:tcBorders>
              <w:top w:val="nil"/>
              <w:left w:val="nil"/>
              <w:bottom w:val="nil"/>
              <w:right w:val="nil"/>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34,2 </w:t>
            </w:r>
          </w:p>
        </w:tc>
        <w:tc>
          <w:tcPr>
            <w:tcW w:w="709" w:type="dxa"/>
            <w:tcBorders>
              <w:top w:val="nil"/>
              <w:left w:val="single" w:sz="4" w:space="0" w:color="auto"/>
              <w:bottom w:val="nil"/>
              <w:right w:val="double" w:sz="6"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103,5 </w:t>
            </w:r>
          </w:p>
        </w:tc>
      </w:tr>
      <w:tr w:rsidR="00CA0370" w:rsidRPr="00E04C25" w:rsidTr="00CA0370">
        <w:trPr>
          <w:trHeight w:val="312"/>
        </w:trPr>
        <w:tc>
          <w:tcPr>
            <w:tcW w:w="896" w:type="dxa"/>
            <w:tcBorders>
              <w:top w:val="nil"/>
              <w:left w:val="double" w:sz="6" w:space="0" w:color="auto"/>
              <w:bottom w:val="nil"/>
              <w:right w:val="nil"/>
            </w:tcBorders>
            <w:shd w:val="clear" w:color="auto" w:fill="auto"/>
            <w:noWrap/>
            <w:vAlign w:val="center"/>
          </w:tcPr>
          <w:p w:rsidR="00CA0370" w:rsidRPr="00E04C25" w:rsidRDefault="00CA0370" w:rsidP="00AE65A5">
            <w:pPr>
              <w:tabs>
                <w:tab w:val="left" w:pos="709"/>
              </w:tabs>
              <w:jc w:val="center"/>
              <w:rPr>
                <w:rFonts w:ascii="Arial" w:hAnsi="Arial" w:cs="Arial"/>
                <w:sz w:val="18"/>
                <w:szCs w:val="18"/>
              </w:rPr>
            </w:pPr>
            <w:r w:rsidRPr="00E04C25">
              <w:rPr>
                <w:rFonts w:ascii="Arial" w:hAnsi="Arial" w:cs="Arial"/>
                <w:sz w:val="18"/>
                <w:szCs w:val="18"/>
              </w:rPr>
              <w:t>55-64</w:t>
            </w:r>
          </w:p>
        </w:tc>
        <w:tc>
          <w:tcPr>
            <w:tcW w:w="970" w:type="dxa"/>
            <w:tcBorders>
              <w:top w:val="nil"/>
              <w:left w:val="single" w:sz="4" w:space="0" w:color="auto"/>
              <w:bottom w:val="nil"/>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795,3</w:t>
            </w:r>
          </w:p>
        </w:tc>
        <w:tc>
          <w:tcPr>
            <w:tcW w:w="851" w:type="dxa"/>
            <w:tcBorders>
              <w:top w:val="nil"/>
              <w:left w:val="nil"/>
              <w:bottom w:val="nil"/>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452,4</w:t>
            </w:r>
          </w:p>
        </w:tc>
        <w:tc>
          <w:tcPr>
            <w:tcW w:w="850" w:type="dxa"/>
            <w:tcBorders>
              <w:top w:val="nil"/>
              <w:left w:val="nil"/>
              <w:bottom w:val="nil"/>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342,9</w:t>
            </w:r>
          </w:p>
        </w:tc>
        <w:tc>
          <w:tcPr>
            <w:tcW w:w="992" w:type="dxa"/>
            <w:tcBorders>
              <w:top w:val="nil"/>
              <w:left w:val="nil"/>
              <w:bottom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826,0</w:t>
            </w:r>
          </w:p>
        </w:tc>
        <w:tc>
          <w:tcPr>
            <w:tcW w:w="851" w:type="dxa"/>
            <w:tcBorders>
              <w:top w:val="nil"/>
              <w:left w:val="nil"/>
              <w:bottom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466,4</w:t>
            </w:r>
          </w:p>
        </w:tc>
        <w:tc>
          <w:tcPr>
            <w:tcW w:w="850" w:type="dxa"/>
            <w:tcBorders>
              <w:top w:val="nil"/>
              <w:left w:val="nil"/>
              <w:bottom w:val="nil"/>
              <w:right w:val="nil"/>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359,6</w:t>
            </w:r>
          </w:p>
        </w:tc>
        <w:tc>
          <w:tcPr>
            <w:tcW w:w="851" w:type="dxa"/>
            <w:tcBorders>
              <w:top w:val="nil"/>
              <w:left w:val="single" w:sz="4" w:space="0" w:color="auto"/>
              <w:bottom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30,7 </w:t>
            </w:r>
          </w:p>
        </w:tc>
        <w:tc>
          <w:tcPr>
            <w:tcW w:w="709" w:type="dxa"/>
            <w:tcBorders>
              <w:top w:val="nil"/>
              <w:left w:val="nil"/>
              <w:bottom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14,0 </w:t>
            </w:r>
          </w:p>
        </w:tc>
        <w:tc>
          <w:tcPr>
            <w:tcW w:w="726" w:type="dxa"/>
            <w:tcBorders>
              <w:top w:val="nil"/>
              <w:left w:val="nil"/>
              <w:bottom w:val="nil"/>
              <w:right w:val="nil"/>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16,7 </w:t>
            </w:r>
          </w:p>
        </w:tc>
        <w:tc>
          <w:tcPr>
            <w:tcW w:w="709" w:type="dxa"/>
            <w:tcBorders>
              <w:top w:val="nil"/>
              <w:left w:val="single" w:sz="4" w:space="0" w:color="auto"/>
              <w:bottom w:val="nil"/>
              <w:right w:val="double" w:sz="6"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103,9 </w:t>
            </w:r>
          </w:p>
        </w:tc>
      </w:tr>
      <w:tr w:rsidR="00CA0370" w:rsidRPr="00E04C25" w:rsidTr="00CA0370">
        <w:trPr>
          <w:trHeight w:val="312"/>
        </w:trPr>
        <w:tc>
          <w:tcPr>
            <w:tcW w:w="896" w:type="dxa"/>
            <w:tcBorders>
              <w:top w:val="nil"/>
              <w:left w:val="double" w:sz="6" w:space="0" w:color="auto"/>
              <w:bottom w:val="single" w:sz="4" w:space="0" w:color="auto"/>
              <w:right w:val="nil"/>
            </w:tcBorders>
            <w:shd w:val="clear" w:color="auto" w:fill="auto"/>
            <w:noWrap/>
            <w:vAlign w:val="center"/>
          </w:tcPr>
          <w:p w:rsidR="00CA0370" w:rsidRPr="00E04C25" w:rsidRDefault="00CA0370" w:rsidP="00AE65A5">
            <w:pPr>
              <w:tabs>
                <w:tab w:val="left" w:pos="709"/>
              </w:tabs>
              <w:jc w:val="center"/>
              <w:rPr>
                <w:rFonts w:ascii="Arial" w:hAnsi="Arial" w:cs="Arial"/>
                <w:sz w:val="18"/>
                <w:szCs w:val="18"/>
              </w:rPr>
            </w:pPr>
            <w:r w:rsidRPr="00E04C25">
              <w:rPr>
                <w:rFonts w:ascii="Arial" w:hAnsi="Arial" w:cs="Arial"/>
                <w:sz w:val="18"/>
                <w:szCs w:val="18"/>
              </w:rPr>
              <w:t>65+</w:t>
            </w:r>
          </w:p>
        </w:tc>
        <w:tc>
          <w:tcPr>
            <w:tcW w:w="970" w:type="dxa"/>
            <w:tcBorders>
              <w:top w:val="nil"/>
              <w:left w:val="single" w:sz="4" w:space="0" w:color="auto"/>
              <w:bottom w:val="single" w:sz="4" w:space="0" w:color="auto"/>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122,7</w:t>
            </w:r>
          </w:p>
        </w:tc>
        <w:tc>
          <w:tcPr>
            <w:tcW w:w="851" w:type="dxa"/>
            <w:tcBorders>
              <w:top w:val="nil"/>
              <w:left w:val="nil"/>
              <w:bottom w:val="single" w:sz="4" w:space="0" w:color="auto"/>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71,1</w:t>
            </w:r>
          </w:p>
        </w:tc>
        <w:tc>
          <w:tcPr>
            <w:tcW w:w="850" w:type="dxa"/>
            <w:tcBorders>
              <w:top w:val="nil"/>
              <w:left w:val="nil"/>
              <w:bottom w:val="single" w:sz="4" w:space="0" w:color="auto"/>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51,6</w:t>
            </w:r>
          </w:p>
        </w:tc>
        <w:tc>
          <w:tcPr>
            <w:tcW w:w="992" w:type="dxa"/>
            <w:tcBorders>
              <w:top w:val="nil"/>
              <w:left w:val="nil"/>
              <w:bottom w:val="single" w:sz="4" w:space="0" w:color="auto"/>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127,7</w:t>
            </w:r>
          </w:p>
        </w:tc>
        <w:tc>
          <w:tcPr>
            <w:tcW w:w="851" w:type="dxa"/>
            <w:tcBorders>
              <w:top w:val="nil"/>
              <w:left w:val="nil"/>
              <w:bottom w:val="single" w:sz="4" w:space="0" w:color="auto"/>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72,9</w:t>
            </w:r>
          </w:p>
        </w:tc>
        <w:tc>
          <w:tcPr>
            <w:tcW w:w="850" w:type="dxa"/>
            <w:tcBorders>
              <w:top w:val="nil"/>
              <w:left w:val="nil"/>
              <w:bottom w:val="single" w:sz="4" w:space="0" w:color="auto"/>
              <w:right w:val="nil"/>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54,8</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5,0 </w:t>
            </w:r>
          </w:p>
        </w:tc>
        <w:tc>
          <w:tcPr>
            <w:tcW w:w="709" w:type="dxa"/>
            <w:tcBorders>
              <w:top w:val="nil"/>
              <w:left w:val="nil"/>
              <w:bottom w:val="single" w:sz="4" w:space="0" w:color="auto"/>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1,8 </w:t>
            </w:r>
          </w:p>
        </w:tc>
        <w:tc>
          <w:tcPr>
            <w:tcW w:w="726" w:type="dxa"/>
            <w:tcBorders>
              <w:top w:val="nil"/>
              <w:left w:val="nil"/>
              <w:bottom w:val="single" w:sz="4" w:space="0" w:color="auto"/>
              <w:right w:val="nil"/>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3,2 </w:t>
            </w:r>
          </w:p>
        </w:tc>
        <w:tc>
          <w:tcPr>
            <w:tcW w:w="709" w:type="dxa"/>
            <w:tcBorders>
              <w:top w:val="nil"/>
              <w:left w:val="single" w:sz="4" w:space="0" w:color="auto"/>
              <w:bottom w:val="single" w:sz="4" w:space="0" w:color="auto"/>
              <w:right w:val="double" w:sz="6"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104,1 </w:t>
            </w:r>
          </w:p>
        </w:tc>
      </w:tr>
      <w:tr w:rsidR="00CA0370" w:rsidRPr="00E04C25" w:rsidTr="00CA0370">
        <w:trPr>
          <w:trHeight w:val="312"/>
        </w:trPr>
        <w:tc>
          <w:tcPr>
            <w:tcW w:w="896" w:type="dxa"/>
            <w:tcBorders>
              <w:top w:val="single" w:sz="4" w:space="0" w:color="auto"/>
              <w:left w:val="double" w:sz="6" w:space="0" w:color="auto"/>
              <w:right w:val="nil"/>
            </w:tcBorders>
            <w:shd w:val="clear" w:color="auto" w:fill="auto"/>
            <w:noWrap/>
            <w:vAlign w:val="center"/>
          </w:tcPr>
          <w:p w:rsidR="00CA0370" w:rsidRPr="00E04C25" w:rsidRDefault="00CA0370" w:rsidP="00AE65A5">
            <w:pPr>
              <w:tabs>
                <w:tab w:val="left" w:pos="709"/>
              </w:tabs>
              <w:jc w:val="center"/>
              <w:rPr>
                <w:rFonts w:ascii="Arial" w:hAnsi="Arial" w:cs="Arial"/>
                <w:b/>
                <w:sz w:val="18"/>
                <w:szCs w:val="18"/>
              </w:rPr>
            </w:pPr>
            <w:r w:rsidRPr="00E04C25">
              <w:rPr>
                <w:rFonts w:ascii="Arial" w:hAnsi="Arial" w:cs="Arial"/>
                <w:b/>
                <w:sz w:val="18"/>
                <w:szCs w:val="18"/>
              </w:rPr>
              <w:t>15-64</w:t>
            </w:r>
          </w:p>
        </w:tc>
        <w:tc>
          <w:tcPr>
            <w:tcW w:w="970" w:type="dxa"/>
            <w:tcBorders>
              <w:top w:val="single" w:sz="4" w:space="0" w:color="auto"/>
              <w:left w:val="single" w:sz="4" w:space="0" w:color="auto"/>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5015,9</w:t>
            </w:r>
          </w:p>
        </w:tc>
        <w:tc>
          <w:tcPr>
            <w:tcW w:w="851" w:type="dxa"/>
            <w:tcBorders>
              <w:top w:val="single" w:sz="4" w:space="0" w:color="auto"/>
              <w:left w:val="nil"/>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2805,6</w:t>
            </w:r>
          </w:p>
        </w:tc>
        <w:tc>
          <w:tcPr>
            <w:tcW w:w="850" w:type="dxa"/>
            <w:tcBorders>
              <w:top w:val="single" w:sz="4" w:space="0" w:color="auto"/>
              <w:left w:val="nil"/>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2210,3</w:t>
            </w:r>
          </w:p>
        </w:tc>
        <w:tc>
          <w:tcPr>
            <w:tcW w:w="992" w:type="dxa"/>
            <w:tcBorders>
              <w:top w:val="single" w:sz="4" w:space="0" w:color="auto"/>
              <w:left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5093,9</w:t>
            </w:r>
          </w:p>
        </w:tc>
        <w:tc>
          <w:tcPr>
            <w:tcW w:w="851" w:type="dxa"/>
            <w:tcBorders>
              <w:top w:val="single" w:sz="4" w:space="0" w:color="auto"/>
              <w:left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2842,9</w:t>
            </w:r>
          </w:p>
        </w:tc>
        <w:tc>
          <w:tcPr>
            <w:tcW w:w="850" w:type="dxa"/>
            <w:tcBorders>
              <w:top w:val="single" w:sz="4" w:space="0" w:color="auto"/>
              <w:left w:val="nil"/>
              <w:right w:val="nil"/>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2251,0</w:t>
            </w:r>
          </w:p>
        </w:tc>
        <w:tc>
          <w:tcPr>
            <w:tcW w:w="851" w:type="dxa"/>
            <w:tcBorders>
              <w:top w:val="single" w:sz="4" w:space="0" w:color="auto"/>
              <w:left w:val="single" w:sz="4" w:space="0" w:color="auto"/>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78,0 </w:t>
            </w:r>
          </w:p>
        </w:tc>
        <w:tc>
          <w:tcPr>
            <w:tcW w:w="709" w:type="dxa"/>
            <w:tcBorders>
              <w:top w:val="single" w:sz="4" w:space="0" w:color="auto"/>
              <w:left w:val="nil"/>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37,3 </w:t>
            </w:r>
          </w:p>
        </w:tc>
        <w:tc>
          <w:tcPr>
            <w:tcW w:w="726" w:type="dxa"/>
            <w:tcBorders>
              <w:top w:val="single" w:sz="4" w:space="0" w:color="auto"/>
              <w:left w:val="nil"/>
              <w:right w:val="nil"/>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40,7 </w:t>
            </w:r>
          </w:p>
        </w:tc>
        <w:tc>
          <w:tcPr>
            <w:tcW w:w="709" w:type="dxa"/>
            <w:tcBorders>
              <w:top w:val="single" w:sz="4" w:space="0" w:color="auto"/>
              <w:left w:val="single" w:sz="4" w:space="0" w:color="auto"/>
              <w:right w:val="double" w:sz="6"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101,6 </w:t>
            </w:r>
          </w:p>
        </w:tc>
      </w:tr>
      <w:tr w:rsidR="00CA0370" w:rsidRPr="00E04C25" w:rsidTr="00CA0370">
        <w:trPr>
          <w:trHeight w:val="312"/>
        </w:trPr>
        <w:tc>
          <w:tcPr>
            <w:tcW w:w="896" w:type="dxa"/>
            <w:tcBorders>
              <w:left w:val="double" w:sz="6" w:space="0" w:color="auto"/>
              <w:bottom w:val="double" w:sz="6" w:space="0" w:color="auto"/>
              <w:right w:val="nil"/>
            </w:tcBorders>
            <w:shd w:val="clear" w:color="auto" w:fill="auto"/>
            <w:noWrap/>
            <w:vAlign w:val="center"/>
          </w:tcPr>
          <w:p w:rsidR="00CA0370" w:rsidRPr="00E04C25" w:rsidRDefault="00CA0370" w:rsidP="00AE65A5">
            <w:pPr>
              <w:tabs>
                <w:tab w:val="left" w:pos="709"/>
              </w:tabs>
              <w:jc w:val="center"/>
              <w:rPr>
                <w:rFonts w:ascii="Arial" w:hAnsi="Arial" w:cs="Arial"/>
                <w:b/>
                <w:sz w:val="18"/>
                <w:szCs w:val="18"/>
              </w:rPr>
            </w:pPr>
            <w:r w:rsidRPr="00E04C25">
              <w:rPr>
                <w:rFonts w:ascii="Arial" w:hAnsi="Arial" w:cs="Arial"/>
                <w:b/>
                <w:sz w:val="18"/>
                <w:szCs w:val="18"/>
              </w:rPr>
              <w:t>20-64</w:t>
            </w:r>
          </w:p>
        </w:tc>
        <w:tc>
          <w:tcPr>
            <w:tcW w:w="970" w:type="dxa"/>
            <w:tcBorders>
              <w:left w:val="single" w:sz="4" w:space="0" w:color="auto"/>
              <w:bottom w:val="double" w:sz="6" w:space="0" w:color="auto"/>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4995,0</w:t>
            </w:r>
          </w:p>
        </w:tc>
        <w:tc>
          <w:tcPr>
            <w:tcW w:w="851" w:type="dxa"/>
            <w:tcBorders>
              <w:left w:val="nil"/>
              <w:bottom w:val="double" w:sz="6" w:space="0" w:color="auto"/>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2794,1</w:t>
            </w:r>
          </w:p>
        </w:tc>
        <w:tc>
          <w:tcPr>
            <w:tcW w:w="850" w:type="dxa"/>
            <w:tcBorders>
              <w:left w:val="nil"/>
              <w:bottom w:val="double" w:sz="6" w:space="0" w:color="auto"/>
              <w:right w:val="single" w:sz="4" w:space="0" w:color="auto"/>
            </w:tcBorders>
            <w:shd w:val="clear" w:color="auto" w:fill="auto"/>
            <w:noWrap/>
            <w:vAlign w:val="center"/>
          </w:tcPr>
          <w:p w:rsidR="00CA0370" w:rsidRPr="00E04C25" w:rsidRDefault="00CA0370" w:rsidP="00CA0370">
            <w:pPr>
              <w:tabs>
                <w:tab w:val="left" w:pos="709"/>
              </w:tabs>
              <w:jc w:val="right"/>
              <w:rPr>
                <w:rFonts w:ascii="Arial" w:hAnsi="Arial" w:cs="Arial"/>
                <w:sz w:val="18"/>
                <w:szCs w:val="18"/>
              </w:rPr>
            </w:pPr>
            <w:r w:rsidRPr="00E04C25">
              <w:rPr>
                <w:rFonts w:ascii="Arial" w:hAnsi="Arial" w:cs="Arial"/>
                <w:sz w:val="18"/>
                <w:szCs w:val="18"/>
              </w:rPr>
              <w:t>2200,9</w:t>
            </w:r>
          </w:p>
        </w:tc>
        <w:tc>
          <w:tcPr>
            <w:tcW w:w="992" w:type="dxa"/>
            <w:tcBorders>
              <w:left w:val="nil"/>
              <w:bottom w:val="double" w:sz="6" w:space="0" w:color="auto"/>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5070,9</w:t>
            </w:r>
          </w:p>
        </w:tc>
        <w:tc>
          <w:tcPr>
            <w:tcW w:w="851" w:type="dxa"/>
            <w:tcBorders>
              <w:left w:val="nil"/>
              <w:bottom w:val="double" w:sz="6" w:space="0" w:color="auto"/>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2829,4</w:t>
            </w:r>
          </w:p>
        </w:tc>
        <w:tc>
          <w:tcPr>
            <w:tcW w:w="850" w:type="dxa"/>
            <w:tcBorders>
              <w:left w:val="nil"/>
              <w:bottom w:val="double" w:sz="6" w:space="0" w:color="auto"/>
              <w:right w:val="nil"/>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2241,5</w:t>
            </w:r>
          </w:p>
        </w:tc>
        <w:tc>
          <w:tcPr>
            <w:tcW w:w="851" w:type="dxa"/>
            <w:tcBorders>
              <w:left w:val="single" w:sz="4" w:space="0" w:color="auto"/>
              <w:bottom w:val="double" w:sz="6" w:space="0" w:color="auto"/>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75,9 </w:t>
            </w:r>
          </w:p>
        </w:tc>
        <w:tc>
          <w:tcPr>
            <w:tcW w:w="709" w:type="dxa"/>
            <w:tcBorders>
              <w:left w:val="nil"/>
              <w:bottom w:val="double" w:sz="6" w:space="0" w:color="auto"/>
              <w:right w:val="single" w:sz="4"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35,3 </w:t>
            </w:r>
          </w:p>
        </w:tc>
        <w:tc>
          <w:tcPr>
            <w:tcW w:w="726" w:type="dxa"/>
            <w:tcBorders>
              <w:left w:val="nil"/>
              <w:bottom w:val="double" w:sz="6" w:space="0" w:color="auto"/>
              <w:right w:val="nil"/>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40,6 </w:t>
            </w:r>
          </w:p>
        </w:tc>
        <w:tc>
          <w:tcPr>
            <w:tcW w:w="709" w:type="dxa"/>
            <w:tcBorders>
              <w:left w:val="single" w:sz="4" w:space="0" w:color="auto"/>
              <w:bottom w:val="double" w:sz="6" w:space="0" w:color="auto"/>
              <w:right w:val="double" w:sz="6" w:space="0" w:color="auto"/>
            </w:tcBorders>
            <w:shd w:val="clear" w:color="auto" w:fill="auto"/>
            <w:noWrap/>
            <w:vAlign w:val="center"/>
          </w:tcPr>
          <w:p w:rsidR="00CA0370" w:rsidRPr="00E04C25" w:rsidRDefault="00CA0370" w:rsidP="00CA0370">
            <w:pPr>
              <w:jc w:val="right"/>
              <w:rPr>
                <w:rFonts w:ascii="Arial" w:hAnsi="Arial" w:cs="Arial"/>
                <w:sz w:val="18"/>
                <w:szCs w:val="18"/>
              </w:rPr>
            </w:pPr>
            <w:r w:rsidRPr="00E04C25">
              <w:rPr>
                <w:rFonts w:ascii="Arial" w:hAnsi="Arial" w:cs="Arial"/>
                <w:sz w:val="18"/>
                <w:szCs w:val="18"/>
              </w:rPr>
              <w:t xml:space="preserve">101,5 </w:t>
            </w:r>
          </w:p>
        </w:tc>
      </w:tr>
    </w:tbl>
    <w:p w:rsidR="00762875" w:rsidRPr="00E04C25" w:rsidRDefault="00762875" w:rsidP="00AE65A5">
      <w:pPr>
        <w:tabs>
          <w:tab w:val="left" w:pos="709"/>
        </w:tabs>
        <w:spacing w:line="480" w:lineRule="auto"/>
        <w:jc w:val="both"/>
        <w:rPr>
          <w:rFonts w:ascii="Arial" w:hAnsi="Arial" w:cs="Arial"/>
          <w:i/>
          <w:iCs/>
          <w:sz w:val="18"/>
          <w:szCs w:val="18"/>
        </w:rPr>
      </w:pPr>
      <w:r w:rsidRPr="00E04C25">
        <w:rPr>
          <w:rFonts w:ascii="Arial" w:hAnsi="Arial" w:cs="Arial"/>
          <w:i/>
          <w:iCs/>
          <w:sz w:val="18"/>
          <w:szCs w:val="18"/>
        </w:rPr>
        <w:t>Zdroj: ČSÚ – VŠPS</w:t>
      </w:r>
    </w:p>
    <w:p w:rsidR="00D520D5" w:rsidRPr="00E04C25" w:rsidRDefault="00AE65A5" w:rsidP="00AE65A5">
      <w:pPr>
        <w:tabs>
          <w:tab w:val="left" w:pos="709"/>
        </w:tabs>
        <w:spacing w:line="360" w:lineRule="auto"/>
        <w:jc w:val="both"/>
        <w:rPr>
          <w:rFonts w:ascii="Arial" w:hAnsi="Arial" w:cs="Arial"/>
        </w:rPr>
      </w:pPr>
      <w:r w:rsidRPr="00E04C25">
        <w:rPr>
          <w:rFonts w:ascii="Arial" w:hAnsi="Arial" w:cs="Arial"/>
        </w:rPr>
        <w:tab/>
      </w:r>
      <w:r w:rsidR="00D520D5" w:rsidRPr="00E04C25">
        <w:rPr>
          <w:rFonts w:ascii="Arial" w:hAnsi="Arial" w:cs="Arial"/>
        </w:rPr>
        <w:t xml:space="preserve">Souběžně s absolutním nárůstem zaměstnanosti rostla i </w:t>
      </w:r>
      <w:r w:rsidR="00D520D5" w:rsidRPr="00E04C25">
        <w:rPr>
          <w:rFonts w:ascii="Arial" w:hAnsi="Arial" w:cs="Arial"/>
          <w:b/>
        </w:rPr>
        <w:t>míra zaměstnanosti</w:t>
      </w:r>
      <w:r w:rsidR="00D520D5" w:rsidRPr="00E04C25">
        <w:rPr>
          <w:rFonts w:ascii="Arial" w:hAnsi="Arial" w:cs="Arial"/>
        </w:rPr>
        <w:t xml:space="preserve"> (MZ). Celková </w:t>
      </w:r>
      <w:r w:rsidR="00D520D5" w:rsidRPr="00E04C25">
        <w:rPr>
          <w:rFonts w:ascii="Arial" w:hAnsi="Arial" w:cs="Arial"/>
          <w:b/>
        </w:rPr>
        <w:t>MZ</w:t>
      </w:r>
      <w:r w:rsidR="00D520D5" w:rsidRPr="00E04C25">
        <w:rPr>
          <w:rFonts w:ascii="Arial" w:hAnsi="Arial" w:cs="Arial"/>
        </w:rPr>
        <w:t xml:space="preserve"> osob ve věku </w:t>
      </w:r>
      <w:r w:rsidR="00D520D5" w:rsidRPr="00E04C25">
        <w:rPr>
          <w:rFonts w:ascii="Arial" w:hAnsi="Arial" w:cs="Arial"/>
          <w:b/>
        </w:rPr>
        <w:t>15+ se zvýšila</w:t>
      </w:r>
      <w:r w:rsidR="00D520D5" w:rsidRPr="00E04C25">
        <w:rPr>
          <w:rFonts w:ascii="Arial" w:hAnsi="Arial" w:cs="Arial"/>
        </w:rPr>
        <w:t xml:space="preserve"> (o </w:t>
      </w:r>
      <w:r w:rsidR="00046EF3" w:rsidRPr="00E04C25">
        <w:rPr>
          <w:rFonts w:ascii="Arial" w:hAnsi="Arial" w:cs="Arial"/>
        </w:rPr>
        <w:t>0</w:t>
      </w:r>
      <w:r w:rsidR="00D520D5" w:rsidRPr="00E04C25">
        <w:rPr>
          <w:rFonts w:ascii="Arial" w:hAnsi="Arial" w:cs="Arial"/>
        </w:rPr>
        <w:t>,</w:t>
      </w:r>
      <w:r w:rsidR="00046EF3" w:rsidRPr="00E04C25">
        <w:rPr>
          <w:rFonts w:ascii="Arial" w:hAnsi="Arial" w:cs="Arial"/>
        </w:rPr>
        <w:t>9</w:t>
      </w:r>
      <w:r w:rsidR="00D520D5" w:rsidRPr="00E04C25">
        <w:rPr>
          <w:rFonts w:ascii="Arial" w:hAnsi="Arial" w:cs="Arial"/>
        </w:rPr>
        <w:t xml:space="preserve"> p. b.) </w:t>
      </w:r>
      <w:r w:rsidR="00D520D5" w:rsidRPr="00E04C25">
        <w:rPr>
          <w:rFonts w:ascii="Arial" w:hAnsi="Arial" w:cs="Arial"/>
          <w:b/>
        </w:rPr>
        <w:t>na 5</w:t>
      </w:r>
      <w:r w:rsidR="00046EF3" w:rsidRPr="00E04C25">
        <w:rPr>
          <w:rFonts w:ascii="Arial" w:hAnsi="Arial" w:cs="Arial"/>
          <w:b/>
        </w:rPr>
        <w:t>8</w:t>
      </w:r>
      <w:r w:rsidR="00D520D5" w:rsidRPr="00E04C25">
        <w:rPr>
          <w:rFonts w:ascii="Arial" w:hAnsi="Arial" w:cs="Arial"/>
          <w:b/>
        </w:rPr>
        <w:t>,</w:t>
      </w:r>
      <w:r w:rsidR="009069B7" w:rsidRPr="00E04C25">
        <w:rPr>
          <w:rFonts w:ascii="Arial" w:hAnsi="Arial" w:cs="Arial"/>
          <w:b/>
        </w:rPr>
        <w:t>5</w:t>
      </w:r>
      <w:r w:rsidR="00D520D5" w:rsidRPr="00E04C25">
        <w:rPr>
          <w:rFonts w:ascii="Arial" w:hAnsi="Arial" w:cs="Arial"/>
          <w:b/>
        </w:rPr>
        <w:t> %</w:t>
      </w:r>
      <w:r w:rsidR="00D520D5" w:rsidRPr="00E04C25">
        <w:rPr>
          <w:rFonts w:ascii="Arial" w:hAnsi="Arial" w:cs="Arial"/>
        </w:rPr>
        <w:t xml:space="preserve">, osob ve věku </w:t>
      </w:r>
      <w:r w:rsidR="00D520D5" w:rsidRPr="00E04C25">
        <w:rPr>
          <w:rFonts w:ascii="Arial" w:hAnsi="Arial" w:cs="Arial"/>
          <w:b/>
        </w:rPr>
        <w:t>15 – 64 let</w:t>
      </w:r>
      <w:r w:rsidR="00D520D5" w:rsidRPr="00E04C25">
        <w:rPr>
          <w:rFonts w:ascii="Arial" w:hAnsi="Arial" w:cs="Arial"/>
        </w:rPr>
        <w:t xml:space="preserve"> (o 1,</w:t>
      </w:r>
      <w:r w:rsidR="00046EF3" w:rsidRPr="00E04C25">
        <w:rPr>
          <w:rFonts w:ascii="Arial" w:hAnsi="Arial" w:cs="Arial"/>
        </w:rPr>
        <w:t>6</w:t>
      </w:r>
      <w:r w:rsidR="00D520D5" w:rsidRPr="00E04C25">
        <w:rPr>
          <w:rFonts w:ascii="Arial" w:hAnsi="Arial" w:cs="Arial"/>
        </w:rPr>
        <w:t xml:space="preserve"> p. b.) </w:t>
      </w:r>
      <w:r w:rsidR="00D520D5" w:rsidRPr="00E04C25">
        <w:rPr>
          <w:rFonts w:ascii="Arial" w:hAnsi="Arial" w:cs="Arial"/>
          <w:b/>
        </w:rPr>
        <w:t>na 7</w:t>
      </w:r>
      <w:r w:rsidR="00046EF3" w:rsidRPr="00E04C25">
        <w:rPr>
          <w:rFonts w:ascii="Arial" w:hAnsi="Arial" w:cs="Arial"/>
          <w:b/>
        </w:rPr>
        <w:t>3</w:t>
      </w:r>
      <w:r w:rsidR="00D520D5" w:rsidRPr="00E04C25">
        <w:rPr>
          <w:rFonts w:ascii="Arial" w:hAnsi="Arial" w:cs="Arial"/>
          <w:b/>
        </w:rPr>
        <w:t>,</w:t>
      </w:r>
      <w:r w:rsidR="00046EF3" w:rsidRPr="00E04C25">
        <w:rPr>
          <w:rFonts w:ascii="Arial" w:hAnsi="Arial" w:cs="Arial"/>
          <w:b/>
        </w:rPr>
        <w:t>6</w:t>
      </w:r>
      <w:r w:rsidR="00D520D5" w:rsidRPr="00E04C25">
        <w:rPr>
          <w:rFonts w:ascii="Arial" w:hAnsi="Arial" w:cs="Arial"/>
          <w:b/>
        </w:rPr>
        <w:t> %</w:t>
      </w:r>
      <w:r w:rsidR="00D520D5" w:rsidRPr="00E04C25">
        <w:rPr>
          <w:rFonts w:ascii="Arial" w:hAnsi="Arial" w:cs="Arial"/>
        </w:rPr>
        <w:t xml:space="preserve">. </w:t>
      </w:r>
    </w:p>
    <w:p w:rsidR="007A3807" w:rsidRPr="00E04C25" w:rsidRDefault="007A3807" w:rsidP="00AE65A5">
      <w:pPr>
        <w:pStyle w:val="xl24"/>
        <w:pBdr>
          <w:left w:val="none" w:sz="0" w:space="0" w:color="auto"/>
        </w:pBdr>
        <w:tabs>
          <w:tab w:val="left" w:pos="709"/>
        </w:tabs>
        <w:spacing w:before="0" w:beforeAutospacing="0" w:after="0" w:afterAutospacing="0"/>
        <w:rPr>
          <w:rFonts w:ascii="Arial" w:eastAsia="Times New Roman" w:hAnsi="Arial" w:cs="Arial"/>
          <w:color w:val="auto"/>
          <w:sz w:val="16"/>
          <w:szCs w:val="16"/>
        </w:rPr>
      </w:pPr>
    </w:p>
    <w:p w:rsidR="00AE65A5" w:rsidRPr="00E04C25" w:rsidRDefault="000F3AEE" w:rsidP="00AE65A5">
      <w:pPr>
        <w:pStyle w:val="xl24"/>
        <w:pBdr>
          <w:left w:val="none" w:sz="0" w:space="0" w:color="auto"/>
        </w:pBdr>
        <w:tabs>
          <w:tab w:val="left" w:pos="709"/>
        </w:tabs>
        <w:spacing w:before="0" w:beforeAutospacing="0" w:after="0" w:afterAutospacing="0"/>
        <w:rPr>
          <w:rFonts w:ascii="Arial" w:eastAsia="Times New Roman" w:hAnsi="Arial" w:cs="Arial"/>
          <w:color w:val="auto"/>
        </w:rPr>
      </w:pPr>
      <w:r w:rsidRPr="00E04C25">
        <w:rPr>
          <w:rFonts w:ascii="Arial" w:eastAsia="Times New Roman" w:hAnsi="Arial" w:cs="Arial"/>
          <w:color w:val="auto"/>
        </w:rPr>
        <w:br w:type="column"/>
      </w:r>
      <w:r w:rsidR="00AE65A5" w:rsidRPr="00E04C25">
        <w:rPr>
          <w:rFonts w:ascii="Arial" w:eastAsia="Times New Roman" w:hAnsi="Arial" w:cs="Arial"/>
          <w:color w:val="auto"/>
        </w:rPr>
        <w:lastRenderedPageBreak/>
        <w:t>Míra zaměstnanosti podle věku (v %)</w:t>
      </w:r>
    </w:p>
    <w:p w:rsidR="00AE65A5" w:rsidRPr="00E04C25" w:rsidRDefault="00AE65A5" w:rsidP="00AE65A5">
      <w:pPr>
        <w:tabs>
          <w:tab w:val="left" w:pos="709"/>
        </w:tabs>
        <w:ind w:left="708" w:firstLine="372"/>
        <w:jc w:val="right"/>
        <w:rPr>
          <w:rFonts w:ascii="Arial" w:hAnsi="Arial" w:cs="Arial"/>
          <w:sz w:val="20"/>
          <w:szCs w:val="20"/>
        </w:rPr>
      </w:pPr>
      <w:r w:rsidRPr="00E04C25">
        <w:rPr>
          <w:rFonts w:ascii="Arial" w:hAnsi="Arial" w:cs="Arial"/>
          <w:sz w:val="20"/>
          <w:szCs w:val="20"/>
        </w:rPr>
        <w:t>tab. č. 4</w:t>
      </w:r>
    </w:p>
    <w:tbl>
      <w:tblPr>
        <w:tblW w:w="9023" w:type="dxa"/>
        <w:tblInd w:w="47" w:type="dxa"/>
        <w:tblCellMar>
          <w:left w:w="70" w:type="dxa"/>
          <w:right w:w="70" w:type="dxa"/>
        </w:tblCellMar>
        <w:tblLook w:val="0000"/>
      </w:tblPr>
      <w:tblGrid>
        <w:gridCol w:w="2206"/>
        <w:gridCol w:w="1137"/>
        <w:gridCol w:w="1136"/>
        <w:gridCol w:w="1136"/>
        <w:gridCol w:w="1136"/>
        <w:gridCol w:w="1136"/>
        <w:gridCol w:w="1136"/>
      </w:tblGrid>
      <w:tr w:rsidR="00AE65A5" w:rsidRPr="00E04C25" w:rsidTr="007A3807">
        <w:trPr>
          <w:trHeight w:val="285"/>
        </w:trPr>
        <w:tc>
          <w:tcPr>
            <w:tcW w:w="2206" w:type="dxa"/>
            <w:vMerge w:val="restart"/>
            <w:tcBorders>
              <w:top w:val="double" w:sz="6" w:space="0" w:color="auto"/>
              <w:left w:val="double" w:sz="6" w:space="0" w:color="auto"/>
              <w:bottom w:val="single" w:sz="8" w:space="0" w:color="000000"/>
              <w:right w:val="single" w:sz="4" w:space="0" w:color="auto"/>
            </w:tcBorders>
            <w:shd w:val="clear" w:color="auto" w:fill="auto"/>
            <w:noWrap/>
            <w:vAlign w:val="center"/>
          </w:tcPr>
          <w:p w:rsidR="00AE65A5" w:rsidRPr="00E04C25" w:rsidRDefault="00AE65A5" w:rsidP="00AE65A5">
            <w:pPr>
              <w:tabs>
                <w:tab w:val="left" w:pos="709"/>
              </w:tabs>
              <w:jc w:val="center"/>
              <w:rPr>
                <w:rFonts w:ascii="Arial" w:hAnsi="Arial" w:cs="Arial"/>
                <w:b/>
                <w:bCs/>
                <w:sz w:val="20"/>
                <w:szCs w:val="20"/>
              </w:rPr>
            </w:pPr>
            <w:r w:rsidRPr="00E04C25">
              <w:rPr>
                <w:rFonts w:ascii="Arial" w:hAnsi="Arial" w:cs="Arial"/>
                <w:b/>
                <w:bCs/>
                <w:sz w:val="20"/>
                <w:szCs w:val="20"/>
              </w:rPr>
              <w:t>Věkové skupiny</w:t>
            </w:r>
          </w:p>
        </w:tc>
        <w:tc>
          <w:tcPr>
            <w:tcW w:w="3409" w:type="dxa"/>
            <w:gridSpan w:val="3"/>
            <w:tcBorders>
              <w:top w:val="double" w:sz="6" w:space="0" w:color="auto"/>
              <w:left w:val="single" w:sz="4" w:space="0" w:color="auto"/>
              <w:bottom w:val="nil"/>
              <w:right w:val="single" w:sz="4" w:space="0" w:color="auto"/>
            </w:tcBorders>
            <w:shd w:val="clear" w:color="auto" w:fill="auto"/>
            <w:noWrap/>
            <w:vAlign w:val="bottom"/>
          </w:tcPr>
          <w:p w:rsidR="00AE65A5" w:rsidRPr="00E04C25" w:rsidRDefault="00AE65A5" w:rsidP="00EC746A">
            <w:pPr>
              <w:tabs>
                <w:tab w:val="left" w:pos="709"/>
              </w:tabs>
              <w:jc w:val="center"/>
              <w:rPr>
                <w:rFonts w:ascii="Arial" w:hAnsi="Arial" w:cs="Arial"/>
                <w:b/>
                <w:bCs/>
                <w:sz w:val="20"/>
                <w:szCs w:val="20"/>
              </w:rPr>
            </w:pPr>
            <w:r w:rsidRPr="00E04C25">
              <w:rPr>
                <w:rFonts w:ascii="Arial" w:hAnsi="Arial" w:cs="Arial"/>
                <w:b/>
                <w:bCs/>
                <w:sz w:val="20"/>
                <w:szCs w:val="20"/>
              </w:rPr>
              <w:t>201</w:t>
            </w:r>
            <w:r w:rsidR="00EC746A" w:rsidRPr="00E04C25">
              <w:rPr>
                <w:rFonts w:ascii="Arial" w:hAnsi="Arial" w:cs="Arial"/>
                <w:b/>
                <w:bCs/>
                <w:sz w:val="20"/>
                <w:szCs w:val="20"/>
              </w:rPr>
              <w:t>6</w:t>
            </w:r>
          </w:p>
        </w:tc>
        <w:tc>
          <w:tcPr>
            <w:tcW w:w="3408" w:type="dxa"/>
            <w:gridSpan w:val="3"/>
            <w:tcBorders>
              <w:top w:val="double" w:sz="6" w:space="0" w:color="auto"/>
              <w:left w:val="single" w:sz="4" w:space="0" w:color="auto"/>
              <w:bottom w:val="nil"/>
              <w:right w:val="double" w:sz="6" w:space="0" w:color="000000"/>
            </w:tcBorders>
            <w:shd w:val="clear" w:color="auto" w:fill="auto"/>
            <w:noWrap/>
            <w:vAlign w:val="bottom"/>
          </w:tcPr>
          <w:p w:rsidR="00AE65A5" w:rsidRPr="00E04C25" w:rsidRDefault="00AE65A5" w:rsidP="00EC746A">
            <w:pPr>
              <w:tabs>
                <w:tab w:val="left" w:pos="709"/>
              </w:tabs>
              <w:jc w:val="center"/>
              <w:rPr>
                <w:rFonts w:ascii="Arial" w:hAnsi="Arial" w:cs="Arial"/>
                <w:b/>
                <w:bCs/>
                <w:sz w:val="20"/>
                <w:szCs w:val="20"/>
              </w:rPr>
            </w:pPr>
            <w:r w:rsidRPr="00E04C25">
              <w:rPr>
                <w:rFonts w:ascii="Arial" w:hAnsi="Arial" w:cs="Arial"/>
                <w:b/>
                <w:bCs/>
                <w:sz w:val="20"/>
                <w:szCs w:val="20"/>
              </w:rPr>
              <w:t>201</w:t>
            </w:r>
            <w:r w:rsidR="00EC746A" w:rsidRPr="00E04C25">
              <w:rPr>
                <w:rFonts w:ascii="Arial" w:hAnsi="Arial" w:cs="Arial"/>
                <w:b/>
                <w:bCs/>
                <w:sz w:val="20"/>
                <w:szCs w:val="20"/>
              </w:rPr>
              <w:t>7</w:t>
            </w:r>
          </w:p>
        </w:tc>
      </w:tr>
      <w:tr w:rsidR="00AE65A5" w:rsidRPr="00E04C25" w:rsidTr="007A3807">
        <w:trPr>
          <w:trHeight w:val="270"/>
        </w:trPr>
        <w:tc>
          <w:tcPr>
            <w:tcW w:w="2206" w:type="dxa"/>
            <w:vMerge/>
            <w:tcBorders>
              <w:top w:val="double" w:sz="6" w:space="0" w:color="auto"/>
              <w:left w:val="double" w:sz="6" w:space="0" w:color="auto"/>
              <w:bottom w:val="single" w:sz="8" w:space="0" w:color="000000"/>
              <w:right w:val="single" w:sz="4" w:space="0" w:color="auto"/>
            </w:tcBorders>
            <w:vAlign w:val="center"/>
          </w:tcPr>
          <w:p w:rsidR="00AE65A5" w:rsidRPr="00E04C25" w:rsidRDefault="00AE65A5" w:rsidP="00AE65A5">
            <w:pPr>
              <w:tabs>
                <w:tab w:val="left" w:pos="709"/>
              </w:tabs>
              <w:rPr>
                <w:rFonts w:ascii="Arial" w:hAnsi="Arial" w:cs="Arial"/>
                <w:b/>
                <w:bCs/>
                <w:sz w:val="20"/>
                <w:szCs w:val="20"/>
              </w:rPr>
            </w:pPr>
          </w:p>
        </w:tc>
        <w:tc>
          <w:tcPr>
            <w:tcW w:w="1137" w:type="dxa"/>
            <w:tcBorders>
              <w:top w:val="single" w:sz="8" w:space="0" w:color="auto"/>
              <w:left w:val="single" w:sz="4" w:space="0" w:color="auto"/>
              <w:bottom w:val="single" w:sz="8" w:space="0" w:color="auto"/>
              <w:right w:val="single" w:sz="8" w:space="0" w:color="auto"/>
            </w:tcBorders>
            <w:shd w:val="clear" w:color="auto" w:fill="auto"/>
            <w:noWrap/>
            <w:vAlign w:val="center"/>
          </w:tcPr>
          <w:p w:rsidR="00AE65A5" w:rsidRPr="00E04C25" w:rsidRDefault="00AE65A5" w:rsidP="00AE65A5">
            <w:pPr>
              <w:tabs>
                <w:tab w:val="left" w:pos="709"/>
              </w:tabs>
              <w:jc w:val="center"/>
              <w:rPr>
                <w:rFonts w:ascii="Arial" w:hAnsi="Arial" w:cs="Arial"/>
                <w:b/>
                <w:bCs/>
                <w:sz w:val="20"/>
                <w:szCs w:val="20"/>
              </w:rPr>
            </w:pPr>
            <w:r w:rsidRPr="00E04C25">
              <w:rPr>
                <w:rFonts w:ascii="Arial" w:hAnsi="Arial" w:cs="Arial"/>
                <w:b/>
                <w:bCs/>
                <w:sz w:val="20"/>
                <w:szCs w:val="20"/>
              </w:rPr>
              <w:t>celkem</w:t>
            </w:r>
          </w:p>
        </w:tc>
        <w:tc>
          <w:tcPr>
            <w:tcW w:w="1136" w:type="dxa"/>
            <w:tcBorders>
              <w:top w:val="single" w:sz="8" w:space="0" w:color="auto"/>
              <w:left w:val="nil"/>
              <w:bottom w:val="single" w:sz="8" w:space="0" w:color="auto"/>
              <w:right w:val="single" w:sz="8" w:space="0" w:color="auto"/>
            </w:tcBorders>
            <w:shd w:val="clear" w:color="auto" w:fill="auto"/>
            <w:noWrap/>
            <w:vAlign w:val="center"/>
          </w:tcPr>
          <w:p w:rsidR="00AE65A5" w:rsidRPr="00E04C25" w:rsidRDefault="00AE65A5" w:rsidP="00AE65A5">
            <w:pPr>
              <w:tabs>
                <w:tab w:val="left" w:pos="709"/>
              </w:tabs>
              <w:jc w:val="center"/>
              <w:rPr>
                <w:rFonts w:ascii="Arial" w:hAnsi="Arial" w:cs="Arial"/>
                <w:b/>
                <w:bCs/>
                <w:sz w:val="20"/>
                <w:szCs w:val="20"/>
              </w:rPr>
            </w:pPr>
            <w:r w:rsidRPr="00E04C25">
              <w:rPr>
                <w:rFonts w:ascii="Arial" w:hAnsi="Arial" w:cs="Arial"/>
                <w:b/>
                <w:bCs/>
                <w:sz w:val="20"/>
                <w:szCs w:val="20"/>
              </w:rPr>
              <w:t>muži</w:t>
            </w:r>
          </w:p>
        </w:tc>
        <w:tc>
          <w:tcPr>
            <w:tcW w:w="1136" w:type="dxa"/>
            <w:tcBorders>
              <w:top w:val="single" w:sz="8" w:space="0" w:color="auto"/>
              <w:left w:val="nil"/>
              <w:bottom w:val="single" w:sz="8" w:space="0" w:color="auto"/>
              <w:right w:val="single" w:sz="4" w:space="0" w:color="auto"/>
            </w:tcBorders>
            <w:shd w:val="clear" w:color="auto" w:fill="auto"/>
            <w:noWrap/>
            <w:vAlign w:val="center"/>
          </w:tcPr>
          <w:p w:rsidR="00AE65A5" w:rsidRPr="00E04C25" w:rsidRDefault="00AE65A5" w:rsidP="00AE65A5">
            <w:pPr>
              <w:tabs>
                <w:tab w:val="left" w:pos="709"/>
              </w:tabs>
              <w:jc w:val="center"/>
              <w:rPr>
                <w:rFonts w:ascii="Arial" w:hAnsi="Arial" w:cs="Arial"/>
                <w:b/>
                <w:bCs/>
                <w:sz w:val="20"/>
                <w:szCs w:val="20"/>
              </w:rPr>
            </w:pPr>
            <w:r w:rsidRPr="00E04C25">
              <w:rPr>
                <w:rFonts w:ascii="Arial" w:hAnsi="Arial" w:cs="Arial"/>
                <w:b/>
                <w:bCs/>
                <w:sz w:val="20"/>
                <w:szCs w:val="20"/>
              </w:rPr>
              <w:t>ženy</w:t>
            </w:r>
          </w:p>
        </w:tc>
        <w:tc>
          <w:tcPr>
            <w:tcW w:w="1136" w:type="dxa"/>
            <w:tcBorders>
              <w:top w:val="single" w:sz="8" w:space="0" w:color="auto"/>
              <w:left w:val="single" w:sz="4" w:space="0" w:color="auto"/>
              <w:bottom w:val="single" w:sz="8" w:space="0" w:color="auto"/>
              <w:right w:val="single" w:sz="8" w:space="0" w:color="auto"/>
            </w:tcBorders>
            <w:shd w:val="clear" w:color="auto" w:fill="auto"/>
            <w:noWrap/>
            <w:vAlign w:val="center"/>
          </w:tcPr>
          <w:p w:rsidR="00AE65A5" w:rsidRPr="00E04C25" w:rsidRDefault="00AE65A5" w:rsidP="00AE65A5">
            <w:pPr>
              <w:tabs>
                <w:tab w:val="left" w:pos="709"/>
              </w:tabs>
              <w:jc w:val="center"/>
              <w:rPr>
                <w:rFonts w:ascii="Arial" w:hAnsi="Arial" w:cs="Arial"/>
                <w:b/>
                <w:bCs/>
                <w:sz w:val="20"/>
                <w:szCs w:val="20"/>
              </w:rPr>
            </w:pPr>
            <w:r w:rsidRPr="00E04C25">
              <w:rPr>
                <w:rFonts w:ascii="Arial" w:hAnsi="Arial" w:cs="Arial"/>
                <w:b/>
                <w:bCs/>
                <w:sz w:val="20"/>
                <w:szCs w:val="20"/>
              </w:rPr>
              <w:t>celkem</w:t>
            </w:r>
          </w:p>
        </w:tc>
        <w:tc>
          <w:tcPr>
            <w:tcW w:w="1136" w:type="dxa"/>
            <w:tcBorders>
              <w:top w:val="single" w:sz="8" w:space="0" w:color="auto"/>
              <w:left w:val="nil"/>
              <w:bottom w:val="single" w:sz="8" w:space="0" w:color="auto"/>
              <w:right w:val="single" w:sz="8" w:space="0" w:color="auto"/>
            </w:tcBorders>
            <w:shd w:val="clear" w:color="auto" w:fill="auto"/>
            <w:noWrap/>
            <w:vAlign w:val="center"/>
          </w:tcPr>
          <w:p w:rsidR="00AE65A5" w:rsidRPr="00E04C25" w:rsidRDefault="00AE65A5" w:rsidP="00AE65A5">
            <w:pPr>
              <w:tabs>
                <w:tab w:val="left" w:pos="709"/>
              </w:tabs>
              <w:jc w:val="center"/>
              <w:rPr>
                <w:rFonts w:ascii="Arial" w:hAnsi="Arial" w:cs="Arial"/>
                <w:b/>
                <w:bCs/>
                <w:sz w:val="20"/>
                <w:szCs w:val="20"/>
              </w:rPr>
            </w:pPr>
            <w:r w:rsidRPr="00E04C25">
              <w:rPr>
                <w:rFonts w:ascii="Arial" w:hAnsi="Arial" w:cs="Arial"/>
                <w:b/>
                <w:bCs/>
                <w:sz w:val="20"/>
                <w:szCs w:val="20"/>
              </w:rPr>
              <w:t>muži</w:t>
            </w:r>
          </w:p>
        </w:tc>
        <w:tc>
          <w:tcPr>
            <w:tcW w:w="1136" w:type="dxa"/>
            <w:tcBorders>
              <w:top w:val="single" w:sz="8" w:space="0" w:color="auto"/>
              <w:left w:val="nil"/>
              <w:bottom w:val="single" w:sz="8" w:space="0" w:color="auto"/>
              <w:right w:val="double" w:sz="6" w:space="0" w:color="auto"/>
            </w:tcBorders>
            <w:shd w:val="clear" w:color="auto" w:fill="auto"/>
            <w:noWrap/>
            <w:vAlign w:val="center"/>
          </w:tcPr>
          <w:p w:rsidR="00AE65A5" w:rsidRPr="00E04C25" w:rsidRDefault="00AE65A5" w:rsidP="00AE65A5">
            <w:pPr>
              <w:tabs>
                <w:tab w:val="left" w:pos="709"/>
              </w:tabs>
              <w:jc w:val="center"/>
              <w:rPr>
                <w:rFonts w:ascii="Arial" w:hAnsi="Arial" w:cs="Arial"/>
                <w:b/>
                <w:bCs/>
                <w:sz w:val="20"/>
                <w:szCs w:val="20"/>
              </w:rPr>
            </w:pPr>
            <w:r w:rsidRPr="00E04C25">
              <w:rPr>
                <w:rFonts w:ascii="Arial" w:hAnsi="Arial" w:cs="Arial"/>
                <w:b/>
                <w:bCs/>
                <w:sz w:val="20"/>
                <w:szCs w:val="20"/>
              </w:rPr>
              <w:t>ženy</w:t>
            </w:r>
          </w:p>
        </w:tc>
      </w:tr>
      <w:tr w:rsidR="00CA0370" w:rsidRPr="00E04C25" w:rsidTr="00CA0370">
        <w:trPr>
          <w:trHeight w:val="284"/>
        </w:trPr>
        <w:tc>
          <w:tcPr>
            <w:tcW w:w="2206" w:type="dxa"/>
            <w:tcBorders>
              <w:top w:val="nil"/>
              <w:left w:val="double" w:sz="6" w:space="0" w:color="auto"/>
              <w:bottom w:val="nil"/>
              <w:right w:val="single" w:sz="4" w:space="0" w:color="auto"/>
            </w:tcBorders>
            <w:shd w:val="clear" w:color="auto" w:fill="auto"/>
            <w:noWrap/>
            <w:vAlign w:val="center"/>
          </w:tcPr>
          <w:p w:rsidR="00CA0370" w:rsidRPr="00E04C25" w:rsidRDefault="00CA0370" w:rsidP="00AE65A5">
            <w:pPr>
              <w:tabs>
                <w:tab w:val="left" w:pos="709"/>
              </w:tabs>
              <w:jc w:val="center"/>
              <w:rPr>
                <w:rFonts w:ascii="Arial" w:hAnsi="Arial" w:cs="Arial"/>
                <w:sz w:val="18"/>
                <w:szCs w:val="18"/>
              </w:rPr>
            </w:pPr>
            <w:r w:rsidRPr="00E04C25">
              <w:rPr>
                <w:rFonts w:ascii="Arial" w:hAnsi="Arial" w:cs="Arial"/>
                <w:sz w:val="18"/>
                <w:szCs w:val="18"/>
              </w:rPr>
              <w:t>15-24</w:t>
            </w:r>
          </w:p>
        </w:tc>
        <w:tc>
          <w:tcPr>
            <w:tcW w:w="1137" w:type="dxa"/>
            <w:tcBorders>
              <w:top w:val="nil"/>
              <w:left w:val="single" w:sz="4" w:space="0" w:color="auto"/>
              <w:bottom w:val="nil"/>
              <w:right w:val="single" w:sz="8"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28,6</w:t>
            </w:r>
          </w:p>
        </w:tc>
        <w:tc>
          <w:tcPr>
            <w:tcW w:w="1136" w:type="dxa"/>
            <w:tcBorders>
              <w:top w:val="nil"/>
              <w:left w:val="nil"/>
              <w:bottom w:val="nil"/>
              <w:right w:val="single" w:sz="8"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33,8</w:t>
            </w:r>
          </w:p>
        </w:tc>
        <w:tc>
          <w:tcPr>
            <w:tcW w:w="1136" w:type="dxa"/>
            <w:tcBorders>
              <w:top w:val="nil"/>
              <w:left w:val="nil"/>
              <w:bottom w:val="nil"/>
              <w:right w:val="single" w:sz="4"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23,2</w:t>
            </w:r>
          </w:p>
        </w:tc>
        <w:tc>
          <w:tcPr>
            <w:tcW w:w="1136" w:type="dxa"/>
            <w:tcBorders>
              <w:top w:val="nil"/>
              <w:left w:val="single" w:sz="4" w:space="0" w:color="auto"/>
              <w:bottom w:val="nil"/>
              <w:right w:val="single" w:sz="8"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29,1</w:t>
            </w:r>
          </w:p>
        </w:tc>
        <w:tc>
          <w:tcPr>
            <w:tcW w:w="1136" w:type="dxa"/>
            <w:tcBorders>
              <w:top w:val="nil"/>
              <w:left w:val="nil"/>
              <w:bottom w:val="nil"/>
              <w:right w:val="single" w:sz="8"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33,8</w:t>
            </w:r>
          </w:p>
        </w:tc>
        <w:tc>
          <w:tcPr>
            <w:tcW w:w="1136" w:type="dxa"/>
            <w:tcBorders>
              <w:top w:val="nil"/>
              <w:left w:val="nil"/>
              <w:bottom w:val="nil"/>
              <w:right w:val="double" w:sz="6"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24,3</w:t>
            </w:r>
          </w:p>
        </w:tc>
      </w:tr>
      <w:tr w:rsidR="00CA0370" w:rsidRPr="00E04C25" w:rsidTr="00CA0370">
        <w:trPr>
          <w:trHeight w:val="284"/>
        </w:trPr>
        <w:tc>
          <w:tcPr>
            <w:tcW w:w="2206" w:type="dxa"/>
            <w:tcBorders>
              <w:top w:val="nil"/>
              <w:left w:val="double" w:sz="6" w:space="0" w:color="auto"/>
              <w:bottom w:val="nil"/>
              <w:right w:val="single" w:sz="4" w:space="0" w:color="auto"/>
            </w:tcBorders>
            <w:shd w:val="clear" w:color="auto" w:fill="auto"/>
            <w:noWrap/>
            <w:vAlign w:val="center"/>
          </w:tcPr>
          <w:p w:rsidR="00CA0370" w:rsidRPr="00E04C25" w:rsidRDefault="00CA0370" w:rsidP="00AE65A5">
            <w:pPr>
              <w:tabs>
                <w:tab w:val="left" w:pos="709"/>
              </w:tabs>
              <w:jc w:val="center"/>
              <w:rPr>
                <w:rFonts w:ascii="Arial" w:hAnsi="Arial" w:cs="Arial"/>
                <w:sz w:val="18"/>
                <w:szCs w:val="18"/>
              </w:rPr>
            </w:pPr>
            <w:r w:rsidRPr="00E04C25">
              <w:rPr>
                <w:rFonts w:ascii="Arial" w:hAnsi="Arial" w:cs="Arial"/>
                <w:sz w:val="18"/>
                <w:szCs w:val="18"/>
              </w:rPr>
              <w:t>25-39</w:t>
            </w:r>
          </w:p>
        </w:tc>
        <w:tc>
          <w:tcPr>
            <w:tcW w:w="1137" w:type="dxa"/>
            <w:tcBorders>
              <w:top w:val="nil"/>
              <w:left w:val="single" w:sz="4" w:space="0" w:color="auto"/>
              <w:bottom w:val="nil"/>
              <w:right w:val="single" w:sz="8"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81,0</w:t>
            </w:r>
          </w:p>
        </w:tc>
        <w:tc>
          <w:tcPr>
            <w:tcW w:w="1136" w:type="dxa"/>
            <w:tcBorders>
              <w:top w:val="nil"/>
              <w:left w:val="nil"/>
              <w:bottom w:val="nil"/>
              <w:right w:val="single" w:sz="8"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92,3</w:t>
            </w:r>
          </w:p>
        </w:tc>
        <w:tc>
          <w:tcPr>
            <w:tcW w:w="1136" w:type="dxa"/>
            <w:tcBorders>
              <w:top w:val="nil"/>
              <w:left w:val="nil"/>
              <w:bottom w:val="nil"/>
              <w:right w:val="single" w:sz="4"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 xml:space="preserve">69,0 </w:t>
            </w:r>
          </w:p>
        </w:tc>
        <w:tc>
          <w:tcPr>
            <w:tcW w:w="1136" w:type="dxa"/>
            <w:tcBorders>
              <w:top w:val="nil"/>
              <w:left w:val="single" w:sz="4" w:space="0" w:color="auto"/>
              <w:bottom w:val="nil"/>
              <w:right w:val="single" w:sz="8"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81,8</w:t>
            </w:r>
          </w:p>
        </w:tc>
        <w:tc>
          <w:tcPr>
            <w:tcW w:w="1136" w:type="dxa"/>
            <w:tcBorders>
              <w:top w:val="nil"/>
              <w:left w:val="nil"/>
              <w:bottom w:val="nil"/>
              <w:right w:val="single" w:sz="8"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93,5</w:t>
            </w:r>
          </w:p>
        </w:tc>
        <w:tc>
          <w:tcPr>
            <w:tcW w:w="1136" w:type="dxa"/>
            <w:tcBorders>
              <w:top w:val="nil"/>
              <w:left w:val="nil"/>
              <w:bottom w:val="nil"/>
              <w:right w:val="double" w:sz="6"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 xml:space="preserve">69,4 </w:t>
            </w:r>
          </w:p>
        </w:tc>
      </w:tr>
      <w:tr w:rsidR="00CA0370" w:rsidRPr="00E04C25" w:rsidTr="00CA0370">
        <w:trPr>
          <w:trHeight w:val="284"/>
        </w:trPr>
        <w:tc>
          <w:tcPr>
            <w:tcW w:w="2206" w:type="dxa"/>
            <w:tcBorders>
              <w:top w:val="nil"/>
              <w:left w:val="double" w:sz="6" w:space="0" w:color="auto"/>
              <w:bottom w:val="nil"/>
              <w:right w:val="single" w:sz="4" w:space="0" w:color="auto"/>
            </w:tcBorders>
            <w:shd w:val="clear" w:color="auto" w:fill="auto"/>
            <w:noWrap/>
            <w:vAlign w:val="center"/>
          </w:tcPr>
          <w:p w:rsidR="00CA0370" w:rsidRPr="00E04C25" w:rsidRDefault="00CA0370" w:rsidP="00AE65A5">
            <w:pPr>
              <w:tabs>
                <w:tab w:val="left" w:pos="709"/>
              </w:tabs>
              <w:jc w:val="center"/>
              <w:rPr>
                <w:rFonts w:ascii="Arial" w:hAnsi="Arial" w:cs="Arial"/>
                <w:sz w:val="18"/>
                <w:szCs w:val="18"/>
              </w:rPr>
            </w:pPr>
            <w:r w:rsidRPr="00E04C25">
              <w:rPr>
                <w:rFonts w:ascii="Arial" w:hAnsi="Arial" w:cs="Arial"/>
                <w:sz w:val="18"/>
                <w:szCs w:val="18"/>
              </w:rPr>
              <w:t>40-54</w:t>
            </w:r>
          </w:p>
        </w:tc>
        <w:tc>
          <w:tcPr>
            <w:tcW w:w="1137" w:type="dxa"/>
            <w:tcBorders>
              <w:top w:val="nil"/>
              <w:left w:val="single" w:sz="4" w:space="0" w:color="auto"/>
              <w:bottom w:val="nil"/>
              <w:right w:val="single" w:sz="8"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90,5</w:t>
            </w:r>
          </w:p>
        </w:tc>
        <w:tc>
          <w:tcPr>
            <w:tcW w:w="1136" w:type="dxa"/>
            <w:tcBorders>
              <w:top w:val="nil"/>
              <w:left w:val="nil"/>
              <w:bottom w:val="nil"/>
              <w:right w:val="single" w:sz="8"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93,1</w:t>
            </w:r>
          </w:p>
        </w:tc>
        <w:tc>
          <w:tcPr>
            <w:tcW w:w="1136" w:type="dxa"/>
            <w:tcBorders>
              <w:top w:val="nil"/>
              <w:left w:val="nil"/>
              <w:bottom w:val="nil"/>
              <w:right w:val="single" w:sz="4"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 xml:space="preserve">87,7 </w:t>
            </w:r>
          </w:p>
        </w:tc>
        <w:tc>
          <w:tcPr>
            <w:tcW w:w="1136" w:type="dxa"/>
            <w:tcBorders>
              <w:top w:val="nil"/>
              <w:left w:val="single" w:sz="4" w:space="0" w:color="auto"/>
              <w:bottom w:val="nil"/>
              <w:right w:val="single" w:sz="8"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91,4</w:t>
            </w:r>
          </w:p>
        </w:tc>
        <w:tc>
          <w:tcPr>
            <w:tcW w:w="1136" w:type="dxa"/>
            <w:tcBorders>
              <w:top w:val="nil"/>
              <w:left w:val="nil"/>
              <w:bottom w:val="nil"/>
              <w:right w:val="single" w:sz="8"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93,9</w:t>
            </w:r>
          </w:p>
        </w:tc>
        <w:tc>
          <w:tcPr>
            <w:tcW w:w="1136" w:type="dxa"/>
            <w:tcBorders>
              <w:top w:val="nil"/>
              <w:left w:val="nil"/>
              <w:bottom w:val="nil"/>
              <w:right w:val="double" w:sz="6"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 xml:space="preserve">88,7 </w:t>
            </w:r>
          </w:p>
        </w:tc>
      </w:tr>
      <w:tr w:rsidR="00CA0370" w:rsidRPr="00E04C25" w:rsidTr="00CA0370">
        <w:trPr>
          <w:trHeight w:val="284"/>
        </w:trPr>
        <w:tc>
          <w:tcPr>
            <w:tcW w:w="2206" w:type="dxa"/>
            <w:tcBorders>
              <w:top w:val="nil"/>
              <w:left w:val="double" w:sz="6" w:space="0" w:color="auto"/>
              <w:bottom w:val="single" w:sz="4" w:space="0" w:color="auto"/>
              <w:right w:val="single" w:sz="4" w:space="0" w:color="auto"/>
            </w:tcBorders>
            <w:shd w:val="clear" w:color="auto" w:fill="auto"/>
            <w:noWrap/>
            <w:vAlign w:val="center"/>
          </w:tcPr>
          <w:p w:rsidR="00CA0370" w:rsidRPr="00E04C25" w:rsidRDefault="00CA0370" w:rsidP="00AE65A5">
            <w:pPr>
              <w:tabs>
                <w:tab w:val="left" w:pos="709"/>
              </w:tabs>
              <w:jc w:val="center"/>
              <w:rPr>
                <w:rFonts w:ascii="Arial" w:hAnsi="Arial" w:cs="Arial"/>
                <w:sz w:val="18"/>
                <w:szCs w:val="18"/>
              </w:rPr>
            </w:pPr>
            <w:r w:rsidRPr="00E04C25">
              <w:rPr>
                <w:rFonts w:ascii="Arial" w:hAnsi="Arial" w:cs="Arial"/>
                <w:sz w:val="18"/>
                <w:szCs w:val="18"/>
              </w:rPr>
              <w:t>55-64</w:t>
            </w:r>
          </w:p>
        </w:tc>
        <w:tc>
          <w:tcPr>
            <w:tcW w:w="1137" w:type="dxa"/>
            <w:tcBorders>
              <w:top w:val="nil"/>
              <w:left w:val="single" w:sz="4" w:space="0" w:color="auto"/>
              <w:bottom w:val="single" w:sz="4" w:space="0" w:color="auto"/>
              <w:right w:val="single" w:sz="8"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58,5</w:t>
            </w:r>
          </w:p>
        </w:tc>
        <w:tc>
          <w:tcPr>
            <w:tcW w:w="1136" w:type="dxa"/>
            <w:tcBorders>
              <w:top w:val="nil"/>
              <w:left w:val="nil"/>
              <w:bottom w:val="single" w:sz="4" w:space="0" w:color="auto"/>
              <w:right w:val="single" w:sz="8"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68,2</w:t>
            </w:r>
          </w:p>
        </w:tc>
        <w:tc>
          <w:tcPr>
            <w:tcW w:w="1136" w:type="dxa"/>
            <w:tcBorders>
              <w:top w:val="nil"/>
              <w:left w:val="nil"/>
              <w:bottom w:val="single" w:sz="4" w:space="0" w:color="auto"/>
              <w:right w:val="single" w:sz="4"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 xml:space="preserve">49,3 </w:t>
            </w:r>
          </w:p>
        </w:tc>
        <w:tc>
          <w:tcPr>
            <w:tcW w:w="1136" w:type="dxa"/>
            <w:tcBorders>
              <w:top w:val="nil"/>
              <w:left w:val="single" w:sz="4" w:space="0" w:color="auto"/>
              <w:bottom w:val="single" w:sz="4" w:space="0" w:color="auto"/>
              <w:right w:val="single" w:sz="8"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62,1</w:t>
            </w:r>
          </w:p>
        </w:tc>
        <w:tc>
          <w:tcPr>
            <w:tcW w:w="1136" w:type="dxa"/>
            <w:tcBorders>
              <w:top w:val="nil"/>
              <w:left w:val="nil"/>
              <w:bottom w:val="single" w:sz="4" w:space="0" w:color="auto"/>
              <w:right w:val="single" w:sz="8"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71,7</w:t>
            </w:r>
          </w:p>
        </w:tc>
        <w:tc>
          <w:tcPr>
            <w:tcW w:w="1136" w:type="dxa"/>
            <w:tcBorders>
              <w:top w:val="nil"/>
              <w:left w:val="nil"/>
              <w:bottom w:val="single" w:sz="4" w:space="0" w:color="auto"/>
              <w:right w:val="double" w:sz="6"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 xml:space="preserve">53,0 </w:t>
            </w:r>
          </w:p>
        </w:tc>
      </w:tr>
      <w:tr w:rsidR="00CA0370" w:rsidRPr="00E04C25" w:rsidTr="00CA0370">
        <w:trPr>
          <w:trHeight w:val="284"/>
        </w:trPr>
        <w:tc>
          <w:tcPr>
            <w:tcW w:w="2206" w:type="dxa"/>
            <w:tcBorders>
              <w:top w:val="single" w:sz="4" w:space="0" w:color="auto"/>
              <w:left w:val="double" w:sz="6" w:space="0" w:color="auto"/>
              <w:bottom w:val="nil"/>
              <w:right w:val="single" w:sz="4" w:space="0" w:color="auto"/>
            </w:tcBorders>
            <w:shd w:val="clear" w:color="auto" w:fill="auto"/>
            <w:noWrap/>
            <w:vAlign w:val="center"/>
          </w:tcPr>
          <w:p w:rsidR="00CA0370" w:rsidRPr="00E04C25" w:rsidRDefault="00CA0370" w:rsidP="00AE65A5">
            <w:pPr>
              <w:tabs>
                <w:tab w:val="left" w:pos="709"/>
              </w:tabs>
              <w:jc w:val="center"/>
              <w:rPr>
                <w:rFonts w:ascii="Arial" w:hAnsi="Arial" w:cs="Arial"/>
                <w:b/>
                <w:sz w:val="18"/>
                <w:szCs w:val="18"/>
              </w:rPr>
            </w:pPr>
            <w:r w:rsidRPr="00E04C25">
              <w:rPr>
                <w:rFonts w:ascii="Arial" w:hAnsi="Arial" w:cs="Arial"/>
                <w:b/>
                <w:sz w:val="18"/>
                <w:szCs w:val="18"/>
              </w:rPr>
              <w:t>15+</w:t>
            </w:r>
          </w:p>
        </w:tc>
        <w:tc>
          <w:tcPr>
            <w:tcW w:w="1137" w:type="dxa"/>
            <w:tcBorders>
              <w:top w:val="single" w:sz="4" w:space="0" w:color="auto"/>
              <w:left w:val="single" w:sz="4" w:space="0" w:color="auto"/>
              <w:bottom w:val="nil"/>
              <w:right w:val="single" w:sz="8"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57,6</w:t>
            </w:r>
          </w:p>
        </w:tc>
        <w:tc>
          <w:tcPr>
            <w:tcW w:w="1136" w:type="dxa"/>
            <w:tcBorders>
              <w:top w:val="single" w:sz="4" w:space="0" w:color="auto"/>
              <w:left w:val="nil"/>
              <w:bottom w:val="nil"/>
              <w:right w:val="single" w:sz="8"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66,1</w:t>
            </w:r>
          </w:p>
        </w:tc>
        <w:tc>
          <w:tcPr>
            <w:tcW w:w="1136" w:type="dxa"/>
            <w:tcBorders>
              <w:top w:val="single" w:sz="4" w:space="0" w:color="auto"/>
              <w:left w:val="nil"/>
              <w:bottom w:val="nil"/>
              <w:right w:val="single" w:sz="4"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 xml:space="preserve">49,4 </w:t>
            </w:r>
          </w:p>
        </w:tc>
        <w:tc>
          <w:tcPr>
            <w:tcW w:w="1136" w:type="dxa"/>
            <w:tcBorders>
              <w:top w:val="single" w:sz="4" w:space="0" w:color="auto"/>
              <w:left w:val="single" w:sz="4" w:space="0" w:color="auto"/>
              <w:bottom w:val="nil"/>
              <w:right w:val="single" w:sz="8"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58,5</w:t>
            </w:r>
          </w:p>
        </w:tc>
        <w:tc>
          <w:tcPr>
            <w:tcW w:w="1136" w:type="dxa"/>
            <w:tcBorders>
              <w:top w:val="single" w:sz="4" w:space="0" w:color="auto"/>
              <w:left w:val="nil"/>
              <w:bottom w:val="nil"/>
              <w:right w:val="single" w:sz="8"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66,9</w:t>
            </w:r>
          </w:p>
        </w:tc>
        <w:tc>
          <w:tcPr>
            <w:tcW w:w="1136" w:type="dxa"/>
            <w:tcBorders>
              <w:top w:val="single" w:sz="4" w:space="0" w:color="auto"/>
              <w:left w:val="nil"/>
              <w:bottom w:val="nil"/>
              <w:right w:val="double" w:sz="6"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 xml:space="preserve">50,4 </w:t>
            </w:r>
          </w:p>
        </w:tc>
      </w:tr>
      <w:tr w:rsidR="00CA0370" w:rsidRPr="00E04C25" w:rsidTr="00CA0370">
        <w:trPr>
          <w:trHeight w:val="284"/>
        </w:trPr>
        <w:tc>
          <w:tcPr>
            <w:tcW w:w="2206" w:type="dxa"/>
            <w:tcBorders>
              <w:top w:val="nil"/>
              <w:left w:val="double" w:sz="6" w:space="0" w:color="auto"/>
              <w:bottom w:val="nil"/>
              <w:right w:val="single" w:sz="4" w:space="0" w:color="auto"/>
            </w:tcBorders>
            <w:shd w:val="clear" w:color="auto" w:fill="auto"/>
            <w:noWrap/>
            <w:vAlign w:val="center"/>
          </w:tcPr>
          <w:p w:rsidR="00CA0370" w:rsidRPr="00E04C25" w:rsidRDefault="00CA0370" w:rsidP="00AE65A5">
            <w:pPr>
              <w:tabs>
                <w:tab w:val="left" w:pos="709"/>
              </w:tabs>
              <w:jc w:val="center"/>
              <w:rPr>
                <w:rFonts w:ascii="Arial" w:hAnsi="Arial" w:cs="Arial"/>
                <w:b/>
                <w:sz w:val="18"/>
                <w:szCs w:val="18"/>
              </w:rPr>
            </w:pPr>
            <w:r w:rsidRPr="00E04C25">
              <w:rPr>
                <w:rFonts w:ascii="Arial" w:hAnsi="Arial" w:cs="Arial"/>
                <w:b/>
                <w:sz w:val="18"/>
                <w:szCs w:val="18"/>
              </w:rPr>
              <w:t>15-64</w:t>
            </w:r>
          </w:p>
        </w:tc>
        <w:tc>
          <w:tcPr>
            <w:tcW w:w="1137" w:type="dxa"/>
            <w:tcBorders>
              <w:top w:val="nil"/>
              <w:left w:val="single" w:sz="4" w:space="0" w:color="auto"/>
              <w:bottom w:val="nil"/>
              <w:right w:val="single" w:sz="8"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72,0</w:t>
            </w:r>
          </w:p>
        </w:tc>
        <w:tc>
          <w:tcPr>
            <w:tcW w:w="1136" w:type="dxa"/>
            <w:tcBorders>
              <w:top w:val="nil"/>
              <w:left w:val="nil"/>
              <w:bottom w:val="nil"/>
              <w:right w:val="single" w:sz="8"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79,3</w:t>
            </w:r>
          </w:p>
        </w:tc>
        <w:tc>
          <w:tcPr>
            <w:tcW w:w="1136" w:type="dxa"/>
            <w:tcBorders>
              <w:top w:val="nil"/>
              <w:left w:val="nil"/>
              <w:bottom w:val="nil"/>
              <w:right w:val="single" w:sz="4"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 xml:space="preserve">64,4 </w:t>
            </w:r>
          </w:p>
        </w:tc>
        <w:tc>
          <w:tcPr>
            <w:tcW w:w="1136" w:type="dxa"/>
            <w:tcBorders>
              <w:top w:val="nil"/>
              <w:left w:val="single" w:sz="4" w:space="0" w:color="auto"/>
              <w:bottom w:val="nil"/>
              <w:right w:val="single" w:sz="8"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73,6</w:t>
            </w:r>
          </w:p>
        </w:tc>
        <w:tc>
          <w:tcPr>
            <w:tcW w:w="1136" w:type="dxa"/>
            <w:tcBorders>
              <w:top w:val="nil"/>
              <w:left w:val="nil"/>
              <w:bottom w:val="nil"/>
              <w:right w:val="single" w:sz="8"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80,9</w:t>
            </w:r>
          </w:p>
        </w:tc>
        <w:tc>
          <w:tcPr>
            <w:tcW w:w="1136" w:type="dxa"/>
            <w:tcBorders>
              <w:top w:val="nil"/>
              <w:left w:val="nil"/>
              <w:bottom w:val="nil"/>
              <w:right w:val="double" w:sz="6"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 xml:space="preserve">66,2 </w:t>
            </w:r>
          </w:p>
        </w:tc>
      </w:tr>
      <w:tr w:rsidR="00CA0370" w:rsidRPr="00E04C25" w:rsidTr="00CA0370">
        <w:trPr>
          <w:trHeight w:val="284"/>
        </w:trPr>
        <w:tc>
          <w:tcPr>
            <w:tcW w:w="2206" w:type="dxa"/>
            <w:tcBorders>
              <w:top w:val="nil"/>
              <w:left w:val="double" w:sz="6" w:space="0" w:color="auto"/>
              <w:bottom w:val="double" w:sz="6" w:space="0" w:color="auto"/>
              <w:right w:val="single" w:sz="4" w:space="0" w:color="auto"/>
            </w:tcBorders>
            <w:shd w:val="clear" w:color="auto" w:fill="auto"/>
            <w:noWrap/>
            <w:vAlign w:val="center"/>
          </w:tcPr>
          <w:p w:rsidR="00CA0370" w:rsidRPr="00E04C25" w:rsidRDefault="00CA0370" w:rsidP="00AE65A5">
            <w:pPr>
              <w:tabs>
                <w:tab w:val="left" w:pos="709"/>
              </w:tabs>
              <w:jc w:val="center"/>
              <w:rPr>
                <w:rFonts w:ascii="Arial" w:hAnsi="Arial" w:cs="Arial"/>
                <w:b/>
                <w:sz w:val="18"/>
                <w:szCs w:val="18"/>
              </w:rPr>
            </w:pPr>
            <w:r w:rsidRPr="00E04C25">
              <w:rPr>
                <w:rFonts w:ascii="Arial" w:hAnsi="Arial" w:cs="Arial"/>
                <w:b/>
                <w:sz w:val="18"/>
                <w:szCs w:val="18"/>
              </w:rPr>
              <w:t>20-64</w:t>
            </w:r>
          </w:p>
        </w:tc>
        <w:tc>
          <w:tcPr>
            <w:tcW w:w="1137" w:type="dxa"/>
            <w:tcBorders>
              <w:top w:val="nil"/>
              <w:left w:val="single" w:sz="4" w:space="0" w:color="auto"/>
              <w:bottom w:val="double" w:sz="6" w:space="0" w:color="auto"/>
              <w:right w:val="single" w:sz="8"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76,7</w:t>
            </w:r>
          </w:p>
        </w:tc>
        <w:tc>
          <w:tcPr>
            <w:tcW w:w="1136" w:type="dxa"/>
            <w:tcBorders>
              <w:top w:val="nil"/>
              <w:left w:val="nil"/>
              <w:bottom w:val="double" w:sz="6" w:space="0" w:color="auto"/>
              <w:right w:val="single" w:sz="8"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84,6</w:t>
            </w:r>
          </w:p>
        </w:tc>
        <w:tc>
          <w:tcPr>
            <w:tcW w:w="1136" w:type="dxa"/>
            <w:tcBorders>
              <w:top w:val="nil"/>
              <w:left w:val="nil"/>
              <w:bottom w:val="double" w:sz="6" w:space="0" w:color="auto"/>
              <w:right w:val="single" w:sz="4" w:space="0" w:color="auto"/>
            </w:tcBorders>
            <w:shd w:val="clear" w:color="auto" w:fill="auto"/>
            <w:noWrap/>
            <w:vAlign w:val="center"/>
          </w:tcPr>
          <w:p w:rsidR="00CA0370" w:rsidRPr="00E04C25" w:rsidRDefault="00CA0370" w:rsidP="00733E45">
            <w:pPr>
              <w:tabs>
                <w:tab w:val="left" w:pos="709"/>
              </w:tabs>
              <w:jc w:val="center"/>
              <w:rPr>
                <w:rFonts w:ascii="Arial" w:hAnsi="Arial" w:cs="Arial"/>
                <w:sz w:val="18"/>
                <w:szCs w:val="18"/>
              </w:rPr>
            </w:pPr>
            <w:r w:rsidRPr="00E04C25">
              <w:rPr>
                <w:rFonts w:ascii="Arial" w:hAnsi="Arial" w:cs="Arial"/>
                <w:sz w:val="18"/>
                <w:szCs w:val="18"/>
              </w:rPr>
              <w:t xml:space="preserve">68,6 </w:t>
            </w:r>
          </w:p>
        </w:tc>
        <w:tc>
          <w:tcPr>
            <w:tcW w:w="1136" w:type="dxa"/>
            <w:tcBorders>
              <w:top w:val="nil"/>
              <w:left w:val="single" w:sz="4" w:space="0" w:color="auto"/>
              <w:bottom w:val="double" w:sz="6" w:space="0" w:color="auto"/>
              <w:right w:val="single" w:sz="8"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78,5</w:t>
            </w:r>
          </w:p>
        </w:tc>
        <w:tc>
          <w:tcPr>
            <w:tcW w:w="1136" w:type="dxa"/>
            <w:tcBorders>
              <w:top w:val="nil"/>
              <w:left w:val="nil"/>
              <w:bottom w:val="double" w:sz="6" w:space="0" w:color="auto"/>
              <w:right w:val="single" w:sz="8"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86,3</w:t>
            </w:r>
          </w:p>
        </w:tc>
        <w:tc>
          <w:tcPr>
            <w:tcW w:w="1136" w:type="dxa"/>
            <w:tcBorders>
              <w:top w:val="nil"/>
              <w:left w:val="nil"/>
              <w:bottom w:val="double" w:sz="6" w:space="0" w:color="auto"/>
              <w:right w:val="double" w:sz="6" w:space="0" w:color="auto"/>
            </w:tcBorders>
            <w:shd w:val="clear" w:color="auto" w:fill="auto"/>
            <w:noWrap/>
            <w:vAlign w:val="center"/>
          </w:tcPr>
          <w:p w:rsidR="00CA0370" w:rsidRPr="00E04C25" w:rsidRDefault="00CA0370">
            <w:pPr>
              <w:jc w:val="center"/>
              <w:rPr>
                <w:rFonts w:ascii="Arial" w:hAnsi="Arial" w:cs="Arial"/>
                <w:sz w:val="18"/>
                <w:szCs w:val="18"/>
              </w:rPr>
            </w:pPr>
            <w:r w:rsidRPr="00E04C25">
              <w:rPr>
                <w:rFonts w:ascii="Arial" w:hAnsi="Arial" w:cs="Arial"/>
                <w:sz w:val="18"/>
                <w:szCs w:val="18"/>
              </w:rPr>
              <w:t xml:space="preserve">70,5 </w:t>
            </w:r>
          </w:p>
        </w:tc>
      </w:tr>
    </w:tbl>
    <w:p w:rsidR="00AE65A5" w:rsidRPr="00E04C25" w:rsidRDefault="00AE65A5" w:rsidP="00AE65A5">
      <w:pPr>
        <w:tabs>
          <w:tab w:val="left" w:pos="709"/>
        </w:tabs>
        <w:spacing w:line="480" w:lineRule="auto"/>
        <w:jc w:val="both"/>
        <w:rPr>
          <w:rFonts w:ascii="Arial" w:hAnsi="Arial" w:cs="Arial"/>
          <w:i/>
          <w:iCs/>
          <w:sz w:val="18"/>
          <w:szCs w:val="18"/>
        </w:rPr>
      </w:pPr>
      <w:r w:rsidRPr="00E04C25">
        <w:rPr>
          <w:rFonts w:ascii="Arial" w:hAnsi="Arial" w:cs="Arial"/>
          <w:i/>
          <w:iCs/>
          <w:sz w:val="18"/>
          <w:szCs w:val="18"/>
        </w:rPr>
        <w:t>Zdroj: ČSÚ – VŠPS</w:t>
      </w:r>
    </w:p>
    <w:p w:rsidR="00762875" w:rsidRPr="00E04C25" w:rsidRDefault="00AE65A5" w:rsidP="00AE65A5">
      <w:pPr>
        <w:widowControl w:val="0"/>
        <w:tabs>
          <w:tab w:val="center" w:pos="0"/>
          <w:tab w:val="left" w:pos="709"/>
        </w:tabs>
        <w:spacing w:line="360" w:lineRule="auto"/>
        <w:jc w:val="both"/>
        <w:rPr>
          <w:rFonts w:ascii="Arial" w:hAnsi="Arial" w:cs="Arial"/>
        </w:rPr>
      </w:pPr>
      <w:r w:rsidRPr="00E04C25">
        <w:rPr>
          <w:rFonts w:ascii="Arial" w:hAnsi="Arial" w:cs="Arial"/>
        </w:rPr>
        <w:tab/>
      </w:r>
      <w:r w:rsidR="004D7CBC" w:rsidRPr="00E04C25">
        <w:rPr>
          <w:rFonts w:ascii="Arial" w:hAnsi="Arial" w:cs="Arial"/>
        </w:rPr>
        <w:t>H</w:t>
      </w:r>
      <w:r w:rsidR="000811E9" w:rsidRPr="00E04C25">
        <w:rPr>
          <w:rFonts w:ascii="Arial" w:hAnsi="Arial" w:cs="Arial"/>
        </w:rPr>
        <w:t xml:space="preserve">odnoty ukazatelů </w:t>
      </w:r>
      <w:r w:rsidR="000811E9" w:rsidRPr="00E04C25">
        <w:rPr>
          <w:rFonts w:ascii="Arial" w:hAnsi="Arial" w:cs="Arial"/>
          <w:b/>
        </w:rPr>
        <w:t>n</w:t>
      </w:r>
      <w:r w:rsidR="00537E99" w:rsidRPr="00E04C25">
        <w:rPr>
          <w:rFonts w:ascii="Arial" w:hAnsi="Arial" w:cs="Arial"/>
          <w:b/>
        </w:rPr>
        <w:t>árodní</w:t>
      </w:r>
      <w:r w:rsidR="000811E9" w:rsidRPr="00E04C25">
        <w:rPr>
          <w:rFonts w:ascii="Arial" w:hAnsi="Arial" w:cs="Arial"/>
          <w:b/>
        </w:rPr>
        <w:t>ch</w:t>
      </w:r>
      <w:r w:rsidR="00537E99" w:rsidRPr="00E04C25">
        <w:rPr>
          <w:rFonts w:ascii="Arial" w:hAnsi="Arial" w:cs="Arial"/>
          <w:b/>
        </w:rPr>
        <w:t xml:space="preserve"> cílů v oblasti zaměstnanosti</w:t>
      </w:r>
      <w:r w:rsidR="00537E99" w:rsidRPr="00E04C25">
        <w:rPr>
          <w:rFonts w:ascii="Arial" w:hAnsi="Arial" w:cs="Arial"/>
        </w:rPr>
        <w:t>, kter</w:t>
      </w:r>
      <w:r w:rsidR="000811E9" w:rsidRPr="00E04C25">
        <w:rPr>
          <w:rFonts w:ascii="Arial" w:hAnsi="Arial" w:cs="Arial"/>
        </w:rPr>
        <w:t xml:space="preserve">é </w:t>
      </w:r>
      <w:r w:rsidR="002F46D2" w:rsidRPr="00E04C25">
        <w:rPr>
          <w:rFonts w:ascii="Arial" w:hAnsi="Arial" w:cs="Arial"/>
        </w:rPr>
        <w:t xml:space="preserve">si </w:t>
      </w:r>
      <w:r w:rsidR="00537E99" w:rsidRPr="00E04C25">
        <w:rPr>
          <w:rFonts w:ascii="Arial" w:hAnsi="Arial" w:cs="Arial"/>
        </w:rPr>
        <w:t>do roku 2020</w:t>
      </w:r>
      <w:r w:rsidR="00537E99" w:rsidRPr="00E04C25">
        <w:rPr>
          <w:rFonts w:ascii="Arial" w:hAnsi="Arial" w:cs="Arial"/>
          <w:b/>
        </w:rPr>
        <w:t xml:space="preserve"> ČR</w:t>
      </w:r>
      <w:r w:rsidR="00537E99" w:rsidRPr="00E04C25">
        <w:rPr>
          <w:rFonts w:ascii="Arial" w:hAnsi="Arial" w:cs="Arial"/>
        </w:rPr>
        <w:t xml:space="preserve"> stanovila v</w:t>
      </w:r>
      <w:r w:rsidR="00762875" w:rsidRPr="00E04C25">
        <w:rPr>
          <w:rFonts w:ascii="Arial" w:hAnsi="Arial" w:cs="Arial"/>
        </w:rPr>
        <w:t xml:space="preserve"> návaznosti na hlavní cíle </w:t>
      </w:r>
      <w:r w:rsidR="00762875" w:rsidRPr="00E04C25">
        <w:rPr>
          <w:rFonts w:ascii="Arial" w:hAnsi="Arial" w:cs="Arial"/>
          <w:b/>
        </w:rPr>
        <w:t>Strategie Evropa 2020</w:t>
      </w:r>
      <w:r w:rsidR="00AC7E76" w:rsidRPr="00E04C25">
        <w:rPr>
          <w:rFonts w:ascii="Arial" w:hAnsi="Arial" w:cs="Arial"/>
          <w:b/>
        </w:rPr>
        <w:t xml:space="preserve"> </w:t>
      </w:r>
      <w:r w:rsidR="00AC7E76" w:rsidRPr="00E04C25">
        <w:rPr>
          <w:rFonts w:ascii="Arial" w:hAnsi="Arial" w:cs="Arial"/>
        </w:rPr>
        <w:t>(</w:t>
      </w:r>
      <w:r w:rsidR="00762875" w:rsidRPr="00E04C25">
        <w:rPr>
          <w:rFonts w:ascii="Arial" w:hAnsi="Arial" w:cs="Arial"/>
        </w:rPr>
        <w:t>zvýšení celkové míry zaměstnanosti ve věkové skupině 20</w:t>
      </w:r>
      <w:r w:rsidR="000F3AEE" w:rsidRPr="00E04C25">
        <w:rPr>
          <w:rFonts w:ascii="Arial" w:hAnsi="Arial" w:cs="Arial"/>
        </w:rPr>
        <w:t>-</w:t>
      </w:r>
      <w:r w:rsidR="00762875" w:rsidRPr="00E04C25">
        <w:rPr>
          <w:rFonts w:ascii="Arial" w:hAnsi="Arial" w:cs="Arial"/>
        </w:rPr>
        <w:t xml:space="preserve">64 let na 75 %, zvýšení MZ žen v této věkové skupině na 65 % a MZ starších pracovníků </w:t>
      </w:r>
      <w:r w:rsidR="004D7CBC" w:rsidRPr="00E04C25">
        <w:rPr>
          <w:rFonts w:ascii="Arial" w:hAnsi="Arial" w:cs="Arial"/>
        </w:rPr>
        <w:t xml:space="preserve">ve věku </w:t>
      </w:r>
      <w:r w:rsidR="00762875" w:rsidRPr="00E04C25">
        <w:rPr>
          <w:rFonts w:ascii="Arial" w:hAnsi="Arial" w:cs="Arial"/>
        </w:rPr>
        <w:t>55</w:t>
      </w:r>
      <w:r w:rsidR="000F3AEE" w:rsidRPr="00E04C25">
        <w:rPr>
          <w:rFonts w:ascii="Arial" w:hAnsi="Arial" w:cs="Arial"/>
        </w:rPr>
        <w:t>-</w:t>
      </w:r>
      <w:r w:rsidR="00762875" w:rsidRPr="00E04C25">
        <w:rPr>
          <w:rFonts w:ascii="Arial" w:hAnsi="Arial" w:cs="Arial"/>
        </w:rPr>
        <w:t>64 let na 55 %</w:t>
      </w:r>
      <w:r w:rsidR="00AC7E76" w:rsidRPr="00E04C25">
        <w:rPr>
          <w:rFonts w:ascii="Arial" w:hAnsi="Arial" w:cs="Arial"/>
        </w:rPr>
        <w:t>)</w:t>
      </w:r>
      <w:r w:rsidR="00537E99" w:rsidRPr="00E04C25">
        <w:rPr>
          <w:rFonts w:ascii="Arial" w:hAnsi="Arial" w:cs="Arial"/>
        </w:rPr>
        <w:t xml:space="preserve">, jsou </w:t>
      </w:r>
      <w:r w:rsidR="007A3807" w:rsidRPr="00E04C25">
        <w:rPr>
          <w:rFonts w:ascii="Arial" w:hAnsi="Arial" w:cs="Arial"/>
        </w:rPr>
        <w:t xml:space="preserve">v současné době </w:t>
      </w:r>
      <w:r w:rsidR="002F46D2" w:rsidRPr="00E04C25">
        <w:rPr>
          <w:rFonts w:ascii="Arial" w:hAnsi="Arial" w:cs="Arial"/>
          <w:b/>
        </w:rPr>
        <w:t>nad jejich cílovou hodnotou</w:t>
      </w:r>
      <w:r w:rsidR="00046EF3" w:rsidRPr="00E04C25">
        <w:rPr>
          <w:rFonts w:ascii="Arial" w:hAnsi="Arial" w:cs="Arial"/>
        </w:rPr>
        <w:t>.</w:t>
      </w:r>
      <w:r w:rsidR="00762875" w:rsidRPr="00E04C25">
        <w:rPr>
          <w:rFonts w:ascii="Arial" w:hAnsi="Arial" w:cs="Arial"/>
        </w:rPr>
        <w:t xml:space="preserve"> </w:t>
      </w:r>
    </w:p>
    <w:p w:rsidR="00762875" w:rsidRPr="00E04C25" w:rsidRDefault="007A3807" w:rsidP="00AE65A5">
      <w:pPr>
        <w:widowControl w:val="0"/>
        <w:tabs>
          <w:tab w:val="center" w:pos="0"/>
          <w:tab w:val="left" w:pos="709"/>
        </w:tabs>
        <w:spacing w:line="360" w:lineRule="auto"/>
        <w:jc w:val="both"/>
        <w:rPr>
          <w:rFonts w:ascii="Arial" w:hAnsi="Arial" w:cs="Arial"/>
        </w:rPr>
      </w:pPr>
      <w:r w:rsidRPr="00E04C25">
        <w:rPr>
          <w:rFonts w:ascii="Arial" w:hAnsi="Arial" w:cs="Arial"/>
        </w:rPr>
        <w:tab/>
      </w:r>
      <w:r w:rsidR="002F46D2" w:rsidRPr="00E04C25">
        <w:rPr>
          <w:rFonts w:ascii="Arial" w:hAnsi="Arial" w:cs="Arial"/>
        </w:rPr>
        <w:t xml:space="preserve">MZ obyvatelstva </w:t>
      </w:r>
      <w:r w:rsidR="002F46D2" w:rsidRPr="00E04C25">
        <w:rPr>
          <w:rFonts w:ascii="Arial" w:hAnsi="Arial" w:cs="Arial"/>
          <w:b/>
          <w:bCs/>
        </w:rPr>
        <w:t>ve věku 20</w:t>
      </w:r>
      <w:r w:rsidR="00976F7F" w:rsidRPr="00E04C25">
        <w:rPr>
          <w:rFonts w:ascii="Arial" w:hAnsi="Arial" w:cs="Arial"/>
          <w:b/>
          <w:bCs/>
        </w:rPr>
        <w:t>-</w:t>
      </w:r>
      <w:r w:rsidR="002F46D2" w:rsidRPr="00E04C25">
        <w:rPr>
          <w:rFonts w:ascii="Arial" w:hAnsi="Arial" w:cs="Arial"/>
          <w:b/>
          <w:bCs/>
        </w:rPr>
        <w:t>64 let</w:t>
      </w:r>
      <w:r w:rsidR="002F46D2" w:rsidRPr="00E04C25">
        <w:rPr>
          <w:rFonts w:ascii="Arial" w:hAnsi="Arial" w:cs="Arial"/>
        </w:rPr>
        <w:t xml:space="preserve"> se v roce 201</w:t>
      </w:r>
      <w:r w:rsidR="00046EF3" w:rsidRPr="00E04C25">
        <w:rPr>
          <w:rFonts w:ascii="Arial" w:hAnsi="Arial" w:cs="Arial"/>
        </w:rPr>
        <w:t>7</w:t>
      </w:r>
      <w:r w:rsidR="002F46D2" w:rsidRPr="00E04C25">
        <w:rPr>
          <w:rFonts w:ascii="Arial" w:hAnsi="Arial" w:cs="Arial"/>
        </w:rPr>
        <w:t xml:space="preserve"> meziročně </w:t>
      </w:r>
      <w:r w:rsidR="002F46D2" w:rsidRPr="00E04C25">
        <w:rPr>
          <w:rFonts w:ascii="Arial" w:hAnsi="Arial" w:cs="Arial"/>
          <w:b/>
        </w:rPr>
        <w:t>zvýšila</w:t>
      </w:r>
      <w:r w:rsidR="002F46D2" w:rsidRPr="00E04C25">
        <w:rPr>
          <w:rFonts w:ascii="Arial" w:hAnsi="Arial" w:cs="Arial"/>
        </w:rPr>
        <w:t xml:space="preserve"> </w:t>
      </w:r>
      <w:r w:rsidR="002F46D2" w:rsidRPr="00E04C25">
        <w:rPr>
          <w:rFonts w:ascii="Arial" w:hAnsi="Arial" w:cs="Arial"/>
          <w:bCs/>
        </w:rPr>
        <w:t>o 1</w:t>
      </w:r>
      <w:r w:rsidR="002F46D2" w:rsidRPr="00E04C25">
        <w:rPr>
          <w:rFonts w:ascii="Arial" w:hAnsi="Arial" w:cs="Arial"/>
        </w:rPr>
        <w:t>,</w:t>
      </w:r>
      <w:r w:rsidR="00046EF3" w:rsidRPr="00E04C25">
        <w:rPr>
          <w:rFonts w:ascii="Arial" w:hAnsi="Arial" w:cs="Arial"/>
        </w:rPr>
        <w:t>8</w:t>
      </w:r>
      <w:r w:rsidR="002F46D2" w:rsidRPr="00E04C25">
        <w:rPr>
          <w:rFonts w:ascii="Arial" w:hAnsi="Arial" w:cs="Arial"/>
        </w:rPr>
        <w:t xml:space="preserve"> p. b. </w:t>
      </w:r>
      <w:r w:rsidR="002F46D2" w:rsidRPr="00E04C25">
        <w:rPr>
          <w:rFonts w:ascii="Arial" w:hAnsi="Arial" w:cs="Arial"/>
          <w:b/>
          <w:bCs/>
        </w:rPr>
        <w:t>na 7</w:t>
      </w:r>
      <w:r w:rsidR="00046EF3" w:rsidRPr="00E04C25">
        <w:rPr>
          <w:rFonts w:ascii="Arial" w:hAnsi="Arial" w:cs="Arial"/>
          <w:b/>
          <w:bCs/>
        </w:rPr>
        <w:t>8</w:t>
      </w:r>
      <w:r w:rsidR="002F46D2" w:rsidRPr="00E04C25">
        <w:rPr>
          <w:rFonts w:ascii="Arial" w:hAnsi="Arial" w:cs="Arial"/>
          <w:b/>
          <w:bCs/>
        </w:rPr>
        <w:t>,</w:t>
      </w:r>
      <w:r w:rsidR="00046EF3" w:rsidRPr="00E04C25">
        <w:rPr>
          <w:rFonts w:ascii="Arial" w:hAnsi="Arial" w:cs="Arial"/>
          <w:b/>
          <w:bCs/>
        </w:rPr>
        <w:t>5</w:t>
      </w:r>
      <w:r w:rsidR="002F46D2" w:rsidRPr="00E04C25">
        <w:rPr>
          <w:rFonts w:ascii="Arial" w:hAnsi="Arial" w:cs="Arial"/>
          <w:b/>
          <w:bCs/>
        </w:rPr>
        <w:t xml:space="preserve"> %,</w:t>
      </w:r>
      <w:r w:rsidR="002F46D2" w:rsidRPr="00E04C25">
        <w:rPr>
          <w:rFonts w:ascii="Arial" w:hAnsi="Arial" w:cs="Arial"/>
        </w:rPr>
        <w:t xml:space="preserve"> </w:t>
      </w:r>
      <w:r w:rsidR="000811E9" w:rsidRPr="00E04C25">
        <w:rPr>
          <w:rFonts w:ascii="Arial" w:hAnsi="Arial" w:cs="Arial"/>
        </w:rPr>
        <w:t xml:space="preserve">a to především díky rostoucí zaměstnanosti žen a starších pracovníků. </w:t>
      </w:r>
      <w:r w:rsidR="002F46D2" w:rsidRPr="00E04C25">
        <w:rPr>
          <w:rFonts w:ascii="Arial" w:hAnsi="Arial" w:cs="Arial"/>
        </w:rPr>
        <w:t>MZ</w:t>
      </w:r>
      <w:r w:rsidR="002F46D2" w:rsidRPr="00E04C25">
        <w:rPr>
          <w:rFonts w:ascii="Arial" w:hAnsi="Arial" w:cs="Arial"/>
          <w:b/>
          <w:bCs/>
        </w:rPr>
        <w:t xml:space="preserve"> žen </w:t>
      </w:r>
      <w:r w:rsidR="002F46D2" w:rsidRPr="00E04C25">
        <w:rPr>
          <w:rFonts w:ascii="Arial" w:hAnsi="Arial" w:cs="Arial"/>
          <w:bCs/>
        </w:rPr>
        <w:t xml:space="preserve">ve stejném věku </w:t>
      </w:r>
      <w:r w:rsidR="002F46D2" w:rsidRPr="00E04C25">
        <w:rPr>
          <w:rFonts w:ascii="Arial" w:hAnsi="Arial" w:cs="Arial"/>
          <w:b/>
          <w:bCs/>
        </w:rPr>
        <w:t xml:space="preserve">vzrostla </w:t>
      </w:r>
      <w:r w:rsidR="002F46D2" w:rsidRPr="00E04C25">
        <w:rPr>
          <w:rFonts w:ascii="Arial" w:hAnsi="Arial" w:cs="Arial"/>
        </w:rPr>
        <w:t>o </w:t>
      </w:r>
      <w:r w:rsidR="00046EF3" w:rsidRPr="00E04C25">
        <w:rPr>
          <w:rFonts w:ascii="Arial" w:hAnsi="Arial" w:cs="Arial"/>
        </w:rPr>
        <w:t>1</w:t>
      </w:r>
      <w:r w:rsidR="002F46D2" w:rsidRPr="00E04C25">
        <w:rPr>
          <w:rFonts w:ascii="Arial" w:hAnsi="Arial" w:cs="Arial"/>
        </w:rPr>
        <w:t>,</w:t>
      </w:r>
      <w:r w:rsidR="00046EF3" w:rsidRPr="00E04C25">
        <w:rPr>
          <w:rFonts w:ascii="Arial" w:hAnsi="Arial" w:cs="Arial"/>
        </w:rPr>
        <w:t>9</w:t>
      </w:r>
      <w:r w:rsidR="002F46D2" w:rsidRPr="00E04C25">
        <w:rPr>
          <w:rFonts w:ascii="Arial" w:hAnsi="Arial" w:cs="Arial"/>
        </w:rPr>
        <w:t> p. b</w:t>
      </w:r>
      <w:r w:rsidR="004D7CBC" w:rsidRPr="00E04C25">
        <w:rPr>
          <w:rFonts w:ascii="Arial" w:hAnsi="Arial" w:cs="Arial"/>
        </w:rPr>
        <w:t>.</w:t>
      </w:r>
      <w:r w:rsidR="002F46D2" w:rsidRPr="00E04C25">
        <w:rPr>
          <w:rFonts w:ascii="Arial" w:hAnsi="Arial" w:cs="Arial"/>
        </w:rPr>
        <w:t xml:space="preserve"> </w:t>
      </w:r>
      <w:r w:rsidR="002F46D2" w:rsidRPr="00E04C25">
        <w:rPr>
          <w:rFonts w:ascii="Arial" w:hAnsi="Arial" w:cs="Arial"/>
          <w:b/>
          <w:bCs/>
        </w:rPr>
        <w:t xml:space="preserve">na </w:t>
      </w:r>
      <w:r w:rsidR="00046EF3" w:rsidRPr="00E04C25">
        <w:rPr>
          <w:rFonts w:ascii="Arial" w:hAnsi="Arial" w:cs="Arial"/>
          <w:b/>
          <w:bCs/>
        </w:rPr>
        <w:t>70</w:t>
      </w:r>
      <w:r w:rsidR="002F46D2" w:rsidRPr="00E04C25">
        <w:rPr>
          <w:rFonts w:ascii="Arial" w:hAnsi="Arial" w:cs="Arial"/>
          <w:b/>
          <w:bCs/>
        </w:rPr>
        <w:t>,</w:t>
      </w:r>
      <w:r w:rsidR="00046EF3" w:rsidRPr="00E04C25">
        <w:rPr>
          <w:rFonts w:ascii="Arial" w:hAnsi="Arial" w:cs="Arial"/>
          <w:b/>
          <w:bCs/>
        </w:rPr>
        <w:t>5</w:t>
      </w:r>
      <w:r w:rsidR="002F46D2" w:rsidRPr="00E04C25">
        <w:rPr>
          <w:rFonts w:ascii="Arial" w:hAnsi="Arial" w:cs="Arial"/>
          <w:b/>
          <w:bCs/>
        </w:rPr>
        <w:t> %</w:t>
      </w:r>
      <w:r w:rsidR="002F46D2" w:rsidRPr="00E04C25">
        <w:rPr>
          <w:rFonts w:ascii="Arial" w:hAnsi="Arial" w:cs="Arial"/>
        </w:rPr>
        <w:t xml:space="preserve">, MZ ve věkové skupině </w:t>
      </w:r>
      <w:r w:rsidR="002F46D2" w:rsidRPr="00E04C25">
        <w:rPr>
          <w:rFonts w:ascii="Arial" w:hAnsi="Arial" w:cs="Arial"/>
          <w:b/>
        </w:rPr>
        <w:t>55</w:t>
      </w:r>
      <w:r w:rsidR="00976F7F" w:rsidRPr="00E04C25">
        <w:rPr>
          <w:rFonts w:ascii="Arial" w:hAnsi="Arial" w:cs="Arial"/>
          <w:b/>
        </w:rPr>
        <w:t>-</w:t>
      </w:r>
      <w:r w:rsidR="002F46D2" w:rsidRPr="00E04C25">
        <w:rPr>
          <w:rFonts w:ascii="Arial" w:hAnsi="Arial" w:cs="Arial"/>
          <w:b/>
        </w:rPr>
        <w:t xml:space="preserve">64 let </w:t>
      </w:r>
      <w:r w:rsidR="002F46D2" w:rsidRPr="00E04C25">
        <w:rPr>
          <w:rFonts w:ascii="Arial" w:hAnsi="Arial" w:cs="Arial"/>
        </w:rPr>
        <w:t>o 3,</w:t>
      </w:r>
      <w:r w:rsidR="00046EF3" w:rsidRPr="00E04C25">
        <w:rPr>
          <w:rFonts w:ascii="Arial" w:hAnsi="Arial" w:cs="Arial"/>
        </w:rPr>
        <w:t>6</w:t>
      </w:r>
      <w:r w:rsidR="002F46D2" w:rsidRPr="00E04C25">
        <w:rPr>
          <w:rFonts w:ascii="Arial" w:hAnsi="Arial" w:cs="Arial"/>
        </w:rPr>
        <w:t xml:space="preserve"> p. b.</w:t>
      </w:r>
      <w:r w:rsidR="002F46D2" w:rsidRPr="00E04C25">
        <w:rPr>
          <w:rFonts w:ascii="Arial" w:hAnsi="Arial" w:cs="Arial"/>
          <w:b/>
        </w:rPr>
        <w:t xml:space="preserve">  na </w:t>
      </w:r>
      <w:r w:rsidR="00046EF3" w:rsidRPr="00E04C25">
        <w:rPr>
          <w:rFonts w:ascii="Arial" w:hAnsi="Arial" w:cs="Arial"/>
          <w:b/>
        </w:rPr>
        <w:t>62</w:t>
      </w:r>
      <w:r w:rsidR="002F46D2" w:rsidRPr="00E04C25">
        <w:rPr>
          <w:rFonts w:ascii="Arial" w:hAnsi="Arial" w:cs="Arial"/>
          <w:b/>
        </w:rPr>
        <w:t>,</w:t>
      </w:r>
      <w:r w:rsidR="00046EF3" w:rsidRPr="00E04C25">
        <w:rPr>
          <w:rFonts w:ascii="Arial" w:hAnsi="Arial" w:cs="Arial"/>
          <w:b/>
        </w:rPr>
        <w:t>1</w:t>
      </w:r>
      <w:r w:rsidR="002F46D2" w:rsidRPr="00E04C25">
        <w:rPr>
          <w:rFonts w:ascii="Arial" w:hAnsi="Arial" w:cs="Arial"/>
          <w:b/>
        </w:rPr>
        <w:t> %</w:t>
      </w:r>
      <w:r w:rsidR="002F46D2" w:rsidRPr="00E04C25">
        <w:rPr>
          <w:rFonts w:ascii="Arial" w:hAnsi="Arial" w:cs="Arial"/>
        </w:rPr>
        <w:t xml:space="preserve">. </w:t>
      </w:r>
    </w:p>
    <w:p w:rsidR="00410935" w:rsidRPr="00E04C25" w:rsidRDefault="00410935" w:rsidP="00AE65A5">
      <w:pPr>
        <w:widowControl w:val="0"/>
        <w:tabs>
          <w:tab w:val="center" w:pos="0"/>
          <w:tab w:val="left" w:pos="709"/>
        </w:tabs>
        <w:spacing w:line="360" w:lineRule="auto"/>
        <w:jc w:val="both"/>
        <w:rPr>
          <w:rFonts w:ascii="Arial" w:hAnsi="Arial" w:cs="Arial"/>
        </w:rPr>
      </w:pPr>
      <w:r w:rsidRPr="00E04C25">
        <w:rPr>
          <w:rFonts w:ascii="Arial" w:hAnsi="Arial" w:cs="Arial"/>
        </w:rPr>
        <w:tab/>
        <w:t xml:space="preserve">Z podrobnějšího rozboru 5letých věkových skupin je patrný </w:t>
      </w:r>
      <w:r w:rsidR="00046EF3" w:rsidRPr="00E04C25">
        <w:rPr>
          <w:rFonts w:ascii="Arial" w:hAnsi="Arial" w:cs="Arial"/>
        </w:rPr>
        <w:t xml:space="preserve">pokles </w:t>
      </w:r>
      <w:r w:rsidRPr="00E04C25">
        <w:rPr>
          <w:rFonts w:ascii="Arial" w:hAnsi="Arial" w:cs="Arial"/>
        </w:rPr>
        <w:t xml:space="preserve">míry zaměstnanosti </w:t>
      </w:r>
      <w:r w:rsidR="00046EF3" w:rsidRPr="00E04C25">
        <w:rPr>
          <w:rFonts w:ascii="Arial" w:hAnsi="Arial" w:cs="Arial"/>
        </w:rPr>
        <w:t>pouze ve skupině 35-39 let (o 0,4 p. b.), a to v důsledku poklesu míry zaměstnanosti žen (o 1,3 p. b.).</w:t>
      </w:r>
    </w:p>
    <w:p w:rsidR="00762875" w:rsidRPr="00E04C25" w:rsidRDefault="007A3807" w:rsidP="00AE65A5">
      <w:pPr>
        <w:tabs>
          <w:tab w:val="left" w:pos="709"/>
        </w:tabs>
        <w:spacing w:line="360" w:lineRule="auto"/>
        <w:jc w:val="both"/>
        <w:rPr>
          <w:rFonts w:ascii="Arial" w:hAnsi="Arial" w:cs="Arial"/>
        </w:rPr>
      </w:pPr>
      <w:r w:rsidRPr="00E04C25">
        <w:rPr>
          <w:rFonts w:ascii="Arial" w:hAnsi="Arial" w:cs="Arial"/>
        </w:rPr>
        <w:tab/>
      </w:r>
      <w:r w:rsidR="00762875" w:rsidRPr="00E04C25">
        <w:rPr>
          <w:rFonts w:ascii="Arial" w:hAnsi="Arial" w:cs="Arial"/>
        </w:rPr>
        <w:t>Poslední dostupné údaje o míře zaměstnanosti za členské státy EU podle údajů EUROSTATu jsou uvedeny v části V. Mezinárodní srovnání.</w:t>
      </w:r>
    </w:p>
    <w:p w:rsidR="00762875" w:rsidRPr="00E04C25" w:rsidRDefault="00762875" w:rsidP="00AE65A5">
      <w:pPr>
        <w:widowControl w:val="0"/>
        <w:tabs>
          <w:tab w:val="left" w:pos="709"/>
        </w:tabs>
        <w:autoSpaceDE w:val="0"/>
        <w:autoSpaceDN w:val="0"/>
        <w:adjustRightInd w:val="0"/>
        <w:ind w:firstLine="709"/>
        <w:jc w:val="both"/>
        <w:rPr>
          <w:rFonts w:ascii="Arial" w:hAnsi="Arial" w:cs="Arial"/>
          <w:sz w:val="12"/>
          <w:szCs w:val="12"/>
        </w:rPr>
      </w:pPr>
    </w:p>
    <w:p w:rsidR="00762875" w:rsidRPr="00E04C25" w:rsidRDefault="00762875" w:rsidP="00AE65A5">
      <w:pPr>
        <w:widowControl w:val="0"/>
        <w:tabs>
          <w:tab w:val="left" w:pos="709"/>
        </w:tabs>
        <w:autoSpaceDE w:val="0"/>
        <w:autoSpaceDN w:val="0"/>
        <w:adjustRightInd w:val="0"/>
        <w:ind w:firstLine="708"/>
        <w:jc w:val="both"/>
        <w:rPr>
          <w:rFonts w:ascii="Arial" w:hAnsi="Arial" w:cs="Arial"/>
          <w:sz w:val="16"/>
          <w:szCs w:val="16"/>
        </w:rPr>
      </w:pPr>
    </w:p>
    <w:p w:rsidR="00762875" w:rsidRPr="00E04C25" w:rsidRDefault="00AE65A5" w:rsidP="00F26BF7">
      <w:pPr>
        <w:spacing w:line="360" w:lineRule="auto"/>
        <w:jc w:val="both"/>
        <w:rPr>
          <w:rFonts w:ascii="Arial" w:hAnsi="Arial" w:cs="Arial"/>
          <w:bCs/>
        </w:rPr>
      </w:pPr>
      <w:r w:rsidRPr="00E04C25">
        <w:rPr>
          <w:rFonts w:ascii="Arial" w:hAnsi="Arial" w:cs="Arial"/>
        </w:rPr>
        <w:tab/>
      </w:r>
      <w:r w:rsidR="00762875" w:rsidRPr="00E04C25">
        <w:rPr>
          <w:rFonts w:ascii="Arial" w:hAnsi="Arial" w:cs="Arial"/>
          <w:bCs/>
        </w:rPr>
        <w:t xml:space="preserve">Pokračoval nárůst počtu </w:t>
      </w:r>
      <w:r w:rsidR="00762875" w:rsidRPr="00E04C25">
        <w:rPr>
          <w:rFonts w:ascii="Arial" w:hAnsi="Arial" w:cs="Arial"/>
          <w:b/>
          <w:bCs/>
        </w:rPr>
        <w:t>zaměstnanců</w:t>
      </w:r>
      <w:r w:rsidR="00762875" w:rsidRPr="00E04C25">
        <w:rPr>
          <w:rFonts w:ascii="Arial" w:hAnsi="Arial" w:cs="Arial"/>
          <w:bCs/>
        </w:rPr>
        <w:t xml:space="preserve">, kteří tvoří </w:t>
      </w:r>
      <w:r w:rsidR="00762875" w:rsidRPr="00E04C25">
        <w:rPr>
          <w:rFonts w:ascii="Arial" w:hAnsi="Arial" w:cs="Arial"/>
          <w:b/>
          <w:bCs/>
        </w:rPr>
        <w:t xml:space="preserve">nejpočetnější skupinu </w:t>
      </w:r>
      <w:r w:rsidR="00480BAB" w:rsidRPr="00E04C25">
        <w:rPr>
          <w:rFonts w:ascii="Arial" w:hAnsi="Arial" w:cs="Arial"/>
          <w:b/>
          <w:bCs/>
        </w:rPr>
        <w:t>pracujících</w:t>
      </w:r>
      <w:r w:rsidR="00762875" w:rsidRPr="00E04C25">
        <w:rPr>
          <w:rFonts w:ascii="Arial" w:hAnsi="Arial" w:cs="Arial"/>
          <w:bCs/>
        </w:rPr>
        <w:t xml:space="preserve"> (82,</w:t>
      </w:r>
      <w:r w:rsidR="00F26BF7" w:rsidRPr="00E04C25">
        <w:rPr>
          <w:rFonts w:ascii="Arial" w:hAnsi="Arial" w:cs="Arial"/>
          <w:bCs/>
        </w:rPr>
        <w:t>9</w:t>
      </w:r>
      <w:r w:rsidR="00762875" w:rsidRPr="00E04C25">
        <w:rPr>
          <w:rFonts w:ascii="Arial" w:hAnsi="Arial" w:cs="Arial"/>
          <w:bCs/>
        </w:rPr>
        <w:t xml:space="preserve"> %). Jejich počet </w:t>
      </w:r>
      <w:r w:rsidR="00762875" w:rsidRPr="00E04C25">
        <w:rPr>
          <w:rFonts w:ascii="Arial" w:hAnsi="Arial" w:cs="Arial"/>
          <w:b/>
          <w:bCs/>
        </w:rPr>
        <w:t xml:space="preserve">se zvýšil </w:t>
      </w:r>
      <w:r w:rsidR="00762875" w:rsidRPr="00E04C25">
        <w:rPr>
          <w:rFonts w:ascii="Arial" w:hAnsi="Arial" w:cs="Arial"/>
          <w:bCs/>
        </w:rPr>
        <w:t>o </w:t>
      </w:r>
      <w:r w:rsidR="00F26BF7" w:rsidRPr="00E04C25">
        <w:rPr>
          <w:rFonts w:ascii="Arial" w:hAnsi="Arial" w:cs="Arial"/>
          <w:bCs/>
        </w:rPr>
        <w:t>70</w:t>
      </w:r>
      <w:r w:rsidR="00762875" w:rsidRPr="00E04C25">
        <w:rPr>
          <w:rFonts w:ascii="Arial" w:hAnsi="Arial" w:cs="Arial"/>
          <w:bCs/>
        </w:rPr>
        <w:t>,</w:t>
      </w:r>
      <w:r w:rsidR="00F26BF7" w:rsidRPr="00E04C25">
        <w:rPr>
          <w:rFonts w:ascii="Arial" w:hAnsi="Arial" w:cs="Arial"/>
          <w:bCs/>
        </w:rPr>
        <w:t>8</w:t>
      </w:r>
      <w:r w:rsidR="00762875" w:rsidRPr="00E04C25">
        <w:rPr>
          <w:rFonts w:ascii="Arial" w:hAnsi="Arial" w:cs="Arial"/>
          <w:bCs/>
        </w:rPr>
        <w:t> tis.</w:t>
      </w:r>
      <w:r w:rsidR="00762875" w:rsidRPr="00E04C25">
        <w:rPr>
          <w:rFonts w:ascii="Arial" w:hAnsi="Arial" w:cs="Arial"/>
          <w:b/>
          <w:bCs/>
        </w:rPr>
        <w:t xml:space="preserve"> na 4 </w:t>
      </w:r>
      <w:r w:rsidR="00F26BF7" w:rsidRPr="00E04C25">
        <w:rPr>
          <w:rFonts w:ascii="Arial" w:hAnsi="Arial" w:cs="Arial"/>
          <w:b/>
          <w:bCs/>
        </w:rPr>
        <w:t>327</w:t>
      </w:r>
      <w:r w:rsidR="00762875" w:rsidRPr="00E04C25">
        <w:rPr>
          <w:rFonts w:ascii="Arial" w:hAnsi="Arial" w:cs="Arial"/>
          <w:b/>
          <w:bCs/>
        </w:rPr>
        <w:t>,</w:t>
      </w:r>
      <w:r w:rsidR="00F26BF7" w:rsidRPr="00E04C25">
        <w:rPr>
          <w:rFonts w:ascii="Arial" w:hAnsi="Arial" w:cs="Arial"/>
          <w:b/>
          <w:bCs/>
        </w:rPr>
        <w:t>6</w:t>
      </w:r>
      <w:r w:rsidR="00762875" w:rsidRPr="00E04C25">
        <w:rPr>
          <w:rFonts w:ascii="Arial" w:hAnsi="Arial" w:cs="Arial"/>
          <w:b/>
          <w:bCs/>
        </w:rPr>
        <w:t xml:space="preserve"> tis.</w:t>
      </w:r>
      <w:r w:rsidR="00762875" w:rsidRPr="00E04C25">
        <w:rPr>
          <w:rFonts w:ascii="Arial" w:hAnsi="Arial" w:cs="Arial"/>
          <w:bCs/>
        </w:rPr>
        <w:t xml:space="preserve">, </w:t>
      </w:r>
      <w:r w:rsidR="007A3807" w:rsidRPr="00E04C25">
        <w:rPr>
          <w:rFonts w:ascii="Arial" w:hAnsi="Arial" w:cs="Arial"/>
          <w:bCs/>
        </w:rPr>
        <w:t xml:space="preserve">nárůst </w:t>
      </w:r>
      <w:r w:rsidR="00762875" w:rsidRPr="00E04C25">
        <w:rPr>
          <w:rFonts w:ascii="Arial" w:hAnsi="Arial" w:cs="Arial"/>
          <w:bCs/>
        </w:rPr>
        <w:t>počt</w:t>
      </w:r>
      <w:r w:rsidR="007A3807" w:rsidRPr="00E04C25">
        <w:rPr>
          <w:rFonts w:ascii="Arial" w:hAnsi="Arial" w:cs="Arial"/>
          <w:bCs/>
        </w:rPr>
        <w:t>u</w:t>
      </w:r>
      <w:r w:rsidR="00762875" w:rsidRPr="00E04C25">
        <w:rPr>
          <w:rFonts w:ascii="Arial" w:hAnsi="Arial" w:cs="Arial"/>
          <w:bCs/>
        </w:rPr>
        <w:t xml:space="preserve"> žen (o </w:t>
      </w:r>
      <w:r w:rsidR="00F26BF7" w:rsidRPr="00E04C25">
        <w:rPr>
          <w:rFonts w:ascii="Arial" w:hAnsi="Arial" w:cs="Arial"/>
          <w:bCs/>
        </w:rPr>
        <w:t>45</w:t>
      </w:r>
      <w:r w:rsidR="00762875" w:rsidRPr="00E04C25">
        <w:rPr>
          <w:rFonts w:ascii="Arial" w:hAnsi="Arial" w:cs="Arial"/>
          <w:bCs/>
        </w:rPr>
        <w:t>,</w:t>
      </w:r>
      <w:r w:rsidR="00F26BF7" w:rsidRPr="00E04C25">
        <w:rPr>
          <w:rFonts w:ascii="Arial" w:hAnsi="Arial" w:cs="Arial"/>
          <w:bCs/>
        </w:rPr>
        <w:t>9</w:t>
      </w:r>
      <w:r w:rsidR="00762875" w:rsidRPr="00E04C25">
        <w:rPr>
          <w:rFonts w:ascii="Arial" w:hAnsi="Arial" w:cs="Arial"/>
          <w:bCs/>
        </w:rPr>
        <w:t xml:space="preserve"> tis.) na </w:t>
      </w:r>
      <w:r w:rsidR="00F26BF7" w:rsidRPr="00E04C25">
        <w:rPr>
          <w:rFonts w:ascii="Arial" w:hAnsi="Arial" w:cs="Arial"/>
          <w:bCs/>
        </w:rPr>
        <w:t>2 008,5 </w:t>
      </w:r>
      <w:r w:rsidR="00762875" w:rsidRPr="00E04C25">
        <w:rPr>
          <w:rFonts w:ascii="Arial" w:hAnsi="Arial" w:cs="Arial"/>
          <w:bCs/>
        </w:rPr>
        <w:t xml:space="preserve">tis. </w:t>
      </w:r>
      <w:r w:rsidR="002C23C3" w:rsidRPr="00E04C25">
        <w:rPr>
          <w:rFonts w:ascii="Arial" w:hAnsi="Arial" w:cs="Arial"/>
          <w:bCs/>
        </w:rPr>
        <w:t xml:space="preserve">byl </w:t>
      </w:r>
      <w:r w:rsidR="00F26BF7" w:rsidRPr="00E04C25">
        <w:rPr>
          <w:rFonts w:ascii="Arial" w:hAnsi="Arial" w:cs="Arial"/>
          <w:bCs/>
        </w:rPr>
        <w:t>výraznější</w:t>
      </w:r>
      <w:r w:rsidR="002C23C3" w:rsidRPr="00E04C25">
        <w:rPr>
          <w:rFonts w:ascii="Arial" w:hAnsi="Arial" w:cs="Arial"/>
          <w:bCs/>
        </w:rPr>
        <w:t xml:space="preserve"> než </w:t>
      </w:r>
      <w:r w:rsidR="00762875" w:rsidRPr="00E04C25">
        <w:rPr>
          <w:rFonts w:ascii="Arial" w:hAnsi="Arial" w:cs="Arial"/>
          <w:bCs/>
        </w:rPr>
        <w:t>nárůst počtu mužů (o </w:t>
      </w:r>
      <w:r w:rsidR="00F26BF7" w:rsidRPr="00E04C25">
        <w:rPr>
          <w:rFonts w:ascii="Arial" w:hAnsi="Arial" w:cs="Arial"/>
          <w:bCs/>
        </w:rPr>
        <w:t>24</w:t>
      </w:r>
      <w:r w:rsidR="00762875" w:rsidRPr="00E04C25">
        <w:rPr>
          <w:rFonts w:ascii="Arial" w:hAnsi="Arial" w:cs="Arial"/>
          <w:bCs/>
        </w:rPr>
        <w:t>,</w:t>
      </w:r>
      <w:r w:rsidR="00F26BF7" w:rsidRPr="00E04C25">
        <w:rPr>
          <w:rFonts w:ascii="Arial" w:hAnsi="Arial" w:cs="Arial"/>
          <w:bCs/>
        </w:rPr>
        <w:t>9</w:t>
      </w:r>
      <w:r w:rsidR="00762875" w:rsidRPr="00E04C25">
        <w:rPr>
          <w:rFonts w:ascii="Arial" w:hAnsi="Arial" w:cs="Arial"/>
          <w:bCs/>
        </w:rPr>
        <w:t xml:space="preserve"> tis.) na 2 </w:t>
      </w:r>
      <w:r w:rsidR="00F26BF7" w:rsidRPr="00E04C25">
        <w:rPr>
          <w:rFonts w:ascii="Arial" w:hAnsi="Arial" w:cs="Arial"/>
          <w:bCs/>
        </w:rPr>
        <w:t>31</w:t>
      </w:r>
      <w:r w:rsidR="002C23C3" w:rsidRPr="00E04C25">
        <w:rPr>
          <w:rFonts w:ascii="Arial" w:hAnsi="Arial" w:cs="Arial"/>
          <w:bCs/>
        </w:rPr>
        <w:t>9</w:t>
      </w:r>
      <w:r w:rsidR="00762875" w:rsidRPr="00E04C25">
        <w:rPr>
          <w:rFonts w:ascii="Arial" w:hAnsi="Arial" w:cs="Arial"/>
          <w:bCs/>
        </w:rPr>
        <w:t>,</w:t>
      </w:r>
      <w:r w:rsidR="00F26BF7" w:rsidRPr="00E04C25">
        <w:rPr>
          <w:rFonts w:ascii="Arial" w:hAnsi="Arial" w:cs="Arial"/>
          <w:bCs/>
        </w:rPr>
        <w:t>0 </w:t>
      </w:r>
      <w:r w:rsidR="00762875" w:rsidRPr="00E04C25">
        <w:rPr>
          <w:rFonts w:ascii="Arial" w:hAnsi="Arial" w:cs="Arial"/>
          <w:bCs/>
        </w:rPr>
        <w:t>tis. Mezi zaměstnanými ženami je 8</w:t>
      </w:r>
      <w:r w:rsidR="00F26BF7" w:rsidRPr="00E04C25">
        <w:rPr>
          <w:rFonts w:ascii="Arial" w:hAnsi="Arial" w:cs="Arial"/>
          <w:bCs/>
        </w:rPr>
        <w:t>7</w:t>
      </w:r>
      <w:r w:rsidR="00762875" w:rsidRPr="00E04C25">
        <w:rPr>
          <w:rFonts w:ascii="Arial" w:hAnsi="Arial" w:cs="Arial"/>
          <w:bCs/>
        </w:rPr>
        <w:t>,</w:t>
      </w:r>
      <w:r w:rsidR="00F26BF7" w:rsidRPr="00E04C25">
        <w:rPr>
          <w:rFonts w:ascii="Arial" w:hAnsi="Arial" w:cs="Arial"/>
          <w:bCs/>
        </w:rPr>
        <w:t>1</w:t>
      </w:r>
      <w:r w:rsidR="00762875" w:rsidRPr="00E04C25">
        <w:rPr>
          <w:rFonts w:ascii="Arial" w:hAnsi="Arial" w:cs="Arial"/>
          <w:bCs/>
        </w:rPr>
        <w:t> % zaměstnankyň, mezi zaměstnanými muži tvoří zaměstnanci 79,</w:t>
      </w:r>
      <w:r w:rsidR="00F26BF7" w:rsidRPr="00E04C25">
        <w:rPr>
          <w:rFonts w:ascii="Arial" w:hAnsi="Arial" w:cs="Arial"/>
          <w:bCs/>
        </w:rPr>
        <w:t>5</w:t>
      </w:r>
      <w:r w:rsidR="00762875" w:rsidRPr="00E04C25">
        <w:rPr>
          <w:rFonts w:ascii="Arial" w:hAnsi="Arial" w:cs="Arial"/>
          <w:bCs/>
        </w:rPr>
        <w:t> %.</w:t>
      </w:r>
    </w:p>
    <w:p w:rsidR="00A64ED0" w:rsidRPr="00E04C25" w:rsidRDefault="00A64ED0" w:rsidP="00A64ED0">
      <w:pPr>
        <w:tabs>
          <w:tab w:val="center" w:pos="720"/>
        </w:tabs>
        <w:spacing w:line="360" w:lineRule="auto"/>
        <w:ind w:firstLine="720"/>
        <w:jc w:val="both"/>
        <w:rPr>
          <w:rFonts w:ascii="Arial" w:hAnsi="Arial" w:cs="Arial"/>
          <w:bCs/>
        </w:rPr>
      </w:pPr>
      <w:r w:rsidRPr="00E04C25">
        <w:rPr>
          <w:rFonts w:ascii="Arial" w:hAnsi="Arial" w:cs="Arial"/>
          <w:bCs/>
        </w:rPr>
        <w:t>V</w:t>
      </w:r>
      <w:r w:rsidR="00F26BF7" w:rsidRPr="00E04C25">
        <w:rPr>
          <w:rFonts w:ascii="Arial" w:hAnsi="Arial" w:cs="Arial"/>
          <w:bCs/>
        </w:rPr>
        <w:t xml:space="preserve">zrostl také </w:t>
      </w:r>
      <w:r w:rsidR="00F26BF7" w:rsidRPr="00E04C25">
        <w:rPr>
          <w:rFonts w:ascii="Arial" w:hAnsi="Arial" w:cs="Arial"/>
          <w:b/>
          <w:bCs/>
        </w:rPr>
        <w:t>celkový počet podnikatelů</w:t>
      </w:r>
      <w:r w:rsidR="00F26BF7" w:rsidRPr="00E04C25">
        <w:rPr>
          <w:rFonts w:ascii="Arial" w:hAnsi="Arial" w:cs="Arial"/>
          <w:bCs/>
        </w:rPr>
        <w:t xml:space="preserve"> včetně pomáhajících rodinných příslušníků, a to o </w:t>
      </w:r>
      <w:r w:rsidRPr="00E04C25">
        <w:rPr>
          <w:rFonts w:ascii="Arial" w:hAnsi="Arial" w:cs="Arial"/>
          <w:bCs/>
        </w:rPr>
        <w:t>12,2</w:t>
      </w:r>
      <w:r w:rsidR="00F26BF7" w:rsidRPr="00E04C25">
        <w:rPr>
          <w:rFonts w:ascii="Arial" w:hAnsi="Arial" w:cs="Arial"/>
          <w:bCs/>
        </w:rPr>
        <w:t> tis.</w:t>
      </w:r>
      <w:r w:rsidR="00F26BF7" w:rsidRPr="00E04C25">
        <w:rPr>
          <w:rFonts w:ascii="Arial" w:hAnsi="Arial" w:cs="Arial"/>
          <w:b/>
          <w:bCs/>
        </w:rPr>
        <w:t xml:space="preserve"> na 8</w:t>
      </w:r>
      <w:r w:rsidRPr="00E04C25">
        <w:rPr>
          <w:rFonts w:ascii="Arial" w:hAnsi="Arial" w:cs="Arial"/>
          <w:b/>
          <w:bCs/>
        </w:rPr>
        <w:t>94</w:t>
      </w:r>
      <w:r w:rsidR="00F26BF7" w:rsidRPr="00E04C25">
        <w:rPr>
          <w:rFonts w:ascii="Arial" w:hAnsi="Arial" w:cs="Arial"/>
          <w:b/>
          <w:bCs/>
        </w:rPr>
        <w:t>,</w:t>
      </w:r>
      <w:r w:rsidRPr="00E04C25">
        <w:rPr>
          <w:rFonts w:ascii="Arial" w:hAnsi="Arial" w:cs="Arial"/>
          <w:b/>
          <w:bCs/>
        </w:rPr>
        <w:t>0</w:t>
      </w:r>
      <w:r w:rsidR="00F26BF7" w:rsidRPr="00E04C25">
        <w:rPr>
          <w:rFonts w:ascii="Arial" w:hAnsi="Arial" w:cs="Arial"/>
          <w:b/>
          <w:bCs/>
        </w:rPr>
        <w:t xml:space="preserve"> tis</w:t>
      </w:r>
      <w:r w:rsidR="00F26BF7" w:rsidRPr="00E04C25">
        <w:rPr>
          <w:rFonts w:ascii="Arial" w:hAnsi="Arial" w:cs="Arial"/>
          <w:bCs/>
        </w:rPr>
        <w:t xml:space="preserve">. </w:t>
      </w:r>
      <w:r w:rsidRPr="00E04C25">
        <w:rPr>
          <w:rFonts w:ascii="Arial" w:hAnsi="Arial" w:cs="Arial"/>
          <w:b/>
          <w:bCs/>
        </w:rPr>
        <w:t xml:space="preserve">Počet </w:t>
      </w:r>
      <w:r w:rsidR="00F26BF7" w:rsidRPr="00E04C25">
        <w:rPr>
          <w:rFonts w:ascii="Arial" w:hAnsi="Arial" w:cs="Arial"/>
          <w:b/>
          <w:bCs/>
        </w:rPr>
        <w:t xml:space="preserve">podnikatelů se zaměstnanci </w:t>
      </w:r>
      <w:r w:rsidRPr="00E04C25">
        <w:rPr>
          <w:rFonts w:ascii="Arial" w:hAnsi="Arial" w:cs="Arial"/>
          <w:b/>
          <w:bCs/>
        </w:rPr>
        <w:t xml:space="preserve">se zvýšil </w:t>
      </w:r>
      <w:r w:rsidR="00F26BF7" w:rsidRPr="00E04C25">
        <w:rPr>
          <w:rFonts w:ascii="Arial" w:hAnsi="Arial" w:cs="Arial"/>
          <w:bCs/>
        </w:rPr>
        <w:t>o</w:t>
      </w:r>
      <w:r w:rsidR="00EE5BC8" w:rsidRPr="00E04C25">
        <w:rPr>
          <w:rFonts w:ascii="Arial" w:hAnsi="Arial" w:cs="Arial"/>
          <w:bCs/>
        </w:rPr>
        <w:t> </w:t>
      </w:r>
      <w:r w:rsidRPr="00E04C25">
        <w:rPr>
          <w:rFonts w:ascii="Arial" w:hAnsi="Arial" w:cs="Arial"/>
          <w:bCs/>
        </w:rPr>
        <w:t>2</w:t>
      </w:r>
      <w:r w:rsidR="00F26BF7" w:rsidRPr="00E04C25">
        <w:rPr>
          <w:rFonts w:ascii="Arial" w:hAnsi="Arial" w:cs="Arial"/>
          <w:bCs/>
        </w:rPr>
        <w:t>,</w:t>
      </w:r>
      <w:r w:rsidRPr="00E04C25">
        <w:rPr>
          <w:rFonts w:ascii="Arial" w:hAnsi="Arial" w:cs="Arial"/>
          <w:bCs/>
        </w:rPr>
        <w:t>5</w:t>
      </w:r>
      <w:r w:rsidR="00F26BF7" w:rsidRPr="00E04C25">
        <w:rPr>
          <w:rFonts w:ascii="Arial" w:hAnsi="Arial" w:cs="Arial"/>
          <w:bCs/>
        </w:rPr>
        <w:t> tis.</w:t>
      </w:r>
      <w:r w:rsidR="00F26BF7" w:rsidRPr="00E04C25">
        <w:rPr>
          <w:rFonts w:ascii="Arial" w:hAnsi="Arial" w:cs="Arial"/>
          <w:b/>
          <w:bCs/>
        </w:rPr>
        <w:t xml:space="preserve"> na</w:t>
      </w:r>
      <w:r w:rsidR="00F26BF7" w:rsidRPr="00E04C25">
        <w:rPr>
          <w:rFonts w:ascii="Arial" w:hAnsi="Arial" w:cs="Arial"/>
          <w:bCs/>
        </w:rPr>
        <w:t xml:space="preserve"> </w:t>
      </w:r>
      <w:r w:rsidR="00F26BF7" w:rsidRPr="00E04C25">
        <w:rPr>
          <w:rFonts w:ascii="Arial" w:hAnsi="Arial" w:cs="Arial"/>
          <w:b/>
          <w:bCs/>
        </w:rPr>
        <w:t>16</w:t>
      </w:r>
      <w:r w:rsidRPr="00E04C25">
        <w:rPr>
          <w:rFonts w:ascii="Arial" w:hAnsi="Arial" w:cs="Arial"/>
          <w:b/>
          <w:bCs/>
        </w:rPr>
        <w:t>3</w:t>
      </w:r>
      <w:r w:rsidR="00F26BF7" w:rsidRPr="00E04C25">
        <w:rPr>
          <w:rFonts w:ascii="Arial" w:hAnsi="Arial" w:cs="Arial"/>
          <w:b/>
          <w:bCs/>
        </w:rPr>
        <w:t>,</w:t>
      </w:r>
      <w:r w:rsidRPr="00E04C25">
        <w:rPr>
          <w:rFonts w:ascii="Arial" w:hAnsi="Arial" w:cs="Arial"/>
          <w:b/>
          <w:bCs/>
        </w:rPr>
        <w:t>8</w:t>
      </w:r>
      <w:r w:rsidR="00F26BF7" w:rsidRPr="00E04C25">
        <w:rPr>
          <w:rFonts w:ascii="Arial" w:hAnsi="Arial" w:cs="Arial"/>
          <w:b/>
          <w:bCs/>
        </w:rPr>
        <w:t xml:space="preserve"> tis.</w:t>
      </w:r>
      <w:r w:rsidR="00F26BF7" w:rsidRPr="00E04C25">
        <w:rPr>
          <w:rFonts w:ascii="Arial" w:hAnsi="Arial" w:cs="Arial"/>
          <w:bCs/>
        </w:rPr>
        <w:t>, výrazně</w:t>
      </w:r>
      <w:r w:rsidRPr="00E04C25">
        <w:rPr>
          <w:rFonts w:ascii="Arial" w:hAnsi="Arial" w:cs="Arial"/>
          <w:bCs/>
        </w:rPr>
        <w:t>ji</w:t>
      </w:r>
      <w:r w:rsidRPr="00E04C25">
        <w:rPr>
          <w:rFonts w:ascii="Arial" w:hAnsi="Arial" w:cs="Arial"/>
          <w:b/>
          <w:bCs/>
        </w:rPr>
        <w:t xml:space="preserve"> vzrostl</w:t>
      </w:r>
      <w:r w:rsidRPr="00E04C25">
        <w:rPr>
          <w:rFonts w:ascii="Arial" w:hAnsi="Arial" w:cs="Arial"/>
          <w:bCs/>
        </w:rPr>
        <w:t xml:space="preserve"> počet podnikatelů </w:t>
      </w:r>
      <w:r w:rsidRPr="00E04C25">
        <w:rPr>
          <w:rFonts w:ascii="Arial" w:hAnsi="Arial" w:cs="Arial"/>
          <w:b/>
          <w:bCs/>
        </w:rPr>
        <w:t>bez zaměstnanců</w:t>
      </w:r>
      <w:r w:rsidR="00F26BF7" w:rsidRPr="00E04C25">
        <w:rPr>
          <w:rFonts w:ascii="Arial" w:hAnsi="Arial" w:cs="Arial"/>
          <w:b/>
          <w:bCs/>
        </w:rPr>
        <w:t xml:space="preserve">, </w:t>
      </w:r>
      <w:r w:rsidRPr="00E04C25">
        <w:rPr>
          <w:rFonts w:ascii="Arial" w:hAnsi="Arial" w:cs="Arial"/>
          <w:bCs/>
        </w:rPr>
        <w:t>a to</w:t>
      </w:r>
      <w:r w:rsidRPr="00E04C25">
        <w:rPr>
          <w:rFonts w:ascii="Arial" w:hAnsi="Arial" w:cs="Arial"/>
          <w:b/>
          <w:bCs/>
        </w:rPr>
        <w:t xml:space="preserve"> </w:t>
      </w:r>
      <w:r w:rsidR="00F26BF7" w:rsidRPr="00E04C25">
        <w:rPr>
          <w:rFonts w:ascii="Arial" w:hAnsi="Arial" w:cs="Arial"/>
          <w:bCs/>
        </w:rPr>
        <w:t>o</w:t>
      </w:r>
      <w:r w:rsidR="00EE5BC8" w:rsidRPr="00E04C25">
        <w:rPr>
          <w:rFonts w:ascii="Arial" w:hAnsi="Arial" w:cs="Arial"/>
          <w:bCs/>
        </w:rPr>
        <w:t> </w:t>
      </w:r>
      <w:r w:rsidRPr="00E04C25">
        <w:rPr>
          <w:rFonts w:ascii="Arial" w:hAnsi="Arial" w:cs="Arial"/>
          <w:bCs/>
        </w:rPr>
        <w:t>12,1 </w:t>
      </w:r>
      <w:r w:rsidR="00F26BF7" w:rsidRPr="00E04C25">
        <w:rPr>
          <w:rFonts w:ascii="Arial" w:hAnsi="Arial" w:cs="Arial"/>
          <w:bCs/>
        </w:rPr>
        <w:t>tis.</w:t>
      </w:r>
      <w:r w:rsidR="00F26BF7" w:rsidRPr="00E04C25">
        <w:rPr>
          <w:rFonts w:ascii="Arial" w:hAnsi="Arial" w:cs="Arial"/>
          <w:b/>
          <w:bCs/>
        </w:rPr>
        <w:t xml:space="preserve"> na</w:t>
      </w:r>
      <w:r w:rsidR="00F26BF7" w:rsidRPr="00E04C25">
        <w:rPr>
          <w:rFonts w:ascii="Arial" w:hAnsi="Arial" w:cs="Arial"/>
          <w:bCs/>
        </w:rPr>
        <w:t xml:space="preserve"> </w:t>
      </w:r>
      <w:r w:rsidRPr="00E04C25">
        <w:rPr>
          <w:rFonts w:ascii="Arial" w:hAnsi="Arial" w:cs="Arial"/>
          <w:b/>
          <w:bCs/>
        </w:rPr>
        <w:t>705</w:t>
      </w:r>
      <w:r w:rsidR="00F26BF7" w:rsidRPr="00E04C25">
        <w:rPr>
          <w:rFonts w:ascii="Arial" w:hAnsi="Arial" w:cs="Arial"/>
          <w:b/>
          <w:bCs/>
        </w:rPr>
        <w:t>,</w:t>
      </w:r>
      <w:r w:rsidRPr="00E04C25">
        <w:rPr>
          <w:rFonts w:ascii="Arial" w:hAnsi="Arial" w:cs="Arial"/>
          <w:b/>
          <w:bCs/>
        </w:rPr>
        <w:t>5 tis.</w:t>
      </w:r>
      <w:r w:rsidR="00F26BF7" w:rsidRPr="00E04C25">
        <w:rPr>
          <w:rFonts w:ascii="Arial" w:hAnsi="Arial" w:cs="Arial"/>
          <w:bCs/>
        </w:rPr>
        <w:t xml:space="preserve"> </w:t>
      </w:r>
      <w:r w:rsidR="00EE5BC8" w:rsidRPr="00E04C25">
        <w:rPr>
          <w:rFonts w:ascii="Arial" w:hAnsi="Arial" w:cs="Arial"/>
          <w:bCs/>
        </w:rPr>
        <w:t>S</w:t>
      </w:r>
      <w:r w:rsidRPr="00E04C25">
        <w:rPr>
          <w:rFonts w:ascii="Arial" w:hAnsi="Arial" w:cs="Arial"/>
          <w:bCs/>
        </w:rPr>
        <w:t>nížil se pouze p</w:t>
      </w:r>
      <w:r w:rsidR="00F26BF7" w:rsidRPr="00E04C25">
        <w:rPr>
          <w:rFonts w:ascii="Arial" w:hAnsi="Arial" w:cs="Arial"/>
          <w:bCs/>
        </w:rPr>
        <w:t>očet pomáhajících rodinných příslušníků o </w:t>
      </w:r>
      <w:r w:rsidRPr="00E04C25">
        <w:rPr>
          <w:rFonts w:ascii="Arial" w:hAnsi="Arial" w:cs="Arial"/>
          <w:bCs/>
        </w:rPr>
        <w:t>2</w:t>
      </w:r>
      <w:r w:rsidR="00F26BF7" w:rsidRPr="00E04C25">
        <w:rPr>
          <w:rFonts w:ascii="Arial" w:hAnsi="Arial" w:cs="Arial"/>
          <w:bCs/>
        </w:rPr>
        <w:t>,</w:t>
      </w:r>
      <w:r w:rsidRPr="00E04C25">
        <w:rPr>
          <w:rFonts w:ascii="Arial" w:hAnsi="Arial" w:cs="Arial"/>
          <w:bCs/>
        </w:rPr>
        <w:t>4</w:t>
      </w:r>
      <w:r w:rsidR="00F26BF7" w:rsidRPr="00E04C25">
        <w:rPr>
          <w:rFonts w:ascii="Arial" w:hAnsi="Arial" w:cs="Arial"/>
          <w:bCs/>
        </w:rPr>
        <w:t> tis.</w:t>
      </w:r>
      <w:r w:rsidR="00F26BF7" w:rsidRPr="00E04C25">
        <w:rPr>
          <w:rFonts w:ascii="Arial" w:hAnsi="Arial" w:cs="Arial"/>
          <w:b/>
          <w:bCs/>
        </w:rPr>
        <w:t xml:space="preserve"> </w:t>
      </w:r>
      <w:r w:rsidRPr="00E04C25">
        <w:rPr>
          <w:rFonts w:ascii="Arial" w:hAnsi="Arial" w:cs="Arial"/>
          <w:bCs/>
        </w:rPr>
        <w:t xml:space="preserve">Na rozdíl od předchozího roku se </w:t>
      </w:r>
      <w:r w:rsidRPr="00E04C25">
        <w:rPr>
          <w:rFonts w:ascii="Arial" w:hAnsi="Arial" w:cs="Arial"/>
          <w:b/>
          <w:bCs/>
        </w:rPr>
        <w:t>na nárůstu</w:t>
      </w:r>
      <w:r w:rsidRPr="00E04C25">
        <w:rPr>
          <w:rFonts w:ascii="Arial" w:hAnsi="Arial" w:cs="Arial"/>
          <w:bCs/>
        </w:rPr>
        <w:t xml:space="preserve"> celkového počtu </w:t>
      </w:r>
      <w:r w:rsidRPr="00E04C25">
        <w:rPr>
          <w:rFonts w:ascii="Arial" w:hAnsi="Arial" w:cs="Arial"/>
          <w:bCs/>
        </w:rPr>
        <w:lastRenderedPageBreak/>
        <w:t xml:space="preserve">podnikatelů podíleli </w:t>
      </w:r>
      <w:r w:rsidRPr="00E04C25">
        <w:rPr>
          <w:rFonts w:ascii="Arial" w:hAnsi="Arial" w:cs="Arial"/>
          <w:b/>
          <w:bCs/>
        </w:rPr>
        <w:t>především</w:t>
      </w:r>
      <w:r w:rsidRPr="00E04C25">
        <w:rPr>
          <w:rFonts w:ascii="Arial" w:hAnsi="Arial" w:cs="Arial"/>
          <w:bCs/>
        </w:rPr>
        <w:t xml:space="preserve"> </w:t>
      </w:r>
      <w:r w:rsidRPr="00E04C25">
        <w:rPr>
          <w:rFonts w:ascii="Arial" w:hAnsi="Arial" w:cs="Arial"/>
          <w:b/>
          <w:bCs/>
        </w:rPr>
        <w:t>muži</w:t>
      </w:r>
      <w:r w:rsidRPr="00E04C25">
        <w:rPr>
          <w:rFonts w:ascii="Arial" w:hAnsi="Arial" w:cs="Arial"/>
          <w:bCs/>
        </w:rPr>
        <w:t xml:space="preserve"> (nárůst celkem o 14,2 tis., z toho podnikatelé bez zaměstnanců o 12,0 tis.), zatímco celkový počet podnikajících žen poklesl o 2,0 tis. (především v kategorii pomáhajících rodinných příslušníků).</w:t>
      </w:r>
    </w:p>
    <w:p w:rsidR="00762875" w:rsidRPr="00E04C25" w:rsidRDefault="00762875" w:rsidP="00A64ED0">
      <w:pPr>
        <w:tabs>
          <w:tab w:val="left" w:pos="709"/>
        </w:tabs>
        <w:spacing w:line="360" w:lineRule="auto"/>
        <w:jc w:val="both"/>
        <w:rPr>
          <w:rFonts w:ascii="Arial" w:hAnsi="Arial" w:cs="Arial"/>
          <w:sz w:val="12"/>
          <w:szCs w:val="12"/>
        </w:rPr>
      </w:pPr>
    </w:p>
    <w:p w:rsidR="00762875" w:rsidRPr="00E04C25" w:rsidRDefault="00762875" w:rsidP="00AE65A5">
      <w:pPr>
        <w:pStyle w:val="xl24"/>
        <w:pBdr>
          <w:left w:val="none" w:sz="0" w:space="0" w:color="auto"/>
        </w:pBdr>
        <w:tabs>
          <w:tab w:val="left" w:pos="709"/>
        </w:tabs>
        <w:spacing w:before="0" w:beforeAutospacing="0" w:after="0" w:afterAutospacing="0"/>
        <w:rPr>
          <w:rFonts w:ascii="Arial" w:eastAsia="Times New Roman" w:hAnsi="Arial" w:cs="Arial"/>
          <w:color w:val="auto"/>
          <w:szCs w:val="26"/>
        </w:rPr>
      </w:pPr>
      <w:r w:rsidRPr="00E04C25">
        <w:rPr>
          <w:rFonts w:ascii="Arial" w:eastAsia="Times New Roman" w:hAnsi="Arial" w:cs="Arial"/>
          <w:color w:val="auto"/>
          <w:szCs w:val="26"/>
        </w:rPr>
        <w:t>Počty zaměstnaných podle postavení v hlavním zaměstnání</w:t>
      </w:r>
    </w:p>
    <w:p w:rsidR="00762875" w:rsidRPr="00E04C25" w:rsidRDefault="00762875" w:rsidP="00AE65A5">
      <w:pPr>
        <w:tabs>
          <w:tab w:val="left" w:pos="709"/>
        </w:tabs>
        <w:ind w:left="708" w:firstLine="372"/>
        <w:jc w:val="right"/>
        <w:rPr>
          <w:rFonts w:ascii="Arial" w:hAnsi="Arial" w:cs="Arial"/>
          <w:sz w:val="20"/>
          <w:szCs w:val="20"/>
        </w:rPr>
      </w:pPr>
      <w:r w:rsidRPr="00E04C25">
        <w:rPr>
          <w:rFonts w:ascii="Arial" w:hAnsi="Arial" w:cs="Arial"/>
          <w:sz w:val="20"/>
          <w:szCs w:val="20"/>
        </w:rPr>
        <w:t xml:space="preserve">tab. č. </w:t>
      </w:r>
      <w:r w:rsidR="00AC1001" w:rsidRPr="00E04C25">
        <w:rPr>
          <w:rFonts w:ascii="Arial" w:hAnsi="Arial" w:cs="Arial"/>
          <w:sz w:val="20"/>
          <w:szCs w:val="20"/>
        </w:rPr>
        <w:t>5</w:t>
      </w:r>
    </w:p>
    <w:tbl>
      <w:tblPr>
        <w:tblW w:w="9108" w:type="dxa"/>
        <w:tblInd w:w="47" w:type="dxa"/>
        <w:tblCellMar>
          <w:left w:w="70" w:type="dxa"/>
          <w:right w:w="70" w:type="dxa"/>
        </w:tblCellMar>
        <w:tblLook w:val="0000"/>
      </w:tblPr>
      <w:tblGrid>
        <w:gridCol w:w="3000"/>
        <w:gridCol w:w="1133"/>
        <w:gridCol w:w="987"/>
        <w:gridCol w:w="986"/>
        <w:gridCol w:w="986"/>
        <w:gridCol w:w="986"/>
        <w:gridCol w:w="1030"/>
      </w:tblGrid>
      <w:tr w:rsidR="001E1FA4" w:rsidRPr="00E04C25" w:rsidTr="00762875">
        <w:trPr>
          <w:trHeight w:val="285"/>
        </w:trPr>
        <w:tc>
          <w:tcPr>
            <w:tcW w:w="3000" w:type="dxa"/>
            <w:tcBorders>
              <w:top w:val="double" w:sz="6" w:space="0" w:color="auto"/>
              <w:left w:val="double" w:sz="6" w:space="0" w:color="auto"/>
              <w:bottom w:val="nil"/>
              <w:right w:val="single" w:sz="8" w:space="0" w:color="auto"/>
            </w:tcBorders>
            <w:shd w:val="clear" w:color="auto" w:fill="auto"/>
            <w:noWrap/>
            <w:vAlign w:val="center"/>
          </w:tcPr>
          <w:p w:rsidR="00762875" w:rsidRPr="00E04C25" w:rsidRDefault="00762875" w:rsidP="00AE65A5">
            <w:pPr>
              <w:tabs>
                <w:tab w:val="left" w:pos="709"/>
              </w:tabs>
              <w:rPr>
                <w:rFonts w:ascii="Arial" w:hAnsi="Arial" w:cs="Arial"/>
                <w:b/>
                <w:bCs/>
                <w:sz w:val="20"/>
                <w:szCs w:val="20"/>
              </w:rPr>
            </w:pPr>
            <w:r w:rsidRPr="00E04C25">
              <w:rPr>
                <w:rFonts w:ascii="Arial" w:hAnsi="Arial" w:cs="Arial"/>
                <w:b/>
                <w:bCs/>
                <w:sz w:val="20"/>
                <w:szCs w:val="20"/>
              </w:rPr>
              <w:t> </w:t>
            </w:r>
          </w:p>
        </w:tc>
        <w:tc>
          <w:tcPr>
            <w:tcW w:w="2120" w:type="dxa"/>
            <w:gridSpan w:val="2"/>
            <w:tcBorders>
              <w:top w:val="double" w:sz="6" w:space="0" w:color="auto"/>
              <w:left w:val="single" w:sz="8" w:space="0" w:color="000000"/>
              <w:bottom w:val="single" w:sz="8" w:space="0" w:color="000000"/>
              <w:right w:val="single" w:sz="8" w:space="0" w:color="000000"/>
            </w:tcBorders>
            <w:shd w:val="clear" w:color="auto" w:fill="auto"/>
            <w:noWrap/>
            <w:vAlign w:val="bottom"/>
          </w:tcPr>
          <w:p w:rsidR="00762875" w:rsidRPr="00E04C25" w:rsidRDefault="00762875" w:rsidP="00EC746A">
            <w:pPr>
              <w:tabs>
                <w:tab w:val="left" w:pos="709"/>
              </w:tabs>
              <w:jc w:val="center"/>
              <w:rPr>
                <w:rFonts w:ascii="Arial" w:hAnsi="Arial" w:cs="Arial"/>
                <w:b/>
                <w:bCs/>
                <w:sz w:val="20"/>
                <w:szCs w:val="20"/>
              </w:rPr>
            </w:pPr>
            <w:r w:rsidRPr="00E04C25">
              <w:rPr>
                <w:rFonts w:ascii="Arial" w:hAnsi="Arial" w:cs="Arial"/>
                <w:b/>
                <w:bCs/>
                <w:sz w:val="20"/>
                <w:szCs w:val="20"/>
              </w:rPr>
              <w:t>201</w:t>
            </w:r>
            <w:r w:rsidR="00EC746A" w:rsidRPr="00E04C25">
              <w:rPr>
                <w:rFonts w:ascii="Arial" w:hAnsi="Arial" w:cs="Arial"/>
                <w:b/>
                <w:bCs/>
                <w:sz w:val="20"/>
                <w:szCs w:val="20"/>
              </w:rPr>
              <w:t>6</w:t>
            </w:r>
          </w:p>
        </w:tc>
        <w:tc>
          <w:tcPr>
            <w:tcW w:w="1972" w:type="dxa"/>
            <w:gridSpan w:val="2"/>
            <w:tcBorders>
              <w:top w:val="double" w:sz="6" w:space="0" w:color="auto"/>
              <w:left w:val="nil"/>
              <w:bottom w:val="single" w:sz="8" w:space="0" w:color="000000"/>
              <w:right w:val="single" w:sz="8" w:space="0" w:color="000000"/>
            </w:tcBorders>
            <w:shd w:val="clear" w:color="auto" w:fill="auto"/>
            <w:noWrap/>
            <w:vAlign w:val="bottom"/>
          </w:tcPr>
          <w:p w:rsidR="00762875" w:rsidRPr="00E04C25" w:rsidRDefault="00762875" w:rsidP="00EC746A">
            <w:pPr>
              <w:tabs>
                <w:tab w:val="left" w:pos="709"/>
              </w:tabs>
              <w:jc w:val="center"/>
              <w:rPr>
                <w:rFonts w:ascii="Arial" w:hAnsi="Arial" w:cs="Arial"/>
                <w:b/>
                <w:bCs/>
                <w:sz w:val="20"/>
                <w:szCs w:val="20"/>
              </w:rPr>
            </w:pPr>
            <w:r w:rsidRPr="00E04C25">
              <w:rPr>
                <w:rFonts w:ascii="Arial" w:hAnsi="Arial" w:cs="Arial"/>
                <w:b/>
                <w:bCs/>
                <w:sz w:val="20"/>
                <w:szCs w:val="20"/>
              </w:rPr>
              <w:t>201</w:t>
            </w:r>
            <w:r w:rsidR="00EC746A" w:rsidRPr="00E04C25">
              <w:rPr>
                <w:rFonts w:ascii="Arial" w:hAnsi="Arial" w:cs="Arial"/>
                <w:b/>
                <w:bCs/>
                <w:sz w:val="20"/>
                <w:szCs w:val="20"/>
              </w:rPr>
              <w:t>7</w:t>
            </w:r>
          </w:p>
        </w:tc>
        <w:tc>
          <w:tcPr>
            <w:tcW w:w="986" w:type="dxa"/>
            <w:vMerge w:val="restart"/>
            <w:tcBorders>
              <w:top w:val="double" w:sz="6" w:space="0" w:color="auto"/>
              <w:left w:val="nil"/>
              <w:bottom w:val="single" w:sz="8" w:space="0" w:color="000000"/>
              <w:right w:val="single" w:sz="8"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rozdíl</w:t>
            </w:r>
          </w:p>
          <w:p w:rsidR="00762875" w:rsidRPr="00E04C25" w:rsidRDefault="00EC746A" w:rsidP="00AE65A5">
            <w:pPr>
              <w:tabs>
                <w:tab w:val="left" w:pos="709"/>
              </w:tabs>
              <w:jc w:val="center"/>
              <w:rPr>
                <w:rFonts w:ascii="Arial" w:hAnsi="Arial" w:cs="Arial"/>
                <w:b/>
                <w:bCs/>
                <w:sz w:val="20"/>
                <w:szCs w:val="20"/>
              </w:rPr>
            </w:pPr>
            <w:r w:rsidRPr="00E04C25">
              <w:rPr>
                <w:rFonts w:ascii="Arial" w:hAnsi="Arial" w:cs="Arial"/>
                <w:b/>
                <w:bCs/>
                <w:sz w:val="20"/>
                <w:szCs w:val="20"/>
              </w:rPr>
              <w:t>17</w:t>
            </w:r>
            <w:r w:rsidR="00762875" w:rsidRPr="00E04C25">
              <w:rPr>
                <w:rFonts w:ascii="Arial" w:hAnsi="Arial" w:cs="Arial"/>
                <w:b/>
                <w:bCs/>
                <w:sz w:val="20"/>
                <w:szCs w:val="20"/>
              </w:rPr>
              <w:t>-</w:t>
            </w:r>
            <w:r w:rsidRPr="00E04C25">
              <w:rPr>
                <w:rFonts w:ascii="Arial" w:hAnsi="Arial" w:cs="Arial"/>
                <w:b/>
                <w:bCs/>
                <w:sz w:val="20"/>
                <w:szCs w:val="20"/>
              </w:rPr>
              <w:t>16</w:t>
            </w:r>
          </w:p>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(tis.)</w:t>
            </w:r>
          </w:p>
        </w:tc>
        <w:tc>
          <w:tcPr>
            <w:tcW w:w="1030" w:type="dxa"/>
            <w:vMerge w:val="restart"/>
            <w:tcBorders>
              <w:top w:val="double" w:sz="6" w:space="0" w:color="auto"/>
              <w:left w:val="nil"/>
              <w:right w:val="double" w:sz="6"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index</w:t>
            </w:r>
          </w:p>
          <w:p w:rsidR="00762875" w:rsidRPr="00E04C25" w:rsidRDefault="00762875" w:rsidP="00EC746A">
            <w:pPr>
              <w:tabs>
                <w:tab w:val="left" w:pos="709"/>
              </w:tabs>
              <w:jc w:val="center"/>
              <w:rPr>
                <w:rFonts w:ascii="Arial" w:hAnsi="Arial" w:cs="Arial"/>
                <w:b/>
                <w:bCs/>
                <w:sz w:val="20"/>
                <w:szCs w:val="20"/>
              </w:rPr>
            </w:pPr>
            <w:r w:rsidRPr="00E04C25">
              <w:rPr>
                <w:rFonts w:ascii="Arial" w:hAnsi="Arial" w:cs="Arial"/>
                <w:b/>
                <w:bCs/>
                <w:sz w:val="20"/>
                <w:szCs w:val="20"/>
              </w:rPr>
              <w:t>1</w:t>
            </w:r>
            <w:r w:rsidR="00EC746A" w:rsidRPr="00E04C25">
              <w:rPr>
                <w:rFonts w:ascii="Arial" w:hAnsi="Arial" w:cs="Arial"/>
                <w:b/>
                <w:bCs/>
                <w:sz w:val="20"/>
                <w:szCs w:val="20"/>
              </w:rPr>
              <w:t>7</w:t>
            </w:r>
            <w:r w:rsidRPr="00E04C25">
              <w:rPr>
                <w:rFonts w:ascii="Arial" w:hAnsi="Arial" w:cs="Arial"/>
                <w:b/>
                <w:bCs/>
                <w:sz w:val="20"/>
                <w:szCs w:val="20"/>
              </w:rPr>
              <w:t>/1</w:t>
            </w:r>
            <w:r w:rsidR="00EC746A" w:rsidRPr="00E04C25">
              <w:rPr>
                <w:rFonts w:ascii="Arial" w:hAnsi="Arial" w:cs="Arial"/>
                <w:b/>
                <w:bCs/>
                <w:sz w:val="20"/>
                <w:szCs w:val="20"/>
              </w:rPr>
              <w:t>6</w:t>
            </w:r>
            <w:r w:rsidRPr="00E04C25">
              <w:rPr>
                <w:rFonts w:ascii="Arial" w:hAnsi="Arial" w:cs="Arial"/>
                <w:b/>
                <w:bCs/>
                <w:sz w:val="20"/>
                <w:szCs w:val="20"/>
              </w:rPr>
              <w:t xml:space="preserve"> </w:t>
            </w:r>
            <w:r w:rsidRPr="00E04C25">
              <w:rPr>
                <w:rFonts w:ascii="Arial" w:hAnsi="Arial" w:cs="Arial"/>
                <w:b/>
                <w:sz w:val="20"/>
                <w:szCs w:val="20"/>
              </w:rPr>
              <w:t>(%)</w:t>
            </w:r>
          </w:p>
        </w:tc>
      </w:tr>
      <w:tr w:rsidR="001E1FA4" w:rsidRPr="00E04C25" w:rsidTr="00762875">
        <w:trPr>
          <w:trHeight w:val="270"/>
        </w:trPr>
        <w:tc>
          <w:tcPr>
            <w:tcW w:w="3000" w:type="dxa"/>
            <w:tcBorders>
              <w:top w:val="nil"/>
              <w:left w:val="double" w:sz="6" w:space="0" w:color="auto"/>
              <w:bottom w:val="single" w:sz="8" w:space="0" w:color="auto"/>
              <w:right w:val="single" w:sz="8" w:space="0" w:color="auto"/>
            </w:tcBorders>
            <w:shd w:val="clear" w:color="auto" w:fill="auto"/>
            <w:noWrap/>
            <w:vAlign w:val="center"/>
          </w:tcPr>
          <w:p w:rsidR="00762875" w:rsidRPr="00E04C25" w:rsidRDefault="00762875" w:rsidP="00AE65A5">
            <w:pPr>
              <w:tabs>
                <w:tab w:val="left" w:pos="709"/>
              </w:tabs>
              <w:jc w:val="center"/>
              <w:rPr>
                <w:rFonts w:ascii="Arial" w:hAnsi="Arial" w:cs="Arial"/>
                <w:sz w:val="20"/>
                <w:szCs w:val="20"/>
              </w:rPr>
            </w:pPr>
            <w:r w:rsidRPr="00E04C25">
              <w:rPr>
                <w:rFonts w:ascii="Arial" w:hAnsi="Arial" w:cs="Arial"/>
                <w:sz w:val="20"/>
                <w:szCs w:val="20"/>
              </w:rPr>
              <w:t> </w:t>
            </w:r>
            <w:r w:rsidRPr="00E04C25">
              <w:rPr>
                <w:rFonts w:ascii="Arial" w:hAnsi="Arial" w:cs="Arial"/>
                <w:b/>
                <w:bCs/>
                <w:sz w:val="20"/>
                <w:szCs w:val="20"/>
              </w:rPr>
              <w:t>Zaměstnaní v NH</w:t>
            </w:r>
          </w:p>
          <w:p w:rsidR="00762875" w:rsidRPr="00E04C25" w:rsidRDefault="00762875" w:rsidP="00AE65A5">
            <w:pPr>
              <w:tabs>
                <w:tab w:val="left" w:pos="709"/>
              </w:tabs>
              <w:rPr>
                <w:rFonts w:ascii="Arial" w:hAnsi="Arial" w:cs="Arial"/>
                <w:sz w:val="20"/>
                <w:szCs w:val="20"/>
              </w:rPr>
            </w:pPr>
          </w:p>
        </w:tc>
        <w:tc>
          <w:tcPr>
            <w:tcW w:w="1133" w:type="dxa"/>
            <w:tcBorders>
              <w:top w:val="nil"/>
              <w:left w:val="nil"/>
              <w:bottom w:val="single" w:sz="8" w:space="0" w:color="auto"/>
              <w:right w:val="nil"/>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v tis.</w:t>
            </w:r>
          </w:p>
        </w:tc>
        <w:tc>
          <w:tcPr>
            <w:tcW w:w="987" w:type="dxa"/>
            <w:tcBorders>
              <w:top w:val="nil"/>
              <w:left w:val="single" w:sz="4" w:space="0" w:color="000000"/>
              <w:bottom w:val="single" w:sz="8" w:space="0" w:color="auto"/>
              <w:right w:val="single" w:sz="8"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w:t>
            </w:r>
          </w:p>
        </w:tc>
        <w:tc>
          <w:tcPr>
            <w:tcW w:w="986" w:type="dxa"/>
            <w:tcBorders>
              <w:top w:val="nil"/>
              <w:left w:val="nil"/>
              <w:bottom w:val="single" w:sz="8" w:space="0" w:color="auto"/>
              <w:right w:val="nil"/>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v tis.</w:t>
            </w:r>
          </w:p>
        </w:tc>
        <w:tc>
          <w:tcPr>
            <w:tcW w:w="986" w:type="dxa"/>
            <w:tcBorders>
              <w:top w:val="nil"/>
              <w:left w:val="single" w:sz="8" w:space="0" w:color="000000"/>
              <w:bottom w:val="single" w:sz="8" w:space="0" w:color="auto"/>
              <w:right w:val="single" w:sz="8"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 </w:t>
            </w:r>
          </w:p>
        </w:tc>
        <w:tc>
          <w:tcPr>
            <w:tcW w:w="986" w:type="dxa"/>
            <w:vMerge/>
            <w:tcBorders>
              <w:top w:val="double" w:sz="6" w:space="0" w:color="auto"/>
              <w:left w:val="nil"/>
              <w:bottom w:val="single" w:sz="8" w:space="0" w:color="000000"/>
              <w:right w:val="single" w:sz="8" w:space="0" w:color="auto"/>
            </w:tcBorders>
            <w:vAlign w:val="center"/>
          </w:tcPr>
          <w:p w:rsidR="00762875" w:rsidRPr="00E04C25" w:rsidRDefault="00762875" w:rsidP="00AE65A5">
            <w:pPr>
              <w:tabs>
                <w:tab w:val="left" w:pos="709"/>
              </w:tabs>
              <w:rPr>
                <w:rFonts w:ascii="Arial" w:hAnsi="Arial" w:cs="Arial"/>
                <w:b/>
                <w:bCs/>
                <w:sz w:val="20"/>
                <w:szCs w:val="20"/>
              </w:rPr>
            </w:pPr>
          </w:p>
        </w:tc>
        <w:tc>
          <w:tcPr>
            <w:tcW w:w="1030" w:type="dxa"/>
            <w:vMerge/>
            <w:tcBorders>
              <w:left w:val="nil"/>
              <w:bottom w:val="single" w:sz="8" w:space="0" w:color="auto"/>
              <w:right w:val="double" w:sz="6"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p>
        </w:tc>
      </w:tr>
      <w:tr w:rsidR="00CA0370" w:rsidRPr="00E04C25" w:rsidTr="00CA0370">
        <w:trPr>
          <w:trHeight w:val="270"/>
        </w:trPr>
        <w:tc>
          <w:tcPr>
            <w:tcW w:w="3000" w:type="dxa"/>
            <w:tcBorders>
              <w:top w:val="nil"/>
              <w:left w:val="double" w:sz="6" w:space="0" w:color="auto"/>
              <w:bottom w:val="single" w:sz="8" w:space="0" w:color="auto"/>
              <w:right w:val="single" w:sz="8" w:space="0" w:color="auto"/>
            </w:tcBorders>
            <w:shd w:val="clear" w:color="auto" w:fill="auto"/>
            <w:noWrap/>
            <w:vAlign w:val="center"/>
          </w:tcPr>
          <w:p w:rsidR="00CA0370" w:rsidRPr="00E04C25" w:rsidRDefault="00CA0370" w:rsidP="00AE65A5">
            <w:pPr>
              <w:tabs>
                <w:tab w:val="left" w:pos="709"/>
              </w:tabs>
              <w:rPr>
                <w:rFonts w:ascii="Arial" w:hAnsi="Arial" w:cs="Arial"/>
                <w:b/>
                <w:bCs/>
                <w:sz w:val="20"/>
                <w:szCs w:val="20"/>
              </w:rPr>
            </w:pPr>
            <w:r w:rsidRPr="00E04C25">
              <w:rPr>
                <w:rFonts w:ascii="Arial" w:hAnsi="Arial" w:cs="Arial"/>
                <w:b/>
                <w:bCs/>
                <w:sz w:val="18"/>
                <w:szCs w:val="18"/>
              </w:rPr>
              <w:t>Celkem</w:t>
            </w:r>
          </w:p>
        </w:tc>
        <w:tc>
          <w:tcPr>
            <w:tcW w:w="1133" w:type="dxa"/>
            <w:tcBorders>
              <w:top w:val="nil"/>
              <w:left w:val="nil"/>
              <w:bottom w:val="nil"/>
              <w:right w:val="nil"/>
            </w:tcBorders>
            <w:shd w:val="clear" w:color="auto" w:fill="auto"/>
            <w:noWrap/>
            <w:vAlign w:val="center"/>
          </w:tcPr>
          <w:p w:rsidR="00CA0370" w:rsidRPr="00E04C25" w:rsidRDefault="00CA0370" w:rsidP="00733E45">
            <w:pPr>
              <w:tabs>
                <w:tab w:val="left" w:pos="709"/>
              </w:tabs>
              <w:jc w:val="right"/>
              <w:rPr>
                <w:rFonts w:ascii="Arial" w:hAnsi="Arial" w:cs="Arial"/>
                <w:b/>
                <w:bCs/>
                <w:sz w:val="18"/>
                <w:szCs w:val="18"/>
              </w:rPr>
            </w:pPr>
            <w:r w:rsidRPr="00E04C25">
              <w:rPr>
                <w:rFonts w:ascii="Arial" w:hAnsi="Arial" w:cs="Arial"/>
                <w:b/>
                <w:bCs/>
                <w:sz w:val="18"/>
                <w:szCs w:val="18"/>
              </w:rPr>
              <w:t xml:space="preserve">5 138,6 </w:t>
            </w:r>
          </w:p>
        </w:tc>
        <w:tc>
          <w:tcPr>
            <w:tcW w:w="987" w:type="dxa"/>
            <w:tcBorders>
              <w:top w:val="nil"/>
              <w:left w:val="single" w:sz="4" w:space="0" w:color="000000"/>
              <w:bottom w:val="nil"/>
              <w:right w:val="single" w:sz="8" w:space="0" w:color="auto"/>
            </w:tcBorders>
            <w:shd w:val="clear" w:color="auto" w:fill="auto"/>
            <w:noWrap/>
            <w:vAlign w:val="center"/>
          </w:tcPr>
          <w:p w:rsidR="00CA0370" w:rsidRPr="00E04C25" w:rsidRDefault="00CA0370" w:rsidP="00733E45">
            <w:pPr>
              <w:tabs>
                <w:tab w:val="left" w:pos="709"/>
              </w:tabs>
              <w:jc w:val="right"/>
              <w:rPr>
                <w:rFonts w:ascii="Arial" w:hAnsi="Arial" w:cs="Arial"/>
                <w:b/>
                <w:bCs/>
                <w:sz w:val="18"/>
                <w:szCs w:val="18"/>
              </w:rPr>
            </w:pPr>
            <w:r w:rsidRPr="00E04C25">
              <w:rPr>
                <w:rFonts w:ascii="Arial" w:hAnsi="Arial" w:cs="Arial"/>
                <w:b/>
                <w:bCs/>
                <w:sz w:val="18"/>
                <w:szCs w:val="18"/>
              </w:rPr>
              <w:t>100,0</w:t>
            </w:r>
          </w:p>
        </w:tc>
        <w:tc>
          <w:tcPr>
            <w:tcW w:w="986" w:type="dxa"/>
            <w:tcBorders>
              <w:top w:val="nil"/>
              <w:left w:val="nil"/>
              <w:bottom w:val="nil"/>
              <w:right w:val="nil"/>
            </w:tcBorders>
            <w:shd w:val="clear" w:color="auto" w:fill="auto"/>
            <w:noWrap/>
            <w:vAlign w:val="center"/>
          </w:tcPr>
          <w:p w:rsidR="00CA0370" w:rsidRPr="00E04C25" w:rsidRDefault="00CA0370">
            <w:pPr>
              <w:jc w:val="right"/>
              <w:rPr>
                <w:rFonts w:ascii="Arial" w:hAnsi="Arial" w:cs="Arial"/>
                <w:b/>
                <w:bCs/>
                <w:sz w:val="18"/>
                <w:szCs w:val="18"/>
              </w:rPr>
            </w:pPr>
            <w:r w:rsidRPr="00E04C25">
              <w:rPr>
                <w:rFonts w:ascii="Arial" w:hAnsi="Arial" w:cs="Arial"/>
                <w:b/>
                <w:bCs/>
                <w:sz w:val="18"/>
                <w:szCs w:val="18"/>
              </w:rPr>
              <w:t xml:space="preserve">5 221,6 </w:t>
            </w:r>
          </w:p>
        </w:tc>
        <w:tc>
          <w:tcPr>
            <w:tcW w:w="986" w:type="dxa"/>
            <w:tcBorders>
              <w:top w:val="nil"/>
              <w:left w:val="single" w:sz="8" w:space="0" w:color="000000"/>
              <w:bottom w:val="nil"/>
              <w:right w:val="single" w:sz="8" w:space="0" w:color="auto"/>
            </w:tcBorders>
            <w:shd w:val="clear" w:color="auto" w:fill="auto"/>
            <w:noWrap/>
            <w:vAlign w:val="center"/>
          </w:tcPr>
          <w:p w:rsidR="00CA0370" w:rsidRPr="00E04C25" w:rsidRDefault="00CA0370">
            <w:pPr>
              <w:jc w:val="right"/>
              <w:rPr>
                <w:rFonts w:ascii="Arial" w:hAnsi="Arial" w:cs="Arial"/>
                <w:b/>
                <w:bCs/>
                <w:sz w:val="18"/>
                <w:szCs w:val="18"/>
              </w:rPr>
            </w:pPr>
            <w:r w:rsidRPr="00E04C25">
              <w:rPr>
                <w:rFonts w:ascii="Arial" w:hAnsi="Arial" w:cs="Arial"/>
                <w:b/>
                <w:bCs/>
                <w:sz w:val="18"/>
                <w:szCs w:val="18"/>
              </w:rPr>
              <w:t>100,0</w:t>
            </w:r>
          </w:p>
        </w:tc>
        <w:tc>
          <w:tcPr>
            <w:tcW w:w="986" w:type="dxa"/>
            <w:tcBorders>
              <w:top w:val="nil"/>
              <w:left w:val="nil"/>
              <w:bottom w:val="nil"/>
              <w:right w:val="single" w:sz="8" w:space="0" w:color="auto"/>
            </w:tcBorders>
            <w:shd w:val="clear" w:color="auto" w:fill="auto"/>
            <w:noWrap/>
            <w:vAlign w:val="center"/>
          </w:tcPr>
          <w:p w:rsidR="00CA0370" w:rsidRPr="00E04C25" w:rsidRDefault="00CA0370">
            <w:pPr>
              <w:jc w:val="right"/>
              <w:rPr>
                <w:rFonts w:ascii="Arial" w:hAnsi="Arial" w:cs="Arial"/>
                <w:b/>
                <w:bCs/>
                <w:sz w:val="18"/>
                <w:szCs w:val="18"/>
              </w:rPr>
            </w:pPr>
            <w:r w:rsidRPr="00E04C25">
              <w:rPr>
                <w:rFonts w:ascii="Arial" w:hAnsi="Arial" w:cs="Arial"/>
                <w:b/>
                <w:bCs/>
                <w:sz w:val="18"/>
                <w:szCs w:val="18"/>
              </w:rPr>
              <w:t xml:space="preserve">83,0 </w:t>
            </w:r>
          </w:p>
        </w:tc>
        <w:tc>
          <w:tcPr>
            <w:tcW w:w="1030" w:type="dxa"/>
            <w:tcBorders>
              <w:top w:val="nil"/>
              <w:left w:val="nil"/>
              <w:bottom w:val="single" w:sz="8" w:space="0" w:color="auto"/>
              <w:right w:val="double" w:sz="6" w:space="0" w:color="auto"/>
            </w:tcBorders>
            <w:shd w:val="clear" w:color="auto" w:fill="auto"/>
            <w:noWrap/>
            <w:vAlign w:val="center"/>
          </w:tcPr>
          <w:p w:rsidR="00CA0370" w:rsidRPr="00E04C25" w:rsidRDefault="00CA0370">
            <w:pPr>
              <w:jc w:val="right"/>
              <w:rPr>
                <w:rFonts w:ascii="Arial" w:hAnsi="Arial" w:cs="Arial"/>
                <w:b/>
                <w:bCs/>
                <w:sz w:val="18"/>
                <w:szCs w:val="18"/>
              </w:rPr>
            </w:pPr>
            <w:r w:rsidRPr="00E04C25">
              <w:rPr>
                <w:rFonts w:ascii="Arial" w:hAnsi="Arial" w:cs="Arial"/>
                <w:b/>
                <w:bCs/>
                <w:sz w:val="18"/>
                <w:szCs w:val="18"/>
              </w:rPr>
              <w:t>101,6</w:t>
            </w:r>
          </w:p>
        </w:tc>
      </w:tr>
      <w:tr w:rsidR="00CA0370" w:rsidRPr="00E04C25" w:rsidTr="00CA0370">
        <w:trPr>
          <w:trHeight w:val="284"/>
        </w:trPr>
        <w:tc>
          <w:tcPr>
            <w:tcW w:w="3000" w:type="dxa"/>
            <w:tcBorders>
              <w:top w:val="nil"/>
              <w:left w:val="double" w:sz="6" w:space="0" w:color="auto"/>
              <w:bottom w:val="nil"/>
              <w:right w:val="single" w:sz="8" w:space="0" w:color="auto"/>
            </w:tcBorders>
            <w:shd w:val="clear" w:color="auto" w:fill="auto"/>
            <w:noWrap/>
            <w:vAlign w:val="center"/>
          </w:tcPr>
          <w:p w:rsidR="00CA0370" w:rsidRPr="00E04C25" w:rsidRDefault="00CA0370" w:rsidP="00AE65A5">
            <w:pPr>
              <w:tabs>
                <w:tab w:val="left" w:pos="709"/>
              </w:tabs>
              <w:rPr>
                <w:rFonts w:ascii="Arial" w:hAnsi="Arial" w:cs="Arial"/>
                <w:sz w:val="18"/>
                <w:szCs w:val="18"/>
              </w:rPr>
            </w:pPr>
            <w:r w:rsidRPr="00E04C25">
              <w:rPr>
                <w:rFonts w:ascii="Arial" w:hAnsi="Arial" w:cs="Arial"/>
                <w:sz w:val="18"/>
                <w:szCs w:val="18"/>
              </w:rPr>
              <w:t>z </w:t>
            </w:r>
            <w:r w:rsidRPr="00E04C25">
              <w:rPr>
                <w:rFonts w:ascii="Arial" w:hAnsi="Arial" w:cs="Arial"/>
                <w:b/>
                <w:sz w:val="18"/>
                <w:szCs w:val="18"/>
              </w:rPr>
              <w:t>toho</w:t>
            </w:r>
            <w:r w:rsidRPr="00E04C25">
              <w:rPr>
                <w:rFonts w:ascii="Arial" w:hAnsi="Arial" w:cs="Arial"/>
                <w:sz w:val="18"/>
                <w:szCs w:val="18"/>
              </w:rPr>
              <w:t>:</w:t>
            </w:r>
          </w:p>
        </w:tc>
        <w:tc>
          <w:tcPr>
            <w:tcW w:w="1133" w:type="dxa"/>
            <w:tcBorders>
              <w:top w:val="single" w:sz="8" w:space="0" w:color="auto"/>
              <w:left w:val="nil"/>
              <w:bottom w:val="nil"/>
              <w:right w:val="nil"/>
            </w:tcBorders>
            <w:shd w:val="clear" w:color="auto" w:fill="auto"/>
            <w:noWrap/>
            <w:vAlign w:val="center"/>
          </w:tcPr>
          <w:p w:rsidR="00CA0370" w:rsidRPr="00E04C25" w:rsidRDefault="00CA0370" w:rsidP="00733E45">
            <w:pPr>
              <w:tabs>
                <w:tab w:val="left" w:pos="709"/>
              </w:tabs>
              <w:jc w:val="right"/>
              <w:rPr>
                <w:rFonts w:ascii="Arial" w:hAnsi="Arial" w:cs="Arial"/>
                <w:sz w:val="18"/>
                <w:szCs w:val="18"/>
              </w:rPr>
            </w:pPr>
            <w:r w:rsidRPr="00E04C25">
              <w:rPr>
                <w:rFonts w:ascii="Arial" w:hAnsi="Arial" w:cs="Arial"/>
                <w:sz w:val="18"/>
                <w:szCs w:val="18"/>
              </w:rPr>
              <w:t> </w:t>
            </w:r>
          </w:p>
        </w:tc>
        <w:tc>
          <w:tcPr>
            <w:tcW w:w="987" w:type="dxa"/>
            <w:tcBorders>
              <w:top w:val="single" w:sz="8" w:space="0" w:color="auto"/>
              <w:left w:val="single" w:sz="4" w:space="0" w:color="000000"/>
              <w:bottom w:val="nil"/>
              <w:right w:val="single" w:sz="8" w:space="0" w:color="auto"/>
            </w:tcBorders>
            <w:shd w:val="clear" w:color="auto" w:fill="auto"/>
            <w:noWrap/>
            <w:vAlign w:val="center"/>
          </w:tcPr>
          <w:p w:rsidR="00CA0370" w:rsidRPr="00E04C25" w:rsidRDefault="00CA0370" w:rsidP="00733E45">
            <w:pPr>
              <w:tabs>
                <w:tab w:val="left" w:pos="709"/>
              </w:tabs>
              <w:jc w:val="right"/>
              <w:rPr>
                <w:rFonts w:ascii="Arial" w:hAnsi="Arial" w:cs="Arial"/>
                <w:sz w:val="18"/>
                <w:szCs w:val="18"/>
              </w:rPr>
            </w:pPr>
            <w:r w:rsidRPr="00E04C25">
              <w:rPr>
                <w:rFonts w:ascii="Arial" w:hAnsi="Arial" w:cs="Arial"/>
                <w:sz w:val="18"/>
                <w:szCs w:val="18"/>
              </w:rPr>
              <w:t> </w:t>
            </w:r>
          </w:p>
        </w:tc>
        <w:tc>
          <w:tcPr>
            <w:tcW w:w="986" w:type="dxa"/>
            <w:tcBorders>
              <w:top w:val="single" w:sz="8" w:space="0" w:color="auto"/>
              <w:left w:val="nil"/>
              <w:bottom w:val="nil"/>
              <w:right w:val="nil"/>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 </w:t>
            </w:r>
          </w:p>
        </w:tc>
        <w:tc>
          <w:tcPr>
            <w:tcW w:w="986" w:type="dxa"/>
            <w:tcBorders>
              <w:top w:val="single" w:sz="8" w:space="0" w:color="auto"/>
              <w:left w:val="single" w:sz="8" w:space="0" w:color="000000"/>
              <w:bottom w:val="nil"/>
              <w:right w:val="single" w:sz="8" w:space="0" w:color="auto"/>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 </w:t>
            </w:r>
          </w:p>
        </w:tc>
        <w:tc>
          <w:tcPr>
            <w:tcW w:w="986" w:type="dxa"/>
            <w:tcBorders>
              <w:top w:val="single" w:sz="8" w:space="0" w:color="auto"/>
              <w:left w:val="nil"/>
              <w:bottom w:val="nil"/>
              <w:right w:val="single" w:sz="8" w:space="0" w:color="auto"/>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 </w:t>
            </w:r>
          </w:p>
        </w:tc>
        <w:tc>
          <w:tcPr>
            <w:tcW w:w="1030" w:type="dxa"/>
            <w:tcBorders>
              <w:top w:val="nil"/>
              <w:left w:val="nil"/>
              <w:bottom w:val="nil"/>
              <w:right w:val="double" w:sz="6" w:space="0" w:color="auto"/>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 </w:t>
            </w:r>
          </w:p>
        </w:tc>
      </w:tr>
      <w:tr w:rsidR="00CA0370" w:rsidRPr="00E04C25" w:rsidTr="00CA0370">
        <w:trPr>
          <w:trHeight w:val="284"/>
        </w:trPr>
        <w:tc>
          <w:tcPr>
            <w:tcW w:w="3000" w:type="dxa"/>
            <w:tcBorders>
              <w:top w:val="nil"/>
              <w:left w:val="double" w:sz="6" w:space="0" w:color="auto"/>
              <w:bottom w:val="nil"/>
              <w:right w:val="single" w:sz="8" w:space="0" w:color="auto"/>
            </w:tcBorders>
            <w:shd w:val="clear" w:color="auto" w:fill="auto"/>
            <w:noWrap/>
            <w:vAlign w:val="center"/>
          </w:tcPr>
          <w:p w:rsidR="00CA0370" w:rsidRPr="00E04C25" w:rsidRDefault="00CA0370" w:rsidP="00AE65A5">
            <w:pPr>
              <w:tabs>
                <w:tab w:val="left" w:pos="709"/>
              </w:tabs>
              <w:ind w:left="237" w:hanging="237"/>
              <w:rPr>
                <w:rFonts w:ascii="Arial" w:hAnsi="Arial" w:cs="Arial"/>
                <w:sz w:val="18"/>
                <w:szCs w:val="18"/>
              </w:rPr>
            </w:pPr>
            <w:r w:rsidRPr="00E04C25">
              <w:rPr>
                <w:rFonts w:ascii="Arial" w:hAnsi="Arial" w:cs="Arial"/>
                <w:sz w:val="18"/>
                <w:szCs w:val="18"/>
              </w:rPr>
              <w:t xml:space="preserve">   zaměstnanci </w:t>
            </w:r>
          </w:p>
        </w:tc>
        <w:tc>
          <w:tcPr>
            <w:tcW w:w="1133" w:type="dxa"/>
            <w:tcBorders>
              <w:top w:val="nil"/>
              <w:left w:val="nil"/>
              <w:bottom w:val="nil"/>
              <w:right w:val="nil"/>
            </w:tcBorders>
            <w:shd w:val="clear" w:color="auto" w:fill="auto"/>
            <w:noWrap/>
            <w:vAlign w:val="center"/>
          </w:tcPr>
          <w:p w:rsidR="00CA0370" w:rsidRPr="00E04C25" w:rsidRDefault="00CA0370" w:rsidP="00733E45">
            <w:pPr>
              <w:tabs>
                <w:tab w:val="left" w:pos="709"/>
              </w:tabs>
              <w:jc w:val="right"/>
              <w:rPr>
                <w:rFonts w:ascii="Arial" w:hAnsi="Arial" w:cs="Arial"/>
                <w:sz w:val="18"/>
                <w:szCs w:val="18"/>
              </w:rPr>
            </w:pPr>
            <w:r w:rsidRPr="00E04C25">
              <w:rPr>
                <w:rFonts w:ascii="Arial" w:hAnsi="Arial" w:cs="Arial"/>
                <w:sz w:val="18"/>
                <w:szCs w:val="18"/>
              </w:rPr>
              <w:t xml:space="preserve">4 256,8 </w:t>
            </w:r>
          </w:p>
        </w:tc>
        <w:tc>
          <w:tcPr>
            <w:tcW w:w="987" w:type="dxa"/>
            <w:tcBorders>
              <w:top w:val="nil"/>
              <w:left w:val="single" w:sz="4" w:space="0" w:color="000000"/>
              <w:bottom w:val="nil"/>
              <w:right w:val="single" w:sz="8" w:space="0" w:color="auto"/>
            </w:tcBorders>
            <w:shd w:val="clear" w:color="auto" w:fill="auto"/>
            <w:noWrap/>
            <w:vAlign w:val="center"/>
          </w:tcPr>
          <w:p w:rsidR="00CA0370" w:rsidRPr="00E04C25" w:rsidRDefault="00CA0370" w:rsidP="00733E45">
            <w:pPr>
              <w:tabs>
                <w:tab w:val="left" w:pos="709"/>
              </w:tabs>
              <w:jc w:val="right"/>
              <w:rPr>
                <w:rFonts w:ascii="Arial" w:hAnsi="Arial" w:cs="Arial"/>
                <w:sz w:val="18"/>
                <w:szCs w:val="18"/>
              </w:rPr>
            </w:pPr>
            <w:r w:rsidRPr="00E04C25">
              <w:rPr>
                <w:rFonts w:ascii="Arial" w:hAnsi="Arial" w:cs="Arial"/>
                <w:sz w:val="18"/>
                <w:szCs w:val="18"/>
              </w:rPr>
              <w:t>82,8</w:t>
            </w:r>
          </w:p>
        </w:tc>
        <w:tc>
          <w:tcPr>
            <w:tcW w:w="986" w:type="dxa"/>
            <w:tcBorders>
              <w:top w:val="nil"/>
              <w:left w:val="nil"/>
              <w:bottom w:val="nil"/>
              <w:right w:val="nil"/>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 xml:space="preserve">4 327,6 </w:t>
            </w:r>
          </w:p>
        </w:tc>
        <w:tc>
          <w:tcPr>
            <w:tcW w:w="986" w:type="dxa"/>
            <w:tcBorders>
              <w:top w:val="nil"/>
              <w:left w:val="single" w:sz="8" w:space="0" w:color="000000"/>
              <w:bottom w:val="nil"/>
              <w:right w:val="single" w:sz="8" w:space="0" w:color="auto"/>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82,9</w:t>
            </w:r>
          </w:p>
        </w:tc>
        <w:tc>
          <w:tcPr>
            <w:tcW w:w="986" w:type="dxa"/>
            <w:tcBorders>
              <w:top w:val="nil"/>
              <w:left w:val="nil"/>
              <w:bottom w:val="nil"/>
              <w:right w:val="single" w:sz="8" w:space="0" w:color="auto"/>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 xml:space="preserve">70,8 </w:t>
            </w:r>
          </w:p>
        </w:tc>
        <w:tc>
          <w:tcPr>
            <w:tcW w:w="1030" w:type="dxa"/>
            <w:tcBorders>
              <w:top w:val="nil"/>
              <w:left w:val="nil"/>
              <w:bottom w:val="nil"/>
              <w:right w:val="double" w:sz="6" w:space="0" w:color="auto"/>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101,7</w:t>
            </w:r>
          </w:p>
        </w:tc>
      </w:tr>
      <w:tr w:rsidR="00CA0370" w:rsidRPr="00E04C25" w:rsidTr="00CA0370">
        <w:trPr>
          <w:trHeight w:val="284"/>
        </w:trPr>
        <w:tc>
          <w:tcPr>
            <w:tcW w:w="3000" w:type="dxa"/>
            <w:tcBorders>
              <w:top w:val="nil"/>
              <w:left w:val="double" w:sz="6" w:space="0" w:color="auto"/>
              <w:bottom w:val="nil"/>
              <w:right w:val="single" w:sz="8" w:space="0" w:color="auto"/>
            </w:tcBorders>
            <w:shd w:val="clear" w:color="auto" w:fill="auto"/>
            <w:noWrap/>
            <w:vAlign w:val="center"/>
          </w:tcPr>
          <w:p w:rsidR="00CA0370" w:rsidRPr="00E04C25" w:rsidRDefault="00CA0370" w:rsidP="00AE65A5">
            <w:pPr>
              <w:tabs>
                <w:tab w:val="left" w:pos="709"/>
              </w:tabs>
              <w:rPr>
                <w:rFonts w:ascii="Arial" w:hAnsi="Arial" w:cs="Arial"/>
                <w:sz w:val="18"/>
                <w:szCs w:val="18"/>
              </w:rPr>
            </w:pPr>
            <w:r w:rsidRPr="00E04C25">
              <w:rPr>
                <w:rFonts w:ascii="Arial" w:hAnsi="Arial" w:cs="Arial"/>
                <w:sz w:val="18"/>
                <w:szCs w:val="18"/>
              </w:rPr>
              <w:t xml:space="preserve">   podnikatelé bez zaměstnanců</w:t>
            </w:r>
          </w:p>
        </w:tc>
        <w:tc>
          <w:tcPr>
            <w:tcW w:w="1133" w:type="dxa"/>
            <w:tcBorders>
              <w:top w:val="nil"/>
              <w:left w:val="nil"/>
              <w:bottom w:val="nil"/>
              <w:right w:val="nil"/>
            </w:tcBorders>
            <w:shd w:val="clear" w:color="auto" w:fill="auto"/>
            <w:noWrap/>
            <w:vAlign w:val="center"/>
          </w:tcPr>
          <w:p w:rsidR="00CA0370" w:rsidRPr="00E04C25" w:rsidRDefault="00CA0370" w:rsidP="00733E45">
            <w:pPr>
              <w:tabs>
                <w:tab w:val="left" w:pos="709"/>
              </w:tabs>
              <w:jc w:val="right"/>
              <w:rPr>
                <w:rFonts w:ascii="Arial" w:hAnsi="Arial" w:cs="Arial"/>
                <w:sz w:val="18"/>
                <w:szCs w:val="18"/>
              </w:rPr>
            </w:pPr>
            <w:r w:rsidRPr="00E04C25">
              <w:rPr>
                <w:rFonts w:ascii="Arial" w:hAnsi="Arial" w:cs="Arial"/>
                <w:sz w:val="18"/>
                <w:szCs w:val="18"/>
              </w:rPr>
              <w:t xml:space="preserve">693,4 </w:t>
            </w:r>
          </w:p>
        </w:tc>
        <w:tc>
          <w:tcPr>
            <w:tcW w:w="987" w:type="dxa"/>
            <w:tcBorders>
              <w:top w:val="nil"/>
              <w:left w:val="single" w:sz="4" w:space="0" w:color="000000"/>
              <w:bottom w:val="nil"/>
              <w:right w:val="single" w:sz="8" w:space="0" w:color="auto"/>
            </w:tcBorders>
            <w:shd w:val="clear" w:color="auto" w:fill="auto"/>
            <w:noWrap/>
            <w:vAlign w:val="center"/>
          </w:tcPr>
          <w:p w:rsidR="00CA0370" w:rsidRPr="00E04C25" w:rsidRDefault="00CA0370" w:rsidP="00733E45">
            <w:pPr>
              <w:tabs>
                <w:tab w:val="left" w:pos="709"/>
              </w:tabs>
              <w:jc w:val="right"/>
              <w:rPr>
                <w:rFonts w:ascii="Arial" w:hAnsi="Arial" w:cs="Arial"/>
                <w:sz w:val="18"/>
                <w:szCs w:val="18"/>
              </w:rPr>
            </w:pPr>
            <w:r w:rsidRPr="00E04C25">
              <w:rPr>
                <w:rFonts w:ascii="Arial" w:hAnsi="Arial" w:cs="Arial"/>
                <w:sz w:val="18"/>
                <w:szCs w:val="18"/>
              </w:rPr>
              <w:t>13,5</w:t>
            </w:r>
          </w:p>
        </w:tc>
        <w:tc>
          <w:tcPr>
            <w:tcW w:w="986" w:type="dxa"/>
            <w:tcBorders>
              <w:top w:val="nil"/>
              <w:left w:val="nil"/>
              <w:bottom w:val="nil"/>
              <w:right w:val="nil"/>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 xml:space="preserve">705,5 </w:t>
            </w:r>
          </w:p>
        </w:tc>
        <w:tc>
          <w:tcPr>
            <w:tcW w:w="986" w:type="dxa"/>
            <w:tcBorders>
              <w:top w:val="nil"/>
              <w:left w:val="single" w:sz="8" w:space="0" w:color="000000"/>
              <w:bottom w:val="nil"/>
              <w:right w:val="single" w:sz="8" w:space="0" w:color="auto"/>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13,5</w:t>
            </w:r>
          </w:p>
        </w:tc>
        <w:tc>
          <w:tcPr>
            <w:tcW w:w="986" w:type="dxa"/>
            <w:tcBorders>
              <w:top w:val="nil"/>
              <w:left w:val="nil"/>
              <w:bottom w:val="nil"/>
              <w:right w:val="single" w:sz="8" w:space="0" w:color="auto"/>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 xml:space="preserve">12,1 </w:t>
            </w:r>
          </w:p>
        </w:tc>
        <w:tc>
          <w:tcPr>
            <w:tcW w:w="1030" w:type="dxa"/>
            <w:tcBorders>
              <w:top w:val="nil"/>
              <w:left w:val="nil"/>
              <w:bottom w:val="nil"/>
              <w:right w:val="double" w:sz="6" w:space="0" w:color="auto"/>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101,7</w:t>
            </w:r>
          </w:p>
        </w:tc>
      </w:tr>
      <w:tr w:rsidR="00CA0370" w:rsidRPr="00E04C25" w:rsidTr="00CA0370">
        <w:trPr>
          <w:trHeight w:val="284"/>
        </w:trPr>
        <w:tc>
          <w:tcPr>
            <w:tcW w:w="3000" w:type="dxa"/>
            <w:tcBorders>
              <w:top w:val="nil"/>
              <w:left w:val="double" w:sz="6" w:space="0" w:color="auto"/>
              <w:bottom w:val="nil"/>
              <w:right w:val="single" w:sz="8" w:space="0" w:color="auto"/>
            </w:tcBorders>
            <w:shd w:val="clear" w:color="auto" w:fill="auto"/>
            <w:noWrap/>
            <w:vAlign w:val="center"/>
          </w:tcPr>
          <w:p w:rsidR="00CA0370" w:rsidRPr="00E04C25" w:rsidRDefault="00CA0370" w:rsidP="00AE65A5">
            <w:pPr>
              <w:tabs>
                <w:tab w:val="left" w:pos="709"/>
              </w:tabs>
              <w:rPr>
                <w:rFonts w:ascii="Arial" w:hAnsi="Arial" w:cs="Arial"/>
                <w:sz w:val="18"/>
                <w:szCs w:val="18"/>
              </w:rPr>
            </w:pPr>
            <w:r w:rsidRPr="00E04C25">
              <w:rPr>
                <w:rFonts w:ascii="Arial" w:hAnsi="Arial" w:cs="Arial"/>
                <w:sz w:val="18"/>
                <w:szCs w:val="18"/>
              </w:rPr>
              <w:t xml:space="preserve">   podnikatelé se zaměstnanci</w:t>
            </w:r>
          </w:p>
        </w:tc>
        <w:tc>
          <w:tcPr>
            <w:tcW w:w="1133" w:type="dxa"/>
            <w:tcBorders>
              <w:top w:val="nil"/>
              <w:left w:val="nil"/>
              <w:bottom w:val="nil"/>
              <w:right w:val="nil"/>
            </w:tcBorders>
            <w:shd w:val="clear" w:color="auto" w:fill="auto"/>
            <w:noWrap/>
            <w:vAlign w:val="center"/>
          </w:tcPr>
          <w:p w:rsidR="00CA0370" w:rsidRPr="00E04C25" w:rsidRDefault="00CA0370" w:rsidP="00733E45">
            <w:pPr>
              <w:tabs>
                <w:tab w:val="left" w:pos="709"/>
              </w:tabs>
              <w:jc w:val="right"/>
              <w:rPr>
                <w:rFonts w:ascii="Arial" w:hAnsi="Arial" w:cs="Arial"/>
                <w:sz w:val="18"/>
                <w:szCs w:val="18"/>
              </w:rPr>
            </w:pPr>
            <w:r w:rsidRPr="00E04C25">
              <w:rPr>
                <w:rFonts w:ascii="Arial" w:hAnsi="Arial" w:cs="Arial"/>
                <w:sz w:val="18"/>
                <w:szCs w:val="18"/>
              </w:rPr>
              <w:t xml:space="preserve">161,3 </w:t>
            </w:r>
          </w:p>
        </w:tc>
        <w:tc>
          <w:tcPr>
            <w:tcW w:w="987" w:type="dxa"/>
            <w:tcBorders>
              <w:top w:val="nil"/>
              <w:left w:val="single" w:sz="4" w:space="0" w:color="000000"/>
              <w:bottom w:val="nil"/>
              <w:right w:val="single" w:sz="8" w:space="0" w:color="auto"/>
            </w:tcBorders>
            <w:shd w:val="clear" w:color="auto" w:fill="auto"/>
            <w:noWrap/>
            <w:vAlign w:val="center"/>
          </w:tcPr>
          <w:p w:rsidR="00CA0370" w:rsidRPr="00E04C25" w:rsidRDefault="00CA0370" w:rsidP="00733E45">
            <w:pPr>
              <w:tabs>
                <w:tab w:val="left" w:pos="709"/>
              </w:tabs>
              <w:jc w:val="right"/>
              <w:rPr>
                <w:rFonts w:ascii="Arial" w:hAnsi="Arial" w:cs="Arial"/>
                <w:sz w:val="18"/>
                <w:szCs w:val="18"/>
              </w:rPr>
            </w:pPr>
            <w:r w:rsidRPr="00E04C25">
              <w:rPr>
                <w:rFonts w:ascii="Arial" w:hAnsi="Arial" w:cs="Arial"/>
                <w:sz w:val="18"/>
                <w:szCs w:val="18"/>
              </w:rPr>
              <w:t>3,1</w:t>
            </w:r>
          </w:p>
        </w:tc>
        <w:tc>
          <w:tcPr>
            <w:tcW w:w="986" w:type="dxa"/>
            <w:tcBorders>
              <w:top w:val="nil"/>
              <w:left w:val="nil"/>
              <w:bottom w:val="nil"/>
              <w:right w:val="nil"/>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 xml:space="preserve">163,8 </w:t>
            </w:r>
          </w:p>
        </w:tc>
        <w:tc>
          <w:tcPr>
            <w:tcW w:w="986" w:type="dxa"/>
            <w:tcBorders>
              <w:top w:val="nil"/>
              <w:left w:val="single" w:sz="8" w:space="0" w:color="000000"/>
              <w:bottom w:val="nil"/>
              <w:right w:val="single" w:sz="8" w:space="0" w:color="auto"/>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3,1</w:t>
            </w:r>
          </w:p>
        </w:tc>
        <w:tc>
          <w:tcPr>
            <w:tcW w:w="986" w:type="dxa"/>
            <w:tcBorders>
              <w:top w:val="nil"/>
              <w:left w:val="nil"/>
              <w:bottom w:val="nil"/>
              <w:right w:val="single" w:sz="8" w:space="0" w:color="auto"/>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 xml:space="preserve">2,5 </w:t>
            </w:r>
          </w:p>
        </w:tc>
        <w:tc>
          <w:tcPr>
            <w:tcW w:w="1030" w:type="dxa"/>
            <w:tcBorders>
              <w:top w:val="nil"/>
              <w:left w:val="nil"/>
              <w:bottom w:val="nil"/>
              <w:right w:val="double" w:sz="6" w:space="0" w:color="auto"/>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101,5</w:t>
            </w:r>
          </w:p>
        </w:tc>
      </w:tr>
      <w:tr w:rsidR="00CA0370" w:rsidRPr="00E04C25" w:rsidTr="00CA0370">
        <w:trPr>
          <w:trHeight w:val="284"/>
        </w:trPr>
        <w:tc>
          <w:tcPr>
            <w:tcW w:w="3000" w:type="dxa"/>
            <w:tcBorders>
              <w:top w:val="nil"/>
              <w:left w:val="double" w:sz="6" w:space="0" w:color="auto"/>
              <w:bottom w:val="double" w:sz="6" w:space="0" w:color="auto"/>
              <w:right w:val="single" w:sz="8" w:space="0" w:color="auto"/>
            </w:tcBorders>
            <w:shd w:val="clear" w:color="auto" w:fill="auto"/>
            <w:noWrap/>
            <w:vAlign w:val="center"/>
          </w:tcPr>
          <w:p w:rsidR="00CA0370" w:rsidRPr="00E04C25" w:rsidRDefault="00CA0370" w:rsidP="00AE65A5">
            <w:pPr>
              <w:tabs>
                <w:tab w:val="left" w:pos="709"/>
              </w:tabs>
              <w:rPr>
                <w:rFonts w:ascii="Arial" w:hAnsi="Arial" w:cs="Arial"/>
                <w:sz w:val="18"/>
                <w:szCs w:val="18"/>
              </w:rPr>
            </w:pPr>
            <w:r w:rsidRPr="00E04C25">
              <w:rPr>
                <w:rFonts w:ascii="Arial" w:hAnsi="Arial" w:cs="Arial"/>
                <w:sz w:val="18"/>
                <w:szCs w:val="18"/>
              </w:rPr>
              <w:t xml:space="preserve">   pomáhající rodinní příslušníci</w:t>
            </w:r>
          </w:p>
        </w:tc>
        <w:tc>
          <w:tcPr>
            <w:tcW w:w="1133" w:type="dxa"/>
            <w:tcBorders>
              <w:top w:val="nil"/>
              <w:left w:val="nil"/>
              <w:bottom w:val="double" w:sz="6" w:space="0" w:color="auto"/>
              <w:right w:val="nil"/>
            </w:tcBorders>
            <w:shd w:val="clear" w:color="auto" w:fill="auto"/>
            <w:noWrap/>
            <w:vAlign w:val="center"/>
          </w:tcPr>
          <w:p w:rsidR="00CA0370" w:rsidRPr="00E04C25" w:rsidRDefault="00CA0370" w:rsidP="00733E45">
            <w:pPr>
              <w:tabs>
                <w:tab w:val="left" w:pos="709"/>
              </w:tabs>
              <w:jc w:val="right"/>
              <w:rPr>
                <w:rFonts w:ascii="Arial" w:hAnsi="Arial" w:cs="Arial"/>
                <w:sz w:val="18"/>
                <w:szCs w:val="18"/>
              </w:rPr>
            </w:pPr>
            <w:r w:rsidRPr="00E04C25">
              <w:rPr>
                <w:rFonts w:ascii="Arial" w:hAnsi="Arial" w:cs="Arial"/>
                <w:sz w:val="18"/>
                <w:szCs w:val="18"/>
              </w:rPr>
              <w:t xml:space="preserve">27,1 </w:t>
            </w:r>
          </w:p>
        </w:tc>
        <w:tc>
          <w:tcPr>
            <w:tcW w:w="987" w:type="dxa"/>
            <w:tcBorders>
              <w:top w:val="nil"/>
              <w:left w:val="single" w:sz="4" w:space="0" w:color="000000"/>
              <w:bottom w:val="double" w:sz="6" w:space="0" w:color="auto"/>
              <w:right w:val="single" w:sz="8" w:space="0" w:color="auto"/>
            </w:tcBorders>
            <w:shd w:val="clear" w:color="auto" w:fill="auto"/>
            <w:noWrap/>
            <w:vAlign w:val="center"/>
          </w:tcPr>
          <w:p w:rsidR="00CA0370" w:rsidRPr="00E04C25" w:rsidRDefault="00CA0370" w:rsidP="00733E45">
            <w:pPr>
              <w:tabs>
                <w:tab w:val="left" w:pos="709"/>
              </w:tabs>
              <w:jc w:val="right"/>
              <w:rPr>
                <w:rFonts w:ascii="Arial" w:hAnsi="Arial" w:cs="Arial"/>
                <w:sz w:val="18"/>
                <w:szCs w:val="18"/>
              </w:rPr>
            </w:pPr>
            <w:r w:rsidRPr="00E04C25">
              <w:rPr>
                <w:rFonts w:ascii="Arial" w:hAnsi="Arial" w:cs="Arial"/>
                <w:sz w:val="18"/>
                <w:szCs w:val="18"/>
              </w:rPr>
              <w:t>0,5</w:t>
            </w:r>
          </w:p>
        </w:tc>
        <w:tc>
          <w:tcPr>
            <w:tcW w:w="986" w:type="dxa"/>
            <w:tcBorders>
              <w:top w:val="nil"/>
              <w:left w:val="nil"/>
              <w:bottom w:val="double" w:sz="6" w:space="0" w:color="auto"/>
              <w:right w:val="nil"/>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 xml:space="preserve">24,7 </w:t>
            </w:r>
          </w:p>
        </w:tc>
        <w:tc>
          <w:tcPr>
            <w:tcW w:w="986" w:type="dxa"/>
            <w:tcBorders>
              <w:top w:val="nil"/>
              <w:left w:val="single" w:sz="8" w:space="0" w:color="000000"/>
              <w:bottom w:val="double" w:sz="6" w:space="0" w:color="auto"/>
              <w:right w:val="single" w:sz="8" w:space="0" w:color="auto"/>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0,5</w:t>
            </w:r>
          </w:p>
        </w:tc>
        <w:tc>
          <w:tcPr>
            <w:tcW w:w="986" w:type="dxa"/>
            <w:tcBorders>
              <w:top w:val="nil"/>
              <w:left w:val="nil"/>
              <w:bottom w:val="double" w:sz="6" w:space="0" w:color="auto"/>
              <w:right w:val="single" w:sz="8" w:space="0" w:color="auto"/>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 xml:space="preserve">-2,4 </w:t>
            </w:r>
          </w:p>
        </w:tc>
        <w:tc>
          <w:tcPr>
            <w:tcW w:w="1030" w:type="dxa"/>
            <w:tcBorders>
              <w:top w:val="nil"/>
              <w:left w:val="nil"/>
              <w:bottom w:val="double" w:sz="6" w:space="0" w:color="auto"/>
              <w:right w:val="double" w:sz="6" w:space="0" w:color="auto"/>
            </w:tcBorders>
            <w:shd w:val="clear" w:color="auto" w:fill="auto"/>
            <w:noWrap/>
            <w:vAlign w:val="center"/>
          </w:tcPr>
          <w:p w:rsidR="00CA0370" w:rsidRPr="00E04C25" w:rsidRDefault="00CA0370">
            <w:pPr>
              <w:jc w:val="right"/>
              <w:rPr>
                <w:rFonts w:ascii="Arial" w:hAnsi="Arial" w:cs="Arial"/>
                <w:sz w:val="18"/>
                <w:szCs w:val="18"/>
              </w:rPr>
            </w:pPr>
            <w:r w:rsidRPr="00E04C25">
              <w:rPr>
                <w:rFonts w:ascii="Arial" w:hAnsi="Arial" w:cs="Arial"/>
                <w:sz w:val="18"/>
                <w:szCs w:val="18"/>
              </w:rPr>
              <w:t>91,1</w:t>
            </w:r>
          </w:p>
        </w:tc>
      </w:tr>
    </w:tbl>
    <w:p w:rsidR="00762875" w:rsidRPr="00E04C25" w:rsidRDefault="00762875" w:rsidP="00AE65A5">
      <w:pPr>
        <w:tabs>
          <w:tab w:val="left" w:pos="709"/>
        </w:tabs>
        <w:spacing w:line="480" w:lineRule="auto"/>
        <w:rPr>
          <w:rFonts w:ascii="Arial" w:hAnsi="Arial" w:cs="Arial"/>
          <w:i/>
          <w:iCs/>
          <w:sz w:val="18"/>
          <w:szCs w:val="18"/>
        </w:rPr>
      </w:pPr>
      <w:r w:rsidRPr="00E04C25">
        <w:rPr>
          <w:rFonts w:ascii="Arial" w:hAnsi="Arial" w:cs="Arial"/>
          <w:i/>
          <w:iCs/>
          <w:sz w:val="18"/>
          <w:szCs w:val="18"/>
        </w:rPr>
        <w:t>Zdroj: ČSÚ – VŠPS</w:t>
      </w:r>
    </w:p>
    <w:p w:rsidR="00762875" w:rsidRPr="00E04C25" w:rsidRDefault="00AE65A5" w:rsidP="00AE65A5">
      <w:pPr>
        <w:tabs>
          <w:tab w:val="left" w:pos="709"/>
        </w:tabs>
        <w:spacing w:line="360" w:lineRule="auto"/>
        <w:jc w:val="both"/>
        <w:rPr>
          <w:rFonts w:ascii="Arial" w:hAnsi="Arial" w:cs="Arial"/>
          <w:bCs/>
          <w:iCs/>
        </w:rPr>
      </w:pPr>
      <w:r w:rsidRPr="00E04C25">
        <w:rPr>
          <w:rFonts w:ascii="Arial" w:hAnsi="Arial" w:cs="Arial"/>
          <w:bCs/>
        </w:rPr>
        <w:tab/>
      </w:r>
      <w:r w:rsidR="00762875" w:rsidRPr="00E04C25">
        <w:rPr>
          <w:rFonts w:ascii="Arial" w:hAnsi="Arial" w:cs="Arial"/>
          <w:b/>
          <w:bCs/>
          <w:iCs/>
        </w:rPr>
        <w:t>P</w:t>
      </w:r>
      <w:r w:rsidR="00762875" w:rsidRPr="00E04C25">
        <w:rPr>
          <w:rFonts w:ascii="Arial" w:hAnsi="Arial" w:cs="Arial"/>
          <w:b/>
          <w:iCs/>
        </w:rPr>
        <w:t xml:space="preserve">odíl podnikatelů </w:t>
      </w:r>
      <w:r w:rsidR="00762875" w:rsidRPr="00E04C25">
        <w:rPr>
          <w:rFonts w:ascii="Arial" w:hAnsi="Arial" w:cs="Arial"/>
          <w:iCs/>
        </w:rPr>
        <w:t xml:space="preserve">včetně pomáhajících rodinných příslušníků na celkové zaměstnanosti se meziročně </w:t>
      </w:r>
      <w:r w:rsidR="00762875" w:rsidRPr="00E04C25">
        <w:rPr>
          <w:rFonts w:ascii="Arial" w:hAnsi="Arial" w:cs="Arial"/>
          <w:b/>
          <w:iCs/>
        </w:rPr>
        <w:t>snížil</w:t>
      </w:r>
      <w:r w:rsidR="00762875" w:rsidRPr="00E04C25">
        <w:rPr>
          <w:rFonts w:ascii="Arial" w:hAnsi="Arial" w:cs="Arial"/>
          <w:iCs/>
        </w:rPr>
        <w:t xml:space="preserve"> o 0,</w:t>
      </w:r>
      <w:r w:rsidR="00AA7BA8" w:rsidRPr="00E04C25">
        <w:rPr>
          <w:rFonts w:ascii="Arial" w:hAnsi="Arial" w:cs="Arial"/>
          <w:iCs/>
        </w:rPr>
        <w:t>1</w:t>
      </w:r>
      <w:r w:rsidR="00762875" w:rsidRPr="00E04C25">
        <w:rPr>
          <w:rFonts w:ascii="Arial" w:hAnsi="Arial" w:cs="Arial"/>
          <w:iCs/>
        </w:rPr>
        <w:t> </w:t>
      </w:r>
      <w:r w:rsidR="00762875" w:rsidRPr="00E04C25">
        <w:rPr>
          <w:rFonts w:ascii="Arial" w:hAnsi="Arial" w:cs="Arial"/>
        </w:rPr>
        <w:t xml:space="preserve">p. b. </w:t>
      </w:r>
      <w:r w:rsidR="00762875" w:rsidRPr="00E04C25">
        <w:rPr>
          <w:rFonts w:ascii="Arial" w:hAnsi="Arial" w:cs="Arial"/>
          <w:b/>
          <w:bCs/>
          <w:iCs/>
        </w:rPr>
        <w:t>na 17,</w:t>
      </w:r>
      <w:r w:rsidR="00FB03DB" w:rsidRPr="00E04C25">
        <w:rPr>
          <w:rFonts w:ascii="Arial" w:hAnsi="Arial" w:cs="Arial"/>
          <w:b/>
          <w:bCs/>
          <w:iCs/>
        </w:rPr>
        <w:t>1</w:t>
      </w:r>
      <w:r w:rsidR="00762875" w:rsidRPr="00E04C25">
        <w:rPr>
          <w:rFonts w:ascii="Arial" w:hAnsi="Arial" w:cs="Arial"/>
          <w:b/>
          <w:bCs/>
          <w:iCs/>
        </w:rPr>
        <w:t> %</w:t>
      </w:r>
      <w:r w:rsidR="00762875" w:rsidRPr="00E04C25">
        <w:rPr>
          <w:rFonts w:ascii="Arial" w:hAnsi="Arial" w:cs="Arial"/>
          <w:bCs/>
          <w:iCs/>
        </w:rPr>
        <w:t>,</w:t>
      </w:r>
      <w:r w:rsidR="00762875" w:rsidRPr="00E04C25">
        <w:rPr>
          <w:rFonts w:ascii="Arial" w:hAnsi="Arial" w:cs="Arial"/>
          <w:b/>
          <w:bCs/>
          <w:iCs/>
        </w:rPr>
        <w:t xml:space="preserve"> </w:t>
      </w:r>
      <w:r w:rsidR="00762875" w:rsidRPr="00E04C25">
        <w:rPr>
          <w:rFonts w:ascii="Arial" w:hAnsi="Arial" w:cs="Arial"/>
          <w:bCs/>
          <w:iCs/>
        </w:rPr>
        <w:t>přesto</w:t>
      </w:r>
      <w:r w:rsidR="00762875" w:rsidRPr="00E04C25">
        <w:rPr>
          <w:rFonts w:ascii="Arial" w:hAnsi="Arial" w:cs="Arial"/>
          <w:b/>
          <w:bCs/>
          <w:iCs/>
        </w:rPr>
        <w:t xml:space="preserve"> </w:t>
      </w:r>
      <w:r w:rsidR="00762875" w:rsidRPr="00E04C25">
        <w:rPr>
          <w:rFonts w:ascii="Arial" w:hAnsi="Arial" w:cs="Arial"/>
          <w:bCs/>
          <w:iCs/>
        </w:rPr>
        <w:t>zůstává ve srovnání s jinými zeměmi vysoký.</w:t>
      </w:r>
    </w:p>
    <w:p w:rsidR="00B22073" w:rsidRPr="00E04C25" w:rsidRDefault="00AE65A5" w:rsidP="00AE65A5">
      <w:pPr>
        <w:tabs>
          <w:tab w:val="left" w:pos="709"/>
        </w:tabs>
        <w:spacing w:line="360" w:lineRule="auto"/>
        <w:jc w:val="both"/>
        <w:rPr>
          <w:rFonts w:ascii="Arial" w:hAnsi="Arial" w:cs="Arial"/>
          <w:bCs/>
          <w:iCs/>
        </w:rPr>
      </w:pPr>
      <w:r w:rsidRPr="00E04C25">
        <w:rPr>
          <w:rFonts w:ascii="Arial" w:hAnsi="Arial" w:cs="Arial"/>
          <w:bCs/>
          <w:iCs/>
        </w:rPr>
        <w:tab/>
      </w:r>
      <w:r w:rsidR="00B22073" w:rsidRPr="00E04C25">
        <w:rPr>
          <w:rFonts w:ascii="Arial" w:hAnsi="Arial" w:cs="Arial"/>
          <w:bCs/>
          <w:iCs/>
        </w:rPr>
        <w:t xml:space="preserve">Z hlediska odvětvové příslušnosti byl </w:t>
      </w:r>
      <w:r w:rsidR="00B22073" w:rsidRPr="00E04C25">
        <w:rPr>
          <w:rFonts w:ascii="Arial" w:hAnsi="Arial" w:cs="Arial"/>
          <w:b/>
          <w:bCs/>
          <w:iCs/>
        </w:rPr>
        <w:t xml:space="preserve">vysoký podíl podnikatelů </w:t>
      </w:r>
      <w:r w:rsidR="00B22073" w:rsidRPr="00E04C25">
        <w:rPr>
          <w:rFonts w:ascii="Arial" w:hAnsi="Arial" w:cs="Arial"/>
          <w:bCs/>
          <w:iCs/>
        </w:rPr>
        <w:t>(na celkové zaměstnanosti v rámci odvětví)</w:t>
      </w:r>
      <w:r w:rsidR="00B22073" w:rsidRPr="00E04C25">
        <w:rPr>
          <w:rFonts w:ascii="Arial" w:hAnsi="Arial" w:cs="Arial"/>
          <w:b/>
          <w:bCs/>
          <w:iCs/>
        </w:rPr>
        <w:t xml:space="preserve"> </w:t>
      </w:r>
      <w:r w:rsidR="00B22073" w:rsidRPr="00E04C25">
        <w:rPr>
          <w:rFonts w:ascii="Arial" w:hAnsi="Arial" w:cs="Arial"/>
          <w:bCs/>
          <w:iCs/>
        </w:rPr>
        <w:t xml:space="preserve">v odvětví </w:t>
      </w:r>
      <w:r w:rsidR="00681479" w:rsidRPr="00E04C25">
        <w:rPr>
          <w:rFonts w:ascii="Arial" w:hAnsi="Arial" w:cs="Arial"/>
          <w:bCs/>
          <w:iCs/>
        </w:rPr>
        <w:t xml:space="preserve">„profesní, vědecké a technické činnosti“ 42,9 % (meziroční pokles o 3,2 p. b.), </w:t>
      </w:r>
      <w:r w:rsidR="00B22073" w:rsidRPr="00E04C25">
        <w:rPr>
          <w:rFonts w:ascii="Arial" w:hAnsi="Arial" w:cs="Arial"/>
          <w:bCs/>
          <w:iCs/>
        </w:rPr>
        <w:t>„činnosti v oblasti nemovitosti“ 4</w:t>
      </w:r>
      <w:r w:rsidR="002B03E1" w:rsidRPr="00E04C25">
        <w:rPr>
          <w:rFonts w:ascii="Arial" w:hAnsi="Arial" w:cs="Arial"/>
          <w:bCs/>
          <w:iCs/>
        </w:rPr>
        <w:t>6</w:t>
      </w:r>
      <w:r w:rsidR="00B22073" w:rsidRPr="00E04C25">
        <w:rPr>
          <w:rFonts w:ascii="Arial" w:hAnsi="Arial" w:cs="Arial"/>
          <w:bCs/>
          <w:iCs/>
        </w:rPr>
        <w:t>,</w:t>
      </w:r>
      <w:r w:rsidR="00681479" w:rsidRPr="00E04C25">
        <w:rPr>
          <w:rFonts w:ascii="Arial" w:hAnsi="Arial" w:cs="Arial"/>
          <w:bCs/>
          <w:iCs/>
        </w:rPr>
        <w:t>5</w:t>
      </w:r>
      <w:r w:rsidR="00B22073" w:rsidRPr="00E04C25">
        <w:rPr>
          <w:rFonts w:ascii="Arial" w:hAnsi="Arial" w:cs="Arial"/>
          <w:bCs/>
          <w:iCs/>
        </w:rPr>
        <w:t xml:space="preserve"> % </w:t>
      </w:r>
      <w:r w:rsidR="002B03E1" w:rsidRPr="00E04C25">
        <w:rPr>
          <w:rFonts w:ascii="Arial" w:hAnsi="Arial" w:cs="Arial"/>
          <w:bCs/>
          <w:iCs/>
        </w:rPr>
        <w:t>a</w:t>
      </w:r>
      <w:r w:rsidR="00B22073" w:rsidRPr="00E04C25">
        <w:rPr>
          <w:rFonts w:ascii="Arial" w:hAnsi="Arial" w:cs="Arial"/>
          <w:bCs/>
          <w:iCs/>
        </w:rPr>
        <w:t xml:space="preserve"> </w:t>
      </w:r>
      <w:r w:rsidR="00B22073" w:rsidRPr="00E04C25">
        <w:rPr>
          <w:rFonts w:ascii="Arial" w:hAnsi="Arial" w:cs="Arial"/>
          <w:b/>
          <w:bCs/>
          <w:iCs/>
        </w:rPr>
        <w:t>ve</w:t>
      </w:r>
      <w:r w:rsidR="00B22073" w:rsidRPr="00E04C25">
        <w:rPr>
          <w:rFonts w:ascii="Arial" w:hAnsi="Arial" w:cs="Arial"/>
          <w:bCs/>
          <w:iCs/>
        </w:rPr>
        <w:t xml:space="preserve"> velkém odvětví </w:t>
      </w:r>
      <w:r w:rsidR="00681479" w:rsidRPr="00E04C25">
        <w:rPr>
          <w:rFonts w:ascii="Arial" w:hAnsi="Arial" w:cs="Arial"/>
          <w:b/>
          <w:bCs/>
          <w:iCs/>
        </w:rPr>
        <w:t>stavebnictví 41,5</w:t>
      </w:r>
      <w:r w:rsidR="00B22073" w:rsidRPr="00E04C25">
        <w:rPr>
          <w:rFonts w:ascii="Arial" w:hAnsi="Arial" w:cs="Arial"/>
          <w:b/>
          <w:bCs/>
          <w:iCs/>
        </w:rPr>
        <w:t> %</w:t>
      </w:r>
      <w:r w:rsidR="002B03E1" w:rsidRPr="00E04C25">
        <w:rPr>
          <w:rFonts w:ascii="Arial" w:hAnsi="Arial" w:cs="Arial"/>
          <w:b/>
          <w:bCs/>
          <w:iCs/>
        </w:rPr>
        <w:t xml:space="preserve"> </w:t>
      </w:r>
      <w:r w:rsidR="002B03E1" w:rsidRPr="00E04C25">
        <w:rPr>
          <w:rFonts w:ascii="Arial" w:hAnsi="Arial" w:cs="Arial"/>
          <w:bCs/>
          <w:iCs/>
        </w:rPr>
        <w:t>(v </w:t>
      </w:r>
      <w:r w:rsidR="00681479" w:rsidRPr="00E04C25">
        <w:rPr>
          <w:rFonts w:ascii="Arial" w:hAnsi="Arial" w:cs="Arial"/>
          <w:bCs/>
          <w:iCs/>
        </w:rPr>
        <w:t>posledních</w:t>
      </w:r>
      <w:r w:rsidR="002B03E1" w:rsidRPr="00E04C25">
        <w:rPr>
          <w:rFonts w:ascii="Arial" w:hAnsi="Arial" w:cs="Arial"/>
          <w:bCs/>
          <w:iCs/>
        </w:rPr>
        <w:t xml:space="preserve"> dvou odvětvích se podíly podnikatelů meziročně </w:t>
      </w:r>
      <w:r w:rsidR="00681479" w:rsidRPr="00E04C25">
        <w:rPr>
          <w:rFonts w:ascii="Arial" w:hAnsi="Arial" w:cs="Arial"/>
          <w:bCs/>
          <w:iCs/>
        </w:rPr>
        <w:t>mírně zvýšily</w:t>
      </w:r>
      <w:r w:rsidR="002B03E1" w:rsidRPr="00E04C25">
        <w:rPr>
          <w:rFonts w:ascii="Arial" w:hAnsi="Arial" w:cs="Arial"/>
          <w:bCs/>
          <w:iCs/>
        </w:rPr>
        <w:t>).</w:t>
      </w:r>
    </w:p>
    <w:p w:rsidR="00EE5BC8" w:rsidRPr="00E04C25" w:rsidRDefault="00AE65A5" w:rsidP="00AE65A5">
      <w:pPr>
        <w:widowControl w:val="0"/>
        <w:tabs>
          <w:tab w:val="left" w:pos="709"/>
        </w:tabs>
        <w:autoSpaceDE w:val="0"/>
        <w:autoSpaceDN w:val="0"/>
        <w:adjustRightInd w:val="0"/>
        <w:spacing w:line="360" w:lineRule="auto"/>
        <w:jc w:val="both"/>
        <w:rPr>
          <w:rFonts w:ascii="Arial" w:hAnsi="Arial" w:cs="Arial"/>
        </w:rPr>
      </w:pPr>
      <w:r w:rsidRPr="00E04C25">
        <w:rPr>
          <w:rFonts w:ascii="Arial" w:hAnsi="Arial" w:cs="Arial"/>
        </w:rPr>
        <w:tab/>
      </w:r>
      <w:r w:rsidR="00762875" w:rsidRPr="00E04C25">
        <w:rPr>
          <w:rFonts w:ascii="Arial" w:hAnsi="Arial" w:cs="Arial"/>
        </w:rPr>
        <w:t>Podobně jako v letech 2011 až 201</w:t>
      </w:r>
      <w:r w:rsidR="00681479" w:rsidRPr="00E04C25">
        <w:rPr>
          <w:rFonts w:ascii="Arial" w:hAnsi="Arial" w:cs="Arial"/>
        </w:rPr>
        <w:t>6</w:t>
      </w:r>
      <w:r w:rsidR="00762875" w:rsidRPr="00E04C25">
        <w:rPr>
          <w:rFonts w:ascii="Arial" w:hAnsi="Arial" w:cs="Arial"/>
        </w:rPr>
        <w:t xml:space="preserve"> pokračoval </w:t>
      </w:r>
      <w:r w:rsidR="00762875" w:rsidRPr="00E04C25">
        <w:rPr>
          <w:rFonts w:ascii="Arial" w:hAnsi="Arial" w:cs="Arial"/>
          <w:b/>
        </w:rPr>
        <w:t>nárůst počtu osob pracujících na dobu neurčitou</w:t>
      </w:r>
      <w:r w:rsidR="00762875" w:rsidRPr="00E04C25">
        <w:rPr>
          <w:rFonts w:ascii="Arial" w:hAnsi="Arial" w:cs="Arial"/>
        </w:rPr>
        <w:t xml:space="preserve"> (zaměstnanců s pracovními úvazky na dobu neurčitou nebo podnikatelů).</w:t>
      </w:r>
      <w:r w:rsidR="00762875" w:rsidRPr="00E04C25">
        <w:rPr>
          <w:rFonts w:ascii="Arial" w:hAnsi="Arial" w:cs="Arial"/>
          <w:b/>
        </w:rPr>
        <w:t xml:space="preserve"> </w:t>
      </w:r>
      <w:r w:rsidR="00762875" w:rsidRPr="00E04C25">
        <w:rPr>
          <w:rFonts w:ascii="Arial" w:hAnsi="Arial" w:cs="Arial"/>
        </w:rPr>
        <w:t>V roce 201</w:t>
      </w:r>
      <w:r w:rsidR="00681479" w:rsidRPr="00E04C25">
        <w:rPr>
          <w:rFonts w:ascii="Arial" w:hAnsi="Arial" w:cs="Arial"/>
        </w:rPr>
        <w:t>7</w:t>
      </w:r>
      <w:r w:rsidR="00762875" w:rsidRPr="00E04C25">
        <w:rPr>
          <w:rFonts w:ascii="Arial" w:hAnsi="Arial" w:cs="Arial"/>
        </w:rPr>
        <w:t xml:space="preserve"> se jejich počet </w:t>
      </w:r>
      <w:r w:rsidR="00762875" w:rsidRPr="00E04C25">
        <w:rPr>
          <w:rFonts w:ascii="Arial" w:hAnsi="Arial" w:cs="Arial"/>
          <w:b/>
        </w:rPr>
        <w:t xml:space="preserve">zvýšil </w:t>
      </w:r>
      <w:r w:rsidR="00762875" w:rsidRPr="00E04C25">
        <w:rPr>
          <w:rFonts w:ascii="Arial" w:hAnsi="Arial" w:cs="Arial"/>
        </w:rPr>
        <w:t xml:space="preserve">o </w:t>
      </w:r>
      <w:r w:rsidR="00681479" w:rsidRPr="00E04C25">
        <w:rPr>
          <w:rFonts w:ascii="Arial" w:hAnsi="Arial" w:cs="Arial"/>
        </w:rPr>
        <w:t>82</w:t>
      </w:r>
      <w:r w:rsidR="00762875" w:rsidRPr="00E04C25">
        <w:rPr>
          <w:rFonts w:ascii="Arial" w:hAnsi="Arial" w:cs="Arial"/>
        </w:rPr>
        <w:t>,</w:t>
      </w:r>
      <w:r w:rsidR="00681479" w:rsidRPr="00E04C25">
        <w:rPr>
          <w:rFonts w:ascii="Arial" w:hAnsi="Arial" w:cs="Arial"/>
        </w:rPr>
        <w:t>9</w:t>
      </w:r>
      <w:r w:rsidR="00762875" w:rsidRPr="00E04C25">
        <w:rPr>
          <w:rFonts w:ascii="Arial" w:hAnsi="Arial" w:cs="Arial"/>
        </w:rPr>
        <w:t xml:space="preserve"> tis.</w:t>
      </w:r>
      <w:r w:rsidR="00762875" w:rsidRPr="00E04C25">
        <w:rPr>
          <w:rFonts w:ascii="Arial" w:hAnsi="Arial" w:cs="Arial"/>
          <w:b/>
        </w:rPr>
        <w:t xml:space="preserve"> na</w:t>
      </w:r>
      <w:r w:rsidR="00762875" w:rsidRPr="00E04C25">
        <w:rPr>
          <w:rFonts w:ascii="Arial" w:hAnsi="Arial" w:cs="Arial"/>
        </w:rPr>
        <w:t xml:space="preserve"> </w:t>
      </w:r>
      <w:r w:rsidR="00762875" w:rsidRPr="00E04C25">
        <w:rPr>
          <w:rFonts w:ascii="Arial" w:hAnsi="Arial" w:cs="Arial"/>
          <w:b/>
        </w:rPr>
        <w:t>4 </w:t>
      </w:r>
      <w:r w:rsidR="002B03E1" w:rsidRPr="00E04C25">
        <w:rPr>
          <w:rFonts w:ascii="Arial" w:hAnsi="Arial" w:cs="Arial"/>
          <w:b/>
        </w:rPr>
        <w:t>7</w:t>
      </w:r>
      <w:r w:rsidR="00681479" w:rsidRPr="00E04C25">
        <w:rPr>
          <w:rFonts w:ascii="Arial" w:hAnsi="Arial" w:cs="Arial"/>
          <w:b/>
        </w:rPr>
        <w:t>85</w:t>
      </w:r>
      <w:r w:rsidR="00762875" w:rsidRPr="00E04C25">
        <w:rPr>
          <w:rFonts w:ascii="Arial" w:hAnsi="Arial" w:cs="Arial"/>
          <w:b/>
        </w:rPr>
        <w:t>,</w:t>
      </w:r>
      <w:r w:rsidR="00681479" w:rsidRPr="00E04C25">
        <w:rPr>
          <w:rFonts w:ascii="Arial" w:hAnsi="Arial" w:cs="Arial"/>
          <w:b/>
        </w:rPr>
        <w:t>5</w:t>
      </w:r>
      <w:r w:rsidR="00762875" w:rsidRPr="00E04C25">
        <w:rPr>
          <w:rFonts w:ascii="Arial" w:hAnsi="Arial" w:cs="Arial"/>
          <w:b/>
        </w:rPr>
        <w:t xml:space="preserve"> tis. osob </w:t>
      </w:r>
      <w:r w:rsidR="00762875" w:rsidRPr="00E04C25">
        <w:rPr>
          <w:rFonts w:ascii="Arial" w:hAnsi="Arial" w:cs="Arial"/>
        </w:rPr>
        <w:t>(počet mužů se zvýšil o </w:t>
      </w:r>
      <w:r w:rsidR="00681479" w:rsidRPr="00E04C25">
        <w:rPr>
          <w:rFonts w:ascii="Arial" w:hAnsi="Arial" w:cs="Arial"/>
        </w:rPr>
        <w:t>44</w:t>
      </w:r>
      <w:r w:rsidR="00762875" w:rsidRPr="00E04C25">
        <w:rPr>
          <w:rFonts w:ascii="Arial" w:hAnsi="Arial" w:cs="Arial"/>
        </w:rPr>
        <w:t>,</w:t>
      </w:r>
      <w:r w:rsidR="00681479" w:rsidRPr="00E04C25">
        <w:rPr>
          <w:rFonts w:ascii="Arial" w:hAnsi="Arial" w:cs="Arial"/>
        </w:rPr>
        <w:t>7</w:t>
      </w:r>
      <w:r w:rsidR="00762875" w:rsidRPr="00E04C25">
        <w:rPr>
          <w:rFonts w:ascii="Arial" w:hAnsi="Arial" w:cs="Arial"/>
        </w:rPr>
        <w:t> tis., počet žen o </w:t>
      </w:r>
      <w:r w:rsidR="00681479" w:rsidRPr="00E04C25">
        <w:rPr>
          <w:rFonts w:ascii="Arial" w:hAnsi="Arial" w:cs="Arial"/>
        </w:rPr>
        <w:t>38</w:t>
      </w:r>
      <w:r w:rsidR="00762875" w:rsidRPr="00E04C25">
        <w:rPr>
          <w:rFonts w:ascii="Arial" w:hAnsi="Arial" w:cs="Arial"/>
        </w:rPr>
        <w:t>,</w:t>
      </w:r>
      <w:r w:rsidR="00681479" w:rsidRPr="00E04C25">
        <w:rPr>
          <w:rFonts w:ascii="Arial" w:hAnsi="Arial" w:cs="Arial"/>
        </w:rPr>
        <w:t>3</w:t>
      </w:r>
      <w:r w:rsidR="00762875" w:rsidRPr="00E04C25">
        <w:rPr>
          <w:rFonts w:ascii="Arial" w:hAnsi="Arial" w:cs="Arial"/>
        </w:rPr>
        <w:t> tis.).</w:t>
      </w:r>
    </w:p>
    <w:p w:rsidR="008F173E" w:rsidRPr="00E04C25" w:rsidRDefault="00AE65A5" w:rsidP="00AE65A5">
      <w:pPr>
        <w:widowControl w:val="0"/>
        <w:tabs>
          <w:tab w:val="left" w:pos="709"/>
        </w:tabs>
        <w:autoSpaceDE w:val="0"/>
        <w:autoSpaceDN w:val="0"/>
        <w:adjustRightInd w:val="0"/>
        <w:spacing w:line="360" w:lineRule="auto"/>
        <w:jc w:val="both"/>
        <w:rPr>
          <w:rFonts w:ascii="Arial" w:hAnsi="Arial" w:cs="Arial"/>
          <w:bCs/>
        </w:rPr>
      </w:pPr>
      <w:r w:rsidRPr="00E04C25">
        <w:rPr>
          <w:rFonts w:ascii="Arial" w:hAnsi="Arial" w:cs="Arial"/>
          <w:b/>
        </w:rPr>
        <w:tab/>
      </w:r>
      <w:r w:rsidR="00162967" w:rsidRPr="00E04C25">
        <w:rPr>
          <w:rFonts w:ascii="Arial" w:hAnsi="Arial" w:cs="Arial"/>
          <w:b/>
        </w:rPr>
        <w:t xml:space="preserve">Naproti tomu </w:t>
      </w:r>
      <w:r w:rsidR="008F173E" w:rsidRPr="00E04C25">
        <w:rPr>
          <w:rFonts w:ascii="Arial" w:hAnsi="Arial" w:cs="Arial"/>
          <w:b/>
        </w:rPr>
        <w:t>p</w:t>
      </w:r>
      <w:r w:rsidR="008F173E" w:rsidRPr="00E04C25">
        <w:rPr>
          <w:rFonts w:ascii="Arial" w:hAnsi="Arial" w:cs="Arial"/>
          <w:b/>
          <w:bCs/>
        </w:rPr>
        <w:t>oč</w:t>
      </w:r>
      <w:r w:rsidR="00162967" w:rsidRPr="00E04C25">
        <w:rPr>
          <w:rFonts w:ascii="Arial" w:hAnsi="Arial" w:cs="Arial"/>
          <w:b/>
          <w:bCs/>
        </w:rPr>
        <w:t>e</w:t>
      </w:r>
      <w:r w:rsidR="008F173E" w:rsidRPr="00E04C25">
        <w:rPr>
          <w:rFonts w:ascii="Arial" w:hAnsi="Arial" w:cs="Arial"/>
          <w:b/>
          <w:bCs/>
        </w:rPr>
        <w:t xml:space="preserve">t osob pracujících na dobu určitou </w:t>
      </w:r>
      <w:r w:rsidR="008F173E" w:rsidRPr="00E04C25">
        <w:rPr>
          <w:rFonts w:ascii="Arial" w:hAnsi="Arial" w:cs="Arial"/>
        </w:rPr>
        <w:t>včetně práce dočasné, příležitostní a sezónní a dalších časově omezených smluv</w:t>
      </w:r>
      <w:r w:rsidR="00162967" w:rsidRPr="00E04C25">
        <w:rPr>
          <w:rFonts w:ascii="Arial" w:hAnsi="Arial" w:cs="Arial"/>
        </w:rPr>
        <w:t xml:space="preserve"> </w:t>
      </w:r>
      <w:r w:rsidR="008F173E" w:rsidRPr="00E04C25">
        <w:rPr>
          <w:rFonts w:ascii="Arial" w:hAnsi="Arial" w:cs="Arial"/>
          <w:b/>
        </w:rPr>
        <w:t xml:space="preserve">se </w:t>
      </w:r>
      <w:r w:rsidR="00162967" w:rsidRPr="00E04C25">
        <w:rPr>
          <w:rFonts w:ascii="Arial" w:hAnsi="Arial" w:cs="Arial"/>
        </w:rPr>
        <w:t xml:space="preserve">nepatrně </w:t>
      </w:r>
      <w:r w:rsidR="00162967" w:rsidRPr="00E04C25">
        <w:rPr>
          <w:rFonts w:ascii="Arial" w:hAnsi="Arial" w:cs="Arial"/>
          <w:b/>
        </w:rPr>
        <w:t>snížil</w:t>
      </w:r>
      <w:r w:rsidR="008F173E" w:rsidRPr="00E04C25">
        <w:rPr>
          <w:rFonts w:ascii="Arial" w:hAnsi="Arial" w:cs="Arial"/>
        </w:rPr>
        <w:t xml:space="preserve"> </w:t>
      </w:r>
      <w:r w:rsidR="008F173E" w:rsidRPr="00E04C25">
        <w:rPr>
          <w:rFonts w:ascii="Arial" w:hAnsi="Arial" w:cs="Arial"/>
          <w:b/>
        </w:rPr>
        <w:t>na</w:t>
      </w:r>
      <w:r w:rsidR="008F173E" w:rsidRPr="00E04C25">
        <w:rPr>
          <w:rFonts w:ascii="Arial" w:hAnsi="Arial" w:cs="Arial"/>
        </w:rPr>
        <w:t xml:space="preserve"> </w:t>
      </w:r>
      <w:r w:rsidR="008F173E" w:rsidRPr="00E04C25">
        <w:rPr>
          <w:rFonts w:ascii="Arial" w:hAnsi="Arial" w:cs="Arial"/>
          <w:b/>
        </w:rPr>
        <w:t>43</w:t>
      </w:r>
      <w:r w:rsidR="00D52110" w:rsidRPr="00E04C25">
        <w:rPr>
          <w:rFonts w:ascii="Arial" w:hAnsi="Arial" w:cs="Arial"/>
          <w:b/>
        </w:rPr>
        <w:t>3</w:t>
      </w:r>
      <w:r w:rsidR="008F173E" w:rsidRPr="00E04C25">
        <w:rPr>
          <w:rFonts w:ascii="Arial" w:hAnsi="Arial" w:cs="Arial"/>
          <w:b/>
          <w:bCs/>
        </w:rPr>
        <w:t>,</w:t>
      </w:r>
      <w:r w:rsidR="00D52110" w:rsidRPr="00E04C25">
        <w:rPr>
          <w:rFonts w:ascii="Arial" w:hAnsi="Arial" w:cs="Arial"/>
          <w:b/>
          <w:bCs/>
        </w:rPr>
        <w:t>6</w:t>
      </w:r>
      <w:r w:rsidR="008F173E" w:rsidRPr="00E04C25">
        <w:rPr>
          <w:rFonts w:ascii="Arial" w:hAnsi="Arial" w:cs="Arial"/>
          <w:b/>
          <w:bCs/>
        </w:rPr>
        <w:t xml:space="preserve"> tis. </w:t>
      </w:r>
      <w:r w:rsidR="008F173E" w:rsidRPr="00E04C25">
        <w:rPr>
          <w:rFonts w:ascii="Arial" w:hAnsi="Arial" w:cs="Arial"/>
          <w:bCs/>
        </w:rPr>
        <w:t>(</w:t>
      </w:r>
      <w:r w:rsidR="00CB1BBF" w:rsidRPr="00E04C25">
        <w:rPr>
          <w:rFonts w:ascii="Arial" w:hAnsi="Arial" w:cs="Arial"/>
          <w:bCs/>
        </w:rPr>
        <w:t>poklesl</w:t>
      </w:r>
      <w:r w:rsidR="00162967" w:rsidRPr="00E04C25">
        <w:rPr>
          <w:rFonts w:ascii="Arial" w:hAnsi="Arial" w:cs="Arial"/>
          <w:bCs/>
        </w:rPr>
        <w:t xml:space="preserve"> pouze </w:t>
      </w:r>
      <w:r w:rsidR="00CB1BBF" w:rsidRPr="00E04C25">
        <w:rPr>
          <w:rFonts w:ascii="Arial" w:hAnsi="Arial" w:cs="Arial"/>
          <w:bCs/>
        </w:rPr>
        <w:t>p</w:t>
      </w:r>
      <w:r w:rsidR="00162967" w:rsidRPr="00E04C25">
        <w:rPr>
          <w:rFonts w:ascii="Arial" w:hAnsi="Arial" w:cs="Arial"/>
          <w:bCs/>
        </w:rPr>
        <w:t>o</w:t>
      </w:r>
      <w:r w:rsidR="00CB1BBF" w:rsidRPr="00E04C25">
        <w:rPr>
          <w:rFonts w:ascii="Arial" w:hAnsi="Arial" w:cs="Arial"/>
          <w:bCs/>
        </w:rPr>
        <w:t>čet</w:t>
      </w:r>
      <w:r w:rsidR="00162967" w:rsidRPr="00E04C25">
        <w:rPr>
          <w:rFonts w:ascii="Arial" w:hAnsi="Arial" w:cs="Arial"/>
          <w:bCs/>
        </w:rPr>
        <w:t xml:space="preserve"> muž</w:t>
      </w:r>
      <w:r w:rsidR="00CB1BBF" w:rsidRPr="00E04C25">
        <w:rPr>
          <w:rFonts w:ascii="Arial" w:hAnsi="Arial" w:cs="Arial"/>
          <w:bCs/>
        </w:rPr>
        <w:t>ů</w:t>
      </w:r>
      <w:r w:rsidR="00162967" w:rsidRPr="00E04C25">
        <w:rPr>
          <w:rFonts w:ascii="Arial" w:hAnsi="Arial" w:cs="Arial"/>
          <w:bCs/>
        </w:rPr>
        <w:t xml:space="preserve">, </w:t>
      </w:r>
      <w:r w:rsidR="00CB1BBF" w:rsidRPr="00E04C25">
        <w:rPr>
          <w:rFonts w:ascii="Arial" w:hAnsi="Arial" w:cs="Arial"/>
          <w:bCs/>
        </w:rPr>
        <w:t>a to</w:t>
      </w:r>
      <w:r w:rsidR="00162967" w:rsidRPr="00E04C25">
        <w:rPr>
          <w:rFonts w:ascii="Arial" w:hAnsi="Arial" w:cs="Arial"/>
          <w:bCs/>
        </w:rPr>
        <w:t xml:space="preserve"> </w:t>
      </w:r>
      <w:r w:rsidR="008F173E" w:rsidRPr="00E04C25">
        <w:rPr>
          <w:rFonts w:ascii="Arial" w:hAnsi="Arial" w:cs="Arial"/>
          <w:bCs/>
        </w:rPr>
        <w:t>o </w:t>
      </w:r>
      <w:r w:rsidR="00D52110" w:rsidRPr="00E04C25">
        <w:rPr>
          <w:rFonts w:ascii="Arial" w:hAnsi="Arial" w:cs="Arial"/>
          <w:bCs/>
        </w:rPr>
        <w:t>6</w:t>
      </w:r>
      <w:r w:rsidR="008F173E" w:rsidRPr="00E04C25">
        <w:rPr>
          <w:rFonts w:ascii="Arial" w:hAnsi="Arial" w:cs="Arial"/>
          <w:bCs/>
        </w:rPr>
        <w:t>,</w:t>
      </w:r>
      <w:r w:rsidR="00D52110" w:rsidRPr="00E04C25">
        <w:rPr>
          <w:rFonts w:ascii="Arial" w:hAnsi="Arial" w:cs="Arial"/>
          <w:bCs/>
        </w:rPr>
        <w:t>5</w:t>
      </w:r>
      <w:r w:rsidR="008F173E" w:rsidRPr="00E04C25">
        <w:rPr>
          <w:rFonts w:ascii="Arial" w:hAnsi="Arial" w:cs="Arial"/>
          <w:bCs/>
        </w:rPr>
        <w:t> tis.</w:t>
      </w:r>
      <w:r w:rsidR="00D52110" w:rsidRPr="00E04C25">
        <w:rPr>
          <w:rFonts w:ascii="Arial" w:hAnsi="Arial" w:cs="Arial"/>
          <w:bCs/>
        </w:rPr>
        <w:t>, počet žen vzrostl o 5,5</w:t>
      </w:r>
      <w:r w:rsidR="00D52110" w:rsidRPr="00E04C25">
        <w:rPr>
          <w:rFonts w:ascii="Arial" w:hAnsi="Arial" w:cs="Arial"/>
        </w:rPr>
        <w:t> tis.</w:t>
      </w:r>
      <w:r w:rsidR="008F173E" w:rsidRPr="00E04C25">
        <w:rPr>
          <w:rFonts w:ascii="Arial" w:hAnsi="Arial" w:cs="Arial"/>
          <w:bCs/>
        </w:rPr>
        <w:t>).</w:t>
      </w:r>
    </w:p>
    <w:p w:rsidR="008F173E" w:rsidRPr="00E04C25" w:rsidRDefault="00AE65A5" w:rsidP="00AE65A5">
      <w:pPr>
        <w:widowControl w:val="0"/>
        <w:tabs>
          <w:tab w:val="left" w:pos="709"/>
        </w:tabs>
        <w:autoSpaceDE w:val="0"/>
        <w:autoSpaceDN w:val="0"/>
        <w:adjustRightInd w:val="0"/>
        <w:spacing w:line="360" w:lineRule="auto"/>
        <w:jc w:val="both"/>
        <w:rPr>
          <w:rFonts w:ascii="Arial" w:hAnsi="Arial" w:cs="Arial"/>
        </w:rPr>
      </w:pPr>
      <w:r w:rsidRPr="00E04C25">
        <w:rPr>
          <w:rFonts w:ascii="Arial" w:hAnsi="Arial" w:cs="Arial"/>
          <w:bCs/>
        </w:rPr>
        <w:tab/>
      </w:r>
      <w:r w:rsidR="008F173E" w:rsidRPr="00E04C25">
        <w:rPr>
          <w:rFonts w:ascii="Arial" w:hAnsi="Arial" w:cs="Arial"/>
          <w:bCs/>
        </w:rPr>
        <w:t>Nadále pokračoval</w:t>
      </w:r>
      <w:r w:rsidR="008F173E" w:rsidRPr="00E04C25">
        <w:rPr>
          <w:rFonts w:ascii="Arial" w:hAnsi="Arial" w:cs="Arial"/>
          <w:b/>
          <w:bCs/>
        </w:rPr>
        <w:t xml:space="preserve"> růst počtu osob pracujících na plnou pracovní dobu</w:t>
      </w:r>
      <w:r w:rsidR="008F173E" w:rsidRPr="00E04C25">
        <w:rPr>
          <w:rFonts w:ascii="Arial" w:hAnsi="Arial" w:cs="Arial"/>
          <w:bCs/>
        </w:rPr>
        <w:t xml:space="preserve">, </w:t>
      </w:r>
      <w:r w:rsidR="008F173E" w:rsidRPr="00E04C25">
        <w:rPr>
          <w:rFonts w:ascii="Arial" w:hAnsi="Arial" w:cs="Arial"/>
        </w:rPr>
        <w:t xml:space="preserve">jejich počet </w:t>
      </w:r>
      <w:r w:rsidR="00EE5BC8" w:rsidRPr="00E04C25">
        <w:rPr>
          <w:rFonts w:ascii="Arial" w:hAnsi="Arial" w:cs="Arial"/>
          <w:b/>
        </w:rPr>
        <w:t xml:space="preserve">vzrostl </w:t>
      </w:r>
      <w:r w:rsidR="008F173E" w:rsidRPr="00E04C25">
        <w:rPr>
          <w:rFonts w:ascii="Arial" w:hAnsi="Arial" w:cs="Arial"/>
        </w:rPr>
        <w:t>o </w:t>
      </w:r>
      <w:r w:rsidR="00D52110" w:rsidRPr="00E04C25">
        <w:rPr>
          <w:rFonts w:ascii="Arial" w:hAnsi="Arial" w:cs="Arial"/>
        </w:rPr>
        <w:t>46,1</w:t>
      </w:r>
      <w:r w:rsidR="008F173E" w:rsidRPr="00E04C25">
        <w:rPr>
          <w:rFonts w:ascii="Arial" w:hAnsi="Arial" w:cs="Arial"/>
        </w:rPr>
        <w:t xml:space="preserve"> tis. </w:t>
      </w:r>
      <w:r w:rsidR="008F173E" w:rsidRPr="00E04C25">
        <w:rPr>
          <w:rFonts w:ascii="Arial" w:hAnsi="Arial" w:cs="Arial"/>
          <w:b/>
        </w:rPr>
        <w:t>na 4 </w:t>
      </w:r>
      <w:r w:rsidR="00D52110" w:rsidRPr="00E04C25">
        <w:rPr>
          <w:rFonts w:ascii="Arial" w:hAnsi="Arial" w:cs="Arial"/>
          <w:b/>
        </w:rPr>
        <w:t>839</w:t>
      </w:r>
      <w:r w:rsidR="008F173E" w:rsidRPr="00E04C25">
        <w:rPr>
          <w:rFonts w:ascii="Arial" w:hAnsi="Arial" w:cs="Arial"/>
          <w:b/>
        </w:rPr>
        <w:t>,</w:t>
      </w:r>
      <w:r w:rsidR="00D52110" w:rsidRPr="00E04C25">
        <w:rPr>
          <w:rFonts w:ascii="Arial" w:hAnsi="Arial" w:cs="Arial"/>
          <w:b/>
        </w:rPr>
        <w:t>1</w:t>
      </w:r>
      <w:r w:rsidR="008F173E" w:rsidRPr="00E04C25">
        <w:rPr>
          <w:rFonts w:ascii="Arial" w:hAnsi="Arial" w:cs="Arial"/>
          <w:b/>
        </w:rPr>
        <w:t xml:space="preserve"> tis</w:t>
      </w:r>
      <w:r w:rsidR="008F173E" w:rsidRPr="00E04C25">
        <w:rPr>
          <w:rFonts w:ascii="Arial" w:hAnsi="Arial" w:cs="Arial"/>
        </w:rPr>
        <w:t xml:space="preserve">. osob, počet mužů </w:t>
      </w:r>
      <w:r w:rsidR="00B2150B" w:rsidRPr="00E04C25">
        <w:rPr>
          <w:rFonts w:ascii="Arial" w:hAnsi="Arial" w:cs="Arial"/>
        </w:rPr>
        <w:t>byl vyšší</w:t>
      </w:r>
      <w:r w:rsidR="008F173E" w:rsidRPr="00E04C25">
        <w:rPr>
          <w:rFonts w:ascii="Arial" w:hAnsi="Arial" w:cs="Arial"/>
        </w:rPr>
        <w:t xml:space="preserve"> o </w:t>
      </w:r>
      <w:r w:rsidR="00162967" w:rsidRPr="00E04C25">
        <w:rPr>
          <w:rFonts w:ascii="Arial" w:hAnsi="Arial" w:cs="Arial"/>
        </w:rPr>
        <w:t>3</w:t>
      </w:r>
      <w:r w:rsidR="00C904A8" w:rsidRPr="00E04C25">
        <w:rPr>
          <w:rFonts w:ascii="Arial" w:hAnsi="Arial" w:cs="Arial"/>
        </w:rPr>
        <w:t>0</w:t>
      </w:r>
      <w:r w:rsidR="008F173E" w:rsidRPr="00E04C25">
        <w:rPr>
          <w:rFonts w:ascii="Arial" w:hAnsi="Arial" w:cs="Arial"/>
        </w:rPr>
        <w:t>,</w:t>
      </w:r>
      <w:r w:rsidR="00C904A8" w:rsidRPr="00E04C25">
        <w:rPr>
          <w:rFonts w:ascii="Arial" w:hAnsi="Arial" w:cs="Arial"/>
        </w:rPr>
        <w:t>5</w:t>
      </w:r>
      <w:r w:rsidR="008F173E" w:rsidRPr="00E04C25">
        <w:rPr>
          <w:rFonts w:ascii="Arial" w:hAnsi="Arial" w:cs="Arial"/>
        </w:rPr>
        <w:t xml:space="preserve"> tis., počet žen o </w:t>
      </w:r>
      <w:r w:rsidR="00C904A8" w:rsidRPr="00E04C25">
        <w:rPr>
          <w:rFonts w:ascii="Arial" w:hAnsi="Arial" w:cs="Arial"/>
        </w:rPr>
        <w:t>15</w:t>
      </w:r>
      <w:r w:rsidR="008F173E" w:rsidRPr="00E04C25">
        <w:rPr>
          <w:rFonts w:ascii="Arial" w:hAnsi="Arial" w:cs="Arial"/>
        </w:rPr>
        <w:t>,</w:t>
      </w:r>
      <w:r w:rsidR="00C904A8" w:rsidRPr="00E04C25">
        <w:rPr>
          <w:rFonts w:ascii="Arial" w:hAnsi="Arial" w:cs="Arial"/>
        </w:rPr>
        <w:t>6</w:t>
      </w:r>
      <w:r w:rsidR="008F173E" w:rsidRPr="00E04C25">
        <w:rPr>
          <w:rFonts w:ascii="Arial" w:hAnsi="Arial" w:cs="Arial"/>
        </w:rPr>
        <w:t> tis.</w:t>
      </w:r>
      <w:r w:rsidR="008F173E" w:rsidRPr="00E04C25">
        <w:rPr>
          <w:rFonts w:ascii="Arial" w:hAnsi="Arial" w:cs="Arial"/>
          <w:b/>
          <w:bCs/>
        </w:rPr>
        <w:t xml:space="preserve"> </w:t>
      </w:r>
      <w:r w:rsidR="00D52110" w:rsidRPr="00E04C25">
        <w:rPr>
          <w:rFonts w:ascii="Arial" w:hAnsi="Arial" w:cs="Arial"/>
          <w:b/>
          <w:bCs/>
        </w:rPr>
        <w:t xml:space="preserve">Rychleji rostl </w:t>
      </w:r>
      <w:r w:rsidR="001B4C5E" w:rsidRPr="001B4C5E">
        <w:rPr>
          <w:rFonts w:ascii="Arial" w:hAnsi="Arial" w:cs="Arial"/>
          <w:bCs/>
        </w:rPr>
        <w:t xml:space="preserve">také </w:t>
      </w:r>
      <w:r w:rsidR="00D52110" w:rsidRPr="00E04C25">
        <w:rPr>
          <w:rFonts w:ascii="Arial" w:hAnsi="Arial" w:cs="Arial"/>
          <w:bCs/>
        </w:rPr>
        <w:t>p</w:t>
      </w:r>
      <w:r w:rsidR="008F173E" w:rsidRPr="00E04C25">
        <w:rPr>
          <w:rFonts w:ascii="Arial" w:hAnsi="Arial" w:cs="Arial"/>
        </w:rPr>
        <w:t>očet osob pracujících</w:t>
      </w:r>
      <w:r w:rsidR="008F173E" w:rsidRPr="00E04C25">
        <w:rPr>
          <w:rFonts w:ascii="Arial" w:hAnsi="Arial" w:cs="Arial"/>
          <w:b/>
        </w:rPr>
        <w:t xml:space="preserve"> na kratší pracovní dobu</w:t>
      </w:r>
      <w:r w:rsidR="00D52110" w:rsidRPr="00E04C25">
        <w:rPr>
          <w:rFonts w:ascii="Arial" w:hAnsi="Arial" w:cs="Arial"/>
          <w:b/>
        </w:rPr>
        <w:t>,</w:t>
      </w:r>
      <w:r w:rsidR="008F173E" w:rsidRPr="00E04C25">
        <w:rPr>
          <w:rFonts w:ascii="Arial" w:hAnsi="Arial" w:cs="Arial"/>
          <w:b/>
        </w:rPr>
        <w:t xml:space="preserve"> </w:t>
      </w:r>
      <w:r w:rsidR="00D52110" w:rsidRPr="00E04C25">
        <w:rPr>
          <w:rFonts w:ascii="Arial" w:hAnsi="Arial" w:cs="Arial"/>
        </w:rPr>
        <w:t xml:space="preserve">jejich počet </w:t>
      </w:r>
      <w:r w:rsidR="00C904A8" w:rsidRPr="00E04C25">
        <w:rPr>
          <w:rFonts w:ascii="Arial" w:hAnsi="Arial" w:cs="Arial"/>
        </w:rPr>
        <w:t xml:space="preserve">se </w:t>
      </w:r>
      <w:r w:rsidR="00D52110" w:rsidRPr="00E04C25">
        <w:rPr>
          <w:rFonts w:ascii="Arial" w:hAnsi="Arial" w:cs="Arial"/>
        </w:rPr>
        <w:t>meziročně</w:t>
      </w:r>
      <w:r w:rsidR="00D52110" w:rsidRPr="00E04C25">
        <w:rPr>
          <w:rFonts w:ascii="Arial" w:hAnsi="Arial" w:cs="Arial"/>
          <w:b/>
        </w:rPr>
        <w:t xml:space="preserve"> </w:t>
      </w:r>
      <w:r w:rsidR="00C904A8" w:rsidRPr="00E04C25">
        <w:rPr>
          <w:rFonts w:ascii="Arial" w:hAnsi="Arial" w:cs="Arial"/>
          <w:b/>
        </w:rPr>
        <w:t>zvýšil</w:t>
      </w:r>
      <w:r w:rsidR="00D52110" w:rsidRPr="00E04C25">
        <w:rPr>
          <w:rFonts w:ascii="Arial" w:hAnsi="Arial" w:cs="Arial"/>
          <w:b/>
        </w:rPr>
        <w:t xml:space="preserve"> </w:t>
      </w:r>
      <w:r w:rsidR="008F173E" w:rsidRPr="00E04C25">
        <w:rPr>
          <w:rFonts w:ascii="Arial" w:hAnsi="Arial" w:cs="Arial"/>
        </w:rPr>
        <w:t>o </w:t>
      </w:r>
      <w:r w:rsidR="00D52110" w:rsidRPr="00E04C25">
        <w:rPr>
          <w:rFonts w:ascii="Arial" w:hAnsi="Arial" w:cs="Arial"/>
        </w:rPr>
        <w:t>36</w:t>
      </w:r>
      <w:r w:rsidR="00162967" w:rsidRPr="00E04C25">
        <w:rPr>
          <w:rFonts w:ascii="Arial" w:hAnsi="Arial" w:cs="Arial"/>
        </w:rPr>
        <w:t>,</w:t>
      </w:r>
      <w:r w:rsidR="00D52110" w:rsidRPr="00E04C25">
        <w:rPr>
          <w:rFonts w:ascii="Arial" w:hAnsi="Arial" w:cs="Arial"/>
        </w:rPr>
        <w:t>7</w:t>
      </w:r>
      <w:r w:rsidR="008F173E" w:rsidRPr="00E04C25">
        <w:rPr>
          <w:rFonts w:ascii="Arial" w:hAnsi="Arial" w:cs="Arial"/>
        </w:rPr>
        <w:t xml:space="preserve"> tis. </w:t>
      </w:r>
      <w:r w:rsidR="008F173E" w:rsidRPr="00E04C25">
        <w:rPr>
          <w:rFonts w:ascii="Arial" w:hAnsi="Arial" w:cs="Arial"/>
          <w:b/>
        </w:rPr>
        <w:t xml:space="preserve">na </w:t>
      </w:r>
      <w:r w:rsidR="008F173E" w:rsidRPr="00E04C25">
        <w:rPr>
          <w:rFonts w:ascii="Arial" w:hAnsi="Arial" w:cs="Arial"/>
          <w:b/>
          <w:bCs/>
        </w:rPr>
        <w:t>3</w:t>
      </w:r>
      <w:r w:rsidR="00C904A8" w:rsidRPr="00E04C25">
        <w:rPr>
          <w:rFonts w:ascii="Arial" w:hAnsi="Arial" w:cs="Arial"/>
          <w:b/>
          <w:bCs/>
        </w:rPr>
        <w:t>82</w:t>
      </w:r>
      <w:r w:rsidR="008F173E" w:rsidRPr="00E04C25">
        <w:rPr>
          <w:rFonts w:ascii="Arial" w:hAnsi="Arial" w:cs="Arial"/>
          <w:b/>
          <w:bCs/>
        </w:rPr>
        <w:t>,</w:t>
      </w:r>
      <w:r w:rsidR="00C904A8" w:rsidRPr="00E04C25">
        <w:rPr>
          <w:rFonts w:ascii="Arial" w:hAnsi="Arial" w:cs="Arial"/>
          <w:b/>
          <w:bCs/>
        </w:rPr>
        <w:t>3</w:t>
      </w:r>
      <w:r w:rsidR="008F173E" w:rsidRPr="00E04C25">
        <w:rPr>
          <w:rFonts w:ascii="Arial" w:hAnsi="Arial" w:cs="Arial"/>
          <w:b/>
          <w:bCs/>
        </w:rPr>
        <w:t xml:space="preserve"> tis. </w:t>
      </w:r>
      <w:r w:rsidR="008F173E" w:rsidRPr="00E04C25">
        <w:rPr>
          <w:rFonts w:ascii="Arial" w:hAnsi="Arial" w:cs="Arial"/>
          <w:b/>
        </w:rPr>
        <w:t xml:space="preserve">osob, </w:t>
      </w:r>
      <w:r w:rsidR="008F173E" w:rsidRPr="00E04C25">
        <w:rPr>
          <w:rFonts w:ascii="Arial" w:hAnsi="Arial" w:cs="Arial"/>
        </w:rPr>
        <w:t>a</w:t>
      </w:r>
      <w:r w:rsidR="00162967" w:rsidRPr="00E04C25">
        <w:rPr>
          <w:rFonts w:ascii="Arial" w:hAnsi="Arial" w:cs="Arial"/>
        </w:rPr>
        <w:t> </w:t>
      </w:r>
      <w:r w:rsidR="008F173E" w:rsidRPr="00E04C25">
        <w:rPr>
          <w:rFonts w:ascii="Arial" w:hAnsi="Arial" w:cs="Arial"/>
        </w:rPr>
        <w:t xml:space="preserve">to </w:t>
      </w:r>
      <w:r w:rsidR="00162967" w:rsidRPr="00E04C25">
        <w:rPr>
          <w:rFonts w:ascii="Arial" w:hAnsi="Arial" w:cs="Arial"/>
        </w:rPr>
        <w:t>především</w:t>
      </w:r>
      <w:r w:rsidR="008F173E" w:rsidRPr="00E04C25">
        <w:rPr>
          <w:rFonts w:ascii="Arial" w:hAnsi="Arial" w:cs="Arial"/>
          <w:b/>
        </w:rPr>
        <w:t xml:space="preserve"> nárůst</w:t>
      </w:r>
      <w:r w:rsidR="00162967" w:rsidRPr="00E04C25">
        <w:rPr>
          <w:rFonts w:ascii="Arial" w:hAnsi="Arial" w:cs="Arial"/>
          <w:b/>
        </w:rPr>
        <w:t>em</w:t>
      </w:r>
      <w:r w:rsidR="008F173E" w:rsidRPr="00E04C25">
        <w:rPr>
          <w:rFonts w:ascii="Arial" w:hAnsi="Arial" w:cs="Arial"/>
          <w:b/>
        </w:rPr>
        <w:t xml:space="preserve"> počtu žen </w:t>
      </w:r>
      <w:r w:rsidR="008F173E" w:rsidRPr="00E04C25">
        <w:rPr>
          <w:rFonts w:ascii="Arial" w:hAnsi="Arial" w:cs="Arial"/>
        </w:rPr>
        <w:t>(o </w:t>
      </w:r>
      <w:r w:rsidR="00C904A8" w:rsidRPr="00E04C25">
        <w:rPr>
          <w:rFonts w:ascii="Arial" w:hAnsi="Arial" w:cs="Arial"/>
        </w:rPr>
        <w:t>28</w:t>
      </w:r>
      <w:r w:rsidR="00162967" w:rsidRPr="00E04C25">
        <w:rPr>
          <w:rFonts w:ascii="Arial" w:hAnsi="Arial" w:cs="Arial"/>
        </w:rPr>
        <w:t>,2</w:t>
      </w:r>
      <w:r w:rsidR="008F173E" w:rsidRPr="00E04C25">
        <w:rPr>
          <w:rFonts w:ascii="Arial" w:hAnsi="Arial" w:cs="Arial"/>
        </w:rPr>
        <w:t xml:space="preserve"> tis.), počet mužů </w:t>
      </w:r>
      <w:r w:rsidR="00B2150B" w:rsidRPr="00E04C25">
        <w:rPr>
          <w:rFonts w:ascii="Arial" w:hAnsi="Arial" w:cs="Arial"/>
        </w:rPr>
        <w:t>se zvýšil</w:t>
      </w:r>
      <w:r w:rsidR="00162967" w:rsidRPr="00E04C25">
        <w:rPr>
          <w:rFonts w:ascii="Arial" w:hAnsi="Arial" w:cs="Arial"/>
        </w:rPr>
        <w:t xml:space="preserve"> o </w:t>
      </w:r>
      <w:r w:rsidR="00C904A8" w:rsidRPr="00E04C25">
        <w:rPr>
          <w:rFonts w:ascii="Arial" w:hAnsi="Arial" w:cs="Arial"/>
        </w:rPr>
        <w:t>8</w:t>
      </w:r>
      <w:r w:rsidR="00162967" w:rsidRPr="00E04C25">
        <w:rPr>
          <w:rFonts w:ascii="Arial" w:hAnsi="Arial" w:cs="Arial"/>
        </w:rPr>
        <w:t>,6 tis.</w:t>
      </w:r>
      <w:r w:rsidR="008F173E" w:rsidRPr="00E04C25">
        <w:rPr>
          <w:rFonts w:ascii="Arial" w:hAnsi="Arial" w:cs="Arial"/>
        </w:rPr>
        <w:t xml:space="preserve"> </w:t>
      </w:r>
    </w:p>
    <w:p w:rsidR="00372E07" w:rsidRPr="00E04C25" w:rsidRDefault="00372E07" w:rsidP="00AE65A5">
      <w:pPr>
        <w:tabs>
          <w:tab w:val="left" w:pos="709"/>
        </w:tabs>
        <w:jc w:val="center"/>
        <w:rPr>
          <w:rFonts w:ascii="Arial" w:hAnsi="Arial" w:cs="Arial"/>
          <w:b/>
          <w:bCs/>
          <w:sz w:val="16"/>
          <w:szCs w:val="16"/>
        </w:rPr>
      </w:pPr>
    </w:p>
    <w:p w:rsidR="00762875" w:rsidRPr="00E04C25" w:rsidRDefault="00762875" w:rsidP="00AE65A5">
      <w:pPr>
        <w:tabs>
          <w:tab w:val="left" w:pos="709"/>
        </w:tabs>
        <w:jc w:val="center"/>
        <w:rPr>
          <w:rFonts w:ascii="Arial" w:hAnsi="Arial" w:cs="Arial"/>
          <w:b/>
          <w:bCs/>
        </w:rPr>
      </w:pPr>
      <w:r w:rsidRPr="00E04C25">
        <w:rPr>
          <w:rFonts w:ascii="Arial" w:hAnsi="Arial" w:cs="Arial"/>
          <w:b/>
          <w:bCs/>
        </w:rPr>
        <w:lastRenderedPageBreak/>
        <w:t>Počty zaměstnaných ve vybraných skupinách</w:t>
      </w:r>
    </w:p>
    <w:p w:rsidR="00762875" w:rsidRPr="00E04C25" w:rsidRDefault="00762875" w:rsidP="00AE65A5">
      <w:pPr>
        <w:tabs>
          <w:tab w:val="left" w:pos="709"/>
        </w:tabs>
        <w:jc w:val="right"/>
        <w:rPr>
          <w:rFonts w:ascii="Arial" w:hAnsi="Arial" w:cs="Arial"/>
          <w:sz w:val="20"/>
          <w:szCs w:val="20"/>
        </w:rPr>
      </w:pPr>
      <w:r w:rsidRPr="00E04C25">
        <w:rPr>
          <w:rFonts w:ascii="Arial" w:hAnsi="Arial" w:cs="Arial"/>
          <w:sz w:val="20"/>
          <w:szCs w:val="20"/>
        </w:rPr>
        <w:t xml:space="preserve">tab. č. </w:t>
      </w:r>
      <w:r w:rsidR="00AC1001" w:rsidRPr="00E04C25">
        <w:rPr>
          <w:rFonts w:ascii="Arial" w:hAnsi="Arial" w:cs="Arial"/>
          <w:sz w:val="20"/>
          <w:szCs w:val="20"/>
        </w:rPr>
        <w:t>6</w:t>
      </w:r>
    </w:p>
    <w:tbl>
      <w:tblPr>
        <w:tblW w:w="8931" w:type="dxa"/>
        <w:jc w:val="center"/>
        <w:tblCellMar>
          <w:left w:w="70" w:type="dxa"/>
          <w:right w:w="70" w:type="dxa"/>
        </w:tblCellMar>
        <w:tblLook w:val="0000"/>
      </w:tblPr>
      <w:tblGrid>
        <w:gridCol w:w="3119"/>
        <w:gridCol w:w="992"/>
        <w:gridCol w:w="851"/>
        <w:gridCol w:w="992"/>
        <w:gridCol w:w="932"/>
        <w:gridCol w:w="986"/>
        <w:gridCol w:w="1059"/>
      </w:tblGrid>
      <w:tr w:rsidR="00EC746A" w:rsidRPr="00E04C25" w:rsidTr="00EC746A">
        <w:trPr>
          <w:trHeight w:val="285"/>
          <w:jc w:val="center"/>
        </w:trPr>
        <w:tc>
          <w:tcPr>
            <w:tcW w:w="3119" w:type="dxa"/>
            <w:tcBorders>
              <w:top w:val="double" w:sz="6" w:space="0" w:color="auto"/>
              <w:left w:val="double" w:sz="6" w:space="0" w:color="auto"/>
              <w:bottom w:val="nil"/>
              <w:right w:val="nil"/>
            </w:tcBorders>
            <w:shd w:val="clear" w:color="auto" w:fill="auto"/>
            <w:noWrap/>
            <w:vAlign w:val="center"/>
          </w:tcPr>
          <w:p w:rsidR="00EC746A" w:rsidRPr="00E04C25" w:rsidRDefault="00EC746A" w:rsidP="00AE65A5">
            <w:pPr>
              <w:tabs>
                <w:tab w:val="left" w:pos="709"/>
              </w:tabs>
              <w:rPr>
                <w:rFonts w:ascii="Arial" w:hAnsi="Arial" w:cs="Arial"/>
                <w:sz w:val="20"/>
                <w:szCs w:val="20"/>
              </w:rPr>
            </w:pPr>
            <w:r w:rsidRPr="00E04C25">
              <w:rPr>
                <w:rFonts w:ascii="Arial" w:hAnsi="Arial" w:cs="Arial"/>
                <w:sz w:val="20"/>
                <w:szCs w:val="20"/>
              </w:rPr>
              <w:t> </w:t>
            </w:r>
          </w:p>
        </w:tc>
        <w:tc>
          <w:tcPr>
            <w:tcW w:w="1843" w:type="dxa"/>
            <w:gridSpan w:val="2"/>
            <w:tcBorders>
              <w:top w:val="double" w:sz="6" w:space="0" w:color="auto"/>
              <w:left w:val="single" w:sz="4" w:space="0" w:color="auto"/>
              <w:bottom w:val="single" w:sz="8" w:space="0" w:color="auto"/>
              <w:right w:val="single" w:sz="8" w:space="0" w:color="000000"/>
            </w:tcBorders>
            <w:shd w:val="clear" w:color="auto" w:fill="auto"/>
            <w:noWrap/>
            <w:vAlign w:val="center"/>
          </w:tcPr>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2016</w:t>
            </w:r>
          </w:p>
        </w:tc>
        <w:tc>
          <w:tcPr>
            <w:tcW w:w="1924" w:type="dxa"/>
            <w:gridSpan w:val="2"/>
            <w:tcBorders>
              <w:top w:val="double" w:sz="6" w:space="0" w:color="auto"/>
              <w:left w:val="nil"/>
              <w:bottom w:val="single" w:sz="8" w:space="0" w:color="auto"/>
              <w:right w:val="single" w:sz="8" w:space="0" w:color="000000"/>
            </w:tcBorders>
            <w:shd w:val="clear" w:color="auto" w:fill="auto"/>
            <w:noWrap/>
            <w:vAlign w:val="center"/>
          </w:tcPr>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2017</w:t>
            </w:r>
          </w:p>
        </w:tc>
        <w:tc>
          <w:tcPr>
            <w:tcW w:w="986" w:type="dxa"/>
            <w:vMerge w:val="restart"/>
            <w:tcBorders>
              <w:top w:val="double" w:sz="6" w:space="0" w:color="auto"/>
              <w:left w:val="nil"/>
              <w:bottom w:val="single" w:sz="8" w:space="0" w:color="000000"/>
              <w:right w:val="single" w:sz="8" w:space="0" w:color="auto"/>
            </w:tcBorders>
            <w:shd w:val="clear" w:color="auto" w:fill="auto"/>
            <w:noWrap/>
            <w:vAlign w:val="center"/>
          </w:tcPr>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rozdíl</w:t>
            </w:r>
          </w:p>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17-16</w:t>
            </w:r>
          </w:p>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(tis.)</w:t>
            </w:r>
          </w:p>
        </w:tc>
        <w:tc>
          <w:tcPr>
            <w:tcW w:w="1059" w:type="dxa"/>
            <w:vMerge w:val="restart"/>
            <w:tcBorders>
              <w:top w:val="double" w:sz="6" w:space="0" w:color="auto"/>
              <w:left w:val="nil"/>
              <w:right w:val="double" w:sz="6" w:space="0" w:color="auto"/>
            </w:tcBorders>
            <w:shd w:val="clear" w:color="auto" w:fill="auto"/>
            <w:noWrap/>
            <w:vAlign w:val="center"/>
          </w:tcPr>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index</w:t>
            </w:r>
          </w:p>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 xml:space="preserve">17/16 </w:t>
            </w:r>
            <w:r w:rsidRPr="00E04C25">
              <w:rPr>
                <w:rFonts w:ascii="Arial" w:hAnsi="Arial" w:cs="Arial"/>
                <w:b/>
                <w:sz w:val="20"/>
                <w:szCs w:val="20"/>
              </w:rPr>
              <w:t>(%)</w:t>
            </w:r>
          </w:p>
        </w:tc>
      </w:tr>
      <w:tr w:rsidR="00D141D5" w:rsidRPr="00E04C25" w:rsidTr="00762875">
        <w:trPr>
          <w:trHeight w:val="362"/>
          <w:jc w:val="center"/>
        </w:trPr>
        <w:tc>
          <w:tcPr>
            <w:tcW w:w="3119" w:type="dxa"/>
            <w:tcBorders>
              <w:top w:val="nil"/>
              <w:left w:val="double" w:sz="6" w:space="0" w:color="auto"/>
              <w:bottom w:val="single" w:sz="8" w:space="0" w:color="auto"/>
              <w:right w:val="nil"/>
            </w:tcBorders>
            <w:shd w:val="clear" w:color="auto" w:fill="auto"/>
            <w:noWrap/>
            <w:vAlign w:val="center"/>
          </w:tcPr>
          <w:p w:rsidR="00762875" w:rsidRPr="00E04C25" w:rsidRDefault="00762875" w:rsidP="00AE65A5">
            <w:pPr>
              <w:tabs>
                <w:tab w:val="left" w:pos="709"/>
              </w:tabs>
              <w:jc w:val="center"/>
              <w:rPr>
                <w:rFonts w:ascii="Arial" w:hAnsi="Arial" w:cs="Arial"/>
                <w:sz w:val="20"/>
                <w:szCs w:val="20"/>
              </w:rPr>
            </w:pPr>
            <w:r w:rsidRPr="00E04C25">
              <w:rPr>
                <w:rFonts w:ascii="Arial" w:hAnsi="Arial" w:cs="Arial"/>
                <w:sz w:val="20"/>
                <w:szCs w:val="20"/>
              </w:rPr>
              <w:t> </w:t>
            </w:r>
            <w:r w:rsidRPr="00E04C25">
              <w:rPr>
                <w:rFonts w:ascii="Arial" w:hAnsi="Arial" w:cs="Arial"/>
                <w:b/>
                <w:bCs/>
                <w:sz w:val="20"/>
                <w:szCs w:val="20"/>
              </w:rPr>
              <w:t>Zaměstnaní v NH</w:t>
            </w:r>
          </w:p>
          <w:p w:rsidR="00762875" w:rsidRPr="00E04C25" w:rsidRDefault="00762875" w:rsidP="00AE65A5">
            <w:pPr>
              <w:tabs>
                <w:tab w:val="left" w:pos="709"/>
              </w:tabs>
              <w:rPr>
                <w:rFonts w:ascii="Arial" w:hAnsi="Arial" w:cs="Arial"/>
                <w:sz w:val="20"/>
                <w:szCs w:val="20"/>
              </w:rPr>
            </w:pP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v tis.</w:t>
            </w:r>
          </w:p>
        </w:tc>
        <w:tc>
          <w:tcPr>
            <w:tcW w:w="851" w:type="dxa"/>
            <w:tcBorders>
              <w:top w:val="nil"/>
              <w:left w:val="nil"/>
              <w:bottom w:val="single" w:sz="8" w:space="0" w:color="auto"/>
              <w:right w:val="single" w:sz="8"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w:t>
            </w:r>
          </w:p>
        </w:tc>
        <w:tc>
          <w:tcPr>
            <w:tcW w:w="992" w:type="dxa"/>
            <w:tcBorders>
              <w:top w:val="nil"/>
              <w:left w:val="nil"/>
              <w:bottom w:val="single" w:sz="8" w:space="0" w:color="auto"/>
              <w:right w:val="single" w:sz="8"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v tis.</w:t>
            </w:r>
          </w:p>
        </w:tc>
        <w:tc>
          <w:tcPr>
            <w:tcW w:w="932" w:type="dxa"/>
            <w:tcBorders>
              <w:top w:val="nil"/>
              <w:left w:val="nil"/>
              <w:bottom w:val="single" w:sz="8" w:space="0" w:color="auto"/>
              <w:right w:val="single" w:sz="8"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w:t>
            </w:r>
          </w:p>
        </w:tc>
        <w:tc>
          <w:tcPr>
            <w:tcW w:w="986" w:type="dxa"/>
            <w:vMerge/>
            <w:tcBorders>
              <w:top w:val="double" w:sz="6" w:space="0" w:color="auto"/>
              <w:left w:val="nil"/>
              <w:bottom w:val="single" w:sz="8" w:space="0" w:color="000000"/>
              <w:right w:val="single" w:sz="8" w:space="0" w:color="auto"/>
            </w:tcBorders>
            <w:vAlign w:val="center"/>
          </w:tcPr>
          <w:p w:rsidR="00762875" w:rsidRPr="00E04C25" w:rsidRDefault="00762875" w:rsidP="00AE65A5">
            <w:pPr>
              <w:tabs>
                <w:tab w:val="left" w:pos="709"/>
              </w:tabs>
              <w:rPr>
                <w:rFonts w:ascii="Arial" w:hAnsi="Arial" w:cs="Arial"/>
                <w:b/>
                <w:bCs/>
                <w:sz w:val="20"/>
                <w:szCs w:val="20"/>
              </w:rPr>
            </w:pPr>
          </w:p>
        </w:tc>
        <w:tc>
          <w:tcPr>
            <w:tcW w:w="1059" w:type="dxa"/>
            <w:vMerge/>
            <w:tcBorders>
              <w:left w:val="nil"/>
              <w:bottom w:val="single" w:sz="8" w:space="0" w:color="000000"/>
              <w:right w:val="double" w:sz="6"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p>
        </w:tc>
      </w:tr>
      <w:tr w:rsidR="00621E61" w:rsidRPr="00E04C25" w:rsidTr="00621E61">
        <w:trPr>
          <w:trHeight w:val="270"/>
          <w:jc w:val="center"/>
        </w:trPr>
        <w:tc>
          <w:tcPr>
            <w:tcW w:w="3119" w:type="dxa"/>
            <w:tcBorders>
              <w:top w:val="nil"/>
              <w:left w:val="double" w:sz="6" w:space="0" w:color="auto"/>
              <w:bottom w:val="single" w:sz="8" w:space="0" w:color="auto"/>
              <w:right w:val="nil"/>
            </w:tcBorders>
            <w:shd w:val="clear" w:color="auto" w:fill="auto"/>
            <w:noWrap/>
            <w:vAlign w:val="center"/>
          </w:tcPr>
          <w:p w:rsidR="00621E61" w:rsidRPr="00E04C25" w:rsidRDefault="00621E61" w:rsidP="00AE65A5">
            <w:pPr>
              <w:tabs>
                <w:tab w:val="left" w:pos="709"/>
              </w:tabs>
              <w:rPr>
                <w:rFonts w:ascii="Arial" w:hAnsi="Arial" w:cs="Arial"/>
                <w:b/>
                <w:bCs/>
                <w:sz w:val="18"/>
                <w:szCs w:val="18"/>
              </w:rPr>
            </w:pPr>
            <w:r w:rsidRPr="00E04C25">
              <w:rPr>
                <w:rFonts w:ascii="Arial" w:hAnsi="Arial" w:cs="Arial"/>
                <w:b/>
                <w:bCs/>
                <w:sz w:val="18"/>
                <w:szCs w:val="18"/>
              </w:rPr>
              <w:t>Celkem</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621E61" w:rsidRPr="00E04C25" w:rsidRDefault="00621E61" w:rsidP="00733E45">
            <w:pPr>
              <w:tabs>
                <w:tab w:val="left" w:pos="709"/>
              </w:tabs>
              <w:jc w:val="right"/>
              <w:rPr>
                <w:rFonts w:ascii="Arial" w:hAnsi="Arial" w:cs="Arial"/>
                <w:b/>
                <w:bCs/>
                <w:sz w:val="18"/>
                <w:szCs w:val="18"/>
              </w:rPr>
            </w:pPr>
            <w:r w:rsidRPr="00E04C25">
              <w:rPr>
                <w:rFonts w:ascii="Arial" w:hAnsi="Arial" w:cs="Arial"/>
                <w:b/>
                <w:bCs/>
                <w:sz w:val="18"/>
                <w:szCs w:val="18"/>
              </w:rPr>
              <w:t>5 138,6</w:t>
            </w:r>
          </w:p>
        </w:tc>
        <w:tc>
          <w:tcPr>
            <w:tcW w:w="851" w:type="dxa"/>
            <w:tcBorders>
              <w:top w:val="nil"/>
              <w:left w:val="nil"/>
              <w:bottom w:val="single" w:sz="8" w:space="0" w:color="auto"/>
              <w:right w:val="single" w:sz="8" w:space="0" w:color="auto"/>
            </w:tcBorders>
            <w:shd w:val="clear" w:color="auto" w:fill="auto"/>
            <w:noWrap/>
            <w:vAlign w:val="center"/>
          </w:tcPr>
          <w:p w:rsidR="00621E61" w:rsidRPr="00E04C25" w:rsidRDefault="00621E61" w:rsidP="00733E45">
            <w:pPr>
              <w:tabs>
                <w:tab w:val="left" w:pos="709"/>
              </w:tabs>
              <w:jc w:val="right"/>
              <w:rPr>
                <w:rFonts w:ascii="Arial" w:hAnsi="Arial" w:cs="Arial"/>
                <w:b/>
                <w:bCs/>
                <w:sz w:val="18"/>
                <w:szCs w:val="18"/>
              </w:rPr>
            </w:pPr>
            <w:r w:rsidRPr="00E04C25">
              <w:rPr>
                <w:rFonts w:ascii="Arial" w:hAnsi="Arial" w:cs="Arial"/>
                <w:b/>
                <w:bCs/>
                <w:sz w:val="18"/>
                <w:szCs w:val="18"/>
              </w:rPr>
              <w:t>100,0</w:t>
            </w:r>
          </w:p>
        </w:tc>
        <w:tc>
          <w:tcPr>
            <w:tcW w:w="992" w:type="dxa"/>
            <w:tcBorders>
              <w:top w:val="nil"/>
              <w:left w:val="nil"/>
              <w:bottom w:val="single" w:sz="8" w:space="0" w:color="auto"/>
              <w:right w:val="single" w:sz="8" w:space="0" w:color="auto"/>
            </w:tcBorders>
            <w:shd w:val="clear" w:color="auto" w:fill="auto"/>
            <w:noWrap/>
            <w:vAlign w:val="center"/>
          </w:tcPr>
          <w:p w:rsidR="00621E61" w:rsidRPr="00E04C25" w:rsidRDefault="00621E61">
            <w:pPr>
              <w:jc w:val="right"/>
              <w:rPr>
                <w:rFonts w:ascii="Arial" w:hAnsi="Arial" w:cs="Arial"/>
                <w:b/>
                <w:bCs/>
                <w:sz w:val="18"/>
                <w:szCs w:val="18"/>
              </w:rPr>
            </w:pPr>
            <w:r w:rsidRPr="00E04C25">
              <w:rPr>
                <w:rFonts w:ascii="Arial" w:hAnsi="Arial" w:cs="Arial"/>
                <w:b/>
                <w:bCs/>
                <w:sz w:val="18"/>
                <w:szCs w:val="18"/>
              </w:rPr>
              <w:t>5 221,6</w:t>
            </w:r>
          </w:p>
        </w:tc>
        <w:tc>
          <w:tcPr>
            <w:tcW w:w="932" w:type="dxa"/>
            <w:tcBorders>
              <w:top w:val="nil"/>
              <w:left w:val="nil"/>
              <w:bottom w:val="single" w:sz="8" w:space="0" w:color="auto"/>
              <w:right w:val="single" w:sz="8" w:space="0" w:color="auto"/>
            </w:tcBorders>
            <w:shd w:val="clear" w:color="auto" w:fill="auto"/>
            <w:noWrap/>
            <w:vAlign w:val="center"/>
          </w:tcPr>
          <w:p w:rsidR="00621E61" w:rsidRPr="00E04C25" w:rsidRDefault="00621E61">
            <w:pPr>
              <w:jc w:val="right"/>
              <w:rPr>
                <w:rFonts w:ascii="Arial" w:hAnsi="Arial" w:cs="Arial"/>
                <w:b/>
                <w:bCs/>
                <w:sz w:val="18"/>
                <w:szCs w:val="18"/>
              </w:rPr>
            </w:pPr>
            <w:r w:rsidRPr="00E04C25">
              <w:rPr>
                <w:rFonts w:ascii="Arial" w:hAnsi="Arial" w:cs="Arial"/>
                <w:b/>
                <w:bCs/>
                <w:sz w:val="18"/>
                <w:szCs w:val="18"/>
              </w:rPr>
              <w:t>100,0</w:t>
            </w:r>
          </w:p>
        </w:tc>
        <w:tc>
          <w:tcPr>
            <w:tcW w:w="986" w:type="dxa"/>
            <w:tcBorders>
              <w:top w:val="nil"/>
              <w:left w:val="nil"/>
              <w:bottom w:val="single" w:sz="8" w:space="0" w:color="auto"/>
              <w:right w:val="single" w:sz="8" w:space="0" w:color="auto"/>
            </w:tcBorders>
            <w:shd w:val="clear" w:color="auto" w:fill="auto"/>
            <w:noWrap/>
            <w:vAlign w:val="center"/>
          </w:tcPr>
          <w:p w:rsidR="00621E61" w:rsidRPr="00E04C25" w:rsidRDefault="00621E61">
            <w:pPr>
              <w:jc w:val="right"/>
              <w:rPr>
                <w:rFonts w:ascii="Arial" w:hAnsi="Arial" w:cs="Arial"/>
                <w:b/>
                <w:bCs/>
                <w:sz w:val="18"/>
                <w:szCs w:val="18"/>
              </w:rPr>
            </w:pPr>
            <w:r w:rsidRPr="00E04C25">
              <w:rPr>
                <w:rFonts w:ascii="Arial" w:hAnsi="Arial" w:cs="Arial"/>
                <w:b/>
                <w:bCs/>
                <w:sz w:val="18"/>
                <w:szCs w:val="18"/>
              </w:rPr>
              <w:t xml:space="preserve">83,0 </w:t>
            </w:r>
          </w:p>
        </w:tc>
        <w:tc>
          <w:tcPr>
            <w:tcW w:w="1059" w:type="dxa"/>
            <w:tcBorders>
              <w:top w:val="nil"/>
              <w:left w:val="nil"/>
              <w:bottom w:val="single" w:sz="8" w:space="0" w:color="auto"/>
              <w:right w:val="double" w:sz="6" w:space="0" w:color="auto"/>
            </w:tcBorders>
            <w:shd w:val="clear" w:color="auto" w:fill="auto"/>
            <w:noWrap/>
            <w:vAlign w:val="center"/>
          </w:tcPr>
          <w:p w:rsidR="00621E61" w:rsidRPr="00E04C25" w:rsidRDefault="00621E61">
            <w:pPr>
              <w:jc w:val="right"/>
              <w:rPr>
                <w:rFonts w:ascii="Arial" w:hAnsi="Arial" w:cs="Arial"/>
                <w:b/>
                <w:bCs/>
                <w:sz w:val="18"/>
                <w:szCs w:val="18"/>
              </w:rPr>
            </w:pPr>
            <w:r w:rsidRPr="00E04C25">
              <w:rPr>
                <w:rFonts w:ascii="Arial" w:hAnsi="Arial" w:cs="Arial"/>
                <w:b/>
                <w:bCs/>
                <w:sz w:val="18"/>
                <w:szCs w:val="18"/>
              </w:rPr>
              <w:t>101,6</w:t>
            </w:r>
          </w:p>
        </w:tc>
      </w:tr>
      <w:tr w:rsidR="00621E61" w:rsidRPr="00E04C25" w:rsidTr="00621E61">
        <w:trPr>
          <w:trHeight w:val="284"/>
          <w:jc w:val="center"/>
        </w:trPr>
        <w:tc>
          <w:tcPr>
            <w:tcW w:w="3119" w:type="dxa"/>
            <w:tcBorders>
              <w:top w:val="nil"/>
              <w:left w:val="double" w:sz="6" w:space="0" w:color="auto"/>
              <w:bottom w:val="nil"/>
              <w:right w:val="nil"/>
            </w:tcBorders>
            <w:shd w:val="clear" w:color="auto" w:fill="auto"/>
            <w:noWrap/>
            <w:vAlign w:val="center"/>
          </w:tcPr>
          <w:p w:rsidR="00621E61" w:rsidRPr="00E04C25" w:rsidRDefault="00621E61" w:rsidP="00AE65A5">
            <w:pPr>
              <w:tabs>
                <w:tab w:val="left" w:pos="709"/>
              </w:tabs>
              <w:rPr>
                <w:rFonts w:ascii="Arial" w:hAnsi="Arial" w:cs="Arial"/>
                <w:sz w:val="18"/>
                <w:szCs w:val="18"/>
              </w:rPr>
            </w:pPr>
            <w:r w:rsidRPr="00E04C25">
              <w:rPr>
                <w:rFonts w:ascii="Arial" w:hAnsi="Arial" w:cs="Arial"/>
                <w:sz w:val="18"/>
                <w:szCs w:val="18"/>
              </w:rPr>
              <w:t>v tom:</w:t>
            </w:r>
          </w:p>
        </w:tc>
        <w:tc>
          <w:tcPr>
            <w:tcW w:w="992" w:type="dxa"/>
            <w:tcBorders>
              <w:top w:val="nil"/>
              <w:left w:val="single" w:sz="4" w:space="0" w:color="auto"/>
              <w:bottom w:val="nil"/>
              <w:right w:val="single" w:sz="8" w:space="0" w:color="auto"/>
            </w:tcBorders>
            <w:shd w:val="clear" w:color="auto" w:fill="auto"/>
            <w:noWrap/>
            <w:vAlign w:val="center"/>
          </w:tcPr>
          <w:p w:rsidR="00621E61" w:rsidRPr="00E04C25" w:rsidRDefault="00621E61" w:rsidP="00733E45">
            <w:pPr>
              <w:tabs>
                <w:tab w:val="left" w:pos="709"/>
              </w:tabs>
              <w:jc w:val="right"/>
              <w:rPr>
                <w:rFonts w:ascii="Arial" w:hAnsi="Arial" w:cs="Arial"/>
                <w:sz w:val="18"/>
                <w:szCs w:val="18"/>
              </w:rPr>
            </w:pPr>
            <w:r w:rsidRPr="00E04C25">
              <w:rPr>
                <w:rFonts w:ascii="Arial" w:hAnsi="Arial" w:cs="Arial"/>
                <w:sz w:val="18"/>
                <w:szCs w:val="18"/>
              </w:rPr>
              <w:t> </w:t>
            </w:r>
          </w:p>
        </w:tc>
        <w:tc>
          <w:tcPr>
            <w:tcW w:w="851" w:type="dxa"/>
            <w:tcBorders>
              <w:top w:val="nil"/>
              <w:left w:val="nil"/>
              <w:bottom w:val="nil"/>
              <w:right w:val="single" w:sz="8" w:space="0" w:color="auto"/>
            </w:tcBorders>
            <w:shd w:val="clear" w:color="auto" w:fill="auto"/>
            <w:noWrap/>
            <w:vAlign w:val="center"/>
          </w:tcPr>
          <w:p w:rsidR="00621E61" w:rsidRPr="00E04C25" w:rsidRDefault="00621E61" w:rsidP="00733E45">
            <w:pPr>
              <w:tabs>
                <w:tab w:val="left" w:pos="709"/>
              </w:tabs>
              <w:jc w:val="right"/>
              <w:rPr>
                <w:rFonts w:ascii="Arial" w:hAnsi="Arial" w:cs="Arial"/>
                <w:sz w:val="18"/>
                <w:szCs w:val="18"/>
              </w:rPr>
            </w:pPr>
            <w:r w:rsidRPr="00E04C25">
              <w:rPr>
                <w:rFonts w:ascii="Arial" w:hAnsi="Arial" w:cs="Arial"/>
                <w:sz w:val="18"/>
                <w:szCs w:val="18"/>
              </w:rPr>
              <w:t> </w:t>
            </w:r>
          </w:p>
        </w:tc>
        <w:tc>
          <w:tcPr>
            <w:tcW w:w="992" w:type="dxa"/>
            <w:tcBorders>
              <w:top w:val="nil"/>
              <w:left w:val="nil"/>
              <w:bottom w:val="nil"/>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w:t>
            </w:r>
          </w:p>
        </w:tc>
        <w:tc>
          <w:tcPr>
            <w:tcW w:w="932" w:type="dxa"/>
            <w:tcBorders>
              <w:top w:val="nil"/>
              <w:left w:val="nil"/>
              <w:bottom w:val="nil"/>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w:t>
            </w:r>
          </w:p>
        </w:tc>
        <w:tc>
          <w:tcPr>
            <w:tcW w:w="986" w:type="dxa"/>
            <w:tcBorders>
              <w:top w:val="nil"/>
              <w:left w:val="nil"/>
              <w:bottom w:val="nil"/>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w:t>
            </w:r>
          </w:p>
        </w:tc>
        <w:tc>
          <w:tcPr>
            <w:tcW w:w="1059" w:type="dxa"/>
            <w:tcBorders>
              <w:top w:val="nil"/>
              <w:left w:val="nil"/>
              <w:bottom w:val="nil"/>
              <w:right w:val="double" w:sz="6"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w:t>
            </w:r>
          </w:p>
        </w:tc>
      </w:tr>
      <w:tr w:rsidR="00621E61" w:rsidRPr="00E04C25" w:rsidTr="00621E61">
        <w:trPr>
          <w:trHeight w:val="284"/>
          <w:jc w:val="center"/>
        </w:trPr>
        <w:tc>
          <w:tcPr>
            <w:tcW w:w="3119" w:type="dxa"/>
            <w:tcBorders>
              <w:top w:val="nil"/>
              <w:left w:val="double" w:sz="6" w:space="0" w:color="auto"/>
              <w:bottom w:val="nil"/>
              <w:right w:val="nil"/>
            </w:tcBorders>
            <w:shd w:val="clear" w:color="auto" w:fill="auto"/>
            <w:noWrap/>
            <w:vAlign w:val="center"/>
          </w:tcPr>
          <w:p w:rsidR="00621E61" w:rsidRPr="00E04C25" w:rsidRDefault="00621E61" w:rsidP="00AE65A5">
            <w:pPr>
              <w:tabs>
                <w:tab w:val="left" w:pos="709"/>
              </w:tabs>
              <w:rPr>
                <w:rFonts w:ascii="Arial" w:hAnsi="Arial" w:cs="Arial"/>
                <w:sz w:val="18"/>
                <w:szCs w:val="18"/>
              </w:rPr>
            </w:pPr>
            <w:r w:rsidRPr="00E04C25">
              <w:rPr>
                <w:rFonts w:ascii="Arial" w:hAnsi="Arial" w:cs="Arial"/>
                <w:sz w:val="18"/>
                <w:szCs w:val="18"/>
              </w:rPr>
              <w:t xml:space="preserve"> - mající druhé (další) zaměstnání</w:t>
            </w:r>
          </w:p>
        </w:tc>
        <w:tc>
          <w:tcPr>
            <w:tcW w:w="992" w:type="dxa"/>
            <w:tcBorders>
              <w:top w:val="nil"/>
              <w:left w:val="single" w:sz="4" w:space="0" w:color="auto"/>
              <w:bottom w:val="nil"/>
              <w:right w:val="single" w:sz="8" w:space="0" w:color="auto"/>
            </w:tcBorders>
            <w:shd w:val="clear" w:color="auto" w:fill="auto"/>
            <w:noWrap/>
            <w:vAlign w:val="center"/>
          </w:tcPr>
          <w:p w:rsidR="00621E61" w:rsidRPr="00E04C25" w:rsidRDefault="00621E61" w:rsidP="00733E45">
            <w:pPr>
              <w:tabs>
                <w:tab w:val="left" w:pos="709"/>
              </w:tabs>
              <w:jc w:val="right"/>
              <w:rPr>
                <w:rFonts w:ascii="Arial" w:hAnsi="Arial" w:cs="Arial"/>
                <w:sz w:val="18"/>
                <w:szCs w:val="18"/>
              </w:rPr>
            </w:pPr>
            <w:r w:rsidRPr="00E04C25">
              <w:rPr>
                <w:rFonts w:ascii="Arial" w:hAnsi="Arial" w:cs="Arial"/>
                <w:sz w:val="18"/>
                <w:szCs w:val="18"/>
              </w:rPr>
              <w:t>119,7</w:t>
            </w:r>
          </w:p>
        </w:tc>
        <w:tc>
          <w:tcPr>
            <w:tcW w:w="851" w:type="dxa"/>
            <w:tcBorders>
              <w:top w:val="nil"/>
              <w:left w:val="nil"/>
              <w:bottom w:val="nil"/>
              <w:right w:val="single" w:sz="8" w:space="0" w:color="auto"/>
            </w:tcBorders>
            <w:shd w:val="clear" w:color="auto" w:fill="auto"/>
            <w:noWrap/>
            <w:vAlign w:val="center"/>
          </w:tcPr>
          <w:p w:rsidR="00621E61" w:rsidRPr="00E04C25" w:rsidRDefault="00621E61" w:rsidP="00733E45">
            <w:pPr>
              <w:tabs>
                <w:tab w:val="left" w:pos="709"/>
              </w:tabs>
              <w:jc w:val="right"/>
              <w:rPr>
                <w:rFonts w:ascii="Arial" w:hAnsi="Arial" w:cs="Arial"/>
                <w:sz w:val="18"/>
                <w:szCs w:val="18"/>
              </w:rPr>
            </w:pPr>
            <w:r w:rsidRPr="00E04C25">
              <w:rPr>
                <w:rFonts w:ascii="Arial" w:hAnsi="Arial" w:cs="Arial"/>
                <w:sz w:val="18"/>
                <w:szCs w:val="18"/>
              </w:rPr>
              <w:t>2,3</w:t>
            </w:r>
          </w:p>
        </w:tc>
        <w:tc>
          <w:tcPr>
            <w:tcW w:w="992" w:type="dxa"/>
            <w:tcBorders>
              <w:top w:val="nil"/>
              <w:left w:val="nil"/>
              <w:bottom w:val="nil"/>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136,8</w:t>
            </w:r>
          </w:p>
        </w:tc>
        <w:tc>
          <w:tcPr>
            <w:tcW w:w="932" w:type="dxa"/>
            <w:tcBorders>
              <w:top w:val="nil"/>
              <w:left w:val="nil"/>
              <w:bottom w:val="nil"/>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2,6</w:t>
            </w:r>
          </w:p>
        </w:tc>
        <w:tc>
          <w:tcPr>
            <w:tcW w:w="986" w:type="dxa"/>
            <w:tcBorders>
              <w:top w:val="nil"/>
              <w:left w:val="nil"/>
              <w:bottom w:val="single" w:sz="8" w:space="0" w:color="auto"/>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xml:space="preserve">17,1 </w:t>
            </w:r>
          </w:p>
        </w:tc>
        <w:tc>
          <w:tcPr>
            <w:tcW w:w="1059" w:type="dxa"/>
            <w:tcBorders>
              <w:top w:val="nil"/>
              <w:left w:val="nil"/>
              <w:bottom w:val="single" w:sz="8" w:space="0" w:color="auto"/>
              <w:right w:val="double" w:sz="6"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114,3</w:t>
            </w:r>
          </w:p>
        </w:tc>
      </w:tr>
      <w:tr w:rsidR="00621E61" w:rsidRPr="00E04C25" w:rsidTr="00621E61">
        <w:trPr>
          <w:trHeight w:val="284"/>
          <w:jc w:val="center"/>
        </w:trPr>
        <w:tc>
          <w:tcPr>
            <w:tcW w:w="3119" w:type="dxa"/>
            <w:tcBorders>
              <w:top w:val="single" w:sz="8" w:space="0" w:color="auto"/>
              <w:left w:val="double" w:sz="6" w:space="0" w:color="auto"/>
              <w:bottom w:val="nil"/>
              <w:right w:val="nil"/>
            </w:tcBorders>
            <w:shd w:val="clear" w:color="auto" w:fill="auto"/>
            <w:vAlign w:val="center"/>
          </w:tcPr>
          <w:p w:rsidR="00621E61" w:rsidRPr="00E04C25" w:rsidRDefault="00621E61" w:rsidP="00AE65A5">
            <w:pPr>
              <w:tabs>
                <w:tab w:val="left" w:pos="709"/>
              </w:tabs>
              <w:ind w:left="144" w:hanging="144"/>
              <w:rPr>
                <w:rFonts w:ascii="Arial" w:hAnsi="Arial" w:cs="Arial"/>
                <w:sz w:val="18"/>
                <w:szCs w:val="18"/>
              </w:rPr>
            </w:pPr>
            <w:r w:rsidRPr="00E04C25">
              <w:rPr>
                <w:rFonts w:ascii="Arial" w:hAnsi="Arial" w:cs="Arial"/>
                <w:sz w:val="18"/>
                <w:szCs w:val="18"/>
              </w:rPr>
              <w:t xml:space="preserve"> - úvazek na dobu neurčitou nebo jako podnikatel</w:t>
            </w:r>
          </w:p>
        </w:tc>
        <w:tc>
          <w:tcPr>
            <w:tcW w:w="992" w:type="dxa"/>
            <w:tcBorders>
              <w:top w:val="single" w:sz="8" w:space="0" w:color="auto"/>
              <w:left w:val="single" w:sz="4" w:space="0" w:color="auto"/>
              <w:bottom w:val="nil"/>
              <w:right w:val="single" w:sz="8" w:space="0" w:color="auto"/>
            </w:tcBorders>
            <w:shd w:val="clear" w:color="auto" w:fill="auto"/>
            <w:noWrap/>
            <w:vAlign w:val="center"/>
          </w:tcPr>
          <w:p w:rsidR="00621E61" w:rsidRPr="00E04C25" w:rsidRDefault="00621E61" w:rsidP="00733E45">
            <w:pPr>
              <w:tabs>
                <w:tab w:val="left" w:pos="709"/>
              </w:tabs>
              <w:jc w:val="right"/>
              <w:rPr>
                <w:rFonts w:ascii="Arial" w:hAnsi="Arial" w:cs="Arial"/>
                <w:sz w:val="18"/>
                <w:szCs w:val="18"/>
              </w:rPr>
            </w:pPr>
            <w:r w:rsidRPr="00E04C25">
              <w:rPr>
                <w:rFonts w:ascii="Arial" w:hAnsi="Arial" w:cs="Arial"/>
                <w:sz w:val="18"/>
                <w:szCs w:val="18"/>
              </w:rPr>
              <w:t>4 702,6</w:t>
            </w:r>
          </w:p>
        </w:tc>
        <w:tc>
          <w:tcPr>
            <w:tcW w:w="851" w:type="dxa"/>
            <w:tcBorders>
              <w:top w:val="single" w:sz="8" w:space="0" w:color="auto"/>
              <w:left w:val="nil"/>
              <w:bottom w:val="nil"/>
              <w:right w:val="single" w:sz="8" w:space="0" w:color="auto"/>
            </w:tcBorders>
            <w:shd w:val="clear" w:color="auto" w:fill="auto"/>
            <w:noWrap/>
            <w:vAlign w:val="center"/>
          </w:tcPr>
          <w:p w:rsidR="00621E61" w:rsidRPr="00E04C25" w:rsidRDefault="00621E61" w:rsidP="00733E45">
            <w:pPr>
              <w:tabs>
                <w:tab w:val="left" w:pos="709"/>
              </w:tabs>
              <w:jc w:val="right"/>
              <w:rPr>
                <w:rFonts w:ascii="Arial" w:hAnsi="Arial" w:cs="Arial"/>
                <w:sz w:val="18"/>
                <w:szCs w:val="18"/>
              </w:rPr>
            </w:pPr>
            <w:r w:rsidRPr="00E04C25">
              <w:rPr>
                <w:rFonts w:ascii="Arial" w:hAnsi="Arial" w:cs="Arial"/>
                <w:sz w:val="18"/>
                <w:szCs w:val="18"/>
              </w:rPr>
              <w:t>91,5</w:t>
            </w:r>
          </w:p>
        </w:tc>
        <w:tc>
          <w:tcPr>
            <w:tcW w:w="992" w:type="dxa"/>
            <w:tcBorders>
              <w:top w:val="single" w:sz="8" w:space="0" w:color="auto"/>
              <w:left w:val="nil"/>
              <w:bottom w:val="nil"/>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4 785,5</w:t>
            </w:r>
          </w:p>
        </w:tc>
        <w:tc>
          <w:tcPr>
            <w:tcW w:w="932" w:type="dxa"/>
            <w:tcBorders>
              <w:top w:val="single" w:sz="8" w:space="0" w:color="auto"/>
              <w:left w:val="nil"/>
              <w:bottom w:val="nil"/>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91,6</w:t>
            </w:r>
          </w:p>
        </w:tc>
        <w:tc>
          <w:tcPr>
            <w:tcW w:w="986" w:type="dxa"/>
            <w:tcBorders>
              <w:top w:val="nil"/>
              <w:left w:val="nil"/>
              <w:bottom w:val="nil"/>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xml:space="preserve">82,9 </w:t>
            </w:r>
          </w:p>
        </w:tc>
        <w:tc>
          <w:tcPr>
            <w:tcW w:w="1059" w:type="dxa"/>
            <w:tcBorders>
              <w:top w:val="nil"/>
              <w:left w:val="nil"/>
              <w:bottom w:val="nil"/>
              <w:right w:val="double" w:sz="6"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101,8</w:t>
            </w:r>
          </w:p>
        </w:tc>
      </w:tr>
      <w:tr w:rsidR="00621E61" w:rsidRPr="00E04C25" w:rsidTr="00621E61">
        <w:trPr>
          <w:trHeight w:val="284"/>
          <w:jc w:val="center"/>
        </w:trPr>
        <w:tc>
          <w:tcPr>
            <w:tcW w:w="3119" w:type="dxa"/>
            <w:tcBorders>
              <w:top w:val="nil"/>
              <w:left w:val="double" w:sz="6" w:space="0" w:color="auto"/>
              <w:bottom w:val="single" w:sz="8" w:space="0" w:color="auto"/>
              <w:right w:val="nil"/>
            </w:tcBorders>
            <w:shd w:val="clear" w:color="auto" w:fill="auto"/>
            <w:noWrap/>
            <w:vAlign w:val="center"/>
          </w:tcPr>
          <w:p w:rsidR="00621E61" w:rsidRPr="00E04C25" w:rsidRDefault="00621E61" w:rsidP="00AE65A5">
            <w:pPr>
              <w:tabs>
                <w:tab w:val="left" w:pos="709"/>
              </w:tabs>
              <w:rPr>
                <w:rFonts w:ascii="Arial" w:hAnsi="Arial" w:cs="Arial"/>
                <w:sz w:val="18"/>
                <w:szCs w:val="18"/>
              </w:rPr>
            </w:pPr>
            <w:r w:rsidRPr="00E04C25">
              <w:rPr>
                <w:rFonts w:ascii="Arial" w:hAnsi="Arial" w:cs="Arial"/>
                <w:sz w:val="18"/>
                <w:szCs w:val="18"/>
              </w:rPr>
              <w:t xml:space="preserve"> - úvazek na dobu určitou </w:t>
            </w:r>
          </w:p>
        </w:tc>
        <w:tc>
          <w:tcPr>
            <w:tcW w:w="992" w:type="dxa"/>
            <w:tcBorders>
              <w:top w:val="nil"/>
              <w:left w:val="single" w:sz="4" w:space="0" w:color="auto"/>
              <w:bottom w:val="single" w:sz="8" w:space="0" w:color="auto"/>
              <w:right w:val="single" w:sz="8" w:space="0" w:color="auto"/>
            </w:tcBorders>
            <w:shd w:val="clear" w:color="auto" w:fill="auto"/>
            <w:noWrap/>
            <w:vAlign w:val="center"/>
          </w:tcPr>
          <w:p w:rsidR="00621E61" w:rsidRPr="00E04C25" w:rsidRDefault="00621E61" w:rsidP="00733E45">
            <w:pPr>
              <w:tabs>
                <w:tab w:val="left" w:pos="709"/>
              </w:tabs>
              <w:jc w:val="right"/>
              <w:rPr>
                <w:rFonts w:ascii="Arial" w:hAnsi="Arial" w:cs="Arial"/>
                <w:sz w:val="18"/>
                <w:szCs w:val="18"/>
              </w:rPr>
            </w:pPr>
            <w:r w:rsidRPr="00E04C25">
              <w:rPr>
                <w:rFonts w:ascii="Arial" w:hAnsi="Arial" w:cs="Arial"/>
                <w:sz w:val="18"/>
                <w:szCs w:val="18"/>
              </w:rPr>
              <w:t>434,5</w:t>
            </w:r>
          </w:p>
        </w:tc>
        <w:tc>
          <w:tcPr>
            <w:tcW w:w="851" w:type="dxa"/>
            <w:tcBorders>
              <w:top w:val="nil"/>
              <w:left w:val="nil"/>
              <w:bottom w:val="single" w:sz="8" w:space="0" w:color="auto"/>
              <w:right w:val="single" w:sz="8" w:space="0" w:color="auto"/>
            </w:tcBorders>
            <w:shd w:val="clear" w:color="auto" w:fill="auto"/>
            <w:noWrap/>
            <w:vAlign w:val="center"/>
          </w:tcPr>
          <w:p w:rsidR="00621E61" w:rsidRPr="00E04C25" w:rsidRDefault="00621E61" w:rsidP="00733E45">
            <w:pPr>
              <w:tabs>
                <w:tab w:val="left" w:pos="709"/>
              </w:tabs>
              <w:jc w:val="right"/>
              <w:rPr>
                <w:rFonts w:ascii="Arial" w:hAnsi="Arial" w:cs="Arial"/>
                <w:sz w:val="18"/>
                <w:szCs w:val="18"/>
              </w:rPr>
            </w:pPr>
            <w:r w:rsidRPr="00E04C25">
              <w:rPr>
                <w:rFonts w:ascii="Arial" w:hAnsi="Arial" w:cs="Arial"/>
                <w:sz w:val="18"/>
                <w:szCs w:val="18"/>
              </w:rPr>
              <w:t>8,5</w:t>
            </w:r>
          </w:p>
        </w:tc>
        <w:tc>
          <w:tcPr>
            <w:tcW w:w="992" w:type="dxa"/>
            <w:tcBorders>
              <w:top w:val="nil"/>
              <w:left w:val="nil"/>
              <w:bottom w:val="single" w:sz="8" w:space="0" w:color="auto"/>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433,6</w:t>
            </w:r>
          </w:p>
        </w:tc>
        <w:tc>
          <w:tcPr>
            <w:tcW w:w="932" w:type="dxa"/>
            <w:tcBorders>
              <w:top w:val="nil"/>
              <w:left w:val="nil"/>
              <w:bottom w:val="single" w:sz="8" w:space="0" w:color="auto"/>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8,3</w:t>
            </w:r>
          </w:p>
        </w:tc>
        <w:tc>
          <w:tcPr>
            <w:tcW w:w="986" w:type="dxa"/>
            <w:tcBorders>
              <w:top w:val="nil"/>
              <w:left w:val="nil"/>
              <w:bottom w:val="single" w:sz="8" w:space="0" w:color="auto"/>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xml:space="preserve">-0,9 </w:t>
            </w:r>
          </w:p>
        </w:tc>
        <w:tc>
          <w:tcPr>
            <w:tcW w:w="1059" w:type="dxa"/>
            <w:tcBorders>
              <w:top w:val="nil"/>
              <w:left w:val="nil"/>
              <w:bottom w:val="single" w:sz="8" w:space="0" w:color="auto"/>
              <w:right w:val="double" w:sz="6"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99,8</w:t>
            </w:r>
          </w:p>
        </w:tc>
      </w:tr>
      <w:tr w:rsidR="00621E61" w:rsidRPr="00E04C25" w:rsidTr="00621E61">
        <w:trPr>
          <w:trHeight w:val="284"/>
          <w:jc w:val="center"/>
        </w:trPr>
        <w:tc>
          <w:tcPr>
            <w:tcW w:w="3119" w:type="dxa"/>
            <w:tcBorders>
              <w:top w:val="nil"/>
              <w:left w:val="double" w:sz="6" w:space="0" w:color="auto"/>
              <w:bottom w:val="nil"/>
              <w:right w:val="nil"/>
            </w:tcBorders>
            <w:shd w:val="clear" w:color="auto" w:fill="auto"/>
            <w:noWrap/>
            <w:vAlign w:val="center"/>
          </w:tcPr>
          <w:p w:rsidR="00621E61" w:rsidRPr="00E04C25" w:rsidRDefault="00621E61" w:rsidP="00AE65A5">
            <w:pPr>
              <w:tabs>
                <w:tab w:val="left" w:pos="709"/>
              </w:tabs>
              <w:rPr>
                <w:rFonts w:ascii="Arial" w:hAnsi="Arial" w:cs="Arial"/>
                <w:sz w:val="18"/>
                <w:szCs w:val="18"/>
              </w:rPr>
            </w:pPr>
            <w:r w:rsidRPr="00E04C25">
              <w:rPr>
                <w:rFonts w:ascii="Arial" w:hAnsi="Arial" w:cs="Arial"/>
                <w:sz w:val="18"/>
                <w:szCs w:val="18"/>
              </w:rPr>
              <w:t xml:space="preserve"> - na plnou pracovní dobu</w:t>
            </w:r>
          </w:p>
        </w:tc>
        <w:tc>
          <w:tcPr>
            <w:tcW w:w="992" w:type="dxa"/>
            <w:tcBorders>
              <w:top w:val="nil"/>
              <w:left w:val="single" w:sz="4" w:space="0" w:color="auto"/>
              <w:bottom w:val="nil"/>
              <w:right w:val="single" w:sz="8" w:space="0" w:color="auto"/>
            </w:tcBorders>
            <w:shd w:val="clear" w:color="auto" w:fill="auto"/>
            <w:noWrap/>
            <w:vAlign w:val="center"/>
          </w:tcPr>
          <w:p w:rsidR="00621E61" w:rsidRPr="00E04C25" w:rsidRDefault="00621E61" w:rsidP="00733E45">
            <w:pPr>
              <w:tabs>
                <w:tab w:val="left" w:pos="709"/>
              </w:tabs>
              <w:jc w:val="right"/>
              <w:rPr>
                <w:rFonts w:ascii="Arial" w:hAnsi="Arial" w:cs="Arial"/>
                <w:sz w:val="18"/>
                <w:szCs w:val="18"/>
              </w:rPr>
            </w:pPr>
            <w:r w:rsidRPr="00E04C25">
              <w:rPr>
                <w:rFonts w:ascii="Arial" w:hAnsi="Arial" w:cs="Arial"/>
                <w:sz w:val="18"/>
                <w:szCs w:val="18"/>
              </w:rPr>
              <w:t>4 793,0</w:t>
            </w:r>
          </w:p>
        </w:tc>
        <w:tc>
          <w:tcPr>
            <w:tcW w:w="851" w:type="dxa"/>
            <w:tcBorders>
              <w:top w:val="nil"/>
              <w:left w:val="nil"/>
              <w:bottom w:val="nil"/>
              <w:right w:val="single" w:sz="8" w:space="0" w:color="auto"/>
            </w:tcBorders>
            <w:shd w:val="clear" w:color="auto" w:fill="auto"/>
            <w:noWrap/>
            <w:vAlign w:val="center"/>
          </w:tcPr>
          <w:p w:rsidR="00621E61" w:rsidRPr="00E04C25" w:rsidRDefault="00621E61" w:rsidP="00733E45">
            <w:pPr>
              <w:tabs>
                <w:tab w:val="left" w:pos="709"/>
              </w:tabs>
              <w:jc w:val="right"/>
              <w:rPr>
                <w:rFonts w:ascii="Arial" w:hAnsi="Arial" w:cs="Arial"/>
                <w:sz w:val="18"/>
                <w:szCs w:val="18"/>
              </w:rPr>
            </w:pPr>
            <w:r w:rsidRPr="00E04C25">
              <w:rPr>
                <w:rFonts w:ascii="Arial" w:hAnsi="Arial" w:cs="Arial"/>
                <w:sz w:val="18"/>
                <w:szCs w:val="18"/>
              </w:rPr>
              <w:t>93,3</w:t>
            </w:r>
          </w:p>
        </w:tc>
        <w:tc>
          <w:tcPr>
            <w:tcW w:w="992" w:type="dxa"/>
            <w:tcBorders>
              <w:top w:val="nil"/>
              <w:left w:val="nil"/>
              <w:bottom w:val="nil"/>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4 839,1</w:t>
            </w:r>
          </w:p>
        </w:tc>
        <w:tc>
          <w:tcPr>
            <w:tcW w:w="932" w:type="dxa"/>
            <w:tcBorders>
              <w:top w:val="nil"/>
              <w:left w:val="nil"/>
              <w:bottom w:val="nil"/>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92,7</w:t>
            </w:r>
          </w:p>
        </w:tc>
        <w:tc>
          <w:tcPr>
            <w:tcW w:w="986" w:type="dxa"/>
            <w:tcBorders>
              <w:top w:val="nil"/>
              <w:left w:val="nil"/>
              <w:bottom w:val="nil"/>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xml:space="preserve">46,1 </w:t>
            </w:r>
          </w:p>
        </w:tc>
        <w:tc>
          <w:tcPr>
            <w:tcW w:w="1059" w:type="dxa"/>
            <w:tcBorders>
              <w:top w:val="nil"/>
              <w:left w:val="nil"/>
              <w:bottom w:val="nil"/>
              <w:right w:val="double" w:sz="6"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101,0</w:t>
            </w:r>
          </w:p>
        </w:tc>
      </w:tr>
      <w:tr w:rsidR="00621E61" w:rsidRPr="00E04C25" w:rsidTr="00621E61">
        <w:trPr>
          <w:trHeight w:val="284"/>
          <w:jc w:val="center"/>
        </w:trPr>
        <w:tc>
          <w:tcPr>
            <w:tcW w:w="3119" w:type="dxa"/>
            <w:tcBorders>
              <w:top w:val="nil"/>
              <w:left w:val="double" w:sz="6" w:space="0" w:color="auto"/>
              <w:bottom w:val="single" w:sz="4" w:space="0" w:color="auto"/>
              <w:right w:val="nil"/>
            </w:tcBorders>
            <w:shd w:val="clear" w:color="auto" w:fill="auto"/>
            <w:noWrap/>
            <w:vAlign w:val="center"/>
          </w:tcPr>
          <w:p w:rsidR="00621E61" w:rsidRPr="00E04C25" w:rsidRDefault="00621E61" w:rsidP="00AE65A5">
            <w:pPr>
              <w:tabs>
                <w:tab w:val="left" w:pos="709"/>
              </w:tabs>
              <w:rPr>
                <w:rFonts w:ascii="Arial" w:hAnsi="Arial" w:cs="Arial"/>
                <w:sz w:val="18"/>
                <w:szCs w:val="18"/>
              </w:rPr>
            </w:pPr>
            <w:r w:rsidRPr="00E04C25">
              <w:rPr>
                <w:rFonts w:ascii="Arial" w:hAnsi="Arial" w:cs="Arial"/>
                <w:sz w:val="18"/>
                <w:szCs w:val="18"/>
              </w:rPr>
              <w:t xml:space="preserve"> - na kratší pracovní dobu</w:t>
            </w: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621E61" w:rsidRPr="00E04C25" w:rsidRDefault="00621E61" w:rsidP="00733E45">
            <w:pPr>
              <w:tabs>
                <w:tab w:val="left" w:pos="709"/>
              </w:tabs>
              <w:jc w:val="right"/>
              <w:rPr>
                <w:rFonts w:ascii="Arial" w:hAnsi="Arial" w:cs="Arial"/>
                <w:sz w:val="18"/>
                <w:szCs w:val="18"/>
              </w:rPr>
            </w:pPr>
            <w:r w:rsidRPr="00E04C25">
              <w:rPr>
                <w:rFonts w:ascii="Arial" w:hAnsi="Arial" w:cs="Arial"/>
                <w:sz w:val="18"/>
                <w:szCs w:val="18"/>
              </w:rPr>
              <w:t>345,6</w:t>
            </w:r>
          </w:p>
        </w:tc>
        <w:tc>
          <w:tcPr>
            <w:tcW w:w="851" w:type="dxa"/>
            <w:tcBorders>
              <w:top w:val="nil"/>
              <w:left w:val="nil"/>
              <w:bottom w:val="single" w:sz="4" w:space="0" w:color="auto"/>
              <w:right w:val="single" w:sz="8" w:space="0" w:color="auto"/>
            </w:tcBorders>
            <w:shd w:val="clear" w:color="auto" w:fill="auto"/>
            <w:noWrap/>
            <w:vAlign w:val="center"/>
          </w:tcPr>
          <w:p w:rsidR="00621E61" w:rsidRPr="00E04C25" w:rsidRDefault="00621E61" w:rsidP="00733E45">
            <w:pPr>
              <w:tabs>
                <w:tab w:val="left" w:pos="709"/>
              </w:tabs>
              <w:jc w:val="right"/>
              <w:rPr>
                <w:rFonts w:ascii="Arial" w:hAnsi="Arial" w:cs="Arial"/>
                <w:sz w:val="18"/>
                <w:szCs w:val="18"/>
              </w:rPr>
            </w:pPr>
            <w:r w:rsidRPr="00E04C25">
              <w:rPr>
                <w:rFonts w:ascii="Arial" w:hAnsi="Arial" w:cs="Arial"/>
                <w:sz w:val="18"/>
                <w:szCs w:val="18"/>
              </w:rPr>
              <w:t>6,7</w:t>
            </w:r>
          </w:p>
        </w:tc>
        <w:tc>
          <w:tcPr>
            <w:tcW w:w="992" w:type="dxa"/>
            <w:tcBorders>
              <w:top w:val="nil"/>
              <w:left w:val="nil"/>
              <w:bottom w:val="single" w:sz="4" w:space="0" w:color="auto"/>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382,3</w:t>
            </w:r>
          </w:p>
        </w:tc>
        <w:tc>
          <w:tcPr>
            <w:tcW w:w="932" w:type="dxa"/>
            <w:tcBorders>
              <w:top w:val="nil"/>
              <w:left w:val="nil"/>
              <w:bottom w:val="single" w:sz="4" w:space="0" w:color="auto"/>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7,3</w:t>
            </w:r>
          </w:p>
        </w:tc>
        <w:tc>
          <w:tcPr>
            <w:tcW w:w="986" w:type="dxa"/>
            <w:tcBorders>
              <w:top w:val="nil"/>
              <w:left w:val="nil"/>
              <w:bottom w:val="single" w:sz="4" w:space="0" w:color="auto"/>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xml:space="preserve">36,7 </w:t>
            </w:r>
          </w:p>
        </w:tc>
        <w:tc>
          <w:tcPr>
            <w:tcW w:w="1059" w:type="dxa"/>
            <w:tcBorders>
              <w:top w:val="nil"/>
              <w:left w:val="nil"/>
              <w:bottom w:val="single" w:sz="4" w:space="0" w:color="auto"/>
              <w:right w:val="double" w:sz="6"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110,6</w:t>
            </w:r>
          </w:p>
        </w:tc>
      </w:tr>
      <w:tr w:rsidR="00621E61" w:rsidRPr="00E04C25" w:rsidTr="00621E61">
        <w:trPr>
          <w:trHeight w:val="284"/>
          <w:jc w:val="center"/>
        </w:trPr>
        <w:tc>
          <w:tcPr>
            <w:tcW w:w="3119" w:type="dxa"/>
            <w:tcBorders>
              <w:top w:val="single" w:sz="4" w:space="0" w:color="auto"/>
              <w:left w:val="double" w:sz="6" w:space="0" w:color="auto"/>
              <w:bottom w:val="double" w:sz="6" w:space="0" w:color="auto"/>
              <w:right w:val="nil"/>
            </w:tcBorders>
            <w:shd w:val="clear" w:color="auto" w:fill="auto"/>
            <w:noWrap/>
            <w:vAlign w:val="center"/>
          </w:tcPr>
          <w:p w:rsidR="00621E61" w:rsidRPr="00E04C25" w:rsidRDefault="00621E61" w:rsidP="00AE65A5">
            <w:pPr>
              <w:pStyle w:val="Odstavecseseznamem"/>
              <w:tabs>
                <w:tab w:val="left" w:pos="709"/>
              </w:tabs>
              <w:ind w:left="2340" w:hanging="2340"/>
              <w:rPr>
                <w:rFonts w:ascii="Arial" w:hAnsi="Arial" w:cs="Arial"/>
                <w:sz w:val="18"/>
                <w:szCs w:val="18"/>
              </w:rPr>
            </w:pPr>
            <w:r w:rsidRPr="00E04C25">
              <w:rPr>
                <w:rFonts w:ascii="Arial" w:hAnsi="Arial" w:cs="Arial"/>
                <w:sz w:val="18"/>
                <w:szCs w:val="18"/>
              </w:rPr>
              <w:t xml:space="preserve"> - podzaměstnaní</w:t>
            </w:r>
          </w:p>
        </w:tc>
        <w:tc>
          <w:tcPr>
            <w:tcW w:w="992" w:type="dxa"/>
            <w:tcBorders>
              <w:top w:val="single" w:sz="4" w:space="0" w:color="auto"/>
              <w:left w:val="single" w:sz="4" w:space="0" w:color="auto"/>
              <w:bottom w:val="double" w:sz="6" w:space="0" w:color="auto"/>
              <w:right w:val="single" w:sz="8" w:space="0" w:color="auto"/>
            </w:tcBorders>
            <w:shd w:val="clear" w:color="auto" w:fill="auto"/>
            <w:noWrap/>
            <w:vAlign w:val="center"/>
          </w:tcPr>
          <w:p w:rsidR="00621E61" w:rsidRPr="00E04C25" w:rsidRDefault="00621E61" w:rsidP="00733E45">
            <w:pPr>
              <w:tabs>
                <w:tab w:val="left" w:pos="709"/>
              </w:tabs>
              <w:jc w:val="right"/>
              <w:rPr>
                <w:rFonts w:ascii="Arial" w:hAnsi="Arial" w:cs="Arial"/>
                <w:sz w:val="18"/>
                <w:szCs w:val="18"/>
              </w:rPr>
            </w:pPr>
            <w:r w:rsidRPr="00E04C25">
              <w:rPr>
                <w:rFonts w:ascii="Arial" w:hAnsi="Arial" w:cs="Arial"/>
                <w:sz w:val="18"/>
                <w:szCs w:val="18"/>
              </w:rPr>
              <w:t>48,1</w:t>
            </w:r>
          </w:p>
        </w:tc>
        <w:tc>
          <w:tcPr>
            <w:tcW w:w="851" w:type="dxa"/>
            <w:tcBorders>
              <w:top w:val="single" w:sz="4" w:space="0" w:color="auto"/>
              <w:left w:val="nil"/>
              <w:bottom w:val="double" w:sz="6" w:space="0" w:color="auto"/>
              <w:right w:val="single" w:sz="8" w:space="0" w:color="auto"/>
            </w:tcBorders>
            <w:shd w:val="clear" w:color="auto" w:fill="auto"/>
            <w:noWrap/>
            <w:vAlign w:val="center"/>
          </w:tcPr>
          <w:p w:rsidR="00621E61" w:rsidRPr="00E04C25" w:rsidRDefault="00621E61" w:rsidP="00733E45">
            <w:pPr>
              <w:tabs>
                <w:tab w:val="left" w:pos="709"/>
              </w:tabs>
              <w:jc w:val="right"/>
              <w:rPr>
                <w:rFonts w:ascii="Arial" w:hAnsi="Arial" w:cs="Arial"/>
                <w:sz w:val="18"/>
                <w:szCs w:val="18"/>
              </w:rPr>
            </w:pPr>
            <w:r w:rsidRPr="00E04C25">
              <w:rPr>
                <w:rFonts w:ascii="Arial" w:hAnsi="Arial" w:cs="Arial"/>
                <w:sz w:val="18"/>
                <w:szCs w:val="18"/>
              </w:rPr>
              <w:t>0,9</w:t>
            </w:r>
          </w:p>
        </w:tc>
        <w:tc>
          <w:tcPr>
            <w:tcW w:w="992" w:type="dxa"/>
            <w:tcBorders>
              <w:top w:val="single" w:sz="4" w:space="0" w:color="auto"/>
              <w:left w:val="nil"/>
              <w:bottom w:val="double" w:sz="6" w:space="0" w:color="auto"/>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41,7</w:t>
            </w:r>
          </w:p>
        </w:tc>
        <w:tc>
          <w:tcPr>
            <w:tcW w:w="932" w:type="dxa"/>
            <w:tcBorders>
              <w:top w:val="single" w:sz="4" w:space="0" w:color="auto"/>
              <w:left w:val="nil"/>
              <w:bottom w:val="double" w:sz="6" w:space="0" w:color="auto"/>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0,8</w:t>
            </w:r>
          </w:p>
        </w:tc>
        <w:tc>
          <w:tcPr>
            <w:tcW w:w="986" w:type="dxa"/>
            <w:tcBorders>
              <w:top w:val="single" w:sz="4" w:space="0" w:color="auto"/>
              <w:left w:val="nil"/>
              <w:bottom w:val="double" w:sz="6" w:space="0" w:color="auto"/>
              <w:right w:val="single" w:sz="8"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xml:space="preserve">-6,4 </w:t>
            </w:r>
          </w:p>
        </w:tc>
        <w:tc>
          <w:tcPr>
            <w:tcW w:w="1059" w:type="dxa"/>
            <w:tcBorders>
              <w:top w:val="single" w:sz="4" w:space="0" w:color="auto"/>
              <w:left w:val="nil"/>
              <w:bottom w:val="double" w:sz="6" w:space="0" w:color="auto"/>
              <w:right w:val="double" w:sz="6"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86,7</w:t>
            </w:r>
          </w:p>
        </w:tc>
      </w:tr>
    </w:tbl>
    <w:p w:rsidR="00762875" w:rsidRPr="00E04C25" w:rsidRDefault="00762875" w:rsidP="00AE65A5">
      <w:pPr>
        <w:tabs>
          <w:tab w:val="left" w:pos="709"/>
        </w:tabs>
        <w:spacing w:line="480" w:lineRule="auto"/>
        <w:jc w:val="both"/>
        <w:rPr>
          <w:rFonts w:ascii="Arial" w:hAnsi="Arial" w:cs="Arial"/>
          <w:i/>
          <w:iCs/>
          <w:sz w:val="20"/>
          <w:szCs w:val="20"/>
        </w:rPr>
      </w:pPr>
      <w:r w:rsidRPr="00E04C25">
        <w:rPr>
          <w:rFonts w:ascii="Arial" w:hAnsi="Arial" w:cs="Arial"/>
          <w:i/>
          <w:iCs/>
          <w:sz w:val="20"/>
          <w:szCs w:val="20"/>
        </w:rPr>
        <w:t>Zdroj: ČSÚ</w:t>
      </w:r>
      <w:r w:rsidR="00976F7F" w:rsidRPr="00E04C25">
        <w:rPr>
          <w:rFonts w:ascii="Arial" w:hAnsi="Arial" w:cs="Arial"/>
          <w:i/>
          <w:iCs/>
          <w:sz w:val="20"/>
          <w:szCs w:val="20"/>
        </w:rPr>
        <w:t>-</w:t>
      </w:r>
      <w:r w:rsidRPr="00E04C25">
        <w:rPr>
          <w:rFonts w:ascii="Arial" w:hAnsi="Arial" w:cs="Arial"/>
          <w:i/>
          <w:iCs/>
          <w:sz w:val="20"/>
          <w:szCs w:val="20"/>
        </w:rPr>
        <w:t>VŠPS</w:t>
      </w:r>
    </w:p>
    <w:p w:rsidR="00762875" w:rsidRPr="00E04C25" w:rsidRDefault="00783BFD" w:rsidP="00783BFD">
      <w:pPr>
        <w:tabs>
          <w:tab w:val="left" w:pos="709"/>
        </w:tabs>
        <w:spacing w:line="360" w:lineRule="auto"/>
        <w:jc w:val="both"/>
        <w:rPr>
          <w:rFonts w:ascii="Arial" w:hAnsi="Arial" w:cs="Arial"/>
        </w:rPr>
      </w:pPr>
      <w:r w:rsidRPr="00E04C25">
        <w:rPr>
          <w:rFonts w:ascii="Arial" w:hAnsi="Arial" w:cs="Arial"/>
        </w:rPr>
        <w:tab/>
      </w:r>
      <w:r w:rsidR="00762875" w:rsidRPr="00E04C25">
        <w:rPr>
          <w:rFonts w:ascii="Arial" w:hAnsi="Arial" w:cs="Arial"/>
        </w:rPr>
        <w:t xml:space="preserve">Jako </w:t>
      </w:r>
      <w:r w:rsidR="00762875" w:rsidRPr="00E04C25">
        <w:rPr>
          <w:rFonts w:ascii="Arial" w:hAnsi="Arial" w:cs="Arial"/>
          <w:b/>
          <w:bCs/>
        </w:rPr>
        <w:t>podzaměstnaní</w:t>
      </w:r>
      <w:r w:rsidR="00762875" w:rsidRPr="00E04C25">
        <w:rPr>
          <w:rFonts w:ascii="Arial" w:hAnsi="Arial" w:cs="Arial"/>
        </w:rPr>
        <w:t xml:space="preserve"> (jimiž jsou </w:t>
      </w:r>
      <w:r w:rsidR="00762875" w:rsidRPr="00E04C25">
        <w:rPr>
          <w:rFonts w:ascii="Arial" w:hAnsi="Arial" w:cs="Arial"/>
          <w:szCs w:val="18"/>
        </w:rPr>
        <w:t xml:space="preserve">podle metodiky ILO všechny osoby, které pracují ve svém hlavním zaměstnání na částečný úvazek nebo méně než 40 hodin týdně, přejí si pracovat vyšší počet hodin než ve stávajících zaměstnáních a jsou schopny vykonávat větší počet hodin) </w:t>
      </w:r>
      <w:r w:rsidR="00762875" w:rsidRPr="00E04C25">
        <w:rPr>
          <w:rFonts w:ascii="Arial" w:hAnsi="Arial" w:cs="Arial"/>
        </w:rPr>
        <w:t xml:space="preserve">bylo klasifikováno </w:t>
      </w:r>
      <w:r w:rsidR="00162967" w:rsidRPr="00E04C25">
        <w:rPr>
          <w:rFonts w:ascii="Arial" w:hAnsi="Arial" w:cs="Arial"/>
          <w:b/>
        </w:rPr>
        <w:t>4</w:t>
      </w:r>
      <w:r w:rsidR="00C904A8" w:rsidRPr="00E04C25">
        <w:rPr>
          <w:rFonts w:ascii="Arial" w:hAnsi="Arial" w:cs="Arial"/>
          <w:b/>
        </w:rPr>
        <w:t>1</w:t>
      </w:r>
      <w:r w:rsidR="00762875" w:rsidRPr="00E04C25">
        <w:rPr>
          <w:rFonts w:ascii="Arial" w:hAnsi="Arial" w:cs="Arial"/>
          <w:b/>
          <w:bCs/>
        </w:rPr>
        <w:t>,</w:t>
      </w:r>
      <w:r w:rsidR="00C904A8" w:rsidRPr="00E04C25">
        <w:rPr>
          <w:rFonts w:ascii="Arial" w:hAnsi="Arial" w:cs="Arial"/>
          <w:b/>
          <w:bCs/>
        </w:rPr>
        <w:t>7</w:t>
      </w:r>
      <w:r w:rsidR="00762875" w:rsidRPr="00E04C25">
        <w:rPr>
          <w:rFonts w:ascii="Arial" w:hAnsi="Arial" w:cs="Arial"/>
          <w:b/>
          <w:bCs/>
        </w:rPr>
        <w:t xml:space="preserve"> tis. osob, </w:t>
      </w:r>
      <w:r w:rsidR="00762875" w:rsidRPr="00E04C25">
        <w:rPr>
          <w:rFonts w:ascii="Arial" w:hAnsi="Arial" w:cs="Arial"/>
        </w:rPr>
        <w:t>tj</w:t>
      </w:r>
      <w:r w:rsidR="00762875" w:rsidRPr="00E04C25">
        <w:rPr>
          <w:rFonts w:ascii="Arial" w:hAnsi="Arial" w:cs="Arial"/>
          <w:b/>
          <w:bCs/>
        </w:rPr>
        <w:t xml:space="preserve">. </w:t>
      </w:r>
      <w:r w:rsidR="00762875" w:rsidRPr="00E04C25">
        <w:rPr>
          <w:rFonts w:ascii="Arial" w:hAnsi="Arial" w:cs="Arial"/>
          <w:bCs/>
        </w:rPr>
        <w:t>o </w:t>
      </w:r>
      <w:r w:rsidR="00162967" w:rsidRPr="00E04C25">
        <w:rPr>
          <w:rFonts w:ascii="Arial" w:hAnsi="Arial" w:cs="Arial"/>
          <w:bCs/>
        </w:rPr>
        <w:t>6</w:t>
      </w:r>
      <w:r w:rsidR="00762875" w:rsidRPr="00E04C25">
        <w:rPr>
          <w:rFonts w:ascii="Arial" w:hAnsi="Arial" w:cs="Arial"/>
        </w:rPr>
        <w:t>,</w:t>
      </w:r>
      <w:r w:rsidR="00C904A8" w:rsidRPr="00E04C25">
        <w:rPr>
          <w:rFonts w:ascii="Arial" w:hAnsi="Arial" w:cs="Arial"/>
        </w:rPr>
        <w:t>4</w:t>
      </w:r>
      <w:r w:rsidR="00762875" w:rsidRPr="00E04C25">
        <w:rPr>
          <w:rFonts w:ascii="Arial" w:hAnsi="Arial" w:cs="Arial"/>
        </w:rPr>
        <w:t xml:space="preserve"> tis.</w:t>
      </w:r>
      <w:r w:rsidR="00762875" w:rsidRPr="00E04C25">
        <w:rPr>
          <w:rFonts w:ascii="Arial" w:hAnsi="Arial" w:cs="Arial"/>
          <w:b/>
        </w:rPr>
        <w:t xml:space="preserve"> méně</w:t>
      </w:r>
      <w:r w:rsidR="00762875" w:rsidRPr="00E04C25">
        <w:rPr>
          <w:rFonts w:ascii="Arial" w:hAnsi="Arial" w:cs="Arial"/>
        </w:rPr>
        <w:t xml:space="preserve"> než v roce 201</w:t>
      </w:r>
      <w:r w:rsidR="00C904A8" w:rsidRPr="00E04C25">
        <w:rPr>
          <w:rFonts w:ascii="Arial" w:hAnsi="Arial" w:cs="Arial"/>
        </w:rPr>
        <w:t>6</w:t>
      </w:r>
      <w:r w:rsidR="00762875" w:rsidRPr="00E04C25">
        <w:rPr>
          <w:rFonts w:ascii="Arial" w:hAnsi="Arial" w:cs="Arial"/>
        </w:rPr>
        <w:t>. Na poklesu se podílel</w:t>
      </w:r>
      <w:r w:rsidR="00B2150B" w:rsidRPr="00E04C25">
        <w:rPr>
          <w:rFonts w:ascii="Arial" w:hAnsi="Arial" w:cs="Arial"/>
        </w:rPr>
        <w:t>y</w:t>
      </w:r>
      <w:r w:rsidR="00762875" w:rsidRPr="00E04C25">
        <w:rPr>
          <w:rFonts w:ascii="Arial" w:hAnsi="Arial" w:cs="Arial"/>
        </w:rPr>
        <w:t xml:space="preserve"> </w:t>
      </w:r>
      <w:r w:rsidR="00B2150B" w:rsidRPr="00E04C25">
        <w:rPr>
          <w:rFonts w:ascii="Arial" w:hAnsi="Arial" w:cs="Arial"/>
        </w:rPr>
        <w:t xml:space="preserve">nepatrně větší měrou </w:t>
      </w:r>
      <w:r w:rsidR="00C904A8" w:rsidRPr="00E04C25">
        <w:rPr>
          <w:rFonts w:ascii="Arial" w:hAnsi="Arial" w:cs="Arial"/>
          <w:b/>
        </w:rPr>
        <w:t>ženy</w:t>
      </w:r>
      <w:r w:rsidR="00762875" w:rsidRPr="00E04C25">
        <w:rPr>
          <w:rFonts w:ascii="Arial" w:hAnsi="Arial" w:cs="Arial"/>
        </w:rPr>
        <w:t xml:space="preserve">, jejich počet se snížil o </w:t>
      </w:r>
      <w:r w:rsidR="00C904A8" w:rsidRPr="00E04C25">
        <w:rPr>
          <w:rFonts w:ascii="Arial" w:hAnsi="Arial" w:cs="Arial"/>
        </w:rPr>
        <w:t>3</w:t>
      </w:r>
      <w:r w:rsidR="00762875" w:rsidRPr="00E04C25">
        <w:rPr>
          <w:rFonts w:ascii="Arial" w:hAnsi="Arial" w:cs="Arial"/>
        </w:rPr>
        <w:t>,</w:t>
      </w:r>
      <w:r w:rsidR="00C904A8" w:rsidRPr="00E04C25">
        <w:rPr>
          <w:rFonts w:ascii="Arial" w:hAnsi="Arial" w:cs="Arial"/>
        </w:rPr>
        <w:t>7</w:t>
      </w:r>
      <w:r w:rsidR="00762875" w:rsidRPr="00E04C25">
        <w:rPr>
          <w:rFonts w:ascii="Arial" w:hAnsi="Arial" w:cs="Arial"/>
        </w:rPr>
        <w:t xml:space="preserve"> tis. </w:t>
      </w:r>
    </w:p>
    <w:p w:rsidR="00762875" w:rsidRPr="00E04C25" w:rsidRDefault="00783BFD" w:rsidP="00783BFD">
      <w:pPr>
        <w:tabs>
          <w:tab w:val="left" w:pos="709"/>
        </w:tabs>
        <w:spacing w:line="360" w:lineRule="auto"/>
        <w:jc w:val="both"/>
        <w:rPr>
          <w:rFonts w:ascii="Arial" w:hAnsi="Arial" w:cs="Arial"/>
        </w:rPr>
      </w:pPr>
      <w:r w:rsidRPr="00E04C25">
        <w:rPr>
          <w:rFonts w:ascii="Arial" w:hAnsi="Arial" w:cs="Arial"/>
        </w:rPr>
        <w:tab/>
      </w:r>
      <w:r w:rsidR="00762875" w:rsidRPr="00E04C25">
        <w:rPr>
          <w:rFonts w:ascii="Arial" w:hAnsi="Arial" w:cs="Arial"/>
        </w:rPr>
        <w:t xml:space="preserve">Souběžně s hlavním zaměstnáním pracovalo </w:t>
      </w:r>
      <w:r w:rsidR="00762875" w:rsidRPr="00E04C25">
        <w:rPr>
          <w:rFonts w:ascii="Arial" w:hAnsi="Arial" w:cs="Arial"/>
          <w:b/>
          <w:bCs/>
        </w:rPr>
        <w:t xml:space="preserve">ve druhém </w:t>
      </w:r>
      <w:r w:rsidR="00762875" w:rsidRPr="00E04C25">
        <w:rPr>
          <w:rFonts w:ascii="Arial" w:hAnsi="Arial" w:cs="Arial"/>
          <w:bCs/>
        </w:rPr>
        <w:t>(dalším)</w:t>
      </w:r>
      <w:r w:rsidR="00762875" w:rsidRPr="00E04C25">
        <w:rPr>
          <w:rFonts w:ascii="Arial" w:hAnsi="Arial" w:cs="Arial"/>
          <w:b/>
          <w:bCs/>
        </w:rPr>
        <w:t xml:space="preserve"> zaměstnání</w:t>
      </w:r>
      <w:r w:rsidR="00762875" w:rsidRPr="00E04C25">
        <w:rPr>
          <w:rFonts w:ascii="Arial" w:hAnsi="Arial" w:cs="Arial"/>
        </w:rPr>
        <w:t xml:space="preserve"> </w:t>
      </w:r>
      <w:r w:rsidR="00762875" w:rsidRPr="00E04C25">
        <w:rPr>
          <w:rFonts w:ascii="Arial" w:hAnsi="Arial" w:cs="Arial"/>
          <w:b/>
          <w:bCs/>
        </w:rPr>
        <w:t>1</w:t>
      </w:r>
      <w:r w:rsidR="001B4809" w:rsidRPr="00E04C25">
        <w:rPr>
          <w:rFonts w:ascii="Arial" w:hAnsi="Arial" w:cs="Arial"/>
          <w:b/>
          <w:bCs/>
        </w:rPr>
        <w:t>36</w:t>
      </w:r>
      <w:r w:rsidR="00762875" w:rsidRPr="00E04C25">
        <w:rPr>
          <w:rFonts w:ascii="Arial" w:hAnsi="Arial" w:cs="Arial"/>
          <w:b/>
          <w:bCs/>
        </w:rPr>
        <w:t>,</w:t>
      </w:r>
      <w:r w:rsidR="001B4809" w:rsidRPr="00E04C25">
        <w:rPr>
          <w:rFonts w:ascii="Arial" w:hAnsi="Arial" w:cs="Arial"/>
          <w:b/>
          <w:bCs/>
        </w:rPr>
        <w:t>8</w:t>
      </w:r>
      <w:r w:rsidR="00762875" w:rsidRPr="00E04C25">
        <w:rPr>
          <w:rFonts w:ascii="Arial" w:hAnsi="Arial" w:cs="Arial"/>
          <w:b/>
          <w:bCs/>
        </w:rPr>
        <w:t xml:space="preserve"> tis. osob </w:t>
      </w:r>
      <w:r w:rsidR="00762875" w:rsidRPr="00E04C25">
        <w:rPr>
          <w:rFonts w:ascii="Arial" w:hAnsi="Arial" w:cs="Arial"/>
          <w:bCs/>
        </w:rPr>
        <w:t>(</w:t>
      </w:r>
      <w:r w:rsidR="002B2BE0" w:rsidRPr="00E04C25">
        <w:rPr>
          <w:rFonts w:ascii="Arial" w:hAnsi="Arial" w:cs="Arial"/>
          <w:bCs/>
        </w:rPr>
        <w:t xml:space="preserve">nárůst </w:t>
      </w:r>
      <w:r w:rsidR="00762875" w:rsidRPr="00E04C25">
        <w:rPr>
          <w:rFonts w:ascii="Arial" w:hAnsi="Arial" w:cs="Arial"/>
          <w:bCs/>
        </w:rPr>
        <w:t>proti roku 201</w:t>
      </w:r>
      <w:r w:rsidR="001B4809" w:rsidRPr="00E04C25">
        <w:rPr>
          <w:rFonts w:ascii="Arial" w:hAnsi="Arial" w:cs="Arial"/>
          <w:bCs/>
        </w:rPr>
        <w:t>6</w:t>
      </w:r>
      <w:r w:rsidR="00762875" w:rsidRPr="00E04C25">
        <w:rPr>
          <w:rFonts w:ascii="Arial" w:hAnsi="Arial" w:cs="Arial"/>
          <w:bCs/>
        </w:rPr>
        <w:t xml:space="preserve"> o </w:t>
      </w:r>
      <w:r w:rsidR="00E9102D" w:rsidRPr="00E04C25">
        <w:rPr>
          <w:rFonts w:ascii="Arial" w:hAnsi="Arial" w:cs="Arial"/>
          <w:bCs/>
        </w:rPr>
        <w:t>17</w:t>
      </w:r>
      <w:r w:rsidR="00762875" w:rsidRPr="00E04C25">
        <w:rPr>
          <w:rFonts w:ascii="Arial" w:hAnsi="Arial" w:cs="Arial"/>
          <w:bCs/>
        </w:rPr>
        <w:t>,</w:t>
      </w:r>
      <w:r w:rsidR="00E9102D" w:rsidRPr="00E04C25">
        <w:rPr>
          <w:rFonts w:ascii="Arial" w:hAnsi="Arial" w:cs="Arial"/>
          <w:bCs/>
        </w:rPr>
        <w:t>1</w:t>
      </w:r>
      <w:r w:rsidR="00762875" w:rsidRPr="00E04C25">
        <w:rPr>
          <w:rFonts w:ascii="Arial" w:hAnsi="Arial" w:cs="Arial"/>
          <w:bCs/>
        </w:rPr>
        <w:t> tis. osob).</w:t>
      </w:r>
      <w:r w:rsidR="00762875" w:rsidRPr="00E04C25">
        <w:rPr>
          <w:rFonts w:ascii="Arial" w:hAnsi="Arial" w:cs="Arial"/>
          <w:b/>
          <w:bCs/>
        </w:rPr>
        <w:t xml:space="preserve"> </w:t>
      </w:r>
      <w:r w:rsidR="00762875" w:rsidRPr="00E04C25">
        <w:rPr>
          <w:rFonts w:ascii="Arial" w:hAnsi="Arial" w:cs="Arial"/>
          <w:bCs/>
        </w:rPr>
        <w:t>Mezi těmito pracujícími mírně převažují muži (5</w:t>
      </w:r>
      <w:r w:rsidR="001B4809" w:rsidRPr="00E04C25">
        <w:rPr>
          <w:rFonts w:ascii="Arial" w:hAnsi="Arial" w:cs="Arial"/>
          <w:bCs/>
        </w:rPr>
        <w:t>4</w:t>
      </w:r>
      <w:r w:rsidR="00762875" w:rsidRPr="00E04C25">
        <w:rPr>
          <w:rFonts w:ascii="Arial" w:hAnsi="Arial" w:cs="Arial"/>
          <w:bCs/>
        </w:rPr>
        <w:t>,</w:t>
      </w:r>
      <w:r w:rsidR="001B4809" w:rsidRPr="00E04C25">
        <w:rPr>
          <w:rFonts w:ascii="Arial" w:hAnsi="Arial" w:cs="Arial"/>
          <w:bCs/>
        </w:rPr>
        <w:t>8</w:t>
      </w:r>
      <w:r w:rsidR="00762875" w:rsidRPr="00E04C25">
        <w:rPr>
          <w:rFonts w:ascii="Arial" w:hAnsi="Arial" w:cs="Arial"/>
          <w:bCs/>
        </w:rPr>
        <w:t> %)</w:t>
      </w:r>
      <w:r w:rsidR="00762875" w:rsidRPr="00E04C25">
        <w:rPr>
          <w:rFonts w:ascii="Arial" w:hAnsi="Arial" w:cs="Arial"/>
        </w:rPr>
        <w:t xml:space="preserve">. </w:t>
      </w:r>
    </w:p>
    <w:p w:rsidR="00E9102D" w:rsidRPr="00E04C25" w:rsidRDefault="00E9102D" w:rsidP="00E9102D">
      <w:pPr>
        <w:tabs>
          <w:tab w:val="center" w:pos="720"/>
        </w:tabs>
        <w:spacing w:line="360" w:lineRule="auto"/>
        <w:ind w:firstLine="720"/>
        <w:jc w:val="both"/>
        <w:rPr>
          <w:rFonts w:ascii="Arial" w:hAnsi="Arial" w:cs="Arial"/>
        </w:rPr>
      </w:pPr>
      <w:r w:rsidRPr="00E04C25">
        <w:rPr>
          <w:rFonts w:ascii="Arial" w:hAnsi="Arial" w:cs="Arial"/>
          <w:b/>
          <w:bCs/>
        </w:rPr>
        <w:t xml:space="preserve">Nejvíce osob </w:t>
      </w:r>
      <w:r w:rsidRPr="00E04C25">
        <w:rPr>
          <w:rFonts w:ascii="Arial" w:hAnsi="Arial" w:cs="Arial"/>
          <w:bCs/>
        </w:rPr>
        <w:t xml:space="preserve">pracovalo </w:t>
      </w:r>
      <w:r w:rsidR="00B2150B" w:rsidRPr="00E04C25">
        <w:rPr>
          <w:rFonts w:ascii="Arial" w:hAnsi="Arial" w:cs="Arial"/>
          <w:bCs/>
        </w:rPr>
        <w:t xml:space="preserve">ve svém druhém zaměstnání </w:t>
      </w:r>
      <w:r w:rsidRPr="00E04C25">
        <w:rPr>
          <w:rFonts w:ascii="Arial" w:hAnsi="Arial" w:cs="Arial"/>
          <w:bCs/>
        </w:rPr>
        <w:t>v odvětví</w:t>
      </w:r>
      <w:r w:rsidRPr="00E04C25">
        <w:rPr>
          <w:rFonts w:ascii="Arial" w:hAnsi="Arial" w:cs="Arial"/>
          <w:b/>
          <w:bCs/>
        </w:rPr>
        <w:t xml:space="preserve"> p</w:t>
      </w:r>
      <w:r w:rsidRPr="00E04C25">
        <w:rPr>
          <w:rFonts w:ascii="Arial" w:hAnsi="Arial" w:cs="Arial"/>
          <w:b/>
        </w:rPr>
        <w:t>rofesních, vědeckých a technických činnosti</w:t>
      </w:r>
      <w:r w:rsidRPr="00E04C25">
        <w:rPr>
          <w:rFonts w:ascii="Arial" w:hAnsi="Arial" w:cs="Arial"/>
        </w:rPr>
        <w:t xml:space="preserve"> (18,4 tis.) </w:t>
      </w:r>
      <w:r w:rsidRPr="00E04C25">
        <w:rPr>
          <w:rFonts w:ascii="Arial" w:hAnsi="Arial" w:cs="Arial"/>
          <w:b/>
        </w:rPr>
        <w:t>a vzdělávání</w:t>
      </w:r>
      <w:r w:rsidRPr="00E04C25">
        <w:rPr>
          <w:rFonts w:ascii="Arial" w:hAnsi="Arial" w:cs="Arial"/>
        </w:rPr>
        <w:t xml:space="preserve"> (16,4 tis.). Z hlediska věku převládali lidé </w:t>
      </w:r>
      <w:r w:rsidRPr="00E04C25">
        <w:rPr>
          <w:rFonts w:ascii="Arial" w:hAnsi="Arial" w:cs="Arial"/>
          <w:b/>
        </w:rPr>
        <w:t>ve věku 40</w:t>
      </w:r>
      <w:r w:rsidR="00B2150B" w:rsidRPr="00E04C25">
        <w:rPr>
          <w:rFonts w:ascii="Arial" w:hAnsi="Arial" w:cs="Arial"/>
          <w:b/>
        </w:rPr>
        <w:t>-</w:t>
      </w:r>
      <w:r w:rsidRPr="00E04C25">
        <w:rPr>
          <w:rFonts w:ascii="Arial" w:hAnsi="Arial" w:cs="Arial"/>
          <w:b/>
        </w:rPr>
        <w:t>44 let</w:t>
      </w:r>
      <w:r w:rsidRPr="00E04C25">
        <w:rPr>
          <w:rFonts w:ascii="Arial" w:hAnsi="Arial" w:cs="Arial"/>
        </w:rPr>
        <w:t xml:space="preserve"> (24,5 tis.), </w:t>
      </w:r>
      <w:r w:rsidRPr="00E04C25">
        <w:rPr>
          <w:rFonts w:ascii="Arial" w:hAnsi="Arial" w:cs="Arial"/>
          <w:b/>
        </w:rPr>
        <w:t>35</w:t>
      </w:r>
      <w:r w:rsidR="00B2150B" w:rsidRPr="00E04C25">
        <w:rPr>
          <w:rFonts w:ascii="Arial" w:hAnsi="Arial" w:cs="Arial"/>
          <w:b/>
        </w:rPr>
        <w:t>-</w:t>
      </w:r>
      <w:r w:rsidRPr="00E04C25">
        <w:rPr>
          <w:rFonts w:ascii="Arial" w:hAnsi="Arial" w:cs="Arial"/>
          <w:b/>
        </w:rPr>
        <w:t>39 let</w:t>
      </w:r>
      <w:r w:rsidRPr="00E04C25">
        <w:rPr>
          <w:rFonts w:ascii="Arial" w:hAnsi="Arial" w:cs="Arial"/>
        </w:rPr>
        <w:t xml:space="preserve"> (20,3 tis.) a </w:t>
      </w:r>
      <w:r w:rsidRPr="00E04C25">
        <w:rPr>
          <w:rFonts w:ascii="Arial" w:hAnsi="Arial" w:cs="Arial"/>
          <w:b/>
        </w:rPr>
        <w:t>45</w:t>
      </w:r>
      <w:r w:rsidR="00B2150B" w:rsidRPr="00E04C25">
        <w:rPr>
          <w:rFonts w:ascii="Arial" w:hAnsi="Arial" w:cs="Arial"/>
          <w:b/>
        </w:rPr>
        <w:t>-</w:t>
      </w:r>
      <w:r w:rsidRPr="00E04C25">
        <w:rPr>
          <w:rFonts w:ascii="Arial" w:hAnsi="Arial" w:cs="Arial"/>
          <w:b/>
        </w:rPr>
        <w:t>49 let</w:t>
      </w:r>
      <w:r w:rsidRPr="00E04C25">
        <w:rPr>
          <w:rFonts w:ascii="Arial" w:hAnsi="Arial" w:cs="Arial"/>
        </w:rPr>
        <w:t xml:space="preserve"> (20,2 tis.).</w:t>
      </w:r>
    </w:p>
    <w:p w:rsidR="00762875" w:rsidRPr="00E04C25" w:rsidRDefault="00E9102D" w:rsidP="00783BFD">
      <w:pPr>
        <w:tabs>
          <w:tab w:val="left" w:pos="709"/>
        </w:tabs>
        <w:autoSpaceDE w:val="0"/>
        <w:autoSpaceDN w:val="0"/>
        <w:adjustRightInd w:val="0"/>
        <w:spacing w:line="360" w:lineRule="auto"/>
        <w:jc w:val="both"/>
        <w:rPr>
          <w:rFonts w:ascii="Arial" w:hAnsi="Arial" w:cs="Arial"/>
          <w:b/>
          <w:bCs/>
        </w:rPr>
      </w:pPr>
      <w:r w:rsidRPr="00E04C25">
        <w:rPr>
          <w:rFonts w:ascii="Arial" w:hAnsi="Arial" w:cs="Arial"/>
          <w:b/>
          <w:bCs/>
        </w:rPr>
        <w:tab/>
      </w:r>
      <w:r w:rsidR="00762875" w:rsidRPr="00E04C25">
        <w:rPr>
          <w:rFonts w:ascii="Arial" w:hAnsi="Arial" w:cs="Arial"/>
          <w:b/>
          <w:bCs/>
        </w:rPr>
        <w:t>Postavení</w:t>
      </w:r>
      <w:r w:rsidR="00762875" w:rsidRPr="00E04C25">
        <w:rPr>
          <w:rFonts w:ascii="Arial" w:hAnsi="Arial" w:cs="Arial"/>
        </w:rPr>
        <w:t xml:space="preserve"> osob v druhém zaměstnání </w:t>
      </w:r>
      <w:r w:rsidR="00762875" w:rsidRPr="00E04C25">
        <w:rPr>
          <w:rFonts w:ascii="Arial" w:hAnsi="Arial" w:cs="Arial"/>
          <w:b/>
          <w:bCs/>
        </w:rPr>
        <w:t>je odlišné</w:t>
      </w:r>
      <w:r w:rsidR="00762875" w:rsidRPr="00E04C25">
        <w:rPr>
          <w:rFonts w:ascii="Arial" w:hAnsi="Arial" w:cs="Arial"/>
        </w:rPr>
        <w:t xml:space="preserve"> od struktury v hlavním zaměstnání. </w:t>
      </w:r>
      <w:r w:rsidR="00762875" w:rsidRPr="00E04C25">
        <w:rPr>
          <w:rFonts w:ascii="Arial" w:hAnsi="Arial" w:cs="Arial"/>
          <w:b/>
        </w:rPr>
        <w:t>Převažovali mezi nimi podnikatelé</w:t>
      </w:r>
      <w:r w:rsidR="00762875" w:rsidRPr="00E04C25">
        <w:rPr>
          <w:rFonts w:ascii="Arial" w:hAnsi="Arial" w:cs="Arial"/>
        </w:rPr>
        <w:t xml:space="preserve"> včetně pomáhajících rodinných příslušníků (</w:t>
      </w:r>
      <w:r w:rsidRPr="00E04C25">
        <w:rPr>
          <w:rFonts w:ascii="Arial" w:hAnsi="Arial" w:cs="Arial"/>
        </w:rPr>
        <w:t>76</w:t>
      </w:r>
      <w:r w:rsidR="004D21E7" w:rsidRPr="00E04C25">
        <w:rPr>
          <w:rFonts w:ascii="Arial" w:hAnsi="Arial" w:cs="Arial"/>
        </w:rPr>
        <w:t>,</w:t>
      </w:r>
      <w:r w:rsidRPr="00E04C25">
        <w:rPr>
          <w:rFonts w:ascii="Arial" w:hAnsi="Arial" w:cs="Arial"/>
        </w:rPr>
        <w:t>5</w:t>
      </w:r>
      <w:r w:rsidR="004D21E7" w:rsidRPr="00E04C25">
        <w:rPr>
          <w:rFonts w:ascii="Arial" w:hAnsi="Arial" w:cs="Arial"/>
        </w:rPr>
        <w:t xml:space="preserve"> tis., tj. </w:t>
      </w:r>
      <w:r w:rsidR="00762875" w:rsidRPr="00E04C25">
        <w:rPr>
          <w:rFonts w:ascii="Arial" w:hAnsi="Arial" w:cs="Arial"/>
        </w:rPr>
        <w:t>5</w:t>
      </w:r>
      <w:r w:rsidRPr="00E04C25">
        <w:rPr>
          <w:rFonts w:ascii="Arial" w:hAnsi="Arial" w:cs="Arial"/>
        </w:rPr>
        <w:t>5</w:t>
      </w:r>
      <w:r w:rsidR="00762875" w:rsidRPr="00E04C25">
        <w:rPr>
          <w:rFonts w:ascii="Arial" w:hAnsi="Arial" w:cs="Arial"/>
        </w:rPr>
        <w:t>,</w:t>
      </w:r>
      <w:r w:rsidR="002B2BE0" w:rsidRPr="00E04C25">
        <w:rPr>
          <w:rFonts w:ascii="Arial" w:hAnsi="Arial" w:cs="Arial"/>
        </w:rPr>
        <w:t>9</w:t>
      </w:r>
      <w:r w:rsidR="00762875" w:rsidRPr="00E04C25">
        <w:rPr>
          <w:rFonts w:ascii="Arial" w:hAnsi="Arial" w:cs="Arial"/>
        </w:rPr>
        <w:t xml:space="preserve"> %), z nich bylo </w:t>
      </w:r>
      <w:r w:rsidR="00A33CFE" w:rsidRPr="00E04C25">
        <w:rPr>
          <w:rFonts w:ascii="Arial" w:hAnsi="Arial" w:cs="Arial"/>
        </w:rPr>
        <w:t>89,7</w:t>
      </w:r>
      <w:r w:rsidR="00762875" w:rsidRPr="00E04C25">
        <w:rPr>
          <w:rFonts w:ascii="Arial" w:hAnsi="Arial" w:cs="Arial"/>
        </w:rPr>
        <w:t> % podnikatelů bez zaměstnanců</w:t>
      </w:r>
      <w:r w:rsidR="00B2150B" w:rsidRPr="00E04C25">
        <w:rPr>
          <w:rFonts w:ascii="Arial" w:hAnsi="Arial" w:cs="Arial"/>
        </w:rPr>
        <w:t>,</w:t>
      </w:r>
      <w:r w:rsidR="00762875" w:rsidRPr="00E04C25">
        <w:rPr>
          <w:rFonts w:ascii="Arial" w:hAnsi="Arial" w:cs="Arial"/>
        </w:rPr>
        <w:t xml:space="preserve"> 8</w:t>
      </w:r>
      <w:r w:rsidR="00A33CFE" w:rsidRPr="00E04C25">
        <w:rPr>
          <w:rFonts w:ascii="Arial" w:hAnsi="Arial" w:cs="Arial"/>
        </w:rPr>
        <w:t>1,8</w:t>
      </w:r>
      <w:r w:rsidR="00762875" w:rsidRPr="00E04C25">
        <w:rPr>
          <w:rFonts w:ascii="Arial" w:hAnsi="Arial" w:cs="Arial"/>
        </w:rPr>
        <w:t xml:space="preserve"> % osob </w:t>
      </w:r>
      <w:r w:rsidR="00B0291B" w:rsidRPr="00E04C25">
        <w:rPr>
          <w:rFonts w:ascii="Arial" w:hAnsi="Arial" w:cs="Arial"/>
        </w:rPr>
        <w:t xml:space="preserve">pracovalo ve svém druhém zaměstnání </w:t>
      </w:r>
      <w:r w:rsidR="00762875" w:rsidRPr="00E04C25">
        <w:rPr>
          <w:rFonts w:ascii="Arial" w:hAnsi="Arial" w:cs="Arial"/>
        </w:rPr>
        <w:t xml:space="preserve">v sektoru služeb. </w:t>
      </w:r>
    </w:p>
    <w:p w:rsidR="00E63B0C" w:rsidRPr="00E04C25" w:rsidRDefault="00E63B0C" w:rsidP="00AE65A5">
      <w:pPr>
        <w:tabs>
          <w:tab w:val="left" w:pos="709"/>
        </w:tabs>
        <w:autoSpaceDE w:val="0"/>
        <w:autoSpaceDN w:val="0"/>
        <w:adjustRightInd w:val="0"/>
        <w:spacing w:line="360" w:lineRule="auto"/>
        <w:ind w:firstLine="720"/>
        <w:jc w:val="both"/>
        <w:rPr>
          <w:rFonts w:ascii="Arial" w:hAnsi="Arial" w:cs="Arial"/>
          <w:b/>
          <w:bCs/>
        </w:rPr>
      </w:pPr>
    </w:p>
    <w:p w:rsidR="00E63B0C" w:rsidRPr="00E04C25" w:rsidRDefault="00B2150B" w:rsidP="00AE65A5">
      <w:pPr>
        <w:pStyle w:val="Styl2"/>
        <w:tabs>
          <w:tab w:val="clear" w:pos="720"/>
          <w:tab w:val="left" w:pos="709"/>
          <w:tab w:val="num" w:pos="900"/>
        </w:tabs>
        <w:rPr>
          <w:color w:val="auto"/>
        </w:rPr>
      </w:pPr>
      <w:bookmarkStart w:id="65" w:name="_Toc53888301"/>
      <w:bookmarkStart w:id="66" w:name="_Toc53888564"/>
      <w:bookmarkStart w:id="67" w:name="_Toc69281067"/>
      <w:bookmarkStart w:id="68" w:name="_Toc71015619"/>
      <w:bookmarkStart w:id="69" w:name="_Toc85008444"/>
      <w:bookmarkStart w:id="70" w:name="_Toc101149458"/>
      <w:bookmarkStart w:id="71" w:name="_Toc102269847"/>
      <w:bookmarkStart w:id="72" w:name="_Toc116354705"/>
      <w:bookmarkStart w:id="73" w:name="_Toc116354794"/>
      <w:bookmarkStart w:id="74" w:name="_Toc116355030"/>
      <w:bookmarkStart w:id="75" w:name="_Toc149033456"/>
      <w:bookmarkStart w:id="76" w:name="_Toc179787902"/>
      <w:bookmarkStart w:id="77" w:name="_Toc211067150"/>
      <w:bookmarkStart w:id="78" w:name="_Toc258997888"/>
      <w:bookmarkStart w:id="79" w:name="_Toc274310690"/>
      <w:bookmarkStart w:id="80" w:name="_Toc383686936"/>
      <w:bookmarkStart w:id="81" w:name="_Toc400528520"/>
      <w:bookmarkStart w:id="82" w:name="_Toc404672661"/>
      <w:r w:rsidRPr="00E04C25">
        <w:rPr>
          <w:color w:val="auto"/>
        </w:rPr>
        <w:br w:type="column"/>
      </w:r>
      <w:bookmarkStart w:id="83" w:name="_Toc513198673"/>
      <w:r w:rsidR="00E63B0C" w:rsidRPr="00E04C25">
        <w:rPr>
          <w:color w:val="auto"/>
        </w:rPr>
        <w:lastRenderedPageBreak/>
        <w:t>Struktura zaměstnanosti</w:t>
      </w:r>
      <w:bookmarkEnd w:id="65"/>
      <w:bookmarkEnd w:id="66"/>
      <w:bookmarkEnd w:id="67"/>
      <w:bookmarkEnd w:id="68"/>
      <w:bookmarkEnd w:id="69"/>
      <w:bookmarkEnd w:id="70"/>
      <w:bookmarkEnd w:id="71"/>
      <w:bookmarkEnd w:id="72"/>
      <w:bookmarkEnd w:id="73"/>
      <w:bookmarkEnd w:id="74"/>
      <w:bookmarkEnd w:id="75"/>
      <w:bookmarkEnd w:id="76"/>
      <w:r w:rsidR="00E63B0C" w:rsidRPr="00E04C25">
        <w:rPr>
          <w:color w:val="auto"/>
        </w:rPr>
        <w:t xml:space="preserve"> v sektorech, odvětvích a podle</w:t>
      </w:r>
      <w:r w:rsidR="00D816C2" w:rsidRPr="00E04C25">
        <w:rPr>
          <w:color w:val="auto"/>
        </w:rPr>
        <w:t xml:space="preserve"> klasifikace</w:t>
      </w:r>
      <w:r w:rsidR="00E63B0C" w:rsidRPr="00E04C25">
        <w:rPr>
          <w:color w:val="auto"/>
        </w:rPr>
        <w:t xml:space="preserve"> zaměstnání</w:t>
      </w:r>
      <w:bookmarkEnd w:id="77"/>
      <w:bookmarkEnd w:id="78"/>
      <w:bookmarkEnd w:id="79"/>
      <w:bookmarkEnd w:id="80"/>
      <w:bookmarkEnd w:id="81"/>
      <w:bookmarkEnd w:id="82"/>
      <w:bookmarkEnd w:id="83"/>
    </w:p>
    <w:p w:rsidR="00E63B0C" w:rsidRPr="00E04C25" w:rsidRDefault="00E63B0C" w:rsidP="00AE65A5">
      <w:pPr>
        <w:tabs>
          <w:tab w:val="left" w:pos="709"/>
        </w:tabs>
        <w:ind w:left="1080"/>
        <w:rPr>
          <w:rFonts w:ascii="Arial" w:hAnsi="Arial" w:cs="Arial"/>
        </w:rPr>
      </w:pPr>
    </w:p>
    <w:p w:rsidR="00762875" w:rsidRPr="00E04C25" w:rsidRDefault="00A33CFE" w:rsidP="00A33CFE">
      <w:pPr>
        <w:tabs>
          <w:tab w:val="left" w:pos="0"/>
        </w:tabs>
        <w:spacing w:line="360" w:lineRule="auto"/>
        <w:ind w:firstLine="709"/>
        <w:jc w:val="both"/>
        <w:rPr>
          <w:rFonts w:ascii="Arial" w:hAnsi="Arial" w:cs="Arial"/>
        </w:rPr>
      </w:pPr>
      <w:r w:rsidRPr="00E04C25">
        <w:rPr>
          <w:rFonts w:ascii="Arial" w:hAnsi="Arial" w:cs="Arial"/>
        </w:rPr>
        <w:t xml:space="preserve">Na rozdíl od předchozích dvou let </w:t>
      </w:r>
      <w:r w:rsidR="00A170E8" w:rsidRPr="00E04C25">
        <w:rPr>
          <w:rFonts w:ascii="Arial" w:hAnsi="Arial" w:cs="Arial"/>
          <w:b/>
        </w:rPr>
        <w:t xml:space="preserve">se </w:t>
      </w:r>
      <w:r w:rsidR="00762875" w:rsidRPr="00E04C25">
        <w:rPr>
          <w:rFonts w:ascii="Arial" w:hAnsi="Arial" w:cs="Arial"/>
          <w:b/>
        </w:rPr>
        <w:t>zaměstnanost v primárním sektoru</w:t>
      </w:r>
      <w:r w:rsidR="00762875" w:rsidRPr="00E04C25">
        <w:rPr>
          <w:rFonts w:ascii="Arial" w:hAnsi="Arial" w:cs="Arial"/>
        </w:rPr>
        <w:t xml:space="preserve"> </w:t>
      </w:r>
      <w:r w:rsidRPr="00E04C25">
        <w:rPr>
          <w:rFonts w:ascii="Arial" w:hAnsi="Arial" w:cs="Arial"/>
          <w:b/>
        </w:rPr>
        <w:t xml:space="preserve">snížila, </w:t>
      </w:r>
      <w:r w:rsidRPr="00E04C25">
        <w:rPr>
          <w:rFonts w:ascii="Arial" w:hAnsi="Arial" w:cs="Arial"/>
        </w:rPr>
        <w:t>meziročně</w:t>
      </w:r>
      <w:r w:rsidR="00762875" w:rsidRPr="00E04C25">
        <w:rPr>
          <w:rFonts w:ascii="Arial" w:hAnsi="Arial" w:cs="Arial"/>
          <w:b/>
        </w:rPr>
        <w:t xml:space="preserve"> </w:t>
      </w:r>
      <w:r w:rsidRPr="00E04C25">
        <w:rPr>
          <w:rFonts w:ascii="Arial" w:hAnsi="Arial" w:cs="Arial"/>
        </w:rPr>
        <w:t>o 2</w:t>
      </w:r>
      <w:r w:rsidR="00CF14E3" w:rsidRPr="00E04C25">
        <w:rPr>
          <w:rFonts w:ascii="Arial" w:hAnsi="Arial" w:cs="Arial"/>
        </w:rPr>
        <w:t>,</w:t>
      </w:r>
      <w:r w:rsidRPr="00E04C25">
        <w:rPr>
          <w:rFonts w:ascii="Arial" w:hAnsi="Arial" w:cs="Arial"/>
        </w:rPr>
        <w:t>8</w:t>
      </w:r>
      <w:r w:rsidR="00762875" w:rsidRPr="00E04C25">
        <w:rPr>
          <w:rFonts w:ascii="Arial" w:hAnsi="Arial" w:cs="Arial"/>
        </w:rPr>
        <w:t> tis.</w:t>
      </w:r>
      <w:r w:rsidR="00762875" w:rsidRPr="00E04C25">
        <w:rPr>
          <w:rFonts w:ascii="Arial" w:hAnsi="Arial" w:cs="Arial"/>
          <w:b/>
        </w:rPr>
        <w:t xml:space="preserve"> na 14</w:t>
      </w:r>
      <w:r w:rsidRPr="00E04C25">
        <w:rPr>
          <w:rFonts w:ascii="Arial" w:hAnsi="Arial" w:cs="Arial"/>
          <w:b/>
        </w:rPr>
        <w:t>6</w:t>
      </w:r>
      <w:r w:rsidR="00762875" w:rsidRPr="00E04C25">
        <w:rPr>
          <w:rFonts w:ascii="Arial" w:hAnsi="Arial" w:cs="Arial"/>
          <w:b/>
        </w:rPr>
        <w:t>,</w:t>
      </w:r>
      <w:r w:rsidRPr="00E04C25">
        <w:rPr>
          <w:rFonts w:ascii="Arial" w:hAnsi="Arial" w:cs="Arial"/>
          <w:b/>
        </w:rPr>
        <w:t>3</w:t>
      </w:r>
      <w:r w:rsidR="00762875" w:rsidRPr="00E04C25">
        <w:rPr>
          <w:rFonts w:ascii="Arial" w:hAnsi="Arial" w:cs="Arial"/>
          <w:b/>
        </w:rPr>
        <w:t xml:space="preserve"> tis. osob. </w:t>
      </w:r>
      <w:r w:rsidR="00B2150B" w:rsidRPr="00E04C25">
        <w:rPr>
          <w:rFonts w:ascii="Arial" w:hAnsi="Arial" w:cs="Arial"/>
        </w:rPr>
        <w:t xml:space="preserve">Tento </w:t>
      </w:r>
      <w:r w:rsidR="00762875" w:rsidRPr="00E04C25">
        <w:rPr>
          <w:rFonts w:ascii="Arial" w:hAnsi="Arial" w:cs="Arial"/>
        </w:rPr>
        <w:t xml:space="preserve">sektor </w:t>
      </w:r>
      <w:r w:rsidR="00B2150B" w:rsidRPr="00E04C25">
        <w:rPr>
          <w:rFonts w:ascii="Arial" w:hAnsi="Arial" w:cs="Arial"/>
        </w:rPr>
        <w:t xml:space="preserve">tvořil </w:t>
      </w:r>
      <w:r w:rsidRPr="00E04C25">
        <w:rPr>
          <w:rFonts w:ascii="Arial" w:hAnsi="Arial" w:cs="Arial"/>
          <w:b/>
        </w:rPr>
        <w:t>2,8</w:t>
      </w:r>
      <w:r w:rsidR="00762875" w:rsidRPr="00E04C25">
        <w:rPr>
          <w:rFonts w:ascii="Arial" w:hAnsi="Arial" w:cs="Arial"/>
          <w:b/>
        </w:rPr>
        <w:t> %</w:t>
      </w:r>
      <w:r w:rsidR="00B2150B" w:rsidRPr="00E04C25">
        <w:rPr>
          <w:rFonts w:ascii="Arial" w:hAnsi="Arial" w:cs="Arial"/>
          <w:b/>
        </w:rPr>
        <w:t xml:space="preserve"> celkové zaměstnanosti</w:t>
      </w:r>
      <w:r w:rsidR="00B2150B" w:rsidRPr="00E04C25">
        <w:rPr>
          <w:rFonts w:ascii="Arial" w:hAnsi="Arial" w:cs="Arial"/>
        </w:rPr>
        <w:t xml:space="preserve"> (pokles o 0,1 p. b.)</w:t>
      </w:r>
      <w:r w:rsidR="00762875" w:rsidRPr="00E04C25">
        <w:rPr>
          <w:rFonts w:ascii="Arial" w:hAnsi="Arial" w:cs="Arial"/>
          <w:b/>
        </w:rPr>
        <w:t>.</w:t>
      </w:r>
      <w:r w:rsidR="00762875" w:rsidRPr="00E04C25">
        <w:rPr>
          <w:rFonts w:ascii="Arial" w:hAnsi="Arial" w:cs="Arial"/>
        </w:rPr>
        <w:t xml:space="preserve"> </w:t>
      </w:r>
    </w:p>
    <w:p w:rsidR="004D21E7" w:rsidRPr="00E04C25" w:rsidRDefault="00783BFD" w:rsidP="00783BFD">
      <w:pPr>
        <w:tabs>
          <w:tab w:val="left" w:pos="709"/>
        </w:tabs>
        <w:spacing w:line="360" w:lineRule="auto"/>
        <w:jc w:val="both"/>
        <w:rPr>
          <w:rFonts w:ascii="Arial" w:hAnsi="Arial" w:cs="Arial"/>
        </w:rPr>
      </w:pPr>
      <w:r w:rsidRPr="00E04C25">
        <w:rPr>
          <w:rFonts w:ascii="Arial" w:hAnsi="Arial" w:cs="Arial"/>
        </w:rPr>
        <w:tab/>
      </w:r>
      <w:r w:rsidR="00CF14E3" w:rsidRPr="00E04C25">
        <w:rPr>
          <w:rFonts w:ascii="Arial" w:hAnsi="Arial" w:cs="Arial"/>
        </w:rPr>
        <w:t xml:space="preserve">Pokračoval </w:t>
      </w:r>
      <w:r w:rsidR="004D21E7" w:rsidRPr="00E04C25">
        <w:rPr>
          <w:rFonts w:ascii="Arial" w:hAnsi="Arial" w:cs="Arial"/>
        </w:rPr>
        <w:t xml:space="preserve">další </w:t>
      </w:r>
      <w:r w:rsidR="004D21E7" w:rsidRPr="00E04C25">
        <w:rPr>
          <w:rFonts w:ascii="Arial" w:hAnsi="Arial" w:cs="Arial"/>
          <w:b/>
        </w:rPr>
        <w:t xml:space="preserve">růst zaměstnanosti v sekundárním sektoru </w:t>
      </w:r>
      <w:r w:rsidR="004D21E7" w:rsidRPr="00E04C25">
        <w:rPr>
          <w:rFonts w:ascii="Arial" w:hAnsi="Arial" w:cs="Arial"/>
        </w:rPr>
        <w:t xml:space="preserve">(průmysl vč. stavebnictví). </w:t>
      </w:r>
      <w:r w:rsidR="004D21E7" w:rsidRPr="00E04C25">
        <w:rPr>
          <w:rFonts w:ascii="Arial" w:hAnsi="Arial" w:cs="Arial"/>
          <w:b/>
        </w:rPr>
        <w:t>Z</w:t>
      </w:r>
      <w:r w:rsidR="004D21E7" w:rsidRPr="00E04C25">
        <w:rPr>
          <w:rFonts w:ascii="Arial" w:hAnsi="Arial" w:cs="Arial"/>
          <w:b/>
          <w:bCs/>
        </w:rPr>
        <w:t xml:space="preserve">aměstnanost </w:t>
      </w:r>
      <w:r w:rsidR="004D21E7" w:rsidRPr="00E04C25">
        <w:rPr>
          <w:rFonts w:ascii="Arial" w:hAnsi="Arial" w:cs="Arial"/>
          <w:bCs/>
        </w:rPr>
        <w:t>v tomto sektoru meziročně</w:t>
      </w:r>
      <w:r w:rsidR="004D21E7" w:rsidRPr="00E04C25">
        <w:rPr>
          <w:rFonts w:ascii="Arial" w:hAnsi="Arial" w:cs="Arial"/>
          <w:b/>
          <w:bCs/>
        </w:rPr>
        <w:t xml:space="preserve"> vzrostla o</w:t>
      </w:r>
      <w:r w:rsidR="00A170E8" w:rsidRPr="00E04C25">
        <w:rPr>
          <w:rFonts w:ascii="Arial" w:hAnsi="Arial" w:cs="Arial"/>
          <w:b/>
          <w:bCs/>
        </w:rPr>
        <w:t> </w:t>
      </w:r>
      <w:r w:rsidR="00CF14E3" w:rsidRPr="00E04C25">
        <w:rPr>
          <w:rFonts w:ascii="Arial" w:hAnsi="Arial" w:cs="Arial"/>
          <w:b/>
          <w:bCs/>
        </w:rPr>
        <w:t>3</w:t>
      </w:r>
      <w:r w:rsidR="00A33CFE" w:rsidRPr="00E04C25">
        <w:rPr>
          <w:rFonts w:ascii="Arial" w:hAnsi="Arial" w:cs="Arial"/>
          <w:b/>
          <w:bCs/>
        </w:rPr>
        <w:t>0</w:t>
      </w:r>
      <w:r w:rsidR="004D21E7" w:rsidRPr="00E04C25">
        <w:rPr>
          <w:rFonts w:ascii="Arial" w:hAnsi="Arial" w:cs="Arial"/>
          <w:b/>
          <w:bCs/>
        </w:rPr>
        <w:t>,</w:t>
      </w:r>
      <w:r w:rsidR="00A33CFE" w:rsidRPr="00E04C25">
        <w:rPr>
          <w:rFonts w:ascii="Arial" w:hAnsi="Arial" w:cs="Arial"/>
          <w:b/>
          <w:bCs/>
        </w:rPr>
        <w:t>8</w:t>
      </w:r>
      <w:r w:rsidR="004D21E7" w:rsidRPr="00E04C25">
        <w:rPr>
          <w:rFonts w:ascii="Arial" w:hAnsi="Arial" w:cs="Arial"/>
          <w:b/>
          <w:bCs/>
        </w:rPr>
        <w:t xml:space="preserve"> tis.</w:t>
      </w:r>
      <w:r w:rsidR="004D21E7" w:rsidRPr="00E04C25">
        <w:rPr>
          <w:rFonts w:ascii="Arial" w:hAnsi="Arial" w:cs="Arial"/>
          <w:bCs/>
        </w:rPr>
        <w:t xml:space="preserve"> </w:t>
      </w:r>
      <w:r w:rsidR="004D21E7" w:rsidRPr="00E04C25">
        <w:rPr>
          <w:rFonts w:ascii="Arial" w:hAnsi="Arial" w:cs="Arial"/>
          <w:b/>
          <w:bCs/>
        </w:rPr>
        <w:t>na 1 9</w:t>
      </w:r>
      <w:r w:rsidR="00A33CFE" w:rsidRPr="00E04C25">
        <w:rPr>
          <w:rFonts w:ascii="Arial" w:hAnsi="Arial" w:cs="Arial"/>
          <w:b/>
          <w:bCs/>
        </w:rPr>
        <w:t>8</w:t>
      </w:r>
      <w:r w:rsidR="00CF14E3" w:rsidRPr="00E04C25">
        <w:rPr>
          <w:rFonts w:ascii="Arial" w:hAnsi="Arial" w:cs="Arial"/>
          <w:b/>
          <w:bCs/>
        </w:rPr>
        <w:t>6</w:t>
      </w:r>
      <w:r w:rsidR="004D21E7" w:rsidRPr="00E04C25">
        <w:rPr>
          <w:rFonts w:ascii="Arial" w:hAnsi="Arial" w:cs="Arial"/>
          <w:b/>
          <w:bCs/>
        </w:rPr>
        <w:t>,</w:t>
      </w:r>
      <w:r w:rsidR="00A33CFE" w:rsidRPr="00E04C25">
        <w:rPr>
          <w:rFonts w:ascii="Arial" w:hAnsi="Arial" w:cs="Arial"/>
          <w:b/>
          <w:bCs/>
        </w:rPr>
        <w:t>9</w:t>
      </w:r>
      <w:r w:rsidR="004D21E7" w:rsidRPr="00E04C25">
        <w:rPr>
          <w:rFonts w:ascii="Arial" w:hAnsi="Arial" w:cs="Arial"/>
          <w:b/>
          <w:bCs/>
        </w:rPr>
        <w:t xml:space="preserve"> tis. osob</w:t>
      </w:r>
      <w:r w:rsidR="004D21E7" w:rsidRPr="00E04C25">
        <w:rPr>
          <w:rFonts w:ascii="Arial" w:hAnsi="Arial" w:cs="Arial"/>
          <w:bCs/>
        </w:rPr>
        <w:t xml:space="preserve">. </w:t>
      </w:r>
      <w:r w:rsidR="004D21E7" w:rsidRPr="00E04C25">
        <w:rPr>
          <w:rFonts w:ascii="Arial" w:hAnsi="Arial" w:cs="Arial"/>
          <w:b/>
          <w:bCs/>
        </w:rPr>
        <w:t xml:space="preserve">Podíl </w:t>
      </w:r>
      <w:r w:rsidR="004D21E7" w:rsidRPr="00E04C25">
        <w:rPr>
          <w:rFonts w:ascii="Arial" w:hAnsi="Arial" w:cs="Arial"/>
        </w:rPr>
        <w:t xml:space="preserve">tohoto sektoru na celkové zaměstnanosti </w:t>
      </w:r>
      <w:r w:rsidR="006E19E9" w:rsidRPr="00E04C25">
        <w:rPr>
          <w:rFonts w:ascii="Arial" w:hAnsi="Arial" w:cs="Arial"/>
        </w:rPr>
        <w:t>představoval</w:t>
      </w:r>
      <w:r w:rsidR="00A33CFE" w:rsidRPr="00E04C25">
        <w:rPr>
          <w:rFonts w:ascii="Arial" w:hAnsi="Arial" w:cs="Arial"/>
        </w:rPr>
        <w:t xml:space="preserve"> </w:t>
      </w:r>
      <w:r w:rsidR="00CF14E3" w:rsidRPr="00E04C25">
        <w:rPr>
          <w:rFonts w:ascii="Arial" w:hAnsi="Arial" w:cs="Arial"/>
          <w:b/>
          <w:bCs/>
        </w:rPr>
        <w:t>38,1</w:t>
      </w:r>
      <w:r w:rsidR="004D21E7" w:rsidRPr="00E04C25">
        <w:rPr>
          <w:rFonts w:ascii="Arial" w:hAnsi="Arial" w:cs="Arial"/>
          <w:b/>
          <w:bCs/>
        </w:rPr>
        <w:t xml:space="preserve"> %. </w:t>
      </w:r>
    </w:p>
    <w:p w:rsidR="004D21E7" w:rsidRPr="00E04C25" w:rsidRDefault="004D21E7" w:rsidP="00AE65A5">
      <w:pPr>
        <w:tabs>
          <w:tab w:val="left" w:pos="709"/>
        </w:tabs>
        <w:ind w:firstLine="567"/>
        <w:jc w:val="both"/>
        <w:rPr>
          <w:rFonts w:ascii="Arial" w:hAnsi="Arial" w:cs="Arial"/>
          <w:sz w:val="16"/>
          <w:szCs w:val="16"/>
        </w:rPr>
      </w:pPr>
    </w:p>
    <w:p w:rsidR="00762875" w:rsidRPr="00E04C25" w:rsidRDefault="00762875" w:rsidP="00AE65A5">
      <w:pPr>
        <w:tabs>
          <w:tab w:val="left" w:pos="709"/>
        </w:tabs>
        <w:jc w:val="center"/>
        <w:rPr>
          <w:rFonts w:ascii="Arial" w:hAnsi="Arial" w:cs="Arial"/>
          <w:b/>
          <w:bCs/>
        </w:rPr>
      </w:pPr>
      <w:r w:rsidRPr="00E04C25">
        <w:rPr>
          <w:rFonts w:ascii="Arial" w:hAnsi="Arial" w:cs="Arial"/>
          <w:b/>
          <w:bCs/>
        </w:rPr>
        <w:t>Sektorová struktura zaměstnanosti</w:t>
      </w:r>
    </w:p>
    <w:p w:rsidR="00762875" w:rsidRPr="00E04C25" w:rsidRDefault="00762875" w:rsidP="00AE65A5">
      <w:pPr>
        <w:tabs>
          <w:tab w:val="left" w:pos="709"/>
        </w:tabs>
        <w:ind w:left="708" w:firstLine="372"/>
        <w:jc w:val="center"/>
        <w:rPr>
          <w:rFonts w:ascii="Arial" w:hAnsi="Arial" w:cs="Arial"/>
          <w:sz w:val="20"/>
          <w:szCs w:val="20"/>
        </w:rPr>
      </w:pP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t xml:space="preserve">      tab. č. </w:t>
      </w:r>
      <w:r w:rsidR="00AC1001" w:rsidRPr="00E04C25">
        <w:rPr>
          <w:rFonts w:ascii="Arial" w:hAnsi="Arial" w:cs="Arial"/>
          <w:sz w:val="20"/>
          <w:szCs w:val="20"/>
        </w:rPr>
        <w:t>7</w:t>
      </w:r>
    </w:p>
    <w:tbl>
      <w:tblPr>
        <w:tblW w:w="8454" w:type="dxa"/>
        <w:jc w:val="center"/>
        <w:tblCellMar>
          <w:left w:w="70" w:type="dxa"/>
          <w:right w:w="70" w:type="dxa"/>
        </w:tblCellMar>
        <w:tblLook w:val="0000"/>
      </w:tblPr>
      <w:tblGrid>
        <w:gridCol w:w="2162"/>
        <w:gridCol w:w="1095"/>
        <w:gridCol w:w="825"/>
        <w:gridCol w:w="1089"/>
        <w:gridCol w:w="963"/>
        <w:gridCol w:w="1069"/>
        <w:gridCol w:w="1251"/>
      </w:tblGrid>
      <w:tr w:rsidR="00EC746A" w:rsidRPr="00E04C25" w:rsidTr="00EC746A">
        <w:trPr>
          <w:trHeight w:val="330"/>
          <w:jc w:val="center"/>
        </w:trPr>
        <w:tc>
          <w:tcPr>
            <w:tcW w:w="2162" w:type="dxa"/>
            <w:vMerge w:val="restart"/>
            <w:tcBorders>
              <w:top w:val="double" w:sz="6" w:space="0" w:color="auto"/>
              <w:left w:val="double" w:sz="6" w:space="0" w:color="auto"/>
              <w:right w:val="nil"/>
            </w:tcBorders>
            <w:shd w:val="clear" w:color="auto" w:fill="auto"/>
            <w:noWrap/>
            <w:vAlign w:val="bottom"/>
          </w:tcPr>
          <w:p w:rsidR="00EC746A" w:rsidRPr="00E04C25" w:rsidRDefault="00EC746A" w:rsidP="00AE65A5">
            <w:pPr>
              <w:tabs>
                <w:tab w:val="left" w:pos="709"/>
              </w:tabs>
              <w:jc w:val="center"/>
              <w:rPr>
                <w:rFonts w:ascii="Arial" w:hAnsi="Arial" w:cs="Arial"/>
                <w:sz w:val="20"/>
                <w:szCs w:val="20"/>
              </w:rPr>
            </w:pPr>
            <w:r w:rsidRPr="00E04C25">
              <w:rPr>
                <w:rFonts w:ascii="Arial" w:hAnsi="Arial" w:cs="Arial"/>
                <w:b/>
                <w:bCs/>
                <w:sz w:val="20"/>
                <w:szCs w:val="20"/>
              </w:rPr>
              <w:t>Zaměstnaní v NH</w:t>
            </w:r>
          </w:p>
          <w:p w:rsidR="00EC746A" w:rsidRPr="00E04C25" w:rsidRDefault="00EC746A" w:rsidP="00AE65A5">
            <w:pPr>
              <w:tabs>
                <w:tab w:val="left" w:pos="709"/>
              </w:tabs>
              <w:rPr>
                <w:rFonts w:ascii="Arial" w:hAnsi="Arial" w:cs="Arial"/>
                <w:sz w:val="20"/>
                <w:szCs w:val="20"/>
              </w:rPr>
            </w:pPr>
            <w:r w:rsidRPr="00E04C25">
              <w:rPr>
                <w:rFonts w:ascii="Arial" w:hAnsi="Arial" w:cs="Arial"/>
                <w:sz w:val="20"/>
                <w:szCs w:val="20"/>
              </w:rPr>
              <w:t> </w:t>
            </w:r>
          </w:p>
        </w:tc>
        <w:tc>
          <w:tcPr>
            <w:tcW w:w="1920"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tcPr>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2016</w:t>
            </w:r>
          </w:p>
        </w:tc>
        <w:tc>
          <w:tcPr>
            <w:tcW w:w="2052" w:type="dxa"/>
            <w:gridSpan w:val="2"/>
            <w:tcBorders>
              <w:top w:val="double" w:sz="6" w:space="0" w:color="auto"/>
              <w:left w:val="nil"/>
              <w:bottom w:val="single" w:sz="4" w:space="0" w:color="auto"/>
              <w:right w:val="single" w:sz="4" w:space="0" w:color="000000"/>
            </w:tcBorders>
            <w:shd w:val="clear" w:color="auto" w:fill="auto"/>
            <w:noWrap/>
            <w:vAlign w:val="center"/>
          </w:tcPr>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2017</w:t>
            </w:r>
          </w:p>
        </w:tc>
        <w:tc>
          <w:tcPr>
            <w:tcW w:w="1069" w:type="dxa"/>
            <w:vMerge w:val="restart"/>
            <w:tcBorders>
              <w:top w:val="double" w:sz="6" w:space="0" w:color="auto"/>
              <w:left w:val="nil"/>
              <w:right w:val="single" w:sz="4" w:space="0" w:color="auto"/>
            </w:tcBorders>
            <w:shd w:val="clear" w:color="auto" w:fill="auto"/>
            <w:noWrap/>
            <w:vAlign w:val="center"/>
          </w:tcPr>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rozdíl</w:t>
            </w:r>
          </w:p>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17-16</w:t>
            </w:r>
          </w:p>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(tis.)</w:t>
            </w:r>
          </w:p>
        </w:tc>
        <w:tc>
          <w:tcPr>
            <w:tcW w:w="1251" w:type="dxa"/>
            <w:vMerge w:val="restart"/>
            <w:tcBorders>
              <w:top w:val="double" w:sz="6" w:space="0" w:color="auto"/>
              <w:left w:val="nil"/>
              <w:right w:val="double" w:sz="6" w:space="0" w:color="auto"/>
            </w:tcBorders>
            <w:shd w:val="clear" w:color="auto" w:fill="auto"/>
            <w:noWrap/>
            <w:vAlign w:val="center"/>
          </w:tcPr>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index</w:t>
            </w:r>
          </w:p>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 xml:space="preserve">17/16 </w:t>
            </w:r>
            <w:r w:rsidRPr="00E04C25">
              <w:rPr>
                <w:rFonts w:ascii="Arial" w:hAnsi="Arial" w:cs="Arial"/>
                <w:b/>
                <w:sz w:val="20"/>
                <w:szCs w:val="20"/>
              </w:rPr>
              <w:t>(%)</w:t>
            </w:r>
          </w:p>
        </w:tc>
      </w:tr>
      <w:tr w:rsidR="00960B15" w:rsidRPr="00E04C25" w:rsidTr="00762875">
        <w:trPr>
          <w:trHeight w:val="429"/>
          <w:jc w:val="center"/>
        </w:trPr>
        <w:tc>
          <w:tcPr>
            <w:tcW w:w="2162" w:type="dxa"/>
            <w:vMerge/>
            <w:tcBorders>
              <w:left w:val="double" w:sz="6" w:space="0" w:color="auto"/>
              <w:bottom w:val="single" w:sz="4" w:space="0" w:color="auto"/>
              <w:right w:val="nil"/>
            </w:tcBorders>
            <w:shd w:val="clear" w:color="auto" w:fill="auto"/>
            <w:noWrap/>
            <w:vAlign w:val="bottom"/>
          </w:tcPr>
          <w:p w:rsidR="00762875" w:rsidRPr="00E04C25" w:rsidRDefault="00762875" w:rsidP="00AE65A5">
            <w:pPr>
              <w:tabs>
                <w:tab w:val="left" w:pos="709"/>
              </w:tabs>
              <w:rPr>
                <w:rFonts w:ascii="Arial" w:hAnsi="Arial" w:cs="Arial"/>
                <w:sz w:val="20"/>
                <w:szCs w:val="20"/>
              </w:rPr>
            </w:pPr>
          </w:p>
        </w:tc>
        <w:tc>
          <w:tcPr>
            <w:tcW w:w="1095" w:type="dxa"/>
            <w:tcBorders>
              <w:top w:val="nil"/>
              <w:left w:val="single" w:sz="4" w:space="0" w:color="auto"/>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v tis.</w:t>
            </w:r>
          </w:p>
        </w:tc>
        <w:tc>
          <w:tcPr>
            <w:tcW w:w="825" w:type="dxa"/>
            <w:tcBorders>
              <w:top w:val="nil"/>
              <w:left w:val="nil"/>
              <w:bottom w:val="single" w:sz="4" w:space="0" w:color="auto"/>
              <w:right w:val="nil"/>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w:t>
            </w:r>
          </w:p>
        </w:tc>
        <w:tc>
          <w:tcPr>
            <w:tcW w:w="1089" w:type="dxa"/>
            <w:tcBorders>
              <w:top w:val="nil"/>
              <w:left w:val="single" w:sz="4" w:space="0" w:color="auto"/>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v tis.</w:t>
            </w:r>
          </w:p>
        </w:tc>
        <w:tc>
          <w:tcPr>
            <w:tcW w:w="963" w:type="dxa"/>
            <w:tcBorders>
              <w:top w:val="nil"/>
              <w:left w:val="nil"/>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w:t>
            </w:r>
          </w:p>
        </w:tc>
        <w:tc>
          <w:tcPr>
            <w:tcW w:w="1069" w:type="dxa"/>
            <w:vMerge/>
            <w:tcBorders>
              <w:left w:val="nil"/>
              <w:bottom w:val="single" w:sz="4" w:space="0" w:color="auto"/>
              <w:right w:val="single" w:sz="4" w:space="0" w:color="auto"/>
            </w:tcBorders>
            <w:shd w:val="clear" w:color="auto" w:fill="auto"/>
            <w:noWrap/>
            <w:vAlign w:val="bottom"/>
          </w:tcPr>
          <w:p w:rsidR="00762875" w:rsidRPr="00E04C25" w:rsidRDefault="00762875" w:rsidP="00AE65A5">
            <w:pPr>
              <w:tabs>
                <w:tab w:val="left" w:pos="709"/>
              </w:tabs>
              <w:jc w:val="center"/>
              <w:rPr>
                <w:rFonts w:ascii="Arial" w:hAnsi="Arial" w:cs="Arial"/>
                <w:b/>
                <w:bCs/>
                <w:sz w:val="20"/>
                <w:szCs w:val="20"/>
              </w:rPr>
            </w:pPr>
          </w:p>
        </w:tc>
        <w:tc>
          <w:tcPr>
            <w:tcW w:w="1251" w:type="dxa"/>
            <w:vMerge/>
            <w:tcBorders>
              <w:left w:val="nil"/>
              <w:bottom w:val="single" w:sz="4" w:space="0" w:color="auto"/>
              <w:right w:val="double" w:sz="6" w:space="0" w:color="auto"/>
            </w:tcBorders>
            <w:shd w:val="clear" w:color="auto" w:fill="auto"/>
            <w:noWrap/>
            <w:vAlign w:val="bottom"/>
          </w:tcPr>
          <w:p w:rsidR="00762875" w:rsidRPr="00E04C25" w:rsidRDefault="00762875" w:rsidP="00AE65A5">
            <w:pPr>
              <w:tabs>
                <w:tab w:val="left" w:pos="709"/>
              </w:tabs>
              <w:jc w:val="center"/>
              <w:rPr>
                <w:rFonts w:ascii="Arial" w:hAnsi="Arial" w:cs="Arial"/>
                <w:b/>
                <w:bCs/>
                <w:sz w:val="20"/>
                <w:szCs w:val="20"/>
              </w:rPr>
            </w:pPr>
          </w:p>
        </w:tc>
      </w:tr>
      <w:tr w:rsidR="00621E61" w:rsidRPr="00E04C25" w:rsidTr="00621E61">
        <w:trPr>
          <w:trHeight w:val="330"/>
          <w:jc w:val="center"/>
        </w:trPr>
        <w:tc>
          <w:tcPr>
            <w:tcW w:w="2162" w:type="dxa"/>
            <w:tcBorders>
              <w:top w:val="nil"/>
              <w:left w:val="double" w:sz="6" w:space="0" w:color="auto"/>
              <w:bottom w:val="single" w:sz="4" w:space="0" w:color="auto"/>
              <w:right w:val="nil"/>
            </w:tcBorders>
            <w:shd w:val="clear" w:color="auto" w:fill="auto"/>
            <w:noWrap/>
            <w:vAlign w:val="center"/>
          </w:tcPr>
          <w:p w:rsidR="00621E61" w:rsidRPr="00E04C25" w:rsidRDefault="00621E61" w:rsidP="00AE65A5">
            <w:pPr>
              <w:tabs>
                <w:tab w:val="left" w:pos="709"/>
              </w:tabs>
              <w:rPr>
                <w:rFonts w:ascii="Arial" w:hAnsi="Arial" w:cs="Arial"/>
                <w:b/>
                <w:sz w:val="18"/>
                <w:szCs w:val="18"/>
              </w:rPr>
            </w:pPr>
            <w:r w:rsidRPr="00E04C25">
              <w:rPr>
                <w:rFonts w:ascii="Arial" w:hAnsi="Arial" w:cs="Arial"/>
                <w:b/>
                <w:sz w:val="18"/>
                <w:szCs w:val="18"/>
              </w:rPr>
              <w:t>Celkem</w:t>
            </w:r>
          </w:p>
        </w:tc>
        <w:tc>
          <w:tcPr>
            <w:tcW w:w="1095" w:type="dxa"/>
            <w:tcBorders>
              <w:top w:val="nil"/>
              <w:left w:val="single" w:sz="4" w:space="0" w:color="auto"/>
              <w:bottom w:val="single" w:sz="4" w:space="0" w:color="auto"/>
              <w:right w:val="single" w:sz="4" w:space="0" w:color="auto"/>
            </w:tcBorders>
            <w:shd w:val="clear" w:color="auto" w:fill="auto"/>
            <w:noWrap/>
            <w:vAlign w:val="center"/>
          </w:tcPr>
          <w:p w:rsidR="00621E61" w:rsidRPr="00E04C25" w:rsidRDefault="00621E61">
            <w:pPr>
              <w:jc w:val="right"/>
              <w:rPr>
                <w:rFonts w:ascii="Arial" w:hAnsi="Arial" w:cs="Arial"/>
                <w:b/>
                <w:bCs/>
                <w:sz w:val="18"/>
                <w:szCs w:val="18"/>
              </w:rPr>
            </w:pPr>
            <w:r w:rsidRPr="00E04C25">
              <w:rPr>
                <w:rFonts w:ascii="Arial" w:hAnsi="Arial" w:cs="Arial"/>
                <w:b/>
                <w:bCs/>
                <w:sz w:val="18"/>
                <w:szCs w:val="18"/>
              </w:rPr>
              <w:t>5 138,6</w:t>
            </w:r>
          </w:p>
        </w:tc>
        <w:tc>
          <w:tcPr>
            <w:tcW w:w="825" w:type="dxa"/>
            <w:tcBorders>
              <w:top w:val="nil"/>
              <w:left w:val="nil"/>
              <w:bottom w:val="single" w:sz="4" w:space="0" w:color="auto"/>
              <w:right w:val="single" w:sz="4" w:space="0" w:color="auto"/>
            </w:tcBorders>
            <w:shd w:val="clear" w:color="auto" w:fill="auto"/>
            <w:noWrap/>
            <w:vAlign w:val="center"/>
          </w:tcPr>
          <w:p w:rsidR="00621E61" w:rsidRPr="00E04C25" w:rsidRDefault="00621E61">
            <w:pPr>
              <w:jc w:val="right"/>
              <w:rPr>
                <w:rFonts w:ascii="Arial" w:hAnsi="Arial" w:cs="Arial"/>
                <w:b/>
                <w:bCs/>
                <w:sz w:val="18"/>
                <w:szCs w:val="18"/>
              </w:rPr>
            </w:pPr>
            <w:r w:rsidRPr="00E04C25">
              <w:rPr>
                <w:rFonts w:ascii="Arial" w:hAnsi="Arial" w:cs="Arial"/>
                <w:b/>
                <w:bCs/>
                <w:sz w:val="18"/>
                <w:szCs w:val="18"/>
              </w:rPr>
              <w:t>100,0</w:t>
            </w:r>
          </w:p>
        </w:tc>
        <w:tc>
          <w:tcPr>
            <w:tcW w:w="1089" w:type="dxa"/>
            <w:tcBorders>
              <w:top w:val="nil"/>
              <w:left w:val="nil"/>
              <w:bottom w:val="single" w:sz="4" w:space="0" w:color="auto"/>
              <w:right w:val="single" w:sz="4" w:space="0" w:color="auto"/>
            </w:tcBorders>
            <w:shd w:val="clear" w:color="auto" w:fill="auto"/>
            <w:noWrap/>
            <w:vAlign w:val="center"/>
          </w:tcPr>
          <w:p w:rsidR="00621E61" w:rsidRPr="00E04C25" w:rsidRDefault="00621E61">
            <w:pPr>
              <w:jc w:val="right"/>
              <w:rPr>
                <w:rFonts w:ascii="Arial" w:hAnsi="Arial" w:cs="Arial"/>
                <w:b/>
                <w:bCs/>
                <w:sz w:val="18"/>
                <w:szCs w:val="18"/>
              </w:rPr>
            </w:pPr>
            <w:r w:rsidRPr="00E04C25">
              <w:rPr>
                <w:rFonts w:ascii="Arial" w:hAnsi="Arial" w:cs="Arial"/>
                <w:b/>
                <w:bCs/>
                <w:sz w:val="18"/>
                <w:szCs w:val="18"/>
              </w:rPr>
              <w:t>5 221,6</w:t>
            </w:r>
          </w:p>
        </w:tc>
        <w:tc>
          <w:tcPr>
            <w:tcW w:w="963" w:type="dxa"/>
            <w:tcBorders>
              <w:top w:val="nil"/>
              <w:left w:val="nil"/>
              <w:bottom w:val="single" w:sz="4" w:space="0" w:color="auto"/>
              <w:right w:val="single" w:sz="4" w:space="0" w:color="auto"/>
            </w:tcBorders>
            <w:shd w:val="clear" w:color="auto" w:fill="auto"/>
            <w:noWrap/>
            <w:vAlign w:val="center"/>
          </w:tcPr>
          <w:p w:rsidR="00621E61" w:rsidRPr="00E04C25" w:rsidRDefault="00621E61">
            <w:pPr>
              <w:jc w:val="right"/>
              <w:rPr>
                <w:rFonts w:ascii="Arial" w:hAnsi="Arial" w:cs="Arial"/>
                <w:b/>
                <w:bCs/>
                <w:sz w:val="18"/>
                <w:szCs w:val="18"/>
              </w:rPr>
            </w:pPr>
            <w:r w:rsidRPr="00E04C25">
              <w:rPr>
                <w:rFonts w:ascii="Arial" w:hAnsi="Arial" w:cs="Arial"/>
                <w:b/>
                <w:bCs/>
                <w:sz w:val="18"/>
                <w:szCs w:val="18"/>
              </w:rPr>
              <w:t>100,0</w:t>
            </w:r>
          </w:p>
        </w:tc>
        <w:tc>
          <w:tcPr>
            <w:tcW w:w="1069" w:type="dxa"/>
            <w:tcBorders>
              <w:top w:val="nil"/>
              <w:left w:val="nil"/>
              <w:bottom w:val="single" w:sz="4" w:space="0" w:color="auto"/>
              <w:right w:val="single" w:sz="4" w:space="0" w:color="auto"/>
            </w:tcBorders>
            <w:shd w:val="clear" w:color="auto" w:fill="auto"/>
            <w:noWrap/>
            <w:vAlign w:val="center"/>
          </w:tcPr>
          <w:p w:rsidR="00621E61" w:rsidRPr="00E04C25" w:rsidRDefault="00621E61">
            <w:pPr>
              <w:jc w:val="right"/>
              <w:rPr>
                <w:rFonts w:ascii="Arial" w:hAnsi="Arial" w:cs="Arial"/>
                <w:b/>
                <w:bCs/>
                <w:sz w:val="18"/>
                <w:szCs w:val="18"/>
              </w:rPr>
            </w:pPr>
            <w:r w:rsidRPr="00E04C25">
              <w:rPr>
                <w:rFonts w:ascii="Arial" w:hAnsi="Arial" w:cs="Arial"/>
                <w:b/>
                <w:bCs/>
                <w:sz w:val="18"/>
                <w:szCs w:val="18"/>
              </w:rPr>
              <w:t xml:space="preserve">83,0 </w:t>
            </w:r>
          </w:p>
        </w:tc>
        <w:tc>
          <w:tcPr>
            <w:tcW w:w="1251" w:type="dxa"/>
            <w:tcBorders>
              <w:top w:val="nil"/>
              <w:left w:val="nil"/>
              <w:bottom w:val="single" w:sz="4" w:space="0" w:color="auto"/>
              <w:right w:val="double" w:sz="6" w:space="0" w:color="auto"/>
            </w:tcBorders>
            <w:shd w:val="clear" w:color="auto" w:fill="auto"/>
            <w:noWrap/>
            <w:vAlign w:val="center"/>
          </w:tcPr>
          <w:p w:rsidR="00621E61" w:rsidRPr="00E04C25" w:rsidRDefault="00621E61">
            <w:pPr>
              <w:jc w:val="right"/>
              <w:rPr>
                <w:rFonts w:ascii="Arial" w:hAnsi="Arial" w:cs="Arial"/>
                <w:b/>
                <w:bCs/>
                <w:sz w:val="18"/>
                <w:szCs w:val="18"/>
              </w:rPr>
            </w:pPr>
            <w:r w:rsidRPr="00E04C25">
              <w:rPr>
                <w:rFonts w:ascii="Arial" w:hAnsi="Arial" w:cs="Arial"/>
                <w:b/>
                <w:bCs/>
                <w:sz w:val="18"/>
                <w:szCs w:val="18"/>
              </w:rPr>
              <w:t xml:space="preserve">101,6 </w:t>
            </w:r>
          </w:p>
        </w:tc>
      </w:tr>
      <w:tr w:rsidR="00621E61" w:rsidRPr="00E04C25" w:rsidTr="00621E61">
        <w:trPr>
          <w:trHeight w:val="330"/>
          <w:jc w:val="center"/>
        </w:trPr>
        <w:tc>
          <w:tcPr>
            <w:tcW w:w="2162" w:type="dxa"/>
            <w:tcBorders>
              <w:top w:val="nil"/>
              <w:left w:val="double" w:sz="6" w:space="0" w:color="auto"/>
              <w:bottom w:val="nil"/>
              <w:right w:val="nil"/>
            </w:tcBorders>
            <w:shd w:val="clear" w:color="auto" w:fill="auto"/>
            <w:noWrap/>
            <w:vAlign w:val="center"/>
          </w:tcPr>
          <w:p w:rsidR="00621E61" w:rsidRPr="00E04C25" w:rsidRDefault="00621E61" w:rsidP="00AE65A5">
            <w:pPr>
              <w:tabs>
                <w:tab w:val="left" w:pos="709"/>
              </w:tabs>
              <w:rPr>
                <w:rFonts w:ascii="Arial" w:hAnsi="Arial" w:cs="Arial"/>
                <w:sz w:val="18"/>
                <w:szCs w:val="18"/>
              </w:rPr>
            </w:pPr>
            <w:r w:rsidRPr="00E04C25">
              <w:rPr>
                <w:rFonts w:ascii="Arial" w:hAnsi="Arial" w:cs="Arial"/>
                <w:sz w:val="18"/>
                <w:szCs w:val="18"/>
              </w:rPr>
              <w:t>z toho:</w:t>
            </w:r>
          </w:p>
        </w:tc>
        <w:tc>
          <w:tcPr>
            <w:tcW w:w="1095" w:type="dxa"/>
            <w:tcBorders>
              <w:top w:val="nil"/>
              <w:left w:val="single" w:sz="4" w:space="0" w:color="auto"/>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p>
        </w:tc>
        <w:tc>
          <w:tcPr>
            <w:tcW w:w="825" w:type="dxa"/>
            <w:tcBorders>
              <w:top w:val="nil"/>
              <w:left w:val="nil"/>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p>
        </w:tc>
        <w:tc>
          <w:tcPr>
            <w:tcW w:w="1089" w:type="dxa"/>
            <w:tcBorders>
              <w:top w:val="nil"/>
              <w:left w:val="nil"/>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p>
        </w:tc>
        <w:tc>
          <w:tcPr>
            <w:tcW w:w="963" w:type="dxa"/>
            <w:tcBorders>
              <w:top w:val="nil"/>
              <w:left w:val="nil"/>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p>
        </w:tc>
        <w:tc>
          <w:tcPr>
            <w:tcW w:w="1069" w:type="dxa"/>
            <w:tcBorders>
              <w:top w:val="nil"/>
              <w:left w:val="nil"/>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p>
        </w:tc>
        <w:tc>
          <w:tcPr>
            <w:tcW w:w="1251" w:type="dxa"/>
            <w:tcBorders>
              <w:top w:val="nil"/>
              <w:left w:val="nil"/>
              <w:bottom w:val="nil"/>
              <w:right w:val="double" w:sz="6" w:space="0" w:color="auto"/>
            </w:tcBorders>
            <w:shd w:val="clear" w:color="auto" w:fill="auto"/>
            <w:noWrap/>
            <w:vAlign w:val="center"/>
          </w:tcPr>
          <w:p w:rsidR="00621E61" w:rsidRPr="00E04C25" w:rsidRDefault="00621E61">
            <w:pPr>
              <w:jc w:val="right"/>
              <w:rPr>
                <w:rFonts w:ascii="Arial" w:hAnsi="Arial" w:cs="Arial"/>
                <w:sz w:val="18"/>
                <w:szCs w:val="18"/>
              </w:rPr>
            </w:pPr>
          </w:p>
        </w:tc>
      </w:tr>
      <w:tr w:rsidR="00621E61" w:rsidRPr="00E04C25" w:rsidTr="00621E61">
        <w:trPr>
          <w:trHeight w:val="330"/>
          <w:jc w:val="center"/>
        </w:trPr>
        <w:tc>
          <w:tcPr>
            <w:tcW w:w="2162" w:type="dxa"/>
            <w:tcBorders>
              <w:top w:val="nil"/>
              <w:left w:val="double" w:sz="6" w:space="0" w:color="auto"/>
              <w:bottom w:val="nil"/>
              <w:right w:val="nil"/>
            </w:tcBorders>
            <w:shd w:val="clear" w:color="auto" w:fill="auto"/>
            <w:noWrap/>
            <w:vAlign w:val="center"/>
          </w:tcPr>
          <w:p w:rsidR="00621E61" w:rsidRPr="00E04C25" w:rsidRDefault="00621E61" w:rsidP="00AE65A5">
            <w:pPr>
              <w:tabs>
                <w:tab w:val="left" w:pos="709"/>
              </w:tabs>
              <w:rPr>
                <w:rFonts w:ascii="Arial" w:hAnsi="Arial" w:cs="Arial"/>
                <w:sz w:val="18"/>
                <w:szCs w:val="18"/>
              </w:rPr>
            </w:pPr>
            <w:r w:rsidRPr="00E04C25">
              <w:rPr>
                <w:rFonts w:ascii="Arial" w:hAnsi="Arial" w:cs="Arial"/>
                <w:sz w:val="18"/>
                <w:szCs w:val="18"/>
              </w:rPr>
              <w:t>I. sektor</w:t>
            </w:r>
          </w:p>
        </w:tc>
        <w:tc>
          <w:tcPr>
            <w:tcW w:w="1095" w:type="dxa"/>
            <w:tcBorders>
              <w:top w:val="nil"/>
              <w:left w:val="single" w:sz="4" w:space="0" w:color="auto"/>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149,1</w:t>
            </w:r>
          </w:p>
        </w:tc>
        <w:tc>
          <w:tcPr>
            <w:tcW w:w="825" w:type="dxa"/>
            <w:tcBorders>
              <w:top w:val="nil"/>
              <w:left w:val="nil"/>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2,9</w:t>
            </w:r>
          </w:p>
        </w:tc>
        <w:tc>
          <w:tcPr>
            <w:tcW w:w="1089" w:type="dxa"/>
            <w:tcBorders>
              <w:top w:val="nil"/>
              <w:left w:val="nil"/>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146,3</w:t>
            </w:r>
          </w:p>
        </w:tc>
        <w:tc>
          <w:tcPr>
            <w:tcW w:w="963" w:type="dxa"/>
            <w:tcBorders>
              <w:top w:val="nil"/>
              <w:left w:val="nil"/>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2,8</w:t>
            </w:r>
          </w:p>
        </w:tc>
        <w:tc>
          <w:tcPr>
            <w:tcW w:w="1069" w:type="dxa"/>
            <w:tcBorders>
              <w:top w:val="nil"/>
              <w:left w:val="nil"/>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xml:space="preserve">-2,8 </w:t>
            </w:r>
          </w:p>
        </w:tc>
        <w:tc>
          <w:tcPr>
            <w:tcW w:w="1251" w:type="dxa"/>
            <w:tcBorders>
              <w:top w:val="nil"/>
              <w:left w:val="nil"/>
              <w:bottom w:val="nil"/>
              <w:right w:val="double" w:sz="6"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xml:space="preserve">98,1 </w:t>
            </w:r>
          </w:p>
        </w:tc>
      </w:tr>
      <w:tr w:rsidR="00621E61" w:rsidRPr="00E04C25" w:rsidTr="00621E61">
        <w:trPr>
          <w:trHeight w:val="330"/>
          <w:jc w:val="center"/>
        </w:trPr>
        <w:tc>
          <w:tcPr>
            <w:tcW w:w="2162" w:type="dxa"/>
            <w:tcBorders>
              <w:top w:val="nil"/>
              <w:left w:val="double" w:sz="6" w:space="0" w:color="auto"/>
              <w:bottom w:val="nil"/>
              <w:right w:val="nil"/>
            </w:tcBorders>
            <w:shd w:val="clear" w:color="auto" w:fill="auto"/>
            <w:noWrap/>
            <w:vAlign w:val="center"/>
          </w:tcPr>
          <w:p w:rsidR="00621E61" w:rsidRPr="00E04C25" w:rsidRDefault="00621E61" w:rsidP="00AE65A5">
            <w:pPr>
              <w:tabs>
                <w:tab w:val="left" w:pos="709"/>
              </w:tabs>
              <w:rPr>
                <w:rFonts w:ascii="Arial" w:hAnsi="Arial" w:cs="Arial"/>
                <w:sz w:val="18"/>
                <w:szCs w:val="18"/>
              </w:rPr>
            </w:pPr>
            <w:r w:rsidRPr="00E04C25">
              <w:rPr>
                <w:rFonts w:ascii="Arial" w:hAnsi="Arial" w:cs="Arial"/>
                <w:sz w:val="18"/>
                <w:szCs w:val="18"/>
              </w:rPr>
              <w:t>II. sektor</w:t>
            </w:r>
          </w:p>
        </w:tc>
        <w:tc>
          <w:tcPr>
            <w:tcW w:w="1095" w:type="dxa"/>
            <w:tcBorders>
              <w:top w:val="nil"/>
              <w:left w:val="single" w:sz="4" w:space="0" w:color="auto"/>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1 956,1</w:t>
            </w:r>
          </w:p>
        </w:tc>
        <w:tc>
          <w:tcPr>
            <w:tcW w:w="825" w:type="dxa"/>
            <w:tcBorders>
              <w:top w:val="nil"/>
              <w:left w:val="nil"/>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38,1</w:t>
            </w:r>
          </w:p>
        </w:tc>
        <w:tc>
          <w:tcPr>
            <w:tcW w:w="1089" w:type="dxa"/>
            <w:tcBorders>
              <w:top w:val="nil"/>
              <w:left w:val="nil"/>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1 986,9</w:t>
            </w:r>
          </w:p>
        </w:tc>
        <w:tc>
          <w:tcPr>
            <w:tcW w:w="963" w:type="dxa"/>
            <w:tcBorders>
              <w:top w:val="nil"/>
              <w:left w:val="nil"/>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38,1</w:t>
            </w:r>
          </w:p>
        </w:tc>
        <w:tc>
          <w:tcPr>
            <w:tcW w:w="1069" w:type="dxa"/>
            <w:tcBorders>
              <w:top w:val="nil"/>
              <w:left w:val="nil"/>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xml:space="preserve">30,8 </w:t>
            </w:r>
          </w:p>
        </w:tc>
        <w:tc>
          <w:tcPr>
            <w:tcW w:w="1251" w:type="dxa"/>
            <w:tcBorders>
              <w:top w:val="nil"/>
              <w:left w:val="nil"/>
              <w:bottom w:val="nil"/>
              <w:right w:val="double" w:sz="6"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xml:space="preserve">101,6 </w:t>
            </w:r>
          </w:p>
        </w:tc>
      </w:tr>
      <w:tr w:rsidR="00621E61" w:rsidRPr="00E04C25" w:rsidTr="00621E61">
        <w:trPr>
          <w:trHeight w:val="330"/>
          <w:jc w:val="center"/>
        </w:trPr>
        <w:tc>
          <w:tcPr>
            <w:tcW w:w="2162" w:type="dxa"/>
            <w:tcBorders>
              <w:top w:val="nil"/>
              <w:left w:val="double" w:sz="6" w:space="0" w:color="auto"/>
              <w:bottom w:val="nil"/>
              <w:right w:val="nil"/>
            </w:tcBorders>
            <w:shd w:val="clear" w:color="auto" w:fill="auto"/>
            <w:noWrap/>
            <w:vAlign w:val="center"/>
          </w:tcPr>
          <w:p w:rsidR="00621E61" w:rsidRPr="00E04C25" w:rsidRDefault="00621E61" w:rsidP="00AE65A5">
            <w:pPr>
              <w:tabs>
                <w:tab w:val="left" w:pos="709"/>
              </w:tabs>
              <w:rPr>
                <w:rFonts w:ascii="Arial" w:hAnsi="Arial" w:cs="Arial"/>
                <w:i/>
                <w:iCs/>
                <w:sz w:val="18"/>
                <w:szCs w:val="18"/>
              </w:rPr>
            </w:pPr>
            <w:r w:rsidRPr="00E04C25">
              <w:rPr>
                <w:rFonts w:ascii="Arial" w:hAnsi="Arial" w:cs="Arial"/>
                <w:i/>
                <w:iCs/>
                <w:sz w:val="18"/>
                <w:szCs w:val="18"/>
              </w:rPr>
              <w:t xml:space="preserve">   v tom stavebnictví</w:t>
            </w:r>
          </w:p>
        </w:tc>
        <w:tc>
          <w:tcPr>
            <w:tcW w:w="1095" w:type="dxa"/>
            <w:tcBorders>
              <w:top w:val="nil"/>
              <w:left w:val="single" w:sz="4" w:space="0" w:color="auto"/>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386,3</w:t>
            </w:r>
          </w:p>
        </w:tc>
        <w:tc>
          <w:tcPr>
            <w:tcW w:w="825" w:type="dxa"/>
            <w:tcBorders>
              <w:top w:val="nil"/>
              <w:left w:val="nil"/>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7,5</w:t>
            </w:r>
          </w:p>
        </w:tc>
        <w:tc>
          <w:tcPr>
            <w:tcW w:w="1089" w:type="dxa"/>
            <w:tcBorders>
              <w:top w:val="nil"/>
              <w:left w:val="nil"/>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391,9</w:t>
            </w:r>
          </w:p>
        </w:tc>
        <w:tc>
          <w:tcPr>
            <w:tcW w:w="963" w:type="dxa"/>
            <w:tcBorders>
              <w:top w:val="nil"/>
              <w:left w:val="nil"/>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7,5</w:t>
            </w:r>
          </w:p>
        </w:tc>
        <w:tc>
          <w:tcPr>
            <w:tcW w:w="1069" w:type="dxa"/>
            <w:tcBorders>
              <w:top w:val="nil"/>
              <w:left w:val="nil"/>
              <w:bottom w:val="nil"/>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xml:space="preserve">5,6 </w:t>
            </w:r>
          </w:p>
        </w:tc>
        <w:tc>
          <w:tcPr>
            <w:tcW w:w="1251" w:type="dxa"/>
            <w:tcBorders>
              <w:top w:val="nil"/>
              <w:left w:val="nil"/>
              <w:bottom w:val="nil"/>
              <w:right w:val="double" w:sz="6"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xml:space="preserve">101,4 </w:t>
            </w:r>
          </w:p>
        </w:tc>
      </w:tr>
      <w:tr w:rsidR="00621E61" w:rsidRPr="00E04C25" w:rsidTr="00621E61">
        <w:trPr>
          <w:trHeight w:val="330"/>
          <w:jc w:val="center"/>
        </w:trPr>
        <w:tc>
          <w:tcPr>
            <w:tcW w:w="2162" w:type="dxa"/>
            <w:tcBorders>
              <w:top w:val="nil"/>
              <w:left w:val="double" w:sz="6" w:space="0" w:color="auto"/>
              <w:bottom w:val="double" w:sz="6" w:space="0" w:color="auto"/>
              <w:right w:val="nil"/>
            </w:tcBorders>
            <w:shd w:val="clear" w:color="auto" w:fill="auto"/>
            <w:noWrap/>
            <w:vAlign w:val="center"/>
          </w:tcPr>
          <w:p w:rsidR="00621E61" w:rsidRPr="00E04C25" w:rsidRDefault="00621E61" w:rsidP="00D727B6">
            <w:pPr>
              <w:tabs>
                <w:tab w:val="left" w:pos="709"/>
              </w:tabs>
              <w:rPr>
                <w:rFonts w:ascii="Arial" w:hAnsi="Arial" w:cs="Arial"/>
                <w:sz w:val="18"/>
                <w:szCs w:val="18"/>
              </w:rPr>
            </w:pPr>
            <w:r w:rsidRPr="00E04C25">
              <w:rPr>
                <w:rFonts w:ascii="Arial" w:hAnsi="Arial" w:cs="Arial"/>
                <w:sz w:val="18"/>
                <w:szCs w:val="18"/>
              </w:rPr>
              <w:t xml:space="preserve">III. sektor </w:t>
            </w:r>
          </w:p>
        </w:tc>
        <w:tc>
          <w:tcPr>
            <w:tcW w:w="1095" w:type="dxa"/>
            <w:tcBorders>
              <w:top w:val="nil"/>
              <w:left w:val="single" w:sz="4" w:space="0" w:color="auto"/>
              <w:bottom w:val="double" w:sz="6" w:space="0" w:color="auto"/>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3 032,8</w:t>
            </w:r>
          </w:p>
        </w:tc>
        <w:tc>
          <w:tcPr>
            <w:tcW w:w="825" w:type="dxa"/>
            <w:tcBorders>
              <w:top w:val="nil"/>
              <w:left w:val="nil"/>
              <w:bottom w:val="double" w:sz="6" w:space="0" w:color="auto"/>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59,0</w:t>
            </w:r>
          </w:p>
        </w:tc>
        <w:tc>
          <w:tcPr>
            <w:tcW w:w="1089" w:type="dxa"/>
            <w:tcBorders>
              <w:top w:val="nil"/>
              <w:left w:val="nil"/>
              <w:bottom w:val="double" w:sz="6" w:space="0" w:color="auto"/>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3 087,5</w:t>
            </w:r>
          </w:p>
        </w:tc>
        <w:tc>
          <w:tcPr>
            <w:tcW w:w="963" w:type="dxa"/>
            <w:tcBorders>
              <w:top w:val="nil"/>
              <w:left w:val="nil"/>
              <w:bottom w:val="double" w:sz="6" w:space="0" w:color="auto"/>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59,1</w:t>
            </w:r>
          </w:p>
        </w:tc>
        <w:tc>
          <w:tcPr>
            <w:tcW w:w="1069" w:type="dxa"/>
            <w:tcBorders>
              <w:top w:val="nil"/>
              <w:left w:val="nil"/>
              <w:bottom w:val="double" w:sz="6" w:space="0" w:color="auto"/>
              <w:right w:val="single" w:sz="4"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xml:space="preserve">54,7 </w:t>
            </w:r>
          </w:p>
        </w:tc>
        <w:tc>
          <w:tcPr>
            <w:tcW w:w="1251" w:type="dxa"/>
            <w:tcBorders>
              <w:top w:val="nil"/>
              <w:left w:val="nil"/>
              <w:bottom w:val="double" w:sz="6" w:space="0" w:color="auto"/>
              <w:right w:val="double" w:sz="6" w:space="0" w:color="auto"/>
            </w:tcBorders>
            <w:shd w:val="clear" w:color="auto" w:fill="auto"/>
            <w:noWrap/>
            <w:vAlign w:val="center"/>
          </w:tcPr>
          <w:p w:rsidR="00621E61" w:rsidRPr="00E04C25" w:rsidRDefault="00621E61">
            <w:pPr>
              <w:jc w:val="right"/>
              <w:rPr>
                <w:rFonts w:ascii="Arial" w:hAnsi="Arial" w:cs="Arial"/>
                <w:sz w:val="18"/>
                <w:szCs w:val="18"/>
              </w:rPr>
            </w:pPr>
            <w:r w:rsidRPr="00E04C25">
              <w:rPr>
                <w:rFonts w:ascii="Arial" w:hAnsi="Arial" w:cs="Arial"/>
                <w:sz w:val="18"/>
                <w:szCs w:val="18"/>
              </w:rPr>
              <w:t xml:space="preserve">101,8 </w:t>
            </w:r>
          </w:p>
        </w:tc>
      </w:tr>
    </w:tbl>
    <w:p w:rsidR="00762875" w:rsidRPr="00E04C25" w:rsidRDefault="009277A6" w:rsidP="00AE65A5">
      <w:pPr>
        <w:tabs>
          <w:tab w:val="left" w:pos="709"/>
        </w:tabs>
        <w:jc w:val="both"/>
        <w:rPr>
          <w:rFonts w:ascii="Arial" w:hAnsi="Arial" w:cs="Arial"/>
          <w:i/>
          <w:iCs/>
          <w:sz w:val="18"/>
          <w:szCs w:val="18"/>
        </w:rPr>
      </w:pPr>
      <w:r>
        <w:rPr>
          <w:rFonts w:ascii="Arial" w:hAnsi="Arial" w:cs="Arial"/>
          <w:i/>
          <w:iCs/>
          <w:sz w:val="18"/>
          <w:szCs w:val="18"/>
        </w:rPr>
        <w:tab/>
      </w:r>
      <w:r w:rsidR="00762875" w:rsidRPr="00E04C25">
        <w:rPr>
          <w:rFonts w:ascii="Arial" w:hAnsi="Arial" w:cs="Arial"/>
          <w:i/>
          <w:iCs/>
          <w:sz w:val="18"/>
          <w:szCs w:val="18"/>
        </w:rPr>
        <w:t>Zdroj: ČSÚ – VŠPS</w:t>
      </w:r>
    </w:p>
    <w:p w:rsidR="00762875" w:rsidRPr="00E04C25" w:rsidRDefault="00762875" w:rsidP="00AE65A5">
      <w:pPr>
        <w:tabs>
          <w:tab w:val="left" w:pos="709"/>
        </w:tabs>
        <w:jc w:val="both"/>
        <w:rPr>
          <w:rFonts w:ascii="Arial" w:hAnsi="Arial" w:cs="Arial"/>
          <w:i/>
          <w:iCs/>
          <w:sz w:val="18"/>
          <w:szCs w:val="18"/>
        </w:rPr>
      </w:pPr>
      <w:r w:rsidRPr="00E04C25">
        <w:rPr>
          <w:rFonts w:ascii="Arial" w:hAnsi="Arial" w:cs="Arial"/>
          <w:i/>
          <w:iCs/>
          <w:sz w:val="18"/>
          <w:szCs w:val="18"/>
        </w:rPr>
        <w:t xml:space="preserve">  </w:t>
      </w:r>
      <w:r w:rsidRPr="00E04C25">
        <w:rPr>
          <w:rFonts w:ascii="Arial" w:hAnsi="Arial" w:cs="Arial"/>
          <w:i/>
          <w:iCs/>
          <w:sz w:val="18"/>
          <w:szCs w:val="18"/>
        </w:rPr>
        <w:tab/>
      </w:r>
    </w:p>
    <w:p w:rsidR="004D21E7" w:rsidRPr="00E04C25" w:rsidRDefault="004D21E7" w:rsidP="00AE65A5">
      <w:pPr>
        <w:tabs>
          <w:tab w:val="left" w:pos="709"/>
        </w:tabs>
        <w:ind w:firstLine="567"/>
        <w:jc w:val="both"/>
        <w:rPr>
          <w:rFonts w:ascii="Arial" w:hAnsi="Arial" w:cs="Arial"/>
        </w:rPr>
      </w:pPr>
    </w:p>
    <w:p w:rsidR="00A33CFE" w:rsidRPr="00E04C25" w:rsidRDefault="00A33CFE" w:rsidP="00A33CFE">
      <w:pPr>
        <w:spacing w:line="360" w:lineRule="auto"/>
        <w:ind w:firstLine="720"/>
        <w:jc w:val="both"/>
        <w:rPr>
          <w:rFonts w:ascii="Arial" w:hAnsi="Arial" w:cs="Arial"/>
          <w:szCs w:val="20"/>
        </w:rPr>
      </w:pPr>
      <w:r w:rsidRPr="00E04C25">
        <w:rPr>
          <w:rFonts w:ascii="Arial" w:hAnsi="Arial" w:cs="Arial"/>
        </w:rPr>
        <w:t>Pro vývoj zaměstnanosti v </w:t>
      </w:r>
      <w:r w:rsidR="00CF383E" w:rsidRPr="00E04C25">
        <w:rPr>
          <w:rFonts w:ascii="Arial" w:hAnsi="Arial" w:cs="Arial"/>
        </w:rPr>
        <w:t>sekundárním</w:t>
      </w:r>
      <w:r w:rsidRPr="00E04C25">
        <w:rPr>
          <w:rFonts w:ascii="Arial" w:hAnsi="Arial" w:cs="Arial"/>
        </w:rPr>
        <w:t xml:space="preserve"> sektoru měl rozhodující význam </w:t>
      </w:r>
      <w:r w:rsidRPr="00E04C25">
        <w:rPr>
          <w:rFonts w:ascii="Arial" w:hAnsi="Arial" w:cs="Arial"/>
          <w:b/>
        </w:rPr>
        <w:t>nárůst</w:t>
      </w:r>
      <w:r w:rsidRPr="00E04C25">
        <w:rPr>
          <w:rFonts w:ascii="Arial" w:hAnsi="Arial" w:cs="Arial"/>
        </w:rPr>
        <w:t xml:space="preserve"> </w:t>
      </w:r>
      <w:r w:rsidRPr="00E04C25">
        <w:rPr>
          <w:rFonts w:ascii="Arial" w:hAnsi="Arial" w:cs="Arial"/>
          <w:b/>
          <w:bCs/>
        </w:rPr>
        <w:t xml:space="preserve">zaměstnanosti </w:t>
      </w:r>
      <w:r w:rsidRPr="00E04C25">
        <w:rPr>
          <w:rFonts w:ascii="Arial" w:hAnsi="Arial" w:cs="Arial"/>
        </w:rPr>
        <w:t>v </w:t>
      </w:r>
      <w:r w:rsidRPr="00E04C25">
        <w:rPr>
          <w:rFonts w:ascii="Arial" w:hAnsi="Arial" w:cs="Arial"/>
          <w:b/>
        </w:rPr>
        <w:t xml:space="preserve">průmyslu, </w:t>
      </w:r>
      <w:r w:rsidRPr="00E04C25">
        <w:rPr>
          <w:rFonts w:ascii="Arial" w:hAnsi="Arial" w:cs="Arial"/>
        </w:rPr>
        <w:t xml:space="preserve">kde </w:t>
      </w:r>
      <w:r w:rsidRPr="00E04C25">
        <w:rPr>
          <w:rFonts w:ascii="Arial" w:hAnsi="Arial" w:cs="Arial"/>
          <w:bCs/>
        </w:rPr>
        <w:t xml:space="preserve">vzrostl počet pracujících </w:t>
      </w:r>
      <w:r w:rsidRPr="00E04C25">
        <w:rPr>
          <w:rFonts w:ascii="Arial" w:hAnsi="Arial" w:cs="Arial"/>
        </w:rPr>
        <w:t>o 2</w:t>
      </w:r>
      <w:r w:rsidR="004B7717" w:rsidRPr="00E04C25">
        <w:rPr>
          <w:rFonts w:ascii="Arial" w:hAnsi="Arial" w:cs="Arial"/>
        </w:rPr>
        <w:t>5</w:t>
      </w:r>
      <w:r w:rsidRPr="00E04C25">
        <w:rPr>
          <w:rFonts w:ascii="Arial" w:hAnsi="Arial" w:cs="Arial"/>
        </w:rPr>
        <w:t>,</w:t>
      </w:r>
      <w:r w:rsidR="004B7717" w:rsidRPr="00E04C25">
        <w:rPr>
          <w:rFonts w:ascii="Arial" w:hAnsi="Arial" w:cs="Arial"/>
        </w:rPr>
        <w:t>2</w:t>
      </w:r>
      <w:r w:rsidRPr="00E04C25">
        <w:rPr>
          <w:rFonts w:ascii="Arial" w:hAnsi="Arial" w:cs="Arial"/>
        </w:rPr>
        <w:t xml:space="preserve"> tis. na </w:t>
      </w:r>
      <w:r w:rsidRPr="00E04C25">
        <w:rPr>
          <w:rFonts w:ascii="Arial" w:hAnsi="Arial" w:cs="Arial"/>
          <w:b/>
          <w:bCs/>
        </w:rPr>
        <w:t>1 5</w:t>
      </w:r>
      <w:r w:rsidR="004B7717" w:rsidRPr="00E04C25">
        <w:rPr>
          <w:rFonts w:ascii="Arial" w:hAnsi="Arial" w:cs="Arial"/>
          <w:b/>
          <w:bCs/>
        </w:rPr>
        <w:t>95</w:t>
      </w:r>
      <w:r w:rsidRPr="00E04C25">
        <w:rPr>
          <w:rFonts w:ascii="Arial" w:hAnsi="Arial" w:cs="Arial"/>
          <w:b/>
          <w:bCs/>
        </w:rPr>
        <w:t>,</w:t>
      </w:r>
      <w:r w:rsidR="004B7717" w:rsidRPr="00E04C25">
        <w:rPr>
          <w:rFonts w:ascii="Arial" w:hAnsi="Arial" w:cs="Arial"/>
          <w:b/>
          <w:bCs/>
        </w:rPr>
        <w:t>0</w:t>
      </w:r>
      <w:r w:rsidRPr="00E04C25">
        <w:rPr>
          <w:rFonts w:ascii="Arial" w:hAnsi="Arial" w:cs="Arial"/>
          <w:b/>
          <w:bCs/>
        </w:rPr>
        <w:t xml:space="preserve"> tis.</w:t>
      </w:r>
      <w:r w:rsidRPr="00E04C25">
        <w:rPr>
          <w:rFonts w:ascii="Arial" w:hAnsi="Arial" w:cs="Arial"/>
          <w:bCs/>
        </w:rPr>
        <w:t xml:space="preserve">, </w:t>
      </w:r>
      <w:r w:rsidRPr="00E04C25">
        <w:rPr>
          <w:rFonts w:ascii="Arial" w:hAnsi="Arial" w:cs="Arial"/>
          <w:b/>
          <w:bCs/>
        </w:rPr>
        <w:t>p</w:t>
      </w:r>
      <w:r w:rsidRPr="00E04C25">
        <w:rPr>
          <w:rFonts w:ascii="Arial" w:hAnsi="Arial" w:cs="Arial"/>
          <w:b/>
        </w:rPr>
        <w:t>odíl průmyslu</w:t>
      </w:r>
      <w:r w:rsidRPr="00E04C25">
        <w:rPr>
          <w:rFonts w:ascii="Arial" w:hAnsi="Arial" w:cs="Arial"/>
        </w:rPr>
        <w:t xml:space="preserve"> na celkové zaměstnanosti </w:t>
      </w:r>
      <w:r w:rsidR="009935AC" w:rsidRPr="00E04C25">
        <w:rPr>
          <w:rFonts w:ascii="Arial" w:hAnsi="Arial" w:cs="Arial"/>
        </w:rPr>
        <w:t>zůstal na hodnotě</w:t>
      </w:r>
      <w:r w:rsidRPr="00E04C25">
        <w:rPr>
          <w:rFonts w:ascii="Arial" w:hAnsi="Arial" w:cs="Arial"/>
          <w:b/>
        </w:rPr>
        <w:t xml:space="preserve"> </w:t>
      </w:r>
      <w:r w:rsidR="004B7717" w:rsidRPr="00E04C25">
        <w:rPr>
          <w:rFonts w:ascii="Arial" w:hAnsi="Arial" w:cs="Arial"/>
          <w:b/>
        </w:rPr>
        <w:t>30,5</w:t>
      </w:r>
      <w:r w:rsidRPr="00E04C25">
        <w:rPr>
          <w:rFonts w:ascii="Arial" w:hAnsi="Arial" w:cs="Arial"/>
          <w:b/>
        </w:rPr>
        <w:t> %</w:t>
      </w:r>
      <w:r w:rsidRPr="00E04C25">
        <w:rPr>
          <w:rFonts w:ascii="Arial" w:hAnsi="Arial" w:cs="Arial"/>
        </w:rPr>
        <w:t xml:space="preserve">. </w:t>
      </w:r>
      <w:r w:rsidRPr="00E04C25">
        <w:rPr>
          <w:rFonts w:ascii="Arial" w:hAnsi="Arial" w:cs="Arial"/>
          <w:b/>
          <w:bCs/>
        </w:rPr>
        <w:t>K nárůstu přispěl zejména z</w:t>
      </w:r>
      <w:r w:rsidRPr="00E04C25">
        <w:rPr>
          <w:rFonts w:ascii="Arial" w:hAnsi="Arial" w:cs="Arial"/>
          <w:b/>
        </w:rPr>
        <w:t>pracovatelský průmysl</w:t>
      </w:r>
      <w:r w:rsidRPr="00E04C25">
        <w:rPr>
          <w:rFonts w:ascii="Arial" w:hAnsi="Arial" w:cs="Arial"/>
        </w:rPr>
        <w:t xml:space="preserve"> (zvýšení o 26,</w:t>
      </w:r>
      <w:r w:rsidR="004B7717" w:rsidRPr="00E04C25">
        <w:rPr>
          <w:rFonts w:ascii="Arial" w:hAnsi="Arial" w:cs="Arial"/>
        </w:rPr>
        <w:t>2</w:t>
      </w:r>
      <w:r w:rsidRPr="00E04C25">
        <w:rPr>
          <w:rFonts w:ascii="Arial" w:hAnsi="Arial" w:cs="Arial"/>
        </w:rPr>
        <w:t> tis. na 1 4</w:t>
      </w:r>
      <w:r w:rsidR="00CF383E" w:rsidRPr="00E04C25">
        <w:rPr>
          <w:rFonts w:ascii="Arial" w:hAnsi="Arial" w:cs="Arial"/>
        </w:rPr>
        <w:t>54</w:t>
      </w:r>
      <w:r w:rsidRPr="00E04C25">
        <w:rPr>
          <w:rFonts w:ascii="Arial" w:hAnsi="Arial" w:cs="Arial"/>
        </w:rPr>
        <w:t>,</w:t>
      </w:r>
      <w:r w:rsidR="00CF383E" w:rsidRPr="00E04C25">
        <w:rPr>
          <w:rFonts w:ascii="Arial" w:hAnsi="Arial" w:cs="Arial"/>
        </w:rPr>
        <w:t>9</w:t>
      </w:r>
      <w:r w:rsidRPr="00E04C25">
        <w:rPr>
          <w:rFonts w:ascii="Arial" w:hAnsi="Arial" w:cs="Arial"/>
        </w:rPr>
        <w:t> tis.</w:t>
      </w:r>
      <w:r w:rsidR="00CF383E" w:rsidRPr="00E04C25">
        <w:rPr>
          <w:rFonts w:ascii="Arial" w:hAnsi="Arial" w:cs="Arial"/>
        </w:rPr>
        <w:t> </w:t>
      </w:r>
      <w:r w:rsidRPr="00E04C25">
        <w:rPr>
          <w:rFonts w:ascii="Arial" w:hAnsi="Arial" w:cs="Arial"/>
        </w:rPr>
        <w:t>osob),</w:t>
      </w:r>
      <w:r w:rsidRPr="00E04C25">
        <w:rPr>
          <w:rFonts w:ascii="Arial" w:hAnsi="Arial" w:cs="Arial"/>
          <w:szCs w:val="20"/>
        </w:rPr>
        <w:t xml:space="preserve"> zaměstnanost naopak poklesla v sekci těžba a dobývání (o </w:t>
      </w:r>
      <w:r w:rsidR="004B7717" w:rsidRPr="00E04C25">
        <w:rPr>
          <w:rFonts w:ascii="Arial" w:hAnsi="Arial" w:cs="Arial"/>
          <w:szCs w:val="20"/>
        </w:rPr>
        <w:t>5</w:t>
      </w:r>
      <w:r w:rsidRPr="00E04C25">
        <w:rPr>
          <w:rFonts w:ascii="Arial" w:hAnsi="Arial" w:cs="Arial"/>
          <w:szCs w:val="20"/>
        </w:rPr>
        <w:t>,</w:t>
      </w:r>
      <w:r w:rsidR="004B7717" w:rsidRPr="00E04C25">
        <w:rPr>
          <w:rFonts w:ascii="Arial" w:hAnsi="Arial" w:cs="Arial"/>
          <w:szCs w:val="20"/>
        </w:rPr>
        <w:t>9</w:t>
      </w:r>
      <w:r w:rsidRPr="00E04C25">
        <w:rPr>
          <w:rFonts w:ascii="Arial" w:hAnsi="Arial" w:cs="Arial"/>
          <w:szCs w:val="20"/>
        </w:rPr>
        <w:t xml:space="preserve"> tis.) a nepatrně také v sekci výroba a rozvod elektřiny, plynu, tepla. </w:t>
      </w:r>
    </w:p>
    <w:p w:rsidR="00A33CFE" w:rsidRPr="00E04C25" w:rsidRDefault="00A33CFE" w:rsidP="00A33CFE">
      <w:pPr>
        <w:spacing w:line="360" w:lineRule="auto"/>
        <w:ind w:firstLine="720"/>
        <w:jc w:val="both"/>
        <w:rPr>
          <w:rFonts w:ascii="Arial" w:hAnsi="Arial" w:cs="Arial"/>
          <w:bCs/>
        </w:rPr>
      </w:pPr>
      <w:r w:rsidRPr="00E04C25">
        <w:rPr>
          <w:rFonts w:ascii="Arial" w:hAnsi="Arial" w:cs="Arial"/>
        </w:rPr>
        <w:t xml:space="preserve">Po dlouholetém poklesu ve </w:t>
      </w:r>
      <w:r w:rsidRPr="00E04C25">
        <w:rPr>
          <w:rFonts w:ascii="Arial" w:hAnsi="Arial" w:cs="Arial"/>
          <w:b/>
        </w:rPr>
        <w:t>stavebnictví</w:t>
      </w:r>
      <w:r w:rsidRPr="00E04C25">
        <w:rPr>
          <w:rFonts w:ascii="Arial" w:hAnsi="Arial" w:cs="Arial"/>
        </w:rPr>
        <w:t xml:space="preserve"> se zaměstnanost v tomto odvětví meziročně </w:t>
      </w:r>
      <w:r w:rsidRPr="00E04C25">
        <w:rPr>
          <w:rFonts w:ascii="Arial" w:hAnsi="Arial" w:cs="Arial"/>
          <w:b/>
        </w:rPr>
        <w:t xml:space="preserve">zvýšila </w:t>
      </w:r>
      <w:r w:rsidRPr="00E04C25">
        <w:rPr>
          <w:rFonts w:ascii="Arial" w:hAnsi="Arial" w:cs="Arial"/>
        </w:rPr>
        <w:t>o </w:t>
      </w:r>
      <w:r w:rsidR="001F3453" w:rsidRPr="00E04C25">
        <w:rPr>
          <w:rFonts w:ascii="Arial" w:hAnsi="Arial" w:cs="Arial"/>
        </w:rPr>
        <w:t>5</w:t>
      </w:r>
      <w:r w:rsidRPr="00E04C25">
        <w:rPr>
          <w:rFonts w:ascii="Arial" w:hAnsi="Arial" w:cs="Arial"/>
        </w:rPr>
        <w:t>,</w:t>
      </w:r>
      <w:r w:rsidR="001F3453" w:rsidRPr="00E04C25">
        <w:rPr>
          <w:rFonts w:ascii="Arial" w:hAnsi="Arial" w:cs="Arial"/>
        </w:rPr>
        <w:t>6</w:t>
      </w:r>
      <w:r w:rsidRPr="00E04C25">
        <w:rPr>
          <w:rFonts w:ascii="Arial" w:hAnsi="Arial" w:cs="Arial"/>
        </w:rPr>
        <w:t xml:space="preserve"> tis. </w:t>
      </w:r>
      <w:r w:rsidRPr="00E04C25">
        <w:rPr>
          <w:rFonts w:ascii="Arial" w:hAnsi="Arial" w:cs="Arial"/>
          <w:b/>
        </w:rPr>
        <w:t>na 3</w:t>
      </w:r>
      <w:r w:rsidR="001F3453" w:rsidRPr="00E04C25">
        <w:rPr>
          <w:rFonts w:ascii="Arial" w:hAnsi="Arial" w:cs="Arial"/>
          <w:b/>
        </w:rPr>
        <w:t>91</w:t>
      </w:r>
      <w:r w:rsidRPr="00E04C25">
        <w:rPr>
          <w:rFonts w:ascii="Arial" w:hAnsi="Arial" w:cs="Arial"/>
          <w:b/>
        </w:rPr>
        <w:t>,</w:t>
      </w:r>
      <w:r w:rsidR="001F3453" w:rsidRPr="00E04C25">
        <w:rPr>
          <w:rFonts w:ascii="Arial" w:hAnsi="Arial" w:cs="Arial"/>
          <w:b/>
        </w:rPr>
        <w:t>9</w:t>
      </w:r>
      <w:r w:rsidRPr="00E04C25">
        <w:rPr>
          <w:rFonts w:ascii="Arial" w:hAnsi="Arial" w:cs="Arial"/>
          <w:b/>
        </w:rPr>
        <w:t xml:space="preserve"> tis. osob. Podíl</w:t>
      </w:r>
      <w:r w:rsidRPr="00E04C25">
        <w:rPr>
          <w:rFonts w:ascii="Arial" w:hAnsi="Arial" w:cs="Arial"/>
        </w:rPr>
        <w:t xml:space="preserve"> stavebnictví na celkové zaměstnanosti </w:t>
      </w:r>
      <w:r w:rsidR="00CF383E" w:rsidRPr="00E04C25">
        <w:rPr>
          <w:rFonts w:ascii="Arial" w:hAnsi="Arial" w:cs="Arial"/>
        </w:rPr>
        <w:t xml:space="preserve">také </w:t>
      </w:r>
      <w:r w:rsidR="001F3453" w:rsidRPr="00E04C25">
        <w:rPr>
          <w:rFonts w:ascii="Arial" w:hAnsi="Arial" w:cs="Arial"/>
        </w:rPr>
        <w:t>zůstal na úrovni</w:t>
      </w:r>
      <w:r w:rsidRPr="00E04C25">
        <w:rPr>
          <w:rFonts w:ascii="Arial" w:hAnsi="Arial" w:cs="Arial"/>
        </w:rPr>
        <w:t xml:space="preserve"> </w:t>
      </w:r>
      <w:r w:rsidRPr="00E04C25">
        <w:rPr>
          <w:rFonts w:ascii="Arial" w:hAnsi="Arial" w:cs="Arial"/>
          <w:b/>
        </w:rPr>
        <w:t>7,5 %</w:t>
      </w:r>
      <w:r w:rsidRPr="00E04C25">
        <w:rPr>
          <w:rFonts w:ascii="Arial" w:hAnsi="Arial" w:cs="Arial"/>
        </w:rPr>
        <w:t xml:space="preserve">. </w:t>
      </w:r>
    </w:p>
    <w:p w:rsidR="00762875" w:rsidRPr="00E04C25" w:rsidRDefault="00783BFD" w:rsidP="00783BFD">
      <w:pPr>
        <w:tabs>
          <w:tab w:val="left" w:pos="709"/>
        </w:tabs>
        <w:spacing w:line="360" w:lineRule="auto"/>
        <w:jc w:val="both"/>
        <w:rPr>
          <w:rFonts w:ascii="Arial" w:hAnsi="Arial" w:cs="Arial"/>
          <w:bCs/>
        </w:rPr>
      </w:pPr>
      <w:r w:rsidRPr="00E04C25">
        <w:rPr>
          <w:rFonts w:ascii="Arial" w:hAnsi="Arial" w:cs="Arial"/>
          <w:b/>
          <w:bCs/>
        </w:rPr>
        <w:tab/>
      </w:r>
      <w:r w:rsidR="00762875" w:rsidRPr="00E04C25">
        <w:rPr>
          <w:rFonts w:ascii="Arial" w:hAnsi="Arial" w:cs="Arial"/>
          <w:bCs/>
        </w:rPr>
        <w:t>Celkový vývoj zaměstnanosti pozitivně ovlivnil</w:t>
      </w:r>
      <w:r w:rsidR="00762875" w:rsidRPr="00E04C25">
        <w:rPr>
          <w:rFonts w:ascii="Arial" w:hAnsi="Arial" w:cs="Arial"/>
          <w:b/>
          <w:bCs/>
        </w:rPr>
        <w:t xml:space="preserve"> </w:t>
      </w:r>
      <w:r w:rsidR="00762875" w:rsidRPr="00E04C25">
        <w:rPr>
          <w:rFonts w:ascii="Arial" w:hAnsi="Arial" w:cs="Arial"/>
          <w:bCs/>
        </w:rPr>
        <w:t>i vývoj zaměstnanosti</w:t>
      </w:r>
      <w:r w:rsidR="00762875" w:rsidRPr="00E04C25">
        <w:rPr>
          <w:rFonts w:ascii="Arial" w:hAnsi="Arial" w:cs="Arial"/>
          <w:b/>
          <w:bCs/>
        </w:rPr>
        <w:t xml:space="preserve"> v terciárním sektoru služeb, </w:t>
      </w:r>
      <w:r w:rsidR="00762875" w:rsidRPr="00E04C25">
        <w:rPr>
          <w:rFonts w:ascii="Arial" w:hAnsi="Arial" w:cs="Arial"/>
          <w:bCs/>
        </w:rPr>
        <w:t xml:space="preserve">kde </w:t>
      </w:r>
      <w:r w:rsidR="005D5407" w:rsidRPr="00E04C25">
        <w:rPr>
          <w:rFonts w:ascii="Arial" w:hAnsi="Arial" w:cs="Arial"/>
          <w:bCs/>
        </w:rPr>
        <w:t>zaměstnanost</w:t>
      </w:r>
      <w:r w:rsidR="00762875" w:rsidRPr="00E04C25">
        <w:rPr>
          <w:rFonts w:ascii="Arial" w:hAnsi="Arial" w:cs="Arial"/>
          <w:b/>
          <w:bCs/>
        </w:rPr>
        <w:t xml:space="preserve"> </w:t>
      </w:r>
      <w:r w:rsidR="005D5407" w:rsidRPr="00E04C25">
        <w:rPr>
          <w:rFonts w:ascii="Arial" w:hAnsi="Arial" w:cs="Arial"/>
          <w:b/>
          <w:bCs/>
        </w:rPr>
        <w:t>vzrostla</w:t>
      </w:r>
      <w:r w:rsidR="00762875" w:rsidRPr="00E04C25">
        <w:rPr>
          <w:rFonts w:ascii="Arial" w:hAnsi="Arial" w:cs="Arial"/>
          <w:b/>
          <w:bCs/>
        </w:rPr>
        <w:t xml:space="preserve"> </w:t>
      </w:r>
      <w:r w:rsidR="00762875" w:rsidRPr="00E04C25">
        <w:rPr>
          <w:rFonts w:ascii="Arial" w:hAnsi="Arial" w:cs="Arial"/>
          <w:bCs/>
        </w:rPr>
        <w:t xml:space="preserve">o </w:t>
      </w:r>
      <w:r w:rsidR="00CF14E3" w:rsidRPr="00E04C25">
        <w:rPr>
          <w:rFonts w:ascii="Arial" w:hAnsi="Arial" w:cs="Arial"/>
          <w:bCs/>
        </w:rPr>
        <w:t>5</w:t>
      </w:r>
      <w:r w:rsidR="001F3453" w:rsidRPr="00E04C25">
        <w:rPr>
          <w:rFonts w:ascii="Arial" w:hAnsi="Arial" w:cs="Arial"/>
          <w:bCs/>
        </w:rPr>
        <w:t>4</w:t>
      </w:r>
      <w:r w:rsidR="00762875" w:rsidRPr="00E04C25">
        <w:rPr>
          <w:rFonts w:ascii="Arial" w:hAnsi="Arial" w:cs="Arial"/>
          <w:bCs/>
        </w:rPr>
        <w:t>,</w:t>
      </w:r>
      <w:r w:rsidR="001F3453" w:rsidRPr="00E04C25">
        <w:rPr>
          <w:rFonts w:ascii="Arial" w:hAnsi="Arial" w:cs="Arial"/>
          <w:bCs/>
        </w:rPr>
        <w:t>7</w:t>
      </w:r>
      <w:r w:rsidR="00762875" w:rsidRPr="00E04C25">
        <w:rPr>
          <w:rFonts w:ascii="Arial" w:hAnsi="Arial" w:cs="Arial"/>
          <w:bCs/>
        </w:rPr>
        <w:t xml:space="preserve"> tis.</w:t>
      </w:r>
      <w:r w:rsidR="00762875" w:rsidRPr="00E04C25">
        <w:rPr>
          <w:rFonts w:ascii="Arial" w:hAnsi="Arial" w:cs="Arial"/>
          <w:b/>
          <w:bCs/>
        </w:rPr>
        <w:t xml:space="preserve"> </w:t>
      </w:r>
      <w:r w:rsidR="00762875" w:rsidRPr="00E04C25">
        <w:rPr>
          <w:rFonts w:ascii="Arial" w:hAnsi="Arial" w:cs="Arial"/>
          <w:b/>
        </w:rPr>
        <w:t>na</w:t>
      </w:r>
      <w:r w:rsidR="00762875" w:rsidRPr="00E04C25">
        <w:rPr>
          <w:rFonts w:ascii="Arial" w:hAnsi="Arial" w:cs="Arial"/>
          <w:b/>
          <w:bCs/>
        </w:rPr>
        <w:t xml:space="preserve"> </w:t>
      </w:r>
      <w:r w:rsidR="00CF14E3" w:rsidRPr="00E04C25">
        <w:rPr>
          <w:rFonts w:ascii="Arial" w:hAnsi="Arial" w:cs="Arial"/>
          <w:b/>
          <w:bCs/>
        </w:rPr>
        <w:t>3</w:t>
      </w:r>
      <w:r w:rsidR="00762875" w:rsidRPr="00E04C25">
        <w:rPr>
          <w:rFonts w:ascii="Arial" w:hAnsi="Arial" w:cs="Arial"/>
          <w:b/>
          <w:bCs/>
        </w:rPr>
        <w:t> </w:t>
      </w:r>
      <w:r w:rsidR="00CF14E3" w:rsidRPr="00E04C25">
        <w:rPr>
          <w:rFonts w:ascii="Arial" w:hAnsi="Arial" w:cs="Arial"/>
          <w:b/>
          <w:bCs/>
        </w:rPr>
        <w:t>0</w:t>
      </w:r>
      <w:r w:rsidR="001F3453" w:rsidRPr="00E04C25">
        <w:rPr>
          <w:rFonts w:ascii="Arial" w:hAnsi="Arial" w:cs="Arial"/>
          <w:b/>
          <w:bCs/>
        </w:rPr>
        <w:t>87</w:t>
      </w:r>
      <w:r w:rsidR="00762875" w:rsidRPr="00E04C25">
        <w:rPr>
          <w:rFonts w:ascii="Arial" w:hAnsi="Arial" w:cs="Arial"/>
          <w:b/>
          <w:bCs/>
        </w:rPr>
        <w:t>,</w:t>
      </w:r>
      <w:r w:rsidR="001F3453" w:rsidRPr="00E04C25">
        <w:rPr>
          <w:rFonts w:ascii="Arial" w:hAnsi="Arial" w:cs="Arial"/>
          <w:b/>
          <w:bCs/>
        </w:rPr>
        <w:t>5</w:t>
      </w:r>
      <w:r w:rsidR="00762875" w:rsidRPr="00E04C25">
        <w:rPr>
          <w:rFonts w:ascii="Arial" w:hAnsi="Arial" w:cs="Arial"/>
          <w:b/>
          <w:bCs/>
        </w:rPr>
        <w:t> tis. osob</w:t>
      </w:r>
      <w:r w:rsidR="00762875" w:rsidRPr="00E04C25">
        <w:rPr>
          <w:rFonts w:ascii="Arial" w:hAnsi="Arial" w:cs="Arial"/>
          <w:bCs/>
        </w:rPr>
        <w:t xml:space="preserve">. </w:t>
      </w:r>
      <w:r w:rsidR="00CF383E" w:rsidRPr="00E04C25">
        <w:rPr>
          <w:rFonts w:ascii="Arial" w:hAnsi="Arial" w:cs="Arial"/>
          <w:b/>
          <w:bCs/>
        </w:rPr>
        <w:t>V</w:t>
      </w:r>
      <w:r w:rsidR="00762875" w:rsidRPr="00E04C25">
        <w:rPr>
          <w:rFonts w:ascii="Arial" w:hAnsi="Arial" w:cs="Arial"/>
          <w:b/>
          <w:bCs/>
        </w:rPr>
        <w:t>zrostla</w:t>
      </w:r>
      <w:r w:rsidR="00762875" w:rsidRPr="00E04C25">
        <w:rPr>
          <w:rFonts w:ascii="Arial" w:hAnsi="Arial" w:cs="Arial"/>
          <w:bCs/>
        </w:rPr>
        <w:t xml:space="preserve"> zejména v sekci </w:t>
      </w:r>
      <w:r w:rsidR="006E19E9" w:rsidRPr="00E04C25">
        <w:rPr>
          <w:rFonts w:ascii="Arial" w:hAnsi="Arial" w:cs="Arial"/>
          <w:b/>
          <w:bCs/>
        </w:rPr>
        <w:t>profesní, vědecké a technické činnosti</w:t>
      </w:r>
      <w:r w:rsidR="006E19E9" w:rsidRPr="00E04C25">
        <w:rPr>
          <w:rFonts w:ascii="Arial" w:hAnsi="Arial" w:cs="Arial"/>
          <w:bCs/>
        </w:rPr>
        <w:t xml:space="preserve"> (o 15,1 tis), </w:t>
      </w:r>
      <w:r w:rsidR="006E19E9" w:rsidRPr="00E04C25">
        <w:rPr>
          <w:rFonts w:ascii="Arial" w:hAnsi="Arial" w:cs="Arial"/>
          <w:b/>
          <w:bCs/>
        </w:rPr>
        <w:t>zdravotní a sociální péče</w:t>
      </w:r>
      <w:r w:rsidR="006E19E9" w:rsidRPr="00E04C25">
        <w:rPr>
          <w:rFonts w:ascii="Arial" w:hAnsi="Arial" w:cs="Arial"/>
          <w:bCs/>
        </w:rPr>
        <w:t xml:space="preserve"> (o 14,9 tis.) a </w:t>
      </w:r>
      <w:r w:rsidR="00FB6CE0" w:rsidRPr="00E04C25">
        <w:rPr>
          <w:rFonts w:ascii="Arial" w:hAnsi="Arial" w:cs="Arial"/>
          <w:b/>
          <w:bCs/>
        </w:rPr>
        <w:t>doprava a skladování</w:t>
      </w:r>
      <w:r w:rsidR="00FB6CE0" w:rsidRPr="00E04C25">
        <w:rPr>
          <w:rFonts w:ascii="Arial" w:hAnsi="Arial" w:cs="Arial"/>
          <w:bCs/>
        </w:rPr>
        <w:t xml:space="preserve"> (o 1</w:t>
      </w:r>
      <w:r w:rsidR="006E19E9" w:rsidRPr="00E04C25">
        <w:rPr>
          <w:rFonts w:ascii="Arial" w:hAnsi="Arial" w:cs="Arial"/>
          <w:bCs/>
        </w:rPr>
        <w:t>4</w:t>
      </w:r>
      <w:r w:rsidR="00FB6CE0" w:rsidRPr="00E04C25">
        <w:rPr>
          <w:rFonts w:ascii="Arial" w:hAnsi="Arial" w:cs="Arial"/>
          <w:bCs/>
        </w:rPr>
        <w:t>,</w:t>
      </w:r>
      <w:r w:rsidR="006E19E9" w:rsidRPr="00E04C25">
        <w:rPr>
          <w:rFonts w:ascii="Arial" w:hAnsi="Arial" w:cs="Arial"/>
          <w:bCs/>
        </w:rPr>
        <w:t>2</w:t>
      </w:r>
      <w:r w:rsidR="00FB6CE0" w:rsidRPr="00E04C25">
        <w:rPr>
          <w:rFonts w:ascii="Arial" w:hAnsi="Arial" w:cs="Arial"/>
          <w:bCs/>
        </w:rPr>
        <w:t> tis.)</w:t>
      </w:r>
      <w:r w:rsidR="006E19E9" w:rsidRPr="00E04C25">
        <w:rPr>
          <w:rFonts w:ascii="Arial" w:hAnsi="Arial" w:cs="Arial"/>
          <w:bCs/>
        </w:rPr>
        <w:t xml:space="preserve">. </w:t>
      </w:r>
      <w:r w:rsidR="00725E3C" w:rsidRPr="00E04C25">
        <w:rPr>
          <w:rFonts w:ascii="Arial" w:hAnsi="Arial" w:cs="Arial"/>
          <w:bCs/>
        </w:rPr>
        <w:t xml:space="preserve">Zaměstnanost </w:t>
      </w:r>
      <w:r w:rsidR="006E19E9" w:rsidRPr="00E04C25">
        <w:rPr>
          <w:rFonts w:ascii="Arial" w:hAnsi="Arial" w:cs="Arial"/>
          <w:bCs/>
        </w:rPr>
        <w:t>zaznamenala</w:t>
      </w:r>
      <w:r w:rsidR="00FB6CE0" w:rsidRPr="00E04C25">
        <w:rPr>
          <w:rFonts w:ascii="Arial" w:hAnsi="Arial" w:cs="Arial"/>
          <w:bCs/>
        </w:rPr>
        <w:t xml:space="preserve"> </w:t>
      </w:r>
      <w:r w:rsidR="00FB6CE0" w:rsidRPr="00E04C25">
        <w:rPr>
          <w:rFonts w:ascii="Arial" w:hAnsi="Arial" w:cs="Arial"/>
          <w:b/>
          <w:bCs/>
        </w:rPr>
        <w:t>pokles</w:t>
      </w:r>
      <w:r w:rsidR="00FB6CE0" w:rsidRPr="00E04C25">
        <w:rPr>
          <w:rFonts w:ascii="Arial" w:hAnsi="Arial" w:cs="Arial"/>
          <w:bCs/>
        </w:rPr>
        <w:t xml:space="preserve"> </w:t>
      </w:r>
      <w:r w:rsidR="006E19E9" w:rsidRPr="00E04C25">
        <w:rPr>
          <w:rFonts w:ascii="Arial" w:hAnsi="Arial" w:cs="Arial"/>
          <w:bCs/>
        </w:rPr>
        <w:t xml:space="preserve">v sekci </w:t>
      </w:r>
      <w:r w:rsidR="00FB6CE0" w:rsidRPr="00E04C25">
        <w:rPr>
          <w:rFonts w:ascii="Arial" w:hAnsi="Arial" w:cs="Arial"/>
          <w:b/>
          <w:bCs/>
        </w:rPr>
        <w:t xml:space="preserve">ubytování, stravování </w:t>
      </w:r>
      <w:r w:rsidR="00FB6CE0" w:rsidRPr="00E04C25">
        <w:rPr>
          <w:rFonts w:ascii="Arial" w:hAnsi="Arial" w:cs="Arial"/>
          <w:b/>
          <w:bCs/>
        </w:rPr>
        <w:lastRenderedPageBreak/>
        <w:t>a pohostinství</w:t>
      </w:r>
      <w:r w:rsidR="00FB6CE0" w:rsidRPr="00E04C25">
        <w:rPr>
          <w:rFonts w:ascii="Arial" w:hAnsi="Arial" w:cs="Arial"/>
          <w:bCs/>
        </w:rPr>
        <w:t xml:space="preserve"> (o</w:t>
      </w:r>
      <w:r w:rsidR="00725E3C" w:rsidRPr="00E04C25">
        <w:rPr>
          <w:rFonts w:ascii="Arial" w:hAnsi="Arial" w:cs="Arial"/>
          <w:bCs/>
        </w:rPr>
        <w:t> </w:t>
      </w:r>
      <w:r w:rsidR="00FB6CE0" w:rsidRPr="00E04C25">
        <w:rPr>
          <w:rFonts w:ascii="Arial" w:hAnsi="Arial" w:cs="Arial"/>
          <w:bCs/>
        </w:rPr>
        <w:t>1</w:t>
      </w:r>
      <w:r w:rsidR="006E19E9" w:rsidRPr="00E04C25">
        <w:rPr>
          <w:rFonts w:ascii="Arial" w:hAnsi="Arial" w:cs="Arial"/>
          <w:bCs/>
        </w:rPr>
        <w:t>0</w:t>
      </w:r>
      <w:r w:rsidR="00FB6CE0" w:rsidRPr="00E04C25">
        <w:rPr>
          <w:rFonts w:ascii="Arial" w:hAnsi="Arial" w:cs="Arial"/>
          <w:bCs/>
        </w:rPr>
        <w:t>,</w:t>
      </w:r>
      <w:r w:rsidR="006E19E9" w:rsidRPr="00E04C25">
        <w:rPr>
          <w:rFonts w:ascii="Arial" w:hAnsi="Arial" w:cs="Arial"/>
          <w:bCs/>
        </w:rPr>
        <w:t>4</w:t>
      </w:r>
      <w:r w:rsidR="00725E3C" w:rsidRPr="00E04C25">
        <w:rPr>
          <w:rFonts w:ascii="Arial" w:hAnsi="Arial" w:cs="Arial"/>
          <w:bCs/>
        </w:rPr>
        <w:t> </w:t>
      </w:r>
      <w:r w:rsidR="00FB6CE0" w:rsidRPr="00E04C25">
        <w:rPr>
          <w:rFonts w:ascii="Arial" w:hAnsi="Arial" w:cs="Arial"/>
          <w:bCs/>
        </w:rPr>
        <w:t>tis.)</w:t>
      </w:r>
      <w:r w:rsidR="00C73472">
        <w:rPr>
          <w:rFonts w:ascii="Arial" w:hAnsi="Arial" w:cs="Arial"/>
          <w:bCs/>
        </w:rPr>
        <w:t>,</w:t>
      </w:r>
      <w:r w:rsidR="00725E3C" w:rsidRPr="00E04C25">
        <w:rPr>
          <w:rFonts w:ascii="Arial" w:hAnsi="Arial" w:cs="Arial"/>
          <w:bCs/>
        </w:rPr>
        <w:t> </w:t>
      </w:r>
      <w:r w:rsidR="00762875" w:rsidRPr="00E04C25">
        <w:rPr>
          <w:rFonts w:ascii="Arial" w:hAnsi="Arial" w:cs="Arial"/>
          <w:b/>
          <w:bCs/>
        </w:rPr>
        <w:t>velkoobchod a maloobchod, opravy motorových vozidel</w:t>
      </w:r>
      <w:r w:rsidR="00762875" w:rsidRPr="00E04C25">
        <w:rPr>
          <w:rFonts w:ascii="Arial" w:hAnsi="Arial" w:cs="Arial"/>
          <w:bCs/>
        </w:rPr>
        <w:t xml:space="preserve"> (o </w:t>
      </w:r>
      <w:r w:rsidR="006E19E9" w:rsidRPr="00E04C25">
        <w:rPr>
          <w:rFonts w:ascii="Arial" w:hAnsi="Arial" w:cs="Arial"/>
          <w:bCs/>
        </w:rPr>
        <w:t>5</w:t>
      </w:r>
      <w:r w:rsidR="00762875" w:rsidRPr="00E04C25">
        <w:rPr>
          <w:rFonts w:ascii="Arial" w:hAnsi="Arial" w:cs="Arial"/>
          <w:bCs/>
        </w:rPr>
        <w:t>,</w:t>
      </w:r>
      <w:r w:rsidR="006E19E9" w:rsidRPr="00E04C25">
        <w:rPr>
          <w:rFonts w:ascii="Arial" w:hAnsi="Arial" w:cs="Arial"/>
          <w:bCs/>
        </w:rPr>
        <w:t>7</w:t>
      </w:r>
      <w:r w:rsidR="00762875" w:rsidRPr="00E04C25">
        <w:rPr>
          <w:rFonts w:ascii="Arial" w:hAnsi="Arial" w:cs="Arial"/>
          <w:bCs/>
        </w:rPr>
        <w:t> tis.)</w:t>
      </w:r>
      <w:r w:rsidR="00C73472">
        <w:rPr>
          <w:rFonts w:ascii="Arial" w:hAnsi="Arial" w:cs="Arial"/>
          <w:bCs/>
        </w:rPr>
        <w:t xml:space="preserve"> a </w:t>
      </w:r>
      <w:r w:rsidR="00C73472" w:rsidRPr="00C73472">
        <w:rPr>
          <w:rFonts w:ascii="Arial" w:hAnsi="Arial" w:cs="Arial"/>
          <w:b/>
          <w:bCs/>
        </w:rPr>
        <w:t>peněžnictví a pojišťovnictví</w:t>
      </w:r>
      <w:r w:rsidR="00C73472">
        <w:rPr>
          <w:rFonts w:ascii="Arial" w:hAnsi="Arial" w:cs="Arial"/>
          <w:bCs/>
        </w:rPr>
        <w:t xml:space="preserve"> </w:t>
      </w:r>
      <w:r w:rsidR="00C73472" w:rsidRPr="00E04C25">
        <w:rPr>
          <w:rFonts w:ascii="Arial" w:hAnsi="Arial" w:cs="Arial"/>
          <w:bCs/>
        </w:rPr>
        <w:t>(o </w:t>
      </w:r>
      <w:r w:rsidR="00C73472">
        <w:rPr>
          <w:rFonts w:ascii="Arial" w:hAnsi="Arial" w:cs="Arial"/>
          <w:bCs/>
        </w:rPr>
        <w:t>2</w:t>
      </w:r>
      <w:r w:rsidR="00C73472" w:rsidRPr="00E04C25">
        <w:rPr>
          <w:rFonts w:ascii="Arial" w:hAnsi="Arial" w:cs="Arial"/>
          <w:bCs/>
        </w:rPr>
        <w:t>,</w:t>
      </w:r>
      <w:r w:rsidR="00C73472">
        <w:rPr>
          <w:rFonts w:ascii="Arial" w:hAnsi="Arial" w:cs="Arial"/>
          <w:bCs/>
        </w:rPr>
        <w:t>2</w:t>
      </w:r>
      <w:r w:rsidR="00C73472" w:rsidRPr="00E04C25">
        <w:rPr>
          <w:rFonts w:ascii="Arial" w:hAnsi="Arial" w:cs="Arial"/>
          <w:bCs/>
        </w:rPr>
        <w:t> tis.)</w:t>
      </w:r>
      <w:r w:rsidR="00762875" w:rsidRPr="00E04C25">
        <w:rPr>
          <w:rFonts w:ascii="Arial" w:hAnsi="Arial" w:cs="Arial"/>
        </w:rPr>
        <w:t xml:space="preserve">. </w:t>
      </w:r>
    </w:p>
    <w:p w:rsidR="00762875" w:rsidRPr="00E04C25" w:rsidRDefault="00783BFD" w:rsidP="00783BFD">
      <w:pPr>
        <w:tabs>
          <w:tab w:val="left" w:pos="709"/>
        </w:tabs>
        <w:spacing w:line="360" w:lineRule="auto"/>
        <w:jc w:val="both"/>
        <w:rPr>
          <w:rFonts w:ascii="Arial" w:hAnsi="Arial" w:cs="Arial"/>
          <w:b/>
        </w:rPr>
      </w:pPr>
      <w:r w:rsidRPr="00E04C25">
        <w:rPr>
          <w:rFonts w:ascii="Arial" w:hAnsi="Arial" w:cs="Arial"/>
          <w:b/>
          <w:bCs/>
        </w:rPr>
        <w:tab/>
      </w:r>
      <w:r w:rsidR="00762875" w:rsidRPr="00E04C25">
        <w:rPr>
          <w:rFonts w:ascii="Arial" w:hAnsi="Arial" w:cs="Arial"/>
          <w:b/>
          <w:bCs/>
        </w:rPr>
        <w:t>Podíl</w:t>
      </w:r>
      <w:r w:rsidR="00762875" w:rsidRPr="00E04C25">
        <w:rPr>
          <w:rFonts w:ascii="Arial" w:hAnsi="Arial" w:cs="Arial"/>
        </w:rPr>
        <w:t xml:space="preserve"> </w:t>
      </w:r>
      <w:r w:rsidR="00762875" w:rsidRPr="00E04C25">
        <w:rPr>
          <w:rFonts w:ascii="Arial" w:hAnsi="Arial" w:cs="Arial"/>
          <w:b/>
          <w:bCs/>
        </w:rPr>
        <w:t>terciárního sektoru</w:t>
      </w:r>
      <w:r w:rsidR="00762875" w:rsidRPr="00E04C25">
        <w:rPr>
          <w:rFonts w:ascii="Arial" w:hAnsi="Arial" w:cs="Arial"/>
        </w:rPr>
        <w:t xml:space="preserve"> na celkové zaměstnanosti </w:t>
      </w:r>
      <w:r w:rsidR="00762875" w:rsidRPr="00E04C25">
        <w:rPr>
          <w:rFonts w:ascii="Arial" w:hAnsi="Arial" w:cs="Arial"/>
          <w:b/>
        </w:rPr>
        <w:t>se</w:t>
      </w:r>
      <w:r w:rsidR="00762875" w:rsidRPr="00E04C25">
        <w:rPr>
          <w:rFonts w:ascii="Arial" w:hAnsi="Arial" w:cs="Arial"/>
        </w:rPr>
        <w:t xml:space="preserve"> </w:t>
      </w:r>
      <w:r w:rsidR="006E19E9" w:rsidRPr="00E04C25">
        <w:rPr>
          <w:rFonts w:ascii="Arial" w:hAnsi="Arial" w:cs="Arial"/>
        </w:rPr>
        <w:t xml:space="preserve">nepatrně zvýšil na </w:t>
      </w:r>
      <w:r w:rsidR="00762875" w:rsidRPr="00E04C25">
        <w:rPr>
          <w:rFonts w:ascii="Arial" w:hAnsi="Arial" w:cs="Arial"/>
          <w:b/>
          <w:bCs/>
        </w:rPr>
        <w:t>59,</w:t>
      </w:r>
      <w:r w:rsidR="006E19E9" w:rsidRPr="00E04C25">
        <w:rPr>
          <w:rFonts w:ascii="Arial" w:hAnsi="Arial" w:cs="Arial"/>
          <w:b/>
          <w:bCs/>
        </w:rPr>
        <w:t>1</w:t>
      </w:r>
      <w:r w:rsidR="00762875" w:rsidRPr="00E04C25">
        <w:rPr>
          <w:rFonts w:ascii="Arial" w:hAnsi="Arial" w:cs="Arial"/>
          <w:b/>
          <w:bCs/>
        </w:rPr>
        <w:t> %</w:t>
      </w:r>
      <w:r w:rsidR="00CF383E" w:rsidRPr="00E04C25">
        <w:rPr>
          <w:rFonts w:ascii="Arial" w:hAnsi="Arial" w:cs="Arial"/>
          <w:b/>
          <w:bCs/>
        </w:rPr>
        <w:t xml:space="preserve"> </w:t>
      </w:r>
      <w:r w:rsidR="00CF383E" w:rsidRPr="00E04C25">
        <w:rPr>
          <w:rFonts w:ascii="Arial" w:hAnsi="Arial" w:cs="Arial"/>
          <w:bCs/>
        </w:rPr>
        <w:t>(o 0,1 p. b.)</w:t>
      </w:r>
      <w:r w:rsidR="00762875" w:rsidRPr="00E04C25">
        <w:rPr>
          <w:rFonts w:ascii="Arial" w:hAnsi="Arial" w:cs="Arial"/>
          <w:b/>
          <w:bCs/>
        </w:rPr>
        <w:t>.</w:t>
      </w:r>
      <w:r w:rsidR="00762875" w:rsidRPr="00E04C25">
        <w:rPr>
          <w:rFonts w:ascii="Arial" w:hAnsi="Arial" w:cs="Arial"/>
        </w:rPr>
        <w:t xml:space="preserve"> </w:t>
      </w:r>
    </w:p>
    <w:p w:rsidR="00762875" w:rsidRPr="00E04C25" w:rsidRDefault="00783BFD" w:rsidP="00783BFD">
      <w:pPr>
        <w:tabs>
          <w:tab w:val="left" w:pos="709"/>
        </w:tabs>
        <w:spacing w:line="360" w:lineRule="auto"/>
        <w:jc w:val="both"/>
        <w:rPr>
          <w:rFonts w:ascii="Arial" w:hAnsi="Arial" w:cs="Arial"/>
          <w:bCs/>
        </w:rPr>
      </w:pPr>
      <w:r w:rsidRPr="00E04C25">
        <w:rPr>
          <w:rFonts w:ascii="Arial" w:hAnsi="Arial" w:cs="Arial"/>
          <w:b/>
          <w:bCs/>
        </w:rPr>
        <w:tab/>
      </w:r>
      <w:r w:rsidR="003A7087" w:rsidRPr="00E04C25">
        <w:rPr>
          <w:rFonts w:ascii="Arial" w:hAnsi="Arial" w:cs="Arial"/>
          <w:bCs/>
        </w:rPr>
        <w:t xml:space="preserve">Podíl sekundárního sektoru v </w:t>
      </w:r>
      <w:r w:rsidR="00762875" w:rsidRPr="00E04C25">
        <w:rPr>
          <w:rFonts w:ascii="Arial" w:hAnsi="Arial" w:cs="Arial"/>
          <w:bCs/>
        </w:rPr>
        <w:t xml:space="preserve">ČR </w:t>
      </w:r>
      <w:r w:rsidR="003A7087" w:rsidRPr="00E04C25">
        <w:rPr>
          <w:rFonts w:ascii="Arial" w:hAnsi="Arial" w:cs="Arial"/>
          <w:bCs/>
        </w:rPr>
        <w:t xml:space="preserve">dosahuje nejvyšší úrovně ze všech států EU, </w:t>
      </w:r>
      <w:r w:rsidR="004B153E" w:rsidRPr="00E04C25">
        <w:rPr>
          <w:rFonts w:ascii="Arial" w:hAnsi="Arial" w:cs="Arial"/>
          <w:bCs/>
        </w:rPr>
        <w:t>naopak</w:t>
      </w:r>
      <w:r w:rsidR="003A7087" w:rsidRPr="00E04C25">
        <w:rPr>
          <w:rFonts w:ascii="Arial" w:hAnsi="Arial" w:cs="Arial"/>
          <w:bCs/>
        </w:rPr>
        <w:t xml:space="preserve"> ČR </w:t>
      </w:r>
      <w:r w:rsidR="00762875" w:rsidRPr="00E04C25">
        <w:rPr>
          <w:rFonts w:ascii="Arial" w:hAnsi="Arial" w:cs="Arial"/>
          <w:bCs/>
        </w:rPr>
        <w:t xml:space="preserve">patří stále ke státům s nejnižším podílem </w:t>
      </w:r>
      <w:r w:rsidR="003A7087" w:rsidRPr="00E04C25">
        <w:rPr>
          <w:rFonts w:ascii="Arial" w:hAnsi="Arial" w:cs="Arial"/>
          <w:bCs/>
        </w:rPr>
        <w:t xml:space="preserve">terciárního </w:t>
      </w:r>
      <w:r w:rsidR="00762875" w:rsidRPr="00E04C25">
        <w:rPr>
          <w:rFonts w:ascii="Arial" w:hAnsi="Arial" w:cs="Arial"/>
          <w:bCs/>
        </w:rPr>
        <w:t>sektoru</w:t>
      </w:r>
      <w:r w:rsidR="00762875" w:rsidRPr="00E04C25">
        <w:rPr>
          <w:rFonts w:ascii="Arial" w:hAnsi="Arial" w:cs="Arial"/>
        </w:rPr>
        <w:t xml:space="preserve"> </w:t>
      </w:r>
      <w:r w:rsidR="004B153E" w:rsidRPr="00E04C25">
        <w:rPr>
          <w:rFonts w:ascii="Arial" w:hAnsi="Arial" w:cs="Arial"/>
          <w:bCs/>
        </w:rPr>
        <w:t>na celkové zaměstnanosti.</w:t>
      </w:r>
    </w:p>
    <w:p w:rsidR="00A12770" w:rsidRPr="00E04C25" w:rsidRDefault="00783BFD" w:rsidP="00783BFD">
      <w:pPr>
        <w:tabs>
          <w:tab w:val="left" w:pos="709"/>
        </w:tabs>
        <w:spacing w:line="360" w:lineRule="auto"/>
        <w:jc w:val="both"/>
        <w:rPr>
          <w:rFonts w:ascii="Arial" w:hAnsi="Arial" w:cs="Arial"/>
        </w:rPr>
      </w:pPr>
      <w:r w:rsidRPr="00E04C25">
        <w:rPr>
          <w:rFonts w:ascii="Arial" w:hAnsi="Arial" w:cs="Arial"/>
        </w:rPr>
        <w:tab/>
      </w:r>
      <w:r w:rsidR="00D20823" w:rsidRPr="00E04C25">
        <w:rPr>
          <w:rFonts w:ascii="Arial" w:hAnsi="Arial" w:cs="Arial"/>
        </w:rPr>
        <w:t xml:space="preserve">Změny zaměstnanosti </w:t>
      </w:r>
      <w:r w:rsidR="00CF383E" w:rsidRPr="00E04C25">
        <w:rPr>
          <w:rFonts w:ascii="Arial" w:hAnsi="Arial" w:cs="Arial"/>
        </w:rPr>
        <w:t xml:space="preserve">uvnitř sektorů </w:t>
      </w:r>
      <w:r w:rsidR="00D20823" w:rsidRPr="00E04C25">
        <w:rPr>
          <w:rFonts w:ascii="Arial" w:hAnsi="Arial" w:cs="Arial"/>
        </w:rPr>
        <w:t xml:space="preserve">ovlivnily i strukturu zaměstnanosti podle </w:t>
      </w:r>
      <w:r w:rsidR="00D20823" w:rsidRPr="00E04C25">
        <w:rPr>
          <w:rFonts w:ascii="Arial" w:hAnsi="Arial" w:cs="Arial"/>
          <w:b/>
        </w:rPr>
        <w:t>vykonávaného zaměstnání</w:t>
      </w:r>
      <w:r w:rsidR="00D20823" w:rsidRPr="00E04C25">
        <w:rPr>
          <w:rFonts w:ascii="Arial" w:hAnsi="Arial" w:cs="Arial"/>
        </w:rPr>
        <w:t xml:space="preserve"> (klasifikace zaměstnání CZ-ISCO). </w:t>
      </w:r>
      <w:r w:rsidR="00D20823" w:rsidRPr="00E04C25">
        <w:rPr>
          <w:rFonts w:ascii="Arial" w:hAnsi="Arial" w:cs="Arial"/>
          <w:b/>
        </w:rPr>
        <w:t>Počet zaměstnaných se nejvíce snížil</w:t>
      </w:r>
      <w:r w:rsidR="00D20823" w:rsidRPr="00E04C25">
        <w:rPr>
          <w:rFonts w:ascii="Arial" w:hAnsi="Arial" w:cs="Arial"/>
        </w:rPr>
        <w:t xml:space="preserve"> ve třídě 1 -  </w:t>
      </w:r>
      <w:r w:rsidR="00D20823" w:rsidRPr="00E04C25">
        <w:rPr>
          <w:rFonts w:ascii="Arial" w:hAnsi="Arial" w:cs="Arial"/>
          <w:b/>
        </w:rPr>
        <w:t>zákonodárci a řídící pracovníci</w:t>
      </w:r>
      <w:r w:rsidR="00D20823" w:rsidRPr="00E04C25">
        <w:rPr>
          <w:rFonts w:ascii="Arial" w:hAnsi="Arial" w:cs="Arial"/>
        </w:rPr>
        <w:t xml:space="preserve"> (o 18,9 tis.). </w:t>
      </w:r>
      <w:r w:rsidR="00480BAB" w:rsidRPr="00E04C25">
        <w:rPr>
          <w:rFonts w:ascii="Arial" w:hAnsi="Arial" w:cs="Arial"/>
        </w:rPr>
        <w:t>V některých profesích se již projevuje nedostatek volné pracovní síly</w:t>
      </w:r>
      <w:r w:rsidR="00D20823" w:rsidRPr="00E04C25">
        <w:rPr>
          <w:rFonts w:ascii="Arial" w:hAnsi="Arial" w:cs="Arial"/>
        </w:rPr>
        <w:t xml:space="preserve">, </w:t>
      </w:r>
      <w:r w:rsidR="00AC6C16" w:rsidRPr="00E04C25">
        <w:rPr>
          <w:rFonts w:ascii="Arial" w:hAnsi="Arial" w:cs="Arial"/>
        </w:rPr>
        <w:t xml:space="preserve">což brání růstu zaměstnanosti: </w:t>
      </w:r>
      <w:r w:rsidR="00D20823" w:rsidRPr="00E04C25">
        <w:rPr>
          <w:rFonts w:ascii="Arial" w:hAnsi="Arial" w:cs="Arial"/>
        </w:rPr>
        <w:t xml:space="preserve">poklesly počty pracujících v zaměstnáních spadajících do třídy 7 - </w:t>
      </w:r>
      <w:r w:rsidR="00D20823" w:rsidRPr="00E04C25">
        <w:rPr>
          <w:rFonts w:ascii="Arial" w:hAnsi="Arial" w:cs="Arial"/>
          <w:b/>
        </w:rPr>
        <w:t>řemeslníci a opraváři</w:t>
      </w:r>
      <w:r w:rsidR="00D20823" w:rsidRPr="00E04C25">
        <w:rPr>
          <w:rFonts w:ascii="Arial" w:hAnsi="Arial" w:cs="Arial"/>
        </w:rPr>
        <w:t xml:space="preserve"> (o 3,4 tis.) a třídy 9 - </w:t>
      </w:r>
      <w:r w:rsidR="00D20823" w:rsidRPr="00E04C25">
        <w:rPr>
          <w:rFonts w:ascii="Arial" w:hAnsi="Arial" w:cs="Arial"/>
          <w:b/>
        </w:rPr>
        <w:t>pomocní a</w:t>
      </w:r>
      <w:r w:rsidR="00AC6C16" w:rsidRPr="00E04C25">
        <w:rPr>
          <w:rFonts w:ascii="Arial" w:hAnsi="Arial" w:cs="Arial"/>
          <w:b/>
        </w:rPr>
        <w:t> </w:t>
      </w:r>
      <w:r w:rsidR="00D20823" w:rsidRPr="00E04C25">
        <w:rPr>
          <w:rFonts w:ascii="Arial" w:hAnsi="Arial" w:cs="Arial"/>
          <w:b/>
        </w:rPr>
        <w:t>nekvalifikovaní pracovníci</w:t>
      </w:r>
      <w:r w:rsidR="00D20823" w:rsidRPr="00E04C25">
        <w:rPr>
          <w:rFonts w:ascii="Arial" w:hAnsi="Arial" w:cs="Arial"/>
        </w:rPr>
        <w:t xml:space="preserve"> (o</w:t>
      </w:r>
      <w:r w:rsidR="00CF383E" w:rsidRPr="00E04C25">
        <w:rPr>
          <w:rFonts w:ascii="Arial" w:hAnsi="Arial" w:cs="Arial"/>
        </w:rPr>
        <w:t> </w:t>
      </w:r>
      <w:r w:rsidR="00D20823" w:rsidRPr="00E04C25">
        <w:rPr>
          <w:rFonts w:ascii="Arial" w:hAnsi="Arial" w:cs="Arial"/>
        </w:rPr>
        <w:t>7,6 tis.)</w:t>
      </w:r>
      <w:r w:rsidR="00725E3C" w:rsidRPr="00E04C25">
        <w:rPr>
          <w:rFonts w:ascii="Arial" w:hAnsi="Arial" w:cs="Arial"/>
        </w:rPr>
        <w:t xml:space="preserve">. </w:t>
      </w:r>
      <w:r w:rsidR="00762875" w:rsidRPr="00E04C25">
        <w:rPr>
          <w:rFonts w:ascii="Arial" w:hAnsi="Arial" w:cs="Arial"/>
        </w:rPr>
        <w:t xml:space="preserve">Největší nárůst zaměstnanosti byl zaznamenán ve třídě </w:t>
      </w:r>
      <w:r w:rsidR="006B7C35" w:rsidRPr="00E04C25">
        <w:rPr>
          <w:rFonts w:ascii="Arial" w:hAnsi="Arial" w:cs="Arial"/>
        </w:rPr>
        <w:t xml:space="preserve">3 - </w:t>
      </w:r>
      <w:r w:rsidR="006B7C35" w:rsidRPr="00E04C25">
        <w:rPr>
          <w:rFonts w:ascii="Arial" w:hAnsi="Arial" w:cs="Arial"/>
          <w:b/>
        </w:rPr>
        <w:t>techničtí a odborní pracovníci</w:t>
      </w:r>
      <w:r w:rsidR="006B7C35" w:rsidRPr="00E04C25">
        <w:rPr>
          <w:rFonts w:ascii="Arial" w:hAnsi="Arial" w:cs="Arial"/>
        </w:rPr>
        <w:t xml:space="preserve"> (o </w:t>
      </w:r>
      <w:r w:rsidR="00D20823" w:rsidRPr="00E04C25">
        <w:rPr>
          <w:rFonts w:ascii="Arial" w:hAnsi="Arial" w:cs="Arial"/>
        </w:rPr>
        <w:t>45,8</w:t>
      </w:r>
      <w:r w:rsidR="006B7C35" w:rsidRPr="00E04C25">
        <w:rPr>
          <w:rFonts w:ascii="Arial" w:hAnsi="Arial" w:cs="Arial"/>
        </w:rPr>
        <w:t> tis.)</w:t>
      </w:r>
      <w:r w:rsidR="00D20823" w:rsidRPr="00E04C25">
        <w:rPr>
          <w:rFonts w:ascii="Arial" w:hAnsi="Arial" w:cs="Arial"/>
        </w:rPr>
        <w:t xml:space="preserve"> a </w:t>
      </w:r>
      <w:r w:rsidR="00E73332" w:rsidRPr="00E04C25">
        <w:rPr>
          <w:rFonts w:ascii="Arial" w:hAnsi="Arial" w:cs="Arial"/>
        </w:rPr>
        <w:t xml:space="preserve">ve </w:t>
      </w:r>
      <w:r w:rsidR="006B7C35" w:rsidRPr="00E04C25">
        <w:rPr>
          <w:rFonts w:ascii="Arial" w:hAnsi="Arial" w:cs="Arial"/>
        </w:rPr>
        <w:t xml:space="preserve">třídě </w:t>
      </w:r>
      <w:r w:rsidR="00E73332" w:rsidRPr="00E04C25">
        <w:rPr>
          <w:rFonts w:ascii="Arial" w:hAnsi="Arial" w:cs="Arial"/>
        </w:rPr>
        <w:t xml:space="preserve">            </w:t>
      </w:r>
      <w:r w:rsidR="00D20823" w:rsidRPr="00E04C25">
        <w:rPr>
          <w:rFonts w:ascii="Arial" w:hAnsi="Arial" w:cs="Arial"/>
        </w:rPr>
        <w:t>4</w:t>
      </w:r>
      <w:r w:rsidR="006B7C35" w:rsidRPr="00E04C25">
        <w:rPr>
          <w:rFonts w:ascii="Arial" w:hAnsi="Arial" w:cs="Arial"/>
        </w:rPr>
        <w:t xml:space="preserve"> </w:t>
      </w:r>
      <w:r w:rsidR="00D20823" w:rsidRPr="00E04C25">
        <w:rPr>
          <w:rFonts w:ascii="Arial" w:hAnsi="Arial" w:cs="Arial"/>
        </w:rPr>
        <w:t>-</w:t>
      </w:r>
      <w:r w:rsidR="006B7C35" w:rsidRPr="00E04C25">
        <w:rPr>
          <w:rFonts w:ascii="Arial" w:hAnsi="Arial" w:cs="Arial"/>
        </w:rPr>
        <w:t xml:space="preserve"> </w:t>
      </w:r>
      <w:r w:rsidR="00D20823" w:rsidRPr="00E04C25">
        <w:rPr>
          <w:rFonts w:ascii="Arial" w:hAnsi="Arial" w:cs="Arial"/>
          <w:b/>
        </w:rPr>
        <w:t>úředníci</w:t>
      </w:r>
      <w:r w:rsidR="00A12770" w:rsidRPr="00E04C25">
        <w:rPr>
          <w:rFonts w:ascii="Arial" w:hAnsi="Arial" w:cs="Arial"/>
        </w:rPr>
        <w:t xml:space="preserve"> (o 3</w:t>
      </w:r>
      <w:r w:rsidR="006B7C35" w:rsidRPr="00E04C25">
        <w:rPr>
          <w:rFonts w:ascii="Arial" w:hAnsi="Arial" w:cs="Arial"/>
        </w:rPr>
        <w:t>3,0 tis.)</w:t>
      </w:r>
      <w:r w:rsidR="00A12770" w:rsidRPr="00E04C25">
        <w:rPr>
          <w:rFonts w:ascii="Arial" w:hAnsi="Arial" w:cs="Arial"/>
        </w:rPr>
        <w:t>.</w:t>
      </w:r>
    </w:p>
    <w:p w:rsidR="00A12770" w:rsidRPr="00E04C25" w:rsidRDefault="00725E3C" w:rsidP="00256114">
      <w:pPr>
        <w:tabs>
          <w:tab w:val="left" w:pos="709"/>
        </w:tabs>
        <w:spacing w:line="360" w:lineRule="auto"/>
        <w:jc w:val="both"/>
        <w:rPr>
          <w:rFonts w:ascii="Arial" w:hAnsi="Arial" w:cs="Arial"/>
          <w:sz w:val="16"/>
          <w:szCs w:val="16"/>
        </w:rPr>
      </w:pPr>
      <w:r w:rsidRPr="00E04C25">
        <w:rPr>
          <w:rFonts w:ascii="Arial" w:hAnsi="Arial" w:cs="Arial"/>
        </w:rPr>
        <w:tab/>
      </w:r>
    </w:p>
    <w:p w:rsidR="00762875" w:rsidRPr="00E04C25" w:rsidRDefault="00762875" w:rsidP="00AE65A5">
      <w:pPr>
        <w:tabs>
          <w:tab w:val="left" w:pos="709"/>
        </w:tabs>
        <w:jc w:val="center"/>
        <w:rPr>
          <w:rFonts w:ascii="Arial" w:hAnsi="Arial" w:cs="Arial"/>
          <w:b/>
        </w:rPr>
      </w:pPr>
      <w:r w:rsidRPr="00E04C25">
        <w:rPr>
          <w:rFonts w:ascii="Arial" w:hAnsi="Arial" w:cs="Arial"/>
          <w:b/>
        </w:rPr>
        <w:t>Struktura zaměstnanosti podle klasifikace zaměstnání (CZ-ISCO)</w:t>
      </w:r>
    </w:p>
    <w:p w:rsidR="00762875" w:rsidRPr="00E04C25" w:rsidRDefault="00762875" w:rsidP="00AE65A5">
      <w:pPr>
        <w:tabs>
          <w:tab w:val="left" w:pos="709"/>
        </w:tabs>
        <w:ind w:firstLine="720"/>
        <w:jc w:val="center"/>
        <w:rPr>
          <w:rFonts w:ascii="Arial" w:hAnsi="Arial" w:cs="Arial"/>
          <w:sz w:val="20"/>
          <w:szCs w:val="20"/>
        </w:rPr>
      </w:pP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t xml:space="preserve">tab. č. </w:t>
      </w:r>
      <w:r w:rsidR="00AC1001" w:rsidRPr="00E04C25">
        <w:rPr>
          <w:rFonts w:ascii="Arial" w:hAnsi="Arial" w:cs="Arial"/>
          <w:sz w:val="20"/>
          <w:szCs w:val="20"/>
        </w:rPr>
        <w:t>8</w:t>
      </w:r>
    </w:p>
    <w:tbl>
      <w:tblPr>
        <w:tblW w:w="9020" w:type="dxa"/>
        <w:tblInd w:w="65" w:type="dxa"/>
        <w:tblCellMar>
          <w:left w:w="70" w:type="dxa"/>
          <w:right w:w="70" w:type="dxa"/>
        </w:tblCellMar>
        <w:tblLook w:val="0000"/>
      </w:tblPr>
      <w:tblGrid>
        <w:gridCol w:w="290"/>
        <w:gridCol w:w="3543"/>
        <w:gridCol w:w="992"/>
        <w:gridCol w:w="851"/>
        <w:gridCol w:w="850"/>
        <w:gridCol w:w="850"/>
        <w:gridCol w:w="824"/>
        <w:gridCol w:w="820"/>
      </w:tblGrid>
      <w:tr w:rsidR="00EC746A" w:rsidRPr="00E04C25" w:rsidTr="00EC746A">
        <w:trPr>
          <w:trHeight w:val="345"/>
        </w:trPr>
        <w:tc>
          <w:tcPr>
            <w:tcW w:w="3833" w:type="dxa"/>
            <w:gridSpan w:val="2"/>
            <w:vMerge w:val="restart"/>
            <w:tcBorders>
              <w:top w:val="double" w:sz="6" w:space="0" w:color="auto"/>
              <w:left w:val="double" w:sz="6" w:space="0" w:color="auto"/>
              <w:right w:val="single" w:sz="4" w:space="0" w:color="auto"/>
            </w:tcBorders>
            <w:shd w:val="clear" w:color="auto" w:fill="auto"/>
            <w:vAlign w:val="center"/>
          </w:tcPr>
          <w:p w:rsidR="00EC746A" w:rsidRPr="00E04C25" w:rsidRDefault="00EC746A" w:rsidP="00AE65A5">
            <w:pPr>
              <w:tabs>
                <w:tab w:val="left" w:pos="709"/>
              </w:tabs>
              <w:jc w:val="center"/>
              <w:rPr>
                <w:rFonts w:ascii="Arial" w:hAnsi="Arial" w:cs="Arial"/>
                <w:b/>
                <w:bCs/>
                <w:sz w:val="20"/>
                <w:szCs w:val="20"/>
              </w:rPr>
            </w:pPr>
            <w:r w:rsidRPr="00E04C25">
              <w:rPr>
                <w:rFonts w:ascii="Arial" w:hAnsi="Arial" w:cs="Arial"/>
                <w:b/>
                <w:bCs/>
                <w:sz w:val="20"/>
                <w:szCs w:val="20"/>
              </w:rPr>
              <w:t>Zaměstnaní v NH</w:t>
            </w:r>
          </w:p>
        </w:tc>
        <w:tc>
          <w:tcPr>
            <w:tcW w:w="1843" w:type="dxa"/>
            <w:gridSpan w:val="2"/>
            <w:tcBorders>
              <w:top w:val="double" w:sz="6" w:space="0" w:color="auto"/>
              <w:left w:val="nil"/>
              <w:bottom w:val="single" w:sz="4" w:space="0" w:color="auto"/>
              <w:right w:val="single" w:sz="4" w:space="0" w:color="auto"/>
            </w:tcBorders>
            <w:shd w:val="clear" w:color="auto" w:fill="auto"/>
            <w:noWrap/>
            <w:vAlign w:val="center"/>
          </w:tcPr>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2016</w:t>
            </w:r>
          </w:p>
        </w:tc>
        <w:tc>
          <w:tcPr>
            <w:tcW w:w="1700" w:type="dxa"/>
            <w:gridSpan w:val="2"/>
            <w:tcBorders>
              <w:top w:val="double" w:sz="6" w:space="0" w:color="auto"/>
              <w:left w:val="nil"/>
              <w:bottom w:val="single" w:sz="4" w:space="0" w:color="auto"/>
              <w:right w:val="single" w:sz="4" w:space="0" w:color="auto"/>
            </w:tcBorders>
            <w:shd w:val="clear" w:color="auto" w:fill="auto"/>
            <w:noWrap/>
            <w:vAlign w:val="center"/>
          </w:tcPr>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2017</w:t>
            </w:r>
          </w:p>
        </w:tc>
        <w:tc>
          <w:tcPr>
            <w:tcW w:w="824" w:type="dxa"/>
            <w:vMerge w:val="restart"/>
            <w:tcBorders>
              <w:top w:val="double" w:sz="6" w:space="0" w:color="auto"/>
              <w:left w:val="nil"/>
              <w:right w:val="single" w:sz="4" w:space="0" w:color="auto"/>
            </w:tcBorders>
            <w:shd w:val="clear" w:color="auto" w:fill="auto"/>
            <w:vAlign w:val="center"/>
          </w:tcPr>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rozdíl</w:t>
            </w:r>
          </w:p>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17-16</w:t>
            </w:r>
          </w:p>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(tis.)</w:t>
            </w:r>
          </w:p>
        </w:tc>
        <w:tc>
          <w:tcPr>
            <w:tcW w:w="820" w:type="dxa"/>
            <w:vMerge w:val="restart"/>
            <w:tcBorders>
              <w:top w:val="double" w:sz="6" w:space="0" w:color="auto"/>
              <w:left w:val="nil"/>
              <w:right w:val="double" w:sz="6" w:space="0" w:color="auto"/>
            </w:tcBorders>
            <w:shd w:val="clear" w:color="auto" w:fill="auto"/>
            <w:vAlign w:val="center"/>
          </w:tcPr>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index</w:t>
            </w:r>
          </w:p>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 xml:space="preserve">17/16 </w:t>
            </w:r>
            <w:r w:rsidRPr="00E04C25">
              <w:rPr>
                <w:rFonts w:ascii="Arial" w:hAnsi="Arial" w:cs="Arial"/>
                <w:b/>
                <w:sz w:val="20"/>
                <w:szCs w:val="20"/>
              </w:rPr>
              <w:t>(%)</w:t>
            </w:r>
          </w:p>
        </w:tc>
      </w:tr>
      <w:tr w:rsidR="009515CF" w:rsidRPr="00E04C25" w:rsidTr="00762875">
        <w:trPr>
          <w:trHeight w:val="345"/>
        </w:trPr>
        <w:tc>
          <w:tcPr>
            <w:tcW w:w="3833" w:type="dxa"/>
            <w:gridSpan w:val="2"/>
            <w:vMerge/>
            <w:tcBorders>
              <w:left w:val="double" w:sz="6" w:space="0" w:color="auto"/>
              <w:bottom w:val="single" w:sz="4" w:space="0" w:color="auto"/>
              <w:right w:val="single" w:sz="4" w:space="0" w:color="auto"/>
            </w:tcBorders>
            <w:shd w:val="clear" w:color="auto" w:fill="auto"/>
            <w:vAlign w:val="center"/>
          </w:tcPr>
          <w:p w:rsidR="00762875" w:rsidRPr="00E04C25" w:rsidRDefault="00762875" w:rsidP="00AE65A5">
            <w:pPr>
              <w:tabs>
                <w:tab w:val="left" w:pos="709"/>
              </w:tabs>
              <w:jc w:val="center"/>
              <w:rPr>
                <w:rFonts w:ascii="Arial" w:hAnsi="Arial" w:cs="Arial"/>
                <w:b/>
                <w:bCs/>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v tis.</w:t>
            </w:r>
          </w:p>
        </w:tc>
        <w:tc>
          <w:tcPr>
            <w:tcW w:w="851" w:type="dxa"/>
            <w:tcBorders>
              <w:top w:val="nil"/>
              <w:left w:val="nil"/>
              <w:bottom w:val="single" w:sz="4" w:space="0" w:color="auto"/>
              <w:right w:val="single" w:sz="4" w:space="0" w:color="auto"/>
            </w:tcBorders>
            <w:shd w:val="clear" w:color="auto" w:fill="auto"/>
            <w:noWrap/>
            <w:vAlign w:val="bottom"/>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w:t>
            </w:r>
          </w:p>
        </w:tc>
        <w:tc>
          <w:tcPr>
            <w:tcW w:w="850" w:type="dxa"/>
            <w:tcBorders>
              <w:top w:val="nil"/>
              <w:left w:val="nil"/>
              <w:bottom w:val="single" w:sz="4" w:space="0" w:color="auto"/>
              <w:right w:val="single" w:sz="4" w:space="0" w:color="auto"/>
            </w:tcBorders>
            <w:shd w:val="clear" w:color="auto" w:fill="auto"/>
            <w:noWrap/>
            <w:vAlign w:val="bottom"/>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v tis.</w:t>
            </w:r>
          </w:p>
        </w:tc>
        <w:tc>
          <w:tcPr>
            <w:tcW w:w="850" w:type="dxa"/>
            <w:tcBorders>
              <w:top w:val="nil"/>
              <w:left w:val="nil"/>
              <w:bottom w:val="single" w:sz="4" w:space="0" w:color="auto"/>
              <w:right w:val="single" w:sz="4" w:space="0" w:color="auto"/>
            </w:tcBorders>
            <w:shd w:val="clear" w:color="auto" w:fill="auto"/>
            <w:noWrap/>
            <w:vAlign w:val="bottom"/>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w:t>
            </w:r>
          </w:p>
        </w:tc>
        <w:tc>
          <w:tcPr>
            <w:tcW w:w="824" w:type="dxa"/>
            <w:vMerge/>
            <w:tcBorders>
              <w:left w:val="nil"/>
              <w:bottom w:val="single" w:sz="4" w:space="0" w:color="auto"/>
              <w:right w:val="single" w:sz="4" w:space="0" w:color="auto"/>
            </w:tcBorders>
            <w:shd w:val="clear" w:color="auto" w:fill="auto"/>
            <w:vAlign w:val="bottom"/>
          </w:tcPr>
          <w:p w:rsidR="00762875" w:rsidRPr="00E04C25" w:rsidRDefault="00762875" w:rsidP="00AE65A5">
            <w:pPr>
              <w:tabs>
                <w:tab w:val="left" w:pos="709"/>
              </w:tabs>
              <w:jc w:val="center"/>
              <w:rPr>
                <w:rFonts w:ascii="Arial" w:hAnsi="Arial" w:cs="Arial"/>
                <w:b/>
                <w:bCs/>
                <w:sz w:val="20"/>
                <w:szCs w:val="20"/>
              </w:rPr>
            </w:pPr>
          </w:p>
        </w:tc>
        <w:tc>
          <w:tcPr>
            <w:tcW w:w="820" w:type="dxa"/>
            <w:vMerge/>
            <w:tcBorders>
              <w:left w:val="nil"/>
              <w:bottom w:val="single" w:sz="4" w:space="0" w:color="auto"/>
              <w:right w:val="double" w:sz="6" w:space="0" w:color="auto"/>
            </w:tcBorders>
            <w:shd w:val="clear" w:color="auto" w:fill="auto"/>
            <w:vAlign w:val="bottom"/>
          </w:tcPr>
          <w:p w:rsidR="00762875" w:rsidRPr="00E04C25" w:rsidRDefault="00762875" w:rsidP="00AE65A5">
            <w:pPr>
              <w:tabs>
                <w:tab w:val="left" w:pos="709"/>
              </w:tabs>
              <w:jc w:val="center"/>
              <w:rPr>
                <w:rFonts w:ascii="Arial" w:hAnsi="Arial" w:cs="Arial"/>
                <w:b/>
                <w:bCs/>
                <w:sz w:val="20"/>
                <w:szCs w:val="20"/>
              </w:rPr>
            </w:pPr>
          </w:p>
        </w:tc>
      </w:tr>
      <w:tr w:rsidR="00B462CB" w:rsidRPr="00E04C25" w:rsidTr="00762875">
        <w:trPr>
          <w:trHeight w:val="345"/>
        </w:trPr>
        <w:tc>
          <w:tcPr>
            <w:tcW w:w="3833" w:type="dxa"/>
            <w:gridSpan w:val="2"/>
            <w:tcBorders>
              <w:top w:val="single" w:sz="4" w:space="0" w:color="auto"/>
              <w:left w:val="double" w:sz="6" w:space="0" w:color="auto"/>
              <w:bottom w:val="single" w:sz="4" w:space="0" w:color="auto"/>
              <w:right w:val="single" w:sz="4" w:space="0" w:color="auto"/>
            </w:tcBorders>
            <w:shd w:val="clear" w:color="auto" w:fill="auto"/>
            <w:vAlign w:val="center"/>
          </w:tcPr>
          <w:p w:rsidR="00B462CB" w:rsidRPr="00E04C25" w:rsidRDefault="00B462CB" w:rsidP="00AE65A5">
            <w:pPr>
              <w:tabs>
                <w:tab w:val="left" w:pos="709"/>
              </w:tabs>
              <w:rPr>
                <w:rFonts w:ascii="Arial" w:hAnsi="Arial" w:cs="Arial"/>
                <w:b/>
                <w:bCs/>
                <w:sz w:val="20"/>
                <w:szCs w:val="20"/>
              </w:rPr>
            </w:pPr>
            <w:r w:rsidRPr="00E04C25">
              <w:rPr>
                <w:rFonts w:ascii="Arial" w:hAnsi="Arial" w:cs="Arial"/>
                <w:b/>
                <w:bCs/>
                <w:sz w:val="20"/>
                <w:szCs w:val="20"/>
              </w:rPr>
              <w:t>Celkem</w:t>
            </w:r>
          </w:p>
        </w:tc>
        <w:tc>
          <w:tcPr>
            <w:tcW w:w="992" w:type="dxa"/>
            <w:tcBorders>
              <w:top w:val="nil"/>
              <w:left w:val="nil"/>
              <w:bottom w:val="single" w:sz="4" w:space="0" w:color="auto"/>
              <w:right w:val="single" w:sz="4" w:space="0" w:color="auto"/>
            </w:tcBorders>
            <w:shd w:val="clear" w:color="auto" w:fill="auto"/>
            <w:noWrap/>
            <w:vAlign w:val="center"/>
          </w:tcPr>
          <w:p w:rsidR="00B462CB" w:rsidRPr="00E04C25" w:rsidRDefault="00B462CB">
            <w:pPr>
              <w:jc w:val="right"/>
              <w:rPr>
                <w:rFonts w:ascii="Arial" w:hAnsi="Arial" w:cs="Arial"/>
                <w:b/>
                <w:bCs/>
                <w:sz w:val="18"/>
                <w:szCs w:val="18"/>
              </w:rPr>
            </w:pPr>
            <w:r w:rsidRPr="00E04C25">
              <w:rPr>
                <w:rFonts w:ascii="Arial" w:hAnsi="Arial" w:cs="Arial"/>
                <w:b/>
                <w:bCs/>
                <w:sz w:val="18"/>
                <w:szCs w:val="18"/>
              </w:rPr>
              <w:t xml:space="preserve">5 138,6 </w:t>
            </w:r>
          </w:p>
        </w:tc>
        <w:tc>
          <w:tcPr>
            <w:tcW w:w="851" w:type="dxa"/>
            <w:tcBorders>
              <w:top w:val="nil"/>
              <w:left w:val="nil"/>
              <w:bottom w:val="single" w:sz="4" w:space="0" w:color="auto"/>
              <w:right w:val="single" w:sz="4" w:space="0" w:color="auto"/>
            </w:tcBorders>
            <w:shd w:val="clear" w:color="auto" w:fill="auto"/>
            <w:noWrap/>
            <w:vAlign w:val="center"/>
          </w:tcPr>
          <w:p w:rsidR="00B462CB" w:rsidRPr="00E04C25" w:rsidRDefault="00B462CB">
            <w:pPr>
              <w:jc w:val="right"/>
              <w:rPr>
                <w:rFonts w:ascii="Arial" w:hAnsi="Arial" w:cs="Arial"/>
                <w:b/>
                <w:bCs/>
                <w:sz w:val="18"/>
                <w:szCs w:val="18"/>
              </w:rPr>
            </w:pPr>
            <w:r w:rsidRPr="00E04C25">
              <w:rPr>
                <w:rFonts w:ascii="Arial" w:hAnsi="Arial" w:cs="Arial"/>
                <w:b/>
                <w:bCs/>
                <w:sz w:val="18"/>
                <w:szCs w:val="18"/>
              </w:rPr>
              <w:t>100,0</w:t>
            </w:r>
          </w:p>
        </w:tc>
        <w:tc>
          <w:tcPr>
            <w:tcW w:w="850" w:type="dxa"/>
            <w:tcBorders>
              <w:top w:val="nil"/>
              <w:left w:val="nil"/>
              <w:bottom w:val="single" w:sz="4" w:space="0" w:color="auto"/>
              <w:right w:val="single" w:sz="4" w:space="0" w:color="auto"/>
            </w:tcBorders>
            <w:shd w:val="clear" w:color="auto" w:fill="auto"/>
            <w:noWrap/>
            <w:vAlign w:val="center"/>
          </w:tcPr>
          <w:p w:rsidR="00B462CB" w:rsidRPr="00E04C25" w:rsidRDefault="00B462CB">
            <w:pPr>
              <w:jc w:val="right"/>
              <w:rPr>
                <w:rFonts w:ascii="Arial" w:hAnsi="Arial" w:cs="Arial"/>
                <w:b/>
                <w:bCs/>
                <w:sz w:val="18"/>
                <w:szCs w:val="18"/>
              </w:rPr>
            </w:pPr>
            <w:r w:rsidRPr="00E04C25">
              <w:rPr>
                <w:rFonts w:ascii="Arial" w:hAnsi="Arial" w:cs="Arial"/>
                <w:b/>
                <w:bCs/>
                <w:sz w:val="18"/>
                <w:szCs w:val="18"/>
              </w:rPr>
              <w:t xml:space="preserve">5 221,6 </w:t>
            </w:r>
          </w:p>
        </w:tc>
        <w:tc>
          <w:tcPr>
            <w:tcW w:w="850" w:type="dxa"/>
            <w:tcBorders>
              <w:top w:val="nil"/>
              <w:left w:val="nil"/>
              <w:bottom w:val="single" w:sz="4" w:space="0" w:color="auto"/>
              <w:right w:val="single" w:sz="4" w:space="0" w:color="auto"/>
            </w:tcBorders>
            <w:shd w:val="clear" w:color="auto" w:fill="auto"/>
            <w:noWrap/>
            <w:vAlign w:val="center"/>
          </w:tcPr>
          <w:p w:rsidR="00B462CB" w:rsidRPr="00E04C25" w:rsidRDefault="00B462CB">
            <w:pPr>
              <w:jc w:val="right"/>
              <w:rPr>
                <w:rFonts w:ascii="Arial" w:hAnsi="Arial" w:cs="Arial"/>
                <w:b/>
                <w:bCs/>
                <w:sz w:val="18"/>
                <w:szCs w:val="18"/>
              </w:rPr>
            </w:pPr>
            <w:r w:rsidRPr="00E04C25">
              <w:rPr>
                <w:rFonts w:ascii="Arial" w:hAnsi="Arial" w:cs="Arial"/>
                <w:b/>
                <w:bCs/>
                <w:sz w:val="18"/>
                <w:szCs w:val="18"/>
              </w:rPr>
              <w:t>100,0</w:t>
            </w:r>
          </w:p>
        </w:tc>
        <w:tc>
          <w:tcPr>
            <w:tcW w:w="824" w:type="dxa"/>
            <w:tcBorders>
              <w:top w:val="nil"/>
              <w:left w:val="nil"/>
              <w:bottom w:val="single" w:sz="4" w:space="0" w:color="auto"/>
              <w:right w:val="single" w:sz="4" w:space="0" w:color="auto"/>
            </w:tcBorders>
            <w:shd w:val="clear" w:color="auto" w:fill="auto"/>
            <w:noWrap/>
            <w:vAlign w:val="center"/>
          </w:tcPr>
          <w:p w:rsidR="00B462CB" w:rsidRPr="00E04C25" w:rsidRDefault="00B462CB">
            <w:pPr>
              <w:jc w:val="right"/>
              <w:rPr>
                <w:rFonts w:ascii="Arial" w:hAnsi="Arial" w:cs="Arial"/>
                <w:b/>
                <w:bCs/>
                <w:sz w:val="18"/>
                <w:szCs w:val="18"/>
              </w:rPr>
            </w:pPr>
            <w:r w:rsidRPr="00E04C25">
              <w:rPr>
                <w:rFonts w:ascii="Arial" w:hAnsi="Arial" w:cs="Arial"/>
                <w:b/>
                <w:bCs/>
                <w:sz w:val="18"/>
                <w:szCs w:val="18"/>
              </w:rPr>
              <w:t xml:space="preserve">83,0 </w:t>
            </w:r>
          </w:p>
        </w:tc>
        <w:tc>
          <w:tcPr>
            <w:tcW w:w="820" w:type="dxa"/>
            <w:tcBorders>
              <w:top w:val="nil"/>
              <w:left w:val="nil"/>
              <w:bottom w:val="single" w:sz="4" w:space="0" w:color="auto"/>
              <w:right w:val="double" w:sz="6" w:space="0" w:color="auto"/>
            </w:tcBorders>
            <w:shd w:val="clear" w:color="auto" w:fill="auto"/>
            <w:noWrap/>
            <w:vAlign w:val="center"/>
          </w:tcPr>
          <w:p w:rsidR="00B462CB" w:rsidRPr="00E04C25" w:rsidRDefault="00B462CB">
            <w:pPr>
              <w:jc w:val="right"/>
              <w:rPr>
                <w:rFonts w:ascii="Arial" w:hAnsi="Arial" w:cs="Arial"/>
                <w:b/>
                <w:bCs/>
                <w:sz w:val="18"/>
                <w:szCs w:val="18"/>
              </w:rPr>
            </w:pPr>
            <w:r w:rsidRPr="00E04C25">
              <w:rPr>
                <w:rFonts w:ascii="Arial" w:hAnsi="Arial" w:cs="Arial"/>
                <w:b/>
                <w:bCs/>
                <w:sz w:val="18"/>
                <w:szCs w:val="18"/>
              </w:rPr>
              <w:t>101,6</w:t>
            </w:r>
          </w:p>
        </w:tc>
      </w:tr>
      <w:tr w:rsidR="009515CF" w:rsidRPr="00E04C25" w:rsidTr="00762875">
        <w:trPr>
          <w:trHeight w:val="284"/>
        </w:trPr>
        <w:tc>
          <w:tcPr>
            <w:tcW w:w="3833" w:type="dxa"/>
            <w:gridSpan w:val="2"/>
            <w:tcBorders>
              <w:top w:val="single" w:sz="4" w:space="0" w:color="auto"/>
              <w:left w:val="double" w:sz="6" w:space="0" w:color="auto"/>
              <w:bottom w:val="nil"/>
              <w:right w:val="single" w:sz="4" w:space="0" w:color="auto"/>
            </w:tcBorders>
            <w:shd w:val="clear" w:color="auto" w:fill="auto"/>
            <w:vAlign w:val="center"/>
          </w:tcPr>
          <w:p w:rsidR="00762875" w:rsidRPr="00E04C25" w:rsidRDefault="00762875" w:rsidP="00AE65A5">
            <w:pPr>
              <w:tabs>
                <w:tab w:val="left" w:pos="709"/>
              </w:tabs>
              <w:spacing w:line="360" w:lineRule="auto"/>
              <w:rPr>
                <w:rFonts w:ascii="Arial" w:hAnsi="Arial" w:cs="Arial"/>
                <w:sz w:val="18"/>
                <w:szCs w:val="18"/>
              </w:rPr>
            </w:pPr>
            <w:r w:rsidRPr="00E04C25">
              <w:rPr>
                <w:rFonts w:ascii="Arial" w:hAnsi="Arial" w:cs="Arial"/>
                <w:sz w:val="18"/>
                <w:szCs w:val="18"/>
              </w:rPr>
              <w:t>z toho: </w:t>
            </w:r>
          </w:p>
        </w:tc>
        <w:tc>
          <w:tcPr>
            <w:tcW w:w="992" w:type="dxa"/>
            <w:tcBorders>
              <w:top w:val="nil"/>
              <w:left w:val="nil"/>
              <w:bottom w:val="nil"/>
              <w:right w:val="single" w:sz="4" w:space="0" w:color="auto"/>
            </w:tcBorders>
            <w:shd w:val="clear" w:color="auto" w:fill="auto"/>
            <w:noWrap/>
            <w:vAlign w:val="center"/>
          </w:tcPr>
          <w:p w:rsidR="00762875" w:rsidRPr="00E04C25" w:rsidRDefault="00762875" w:rsidP="00AE65A5">
            <w:pPr>
              <w:tabs>
                <w:tab w:val="left" w:pos="709"/>
              </w:tabs>
              <w:jc w:val="right"/>
              <w:rPr>
                <w:rFonts w:ascii="Arial" w:hAnsi="Arial" w:cs="Arial"/>
                <w:sz w:val="18"/>
                <w:szCs w:val="18"/>
              </w:rPr>
            </w:pPr>
            <w:r w:rsidRPr="00E04C25">
              <w:rPr>
                <w:rFonts w:ascii="Arial" w:hAnsi="Arial" w:cs="Arial"/>
                <w:sz w:val="18"/>
                <w:szCs w:val="18"/>
              </w:rPr>
              <w:t> </w:t>
            </w:r>
          </w:p>
        </w:tc>
        <w:tc>
          <w:tcPr>
            <w:tcW w:w="851" w:type="dxa"/>
            <w:tcBorders>
              <w:top w:val="nil"/>
              <w:left w:val="nil"/>
              <w:bottom w:val="nil"/>
              <w:right w:val="single" w:sz="4" w:space="0" w:color="auto"/>
            </w:tcBorders>
            <w:shd w:val="clear" w:color="auto" w:fill="auto"/>
            <w:noWrap/>
            <w:vAlign w:val="center"/>
          </w:tcPr>
          <w:p w:rsidR="00762875" w:rsidRPr="00E04C25" w:rsidRDefault="00762875" w:rsidP="00AE65A5">
            <w:pPr>
              <w:tabs>
                <w:tab w:val="left" w:pos="709"/>
              </w:tabs>
              <w:jc w:val="right"/>
              <w:rPr>
                <w:rFonts w:ascii="Arial" w:hAnsi="Arial" w:cs="Arial"/>
                <w:sz w:val="18"/>
                <w:szCs w:val="18"/>
              </w:rPr>
            </w:pPr>
            <w:r w:rsidRPr="00E04C25">
              <w:rPr>
                <w:rFonts w:ascii="Arial" w:hAnsi="Arial" w:cs="Arial"/>
                <w:sz w:val="18"/>
                <w:szCs w:val="18"/>
              </w:rPr>
              <w:t> </w:t>
            </w:r>
          </w:p>
        </w:tc>
        <w:tc>
          <w:tcPr>
            <w:tcW w:w="850" w:type="dxa"/>
            <w:tcBorders>
              <w:top w:val="nil"/>
              <w:left w:val="nil"/>
              <w:bottom w:val="nil"/>
              <w:right w:val="single" w:sz="4" w:space="0" w:color="auto"/>
            </w:tcBorders>
            <w:shd w:val="clear" w:color="auto" w:fill="auto"/>
            <w:noWrap/>
            <w:vAlign w:val="center"/>
          </w:tcPr>
          <w:p w:rsidR="00762875" w:rsidRPr="00E04C25" w:rsidRDefault="00762875" w:rsidP="00AE65A5">
            <w:pPr>
              <w:tabs>
                <w:tab w:val="left" w:pos="709"/>
              </w:tabs>
              <w:jc w:val="right"/>
              <w:rPr>
                <w:rFonts w:ascii="Arial" w:hAnsi="Arial" w:cs="Arial"/>
                <w:sz w:val="18"/>
                <w:szCs w:val="18"/>
              </w:rPr>
            </w:pPr>
            <w:r w:rsidRPr="00E04C25">
              <w:rPr>
                <w:rFonts w:ascii="Arial" w:hAnsi="Arial" w:cs="Arial"/>
                <w:sz w:val="18"/>
                <w:szCs w:val="18"/>
              </w:rPr>
              <w:t> </w:t>
            </w:r>
          </w:p>
        </w:tc>
        <w:tc>
          <w:tcPr>
            <w:tcW w:w="850" w:type="dxa"/>
            <w:tcBorders>
              <w:top w:val="nil"/>
              <w:left w:val="nil"/>
              <w:bottom w:val="nil"/>
              <w:right w:val="single" w:sz="4" w:space="0" w:color="auto"/>
            </w:tcBorders>
            <w:shd w:val="clear" w:color="auto" w:fill="auto"/>
            <w:noWrap/>
            <w:vAlign w:val="center"/>
          </w:tcPr>
          <w:p w:rsidR="00762875" w:rsidRPr="00E04C25" w:rsidRDefault="00762875" w:rsidP="00AE65A5">
            <w:pPr>
              <w:tabs>
                <w:tab w:val="left" w:pos="709"/>
              </w:tabs>
              <w:jc w:val="right"/>
              <w:rPr>
                <w:rFonts w:ascii="Arial" w:hAnsi="Arial" w:cs="Arial"/>
                <w:sz w:val="18"/>
                <w:szCs w:val="18"/>
              </w:rPr>
            </w:pPr>
            <w:r w:rsidRPr="00E04C25">
              <w:rPr>
                <w:rFonts w:ascii="Arial" w:hAnsi="Arial" w:cs="Arial"/>
                <w:sz w:val="18"/>
                <w:szCs w:val="18"/>
              </w:rPr>
              <w:t> </w:t>
            </w:r>
          </w:p>
        </w:tc>
        <w:tc>
          <w:tcPr>
            <w:tcW w:w="824" w:type="dxa"/>
            <w:tcBorders>
              <w:top w:val="nil"/>
              <w:left w:val="nil"/>
              <w:bottom w:val="nil"/>
              <w:right w:val="single" w:sz="4" w:space="0" w:color="auto"/>
            </w:tcBorders>
            <w:shd w:val="clear" w:color="auto" w:fill="auto"/>
            <w:noWrap/>
            <w:vAlign w:val="center"/>
          </w:tcPr>
          <w:p w:rsidR="00762875" w:rsidRPr="00E04C25" w:rsidRDefault="00762875" w:rsidP="00AE65A5">
            <w:pPr>
              <w:tabs>
                <w:tab w:val="left" w:pos="709"/>
              </w:tabs>
              <w:jc w:val="right"/>
              <w:rPr>
                <w:rFonts w:ascii="Arial" w:hAnsi="Arial" w:cs="Arial"/>
                <w:sz w:val="18"/>
                <w:szCs w:val="18"/>
              </w:rPr>
            </w:pPr>
            <w:r w:rsidRPr="00E04C25">
              <w:rPr>
                <w:rFonts w:ascii="Arial" w:hAnsi="Arial" w:cs="Arial"/>
                <w:sz w:val="18"/>
                <w:szCs w:val="18"/>
              </w:rPr>
              <w:t> </w:t>
            </w:r>
          </w:p>
        </w:tc>
        <w:tc>
          <w:tcPr>
            <w:tcW w:w="820" w:type="dxa"/>
            <w:tcBorders>
              <w:top w:val="nil"/>
              <w:left w:val="nil"/>
              <w:bottom w:val="nil"/>
              <w:right w:val="double" w:sz="6" w:space="0" w:color="auto"/>
            </w:tcBorders>
            <w:shd w:val="clear" w:color="auto" w:fill="auto"/>
            <w:noWrap/>
            <w:vAlign w:val="center"/>
          </w:tcPr>
          <w:p w:rsidR="00762875" w:rsidRPr="00E04C25" w:rsidRDefault="00762875" w:rsidP="00AE65A5">
            <w:pPr>
              <w:tabs>
                <w:tab w:val="left" w:pos="709"/>
              </w:tabs>
              <w:jc w:val="right"/>
              <w:rPr>
                <w:rFonts w:ascii="Arial" w:hAnsi="Arial" w:cs="Arial"/>
                <w:sz w:val="18"/>
                <w:szCs w:val="18"/>
              </w:rPr>
            </w:pPr>
            <w:r w:rsidRPr="00E04C25">
              <w:rPr>
                <w:rFonts w:ascii="Arial" w:hAnsi="Arial" w:cs="Arial"/>
                <w:sz w:val="18"/>
                <w:szCs w:val="18"/>
              </w:rPr>
              <w:t> </w:t>
            </w:r>
          </w:p>
        </w:tc>
      </w:tr>
      <w:tr w:rsidR="00B462CB" w:rsidRPr="00E04C25" w:rsidTr="00762875">
        <w:trPr>
          <w:trHeight w:val="284"/>
        </w:trPr>
        <w:tc>
          <w:tcPr>
            <w:tcW w:w="290" w:type="dxa"/>
            <w:tcBorders>
              <w:top w:val="nil"/>
              <w:left w:val="double" w:sz="6" w:space="0" w:color="auto"/>
              <w:bottom w:val="nil"/>
              <w:right w:val="single" w:sz="4" w:space="0" w:color="auto"/>
            </w:tcBorders>
            <w:shd w:val="clear" w:color="auto" w:fill="auto"/>
            <w:vAlign w:val="center"/>
          </w:tcPr>
          <w:p w:rsidR="00B462CB" w:rsidRPr="00E04C25" w:rsidRDefault="00B462CB" w:rsidP="00AE65A5">
            <w:pPr>
              <w:tabs>
                <w:tab w:val="left" w:pos="709"/>
              </w:tabs>
              <w:spacing w:line="320" w:lineRule="exact"/>
              <w:jc w:val="center"/>
              <w:rPr>
                <w:rFonts w:ascii="Arial" w:hAnsi="Arial" w:cs="Arial"/>
                <w:sz w:val="20"/>
                <w:szCs w:val="20"/>
              </w:rPr>
            </w:pPr>
            <w:r w:rsidRPr="00E04C25">
              <w:rPr>
                <w:rFonts w:ascii="Arial" w:hAnsi="Arial" w:cs="Arial"/>
                <w:sz w:val="20"/>
                <w:szCs w:val="20"/>
              </w:rPr>
              <w:t>1</w:t>
            </w:r>
          </w:p>
        </w:tc>
        <w:tc>
          <w:tcPr>
            <w:tcW w:w="3543" w:type="dxa"/>
            <w:tcBorders>
              <w:top w:val="nil"/>
              <w:left w:val="nil"/>
              <w:bottom w:val="nil"/>
              <w:right w:val="single" w:sz="4" w:space="0" w:color="auto"/>
            </w:tcBorders>
            <w:shd w:val="clear" w:color="auto" w:fill="auto"/>
            <w:vAlign w:val="center"/>
          </w:tcPr>
          <w:p w:rsidR="00B462CB" w:rsidRPr="00E04C25" w:rsidRDefault="00B462CB" w:rsidP="00AE65A5">
            <w:pPr>
              <w:tabs>
                <w:tab w:val="left" w:pos="709"/>
              </w:tabs>
              <w:spacing w:line="320" w:lineRule="exact"/>
              <w:rPr>
                <w:rFonts w:ascii="Arial" w:hAnsi="Arial" w:cs="Arial"/>
                <w:sz w:val="18"/>
                <w:szCs w:val="18"/>
              </w:rPr>
            </w:pPr>
            <w:r w:rsidRPr="00E04C25">
              <w:rPr>
                <w:rFonts w:ascii="Arial" w:hAnsi="Arial" w:cs="Arial"/>
                <w:sz w:val="18"/>
                <w:szCs w:val="18"/>
              </w:rPr>
              <w:t>Zákonodárci a řídící pracovníci</w:t>
            </w:r>
          </w:p>
        </w:tc>
        <w:tc>
          <w:tcPr>
            <w:tcW w:w="992"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269,1 </w:t>
            </w:r>
          </w:p>
        </w:tc>
        <w:tc>
          <w:tcPr>
            <w:tcW w:w="851"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5,2</w:t>
            </w:r>
          </w:p>
        </w:tc>
        <w:tc>
          <w:tcPr>
            <w:tcW w:w="850"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250,2 </w:t>
            </w:r>
          </w:p>
        </w:tc>
        <w:tc>
          <w:tcPr>
            <w:tcW w:w="850"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4,8</w:t>
            </w:r>
          </w:p>
        </w:tc>
        <w:tc>
          <w:tcPr>
            <w:tcW w:w="824"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-18,9 </w:t>
            </w:r>
          </w:p>
        </w:tc>
        <w:tc>
          <w:tcPr>
            <w:tcW w:w="820" w:type="dxa"/>
            <w:tcBorders>
              <w:top w:val="nil"/>
              <w:left w:val="nil"/>
              <w:bottom w:val="nil"/>
              <w:right w:val="double" w:sz="6"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93,0</w:t>
            </w:r>
          </w:p>
        </w:tc>
      </w:tr>
      <w:tr w:rsidR="00B462CB" w:rsidRPr="00E04C25" w:rsidTr="00762875">
        <w:trPr>
          <w:trHeight w:val="284"/>
        </w:trPr>
        <w:tc>
          <w:tcPr>
            <w:tcW w:w="290" w:type="dxa"/>
            <w:tcBorders>
              <w:top w:val="nil"/>
              <w:left w:val="double" w:sz="6" w:space="0" w:color="auto"/>
              <w:bottom w:val="nil"/>
              <w:right w:val="single" w:sz="4" w:space="0" w:color="auto"/>
            </w:tcBorders>
            <w:shd w:val="clear" w:color="auto" w:fill="auto"/>
            <w:vAlign w:val="center"/>
          </w:tcPr>
          <w:p w:rsidR="00B462CB" w:rsidRPr="00E04C25" w:rsidRDefault="00B462CB" w:rsidP="00AE65A5">
            <w:pPr>
              <w:tabs>
                <w:tab w:val="left" w:pos="709"/>
              </w:tabs>
              <w:spacing w:line="320" w:lineRule="exact"/>
              <w:jc w:val="center"/>
              <w:rPr>
                <w:rFonts w:ascii="Arial" w:hAnsi="Arial" w:cs="Arial"/>
                <w:sz w:val="20"/>
                <w:szCs w:val="20"/>
              </w:rPr>
            </w:pPr>
            <w:r w:rsidRPr="00E04C25">
              <w:rPr>
                <w:rFonts w:ascii="Arial" w:hAnsi="Arial" w:cs="Arial"/>
                <w:sz w:val="20"/>
                <w:szCs w:val="20"/>
              </w:rPr>
              <w:t>2</w:t>
            </w:r>
          </w:p>
        </w:tc>
        <w:tc>
          <w:tcPr>
            <w:tcW w:w="3543" w:type="dxa"/>
            <w:tcBorders>
              <w:top w:val="nil"/>
              <w:left w:val="nil"/>
              <w:bottom w:val="nil"/>
              <w:right w:val="single" w:sz="4" w:space="0" w:color="auto"/>
            </w:tcBorders>
            <w:shd w:val="clear" w:color="auto" w:fill="auto"/>
            <w:noWrap/>
            <w:vAlign w:val="center"/>
          </w:tcPr>
          <w:p w:rsidR="00B462CB" w:rsidRPr="00E04C25" w:rsidRDefault="00B462CB" w:rsidP="00AE65A5">
            <w:pPr>
              <w:tabs>
                <w:tab w:val="left" w:pos="709"/>
              </w:tabs>
              <w:spacing w:line="320" w:lineRule="exact"/>
              <w:rPr>
                <w:rFonts w:ascii="Arial" w:hAnsi="Arial" w:cs="Arial"/>
                <w:sz w:val="18"/>
                <w:szCs w:val="18"/>
              </w:rPr>
            </w:pPr>
            <w:r w:rsidRPr="00E04C25">
              <w:rPr>
                <w:rFonts w:ascii="Arial" w:hAnsi="Arial" w:cs="Arial"/>
                <w:sz w:val="18"/>
                <w:szCs w:val="18"/>
              </w:rPr>
              <w:t>Specialisté</w:t>
            </w:r>
          </w:p>
        </w:tc>
        <w:tc>
          <w:tcPr>
            <w:tcW w:w="992"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786,6 </w:t>
            </w:r>
          </w:p>
        </w:tc>
        <w:tc>
          <w:tcPr>
            <w:tcW w:w="851"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15,3</w:t>
            </w:r>
          </w:p>
        </w:tc>
        <w:tc>
          <w:tcPr>
            <w:tcW w:w="850"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802,5 </w:t>
            </w:r>
          </w:p>
        </w:tc>
        <w:tc>
          <w:tcPr>
            <w:tcW w:w="850"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15,4</w:t>
            </w:r>
          </w:p>
        </w:tc>
        <w:tc>
          <w:tcPr>
            <w:tcW w:w="824"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15,9 </w:t>
            </w:r>
          </w:p>
        </w:tc>
        <w:tc>
          <w:tcPr>
            <w:tcW w:w="820" w:type="dxa"/>
            <w:tcBorders>
              <w:top w:val="nil"/>
              <w:left w:val="nil"/>
              <w:bottom w:val="nil"/>
              <w:right w:val="double" w:sz="6"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102,0</w:t>
            </w:r>
          </w:p>
        </w:tc>
      </w:tr>
      <w:tr w:rsidR="00B462CB" w:rsidRPr="00E04C25" w:rsidTr="00762875">
        <w:trPr>
          <w:trHeight w:val="284"/>
        </w:trPr>
        <w:tc>
          <w:tcPr>
            <w:tcW w:w="290" w:type="dxa"/>
            <w:tcBorders>
              <w:top w:val="nil"/>
              <w:left w:val="double" w:sz="6" w:space="0" w:color="auto"/>
              <w:bottom w:val="nil"/>
              <w:right w:val="single" w:sz="4" w:space="0" w:color="auto"/>
            </w:tcBorders>
            <w:shd w:val="clear" w:color="auto" w:fill="auto"/>
            <w:vAlign w:val="center"/>
          </w:tcPr>
          <w:p w:rsidR="00B462CB" w:rsidRPr="00E04C25" w:rsidRDefault="00B462CB" w:rsidP="00AE65A5">
            <w:pPr>
              <w:tabs>
                <w:tab w:val="left" w:pos="709"/>
              </w:tabs>
              <w:spacing w:line="320" w:lineRule="exact"/>
              <w:jc w:val="center"/>
              <w:rPr>
                <w:rFonts w:ascii="Arial" w:hAnsi="Arial" w:cs="Arial"/>
                <w:sz w:val="20"/>
                <w:szCs w:val="20"/>
              </w:rPr>
            </w:pPr>
            <w:r w:rsidRPr="00E04C25">
              <w:rPr>
                <w:rFonts w:ascii="Arial" w:hAnsi="Arial" w:cs="Arial"/>
                <w:sz w:val="20"/>
                <w:szCs w:val="20"/>
              </w:rPr>
              <w:t>3</w:t>
            </w:r>
          </w:p>
        </w:tc>
        <w:tc>
          <w:tcPr>
            <w:tcW w:w="3543" w:type="dxa"/>
            <w:tcBorders>
              <w:top w:val="nil"/>
              <w:left w:val="nil"/>
              <w:bottom w:val="nil"/>
              <w:right w:val="single" w:sz="4" w:space="0" w:color="auto"/>
            </w:tcBorders>
            <w:shd w:val="clear" w:color="auto" w:fill="auto"/>
            <w:vAlign w:val="center"/>
          </w:tcPr>
          <w:p w:rsidR="00B462CB" w:rsidRPr="00E04C25" w:rsidRDefault="00B462CB" w:rsidP="00AE65A5">
            <w:pPr>
              <w:tabs>
                <w:tab w:val="left" w:pos="709"/>
              </w:tabs>
              <w:spacing w:line="320" w:lineRule="exact"/>
              <w:rPr>
                <w:rFonts w:ascii="Arial" w:hAnsi="Arial" w:cs="Arial"/>
                <w:sz w:val="18"/>
                <w:szCs w:val="18"/>
              </w:rPr>
            </w:pPr>
            <w:r w:rsidRPr="00E04C25">
              <w:rPr>
                <w:rFonts w:ascii="Arial" w:hAnsi="Arial" w:cs="Arial"/>
                <w:sz w:val="18"/>
                <w:szCs w:val="18"/>
              </w:rPr>
              <w:t xml:space="preserve">Techničtí a odborní pracovníci </w:t>
            </w:r>
          </w:p>
        </w:tc>
        <w:tc>
          <w:tcPr>
            <w:tcW w:w="992"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884,3 </w:t>
            </w:r>
          </w:p>
        </w:tc>
        <w:tc>
          <w:tcPr>
            <w:tcW w:w="851"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17,2</w:t>
            </w:r>
          </w:p>
        </w:tc>
        <w:tc>
          <w:tcPr>
            <w:tcW w:w="850"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930,1 </w:t>
            </w:r>
          </w:p>
        </w:tc>
        <w:tc>
          <w:tcPr>
            <w:tcW w:w="850"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17,8</w:t>
            </w:r>
          </w:p>
        </w:tc>
        <w:tc>
          <w:tcPr>
            <w:tcW w:w="824"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45,8 </w:t>
            </w:r>
          </w:p>
        </w:tc>
        <w:tc>
          <w:tcPr>
            <w:tcW w:w="820" w:type="dxa"/>
            <w:tcBorders>
              <w:top w:val="nil"/>
              <w:left w:val="nil"/>
              <w:bottom w:val="nil"/>
              <w:right w:val="double" w:sz="6"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105,2</w:t>
            </w:r>
          </w:p>
        </w:tc>
      </w:tr>
      <w:tr w:rsidR="00B462CB" w:rsidRPr="00E04C25" w:rsidTr="00762875">
        <w:trPr>
          <w:trHeight w:val="284"/>
        </w:trPr>
        <w:tc>
          <w:tcPr>
            <w:tcW w:w="290" w:type="dxa"/>
            <w:tcBorders>
              <w:top w:val="nil"/>
              <w:left w:val="double" w:sz="6" w:space="0" w:color="auto"/>
              <w:bottom w:val="nil"/>
              <w:right w:val="single" w:sz="4" w:space="0" w:color="auto"/>
            </w:tcBorders>
            <w:shd w:val="clear" w:color="auto" w:fill="auto"/>
            <w:vAlign w:val="center"/>
          </w:tcPr>
          <w:p w:rsidR="00B462CB" w:rsidRPr="00E04C25" w:rsidRDefault="00B462CB" w:rsidP="00AE65A5">
            <w:pPr>
              <w:tabs>
                <w:tab w:val="left" w:pos="709"/>
              </w:tabs>
              <w:spacing w:line="320" w:lineRule="exact"/>
              <w:jc w:val="center"/>
              <w:rPr>
                <w:rFonts w:ascii="Arial" w:hAnsi="Arial" w:cs="Arial"/>
                <w:sz w:val="20"/>
                <w:szCs w:val="20"/>
              </w:rPr>
            </w:pPr>
            <w:r w:rsidRPr="00E04C25">
              <w:rPr>
                <w:rFonts w:ascii="Arial" w:hAnsi="Arial" w:cs="Arial"/>
                <w:sz w:val="20"/>
                <w:szCs w:val="20"/>
              </w:rPr>
              <w:t>4</w:t>
            </w:r>
          </w:p>
        </w:tc>
        <w:tc>
          <w:tcPr>
            <w:tcW w:w="3543" w:type="dxa"/>
            <w:tcBorders>
              <w:top w:val="nil"/>
              <w:left w:val="nil"/>
              <w:bottom w:val="nil"/>
              <w:right w:val="single" w:sz="4" w:space="0" w:color="auto"/>
            </w:tcBorders>
            <w:shd w:val="clear" w:color="auto" w:fill="auto"/>
            <w:vAlign w:val="center"/>
          </w:tcPr>
          <w:p w:rsidR="00B462CB" w:rsidRPr="00E04C25" w:rsidRDefault="00B462CB" w:rsidP="00AE65A5">
            <w:pPr>
              <w:tabs>
                <w:tab w:val="left" w:pos="709"/>
              </w:tabs>
              <w:spacing w:line="320" w:lineRule="exact"/>
              <w:rPr>
                <w:rFonts w:ascii="Arial" w:hAnsi="Arial" w:cs="Arial"/>
                <w:sz w:val="18"/>
                <w:szCs w:val="18"/>
              </w:rPr>
            </w:pPr>
            <w:r w:rsidRPr="00E04C25">
              <w:rPr>
                <w:rFonts w:ascii="Arial" w:hAnsi="Arial" w:cs="Arial"/>
                <w:sz w:val="18"/>
                <w:szCs w:val="18"/>
              </w:rPr>
              <w:t xml:space="preserve">Úředníci </w:t>
            </w:r>
          </w:p>
        </w:tc>
        <w:tc>
          <w:tcPr>
            <w:tcW w:w="992"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476,3 </w:t>
            </w:r>
          </w:p>
        </w:tc>
        <w:tc>
          <w:tcPr>
            <w:tcW w:w="851"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9,3</w:t>
            </w:r>
          </w:p>
        </w:tc>
        <w:tc>
          <w:tcPr>
            <w:tcW w:w="850"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509,3 </w:t>
            </w:r>
          </w:p>
        </w:tc>
        <w:tc>
          <w:tcPr>
            <w:tcW w:w="850"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9,8</w:t>
            </w:r>
          </w:p>
        </w:tc>
        <w:tc>
          <w:tcPr>
            <w:tcW w:w="824"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33,0 </w:t>
            </w:r>
          </w:p>
        </w:tc>
        <w:tc>
          <w:tcPr>
            <w:tcW w:w="820" w:type="dxa"/>
            <w:tcBorders>
              <w:top w:val="nil"/>
              <w:left w:val="nil"/>
              <w:bottom w:val="nil"/>
              <w:right w:val="double" w:sz="6"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106,9</w:t>
            </w:r>
          </w:p>
        </w:tc>
      </w:tr>
      <w:tr w:rsidR="00B462CB" w:rsidRPr="00E04C25" w:rsidTr="00762875">
        <w:trPr>
          <w:trHeight w:val="284"/>
        </w:trPr>
        <w:tc>
          <w:tcPr>
            <w:tcW w:w="290" w:type="dxa"/>
            <w:tcBorders>
              <w:top w:val="nil"/>
              <w:left w:val="double" w:sz="6" w:space="0" w:color="auto"/>
              <w:bottom w:val="nil"/>
              <w:right w:val="single" w:sz="4" w:space="0" w:color="auto"/>
            </w:tcBorders>
            <w:shd w:val="clear" w:color="auto" w:fill="auto"/>
            <w:vAlign w:val="center"/>
          </w:tcPr>
          <w:p w:rsidR="00B462CB" w:rsidRPr="00E04C25" w:rsidRDefault="00B462CB" w:rsidP="00AE65A5">
            <w:pPr>
              <w:tabs>
                <w:tab w:val="left" w:pos="709"/>
              </w:tabs>
              <w:spacing w:line="320" w:lineRule="exact"/>
              <w:jc w:val="center"/>
              <w:rPr>
                <w:rFonts w:ascii="Arial" w:hAnsi="Arial" w:cs="Arial"/>
                <w:sz w:val="20"/>
                <w:szCs w:val="20"/>
              </w:rPr>
            </w:pPr>
            <w:r w:rsidRPr="00E04C25">
              <w:rPr>
                <w:rFonts w:ascii="Arial" w:hAnsi="Arial" w:cs="Arial"/>
                <w:sz w:val="20"/>
                <w:szCs w:val="20"/>
              </w:rPr>
              <w:t>5</w:t>
            </w:r>
          </w:p>
        </w:tc>
        <w:tc>
          <w:tcPr>
            <w:tcW w:w="3543" w:type="dxa"/>
            <w:tcBorders>
              <w:top w:val="nil"/>
              <w:left w:val="nil"/>
              <w:bottom w:val="nil"/>
              <w:right w:val="single" w:sz="4" w:space="0" w:color="auto"/>
            </w:tcBorders>
            <w:shd w:val="clear" w:color="auto" w:fill="auto"/>
            <w:vAlign w:val="center"/>
          </w:tcPr>
          <w:p w:rsidR="00B462CB" w:rsidRPr="00E04C25" w:rsidRDefault="00B462CB" w:rsidP="00AE65A5">
            <w:pPr>
              <w:tabs>
                <w:tab w:val="left" w:pos="709"/>
              </w:tabs>
              <w:spacing w:line="320" w:lineRule="exact"/>
              <w:rPr>
                <w:rFonts w:ascii="Arial" w:hAnsi="Arial" w:cs="Arial"/>
                <w:sz w:val="18"/>
                <w:szCs w:val="18"/>
              </w:rPr>
            </w:pPr>
            <w:r w:rsidRPr="00E04C25">
              <w:rPr>
                <w:rFonts w:ascii="Arial" w:hAnsi="Arial" w:cs="Arial"/>
                <w:sz w:val="18"/>
                <w:szCs w:val="18"/>
              </w:rPr>
              <w:t xml:space="preserve">Pracovníci ve službách a prodeji </w:t>
            </w:r>
          </w:p>
        </w:tc>
        <w:tc>
          <w:tcPr>
            <w:tcW w:w="992"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783,0 </w:t>
            </w:r>
          </w:p>
        </w:tc>
        <w:tc>
          <w:tcPr>
            <w:tcW w:w="851"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15,2</w:t>
            </w:r>
          </w:p>
        </w:tc>
        <w:tc>
          <w:tcPr>
            <w:tcW w:w="850"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785,5 </w:t>
            </w:r>
          </w:p>
        </w:tc>
        <w:tc>
          <w:tcPr>
            <w:tcW w:w="850"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15,0</w:t>
            </w:r>
          </w:p>
        </w:tc>
        <w:tc>
          <w:tcPr>
            <w:tcW w:w="824"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2,5 </w:t>
            </w:r>
          </w:p>
        </w:tc>
        <w:tc>
          <w:tcPr>
            <w:tcW w:w="820" w:type="dxa"/>
            <w:tcBorders>
              <w:top w:val="nil"/>
              <w:left w:val="nil"/>
              <w:bottom w:val="nil"/>
              <w:right w:val="double" w:sz="6"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100,3</w:t>
            </w:r>
          </w:p>
        </w:tc>
      </w:tr>
      <w:tr w:rsidR="00B462CB" w:rsidRPr="00E04C25" w:rsidTr="00762875">
        <w:trPr>
          <w:trHeight w:val="284"/>
        </w:trPr>
        <w:tc>
          <w:tcPr>
            <w:tcW w:w="290" w:type="dxa"/>
            <w:tcBorders>
              <w:top w:val="nil"/>
              <w:left w:val="double" w:sz="6" w:space="0" w:color="auto"/>
              <w:bottom w:val="nil"/>
              <w:right w:val="single" w:sz="4" w:space="0" w:color="auto"/>
            </w:tcBorders>
            <w:shd w:val="clear" w:color="auto" w:fill="auto"/>
            <w:vAlign w:val="center"/>
          </w:tcPr>
          <w:p w:rsidR="00B462CB" w:rsidRPr="00E04C25" w:rsidRDefault="00B462CB" w:rsidP="00AE65A5">
            <w:pPr>
              <w:tabs>
                <w:tab w:val="left" w:pos="709"/>
              </w:tabs>
              <w:spacing w:line="320" w:lineRule="exact"/>
              <w:jc w:val="center"/>
              <w:rPr>
                <w:rFonts w:ascii="Arial" w:hAnsi="Arial" w:cs="Arial"/>
                <w:sz w:val="20"/>
                <w:szCs w:val="20"/>
              </w:rPr>
            </w:pPr>
            <w:r w:rsidRPr="00E04C25">
              <w:rPr>
                <w:rFonts w:ascii="Arial" w:hAnsi="Arial" w:cs="Arial"/>
                <w:sz w:val="20"/>
                <w:szCs w:val="20"/>
              </w:rPr>
              <w:t>6</w:t>
            </w:r>
          </w:p>
        </w:tc>
        <w:tc>
          <w:tcPr>
            <w:tcW w:w="3543" w:type="dxa"/>
            <w:tcBorders>
              <w:top w:val="nil"/>
              <w:left w:val="nil"/>
              <w:bottom w:val="nil"/>
              <w:right w:val="single" w:sz="4" w:space="0" w:color="auto"/>
            </w:tcBorders>
            <w:shd w:val="clear" w:color="auto" w:fill="auto"/>
            <w:vAlign w:val="center"/>
          </w:tcPr>
          <w:p w:rsidR="00B462CB" w:rsidRPr="00E04C25" w:rsidRDefault="00B462CB" w:rsidP="00AE65A5">
            <w:pPr>
              <w:tabs>
                <w:tab w:val="left" w:pos="709"/>
              </w:tabs>
              <w:spacing w:line="320" w:lineRule="exact"/>
              <w:rPr>
                <w:rFonts w:ascii="Arial" w:hAnsi="Arial" w:cs="Arial"/>
                <w:sz w:val="18"/>
                <w:szCs w:val="18"/>
              </w:rPr>
            </w:pPr>
            <w:r w:rsidRPr="00E04C25">
              <w:rPr>
                <w:rFonts w:ascii="Arial" w:hAnsi="Arial" w:cs="Arial"/>
                <w:sz w:val="18"/>
                <w:szCs w:val="18"/>
              </w:rPr>
              <w:t>Kvalifikovaní dělníci v zemědělství</w:t>
            </w:r>
          </w:p>
        </w:tc>
        <w:tc>
          <w:tcPr>
            <w:tcW w:w="992"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69,8 </w:t>
            </w:r>
          </w:p>
        </w:tc>
        <w:tc>
          <w:tcPr>
            <w:tcW w:w="851"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1,4</w:t>
            </w:r>
          </w:p>
        </w:tc>
        <w:tc>
          <w:tcPr>
            <w:tcW w:w="850"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68,8 </w:t>
            </w:r>
          </w:p>
        </w:tc>
        <w:tc>
          <w:tcPr>
            <w:tcW w:w="850"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1,3</w:t>
            </w:r>
          </w:p>
        </w:tc>
        <w:tc>
          <w:tcPr>
            <w:tcW w:w="824"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-1,0 </w:t>
            </w:r>
          </w:p>
        </w:tc>
        <w:tc>
          <w:tcPr>
            <w:tcW w:w="820" w:type="dxa"/>
            <w:tcBorders>
              <w:top w:val="nil"/>
              <w:left w:val="nil"/>
              <w:bottom w:val="nil"/>
              <w:right w:val="double" w:sz="6"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98,6</w:t>
            </w:r>
          </w:p>
        </w:tc>
      </w:tr>
      <w:tr w:rsidR="00B462CB" w:rsidRPr="00E04C25" w:rsidTr="00762875">
        <w:trPr>
          <w:trHeight w:val="284"/>
        </w:trPr>
        <w:tc>
          <w:tcPr>
            <w:tcW w:w="290" w:type="dxa"/>
            <w:tcBorders>
              <w:top w:val="nil"/>
              <w:left w:val="double" w:sz="6" w:space="0" w:color="auto"/>
              <w:bottom w:val="nil"/>
              <w:right w:val="single" w:sz="4" w:space="0" w:color="auto"/>
            </w:tcBorders>
            <w:shd w:val="clear" w:color="auto" w:fill="auto"/>
            <w:vAlign w:val="center"/>
          </w:tcPr>
          <w:p w:rsidR="00B462CB" w:rsidRPr="00E04C25" w:rsidRDefault="00B462CB" w:rsidP="00AE65A5">
            <w:pPr>
              <w:tabs>
                <w:tab w:val="left" w:pos="709"/>
              </w:tabs>
              <w:spacing w:line="320" w:lineRule="exact"/>
              <w:jc w:val="center"/>
              <w:rPr>
                <w:rFonts w:ascii="Arial" w:hAnsi="Arial" w:cs="Arial"/>
                <w:sz w:val="20"/>
                <w:szCs w:val="20"/>
              </w:rPr>
            </w:pPr>
            <w:r w:rsidRPr="00E04C25">
              <w:rPr>
                <w:rFonts w:ascii="Arial" w:hAnsi="Arial" w:cs="Arial"/>
                <w:sz w:val="20"/>
                <w:szCs w:val="20"/>
              </w:rPr>
              <w:t>7</w:t>
            </w:r>
          </w:p>
        </w:tc>
        <w:tc>
          <w:tcPr>
            <w:tcW w:w="3543" w:type="dxa"/>
            <w:tcBorders>
              <w:top w:val="nil"/>
              <w:left w:val="nil"/>
              <w:bottom w:val="nil"/>
              <w:right w:val="single" w:sz="4" w:space="0" w:color="auto"/>
            </w:tcBorders>
            <w:shd w:val="clear" w:color="auto" w:fill="auto"/>
            <w:vAlign w:val="center"/>
          </w:tcPr>
          <w:p w:rsidR="00B462CB" w:rsidRPr="00E04C25" w:rsidRDefault="00B462CB" w:rsidP="00AE65A5">
            <w:pPr>
              <w:tabs>
                <w:tab w:val="left" w:pos="709"/>
              </w:tabs>
              <w:spacing w:line="320" w:lineRule="exact"/>
              <w:rPr>
                <w:rFonts w:ascii="Arial" w:hAnsi="Arial" w:cs="Arial"/>
                <w:sz w:val="18"/>
                <w:szCs w:val="18"/>
              </w:rPr>
            </w:pPr>
            <w:r w:rsidRPr="00E04C25">
              <w:rPr>
                <w:rFonts w:ascii="Arial" w:hAnsi="Arial" w:cs="Arial"/>
                <w:sz w:val="18"/>
                <w:szCs w:val="18"/>
              </w:rPr>
              <w:t xml:space="preserve">Řemeslníci a opraváři </w:t>
            </w:r>
          </w:p>
        </w:tc>
        <w:tc>
          <w:tcPr>
            <w:tcW w:w="992"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868,4 </w:t>
            </w:r>
          </w:p>
        </w:tc>
        <w:tc>
          <w:tcPr>
            <w:tcW w:w="851"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16,9</w:t>
            </w:r>
          </w:p>
        </w:tc>
        <w:tc>
          <w:tcPr>
            <w:tcW w:w="850"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865,0 </w:t>
            </w:r>
          </w:p>
        </w:tc>
        <w:tc>
          <w:tcPr>
            <w:tcW w:w="850"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16,6</w:t>
            </w:r>
          </w:p>
        </w:tc>
        <w:tc>
          <w:tcPr>
            <w:tcW w:w="824"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-3,4 </w:t>
            </w:r>
          </w:p>
        </w:tc>
        <w:tc>
          <w:tcPr>
            <w:tcW w:w="820" w:type="dxa"/>
            <w:tcBorders>
              <w:top w:val="nil"/>
              <w:left w:val="nil"/>
              <w:bottom w:val="nil"/>
              <w:right w:val="double" w:sz="6"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99,6</w:t>
            </w:r>
          </w:p>
        </w:tc>
      </w:tr>
      <w:tr w:rsidR="00B462CB" w:rsidRPr="00E04C25" w:rsidTr="00762875">
        <w:trPr>
          <w:trHeight w:val="284"/>
        </w:trPr>
        <w:tc>
          <w:tcPr>
            <w:tcW w:w="290" w:type="dxa"/>
            <w:tcBorders>
              <w:top w:val="nil"/>
              <w:left w:val="double" w:sz="6" w:space="0" w:color="auto"/>
              <w:bottom w:val="nil"/>
              <w:right w:val="single" w:sz="4" w:space="0" w:color="auto"/>
            </w:tcBorders>
            <w:shd w:val="clear" w:color="auto" w:fill="auto"/>
            <w:vAlign w:val="center"/>
          </w:tcPr>
          <w:p w:rsidR="00B462CB" w:rsidRPr="00E04C25" w:rsidRDefault="00B462CB" w:rsidP="00AE65A5">
            <w:pPr>
              <w:tabs>
                <w:tab w:val="left" w:pos="709"/>
              </w:tabs>
              <w:spacing w:line="320" w:lineRule="exact"/>
              <w:jc w:val="center"/>
              <w:rPr>
                <w:rFonts w:ascii="Arial" w:hAnsi="Arial" w:cs="Arial"/>
                <w:sz w:val="20"/>
                <w:szCs w:val="20"/>
              </w:rPr>
            </w:pPr>
            <w:r w:rsidRPr="00E04C25">
              <w:rPr>
                <w:rFonts w:ascii="Arial" w:hAnsi="Arial" w:cs="Arial"/>
                <w:sz w:val="20"/>
                <w:szCs w:val="20"/>
              </w:rPr>
              <w:t>8</w:t>
            </w:r>
          </w:p>
        </w:tc>
        <w:tc>
          <w:tcPr>
            <w:tcW w:w="3543" w:type="dxa"/>
            <w:tcBorders>
              <w:top w:val="nil"/>
              <w:left w:val="nil"/>
              <w:bottom w:val="nil"/>
              <w:right w:val="single" w:sz="4" w:space="0" w:color="auto"/>
            </w:tcBorders>
            <w:shd w:val="clear" w:color="auto" w:fill="auto"/>
            <w:noWrap/>
            <w:vAlign w:val="center"/>
          </w:tcPr>
          <w:p w:rsidR="00B462CB" w:rsidRPr="00E04C25" w:rsidRDefault="00B462CB" w:rsidP="00AE65A5">
            <w:pPr>
              <w:tabs>
                <w:tab w:val="left" w:pos="709"/>
              </w:tabs>
              <w:spacing w:line="320" w:lineRule="exact"/>
              <w:rPr>
                <w:rFonts w:ascii="Arial" w:hAnsi="Arial" w:cs="Arial"/>
                <w:sz w:val="18"/>
                <w:szCs w:val="18"/>
              </w:rPr>
            </w:pPr>
            <w:r w:rsidRPr="00E04C25">
              <w:rPr>
                <w:rFonts w:ascii="Arial" w:hAnsi="Arial" w:cs="Arial"/>
                <w:sz w:val="18"/>
                <w:szCs w:val="18"/>
              </w:rPr>
              <w:t xml:space="preserve">Obsluha strojů a zařízení </w:t>
            </w:r>
          </w:p>
        </w:tc>
        <w:tc>
          <w:tcPr>
            <w:tcW w:w="992"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701,6 </w:t>
            </w:r>
          </w:p>
        </w:tc>
        <w:tc>
          <w:tcPr>
            <w:tcW w:w="851"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13,7</w:t>
            </w:r>
          </w:p>
        </w:tc>
        <w:tc>
          <w:tcPr>
            <w:tcW w:w="850"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715,7 </w:t>
            </w:r>
          </w:p>
        </w:tc>
        <w:tc>
          <w:tcPr>
            <w:tcW w:w="850"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13,7</w:t>
            </w:r>
          </w:p>
        </w:tc>
        <w:tc>
          <w:tcPr>
            <w:tcW w:w="824" w:type="dxa"/>
            <w:tcBorders>
              <w:top w:val="nil"/>
              <w:left w:val="nil"/>
              <w:bottom w:val="nil"/>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14,1 </w:t>
            </w:r>
          </w:p>
        </w:tc>
        <w:tc>
          <w:tcPr>
            <w:tcW w:w="820" w:type="dxa"/>
            <w:tcBorders>
              <w:top w:val="nil"/>
              <w:left w:val="nil"/>
              <w:bottom w:val="nil"/>
              <w:right w:val="double" w:sz="6"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102,0</w:t>
            </w:r>
          </w:p>
        </w:tc>
      </w:tr>
      <w:tr w:rsidR="00B462CB" w:rsidRPr="00E04C25" w:rsidTr="00762875">
        <w:trPr>
          <w:trHeight w:val="284"/>
        </w:trPr>
        <w:tc>
          <w:tcPr>
            <w:tcW w:w="290" w:type="dxa"/>
            <w:tcBorders>
              <w:top w:val="nil"/>
              <w:left w:val="double" w:sz="6" w:space="0" w:color="auto"/>
              <w:bottom w:val="double" w:sz="6" w:space="0" w:color="auto"/>
              <w:right w:val="single" w:sz="4" w:space="0" w:color="auto"/>
            </w:tcBorders>
            <w:shd w:val="clear" w:color="auto" w:fill="auto"/>
            <w:vAlign w:val="center"/>
          </w:tcPr>
          <w:p w:rsidR="00B462CB" w:rsidRPr="00E04C25" w:rsidRDefault="00B462CB" w:rsidP="00AE65A5">
            <w:pPr>
              <w:tabs>
                <w:tab w:val="left" w:pos="709"/>
              </w:tabs>
              <w:spacing w:line="320" w:lineRule="exact"/>
              <w:jc w:val="center"/>
              <w:rPr>
                <w:rFonts w:ascii="Arial" w:hAnsi="Arial" w:cs="Arial"/>
                <w:sz w:val="20"/>
                <w:szCs w:val="20"/>
              </w:rPr>
            </w:pPr>
            <w:r w:rsidRPr="00E04C25">
              <w:rPr>
                <w:rFonts w:ascii="Arial" w:hAnsi="Arial" w:cs="Arial"/>
                <w:sz w:val="20"/>
                <w:szCs w:val="20"/>
              </w:rPr>
              <w:t>9</w:t>
            </w:r>
          </w:p>
        </w:tc>
        <w:tc>
          <w:tcPr>
            <w:tcW w:w="3543" w:type="dxa"/>
            <w:tcBorders>
              <w:top w:val="nil"/>
              <w:left w:val="nil"/>
              <w:bottom w:val="double" w:sz="6" w:space="0" w:color="auto"/>
              <w:right w:val="single" w:sz="4" w:space="0" w:color="auto"/>
            </w:tcBorders>
            <w:shd w:val="clear" w:color="auto" w:fill="auto"/>
            <w:vAlign w:val="center"/>
          </w:tcPr>
          <w:p w:rsidR="00B462CB" w:rsidRPr="00E04C25" w:rsidRDefault="00B462CB" w:rsidP="00AE65A5">
            <w:pPr>
              <w:tabs>
                <w:tab w:val="left" w:pos="709"/>
              </w:tabs>
              <w:spacing w:line="320" w:lineRule="exact"/>
              <w:rPr>
                <w:rFonts w:ascii="Arial" w:hAnsi="Arial" w:cs="Arial"/>
                <w:sz w:val="18"/>
                <w:szCs w:val="18"/>
              </w:rPr>
            </w:pPr>
            <w:r w:rsidRPr="00E04C25">
              <w:rPr>
                <w:rFonts w:ascii="Arial" w:hAnsi="Arial" w:cs="Arial"/>
                <w:sz w:val="18"/>
                <w:szCs w:val="18"/>
              </w:rPr>
              <w:t>Pomocní a nekvalifikovaní pracovníci</w:t>
            </w:r>
          </w:p>
        </w:tc>
        <w:tc>
          <w:tcPr>
            <w:tcW w:w="992" w:type="dxa"/>
            <w:tcBorders>
              <w:top w:val="nil"/>
              <w:left w:val="nil"/>
              <w:bottom w:val="double" w:sz="6" w:space="0" w:color="auto"/>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284,3 </w:t>
            </w:r>
          </w:p>
        </w:tc>
        <w:tc>
          <w:tcPr>
            <w:tcW w:w="851" w:type="dxa"/>
            <w:tcBorders>
              <w:top w:val="nil"/>
              <w:left w:val="nil"/>
              <w:bottom w:val="double" w:sz="6" w:space="0" w:color="auto"/>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5,5</w:t>
            </w:r>
          </w:p>
        </w:tc>
        <w:tc>
          <w:tcPr>
            <w:tcW w:w="850" w:type="dxa"/>
            <w:tcBorders>
              <w:top w:val="nil"/>
              <w:left w:val="nil"/>
              <w:bottom w:val="double" w:sz="6" w:space="0" w:color="auto"/>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276,7 </w:t>
            </w:r>
          </w:p>
        </w:tc>
        <w:tc>
          <w:tcPr>
            <w:tcW w:w="850" w:type="dxa"/>
            <w:tcBorders>
              <w:top w:val="nil"/>
              <w:left w:val="nil"/>
              <w:bottom w:val="double" w:sz="6" w:space="0" w:color="auto"/>
              <w:right w:val="single" w:sz="4"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5,3</w:t>
            </w:r>
          </w:p>
        </w:tc>
        <w:tc>
          <w:tcPr>
            <w:tcW w:w="824" w:type="dxa"/>
            <w:tcBorders>
              <w:top w:val="nil"/>
              <w:left w:val="nil"/>
              <w:bottom w:val="double" w:sz="6" w:space="0" w:color="auto"/>
              <w:right w:val="single" w:sz="4" w:space="0" w:color="auto"/>
            </w:tcBorders>
            <w:shd w:val="clear" w:color="auto" w:fill="auto"/>
            <w:noWrap/>
            <w:vAlign w:val="center"/>
          </w:tcPr>
          <w:p w:rsidR="00B462CB" w:rsidRPr="00E04C25" w:rsidRDefault="00B462CB">
            <w:pPr>
              <w:jc w:val="right"/>
              <w:rPr>
                <w:rFonts w:ascii="Arial" w:hAnsi="Arial" w:cs="Arial"/>
                <w:sz w:val="18"/>
                <w:szCs w:val="18"/>
              </w:rPr>
            </w:pPr>
            <w:r w:rsidRPr="00E04C25">
              <w:rPr>
                <w:rFonts w:ascii="Arial" w:hAnsi="Arial" w:cs="Arial"/>
                <w:sz w:val="18"/>
                <w:szCs w:val="18"/>
              </w:rPr>
              <w:t xml:space="preserve">-7,6 </w:t>
            </w:r>
          </w:p>
        </w:tc>
        <w:tc>
          <w:tcPr>
            <w:tcW w:w="820" w:type="dxa"/>
            <w:tcBorders>
              <w:top w:val="nil"/>
              <w:left w:val="nil"/>
              <w:bottom w:val="double" w:sz="6" w:space="0" w:color="auto"/>
              <w:right w:val="double" w:sz="6" w:space="0" w:color="auto"/>
            </w:tcBorders>
            <w:shd w:val="clear" w:color="auto" w:fill="auto"/>
            <w:noWrap/>
            <w:vAlign w:val="center"/>
          </w:tcPr>
          <w:p w:rsidR="00B462CB" w:rsidRPr="00E04C25" w:rsidRDefault="00B462CB">
            <w:pPr>
              <w:jc w:val="right"/>
              <w:rPr>
                <w:rFonts w:ascii="Arial" w:hAnsi="Arial" w:cs="Arial"/>
                <w:bCs/>
                <w:sz w:val="18"/>
                <w:szCs w:val="18"/>
              </w:rPr>
            </w:pPr>
            <w:r w:rsidRPr="00E04C25">
              <w:rPr>
                <w:rFonts w:ascii="Arial" w:hAnsi="Arial" w:cs="Arial"/>
                <w:bCs/>
                <w:sz w:val="18"/>
                <w:szCs w:val="18"/>
              </w:rPr>
              <w:t>97,3</w:t>
            </w:r>
          </w:p>
        </w:tc>
      </w:tr>
    </w:tbl>
    <w:p w:rsidR="00E63B0C" w:rsidRPr="00E04C25" w:rsidRDefault="00762875" w:rsidP="00AB66E9">
      <w:pPr>
        <w:tabs>
          <w:tab w:val="left" w:pos="709"/>
        </w:tabs>
        <w:jc w:val="both"/>
        <w:rPr>
          <w:rFonts w:ascii="Arial" w:hAnsi="Arial" w:cs="Arial"/>
          <w:i/>
          <w:iCs/>
          <w:sz w:val="20"/>
          <w:szCs w:val="20"/>
        </w:rPr>
      </w:pPr>
      <w:r w:rsidRPr="00E04C25">
        <w:rPr>
          <w:rFonts w:ascii="Arial" w:hAnsi="Arial" w:cs="Arial"/>
          <w:i/>
          <w:iCs/>
          <w:sz w:val="20"/>
          <w:szCs w:val="20"/>
        </w:rPr>
        <w:t>Zdroj: ČSÚ – VŠPS</w:t>
      </w:r>
      <w:bookmarkStart w:id="84" w:name="_Toc53888302"/>
      <w:bookmarkStart w:id="85" w:name="_Toc53888565"/>
      <w:bookmarkStart w:id="86" w:name="_Toc69281068"/>
      <w:bookmarkStart w:id="87" w:name="_Toc71015620"/>
      <w:bookmarkStart w:id="88" w:name="_Toc85008445"/>
      <w:bookmarkStart w:id="89" w:name="_Toc101149459"/>
      <w:bookmarkStart w:id="90" w:name="_Toc102269848"/>
      <w:bookmarkStart w:id="91" w:name="_Toc116354706"/>
      <w:bookmarkStart w:id="92" w:name="_Toc116354795"/>
      <w:bookmarkStart w:id="93" w:name="_Toc116355031"/>
      <w:bookmarkStart w:id="94" w:name="_Toc149033457"/>
      <w:bookmarkStart w:id="95" w:name="_Toc179787903"/>
      <w:bookmarkStart w:id="96" w:name="_Toc211067151"/>
      <w:bookmarkStart w:id="97" w:name="_Toc258997889"/>
      <w:bookmarkStart w:id="98" w:name="_Toc274310691"/>
      <w:bookmarkStart w:id="99" w:name="_Toc383686937"/>
    </w:p>
    <w:p w:rsidR="00256114" w:rsidRPr="00E04C25" w:rsidRDefault="00256114" w:rsidP="00AB66E9">
      <w:pPr>
        <w:tabs>
          <w:tab w:val="left" w:pos="709"/>
        </w:tabs>
        <w:jc w:val="both"/>
        <w:rPr>
          <w:rFonts w:ascii="Arial" w:hAnsi="Arial" w:cs="Arial"/>
          <w:i/>
          <w:iCs/>
          <w:sz w:val="20"/>
          <w:szCs w:val="20"/>
        </w:rPr>
      </w:pPr>
    </w:p>
    <w:p w:rsidR="00256114" w:rsidRPr="00E04C25" w:rsidRDefault="00256114" w:rsidP="00256114">
      <w:pPr>
        <w:tabs>
          <w:tab w:val="left" w:pos="709"/>
        </w:tabs>
        <w:spacing w:line="360" w:lineRule="auto"/>
        <w:jc w:val="both"/>
        <w:rPr>
          <w:rFonts w:ascii="Arial" w:hAnsi="Arial" w:cs="Arial"/>
        </w:rPr>
      </w:pPr>
      <w:r w:rsidRPr="00E04C25">
        <w:rPr>
          <w:rFonts w:ascii="Arial" w:hAnsi="Arial" w:cs="Arial"/>
        </w:rPr>
        <w:tab/>
        <w:t>Nejvíce osob pracovalo</w:t>
      </w:r>
      <w:r w:rsidRPr="00E04C25">
        <w:rPr>
          <w:rFonts w:ascii="Arial" w:hAnsi="Arial" w:cs="Arial"/>
          <w:b/>
        </w:rPr>
        <w:t xml:space="preserve"> </w:t>
      </w:r>
      <w:r w:rsidRPr="00E04C25">
        <w:rPr>
          <w:rFonts w:ascii="Arial" w:hAnsi="Arial" w:cs="Arial"/>
        </w:rPr>
        <w:t>ve třídě 3</w:t>
      </w:r>
      <w:r w:rsidRPr="00E04C25">
        <w:rPr>
          <w:rFonts w:ascii="Arial" w:hAnsi="Arial" w:cs="Arial"/>
          <w:b/>
        </w:rPr>
        <w:t xml:space="preserve"> </w:t>
      </w:r>
      <w:r w:rsidRPr="00E04C25">
        <w:rPr>
          <w:rFonts w:ascii="Arial" w:hAnsi="Arial" w:cs="Arial"/>
        </w:rPr>
        <w:t xml:space="preserve">– </w:t>
      </w:r>
      <w:r w:rsidRPr="00E04C25">
        <w:rPr>
          <w:rFonts w:ascii="Arial" w:hAnsi="Arial" w:cs="Arial"/>
          <w:b/>
        </w:rPr>
        <w:t>techničtí a odborní pracovníci</w:t>
      </w:r>
      <w:r w:rsidRPr="00E04C25">
        <w:rPr>
          <w:rFonts w:ascii="Arial" w:hAnsi="Arial" w:cs="Arial"/>
        </w:rPr>
        <w:t xml:space="preserve"> (17,8 %)</w:t>
      </w:r>
      <w:r w:rsidRPr="00E04C25">
        <w:rPr>
          <w:rFonts w:ascii="Arial" w:hAnsi="Arial" w:cs="Arial"/>
          <w:b/>
        </w:rPr>
        <w:t xml:space="preserve"> </w:t>
      </w:r>
      <w:r w:rsidRPr="00E04C25">
        <w:rPr>
          <w:rFonts w:ascii="Arial" w:hAnsi="Arial" w:cs="Arial"/>
        </w:rPr>
        <w:t>a třídě 7</w:t>
      </w:r>
      <w:r w:rsidRPr="00E04C25">
        <w:rPr>
          <w:rFonts w:ascii="Arial" w:hAnsi="Arial" w:cs="Arial"/>
          <w:b/>
        </w:rPr>
        <w:t xml:space="preserve"> </w:t>
      </w:r>
      <w:r w:rsidRPr="00E04C25">
        <w:rPr>
          <w:rFonts w:ascii="Arial" w:hAnsi="Arial" w:cs="Arial"/>
        </w:rPr>
        <w:t xml:space="preserve">– </w:t>
      </w:r>
      <w:r w:rsidRPr="00E04C25">
        <w:rPr>
          <w:rFonts w:ascii="Arial" w:hAnsi="Arial" w:cs="Arial"/>
          <w:b/>
        </w:rPr>
        <w:t>řemeslníci a opraváři</w:t>
      </w:r>
      <w:r w:rsidRPr="00E04C25">
        <w:rPr>
          <w:rFonts w:ascii="Arial" w:hAnsi="Arial" w:cs="Arial"/>
        </w:rPr>
        <w:t xml:space="preserve"> (16,6 %).</w:t>
      </w:r>
      <w:r w:rsidRPr="00E04C25">
        <w:rPr>
          <w:rFonts w:ascii="Arial" w:hAnsi="Arial" w:cs="Arial"/>
          <w:b/>
        </w:rPr>
        <w:t xml:space="preserve"> </w:t>
      </w:r>
      <w:r w:rsidRPr="00E04C25">
        <w:rPr>
          <w:rFonts w:ascii="Arial" w:hAnsi="Arial" w:cs="Arial"/>
        </w:rPr>
        <w:t xml:space="preserve">Ve třídě 7 pracovalo </w:t>
      </w:r>
      <w:r w:rsidRPr="00E04C25">
        <w:rPr>
          <w:rFonts w:ascii="Arial" w:hAnsi="Arial" w:cs="Arial"/>
          <w:b/>
        </w:rPr>
        <w:t xml:space="preserve">nejvíce mužů </w:t>
      </w:r>
      <w:r w:rsidRPr="00E04C25">
        <w:rPr>
          <w:rFonts w:ascii="Arial" w:hAnsi="Arial" w:cs="Arial"/>
        </w:rPr>
        <w:t xml:space="preserve">(26,4 % z celkového počtu zaměstnaných mužů). Naopak </w:t>
      </w:r>
      <w:r w:rsidRPr="00E04C25">
        <w:rPr>
          <w:rFonts w:ascii="Arial" w:hAnsi="Arial" w:cs="Arial"/>
          <w:b/>
        </w:rPr>
        <w:t>nejvíce žen</w:t>
      </w:r>
      <w:r w:rsidRPr="00E04C25">
        <w:rPr>
          <w:rFonts w:ascii="Arial" w:hAnsi="Arial" w:cs="Arial"/>
        </w:rPr>
        <w:t xml:space="preserve"> (22,2 % </w:t>
      </w:r>
      <w:r w:rsidRPr="00E04C25">
        <w:rPr>
          <w:rFonts w:ascii="Arial" w:hAnsi="Arial" w:cs="Arial"/>
        </w:rPr>
        <w:lastRenderedPageBreak/>
        <w:t>z celkového počtu zaměstnaných žen) bylo zařazeno</w:t>
      </w:r>
      <w:r w:rsidRPr="00E04C25">
        <w:rPr>
          <w:rFonts w:ascii="Arial" w:hAnsi="Arial" w:cs="Arial"/>
          <w:b/>
        </w:rPr>
        <w:t xml:space="preserve"> </w:t>
      </w:r>
      <w:r w:rsidRPr="00E04C25">
        <w:rPr>
          <w:rFonts w:ascii="Arial" w:hAnsi="Arial" w:cs="Arial"/>
        </w:rPr>
        <w:t>v</w:t>
      </w:r>
      <w:r w:rsidR="00E73332" w:rsidRPr="00E04C25">
        <w:rPr>
          <w:rFonts w:ascii="Arial" w:hAnsi="Arial" w:cs="Arial"/>
        </w:rPr>
        <w:t>e</w:t>
      </w:r>
      <w:r w:rsidRPr="00E04C25">
        <w:rPr>
          <w:rFonts w:ascii="Arial" w:hAnsi="Arial" w:cs="Arial"/>
          <w:b/>
        </w:rPr>
        <w:t xml:space="preserve"> </w:t>
      </w:r>
      <w:r w:rsidRPr="00E04C25">
        <w:rPr>
          <w:rFonts w:ascii="Arial" w:hAnsi="Arial" w:cs="Arial"/>
        </w:rPr>
        <w:t xml:space="preserve">třídě 5 - </w:t>
      </w:r>
      <w:r w:rsidRPr="00E04C25">
        <w:rPr>
          <w:rFonts w:ascii="Arial" w:hAnsi="Arial" w:cs="Arial"/>
          <w:b/>
        </w:rPr>
        <w:t>pracovníci ve službách a prodeji</w:t>
      </w:r>
      <w:r w:rsidRPr="00E04C25">
        <w:rPr>
          <w:rFonts w:ascii="Arial" w:hAnsi="Arial" w:cs="Arial"/>
        </w:rPr>
        <w:t>. </w:t>
      </w:r>
    </w:p>
    <w:p w:rsidR="00256114" w:rsidRPr="00E04C25" w:rsidRDefault="00256114" w:rsidP="00AB66E9">
      <w:pPr>
        <w:tabs>
          <w:tab w:val="left" w:pos="709"/>
        </w:tabs>
        <w:jc w:val="both"/>
        <w:rPr>
          <w:rFonts w:ascii="Arial" w:hAnsi="Arial" w:cs="Arial"/>
          <w:i/>
          <w:iCs/>
          <w:sz w:val="20"/>
          <w:szCs w:val="20"/>
        </w:rPr>
      </w:pPr>
    </w:p>
    <w:p w:rsidR="00E63B0C" w:rsidRPr="00E04C25" w:rsidRDefault="00E63B0C" w:rsidP="00AE65A5">
      <w:pPr>
        <w:pStyle w:val="Styl2"/>
        <w:tabs>
          <w:tab w:val="clear" w:pos="720"/>
          <w:tab w:val="left" w:pos="709"/>
          <w:tab w:val="num" w:pos="900"/>
        </w:tabs>
        <w:ind w:hanging="174"/>
        <w:rPr>
          <w:color w:val="auto"/>
        </w:rPr>
      </w:pPr>
      <w:bookmarkStart w:id="100" w:name="_Toc400528521"/>
      <w:bookmarkStart w:id="101" w:name="_Toc404672662"/>
      <w:bookmarkStart w:id="102" w:name="_Toc513198674"/>
      <w:r w:rsidRPr="00E04C25">
        <w:rPr>
          <w:color w:val="auto"/>
        </w:rPr>
        <w:t>Vzdělanostní struktura zaměstnanosti</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E63B0C" w:rsidRPr="00E04C25" w:rsidRDefault="00E63B0C" w:rsidP="00AE65A5">
      <w:pPr>
        <w:pStyle w:val="Styl2"/>
        <w:numPr>
          <w:ilvl w:val="0"/>
          <w:numId w:val="0"/>
        </w:numPr>
        <w:tabs>
          <w:tab w:val="clear" w:pos="720"/>
          <w:tab w:val="left" w:pos="709"/>
          <w:tab w:val="num" w:pos="900"/>
        </w:tabs>
        <w:ind w:left="714"/>
        <w:rPr>
          <w:color w:val="auto"/>
          <w:sz w:val="16"/>
          <w:szCs w:val="16"/>
        </w:rPr>
      </w:pPr>
    </w:p>
    <w:p w:rsidR="00BA2CE8" w:rsidRPr="00E04C25" w:rsidRDefault="00AB66E9" w:rsidP="00AB66E9">
      <w:pPr>
        <w:tabs>
          <w:tab w:val="left" w:pos="0"/>
        </w:tabs>
        <w:spacing w:line="360" w:lineRule="auto"/>
        <w:ind w:firstLine="709"/>
        <w:jc w:val="both"/>
        <w:rPr>
          <w:rFonts w:ascii="Arial" w:hAnsi="Arial" w:cs="Arial"/>
          <w:b/>
        </w:rPr>
      </w:pPr>
      <w:r w:rsidRPr="00E04C25">
        <w:rPr>
          <w:rFonts w:ascii="Arial" w:hAnsi="Arial" w:cs="Arial"/>
        </w:rPr>
        <w:t xml:space="preserve">Nejvýraznější nárůst v absolutním vyjádření byl </w:t>
      </w:r>
      <w:r w:rsidR="00CF383E" w:rsidRPr="00E04C25">
        <w:rPr>
          <w:rFonts w:ascii="Arial" w:hAnsi="Arial" w:cs="Arial"/>
        </w:rPr>
        <w:t>v roce 2017</w:t>
      </w:r>
      <w:r w:rsidR="00725E3C" w:rsidRPr="00E04C25">
        <w:rPr>
          <w:rFonts w:ascii="Arial" w:hAnsi="Arial" w:cs="Arial"/>
        </w:rPr>
        <w:t xml:space="preserve"> </w:t>
      </w:r>
      <w:r w:rsidRPr="00E04C25">
        <w:rPr>
          <w:rFonts w:ascii="Arial" w:hAnsi="Arial" w:cs="Arial"/>
        </w:rPr>
        <w:t>zaznamenán u</w:t>
      </w:r>
      <w:r w:rsidR="00CF383E" w:rsidRPr="00E04C25">
        <w:rPr>
          <w:rFonts w:ascii="Arial" w:hAnsi="Arial" w:cs="Arial"/>
        </w:rPr>
        <w:t> </w:t>
      </w:r>
      <w:r w:rsidRPr="00E04C25">
        <w:rPr>
          <w:rFonts w:ascii="Arial" w:hAnsi="Arial" w:cs="Arial"/>
        </w:rPr>
        <w:t xml:space="preserve">pracujících </w:t>
      </w:r>
      <w:r w:rsidR="00CA6D96" w:rsidRPr="00E04C25">
        <w:rPr>
          <w:rFonts w:ascii="Arial" w:hAnsi="Arial" w:cs="Arial"/>
          <w:b/>
        </w:rPr>
        <w:t>s</w:t>
      </w:r>
      <w:r w:rsidR="00B31A40" w:rsidRPr="00E04C25">
        <w:rPr>
          <w:rFonts w:ascii="Arial" w:hAnsi="Arial" w:cs="Arial"/>
        </w:rPr>
        <w:t> </w:t>
      </w:r>
      <w:r w:rsidR="00CA6D96" w:rsidRPr="00E04C25">
        <w:rPr>
          <w:rFonts w:ascii="Arial" w:hAnsi="Arial" w:cs="Arial"/>
          <w:b/>
        </w:rPr>
        <w:t xml:space="preserve">vysokoškolským vzděláním </w:t>
      </w:r>
      <w:r w:rsidR="00CA6D96" w:rsidRPr="00E04C25">
        <w:rPr>
          <w:rFonts w:ascii="Arial" w:hAnsi="Arial" w:cs="Arial"/>
        </w:rPr>
        <w:t>(o 5</w:t>
      </w:r>
      <w:r w:rsidRPr="00E04C25">
        <w:rPr>
          <w:rFonts w:ascii="Arial" w:hAnsi="Arial" w:cs="Arial"/>
        </w:rPr>
        <w:t>3</w:t>
      </w:r>
      <w:r w:rsidR="00CA6D96" w:rsidRPr="00E04C25">
        <w:rPr>
          <w:rFonts w:ascii="Arial" w:hAnsi="Arial" w:cs="Arial"/>
        </w:rPr>
        <w:t>,</w:t>
      </w:r>
      <w:r w:rsidRPr="00E04C25">
        <w:rPr>
          <w:rFonts w:ascii="Arial" w:hAnsi="Arial" w:cs="Arial"/>
        </w:rPr>
        <w:t>6</w:t>
      </w:r>
      <w:r w:rsidR="00CA6D96" w:rsidRPr="00E04C25">
        <w:rPr>
          <w:rFonts w:ascii="Arial" w:hAnsi="Arial" w:cs="Arial"/>
        </w:rPr>
        <w:t> tis.)</w:t>
      </w:r>
      <w:r w:rsidRPr="00E04C25">
        <w:rPr>
          <w:rFonts w:ascii="Arial" w:hAnsi="Arial" w:cs="Arial"/>
        </w:rPr>
        <w:t xml:space="preserve">. Jejich počet se zvýšil </w:t>
      </w:r>
      <w:r w:rsidR="00CA6D96" w:rsidRPr="00E04C25">
        <w:rPr>
          <w:rFonts w:ascii="Arial" w:hAnsi="Arial" w:cs="Arial"/>
          <w:b/>
        </w:rPr>
        <w:t>na 1 2</w:t>
      </w:r>
      <w:r w:rsidRPr="00E04C25">
        <w:rPr>
          <w:rFonts w:ascii="Arial" w:hAnsi="Arial" w:cs="Arial"/>
          <w:b/>
        </w:rPr>
        <w:t>83</w:t>
      </w:r>
      <w:r w:rsidR="00CA6D96" w:rsidRPr="00E04C25">
        <w:rPr>
          <w:rFonts w:ascii="Arial" w:hAnsi="Arial" w:cs="Arial"/>
          <w:b/>
        </w:rPr>
        <w:t>,</w:t>
      </w:r>
      <w:r w:rsidRPr="00E04C25">
        <w:rPr>
          <w:rFonts w:ascii="Arial" w:hAnsi="Arial" w:cs="Arial"/>
          <w:b/>
        </w:rPr>
        <w:t>0</w:t>
      </w:r>
      <w:r w:rsidR="00CA6D96" w:rsidRPr="00E04C25">
        <w:rPr>
          <w:rFonts w:ascii="Arial" w:hAnsi="Arial" w:cs="Arial"/>
          <w:b/>
        </w:rPr>
        <w:t> tis</w:t>
      </w:r>
      <w:r w:rsidR="00CA6D96" w:rsidRPr="00E04C25">
        <w:rPr>
          <w:rFonts w:ascii="Arial" w:hAnsi="Arial" w:cs="Arial"/>
        </w:rPr>
        <w:t xml:space="preserve">. </w:t>
      </w:r>
      <w:r w:rsidRPr="00E04C25">
        <w:rPr>
          <w:rFonts w:ascii="Arial" w:hAnsi="Arial" w:cs="Arial"/>
        </w:rPr>
        <w:t xml:space="preserve">Výrazný nárůst byl zaznamenán </w:t>
      </w:r>
      <w:r w:rsidR="00CF383E" w:rsidRPr="00E04C25">
        <w:rPr>
          <w:rFonts w:ascii="Arial" w:hAnsi="Arial" w:cs="Arial"/>
        </w:rPr>
        <w:t xml:space="preserve">také </w:t>
      </w:r>
      <w:r w:rsidRPr="00E04C25">
        <w:rPr>
          <w:rFonts w:ascii="Arial" w:hAnsi="Arial" w:cs="Arial"/>
        </w:rPr>
        <w:t xml:space="preserve">v nejpočetnější skupině osob se </w:t>
      </w:r>
      <w:r w:rsidRPr="00E04C25">
        <w:rPr>
          <w:rFonts w:ascii="Arial" w:hAnsi="Arial" w:cs="Arial"/>
          <w:b/>
        </w:rPr>
        <w:t>středním vzděláním s maturitou</w:t>
      </w:r>
      <w:r w:rsidRPr="00E04C25">
        <w:rPr>
          <w:rFonts w:ascii="Arial" w:hAnsi="Arial" w:cs="Arial"/>
        </w:rPr>
        <w:t xml:space="preserve"> </w:t>
      </w:r>
      <w:r w:rsidR="00CF383E" w:rsidRPr="00E04C25">
        <w:rPr>
          <w:rFonts w:ascii="Arial" w:hAnsi="Arial" w:cs="Arial"/>
        </w:rPr>
        <w:t>(</w:t>
      </w:r>
      <w:r w:rsidRPr="00E04C25">
        <w:rPr>
          <w:rFonts w:ascii="Arial" w:hAnsi="Arial" w:cs="Arial"/>
        </w:rPr>
        <w:t xml:space="preserve">o 49,3 tis.) </w:t>
      </w:r>
      <w:r w:rsidRPr="00E04C25">
        <w:rPr>
          <w:rFonts w:ascii="Arial" w:hAnsi="Arial" w:cs="Arial"/>
          <w:b/>
        </w:rPr>
        <w:t>na 1 945,2 tis.</w:t>
      </w:r>
      <w:r w:rsidRPr="00E04C25">
        <w:rPr>
          <w:rFonts w:ascii="Arial" w:hAnsi="Arial" w:cs="Arial"/>
        </w:rPr>
        <w:t xml:space="preserve"> </w:t>
      </w:r>
      <w:r w:rsidR="00CA6D96" w:rsidRPr="00E04C25">
        <w:rPr>
          <w:rFonts w:ascii="Arial" w:hAnsi="Arial" w:cs="Arial"/>
        </w:rPr>
        <w:t xml:space="preserve">Relativně </w:t>
      </w:r>
      <w:r w:rsidRPr="00E04C25">
        <w:rPr>
          <w:rFonts w:ascii="Arial" w:hAnsi="Arial" w:cs="Arial"/>
        </w:rPr>
        <w:t xml:space="preserve">nejvíce </w:t>
      </w:r>
      <w:r w:rsidR="000711C3" w:rsidRPr="00E04C25">
        <w:rPr>
          <w:rFonts w:ascii="Arial" w:hAnsi="Arial" w:cs="Arial"/>
        </w:rPr>
        <w:t xml:space="preserve">se zvýšil </w:t>
      </w:r>
      <w:r w:rsidR="00CA6D96" w:rsidRPr="00E04C25">
        <w:rPr>
          <w:rFonts w:ascii="Arial" w:hAnsi="Arial" w:cs="Arial"/>
        </w:rPr>
        <w:t xml:space="preserve">počet </w:t>
      </w:r>
      <w:r w:rsidR="00762875" w:rsidRPr="00E04C25">
        <w:rPr>
          <w:rFonts w:ascii="Arial" w:hAnsi="Arial" w:cs="Arial"/>
        </w:rPr>
        <w:t xml:space="preserve">zaměstnaných </w:t>
      </w:r>
      <w:r w:rsidR="00CA6D96" w:rsidRPr="00E04C25">
        <w:rPr>
          <w:rFonts w:ascii="Arial" w:hAnsi="Arial" w:cs="Arial"/>
          <w:b/>
        </w:rPr>
        <w:t>se základním vzděláním</w:t>
      </w:r>
      <w:r w:rsidR="00CA6D96" w:rsidRPr="00E04C25">
        <w:rPr>
          <w:rFonts w:ascii="Arial" w:hAnsi="Arial" w:cs="Arial"/>
        </w:rPr>
        <w:t xml:space="preserve"> vč. bez vzdělání (o </w:t>
      </w:r>
      <w:r w:rsidRPr="00E04C25">
        <w:rPr>
          <w:rFonts w:ascii="Arial" w:hAnsi="Arial" w:cs="Arial"/>
        </w:rPr>
        <w:t>6</w:t>
      </w:r>
      <w:r w:rsidR="00CA6D96" w:rsidRPr="00E04C25">
        <w:rPr>
          <w:rFonts w:ascii="Arial" w:hAnsi="Arial" w:cs="Arial"/>
        </w:rPr>
        <w:t>,</w:t>
      </w:r>
      <w:r w:rsidRPr="00E04C25">
        <w:rPr>
          <w:rFonts w:ascii="Arial" w:hAnsi="Arial" w:cs="Arial"/>
        </w:rPr>
        <w:t>8</w:t>
      </w:r>
      <w:r w:rsidR="00CA6D96" w:rsidRPr="00E04C25">
        <w:rPr>
          <w:rFonts w:ascii="Arial" w:hAnsi="Arial" w:cs="Arial"/>
        </w:rPr>
        <w:t> </w:t>
      </w:r>
      <w:r w:rsidRPr="00E04C25">
        <w:rPr>
          <w:rFonts w:ascii="Arial" w:hAnsi="Arial" w:cs="Arial"/>
        </w:rPr>
        <w:t>%</w:t>
      </w:r>
      <w:r w:rsidR="00CA6D96" w:rsidRPr="00E04C25">
        <w:rPr>
          <w:rFonts w:ascii="Arial" w:hAnsi="Arial" w:cs="Arial"/>
        </w:rPr>
        <w:t xml:space="preserve">), a to </w:t>
      </w:r>
      <w:r w:rsidR="00CA6D96" w:rsidRPr="00E04C25">
        <w:rPr>
          <w:rFonts w:ascii="Arial" w:hAnsi="Arial" w:cs="Arial"/>
          <w:b/>
        </w:rPr>
        <w:t>na 2</w:t>
      </w:r>
      <w:r w:rsidRPr="00E04C25">
        <w:rPr>
          <w:rFonts w:ascii="Arial" w:hAnsi="Arial" w:cs="Arial"/>
          <w:b/>
        </w:rPr>
        <w:t>24</w:t>
      </w:r>
      <w:r w:rsidR="00CA6D96" w:rsidRPr="00E04C25">
        <w:rPr>
          <w:rFonts w:ascii="Arial" w:hAnsi="Arial" w:cs="Arial"/>
          <w:b/>
        </w:rPr>
        <w:t>,</w:t>
      </w:r>
      <w:r w:rsidRPr="00E04C25">
        <w:rPr>
          <w:rFonts w:ascii="Arial" w:hAnsi="Arial" w:cs="Arial"/>
          <w:b/>
        </w:rPr>
        <w:t>2</w:t>
      </w:r>
      <w:r w:rsidR="00CA6D96" w:rsidRPr="00E04C25">
        <w:rPr>
          <w:rFonts w:ascii="Arial" w:hAnsi="Arial" w:cs="Arial"/>
          <w:b/>
        </w:rPr>
        <w:t> tis.</w:t>
      </w:r>
      <w:r w:rsidR="00CA6D96" w:rsidRPr="00E04C25">
        <w:rPr>
          <w:rFonts w:ascii="Arial" w:hAnsi="Arial" w:cs="Arial"/>
        </w:rPr>
        <w:t xml:space="preserve"> V</w:t>
      </w:r>
      <w:r w:rsidRPr="00E04C25">
        <w:rPr>
          <w:rFonts w:ascii="Arial" w:hAnsi="Arial" w:cs="Arial"/>
        </w:rPr>
        <w:t>e</w:t>
      </w:r>
      <w:r w:rsidR="00CA6D96" w:rsidRPr="00E04C25">
        <w:rPr>
          <w:rFonts w:ascii="Arial" w:hAnsi="Arial" w:cs="Arial"/>
        </w:rPr>
        <w:t xml:space="preserve"> skupině osob </w:t>
      </w:r>
      <w:r w:rsidR="00CA6D96" w:rsidRPr="00E04C25">
        <w:rPr>
          <w:rFonts w:ascii="Arial" w:hAnsi="Arial" w:cs="Arial"/>
          <w:b/>
        </w:rPr>
        <w:t xml:space="preserve">se středoškolským vzděláním </w:t>
      </w:r>
      <w:r w:rsidRPr="00E04C25">
        <w:rPr>
          <w:rFonts w:ascii="Arial" w:hAnsi="Arial" w:cs="Arial"/>
          <w:b/>
        </w:rPr>
        <w:t>bez</w:t>
      </w:r>
      <w:r w:rsidR="00CA6D96" w:rsidRPr="00E04C25">
        <w:rPr>
          <w:rFonts w:ascii="Arial" w:hAnsi="Arial" w:cs="Arial"/>
          <w:b/>
        </w:rPr>
        <w:t> maturit</w:t>
      </w:r>
      <w:r w:rsidRPr="00E04C25">
        <w:rPr>
          <w:rFonts w:ascii="Arial" w:hAnsi="Arial" w:cs="Arial"/>
          <w:b/>
        </w:rPr>
        <w:t>y</w:t>
      </w:r>
      <w:r w:rsidR="00CA6D96" w:rsidRPr="00E04C25">
        <w:rPr>
          <w:rFonts w:ascii="Arial" w:hAnsi="Arial" w:cs="Arial"/>
        </w:rPr>
        <w:t xml:space="preserve"> se počet pracujících </w:t>
      </w:r>
      <w:r w:rsidRPr="00E04C25">
        <w:rPr>
          <w:rFonts w:ascii="Arial" w:hAnsi="Arial" w:cs="Arial"/>
        </w:rPr>
        <w:t xml:space="preserve">poměrně výrazně </w:t>
      </w:r>
      <w:r w:rsidRPr="00E04C25">
        <w:rPr>
          <w:rFonts w:ascii="Arial" w:hAnsi="Arial" w:cs="Arial"/>
          <w:b/>
        </w:rPr>
        <w:t>snížil</w:t>
      </w:r>
      <w:r w:rsidRPr="00E04C25">
        <w:rPr>
          <w:rFonts w:ascii="Arial" w:hAnsi="Arial" w:cs="Arial"/>
        </w:rPr>
        <w:t xml:space="preserve"> </w:t>
      </w:r>
      <w:r w:rsidR="00B31A40" w:rsidRPr="00E04C25">
        <w:rPr>
          <w:rFonts w:ascii="Arial" w:hAnsi="Arial" w:cs="Arial"/>
        </w:rPr>
        <w:t>(o </w:t>
      </w:r>
      <w:r w:rsidRPr="00E04C25">
        <w:rPr>
          <w:rFonts w:ascii="Arial" w:hAnsi="Arial" w:cs="Arial"/>
        </w:rPr>
        <w:t>3</w:t>
      </w:r>
      <w:r w:rsidR="00B31A40" w:rsidRPr="00E04C25">
        <w:rPr>
          <w:rFonts w:ascii="Arial" w:hAnsi="Arial" w:cs="Arial"/>
        </w:rPr>
        <w:t>4,</w:t>
      </w:r>
      <w:r w:rsidRPr="00E04C25">
        <w:rPr>
          <w:rFonts w:ascii="Arial" w:hAnsi="Arial" w:cs="Arial"/>
        </w:rPr>
        <w:t>5</w:t>
      </w:r>
      <w:r w:rsidR="00B31A40" w:rsidRPr="00E04C25">
        <w:rPr>
          <w:rFonts w:ascii="Arial" w:hAnsi="Arial" w:cs="Arial"/>
        </w:rPr>
        <w:t> tis.)</w:t>
      </w:r>
      <w:r w:rsidRPr="00E04C25">
        <w:rPr>
          <w:rFonts w:ascii="Arial" w:hAnsi="Arial" w:cs="Arial"/>
        </w:rPr>
        <w:t xml:space="preserve"> </w:t>
      </w:r>
      <w:r w:rsidRPr="00E04C25">
        <w:rPr>
          <w:rFonts w:ascii="Arial" w:hAnsi="Arial" w:cs="Arial"/>
          <w:b/>
        </w:rPr>
        <w:t>na 1 768,2 tis.</w:t>
      </w:r>
    </w:p>
    <w:p w:rsidR="00CF383E" w:rsidRPr="00E04C25" w:rsidRDefault="00CF383E" w:rsidP="00AB66E9">
      <w:pPr>
        <w:tabs>
          <w:tab w:val="left" w:pos="0"/>
        </w:tabs>
        <w:spacing w:line="360" w:lineRule="auto"/>
        <w:ind w:firstLine="709"/>
        <w:jc w:val="both"/>
        <w:rPr>
          <w:rFonts w:ascii="Arial" w:hAnsi="Arial" w:cs="Arial"/>
          <w:sz w:val="16"/>
          <w:szCs w:val="16"/>
        </w:rPr>
      </w:pPr>
    </w:p>
    <w:p w:rsidR="00762875" w:rsidRPr="00E04C25" w:rsidRDefault="00762875" w:rsidP="00AE65A5">
      <w:pPr>
        <w:tabs>
          <w:tab w:val="left" w:pos="709"/>
        </w:tabs>
        <w:ind w:firstLine="567"/>
        <w:jc w:val="center"/>
        <w:rPr>
          <w:rFonts w:ascii="Arial" w:hAnsi="Arial" w:cs="Arial"/>
          <w:b/>
          <w:bCs/>
        </w:rPr>
      </w:pPr>
      <w:r w:rsidRPr="00E04C25">
        <w:rPr>
          <w:rFonts w:ascii="Arial" w:hAnsi="Arial" w:cs="Arial"/>
          <w:b/>
          <w:bCs/>
        </w:rPr>
        <w:t>Vzdělanostní struktura zaměstnaných</w:t>
      </w:r>
    </w:p>
    <w:p w:rsidR="00762875" w:rsidRPr="00E04C25" w:rsidRDefault="00762875" w:rsidP="00AE65A5">
      <w:pPr>
        <w:tabs>
          <w:tab w:val="left" w:pos="709"/>
        </w:tabs>
        <w:ind w:left="708" w:firstLine="372"/>
        <w:jc w:val="center"/>
        <w:rPr>
          <w:rFonts w:ascii="Arial" w:hAnsi="Arial" w:cs="Arial"/>
          <w:sz w:val="20"/>
          <w:szCs w:val="20"/>
        </w:rPr>
      </w:pP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t xml:space="preserve">tab. č. </w:t>
      </w:r>
      <w:r w:rsidR="00AC1001" w:rsidRPr="00E04C25">
        <w:rPr>
          <w:rFonts w:ascii="Arial" w:hAnsi="Arial" w:cs="Arial"/>
          <w:sz w:val="20"/>
          <w:szCs w:val="20"/>
        </w:rPr>
        <w:t>9</w:t>
      </w:r>
    </w:p>
    <w:tbl>
      <w:tblPr>
        <w:tblW w:w="8837" w:type="dxa"/>
        <w:jc w:val="center"/>
        <w:tblCellMar>
          <w:left w:w="70" w:type="dxa"/>
          <w:right w:w="70" w:type="dxa"/>
        </w:tblCellMar>
        <w:tblLook w:val="0000"/>
      </w:tblPr>
      <w:tblGrid>
        <w:gridCol w:w="2456"/>
        <w:gridCol w:w="1074"/>
        <w:gridCol w:w="1053"/>
        <w:gridCol w:w="1074"/>
        <w:gridCol w:w="1053"/>
        <w:gridCol w:w="1074"/>
        <w:gridCol w:w="1053"/>
      </w:tblGrid>
      <w:tr w:rsidR="00EC746A" w:rsidRPr="00E04C25" w:rsidTr="00EC746A">
        <w:trPr>
          <w:trHeight w:val="343"/>
          <w:jc w:val="center"/>
        </w:trPr>
        <w:tc>
          <w:tcPr>
            <w:tcW w:w="2456" w:type="dxa"/>
            <w:vMerge w:val="restart"/>
            <w:tcBorders>
              <w:top w:val="double" w:sz="6" w:space="0" w:color="auto"/>
              <w:left w:val="double" w:sz="6" w:space="0" w:color="auto"/>
              <w:bottom w:val="nil"/>
              <w:right w:val="nil"/>
            </w:tcBorders>
            <w:shd w:val="clear" w:color="auto" w:fill="auto"/>
            <w:vAlign w:val="center"/>
          </w:tcPr>
          <w:p w:rsidR="00EC746A" w:rsidRPr="00E04C25" w:rsidRDefault="00EC746A" w:rsidP="00AE65A5">
            <w:pPr>
              <w:tabs>
                <w:tab w:val="left" w:pos="709"/>
              </w:tabs>
              <w:jc w:val="center"/>
              <w:rPr>
                <w:rFonts w:ascii="Arial" w:hAnsi="Arial" w:cs="Arial"/>
                <w:b/>
                <w:bCs/>
                <w:sz w:val="20"/>
                <w:szCs w:val="20"/>
              </w:rPr>
            </w:pPr>
            <w:r w:rsidRPr="00E04C25">
              <w:rPr>
                <w:rFonts w:ascii="Arial" w:hAnsi="Arial" w:cs="Arial"/>
                <w:b/>
                <w:bCs/>
                <w:sz w:val="20"/>
                <w:szCs w:val="20"/>
              </w:rPr>
              <w:t>Zaměstnaní v NH</w:t>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2016</w:t>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2017</w:t>
            </w:r>
          </w:p>
        </w:tc>
        <w:tc>
          <w:tcPr>
            <w:tcW w:w="1074" w:type="dxa"/>
            <w:vMerge w:val="restart"/>
            <w:tcBorders>
              <w:top w:val="double" w:sz="6" w:space="0" w:color="auto"/>
              <w:left w:val="single" w:sz="4" w:space="0" w:color="auto"/>
              <w:bottom w:val="nil"/>
              <w:right w:val="single" w:sz="4" w:space="0" w:color="auto"/>
            </w:tcBorders>
            <w:shd w:val="clear" w:color="auto" w:fill="auto"/>
            <w:vAlign w:val="center"/>
          </w:tcPr>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rozdíl</w:t>
            </w:r>
          </w:p>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17-16</w:t>
            </w:r>
          </w:p>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(tis.)</w:t>
            </w:r>
          </w:p>
        </w:tc>
        <w:tc>
          <w:tcPr>
            <w:tcW w:w="1053" w:type="dxa"/>
            <w:vMerge w:val="restart"/>
            <w:tcBorders>
              <w:top w:val="double" w:sz="6" w:space="0" w:color="auto"/>
              <w:left w:val="single" w:sz="4" w:space="0" w:color="auto"/>
              <w:right w:val="double" w:sz="6" w:space="0" w:color="auto"/>
            </w:tcBorders>
            <w:shd w:val="clear" w:color="auto" w:fill="auto"/>
            <w:vAlign w:val="center"/>
          </w:tcPr>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index</w:t>
            </w:r>
          </w:p>
          <w:p w:rsidR="00EC746A" w:rsidRPr="00E04C25" w:rsidRDefault="00EC746A" w:rsidP="00395F04">
            <w:pPr>
              <w:tabs>
                <w:tab w:val="left" w:pos="709"/>
              </w:tabs>
              <w:jc w:val="center"/>
              <w:rPr>
                <w:rFonts w:ascii="Arial" w:hAnsi="Arial" w:cs="Arial"/>
                <w:b/>
                <w:bCs/>
                <w:sz w:val="20"/>
                <w:szCs w:val="20"/>
              </w:rPr>
            </w:pPr>
            <w:r w:rsidRPr="00E04C25">
              <w:rPr>
                <w:rFonts w:ascii="Arial" w:hAnsi="Arial" w:cs="Arial"/>
                <w:b/>
                <w:bCs/>
                <w:sz w:val="20"/>
                <w:szCs w:val="20"/>
              </w:rPr>
              <w:t xml:space="preserve">17/16 </w:t>
            </w:r>
            <w:r w:rsidRPr="00E04C25">
              <w:rPr>
                <w:rFonts w:ascii="Arial" w:hAnsi="Arial" w:cs="Arial"/>
                <w:b/>
                <w:sz w:val="20"/>
                <w:szCs w:val="20"/>
              </w:rPr>
              <w:t>(%)</w:t>
            </w:r>
          </w:p>
        </w:tc>
      </w:tr>
      <w:tr w:rsidR="00EF18BA" w:rsidRPr="00E04C25" w:rsidTr="00762875">
        <w:trPr>
          <w:trHeight w:val="295"/>
          <w:jc w:val="center"/>
        </w:trPr>
        <w:tc>
          <w:tcPr>
            <w:tcW w:w="2456" w:type="dxa"/>
            <w:vMerge/>
            <w:tcBorders>
              <w:top w:val="double" w:sz="6" w:space="0" w:color="auto"/>
              <w:left w:val="double" w:sz="6" w:space="0" w:color="auto"/>
              <w:bottom w:val="nil"/>
              <w:right w:val="nil"/>
            </w:tcBorders>
            <w:vAlign w:val="center"/>
          </w:tcPr>
          <w:p w:rsidR="00762875" w:rsidRPr="00E04C25" w:rsidRDefault="00762875" w:rsidP="00AE65A5">
            <w:pPr>
              <w:tabs>
                <w:tab w:val="left" w:pos="709"/>
              </w:tabs>
              <w:rPr>
                <w:rFonts w:ascii="Arial" w:hAnsi="Arial" w:cs="Arial"/>
                <w:b/>
                <w:bCs/>
                <w:sz w:val="20"/>
                <w:szCs w:val="20"/>
              </w:rPr>
            </w:pPr>
          </w:p>
        </w:tc>
        <w:tc>
          <w:tcPr>
            <w:tcW w:w="1074" w:type="dxa"/>
            <w:tcBorders>
              <w:top w:val="single" w:sz="4" w:space="0" w:color="auto"/>
              <w:left w:val="single" w:sz="4" w:space="0" w:color="auto"/>
              <w:bottom w:val="nil"/>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v tis.</w:t>
            </w:r>
          </w:p>
        </w:tc>
        <w:tc>
          <w:tcPr>
            <w:tcW w:w="1053" w:type="dxa"/>
            <w:tcBorders>
              <w:top w:val="single" w:sz="4" w:space="0" w:color="auto"/>
              <w:left w:val="nil"/>
              <w:bottom w:val="nil"/>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w:t>
            </w:r>
          </w:p>
        </w:tc>
        <w:tc>
          <w:tcPr>
            <w:tcW w:w="1074" w:type="dxa"/>
            <w:tcBorders>
              <w:top w:val="single" w:sz="4" w:space="0" w:color="auto"/>
              <w:left w:val="nil"/>
              <w:bottom w:val="nil"/>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v tis.</w:t>
            </w:r>
          </w:p>
        </w:tc>
        <w:tc>
          <w:tcPr>
            <w:tcW w:w="1053" w:type="dxa"/>
            <w:tcBorders>
              <w:top w:val="single" w:sz="4" w:space="0" w:color="auto"/>
              <w:left w:val="nil"/>
              <w:bottom w:val="nil"/>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w:t>
            </w:r>
          </w:p>
        </w:tc>
        <w:tc>
          <w:tcPr>
            <w:tcW w:w="1074" w:type="dxa"/>
            <w:vMerge/>
            <w:tcBorders>
              <w:left w:val="single" w:sz="4" w:space="0" w:color="auto"/>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p>
        </w:tc>
        <w:tc>
          <w:tcPr>
            <w:tcW w:w="1053" w:type="dxa"/>
            <w:vMerge/>
            <w:tcBorders>
              <w:left w:val="single" w:sz="4" w:space="0" w:color="auto"/>
              <w:bottom w:val="single" w:sz="4" w:space="0" w:color="auto"/>
              <w:right w:val="double" w:sz="6"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p>
        </w:tc>
      </w:tr>
      <w:tr w:rsidR="00523055" w:rsidRPr="00E04C25" w:rsidTr="00523055">
        <w:trPr>
          <w:trHeight w:val="386"/>
          <w:jc w:val="center"/>
        </w:trPr>
        <w:tc>
          <w:tcPr>
            <w:tcW w:w="2456" w:type="dxa"/>
            <w:tcBorders>
              <w:top w:val="single" w:sz="4" w:space="0" w:color="auto"/>
              <w:left w:val="double" w:sz="6" w:space="0" w:color="auto"/>
              <w:bottom w:val="single" w:sz="4" w:space="0" w:color="auto"/>
              <w:right w:val="nil"/>
            </w:tcBorders>
            <w:shd w:val="clear" w:color="auto" w:fill="auto"/>
            <w:noWrap/>
            <w:vAlign w:val="center"/>
          </w:tcPr>
          <w:p w:rsidR="00523055" w:rsidRPr="00E04C25" w:rsidRDefault="00523055" w:rsidP="00AE65A5">
            <w:pPr>
              <w:tabs>
                <w:tab w:val="left" w:pos="709"/>
              </w:tabs>
              <w:rPr>
                <w:rFonts w:ascii="Arial" w:hAnsi="Arial" w:cs="Arial"/>
                <w:b/>
                <w:bCs/>
                <w:sz w:val="20"/>
                <w:szCs w:val="20"/>
              </w:rPr>
            </w:pPr>
            <w:r w:rsidRPr="00E04C25">
              <w:rPr>
                <w:rFonts w:ascii="Arial" w:hAnsi="Arial" w:cs="Arial"/>
                <w:b/>
                <w:bCs/>
                <w:sz w:val="20"/>
                <w:szCs w:val="20"/>
              </w:rPr>
              <w:t>Celkem</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3055" w:rsidRPr="00E04C25" w:rsidRDefault="00523055">
            <w:pPr>
              <w:jc w:val="right"/>
              <w:rPr>
                <w:rFonts w:ascii="Arial" w:hAnsi="Arial" w:cs="Arial"/>
                <w:b/>
                <w:bCs/>
                <w:sz w:val="18"/>
                <w:szCs w:val="18"/>
              </w:rPr>
            </w:pPr>
            <w:r w:rsidRPr="00E04C25">
              <w:rPr>
                <w:rFonts w:ascii="Arial" w:hAnsi="Arial" w:cs="Arial"/>
                <w:b/>
                <w:bCs/>
                <w:sz w:val="18"/>
                <w:szCs w:val="18"/>
              </w:rPr>
              <w:t xml:space="preserve">5 138,6 </w:t>
            </w:r>
          </w:p>
        </w:tc>
        <w:tc>
          <w:tcPr>
            <w:tcW w:w="1053" w:type="dxa"/>
            <w:tcBorders>
              <w:top w:val="single" w:sz="4" w:space="0" w:color="auto"/>
              <w:left w:val="nil"/>
              <w:bottom w:val="single" w:sz="4" w:space="0" w:color="auto"/>
              <w:right w:val="single" w:sz="4" w:space="0" w:color="auto"/>
            </w:tcBorders>
            <w:shd w:val="clear" w:color="auto" w:fill="auto"/>
            <w:noWrap/>
            <w:vAlign w:val="center"/>
          </w:tcPr>
          <w:p w:rsidR="00523055" w:rsidRPr="00E04C25" w:rsidRDefault="00523055">
            <w:pPr>
              <w:jc w:val="right"/>
              <w:rPr>
                <w:rFonts w:ascii="Arial" w:hAnsi="Arial" w:cs="Arial"/>
                <w:b/>
                <w:bCs/>
                <w:sz w:val="18"/>
                <w:szCs w:val="18"/>
              </w:rPr>
            </w:pPr>
            <w:r w:rsidRPr="00E04C25">
              <w:rPr>
                <w:rFonts w:ascii="Arial" w:hAnsi="Arial" w:cs="Arial"/>
                <w:b/>
                <w:bCs/>
                <w:sz w:val="18"/>
                <w:szCs w:val="18"/>
              </w:rPr>
              <w:t xml:space="preserve">100,0 </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523055" w:rsidRPr="00E04C25" w:rsidRDefault="00523055">
            <w:pPr>
              <w:jc w:val="right"/>
              <w:rPr>
                <w:rFonts w:ascii="Arial" w:hAnsi="Arial" w:cs="Arial"/>
                <w:b/>
                <w:bCs/>
                <w:sz w:val="18"/>
                <w:szCs w:val="18"/>
              </w:rPr>
            </w:pPr>
            <w:r w:rsidRPr="00E04C25">
              <w:rPr>
                <w:rFonts w:ascii="Arial" w:hAnsi="Arial" w:cs="Arial"/>
                <w:b/>
                <w:bCs/>
                <w:sz w:val="18"/>
                <w:szCs w:val="18"/>
              </w:rPr>
              <w:t xml:space="preserve">5 221,6 </w:t>
            </w:r>
          </w:p>
        </w:tc>
        <w:tc>
          <w:tcPr>
            <w:tcW w:w="1053" w:type="dxa"/>
            <w:tcBorders>
              <w:top w:val="single" w:sz="4" w:space="0" w:color="auto"/>
              <w:left w:val="nil"/>
              <w:bottom w:val="single" w:sz="4" w:space="0" w:color="auto"/>
              <w:right w:val="single" w:sz="4" w:space="0" w:color="auto"/>
            </w:tcBorders>
            <w:shd w:val="clear" w:color="auto" w:fill="auto"/>
            <w:noWrap/>
            <w:vAlign w:val="center"/>
          </w:tcPr>
          <w:p w:rsidR="00523055" w:rsidRPr="00E04C25" w:rsidRDefault="00523055">
            <w:pPr>
              <w:jc w:val="right"/>
              <w:rPr>
                <w:rFonts w:ascii="Arial" w:hAnsi="Arial" w:cs="Arial"/>
                <w:b/>
                <w:bCs/>
                <w:sz w:val="18"/>
                <w:szCs w:val="18"/>
              </w:rPr>
            </w:pPr>
            <w:r w:rsidRPr="00E04C25">
              <w:rPr>
                <w:rFonts w:ascii="Arial" w:hAnsi="Arial" w:cs="Arial"/>
                <w:b/>
                <w:bCs/>
                <w:sz w:val="18"/>
                <w:szCs w:val="18"/>
              </w:rPr>
              <w:t xml:space="preserve">100,0 </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523055" w:rsidRPr="00E04C25" w:rsidRDefault="00523055">
            <w:pPr>
              <w:jc w:val="right"/>
              <w:rPr>
                <w:rFonts w:ascii="Arial" w:hAnsi="Arial" w:cs="Arial"/>
                <w:b/>
                <w:bCs/>
                <w:sz w:val="18"/>
                <w:szCs w:val="18"/>
              </w:rPr>
            </w:pPr>
            <w:r w:rsidRPr="00E04C25">
              <w:rPr>
                <w:rFonts w:ascii="Arial" w:hAnsi="Arial" w:cs="Arial"/>
                <w:b/>
                <w:bCs/>
                <w:sz w:val="18"/>
                <w:szCs w:val="18"/>
              </w:rPr>
              <w:t xml:space="preserve">83,0 </w:t>
            </w:r>
          </w:p>
        </w:tc>
        <w:tc>
          <w:tcPr>
            <w:tcW w:w="1053" w:type="dxa"/>
            <w:tcBorders>
              <w:top w:val="single" w:sz="4" w:space="0" w:color="auto"/>
              <w:left w:val="nil"/>
              <w:bottom w:val="single" w:sz="4" w:space="0" w:color="auto"/>
              <w:right w:val="double" w:sz="6" w:space="0" w:color="auto"/>
            </w:tcBorders>
            <w:shd w:val="clear" w:color="auto" w:fill="auto"/>
            <w:noWrap/>
            <w:vAlign w:val="center"/>
          </w:tcPr>
          <w:p w:rsidR="00523055" w:rsidRPr="00E04C25" w:rsidRDefault="00523055">
            <w:pPr>
              <w:jc w:val="right"/>
              <w:rPr>
                <w:rFonts w:ascii="Arial" w:hAnsi="Arial" w:cs="Arial"/>
                <w:b/>
                <w:bCs/>
                <w:sz w:val="18"/>
                <w:szCs w:val="18"/>
              </w:rPr>
            </w:pPr>
            <w:r w:rsidRPr="00E04C25">
              <w:rPr>
                <w:rFonts w:ascii="Arial" w:hAnsi="Arial" w:cs="Arial"/>
                <w:b/>
                <w:bCs/>
                <w:sz w:val="18"/>
                <w:szCs w:val="18"/>
              </w:rPr>
              <w:t xml:space="preserve">101,6 </w:t>
            </w:r>
          </w:p>
        </w:tc>
      </w:tr>
      <w:tr w:rsidR="00523055" w:rsidRPr="00E04C25" w:rsidTr="00523055">
        <w:trPr>
          <w:trHeight w:val="340"/>
          <w:jc w:val="center"/>
        </w:trPr>
        <w:tc>
          <w:tcPr>
            <w:tcW w:w="2456" w:type="dxa"/>
            <w:tcBorders>
              <w:top w:val="nil"/>
              <w:left w:val="double" w:sz="6" w:space="0" w:color="auto"/>
              <w:bottom w:val="nil"/>
              <w:right w:val="nil"/>
            </w:tcBorders>
            <w:shd w:val="clear" w:color="auto" w:fill="auto"/>
            <w:noWrap/>
            <w:vAlign w:val="center"/>
          </w:tcPr>
          <w:p w:rsidR="00523055" w:rsidRPr="00E04C25" w:rsidRDefault="00523055" w:rsidP="006414F8">
            <w:pPr>
              <w:tabs>
                <w:tab w:val="left" w:pos="709"/>
              </w:tabs>
              <w:spacing w:line="240" w:lineRule="exact"/>
              <w:rPr>
                <w:rFonts w:ascii="Arial" w:hAnsi="Arial" w:cs="Arial"/>
                <w:sz w:val="18"/>
                <w:szCs w:val="18"/>
              </w:rPr>
            </w:pPr>
            <w:r w:rsidRPr="00E04C25">
              <w:rPr>
                <w:rFonts w:ascii="Arial" w:hAnsi="Arial" w:cs="Arial"/>
                <w:sz w:val="18"/>
                <w:szCs w:val="18"/>
              </w:rPr>
              <w:t>z toho:</w:t>
            </w:r>
          </w:p>
        </w:tc>
        <w:tc>
          <w:tcPr>
            <w:tcW w:w="1074" w:type="dxa"/>
            <w:tcBorders>
              <w:top w:val="nil"/>
              <w:left w:val="single" w:sz="4" w:space="0" w:color="auto"/>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w:t>
            </w:r>
          </w:p>
        </w:tc>
        <w:tc>
          <w:tcPr>
            <w:tcW w:w="1053" w:type="dxa"/>
            <w:tcBorders>
              <w:top w:val="nil"/>
              <w:left w:val="nil"/>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w:t>
            </w:r>
          </w:p>
        </w:tc>
        <w:tc>
          <w:tcPr>
            <w:tcW w:w="1074" w:type="dxa"/>
            <w:tcBorders>
              <w:top w:val="nil"/>
              <w:left w:val="nil"/>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w:t>
            </w:r>
          </w:p>
        </w:tc>
        <w:tc>
          <w:tcPr>
            <w:tcW w:w="1053" w:type="dxa"/>
            <w:tcBorders>
              <w:top w:val="nil"/>
              <w:left w:val="nil"/>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w:t>
            </w:r>
          </w:p>
        </w:tc>
        <w:tc>
          <w:tcPr>
            <w:tcW w:w="1074" w:type="dxa"/>
            <w:tcBorders>
              <w:top w:val="nil"/>
              <w:left w:val="nil"/>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w:t>
            </w:r>
          </w:p>
        </w:tc>
        <w:tc>
          <w:tcPr>
            <w:tcW w:w="1053" w:type="dxa"/>
            <w:tcBorders>
              <w:top w:val="nil"/>
              <w:left w:val="nil"/>
              <w:bottom w:val="nil"/>
              <w:right w:val="double" w:sz="6"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w:t>
            </w:r>
          </w:p>
        </w:tc>
      </w:tr>
      <w:tr w:rsidR="00523055" w:rsidRPr="00E04C25" w:rsidTr="00523055">
        <w:trPr>
          <w:trHeight w:val="340"/>
          <w:jc w:val="center"/>
        </w:trPr>
        <w:tc>
          <w:tcPr>
            <w:tcW w:w="2456" w:type="dxa"/>
            <w:tcBorders>
              <w:top w:val="nil"/>
              <w:left w:val="double" w:sz="6" w:space="0" w:color="auto"/>
              <w:bottom w:val="nil"/>
              <w:right w:val="nil"/>
            </w:tcBorders>
            <w:shd w:val="clear" w:color="auto" w:fill="auto"/>
            <w:noWrap/>
            <w:vAlign w:val="center"/>
          </w:tcPr>
          <w:p w:rsidR="00523055" w:rsidRPr="00E04C25" w:rsidRDefault="00523055" w:rsidP="00AE65A5">
            <w:pPr>
              <w:tabs>
                <w:tab w:val="left" w:pos="709"/>
              </w:tabs>
              <w:spacing w:line="240" w:lineRule="exact"/>
              <w:rPr>
                <w:rFonts w:ascii="Arial" w:hAnsi="Arial" w:cs="Arial"/>
                <w:sz w:val="18"/>
                <w:szCs w:val="18"/>
              </w:rPr>
            </w:pPr>
            <w:r w:rsidRPr="00E04C25">
              <w:rPr>
                <w:rFonts w:ascii="Arial" w:hAnsi="Arial" w:cs="Arial"/>
                <w:sz w:val="18"/>
                <w:szCs w:val="18"/>
              </w:rPr>
              <w:t xml:space="preserve">   základní a bez vzdělání</w:t>
            </w:r>
          </w:p>
        </w:tc>
        <w:tc>
          <w:tcPr>
            <w:tcW w:w="1074" w:type="dxa"/>
            <w:tcBorders>
              <w:top w:val="nil"/>
              <w:left w:val="single" w:sz="4" w:space="0" w:color="auto"/>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209,9 </w:t>
            </w:r>
          </w:p>
        </w:tc>
        <w:tc>
          <w:tcPr>
            <w:tcW w:w="1053" w:type="dxa"/>
            <w:tcBorders>
              <w:top w:val="nil"/>
              <w:left w:val="nil"/>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4,1 </w:t>
            </w:r>
          </w:p>
        </w:tc>
        <w:tc>
          <w:tcPr>
            <w:tcW w:w="1074" w:type="dxa"/>
            <w:tcBorders>
              <w:top w:val="nil"/>
              <w:left w:val="nil"/>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224,2 </w:t>
            </w:r>
          </w:p>
        </w:tc>
        <w:tc>
          <w:tcPr>
            <w:tcW w:w="1053" w:type="dxa"/>
            <w:tcBorders>
              <w:top w:val="nil"/>
              <w:left w:val="nil"/>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4,3 </w:t>
            </w:r>
          </w:p>
        </w:tc>
        <w:tc>
          <w:tcPr>
            <w:tcW w:w="1074" w:type="dxa"/>
            <w:tcBorders>
              <w:top w:val="nil"/>
              <w:left w:val="nil"/>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14,3 </w:t>
            </w:r>
          </w:p>
        </w:tc>
        <w:tc>
          <w:tcPr>
            <w:tcW w:w="1053" w:type="dxa"/>
            <w:tcBorders>
              <w:top w:val="nil"/>
              <w:left w:val="nil"/>
              <w:bottom w:val="nil"/>
              <w:right w:val="double" w:sz="6"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106,8 </w:t>
            </w:r>
          </w:p>
        </w:tc>
      </w:tr>
      <w:tr w:rsidR="00523055" w:rsidRPr="00E04C25" w:rsidTr="00523055">
        <w:trPr>
          <w:trHeight w:val="340"/>
          <w:jc w:val="center"/>
        </w:trPr>
        <w:tc>
          <w:tcPr>
            <w:tcW w:w="2456" w:type="dxa"/>
            <w:tcBorders>
              <w:top w:val="nil"/>
              <w:left w:val="double" w:sz="6" w:space="0" w:color="auto"/>
              <w:bottom w:val="nil"/>
              <w:right w:val="nil"/>
            </w:tcBorders>
            <w:shd w:val="clear" w:color="auto" w:fill="auto"/>
            <w:noWrap/>
            <w:vAlign w:val="center"/>
          </w:tcPr>
          <w:p w:rsidR="00523055" w:rsidRPr="00E04C25" w:rsidRDefault="00523055" w:rsidP="00AE65A5">
            <w:pPr>
              <w:tabs>
                <w:tab w:val="left" w:pos="709"/>
              </w:tabs>
              <w:spacing w:line="240" w:lineRule="exact"/>
              <w:rPr>
                <w:rFonts w:ascii="Arial" w:hAnsi="Arial" w:cs="Arial"/>
                <w:sz w:val="18"/>
                <w:szCs w:val="18"/>
              </w:rPr>
            </w:pPr>
            <w:r w:rsidRPr="00E04C25">
              <w:rPr>
                <w:rFonts w:ascii="Arial" w:hAnsi="Arial" w:cs="Arial"/>
                <w:sz w:val="18"/>
                <w:szCs w:val="18"/>
              </w:rPr>
              <w:t xml:space="preserve">   střední bez maturity</w:t>
            </w:r>
          </w:p>
        </w:tc>
        <w:tc>
          <w:tcPr>
            <w:tcW w:w="1074" w:type="dxa"/>
            <w:tcBorders>
              <w:top w:val="nil"/>
              <w:left w:val="single" w:sz="4" w:space="0" w:color="auto"/>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1 802,7 </w:t>
            </w:r>
          </w:p>
        </w:tc>
        <w:tc>
          <w:tcPr>
            <w:tcW w:w="1053" w:type="dxa"/>
            <w:tcBorders>
              <w:top w:val="nil"/>
              <w:left w:val="nil"/>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35,1 </w:t>
            </w:r>
          </w:p>
        </w:tc>
        <w:tc>
          <w:tcPr>
            <w:tcW w:w="1074" w:type="dxa"/>
            <w:tcBorders>
              <w:top w:val="nil"/>
              <w:left w:val="nil"/>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1 768,2 </w:t>
            </w:r>
          </w:p>
        </w:tc>
        <w:tc>
          <w:tcPr>
            <w:tcW w:w="1053" w:type="dxa"/>
            <w:tcBorders>
              <w:top w:val="nil"/>
              <w:left w:val="nil"/>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33,9 </w:t>
            </w:r>
          </w:p>
        </w:tc>
        <w:tc>
          <w:tcPr>
            <w:tcW w:w="1074" w:type="dxa"/>
            <w:tcBorders>
              <w:top w:val="nil"/>
              <w:left w:val="nil"/>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-34,5 </w:t>
            </w:r>
          </w:p>
        </w:tc>
        <w:tc>
          <w:tcPr>
            <w:tcW w:w="1053" w:type="dxa"/>
            <w:tcBorders>
              <w:top w:val="nil"/>
              <w:left w:val="nil"/>
              <w:bottom w:val="nil"/>
              <w:right w:val="double" w:sz="6"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98,1 </w:t>
            </w:r>
          </w:p>
        </w:tc>
      </w:tr>
      <w:tr w:rsidR="00523055" w:rsidRPr="00E04C25" w:rsidTr="00523055">
        <w:trPr>
          <w:trHeight w:val="340"/>
          <w:jc w:val="center"/>
        </w:trPr>
        <w:tc>
          <w:tcPr>
            <w:tcW w:w="2456" w:type="dxa"/>
            <w:tcBorders>
              <w:top w:val="nil"/>
              <w:left w:val="double" w:sz="6" w:space="0" w:color="auto"/>
              <w:bottom w:val="nil"/>
              <w:right w:val="nil"/>
            </w:tcBorders>
            <w:shd w:val="clear" w:color="auto" w:fill="auto"/>
            <w:noWrap/>
            <w:vAlign w:val="center"/>
          </w:tcPr>
          <w:p w:rsidR="00523055" w:rsidRPr="00E04C25" w:rsidRDefault="00523055" w:rsidP="00AE65A5">
            <w:pPr>
              <w:tabs>
                <w:tab w:val="left" w:pos="709"/>
              </w:tabs>
              <w:spacing w:line="240" w:lineRule="exact"/>
              <w:rPr>
                <w:rFonts w:ascii="Arial" w:hAnsi="Arial" w:cs="Arial"/>
                <w:sz w:val="18"/>
                <w:szCs w:val="18"/>
              </w:rPr>
            </w:pPr>
            <w:r w:rsidRPr="00E04C25">
              <w:rPr>
                <w:rFonts w:ascii="Arial" w:hAnsi="Arial" w:cs="Arial"/>
                <w:sz w:val="18"/>
                <w:szCs w:val="18"/>
              </w:rPr>
              <w:t xml:space="preserve">   střední s maturitou</w:t>
            </w:r>
          </w:p>
        </w:tc>
        <w:tc>
          <w:tcPr>
            <w:tcW w:w="1074" w:type="dxa"/>
            <w:tcBorders>
              <w:top w:val="nil"/>
              <w:left w:val="single" w:sz="4" w:space="0" w:color="auto"/>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1 895,9 </w:t>
            </w:r>
          </w:p>
        </w:tc>
        <w:tc>
          <w:tcPr>
            <w:tcW w:w="1053" w:type="dxa"/>
            <w:tcBorders>
              <w:top w:val="nil"/>
              <w:left w:val="nil"/>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36,9 </w:t>
            </w:r>
          </w:p>
        </w:tc>
        <w:tc>
          <w:tcPr>
            <w:tcW w:w="1074" w:type="dxa"/>
            <w:tcBorders>
              <w:top w:val="nil"/>
              <w:left w:val="nil"/>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1 945,2 </w:t>
            </w:r>
          </w:p>
        </w:tc>
        <w:tc>
          <w:tcPr>
            <w:tcW w:w="1053" w:type="dxa"/>
            <w:tcBorders>
              <w:top w:val="nil"/>
              <w:left w:val="nil"/>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37,3 </w:t>
            </w:r>
          </w:p>
        </w:tc>
        <w:tc>
          <w:tcPr>
            <w:tcW w:w="1074" w:type="dxa"/>
            <w:tcBorders>
              <w:top w:val="nil"/>
              <w:left w:val="nil"/>
              <w:bottom w:val="nil"/>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49,3 </w:t>
            </w:r>
          </w:p>
        </w:tc>
        <w:tc>
          <w:tcPr>
            <w:tcW w:w="1053" w:type="dxa"/>
            <w:tcBorders>
              <w:top w:val="nil"/>
              <w:left w:val="nil"/>
              <w:bottom w:val="nil"/>
              <w:right w:val="double" w:sz="6"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102,6 </w:t>
            </w:r>
          </w:p>
        </w:tc>
      </w:tr>
      <w:tr w:rsidR="00523055" w:rsidRPr="00E04C25" w:rsidTr="00523055">
        <w:trPr>
          <w:trHeight w:val="340"/>
          <w:jc w:val="center"/>
        </w:trPr>
        <w:tc>
          <w:tcPr>
            <w:tcW w:w="2456" w:type="dxa"/>
            <w:tcBorders>
              <w:top w:val="nil"/>
              <w:left w:val="double" w:sz="6" w:space="0" w:color="auto"/>
              <w:bottom w:val="double" w:sz="6" w:space="0" w:color="auto"/>
              <w:right w:val="nil"/>
            </w:tcBorders>
            <w:shd w:val="clear" w:color="auto" w:fill="auto"/>
            <w:noWrap/>
            <w:vAlign w:val="center"/>
          </w:tcPr>
          <w:p w:rsidR="00523055" w:rsidRPr="00E04C25" w:rsidRDefault="00523055" w:rsidP="00AE65A5">
            <w:pPr>
              <w:tabs>
                <w:tab w:val="left" w:pos="709"/>
              </w:tabs>
              <w:spacing w:line="240" w:lineRule="exact"/>
              <w:rPr>
                <w:rFonts w:ascii="Arial" w:hAnsi="Arial" w:cs="Arial"/>
                <w:sz w:val="18"/>
                <w:szCs w:val="18"/>
              </w:rPr>
            </w:pPr>
            <w:r w:rsidRPr="00E04C25">
              <w:rPr>
                <w:rFonts w:ascii="Arial" w:hAnsi="Arial" w:cs="Arial"/>
                <w:sz w:val="18"/>
                <w:szCs w:val="18"/>
              </w:rPr>
              <w:t xml:space="preserve">   vysokoškolské</w:t>
            </w:r>
          </w:p>
        </w:tc>
        <w:tc>
          <w:tcPr>
            <w:tcW w:w="1074" w:type="dxa"/>
            <w:tcBorders>
              <w:top w:val="nil"/>
              <w:left w:val="single" w:sz="4" w:space="0" w:color="auto"/>
              <w:bottom w:val="double" w:sz="6" w:space="0" w:color="auto"/>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1 229,4 </w:t>
            </w:r>
          </w:p>
        </w:tc>
        <w:tc>
          <w:tcPr>
            <w:tcW w:w="1053" w:type="dxa"/>
            <w:tcBorders>
              <w:top w:val="nil"/>
              <w:left w:val="nil"/>
              <w:bottom w:val="double" w:sz="6" w:space="0" w:color="auto"/>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23,9 </w:t>
            </w:r>
          </w:p>
        </w:tc>
        <w:tc>
          <w:tcPr>
            <w:tcW w:w="1074" w:type="dxa"/>
            <w:tcBorders>
              <w:top w:val="nil"/>
              <w:left w:val="nil"/>
              <w:bottom w:val="double" w:sz="6" w:space="0" w:color="auto"/>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1 283,0 </w:t>
            </w:r>
          </w:p>
        </w:tc>
        <w:tc>
          <w:tcPr>
            <w:tcW w:w="1053" w:type="dxa"/>
            <w:tcBorders>
              <w:top w:val="nil"/>
              <w:left w:val="nil"/>
              <w:bottom w:val="double" w:sz="6" w:space="0" w:color="auto"/>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24,6 </w:t>
            </w:r>
          </w:p>
        </w:tc>
        <w:tc>
          <w:tcPr>
            <w:tcW w:w="1074" w:type="dxa"/>
            <w:tcBorders>
              <w:top w:val="nil"/>
              <w:left w:val="nil"/>
              <w:bottom w:val="double" w:sz="6" w:space="0" w:color="auto"/>
              <w:right w:val="single" w:sz="4"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53,6 </w:t>
            </w:r>
          </w:p>
        </w:tc>
        <w:tc>
          <w:tcPr>
            <w:tcW w:w="1053" w:type="dxa"/>
            <w:tcBorders>
              <w:top w:val="nil"/>
              <w:left w:val="nil"/>
              <w:bottom w:val="double" w:sz="6" w:space="0" w:color="auto"/>
              <w:right w:val="double" w:sz="6" w:space="0" w:color="auto"/>
            </w:tcBorders>
            <w:shd w:val="clear" w:color="auto" w:fill="auto"/>
            <w:noWrap/>
            <w:vAlign w:val="center"/>
          </w:tcPr>
          <w:p w:rsidR="00523055" w:rsidRPr="00E04C25" w:rsidRDefault="00523055">
            <w:pPr>
              <w:jc w:val="right"/>
              <w:rPr>
                <w:rFonts w:ascii="Arial" w:hAnsi="Arial" w:cs="Arial"/>
                <w:sz w:val="18"/>
                <w:szCs w:val="18"/>
              </w:rPr>
            </w:pPr>
            <w:r w:rsidRPr="00E04C25">
              <w:rPr>
                <w:rFonts w:ascii="Arial" w:hAnsi="Arial" w:cs="Arial"/>
                <w:sz w:val="18"/>
                <w:szCs w:val="18"/>
              </w:rPr>
              <w:t xml:space="preserve">104,4 </w:t>
            </w:r>
          </w:p>
        </w:tc>
      </w:tr>
    </w:tbl>
    <w:p w:rsidR="00762875" w:rsidRPr="00E04C25" w:rsidRDefault="00762875" w:rsidP="00AE65A5">
      <w:pPr>
        <w:tabs>
          <w:tab w:val="left" w:pos="709"/>
        </w:tabs>
        <w:jc w:val="both"/>
        <w:rPr>
          <w:rFonts w:ascii="Arial" w:hAnsi="Arial" w:cs="Arial"/>
          <w:i/>
          <w:iCs/>
          <w:sz w:val="20"/>
          <w:szCs w:val="20"/>
        </w:rPr>
      </w:pPr>
      <w:r w:rsidRPr="00E04C25">
        <w:rPr>
          <w:rFonts w:ascii="Arial" w:hAnsi="Arial" w:cs="Arial"/>
          <w:i/>
          <w:iCs/>
          <w:sz w:val="20"/>
          <w:szCs w:val="20"/>
        </w:rPr>
        <w:tab/>
        <w:t xml:space="preserve">   Zdroj: ČSÚ – VŠPS</w:t>
      </w:r>
    </w:p>
    <w:p w:rsidR="00BA2CE8" w:rsidRPr="00E04C25" w:rsidRDefault="00BA2CE8" w:rsidP="00AB66E9">
      <w:pPr>
        <w:tabs>
          <w:tab w:val="left" w:pos="709"/>
        </w:tabs>
        <w:jc w:val="both"/>
        <w:rPr>
          <w:rFonts w:ascii="Arial" w:hAnsi="Arial" w:cs="Arial"/>
          <w:i/>
          <w:sz w:val="22"/>
          <w:szCs w:val="22"/>
        </w:rPr>
      </w:pPr>
    </w:p>
    <w:p w:rsidR="00BA2CE8" w:rsidRPr="00E04C25" w:rsidRDefault="00783BFD" w:rsidP="00783BFD">
      <w:pPr>
        <w:tabs>
          <w:tab w:val="left" w:pos="709"/>
        </w:tabs>
        <w:spacing w:line="360" w:lineRule="auto"/>
        <w:jc w:val="both"/>
        <w:rPr>
          <w:rFonts w:ascii="Arial" w:hAnsi="Arial" w:cs="Arial"/>
          <w:i/>
          <w:sz w:val="22"/>
          <w:szCs w:val="22"/>
        </w:rPr>
      </w:pPr>
      <w:r w:rsidRPr="00E04C25">
        <w:rPr>
          <w:rFonts w:ascii="Arial" w:hAnsi="Arial" w:cs="Arial"/>
          <w:iCs/>
        </w:rPr>
        <w:tab/>
      </w:r>
      <w:r w:rsidR="00BA2CE8" w:rsidRPr="00E04C25">
        <w:rPr>
          <w:rFonts w:ascii="Arial" w:hAnsi="Arial" w:cs="Arial"/>
          <w:iCs/>
        </w:rPr>
        <w:t xml:space="preserve">Zastoupení vysokoškoláků </w:t>
      </w:r>
      <w:r w:rsidR="0046526A" w:rsidRPr="00E04C25">
        <w:rPr>
          <w:rFonts w:ascii="Arial" w:hAnsi="Arial" w:cs="Arial"/>
          <w:iCs/>
        </w:rPr>
        <w:t xml:space="preserve">je nejvyšší v mladších věkových kategoriích </w:t>
      </w:r>
      <w:r w:rsidR="00BA2CE8" w:rsidRPr="00E04C25">
        <w:rPr>
          <w:rFonts w:ascii="Arial" w:hAnsi="Arial" w:cs="Arial"/>
          <w:iCs/>
        </w:rPr>
        <w:t>produktivní</w:t>
      </w:r>
      <w:r w:rsidR="0046526A" w:rsidRPr="00E04C25">
        <w:rPr>
          <w:rFonts w:ascii="Arial" w:hAnsi="Arial" w:cs="Arial"/>
          <w:iCs/>
        </w:rPr>
        <w:t>ho</w:t>
      </w:r>
      <w:r w:rsidR="00BA2CE8" w:rsidRPr="00E04C25">
        <w:rPr>
          <w:rFonts w:ascii="Arial" w:hAnsi="Arial" w:cs="Arial"/>
          <w:iCs/>
        </w:rPr>
        <w:t xml:space="preserve"> věku</w:t>
      </w:r>
      <w:r w:rsidR="0046526A" w:rsidRPr="00E04C25">
        <w:rPr>
          <w:rFonts w:ascii="Arial" w:hAnsi="Arial" w:cs="Arial"/>
          <w:iCs/>
        </w:rPr>
        <w:t>,</w:t>
      </w:r>
      <w:r w:rsidR="000711C3" w:rsidRPr="00E04C25">
        <w:rPr>
          <w:rFonts w:ascii="Arial" w:hAnsi="Arial" w:cs="Arial"/>
          <w:iCs/>
        </w:rPr>
        <w:t xml:space="preserve"> </w:t>
      </w:r>
      <w:r w:rsidR="00BA2CE8" w:rsidRPr="00E04C25">
        <w:rPr>
          <w:rFonts w:ascii="Arial" w:hAnsi="Arial" w:cs="Arial"/>
          <w:iCs/>
        </w:rPr>
        <w:t xml:space="preserve">s rostoucím věkem </w:t>
      </w:r>
      <w:r w:rsidR="0046526A" w:rsidRPr="00E04C25">
        <w:rPr>
          <w:rFonts w:ascii="Arial" w:hAnsi="Arial" w:cs="Arial"/>
          <w:iCs/>
        </w:rPr>
        <w:t xml:space="preserve">má </w:t>
      </w:r>
      <w:r w:rsidR="00BA2CE8" w:rsidRPr="00E04C25">
        <w:rPr>
          <w:rFonts w:ascii="Arial" w:hAnsi="Arial" w:cs="Arial"/>
          <w:iCs/>
        </w:rPr>
        <w:t xml:space="preserve">klesající tendenci. </w:t>
      </w:r>
      <w:r w:rsidR="00BA2CE8" w:rsidRPr="00E04C25">
        <w:rPr>
          <w:rFonts w:ascii="Arial" w:hAnsi="Arial" w:cs="Arial"/>
          <w:b/>
          <w:iCs/>
        </w:rPr>
        <w:t>Nejvíce vysokoškolsky vzdělaných osob</w:t>
      </w:r>
      <w:r w:rsidR="00BA2CE8" w:rsidRPr="00E04C25">
        <w:rPr>
          <w:rFonts w:ascii="Arial" w:hAnsi="Arial" w:cs="Arial"/>
          <w:iCs/>
        </w:rPr>
        <w:t xml:space="preserve"> </w:t>
      </w:r>
      <w:r w:rsidR="0046526A" w:rsidRPr="00E04C25">
        <w:rPr>
          <w:rFonts w:ascii="Arial" w:hAnsi="Arial" w:cs="Arial"/>
          <w:iCs/>
        </w:rPr>
        <w:t xml:space="preserve">je </w:t>
      </w:r>
      <w:r w:rsidR="00BA2CE8" w:rsidRPr="00E04C25">
        <w:rPr>
          <w:rFonts w:ascii="Arial" w:hAnsi="Arial" w:cs="Arial"/>
          <w:b/>
          <w:iCs/>
        </w:rPr>
        <w:t xml:space="preserve">ve věkových </w:t>
      </w:r>
      <w:r w:rsidR="004F40E3" w:rsidRPr="00E04C25">
        <w:rPr>
          <w:rFonts w:ascii="Arial" w:hAnsi="Arial" w:cs="Arial"/>
          <w:b/>
          <w:iCs/>
        </w:rPr>
        <w:t>skupinách</w:t>
      </w:r>
      <w:r w:rsidR="00BA2CE8" w:rsidRPr="00E04C25">
        <w:rPr>
          <w:rFonts w:ascii="Arial" w:hAnsi="Arial" w:cs="Arial"/>
          <w:b/>
          <w:iCs/>
        </w:rPr>
        <w:t xml:space="preserve"> 25</w:t>
      </w:r>
      <w:r w:rsidR="00C10EFD" w:rsidRPr="00E04C25">
        <w:rPr>
          <w:rFonts w:ascii="Arial" w:hAnsi="Arial" w:cs="Arial"/>
          <w:b/>
          <w:iCs/>
        </w:rPr>
        <w:t>-</w:t>
      </w:r>
      <w:r w:rsidR="00BA2CE8" w:rsidRPr="00E04C25">
        <w:rPr>
          <w:rFonts w:ascii="Arial" w:hAnsi="Arial" w:cs="Arial"/>
          <w:b/>
          <w:iCs/>
        </w:rPr>
        <w:t xml:space="preserve">39 let </w:t>
      </w:r>
      <w:r w:rsidR="00BA2CE8" w:rsidRPr="00E04C25">
        <w:rPr>
          <w:rFonts w:ascii="Arial" w:hAnsi="Arial" w:cs="Arial"/>
          <w:iCs/>
        </w:rPr>
        <w:t>(3</w:t>
      </w:r>
      <w:r w:rsidR="004F40E3" w:rsidRPr="00E04C25">
        <w:rPr>
          <w:rFonts w:ascii="Arial" w:hAnsi="Arial" w:cs="Arial"/>
          <w:iCs/>
        </w:rPr>
        <w:t>2</w:t>
      </w:r>
      <w:r w:rsidR="00BA2CE8" w:rsidRPr="00E04C25">
        <w:rPr>
          <w:rFonts w:ascii="Arial" w:hAnsi="Arial" w:cs="Arial"/>
          <w:iCs/>
        </w:rPr>
        <w:t>,</w:t>
      </w:r>
      <w:r w:rsidR="004F40E3" w:rsidRPr="00E04C25">
        <w:rPr>
          <w:rFonts w:ascii="Arial" w:hAnsi="Arial" w:cs="Arial"/>
          <w:iCs/>
        </w:rPr>
        <w:t>2</w:t>
      </w:r>
      <w:r w:rsidR="00BA2CE8" w:rsidRPr="00E04C25">
        <w:rPr>
          <w:rFonts w:ascii="Arial" w:hAnsi="Arial" w:cs="Arial"/>
          <w:iCs/>
        </w:rPr>
        <w:t> %).</w:t>
      </w:r>
      <w:r w:rsidR="00BA2CE8" w:rsidRPr="00E04C25">
        <w:rPr>
          <w:rFonts w:ascii="Arial" w:hAnsi="Arial" w:cs="Arial"/>
          <w:b/>
          <w:iCs/>
        </w:rPr>
        <w:t xml:space="preserve"> </w:t>
      </w:r>
      <w:r w:rsidR="0046526A" w:rsidRPr="00E04C25">
        <w:rPr>
          <w:rFonts w:ascii="Arial" w:hAnsi="Arial" w:cs="Arial"/>
          <w:iCs/>
        </w:rPr>
        <w:t>Z</w:t>
      </w:r>
      <w:r w:rsidR="004F40E3" w:rsidRPr="00E04C25">
        <w:rPr>
          <w:rFonts w:ascii="Arial" w:hAnsi="Arial" w:cs="Arial"/>
          <w:iCs/>
        </w:rPr>
        <w:t> </w:t>
      </w:r>
      <w:r w:rsidR="00BA2CE8" w:rsidRPr="00E04C25">
        <w:rPr>
          <w:rFonts w:ascii="Arial" w:hAnsi="Arial" w:cs="Arial"/>
        </w:rPr>
        <w:t>podrobnější</w:t>
      </w:r>
      <w:r w:rsidR="0046526A" w:rsidRPr="00E04C25">
        <w:rPr>
          <w:rFonts w:ascii="Arial" w:hAnsi="Arial" w:cs="Arial"/>
        </w:rPr>
        <w:t>ho</w:t>
      </w:r>
      <w:r w:rsidR="00BA2CE8" w:rsidRPr="00E04C25">
        <w:rPr>
          <w:rFonts w:ascii="Arial" w:hAnsi="Arial" w:cs="Arial"/>
        </w:rPr>
        <w:t xml:space="preserve"> zkoumání je zřejmé, že</w:t>
      </w:r>
      <w:r w:rsidR="00BA2CE8" w:rsidRPr="00E04C25">
        <w:rPr>
          <w:rFonts w:ascii="Arial" w:hAnsi="Arial" w:cs="Arial"/>
          <w:iCs/>
        </w:rPr>
        <w:t xml:space="preserve"> </w:t>
      </w:r>
      <w:r w:rsidR="00BA2CE8" w:rsidRPr="00E04C25">
        <w:rPr>
          <w:rFonts w:ascii="Arial" w:hAnsi="Arial" w:cs="Arial"/>
          <w:b/>
          <w:iCs/>
        </w:rPr>
        <w:t>u věkové skupiny 25</w:t>
      </w:r>
      <w:r w:rsidR="00C10EFD" w:rsidRPr="00E04C25">
        <w:rPr>
          <w:rFonts w:ascii="Arial" w:hAnsi="Arial" w:cs="Arial"/>
          <w:b/>
          <w:iCs/>
        </w:rPr>
        <w:t>-</w:t>
      </w:r>
      <w:r w:rsidR="00BA2CE8" w:rsidRPr="00E04C25">
        <w:rPr>
          <w:rFonts w:ascii="Arial" w:hAnsi="Arial" w:cs="Arial"/>
          <w:b/>
          <w:iCs/>
        </w:rPr>
        <w:t xml:space="preserve">29 let </w:t>
      </w:r>
      <w:r w:rsidR="00BA2CE8" w:rsidRPr="00E04C25">
        <w:rPr>
          <w:rFonts w:ascii="Arial" w:hAnsi="Arial" w:cs="Arial"/>
          <w:iCs/>
        </w:rPr>
        <w:t>představuje zastoupení vysokoškoláků</w:t>
      </w:r>
      <w:r w:rsidR="00BA2CE8" w:rsidRPr="00E04C25">
        <w:rPr>
          <w:rFonts w:ascii="Arial" w:hAnsi="Arial" w:cs="Arial"/>
          <w:b/>
          <w:iCs/>
        </w:rPr>
        <w:t xml:space="preserve"> 3</w:t>
      </w:r>
      <w:r w:rsidR="004F40E3" w:rsidRPr="00E04C25">
        <w:rPr>
          <w:rFonts w:ascii="Arial" w:hAnsi="Arial" w:cs="Arial"/>
          <w:b/>
          <w:iCs/>
        </w:rPr>
        <w:t>4</w:t>
      </w:r>
      <w:r w:rsidR="00BA2CE8" w:rsidRPr="00E04C25">
        <w:rPr>
          <w:rFonts w:ascii="Arial" w:hAnsi="Arial" w:cs="Arial"/>
          <w:b/>
          <w:iCs/>
        </w:rPr>
        <w:t>,5 % a u věkové skupiny 30</w:t>
      </w:r>
      <w:r w:rsidR="00C10EFD" w:rsidRPr="00E04C25">
        <w:rPr>
          <w:rFonts w:ascii="Arial" w:hAnsi="Arial" w:cs="Arial"/>
          <w:b/>
          <w:iCs/>
        </w:rPr>
        <w:t>-</w:t>
      </w:r>
      <w:r w:rsidR="00BA2CE8" w:rsidRPr="00E04C25">
        <w:rPr>
          <w:rFonts w:ascii="Arial" w:hAnsi="Arial" w:cs="Arial"/>
          <w:b/>
          <w:iCs/>
        </w:rPr>
        <w:t>34 let 3</w:t>
      </w:r>
      <w:r w:rsidR="004F40E3" w:rsidRPr="00E04C25">
        <w:rPr>
          <w:rFonts w:ascii="Arial" w:hAnsi="Arial" w:cs="Arial"/>
          <w:b/>
          <w:iCs/>
        </w:rPr>
        <w:t>3</w:t>
      </w:r>
      <w:r w:rsidR="00BA2CE8" w:rsidRPr="00E04C25">
        <w:rPr>
          <w:rFonts w:ascii="Arial" w:hAnsi="Arial" w:cs="Arial"/>
          <w:b/>
          <w:iCs/>
        </w:rPr>
        <w:t>,</w:t>
      </w:r>
      <w:r w:rsidR="004F40E3" w:rsidRPr="00E04C25">
        <w:rPr>
          <w:rFonts w:ascii="Arial" w:hAnsi="Arial" w:cs="Arial"/>
          <w:b/>
          <w:iCs/>
        </w:rPr>
        <w:t>2</w:t>
      </w:r>
      <w:r w:rsidR="00BA2CE8" w:rsidRPr="00E04C25">
        <w:rPr>
          <w:rFonts w:ascii="Arial" w:hAnsi="Arial" w:cs="Arial"/>
          <w:b/>
          <w:iCs/>
        </w:rPr>
        <w:t> %</w:t>
      </w:r>
      <w:r w:rsidR="00BA2CE8" w:rsidRPr="00E04C25">
        <w:rPr>
          <w:rFonts w:ascii="Arial" w:hAnsi="Arial" w:cs="Arial"/>
          <w:iCs/>
        </w:rPr>
        <w:t>.  Přitom tyto věkové skupiny se na celkové zaměstnanosti podílejí pouze 10,2 %, resp. 11,</w:t>
      </w:r>
      <w:r w:rsidR="004F40E3" w:rsidRPr="00E04C25">
        <w:rPr>
          <w:rFonts w:ascii="Arial" w:hAnsi="Arial" w:cs="Arial"/>
          <w:iCs/>
        </w:rPr>
        <w:t>3</w:t>
      </w:r>
      <w:r w:rsidR="00BA2CE8" w:rsidRPr="00E04C25">
        <w:rPr>
          <w:rFonts w:ascii="Arial" w:hAnsi="Arial" w:cs="Arial"/>
          <w:iCs/>
        </w:rPr>
        <w:t xml:space="preserve"> %. Naproti tomu podíl věkové kategorie </w:t>
      </w:r>
      <w:r w:rsidR="007563B3" w:rsidRPr="00E04C25">
        <w:rPr>
          <w:rFonts w:ascii="Arial" w:hAnsi="Arial" w:cs="Arial"/>
          <w:b/>
          <w:iCs/>
        </w:rPr>
        <w:t>35</w:t>
      </w:r>
      <w:r w:rsidR="00C10EFD" w:rsidRPr="00E04C25">
        <w:rPr>
          <w:rFonts w:ascii="Arial" w:hAnsi="Arial" w:cs="Arial"/>
          <w:b/>
          <w:iCs/>
        </w:rPr>
        <w:t>-</w:t>
      </w:r>
      <w:r w:rsidR="007563B3" w:rsidRPr="00E04C25">
        <w:rPr>
          <w:rFonts w:ascii="Arial" w:hAnsi="Arial" w:cs="Arial"/>
          <w:b/>
          <w:iCs/>
        </w:rPr>
        <w:t>39</w:t>
      </w:r>
      <w:r w:rsidR="00BA2CE8" w:rsidRPr="00E04C25">
        <w:rPr>
          <w:rFonts w:ascii="Arial" w:hAnsi="Arial" w:cs="Arial"/>
          <w:b/>
          <w:iCs/>
        </w:rPr>
        <w:t xml:space="preserve"> let </w:t>
      </w:r>
      <w:r w:rsidR="00BA2CE8" w:rsidRPr="00E04C25">
        <w:rPr>
          <w:rFonts w:ascii="Arial" w:hAnsi="Arial" w:cs="Arial"/>
          <w:iCs/>
        </w:rPr>
        <w:t>na celkové zaměstnanosti je vyšší (1</w:t>
      </w:r>
      <w:r w:rsidR="007563B3" w:rsidRPr="00E04C25">
        <w:rPr>
          <w:rFonts w:ascii="Arial" w:hAnsi="Arial" w:cs="Arial"/>
          <w:iCs/>
        </w:rPr>
        <w:t>3</w:t>
      </w:r>
      <w:r w:rsidR="00BA2CE8" w:rsidRPr="00E04C25">
        <w:rPr>
          <w:rFonts w:ascii="Arial" w:hAnsi="Arial" w:cs="Arial"/>
          <w:iCs/>
        </w:rPr>
        <w:t>,</w:t>
      </w:r>
      <w:r w:rsidR="007563B3" w:rsidRPr="00E04C25">
        <w:rPr>
          <w:rFonts w:ascii="Arial" w:hAnsi="Arial" w:cs="Arial"/>
          <w:iCs/>
        </w:rPr>
        <w:t>6</w:t>
      </w:r>
      <w:r w:rsidR="00BA2CE8" w:rsidRPr="00E04C25">
        <w:rPr>
          <w:rFonts w:ascii="Arial" w:hAnsi="Arial" w:cs="Arial"/>
          <w:iCs/>
        </w:rPr>
        <w:t> %), ale</w:t>
      </w:r>
      <w:r w:rsidR="00BA2CE8" w:rsidRPr="00E04C25">
        <w:rPr>
          <w:rFonts w:ascii="Arial" w:hAnsi="Arial" w:cs="Arial"/>
          <w:b/>
          <w:iCs/>
        </w:rPr>
        <w:t xml:space="preserve"> vysokoškolské vzdělání má </w:t>
      </w:r>
      <w:r w:rsidR="00BA2CE8" w:rsidRPr="00E04C25">
        <w:rPr>
          <w:rFonts w:ascii="Arial" w:hAnsi="Arial" w:cs="Arial"/>
          <w:iCs/>
        </w:rPr>
        <w:t xml:space="preserve">v této skupině </w:t>
      </w:r>
      <w:r w:rsidR="00BA2CE8" w:rsidRPr="00E04C25">
        <w:rPr>
          <w:rFonts w:ascii="Arial" w:hAnsi="Arial" w:cs="Arial"/>
          <w:b/>
          <w:iCs/>
        </w:rPr>
        <w:t>2</w:t>
      </w:r>
      <w:r w:rsidR="007563B3" w:rsidRPr="00E04C25">
        <w:rPr>
          <w:rFonts w:ascii="Arial" w:hAnsi="Arial" w:cs="Arial"/>
          <w:b/>
          <w:iCs/>
        </w:rPr>
        <w:t>9</w:t>
      </w:r>
      <w:r w:rsidR="00BA2CE8" w:rsidRPr="00E04C25">
        <w:rPr>
          <w:rFonts w:ascii="Arial" w:hAnsi="Arial" w:cs="Arial"/>
          <w:b/>
          <w:iCs/>
        </w:rPr>
        <w:t>,</w:t>
      </w:r>
      <w:r w:rsidR="007563B3" w:rsidRPr="00E04C25">
        <w:rPr>
          <w:rFonts w:ascii="Arial" w:hAnsi="Arial" w:cs="Arial"/>
          <w:b/>
          <w:iCs/>
        </w:rPr>
        <w:t>6</w:t>
      </w:r>
      <w:r w:rsidR="00BA2CE8" w:rsidRPr="00E04C25">
        <w:rPr>
          <w:rFonts w:ascii="Arial" w:hAnsi="Arial" w:cs="Arial"/>
          <w:b/>
          <w:iCs/>
        </w:rPr>
        <w:t xml:space="preserve"> % </w:t>
      </w:r>
      <w:r w:rsidR="00BA2CE8" w:rsidRPr="00E04C25">
        <w:rPr>
          <w:rFonts w:ascii="Arial" w:hAnsi="Arial" w:cs="Arial"/>
          <w:iCs/>
        </w:rPr>
        <w:t>pracujících</w:t>
      </w:r>
      <w:r w:rsidR="00BA2CE8" w:rsidRPr="00E04C25">
        <w:rPr>
          <w:rFonts w:ascii="Arial" w:hAnsi="Arial" w:cs="Arial"/>
          <w:b/>
          <w:iCs/>
        </w:rPr>
        <w:t>.</w:t>
      </w:r>
    </w:p>
    <w:p w:rsidR="00404900" w:rsidRPr="00E04C25" w:rsidRDefault="00404900" w:rsidP="00AE65A5">
      <w:pPr>
        <w:tabs>
          <w:tab w:val="left" w:pos="709"/>
        </w:tabs>
        <w:ind w:firstLine="567"/>
        <w:jc w:val="both"/>
        <w:rPr>
          <w:rFonts w:ascii="Arial" w:hAnsi="Arial" w:cs="Arial"/>
          <w:i/>
          <w:sz w:val="16"/>
          <w:szCs w:val="16"/>
        </w:rPr>
      </w:pPr>
    </w:p>
    <w:p w:rsidR="00D129A3" w:rsidRPr="00E04C25" w:rsidRDefault="0079457E" w:rsidP="00AE65A5">
      <w:pPr>
        <w:tabs>
          <w:tab w:val="left" w:pos="709"/>
        </w:tabs>
        <w:jc w:val="center"/>
        <w:rPr>
          <w:rFonts w:ascii="Arial" w:hAnsi="Arial" w:cs="Arial"/>
          <w:b/>
          <w:iCs/>
        </w:rPr>
      </w:pPr>
      <w:r w:rsidRPr="00E04C25">
        <w:rPr>
          <w:rFonts w:ascii="Arial" w:hAnsi="Arial" w:cs="Arial"/>
          <w:b/>
          <w:iCs/>
        </w:rPr>
        <w:br w:type="column"/>
      </w:r>
      <w:r w:rsidR="00D129A3" w:rsidRPr="00E04C25">
        <w:rPr>
          <w:rFonts w:ascii="Arial" w:hAnsi="Arial" w:cs="Arial"/>
          <w:b/>
          <w:iCs/>
        </w:rPr>
        <w:lastRenderedPageBreak/>
        <w:t xml:space="preserve">Vzdělanostní struktura zaměstnané populace 15+ </w:t>
      </w:r>
    </w:p>
    <w:p w:rsidR="00D129A3" w:rsidRPr="00E04C25" w:rsidRDefault="00D129A3" w:rsidP="00AE65A5">
      <w:pPr>
        <w:tabs>
          <w:tab w:val="left" w:pos="709"/>
        </w:tabs>
        <w:jc w:val="center"/>
        <w:rPr>
          <w:rFonts w:ascii="Arial" w:hAnsi="Arial" w:cs="Arial"/>
          <w:b/>
          <w:iCs/>
        </w:rPr>
      </w:pPr>
      <w:r w:rsidRPr="00E04C25">
        <w:rPr>
          <w:rFonts w:ascii="Arial" w:hAnsi="Arial" w:cs="Arial"/>
          <w:b/>
          <w:iCs/>
        </w:rPr>
        <w:t>podle věku v roce 201</w:t>
      </w:r>
      <w:r w:rsidR="00EC746A" w:rsidRPr="00E04C25">
        <w:rPr>
          <w:rFonts w:ascii="Arial" w:hAnsi="Arial" w:cs="Arial"/>
          <w:b/>
          <w:iCs/>
        </w:rPr>
        <w:t>7</w:t>
      </w:r>
      <w:r w:rsidRPr="00E04C25">
        <w:rPr>
          <w:rFonts w:ascii="Arial" w:hAnsi="Arial" w:cs="Arial"/>
          <w:b/>
          <w:iCs/>
        </w:rPr>
        <w:t xml:space="preserve"> (v %) </w:t>
      </w:r>
    </w:p>
    <w:p w:rsidR="00D129A3" w:rsidRPr="00E04C25" w:rsidRDefault="00D129A3" w:rsidP="00AE65A5">
      <w:pPr>
        <w:tabs>
          <w:tab w:val="left" w:pos="709"/>
        </w:tabs>
        <w:jc w:val="center"/>
        <w:rPr>
          <w:rFonts w:ascii="Arial" w:hAnsi="Arial" w:cs="Arial"/>
          <w:iCs/>
          <w:sz w:val="20"/>
          <w:szCs w:val="20"/>
        </w:rPr>
      </w:pP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t>tab. č. 10</w:t>
      </w:r>
    </w:p>
    <w:tbl>
      <w:tblPr>
        <w:tblW w:w="8558" w:type="dxa"/>
        <w:jc w:val="center"/>
        <w:tblCellMar>
          <w:left w:w="70" w:type="dxa"/>
          <w:right w:w="70" w:type="dxa"/>
        </w:tblCellMar>
        <w:tblLook w:val="04A0"/>
      </w:tblPr>
      <w:tblGrid>
        <w:gridCol w:w="1418"/>
        <w:gridCol w:w="1380"/>
        <w:gridCol w:w="1525"/>
        <w:gridCol w:w="1317"/>
        <w:gridCol w:w="1219"/>
        <w:gridCol w:w="1699"/>
      </w:tblGrid>
      <w:tr w:rsidR="00D129A3" w:rsidRPr="00E04C25" w:rsidTr="00BF2EC8">
        <w:trPr>
          <w:trHeight w:val="255"/>
          <w:jc w:val="center"/>
        </w:trPr>
        <w:tc>
          <w:tcPr>
            <w:tcW w:w="1418" w:type="dxa"/>
            <w:vMerge w:val="restart"/>
            <w:tcBorders>
              <w:top w:val="double" w:sz="4" w:space="0" w:color="auto"/>
              <w:left w:val="double" w:sz="4" w:space="0" w:color="auto"/>
              <w:bottom w:val="single" w:sz="4" w:space="0" w:color="auto"/>
              <w:right w:val="single" w:sz="4" w:space="0" w:color="auto"/>
            </w:tcBorders>
            <w:shd w:val="clear" w:color="auto" w:fill="auto"/>
            <w:noWrap/>
            <w:vAlign w:val="center"/>
            <w:hideMark/>
          </w:tcPr>
          <w:p w:rsidR="00D129A3" w:rsidRPr="00E04C25" w:rsidRDefault="00D129A3" w:rsidP="002413D1">
            <w:pPr>
              <w:tabs>
                <w:tab w:val="left" w:pos="709"/>
              </w:tabs>
              <w:ind w:firstLineChars="100" w:firstLine="201"/>
              <w:jc w:val="center"/>
              <w:rPr>
                <w:rFonts w:ascii="Arial" w:hAnsi="Arial" w:cs="Arial"/>
                <w:b/>
                <w:bCs/>
                <w:sz w:val="20"/>
                <w:szCs w:val="20"/>
              </w:rPr>
            </w:pPr>
            <w:r w:rsidRPr="00E04C25">
              <w:rPr>
                <w:rFonts w:ascii="Arial" w:hAnsi="Arial" w:cs="Arial"/>
                <w:b/>
                <w:bCs/>
                <w:sz w:val="20"/>
                <w:szCs w:val="20"/>
              </w:rPr>
              <w:t>Věk</w:t>
            </w:r>
          </w:p>
        </w:tc>
        <w:tc>
          <w:tcPr>
            <w:tcW w:w="1380" w:type="dxa"/>
            <w:vMerge w:val="restart"/>
            <w:tcBorders>
              <w:top w:val="double" w:sz="4" w:space="0" w:color="auto"/>
              <w:left w:val="single" w:sz="4" w:space="0" w:color="auto"/>
              <w:bottom w:val="single" w:sz="4" w:space="0" w:color="auto"/>
              <w:right w:val="single" w:sz="4" w:space="0" w:color="auto"/>
            </w:tcBorders>
            <w:shd w:val="clear" w:color="auto" w:fill="auto"/>
            <w:noWrap/>
            <w:vAlign w:val="center"/>
            <w:hideMark/>
          </w:tcPr>
          <w:p w:rsidR="00D129A3" w:rsidRPr="00E04C25" w:rsidRDefault="00D129A3" w:rsidP="00AE65A5">
            <w:pPr>
              <w:tabs>
                <w:tab w:val="left" w:pos="709"/>
              </w:tabs>
              <w:jc w:val="center"/>
              <w:rPr>
                <w:rFonts w:ascii="Arial" w:hAnsi="Arial" w:cs="Arial"/>
                <w:b/>
                <w:bCs/>
                <w:sz w:val="20"/>
                <w:szCs w:val="20"/>
              </w:rPr>
            </w:pPr>
            <w:r w:rsidRPr="00E04C25">
              <w:rPr>
                <w:rFonts w:ascii="Arial" w:hAnsi="Arial" w:cs="Arial"/>
                <w:b/>
                <w:bCs/>
                <w:sz w:val="20"/>
                <w:szCs w:val="20"/>
              </w:rPr>
              <w:t>Zaměstnaní celkem</w:t>
            </w:r>
          </w:p>
        </w:tc>
        <w:tc>
          <w:tcPr>
            <w:tcW w:w="5760" w:type="dxa"/>
            <w:gridSpan w:val="4"/>
            <w:tcBorders>
              <w:top w:val="double" w:sz="4" w:space="0" w:color="auto"/>
              <w:left w:val="nil"/>
              <w:bottom w:val="single" w:sz="4" w:space="0" w:color="auto"/>
              <w:right w:val="double" w:sz="4" w:space="0" w:color="auto"/>
            </w:tcBorders>
            <w:shd w:val="clear" w:color="auto" w:fill="auto"/>
            <w:vAlign w:val="center"/>
            <w:hideMark/>
          </w:tcPr>
          <w:p w:rsidR="00D129A3" w:rsidRPr="00E04C25" w:rsidRDefault="00D129A3" w:rsidP="00AE65A5">
            <w:pPr>
              <w:tabs>
                <w:tab w:val="left" w:pos="709"/>
              </w:tabs>
              <w:jc w:val="center"/>
              <w:rPr>
                <w:rFonts w:ascii="Arial" w:hAnsi="Arial" w:cs="Arial"/>
                <w:b/>
                <w:bCs/>
                <w:sz w:val="20"/>
                <w:szCs w:val="20"/>
              </w:rPr>
            </w:pPr>
            <w:r w:rsidRPr="00E04C25">
              <w:rPr>
                <w:rFonts w:ascii="Arial" w:hAnsi="Arial" w:cs="Arial"/>
                <w:b/>
                <w:bCs/>
                <w:sz w:val="20"/>
                <w:szCs w:val="20"/>
              </w:rPr>
              <w:t>Vzdělání</w:t>
            </w:r>
          </w:p>
        </w:tc>
      </w:tr>
      <w:tr w:rsidR="00D129A3" w:rsidRPr="00E04C25" w:rsidTr="00BF2EC8">
        <w:trPr>
          <w:trHeight w:val="255"/>
          <w:jc w:val="center"/>
        </w:trPr>
        <w:tc>
          <w:tcPr>
            <w:tcW w:w="1418" w:type="dxa"/>
            <w:vMerge/>
            <w:tcBorders>
              <w:top w:val="single" w:sz="4" w:space="0" w:color="auto"/>
              <w:left w:val="double" w:sz="4" w:space="0" w:color="auto"/>
              <w:bottom w:val="single" w:sz="4" w:space="0" w:color="auto"/>
              <w:right w:val="single" w:sz="4" w:space="0" w:color="auto"/>
            </w:tcBorders>
            <w:vAlign w:val="center"/>
            <w:hideMark/>
          </w:tcPr>
          <w:p w:rsidR="00D129A3" w:rsidRPr="00E04C25" w:rsidRDefault="00D129A3" w:rsidP="00AE65A5">
            <w:pPr>
              <w:tabs>
                <w:tab w:val="left" w:pos="709"/>
              </w:tabs>
              <w:rPr>
                <w:rFonts w:ascii="Arial" w:hAnsi="Arial" w:cs="Arial"/>
                <w:b/>
                <w:bCs/>
                <w:sz w:val="20"/>
                <w:szCs w:val="2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D129A3" w:rsidRPr="00E04C25" w:rsidRDefault="00D129A3" w:rsidP="00AE65A5">
            <w:pPr>
              <w:tabs>
                <w:tab w:val="left" w:pos="709"/>
              </w:tabs>
              <w:rPr>
                <w:rFonts w:ascii="Arial" w:hAnsi="Arial" w:cs="Arial"/>
                <w:b/>
                <w:bCs/>
                <w:sz w:val="20"/>
                <w:szCs w:val="20"/>
              </w:rPr>
            </w:pPr>
          </w:p>
        </w:tc>
        <w:tc>
          <w:tcPr>
            <w:tcW w:w="1525" w:type="dxa"/>
            <w:vMerge w:val="restart"/>
            <w:tcBorders>
              <w:top w:val="nil"/>
              <w:left w:val="single" w:sz="4" w:space="0" w:color="auto"/>
              <w:bottom w:val="single" w:sz="4" w:space="0" w:color="auto"/>
              <w:right w:val="single" w:sz="4" w:space="0" w:color="auto"/>
            </w:tcBorders>
            <w:shd w:val="clear" w:color="auto" w:fill="auto"/>
            <w:vAlign w:val="center"/>
            <w:hideMark/>
          </w:tcPr>
          <w:p w:rsidR="00D129A3" w:rsidRPr="00E04C25" w:rsidRDefault="00D129A3" w:rsidP="00AE65A5">
            <w:pPr>
              <w:tabs>
                <w:tab w:val="left" w:pos="709"/>
              </w:tabs>
              <w:jc w:val="center"/>
              <w:rPr>
                <w:rFonts w:ascii="Arial" w:hAnsi="Arial" w:cs="Arial"/>
                <w:b/>
                <w:bCs/>
                <w:sz w:val="20"/>
                <w:szCs w:val="20"/>
              </w:rPr>
            </w:pPr>
            <w:r w:rsidRPr="00E04C25">
              <w:rPr>
                <w:rFonts w:ascii="Arial" w:hAnsi="Arial" w:cs="Arial"/>
                <w:b/>
                <w:bCs/>
                <w:sz w:val="20"/>
                <w:szCs w:val="20"/>
              </w:rPr>
              <w:t>základní a bez vzdělání</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rsidR="00D129A3" w:rsidRPr="00E04C25" w:rsidRDefault="00D129A3" w:rsidP="00AE65A5">
            <w:pPr>
              <w:tabs>
                <w:tab w:val="left" w:pos="709"/>
              </w:tabs>
              <w:jc w:val="center"/>
              <w:rPr>
                <w:rFonts w:ascii="Arial" w:hAnsi="Arial" w:cs="Arial"/>
                <w:b/>
                <w:bCs/>
                <w:sz w:val="20"/>
                <w:szCs w:val="20"/>
              </w:rPr>
            </w:pPr>
            <w:r w:rsidRPr="00E04C25">
              <w:rPr>
                <w:rFonts w:ascii="Arial" w:hAnsi="Arial" w:cs="Arial"/>
                <w:b/>
                <w:bCs/>
                <w:sz w:val="20"/>
                <w:szCs w:val="20"/>
              </w:rPr>
              <w:t>střední</w:t>
            </w:r>
          </w:p>
        </w:tc>
        <w:tc>
          <w:tcPr>
            <w:tcW w:w="1699" w:type="dxa"/>
            <w:vMerge w:val="restart"/>
            <w:tcBorders>
              <w:top w:val="nil"/>
              <w:left w:val="single" w:sz="4" w:space="0" w:color="auto"/>
              <w:bottom w:val="single" w:sz="4" w:space="0" w:color="auto"/>
              <w:right w:val="double" w:sz="4" w:space="0" w:color="auto"/>
            </w:tcBorders>
            <w:shd w:val="clear" w:color="auto" w:fill="auto"/>
            <w:vAlign w:val="center"/>
            <w:hideMark/>
          </w:tcPr>
          <w:p w:rsidR="00D129A3" w:rsidRPr="00E04C25" w:rsidRDefault="00D129A3" w:rsidP="00AE65A5">
            <w:pPr>
              <w:tabs>
                <w:tab w:val="left" w:pos="709"/>
              </w:tabs>
              <w:jc w:val="center"/>
              <w:rPr>
                <w:rFonts w:ascii="Arial" w:hAnsi="Arial" w:cs="Arial"/>
                <w:b/>
                <w:bCs/>
                <w:sz w:val="20"/>
                <w:szCs w:val="20"/>
              </w:rPr>
            </w:pPr>
            <w:r w:rsidRPr="00E04C25">
              <w:rPr>
                <w:rFonts w:ascii="Arial" w:hAnsi="Arial" w:cs="Arial"/>
                <w:b/>
                <w:bCs/>
                <w:sz w:val="20"/>
                <w:szCs w:val="20"/>
              </w:rPr>
              <w:t>vysokoškolské</w:t>
            </w:r>
          </w:p>
        </w:tc>
      </w:tr>
      <w:tr w:rsidR="00D129A3" w:rsidRPr="00E04C25" w:rsidTr="00BF2EC8">
        <w:trPr>
          <w:trHeight w:val="255"/>
          <w:jc w:val="center"/>
        </w:trPr>
        <w:tc>
          <w:tcPr>
            <w:tcW w:w="1418" w:type="dxa"/>
            <w:vMerge/>
            <w:tcBorders>
              <w:top w:val="single" w:sz="4" w:space="0" w:color="auto"/>
              <w:left w:val="double" w:sz="4" w:space="0" w:color="auto"/>
              <w:bottom w:val="single" w:sz="4" w:space="0" w:color="auto"/>
              <w:right w:val="single" w:sz="4" w:space="0" w:color="auto"/>
            </w:tcBorders>
            <w:vAlign w:val="center"/>
            <w:hideMark/>
          </w:tcPr>
          <w:p w:rsidR="00D129A3" w:rsidRPr="00E04C25" w:rsidRDefault="00D129A3" w:rsidP="00AE65A5">
            <w:pPr>
              <w:tabs>
                <w:tab w:val="left" w:pos="709"/>
              </w:tabs>
              <w:rPr>
                <w:rFonts w:ascii="Arial" w:hAnsi="Arial" w:cs="Arial"/>
                <w:b/>
                <w:bCs/>
                <w:sz w:val="20"/>
                <w:szCs w:val="2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D129A3" w:rsidRPr="00E04C25" w:rsidRDefault="00D129A3" w:rsidP="00AE65A5">
            <w:pPr>
              <w:tabs>
                <w:tab w:val="left" w:pos="709"/>
              </w:tabs>
              <w:rPr>
                <w:rFonts w:ascii="Arial" w:hAnsi="Arial" w:cs="Arial"/>
                <w:b/>
                <w:bCs/>
                <w:sz w:val="20"/>
                <w:szCs w:val="20"/>
              </w:rPr>
            </w:pPr>
          </w:p>
        </w:tc>
        <w:tc>
          <w:tcPr>
            <w:tcW w:w="1525" w:type="dxa"/>
            <w:vMerge/>
            <w:tcBorders>
              <w:top w:val="nil"/>
              <w:left w:val="single" w:sz="4" w:space="0" w:color="auto"/>
              <w:bottom w:val="single" w:sz="4" w:space="0" w:color="auto"/>
              <w:right w:val="single" w:sz="4" w:space="0" w:color="auto"/>
            </w:tcBorders>
            <w:vAlign w:val="center"/>
            <w:hideMark/>
          </w:tcPr>
          <w:p w:rsidR="00D129A3" w:rsidRPr="00E04C25" w:rsidRDefault="00D129A3" w:rsidP="00AE65A5">
            <w:pPr>
              <w:tabs>
                <w:tab w:val="left" w:pos="709"/>
              </w:tabs>
              <w:rPr>
                <w:rFonts w:ascii="Arial" w:hAnsi="Arial" w:cs="Arial"/>
                <w:b/>
                <w:bCs/>
                <w:sz w:val="20"/>
                <w:szCs w:val="20"/>
              </w:rPr>
            </w:pPr>
          </w:p>
        </w:tc>
        <w:tc>
          <w:tcPr>
            <w:tcW w:w="1317" w:type="dxa"/>
            <w:tcBorders>
              <w:top w:val="nil"/>
              <w:left w:val="nil"/>
              <w:bottom w:val="single" w:sz="4" w:space="0" w:color="auto"/>
              <w:right w:val="single" w:sz="4" w:space="0" w:color="auto"/>
            </w:tcBorders>
            <w:shd w:val="clear" w:color="auto" w:fill="auto"/>
            <w:noWrap/>
            <w:vAlign w:val="center"/>
            <w:hideMark/>
          </w:tcPr>
          <w:p w:rsidR="00D129A3" w:rsidRPr="00E04C25" w:rsidRDefault="00D129A3" w:rsidP="00AE65A5">
            <w:pPr>
              <w:tabs>
                <w:tab w:val="left" w:pos="709"/>
              </w:tabs>
              <w:jc w:val="center"/>
              <w:rPr>
                <w:rFonts w:ascii="Arial" w:hAnsi="Arial" w:cs="Arial"/>
                <w:b/>
                <w:bCs/>
                <w:sz w:val="20"/>
                <w:szCs w:val="20"/>
              </w:rPr>
            </w:pPr>
            <w:r w:rsidRPr="00E04C25">
              <w:rPr>
                <w:rFonts w:ascii="Arial" w:hAnsi="Arial" w:cs="Arial"/>
                <w:b/>
                <w:bCs/>
                <w:sz w:val="20"/>
                <w:szCs w:val="20"/>
              </w:rPr>
              <w:t>bez maturity</w:t>
            </w:r>
          </w:p>
        </w:tc>
        <w:tc>
          <w:tcPr>
            <w:tcW w:w="1219" w:type="dxa"/>
            <w:tcBorders>
              <w:top w:val="nil"/>
              <w:left w:val="nil"/>
              <w:bottom w:val="single" w:sz="4" w:space="0" w:color="auto"/>
              <w:right w:val="single" w:sz="4" w:space="0" w:color="auto"/>
            </w:tcBorders>
            <w:shd w:val="clear" w:color="auto" w:fill="auto"/>
            <w:noWrap/>
            <w:vAlign w:val="center"/>
            <w:hideMark/>
          </w:tcPr>
          <w:p w:rsidR="00D129A3" w:rsidRPr="00E04C25" w:rsidRDefault="00D129A3" w:rsidP="00AE65A5">
            <w:pPr>
              <w:tabs>
                <w:tab w:val="left" w:pos="709"/>
              </w:tabs>
              <w:jc w:val="center"/>
              <w:rPr>
                <w:rFonts w:ascii="Arial" w:hAnsi="Arial" w:cs="Arial"/>
                <w:b/>
                <w:bCs/>
                <w:sz w:val="20"/>
                <w:szCs w:val="20"/>
              </w:rPr>
            </w:pPr>
            <w:r w:rsidRPr="00E04C25">
              <w:rPr>
                <w:rFonts w:ascii="Arial" w:hAnsi="Arial" w:cs="Arial"/>
                <w:b/>
                <w:bCs/>
                <w:sz w:val="20"/>
                <w:szCs w:val="20"/>
              </w:rPr>
              <w:t>s maturitou</w:t>
            </w:r>
          </w:p>
        </w:tc>
        <w:tc>
          <w:tcPr>
            <w:tcW w:w="1699" w:type="dxa"/>
            <w:vMerge/>
            <w:tcBorders>
              <w:top w:val="nil"/>
              <w:left w:val="single" w:sz="4" w:space="0" w:color="auto"/>
              <w:bottom w:val="single" w:sz="4" w:space="0" w:color="auto"/>
              <w:right w:val="double" w:sz="4" w:space="0" w:color="auto"/>
            </w:tcBorders>
            <w:vAlign w:val="center"/>
            <w:hideMark/>
          </w:tcPr>
          <w:p w:rsidR="00D129A3" w:rsidRPr="00E04C25" w:rsidRDefault="00D129A3" w:rsidP="00AE65A5">
            <w:pPr>
              <w:tabs>
                <w:tab w:val="left" w:pos="709"/>
              </w:tabs>
              <w:rPr>
                <w:rFonts w:ascii="Arial" w:hAnsi="Arial" w:cs="Arial"/>
                <w:b/>
                <w:bCs/>
                <w:sz w:val="20"/>
                <w:szCs w:val="20"/>
              </w:rPr>
            </w:pPr>
          </w:p>
        </w:tc>
      </w:tr>
      <w:tr w:rsidR="00523055" w:rsidRPr="00E04C25" w:rsidTr="00BF2EC8">
        <w:trPr>
          <w:trHeight w:val="345"/>
          <w:jc w:val="center"/>
        </w:trPr>
        <w:tc>
          <w:tcPr>
            <w:tcW w:w="1418" w:type="dxa"/>
            <w:tcBorders>
              <w:top w:val="nil"/>
              <w:left w:val="double" w:sz="4" w:space="0" w:color="auto"/>
              <w:bottom w:val="nil"/>
              <w:right w:val="single" w:sz="4" w:space="0" w:color="auto"/>
            </w:tcBorders>
            <w:shd w:val="clear" w:color="auto" w:fill="auto"/>
            <w:noWrap/>
            <w:vAlign w:val="center"/>
            <w:hideMark/>
          </w:tcPr>
          <w:p w:rsidR="00523055" w:rsidRPr="00E04C25" w:rsidRDefault="00523055" w:rsidP="00AE65A5">
            <w:pPr>
              <w:tabs>
                <w:tab w:val="left" w:pos="709"/>
              </w:tabs>
              <w:ind w:firstLineChars="100" w:firstLine="180"/>
              <w:rPr>
                <w:rFonts w:ascii="Arial" w:hAnsi="Arial" w:cs="Arial"/>
                <w:sz w:val="18"/>
                <w:szCs w:val="18"/>
              </w:rPr>
            </w:pPr>
            <w:r w:rsidRPr="00E04C25">
              <w:rPr>
                <w:rFonts w:ascii="Arial" w:hAnsi="Arial" w:cs="Arial"/>
                <w:sz w:val="18"/>
                <w:szCs w:val="18"/>
              </w:rPr>
              <w:t xml:space="preserve">15-24 let </w:t>
            </w:r>
          </w:p>
        </w:tc>
        <w:tc>
          <w:tcPr>
            <w:tcW w:w="1380" w:type="dxa"/>
            <w:tcBorders>
              <w:top w:val="nil"/>
              <w:left w:val="nil"/>
              <w:bottom w:val="nil"/>
              <w:right w:val="nil"/>
            </w:tcBorders>
            <w:shd w:val="clear" w:color="auto" w:fill="auto"/>
            <w:noWrap/>
            <w:vAlign w:val="center"/>
            <w:hideMark/>
          </w:tcPr>
          <w:p w:rsidR="00523055" w:rsidRPr="00E04C25" w:rsidRDefault="00523055" w:rsidP="00AE65A5">
            <w:pPr>
              <w:tabs>
                <w:tab w:val="left" w:pos="709"/>
              </w:tabs>
              <w:ind w:firstLineChars="100" w:firstLine="180"/>
              <w:jc w:val="right"/>
              <w:rPr>
                <w:rFonts w:ascii="Arial" w:hAnsi="Arial" w:cs="Arial"/>
                <w:sz w:val="18"/>
                <w:szCs w:val="18"/>
              </w:rPr>
            </w:pPr>
            <w:r w:rsidRPr="00E04C25">
              <w:rPr>
                <w:rFonts w:ascii="Arial" w:hAnsi="Arial" w:cs="Arial"/>
                <w:sz w:val="18"/>
                <w:szCs w:val="18"/>
              </w:rPr>
              <w:t>100,0</w:t>
            </w:r>
          </w:p>
        </w:tc>
        <w:tc>
          <w:tcPr>
            <w:tcW w:w="1525" w:type="dxa"/>
            <w:tcBorders>
              <w:top w:val="nil"/>
              <w:left w:val="single" w:sz="4" w:space="0" w:color="auto"/>
              <w:bottom w:val="nil"/>
              <w:right w:val="sing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11,4</w:t>
            </w:r>
          </w:p>
        </w:tc>
        <w:tc>
          <w:tcPr>
            <w:tcW w:w="1317" w:type="dxa"/>
            <w:tcBorders>
              <w:top w:val="nil"/>
              <w:left w:val="nil"/>
              <w:bottom w:val="nil"/>
              <w:right w:val="sing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32,4</w:t>
            </w:r>
          </w:p>
        </w:tc>
        <w:tc>
          <w:tcPr>
            <w:tcW w:w="1219" w:type="dxa"/>
            <w:tcBorders>
              <w:top w:val="nil"/>
              <w:left w:val="nil"/>
              <w:bottom w:val="nil"/>
              <w:right w:val="sing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46,4</w:t>
            </w:r>
          </w:p>
        </w:tc>
        <w:tc>
          <w:tcPr>
            <w:tcW w:w="1699" w:type="dxa"/>
            <w:tcBorders>
              <w:top w:val="nil"/>
              <w:left w:val="nil"/>
              <w:bottom w:val="nil"/>
              <w:right w:val="doub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9,8</w:t>
            </w:r>
          </w:p>
        </w:tc>
      </w:tr>
      <w:tr w:rsidR="00523055" w:rsidRPr="00E04C25" w:rsidTr="00BF2EC8">
        <w:trPr>
          <w:trHeight w:val="345"/>
          <w:jc w:val="center"/>
        </w:trPr>
        <w:tc>
          <w:tcPr>
            <w:tcW w:w="1418" w:type="dxa"/>
            <w:tcBorders>
              <w:top w:val="nil"/>
              <w:left w:val="double" w:sz="4" w:space="0" w:color="auto"/>
              <w:bottom w:val="nil"/>
              <w:right w:val="single" w:sz="4" w:space="0" w:color="auto"/>
            </w:tcBorders>
            <w:shd w:val="clear" w:color="auto" w:fill="auto"/>
            <w:noWrap/>
            <w:vAlign w:val="center"/>
            <w:hideMark/>
          </w:tcPr>
          <w:p w:rsidR="00523055" w:rsidRPr="00E04C25" w:rsidRDefault="00523055" w:rsidP="00AE65A5">
            <w:pPr>
              <w:tabs>
                <w:tab w:val="left" w:pos="709"/>
              </w:tabs>
              <w:ind w:firstLineChars="100" w:firstLine="180"/>
              <w:rPr>
                <w:rFonts w:ascii="Arial" w:hAnsi="Arial" w:cs="Arial"/>
                <w:sz w:val="18"/>
                <w:szCs w:val="18"/>
              </w:rPr>
            </w:pPr>
            <w:r w:rsidRPr="00E04C25">
              <w:rPr>
                <w:rFonts w:ascii="Arial" w:hAnsi="Arial" w:cs="Arial"/>
                <w:sz w:val="18"/>
                <w:szCs w:val="18"/>
              </w:rPr>
              <w:t xml:space="preserve">25-39 let </w:t>
            </w:r>
          </w:p>
        </w:tc>
        <w:tc>
          <w:tcPr>
            <w:tcW w:w="1380" w:type="dxa"/>
            <w:tcBorders>
              <w:top w:val="nil"/>
              <w:left w:val="nil"/>
              <w:bottom w:val="nil"/>
              <w:right w:val="single" w:sz="4" w:space="0" w:color="auto"/>
            </w:tcBorders>
            <w:shd w:val="clear" w:color="auto" w:fill="auto"/>
            <w:noWrap/>
            <w:vAlign w:val="center"/>
            <w:hideMark/>
          </w:tcPr>
          <w:p w:rsidR="00523055" w:rsidRPr="00E04C25" w:rsidRDefault="00523055" w:rsidP="00AE65A5">
            <w:pPr>
              <w:tabs>
                <w:tab w:val="left" w:pos="709"/>
              </w:tabs>
              <w:ind w:firstLineChars="100" w:firstLine="180"/>
              <w:jc w:val="right"/>
              <w:rPr>
                <w:rFonts w:ascii="Arial" w:hAnsi="Arial" w:cs="Arial"/>
                <w:sz w:val="18"/>
                <w:szCs w:val="18"/>
              </w:rPr>
            </w:pPr>
            <w:r w:rsidRPr="00E04C25">
              <w:rPr>
                <w:rFonts w:ascii="Arial" w:hAnsi="Arial" w:cs="Arial"/>
                <w:sz w:val="18"/>
                <w:szCs w:val="18"/>
              </w:rPr>
              <w:t>100,0</w:t>
            </w:r>
          </w:p>
        </w:tc>
        <w:tc>
          <w:tcPr>
            <w:tcW w:w="1525" w:type="dxa"/>
            <w:tcBorders>
              <w:top w:val="nil"/>
              <w:left w:val="nil"/>
              <w:bottom w:val="nil"/>
              <w:right w:val="sing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3,8</w:t>
            </w:r>
          </w:p>
        </w:tc>
        <w:tc>
          <w:tcPr>
            <w:tcW w:w="1317" w:type="dxa"/>
            <w:tcBorders>
              <w:top w:val="nil"/>
              <w:left w:val="nil"/>
              <w:bottom w:val="nil"/>
              <w:right w:val="sing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26,9</w:t>
            </w:r>
          </w:p>
        </w:tc>
        <w:tc>
          <w:tcPr>
            <w:tcW w:w="1219" w:type="dxa"/>
            <w:tcBorders>
              <w:top w:val="nil"/>
              <w:left w:val="nil"/>
              <w:bottom w:val="nil"/>
              <w:right w:val="sing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37,2</w:t>
            </w:r>
          </w:p>
        </w:tc>
        <w:tc>
          <w:tcPr>
            <w:tcW w:w="1699" w:type="dxa"/>
            <w:tcBorders>
              <w:top w:val="nil"/>
              <w:left w:val="nil"/>
              <w:bottom w:val="nil"/>
              <w:right w:val="doub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32,2</w:t>
            </w:r>
          </w:p>
        </w:tc>
      </w:tr>
      <w:tr w:rsidR="00523055" w:rsidRPr="00E04C25" w:rsidTr="00BF2EC8">
        <w:trPr>
          <w:trHeight w:val="345"/>
          <w:jc w:val="center"/>
        </w:trPr>
        <w:tc>
          <w:tcPr>
            <w:tcW w:w="1418" w:type="dxa"/>
            <w:tcBorders>
              <w:top w:val="nil"/>
              <w:left w:val="double" w:sz="4" w:space="0" w:color="auto"/>
              <w:bottom w:val="nil"/>
              <w:right w:val="single" w:sz="4" w:space="0" w:color="auto"/>
            </w:tcBorders>
            <w:shd w:val="clear" w:color="auto" w:fill="auto"/>
            <w:noWrap/>
            <w:vAlign w:val="center"/>
            <w:hideMark/>
          </w:tcPr>
          <w:p w:rsidR="00523055" w:rsidRPr="00E04C25" w:rsidRDefault="00523055" w:rsidP="00AE65A5">
            <w:pPr>
              <w:tabs>
                <w:tab w:val="left" w:pos="709"/>
              </w:tabs>
              <w:ind w:firstLineChars="100" w:firstLine="180"/>
              <w:rPr>
                <w:rFonts w:ascii="Arial" w:hAnsi="Arial" w:cs="Arial"/>
                <w:sz w:val="18"/>
                <w:szCs w:val="18"/>
              </w:rPr>
            </w:pPr>
            <w:r w:rsidRPr="00E04C25">
              <w:rPr>
                <w:rFonts w:ascii="Arial" w:hAnsi="Arial" w:cs="Arial"/>
                <w:sz w:val="18"/>
                <w:szCs w:val="18"/>
              </w:rPr>
              <w:t xml:space="preserve">40-54 let </w:t>
            </w:r>
          </w:p>
        </w:tc>
        <w:tc>
          <w:tcPr>
            <w:tcW w:w="1380" w:type="dxa"/>
            <w:tcBorders>
              <w:top w:val="nil"/>
              <w:left w:val="nil"/>
              <w:bottom w:val="nil"/>
              <w:right w:val="single" w:sz="4" w:space="0" w:color="auto"/>
            </w:tcBorders>
            <w:shd w:val="clear" w:color="auto" w:fill="auto"/>
            <w:noWrap/>
            <w:vAlign w:val="center"/>
            <w:hideMark/>
          </w:tcPr>
          <w:p w:rsidR="00523055" w:rsidRPr="00E04C25" w:rsidRDefault="00523055" w:rsidP="00AE65A5">
            <w:pPr>
              <w:tabs>
                <w:tab w:val="left" w:pos="709"/>
              </w:tabs>
              <w:ind w:firstLineChars="100" w:firstLine="180"/>
              <w:jc w:val="right"/>
              <w:rPr>
                <w:rFonts w:ascii="Arial" w:hAnsi="Arial" w:cs="Arial"/>
                <w:sz w:val="18"/>
                <w:szCs w:val="18"/>
              </w:rPr>
            </w:pPr>
            <w:r w:rsidRPr="00E04C25">
              <w:rPr>
                <w:rFonts w:ascii="Arial" w:hAnsi="Arial" w:cs="Arial"/>
                <w:sz w:val="18"/>
                <w:szCs w:val="18"/>
              </w:rPr>
              <w:t>100,0</w:t>
            </w:r>
          </w:p>
        </w:tc>
        <w:tc>
          <w:tcPr>
            <w:tcW w:w="1525" w:type="dxa"/>
            <w:tcBorders>
              <w:top w:val="nil"/>
              <w:left w:val="nil"/>
              <w:bottom w:val="nil"/>
              <w:right w:val="sing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3,6</w:t>
            </w:r>
          </w:p>
        </w:tc>
        <w:tc>
          <w:tcPr>
            <w:tcW w:w="1317" w:type="dxa"/>
            <w:tcBorders>
              <w:top w:val="nil"/>
              <w:left w:val="nil"/>
              <w:bottom w:val="nil"/>
              <w:right w:val="sing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37,6</w:t>
            </w:r>
          </w:p>
        </w:tc>
        <w:tc>
          <w:tcPr>
            <w:tcW w:w="1219" w:type="dxa"/>
            <w:tcBorders>
              <w:top w:val="nil"/>
              <w:left w:val="nil"/>
              <w:bottom w:val="nil"/>
              <w:right w:val="sing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38,0</w:t>
            </w:r>
          </w:p>
        </w:tc>
        <w:tc>
          <w:tcPr>
            <w:tcW w:w="1699" w:type="dxa"/>
            <w:tcBorders>
              <w:top w:val="nil"/>
              <w:left w:val="nil"/>
              <w:bottom w:val="nil"/>
              <w:right w:val="doub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20,7</w:t>
            </w:r>
          </w:p>
        </w:tc>
      </w:tr>
      <w:tr w:rsidR="00523055" w:rsidRPr="00E04C25" w:rsidTr="00BF2EC8">
        <w:trPr>
          <w:trHeight w:val="345"/>
          <w:jc w:val="center"/>
        </w:trPr>
        <w:tc>
          <w:tcPr>
            <w:tcW w:w="1418" w:type="dxa"/>
            <w:tcBorders>
              <w:top w:val="nil"/>
              <w:left w:val="double" w:sz="4" w:space="0" w:color="auto"/>
              <w:bottom w:val="nil"/>
              <w:right w:val="single" w:sz="4" w:space="0" w:color="auto"/>
            </w:tcBorders>
            <w:shd w:val="clear" w:color="auto" w:fill="auto"/>
            <w:noWrap/>
            <w:vAlign w:val="center"/>
            <w:hideMark/>
          </w:tcPr>
          <w:p w:rsidR="00523055" w:rsidRPr="00E04C25" w:rsidRDefault="00523055" w:rsidP="00AE65A5">
            <w:pPr>
              <w:tabs>
                <w:tab w:val="left" w:pos="709"/>
              </w:tabs>
              <w:ind w:firstLineChars="100" w:firstLine="180"/>
              <w:rPr>
                <w:rFonts w:ascii="Arial" w:hAnsi="Arial" w:cs="Arial"/>
                <w:sz w:val="18"/>
                <w:szCs w:val="18"/>
              </w:rPr>
            </w:pPr>
            <w:r w:rsidRPr="00E04C25">
              <w:rPr>
                <w:rFonts w:ascii="Arial" w:hAnsi="Arial" w:cs="Arial"/>
                <w:sz w:val="18"/>
                <w:szCs w:val="18"/>
              </w:rPr>
              <w:t xml:space="preserve">55-64 let </w:t>
            </w:r>
          </w:p>
        </w:tc>
        <w:tc>
          <w:tcPr>
            <w:tcW w:w="1380" w:type="dxa"/>
            <w:tcBorders>
              <w:top w:val="nil"/>
              <w:left w:val="nil"/>
              <w:bottom w:val="nil"/>
              <w:right w:val="single" w:sz="4" w:space="0" w:color="auto"/>
            </w:tcBorders>
            <w:shd w:val="clear" w:color="auto" w:fill="auto"/>
            <w:noWrap/>
            <w:vAlign w:val="center"/>
            <w:hideMark/>
          </w:tcPr>
          <w:p w:rsidR="00523055" w:rsidRPr="00E04C25" w:rsidRDefault="00523055" w:rsidP="00AE65A5">
            <w:pPr>
              <w:tabs>
                <w:tab w:val="left" w:pos="709"/>
              </w:tabs>
              <w:ind w:firstLineChars="100" w:firstLine="180"/>
              <w:jc w:val="right"/>
              <w:rPr>
                <w:rFonts w:ascii="Arial" w:hAnsi="Arial" w:cs="Arial"/>
                <w:sz w:val="18"/>
                <w:szCs w:val="18"/>
              </w:rPr>
            </w:pPr>
            <w:r w:rsidRPr="00E04C25">
              <w:rPr>
                <w:rFonts w:ascii="Arial" w:hAnsi="Arial" w:cs="Arial"/>
                <w:sz w:val="18"/>
                <w:szCs w:val="18"/>
              </w:rPr>
              <w:t>100,0</w:t>
            </w:r>
          </w:p>
        </w:tc>
        <w:tc>
          <w:tcPr>
            <w:tcW w:w="1525" w:type="dxa"/>
            <w:tcBorders>
              <w:top w:val="nil"/>
              <w:left w:val="nil"/>
              <w:bottom w:val="nil"/>
              <w:right w:val="sing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4,9</w:t>
            </w:r>
          </w:p>
        </w:tc>
        <w:tc>
          <w:tcPr>
            <w:tcW w:w="1317" w:type="dxa"/>
            <w:tcBorders>
              <w:top w:val="nil"/>
              <w:left w:val="nil"/>
              <w:bottom w:val="nil"/>
              <w:right w:val="sing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41,6</w:t>
            </w:r>
          </w:p>
        </w:tc>
        <w:tc>
          <w:tcPr>
            <w:tcW w:w="1219" w:type="dxa"/>
            <w:tcBorders>
              <w:top w:val="nil"/>
              <w:left w:val="nil"/>
              <w:bottom w:val="nil"/>
              <w:right w:val="sing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32,0</w:t>
            </w:r>
          </w:p>
        </w:tc>
        <w:tc>
          <w:tcPr>
            <w:tcW w:w="1699" w:type="dxa"/>
            <w:tcBorders>
              <w:top w:val="nil"/>
              <w:left w:val="nil"/>
              <w:bottom w:val="nil"/>
              <w:right w:val="doub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21,5</w:t>
            </w:r>
          </w:p>
        </w:tc>
      </w:tr>
      <w:tr w:rsidR="00523055" w:rsidRPr="00E04C25" w:rsidTr="00BF2EC8">
        <w:trPr>
          <w:trHeight w:val="345"/>
          <w:jc w:val="center"/>
        </w:trPr>
        <w:tc>
          <w:tcPr>
            <w:tcW w:w="1418" w:type="dxa"/>
            <w:tcBorders>
              <w:top w:val="nil"/>
              <w:left w:val="double" w:sz="4" w:space="0" w:color="auto"/>
              <w:bottom w:val="double" w:sz="4" w:space="0" w:color="auto"/>
              <w:right w:val="single" w:sz="4" w:space="0" w:color="auto"/>
            </w:tcBorders>
            <w:shd w:val="clear" w:color="auto" w:fill="auto"/>
            <w:noWrap/>
            <w:vAlign w:val="center"/>
            <w:hideMark/>
          </w:tcPr>
          <w:p w:rsidR="00523055" w:rsidRPr="00E04C25" w:rsidRDefault="00523055" w:rsidP="00AE65A5">
            <w:pPr>
              <w:tabs>
                <w:tab w:val="left" w:pos="709"/>
              </w:tabs>
              <w:ind w:firstLineChars="100" w:firstLine="180"/>
              <w:rPr>
                <w:rFonts w:ascii="Arial" w:hAnsi="Arial" w:cs="Arial"/>
                <w:sz w:val="18"/>
                <w:szCs w:val="18"/>
              </w:rPr>
            </w:pPr>
            <w:r w:rsidRPr="00E04C25">
              <w:rPr>
                <w:rFonts w:ascii="Arial" w:hAnsi="Arial" w:cs="Arial"/>
                <w:sz w:val="18"/>
                <w:szCs w:val="18"/>
              </w:rPr>
              <w:t xml:space="preserve">65+ let </w:t>
            </w:r>
          </w:p>
        </w:tc>
        <w:tc>
          <w:tcPr>
            <w:tcW w:w="1380" w:type="dxa"/>
            <w:tcBorders>
              <w:top w:val="nil"/>
              <w:left w:val="nil"/>
              <w:bottom w:val="double" w:sz="4" w:space="0" w:color="auto"/>
              <w:right w:val="single" w:sz="4" w:space="0" w:color="auto"/>
            </w:tcBorders>
            <w:shd w:val="clear" w:color="auto" w:fill="auto"/>
            <w:noWrap/>
            <w:vAlign w:val="center"/>
            <w:hideMark/>
          </w:tcPr>
          <w:p w:rsidR="00523055" w:rsidRPr="00E04C25" w:rsidRDefault="00523055" w:rsidP="00AE65A5">
            <w:pPr>
              <w:tabs>
                <w:tab w:val="left" w:pos="709"/>
              </w:tabs>
              <w:ind w:firstLineChars="100" w:firstLine="180"/>
              <w:jc w:val="right"/>
              <w:rPr>
                <w:rFonts w:ascii="Arial" w:hAnsi="Arial" w:cs="Arial"/>
                <w:sz w:val="18"/>
                <w:szCs w:val="18"/>
              </w:rPr>
            </w:pPr>
            <w:r w:rsidRPr="00E04C25">
              <w:rPr>
                <w:rFonts w:ascii="Arial" w:hAnsi="Arial" w:cs="Arial"/>
                <w:sz w:val="18"/>
                <w:szCs w:val="18"/>
              </w:rPr>
              <w:t>100,0</w:t>
            </w:r>
          </w:p>
        </w:tc>
        <w:tc>
          <w:tcPr>
            <w:tcW w:w="1525" w:type="dxa"/>
            <w:tcBorders>
              <w:top w:val="nil"/>
              <w:left w:val="nil"/>
              <w:bottom w:val="double" w:sz="4" w:space="0" w:color="auto"/>
              <w:right w:val="sing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4,3</w:t>
            </w:r>
          </w:p>
        </w:tc>
        <w:tc>
          <w:tcPr>
            <w:tcW w:w="1317" w:type="dxa"/>
            <w:tcBorders>
              <w:top w:val="nil"/>
              <w:left w:val="nil"/>
              <w:bottom w:val="double" w:sz="4" w:space="0" w:color="auto"/>
              <w:right w:val="sing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23,7</w:t>
            </w:r>
          </w:p>
        </w:tc>
        <w:tc>
          <w:tcPr>
            <w:tcW w:w="1219" w:type="dxa"/>
            <w:tcBorders>
              <w:top w:val="nil"/>
              <w:left w:val="nil"/>
              <w:bottom w:val="double" w:sz="4" w:space="0" w:color="auto"/>
              <w:right w:val="sing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38,3</w:t>
            </w:r>
          </w:p>
        </w:tc>
        <w:tc>
          <w:tcPr>
            <w:tcW w:w="1699" w:type="dxa"/>
            <w:tcBorders>
              <w:top w:val="nil"/>
              <w:left w:val="nil"/>
              <w:bottom w:val="double" w:sz="4" w:space="0" w:color="auto"/>
              <w:right w:val="double" w:sz="4" w:space="0" w:color="auto"/>
            </w:tcBorders>
            <w:shd w:val="clear" w:color="auto" w:fill="auto"/>
            <w:noWrap/>
            <w:vAlign w:val="center"/>
            <w:hideMark/>
          </w:tcPr>
          <w:p w:rsidR="00523055" w:rsidRPr="00E04C25" w:rsidRDefault="00523055" w:rsidP="00523055">
            <w:pPr>
              <w:ind w:firstLineChars="100" w:firstLine="180"/>
              <w:jc w:val="right"/>
              <w:rPr>
                <w:rFonts w:ascii="Arial" w:hAnsi="Arial" w:cs="Arial"/>
                <w:sz w:val="18"/>
                <w:szCs w:val="18"/>
              </w:rPr>
            </w:pPr>
            <w:r w:rsidRPr="00E04C25">
              <w:rPr>
                <w:rFonts w:ascii="Arial" w:hAnsi="Arial" w:cs="Arial"/>
                <w:sz w:val="18"/>
                <w:szCs w:val="18"/>
              </w:rPr>
              <w:t>33,7</w:t>
            </w:r>
          </w:p>
        </w:tc>
      </w:tr>
    </w:tbl>
    <w:p w:rsidR="00D129A3" w:rsidRPr="00E04C25" w:rsidRDefault="00D129A3" w:rsidP="00AE65A5">
      <w:pPr>
        <w:tabs>
          <w:tab w:val="center" w:pos="284"/>
          <w:tab w:val="left" w:pos="709"/>
        </w:tabs>
        <w:rPr>
          <w:rFonts w:ascii="Arial" w:hAnsi="Arial" w:cs="Arial"/>
          <w:i/>
          <w:iCs/>
          <w:sz w:val="20"/>
          <w:szCs w:val="20"/>
        </w:rPr>
      </w:pPr>
      <w:r w:rsidRPr="00E04C25">
        <w:rPr>
          <w:rFonts w:ascii="Arial" w:hAnsi="Arial" w:cs="Arial"/>
          <w:i/>
          <w:iCs/>
          <w:sz w:val="20"/>
          <w:szCs w:val="20"/>
        </w:rPr>
        <w:t xml:space="preserve"> </w:t>
      </w:r>
      <w:r w:rsidRPr="00E04C25">
        <w:rPr>
          <w:rFonts w:ascii="Arial" w:hAnsi="Arial" w:cs="Arial"/>
          <w:i/>
          <w:iCs/>
          <w:sz w:val="20"/>
          <w:szCs w:val="20"/>
        </w:rPr>
        <w:tab/>
        <w:t xml:space="preserve">    Zdroj: ČSÚ – VŠPS</w:t>
      </w:r>
    </w:p>
    <w:p w:rsidR="00D129A3" w:rsidRPr="00E04C25" w:rsidRDefault="00D129A3" w:rsidP="00AE65A5">
      <w:pPr>
        <w:tabs>
          <w:tab w:val="left" w:pos="709"/>
        </w:tabs>
        <w:spacing w:line="360" w:lineRule="auto"/>
        <w:ind w:firstLine="708"/>
        <w:jc w:val="both"/>
        <w:rPr>
          <w:rFonts w:ascii="Arial" w:hAnsi="Arial" w:cs="Arial"/>
          <w:iCs/>
        </w:rPr>
      </w:pPr>
    </w:p>
    <w:p w:rsidR="00D129A3" w:rsidRPr="00E04C25" w:rsidRDefault="00783BFD" w:rsidP="00783BFD">
      <w:pPr>
        <w:tabs>
          <w:tab w:val="left" w:pos="709"/>
        </w:tabs>
        <w:spacing w:line="360" w:lineRule="auto"/>
        <w:jc w:val="both"/>
        <w:rPr>
          <w:rFonts w:ascii="Arial" w:hAnsi="Arial" w:cs="Arial"/>
          <w:iCs/>
        </w:rPr>
      </w:pPr>
      <w:r w:rsidRPr="00E04C25">
        <w:rPr>
          <w:rFonts w:ascii="Arial" w:hAnsi="Arial" w:cs="Arial"/>
          <w:b/>
          <w:iCs/>
        </w:rPr>
        <w:tab/>
      </w:r>
      <w:r w:rsidR="00D129A3" w:rsidRPr="00E04C25">
        <w:rPr>
          <w:rFonts w:ascii="Arial" w:hAnsi="Arial" w:cs="Arial"/>
          <w:b/>
          <w:iCs/>
        </w:rPr>
        <w:t xml:space="preserve">Ještě výraznější </w:t>
      </w:r>
      <w:r w:rsidR="00D129A3" w:rsidRPr="00E04C25">
        <w:rPr>
          <w:rFonts w:ascii="Arial" w:hAnsi="Arial" w:cs="Arial"/>
          <w:iCs/>
        </w:rPr>
        <w:t xml:space="preserve">je </w:t>
      </w:r>
      <w:r w:rsidR="000711C3" w:rsidRPr="00E04C25">
        <w:rPr>
          <w:rFonts w:ascii="Arial" w:hAnsi="Arial" w:cs="Arial"/>
          <w:iCs/>
        </w:rPr>
        <w:t>tento roz</w:t>
      </w:r>
      <w:r w:rsidR="00B31A40" w:rsidRPr="00E04C25">
        <w:rPr>
          <w:rFonts w:ascii="Arial" w:hAnsi="Arial" w:cs="Arial"/>
          <w:iCs/>
        </w:rPr>
        <w:t>díl</w:t>
      </w:r>
      <w:r w:rsidR="000711C3" w:rsidRPr="00E04C25">
        <w:rPr>
          <w:rFonts w:ascii="Arial" w:hAnsi="Arial" w:cs="Arial"/>
          <w:iCs/>
        </w:rPr>
        <w:t xml:space="preserve"> </w:t>
      </w:r>
      <w:r w:rsidR="00D129A3" w:rsidRPr="00E04C25">
        <w:rPr>
          <w:rFonts w:ascii="Arial" w:hAnsi="Arial" w:cs="Arial"/>
          <w:b/>
          <w:iCs/>
        </w:rPr>
        <w:t>ve skupině 40</w:t>
      </w:r>
      <w:r w:rsidR="00C10EFD" w:rsidRPr="00E04C25">
        <w:rPr>
          <w:rFonts w:ascii="Arial" w:hAnsi="Arial" w:cs="Arial"/>
          <w:b/>
          <w:iCs/>
        </w:rPr>
        <w:t>-</w:t>
      </w:r>
      <w:r w:rsidR="00D129A3" w:rsidRPr="00E04C25">
        <w:rPr>
          <w:rFonts w:ascii="Arial" w:hAnsi="Arial" w:cs="Arial"/>
          <w:b/>
          <w:iCs/>
        </w:rPr>
        <w:t>44letých</w:t>
      </w:r>
      <w:r w:rsidR="00D129A3" w:rsidRPr="00E04C25">
        <w:rPr>
          <w:rFonts w:ascii="Arial" w:hAnsi="Arial" w:cs="Arial"/>
          <w:iCs/>
        </w:rPr>
        <w:t xml:space="preserve">, </w:t>
      </w:r>
      <w:r w:rsidR="000711C3" w:rsidRPr="00E04C25">
        <w:rPr>
          <w:rFonts w:ascii="Arial" w:hAnsi="Arial" w:cs="Arial"/>
          <w:iCs/>
        </w:rPr>
        <w:t>do níž</w:t>
      </w:r>
      <w:r w:rsidR="00D129A3" w:rsidRPr="00E04C25">
        <w:rPr>
          <w:rFonts w:ascii="Arial" w:hAnsi="Arial" w:cs="Arial"/>
          <w:iCs/>
        </w:rPr>
        <w:t xml:space="preserve"> spadá </w:t>
      </w:r>
      <w:r w:rsidR="008B1534" w:rsidRPr="00E04C25">
        <w:rPr>
          <w:rFonts w:ascii="Arial" w:hAnsi="Arial" w:cs="Arial"/>
          <w:iCs/>
        </w:rPr>
        <w:t>velká část</w:t>
      </w:r>
      <w:r w:rsidR="00D129A3" w:rsidRPr="00E04C25">
        <w:rPr>
          <w:rFonts w:ascii="Arial" w:hAnsi="Arial" w:cs="Arial"/>
          <w:iCs/>
        </w:rPr>
        <w:t xml:space="preserve"> populačně silných ročníků ze 70. let minulého století. Jejich </w:t>
      </w:r>
      <w:r w:rsidR="00D129A3" w:rsidRPr="00E04C25">
        <w:rPr>
          <w:rFonts w:ascii="Arial" w:hAnsi="Arial" w:cs="Arial"/>
          <w:b/>
          <w:iCs/>
        </w:rPr>
        <w:t xml:space="preserve">podíl na celkové zaměstnanosti </w:t>
      </w:r>
      <w:r w:rsidR="00113631" w:rsidRPr="00E04C25">
        <w:rPr>
          <w:rFonts w:ascii="Arial" w:hAnsi="Arial" w:cs="Arial"/>
          <w:b/>
          <w:iCs/>
        </w:rPr>
        <w:t>tvoří</w:t>
      </w:r>
      <w:r w:rsidR="00D129A3" w:rsidRPr="00E04C25">
        <w:rPr>
          <w:rFonts w:ascii="Arial" w:hAnsi="Arial" w:cs="Arial"/>
          <w:b/>
          <w:iCs/>
        </w:rPr>
        <w:t xml:space="preserve"> 1</w:t>
      </w:r>
      <w:r w:rsidR="007563B3" w:rsidRPr="00E04C25">
        <w:rPr>
          <w:rFonts w:ascii="Arial" w:hAnsi="Arial" w:cs="Arial"/>
          <w:b/>
          <w:iCs/>
        </w:rPr>
        <w:t>6</w:t>
      </w:r>
      <w:r w:rsidR="00D129A3" w:rsidRPr="00E04C25">
        <w:rPr>
          <w:rFonts w:ascii="Arial" w:hAnsi="Arial" w:cs="Arial"/>
          <w:b/>
          <w:iCs/>
        </w:rPr>
        <w:t>,</w:t>
      </w:r>
      <w:r w:rsidR="007563B3" w:rsidRPr="00E04C25">
        <w:rPr>
          <w:rFonts w:ascii="Arial" w:hAnsi="Arial" w:cs="Arial"/>
          <w:b/>
          <w:iCs/>
        </w:rPr>
        <w:t>2</w:t>
      </w:r>
      <w:r w:rsidR="00D129A3" w:rsidRPr="00E04C25">
        <w:rPr>
          <w:rFonts w:ascii="Arial" w:hAnsi="Arial" w:cs="Arial"/>
          <w:b/>
          <w:iCs/>
        </w:rPr>
        <w:t> %</w:t>
      </w:r>
      <w:r w:rsidR="00D129A3" w:rsidRPr="00E04C25">
        <w:rPr>
          <w:rFonts w:ascii="Arial" w:hAnsi="Arial" w:cs="Arial"/>
          <w:iCs/>
        </w:rPr>
        <w:t xml:space="preserve">, ale </w:t>
      </w:r>
      <w:r w:rsidR="00D129A3" w:rsidRPr="00E04C25">
        <w:rPr>
          <w:rFonts w:ascii="Arial" w:hAnsi="Arial" w:cs="Arial"/>
          <w:b/>
          <w:iCs/>
        </w:rPr>
        <w:t>podíl vysokoškoláků</w:t>
      </w:r>
      <w:r w:rsidR="00D129A3" w:rsidRPr="00E04C25">
        <w:rPr>
          <w:rFonts w:ascii="Arial" w:hAnsi="Arial" w:cs="Arial"/>
          <w:iCs/>
        </w:rPr>
        <w:t xml:space="preserve"> v ní </w:t>
      </w:r>
      <w:r w:rsidR="00113631" w:rsidRPr="00E04C25">
        <w:rPr>
          <w:rFonts w:ascii="Arial" w:hAnsi="Arial" w:cs="Arial"/>
          <w:iCs/>
        </w:rPr>
        <w:t>je</w:t>
      </w:r>
      <w:r w:rsidR="00D129A3" w:rsidRPr="00E04C25">
        <w:rPr>
          <w:rFonts w:ascii="Arial" w:hAnsi="Arial" w:cs="Arial"/>
          <w:iCs/>
        </w:rPr>
        <w:t xml:space="preserve"> proti mladším věkovým skupinám podstatně nižší</w:t>
      </w:r>
      <w:r w:rsidR="00113631" w:rsidRPr="00E04C25">
        <w:rPr>
          <w:rFonts w:ascii="Arial" w:hAnsi="Arial" w:cs="Arial"/>
          <w:iCs/>
        </w:rPr>
        <w:t xml:space="preserve">, a to </w:t>
      </w:r>
      <w:r w:rsidR="00D129A3" w:rsidRPr="00E04C25">
        <w:rPr>
          <w:rFonts w:ascii="Arial" w:hAnsi="Arial" w:cs="Arial"/>
          <w:b/>
          <w:iCs/>
        </w:rPr>
        <w:t>2</w:t>
      </w:r>
      <w:r w:rsidR="007563B3" w:rsidRPr="00E04C25">
        <w:rPr>
          <w:rFonts w:ascii="Arial" w:hAnsi="Arial" w:cs="Arial"/>
          <w:b/>
          <w:iCs/>
        </w:rPr>
        <w:t>2</w:t>
      </w:r>
      <w:r w:rsidR="00D129A3" w:rsidRPr="00E04C25">
        <w:rPr>
          <w:rFonts w:ascii="Arial" w:hAnsi="Arial" w:cs="Arial"/>
          <w:b/>
          <w:iCs/>
        </w:rPr>
        <w:t>,</w:t>
      </w:r>
      <w:r w:rsidR="007563B3" w:rsidRPr="00E04C25">
        <w:rPr>
          <w:rFonts w:ascii="Arial" w:hAnsi="Arial" w:cs="Arial"/>
          <w:b/>
          <w:iCs/>
        </w:rPr>
        <w:t>4</w:t>
      </w:r>
      <w:r w:rsidR="00D129A3" w:rsidRPr="00E04C25">
        <w:rPr>
          <w:rFonts w:ascii="Arial" w:hAnsi="Arial" w:cs="Arial"/>
          <w:b/>
          <w:iCs/>
        </w:rPr>
        <w:t> %</w:t>
      </w:r>
      <w:r w:rsidR="000711C3" w:rsidRPr="00E04C25">
        <w:rPr>
          <w:rFonts w:ascii="Arial" w:hAnsi="Arial" w:cs="Arial"/>
          <w:b/>
          <w:iCs/>
        </w:rPr>
        <w:t xml:space="preserve"> </w:t>
      </w:r>
      <w:r w:rsidR="000711C3" w:rsidRPr="00E04C25">
        <w:rPr>
          <w:rFonts w:ascii="Arial" w:hAnsi="Arial" w:cs="Arial"/>
          <w:iCs/>
        </w:rPr>
        <w:t>(</w:t>
      </w:r>
      <w:r w:rsidR="00D129A3" w:rsidRPr="00E04C25">
        <w:rPr>
          <w:rFonts w:ascii="Arial" w:hAnsi="Arial" w:cs="Arial"/>
          <w:iCs/>
        </w:rPr>
        <w:t>v</w:t>
      </w:r>
      <w:r w:rsidR="000711C3" w:rsidRPr="00E04C25">
        <w:rPr>
          <w:rFonts w:ascii="Arial" w:hAnsi="Arial" w:cs="Arial"/>
          <w:iCs/>
        </w:rPr>
        <w:t xml:space="preserve">e srovnání </w:t>
      </w:r>
      <w:r w:rsidR="00D129A3" w:rsidRPr="00E04C25">
        <w:rPr>
          <w:rFonts w:ascii="Arial" w:hAnsi="Arial" w:cs="Arial"/>
          <w:iCs/>
        </w:rPr>
        <w:t>s mladší věkovou skupinou 25</w:t>
      </w:r>
      <w:r w:rsidR="00C10EFD" w:rsidRPr="00E04C25">
        <w:rPr>
          <w:rFonts w:ascii="Arial" w:hAnsi="Arial" w:cs="Arial"/>
          <w:iCs/>
        </w:rPr>
        <w:t>-</w:t>
      </w:r>
      <w:r w:rsidR="00D129A3" w:rsidRPr="00E04C25">
        <w:rPr>
          <w:rFonts w:ascii="Arial" w:hAnsi="Arial" w:cs="Arial"/>
          <w:iCs/>
        </w:rPr>
        <w:t xml:space="preserve">29 let </w:t>
      </w:r>
      <w:r w:rsidR="00113631" w:rsidRPr="00E04C25">
        <w:rPr>
          <w:rFonts w:ascii="Arial" w:hAnsi="Arial" w:cs="Arial"/>
          <w:iCs/>
        </w:rPr>
        <w:t xml:space="preserve">činí tento rozdíl </w:t>
      </w:r>
      <w:r w:rsidR="00D129A3" w:rsidRPr="00E04C25">
        <w:rPr>
          <w:rFonts w:ascii="Arial" w:hAnsi="Arial" w:cs="Arial"/>
          <w:iCs/>
        </w:rPr>
        <w:t>1</w:t>
      </w:r>
      <w:r w:rsidR="00C73472">
        <w:rPr>
          <w:rFonts w:ascii="Arial" w:hAnsi="Arial" w:cs="Arial"/>
          <w:iCs/>
        </w:rPr>
        <w:t>2</w:t>
      </w:r>
      <w:r w:rsidR="00D129A3" w:rsidRPr="00E04C25">
        <w:rPr>
          <w:rFonts w:ascii="Arial" w:hAnsi="Arial" w:cs="Arial"/>
          <w:iCs/>
        </w:rPr>
        <w:t>,</w:t>
      </w:r>
      <w:r w:rsidR="00C73472">
        <w:rPr>
          <w:rFonts w:ascii="Arial" w:hAnsi="Arial" w:cs="Arial"/>
          <w:iCs/>
        </w:rPr>
        <w:t>1</w:t>
      </w:r>
      <w:r w:rsidR="00D129A3" w:rsidRPr="00E04C25">
        <w:rPr>
          <w:rFonts w:ascii="Arial" w:hAnsi="Arial" w:cs="Arial"/>
          <w:iCs/>
        </w:rPr>
        <w:t> p. b.</w:t>
      </w:r>
      <w:r w:rsidR="000711C3" w:rsidRPr="00E04C25">
        <w:rPr>
          <w:rFonts w:ascii="Arial" w:hAnsi="Arial" w:cs="Arial"/>
          <w:iCs/>
        </w:rPr>
        <w:t>).</w:t>
      </w:r>
      <w:r w:rsidR="00D129A3" w:rsidRPr="00E04C25">
        <w:rPr>
          <w:rFonts w:ascii="Arial" w:hAnsi="Arial" w:cs="Arial"/>
          <w:iCs/>
        </w:rPr>
        <w:t xml:space="preserve"> </w:t>
      </w:r>
      <w:r w:rsidR="002D00D0" w:rsidRPr="00E04C25">
        <w:rPr>
          <w:rFonts w:ascii="Arial" w:hAnsi="Arial" w:cs="Arial"/>
          <w:iCs/>
        </w:rPr>
        <w:t>Projevuj</w:t>
      </w:r>
      <w:r w:rsidR="004E25EB" w:rsidRPr="00E04C25">
        <w:rPr>
          <w:rFonts w:ascii="Arial" w:hAnsi="Arial" w:cs="Arial"/>
          <w:iCs/>
        </w:rPr>
        <w:t>e</w:t>
      </w:r>
      <w:r w:rsidR="002D00D0" w:rsidRPr="00E04C25">
        <w:rPr>
          <w:rFonts w:ascii="Arial" w:hAnsi="Arial" w:cs="Arial"/>
          <w:iCs/>
        </w:rPr>
        <w:t xml:space="preserve"> se zde širší nabídka možností vysokoškolského studia  </w:t>
      </w:r>
      <w:r w:rsidR="004E25EB" w:rsidRPr="00E04C25">
        <w:rPr>
          <w:rFonts w:ascii="Arial" w:hAnsi="Arial" w:cs="Arial"/>
          <w:iCs/>
        </w:rPr>
        <w:t>nej</w:t>
      </w:r>
      <w:r w:rsidR="002D00D0" w:rsidRPr="00E04C25">
        <w:rPr>
          <w:rFonts w:ascii="Arial" w:hAnsi="Arial" w:cs="Arial"/>
          <w:iCs/>
        </w:rPr>
        <w:t xml:space="preserve">mladší generace.  </w:t>
      </w:r>
    </w:p>
    <w:p w:rsidR="00D81942" w:rsidRPr="00E04C25" w:rsidRDefault="00783BFD" w:rsidP="00AE65A5">
      <w:pPr>
        <w:tabs>
          <w:tab w:val="left" w:pos="709"/>
        </w:tabs>
        <w:spacing w:line="360" w:lineRule="auto"/>
        <w:ind w:firstLine="708"/>
        <w:jc w:val="both"/>
        <w:rPr>
          <w:rFonts w:ascii="Arial" w:hAnsi="Arial" w:cs="Arial"/>
          <w:iCs/>
        </w:rPr>
      </w:pPr>
      <w:r w:rsidRPr="00E04C25">
        <w:rPr>
          <w:rFonts w:ascii="Arial" w:hAnsi="Arial" w:cs="Arial"/>
          <w:iCs/>
        </w:rPr>
        <w:tab/>
      </w:r>
      <w:r w:rsidR="00D81942" w:rsidRPr="00E04C25">
        <w:rPr>
          <w:rFonts w:ascii="Arial" w:hAnsi="Arial" w:cs="Arial"/>
          <w:b/>
          <w:iCs/>
        </w:rPr>
        <w:t>Nejvyšší zastoupení vysokoškolsky vzdělaných osob</w:t>
      </w:r>
      <w:r w:rsidR="00D81942" w:rsidRPr="00E04C25">
        <w:rPr>
          <w:rFonts w:ascii="Arial" w:hAnsi="Arial" w:cs="Arial"/>
          <w:iCs/>
        </w:rPr>
        <w:t xml:space="preserve"> je mezi osobami </w:t>
      </w:r>
      <w:r w:rsidR="00BA2CE8" w:rsidRPr="00E04C25">
        <w:rPr>
          <w:rFonts w:ascii="Arial" w:hAnsi="Arial" w:cs="Arial"/>
          <w:iCs/>
        </w:rPr>
        <w:t>v poproduktivním věku</w:t>
      </w:r>
      <w:r w:rsidR="000711C3" w:rsidRPr="00E04C25">
        <w:rPr>
          <w:rFonts w:ascii="Arial" w:hAnsi="Arial" w:cs="Arial"/>
          <w:iCs/>
        </w:rPr>
        <w:t>. V</w:t>
      </w:r>
      <w:r w:rsidR="00D81942" w:rsidRPr="00E04C25">
        <w:rPr>
          <w:rFonts w:ascii="Arial" w:hAnsi="Arial" w:cs="Arial"/>
          <w:iCs/>
        </w:rPr>
        <w:t xml:space="preserve">e věku </w:t>
      </w:r>
      <w:r w:rsidR="00D81942" w:rsidRPr="00E04C25">
        <w:rPr>
          <w:rFonts w:ascii="Arial" w:hAnsi="Arial" w:cs="Arial"/>
          <w:b/>
          <w:iCs/>
        </w:rPr>
        <w:t>65 a více let</w:t>
      </w:r>
      <w:r w:rsidR="00D81942" w:rsidRPr="00E04C25">
        <w:rPr>
          <w:rFonts w:ascii="Arial" w:hAnsi="Arial" w:cs="Arial"/>
          <w:iCs/>
        </w:rPr>
        <w:t xml:space="preserve"> </w:t>
      </w:r>
      <w:r w:rsidR="00BA2CE8" w:rsidRPr="00E04C25">
        <w:rPr>
          <w:rFonts w:ascii="Arial" w:hAnsi="Arial" w:cs="Arial"/>
          <w:iCs/>
        </w:rPr>
        <w:t xml:space="preserve">tvoří </w:t>
      </w:r>
      <w:r w:rsidR="00113631" w:rsidRPr="00E04C25">
        <w:rPr>
          <w:rFonts w:ascii="Arial" w:hAnsi="Arial" w:cs="Arial"/>
          <w:iCs/>
        </w:rPr>
        <w:t xml:space="preserve">vysokoškoláci </w:t>
      </w:r>
      <w:r w:rsidR="00D81942" w:rsidRPr="00E04C25">
        <w:rPr>
          <w:rFonts w:ascii="Arial" w:hAnsi="Arial" w:cs="Arial"/>
          <w:b/>
          <w:iCs/>
        </w:rPr>
        <w:t>3</w:t>
      </w:r>
      <w:r w:rsidR="007563B3" w:rsidRPr="00E04C25">
        <w:rPr>
          <w:rFonts w:ascii="Arial" w:hAnsi="Arial" w:cs="Arial"/>
          <w:b/>
          <w:iCs/>
        </w:rPr>
        <w:t>3</w:t>
      </w:r>
      <w:r w:rsidR="00D81942" w:rsidRPr="00E04C25">
        <w:rPr>
          <w:rFonts w:ascii="Arial" w:hAnsi="Arial" w:cs="Arial"/>
          <w:b/>
          <w:iCs/>
        </w:rPr>
        <w:t>,</w:t>
      </w:r>
      <w:r w:rsidR="007563B3" w:rsidRPr="00E04C25">
        <w:rPr>
          <w:rFonts w:ascii="Arial" w:hAnsi="Arial" w:cs="Arial"/>
          <w:b/>
          <w:iCs/>
        </w:rPr>
        <w:t>7</w:t>
      </w:r>
      <w:r w:rsidR="00D81942" w:rsidRPr="00E04C25">
        <w:rPr>
          <w:rFonts w:ascii="Arial" w:hAnsi="Arial" w:cs="Arial"/>
          <w:b/>
          <w:iCs/>
        </w:rPr>
        <w:t> %</w:t>
      </w:r>
      <w:r w:rsidR="00BA2CE8" w:rsidRPr="00E04C25">
        <w:rPr>
          <w:rFonts w:ascii="Arial" w:hAnsi="Arial" w:cs="Arial"/>
          <w:iCs/>
        </w:rPr>
        <w:t xml:space="preserve"> pracujících</w:t>
      </w:r>
      <w:r w:rsidR="00D81942" w:rsidRPr="00E04C25">
        <w:rPr>
          <w:rFonts w:ascii="Arial" w:hAnsi="Arial" w:cs="Arial"/>
          <w:iCs/>
        </w:rPr>
        <w:t xml:space="preserve">, což ovšem souvisí s charakterem vykonávaného zaměstnání (v </w:t>
      </w:r>
      <w:r w:rsidR="00BA2CE8" w:rsidRPr="00E04C25">
        <w:rPr>
          <w:rFonts w:ascii="Arial" w:hAnsi="Arial" w:cs="Arial"/>
          <w:iCs/>
        </w:rPr>
        <w:t>tomto</w:t>
      </w:r>
      <w:r w:rsidR="00D81942" w:rsidRPr="00E04C25">
        <w:rPr>
          <w:rFonts w:ascii="Arial" w:hAnsi="Arial" w:cs="Arial"/>
          <w:iCs/>
        </w:rPr>
        <w:t xml:space="preserve"> věku často zůstávají v zaměstnání spíše lidé v profesích méně náročných na fyzickou zdatnost, ale s požadovaným vyšším formálním vzděláním).</w:t>
      </w:r>
      <w:r w:rsidR="00113631" w:rsidRPr="00E04C25">
        <w:rPr>
          <w:rFonts w:ascii="Arial" w:hAnsi="Arial" w:cs="Arial"/>
          <w:iCs/>
        </w:rPr>
        <w:t xml:space="preserve"> </w:t>
      </w:r>
    </w:p>
    <w:p w:rsidR="00E63B0C" w:rsidRPr="00E04C25" w:rsidRDefault="00D81942" w:rsidP="00AE65A5">
      <w:pPr>
        <w:tabs>
          <w:tab w:val="left" w:pos="709"/>
        </w:tabs>
        <w:spacing w:line="360" w:lineRule="auto"/>
        <w:ind w:firstLine="708"/>
        <w:jc w:val="both"/>
        <w:rPr>
          <w:rFonts w:ascii="Arial" w:hAnsi="Arial" w:cs="Arial"/>
          <w:iCs/>
        </w:rPr>
      </w:pPr>
      <w:r w:rsidRPr="00E04C25">
        <w:rPr>
          <w:rFonts w:ascii="Arial" w:hAnsi="Arial" w:cs="Arial"/>
          <w:iCs/>
        </w:rPr>
        <w:t xml:space="preserve"> </w:t>
      </w:r>
    </w:p>
    <w:p w:rsidR="00E63B0C" w:rsidRPr="00E04C25" w:rsidRDefault="00E63B0C" w:rsidP="00AE65A5">
      <w:pPr>
        <w:pStyle w:val="Styl2"/>
        <w:tabs>
          <w:tab w:val="clear" w:pos="720"/>
          <w:tab w:val="left" w:pos="709"/>
          <w:tab w:val="num" w:pos="900"/>
        </w:tabs>
        <w:rPr>
          <w:color w:val="auto"/>
        </w:rPr>
      </w:pPr>
      <w:bookmarkStart w:id="103" w:name="_Toc383686938"/>
      <w:bookmarkStart w:id="104" w:name="_Toc400528522"/>
      <w:bookmarkStart w:id="105" w:name="_Toc404672663"/>
      <w:bookmarkStart w:id="106" w:name="_Toc513198675"/>
      <w:r w:rsidRPr="00E04C25">
        <w:rPr>
          <w:color w:val="auto"/>
        </w:rPr>
        <w:t>Regionální zaměstnanost</w:t>
      </w:r>
      <w:bookmarkEnd w:id="103"/>
      <w:bookmarkEnd w:id="104"/>
      <w:bookmarkEnd w:id="105"/>
      <w:bookmarkEnd w:id="106"/>
    </w:p>
    <w:p w:rsidR="00E63B0C" w:rsidRPr="00E04C25" w:rsidRDefault="00E63B0C" w:rsidP="00AE65A5">
      <w:pPr>
        <w:tabs>
          <w:tab w:val="left" w:pos="709"/>
        </w:tabs>
        <w:spacing w:line="360" w:lineRule="auto"/>
        <w:ind w:firstLine="357"/>
        <w:jc w:val="both"/>
        <w:rPr>
          <w:rFonts w:ascii="Arial" w:hAnsi="Arial" w:cs="Arial"/>
          <w:b/>
          <w:sz w:val="16"/>
          <w:szCs w:val="16"/>
        </w:rPr>
      </w:pPr>
    </w:p>
    <w:p w:rsidR="00880F06" w:rsidRPr="00E04C25" w:rsidRDefault="00783BFD" w:rsidP="00880F06">
      <w:pPr>
        <w:tabs>
          <w:tab w:val="left" w:pos="709"/>
        </w:tabs>
        <w:spacing w:line="360" w:lineRule="auto"/>
        <w:jc w:val="both"/>
        <w:rPr>
          <w:rFonts w:ascii="Arial" w:hAnsi="Arial" w:cs="Arial"/>
        </w:rPr>
      </w:pPr>
      <w:r w:rsidRPr="00E04C25">
        <w:rPr>
          <w:rFonts w:ascii="Arial" w:hAnsi="Arial" w:cs="Arial"/>
          <w:b/>
        </w:rPr>
        <w:tab/>
      </w:r>
      <w:r w:rsidR="00762875" w:rsidRPr="00E04C25">
        <w:rPr>
          <w:rFonts w:ascii="Arial" w:hAnsi="Arial" w:cs="Arial"/>
          <w:b/>
        </w:rPr>
        <w:t xml:space="preserve">Největší </w:t>
      </w:r>
      <w:r w:rsidR="00762875" w:rsidRPr="00E04C25">
        <w:rPr>
          <w:rFonts w:ascii="Arial" w:hAnsi="Arial" w:cs="Arial"/>
        </w:rPr>
        <w:t xml:space="preserve">meziroční </w:t>
      </w:r>
      <w:r w:rsidR="00762875" w:rsidRPr="00E04C25">
        <w:rPr>
          <w:rFonts w:ascii="Arial" w:hAnsi="Arial" w:cs="Arial"/>
          <w:b/>
        </w:rPr>
        <w:t>nárůst zaměstnanosti</w:t>
      </w:r>
      <w:r w:rsidR="00762875" w:rsidRPr="00E04C25">
        <w:rPr>
          <w:rFonts w:ascii="Arial" w:hAnsi="Arial" w:cs="Arial"/>
        </w:rPr>
        <w:t xml:space="preserve"> v abso</w:t>
      </w:r>
      <w:r w:rsidR="00BF2EC8" w:rsidRPr="00E04C25">
        <w:rPr>
          <w:rFonts w:ascii="Arial" w:hAnsi="Arial" w:cs="Arial"/>
        </w:rPr>
        <w:t>lutním vyjádření byl v roce 201</w:t>
      </w:r>
      <w:r w:rsidR="009D1C25" w:rsidRPr="00E04C25">
        <w:rPr>
          <w:rFonts w:ascii="Arial" w:hAnsi="Arial" w:cs="Arial"/>
        </w:rPr>
        <w:t>7</w:t>
      </w:r>
      <w:r w:rsidR="00762875" w:rsidRPr="00E04C25">
        <w:rPr>
          <w:rFonts w:ascii="Arial" w:hAnsi="Arial" w:cs="Arial"/>
        </w:rPr>
        <w:t xml:space="preserve"> zaznamenán </w:t>
      </w:r>
      <w:r w:rsidR="009D1C25" w:rsidRPr="00E04C25">
        <w:rPr>
          <w:rFonts w:ascii="Arial" w:hAnsi="Arial" w:cs="Arial"/>
          <w:b/>
        </w:rPr>
        <w:t>v </w:t>
      </w:r>
      <w:r w:rsidR="008D6DAA" w:rsidRPr="00E04C25">
        <w:rPr>
          <w:rFonts w:ascii="Arial" w:hAnsi="Arial" w:cs="Arial"/>
          <w:b/>
        </w:rPr>
        <w:t>hl.</w:t>
      </w:r>
      <w:r w:rsidR="009D1C25" w:rsidRPr="00E04C25">
        <w:rPr>
          <w:rFonts w:ascii="Arial" w:hAnsi="Arial" w:cs="Arial"/>
          <w:b/>
        </w:rPr>
        <w:t> m. Praze</w:t>
      </w:r>
      <w:r w:rsidR="009D1C25" w:rsidRPr="00E04C25">
        <w:rPr>
          <w:rFonts w:ascii="Arial" w:hAnsi="Arial" w:cs="Arial"/>
        </w:rPr>
        <w:t xml:space="preserve"> (o 22,5 tis.)</w:t>
      </w:r>
      <w:r w:rsidR="00AD7AB9" w:rsidRPr="00E04C25">
        <w:rPr>
          <w:rFonts w:ascii="Arial" w:hAnsi="Arial" w:cs="Arial"/>
        </w:rPr>
        <w:t>,</w:t>
      </w:r>
      <w:r w:rsidR="009D1C25" w:rsidRPr="00E04C25">
        <w:rPr>
          <w:rFonts w:ascii="Arial" w:hAnsi="Arial" w:cs="Arial"/>
        </w:rPr>
        <w:t xml:space="preserve"> </w:t>
      </w:r>
      <w:r w:rsidR="00762875" w:rsidRPr="00E04C25">
        <w:rPr>
          <w:rFonts w:ascii="Arial" w:hAnsi="Arial" w:cs="Arial"/>
          <w:b/>
        </w:rPr>
        <w:t>v</w:t>
      </w:r>
      <w:r w:rsidR="009D1C25" w:rsidRPr="00E04C25">
        <w:rPr>
          <w:rFonts w:ascii="Arial" w:hAnsi="Arial" w:cs="Arial"/>
          <w:b/>
        </w:rPr>
        <w:t xml:space="preserve">e Středočeském </w:t>
      </w:r>
      <w:r w:rsidR="00762875" w:rsidRPr="00E04C25">
        <w:rPr>
          <w:rFonts w:ascii="Arial" w:hAnsi="Arial" w:cs="Arial"/>
        </w:rPr>
        <w:t>(o 1</w:t>
      </w:r>
      <w:r w:rsidR="009D1C25" w:rsidRPr="00E04C25">
        <w:rPr>
          <w:rFonts w:ascii="Arial" w:hAnsi="Arial" w:cs="Arial"/>
        </w:rPr>
        <w:t>4</w:t>
      </w:r>
      <w:r w:rsidR="00762875" w:rsidRPr="00E04C25">
        <w:rPr>
          <w:rFonts w:ascii="Arial" w:hAnsi="Arial" w:cs="Arial"/>
        </w:rPr>
        <w:t>,</w:t>
      </w:r>
      <w:r w:rsidR="009D1C25" w:rsidRPr="00E04C25">
        <w:rPr>
          <w:rFonts w:ascii="Arial" w:hAnsi="Arial" w:cs="Arial"/>
        </w:rPr>
        <w:t>6</w:t>
      </w:r>
      <w:r w:rsidR="00762875" w:rsidRPr="00E04C25">
        <w:rPr>
          <w:rFonts w:ascii="Arial" w:hAnsi="Arial" w:cs="Arial"/>
        </w:rPr>
        <w:t> tis.)</w:t>
      </w:r>
      <w:r w:rsidR="007B4EE0" w:rsidRPr="00E04C25">
        <w:rPr>
          <w:rFonts w:ascii="Arial" w:hAnsi="Arial" w:cs="Arial"/>
        </w:rPr>
        <w:t xml:space="preserve"> a</w:t>
      </w:r>
      <w:r w:rsidR="009D1C25" w:rsidRPr="00E04C25">
        <w:rPr>
          <w:rFonts w:ascii="Arial" w:hAnsi="Arial" w:cs="Arial"/>
        </w:rPr>
        <w:t> </w:t>
      </w:r>
      <w:r w:rsidR="009D1C25" w:rsidRPr="00E04C25">
        <w:rPr>
          <w:rFonts w:ascii="Arial" w:hAnsi="Arial" w:cs="Arial"/>
          <w:b/>
        </w:rPr>
        <w:t>Moravskoslezském</w:t>
      </w:r>
      <w:r w:rsidR="00E84AA1" w:rsidRPr="00E04C25">
        <w:rPr>
          <w:rFonts w:ascii="Arial" w:hAnsi="Arial" w:cs="Arial"/>
          <w:b/>
        </w:rPr>
        <w:t xml:space="preserve"> kraji</w:t>
      </w:r>
      <w:r w:rsidR="00E84AA1" w:rsidRPr="00E04C25">
        <w:rPr>
          <w:rFonts w:ascii="Arial" w:hAnsi="Arial" w:cs="Arial"/>
        </w:rPr>
        <w:t xml:space="preserve"> (o 1</w:t>
      </w:r>
      <w:r w:rsidR="009D1C25" w:rsidRPr="00E04C25">
        <w:rPr>
          <w:rFonts w:ascii="Arial" w:hAnsi="Arial" w:cs="Arial"/>
        </w:rPr>
        <w:t>2</w:t>
      </w:r>
      <w:r w:rsidR="00E84AA1" w:rsidRPr="00E04C25">
        <w:rPr>
          <w:rFonts w:ascii="Arial" w:hAnsi="Arial" w:cs="Arial"/>
        </w:rPr>
        <w:t>,</w:t>
      </w:r>
      <w:r w:rsidR="009D1C25" w:rsidRPr="00E04C25">
        <w:rPr>
          <w:rFonts w:ascii="Arial" w:hAnsi="Arial" w:cs="Arial"/>
        </w:rPr>
        <w:t>0</w:t>
      </w:r>
      <w:r w:rsidR="00E84AA1" w:rsidRPr="00E04C25">
        <w:rPr>
          <w:rFonts w:ascii="Arial" w:hAnsi="Arial" w:cs="Arial"/>
        </w:rPr>
        <w:t> tis.)</w:t>
      </w:r>
      <w:r w:rsidR="009D1C25" w:rsidRPr="00E04C25">
        <w:rPr>
          <w:rFonts w:ascii="Arial" w:hAnsi="Arial" w:cs="Arial"/>
        </w:rPr>
        <w:t>.</w:t>
      </w:r>
      <w:r w:rsidR="00762875" w:rsidRPr="00E04C25">
        <w:rPr>
          <w:rFonts w:ascii="Arial" w:hAnsi="Arial" w:cs="Arial"/>
        </w:rPr>
        <w:t xml:space="preserve"> Počet pracujících se meziročně </w:t>
      </w:r>
      <w:r w:rsidR="009D1C25" w:rsidRPr="00E04C25">
        <w:rPr>
          <w:rFonts w:ascii="Arial" w:hAnsi="Arial" w:cs="Arial"/>
        </w:rPr>
        <w:t>nepatrně</w:t>
      </w:r>
      <w:r w:rsidR="00762875" w:rsidRPr="00E04C25">
        <w:rPr>
          <w:rFonts w:ascii="Arial" w:hAnsi="Arial" w:cs="Arial"/>
        </w:rPr>
        <w:t xml:space="preserve"> </w:t>
      </w:r>
      <w:r w:rsidR="00762875" w:rsidRPr="00E04C25">
        <w:rPr>
          <w:rFonts w:ascii="Arial" w:hAnsi="Arial" w:cs="Arial"/>
          <w:b/>
        </w:rPr>
        <w:t xml:space="preserve">snížil </w:t>
      </w:r>
      <w:r w:rsidR="009D1C25" w:rsidRPr="00E04C25">
        <w:rPr>
          <w:rFonts w:ascii="Arial" w:hAnsi="Arial" w:cs="Arial"/>
        </w:rPr>
        <w:t>pouze</w:t>
      </w:r>
      <w:r w:rsidR="00762875" w:rsidRPr="00E04C25">
        <w:rPr>
          <w:rFonts w:ascii="Arial" w:hAnsi="Arial" w:cs="Arial"/>
        </w:rPr>
        <w:t xml:space="preserve"> </w:t>
      </w:r>
      <w:r w:rsidR="00762875" w:rsidRPr="00E04C25">
        <w:rPr>
          <w:rFonts w:ascii="Arial" w:hAnsi="Arial" w:cs="Arial"/>
          <w:b/>
        </w:rPr>
        <w:t>v</w:t>
      </w:r>
      <w:r w:rsidR="00E84AA1" w:rsidRPr="00E04C25">
        <w:rPr>
          <w:rFonts w:ascii="Arial" w:hAnsi="Arial" w:cs="Arial"/>
          <w:b/>
        </w:rPr>
        <w:t> </w:t>
      </w:r>
      <w:r w:rsidR="009D1C25" w:rsidRPr="00E04C25">
        <w:rPr>
          <w:rFonts w:ascii="Arial" w:hAnsi="Arial" w:cs="Arial"/>
          <w:b/>
        </w:rPr>
        <w:t>Libereckém</w:t>
      </w:r>
      <w:r w:rsidR="00E84AA1" w:rsidRPr="00E04C25">
        <w:rPr>
          <w:rFonts w:ascii="Arial" w:hAnsi="Arial" w:cs="Arial"/>
          <w:b/>
        </w:rPr>
        <w:t xml:space="preserve"> </w:t>
      </w:r>
      <w:r w:rsidR="00762875" w:rsidRPr="00E04C25">
        <w:rPr>
          <w:rFonts w:ascii="Arial" w:hAnsi="Arial" w:cs="Arial"/>
          <w:b/>
        </w:rPr>
        <w:t>kraji</w:t>
      </w:r>
      <w:r w:rsidR="00762875" w:rsidRPr="00E04C25">
        <w:rPr>
          <w:rFonts w:ascii="Arial" w:hAnsi="Arial" w:cs="Arial"/>
        </w:rPr>
        <w:t xml:space="preserve">. </w:t>
      </w:r>
    </w:p>
    <w:p w:rsidR="009D1C25" w:rsidRPr="00E04C25" w:rsidRDefault="0053026C" w:rsidP="00960444">
      <w:pPr>
        <w:tabs>
          <w:tab w:val="left" w:pos="709"/>
        </w:tabs>
        <w:spacing w:line="360" w:lineRule="auto"/>
        <w:jc w:val="both"/>
        <w:rPr>
          <w:rFonts w:ascii="Arial" w:hAnsi="Arial" w:cs="Arial"/>
        </w:rPr>
      </w:pPr>
      <w:r w:rsidRPr="00E04C25">
        <w:rPr>
          <w:rFonts w:ascii="Arial" w:hAnsi="Arial" w:cs="Arial"/>
          <w:b/>
        </w:rPr>
        <w:tab/>
        <w:t>Míru zaměstnanosti</w:t>
      </w:r>
      <w:r w:rsidRPr="00E04C25">
        <w:rPr>
          <w:rFonts w:ascii="Arial" w:hAnsi="Arial" w:cs="Arial"/>
        </w:rPr>
        <w:t xml:space="preserve"> (vypočtenou jako podíl zaměstnaných ve věku 20</w:t>
      </w:r>
      <w:r w:rsidR="00976F7F" w:rsidRPr="00E04C25">
        <w:rPr>
          <w:rFonts w:ascii="Arial" w:hAnsi="Arial" w:cs="Arial"/>
        </w:rPr>
        <w:t>-</w:t>
      </w:r>
      <w:r w:rsidRPr="00E04C25">
        <w:rPr>
          <w:rFonts w:ascii="Arial" w:hAnsi="Arial" w:cs="Arial"/>
        </w:rPr>
        <w:t>64 k bydlícím obyvatelům ve věku 20</w:t>
      </w:r>
      <w:r w:rsidR="00976F7F" w:rsidRPr="00E04C25">
        <w:rPr>
          <w:rFonts w:ascii="Arial" w:hAnsi="Arial" w:cs="Arial"/>
        </w:rPr>
        <w:t>-</w:t>
      </w:r>
      <w:r w:rsidRPr="00E04C25">
        <w:rPr>
          <w:rFonts w:ascii="Arial" w:hAnsi="Arial" w:cs="Arial"/>
        </w:rPr>
        <w:t xml:space="preserve">64 let) </w:t>
      </w:r>
      <w:r w:rsidRPr="00E04C25">
        <w:rPr>
          <w:rFonts w:ascii="Arial" w:hAnsi="Arial" w:cs="Arial"/>
          <w:b/>
        </w:rPr>
        <w:t>vyšší než je průměrná míra zaměstnanosti</w:t>
      </w:r>
      <w:r w:rsidRPr="00E04C25">
        <w:rPr>
          <w:rFonts w:ascii="Arial" w:hAnsi="Arial" w:cs="Arial"/>
        </w:rPr>
        <w:t xml:space="preserve"> za ČR (7</w:t>
      </w:r>
      <w:r w:rsidR="009D1C25" w:rsidRPr="00E04C25">
        <w:rPr>
          <w:rFonts w:ascii="Arial" w:hAnsi="Arial" w:cs="Arial"/>
        </w:rPr>
        <w:t>8</w:t>
      </w:r>
      <w:r w:rsidRPr="00E04C25">
        <w:rPr>
          <w:rFonts w:ascii="Arial" w:hAnsi="Arial" w:cs="Arial"/>
        </w:rPr>
        <w:t>,</w:t>
      </w:r>
      <w:r w:rsidR="009D1C25" w:rsidRPr="00E04C25">
        <w:rPr>
          <w:rFonts w:ascii="Arial" w:hAnsi="Arial" w:cs="Arial"/>
        </w:rPr>
        <w:t>5</w:t>
      </w:r>
      <w:r w:rsidRPr="00E04C25">
        <w:rPr>
          <w:rFonts w:ascii="Arial" w:hAnsi="Arial" w:cs="Arial"/>
        </w:rPr>
        <w:t xml:space="preserve"> %), mělo </w:t>
      </w:r>
      <w:r w:rsidRPr="00E04C25">
        <w:rPr>
          <w:rFonts w:ascii="Arial" w:hAnsi="Arial" w:cs="Arial"/>
          <w:b/>
        </w:rPr>
        <w:t>sedm krajů.</w:t>
      </w:r>
      <w:r w:rsidRPr="00E04C25">
        <w:rPr>
          <w:rFonts w:ascii="Arial" w:hAnsi="Arial" w:cs="Arial"/>
        </w:rPr>
        <w:t xml:space="preserve"> </w:t>
      </w:r>
      <w:r w:rsidRPr="00E04C25">
        <w:rPr>
          <w:rFonts w:ascii="Arial" w:hAnsi="Arial" w:cs="Arial"/>
          <w:b/>
        </w:rPr>
        <w:t>Nejvyšší byla v </w:t>
      </w:r>
      <w:r w:rsidR="008D6DAA" w:rsidRPr="00E04C25">
        <w:rPr>
          <w:rFonts w:ascii="Arial" w:hAnsi="Arial" w:cs="Arial"/>
          <w:b/>
        </w:rPr>
        <w:t>hl.</w:t>
      </w:r>
      <w:r w:rsidRPr="00E04C25">
        <w:rPr>
          <w:rFonts w:ascii="Arial" w:hAnsi="Arial" w:cs="Arial"/>
          <w:b/>
        </w:rPr>
        <w:t xml:space="preserve"> m. Praze </w:t>
      </w:r>
      <w:r w:rsidRPr="00E04C25">
        <w:rPr>
          <w:rFonts w:ascii="Arial" w:hAnsi="Arial" w:cs="Arial"/>
        </w:rPr>
        <w:t>(8</w:t>
      </w:r>
      <w:r w:rsidR="009D1C25" w:rsidRPr="00E04C25">
        <w:rPr>
          <w:rFonts w:ascii="Arial" w:hAnsi="Arial" w:cs="Arial"/>
        </w:rPr>
        <w:t>2</w:t>
      </w:r>
      <w:r w:rsidRPr="00E04C25">
        <w:rPr>
          <w:rFonts w:ascii="Arial" w:hAnsi="Arial" w:cs="Arial"/>
        </w:rPr>
        <w:t>,</w:t>
      </w:r>
      <w:r w:rsidR="009D1C25" w:rsidRPr="00E04C25">
        <w:rPr>
          <w:rFonts w:ascii="Arial" w:hAnsi="Arial" w:cs="Arial"/>
        </w:rPr>
        <w:t>4</w:t>
      </w:r>
      <w:r w:rsidRPr="00E04C25">
        <w:rPr>
          <w:rFonts w:ascii="Arial" w:hAnsi="Arial" w:cs="Arial"/>
        </w:rPr>
        <w:t xml:space="preserve"> %), dále následoval </w:t>
      </w:r>
      <w:r w:rsidR="009D1C25" w:rsidRPr="00E04C25">
        <w:rPr>
          <w:rFonts w:ascii="Arial" w:hAnsi="Arial" w:cs="Arial"/>
          <w:b/>
        </w:rPr>
        <w:t xml:space="preserve">Středočeský </w:t>
      </w:r>
      <w:r w:rsidRPr="00E04C25">
        <w:rPr>
          <w:rFonts w:ascii="Arial" w:hAnsi="Arial" w:cs="Arial"/>
        </w:rPr>
        <w:t>(</w:t>
      </w:r>
      <w:r w:rsidR="009D1C25" w:rsidRPr="00E04C25">
        <w:rPr>
          <w:rFonts w:ascii="Arial" w:hAnsi="Arial" w:cs="Arial"/>
        </w:rPr>
        <w:t>80</w:t>
      </w:r>
      <w:r w:rsidRPr="00E04C25">
        <w:rPr>
          <w:rFonts w:ascii="Arial" w:hAnsi="Arial" w:cs="Arial"/>
        </w:rPr>
        <w:t>,</w:t>
      </w:r>
      <w:r w:rsidR="009D1C25" w:rsidRPr="00E04C25">
        <w:rPr>
          <w:rFonts w:ascii="Arial" w:hAnsi="Arial" w:cs="Arial"/>
        </w:rPr>
        <w:t>2</w:t>
      </w:r>
      <w:r w:rsidRPr="00E04C25">
        <w:rPr>
          <w:rFonts w:ascii="Arial" w:hAnsi="Arial" w:cs="Arial"/>
        </w:rPr>
        <w:t xml:space="preserve"> %) </w:t>
      </w:r>
      <w:r w:rsidRPr="00E04C25">
        <w:rPr>
          <w:rFonts w:ascii="Arial" w:hAnsi="Arial" w:cs="Arial"/>
          <w:b/>
        </w:rPr>
        <w:t xml:space="preserve">a  </w:t>
      </w:r>
      <w:r w:rsidR="009D1C25" w:rsidRPr="00E04C25">
        <w:rPr>
          <w:rFonts w:ascii="Arial" w:hAnsi="Arial" w:cs="Arial"/>
          <w:b/>
        </w:rPr>
        <w:t>P</w:t>
      </w:r>
      <w:r w:rsidR="00A83A48" w:rsidRPr="00E04C25">
        <w:rPr>
          <w:rFonts w:ascii="Arial" w:hAnsi="Arial" w:cs="Arial"/>
          <w:b/>
        </w:rPr>
        <w:t xml:space="preserve">lzeňský </w:t>
      </w:r>
      <w:r w:rsidRPr="00E04C25">
        <w:rPr>
          <w:rFonts w:ascii="Arial" w:hAnsi="Arial" w:cs="Arial"/>
          <w:b/>
        </w:rPr>
        <w:t>kraj</w:t>
      </w:r>
      <w:r w:rsidRPr="00E04C25">
        <w:rPr>
          <w:rFonts w:ascii="Arial" w:hAnsi="Arial" w:cs="Arial"/>
        </w:rPr>
        <w:t xml:space="preserve"> (7</w:t>
      </w:r>
      <w:r w:rsidR="00A83A48" w:rsidRPr="00E04C25">
        <w:rPr>
          <w:rFonts w:ascii="Arial" w:hAnsi="Arial" w:cs="Arial"/>
        </w:rPr>
        <w:t>9</w:t>
      </w:r>
      <w:r w:rsidRPr="00E04C25">
        <w:rPr>
          <w:rFonts w:ascii="Arial" w:hAnsi="Arial" w:cs="Arial"/>
        </w:rPr>
        <w:t>,</w:t>
      </w:r>
      <w:r w:rsidR="00A83A48" w:rsidRPr="00E04C25">
        <w:rPr>
          <w:rFonts w:ascii="Arial" w:hAnsi="Arial" w:cs="Arial"/>
        </w:rPr>
        <w:t>7</w:t>
      </w:r>
      <w:r w:rsidRPr="00E04C25">
        <w:rPr>
          <w:rFonts w:ascii="Arial" w:hAnsi="Arial" w:cs="Arial"/>
        </w:rPr>
        <w:t xml:space="preserve"> %). </w:t>
      </w:r>
    </w:p>
    <w:p w:rsidR="00960444" w:rsidRPr="00E04C25" w:rsidRDefault="00960444" w:rsidP="00960444">
      <w:pPr>
        <w:tabs>
          <w:tab w:val="left" w:pos="709"/>
        </w:tabs>
        <w:jc w:val="both"/>
        <w:rPr>
          <w:rFonts w:ascii="Arial" w:hAnsi="Arial" w:cs="Arial"/>
          <w:sz w:val="16"/>
          <w:szCs w:val="16"/>
        </w:rPr>
      </w:pPr>
    </w:p>
    <w:p w:rsidR="00762875" w:rsidRPr="00E04C25" w:rsidRDefault="00AD7AB9" w:rsidP="00AE65A5">
      <w:pPr>
        <w:tabs>
          <w:tab w:val="left" w:pos="709"/>
        </w:tabs>
        <w:jc w:val="center"/>
        <w:rPr>
          <w:rFonts w:ascii="Arial" w:hAnsi="Arial" w:cs="Arial"/>
          <w:b/>
        </w:rPr>
      </w:pPr>
      <w:r w:rsidRPr="00E04C25">
        <w:rPr>
          <w:rFonts w:ascii="Arial" w:hAnsi="Arial" w:cs="Arial"/>
          <w:b/>
        </w:rPr>
        <w:br w:type="column"/>
      </w:r>
      <w:r w:rsidR="00762875" w:rsidRPr="00E04C25">
        <w:rPr>
          <w:rFonts w:ascii="Arial" w:hAnsi="Arial" w:cs="Arial"/>
          <w:b/>
        </w:rPr>
        <w:lastRenderedPageBreak/>
        <w:t>Zaměstnanost a míra zaměstnanosti v jednotlivých krajích ČR</w:t>
      </w:r>
    </w:p>
    <w:p w:rsidR="00762875" w:rsidRPr="00E04C25" w:rsidRDefault="00762875" w:rsidP="00AE65A5">
      <w:pPr>
        <w:tabs>
          <w:tab w:val="left" w:pos="709"/>
        </w:tabs>
        <w:ind w:left="7080" w:firstLine="708"/>
        <w:jc w:val="center"/>
        <w:rPr>
          <w:rFonts w:ascii="Arial" w:hAnsi="Arial" w:cs="Arial"/>
          <w:sz w:val="20"/>
          <w:szCs w:val="20"/>
        </w:rPr>
      </w:pPr>
      <w:r w:rsidRPr="00E04C25">
        <w:rPr>
          <w:rFonts w:ascii="Arial" w:hAnsi="Arial" w:cs="Arial"/>
          <w:sz w:val="20"/>
          <w:szCs w:val="20"/>
        </w:rPr>
        <w:t>tab. č. 1</w:t>
      </w:r>
      <w:r w:rsidR="00AC1001" w:rsidRPr="00E04C25">
        <w:rPr>
          <w:rFonts w:ascii="Arial" w:hAnsi="Arial" w:cs="Arial"/>
          <w:sz w:val="20"/>
          <w:szCs w:val="20"/>
        </w:rPr>
        <w:t>1</w:t>
      </w:r>
    </w:p>
    <w:tbl>
      <w:tblPr>
        <w:tblW w:w="8858" w:type="dxa"/>
        <w:jc w:val="center"/>
        <w:tblCellMar>
          <w:left w:w="70" w:type="dxa"/>
          <w:right w:w="70" w:type="dxa"/>
        </w:tblCellMar>
        <w:tblLook w:val="0000"/>
      </w:tblPr>
      <w:tblGrid>
        <w:gridCol w:w="2088"/>
        <w:gridCol w:w="1074"/>
        <w:gridCol w:w="1074"/>
        <w:gridCol w:w="1316"/>
        <w:gridCol w:w="1018"/>
        <w:gridCol w:w="1018"/>
        <w:gridCol w:w="1270"/>
      </w:tblGrid>
      <w:tr w:rsidR="00D141D5" w:rsidRPr="00E04C25" w:rsidTr="00762875">
        <w:trPr>
          <w:trHeight w:val="465"/>
          <w:jc w:val="center"/>
        </w:trPr>
        <w:tc>
          <w:tcPr>
            <w:tcW w:w="2088" w:type="dxa"/>
            <w:tcBorders>
              <w:top w:val="double" w:sz="6" w:space="0" w:color="auto"/>
              <w:left w:val="double" w:sz="6" w:space="0" w:color="auto"/>
              <w:bottom w:val="nil"/>
              <w:right w:val="nil"/>
            </w:tcBorders>
            <w:shd w:val="clear" w:color="auto" w:fill="auto"/>
            <w:noWrap/>
            <w:vAlign w:val="bottom"/>
          </w:tcPr>
          <w:p w:rsidR="00762875" w:rsidRPr="00E04C25" w:rsidRDefault="00762875" w:rsidP="00AE65A5">
            <w:pPr>
              <w:tabs>
                <w:tab w:val="left" w:pos="709"/>
              </w:tabs>
              <w:rPr>
                <w:rFonts w:ascii="Arial" w:hAnsi="Arial" w:cs="Arial"/>
                <w:sz w:val="20"/>
                <w:szCs w:val="20"/>
              </w:rPr>
            </w:pPr>
            <w:r w:rsidRPr="00E04C25">
              <w:rPr>
                <w:rFonts w:ascii="Arial" w:hAnsi="Arial" w:cs="Arial"/>
                <w:sz w:val="20"/>
                <w:szCs w:val="20"/>
              </w:rPr>
              <w:t> </w:t>
            </w:r>
          </w:p>
        </w:tc>
        <w:tc>
          <w:tcPr>
            <w:tcW w:w="3464" w:type="dxa"/>
            <w:gridSpan w:val="3"/>
            <w:tcBorders>
              <w:top w:val="double" w:sz="6" w:space="0" w:color="auto"/>
              <w:left w:val="single" w:sz="4" w:space="0" w:color="auto"/>
              <w:bottom w:val="single" w:sz="4" w:space="0" w:color="auto"/>
              <w:right w:val="single" w:sz="4" w:space="0" w:color="000000"/>
            </w:tcBorders>
            <w:shd w:val="clear" w:color="auto" w:fill="auto"/>
            <w:noWrap/>
            <w:vAlign w:val="center"/>
          </w:tcPr>
          <w:p w:rsidR="00762875" w:rsidRPr="00E04C25" w:rsidRDefault="00762875" w:rsidP="00AE65A5">
            <w:pPr>
              <w:tabs>
                <w:tab w:val="left" w:pos="709"/>
              </w:tabs>
              <w:jc w:val="center"/>
              <w:rPr>
                <w:rFonts w:ascii="Arial" w:hAnsi="Arial" w:cs="Arial"/>
                <w:b/>
                <w:sz w:val="20"/>
                <w:szCs w:val="20"/>
              </w:rPr>
            </w:pPr>
            <w:r w:rsidRPr="00E04C25">
              <w:rPr>
                <w:rFonts w:ascii="Arial" w:hAnsi="Arial" w:cs="Arial"/>
                <w:b/>
                <w:sz w:val="20"/>
                <w:szCs w:val="20"/>
              </w:rPr>
              <w:t>Zaměstnanost 15+ (v tis.)</w:t>
            </w:r>
          </w:p>
        </w:tc>
        <w:tc>
          <w:tcPr>
            <w:tcW w:w="3306" w:type="dxa"/>
            <w:gridSpan w:val="3"/>
            <w:tcBorders>
              <w:top w:val="double" w:sz="6" w:space="0" w:color="auto"/>
              <w:left w:val="nil"/>
              <w:bottom w:val="single" w:sz="4" w:space="0" w:color="auto"/>
              <w:right w:val="double" w:sz="6" w:space="0" w:color="auto"/>
            </w:tcBorders>
            <w:shd w:val="clear" w:color="auto" w:fill="auto"/>
            <w:noWrap/>
            <w:vAlign w:val="center"/>
          </w:tcPr>
          <w:p w:rsidR="00762875" w:rsidRPr="00E04C25" w:rsidRDefault="00762875" w:rsidP="00EC746A">
            <w:pPr>
              <w:tabs>
                <w:tab w:val="left" w:pos="709"/>
              </w:tabs>
              <w:jc w:val="center"/>
              <w:rPr>
                <w:rFonts w:ascii="Arial" w:hAnsi="Arial" w:cs="Arial"/>
                <w:b/>
                <w:sz w:val="20"/>
                <w:szCs w:val="20"/>
              </w:rPr>
            </w:pPr>
            <w:r w:rsidRPr="00E04C25">
              <w:rPr>
                <w:rFonts w:ascii="Arial" w:hAnsi="Arial" w:cs="Arial"/>
                <w:b/>
                <w:sz w:val="20"/>
                <w:szCs w:val="20"/>
              </w:rPr>
              <w:t>Míra zaměstnanosti 20-64 (v %)</w:t>
            </w:r>
          </w:p>
        </w:tc>
      </w:tr>
      <w:tr w:rsidR="00D141D5" w:rsidRPr="00E04C25" w:rsidTr="00762875">
        <w:trPr>
          <w:trHeight w:val="570"/>
          <w:jc w:val="center"/>
        </w:trPr>
        <w:tc>
          <w:tcPr>
            <w:tcW w:w="2088" w:type="dxa"/>
            <w:tcBorders>
              <w:top w:val="nil"/>
              <w:left w:val="double" w:sz="6" w:space="0" w:color="auto"/>
              <w:bottom w:val="nil"/>
              <w:right w:val="nil"/>
            </w:tcBorders>
            <w:shd w:val="clear" w:color="auto" w:fill="auto"/>
            <w:noWrap/>
            <w:vAlign w:val="bottom"/>
          </w:tcPr>
          <w:p w:rsidR="00762875" w:rsidRPr="00E04C25" w:rsidRDefault="00762875" w:rsidP="00AE65A5">
            <w:pPr>
              <w:tabs>
                <w:tab w:val="left" w:pos="709"/>
              </w:tabs>
              <w:jc w:val="center"/>
              <w:rPr>
                <w:rFonts w:ascii="Arial" w:hAnsi="Arial" w:cs="Arial"/>
                <w:sz w:val="20"/>
                <w:szCs w:val="20"/>
              </w:rPr>
            </w:pPr>
            <w:r w:rsidRPr="00E04C25">
              <w:rPr>
                <w:rFonts w:ascii="Arial" w:hAnsi="Arial" w:cs="Arial"/>
                <w:sz w:val="20"/>
                <w:szCs w:val="20"/>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2875" w:rsidRPr="00E04C25" w:rsidRDefault="00762875" w:rsidP="00EC746A">
            <w:pPr>
              <w:tabs>
                <w:tab w:val="left" w:pos="709"/>
              </w:tabs>
              <w:jc w:val="center"/>
              <w:rPr>
                <w:rFonts w:ascii="Arial" w:hAnsi="Arial" w:cs="Arial"/>
                <w:b/>
                <w:bCs/>
                <w:sz w:val="20"/>
                <w:szCs w:val="20"/>
              </w:rPr>
            </w:pPr>
            <w:r w:rsidRPr="00E04C25">
              <w:rPr>
                <w:rFonts w:ascii="Arial" w:hAnsi="Arial" w:cs="Arial"/>
                <w:b/>
                <w:bCs/>
                <w:sz w:val="20"/>
                <w:szCs w:val="20"/>
              </w:rPr>
              <w:t>201</w:t>
            </w:r>
            <w:r w:rsidR="00EC746A" w:rsidRPr="00E04C25">
              <w:rPr>
                <w:rFonts w:ascii="Arial" w:hAnsi="Arial" w:cs="Arial"/>
                <w:b/>
                <w:bCs/>
                <w:sz w:val="20"/>
                <w:szCs w:val="20"/>
              </w:rPr>
              <w:t>6</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762875" w:rsidRPr="00E04C25" w:rsidRDefault="00762875" w:rsidP="00EC746A">
            <w:pPr>
              <w:tabs>
                <w:tab w:val="left" w:pos="709"/>
              </w:tabs>
              <w:jc w:val="center"/>
              <w:rPr>
                <w:rFonts w:ascii="Arial" w:hAnsi="Arial" w:cs="Arial"/>
                <w:b/>
                <w:bCs/>
                <w:sz w:val="20"/>
                <w:szCs w:val="20"/>
              </w:rPr>
            </w:pPr>
            <w:r w:rsidRPr="00E04C25">
              <w:rPr>
                <w:rFonts w:ascii="Arial" w:hAnsi="Arial" w:cs="Arial"/>
                <w:b/>
                <w:bCs/>
                <w:sz w:val="20"/>
                <w:szCs w:val="20"/>
              </w:rPr>
              <w:t>201</w:t>
            </w:r>
            <w:r w:rsidR="00EC746A" w:rsidRPr="00E04C25">
              <w:rPr>
                <w:rFonts w:ascii="Arial" w:hAnsi="Arial" w:cs="Arial"/>
                <w:b/>
                <w:bCs/>
                <w:sz w:val="20"/>
                <w:szCs w:val="20"/>
              </w:rPr>
              <w:t>7</w:t>
            </w:r>
          </w:p>
        </w:tc>
        <w:tc>
          <w:tcPr>
            <w:tcW w:w="1316" w:type="dxa"/>
            <w:tcBorders>
              <w:top w:val="single" w:sz="4" w:space="0" w:color="auto"/>
              <w:left w:val="nil"/>
              <w:bottom w:val="single" w:sz="4" w:space="0" w:color="auto"/>
              <w:right w:val="single" w:sz="4" w:space="0" w:color="auto"/>
            </w:tcBorders>
            <w:shd w:val="clear" w:color="auto" w:fill="auto"/>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rozdíl 1</w:t>
            </w:r>
            <w:r w:rsidR="00EC746A" w:rsidRPr="00E04C25">
              <w:rPr>
                <w:rFonts w:ascii="Arial" w:hAnsi="Arial" w:cs="Arial"/>
                <w:b/>
                <w:bCs/>
                <w:sz w:val="20"/>
                <w:szCs w:val="20"/>
              </w:rPr>
              <w:t>7</w:t>
            </w:r>
            <w:r w:rsidRPr="00E04C25">
              <w:rPr>
                <w:rFonts w:ascii="Arial" w:hAnsi="Arial" w:cs="Arial"/>
                <w:b/>
                <w:bCs/>
                <w:sz w:val="20"/>
                <w:szCs w:val="20"/>
              </w:rPr>
              <w:t>-1</w:t>
            </w:r>
            <w:r w:rsidR="00EC746A" w:rsidRPr="00E04C25">
              <w:rPr>
                <w:rFonts w:ascii="Arial" w:hAnsi="Arial" w:cs="Arial"/>
                <w:b/>
                <w:bCs/>
                <w:sz w:val="20"/>
                <w:szCs w:val="20"/>
              </w:rPr>
              <w:t>6</w:t>
            </w:r>
          </w:p>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(tis.)</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762875" w:rsidRPr="00E04C25" w:rsidRDefault="00762875" w:rsidP="00EC746A">
            <w:pPr>
              <w:tabs>
                <w:tab w:val="left" w:pos="709"/>
              </w:tabs>
              <w:jc w:val="center"/>
              <w:rPr>
                <w:rFonts w:ascii="Arial" w:hAnsi="Arial" w:cs="Arial"/>
                <w:b/>
                <w:bCs/>
                <w:sz w:val="20"/>
                <w:szCs w:val="20"/>
              </w:rPr>
            </w:pPr>
            <w:r w:rsidRPr="00E04C25">
              <w:rPr>
                <w:rFonts w:ascii="Arial" w:hAnsi="Arial" w:cs="Arial"/>
                <w:b/>
                <w:bCs/>
                <w:sz w:val="20"/>
                <w:szCs w:val="20"/>
              </w:rPr>
              <w:t>201</w:t>
            </w:r>
            <w:r w:rsidR="00EC746A" w:rsidRPr="00E04C25">
              <w:rPr>
                <w:rFonts w:ascii="Arial" w:hAnsi="Arial" w:cs="Arial"/>
                <w:b/>
                <w:bCs/>
                <w:sz w:val="20"/>
                <w:szCs w:val="20"/>
              </w:rPr>
              <w:t>6</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762875" w:rsidRPr="00E04C25" w:rsidRDefault="00762875" w:rsidP="00EC746A">
            <w:pPr>
              <w:tabs>
                <w:tab w:val="left" w:pos="709"/>
              </w:tabs>
              <w:jc w:val="center"/>
              <w:rPr>
                <w:rFonts w:ascii="Arial" w:hAnsi="Arial" w:cs="Arial"/>
                <w:b/>
                <w:bCs/>
                <w:sz w:val="20"/>
                <w:szCs w:val="20"/>
              </w:rPr>
            </w:pPr>
            <w:r w:rsidRPr="00E04C25">
              <w:rPr>
                <w:rFonts w:ascii="Arial" w:hAnsi="Arial" w:cs="Arial"/>
                <w:b/>
                <w:bCs/>
                <w:sz w:val="20"/>
                <w:szCs w:val="20"/>
              </w:rPr>
              <w:t>201</w:t>
            </w:r>
            <w:r w:rsidR="00EC746A" w:rsidRPr="00E04C25">
              <w:rPr>
                <w:rFonts w:ascii="Arial" w:hAnsi="Arial" w:cs="Arial"/>
                <w:b/>
                <w:bCs/>
                <w:sz w:val="20"/>
                <w:szCs w:val="20"/>
              </w:rPr>
              <w:t>7</w:t>
            </w:r>
          </w:p>
        </w:tc>
        <w:tc>
          <w:tcPr>
            <w:tcW w:w="1270" w:type="dxa"/>
            <w:tcBorders>
              <w:top w:val="single" w:sz="4" w:space="0" w:color="auto"/>
              <w:left w:val="nil"/>
              <w:bottom w:val="single" w:sz="4" w:space="0" w:color="auto"/>
              <w:right w:val="double" w:sz="6" w:space="0" w:color="auto"/>
            </w:tcBorders>
            <w:shd w:val="clear" w:color="auto" w:fill="auto"/>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rozdíl 1</w:t>
            </w:r>
            <w:r w:rsidR="00EC746A" w:rsidRPr="00E04C25">
              <w:rPr>
                <w:rFonts w:ascii="Arial" w:hAnsi="Arial" w:cs="Arial"/>
                <w:b/>
                <w:bCs/>
                <w:sz w:val="20"/>
                <w:szCs w:val="20"/>
              </w:rPr>
              <w:t>7</w:t>
            </w:r>
            <w:r w:rsidRPr="00E04C25">
              <w:rPr>
                <w:rFonts w:ascii="Arial" w:hAnsi="Arial" w:cs="Arial"/>
                <w:b/>
                <w:bCs/>
                <w:sz w:val="20"/>
                <w:szCs w:val="20"/>
              </w:rPr>
              <w:t>-1</w:t>
            </w:r>
            <w:r w:rsidR="00EC746A" w:rsidRPr="00E04C25">
              <w:rPr>
                <w:rFonts w:ascii="Arial" w:hAnsi="Arial" w:cs="Arial"/>
                <w:b/>
                <w:bCs/>
                <w:sz w:val="20"/>
                <w:szCs w:val="20"/>
              </w:rPr>
              <w:t>6</w:t>
            </w:r>
          </w:p>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 xml:space="preserve"> (</w:t>
            </w:r>
            <w:r w:rsidRPr="00E04C25">
              <w:rPr>
                <w:rFonts w:ascii="Arial" w:hAnsi="Arial" w:cs="Arial"/>
                <w:b/>
                <w:sz w:val="18"/>
                <w:szCs w:val="18"/>
              </w:rPr>
              <w:t>p. b.</w:t>
            </w:r>
            <w:r w:rsidRPr="00E04C25">
              <w:rPr>
                <w:rFonts w:ascii="Arial" w:hAnsi="Arial" w:cs="Arial"/>
                <w:b/>
                <w:bCs/>
                <w:sz w:val="20"/>
                <w:szCs w:val="20"/>
              </w:rPr>
              <w:t>)</w:t>
            </w:r>
          </w:p>
        </w:tc>
      </w:tr>
      <w:tr w:rsidR="00733E45" w:rsidRPr="00E04C25" w:rsidTr="00733E45">
        <w:trPr>
          <w:trHeight w:val="300"/>
          <w:jc w:val="center"/>
        </w:trPr>
        <w:tc>
          <w:tcPr>
            <w:tcW w:w="2088" w:type="dxa"/>
            <w:tcBorders>
              <w:top w:val="single" w:sz="4" w:space="0" w:color="auto"/>
              <w:left w:val="double" w:sz="6" w:space="0" w:color="auto"/>
              <w:bottom w:val="single" w:sz="4" w:space="0" w:color="auto"/>
              <w:right w:val="nil"/>
            </w:tcBorders>
            <w:shd w:val="clear" w:color="auto" w:fill="auto"/>
            <w:noWrap/>
            <w:vAlign w:val="center"/>
          </w:tcPr>
          <w:p w:rsidR="00733E45" w:rsidRPr="00E04C25" w:rsidRDefault="00733E45" w:rsidP="00AE65A5">
            <w:pPr>
              <w:tabs>
                <w:tab w:val="left" w:pos="709"/>
              </w:tabs>
              <w:rPr>
                <w:rFonts w:ascii="Arial" w:hAnsi="Arial" w:cs="Arial"/>
                <w:b/>
                <w:sz w:val="18"/>
                <w:szCs w:val="18"/>
              </w:rPr>
            </w:pPr>
            <w:r w:rsidRPr="00E04C25">
              <w:rPr>
                <w:rFonts w:ascii="Arial" w:hAnsi="Arial" w:cs="Arial"/>
                <w:b/>
                <w:sz w:val="18"/>
                <w:szCs w:val="18"/>
              </w:rPr>
              <w:t>Celkem</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E45" w:rsidRPr="00E04C25" w:rsidRDefault="00733E45">
            <w:pPr>
              <w:jc w:val="right"/>
              <w:rPr>
                <w:rFonts w:ascii="Arial" w:hAnsi="Arial" w:cs="Arial"/>
                <w:b/>
                <w:bCs/>
                <w:sz w:val="18"/>
                <w:szCs w:val="18"/>
              </w:rPr>
            </w:pPr>
            <w:r w:rsidRPr="00E04C25">
              <w:rPr>
                <w:rFonts w:ascii="Arial" w:hAnsi="Arial" w:cs="Arial"/>
                <w:b/>
                <w:bCs/>
                <w:sz w:val="18"/>
                <w:szCs w:val="18"/>
              </w:rPr>
              <w:t xml:space="preserve">5 138,6 </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733E45" w:rsidRPr="00E04C25" w:rsidRDefault="00733E45">
            <w:pPr>
              <w:jc w:val="right"/>
              <w:rPr>
                <w:rFonts w:ascii="Arial" w:hAnsi="Arial" w:cs="Arial"/>
                <w:b/>
                <w:bCs/>
                <w:sz w:val="18"/>
                <w:szCs w:val="18"/>
              </w:rPr>
            </w:pPr>
            <w:r w:rsidRPr="00E04C25">
              <w:rPr>
                <w:rFonts w:ascii="Arial" w:hAnsi="Arial" w:cs="Arial"/>
                <w:b/>
                <w:bCs/>
                <w:sz w:val="18"/>
                <w:szCs w:val="18"/>
              </w:rPr>
              <w:t xml:space="preserve">5 221,6 </w:t>
            </w:r>
          </w:p>
        </w:tc>
        <w:tc>
          <w:tcPr>
            <w:tcW w:w="1316" w:type="dxa"/>
            <w:tcBorders>
              <w:top w:val="single" w:sz="4" w:space="0" w:color="auto"/>
              <w:left w:val="nil"/>
              <w:bottom w:val="single" w:sz="4" w:space="0" w:color="auto"/>
              <w:right w:val="single" w:sz="4" w:space="0" w:color="auto"/>
            </w:tcBorders>
            <w:shd w:val="clear" w:color="auto" w:fill="auto"/>
            <w:noWrap/>
            <w:vAlign w:val="center"/>
          </w:tcPr>
          <w:p w:rsidR="00733E45" w:rsidRPr="00E04C25" w:rsidRDefault="00733E45">
            <w:pPr>
              <w:jc w:val="right"/>
              <w:rPr>
                <w:rFonts w:ascii="Arial" w:hAnsi="Arial" w:cs="Arial"/>
                <w:b/>
                <w:bCs/>
                <w:sz w:val="18"/>
                <w:szCs w:val="18"/>
              </w:rPr>
            </w:pPr>
            <w:r w:rsidRPr="00E04C25">
              <w:rPr>
                <w:rFonts w:ascii="Arial" w:hAnsi="Arial" w:cs="Arial"/>
                <w:b/>
                <w:bCs/>
                <w:sz w:val="18"/>
                <w:szCs w:val="18"/>
              </w:rPr>
              <w:t xml:space="preserve">83,0 </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733E45" w:rsidRPr="00E04C25" w:rsidRDefault="00733E45">
            <w:pPr>
              <w:jc w:val="right"/>
              <w:rPr>
                <w:rFonts w:ascii="Arial" w:hAnsi="Arial" w:cs="Arial"/>
                <w:b/>
                <w:bCs/>
                <w:sz w:val="18"/>
                <w:szCs w:val="18"/>
              </w:rPr>
            </w:pPr>
            <w:r w:rsidRPr="00E04C25">
              <w:rPr>
                <w:rFonts w:ascii="Arial" w:hAnsi="Arial" w:cs="Arial"/>
                <w:b/>
                <w:bCs/>
                <w:sz w:val="18"/>
                <w:szCs w:val="18"/>
              </w:rPr>
              <w:t xml:space="preserve">76,7 </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733E45" w:rsidRPr="00E04C25" w:rsidRDefault="00733E45">
            <w:pPr>
              <w:jc w:val="right"/>
              <w:rPr>
                <w:rFonts w:ascii="Arial" w:hAnsi="Arial" w:cs="Arial"/>
                <w:b/>
                <w:bCs/>
                <w:sz w:val="18"/>
                <w:szCs w:val="18"/>
              </w:rPr>
            </w:pPr>
            <w:r w:rsidRPr="00E04C25">
              <w:rPr>
                <w:rFonts w:ascii="Arial" w:hAnsi="Arial" w:cs="Arial"/>
                <w:b/>
                <w:bCs/>
                <w:sz w:val="18"/>
                <w:szCs w:val="18"/>
              </w:rPr>
              <w:t xml:space="preserve">78,5 </w:t>
            </w:r>
          </w:p>
        </w:tc>
        <w:tc>
          <w:tcPr>
            <w:tcW w:w="1270" w:type="dxa"/>
            <w:tcBorders>
              <w:top w:val="single" w:sz="4" w:space="0" w:color="auto"/>
              <w:left w:val="nil"/>
              <w:bottom w:val="single" w:sz="4" w:space="0" w:color="auto"/>
              <w:right w:val="double" w:sz="6" w:space="0" w:color="auto"/>
            </w:tcBorders>
            <w:shd w:val="clear" w:color="auto" w:fill="auto"/>
            <w:noWrap/>
            <w:vAlign w:val="center"/>
          </w:tcPr>
          <w:p w:rsidR="00733E45" w:rsidRPr="00E04C25" w:rsidRDefault="00733E45">
            <w:pPr>
              <w:jc w:val="right"/>
              <w:rPr>
                <w:rFonts w:ascii="Arial" w:hAnsi="Arial" w:cs="Arial"/>
                <w:b/>
                <w:bCs/>
                <w:sz w:val="18"/>
                <w:szCs w:val="18"/>
              </w:rPr>
            </w:pPr>
            <w:r w:rsidRPr="00E04C25">
              <w:rPr>
                <w:rFonts w:ascii="Arial" w:hAnsi="Arial" w:cs="Arial"/>
                <w:b/>
                <w:bCs/>
                <w:sz w:val="18"/>
                <w:szCs w:val="18"/>
              </w:rPr>
              <w:t xml:space="preserve">1,8 </w:t>
            </w:r>
          </w:p>
        </w:tc>
      </w:tr>
      <w:tr w:rsidR="00733E45" w:rsidRPr="00E04C25" w:rsidTr="00733E45">
        <w:trPr>
          <w:trHeight w:val="300"/>
          <w:jc w:val="center"/>
        </w:trPr>
        <w:tc>
          <w:tcPr>
            <w:tcW w:w="2088" w:type="dxa"/>
            <w:tcBorders>
              <w:top w:val="nil"/>
              <w:left w:val="double" w:sz="6" w:space="0" w:color="auto"/>
              <w:bottom w:val="nil"/>
              <w:right w:val="nil"/>
            </w:tcBorders>
            <w:shd w:val="clear" w:color="auto" w:fill="auto"/>
            <w:noWrap/>
            <w:vAlign w:val="center"/>
          </w:tcPr>
          <w:p w:rsidR="00733E45" w:rsidRPr="00E04C25" w:rsidRDefault="00733E45" w:rsidP="00AE65A5">
            <w:pPr>
              <w:tabs>
                <w:tab w:val="left" w:pos="709"/>
              </w:tabs>
              <w:rPr>
                <w:rFonts w:ascii="Arial" w:hAnsi="Arial" w:cs="Arial"/>
                <w:sz w:val="18"/>
                <w:szCs w:val="18"/>
              </w:rPr>
            </w:pPr>
            <w:r w:rsidRPr="00E04C25">
              <w:rPr>
                <w:rFonts w:ascii="Arial" w:hAnsi="Arial" w:cs="Arial"/>
                <w:sz w:val="18"/>
                <w:szCs w:val="18"/>
              </w:rPr>
              <w:t>Hl. m. Praha</w:t>
            </w:r>
          </w:p>
        </w:tc>
        <w:tc>
          <w:tcPr>
            <w:tcW w:w="1074" w:type="dxa"/>
            <w:tcBorders>
              <w:top w:val="nil"/>
              <w:left w:val="single" w:sz="4" w:space="0" w:color="auto"/>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663,3 </w:t>
            </w:r>
          </w:p>
        </w:tc>
        <w:tc>
          <w:tcPr>
            <w:tcW w:w="1074"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685,9 </w:t>
            </w:r>
          </w:p>
        </w:tc>
        <w:tc>
          <w:tcPr>
            <w:tcW w:w="1316"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22,5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80,1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82,4 </w:t>
            </w:r>
          </w:p>
        </w:tc>
        <w:tc>
          <w:tcPr>
            <w:tcW w:w="1270" w:type="dxa"/>
            <w:tcBorders>
              <w:top w:val="nil"/>
              <w:left w:val="nil"/>
              <w:bottom w:val="nil"/>
              <w:right w:val="double" w:sz="6"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2,3 </w:t>
            </w:r>
          </w:p>
        </w:tc>
      </w:tr>
      <w:tr w:rsidR="00733E45" w:rsidRPr="00E04C25" w:rsidTr="00733E45">
        <w:trPr>
          <w:trHeight w:val="300"/>
          <w:jc w:val="center"/>
        </w:trPr>
        <w:tc>
          <w:tcPr>
            <w:tcW w:w="2088" w:type="dxa"/>
            <w:tcBorders>
              <w:top w:val="nil"/>
              <w:left w:val="double" w:sz="6" w:space="0" w:color="auto"/>
              <w:bottom w:val="nil"/>
              <w:right w:val="nil"/>
            </w:tcBorders>
            <w:shd w:val="clear" w:color="auto" w:fill="auto"/>
            <w:noWrap/>
            <w:vAlign w:val="center"/>
          </w:tcPr>
          <w:p w:rsidR="00733E45" w:rsidRPr="00E04C25" w:rsidRDefault="00733E45" w:rsidP="00AE65A5">
            <w:pPr>
              <w:tabs>
                <w:tab w:val="left" w:pos="709"/>
              </w:tabs>
              <w:rPr>
                <w:rFonts w:ascii="Arial" w:hAnsi="Arial" w:cs="Arial"/>
                <w:sz w:val="18"/>
                <w:szCs w:val="18"/>
              </w:rPr>
            </w:pPr>
            <w:r w:rsidRPr="00E04C25">
              <w:rPr>
                <w:rFonts w:ascii="Arial" w:hAnsi="Arial" w:cs="Arial"/>
                <w:sz w:val="18"/>
                <w:szCs w:val="18"/>
              </w:rPr>
              <w:t>Středočeský kraj</w:t>
            </w:r>
          </w:p>
        </w:tc>
        <w:tc>
          <w:tcPr>
            <w:tcW w:w="1074" w:type="dxa"/>
            <w:tcBorders>
              <w:top w:val="nil"/>
              <w:left w:val="single" w:sz="4" w:space="0" w:color="auto"/>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652,0 </w:t>
            </w:r>
          </w:p>
        </w:tc>
        <w:tc>
          <w:tcPr>
            <w:tcW w:w="1074"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666,6 </w:t>
            </w:r>
          </w:p>
        </w:tc>
        <w:tc>
          <w:tcPr>
            <w:tcW w:w="1316"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14,6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78,0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80,2 </w:t>
            </w:r>
          </w:p>
        </w:tc>
        <w:tc>
          <w:tcPr>
            <w:tcW w:w="1270" w:type="dxa"/>
            <w:tcBorders>
              <w:top w:val="nil"/>
              <w:left w:val="nil"/>
              <w:bottom w:val="nil"/>
              <w:right w:val="double" w:sz="6"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2,2 </w:t>
            </w:r>
          </w:p>
        </w:tc>
      </w:tr>
      <w:tr w:rsidR="00733E45" w:rsidRPr="00E04C25" w:rsidTr="00733E45">
        <w:trPr>
          <w:trHeight w:val="300"/>
          <w:jc w:val="center"/>
        </w:trPr>
        <w:tc>
          <w:tcPr>
            <w:tcW w:w="2088" w:type="dxa"/>
            <w:tcBorders>
              <w:top w:val="nil"/>
              <w:left w:val="double" w:sz="6" w:space="0" w:color="auto"/>
              <w:bottom w:val="nil"/>
              <w:right w:val="nil"/>
            </w:tcBorders>
            <w:shd w:val="clear" w:color="auto" w:fill="auto"/>
            <w:noWrap/>
            <w:vAlign w:val="center"/>
          </w:tcPr>
          <w:p w:rsidR="00733E45" w:rsidRPr="00E04C25" w:rsidRDefault="00733E45" w:rsidP="00AE65A5">
            <w:pPr>
              <w:tabs>
                <w:tab w:val="left" w:pos="709"/>
              </w:tabs>
              <w:rPr>
                <w:rFonts w:ascii="Arial" w:hAnsi="Arial" w:cs="Arial"/>
                <w:sz w:val="18"/>
                <w:szCs w:val="18"/>
              </w:rPr>
            </w:pPr>
            <w:r w:rsidRPr="00E04C25">
              <w:rPr>
                <w:rFonts w:ascii="Arial" w:hAnsi="Arial" w:cs="Arial"/>
                <w:sz w:val="18"/>
                <w:szCs w:val="18"/>
              </w:rPr>
              <w:t>Jihočeský kraj</w:t>
            </w:r>
          </w:p>
        </w:tc>
        <w:tc>
          <w:tcPr>
            <w:tcW w:w="1074" w:type="dxa"/>
            <w:tcBorders>
              <w:top w:val="nil"/>
              <w:left w:val="single" w:sz="4" w:space="0" w:color="auto"/>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310,5 </w:t>
            </w:r>
          </w:p>
        </w:tc>
        <w:tc>
          <w:tcPr>
            <w:tcW w:w="1074"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314,8 </w:t>
            </w:r>
          </w:p>
        </w:tc>
        <w:tc>
          <w:tcPr>
            <w:tcW w:w="1316"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4,4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77,5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78,9 </w:t>
            </w:r>
          </w:p>
        </w:tc>
        <w:tc>
          <w:tcPr>
            <w:tcW w:w="1270" w:type="dxa"/>
            <w:tcBorders>
              <w:top w:val="nil"/>
              <w:left w:val="nil"/>
              <w:bottom w:val="nil"/>
              <w:right w:val="double" w:sz="6"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1,4 </w:t>
            </w:r>
          </w:p>
        </w:tc>
      </w:tr>
      <w:tr w:rsidR="00733E45" w:rsidRPr="00E04C25" w:rsidTr="00733E45">
        <w:trPr>
          <w:trHeight w:val="300"/>
          <w:jc w:val="center"/>
        </w:trPr>
        <w:tc>
          <w:tcPr>
            <w:tcW w:w="2088" w:type="dxa"/>
            <w:tcBorders>
              <w:top w:val="nil"/>
              <w:left w:val="double" w:sz="6" w:space="0" w:color="auto"/>
              <w:bottom w:val="nil"/>
              <w:right w:val="nil"/>
            </w:tcBorders>
            <w:shd w:val="clear" w:color="auto" w:fill="auto"/>
            <w:noWrap/>
            <w:vAlign w:val="center"/>
          </w:tcPr>
          <w:p w:rsidR="00733E45" w:rsidRPr="00E04C25" w:rsidRDefault="00733E45" w:rsidP="00AE65A5">
            <w:pPr>
              <w:tabs>
                <w:tab w:val="left" w:pos="709"/>
              </w:tabs>
              <w:rPr>
                <w:rFonts w:ascii="Arial" w:hAnsi="Arial" w:cs="Arial"/>
                <w:sz w:val="18"/>
                <w:szCs w:val="18"/>
              </w:rPr>
            </w:pPr>
            <w:r w:rsidRPr="00E04C25">
              <w:rPr>
                <w:rFonts w:ascii="Arial" w:hAnsi="Arial" w:cs="Arial"/>
                <w:sz w:val="18"/>
                <w:szCs w:val="18"/>
              </w:rPr>
              <w:t>Plzeňský kraj</w:t>
            </w:r>
          </w:p>
        </w:tc>
        <w:tc>
          <w:tcPr>
            <w:tcW w:w="1074" w:type="dxa"/>
            <w:tcBorders>
              <w:top w:val="nil"/>
              <w:left w:val="single" w:sz="4" w:space="0" w:color="auto"/>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287,2 </w:t>
            </w:r>
          </w:p>
        </w:tc>
        <w:tc>
          <w:tcPr>
            <w:tcW w:w="1074"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291,5 </w:t>
            </w:r>
          </w:p>
        </w:tc>
        <w:tc>
          <w:tcPr>
            <w:tcW w:w="1316"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4,4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77,8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79,7 </w:t>
            </w:r>
          </w:p>
        </w:tc>
        <w:tc>
          <w:tcPr>
            <w:tcW w:w="1270" w:type="dxa"/>
            <w:tcBorders>
              <w:top w:val="nil"/>
              <w:left w:val="nil"/>
              <w:bottom w:val="nil"/>
              <w:right w:val="double" w:sz="6"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1,9 </w:t>
            </w:r>
          </w:p>
        </w:tc>
      </w:tr>
      <w:tr w:rsidR="00733E45" w:rsidRPr="00E04C25" w:rsidTr="00733E45">
        <w:trPr>
          <w:trHeight w:val="300"/>
          <w:jc w:val="center"/>
        </w:trPr>
        <w:tc>
          <w:tcPr>
            <w:tcW w:w="2088" w:type="dxa"/>
            <w:tcBorders>
              <w:top w:val="nil"/>
              <w:left w:val="double" w:sz="6" w:space="0" w:color="auto"/>
              <w:bottom w:val="nil"/>
              <w:right w:val="nil"/>
            </w:tcBorders>
            <w:shd w:val="clear" w:color="auto" w:fill="auto"/>
            <w:noWrap/>
            <w:vAlign w:val="center"/>
          </w:tcPr>
          <w:p w:rsidR="00733E45" w:rsidRPr="00E04C25" w:rsidRDefault="00733E45" w:rsidP="00AE65A5">
            <w:pPr>
              <w:tabs>
                <w:tab w:val="left" w:pos="709"/>
              </w:tabs>
              <w:rPr>
                <w:rFonts w:ascii="Arial" w:hAnsi="Arial" w:cs="Arial"/>
                <w:sz w:val="18"/>
                <w:szCs w:val="18"/>
              </w:rPr>
            </w:pPr>
            <w:r w:rsidRPr="00E04C25">
              <w:rPr>
                <w:rFonts w:ascii="Arial" w:hAnsi="Arial" w:cs="Arial"/>
                <w:sz w:val="18"/>
                <w:szCs w:val="18"/>
              </w:rPr>
              <w:t>Karlovarský kraj</w:t>
            </w:r>
          </w:p>
        </w:tc>
        <w:tc>
          <w:tcPr>
            <w:tcW w:w="1074" w:type="dxa"/>
            <w:tcBorders>
              <w:top w:val="nil"/>
              <w:left w:val="single" w:sz="4" w:space="0" w:color="auto"/>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146,4 </w:t>
            </w:r>
          </w:p>
        </w:tc>
        <w:tc>
          <w:tcPr>
            <w:tcW w:w="1074"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149,6 </w:t>
            </w:r>
          </w:p>
        </w:tc>
        <w:tc>
          <w:tcPr>
            <w:tcW w:w="1316"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3,2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76,4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79,0 </w:t>
            </w:r>
          </w:p>
        </w:tc>
        <w:tc>
          <w:tcPr>
            <w:tcW w:w="1270" w:type="dxa"/>
            <w:tcBorders>
              <w:top w:val="nil"/>
              <w:left w:val="nil"/>
              <w:bottom w:val="nil"/>
              <w:right w:val="double" w:sz="6"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2,6 </w:t>
            </w:r>
          </w:p>
        </w:tc>
      </w:tr>
      <w:tr w:rsidR="00733E45" w:rsidRPr="00E04C25" w:rsidTr="00733E45">
        <w:trPr>
          <w:trHeight w:val="300"/>
          <w:jc w:val="center"/>
        </w:trPr>
        <w:tc>
          <w:tcPr>
            <w:tcW w:w="2088" w:type="dxa"/>
            <w:tcBorders>
              <w:top w:val="nil"/>
              <w:left w:val="double" w:sz="6" w:space="0" w:color="auto"/>
              <w:bottom w:val="nil"/>
              <w:right w:val="nil"/>
            </w:tcBorders>
            <w:shd w:val="clear" w:color="auto" w:fill="auto"/>
            <w:noWrap/>
            <w:vAlign w:val="center"/>
          </w:tcPr>
          <w:p w:rsidR="00733E45" w:rsidRPr="00E04C25" w:rsidRDefault="00733E45" w:rsidP="00AE65A5">
            <w:pPr>
              <w:tabs>
                <w:tab w:val="left" w:pos="709"/>
              </w:tabs>
              <w:rPr>
                <w:rFonts w:ascii="Arial" w:hAnsi="Arial" w:cs="Arial"/>
                <w:sz w:val="18"/>
                <w:szCs w:val="18"/>
              </w:rPr>
            </w:pPr>
            <w:r w:rsidRPr="00E04C25">
              <w:rPr>
                <w:rFonts w:ascii="Arial" w:hAnsi="Arial" w:cs="Arial"/>
                <w:sz w:val="18"/>
                <w:szCs w:val="18"/>
              </w:rPr>
              <w:t>Ústecký kraj</w:t>
            </w:r>
          </w:p>
        </w:tc>
        <w:tc>
          <w:tcPr>
            <w:tcW w:w="1074" w:type="dxa"/>
            <w:tcBorders>
              <w:top w:val="nil"/>
              <w:left w:val="single" w:sz="4" w:space="0" w:color="auto"/>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382,6 </w:t>
            </w:r>
          </w:p>
        </w:tc>
        <w:tc>
          <w:tcPr>
            <w:tcW w:w="1074"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385,2 </w:t>
            </w:r>
          </w:p>
        </w:tc>
        <w:tc>
          <w:tcPr>
            <w:tcW w:w="1316"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2,5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73,4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75,0 </w:t>
            </w:r>
          </w:p>
        </w:tc>
        <w:tc>
          <w:tcPr>
            <w:tcW w:w="1270" w:type="dxa"/>
            <w:tcBorders>
              <w:top w:val="nil"/>
              <w:left w:val="nil"/>
              <w:bottom w:val="nil"/>
              <w:right w:val="double" w:sz="6"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1,6 </w:t>
            </w:r>
          </w:p>
        </w:tc>
      </w:tr>
      <w:tr w:rsidR="00733E45" w:rsidRPr="00E04C25" w:rsidTr="00733E45">
        <w:trPr>
          <w:trHeight w:val="300"/>
          <w:jc w:val="center"/>
        </w:trPr>
        <w:tc>
          <w:tcPr>
            <w:tcW w:w="2088" w:type="dxa"/>
            <w:tcBorders>
              <w:top w:val="nil"/>
              <w:left w:val="double" w:sz="6" w:space="0" w:color="auto"/>
              <w:bottom w:val="nil"/>
              <w:right w:val="nil"/>
            </w:tcBorders>
            <w:shd w:val="clear" w:color="auto" w:fill="auto"/>
            <w:noWrap/>
            <w:vAlign w:val="center"/>
          </w:tcPr>
          <w:p w:rsidR="00733E45" w:rsidRPr="00E04C25" w:rsidRDefault="00733E45" w:rsidP="00AE65A5">
            <w:pPr>
              <w:tabs>
                <w:tab w:val="left" w:pos="709"/>
              </w:tabs>
              <w:rPr>
                <w:rFonts w:ascii="Arial" w:hAnsi="Arial" w:cs="Arial"/>
                <w:sz w:val="18"/>
                <w:szCs w:val="18"/>
              </w:rPr>
            </w:pPr>
            <w:r w:rsidRPr="00E04C25">
              <w:rPr>
                <w:rFonts w:ascii="Arial" w:hAnsi="Arial" w:cs="Arial"/>
                <w:sz w:val="18"/>
                <w:szCs w:val="18"/>
              </w:rPr>
              <w:t>Liberecký kraj</w:t>
            </w:r>
          </w:p>
        </w:tc>
        <w:tc>
          <w:tcPr>
            <w:tcW w:w="1074" w:type="dxa"/>
            <w:tcBorders>
              <w:top w:val="nil"/>
              <w:left w:val="single" w:sz="4" w:space="0" w:color="auto"/>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208,9 </w:t>
            </w:r>
          </w:p>
        </w:tc>
        <w:tc>
          <w:tcPr>
            <w:tcW w:w="1074"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207,4 </w:t>
            </w:r>
          </w:p>
        </w:tc>
        <w:tc>
          <w:tcPr>
            <w:tcW w:w="1316"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-1,5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75,8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76,0 </w:t>
            </w:r>
          </w:p>
        </w:tc>
        <w:tc>
          <w:tcPr>
            <w:tcW w:w="1270" w:type="dxa"/>
            <w:tcBorders>
              <w:top w:val="nil"/>
              <w:left w:val="nil"/>
              <w:bottom w:val="nil"/>
              <w:right w:val="double" w:sz="6"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0,3 </w:t>
            </w:r>
          </w:p>
        </w:tc>
      </w:tr>
      <w:tr w:rsidR="00733E45" w:rsidRPr="00E04C25" w:rsidTr="00733E45">
        <w:trPr>
          <w:trHeight w:val="300"/>
          <w:jc w:val="center"/>
        </w:trPr>
        <w:tc>
          <w:tcPr>
            <w:tcW w:w="2088" w:type="dxa"/>
            <w:tcBorders>
              <w:top w:val="nil"/>
              <w:left w:val="double" w:sz="6" w:space="0" w:color="auto"/>
              <w:bottom w:val="nil"/>
              <w:right w:val="nil"/>
            </w:tcBorders>
            <w:shd w:val="clear" w:color="auto" w:fill="auto"/>
            <w:noWrap/>
            <w:vAlign w:val="center"/>
          </w:tcPr>
          <w:p w:rsidR="00733E45" w:rsidRPr="00E04C25" w:rsidRDefault="00733E45" w:rsidP="00AE65A5">
            <w:pPr>
              <w:tabs>
                <w:tab w:val="left" w:pos="709"/>
              </w:tabs>
              <w:rPr>
                <w:rFonts w:ascii="Arial" w:hAnsi="Arial" w:cs="Arial"/>
                <w:sz w:val="18"/>
                <w:szCs w:val="18"/>
              </w:rPr>
            </w:pPr>
            <w:r w:rsidRPr="00E04C25">
              <w:rPr>
                <w:rFonts w:ascii="Arial" w:hAnsi="Arial" w:cs="Arial"/>
                <w:sz w:val="18"/>
                <w:szCs w:val="18"/>
              </w:rPr>
              <w:t>Královéhradecký kraj</w:t>
            </w:r>
          </w:p>
        </w:tc>
        <w:tc>
          <w:tcPr>
            <w:tcW w:w="1074" w:type="dxa"/>
            <w:tcBorders>
              <w:top w:val="nil"/>
              <w:left w:val="single" w:sz="4" w:space="0" w:color="auto"/>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264,2 </w:t>
            </w:r>
          </w:p>
        </w:tc>
        <w:tc>
          <w:tcPr>
            <w:tcW w:w="1074"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272,0 </w:t>
            </w:r>
          </w:p>
        </w:tc>
        <w:tc>
          <w:tcPr>
            <w:tcW w:w="1316"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7,9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76,9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79,6 </w:t>
            </w:r>
          </w:p>
        </w:tc>
        <w:tc>
          <w:tcPr>
            <w:tcW w:w="1270" w:type="dxa"/>
            <w:tcBorders>
              <w:top w:val="nil"/>
              <w:left w:val="nil"/>
              <w:bottom w:val="nil"/>
              <w:right w:val="double" w:sz="6"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2,7 </w:t>
            </w:r>
          </w:p>
        </w:tc>
      </w:tr>
      <w:tr w:rsidR="00733E45" w:rsidRPr="00E04C25" w:rsidTr="00733E45">
        <w:trPr>
          <w:trHeight w:val="300"/>
          <w:jc w:val="center"/>
        </w:trPr>
        <w:tc>
          <w:tcPr>
            <w:tcW w:w="2088" w:type="dxa"/>
            <w:tcBorders>
              <w:top w:val="nil"/>
              <w:left w:val="double" w:sz="6" w:space="0" w:color="auto"/>
              <w:bottom w:val="nil"/>
              <w:right w:val="nil"/>
            </w:tcBorders>
            <w:shd w:val="clear" w:color="auto" w:fill="auto"/>
            <w:noWrap/>
            <w:vAlign w:val="center"/>
          </w:tcPr>
          <w:p w:rsidR="00733E45" w:rsidRPr="00E04C25" w:rsidRDefault="00733E45" w:rsidP="00AE65A5">
            <w:pPr>
              <w:tabs>
                <w:tab w:val="left" w:pos="709"/>
              </w:tabs>
              <w:rPr>
                <w:rFonts w:ascii="Arial" w:hAnsi="Arial" w:cs="Arial"/>
                <w:sz w:val="18"/>
                <w:szCs w:val="18"/>
              </w:rPr>
            </w:pPr>
            <w:r w:rsidRPr="00E04C25">
              <w:rPr>
                <w:rFonts w:ascii="Arial" w:hAnsi="Arial" w:cs="Arial"/>
                <w:sz w:val="18"/>
                <w:szCs w:val="18"/>
              </w:rPr>
              <w:t>Pardubický kraj</w:t>
            </w:r>
          </w:p>
        </w:tc>
        <w:tc>
          <w:tcPr>
            <w:tcW w:w="1074" w:type="dxa"/>
            <w:tcBorders>
              <w:top w:val="nil"/>
              <w:left w:val="single" w:sz="4" w:space="0" w:color="auto"/>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254,3 </w:t>
            </w:r>
          </w:p>
        </w:tc>
        <w:tc>
          <w:tcPr>
            <w:tcW w:w="1074"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254,6 </w:t>
            </w:r>
          </w:p>
        </w:tc>
        <w:tc>
          <w:tcPr>
            <w:tcW w:w="1316"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0,3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78,8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79,0 </w:t>
            </w:r>
          </w:p>
        </w:tc>
        <w:tc>
          <w:tcPr>
            <w:tcW w:w="1270" w:type="dxa"/>
            <w:tcBorders>
              <w:top w:val="nil"/>
              <w:left w:val="nil"/>
              <w:bottom w:val="nil"/>
              <w:right w:val="double" w:sz="6"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0,2 </w:t>
            </w:r>
          </w:p>
        </w:tc>
      </w:tr>
      <w:tr w:rsidR="00733E45" w:rsidRPr="00E04C25" w:rsidTr="00733E45">
        <w:trPr>
          <w:trHeight w:val="300"/>
          <w:jc w:val="center"/>
        </w:trPr>
        <w:tc>
          <w:tcPr>
            <w:tcW w:w="2088" w:type="dxa"/>
            <w:tcBorders>
              <w:top w:val="nil"/>
              <w:left w:val="double" w:sz="6" w:space="0" w:color="auto"/>
              <w:bottom w:val="nil"/>
              <w:right w:val="nil"/>
            </w:tcBorders>
            <w:shd w:val="clear" w:color="auto" w:fill="auto"/>
            <w:noWrap/>
            <w:vAlign w:val="center"/>
          </w:tcPr>
          <w:p w:rsidR="00733E45" w:rsidRPr="00E04C25" w:rsidRDefault="00733E45" w:rsidP="00AE65A5">
            <w:pPr>
              <w:tabs>
                <w:tab w:val="left" w:pos="709"/>
              </w:tabs>
              <w:rPr>
                <w:rFonts w:ascii="Arial" w:hAnsi="Arial" w:cs="Arial"/>
                <w:sz w:val="18"/>
                <w:szCs w:val="18"/>
              </w:rPr>
            </w:pPr>
            <w:r w:rsidRPr="00E04C25">
              <w:rPr>
                <w:rFonts w:ascii="Arial" w:hAnsi="Arial" w:cs="Arial"/>
                <w:sz w:val="18"/>
                <w:szCs w:val="18"/>
              </w:rPr>
              <w:t>Kraj Vysočina</w:t>
            </w:r>
          </w:p>
        </w:tc>
        <w:tc>
          <w:tcPr>
            <w:tcW w:w="1074" w:type="dxa"/>
            <w:tcBorders>
              <w:top w:val="nil"/>
              <w:left w:val="single" w:sz="4" w:space="0" w:color="auto"/>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242,9 </w:t>
            </w:r>
          </w:p>
        </w:tc>
        <w:tc>
          <w:tcPr>
            <w:tcW w:w="1074"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248,1 </w:t>
            </w:r>
          </w:p>
        </w:tc>
        <w:tc>
          <w:tcPr>
            <w:tcW w:w="1316"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5,2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76,0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78,2 </w:t>
            </w:r>
          </w:p>
        </w:tc>
        <w:tc>
          <w:tcPr>
            <w:tcW w:w="1270" w:type="dxa"/>
            <w:tcBorders>
              <w:top w:val="nil"/>
              <w:left w:val="nil"/>
              <w:bottom w:val="nil"/>
              <w:right w:val="double" w:sz="6"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2,2 </w:t>
            </w:r>
          </w:p>
        </w:tc>
      </w:tr>
      <w:tr w:rsidR="00733E45" w:rsidRPr="00E04C25" w:rsidTr="00733E45">
        <w:trPr>
          <w:trHeight w:val="300"/>
          <w:jc w:val="center"/>
        </w:trPr>
        <w:tc>
          <w:tcPr>
            <w:tcW w:w="2088" w:type="dxa"/>
            <w:tcBorders>
              <w:top w:val="nil"/>
              <w:left w:val="double" w:sz="6" w:space="0" w:color="auto"/>
              <w:bottom w:val="nil"/>
              <w:right w:val="nil"/>
            </w:tcBorders>
            <w:shd w:val="clear" w:color="auto" w:fill="auto"/>
            <w:noWrap/>
            <w:vAlign w:val="center"/>
          </w:tcPr>
          <w:p w:rsidR="00733E45" w:rsidRPr="00E04C25" w:rsidRDefault="00733E45" w:rsidP="00AE65A5">
            <w:pPr>
              <w:tabs>
                <w:tab w:val="left" w:pos="709"/>
              </w:tabs>
              <w:rPr>
                <w:rFonts w:ascii="Arial" w:hAnsi="Arial" w:cs="Arial"/>
                <w:sz w:val="18"/>
                <w:szCs w:val="18"/>
              </w:rPr>
            </w:pPr>
            <w:r w:rsidRPr="00E04C25">
              <w:rPr>
                <w:rFonts w:ascii="Arial" w:hAnsi="Arial" w:cs="Arial"/>
                <w:sz w:val="18"/>
                <w:szCs w:val="18"/>
              </w:rPr>
              <w:t>Jihomoravský kraj</w:t>
            </w:r>
          </w:p>
        </w:tc>
        <w:tc>
          <w:tcPr>
            <w:tcW w:w="1074" w:type="dxa"/>
            <w:tcBorders>
              <w:top w:val="nil"/>
              <w:left w:val="single" w:sz="4" w:space="0" w:color="auto"/>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577,9 </w:t>
            </w:r>
          </w:p>
        </w:tc>
        <w:tc>
          <w:tcPr>
            <w:tcW w:w="1074"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578,1 </w:t>
            </w:r>
          </w:p>
        </w:tc>
        <w:tc>
          <w:tcPr>
            <w:tcW w:w="1316"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0,2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77,2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78,1 </w:t>
            </w:r>
          </w:p>
        </w:tc>
        <w:tc>
          <w:tcPr>
            <w:tcW w:w="1270" w:type="dxa"/>
            <w:tcBorders>
              <w:top w:val="nil"/>
              <w:left w:val="nil"/>
              <w:bottom w:val="nil"/>
              <w:right w:val="double" w:sz="6"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0,9 </w:t>
            </w:r>
          </w:p>
        </w:tc>
      </w:tr>
      <w:tr w:rsidR="00733E45" w:rsidRPr="00E04C25" w:rsidTr="00733E45">
        <w:trPr>
          <w:trHeight w:val="300"/>
          <w:jc w:val="center"/>
        </w:trPr>
        <w:tc>
          <w:tcPr>
            <w:tcW w:w="2088" w:type="dxa"/>
            <w:tcBorders>
              <w:top w:val="nil"/>
              <w:left w:val="double" w:sz="6" w:space="0" w:color="auto"/>
              <w:bottom w:val="nil"/>
              <w:right w:val="nil"/>
            </w:tcBorders>
            <w:shd w:val="clear" w:color="auto" w:fill="auto"/>
            <w:noWrap/>
            <w:vAlign w:val="center"/>
          </w:tcPr>
          <w:p w:rsidR="00733E45" w:rsidRPr="00E04C25" w:rsidRDefault="00733E45" w:rsidP="00AE65A5">
            <w:pPr>
              <w:tabs>
                <w:tab w:val="left" w:pos="709"/>
              </w:tabs>
              <w:rPr>
                <w:rFonts w:ascii="Arial" w:hAnsi="Arial" w:cs="Arial"/>
                <w:sz w:val="18"/>
                <w:szCs w:val="18"/>
              </w:rPr>
            </w:pPr>
            <w:r w:rsidRPr="00E04C25">
              <w:rPr>
                <w:rFonts w:ascii="Arial" w:hAnsi="Arial" w:cs="Arial"/>
                <w:sz w:val="18"/>
                <w:szCs w:val="18"/>
              </w:rPr>
              <w:t>Olomoucký kraj</w:t>
            </w:r>
          </w:p>
        </w:tc>
        <w:tc>
          <w:tcPr>
            <w:tcW w:w="1074" w:type="dxa"/>
            <w:tcBorders>
              <w:top w:val="nil"/>
              <w:left w:val="single" w:sz="4" w:space="0" w:color="auto"/>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300,5 </w:t>
            </w:r>
          </w:p>
        </w:tc>
        <w:tc>
          <w:tcPr>
            <w:tcW w:w="1074"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304,7 </w:t>
            </w:r>
          </w:p>
        </w:tc>
        <w:tc>
          <w:tcPr>
            <w:tcW w:w="1316"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4,2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75,4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77,4 </w:t>
            </w:r>
          </w:p>
        </w:tc>
        <w:tc>
          <w:tcPr>
            <w:tcW w:w="1270" w:type="dxa"/>
            <w:tcBorders>
              <w:top w:val="nil"/>
              <w:left w:val="nil"/>
              <w:bottom w:val="nil"/>
              <w:right w:val="double" w:sz="6"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2,0 </w:t>
            </w:r>
          </w:p>
        </w:tc>
      </w:tr>
      <w:tr w:rsidR="00733E45" w:rsidRPr="00E04C25" w:rsidTr="00733E45">
        <w:trPr>
          <w:trHeight w:val="300"/>
          <w:jc w:val="center"/>
        </w:trPr>
        <w:tc>
          <w:tcPr>
            <w:tcW w:w="2088" w:type="dxa"/>
            <w:tcBorders>
              <w:top w:val="nil"/>
              <w:left w:val="double" w:sz="6" w:space="0" w:color="auto"/>
              <w:bottom w:val="nil"/>
              <w:right w:val="nil"/>
            </w:tcBorders>
            <w:shd w:val="clear" w:color="auto" w:fill="auto"/>
            <w:noWrap/>
            <w:vAlign w:val="center"/>
          </w:tcPr>
          <w:p w:rsidR="00733E45" w:rsidRPr="00E04C25" w:rsidRDefault="00733E45" w:rsidP="00AE65A5">
            <w:pPr>
              <w:tabs>
                <w:tab w:val="left" w:pos="709"/>
              </w:tabs>
              <w:rPr>
                <w:rFonts w:ascii="Arial" w:hAnsi="Arial" w:cs="Arial"/>
                <w:sz w:val="18"/>
                <w:szCs w:val="18"/>
              </w:rPr>
            </w:pPr>
            <w:r w:rsidRPr="00E04C25">
              <w:rPr>
                <w:rFonts w:ascii="Arial" w:hAnsi="Arial" w:cs="Arial"/>
                <w:sz w:val="18"/>
                <w:szCs w:val="18"/>
              </w:rPr>
              <w:t>Zlínský kraj</w:t>
            </w:r>
          </w:p>
        </w:tc>
        <w:tc>
          <w:tcPr>
            <w:tcW w:w="1074" w:type="dxa"/>
            <w:tcBorders>
              <w:top w:val="nil"/>
              <w:left w:val="single" w:sz="4" w:space="0" w:color="auto"/>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278,5 </w:t>
            </w:r>
          </w:p>
        </w:tc>
        <w:tc>
          <w:tcPr>
            <w:tcW w:w="1074"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281,7 </w:t>
            </w:r>
          </w:p>
        </w:tc>
        <w:tc>
          <w:tcPr>
            <w:tcW w:w="1316"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3,2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75,4 </w:t>
            </w:r>
          </w:p>
        </w:tc>
        <w:tc>
          <w:tcPr>
            <w:tcW w:w="1018" w:type="dxa"/>
            <w:tcBorders>
              <w:top w:val="nil"/>
              <w:left w:val="nil"/>
              <w:bottom w:val="nil"/>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77,3 </w:t>
            </w:r>
          </w:p>
        </w:tc>
        <w:tc>
          <w:tcPr>
            <w:tcW w:w="1270" w:type="dxa"/>
            <w:tcBorders>
              <w:top w:val="nil"/>
              <w:left w:val="nil"/>
              <w:bottom w:val="nil"/>
              <w:right w:val="double" w:sz="6"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1,9 </w:t>
            </w:r>
          </w:p>
        </w:tc>
      </w:tr>
      <w:tr w:rsidR="00733E45" w:rsidRPr="00E04C25" w:rsidTr="00733E45">
        <w:trPr>
          <w:trHeight w:val="300"/>
          <w:jc w:val="center"/>
        </w:trPr>
        <w:tc>
          <w:tcPr>
            <w:tcW w:w="2088" w:type="dxa"/>
            <w:tcBorders>
              <w:top w:val="nil"/>
              <w:left w:val="double" w:sz="6" w:space="0" w:color="auto"/>
              <w:bottom w:val="double" w:sz="6" w:space="0" w:color="auto"/>
              <w:right w:val="nil"/>
            </w:tcBorders>
            <w:shd w:val="clear" w:color="auto" w:fill="auto"/>
            <w:noWrap/>
            <w:vAlign w:val="center"/>
          </w:tcPr>
          <w:p w:rsidR="00733E45" w:rsidRPr="00E04C25" w:rsidRDefault="00733E45" w:rsidP="00AE65A5">
            <w:pPr>
              <w:tabs>
                <w:tab w:val="left" w:pos="709"/>
              </w:tabs>
              <w:rPr>
                <w:rFonts w:ascii="Arial" w:hAnsi="Arial" w:cs="Arial"/>
                <w:sz w:val="18"/>
                <w:szCs w:val="18"/>
              </w:rPr>
            </w:pPr>
            <w:r w:rsidRPr="00E04C25">
              <w:rPr>
                <w:rFonts w:ascii="Arial" w:hAnsi="Arial" w:cs="Arial"/>
                <w:sz w:val="18"/>
                <w:szCs w:val="18"/>
              </w:rPr>
              <w:t>Moravskoslezský kraj</w:t>
            </w:r>
          </w:p>
        </w:tc>
        <w:tc>
          <w:tcPr>
            <w:tcW w:w="1074" w:type="dxa"/>
            <w:tcBorders>
              <w:top w:val="nil"/>
              <w:left w:val="single" w:sz="4" w:space="0" w:color="auto"/>
              <w:bottom w:val="double" w:sz="6" w:space="0" w:color="auto"/>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569,4 </w:t>
            </w:r>
          </w:p>
        </w:tc>
        <w:tc>
          <w:tcPr>
            <w:tcW w:w="1074" w:type="dxa"/>
            <w:tcBorders>
              <w:top w:val="nil"/>
              <w:left w:val="nil"/>
              <w:bottom w:val="double" w:sz="6" w:space="0" w:color="auto"/>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581,4 </w:t>
            </w:r>
          </w:p>
        </w:tc>
        <w:tc>
          <w:tcPr>
            <w:tcW w:w="1316" w:type="dxa"/>
            <w:tcBorders>
              <w:top w:val="nil"/>
              <w:left w:val="nil"/>
              <w:bottom w:val="double" w:sz="6" w:space="0" w:color="auto"/>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12,0 </w:t>
            </w:r>
          </w:p>
        </w:tc>
        <w:tc>
          <w:tcPr>
            <w:tcW w:w="1018" w:type="dxa"/>
            <w:tcBorders>
              <w:top w:val="nil"/>
              <w:left w:val="nil"/>
              <w:bottom w:val="double" w:sz="6" w:space="0" w:color="auto"/>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73,8 </w:t>
            </w:r>
          </w:p>
        </w:tc>
        <w:tc>
          <w:tcPr>
            <w:tcW w:w="1018" w:type="dxa"/>
            <w:tcBorders>
              <w:top w:val="nil"/>
              <w:left w:val="nil"/>
              <w:bottom w:val="double" w:sz="6" w:space="0" w:color="auto"/>
              <w:right w:val="single" w:sz="4"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76,2 </w:t>
            </w:r>
          </w:p>
        </w:tc>
        <w:tc>
          <w:tcPr>
            <w:tcW w:w="1270" w:type="dxa"/>
            <w:tcBorders>
              <w:top w:val="nil"/>
              <w:left w:val="nil"/>
              <w:bottom w:val="double" w:sz="6" w:space="0" w:color="auto"/>
              <w:right w:val="double" w:sz="6" w:space="0" w:color="auto"/>
            </w:tcBorders>
            <w:shd w:val="clear" w:color="auto" w:fill="auto"/>
            <w:noWrap/>
            <w:vAlign w:val="center"/>
          </w:tcPr>
          <w:p w:rsidR="00733E45" w:rsidRPr="00E04C25" w:rsidRDefault="00733E45">
            <w:pPr>
              <w:jc w:val="right"/>
              <w:rPr>
                <w:rFonts w:ascii="Arial" w:hAnsi="Arial" w:cs="Arial"/>
                <w:sz w:val="18"/>
                <w:szCs w:val="18"/>
              </w:rPr>
            </w:pPr>
            <w:r w:rsidRPr="00E04C25">
              <w:rPr>
                <w:rFonts w:ascii="Arial" w:hAnsi="Arial" w:cs="Arial"/>
                <w:sz w:val="18"/>
                <w:szCs w:val="18"/>
              </w:rPr>
              <w:t xml:space="preserve">2,3 </w:t>
            </w:r>
          </w:p>
        </w:tc>
      </w:tr>
    </w:tbl>
    <w:p w:rsidR="00762875" w:rsidRPr="00E04C25" w:rsidRDefault="00762875" w:rsidP="00AE65A5">
      <w:pPr>
        <w:tabs>
          <w:tab w:val="left" w:pos="709"/>
        </w:tabs>
        <w:spacing w:line="360" w:lineRule="auto"/>
        <w:jc w:val="both"/>
        <w:rPr>
          <w:rFonts w:ascii="Arial" w:hAnsi="Arial" w:cs="Arial"/>
          <w:b/>
        </w:rPr>
      </w:pPr>
      <w:r w:rsidRPr="00E04C25">
        <w:rPr>
          <w:rFonts w:ascii="Arial" w:hAnsi="Arial" w:cs="Arial"/>
          <w:i/>
          <w:iCs/>
          <w:sz w:val="20"/>
          <w:szCs w:val="20"/>
        </w:rPr>
        <w:t xml:space="preserve">  Zdroj: ČSÚ – VŠPS</w:t>
      </w:r>
    </w:p>
    <w:p w:rsidR="00762875" w:rsidRPr="00E04C25" w:rsidRDefault="00762875" w:rsidP="00AE65A5">
      <w:pPr>
        <w:tabs>
          <w:tab w:val="left" w:pos="709"/>
        </w:tabs>
        <w:ind w:firstLine="708"/>
        <w:jc w:val="both"/>
        <w:rPr>
          <w:rFonts w:ascii="Arial" w:hAnsi="Arial" w:cs="Arial"/>
          <w:b/>
          <w:sz w:val="16"/>
          <w:szCs w:val="16"/>
        </w:rPr>
      </w:pPr>
    </w:p>
    <w:p w:rsidR="00372E07" w:rsidRPr="00E04C25" w:rsidRDefault="003A2D77" w:rsidP="00372E07">
      <w:pPr>
        <w:tabs>
          <w:tab w:val="left" w:pos="709"/>
        </w:tabs>
        <w:spacing w:line="360" w:lineRule="auto"/>
        <w:jc w:val="both"/>
        <w:rPr>
          <w:rFonts w:ascii="Arial" w:hAnsi="Arial" w:cs="Arial"/>
        </w:rPr>
      </w:pPr>
      <w:r w:rsidRPr="00E04C25">
        <w:rPr>
          <w:rFonts w:ascii="Arial" w:hAnsi="Arial" w:cs="Arial"/>
        </w:rPr>
        <w:tab/>
      </w:r>
      <w:r w:rsidR="00372E07" w:rsidRPr="00E04C25">
        <w:rPr>
          <w:rFonts w:ascii="Arial" w:hAnsi="Arial" w:cs="Arial"/>
          <w:b/>
        </w:rPr>
        <w:t xml:space="preserve">Nejnižší MZ </w:t>
      </w:r>
      <w:r w:rsidR="00372E07" w:rsidRPr="00E04C25">
        <w:rPr>
          <w:rFonts w:ascii="Arial" w:hAnsi="Arial" w:cs="Arial"/>
        </w:rPr>
        <w:t xml:space="preserve">zůstala </w:t>
      </w:r>
      <w:r w:rsidR="00372E07" w:rsidRPr="00E04C25">
        <w:rPr>
          <w:rFonts w:ascii="Arial" w:hAnsi="Arial" w:cs="Arial"/>
          <w:b/>
        </w:rPr>
        <w:t xml:space="preserve">v Ústeckém </w:t>
      </w:r>
      <w:r w:rsidR="00372E07" w:rsidRPr="00E04C25">
        <w:rPr>
          <w:rFonts w:ascii="Arial" w:hAnsi="Arial" w:cs="Arial"/>
        </w:rPr>
        <w:t>(7</w:t>
      </w:r>
      <w:r w:rsidR="00A83A48" w:rsidRPr="00E04C25">
        <w:rPr>
          <w:rFonts w:ascii="Arial" w:hAnsi="Arial" w:cs="Arial"/>
        </w:rPr>
        <w:t>5</w:t>
      </w:r>
      <w:r w:rsidR="00372E07" w:rsidRPr="00E04C25">
        <w:rPr>
          <w:rFonts w:ascii="Arial" w:hAnsi="Arial" w:cs="Arial"/>
        </w:rPr>
        <w:t>,</w:t>
      </w:r>
      <w:r w:rsidR="00A83A48" w:rsidRPr="00E04C25">
        <w:rPr>
          <w:rFonts w:ascii="Arial" w:hAnsi="Arial" w:cs="Arial"/>
        </w:rPr>
        <w:t>0</w:t>
      </w:r>
      <w:r w:rsidR="00372E07" w:rsidRPr="00E04C25">
        <w:rPr>
          <w:rFonts w:ascii="Arial" w:hAnsi="Arial" w:cs="Arial"/>
        </w:rPr>
        <w:t> %)</w:t>
      </w:r>
      <w:r w:rsidR="00A83A48" w:rsidRPr="00E04C25">
        <w:rPr>
          <w:rFonts w:ascii="Arial" w:hAnsi="Arial" w:cs="Arial"/>
        </w:rPr>
        <w:t xml:space="preserve">, </w:t>
      </w:r>
      <w:r w:rsidR="00A83A48" w:rsidRPr="00E04C25">
        <w:rPr>
          <w:rFonts w:ascii="Arial" w:hAnsi="Arial" w:cs="Arial"/>
          <w:b/>
        </w:rPr>
        <w:t>Libereckém</w:t>
      </w:r>
      <w:r w:rsidR="00A83A48" w:rsidRPr="00E04C25">
        <w:rPr>
          <w:rFonts w:ascii="Arial" w:hAnsi="Arial" w:cs="Arial"/>
        </w:rPr>
        <w:t xml:space="preserve"> (76,0 %)</w:t>
      </w:r>
      <w:r w:rsidR="00372E07" w:rsidRPr="00E04C25">
        <w:rPr>
          <w:rFonts w:ascii="Arial" w:hAnsi="Arial" w:cs="Arial"/>
        </w:rPr>
        <w:t xml:space="preserve"> </w:t>
      </w:r>
      <w:r w:rsidR="00372E07" w:rsidRPr="00F05BC4">
        <w:rPr>
          <w:rFonts w:ascii="Arial" w:hAnsi="Arial" w:cs="Arial"/>
        </w:rPr>
        <w:t>a</w:t>
      </w:r>
      <w:r w:rsidR="00372E07" w:rsidRPr="00E04C25">
        <w:rPr>
          <w:rFonts w:ascii="Arial" w:hAnsi="Arial" w:cs="Arial"/>
        </w:rPr>
        <w:t xml:space="preserve">  </w:t>
      </w:r>
      <w:r w:rsidR="00A83A48" w:rsidRPr="00E04C25">
        <w:rPr>
          <w:rFonts w:ascii="Arial" w:hAnsi="Arial" w:cs="Arial"/>
        </w:rPr>
        <w:t>(i přes významný nárůst zaměstnanosti</w:t>
      </w:r>
      <w:r w:rsidR="002D650E" w:rsidRPr="00E04C25">
        <w:rPr>
          <w:rFonts w:ascii="Arial" w:hAnsi="Arial" w:cs="Arial"/>
        </w:rPr>
        <w:t xml:space="preserve"> i míry zaměstnanosti</w:t>
      </w:r>
      <w:r w:rsidR="00A83A48" w:rsidRPr="00E04C25">
        <w:rPr>
          <w:rFonts w:ascii="Arial" w:hAnsi="Arial" w:cs="Arial"/>
        </w:rPr>
        <w:t xml:space="preserve">) </w:t>
      </w:r>
      <w:r w:rsidR="00960444" w:rsidRPr="00E04C25">
        <w:rPr>
          <w:rFonts w:ascii="Arial" w:hAnsi="Arial" w:cs="Arial"/>
        </w:rPr>
        <w:t>v </w:t>
      </w:r>
      <w:r w:rsidR="00372E07" w:rsidRPr="00E04C25">
        <w:rPr>
          <w:rFonts w:ascii="Arial" w:hAnsi="Arial" w:cs="Arial"/>
          <w:b/>
        </w:rPr>
        <w:t>Moravskoslezském kraji</w:t>
      </w:r>
      <w:r w:rsidR="00372E07" w:rsidRPr="00E04C25">
        <w:rPr>
          <w:rFonts w:ascii="Arial" w:hAnsi="Arial" w:cs="Arial"/>
        </w:rPr>
        <w:t xml:space="preserve"> (7</w:t>
      </w:r>
      <w:r w:rsidR="00A83A48" w:rsidRPr="00E04C25">
        <w:rPr>
          <w:rFonts w:ascii="Arial" w:hAnsi="Arial" w:cs="Arial"/>
        </w:rPr>
        <w:t>6</w:t>
      </w:r>
      <w:r w:rsidR="00372E07" w:rsidRPr="00E04C25">
        <w:rPr>
          <w:rFonts w:ascii="Arial" w:hAnsi="Arial" w:cs="Arial"/>
        </w:rPr>
        <w:t>,</w:t>
      </w:r>
      <w:r w:rsidR="00A83A48" w:rsidRPr="00E04C25">
        <w:rPr>
          <w:rFonts w:ascii="Arial" w:hAnsi="Arial" w:cs="Arial"/>
        </w:rPr>
        <w:t>2</w:t>
      </w:r>
      <w:r w:rsidR="00372E07" w:rsidRPr="00E04C25">
        <w:rPr>
          <w:rFonts w:ascii="Arial" w:hAnsi="Arial" w:cs="Arial"/>
        </w:rPr>
        <w:t xml:space="preserve"> %). Meziročně </w:t>
      </w:r>
      <w:r w:rsidR="00F05BC4">
        <w:rPr>
          <w:rFonts w:ascii="Arial" w:hAnsi="Arial" w:cs="Arial"/>
        </w:rPr>
        <w:t xml:space="preserve">MZ </w:t>
      </w:r>
      <w:r w:rsidR="00372E07" w:rsidRPr="00E04C25">
        <w:rPr>
          <w:rFonts w:ascii="Arial" w:hAnsi="Arial" w:cs="Arial"/>
          <w:b/>
        </w:rPr>
        <w:t>vzrostla ve všech krajích</w:t>
      </w:r>
      <w:r w:rsidR="00A83A48" w:rsidRPr="00E04C25">
        <w:rPr>
          <w:rFonts w:ascii="Arial" w:hAnsi="Arial" w:cs="Arial"/>
          <w:b/>
        </w:rPr>
        <w:t xml:space="preserve">, nejvíce v Královéhradeckém </w:t>
      </w:r>
      <w:r w:rsidR="00A83A48" w:rsidRPr="00E04C25">
        <w:rPr>
          <w:rFonts w:ascii="Arial" w:hAnsi="Arial" w:cs="Arial"/>
        </w:rPr>
        <w:t xml:space="preserve">(o 2,7 p. b.) </w:t>
      </w:r>
      <w:r w:rsidR="00A83A48" w:rsidRPr="00F05BC4">
        <w:rPr>
          <w:rFonts w:ascii="Arial" w:hAnsi="Arial" w:cs="Arial"/>
        </w:rPr>
        <w:t>a</w:t>
      </w:r>
      <w:r w:rsidR="00A83A48" w:rsidRPr="00E04C25">
        <w:rPr>
          <w:rFonts w:ascii="Arial" w:hAnsi="Arial" w:cs="Arial"/>
          <w:b/>
        </w:rPr>
        <w:t xml:space="preserve"> Karlovarském </w:t>
      </w:r>
      <w:r w:rsidR="00A83A48" w:rsidRPr="00F05BC4">
        <w:rPr>
          <w:rFonts w:ascii="Arial" w:hAnsi="Arial" w:cs="Arial"/>
          <w:b/>
        </w:rPr>
        <w:t>kraji</w:t>
      </w:r>
      <w:r w:rsidR="00A83A48" w:rsidRPr="00E04C25">
        <w:rPr>
          <w:rFonts w:ascii="Arial" w:hAnsi="Arial" w:cs="Arial"/>
        </w:rPr>
        <w:t xml:space="preserve">  (o 2,6 p. b.)</w:t>
      </w:r>
      <w:r w:rsidR="00372E07" w:rsidRPr="00E04C25">
        <w:rPr>
          <w:rFonts w:ascii="Arial" w:hAnsi="Arial" w:cs="Arial"/>
        </w:rPr>
        <w:t>.</w:t>
      </w:r>
      <w:r w:rsidR="00A83A48" w:rsidRPr="00E04C25">
        <w:rPr>
          <w:rFonts w:ascii="Arial" w:hAnsi="Arial" w:cs="Arial"/>
        </w:rPr>
        <w:t xml:space="preserve"> </w:t>
      </w:r>
      <w:r w:rsidR="002D650E" w:rsidRPr="00E04C25">
        <w:rPr>
          <w:rFonts w:ascii="Arial" w:hAnsi="Arial" w:cs="Arial"/>
        </w:rPr>
        <w:t xml:space="preserve">Všechny kraje mají aktuálně MZ stejnou nebo vyšší než národní cíl Strategie Evropa 2020. </w:t>
      </w:r>
      <w:r w:rsidR="00372E07" w:rsidRPr="00E04C25">
        <w:rPr>
          <w:rFonts w:ascii="Arial" w:hAnsi="Arial" w:cs="Arial"/>
          <w:b/>
        </w:rPr>
        <w:t xml:space="preserve">Rozpětí </w:t>
      </w:r>
      <w:r w:rsidR="00372E07" w:rsidRPr="00E04C25">
        <w:rPr>
          <w:rFonts w:ascii="Arial" w:hAnsi="Arial" w:cs="Arial"/>
        </w:rPr>
        <w:t xml:space="preserve">regionální míry zaměstnanosti na úrovni krajů </w:t>
      </w:r>
      <w:r w:rsidR="00372E07" w:rsidRPr="00E04C25">
        <w:rPr>
          <w:rFonts w:ascii="Arial" w:hAnsi="Arial" w:cs="Arial"/>
          <w:b/>
        </w:rPr>
        <w:t>se</w:t>
      </w:r>
      <w:r w:rsidR="00372E07" w:rsidRPr="00E04C25">
        <w:rPr>
          <w:rFonts w:ascii="Arial" w:hAnsi="Arial" w:cs="Arial"/>
        </w:rPr>
        <w:t xml:space="preserve"> meziročně </w:t>
      </w:r>
      <w:r w:rsidR="00960444" w:rsidRPr="00E04C25">
        <w:rPr>
          <w:rFonts w:ascii="Arial" w:hAnsi="Arial" w:cs="Arial"/>
        </w:rPr>
        <w:t xml:space="preserve">opět </w:t>
      </w:r>
      <w:r w:rsidR="00960444" w:rsidRPr="00E04C25">
        <w:rPr>
          <w:rFonts w:ascii="Arial" w:hAnsi="Arial" w:cs="Arial"/>
          <w:b/>
        </w:rPr>
        <w:t xml:space="preserve">zvýšilo </w:t>
      </w:r>
      <w:r w:rsidR="00372E07" w:rsidRPr="00E04C25">
        <w:rPr>
          <w:rFonts w:ascii="Arial" w:hAnsi="Arial" w:cs="Arial"/>
        </w:rPr>
        <w:t>z </w:t>
      </w:r>
      <w:r w:rsidR="00960444" w:rsidRPr="00E04C25">
        <w:rPr>
          <w:rFonts w:ascii="Arial" w:hAnsi="Arial" w:cs="Arial"/>
        </w:rPr>
        <w:t>6</w:t>
      </w:r>
      <w:r w:rsidR="00372E07" w:rsidRPr="00E04C25">
        <w:rPr>
          <w:rFonts w:ascii="Arial" w:hAnsi="Arial" w:cs="Arial"/>
        </w:rPr>
        <w:t>,</w:t>
      </w:r>
      <w:r w:rsidR="00960444" w:rsidRPr="00E04C25">
        <w:rPr>
          <w:rFonts w:ascii="Arial" w:hAnsi="Arial" w:cs="Arial"/>
        </w:rPr>
        <w:t>7</w:t>
      </w:r>
      <w:r w:rsidR="00372E07" w:rsidRPr="00E04C25">
        <w:rPr>
          <w:rFonts w:ascii="Arial" w:hAnsi="Arial" w:cs="Arial"/>
        </w:rPr>
        <w:t xml:space="preserve"> p. b. </w:t>
      </w:r>
      <w:r w:rsidR="00372E07" w:rsidRPr="00E04C25">
        <w:rPr>
          <w:rFonts w:ascii="Arial" w:hAnsi="Arial" w:cs="Arial"/>
          <w:b/>
        </w:rPr>
        <w:t xml:space="preserve">na </w:t>
      </w:r>
      <w:r w:rsidR="00960444" w:rsidRPr="00E04C25">
        <w:rPr>
          <w:rFonts w:ascii="Arial" w:hAnsi="Arial" w:cs="Arial"/>
          <w:b/>
        </w:rPr>
        <w:t>7</w:t>
      </w:r>
      <w:r w:rsidR="00372E07" w:rsidRPr="00E04C25">
        <w:rPr>
          <w:rFonts w:ascii="Arial" w:hAnsi="Arial" w:cs="Arial"/>
          <w:b/>
        </w:rPr>
        <w:t>,</w:t>
      </w:r>
      <w:r w:rsidR="00960444" w:rsidRPr="00E04C25">
        <w:rPr>
          <w:rFonts w:ascii="Arial" w:hAnsi="Arial" w:cs="Arial"/>
          <w:b/>
        </w:rPr>
        <w:t>4</w:t>
      </w:r>
      <w:r w:rsidR="00372E07" w:rsidRPr="00E04C25">
        <w:rPr>
          <w:rFonts w:ascii="Arial" w:hAnsi="Arial" w:cs="Arial"/>
          <w:b/>
        </w:rPr>
        <w:t> p. b</w:t>
      </w:r>
      <w:r w:rsidR="00960444" w:rsidRPr="00E04C25">
        <w:rPr>
          <w:rFonts w:ascii="Arial" w:hAnsi="Arial" w:cs="Arial"/>
          <w:b/>
        </w:rPr>
        <w:t>.</w:t>
      </w:r>
      <w:r w:rsidR="002D650E" w:rsidRPr="00E04C25">
        <w:rPr>
          <w:rFonts w:ascii="Arial" w:hAnsi="Arial" w:cs="Arial"/>
          <w:b/>
        </w:rPr>
        <w:t xml:space="preserve"> </w:t>
      </w:r>
    </w:p>
    <w:p w:rsidR="00276AA4" w:rsidRPr="00E04C25" w:rsidRDefault="00233AD9" w:rsidP="00233AD9">
      <w:pPr>
        <w:tabs>
          <w:tab w:val="center" w:pos="720"/>
        </w:tabs>
        <w:spacing w:line="360" w:lineRule="auto"/>
        <w:ind w:firstLine="720"/>
        <w:jc w:val="both"/>
        <w:rPr>
          <w:rFonts w:ascii="Arial" w:hAnsi="Arial" w:cs="Arial"/>
        </w:rPr>
      </w:pPr>
      <w:r w:rsidRPr="00E04C25">
        <w:rPr>
          <w:rFonts w:ascii="Arial" w:hAnsi="Arial" w:cs="Arial"/>
          <w:b/>
        </w:rPr>
        <w:t xml:space="preserve">V Libereckém kraji </w:t>
      </w:r>
      <w:r w:rsidRPr="00E04C25">
        <w:rPr>
          <w:rFonts w:ascii="Arial" w:hAnsi="Arial" w:cs="Arial"/>
        </w:rPr>
        <w:t>se počet pracujících snížil jak v důsledku</w:t>
      </w:r>
      <w:r w:rsidRPr="00E04C25">
        <w:rPr>
          <w:rFonts w:ascii="Arial" w:hAnsi="Arial" w:cs="Arial"/>
          <w:b/>
        </w:rPr>
        <w:t xml:space="preserve"> poklesu </w:t>
      </w:r>
      <w:r w:rsidRPr="00E04C25">
        <w:rPr>
          <w:rFonts w:ascii="Arial" w:hAnsi="Arial" w:cs="Arial"/>
        </w:rPr>
        <w:t xml:space="preserve">počtu </w:t>
      </w:r>
      <w:r w:rsidRPr="00E04C25">
        <w:rPr>
          <w:rFonts w:ascii="Arial" w:hAnsi="Arial" w:cs="Arial"/>
          <w:b/>
        </w:rPr>
        <w:t>zaměstnanců</w:t>
      </w:r>
      <w:r w:rsidRPr="00E04C25">
        <w:rPr>
          <w:rFonts w:ascii="Arial" w:hAnsi="Arial" w:cs="Arial"/>
        </w:rPr>
        <w:t xml:space="preserve">, tak </w:t>
      </w:r>
      <w:r w:rsidRPr="00E04C25">
        <w:rPr>
          <w:rFonts w:ascii="Arial" w:hAnsi="Arial" w:cs="Arial"/>
          <w:b/>
        </w:rPr>
        <w:t>i poklesu</w:t>
      </w:r>
      <w:r w:rsidRPr="00E04C25">
        <w:rPr>
          <w:rFonts w:ascii="Arial" w:hAnsi="Arial" w:cs="Arial"/>
        </w:rPr>
        <w:t xml:space="preserve"> celkového počtu </w:t>
      </w:r>
      <w:r w:rsidRPr="00E04C25">
        <w:rPr>
          <w:rFonts w:ascii="Arial" w:hAnsi="Arial" w:cs="Arial"/>
          <w:b/>
        </w:rPr>
        <w:t>podnikatelů</w:t>
      </w:r>
      <w:r w:rsidRPr="00E04C25">
        <w:rPr>
          <w:rFonts w:ascii="Arial" w:hAnsi="Arial" w:cs="Arial"/>
        </w:rPr>
        <w:t xml:space="preserve"> (vč. pomáhajících rodinných příslušníků).</w:t>
      </w:r>
      <w:r w:rsidRPr="00E04C25">
        <w:rPr>
          <w:rFonts w:ascii="Arial" w:hAnsi="Arial" w:cs="Arial"/>
          <w:b/>
        </w:rPr>
        <w:t xml:space="preserve"> </w:t>
      </w:r>
      <w:r w:rsidR="00276AA4" w:rsidRPr="00E04C25">
        <w:rPr>
          <w:rFonts w:ascii="Arial" w:hAnsi="Arial" w:cs="Arial"/>
        </w:rPr>
        <w:t xml:space="preserve">Počet </w:t>
      </w:r>
      <w:r w:rsidR="00276AA4" w:rsidRPr="00E04C25">
        <w:rPr>
          <w:rFonts w:ascii="Arial" w:hAnsi="Arial" w:cs="Arial"/>
          <w:b/>
        </w:rPr>
        <w:t xml:space="preserve">zaměstnanců </w:t>
      </w:r>
      <w:r w:rsidR="00276AA4" w:rsidRPr="00E04C25">
        <w:rPr>
          <w:rFonts w:ascii="Arial" w:hAnsi="Arial" w:cs="Arial"/>
        </w:rPr>
        <w:t xml:space="preserve">se nepatrně </w:t>
      </w:r>
      <w:r w:rsidR="00276AA4" w:rsidRPr="00E04C25">
        <w:rPr>
          <w:rFonts w:ascii="Arial" w:hAnsi="Arial" w:cs="Arial"/>
          <w:b/>
        </w:rPr>
        <w:t>snížil</w:t>
      </w:r>
      <w:r w:rsidR="00276AA4" w:rsidRPr="00E04C25">
        <w:rPr>
          <w:rFonts w:ascii="Arial" w:hAnsi="Arial" w:cs="Arial"/>
        </w:rPr>
        <w:t xml:space="preserve"> také </w:t>
      </w:r>
      <w:r w:rsidR="00276AA4" w:rsidRPr="00E04C25">
        <w:rPr>
          <w:rFonts w:ascii="Arial" w:hAnsi="Arial" w:cs="Arial"/>
          <w:b/>
        </w:rPr>
        <w:t>v Ústeckém a Olomouckém kraji</w:t>
      </w:r>
      <w:r w:rsidR="00276AA4" w:rsidRPr="00E04C25">
        <w:rPr>
          <w:rFonts w:ascii="Arial" w:hAnsi="Arial" w:cs="Arial"/>
        </w:rPr>
        <w:t>, byl však kompenzován nárůstem celkového počtu podnikatelů.</w:t>
      </w:r>
      <w:r w:rsidR="00276AA4" w:rsidRPr="00E04C25">
        <w:rPr>
          <w:rFonts w:ascii="Arial" w:hAnsi="Arial" w:cs="Arial"/>
          <w:b/>
        </w:rPr>
        <w:t xml:space="preserve"> Nejvíce podnikatelů ubylo v Jihomoravském </w:t>
      </w:r>
      <w:r w:rsidR="00276AA4" w:rsidRPr="00E04C25">
        <w:rPr>
          <w:rFonts w:ascii="Arial" w:hAnsi="Arial" w:cs="Arial"/>
        </w:rPr>
        <w:t>(o 11,</w:t>
      </w:r>
      <w:r w:rsidR="006B2A4F">
        <w:rPr>
          <w:rFonts w:ascii="Arial" w:hAnsi="Arial" w:cs="Arial"/>
        </w:rPr>
        <w:t>5</w:t>
      </w:r>
      <w:r w:rsidR="00276AA4" w:rsidRPr="00E04C25">
        <w:rPr>
          <w:rFonts w:ascii="Arial" w:hAnsi="Arial" w:cs="Arial"/>
        </w:rPr>
        <w:t xml:space="preserve"> tis.)</w:t>
      </w:r>
      <w:r w:rsidR="00276AA4" w:rsidRPr="00E04C25">
        <w:rPr>
          <w:rFonts w:ascii="Arial" w:hAnsi="Arial" w:cs="Arial"/>
          <w:b/>
        </w:rPr>
        <w:t xml:space="preserve"> a ve Středočeském kraji </w:t>
      </w:r>
      <w:r w:rsidR="00276AA4" w:rsidRPr="00E04C25">
        <w:rPr>
          <w:rFonts w:ascii="Arial" w:hAnsi="Arial" w:cs="Arial"/>
        </w:rPr>
        <w:t>(5,4 tis.)</w:t>
      </w:r>
      <w:r w:rsidR="00276AA4" w:rsidRPr="00E04C25">
        <w:rPr>
          <w:rFonts w:ascii="Arial" w:hAnsi="Arial" w:cs="Arial"/>
          <w:b/>
        </w:rPr>
        <w:t xml:space="preserve">, </w:t>
      </w:r>
      <w:r w:rsidR="002D650E" w:rsidRPr="00E04C25">
        <w:rPr>
          <w:rFonts w:ascii="Arial" w:hAnsi="Arial" w:cs="Arial"/>
        </w:rPr>
        <w:t>t</w:t>
      </w:r>
      <w:r w:rsidR="00276AA4" w:rsidRPr="00E04C25">
        <w:rPr>
          <w:rFonts w:ascii="Arial" w:hAnsi="Arial" w:cs="Arial"/>
        </w:rPr>
        <w:t>yto kraje ovšem patří ke krajů</w:t>
      </w:r>
      <w:r w:rsidR="009B255D">
        <w:rPr>
          <w:rFonts w:ascii="Arial" w:hAnsi="Arial" w:cs="Arial"/>
        </w:rPr>
        <w:t>m</w:t>
      </w:r>
      <w:r w:rsidR="00276AA4" w:rsidRPr="00E04C25">
        <w:rPr>
          <w:rFonts w:ascii="Arial" w:hAnsi="Arial" w:cs="Arial"/>
        </w:rPr>
        <w:t xml:space="preserve"> s největším nárůstem </w:t>
      </w:r>
      <w:r w:rsidR="00171F54" w:rsidRPr="00E04C25">
        <w:rPr>
          <w:rFonts w:ascii="Arial" w:hAnsi="Arial" w:cs="Arial"/>
        </w:rPr>
        <w:t>počtu pracujících v postavení zaměstnanců (o 11,7 tis</w:t>
      </w:r>
      <w:r w:rsidR="009B255D">
        <w:rPr>
          <w:rFonts w:ascii="Arial" w:hAnsi="Arial" w:cs="Arial"/>
        </w:rPr>
        <w:t>. a</w:t>
      </w:r>
      <w:r w:rsidR="00171F54" w:rsidRPr="00E04C25">
        <w:rPr>
          <w:rFonts w:ascii="Arial" w:hAnsi="Arial" w:cs="Arial"/>
        </w:rPr>
        <w:t xml:space="preserve"> 20,0 tis.). Na výrazném </w:t>
      </w:r>
      <w:r w:rsidR="008D6DAA" w:rsidRPr="00E04C25">
        <w:rPr>
          <w:rFonts w:ascii="Arial" w:hAnsi="Arial" w:cs="Arial"/>
          <w:b/>
        </w:rPr>
        <w:t>nárůstu zaměstnanosti v h</w:t>
      </w:r>
      <w:r w:rsidR="00171F54" w:rsidRPr="00E04C25">
        <w:rPr>
          <w:rFonts w:ascii="Arial" w:hAnsi="Arial" w:cs="Arial"/>
          <w:b/>
        </w:rPr>
        <w:t>l. m. Praze</w:t>
      </w:r>
      <w:r w:rsidR="00171F54" w:rsidRPr="00E04C25">
        <w:rPr>
          <w:rFonts w:ascii="Arial" w:hAnsi="Arial" w:cs="Arial"/>
        </w:rPr>
        <w:t xml:space="preserve"> se (o 22,5 tis.) se podíleli jak </w:t>
      </w:r>
      <w:r w:rsidR="00171F54" w:rsidRPr="00E04C25">
        <w:rPr>
          <w:rFonts w:ascii="Arial" w:hAnsi="Arial" w:cs="Arial"/>
          <w:b/>
        </w:rPr>
        <w:t>zaměstnanci</w:t>
      </w:r>
      <w:r w:rsidR="00171F54" w:rsidRPr="00E04C25">
        <w:rPr>
          <w:rFonts w:ascii="Arial" w:hAnsi="Arial" w:cs="Arial"/>
        </w:rPr>
        <w:t xml:space="preserve"> (nárůst o 12,4 tis.), </w:t>
      </w:r>
      <w:r w:rsidR="00171F54" w:rsidRPr="00E04C25">
        <w:rPr>
          <w:rFonts w:ascii="Arial" w:hAnsi="Arial" w:cs="Arial"/>
          <w:b/>
        </w:rPr>
        <w:t>tak podnikatelé</w:t>
      </w:r>
      <w:r w:rsidR="00171F54" w:rsidRPr="00E04C25">
        <w:rPr>
          <w:rFonts w:ascii="Arial" w:hAnsi="Arial" w:cs="Arial"/>
        </w:rPr>
        <w:t xml:space="preserve"> (o 10,1 tis.). </w:t>
      </w:r>
    </w:p>
    <w:p w:rsidR="00233AD9" w:rsidRPr="00E04C25" w:rsidRDefault="00233AD9" w:rsidP="00233AD9">
      <w:pPr>
        <w:tabs>
          <w:tab w:val="center" w:pos="720"/>
        </w:tabs>
        <w:spacing w:line="360" w:lineRule="auto"/>
        <w:ind w:firstLine="720"/>
        <w:jc w:val="both"/>
        <w:rPr>
          <w:rFonts w:ascii="Arial" w:hAnsi="Arial" w:cs="Arial"/>
          <w:b/>
          <w:bCs/>
        </w:rPr>
      </w:pPr>
      <w:r w:rsidRPr="00E04C25">
        <w:rPr>
          <w:rFonts w:ascii="Arial" w:hAnsi="Arial" w:cs="Arial"/>
          <w:bCs/>
        </w:rPr>
        <w:t xml:space="preserve">Krajem </w:t>
      </w:r>
      <w:r w:rsidRPr="00E04C25">
        <w:rPr>
          <w:rFonts w:ascii="Arial" w:hAnsi="Arial" w:cs="Arial"/>
          <w:b/>
          <w:bCs/>
        </w:rPr>
        <w:t xml:space="preserve">s nejvyšším podílem podnikatelů </w:t>
      </w:r>
      <w:r w:rsidRPr="00E04C25">
        <w:rPr>
          <w:rFonts w:ascii="Arial" w:hAnsi="Arial" w:cs="Arial"/>
          <w:bCs/>
        </w:rPr>
        <w:t>zůstává</w:t>
      </w:r>
      <w:r w:rsidRPr="00E04C25">
        <w:rPr>
          <w:rFonts w:ascii="Arial" w:hAnsi="Arial" w:cs="Arial"/>
          <w:b/>
          <w:bCs/>
        </w:rPr>
        <w:t xml:space="preserve"> Středočeský kraj </w:t>
      </w:r>
      <w:r w:rsidRPr="00E04C25">
        <w:rPr>
          <w:rFonts w:ascii="Arial" w:hAnsi="Arial" w:cs="Arial"/>
          <w:bCs/>
        </w:rPr>
        <w:t>(2</w:t>
      </w:r>
      <w:r w:rsidR="00171F54" w:rsidRPr="00E04C25">
        <w:rPr>
          <w:rFonts w:ascii="Arial" w:hAnsi="Arial" w:cs="Arial"/>
          <w:bCs/>
        </w:rPr>
        <w:t>1</w:t>
      </w:r>
      <w:r w:rsidRPr="00E04C25">
        <w:rPr>
          <w:rFonts w:ascii="Arial" w:hAnsi="Arial" w:cs="Arial"/>
          <w:bCs/>
        </w:rPr>
        <w:t>,</w:t>
      </w:r>
      <w:r w:rsidR="00171F54" w:rsidRPr="00E04C25">
        <w:rPr>
          <w:rFonts w:ascii="Arial" w:hAnsi="Arial" w:cs="Arial"/>
          <w:bCs/>
        </w:rPr>
        <w:t>0</w:t>
      </w:r>
      <w:r w:rsidRPr="00E04C25">
        <w:rPr>
          <w:rFonts w:ascii="Arial" w:hAnsi="Arial" w:cs="Arial"/>
          <w:bCs/>
        </w:rPr>
        <w:t xml:space="preserve"> % z celkové zaměstnanosti) před </w:t>
      </w:r>
      <w:r w:rsidR="008D6DAA" w:rsidRPr="00E04C25">
        <w:rPr>
          <w:rFonts w:ascii="Arial" w:hAnsi="Arial" w:cs="Arial"/>
          <w:b/>
          <w:bCs/>
        </w:rPr>
        <w:t>h</w:t>
      </w:r>
      <w:r w:rsidRPr="00E04C25">
        <w:rPr>
          <w:rFonts w:ascii="Arial" w:hAnsi="Arial" w:cs="Arial"/>
          <w:b/>
          <w:bCs/>
        </w:rPr>
        <w:t>l. m. Prahou</w:t>
      </w:r>
      <w:r w:rsidRPr="00E04C25">
        <w:rPr>
          <w:rFonts w:ascii="Arial" w:hAnsi="Arial" w:cs="Arial"/>
          <w:bCs/>
        </w:rPr>
        <w:t xml:space="preserve"> (20,</w:t>
      </w:r>
      <w:r w:rsidR="00171F54" w:rsidRPr="00E04C25">
        <w:rPr>
          <w:rFonts w:ascii="Arial" w:hAnsi="Arial" w:cs="Arial"/>
          <w:bCs/>
        </w:rPr>
        <w:t>9</w:t>
      </w:r>
      <w:r w:rsidRPr="00E04C25">
        <w:rPr>
          <w:rFonts w:ascii="Arial" w:hAnsi="Arial" w:cs="Arial"/>
          <w:bCs/>
        </w:rPr>
        <w:t xml:space="preserve"> %) </w:t>
      </w:r>
      <w:r w:rsidRPr="00E04C25">
        <w:rPr>
          <w:rFonts w:ascii="Arial" w:hAnsi="Arial" w:cs="Arial"/>
          <w:b/>
          <w:bCs/>
        </w:rPr>
        <w:t>a Ústeckým krajem</w:t>
      </w:r>
      <w:r w:rsidRPr="00E04C25">
        <w:rPr>
          <w:rFonts w:ascii="Arial" w:hAnsi="Arial" w:cs="Arial"/>
          <w:bCs/>
        </w:rPr>
        <w:t xml:space="preserve"> (1</w:t>
      </w:r>
      <w:r w:rsidR="00171F54" w:rsidRPr="00E04C25">
        <w:rPr>
          <w:rFonts w:ascii="Arial" w:hAnsi="Arial" w:cs="Arial"/>
          <w:bCs/>
        </w:rPr>
        <w:t>8</w:t>
      </w:r>
      <w:r w:rsidRPr="00E04C25">
        <w:rPr>
          <w:rFonts w:ascii="Arial" w:hAnsi="Arial" w:cs="Arial"/>
          <w:bCs/>
        </w:rPr>
        <w:t>,</w:t>
      </w:r>
      <w:r w:rsidR="00171F54" w:rsidRPr="00E04C25">
        <w:rPr>
          <w:rFonts w:ascii="Arial" w:hAnsi="Arial" w:cs="Arial"/>
          <w:bCs/>
        </w:rPr>
        <w:t>9</w:t>
      </w:r>
      <w:r w:rsidRPr="00E04C25">
        <w:rPr>
          <w:rFonts w:ascii="Arial" w:hAnsi="Arial" w:cs="Arial"/>
          <w:bCs/>
        </w:rPr>
        <w:t> %).</w:t>
      </w:r>
      <w:r w:rsidRPr="00E04C25">
        <w:rPr>
          <w:rFonts w:ascii="Arial" w:hAnsi="Arial" w:cs="Arial"/>
          <w:b/>
          <w:bCs/>
        </w:rPr>
        <w:t xml:space="preserve"> </w:t>
      </w:r>
    </w:p>
    <w:p w:rsidR="00233AD9" w:rsidRPr="00E04C25" w:rsidRDefault="00233AD9" w:rsidP="00233AD9">
      <w:pPr>
        <w:tabs>
          <w:tab w:val="center" w:pos="720"/>
        </w:tabs>
        <w:spacing w:line="360" w:lineRule="auto"/>
        <w:ind w:firstLine="720"/>
        <w:jc w:val="both"/>
        <w:rPr>
          <w:rFonts w:ascii="Arial" w:hAnsi="Arial" w:cs="Arial"/>
          <w:b/>
          <w:bCs/>
        </w:rPr>
      </w:pPr>
      <w:r w:rsidRPr="00E04C25">
        <w:rPr>
          <w:rFonts w:ascii="Arial" w:hAnsi="Arial" w:cs="Arial"/>
          <w:b/>
          <w:bCs/>
        </w:rPr>
        <w:lastRenderedPageBreak/>
        <w:t xml:space="preserve">Nejvyšší podíl zaměstnaných v postavení zaměstnanců </w:t>
      </w:r>
      <w:r w:rsidRPr="00E04C25">
        <w:rPr>
          <w:rFonts w:ascii="Arial" w:hAnsi="Arial" w:cs="Arial"/>
          <w:bCs/>
        </w:rPr>
        <w:t>na celkové zaměstnanosti byl zaznamenán v </w:t>
      </w:r>
      <w:r w:rsidRPr="00E04C25">
        <w:rPr>
          <w:rFonts w:ascii="Arial" w:hAnsi="Arial" w:cs="Arial"/>
          <w:b/>
          <w:bCs/>
        </w:rPr>
        <w:t xml:space="preserve">Karlovarském kraji </w:t>
      </w:r>
      <w:r w:rsidRPr="00E04C25">
        <w:rPr>
          <w:rFonts w:ascii="Arial" w:hAnsi="Arial" w:cs="Arial"/>
          <w:bCs/>
        </w:rPr>
        <w:t>(8</w:t>
      </w:r>
      <w:r w:rsidR="00171F54" w:rsidRPr="00E04C25">
        <w:rPr>
          <w:rFonts w:ascii="Arial" w:hAnsi="Arial" w:cs="Arial"/>
          <w:bCs/>
        </w:rPr>
        <w:t>7</w:t>
      </w:r>
      <w:r w:rsidRPr="00E04C25">
        <w:rPr>
          <w:rFonts w:ascii="Arial" w:hAnsi="Arial" w:cs="Arial"/>
          <w:bCs/>
        </w:rPr>
        <w:t>,</w:t>
      </w:r>
      <w:r w:rsidR="006B2A4F">
        <w:rPr>
          <w:rFonts w:ascii="Arial" w:hAnsi="Arial" w:cs="Arial"/>
          <w:bCs/>
        </w:rPr>
        <w:t>1</w:t>
      </w:r>
      <w:r w:rsidRPr="00E04C25">
        <w:rPr>
          <w:rFonts w:ascii="Arial" w:hAnsi="Arial" w:cs="Arial"/>
          <w:bCs/>
        </w:rPr>
        <w:t xml:space="preserve"> %) a dále </w:t>
      </w:r>
      <w:r w:rsidRPr="00E04C25">
        <w:rPr>
          <w:rFonts w:ascii="Arial" w:hAnsi="Arial" w:cs="Arial"/>
          <w:b/>
          <w:bCs/>
        </w:rPr>
        <w:t>v Moravskoslezském</w:t>
      </w:r>
      <w:r w:rsidRPr="00E04C25">
        <w:rPr>
          <w:rFonts w:ascii="Arial" w:hAnsi="Arial" w:cs="Arial"/>
          <w:bCs/>
        </w:rPr>
        <w:t xml:space="preserve"> </w:t>
      </w:r>
      <w:r w:rsidR="00171F54" w:rsidRPr="00E04C25">
        <w:rPr>
          <w:rFonts w:ascii="Arial" w:hAnsi="Arial" w:cs="Arial"/>
          <w:bCs/>
        </w:rPr>
        <w:t xml:space="preserve">(85,5 %) </w:t>
      </w:r>
      <w:r w:rsidRPr="00E04C25">
        <w:rPr>
          <w:rFonts w:ascii="Arial" w:hAnsi="Arial" w:cs="Arial"/>
          <w:b/>
          <w:bCs/>
        </w:rPr>
        <w:t>a P</w:t>
      </w:r>
      <w:r w:rsidR="00171F54" w:rsidRPr="00E04C25">
        <w:rPr>
          <w:rFonts w:ascii="Arial" w:hAnsi="Arial" w:cs="Arial"/>
          <w:b/>
          <w:bCs/>
        </w:rPr>
        <w:t xml:space="preserve">ardubickém </w:t>
      </w:r>
      <w:r w:rsidRPr="00E04C25">
        <w:rPr>
          <w:rFonts w:ascii="Arial" w:hAnsi="Arial" w:cs="Arial"/>
          <w:b/>
          <w:bCs/>
        </w:rPr>
        <w:t>kraji</w:t>
      </w:r>
      <w:r w:rsidRPr="00E04C25">
        <w:rPr>
          <w:rFonts w:ascii="Arial" w:hAnsi="Arial" w:cs="Arial"/>
          <w:bCs/>
        </w:rPr>
        <w:t xml:space="preserve"> (85,4 %)</w:t>
      </w:r>
      <w:r w:rsidRPr="00E04C25">
        <w:rPr>
          <w:rFonts w:ascii="Arial" w:hAnsi="Arial" w:cs="Arial"/>
          <w:b/>
          <w:bCs/>
        </w:rPr>
        <w:t xml:space="preserve">. </w:t>
      </w:r>
    </w:p>
    <w:p w:rsidR="002D650E" w:rsidRPr="00E04C25" w:rsidRDefault="002D650E" w:rsidP="002D650E">
      <w:pPr>
        <w:tabs>
          <w:tab w:val="center" w:pos="720"/>
        </w:tabs>
        <w:ind w:firstLine="720"/>
        <w:jc w:val="both"/>
        <w:rPr>
          <w:rFonts w:ascii="Arial" w:hAnsi="Arial" w:cs="Arial"/>
          <w:b/>
          <w:iCs/>
          <w:sz w:val="16"/>
          <w:szCs w:val="16"/>
        </w:rPr>
      </w:pPr>
    </w:p>
    <w:p w:rsidR="00233AD9" w:rsidRPr="00E04C25" w:rsidRDefault="00233AD9" w:rsidP="000622BC">
      <w:pPr>
        <w:tabs>
          <w:tab w:val="center" w:pos="720"/>
        </w:tabs>
        <w:spacing w:line="360" w:lineRule="auto"/>
        <w:ind w:firstLine="720"/>
        <w:jc w:val="both"/>
        <w:rPr>
          <w:rFonts w:ascii="Arial" w:hAnsi="Arial" w:cs="Arial"/>
          <w:b/>
        </w:rPr>
      </w:pPr>
      <w:r w:rsidRPr="00E04C25">
        <w:rPr>
          <w:rFonts w:ascii="Arial" w:hAnsi="Arial" w:cs="Arial"/>
          <w:b/>
          <w:iCs/>
        </w:rPr>
        <w:t>Nejvýznamněj</w:t>
      </w:r>
      <w:r w:rsidR="00566879" w:rsidRPr="00E04C25">
        <w:rPr>
          <w:rFonts w:ascii="Arial" w:hAnsi="Arial" w:cs="Arial"/>
          <w:b/>
          <w:iCs/>
        </w:rPr>
        <w:t xml:space="preserve">ší zvýšení </w:t>
      </w:r>
      <w:r w:rsidRPr="00E04C25">
        <w:rPr>
          <w:rFonts w:ascii="Arial" w:hAnsi="Arial" w:cs="Arial"/>
          <w:iCs/>
        </w:rPr>
        <w:t xml:space="preserve">zaměstnanosti </w:t>
      </w:r>
      <w:r w:rsidR="00566879" w:rsidRPr="00E04C25">
        <w:rPr>
          <w:rFonts w:ascii="Arial" w:hAnsi="Arial" w:cs="Arial"/>
          <w:iCs/>
        </w:rPr>
        <w:t>z hlediska odvětvové struktury byl</w:t>
      </w:r>
      <w:r w:rsidR="009B255D">
        <w:rPr>
          <w:rFonts w:ascii="Arial" w:hAnsi="Arial" w:cs="Arial"/>
          <w:iCs/>
        </w:rPr>
        <w:t>o</w:t>
      </w:r>
      <w:r w:rsidR="00566879" w:rsidRPr="00E04C25">
        <w:rPr>
          <w:rFonts w:ascii="Arial" w:hAnsi="Arial" w:cs="Arial"/>
          <w:iCs/>
        </w:rPr>
        <w:t xml:space="preserve"> zaznamenán</w:t>
      </w:r>
      <w:r w:rsidR="009B255D">
        <w:rPr>
          <w:rFonts w:ascii="Arial" w:hAnsi="Arial" w:cs="Arial"/>
          <w:iCs/>
        </w:rPr>
        <w:t>o</w:t>
      </w:r>
      <w:r w:rsidR="00566879" w:rsidRPr="00E04C25">
        <w:rPr>
          <w:rFonts w:ascii="Arial" w:hAnsi="Arial" w:cs="Arial"/>
          <w:iCs/>
        </w:rPr>
        <w:t xml:space="preserve"> </w:t>
      </w:r>
      <w:r w:rsidRPr="00E04C25">
        <w:rPr>
          <w:rFonts w:ascii="Arial" w:hAnsi="Arial" w:cs="Arial"/>
          <w:b/>
          <w:iCs/>
        </w:rPr>
        <w:t>ve zpracovatelském průmyslu</w:t>
      </w:r>
      <w:r w:rsidR="000622BC" w:rsidRPr="00E04C25">
        <w:rPr>
          <w:rFonts w:ascii="Arial" w:hAnsi="Arial" w:cs="Arial"/>
          <w:b/>
          <w:iCs/>
        </w:rPr>
        <w:t xml:space="preserve"> </w:t>
      </w:r>
      <w:r w:rsidR="000622BC" w:rsidRPr="00E04C25">
        <w:rPr>
          <w:rFonts w:ascii="Arial" w:hAnsi="Arial" w:cs="Arial"/>
          <w:iCs/>
        </w:rPr>
        <w:t>(</w:t>
      </w:r>
      <w:r w:rsidR="002D650E" w:rsidRPr="00E04C25">
        <w:rPr>
          <w:rFonts w:ascii="Arial" w:hAnsi="Arial" w:cs="Arial"/>
          <w:iCs/>
        </w:rPr>
        <w:t xml:space="preserve">celkem </w:t>
      </w:r>
      <w:r w:rsidR="000622BC" w:rsidRPr="00E04C25">
        <w:rPr>
          <w:rFonts w:ascii="Arial" w:hAnsi="Arial" w:cs="Arial"/>
          <w:iCs/>
        </w:rPr>
        <w:t>o </w:t>
      </w:r>
      <w:r w:rsidR="002D650E" w:rsidRPr="00E04C25">
        <w:rPr>
          <w:rFonts w:ascii="Arial" w:hAnsi="Arial" w:cs="Arial"/>
          <w:iCs/>
        </w:rPr>
        <w:t>26,2 tis.</w:t>
      </w:r>
      <w:r w:rsidR="000622BC" w:rsidRPr="00E04C25">
        <w:rPr>
          <w:rFonts w:ascii="Arial" w:hAnsi="Arial" w:cs="Arial"/>
          <w:iCs/>
        </w:rPr>
        <w:t>)</w:t>
      </w:r>
      <w:r w:rsidR="00566879" w:rsidRPr="00E04C25">
        <w:rPr>
          <w:rFonts w:ascii="Arial" w:hAnsi="Arial" w:cs="Arial"/>
          <w:iCs/>
        </w:rPr>
        <w:t>,</w:t>
      </w:r>
      <w:r w:rsidR="00566879" w:rsidRPr="00E04C25">
        <w:rPr>
          <w:rFonts w:ascii="Arial" w:hAnsi="Arial" w:cs="Arial"/>
          <w:b/>
          <w:iCs/>
        </w:rPr>
        <w:t xml:space="preserve"> </w:t>
      </w:r>
      <w:r w:rsidRPr="00E04C25">
        <w:rPr>
          <w:rFonts w:ascii="Arial" w:hAnsi="Arial" w:cs="Arial"/>
          <w:iCs/>
        </w:rPr>
        <w:t xml:space="preserve"> přispěl </w:t>
      </w:r>
      <w:r w:rsidR="00566879" w:rsidRPr="00E04C25">
        <w:rPr>
          <w:rFonts w:ascii="Arial" w:hAnsi="Arial" w:cs="Arial"/>
          <w:iCs/>
        </w:rPr>
        <w:t xml:space="preserve">k tomu zejména </w:t>
      </w:r>
      <w:r w:rsidR="002D650E" w:rsidRPr="00E04C25">
        <w:rPr>
          <w:rFonts w:ascii="Arial" w:hAnsi="Arial" w:cs="Arial"/>
          <w:b/>
          <w:iCs/>
        </w:rPr>
        <w:t xml:space="preserve">Středočeský, </w:t>
      </w:r>
      <w:r w:rsidRPr="00E04C25">
        <w:rPr>
          <w:rFonts w:ascii="Arial" w:hAnsi="Arial" w:cs="Arial"/>
          <w:b/>
          <w:iCs/>
        </w:rPr>
        <w:t xml:space="preserve">Karlovarský </w:t>
      </w:r>
      <w:r w:rsidR="00566879" w:rsidRPr="00E04C25">
        <w:rPr>
          <w:rFonts w:ascii="Arial" w:hAnsi="Arial" w:cs="Arial"/>
          <w:b/>
          <w:iCs/>
        </w:rPr>
        <w:t xml:space="preserve">a Pardubický </w:t>
      </w:r>
      <w:r w:rsidRPr="00E04C25">
        <w:rPr>
          <w:rFonts w:ascii="Arial" w:hAnsi="Arial" w:cs="Arial"/>
          <w:b/>
          <w:iCs/>
        </w:rPr>
        <w:t>kraj.</w:t>
      </w:r>
      <w:r w:rsidRPr="00E04C25">
        <w:rPr>
          <w:rFonts w:ascii="Arial" w:hAnsi="Arial" w:cs="Arial"/>
          <w:iCs/>
        </w:rPr>
        <w:t xml:space="preserve"> V</w:t>
      </w:r>
      <w:r w:rsidR="00566879" w:rsidRPr="00E04C25">
        <w:rPr>
          <w:rFonts w:ascii="Arial" w:hAnsi="Arial" w:cs="Arial"/>
          <w:iCs/>
        </w:rPr>
        <w:t>e</w:t>
      </w:r>
      <w:r w:rsidRPr="00E04C25">
        <w:rPr>
          <w:rFonts w:ascii="Arial" w:hAnsi="Arial" w:cs="Arial"/>
          <w:b/>
          <w:iCs/>
        </w:rPr>
        <w:t> </w:t>
      </w:r>
      <w:r w:rsidR="00566879" w:rsidRPr="00E04C25">
        <w:rPr>
          <w:rFonts w:ascii="Arial" w:hAnsi="Arial" w:cs="Arial"/>
          <w:b/>
          <w:iCs/>
        </w:rPr>
        <w:t xml:space="preserve">Středočeském kraji </w:t>
      </w:r>
      <w:r w:rsidRPr="00E04C25">
        <w:rPr>
          <w:rFonts w:ascii="Arial" w:hAnsi="Arial" w:cs="Arial"/>
          <w:iCs/>
        </w:rPr>
        <w:t xml:space="preserve">se růst v tomto odvětví o </w:t>
      </w:r>
      <w:r w:rsidR="00566879" w:rsidRPr="00E04C25">
        <w:rPr>
          <w:rFonts w:ascii="Arial" w:hAnsi="Arial" w:cs="Arial"/>
          <w:iCs/>
        </w:rPr>
        <w:t>7,0</w:t>
      </w:r>
      <w:r w:rsidRPr="00E04C25">
        <w:rPr>
          <w:rFonts w:ascii="Arial" w:hAnsi="Arial" w:cs="Arial"/>
          <w:iCs/>
        </w:rPr>
        <w:t xml:space="preserve"> tis. projevil </w:t>
      </w:r>
      <w:r w:rsidR="00566879" w:rsidRPr="00E04C25">
        <w:rPr>
          <w:rFonts w:ascii="Arial" w:hAnsi="Arial" w:cs="Arial"/>
          <w:iCs/>
        </w:rPr>
        <w:t xml:space="preserve">především </w:t>
      </w:r>
      <w:r w:rsidRPr="00E04C25">
        <w:rPr>
          <w:rFonts w:ascii="Arial" w:hAnsi="Arial" w:cs="Arial"/>
          <w:iCs/>
        </w:rPr>
        <w:t>nárůstem zaměstnaných jako t</w:t>
      </w:r>
      <w:r w:rsidRPr="00E04C25">
        <w:rPr>
          <w:rFonts w:ascii="Arial" w:hAnsi="Arial" w:cs="Arial"/>
        </w:rPr>
        <w:t>echničtí a</w:t>
      </w:r>
      <w:r w:rsidR="00566879" w:rsidRPr="00E04C25">
        <w:rPr>
          <w:rFonts w:ascii="Arial" w:hAnsi="Arial" w:cs="Arial"/>
        </w:rPr>
        <w:t> </w:t>
      </w:r>
      <w:r w:rsidRPr="00E04C25">
        <w:rPr>
          <w:rFonts w:ascii="Arial" w:hAnsi="Arial" w:cs="Arial"/>
        </w:rPr>
        <w:t>odborní pracovníci</w:t>
      </w:r>
      <w:r w:rsidRPr="00E04C25">
        <w:rPr>
          <w:rFonts w:ascii="Arial" w:hAnsi="Arial" w:cs="Arial"/>
          <w:iCs/>
        </w:rPr>
        <w:t xml:space="preserve">, </w:t>
      </w:r>
      <w:r w:rsidR="00566879" w:rsidRPr="00E04C25">
        <w:rPr>
          <w:rFonts w:ascii="Arial" w:hAnsi="Arial" w:cs="Arial"/>
          <w:iCs/>
        </w:rPr>
        <w:t xml:space="preserve">ale také specialistů a </w:t>
      </w:r>
      <w:r w:rsidRPr="00E04C25">
        <w:rPr>
          <w:rFonts w:ascii="Arial" w:hAnsi="Arial" w:cs="Arial"/>
          <w:iCs/>
        </w:rPr>
        <w:t>obsluh</w:t>
      </w:r>
      <w:r w:rsidR="00566879" w:rsidRPr="00E04C25">
        <w:rPr>
          <w:rFonts w:ascii="Arial" w:hAnsi="Arial" w:cs="Arial"/>
          <w:iCs/>
        </w:rPr>
        <w:t>y</w:t>
      </w:r>
      <w:r w:rsidRPr="00E04C25">
        <w:rPr>
          <w:rFonts w:ascii="Arial" w:hAnsi="Arial" w:cs="Arial"/>
          <w:iCs/>
        </w:rPr>
        <w:t xml:space="preserve"> strojů a zařízení</w:t>
      </w:r>
      <w:r w:rsidR="00566879" w:rsidRPr="00E04C25">
        <w:rPr>
          <w:rFonts w:ascii="Arial" w:hAnsi="Arial" w:cs="Arial"/>
          <w:iCs/>
        </w:rPr>
        <w:t>.</w:t>
      </w:r>
      <w:r w:rsidRPr="00E04C25">
        <w:rPr>
          <w:rFonts w:ascii="Arial" w:hAnsi="Arial" w:cs="Arial"/>
          <w:iCs/>
        </w:rPr>
        <w:t xml:space="preserve"> </w:t>
      </w:r>
      <w:r w:rsidR="00566879" w:rsidRPr="00E04C25">
        <w:rPr>
          <w:rFonts w:ascii="Arial" w:hAnsi="Arial" w:cs="Arial"/>
          <w:iCs/>
        </w:rPr>
        <w:t>V</w:t>
      </w:r>
      <w:r w:rsidRPr="00E04C25">
        <w:rPr>
          <w:rFonts w:ascii="Arial" w:hAnsi="Arial" w:cs="Arial"/>
          <w:b/>
          <w:iCs/>
        </w:rPr>
        <w:t> </w:t>
      </w:r>
      <w:r w:rsidR="00566879" w:rsidRPr="00E04C25">
        <w:rPr>
          <w:rFonts w:ascii="Arial" w:hAnsi="Arial" w:cs="Arial"/>
          <w:b/>
          <w:iCs/>
        </w:rPr>
        <w:t>Karlovarském</w:t>
      </w:r>
      <w:r w:rsidRPr="00E04C25">
        <w:rPr>
          <w:rFonts w:ascii="Arial" w:hAnsi="Arial" w:cs="Arial"/>
          <w:b/>
          <w:iCs/>
        </w:rPr>
        <w:t xml:space="preserve"> kraji</w:t>
      </w:r>
      <w:r w:rsidRPr="00E04C25">
        <w:rPr>
          <w:rFonts w:ascii="Arial" w:hAnsi="Arial" w:cs="Arial"/>
          <w:iCs/>
        </w:rPr>
        <w:t xml:space="preserve"> </w:t>
      </w:r>
      <w:r w:rsidR="000622BC" w:rsidRPr="00E04C25">
        <w:rPr>
          <w:rFonts w:ascii="Arial" w:hAnsi="Arial" w:cs="Arial"/>
          <w:iCs/>
        </w:rPr>
        <w:t>se</w:t>
      </w:r>
      <w:r w:rsidRPr="00E04C25">
        <w:rPr>
          <w:rFonts w:ascii="Arial" w:hAnsi="Arial" w:cs="Arial"/>
          <w:iCs/>
        </w:rPr>
        <w:t xml:space="preserve"> </w:t>
      </w:r>
      <w:r w:rsidR="000622BC" w:rsidRPr="00E04C25">
        <w:rPr>
          <w:rFonts w:ascii="Arial" w:hAnsi="Arial" w:cs="Arial"/>
          <w:iCs/>
        </w:rPr>
        <w:t>nejvíce</w:t>
      </w:r>
      <w:r w:rsidRPr="00E04C25">
        <w:rPr>
          <w:rFonts w:ascii="Arial" w:hAnsi="Arial" w:cs="Arial"/>
          <w:iCs/>
        </w:rPr>
        <w:t xml:space="preserve"> zvýšil počet </w:t>
      </w:r>
      <w:r w:rsidR="00E73332" w:rsidRPr="00E04C25">
        <w:rPr>
          <w:rFonts w:ascii="Arial" w:hAnsi="Arial" w:cs="Arial"/>
          <w:iCs/>
        </w:rPr>
        <w:t>pracujících</w:t>
      </w:r>
      <w:r w:rsidRPr="00E04C25">
        <w:rPr>
          <w:rFonts w:ascii="Arial" w:hAnsi="Arial" w:cs="Arial"/>
          <w:iCs/>
        </w:rPr>
        <w:t xml:space="preserve"> v kategorii </w:t>
      </w:r>
      <w:r w:rsidR="000622BC" w:rsidRPr="00E04C25">
        <w:rPr>
          <w:rFonts w:ascii="Arial" w:hAnsi="Arial" w:cs="Arial"/>
          <w:iCs/>
        </w:rPr>
        <w:t>t</w:t>
      </w:r>
      <w:r w:rsidR="000622BC" w:rsidRPr="00E04C25">
        <w:rPr>
          <w:rFonts w:ascii="Arial" w:hAnsi="Arial" w:cs="Arial"/>
        </w:rPr>
        <w:t>echničtí a odborní pracovníci</w:t>
      </w:r>
      <w:r w:rsidR="000622BC" w:rsidRPr="00E04C25">
        <w:rPr>
          <w:rFonts w:ascii="Arial" w:hAnsi="Arial" w:cs="Arial"/>
          <w:iCs/>
        </w:rPr>
        <w:t xml:space="preserve"> a obsluha strojů a zařízení</w:t>
      </w:r>
      <w:r w:rsidRPr="00E04C25">
        <w:rPr>
          <w:rFonts w:ascii="Arial" w:hAnsi="Arial" w:cs="Arial"/>
          <w:iCs/>
        </w:rPr>
        <w:t>. V </w:t>
      </w:r>
      <w:r w:rsidR="000622BC" w:rsidRPr="00E04C25">
        <w:rPr>
          <w:rFonts w:ascii="Arial" w:hAnsi="Arial" w:cs="Arial"/>
          <w:b/>
          <w:iCs/>
        </w:rPr>
        <w:t>Pardubickém</w:t>
      </w:r>
      <w:r w:rsidRPr="00E04C25">
        <w:rPr>
          <w:rFonts w:ascii="Arial" w:hAnsi="Arial" w:cs="Arial"/>
          <w:b/>
          <w:iCs/>
        </w:rPr>
        <w:t xml:space="preserve"> kraji</w:t>
      </w:r>
      <w:r w:rsidRPr="00E04C25">
        <w:rPr>
          <w:rFonts w:ascii="Arial" w:hAnsi="Arial" w:cs="Arial"/>
          <w:iCs/>
        </w:rPr>
        <w:t xml:space="preserve">  </w:t>
      </w:r>
      <w:r w:rsidR="000622BC" w:rsidRPr="00E04C25">
        <w:rPr>
          <w:rFonts w:ascii="Arial" w:hAnsi="Arial" w:cs="Arial"/>
          <w:iCs/>
        </w:rPr>
        <w:t>přibyli</w:t>
      </w:r>
      <w:r w:rsidRPr="00E04C25">
        <w:rPr>
          <w:rFonts w:ascii="Arial" w:hAnsi="Arial" w:cs="Arial"/>
          <w:iCs/>
        </w:rPr>
        <w:t xml:space="preserve"> především </w:t>
      </w:r>
      <w:r w:rsidR="000622BC" w:rsidRPr="00E04C25">
        <w:rPr>
          <w:rFonts w:ascii="Arial" w:hAnsi="Arial" w:cs="Arial"/>
          <w:iCs/>
        </w:rPr>
        <w:t>specialisté a techničtí a odborní pracovníci.</w:t>
      </w:r>
    </w:p>
    <w:p w:rsidR="00233AD9" w:rsidRPr="00E04C25" w:rsidRDefault="00233AD9" w:rsidP="00233AD9">
      <w:pPr>
        <w:tabs>
          <w:tab w:val="center" w:pos="720"/>
        </w:tabs>
        <w:spacing w:line="360" w:lineRule="auto"/>
        <w:ind w:firstLine="720"/>
        <w:jc w:val="both"/>
        <w:rPr>
          <w:rFonts w:ascii="Arial" w:hAnsi="Arial" w:cs="Arial"/>
          <w:iCs/>
        </w:rPr>
      </w:pPr>
      <w:r w:rsidRPr="00E04C25">
        <w:rPr>
          <w:rFonts w:ascii="Arial" w:hAnsi="Arial" w:cs="Arial"/>
          <w:b/>
          <w:iCs/>
        </w:rPr>
        <w:t>Nárůst zaměstnanosti ve stavebnictví</w:t>
      </w:r>
      <w:r w:rsidRPr="00E04C25">
        <w:rPr>
          <w:rFonts w:ascii="Arial" w:hAnsi="Arial" w:cs="Arial"/>
          <w:iCs/>
        </w:rPr>
        <w:t xml:space="preserve"> </w:t>
      </w:r>
      <w:r w:rsidR="00F91407" w:rsidRPr="00E04C25">
        <w:rPr>
          <w:rFonts w:ascii="Arial" w:hAnsi="Arial" w:cs="Arial"/>
          <w:iCs/>
        </w:rPr>
        <w:t xml:space="preserve">(celkem o 5,6 tis.) </w:t>
      </w:r>
      <w:r w:rsidRPr="00E04C25">
        <w:rPr>
          <w:rFonts w:ascii="Arial" w:hAnsi="Arial" w:cs="Arial"/>
          <w:iCs/>
        </w:rPr>
        <w:t xml:space="preserve">byl zaznamenán </w:t>
      </w:r>
      <w:r w:rsidRPr="00E04C25">
        <w:rPr>
          <w:rFonts w:ascii="Arial" w:hAnsi="Arial" w:cs="Arial"/>
          <w:b/>
          <w:iCs/>
        </w:rPr>
        <w:t>v </w:t>
      </w:r>
      <w:r w:rsidR="000622BC" w:rsidRPr="00E04C25">
        <w:rPr>
          <w:rFonts w:ascii="Arial" w:hAnsi="Arial" w:cs="Arial"/>
          <w:b/>
          <w:iCs/>
        </w:rPr>
        <w:t>sedmi</w:t>
      </w:r>
      <w:r w:rsidRPr="00E04C25">
        <w:rPr>
          <w:rFonts w:ascii="Arial" w:hAnsi="Arial" w:cs="Arial"/>
          <w:b/>
          <w:iCs/>
        </w:rPr>
        <w:t xml:space="preserve"> krajích, největší v </w:t>
      </w:r>
      <w:r w:rsidR="000622BC" w:rsidRPr="00E04C25">
        <w:rPr>
          <w:rFonts w:ascii="Arial" w:hAnsi="Arial" w:cs="Arial"/>
          <w:b/>
          <w:iCs/>
        </w:rPr>
        <w:t>Plzeňském</w:t>
      </w:r>
      <w:r w:rsidRPr="00E04C25">
        <w:rPr>
          <w:rFonts w:ascii="Arial" w:hAnsi="Arial" w:cs="Arial"/>
          <w:iCs/>
        </w:rPr>
        <w:t xml:space="preserve">, </w:t>
      </w:r>
      <w:r w:rsidR="000622BC" w:rsidRPr="00E04C25">
        <w:rPr>
          <w:rFonts w:ascii="Arial" w:hAnsi="Arial" w:cs="Arial"/>
          <w:iCs/>
        </w:rPr>
        <w:t>Královéhradeckém, Zlínském a</w:t>
      </w:r>
      <w:r w:rsidR="00E73332" w:rsidRPr="00E04C25">
        <w:rPr>
          <w:rFonts w:ascii="Arial" w:hAnsi="Arial" w:cs="Arial"/>
          <w:iCs/>
        </w:rPr>
        <w:t> </w:t>
      </w:r>
      <w:r w:rsidRPr="00E04C25">
        <w:rPr>
          <w:rFonts w:ascii="Arial" w:hAnsi="Arial" w:cs="Arial"/>
          <w:iCs/>
        </w:rPr>
        <w:t>Olomouckém kraji.</w:t>
      </w:r>
      <w:r w:rsidRPr="00E04C25">
        <w:rPr>
          <w:rFonts w:ascii="Arial" w:hAnsi="Arial" w:cs="Arial"/>
          <w:b/>
          <w:iCs/>
        </w:rPr>
        <w:t xml:space="preserve"> Pokles </w:t>
      </w:r>
      <w:r w:rsidRPr="00E04C25">
        <w:rPr>
          <w:rFonts w:ascii="Arial" w:hAnsi="Arial" w:cs="Arial"/>
          <w:iCs/>
        </w:rPr>
        <w:t>ve zbývajících krajích byl</w:t>
      </w:r>
      <w:r w:rsidRPr="00E04C25">
        <w:rPr>
          <w:rFonts w:ascii="Arial" w:hAnsi="Arial" w:cs="Arial"/>
          <w:b/>
          <w:iCs/>
        </w:rPr>
        <w:t xml:space="preserve"> pouze nepatrný, </w:t>
      </w:r>
      <w:r w:rsidRPr="00E04C25">
        <w:rPr>
          <w:rFonts w:ascii="Arial" w:hAnsi="Arial" w:cs="Arial"/>
          <w:iCs/>
        </w:rPr>
        <w:t>největší v</w:t>
      </w:r>
      <w:r w:rsidR="006119E7" w:rsidRPr="00E04C25">
        <w:rPr>
          <w:rFonts w:ascii="Arial" w:hAnsi="Arial" w:cs="Arial"/>
          <w:iCs/>
        </w:rPr>
        <w:t> Kraji Vysočina</w:t>
      </w:r>
      <w:r w:rsidRPr="00E04C25">
        <w:rPr>
          <w:rFonts w:ascii="Arial" w:hAnsi="Arial" w:cs="Arial"/>
          <w:iCs/>
        </w:rPr>
        <w:t xml:space="preserve">. </w:t>
      </w:r>
    </w:p>
    <w:p w:rsidR="00233AD9" w:rsidRPr="00E04C25" w:rsidRDefault="00233AD9" w:rsidP="00440464">
      <w:pPr>
        <w:tabs>
          <w:tab w:val="center" w:pos="720"/>
        </w:tabs>
        <w:spacing w:line="360" w:lineRule="auto"/>
        <w:ind w:firstLine="720"/>
        <w:jc w:val="both"/>
        <w:rPr>
          <w:rFonts w:ascii="Arial" w:hAnsi="Arial" w:cs="Arial"/>
          <w:iCs/>
        </w:rPr>
      </w:pPr>
      <w:r w:rsidRPr="00E04C25">
        <w:rPr>
          <w:rFonts w:ascii="Arial" w:hAnsi="Arial" w:cs="Arial"/>
          <w:iCs/>
        </w:rPr>
        <w:t xml:space="preserve">Na nárůstu zaměstnanosti v terciárním sektoru </w:t>
      </w:r>
      <w:r w:rsidR="006119E7" w:rsidRPr="00E04C25">
        <w:rPr>
          <w:rFonts w:ascii="Arial" w:hAnsi="Arial" w:cs="Arial"/>
          <w:iCs/>
        </w:rPr>
        <w:t>(</w:t>
      </w:r>
      <w:r w:rsidR="00F91407" w:rsidRPr="00E04C25">
        <w:rPr>
          <w:rFonts w:ascii="Arial" w:hAnsi="Arial" w:cs="Arial"/>
          <w:iCs/>
        </w:rPr>
        <w:t xml:space="preserve">celkem </w:t>
      </w:r>
      <w:r w:rsidR="006119E7" w:rsidRPr="00E04C25">
        <w:rPr>
          <w:rFonts w:ascii="Arial" w:hAnsi="Arial" w:cs="Arial"/>
          <w:iCs/>
        </w:rPr>
        <w:t xml:space="preserve">o 54,7 tis.) </w:t>
      </w:r>
      <w:r w:rsidRPr="00E04C25">
        <w:rPr>
          <w:rFonts w:ascii="Arial" w:hAnsi="Arial" w:cs="Arial"/>
          <w:iCs/>
        </w:rPr>
        <w:t xml:space="preserve">se v ČR </w:t>
      </w:r>
      <w:r w:rsidR="00F91407" w:rsidRPr="00E04C25">
        <w:rPr>
          <w:rFonts w:ascii="Arial" w:hAnsi="Arial" w:cs="Arial"/>
          <w:iCs/>
        </w:rPr>
        <w:t xml:space="preserve">(kromě menší sekce profesní, vědecké a technické činnosti) </w:t>
      </w:r>
      <w:r w:rsidRPr="00E04C25">
        <w:rPr>
          <w:rFonts w:ascii="Arial" w:hAnsi="Arial" w:cs="Arial"/>
          <w:iCs/>
        </w:rPr>
        <w:t xml:space="preserve">podílely početně větší </w:t>
      </w:r>
      <w:r w:rsidRPr="00E04C25">
        <w:rPr>
          <w:rFonts w:ascii="Arial" w:hAnsi="Arial" w:cs="Arial"/>
          <w:bCs/>
        </w:rPr>
        <w:t xml:space="preserve">sekce </w:t>
      </w:r>
      <w:r w:rsidR="006119E7" w:rsidRPr="00E04C25">
        <w:rPr>
          <w:rFonts w:ascii="Arial" w:hAnsi="Arial" w:cs="Arial"/>
          <w:bCs/>
        </w:rPr>
        <w:t>zdravotní a sociální péče a doprava a skladování.</w:t>
      </w:r>
      <w:r w:rsidR="00440464" w:rsidRPr="00E04C25">
        <w:rPr>
          <w:rFonts w:ascii="Arial" w:hAnsi="Arial" w:cs="Arial"/>
          <w:iCs/>
        </w:rPr>
        <w:t xml:space="preserve"> </w:t>
      </w:r>
      <w:r w:rsidRPr="00E04C25">
        <w:rPr>
          <w:rFonts w:ascii="Arial" w:hAnsi="Arial" w:cs="Arial"/>
          <w:iCs/>
        </w:rPr>
        <w:t xml:space="preserve">Výraznější nárůst v sekci </w:t>
      </w:r>
      <w:r w:rsidRPr="00E04C25">
        <w:rPr>
          <w:rFonts w:ascii="Arial" w:hAnsi="Arial" w:cs="Arial"/>
          <w:b/>
          <w:bCs/>
        </w:rPr>
        <w:t>zdravotní a sociální péče</w:t>
      </w:r>
      <w:r w:rsidRPr="00E04C25">
        <w:rPr>
          <w:rFonts w:ascii="Arial" w:hAnsi="Arial" w:cs="Arial"/>
          <w:iCs/>
        </w:rPr>
        <w:t xml:space="preserve"> byl zaznamenán </w:t>
      </w:r>
      <w:r w:rsidRPr="00E04C25">
        <w:rPr>
          <w:rFonts w:ascii="Arial" w:hAnsi="Arial" w:cs="Arial"/>
          <w:bCs/>
        </w:rPr>
        <w:t xml:space="preserve">zejména </w:t>
      </w:r>
      <w:r w:rsidRPr="00E04C25">
        <w:rPr>
          <w:rFonts w:ascii="Arial" w:hAnsi="Arial" w:cs="Arial"/>
          <w:b/>
          <w:bCs/>
        </w:rPr>
        <w:t>v </w:t>
      </w:r>
      <w:r w:rsidR="008D6DAA" w:rsidRPr="00E04C25">
        <w:rPr>
          <w:rFonts w:ascii="Arial" w:hAnsi="Arial" w:cs="Arial"/>
          <w:b/>
          <w:bCs/>
        </w:rPr>
        <w:t>h</w:t>
      </w:r>
      <w:r w:rsidRPr="00E04C25">
        <w:rPr>
          <w:rFonts w:ascii="Arial" w:hAnsi="Arial" w:cs="Arial"/>
          <w:b/>
          <w:bCs/>
        </w:rPr>
        <w:t xml:space="preserve">l. m. Praze </w:t>
      </w:r>
      <w:r w:rsidRPr="00E04C25">
        <w:rPr>
          <w:rFonts w:ascii="Arial" w:hAnsi="Arial" w:cs="Arial"/>
          <w:bCs/>
        </w:rPr>
        <w:t>(o 1</w:t>
      </w:r>
      <w:r w:rsidR="00440464" w:rsidRPr="00E04C25">
        <w:rPr>
          <w:rFonts w:ascii="Arial" w:hAnsi="Arial" w:cs="Arial"/>
          <w:bCs/>
        </w:rPr>
        <w:t>2</w:t>
      </w:r>
      <w:r w:rsidRPr="00E04C25">
        <w:rPr>
          <w:rFonts w:ascii="Arial" w:hAnsi="Arial" w:cs="Arial"/>
          <w:bCs/>
        </w:rPr>
        <w:t>,</w:t>
      </w:r>
      <w:r w:rsidR="00440464" w:rsidRPr="00E04C25">
        <w:rPr>
          <w:rFonts w:ascii="Arial" w:hAnsi="Arial" w:cs="Arial"/>
          <w:bCs/>
        </w:rPr>
        <w:t>7</w:t>
      </w:r>
      <w:r w:rsidRPr="00E04C25">
        <w:rPr>
          <w:rFonts w:ascii="Arial" w:hAnsi="Arial" w:cs="Arial"/>
          <w:bCs/>
        </w:rPr>
        <w:t> tis.)</w:t>
      </w:r>
      <w:r w:rsidR="00440464" w:rsidRPr="00E04C25">
        <w:rPr>
          <w:rFonts w:ascii="Arial" w:hAnsi="Arial" w:cs="Arial"/>
          <w:bCs/>
        </w:rPr>
        <w:t>,</w:t>
      </w:r>
      <w:r w:rsidRPr="00E04C25">
        <w:rPr>
          <w:rFonts w:ascii="Arial" w:hAnsi="Arial" w:cs="Arial"/>
          <w:bCs/>
        </w:rPr>
        <w:t xml:space="preserve"> </w:t>
      </w:r>
      <w:r w:rsidR="00440464" w:rsidRPr="00E04C25">
        <w:rPr>
          <w:rFonts w:ascii="Arial" w:hAnsi="Arial" w:cs="Arial"/>
          <w:b/>
          <w:bCs/>
        </w:rPr>
        <w:t>v</w:t>
      </w:r>
      <w:r w:rsidRPr="00E04C25">
        <w:rPr>
          <w:rFonts w:ascii="Arial" w:hAnsi="Arial" w:cs="Arial"/>
          <w:b/>
          <w:bCs/>
        </w:rPr>
        <w:t xml:space="preserve"> sekci </w:t>
      </w:r>
      <w:r w:rsidR="00440464" w:rsidRPr="00E04C25">
        <w:rPr>
          <w:rFonts w:ascii="Arial" w:hAnsi="Arial" w:cs="Arial"/>
          <w:b/>
          <w:bCs/>
        </w:rPr>
        <w:t>doprava a skladování</w:t>
      </w:r>
      <w:r w:rsidRPr="00E04C25">
        <w:rPr>
          <w:rFonts w:ascii="Arial" w:hAnsi="Arial" w:cs="Arial"/>
          <w:b/>
          <w:bCs/>
        </w:rPr>
        <w:t xml:space="preserve"> v </w:t>
      </w:r>
      <w:r w:rsidR="00440464" w:rsidRPr="00E04C25">
        <w:rPr>
          <w:rFonts w:ascii="Arial" w:hAnsi="Arial" w:cs="Arial"/>
          <w:b/>
          <w:bCs/>
        </w:rPr>
        <w:t>Moravskoslezském</w:t>
      </w:r>
      <w:r w:rsidRPr="00E04C25">
        <w:rPr>
          <w:rFonts w:ascii="Arial" w:hAnsi="Arial" w:cs="Arial"/>
          <w:b/>
          <w:bCs/>
        </w:rPr>
        <w:t xml:space="preserve"> kraji </w:t>
      </w:r>
      <w:r w:rsidRPr="00E04C25">
        <w:rPr>
          <w:rFonts w:ascii="Arial" w:hAnsi="Arial" w:cs="Arial"/>
          <w:bCs/>
        </w:rPr>
        <w:t>(o </w:t>
      </w:r>
      <w:r w:rsidR="00440464" w:rsidRPr="00E04C25">
        <w:rPr>
          <w:rFonts w:ascii="Arial" w:hAnsi="Arial" w:cs="Arial"/>
          <w:bCs/>
        </w:rPr>
        <w:t>6</w:t>
      </w:r>
      <w:r w:rsidRPr="00E04C25">
        <w:rPr>
          <w:rFonts w:ascii="Arial" w:hAnsi="Arial" w:cs="Arial"/>
          <w:bCs/>
        </w:rPr>
        <w:t>,</w:t>
      </w:r>
      <w:r w:rsidR="00440464" w:rsidRPr="00E04C25">
        <w:rPr>
          <w:rFonts w:ascii="Arial" w:hAnsi="Arial" w:cs="Arial"/>
          <w:bCs/>
        </w:rPr>
        <w:t>2</w:t>
      </w:r>
      <w:r w:rsidRPr="00E04C25">
        <w:rPr>
          <w:rFonts w:ascii="Arial" w:hAnsi="Arial" w:cs="Arial"/>
          <w:bCs/>
        </w:rPr>
        <w:t> tis.).</w:t>
      </w:r>
    </w:p>
    <w:p w:rsidR="00114D1E" w:rsidRPr="00E04C25" w:rsidRDefault="00114D1E" w:rsidP="00114D1E">
      <w:pPr>
        <w:tabs>
          <w:tab w:val="center" w:pos="720"/>
        </w:tabs>
        <w:spacing w:line="360" w:lineRule="auto"/>
        <w:ind w:firstLine="720"/>
        <w:jc w:val="both"/>
        <w:rPr>
          <w:rFonts w:ascii="Arial" w:hAnsi="Arial" w:cs="Arial"/>
          <w:b/>
          <w:iCs/>
          <w:sz w:val="16"/>
          <w:szCs w:val="16"/>
        </w:rPr>
      </w:pPr>
      <w:r w:rsidRPr="00E04C25">
        <w:rPr>
          <w:rFonts w:ascii="Arial" w:hAnsi="Arial" w:cs="Arial"/>
          <w:b/>
        </w:rPr>
        <w:t>V zastoupení primárního sektoru</w:t>
      </w:r>
      <w:r w:rsidRPr="00E04C25">
        <w:rPr>
          <w:rFonts w:ascii="Arial" w:hAnsi="Arial" w:cs="Arial"/>
        </w:rPr>
        <w:t xml:space="preserve"> na celkové zaměstnanosti došlo ke změně, před</w:t>
      </w:r>
      <w:r w:rsidRPr="00E04C25">
        <w:rPr>
          <w:rFonts w:ascii="Arial" w:hAnsi="Arial" w:cs="Arial"/>
          <w:b/>
        </w:rPr>
        <w:t> </w:t>
      </w:r>
      <w:r w:rsidRPr="00E04C25">
        <w:rPr>
          <w:rFonts w:ascii="Arial" w:hAnsi="Arial" w:cs="Arial"/>
        </w:rPr>
        <w:t>Kraj Vysočina</w:t>
      </w:r>
      <w:r w:rsidRPr="00E04C25">
        <w:rPr>
          <w:rFonts w:ascii="Arial" w:hAnsi="Arial" w:cs="Arial"/>
          <w:b/>
        </w:rPr>
        <w:t xml:space="preserve">, </w:t>
      </w:r>
      <w:r w:rsidRPr="00E04C25">
        <w:rPr>
          <w:rFonts w:ascii="Arial" w:hAnsi="Arial" w:cs="Arial"/>
        </w:rPr>
        <w:t xml:space="preserve">v němž byl </w:t>
      </w:r>
      <w:r w:rsidR="00F91407" w:rsidRPr="00E04C25">
        <w:rPr>
          <w:rFonts w:ascii="Arial" w:hAnsi="Arial" w:cs="Arial"/>
        </w:rPr>
        <w:t>podíl</w:t>
      </w:r>
      <w:r w:rsidRPr="00E04C25">
        <w:rPr>
          <w:rFonts w:ascii="Arial" w:hAnsi="Arial" w:cs="Arial"/>
        </w:rPr>
        <w:t xml:space="preserve"> tohoto sektoru dlouhodobě nejvyšší (a</w:t>
      </w:r>
      <w:r w:rsidR="00F91407" w:rsidRPr="00E04C25">
        <w:rPr>
          <w:rFonts w:ascii="Arial" w:hAnsi="Arial" w:cs="Arial"/>
        </w:rPr>
        <w:t> </w:t>
      </w:r>
      <w:r w:rsidRPr="00E04C25">
        <w:rPr>
          <w:rFonts w:ascii="Arial" w:hAnsi="Arial" w:cs="Arial"/>
        </w:rPr>
        <w:t xml:space="preserve">kde se </w:t>
      </w:r>
      <w:r w:rsidR="00F91407" w:rsidRPr="00E04C25">
        <w:rPr>
          <w:rFonts w:ascii="Arial" w:hAnsi="Arial" w:cs="Arial"/>
        </w:rPr>
        <w:t xml:space="preserve">jeho podíl </w:t>
      </w:r>
      <w:r w:rsidR="00E73332" w:rsidRPr="00E04C25">
        <w:rPr>
          <w:rFonts w:ascii="Arial" w:hAnsi="Arial" w:cs="Arial"/>
        </w:rPr>
        <w:t xml:space="preserve">v roce 2017 </w:t>
      </w:r>
      <w:r w:rsidRPr="00E04C25">
        <w:rPr>
          <w:rFonts w:ascii="Arial" w:hAnsi="Arial" w:cs="Arial"/>
        </w:rPr>
        <w:t xml:space="preserve">snížil na 4,7 %), se dostal </w:t>
      </w:r>
      <w:r w:rsidRPr="00E04C25">
        <w:rPr>
          <w:rFonts w:ascii="Arial" w:hAnsi="Arial" w:cs="Arial"/>
          <w:b/>
        </w:rPr>
        <w:t xml:space="preserve">Jihočeský </w:t>
      </w:r>
      <w:r w:rsidRPr="00E04C25">
        <w:rPr>
          <w:rFonts w:ascii="Arial" w:hAnsi="Arial" w:cs="Arial"/>
        </w:rPr>
        <w:t>(4,9 %) a </w:t>
      </w:r>
      <w:r w:rsidRPr="00E04C25">
        <w:rPr>
          <w:rFonts w:ascii="Arial" w:hAnsi="Arial" w:cs="Arial"/>
          <w:b/>
        </w:rPr>
        <w:t xml:space="preserve">Pardubický kraj </w:t>
      </w:r>
      <w:r w:rsidRPr="00E04C25">
        <w:rPr>
          <w:rFonts w:ascii="Arial" w:hAnsi="Arial" w:cs="Arial"/>
        </w:rPr>
        <w:t xml:space="preserve">(4,8 %). </w:t>
      </w:r>
      <w:r w:rsidRPr="00E04C25">
        <w:rPr>
          <w:rFonts w:ascii="Arial" w:hAnsi="Arial" w:cs="Arial"/>
          <w:b/>
        </w:rPr>
        <w:t>V </w:t>
      </w:r>
      <w:r w:rsidR="008D6DAA" w:rsidRPr="00E04C25">
        <w:rPr>
          <w:rFonts w:ascii="Arial" w:hAnsi="Arial" w:cs="Arial"/>
          <w:b/>
        </w:rPr>
        <w:t>h</w:t>
      </w:r>
      <w:r w:rsidRPr="00E04C25">
        <w:rPr>
          <w:rFonts w:ascii="Arial" w:hAnsi="Arial" w:cs="Arial"/>
          <w:b/>
        </w:rPr>
        <w:t>l. m. Praze</w:t>
      </w:r>
      <w:r w:rsidRPr="00E04C25">
        <w:rPr>
          <w:rFonts w:ascii="Arial" w:hAnsi="Arial" w:cs="Arial"/>
        </w:rPr>
        <w:t xml:space="preserve"> byl i nadále nejnižší podíl sekundárního sektoru (17,4 %), ale </w:t>
      </w:r>
      <w:r w:rsidRPr="00E04C25">
        <w:rPr>
          <w:rFonts w:ascii="Arial" w:hAnsi="Arial" w:cs="Arial"/>
          <w:b/>
        </w:rPr>
        <w:t>nejvyšší podíl sektoru terciárního</w:t>
      </w:r>
      <w:r w:rsidRPr="00E04C25">
        <w:rPr>
          <w:rFonts w:ascii="Arial" w:hAnsi="Arial" w:cs="Arial"/>
        </w:rPr>
        <w:t xml:space="preserve"> (82,4 %). </w:t>
      </w:r>
      <w:r w:rsidRPr="00E04C25">
        <w:rPr>
          <w:rFonts w:ascii="Arial" w:hAnsi="Arial" w:cs="Arial"/>
          <w:b/>
        </w:rPr>
        <w:t>V sekundárním sektoru</w:t>
      </w:r>
      <w:r w:rsidRPr="00E04C25">
        <w:rPr>
          <w:rFonts w:ascii="Arial" w:hAnsi="Arial" w:cs="Arial"/>
        </w:rPr>
        <w:t xml:space="preserve"> nedošlo proti roku 2016 k významnějším změnám, </w:t>
      </w:r>
      <w:r w:rsidRPr="00E04C25">
        <w:rPr>
          <w:rFonts w:ascii="Arial" w:hAnsi="Arial" w:cs="Arial"/>
          <w:b/>
        </w:rPr>
        <w:t>nejvyšší podíl</w:t>
      </w:r>
      <w:r w:rsidRPr="00E04C25">
        <w:rPr>
          <w:rFonts w:ascii="Arial" w:hAnsi="Arial" w:cs="Arial"/>
        </w:rPr>
        <w:t xml:space="preserve"> tohoto sektoru na celkové zaměstnanosti byl </w:t>
      </w:r>
      <w:r w:rsidRPr="00E04C25">
        <w:rPr>
          <w:rFonts w:ascii="Arial" w:hAnsi="Arial" w:cs="Arial"/>
          <w:b/>
        </w:rPr>
        <w:t>ve Zlínském kraji</w:t>
      </w:r>
      <w:r w:rsidRPr="00E04C25">
        <w:rPr>
          <w:rFonts w:ascii="Arial" w:hAnsi="Arial" w:cs="Arial"/>
        </w:rPr>
        <w:t xml:space="preserve"> (48,9 %), </w:t>
      </w:r>
      <w:r w:rsidRPr="00E04C25">
        <w:rPr>
          <w:rFonts w:ascii="Arial" w:hAnsi="Arial" w:cs="Arial"/>
          <w:b/>
        </w:rPr>
        <w:t>Kraji Vysočina</w:t>
      </w:r>
      <w:r w:rsidRPr="00E04C25">
        <w:rPr>
          <w:rFonts w:ascii="Arial" w:hAnsi="Arial" w:cs="Arial"/>
        </w:rPr>
        <w:t xml:space="preserve"> (47,3 %) </w:t>
      </w:r>
      <w:r w:rsidRPr="009B255D">
        <w:rPr>
          <w:rFonts w:ascii="Arial" w:hAnsi="Arial" w:cs="Arial"/>
        </w:rPr>
        <w:t>a</w:t>
      </w:r>
      <w:r w:rsidR="00F91407" w:rsidRPr="00E04C25">
        <w:rPr>
          <w:rFonts w:ascii="Arial" w:hAnsi="Arial" w:cs="Arial"/>
          <w:b/>
        </w:rPr>
        <w:t> </w:t>
      </w:r>
      <w:r w:rsidRPr="00E04C25">
        <w:rPr>
          <w:rFonts w:ascii="Arial" w:hAnsi="Arial" w:cs="Arial"/>
          <w:b/>
        </w:rPr>
        <w:t>v Libereckém kraji</w:t>
      </w:r>
      <w:r w:rsidRPr="00E04C25">
        <w:rPr>
          <w:rFonts w:ascii="Arial" w:hAnsi="Arial" w:cs="Arial"/>
        </w:rPr>
        <w:t xml:space="preserve"> (47,2 %). Tyto tři kraje patří spolu s Pardubickým naopak ke krajům s nejnižším podílem terciárního sektoru</w:t>
      </w:r>
      <w:r w:rsidR="00F91407" w:rsidRPr="00E04C25">
        <w:rPr>
          <w:rFonts w:ascii="Arial" w:hAnsi="Arial" w:cs="Arial"/>
        </w:rPr>
        <w:t xml:space="preserve"> (podrobněji v </w:t>
      </w:r>
      <w:r w:rsidRPr="00E04C25">
        <w:rPr>
          <w:rFonts w:ascii="Arial" w:hAnsi="Arial" w:cs="Arial"/>
        </w:rPr>
        <w:t>přílo</w:t>
      </w:r>
      <w:r w:rsidR="00F91407" w:rsidRPr="00E04C25">
        <w:rPr>
          <w:rFonts w:ascii="Arial" w:hAnsi="Arial" w:cs="Arial"/>
        </w:rPr>
        <w:t>ze</w:t>
      </w:r>
      <w:r w:rsidRPr="00E04C25">
        <w:rPr>
          <w:rFonts w:ascii="Arial" w:hAnsi="Arial" w:cs="Arial"/>
        </w:rPr>
        <w:t xml:space="preserve"> č. 3a</w:t>
      </w:r>
      <w:r w:rsidR="00F91407" w:rsidRPr="00E04C25">
        <w:rPr>
          <w:rFonts w:ascii="Arial" w:hAnsi="Arial" w:cs="Arial"/>
        </w:rPr>
        <w:t>)</w:t>
      </w:r>
      <w:r w:rsidRPr="00E04C25">
        <w:rPr>
          <w:rFonts w:ascii="Arial" w:hAnsi="Arial" w:cs="Arial"/>
        </w:rPr>
        <w:t>.</w:t>
      </w:r>
      <w:r w:rsidRPr="00E04C25">
        <w:rPr>
          <w:rFonts w:ascii="Arial" w:hAnsi="Arial" w:cs="Arial"/>
          <w:b/>
          <w:iCs/>
          <w:sz w:val="16"/>
          <w:szCs w:val="16"/>
        </w:rPr>
        <w:t xml:space="preserve"> </w:t>
      </w:r>
    </w:p>
    <w:p w:rsidR="0053026C" w:rsidRPr="00E04C25" w:rsidRDefault="00F91407" w:rsidP="00C611E5">
      <w:pPr>
        <w:tabs>
          <w:tab w:val="left" w:pos="709"/>
        </w:tabs>
        <w:jc w:val="center"/>
        <w:rPr>
          <w:rFonts w:ascii="Arial" w:hAnsi="Arial" w:cs="Arial"/>
          <w:b/>
          <w:iCs/>
        </w:rPr>
      </w:pPr>
      <w:r w:rsidRPr="00E04C25">
        <w:rPr>
          <w:rFonts w:ascii="Arial" w:hAnsi="Arial" w:cs="Arial"/>
          <w:b/>
          <w:iCs/>
        </w:rPr>
        <w:br w:type="column"/>
      </w:r>
      <w:r w:rsidR="0053026C" w:rsidRPr="00E04C25">
        <w:rPr>
          <w:rFonts w:ascii="Arial" w:hAnsi="Arial" w:cs="Arial"/>
          <w:b/>
          <w:iCs/>
        </w:rPr>
        <w:lastRenderedPageBreak/>
        <w:t>Podíl počtu pracujících podle klasifikace zaměstnání v krajích (v %)</w:t>
      </w:r>
    </w:p>
    <w:p w:rsidR="0053026C" w:rsidRPr="00E04C25" w:rsidRDefault="0053026C" w:rsidP="00372E07">
      <w:pPr>
        <w:tabs>
          <w:tab w:val="left" w:pos="709"/>
        </w:tabs>
        <w:rPr>
          <w:rFonts w:ascii="Arial" w:hAnsi="Arial" w:cs="Arial"/>
          <w:iCs/>
          <w:sz w:val="20"/>
          <w:szCs w:val="20"/>
        </w:rPr>
      </w:pP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t xml:space="preserve">        tab. č. 12</w:t>
      </w:r>
    </w:p>
    <w:tbl>
      <w:tblPr>
        <w:tblStyle w:val="Mkatabulky"/>
        <w:tblW w:w="9288" w:type="dxa"/>
        <w:jc w:val="center"/>
        <w:tblLook w:val="04A0"/>
      </w:tblPr>
      <w:tblGrid>
        <w:gridCol w:w="1730"/>
        <w:gridCol w:w="828"/>
        <w:gridCol w:w="841"/>
        <w:gridCol w:w="841"/>
        <w:gridCol w:w="841"/>
        <w:gridCol w:w="842"/>
        <w:gridCol w:w="841"/>
        <w:gridCol w:w="841"/>
        <w:gridCol w:w="841"/>
        <w:gridCol w:w="842"/>
      </w:tblGrid>
      <w:tr w:rsidR="000D7FF0" w:rsidRPr="00E04C25" w:rsidTr="002D2CCC">
        <w:trPr>
          <w:trHeight w:val="397"/>
          <w:jc w:val="center"/>
        </w:trPr>
        <w:tc>
          <w:tcPr>
            <w:tcW w:w="1730" w:type="dxa"/>
            <w:tcBorders>
              <w:top w:val="double" w:sz="4" w:space="0" w:color="auto"/>
              <w:left w:val="double" w:sz="4" w:space="0" w:color="auto"/>
            </w:tcBorders>
            <w:vAlign w:val="center"/>
          </w:tcPr>
          <w:p w:rsidR="0053026C" w:rsidRPr="00E04C25" w:rsidRDefault="0053026C" w:rsidP="002D2CCC">
            <w:pPr>
              <w:tabs>
                <w:tab w:val="left" w:pos="709"/>
              </w:tabs>
              <w:jc w:val="center"/>
              <w:rPr>
                <w:rFonts w:ascii="Arial" w:hAnsi="Arial" w:cs="Arial"/>
                <w:b/>
                <w:iCs/>
                <w:sz w:val="20"/>
                <w:szCs w:val="20"/>
              </w:rPr>
            </w:pPr>
            <w:r w:rsidRPr="00E04C25">
              <w:rPr>
                <w:rFonts w:ascii="Arial" w:hAnsi="Arial" w:cs="Arial"/>
                <w:b/>
                <w:iCs/>
                <w:sz w:val="20"/>
                <w:szCs w:val="20"/>
              </w:rPr>
              <w:t>CZ-ISCO</w:t>
            </w:r>
          </w:p>
        </w:tc>
        <w:tc>
          <w:tcPr>
            <w:tcW w:w="828" w:type="dxa"/>
            <w:tcBorders>
              <w:top w:val="double" w:sz="4" w:space="0" w:color="auto"/>
            </w:tcBorders>
            <w:vAlign w:val="center"/>
          </w:tcPr>
          <w:p w:rsidR="0053026C" w:rsidRPr="00E04C25" w:rsidRDefault="0053026C" w:rsidP="002D2CCC">
            <w:pPr>
              <w:tabs>
                <w:tab w:val="left" w:pos="709"/>
              </w:tabs>
              <w:rPr>
                <w:rFonts w:ascii="Arial" w:hAnsi="Arial" w:cs="Arial"/>
                <w:b/>
                <w:sz w:val="18"/>
                <w:szCs w:val="18"/>
              </w:rPr>
            </w:pPr>
            <w:r w:rsidRPr="00E04C25">
              <w:rPr>
                <w:rFonts w:ascii="Arial" w:hAnsi="Arial" w:cs="Arial"/>
                <w:b/>
                <w:sz w:val="18"/>
                <w:szCs w:val="18"/>
              </w:rPr>
              <w:t>celkem</w:t>
            </w:r>
          </w:p>
        </w:tc>
        <w:tc>
          <w:tcPr>
            <w:tcW w:w="841" w:type="dxa"/>
            <w:tcBorders>
              <w:top w:val="double" w:sz="4" w:space="0" w:color="auto"/>
            </w:tcBorders>
            <w:vAlign w:val="center"/>
          </w:tcPr>
          <w:p w:rsidR="0053026C" w:rsidRPr="00E04C25" w:rsidRDefault="0053026C" w:rsidP="002D2CCC">
            <w:pPr>
              <w:tabs>
                <w:tab w:val="left" w:pos="709"/>
              </w:tabs>
              <w:jc w:val="center"/>
              <w:rPr>
                <w:rFonts w:ascii="Arial" w:hAnsi="Arial" w:cs="Arial"/>
                <w:b/>
                <w:sz w:val="18"/>
                <w:szCs w:val="18"/>
              </w:rPr>
            </w:pPr>
            <w:r w:rsidRPr="00E04C25">
              <w:rPr>
                <w:rFonts w:ascii="Arial" w:hAnsi="Arial" w:cs="Arial"/>
                <w:b/>
                <w:sz w:val="18"/>
                <w:szCs w:val="18"/>
              </w:rPr>
              <w:t>ISCO 1</w:t>
            </w:r>
          </w:p>
        </w:tc>
        <w:tc>
          <w:tcPr>
            <w:tcW w:w="841" w:type="dxa"/>
            <w:tcBorders>
              <w:top w:val="double" w:sz="4" w:space="0" w:color="auto"/>
            </w:tcBorders>
            <w:vAlign w:val="center"/>
          </w:tcPr>
          <w:p w:rsidR="0053026C" w:rsidRPr="00E04C25" w:rsidRDefault="0053026C" w:rsidP="002D2CCC">
            <w:pPr>
              <w:tabs>
                <w:tab w:val="left" w:pos="709"/>
              </w:tabs>
              <w:jc w:val="center"/>
              <w:rPr>
                <w:sz w:val="18"/>
                <w:szCs w:val="18"/>
              </w:rPr>
            </w:pPr>
            <w:r w:rsidRPr="00E04C25">
              <w:rPr>
                <w:rFonts w:ascii="Arial" w:hAnsi="Arial" w:cs="Arial"/>
                <w:b/>
                <w:sz w:val="18"/>
                <w:szCs w:val="18"/>
              </w:rPr>
              <w:t>ISCO 2</w:t>
            </w:r>
          </w:p>
        </w:tc>
        <w:tc>
          <w:tcPr>
            <w:tcW w:w="841" w:type="dxa"/>
            <w:tcBorders>
              <w:top w:val="double" w:sz="4" w:space="0" w:color="auto"/>
            </w:tcBorders>
            <w:vAlign w:val="center"/>
          </w:tcPr>
          <w:p w:rsidR="0053026C" w:rsidRPr="00E04C25" w:rsidRDefault="0053026C" w:rsidP="002D2CCC">
            <w:pPr>
              <w:tabs>
                <w:tab w:val="left" w:pos="709"/>
              </w:tabs>
              <w:jc w:val="center"/>
              <w:rPr>
                <w:sz w:val="18"/>
                <w:szCs w:val="18"/>
              </w:rPr>
            </w:pPr>
            <w:r w:rsidRPr="00E04C25">
              <w:rPr>
                <w:rFonts w:ascii="Arial" w:hAnsi="Arial" w:cs="Arial"/>
                <w:b/>
                <w:sz w:val="18"/>
                <w:szCs w:val="18"/>
              </w:rPr>
              <w:t>ISCO 3</w:t>
            </w:r>
          </w:p>
        </w:tc>
        <w:tc>
          <w:tcPr>
            <w:tcW w:w="842" w:type="dxa"/>
            <w:tcBorders>
              <w:top w:val="double" w:sz="4" w:space="0" w:color="auto"/>
            </w:tcBorders>
            <w:vAlign w:val="center"/>
          </w:tcPr>
          <w:p w:rsidR="0053026C" w:rsidRPr="00E04C25" w:rsidRDefault="0053026C" w:rsidP="002D2CCC">
            <w:pPr>
              <w:tabs>
                <w:tab w:val="left" w:pos="709"/>
              </w:tabs>
              <w:jc w:val="center"/>
              <w:rPr>
                <w:sz w:val="18"/>
                <w:szCs w:val="18"/>
              </w:rPr>
            </w:pPr>
            <w:r w:rsidRPr="00E04C25">
              <w:rPr>
                <w:rFonts w:ascii="Arial" w:hAnsi="Arial" w:cs="Arial"/>
                <w:b/>
                <w:sz w:val="18"/>
                <w:szCs w:val="18"/>
              </w:rPr>
              <w:t>ISCO 4</w:t>
            </w:r>
          </w:p>
        </w:tc>
        <w:tc>
          <w:tcPr>
            <w:tcW w:w="841" w:type="dxa"/>
            <w:tcBorders>
              <w:top w:val="double" w:sz="4" w:space="0" w:color="auto"/>
            </w:tcBorders>
            <w:vAlign w:val="center"/>
          </w:tcPr>
          <w:p w:rsidR="0053026C" w:rsidRPr="00E04C25" w:rsidRDefault="0053026C" w:rsidP="002D2CCC">
            <w:pPr>
              <w:tabs>
                <w:tab w:val="left" w:pos="709"/>
              </w:tabs>
              <w:jc w:val="center"/>
              <w:rPr>
                <w:sz w:val="18"/>
                <w:szCs w:val="18"/>
              </w:rPr>
            </w:pPr>
            <w:r w:rsidRPr="00E04C25">
              <w:rPr>
                <w:rFonts w:ascii="Arial" w:hAnsi="Arial" w:cs="Arial"/>
                <w:b/>
                <w:sz w:val="18"/>
                <w:szCs w:val="18"/>
              </w:rPr>
              <w:t>ISCO 5</w:t>
            </w:r>
          </w:p>
        </w:tc>
        <w:tc>
          <w:tcPr>
            <w:tcW w:w="841" w:type="dxa"/>
            <w:tcBorders>
              <w:top w:val="double" w:sz="4" w:space="0" w:color="auto"/>
            </w:tcBorders>
            <w:vAlign w:val="center"/>
          </w:tcPr>
          <w:p w:rsidR="0053026C" w:rsidRPr="00E04C25" w:rsidRDefault="0053026C" w:rsidP="002D2CCC">
            <w:pPr>
              <w:tabs>
                <w:tab w:val="left" w:pos="709"/>
              </w:tabs>
              <w:jc w:val="center"/>
              <w:rPr>
                <w:sz w:val="18"/>
                <w:szCs w:val="18"/>
              </w:rPr>
            </w:pPr>
            <w:r w:rsidRPr="00E04C25">
              <w:rPr>
                <w:rFonts w:ascii="Arial" w:hAnsi="Arial" w:cs="Arial"/>
                <w:b/>
                <w:sz w:val="18"/>
                <w:szCs w:val="18"/>
              </w:rPr>
              <w:t>ISCO 7</w:t>
            </w:r>
          </w:p>
        </w:tc>
        <w:tc>
          <w:tcPr>
            <w:tcW w:w="841" w:type="dxa"/>
            <w:tcBorders>
              <w:top w:val="double" w:sz="4" w:space="0" w:color="auto"/>
            </w:tcBorders>
            <w:vAlign w:val="center"/>
          </w:tcPr>
          <w:p w:rsidR="0053026C" w:rsidRPr="00E04C25" w:rsidRDefault="0053026C" w:rsidP="002D2CCC">
            <w:pPr>
              <w:tabs>
                <w:tab w:val="left" w:pos="709"/>
              </w:tabs>
              <w:jc w:val="center"/>
              <w:rPr>
                <w:sz w:val="18"/>
                <w:szCs w:val="18"/>
              </w:rPr>
            </w:pPr>
            <w:r w:rsidRPr="00E04C25">
              <w:rPr>
                <w:rFonts w:ascii="Arial" w:hAnsi="Arial" w:cs="Arial"/>
                <w:b/>
                <w:sz w:val="18"/>
                <w:szCs w:val="18"/>
              </w:rPr>
              <w:t>ISCO 8</w:t>
            </w:r>
          </w:p>
        </w:tc>
        <w:tc>
          <w:tcPr>
            <w:tcW w:w="842" w:type="dxa"/>
            <w:tcBorders>
              <w:top w:val="double" w:sz="4" w:space="0" w:color="auto"/>
              <w:right w:val="double" w:sz="4" w:space="0" w:color="auto"/>
            </w:tcBorders>
            <w:vAlign w:val="center"/>
          </w:tcPr>
          <w:p w:rsidR="0053026C" w:rsidRPr="00E04C25" w:rsidRDefault="0053026C" w:rsidP="002D2CCC">
            <w:pPr>
              <w:tabs>
                <w:tab w:val="left" w:pos="709"/>
              </w:tabs>
              <w:jc w:val="center"/>
              <w:rPr>
                <w:sz w:val="18"/>
                <w:szCs w:val="18"/>
              </w:rPr>
            </w:pPr>
            <w:r w:rsidRPr="00E04C25">
              <w:rPr>
                <w:rFonts w:ascii="Arial" w:hAnsi="Arial" w:cs="Arial"/>
                <w:b/>
                <w:sz w:val="18"/>
                <w:szCs w:val="18"/>
              </w:rPr>
              <w:t>ISCO 9</w:t>
            </w:r>
          </w:p>
        </w:tc>
      </w:tr>
      <w:tr w:rsidR="000D7FF0" w:rsidRPr="00E04C25" w:rsidTr="000D7FF0">
        <w:trPr>
          <w:trHeight w:val="406"/>
          <w:jc w:val="center"/>
        </w:trPr>
        <w:tc>
          <w:tcPr>
            <w:tcW w:w="1730" w:type="dxa"/>
            <w:tcBorders>
              <w:left w:val="double" w:sz="4" w:space="0" w:color="auto"/>
              <w:bottom w:val="single" w:sz="4" w:space="0" w:color="auto"/>
            </w:tcBorders>
            <w:vAlign w:val="center"/>
          </w:tcPr>
          <w:p w:rsidR="000D7FF0" w:rsidRPr="00E04C25" w:rsidRDefault="000D7FF0" w:rsidP="002D2CCC">
            <w:pPr>
              <w:tabs>
                <w:tab w:val="left" w:pos="709"/>
              </w:tabs>
              <w:rPr>
                <w:rFonts w:ascii="Arial" w:hAnsi="Arial" w:cs="Arial"/>
                <w:b/>
                <w:sz w:val="20"/>
                <w:szCs w:val="20"/>
              </w:rPr>
            </w:pPr>
            <w:r w:rsidRPr="00E04C25">
              <w:rPr>
                <w:rFonts w:ascii="Arial" w:hAnsi="Arial" w:cs="Arial"/>
                <w:b/>
                <w:sz w:val="20"/>
                <w:szCs w:val="20"/>
              </w:rPr>
              <w:t>celkem</w:t>
            </w:r>
          </w:p>
        </w:tc>
        <w:tc>
          <w:tcPr>
            <w:tcW w:w="828" w:type="dxa"/>
            <w:tcBorders>
              <w:bottom w:val="single" w:sz="4" w:space="0" w:color="auto"/>
            </w:tcBorders>
            <w:vAlign w:val="center"/>
          </w:tcPr>
          <w:p w:rsidR="000D7FF0" w:rsidRPr="00E04C25" w:rsidRDefault="000D7FF0" w:rsidP="002D2CCC">
            <w:pPr>
              <w:tabs>
                <w:tab w:val="left" w:pos="709"/>
              </w:tabs>
              <w:jc w:val="center"/>
              <w:rPr>
                <w:rFonts w:ascii="Arial" w:hAnsi="Arial" w:cs="Arial"/>
                <w:b/>
                <w:bCs/>
                <w:sz w:val="18"/>
                <w:szCs w:val="18"/>
              </w:rPr>
            </w:pPr>
            <w:r w:rsidRPr="00E04C25">
              <w:rPr>
                <w:rFonts w:ascii="Arial" w:hAnsi="Arial" w:cs="Arial"/>
                <w:b/>
                <w:bCs/>
                <w:sz w:val="18"/>
                <w:szCs w:val="18"/>
              </w:rPr>
              <w:t>100,0</w:t>
            </w:r>
          </w:p>
        </w:tc>
        <w:tc>
          <w:tcPr>
            <w:tcW w:w="841" w:type="dxa"/>
            <w:tcBorders>
              <w:bottom w:val="single" w:sz="4" w:space="0" w:color="auto"/>
            </w:tcBorders>
            <w:vAlign w:val="center"/>
          </w:tcPr>
          <w:p w:rsidR="000D7FF0" w:rsidRPr="00E04C25" w:rsidRDefault="000D7FF0">
            <w:pPr>
              <w:jc w:val="right"/>
              <w:rPr>
                <w:rFonts w:ascii="Arial" w:hAnsi="Arial" w:cs="Arial"/>
                <w:b/>
                <w:bCs/>
                <w:sz w:val="18"/>
                <w:szCs w:val="18"/>
              </w:rPr>
            </w:pPr>
            <w:r w:rsidRPr="00E04C25">
              <w:rPr>
                <w:rFonts w:ascii="Arial" w:hAnsi="Arial" w:cs="Arial"/>
                <w:b/>
                <w:bCs/>
                <w:sz w:val="18"/>
                <w:szCs w:val="18"/>
              </w:rPr>
              <w:t>4,8</w:t>
            </w:r>
          </w:p>
        </w:tc>
        <w:tc>
          <w:tcPr>
            <w:tcW w:w="841" w:type="dxa"/>
            <w:tcBorders>
              <w:bottom w:val="single" w:sz="4" w:space="0" w:color="auto"/>
            </w:tcBorders>
            <w:vAlign w:val="center"/>
          </w:tcPr>
          <w:p w:rsidR="000D7FF0" w:rsidRPr="00E04C25" w:rsidRDefault="000D7FF0">
            <w:pPr>
              <w:jc w:val="right"/>
              <w:rPr>
                <w:rFonts w:ascii="Arial" w:hAnsi="Arial" w:cs="Arial"/>
                <w:b/>
                <w:bCs/>
                <w:sz w:val="18"/>
                <w:szCs w:val="18"/>
              </w:rPr>
            </w:pPr>
            <w:r w:rsidRPr="00E04C25">
              <w:rPr>
                <w:rFonts w:ascii="Arial" w:hAnsi="Arial" w:cs="Arial"/>
                <w:b/>
                <w:bCs/>
                <w:sz w:val="18"/>
                <w:szCs w:val="18"/>
              </w:rPr>
              <w:t>15,4</w:t>
            </w:r>
          </w:p>
        </w:tc>
        <w:tc>
          <w:tcPr>
            <w:tcW w:w="841" w:type="dxa"/>
            <w:tcBorders>
              <w:bottom w:val="single" w:sz="4" w:space="0" w:color="auto"/>
            </w:tcBorders>
            <w:vAlign w:val="center"/>
          </w:tcPr>
          <w:p w:rsidR="000D7FF0" w:rsidRPr="00E04C25" w:rsidRDefault="000D7FF0">
            <w:pPr>
              <w:jc w:val="right"/>
              <w:rPr>
                <w:rFonts w:ascii="Arial" w:hAnsi="Arial" w:cs="Arial"/>
                <w:b/>
                <w:bCs/>
                <w:sz w:val="18"/>
                <w:szCs w:val="18"/>
              </w:rPr>
            </w:pPr>
            <w:r w:rsidRPr="00E04C25">
              <w:rPr>
                <w:rFonts w:ascii="Arial" w:hAnsi="Arial" w:cs="Arial"/>
                <w:b/>
                <w:bCs/>
                <w:sz w:val="18"/>
                <w:szCs w:val="18"/>
              </w:rPr>
              <w:t>17,8</w:t>
            </w:r>
          </w:p>
        </w:tc>
        <w:tc>
          <w:tcPr>
            <w:tcW w:w="842" w:type="dxa"/>
            <w:tcBorders>
              <w:bottom w:val="single" w:sz="4" w:space="0" w:color="auto"/>
            </w:tcBorders>
            <w:vAlign w:val="center"/>
          </w:tcPr>
          <w:p w:rsidR="000D7FF0" w:rsidRPr="00E04C25" w:rsidRDefault="000D7FF0">
            <w:pPr>
              <w:jc w:val="right"/>
              <w:rPr>
                <w:rFonts w:ascii="Arial" w:hAnsi="Arial" w:cs="Arial"/>
                <w:b/>
                <w:bCs/>
                <w:sz w:val="18"/>
                <w:szCs w:val="18"/>
              </w:rPr>
            </w:pPr>
            <w:r w:rsidRPr="00E04C25">
              <w:rPr>
                <w:rFonts w:ascii="Arial" w:hAnsi="Arial" w:cs="Arial"/>
                <w:b/>
                <w:bCs/>
                <w:sz w:val="18"/>
                <w:szCs w:val="18"/>
              </w:rPr>
              <w:t>9,8</w:t>
            </w:r>
          </w:p>
        </w:tc>
        <w:tc>
          <w:tcPr>
            <w:tcW w:w="841" w:type="dxa"/>
            <w:tcBorders>
              <w:bottom w:val="single" w:sz="4" w:space="0" w:color="auto"/>
            </w:tcBorders>
            <w:vAlign w:val="center"/>
          </w:tcPr>
          <w:p w:rsidR="000D7FF0" w:rsidRPr="00E04C25" w:rsidRDefault="000D7FF0">
            <w:pPr>
              <w:jc w:val="right"/>
              <w:rPr>
                <w:rFonts w:ascii="Arial" w:hAnsi="Arial" w:cs="Arial"/>
                <w:b/>
                <w:bCs/>
                <w:sz w:val="18"/>
                <w:szCs w:val="18"/>
              </w:rPr>
            </w:pPr>
            <w:r w:rsidRPr="00E04C25">
              <w:rPr>
                <w:rFonts w:ascii="Arial" w:hAnsi="Arial" w:cs="Arial"/>
                <w:b/>
                <w:bCs/>
                <w:sz w:val="18"/>
                <w:szCs w:val="18"/>
              </w:rPr>
              <w:t>15,0</w:t>
            </w:r>
          </w:p>
        </w:tc>
        <w:tc>
          <w:tcPr>
            <w:tcW w:w="841" w:type="dxa"/>
            <w:tcBorders>
              <w:bottom w:val="single" w:sz="4" w:space="0" w:color="auto"/>
            </w:tcBorders>
            <w:vAlign w:val="center"/>
          </w:tcPr>
          <w:p w:rsidR="000D7FF0" w:rsidRPr="00E04C25" w:rsidRDefault="000D7FF0">
            <w:pPr>
              <w:jc w:val="right"/>
              <w:rPr>
                <w:rFonts w:ascii="Arial" w:hAnsi="Arial" w:cs="Arial"/>
                <w:b/>
                <w:bCs/>
                <w:sz w:val="18"/>
                <w:szCs w:val="18"/>
              </w:rPr>
            </w:pPr>
            <w:r w:rsidRPr="00E04C25">
              <w:rPr>
                <w:rFonts w:ascii="Arial" w:hAnsi="Arial" w:cs="Arial"/>
                <w:b/>
                <w:bCs/>
                <w:sz w:val="18"/>
                <w:szCs w:val="18"/>
              </w:rPr>
              <w:t>16,6</w:t>
            </w:r>
          </w:p>
        </w:tc>
        <w:tc>
          <w:tcPr>
            <w:tcW w:w="841" w:type="dxa"/>
            <w:tcBorders>
              <w:bottom w:val="single" w:sz="4" w:space="0" w:color="auto"/>
            </w:tcBorders>
            <w:vAlign w:val="center"/>
          </w:tcPr>
          <w:p w:rsidR="000D7FF0" w:rsidRPr="00E04C25" w:rsidRDefault="000D7FF0">
            <w:pPr>
              <w:jc w:val="right"/>
              <w:rPr>
                <w:rFonts w:ascii="Arial" w:hAnsi="Arial" w:cs="Arial"/>
                <w:b/>
                <w:bCs/>
                <w:sz w:val="18"/>
                <w:szCs w:val="18"/>
              </w:rPr>
            </w:pPr>
            <w:r w:rsidRPr="00E04C25">
              <w:rPr>
                <w:rFonts w:ascii="Arial" w:hAnsi="Arial" w:cs="Arial"/>
                <w:b/>
                <w:bCs/>
                <w:sz w:val="18"/>
                <w:szCs w:val="18"/>
              </w:rPr>
              <w:t>13,7</w:t>
            </w:r>
          </w:p>
        </w:tc>
        <w:tc>
          <w:tcPr>
            <w:tcW w:w="842" w:type="dxa"/>
            <w:tcBorders>
              <w:bottom w:val="single" w:sz="4" w:space="0" w:color="auto"/>
              <w:right w:val="double" w:sz="4" w:space="0" w:color="auto"/>
            </w:tcBorders>
            <w:vAlign w:val="center"/>
          </w:tcPr>
          <w:p w:rsidR="000D7FF0" w:rsidRPr="00E04C25" w:rsidRDefault="000D7FF0">
            <w:pPr>
              <w:jc w:val="right"/>
              <w:rPr>
                <w:rFonts w:ascii="Arial" w:hAnsi="Arial" w:cs="Arial"/>
                <w:b/>
                <w:bCs/>
                <w:sz w:val="18"/>
                <w:szCs w:val="18"/>
              </w:rPr>
            </w:pPr>
            <w:r w:rsidRPr="00E04C25">
              <w:rPr>
                <w:rFonts w:ascii="Arial" w:hAnsi="Arial" w:cs="Arial"/>
                <w:b/>
                <w:bCs/>
                <w:sz w:val="18"/>
                <w:szCs w:val="18"/>
              </w:rPr>
              <w:t>5,3</w:t>
            </w:r>
          </w:p>
        </w:tc>
      </w:tr>
      <w:tr w:rsidR="000D7FF0" w:rsidRPr="00E04C25" w:rsidTr="000D7FF0">
        <w:trPr>
          <w:trHeight w:val="284"/>
          <w:jc w:val="center"/>
        </w:trPr>
        <w:tc>
          <w:tcPr>
            <w:tcW w:w="1730" w:type="dxa"/>
            <w:tcBorders>
              <w:left w:val="double" w:sz="4" w:space="0" w:color="auto"/>
              <w:bottom w:val="nil"/>
            </w:tcBorders>
            <w:vAlign w:val="center"/>
          </w:tcPr>
          <w:p w:rsidR="000D7FF0" w:rsidRPr="00E04C25" w:rsidRDefault="000D7FF0" w:rsidP="002D2CCC">
            <w:pPr>
              <w:tabs>
                <w:tab w:val="left" w:pos="709"/>
              </w:tabs>
              <w:rPr>
                <w:rFonts w:ascii="Arial" w:hAnsi="Arial" w:cs="Arial"/>
                <w:sz w:val="18"/>
                <w:szCs w:val="18"/>
              </w:rPr>
            </w:pPr>
            <w:r w:rsidRPr="00E04C25">
              <w:rPr>
                <w:rFonts w:ascii="Arial" w:hAnsi="Arial" w:cs="Arial"/>
                <w:sz w:val="18"/>
                <w:szCs w:val="18"/>
              </w:rPr>
              <w:t>Hl. m. Praha</w:t>
            </w:r>
          </w:p>
        </w:tc>
        <w:tc>
          <w:tcPr>
            <w:tcW w:w="828" w:type="dxa"/>
            <w:tcBorders>
              <w:bottom w:val="nil"/>
            </w:tcBorders>
            <w:vAlign w:val="center"/>
          </w:tcPr>
          <w:p w:rsidR="000D7FF0" w:rsidRPr="00E04C25" w:rsidRDefault="000D7FF0" w:rsidP="002D2CCC">
            <w:pPr>
              <w:tabs>
                <w:tab w:val="left" w:pos="709"/>
              </w:tabs>
              <w:jc w:val="center"/>
            </w:pPr>
            <w:r w:rsidRPr="00E04C25">
              <w:rPr>
                <w:rFonts w:ascii="Arial" w:hAnsi="Arial" w:cs="Arial"/>
                <w:bCs/>
                <w:sz w:val="18"/>
                <w:szCs w:val="18"/>
              </w:rPr>
              <w:t>100,0</w:t>
            </w:r>
          </w:p>
        </w:tc>
        <w:tc>
          <w:tcPr>
            <w:tcW w:w="841" w:type="dxa"/>
            <w:tcBorders>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7,3</w:t>
            </w:r>
          </w:p>
        </w:tc>
        <w:tc>
          <w:tcPr>
            <w:tcW w:w="841" w:type="dxa"/>
            <w:tcBorders>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28,8</w:t>
            </w:r>
          </w:p>
        </w:tc>
        <w:tc>
          <w:tcPr>
            <w:tcW w:w="841" w:type="dxa"/>
            <w:tcBorders>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20,9</w:t>
            </w:r>
          </w:p>
        </w:tc>
        <w:tc>
          <w:tcPr>
            <w:tcW w:w="842" w:type="dxa"/>
            <w:tcBorders>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12,2</w:t>
            </w:r>
          </w:p>
        </w:tc>
        <w:tc>
          <w:tcPr>
            <w:tcW w:w="841" w:type="dxa"/>
            <w:tcBorders>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13,6</w:t>
            </w:r>
          </w:p>
        </w:tc>
        <w:tc>
          <w:tcPr>
            <w:tcW w:w="841" w:type="dxa"/>
            <w:tcBorders>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9,6</w:t>
            </w:r>
          </w:p>
        </w:tc>
        <w:tc>
          <w:tcPr>
            <w:tcW w:w="841" w:type="dxa"/>
            <w:tcBorders>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4,5</w:t>
            </w:r>
          </w:p>
        </w:tc>
        <w:tc>
          <w:tcPr>
            <w:tcW w:w="842" w:type="dxa"/>
            <w:tcBorders>
              <w:bottom w:val="nil"/>
              <w:right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2,9</w:t>
            </w:r>
          </w:p>
        </w:tc>
      </w:tr>
      <w:tr w:rsidR="000D7FF0" w:rsidRPr="00E04C25" w:rsidTr="000D7FF0">
        <w:trPr>
          <w:trHeight w:val="284"/>
          <w:jc w:val="center"/>
        </w:trPr>
        <w:tc>
          <w:tcPr>
            <w:tcW w:w="1730" w:type="dxa"/>
            <w:tcBorders>
              <w:top w:val="nil"/>
              <w:left w:val="double" w:sz="4" w:space="0" w:color="auto"/>
              <w:bottom w:val="nil"/>
            </w:tcBorders>
            <w:vAlign w:val="center"/>
          </w:tcPr>
          <w:p w:rsidR="000D7FF0" w:rsidRPr="00E04C25" w:rsidRDefault="000D7FF0" w:rsidP="002D2CCC">
            <w:pPr>
              <w:tabs>
                <w:tab w:val="left" w:pos="709"/>
              </w:tabs>
              <w:rPr>
                <w:rFonts w:ascii="Arial" w:hAnsi="Arial" w:cs="Arial"/>
                <w:sz w:val="18"/>
                <w:szCs w:val="18"/>
              </w:rPr>
            </w:pPr>
            <w:r w:rsidRPr="00E04C25">
              <w:rPr>
                <w:rFonts w:ascii="Arial" w:hAnsi="Arial" w:cs="Arial"/>
                <w:sz w:val="18"/>
                <w:szCs w:val="18"/>
              </w:rPr>
              <w:t>Středočeský</w:t>
            </w:r>
          </w:p>
        </w:tc>
        <w:tc>
          <w:tcPr>
            <w:tcW w:w="828" w:type="dxa"/>
            <w:tcBorders>
              <w:top w:val="nil"/>
              <w:bottom w:val="nil"/>
            </w:tcBorders>
            <w:vAlign w:val="center"/>
          </w:tcPr>
          <w:p w:rsidR="000D7FF0" w:rsidRPr="00E04C25" w:rsidRDefault="000D7FF0" w:rsidP="002D2CCC">
            <w:pPr>
              <w:tabs>
                <w:tab w:val="left" w:pos="709"/>
              </w:tabs>
              <w:jc w:val="center"/>
            </w:pPr>
            <w:r w:rsidRPr="00E04C25">
              <w:rPr>
                <w:rFonts w:ascii="Arial" w:hAnsi="Arial" w:cs="Arial"/>
                <w:bCs/>
                <w:sz w:val="18"/>
                <w:szCs w:val="18"/>
              </w:rPr>
              <w:t>100,0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5,3</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14,2</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18,6</w:t>
            </w:r>
          </w:p>
        </w:tc>
        <w:tc>
          <w:tcPr>
            <w:tcW w:w="842"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11,0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15,9</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16,1</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12,7</w:t>
            </w:r>
          </w:p>
        </w:tc>
        <w:tc>
          <w:tcPr>
            <w:tcW w:w="842" w:type="dxa"/>
            <w:tcBorders>
              <w:top w:val="nil"/>
              <w:bottom w:val="nil"/>
              <w:right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4,4</w:t>
            </w:r>
          </w:p>
        </w:tc>
      </w:tr>
      <w:tr w:rsidR="000D7FF0" w:rsidRPr="00E04C25" w:rsidTr="000D7FF0">
        <w:trPr>
          <w:trHeight w:val="284"/>
          <w:jc w:val="center"/>
        </w:trPr>
        <w:tc>
          <w:tcPr>
            <w:tcW w:w="1730" w:type="dxa"/>
            <w:tcBorders>
              <w:top w:val="nil"/>
              <w:left w:val="double" w:sz="4" w:space="0" w:color="auto"/>
              <w:bottom w:val="nil"/>
            </w:tcBorders>
            <w:vAlign w:val="center"/>
          </w:tcPr>
          <w:p w:rsidR="000D7FF0" w:rsidRPr="00E04C25" w:rsidRDefault="000D7FF0" w:rsidP="002D2CCC">
            <w:pPr>
              <w:tabs>
                <w:tab w:val="left" w:pos="709"/>
              </w:tabs>
              <w:rPr>
                <w:rFonts w:ascii="Arial" w:hAnsi="Arial" w:cs="Arial"/>
                <w:sz w:val="18"/>
                <w:szCs w:val="18"/>
              </w:rPr>
            </w:pPr>
            <w:r w:rsidRPr="00E04C25">
              <w:rPr>
                <w:rFonts w:ascii="Arial" w:hAnsi="Arial" w:cs="Arial"/>
                <w:sz w:val="18"/>
                <w:szCs w:val="18"/>
              </w:rPr>
              <w:t>Jihočeský</w:t>
            </w:r>
          </w:p>
        </w:tc>
        <w:tc>
          <w:tcPr>
            <w:tcW w:w="828" w:type="dxa"/>
            <w:tcBorders>
              <w:top w:val="nil"/>
              <w:bottom w:val="nil"/>
            </w:tcBorders>
            <w:vAlign w:val="center"/>
          </w:tcPr>
          <w:p w:rsidR="000D7FF0" w:rsidRPr="00E04C25" w:rsidRDefault="000D7FF0" w:rsidP="002D2CCC">
            <w:pPr>
              <w:tabs>
                <w:tab w:val="left" w:pos="709"/>
              </w:tabs>
              <w:jc w:val="center"/>
            </w:pPr>
            <w:r w:rsidRPr="00E04C25">
              <w:rPr>
                <w:rFonts w:ascii="Arial" w:hAnsi="Arial" w:cs="Arial"/>
                <w:bCs/>
                <w:sz w:val="18"/>
                <w:szCs w:val="18"/>
              </w:rPr>
              <w:t>100,0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3,4</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10,8</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16,8</w:t>
            </w:r>
          </w:p>
        </w:tc>
        <w:tc>
          <w:tcPr>
            <w:tcW w:w="842"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8,7</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16,9</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18,3</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17,1</w:t>
            </w:r>
          </w:p>
        </w:tc>
        <w:tc>
          <w:tcPr>
            <w:tcW w:w="842" w:type="dxa"/>
            <w:tcBorders>
              <w:top w:val="nil"/>
              <w:bottom w:val="nil"/>
              <w:right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5,2</w:t>
            </w:r>
          </w:p>
        </w:tc>
      </w:tr>
      <w:tr w:rsidR="000D7FF0" w:rsidRPr="00E04C25" w:rsidTr="000D7FF0">
        <w:trPr>
          <w:trHeight w:val="284"/>
          <w:jc w:val="center"/>
        </w:trPr>
        <w:tc>
          <w:tcPr>
            <w:tcW w:w="1730" w:type="dxa"/>
            <w:tcBorders>
              <w:top w:val="nil"/>
              <w:left w:val="double" w:sz="4" w:space="0" w:color="auto"/>
              <w:bottom w:val="nil"/>
            </w:tcBorders>
            <w:vAlign w:val="center"/>
          </w:tcPr>
          <w:p w:rsidR="000D7FF0" w:rsidRPr="00E04C25" w:rsidRDefault="000D7FF0" w:rsidP="002D2CCC">
            <w:pPr>
              <w:tabs>
                <w:tab w:val="left" w:pos="709"/>
              </w:tabs>
              <w:rPr>
                <w:rFonts w:ascii="Arial" w:hAnsi="Arial" w:cs="Arial"/>
                <w:sz w:val="18"/>
                <w:szCs w:val="18"/>
              </w:rPr>
            </w:pPr>
            <w:r w:rsidRPr="00E04C25">
              <w:rPr>
                <w:rFonts w:ascii="Arial" w:hAnsi="Arial" w:cs="Arial"/>
                <w:sz w:val="18"/>
                <w:szCs w:val="18"/>
              </w:rPr>
              <w:t>Plzeňský</w:t>
            </w:r>
          </w:p>
        </w:tc>
        <w:tc>
          <w:tcPr>
            <w:tcW w:w="828" w:type="dxa"/>
            <w:tcBorders>
              <w:top w:val="nil"/>
              <w:bottom w:val="nil"/>
            </w:tcBorders>
            <w:vAlign w:val="center"/>
          </w:tcPr>
          <w:p w:rsidR="000D7FF0" w:rsidRPr="00E04C25" w:rsidRDefault="000D7FF0" w:rsidP="002D2CCC">
            <w:pPr>
              <w:tabs>
                <w:tab w:val="left" w:pos="709"/>
              </w:tabs>
              <w:jc w:val="center"/>
            </w:pPr>
            <w:r w:rsidRPr="00E04C25">
              <w:rPr>
                <w:rFonts w:ascii="Arial" w:hAnsi="Arial" w:cs="Arial"/>
                <w:bCs/>
                <w:sz w:val="18"/>
                <w:szCs w:val="18"/>
              </w:rPr>
              <w:t>100,0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3,7</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12,8</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18,3</w:t>
            </w:r>
          </w:p>
        </w:tc>
        <w:tc>
          <w:tcPr>
            <w:tcW w:w="842"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9,2</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13,3</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18,0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17,5</w:t>
            </w:r>
          </w:p>
        </w:tc>
        <w:tc>
          <w:tcPr>
            <w:tcW w:w="842" w:type="dxa"/>
            <w:tcBorders>
              <w:top w:val="nil"/>
              <w:bottom w:val="nil"/>
              <w:right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5,9</w:t>
            </w:r>
          </w:p>
        </w:tc>
      </w:tr>
      <w:tr w:rsidR="000D7FF0" w:rsidRPr="00E04C25" w:rsidTr="000D7FF0">
        <w:trPr>
          <w:trHeight w:val="284"/>
          <w:jc w:val="center"/>
        </w:trPr>
        <w:tc>
          <w:tcPr>
            <w:tcW w:w="1730" w:type="dxa"/>
            <w:tcBorders>
              <w:top w:val="nil"/>
              <w:left w:val="double" w:sz="4" w:space="0" w:color="auto"/>
              <w:bottom w:val="nil"/>
            </w:tcBorders>
            <w:vAlign w:val="center"/>
          </w:tcPr>
          <w:p w:rsidR="000D7FF0" w:rsidRPr="00E04C25" w:rsidRDefault="000D7FF0" w:rsidP="002D2CCC">
            <w:pPr>
              <w:tabs>
                <w:tab w:val="left" w:pos="709"/>
              </w:tabs>
              <w:rPr>
                <w:rFonts w:ascii="Arial" w:hAnsi="Arial" w:cs="Arial"/>
                <w:sz w:val="18"/>
                <w:szCs w:val="18"/>
              </w:rPr>
            </w:pPr>
            <w:r w:rsidRPr="00E04C25">
              <w:rPr>
                <w:rFonts w:ascii="Arial" w:hAnsi="Arial" w:cs="Arial"/>
                <w:sz w:val="18"/>
                <w:szCs w:val="18"/>
              </w:rPr>
              <w:t>Karlovarský</w:t>
            </w:r>
          </w:p>
        </w:tc>
        <w:tc>
          <w:tcPr>
            <w:tcW w:w="828" w:type="dxa"/>
            <w:tcBorders>
              <w:top w:val="nil"/>
              <w:bottom w:val="nil"/>
            </w:tcBorders>
            <w:vAlign w:val="center"/>
          </w:tcPr>
          <w:p w:rsidR="000D7FF0" w:rsidRPr="00E04C25" w:rsidRDefault="000D7FF0" w:rsidP="002D2CCC">
            <w:pPr>
              <w:tabs>
                <w:tab w:val="left" w:pos="709"/>
              </w:tabs>
              <w:jc w:val="center"/>
            </w:pPr>
            <w:r w:rsidRPr="00E04C25">
              <w:rPr>
                <w:rFonts w:ascii="Arial" w:hAnsi="Arial" w:cs="Arial"/>
                <w:bCs/>
                <w:sz w:val="18"/>
                <w:szCs w:val="18"/>
              </w:rPr>
              <w:t>100,0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5,5</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7,7</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15,3</w:t>
            </w:r>
          </w:p>
        </w:tc>
        <w:tc>
          <w:tcPr>
            <w:tcW w:w="842"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8,4</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17,8</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17,2</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17,9</w:t>
            </w:r>
          </w:p>
        </w:tc>
        <w:tc>
          <w:tcPr>
            <w:tcW w:w="842" w:type="dxa"/>
            <w:tcBorders>
              <w:top w:val="nil"/>
              <w:bottom w:val="nil"/>
              <w:right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8,4</w:t>
            </w:r>
          </w:p>
        </w:tc>
      </w:tr>
      <w:tr w:rsidR="000D7FF0" w:rsidRPr="00E04C25" w:rsidTr="000D7FF0">
        <w:trPr>
          <w:trHeight w:val="284"/>
          <w:jc w:val="center"/>
        </w:trPr>
        <w:tc>
          <w:tcPr>
            <w:tcW w:w="1730" w:type="dxa"/>
            <w:tcBorders>
              <w:top w:val="nil"/>
              <w:left w:val="double" w:sz="4" w:space="0" w:color="auto"/>
              <w:bottom w:val="nil"/>
            </w:tcBorders>
            <w:vAlign w:val="center"/>
          </w:tcPr>
          <w:p w:rsidR="000D7FF0" w:rsidRPr="00E04C25" w:rsidRDefault="000D7FF0" w:rsidP="002D2CCC">
            <w:pPr>
              <w:tabs>
                <w:tab w:val="left" w:pos="709"/>
              </w:tabs>
              <w:rPr>
                <w:rFonts w:ascii="Arial" w:hAnsi="Arial" w:cs="Arial"/>
                <w:sz w:val="18"/>
                <w:szCs w:val="18"/>
              </w:rPr>
            </w:pPr>
            <w:r w:rsidRPr="00E04C25">
              <w:rPr>
                <w:rFonts w:ascii="Arial" w:hAnsi="Arial" w:cs="Arial"/>
                <w:sz w:val="18"/>
                <w:szCs w:val="18"/>
              </w:rPr>
              <w:t>Ústecký</w:t>
            </w:r>
          </w:p>
        </w:tc>
        <w:tc>
          <w:tcPr>
            <w:tcW w:w="828" w:type="dxa"/>
            <w:tcBorders>
              <w:top w:val="nil"/>
              <w:bottom w:val="nil"/>
            </w:tcBorders>
            <w:vAlign w:val="center"/>
          </w:tcPr>
          <w:p w:rsidR="000D7FF0" w:rsidRPr="00E04C25" w:rsidRDefault="000D7FF0" w:rsidP="002D2CCC">
            <w:pPr>
              <w:tabs>
                <w:tab w:val="left" w:pos="709"/>
              </w:tabs>
              <w:jc w:val="center"/>
            </w:pPr>
            <w:r w:rsidRPr="00E04C25">
              <w:rPr>
                <w:rFonts w:ascii="Arial" w:hAnsi="Arial" w:cs="Arial"/>
                <w:bCs/>
                <w:sz w:val="18"/>
                <w:szCs w:val="18"/>
              </w:rPr>
              <w:t>100,0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3,5</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9,9</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16,4</w:t>
            </w:r>
          </w:p>
        </w:tc>
        <w:tc>
          <w:tcPr>
            <w:tcW w:w="842"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8,9</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19,0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18,2</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16,8</w:t>
            </w:r>
          </w:p>
        </w:tc>
        <w:tc>
          <w:tcPr>
            <w:tcW w:w="842" w:type="dxa"/>
            <w:tcBorders>
              <w:top w:val="nil"/>
              <w:bottom w:val="nil"/>
              <w:right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5,5</w:t>
            </w:r>
          </w:p>
        </w:tc>
      </w:tr>
      <w:tr w:rsidR="000D7FF0" w:rsidRPr="00E04C25" w:rsidTr="000D7FF0">
        <w:trPr>
          <w:trHeight w:val="284"/>
          <w:jc w:val="center"/>
        </w:trPr>
        <w:tc>
          <w:tcPr>
            <w:tcW w:w="1730" w:type="dxa"/>
            <w:tcBorders>
              <w:top w:val="nil"/>
              <w:left w:val="double" w:sz="4" w:space="0" w:color="auto"/>
              <w:bottom w:val="nil"/>
            </w:tcBorders>
            <w:vAlign w:val="center"/>
          </w:tcPr>
          <w:p w:rsidR="000D7FF0" w:rsidRPr="00E04C25" w:rsidRDefault="000D7FF0" w:rsidP="002D2CCC">
            <w:pPr>
              <w:tabs>
                <w:tab w:val="left" w:pos="709"/>
              </w:tabs>
              <w:rPr>
                <w:rFonts w:ascii="Arial" w:hAnsi="Arial" w:cs="Arial"/>
                <w:sz w:val="18"/>
                <w:szCs w:val="18"/>
              </w:rPr>
            </w:pPr>
            <w:r w:rsidRPr="00E04C25">
              <w:rPr>
                <w:rFonts w:ascii="Arial" w:hAnsi="Arial" w:cs="Arial"/>
                <w:sz w:val="18"/>
                <w:szCs w:val="18"/>
              </w:rPr>
              <w:t>Liberecký</w:t>
            </w:r>
          </w:p>
        </w:tc>
        <w:tc>
          <w:tcPr>
            <w:tcW w:w="828" w:type="dxa"/>
            <w:tcBorders>
              <w:top w:val="nil"/>
              <w:bottom w:val="nil"/>
            </w:tcBorders>
            <w:vAlign w:val="center"/>
          </w:tcPr>
          <w:p w:rsidR="000D7FF0" w:rsidRPr="00E04C25" w:rsidRDefault="000D7FF0" w:rsidP="002D2CCC">
            <w:pPr>
              <w:tabs>
                <w:tab w:val="left" w:pos="709"/>
              </w:tabs>
              <w:jc w:val="center"/>
            </w:pPr>
            <w:r w:rsidRPr="00E04C25">
              <w:rPr>
                <w:rFonts w:ascii="Arial" w:hAnsi="Arial" w:cs="Arial"/>
                <w:bCs/>
                <w:sz w:val="18"/>
                <w:szCs w:val="18"/>
              </w:rPr>
              <w:t>100,0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6,0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13,9</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14,0</w:t>
            </w:r>
          </w:p>
        </w:tc>
        <w:tc>
          <w:tcPr>
            <w:tcW w:w="842"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8,5</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13,1</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17,3</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18,8</w:t>
            </w:r>
          </w:p>
        </w:tc>
        <w:tc>
          <w:tcPr>
            <w:tcW w:w="842" w:type="dxa"/>
            <w:tcBorders>
              <w:top w:val="nil"/>
              <w:bottom w:val="nil"/>
              <w:right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7,0</w:t>
            </w:r>
          </w:p>
        </w:tc>
      </w:tr>
      <w:tr w:rsidR="000D7FF0" w:rsidRPr="00E04C25" w:rsidTr="000D7FF0">
        <w:trPr>
          <w:trHeight w:val="284"/>
          <w:jc w:val="center"/>
        </w:trPr>
        <w:tc>
          <w:tcPr>
            <w:tcW w:w="1730" w:type="dxa"/>
            <w:tcBorders>
              <w:top w:val="nil"/>
              <w:left w:val="double" w:sz="4" w:space="0" w:color="auto"/>
              <w:bottom w:val="nil"/>
            </w:tcBorders>
            <w:vAlign w:val="center"/>
          </w:tcPr>
          <w:p w:rsidR="000D7FF0" w:rsidRPr="00E04C25" w:rsidRDefault="000D7FF0" w:rsidP="002D2CCC">
            <w:pPr>
              <w:tabs>
                <w:tab w:val="left" w:pos="709"/>
              </w:tabs>
              <w:rPr>
                <w:rFonts w:ascii="Arial" w:hAnsi="Arial" w:cs="Arial"/>
                <w:sz w:val="18"/>
                <w:szCs w:val="18"/>
              </w:rPr>
            </w:pPr>
            <w:r w:rsidRPr="00E04C25">
              <w:rPr>
                <w:rFonts w:ascii="Arial" w:hAnsi="Arial" w:cs="Arial"/>
                <w:sz w:val="18"/>
                <w:szCs w:val="18"/>
              </w:rPr>
              <w:t>Královehradecký</w:t>
            </w:r>
          </w:p>
        </w:tc>
        <w:tc>
          <w:tcPr>
            <w:tcW w:w="828" w:type="dxa"/>
            <w:tcBorders>
              <w:top w:val="nil"/>
              <w:bottom w:val="nil"/>
            </w:tcBorders>
            <w:vAlign w:val="center"/>
          </w:tcPr>
          <w:p w:rsidR="000D7FF0" w:rsidRPr="00E04C25" w:rsidRDefault="000D7FF0" w:rsidP="002D2CCC">
            <w:pPr>
              <w:tabs>
                <w:tab w:val="left" w:pos="709"/>
              </w:tabs>
              <w:jc w:val="center"/>
            </w:pPr>
            <w:r w:rsidRPr="00E04C25">
              <w:rPr>
                <w:rFonts w:ascii="Arial" w:hAnsi="Arial" w:cs="Arial"/>
                <w:bCs/>
                <w:sz w:val="18"/>
                <w:szCs w:val="18"/>
              </w:rPr>
              <w:t>100,0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4,9</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13,2</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19,2</w:t>
            </w:r>
          </w:p>
        </w:tc>
        <w:tc>
          <w:tcPr>
            <w:tcW w:w="842"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9,9</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14,6</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17,3</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13,7</w:t>
            </w:r>
          </w:p>
        </w:tc>
        <w:tc>
          <w:tcPr>
            <w:tcW w:w="842" w:type="dxa"/>
            <w:tcBorders>
              <w:top w:val="nil"/>
              <w:bottom w:val="nil"/>
              <w:right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5,7</w:t>
            </w:r>
          </w:p>
        </w:tc>
      </w:tr>
      <w:tr w:rsidR="000D7FF0" w:rsidRPr="00E04C25" w:rsidTr="000D7FF0">
        <w:trPr>
          <w:trHeight w:val="284"/>
          <w:jc w:val="center"/>
        </w:trPr>
        <w:tc>
          <w:tcPr>
            <w:tcW w:w="1730" w:type="dxa"/>
            <w:tcBorders>
              <w:top w:val="nil"/>
              <w:left w:val="double" w:sz="4" w:space="0" w:color="auto"/>
              <w:bottom w:val="nil"/>
            </w:tcBorders>
            <w:vAlign w:val="center"/>
          </w:tcPr>
          <w:p w:rsidR="000D7FF0" w:rsidRPr="00E04C25" w:rsidRDefault="000D7FF0" w:rsidP="002D2CCC">
            <w:pPr>
              <w:tabs>
                <w:tab w:val="left" w:pos="709"/>
              </w:tabs>
              <w:rPr>
                <w:rFonts w:ascii="Arial" w:hAnsi="Arial" w:cs="Arial"/>
                <w:sz w:val="18"/>
                <w:szCs w:val="18"/>
              </w:rPr>
            </w:pPr>
            <w:r w:rsidRPr="00E04C25">
              <w:rPr>
                <w:rFonts w:ascii="Arial" w:hAnsi="Arial" w:cs="Arial"/>
                <w:sz w:val="18"/>
                <w:szCs w:val="18"/>
              </w:rPr>
              <w:t>Pardubický</w:t>
            </w:r>
          </w:p>
        </w:tc>
        <w:tc>
          <w:tcPr>
            <w:tcW w:w="828" w:type="dxa"/>
            <w:tcBorders>
              <w:top w:val="nil"/>
              <w:bottom w:val="nil"/>
            </w:tcBorders>
            <w:vAlign w:val="center"/>
          </w:tcPr>
          <w:p w:rsidR="000D7FF0" w:rsidRPr="00E04C25" w:rsidRDefault="000D7FF0" w:rsidP="002D2CCC">
            <w:pPr>
              <w:tabs>
                <w:tab w:val="left" w:pos="709"/>
              </w:tabs>
              <w:jc w:val="center"/>
            </w:pPr>
            <w:r w:rsidRPr="00E04C25">
              <w:rPr>
                <w:rFonts w:ascii="Arial" w:hAnsi="Arial" w:cs="Arial"/>
                <w:bCs/>
                <w:sz w:val="18"/>
                <w:szCs w:val="18"/>
              </w:rPr>
              <w:t>100,0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3,5</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12,4</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18,8</w:t>
            </w:r>
          </w:p>
        </w:tc>
        <w:tc>
          <w:tcPr>
            <w:tcW w:w="842"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10,8</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13,4</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16,6</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16,8</w:t>
            </w:r>
          </w:p>
        </w:tc>
        <w:tc>
          <w:tcPr>
            <w:tcW w:w="842" w:type="dxa"/>
            <w:tcBorders>
              <w:top w:val="nil"/>
              <w:bottom w:val="nil"/>
              <w:right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5,5</w:t>
            </w:r>
          </w:p>
        </w:tc>
      </w:tr>
      <w:tr w:rsidR="000D7FF0" w:rsidRPr="00E04C25" w:rsidTr="000D7FF0">
        <w:trPr>
          <w:trHeight w:val="284"/>
          <w:jc w:val="center"/>
        </w:trPr>
        <w:tc>
          <w:tcPr>
            <w:tcW w:w="1730" w:type="dxa"/>
            <w:tcBorders>
              <w:top w:val="nil"/>
              <w:left w:val="double" w:sz="4" w:space="0" w:color="auto"/>
              <w:bottom w:val="nil"/>
            </w:tcBorders>
            <w:vAlign w:val="center"/>
          </w:tcPr>
          <w:p w:rsidR="000D7FF0" w:rsidRPr="00E04C25" w:rsidRDefault="000D7FF0" w:rsidP="002D2CCC">
            <w:pPr>
              <w:tabs>
                <w:tab w:val="left" w:pos="709"/>
              </w:tabs>
              <w:rPr>
                <w:rFonts w:ascii="Arial" w:hAnsi="Arial" w:cs="Arial"/>
                <w:sz w:val="18"/>
                <w:szCs w:val="18"/>
              </w:rPr>
            </w:pPr>
            <w:r w:rsidRPr="00E04C25">
              <w:rPr>
                <w:rFonts w:ascii="Arial" w:hAnsi="Arial" w:cs="Arial"/>
                <w:sz w:val="18"/>
                <w:szCs w:val="18"/>
              </w:rPr>
              <w:t>Kraj Vysočina</w:t>
            </w:r>
          </w:p>
        </w:tc>
        <w:tc>
          <w:tcPr>
            <w:tcW w:w="828" w:type="dxa"/>
            <w:tcBorders>
              <w:top w:val="nil"/>
              <w:bottom w:val="nil"/>
            </w:tcBorders>
            <w:vAlign w:val="center"/>
          </w:tcPr>
          <w:p w:rsidR="000D7FF0" w:rsidRPr="00E04C25" w:rsidRDefault="000D7FF0" w:rsidP="002D2CCC">
            <w:pPr>
              <w:tabs>
                <w:tab w:val="left" w:pos="709"/>
              </w:tabs>
              <w:jc w:val="center"/>
            </w:pPr>
            <w:r w:rsidRPr="00E04C25">
              <w:rPr>
                <w:rFonts w:ascii="Arial" w:hAnsi="Arial" w:cs="Arial"/>
                <w:bCs/>
                <w:sz w:val="18"/>
                <w:szCs w:val="18"/>
              </w:rPr>
              <w:t>100,0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3,4</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11,8</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15,7</w:t>
            </w:r>
          </w:p>
        </w:tc>
        <w:tc>
          <w:tcPr>
            <w:tcW w:w="842"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7,3</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15,0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20,4</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18,3</w:t>
            </w:r>
          </w:p>
        </w:tc>
        <w:tc>
          <w:tcPr>
            <w:tcW w:w="842" w:type="dxa"/>
            <w:tcBorders>
              <w:top w:val="nil"/>
              <w:bottom w:val="nil"/>
              <w:right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5,3</w:t>
            </w:r>
          </w:p>
        </w:tc>
      </w:tr>
      <w:tr w:rsidR="000D7FF0" w:rsidRPr="00E04C25" w:rsidTr="000D7FF0">
        <w:trPr>
          <w:trHeight w:val="284"/>
          <w:jc w:val="center"/>
        </w:trPr>
        <w:tc>
          <w:tcPr>
            <w:tcW w:w="1730" w:type="dxa"/>
            <w:tcBorders>
              <w:top w:val="nil"/>
              <w:left w:val="double" w:sz="4" w:space="0" w:color="auto"/>
              <w:bottom w:val="nil"/>
            </w:tcBorders>
            <w:vAlign w:val="center"/>
          </w:tcPr>
          <w:p w:rsidR="000D7FF0" w:rsidRPr="00E04C25" w:rsidRDefault="000D7FF0" w:rsidP="002D2CCC">
            <w:pPr>
              <w:tabs>
                <w:tab w:val="left" w:pos="709"/>
              </w:tabs>
              <w:rPr>
                <w:rFonts w:ascii="Arial" w:hAnsi="Arial" w:cs="Arial"/>
                <w:sz w:val="18"/>
                <w:szCs w:val="18"/>
              </w:rPr>
            </w:pPr>
            <w:r w:rsidRPr="00E04C25">
              <w:rPr>
                <w:rFonts w:ascii="Arial" w:hAnsi="Arial" w:cs="Arial"/>
                <w:sz w:val="18"/>
                <w:szCs w:val="18"/>
              </w:rPr>
              <w:t>Jihomoravský</w:t>
            </w:r>
          </w:p>
        </w:tc>
        <w:tc>
          <w:tcPr>
            <w:tcW w:w="828" w:type="dxa"/>
            <w:tcBorders>
              <w:top w:val="nil"/>
              <w:bottom w:val="nil"/>
            </w:tcBorders>
            <w:vAlign w:val="center"/>
          </w:tcPr>
          <w:p w:rsidR="000D7FF0" w:rsidRPr="00E04C25" w:rsidRDefault="000D7FF0" w:rsidP="002D2CCC">
            <w:pPr>
              <w:tabs>
                <w:tab w:val="left" w:pos="709"/>
              </w:tabs>
              <w:jc w:val="center"/>
            </w:pPr>
            <w:r w:rsidRPr="00E04C25">
              <w:rPr>
                <w:rFonts w:ascii="Arial" w:hAnsi="Arial" w:cs="Arial"/>
                <w:bCs/>
                <w:sz w:val="18"/>
                <w:szCs w:val="18"/>
              </w:rPr>
              <w:t>100,0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5,9</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19,0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16,5</w:t>
            </w:r>
          </w:p>
        </w:tc>
        <w:tc>
          <w:tcPr>
            <w:tcW w:w="842"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10,1</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13,6</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16,1</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10,9</w:t>
            </w:r>
          </w:p>
        </w:tc>
        <w:tc>
          <w:tcPr>
            <w:tcW w:w="842" w:type="dxa"/>
            <w:tcBorders>
              <w:top w:val="nil"/>
              <w:bottom w:val="nil"/>
              <w:right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6,2</w:t>
            </w:r>
          </w:p>
        </w:tc>
      </w:tr>
      <w:tr w:rsidR="000D7FF0" w:rsidRPr="00E04C25" w:rsidTr="000D7FF0">
        <w:trPr>
          <w:trHeight w:val="284"/>
          <w:jc w:val="center"/>
        </w:trPr>
        <w:tc>
          <w:tcPr>
            <w:tcW w:w="1730" w:type="dxa"/>
            <w:tcBorders>
              <w:top w:val="nil"/>
              <w:left w:val="double" w:sz="4" w:space="0" w:color="auto"/>
              <w:bottom w:val="nil"/>
            </w:tcBorders>
            <w:vAlign w:val="center"/>
          </w:tcPr>
          <w:p w:rsidR="000D7FF0" w:rsidRPr="00E04C25" w:rsidRDefault="000D7FF0" w:rsidP="002D2CCC">
            <w:pPr>
              <w:tabs>
                <w:tab w:val="left" w:pos="709"/>
              </w:tabs>
              <w:rPr>
                <w:rFonts w:ascii="Arial" w:hAnsi="Arial" w:cs="Arial"/>
                <w:sz w:val="18"/>
                <w:szCs w:val="18"/>
              </w:rPr>
            </w:pPr>
            <w:r w:rsidRPr="00E04C25">
              <w:rPr>
                <w:rFonts w:ascii="Arial" w:hAnsi="Arial" w:cs="Arial"/>
                <w:sz w:val="18"/>
                <w:szCs w:val="18"/>
              </w:rPr>
              <w:t>Olomoucký</w:t>
            </w:r>
          </w:p>
        </w:tc>
        <w:tc>
          <w:tcPr>
            <w:tcW w:w="828" w:type="dxa"/>
            <w:tcBorders>
              <w:top w:val="nil"/>
              <w:bottom w:val="nil"/>
            </w:tcBorders>
            <w:vAlign w:val="center"/>
          </w:tcPr>
          <w:p w:rsidR="000D7FF0" w:rsidRPr="00E04C25" w:rsidRDefault="000D7FF0" w:rsidP="002D2CCC">
            <w:pPr>
              <w:tabs>
                <w:tab w:val="left" w:pos="709"/>
              </w:tabs>
              <w:jc w:val="center"/>
            </w:pPr>
            <w:r w:rsidRPr="00E04C25">
              <w:rPr>
                <w:rFonts w:ascii="Arial" w:hAnsi="Arial" w:cs="Arial"/>
                <w:bCs/>
                <w:sz w:val="18"/>
                <w:szCs w:val="18"/>
              </w:rPr>
              <w:t>100,0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4,3</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11,6</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17,5</w:t>
            </w:r>
          </w:p>
        </w:tc>
        <w:tc>
          <w:tcPr>
            <w:tcW w:w="842"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8,3</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15,4</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19,3</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14,6</w:t>
            </w:r>
          </w:p>
        </w:tc>
        <w:tc>
          <w:tcPr>
            <w:tcW w:w="842" w:type="dxa"/>
            <w:tcBorders>
              <w:top w:val="nil"/>
              <w:bottom w:val="nil"/>
              <w:right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5,7</w:t>
            </w:r>
          </w:p>
        </w:tc>
      </w:tr>
      <w:tr w:rsidR="000D7FF0" w:rsidRPr="00E04C25" w:rsidTr="000D7FF0">
        <w:trPr>
          <w:trHeight w:val="284"/>
          <w:jc w:val="center"/>
        </w:trPr>
        <w:tc>
          <w:tcPr>
            <w:tcW w:w="1730" w:type="dxa"/>
            <w:tcBorders>
              <w:top w:val="nil"/>
              <w:left w:val="double" w:sz="4" w:space="0" w:color="auto"/>
              <w:bottom w:val="nil"/>
            </w:tcBorders>
            <w:vAlign w:val="center"/>
          </w:tcPr>
          <w:p w:rsidR="000D7FF0" w:rsidRPr="00E04C25" w:rsidRDefault="000D7FF0" w:rsidP="002D2CCC">
            <w:pPr>
              <w:tabs>
                <w:tab w:val="left" w:pos="709"/>
              </w:tabs>
              <w:rPr>
                <w:rFonts w:ascii="Arial" w:hAnsi="Arial" w:cs="Arial"/>
                <w:sz w:val="18"/>
                <w:szCs w:val="18"/>
              </w:rPr>
            </w:pPr>
            <w:r w:rsidRPr="00E04C25">
              <w:rPr>
                <w:rFonts w:ascii="Arial" w:hAnsi="Arial" w:cs="Arial"/>
                <w:sz w:val="18"/>
                <w:szCs w:val="18"/>
              </w:rPr>
              <w:t>Zlínský</w:t>
            </w:r>
          </w:p>
        </w:tc>
        <w:tc>
          <w:tcPr>
            <w:tcW w:w="828" w:type="dxa"/>
            <w:tcBorders>
              <w:top w:val="nil"/>
              <w:bottom w:val="nil"/>
            </w:tcBorders>
            <w:vAlign w:val="center"/>
          </w:tcPr>
          <w:p w:rsidR="000D7FF0" w:rsidRPr="00E04C25" w:rsidRDefault="000D7FF0" w:rsidP="002D2CCC">
            <w:pPr>
              <w:tabs>
                <w:tab w:val="left" w:pos="709"/>
              </w:tabs>
              <w:jc w:val="center"/>
            </w:pPr>
            <w:r w:rsidRPr="00E04C25">
              <w:rPr>
                <w:rFonts w:ascii="Arial" w:hAnsi="Arial" w:cs="Arial"/>
                <w:bCs/>
                <w:sz w:val="18"/>
                <w:szCs w:val="18"/>
              </w:rPr>
              <w:t>100,0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3,9</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12,0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16,7</w:t>
            </w:r>
          </w:p>
        </w:tc>
        <w:tc>
          <w:tcPr>
            <w:tcW w:w="842"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8,3</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14,9</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21,0</w:t>
            </w:r>
          </w:p>
        </w:tc>
        <w:tc>
          <w:tcPr>
            <w:tcW w:w="841" w:type="dxa"/>
            <w:tcBorders>
              <w:top w:val="nil"/>
              <w:bottom w:val="nil"/>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15,3</w:t>
            </w:r>
          </w:p>
        </w:tc>
        <w:tc>
          <w:tcPr>
            <w:tcW w:w="842" w:type="dxa"/>
            <w:tcBorders>
              <w:top w:val="nil"/>
              <w:bottom w:val="nil"/>
              <w:right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5,9</w:t>
            </w:r>
          </w:p>
        </w:tc>
      </w:tr>
      <w:tr w:rsidR="000D7FF0" w:rsidRPr="00E04C25" w:rsidTr="000D7FF0">
        <w:trPr>
          <w:trHeight w:val="284"/>
          <w:jc w:val="center"/>
        </w:trPr>
        <w:tc>
          <w:tcPr>
            <w:tcW w:w="1730" w:type="dxa"/>
            <w:tcBorders>
              <w:top w:val="nil"/>
              <w:left w:val="double" w:sz="4" w:space="0" w:color="auto"/>
              <w:bottom w:val="double" w:sz="4" w:space="0" w:color="auto"/>
            </w:tcBorders>
            <w:vAlign w:val="center"/>
          </w:tcPr>
          <w:p w:rsidR="000D7FF0" w:rsidRPr="00E04C25" w:rsidRDefault="000D7FF0" w:rsidP="002D2CCC">
            <w:pPr>
              <w:tabs>
                <w:tab w:val="left" w:pos="709"/>
              </w:tabs>
              <w:rPr>
                <w:rFonts w:ascii="Arial" w:hAnsi="Arial" w:cs="Arial"/>
                <w:sz w:val="18"/>
                <w:szCs w:val="18"/>
              </w:rPr>
            </w:pPr>
            <w:r w:rsidRPr="00E04C25">
              <w:rPr>
                <w:rFonts w:ascii="Arial" w:hAnsi="Arial" w:cs="Arial"/>
                <w:sz w:val="18"/>
                <w:szCs w:val="18"/>
              </w:rPr>
              <w:t>Moravskoslezský</w:t>
            </w:r>
          </w:p>
        </w:tc>
        <w:tc>
          <w:tcPr>
            <w:tcW w:w="828" w:type="dxa"/>
            <w:tcBorders>
              <w:top w:val="nil"/>
              <w:bottom w:val="double" w:sz="4" w:space="0" w:color="auto"/>
            </w:tcBorders>
            <w:vAlign w:val="center"/>
          </w:tcPr>
          <w:p w:rsidR="000D7FF0" w:rsidRPr="00E04C25" w:rsidRDefault="000D7FF0" w:rsidP="002D2CCC">
            <w:pPr>
              <w:tabs>
                <w:tab w:val="left" w:pos="709"/>
              </w:tabs>
              <w:jc w:val="center"/>
            </w:pPr>
            <w:r w:rsidRPr="00E04C25">
              <w:rPr>
                <w:rFonts w:ascii="Arial" w:hAnsi="Arial" w:cs="Arial"/>
                <w:bCs/>
                <w:sz w:val="18"/>
                <w:szCs w:val="18"/>
              </w:rPr>
              <w:t>100,0</w:t>
            </w:r>
          </w:p>
        </w:tc>
        <w:tc>
          <w:tcPr>
            <w:tcW w:w="841" w:type="dxa"/>
            <w:tcBorders>
              <w:top w:val="nil"/>
              <w:bottom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3,5</w:t>
            </w:r>
          </w:p>
        </w:tc>
        <w:tc>
          <w:tcPr>
            <w:tcW w:w="841" w:type="dxa"/>
            <w:tcBorders>
              <w:top w:val="nil"/>
              <w:bottom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14,6</w:t>
            </w:r>
          </w:p>
        </w:tc>
        <w:tc>
          <w:tcPr>
            <w:tcW w:w="841" w:type="dxa"/>
            <w:tcBorders>
              <w:top w:val="nil"/>
              <w:bottom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18,3</w:t>
            </w:r>
          </w:p>
        </w:tc>
        <w:tc>
          <w:tcPr>
            <w:tcW w:w="842" w:type="dxa"/>
            <w:tcBorders>
              <w:top w:val="nil"/>
              <w:bottom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9,3</w:t>
            </w:r>
          </w:p>
        </w:tc>
        <w:tc>
          <w:tcPr>
            <w:tcW w:w="841" w:type="dxa"/>
            <w:tcBorders>
              <w:top w:val="nil"/>
              <w:bottom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15,2</w:t>
            </w:r>
          </w:p>
        </w:tc>
        <w:tc>
          <w:tcPr>
            <w:tcW w:w="841" w:type="dxa"/>
            <w:tcBorders>
              <w:top w:val="nil"/>
              <w:bottom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17,1</w:t>
            </w:r>
          </w:p>
        </w:tc>
        <w:tc>
          <w:tcPr>
            <w:tcW w:w="841" w:type="dxa"/>
            <w:tcBorders>
              <w:top w:val="nil"/>
              <w:bottom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15,2</w:t>
            </w:r>
          </w:p>
        </w:tc>
        <w:tc>
          <w:tcPr>
            <w:tcW w:w="842" w:type="dxa"/>
            <w:tcBorders>
              <w:top w:val="nil"/>
              <w:bottom w:val="double" w:sz="4" w:space="0" w:color="auto"/>
              <w:right w:val="double" w:sz="4" w:space="0" w:color="auto"/>
            </w:tcBorders>
            <w:vAlign w:val="center"/>
          </w:tcPr>
          <w:p w:rsidR="000D7FF0" w:rsidRPr="00E04C25" w:rsidRDefault="000D7FF0">
            <w:pPr>
              <w:jc w:val="right"/>
              <w:rPr>
                <w:rFonts w:ascii="Arial" w:hAnsi="Arial" w:cs="Arial"/>
                <w:sz w:val="18"/>
                <w:szCs w:val="18"/>
              </w:rPr>
            </w:pPr>
            <w:r w:rsidRPr="00E04C25">
              <w:rPr>
                <w:rFonts w:ascii="Arial" w:hAnsi="Arial" w:cs="Arial"/>
                <w:sz w:val="18"/>
                <w:szCs w:val="18"/>
              </w:rPr>
              <w:t>5,8</w:t>
            </w:r>
          </w:p>
        </w:tc>
      </w:tr>
    </w:tbl>
    <w:p w:rsidR="0053026C" w:rsidRPr="00E04C25" w:rsidRDefault="0053026C" w:rsidP="0053026C">
      <w:pPr>
        <w:tabs>
          <w:tab w:val="left" w:pos="709"/>
        </w:tabs>
        <w:spacing w:before="60"/>
        <w:rPr>
          <w:rFonts w:ascii="Arial" w:hAnsi="Arial" w:cs="Arial"/>
          <w:i/>
          <w:iCs/>
          <w:sz w:val="18"/>
          <w:szCs w:val="18"/>
        </w:rPr>
      </w:pPr>
      <w:r w:rsidRPr="00E04C25">
        <w:rPr>
          <w:rFonts w:ascii="Arial" w:hAnsi="Arial" w:cs="Arial"/>
          <w:i/>
          <w:iCs/>
          <w:sz w:val="18"/>
          <w:szCs w:val="18"/>
        </w:rPr>
        <w:t xml:space="preserve">     Zdroj: ČSÚ – VŠPS</w:t>
      </w:r>
    </w:p>
    <w:p w:rsidR="00372E07" w:rsidRPr="00E04C25" w:rsidRDefault="00372E07" w:rsidP="00372E07">
      <w:pPr>
        <w:tabs>
          <w:tab w:val="left" w:pos="709"/>
        </w:tabs>
        <w:rPr>
          <w:sz w:val="16"/>
          <w:szCs w:val="16"/>
        </w:rPr>
      </w:pPr>
    </w:p>
    <w:tbl>
      <w:tblPr>
        <w:tblW w:w="6779" w:type="dxa"/>
        <w:tblCellMar>
          <w:left w:w="70" w:type="dxa"/>
          <w:right w:w="70" w:type="dxa"/>
        </w:tblCellMar>
        <w:tblLook w:val="04A0"/>
      </w:tblPr>
      <w:tblGrid>
        <w:gridCol w:w="6779"/>
      </w:tblGrid>
      <w:tr w:rsidR="0053026C" w:rsidRPr="00E04C25" w:rsidTr="002D2CCC">
        <w:trPr>
          <w:trHeight w:val="170"/>
        </w:trPr>
        <w:tc>
          <w:tcPr>
            <w:tcW w:w="6779" w:type="dxa"/>
            <w:tcBorders>
              <w:top w:val="nil"/>
              <w:left w:val="nil"/>
              <w:bottom w:val="nil"/>
              <w:right w:val="nil"/>
            </w:tcBorders>
            <w:shd w:val="clear" w:color="000000" w:fill="FFFFFF"/>
            <w:noWrap/>
            <w:vAlign w:val="bottom"/>
            <w:hideMark/>
          </w:tcPr>
          <w:p w:rsidR="0053026C" w:rsidRPr="00E04C25" w:rsidRDefault="0053026C" w:rsidP="002D2CCC">
            <w:pPr>
              <w:tabs>
                <w:tab w:val="left" w:pos="709"/>
              </w:tabs>
              <w:rPr>
                <w:rFonts w:ascii="Arial" w:hAnsi="Arial" w:cs="Arial"/>
                <w:i/>
                <w:sz w:val="16"/>
                <w:szCs w:val="16"/>
              </w:rPr>
            </w:pPr>
            <w:r w:rsidRPr="00E04C25">
              <w:rPr>
                <w:rFonts w:ascii="Arial" w:hAnsi="Arial" w:cs="Arial"/>
                <w:i/>
                <w:sz w:val="16"/>
                <w:szCs w:val="16"/>
              </w:rPr>
              <w:t>Vysvětlivky:</w:t>
            </w:r>
          </w:p>
          <w:p w:rsidR="0053026C" w:rsidRPr="00E04C25" w:rsidRDefault="0053026C" w:rsidP="002D2CCC">
            <w:pPr>
              <w:tabs>
                <w:tab w:val="left" w:pos="709"/>
              </w:tabs>
              <w:rPr>
                <w:rFonts w:ascii="Arial" w:hAnsi="Arial" w:cs="Arial"/>
                <w:i/>
                <w:sz w:val="16"/>
                <w:szCs w:val="16"/>
              </w:rPr>
            </w:pPr>
            <w:r w:rsidRPr="00E04C25">
              <w:rPr>
                <w:rFonts w:ascii="Arial" w:hAnsi="Arial" w:cs="Arial"/>
                <w:i/>
                <w:sz w:val="16"/>
                <w:szCs w:val="16"/>
              </w:rPr>
              <w:t>CZ-ISCO1 - Zákonodárci a řídící pracovníci</w:t>
            </w:r>
          </w:p>
        </w:tc>
      </w:tr>
      <w:tr w:rsidR="0053026C" w:rsidRPr="00E04C25" w:rsidTr="002D2CCC">
        <w:trPr>
          <w:trHeight w:val="170"/>
        </w:trPr>
        <w:tc>
          <w:tcPr>
            <w:tcW w:w="6779" w:type="dxa"/>
            <w:tcBorders>
              <w:top w:val="nil"/>
              <w:left w:val="nil"/>
              <w:bottom w:val="nil"/>
              <w:right w:val="nil"/>
            </w:tcBorders>
            <w:shd w:val="clear" w:color="000000" w:fill="FFFFFF"/>
            <w:noWrap/>
            <w:vAlign w:val="bottom"/>
            <w:hideMark/>
          </w:tcPr>
          <w:p w:rsidR="0053026C" w:rsidRPr="00E04C25" w:rsidRDefault="0053026C" w:rsidP="002D2CCC">
            <w:pPr>
              <w:tabs>
                <w:tab w:val="left" w:pos="709"/>
              </w:tabs>
              <w:rPr>
                <w:rFonts w:ascii="Arial" w:hAnsi="Arial" w:cs="Arial"/>
                <w:i/>
                <w:sz w:val="16"/>
                <w:szCs w:val="16"/>
              </w:rPr>
            </w:pPr>
            <w:r w:rsidRPr="00E04C25">
              <w:rPr>
                <w:rFonts w:ascii="Arial" w:hAnsi="Arial" w:cs="Arial"/>
                <w:i/>
                <w:sz w:val="16"/>
                <w:szCs w:val="16"/>
              </w:rPr>
              <w:t xml:space="preserve">                2 - Specialisté</w:t>
            </w:r>
          </w:p>
        </w:tc>
      </w:tr>
      <w:tr w:rsidR="0053026C" w:rsidRPr="00E04C25" w:rsidTr="002D2CCC">
        <w:trPr>
          <w:trHeight w:val="170"/>
        </w:trPr>
        <w:tc>
          <w:tcPr>
            <w:tcW w:w="6779" w:type="dxa"/>
            <w:tcBorders>
              <w:top w:val="nil"/>
              <w:left w:val="nil"/>
              <w:bottom w:val="nil"/>
              <w:right w:val="nil"/>
            </w:tcBorders>
            <w:shd w:val="clear" w:color="000000" w:fill="FFFFFF"/>
            <w:noWrap/>
            <w:vAlign w:val="bottom"/>
            <w:hideMark/>
          </w:tcPr>
          <w:p w:rsidR="0053026C" w:rsidRPr="00E04C25" w:rsidRDefault="0053026C" w:rsidP="002D2CCC">
            <w:pPr>
              <w:tabs>
                <w:tab w:val="left" w:pos="709"/>
              </w:tabs>
              <w:rPr>
                <w:rFonts w:ascii="Arial" w:hAnsi="Arial" w:cs="Arial"/>
                <w:i/>
                <w:sz w:val="16"/>
                <w:szCs w:val="16"/>
              </w:rPr>
            </w:pPr>
            <w:r w:rsidRPr="00E04C25">
              <w:rPr>
                <w:rFonts w:ascii="Arial" w:hAnsi="Arial" w:cs="Arial"/>
                <w:i/>
                <w:sz w:val="16"/>
                <w:szCs w:val="16"/>
              </w:rPr>
              <w:t xml:space="preserve">                3 - Techničtí a odborní pracovníci</w:t>
            </w:r>
          </w:p>
        </w:tc>
      </w:tr>
      <w:tr w:rsidR="0053026C" w:rsidRPr="00E04C25" w:rsidTr="002D2CCC">
        <w:trPr>
          <w:trHeight w:val="170"/>
        </w:trPr>
        <w:tc>
          <w:tcPr>
            <w:tcW w:w="6779" w:type="dxa"/>
            <w:tcBorders>
              <w:top w:val="nil"/>
              <w:left w:val="nil"/>
              <w:bottom w:val="nil"/>
              <w:right w:val="nil"/>
            </w:tcBorders>
            <w:shd w:val="clear" w:color="000000" w:fill="FFFFFF"/>
            <w:noWrap/>
            <w:vAlign w:val="bottom"/>
            <w:hideMark/>
          </w:tcPr>
          <w:p w:rsidR="0053026C" w:rsidRPr="00E04C25" w:rsidRDefault="0053026C" w:rsidP="002D2CCC">
            <w:pPr>
              <w:tabs>
                <w:tab w:val="left" w:pos="709"/>
              </w:tabs>
              <w:rPr>
                <w:rFonts w:ascii="Arial" w:hAnsi="Arial" w:cs="Arial"/>
                <w:i/>
                <w:sz w:val="16"/>
                <w:szCs w:val="16"/>
              </w:rPr>
            </w:pPr>
            <w:r w:rsidRPr="00E04C25">
              <w:rPr>
                <w:rFonts w:ascii="Arial" w:hAnsi="Arial" w:cs="Arial"/>
                <w:i/>
                <w:sz w:val="16"/>
                <w:szCs w:val="16"/>
              </w:rPr>
              <w:t xml:space="preserve">                4 - Úředníci</w:t>
            </w:r>
          </w:p>
        </w:tc>
      </w:tr>
      <w:tr w:rsidR="0053026C" w:rsidRPr="00E04C25" w:rsidTr="002D2CCC">
        <w:trPr>
          <w:trHeight w:val="170"/>
        </w:trPr>
        <w:tc>
          <w:tcPr>
            <w:tcW w:w="6779" w:type="dxa"/>
            <w:tcBorders>
              <w:top w:val="nil"/>
              <w:left w:val="nil"/>
              <w:bottom w:val="nil"/>
              <w:right w:val="nil"/>
            </w:tcBorders>
            <w:shd w:val="clear" w:color="000000" w:fill="FFFFFF"/>
            <w:noWrap/>
            <w:vAlign w:val="bottom"/>
            <w:hideMark/>
          </w:tcPr>
          <w:p w:rsidR="0053026C" w:rsidRPr="00E04C25" w:rsidRDefault="0053026C" w:rsidP="002D2CCC">
            <w:pPr>
              <w:tabs>
                <w:tab w:val="left" w:pos="709"/>
              </w:tabs>
              <w:rPr>
                <w:rFonts w:ascii="Arial" w:hAnsi="Arial" w:cs="Arial"/>
                <w:i/>
                <w:sz w:val="16"/>
                <w:szCs w:val="16"/>
              </w:rPr>
            </w:pPr>
            <w:r w:rsidRPr="00E04C25">
              <w:rPr>
                <w:rFonts w:ascii="Arial" w:hAnsi="Arial" w:cs="Arial"/>
                <w:i/>
                <w:sz w:val="16"/>
                <w:szCs w:val="16"/>
              </w:rPr>
              <w:t xml:space="preserve">                5 - Pracovníci ve službách a prodeji</w:t>
            </w:r>
          </w:p>
        </w:tc>
      </w:tr>
      <w:tr w:rsidR="0053026C" w:rsidRPr="00E04C25" w:rsidTr="002D2CCC">
        <w:trPr>
          <w:trHeight w:val="170"/>
        </w:trPr>
        <w:tc>
          <w:tcPr>
            <w:tcW w:w="6779" w:type="dxa"/>
            <w:tcBorders>
              <w:top w:val="nil"/>
              <w:left w:val="nil"/>
              <w:bottom w:val="nil"/>
              <w:right w:val="nil"/>
            </w:tcBorders>
            <w:shd w:val="clear" w:color="000000" w:fill="FFFFFF"/>
            <w:noWrap/>
            <w:vAlign w:val="bottom"/>
          </w:tcPr>
          <w:p w:rsidR="0053026C" w:rsidRPr="00E04C25" w:rsidRDefault="0053026C" w:rsidP="002D2CCC">
            <w:pPr>
              <w:tabs>
                <w:tab w:val="left" w:pos="709"/>
              </w:tabs>
              <w:rPr>
                <w:rFonts w:ascii="Arial" w:hAnsi="Arial" w:cs="Arial"/>
                <w:i/>
                <w:sz w:val="16"/>
                <w:szCs w:val="16"/>
              </w:rPr>
            </w:pPr>
            <w:r w:rsidRPr="00E04C25">
              <w:rPr>
                <w:rFonts w:ascii="Arial" w:hAnsi="Arial" w:cs="Arial"/>
                <w:i/>
                <w:sz w:val="16"/>
                <w:szCs w:val="16"/>
              </w:rPr>
              <w:t xml:space="preserve">                6 - Kvalifikovaní dělníci v zemědělství (vzhledem k četnosti není uvedeno)</w:t>
            </w:r>
          </w:p>
        </w:tc>
      </w:tr>
      <w:tr w:rsidR="0053026C" w:rsidRPr="00E04C25" w:rsidTr="002D2CCC">
        <w:trPr>
          <w:trHeight w:val="170"/>
        </w:trPr>
        <w:tc>
          <w:tcPr>
            <w:tcW w:w="6779" w:type="dxa"/>
            <w:tcBorders>
              <w:top w:val="nil"/>
              <w:left w:val="nil"/>
              <w:bottom w:val="nil"/>
              <w:right w:val="nil"/>
            </w:tcBorders>
            <w:shd w:val="clear" w:color="000000" w:fill="FFFFFF"/>
            <w:noWrap/>
            <w:vAlign w:val="bottom"/>
            <w:hideMark/>
          </w:tcPr>
          <w:p w:rsidR="0053026C" w:rsidRPr="00E04C25" w:rsidRDefault="0053026C" w:rsidP="002D2CCC">
            <w:pPr>
              <w:tabs>
                <w:tab w:val="left" w:pos="709"/>
              </w:tabs>
              <w:rPr>
                <w:rFonts w:ascii="Arial" w:hAnsi="Arial" w:cs="Arial"/>
                <w:i/>
                <w:sz w:val="16"/>
                <w:szCs w:val="16"/>
              </w:rPr>
            </w:pPr>
            <w:r w:rsidRPr="00E04C25">
              <w:rPr>
                <w:rFonts w:ascii="Arial" w:hAnsi="Arial" w:cs="Arial"/>
                <w:i/>
                <w:sz w:val="16"/>
                <w:szCs w:val="16"/>
              </w:rPr>
              <w:t xml:space="preserve">                7 - Řemeslníci a opraváři</w:t>
            </w:r>
          </w:p>
        </w:tc>
      </w:tr>
      <w:tr w:rsidR="0053026C" w:rsidRPr="00E04C25" w:rsidTr="002D2CCC">
        <w:trPr>
          <w:trHeight w:val="170"/>
        </w:trPr>
        <w:tc>
          <w:tcPr>
            <w:tcW w:w="6779" w:type="dxa"/>
            <w:tcBorders>
              <w:top w:val="nil"/>
              <w:left w:val="nil"/>
              <w:bottom w:val="nil"/>
              <w:right w:val="nil"/>
            </w:tcBorders>
            <w:shd w:val="clear" w:color="000000" w:fill="FFFFFF"/>
            <w:noWrap/>
            <w:vAlign w:val="bottom"/>
            <w:hideMark/>
          </w:tcPr>
          <w:p w:rsidR="0053026C" w:rsidRPr="00E04C25" w:rsidRDefault="0053026C" w:rsidP="002D2CCC">
            <w:pPr>
              <w:tabs>
                <w:tab w:val="left" w:pos="709"/>
              </w:tabs>
              <w:rPr>
                <w:rFonts w:ascii="Arial" w:hAnsi="Arial" w:cs="Arial"/>
                <w:i/>
                <w:sz w:val="16"/>
                <w:szCs w:val="16"/>
              </w:rPr>
            </w:pPr>
            <w:r w:rsidRPr="00E04C25">
              <w:rPr>
                <w:rFonts w:ascii="Arial" w:hAnsi="Arial" w:cs="Arial"/>
                <w:i/>
                <w:sz w:val="16"/>
                <w:szCs w:val="16"/>
              </w:rPr>
              <w:t xml:space="preserve">                8 - Obsluha strojů a zařízení, montéři</w:t>
            </w:r>
          </w:p>
        </w:tc>
      </w:tr>
      <w:tr w:rsidR="0053026C" w:rsidRPr="00E04C25" w:rsidTr="002D2CCC">
        <w:trPr>
          <w:trHeight w:val="170"/>
        </w:trPr>
        <w:tc>
          <w:tcPr>
            <w:tcW w:w="6779" w:type="dxa"/>
            <w:tcBorders>
              <w:top w:val="nil"/>
              <w:left w:val="nil"/>
              <w:bottom w:val="nil"/>
              <w:right w:val="nil"/>
            </w:tcBorders>
            <w:shd w:val="clear" w:color="000000" w:fill="FFFFFF"/>
            <w:noWrap/>
            <w:vAlign w:val="bottom"/>
            <w:hideMark/>
          </w:tcPr>
          <w:p w:rsidR="0053026C" w:rsidRPr="00E04C25" w:rsidRDefault="0053026C" w:rsidP="002D2CCC">
            <w:pPr>
              <w:tabs>
                <w:tab w:val="left" w:pos="709"/>
              </w:tabs>
              <w:rPr>
                <w:rFonts w:ascii="Arial" w:hAnsi="Arial" w:cs="Arial"/>
                <w:i/>
                <w:sz w:val="16"/>
                <w:szCs w:val="16"/>
              </w:rPr>
            </w:pPr>
            <w:r w:rsidRPr="00E04C25">
              <w:rPr>
                <w:rFonts w:ascii="Arial" w:hAnsi="Arial" w:cs="Arial"/>
                <w:i/>
                <w:sz w:val="16"/>
                <w:szCs w:val="16"/>
              </w:rPr>
              <w:t xml:space="preserve">                9 - Pomocní a nekvalifikovaní pracovníci</w:t>
            </w:r>
          </w:p>
        </w:tc>
      </w:tr>
    </w:tbl>
    <w:p w:rsidR="00A12770" w:rsidRPr="00E04C25" w:rsidRDefault="00372E07" w:rsidP="00372E07">
      <w:pPr>
        <w:tabs>
          <w:tab w:val="left" w:pos="709"/>
        </w:tabs>
        <w:spacing w:line="360" w:lineRule="auto"/>
        <w:jc w:val="both"/>
        <w:rPr>
          <w:rFonts w:ascii="Arial" w:hAnsi="Arial" w:cs="Arial"/>
        </w:rPr>
      </w:pPr>
      <w:r w:rsidRPr="00E04C25">
        <w:rPr>
          <w:rFonts w:ascii="Arial" w:hAnsi="Arial" w:cs="Arial"/>
        </w:rPr>
        <w:tab/>
      </w:r>
    </w:p>
    <w:p w:rsidR="003823E6" w:rsidRPr="00E04C25" w:rsidRDefault="003823E6" w:rsidP="003823E6">
      <w:pPr>
        <w:tabs>
          <w:tab w:val="center" w:pos="720"/>
        </w:tabs>
        <w:spacing w:line="360" w:lineRule="auto"/>
        <w:ind w:firstLine="720"/>
        <w:jc w:val="both"/>
        <w:rPr>
          <w:rFonts w:ascii="Arial" w:hAnsi="Arial" w:cs="Arial"/>
          <w:bCs/>
        </w:rPr>
      </w:pPr>
      <w:r w:rsidRPr="00E04C25">
        <w:rPr>
          <w:rFonts w:ascii="Arial" w:hAnsi="Arial" w:cs="Arial"/>
          <w:b/>
          <w:bCs/>
        </w:rPr>
        <w:t>Hl. m. Praha</w:t>
      </w:r>
      <w:r w:rsidRPr="00E04C25">
        <w:rPr>
          <w:rFonts w:ascii="Arial" w:hAnsi="Arial" w:cs="Arial"/>
          <w:bCs/>
        </w:rPr>
        <w:t xml:space="preserve"> má nadále nejvyšší zastoupení ve skupinách zaměstnání spadajících do </w:t>
      </w:r>
      <w:r w:rsidRPr="00E04C25">
        <w:rPr>
          <w:rFonts w:ascii="Arial" w:hAnsi="Arial" w:cs="Arial"/>
          <w:b/>
          <w:bCs/>
        </w:rPr>
        <w:t>třídy 1 až 4</w:t>
      </w:r>
      <w:r w:rsidR="00F91407" w:rsidRPr="00E04C25">
        <w:rPr>
          <w:rFonts w:ascii="Arial" w:hAnsi="Arial" w:cs="Arial"/>
          <w:b/>
          <w:bCs/>
        </w:rPr>
        <w:t xml:space="preserve">, </w:t>
      </w:r>
      <w:r w:rsidR="00F91407" w:rsidRPr="00E04C25">
        <w:rPr>
          <w:rFonts w:ascii="Arial" w:hAnsi="Arial" w:cs="Arial"/>
          <w:bCs/>
        </w:rPr>
        <w:t>tj.</w:t>
      </w:r>
      <w:r w:rsidR="00F91407" w:rsidRPr="00E04C25">
        <w:rPr>
          <w:rFonts w:ascii="Arial" w:hAnsi="Arial" w:cs="Arial"/>
          <w:b/>
          <w:bCs/>
        </w:rPr>
        <w:t xml:space="preserve"> </w:t>
      </w:r>
      <w:r w:rsidRPr="00E04C25">
        <w:rPr>
          <w:rFonts w:ascii="Arial" w:hAnsi="Arial" w:cs="Arial"/>
        </w:rPr>
        <w:t>zákonodárc</w:t>
      </w:r>
      <w:r w:rsidR="00F91407" w:rsidRPr="00E04C25">
        <w:rPr>
          <w:rFonts w:ascii="Arial" w:hAnsi="Arial" w:cs="Arial"/>
        </w:rPr>
        <w:t>ů</w:t>
      </w:r>
      <w:r w:rsidRPr="00E04C25">
        <w:rPr>
          <w:rFonts w:ascii="Arial" w:hAnsi="Arial" w:cs="Arial"/>
        </w:rPr>
        <w:t xml:space="preserve"> a řídící</w:t>
      </w:r>
      <w:r w:rsidR="00F91407" w:rsidRPr="00E04C25">
        <w:rPr>
          <w:rFonts w:ascii="Arial" w:hAnsi="Arial" w:cs="Arial"/>
        </w:rPr>
        <w:t>ch</w:t>
      </w:r>
      <w:r w:rsidRPr="00E04C25">
        <w:rPr>
          <w:rFonts w:ascii="Arial" w:hAnsi="Arial" w:cs="Arial"/>
        </w:rPr>
        <w:t xml:space="preserve"> pracovní</w:t>
      </w:r>
      <w:r w:rsidR="00F91407" w:rsidRPr="00E04C25">
        <w:rPr>
          <w:rFonts w:ascii="Arial" w:hAnsi="Arial" w:cs="Arial"/>
        </w:rPr>
        <w:t>ků</w:t>
      </w:r>
      <w:r w:rsidRPr="00E04C25">
        <w:rPr>
          <w:rFonts w:ascii="Arial" w:hAnsi="Arial" w:cs="Arial"/>
        </w:rPr>
        <w:t>, specialist</w:t>
      </w:r>
      <w:r w:rsidR="00F91407" w:rsidRPr="00E04C25">
        <w:rPr>
          <w:rFonts w:ascii="Arial" w:hAnsi="Arial" w:cs="Arial"/>
        </w:rPr>
        <w:t>ů</w:t>
      </w:r>
      <w:r w:rsidRPr="00E04C25">
        <w:rPr>
          <w:rFonts w:ascii="Arial" w:hAnsi="Arial" w:cs="Arial"/>
        </w:rPr>
        <w:t>, techni</w:t>
      </w:r>
      <w:r w:rsidR="00F91407" w:rsidRPr="00E04C25">
        <w:rPr>
          <w:rFonts w:ascii="Arial" w:hAnsi="Arial" w:cs="Arial"/>
        </w:rPr>
        <w:t>ckých a odborných</w:t>
      </w:r>
      <w:r w:rsidRPr="00E04C25">
        <w:rPr>
          <w:rFonts w:ascii="Arial" w:hAnsi="Arial" w:cs="Arial"/>
        </w:rPr>
        <w:t xml:space="preserve"> pracovní</w:t>
      </w:r>
      <w:r w:rsidR="00F91407" w:rsidRPr="00E04C25">
        <w:rPr>
          <w:rFonts w:ascii="Arial" w:hAnsi="Arial" w:cs="Arial"/>
        </w:rPr>
        <w:t>ků a</w:t>
      </w:r>
      <w:r w:rsidRPr="00E04C25">
        <w:rPr>
          <w:rFonts w:ascii="Arial" w:hAnsi="Arial" w:cs="Arial"/>
          <w:bCs/>
        </w:rPr>
        <w:t xml:space="preserve"> </w:t>
      </w:r>
      <w:r w:rsidRPr="00E04C25">
        <w:rPr>
          <w:rFonts w:ascii="Arial" w:hAnsi="Arial" w:cs="Arial"/>
        </w:rPr>
        <w:t>úřední</w:t>
      </w:r>
      <w:r w:rsidR="00F91407" w:rsidRPr="00E04C25">
        <w:rPr>
          <w:rFonts w:ascii="Arial" w:hAnsi="Arial" w:cs="Arial"/>
        </w:rPr>
        <w:t>ků (celkem 69,2 %</w:t>
      </w:r>
      <w:r w:rsidRPr="00E04C25">
        <w:rPr>
          <w:rFonts w:ascii="Arial" w:hAnsi="Arial" w:cs="Arial"/>
          <w:bCs/>
        </w:rPr>
        <w:t xml:space="preserve">). Nejvyšší podíl zaměstnaných ve skupině zaměstnání </w:t>
      </w:r>
      <w:r w:rsidRPr="00E04C25">
        <w:rPr>
          <w:rFonts w:ascii="Arial" w:hAnsi="Arial" w:cs="Arial"/>
          <w:b/>
          <w:bCs/>
        </w:rPr>
        <w:t>třídy 7 </w:t>
      </w:r>
      <w:r w:rsidRPr="00E04C25">
        <w:rPr>
          <w:rFonts w:ascii="Arial" w:hAnsi="Arial" w:cs="Arial"/>
          <w:bCs/>
        </w:rPr>
        <w:t>(</w:t>
      </w:r>
      <w:r w:rsidRPr="00E04C25">
        <w:rPr>
          <w:rFonts w:ascii="Arial" w:hAnsi="Arial" w:cs="Arial"/>
        </w:rPr>
        <w:t xml:space="preserve">řemeslníci a opraváři) má </w:t>
      </w:r>
      <w:r w:rsidRPr="00E04C25">
        <w:rPr>
          <w:rFonts w:ascii="Arial" w:hAnsi="Arial" w:cs="Arial"/>
          <w:b/>
        </w:rPr>
        <w:t>Zlínský kraj</w:t>
      </w:r>
      <w:r w:rsidRPr="00E04C25">
        <w:rPr>
          <w:rFonts w:ascii="Arial" w:hAnsi="Arial" w:cs="Arial"/>
        </w:rPr>
        <w:t xml:space="preserve"> (21,0 %), </w:t>
      </w:r>
      <w:r w:rsidRPr="00E04C25">
        <w:rPr>
          <w:rFonts w:ascii="Arial" w:hAnsi="Arial" w:cs="Arial"/>
          <w:b/>
        </w:rPr>
        <w:t>třídy</w:t>
      </w:r>
      <w:r w:rsidRPr="00E04C25">
        <w:rPr>
          <w:rFonts w:ascii="Arial" w:hAnsi="Arial" w:cs="Arial"/>
        </w:rPr>
        <w:t xml:space="preserve"> </w:t>
      </w:r>
      <w:r w:rsidRPr="00E04C25">
        <w:rPr>
          <w:rFonts w:ascii="Arial" w:hAnsi="Arial" w:cs="Arial"/>
          <w:b/>
          <w:bCs/>
        </w:rPr>
        <w:t xml:space="preserve">8 </w:t>
      </w:r>
      <w:r w:rsidRPr="00E04C25">
        <w:rPr>
          <w:rFonts w:ascii="Arial" w:hAnsi="Arial" w:cs="Arial"/>
          <w:bCs/>
        </w:rPr>
        <w:t>(</w:t>
      </w:r>
      <w:r w:rsidRPr="00E04C25">
        <w:rPr>
          <w:rFonts w:ascii="Arial" w:hAnsi="Arial" w:cs="Arial"/>
        </w:rPr>
        <w:t xml:space="preserve">obsluha strojů a zařízení, montéři) </w:t>
      </w:r>
      <w:r w:rsidRPr="00E04C25">
        <w:rPr>
          <w:rFonts w:ascii="Arial" w:hAnsi="Arial" w:cs="Arial"/>
          <w:b/>
        </w:rPr>
        <w:t xml:space="preserve">Liberecký kraj </w:t>
      </w:r>
      <w:r w:rsidRPr="00E04C25">
        <w:rPr>
          <w:rFonts w:ascii="Arial" w:hAnsi="Arial" w:cs="Arial"/>
        </w:rPr>
        <w:t>(18,8 %).</w:t>
      </w:r>
      <w:r w:rsidRPr="00E04C25">
        <w:rPr>
          <w:rFonts w:ascii="Arial" w:hAnsi="Arial" w:cs="Arial"/>
          <w:bCs/>
        </w:rPr>
        <w:t xml:space="preserve"> Na prvním místě mezi všemi kraji v zastoupení skupin zaměstnání spadajících do </w:t>
      </w:r>
      <w:r w:rsidRPr="00E04C25">
        <w:rPr>
          <w:rFonts w:ascii="Arial" w:hAnsi="Arial" w:cs="Arial"/>
          <w:b/>
          <w:bCs/>
        </w:rPr>
        <w:t>třídy 5</w:t>
      </w:r>
      <w:r w:rsidRPr="00E04C25">
        <w:rPr>
          <w:rFonts w:ascii="Arial" w:hAnsi="Arial" w:cs="Arial"/>
          <w:bCs/>
        </w:rPr>
        <w:t xml:space="preserve"> (</w:t>
      </w:r>
      <w:r w:rsidRPr="00E04C25">
        <w:rPr>
          <w:rFonts w:ascii="Arial" w:hAnsi="Arial" w:cs="Arial"/>
        </w:rPr>
        <w:t>pracovníci ve službách a prodeji</w:t>
      </w:r>
      <w:r w:rsidRPr="00E04C25">
        <w:rPr>
          <w:rFonts w:ascii="Arial" w:hAnsi="Arial" w:cs="Arial"/>
          <w:bCs/>
        </w:rPr>
        <w:t xml:space="preserve">) zůstává </w:t>
      </w:r>
      <w:r w:rsidRPr="00E04C25">
        <w:rPr>
          <w:rFonts w:ascii="Arial" w:hAnsi="Arial" w:cs="Arial"/>
          <w:b/>
          <w:bCs/>
        </w:rPr>
        <w:t>Ústeck</w:t>
      </w:r>
      <w:r w:rsidR="00C73472">
        <w:rPr>
          <w:rFonts w:ascii="Arial" w:hAnsi="Arial" w:cs="Arial"/>
          <w:b/>
          <w:bCs/>
        </w:rPr>
        <w:t>ý</w:t>
      </w:r>
      <w:r w:rsidRPr="00E04C25">
        <w:rPr>
          <w:rFonts w:ascii="Arial" w:hAnsi="Arial" w:cs="Arial"/>
          <w:b/>
          <w:bCs/>
        </w:rPr>
        <w:t xml:space="preserve"> kraj </w:t>
      </w:r>
      <w:r w:rsidRPr="00E04C25">
        <w:rPr>
          <w:rFonts w:ascii="Arial" w:hAnsi="Arial" w:cs="Arial"/>
          <w:bCs/>
        </w:rPr>
        <w:t xml:space="preserve">(19,0 %). Do </w:t>
      </w:r>
      <w:r w:rsidRPr="00E04C25">
        <w:rPr>
          <w:rFonts w:ascii="Arial" w:hAnsi="Arial" w:cs="Arial"/>
          <w:b/>
          <w:bCs/>
        </w:rPr>
        <w:t>třídy 9</w:t>
      </w:r>
      <w:r w:rsidRPr="00E04C25">
        <w:rPr>
          <w:rFonts w:ascii="Arial" w:hAnsi="Arial" w:cs="Arial"/>
          <w:bCs/>
        </w:rPr>
        <w:t xml:space="preserve"> (p</w:t>
      </w:r>
      <w:r w:rsidRPr="00E04C25">
        <w:rPr>
          <w:rFonts w:ascii="Arial" w:hAnsi="Arial" w:cs="Arial"/>
        </w:rPr>
        <w:t xml:space="preserve">omocní a nekvalifikovaní pracovníci) je nejvíce pracujících zařazeno </w:t>
      </w:r>
      <w:r w:rsidRPr="00E04C25">
        <w:rPr>
          <w:rFonts w:ascii="Arial" w:hAnsi="Arial" w:cs="Arial"/>
          <w:b/>
        </w:rPr>
        <w:t xml:space="preserve">v Karlovarském kraji </w:t>
      </w:r>
      <w:r w:rsidRPr="00E04C25">
        <w:rPr>
          <w:rFonts w:ascii="Arial" w:hAnsi="Arial" w:cs="Arial"/>
        </w:rPr>
        <w:t>(8,4 % všech zaměstnaných v kraji).</w:t>
      </w:r>
      <w:r w:rsidRPr="00E04C25">
        <w:rPr>
          <w:rFonts w:ascii="Arial" w:hAnsi="Arial" w:cs="Arial"/>
          <w:bCs/>
        </w:rPr>
        <w:t xml:space="preserve">  </w:t>
      </w:r>
    </w:p>
    <w:p w:rsidR="00762875" w:rsidRPr="00E04C25" w:rsidRDefault="00584F52" w:rsidP="00114D1E">
      <w:pPr>
        <w:tabs>
          <w:tab w:val="left" w:pos="709"/>
        </w:tabs>
        <w:spacing w:line="360" w:lineRule="auto"/>
        <w:jc w:val="both"/>
        <w:rPr>
          <w:rFonts w:ascii="Arial" w:hAnsi="Arial" w:cs="Arial"/>
          <w:iCs/>
        </w:rPr>
      </w:pPr>
      <w:r w:rsidRPr="00E04C25">
        <w:rPr>
          <w:rFonts w:ascii="Arial" w:hAnsi="Arial" w:cs="Arial"/>
        </w:rPr>
        <w:tab/>
      </w:r>
      <w:r w:rsidR="00762875" w:rsidRPr="00E04C25">
        <w:rPr>
          <w:rFonts w:ascii="Arial" w:hAnsi="Arial" w:cs="Arial"/>
          <w:iCs/>
        </w:rPr>
        <w:t xml:space="preserve">Odvětvová a profesní struktura zaměstnanosti je úzce spojená se </w:t>
      </w:r>
      <w:r w:rsidR="00762875" w:rsidRPr="00E04C25">
        <w:rPr>
          <w:rFonts w:ascii="Arial" w:hAnsi="Arial" w:cs="Arial"/>
          <w:b/>
          <w:iCs/>
        </w:rPr>
        <w:t>vzdělanostní strukturou</w:t>
      </w:r>
      <w:r w:rsidR="00762875" w:rsidRPr="00E04C25">
        <w:rPr>
          <w:rFonts w:ascii="Arial" w:hAnsi="Arial" w:cs="Arial"/>
          <w:iCs/>
        </w:rPr>
        <w:t xml:space="preserve"> obyvatelstva. Největší podíl zaměstnaných </w:t>
      </w:r>
      <w:r w:rsidR="00762875" w:rsidRPr="00E04C25">
        <w:rPr>
          <w:rFonts w:ascii="Arial" w:hAnsi="Arial" w:cs="Arial"/>
          <w:b/>
          <w:iCs/>
        </w:rPr>
        <w:t xml:space="preserve">se </w:t>
      </w:r>
      <w:r w:rsidR="00762875" w:rsidRPr="00E04C25">
        <w:rPr>
          <w:rFonts w:ascii="Arial" w:hAnsi="Arial" w:cs="Arial"/>
          <w:b/>
        </w:rPr>
        <w:t>základním vzděláním</w:t>
      </w:r>
      <w:r w:rsidR="00762875" w:rsidRPr="00E04C25">
        <w:rPr>
          <w:rFonts w:ascii="Arial" w:hAnsi="Arial" w:cs="Arial"/>
          <w:iCs/>
        </w:rPr>
        <w:t xml:space="preserve"> </w:t>
      </w:r>
      <w:r w:rsidR="000B51F9" w:rsidRPr="00E04C25">
        <w:rPr>
          <w:rFonts w:ascii="Arial" w:hAnsi="Arial" w:cs="Arial"/>
          <w:iCs/>
        </w:rPr>
        <w:t xml:space="preserve">a bez vzdělání </w:t>
      </w:r>
      <w:r w:rsidR="00762875" w:rsidRPr="00E04C25">
        <w:rPr>
          <w:rFonts w:ascii="Arial" w:hAnsi="Arial" w:cs="Arial"/>
          <w:iCs/>
        </w:rPr>
        <w:t xml:space="preserve">na celkové zaměstnanosti v regionu </w:t>
      </w:r>
      <w:r w:rsidR="00776B6A" w:rsidRPr="00E04C25">
        <w:rPr>
          <w:rFonts w:ascii="Arial" w:hAnsi="Arial" w:cs="Arial"/>
          <w:iCs/>
        </w:rPr>
        <w:t xml:space="preserve">byl </w:t>
      </w:r>
      <w:r w:rsidR="00762875" w:rsidRPr="00E04C25">
        <w:rPr>
          <w:rFonts w:ascii="Arial" w:hAnsi="Arial" w:cs="Arial"/>
          <w:b/>
          <w:iCs/>
        </w:rPr>
        <w:t>v Karlovarském a Ústeckém kraji</w:t>
      </w:r>
      <w:r w:rsidR="00776B6A" w:rsidRPr="00E04C25">
        <w:rPr>
          <w:rFonts w:ascii="Arial" w:hAnsi="Arial" w:cs="Arial"/>
          <w:b/>
          <w:iCs/>
        </w:rPr>
        <w:t xml:space="preserve">. </w:t>
      </w:r>
      <w:r w:rsidR="00776B6A" w:rsidRPr="00E04C25">
        <w:rPr>
          <w:rFonts w:ascii="Arial" w:hAnsi="Arial" w:cs="Arial"/>
          <w:iCs/>
        </w:rPr>
        <w:t xml:space="preserve">Díky poptávce po pracovní síle </w:t>
      </w:r>
      <w:r w:rsidR="00B12982" w:rsidRPr="00E04C25">
        <w:rPr>
          <w:rFonts w:ascii="Arial" w:hAnsi="Arial" w:cs="Arial"/>
          <w:iCs/>
        </w:rPr>
        <w:t xml:space="preserve">i po pracovnících </w:t>
      </w:r>
      <w:r w:rsidR="000B51F9" w:rsidRPr="00E04C25">
        <w:rPr>
          <w:rFonts w:ascii="Arial" w:hAnsi="Arial" w:cs="Arial"/>
          <w:iCs/>
        </w:rPr>
        <w:t>s</w:t>
      </w:r>
      <w:r w:rsidR="00B12982" w:rsidRPr="00E04C25">
        <w:rPr>
          <w:rFonts w:ascii="Arial" w:hAnsi="Arial" w:cs="Arial"/>
          <w:iCs/>
        </w:rPr>
        <w:t xml:space="preserve"> nízkým </w:t>
      </w:r>
      <w:r w:rsidR="000B51F9" w:rsidRPr="00E04C25">
        <w:rPr>
          <w:rFonts w:ascii="Arial" w:hAnsi="Arial" w:cs="Arial"/>
          <w:iCs/>
        </w:rPr>
        <w:t xml:space="preserve"> vzděláním (27,3 % všech hlášených pracovních míst na ÚP</w:t>
      </w:r>
      <w:r w:rsidR="000F6297" w:rsidRPr="00E04C25">
        <w:rPr>
          <w:rFonts w:ascii="Arial" w:hAnsi="Arial" w:cs="Arial"/>
          <w:iCs/>
        </w:rPr>
        <w:t> </w:t>
      </w:r>
      <w:r w:rsidR="000B51F9" w:rsidRPr="00E04C25">
        <w:rPr>
          <w:rFonts w:ascii="Arial" w:hAnsi="Arial" w:cs="Arial"/>
          <w:iCs/>
        </w:rPr>
        <w:t>ČR</w:t>
      </w:r>
      <w:r w:rsidR="00B12982" w:rsidRPr="00E04C25">
        <w:rPr>
          <w:rFonts w:ascii="Arial" w:hAnsi="Arial" w:cs="Arial"/>
          <w:iCs/>
        </w:rPr>
        <w:t xml:space="preserve"> je pro </w:t>
      </w:r>
      <w:r w:rsidR="00B12982" w:rsidRPr="00E04C25">
        <w:rPr>
          <w:rFonts w:ascii="Arial" w:hAnsi="Arial" w:cs="Arial"/>
          <w:iCs/>
        </w:rPr>
        <w:lastRenderedPageBreak/>
        <w:t>nekvalifikované a pomocné pracovníky</w:t>
      </w:r>
      <w:r w:rsidR="000B51F9" w:rsidRPr="00E04C25">
        <w:rPr>
          <w:rFonts w:ascii="Arial" w:hAnsi="Arial" w:cs="Arial"/>
          <w:iCs/>
        </w:rPr>
        <w:t xml:space="preserve">) </w:t>
      </w:r>
      <w:r w:rsidR="00776B6A" w:rsidRPr="00E04C25">
        <w:rPr>
          <w:rFonts w:ascii="Arial" w:hAnsi="Arial" w:cs="Arial"/>
          <w:iCs/>
        </w:rPr>
        <w:t xml:space="preserve">se jejich podíl </w:t>
      </w:r>
      <w:r w:rsidR="003823E6" w:rsidRPr="00E04C25">
        <w:rPr>
          <w:rFonts w:ascii="Arial" w:hAnsi="Arial" w:cs="Arial"/>
          <w:iCs/>
        </w:rPr>
        <w:t xml:space="preserve">na celkové zaměstnanosti </w:t>
      </w:r>
      <w:r w:rsidR="00776B6A" w:rsidRPr="00E04C25">
        <w:rPr>
          <w:rFonts w:ascii="Arial" w:hAnsi="Arial" w:cs="Arial"/>
          <w:iCs/>
        </w:rPr>
        <w:t xml:space="preserve">meziročně zvýšil v Karlovarském kraji z 8,8 % na </w:t>
      </w:r>
      <w:r w:rsidR="00F05C5A" w:rsidRPr="00E04C25">
        <w:rPr>
          <w:rFonts w:ascii="Arial" w:hAnsi="Arial" w:cs="Arial"/>
          <w:iCs/>
        </w:rPr>
        <w:t>9</w:t>
      </w:r>
      <w:r w:rsidR="00762875" w:rsidRPr="00E04C25">
        <w:rPr>
          <w:rFonts w:ascii="Arial" w:hAnsi="Arial" w:cs="Arial"/>
          <w:iCs/>
        </w:rPr>
        <w:t>,</w:t>
      </w:r>
      <w:r w:rsidR="00F05C5A" w:rsidRPr="00E04C25">
        <w:rPr>
          <w:rFonts w:ascii="Arial" w:hAnsi="Arial" w:cs="Arial"/>
          <w:iCs/>
        </w:rPr>
        <w:t>0</w:t>
      </w:r>
      <w:r w:rsidR="00762875" w:rsidRPr="00E04C25">
        <w:rPr>
          <w:rFonts w:ascii="Arial" w:hAnsi="Arial" w:cs="Arial"/>
          <w:iCs/>
        </w:rPr>
        <w:t> %</w:t>
      </w:r>
      <w:r w:rsidR="00776B6A" w:rsidRPr="00E04C25">
        <w:rPr>
          <w:rFonts w:ascii="Arial" w:hAnsi="Arial" w:cs="Arial"/>
          <w:iCs/>
        </w:rPr>
        <w:t xml:space="preserve"> a v </w:t>
      </w:r>
      <w:r w:rsidR="003823E6" w:rsidRPr="00E04C25">
        <w:rPr>
          <w:rFonts w:ascii="Arial" w:hAnsi="Arial" w:cs="Arial"/>
          <w:iCs/>
        </w:rPr>
        <w:t>Ús</w:t>
      </w:r>
      <w:r w:rsidR="00776B6A" w:rsidRPr="00E04C25">
        <w:rPr>
          <w:rFonts w:ascii="Arial" w:hAnsi="Arial" w:cs="Arial"/>
          <w:iCs/>
        </w:rPr>
        <w:t>teckém kraji ze 7,2 % na</w:t>
      </w:r>
      <w:r w:rsidR="00762875" w:rsidRPr="00E04C25">
        <w:rPr>
          <w:rFonts w:ascii="Arial" w:hAnsi="Arial" w:cs="Arial"/>
          <w:iCs/>
        </w:rPr>
        <w:t xml:space="preserve"> </w:t>
      </w:r>
      <w:r w:rsidR="00F05C5A" w:rsidRPr="00E04C25">
        <w:rPr>
          <w:rFonts w:ascii="Arial" w:hAnsi="Arial" w:cs="Arial"/>
          <w:iCs/>
        </w:rPr>
        <w:t>8</w:t>
      </w:r>
      <w:r w:rsidR="00762875" w:rsidRPr="00E04C25">
        <w:rPr>
          <w:rFonts w:ascii="Arial" w:hAnsi="Arial" w:cs="Arial"/>
          <w:iCs/>
        </w:rPr>
        <w:t>,</w:t>
      </w:r>
      <w:r w:rsidR="00243CA1" w:rsidRPr="00E04C25">
        <w:rPr>
          <w:rFonts w:ascii="Arial" w:hAnsi="Arial" w:cs="Arial"/>
          <w:iCs/>
        </w:rPr>
        <w:t>2</w:t>
      </w:r>
      <w:r w:rsidR="00762875" w:rsidRPr="00E04C25">
        <w:rPr>
          <w:rFonts w:ascii="Arial" w:hAnsi="Arial" w:cs="Arial"/>
          <w:iCs/>
        </w:rPr>
        <w:t xml:space="preserve"> %. </w:t>
      </w:r>
      <w:r w:rsidR="00114D1E" w:rsidRPr="00E04C25">
        <w:rPr>
          <w:rFonts w:ascii="Arial" w:hAnsi="Arial" w:cs="Arial"/>
          <w:iCs/>
        </w:rPr>
        <w:t>S tím souvisí  </w:t>
      </w:r>
      <w:r w:rsidR="00B12982" w:rsidRPr="00E04C25">
        <w:rPr>
          <w:rFonts w:ascii="Arial" w:hAnsi="Arial" w:cs="Arial"/>
          <w:iCs/>
        </w:rPr>
        <w:t xml:space="preserve">také </w:t>
      </w:r>
      <w:r w:rsidR="00114D1E" w:rsidRPr="00E04C25">
        <w:rPr>
          <w:rFonts w:ascii="Arial" w:hAnsi="Arial" w:cs="Arial"/>
          <w:iCs/>
        </w:rPr>
        <w:t>vysoký podíl zaměstnaných ve třídách 5, 7, 8 a 9 (vyžadujících nižší kvalifikaci)</w:t>
      </w:r>
      <w:r w:rsidR="000B51F9" w:rsidRPr="00E04C25">
        <w:rPr>
          <w:rFonts w:ascii="Arial" w:hAnsi="Arial" w:cs="Arial"/>
          <w:iCs/>
        </w:rPr>
        <w:t xml:space="preserve">, který je </w:t>
      </w:r>
      <w:r w:rsidR="00B12982" w:rsidRPr="00E04C25">
        <w:rPr>
          <w:rFonts w:ascii="Arial" w:hAnsi="Arial" w:cs="Arial"/>
          <w:iCs/>
        </w:rPr>
        <w:t xml:space="preserve">v těchto dvou krajích </w:t>
      </w:r>
      <w:r w:rsidR="000B51F9" w:rsidRPr="00E04C25">
        <w:rPr>
          <w:rFonts w:ascii="Arial" w:hAnsi="Arial" w:cs="Arial"/>
          <w:iCs/>
        </w:rPr>
        <w:t xml:space="preserve">nejvyšší </w:t>
      </w:r>
      <w:r w:rsidR="00B12982" w:rsidRPr="00E04C25">
        <w:rPr>
          <w:rFonts w:ascii="Arial" w:hAnsi="Arial" w:cs="Arial"/>
          <w:iCs/>
        </w:rPr>
        <w:t>(</w:t>
      </w:r>
      <w:r w:rsidR="00114D1E" w:rsidRPr="00E04C25">
        <w:rPr>
          <w:rFonts w:ascii="Arial" w:hAnsi="Arial" w:cs="Arial"/>
          <w:iCs/>
        </w:rPr>
        <w:t xml:space="preserve">v Karlovarském </w:t>
      </w:r>
      <w:r w:rsidR="00B12982" w:rsidRPr="00E04C25">
        <w:rPr>
          <w:rFonts w:ascii="Arial" w:hAnsi="Arial" w:cs="Arial"/>
          <w:iCs/>
        </w:rPr>
        <w:t>61,3 %</w:t>
      </w:r>
      <w:r w:rsidR="00114D1E" w:rsidRPr="00E04C25">
        <w:rPr>
          <w:rFonts w:ascii="Arial" w:hAnsi="Arial" w:cs="Arial"/>
          <w:iCs/>
        </w:rPr>
        <w:t xml:space="preserve"> a Ústeckém kraji 59,6 %). Po nich následuje Kraj Vysočina (58,9 %), kde je druhý nejvyšší podíl osob se středoškolským vzděláním bez maturity. </w:t>
      </w:r>
    </w:p>
    <w:p w:rsidR="00762875" w:rsidRPr="00E04C25" w:rsidRDefault="00762875" w:rsidP="00AE65A5">
      <w:pPr>
        <w:tabs>
          <w:tab w:val="left" w:pos="709"/>
        </w:tabs>
        <w:ind w:firstLine="720"/>
        <w:jc w:val="both"/>
        <w:rPr>
          <w:rFonts w:ascii="Arial" w:hAnsi="Arial" w:cs="Arial"/>
          <w:bCs/>
          <w:sz w:val="16"/>
          <w:szCs w:val="16"/>
        </w:rPr>
      </w:pPr>
    </w:p>
    <w:p w:rsidR="00762875" w:rsidRPr="00E04C25" w:rsidRDefault="00762875" w:rsidP="00AE65A5">
      <w:pPr>
        <w:tabs>
          <w:tab w:val="left" w:pos="709"/>
        </w:tabs>
        <w:jc w:val="center"/>
        <w:rPr>
          <w:rFonts w:ascii="Arial" w:hAnsi="Arial" w:cs="Arial"/>
          <w:b/>
          <w:iCs/>
        </w:rPr>
      </w:pPr>
      <w:r w:rsidRPr="00E04C25">
        <w:rPr>
          <w:rFonts w:ascii="Arial" w:hAnsi="Arial" w:cs="Arial"/>
          <w:b/>
          <w:iCs/>
        </w:rPr>
        <w:t>Vzdělanostní struktura zaměstnané populace 15+ ČR v roce 201</w:t>
      </w:r>
      <w:r w:rsidR="00EC746A" w:rsidRPr="00E04C25">
        <w:rPr>
          <w:rFonts w:ascii="Arial" w:hAnsi="Arial" w:cs="Arial"/>
          <w:b/>
          <w:iCs/>
        </w:rPr>
        <w:t>7</w:t>
      </w:r>
    </w:p>
    <w:p w:rsidR="00762875" w:rsidRPr="00E04C25" w:rsidRDefault="00762875" w:rsidP="00AE65A5">
      <w:pPr>
        <w:tabs>
          <w:tab w:val="left" w:pos="709"/>
        </w:tabs>
        <w:jc w:val="center"/>
        <w:rPr>
          <w:rFonts w:ascii="Arial" w:hAnsi="Arial" w:cs="Arial"/>
          <w:b/>
          <w:iCs/>
        </w:rPr>
      </w:pPr>
      <w:r w:rsidRPr="00E04C25">
        <w:rPr>
          <w:rFonts w:ascii="Arial" w:hAnsi="Arial" w:cs="Arial"/>
          <w:b/>
          <w:iCs/>
        </w:rPr>
        <w:t xml:space="preserve">v krajském členění v % </w:t>
      </w:r>
    </w:p>
    <w:p w:rsidR="00762875" w:rsidRPr="00E04C25" w:rsidRDefault="00762875" w:rsidP="00AE65A5">
      <w:pPr>
        <w:tabs>
          <w:tab w:val="left" w:pos="709"/>
        </w:tabs>
        <w:jc w:val="center"/>
        <w:rPr>
          <w:rFonts w:ascii="Arial" w:hAnsi="Arial" w:cs="Arial"/>
          <w:iCs/>
          <w:sz w:val="20"/>
          <w:szCs w:val="20"/>
        </w:rPr>
      </w:pP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r>
      <w:r w:rsidRPr="00E04C25">
        <w:rPr>
          <w:rFonts w:ascii="Arial" w:hAnsi="Arial" w:cs="Arial"/>
          <w:iCs/>
          <w:sz w:val="20"/>
          <w:szCs w:val="20"/>
        </w:rPr>
        <w:tab/>
        <w:t>tab. č. 1</w:t>
      </w:r>
      <w:r w:rsidR="00AC1001" w:rsidRPr="00E04C25">
        <w:rPr>
          <w:rFonts w:ascii="Arial" w:hAnsi="Arial" w:cs="Arial"/>
          <w:iCs/>
          <w:sz w:val="20"/>
          <w:szCs w:val="20"/>
        </w:rPr>
        <w:t>3</w:t>
      </w:r>
    </w:p>
    <w:tbl>
      <w:tblPr>
        <w:tblW w:w="7583" w:type="dxa"/>
        <w:jc w:val="center"/>
        <w:tblCellMar>
          <w:left w:w="70" w:type="dxa"/>
          <w:right w:w="70" w:type="dxa"/>
        </w:tblCellMar>
        <w:tblLook w:val="04A0"/>
      </w:tblPr>
      <w:tblGrid>
        <w:gridCol w:w="1908"/>
        <w:gridCol w:w="1418"/>
        <w:gridCol w:w="1438"/>
        <w:gridCol w:w="1255"/>
        <w:gridCol w:w="1564"/>
      </w:tblGrid>
      <w:tr w:rsidR="002B6870" w:rsidRPr="00E04C25" w:rsidTr="00762875">
        <w:trPr>
          <w:trHeight w:val="330"/>
          <w:jc w:val="center"/>
        </w:trPr>
        <w:tc>
          <w:tcPr>
            <w:tcW w:w="1908" w:type="dxa"/>
            <w:vMerge w:val="restart"/>
            <w:tcBorders>
              <w:top w:val="double" w:sz="6" w:space="0" w:color="auto"/>
              <w:left w:val="double" w:sz="6" w:space="0" w:color="auto"/>
              <w:bottom w:val="single" w:sz="4" w:space="0" w:color="auto"/>
              <w:right w:val="single" w:sz="4" w:space="0" w:color="auto"/>
            </w:tcBorders>
            <w:shd w:val="clear" w:color="auto" w:fill="auto"/>
            <w:noWrap/>
            <w:vAlign w:val="center"/>
          </w:tcPr>
          <w:p w:rsidR="00762875" w:rsidRPr="00E04C25" w:rsidRDefault="00762875" w:rsidP="002413D1">
            <w:pPr>
              <w:tabs>
                <w:tab w:val="left" w:pos="709"/>
              </w:tabs>
              <w:ind w:firstLineChars="100" w:firstLine="201"/>
              <w:rPr>
                <w:rFonts w:ascii="Arial" w:hAnsi="Arial" w:cs="Arial"/>
                <w:b/>
                <w:bCs/>
                <w:sz w:val="20"/>
                <w:szCs w:val="20"/>
              </w:rPr>
            </w:pPr>
            <w:r w:rsidRPr="00E04C25">
              <w:rPr>
                <w:rFonts w:ascii="Arial" w:hAnsi="Arial" w:cs="Arial"/>
                <w:b/>
                <w:bCs/>
                <w:sz w:val="20"/>
                <w:szCs w:val="20"/>
              </w:rPr>
              <w:t>Kraj</w:t>
            </w:r>
          </w:p>
        </w:tc>
        <w:tc>
          <w:tcPr>
            <w:tcW w:w="5675" w:type="dxa"/>
            <w:gridSpan w:val="4"/>
            <w:tcBorders>
              <w:top w:val="double" w:sz="6" w:space="0" w:color="auto"/>
              <w:left w:val="single" w:sz="4" w:space="0" w:color="auto"/>
              <w:bottom w:val="single" w:sz="4" w:space="0" w:color="auto"/>
              <w:right w:val="double" w:sz="6" w:space="0" w:color="000000"/>
            </w:tcBorders>
            <w:shd w:val="clear" w:color="auto" w:fill="auto"/>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Vzdělání</w:t>
            </w:r>
          </w:p>
        </w:tc>
      </w:tr>
      <w:tr w:rsidR="002B6870" w:rsidRPr="00E04C25" w:rsidTr="00762875">
        <w:trPr>
          <w:trHeight w:val="284"/>
          <w:jc w:val="center"/>
        </w:trPr>
        <w:tc>
          <w:tcPr>
            <w:tcW w:w="1908" w:type="dxa"/>
            <w:vMerge/>
            <w:tcBorders>
              <w:top w:val="single" w:sz="4" w:space="0" w:color="auto"/>
              <w:left w:val="double" w:sz="6" w:space="0" w:color="auto"/>
              <w:bottom w:val="single" w:sz="4" w:space="0" w:color="auto"/>
              <w:right w:val="single" w:sz="4" w:space="0" w:color="auto"/>
            </w:tcBorders>
            <w:vAlign w:val="center"/>
          </w:tcPr>
          <w:p w:rsidR="00762875" w:rsidRPr="00E04C25" w:rsidRDefault="00762875" w:rsidP="00AE65A5">
            <w:pPr>
              <w:tabs>
                <w:tab w:val="left" w:pos="709"/>
              </w:tabs>
              <w:rPr>
                <w:rFonts w:ascii="Arial" w:hAnsi="Arial" w:cs="Arial"/>
                <w:b/>
                <w:bCs/>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základní a bez vzdělání</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střední</w:t>
            </w:r>
          </w:p>
        </w:tc>
        <w:tc>
          <w:tcPr>
            <w:tcW w:w="1564" w:type="dxa"/>
            <w:vMerge w:val="restart"/>
            <w:tcBorders>
              <w:top w:val="single" w:sz="4" w:space="0" w:color="auto"/>
              <w:left w:val="single" w:sz="4" w:space="0" w:color="auto"/>
              <w:bottom w:val="single" w:sz="4" w:space="0" w:color="auto"/>
              <w:right w:val="double" w:sz="6" w:space="0" w:color="auto"/>
            </w:tcBorders>
            <w:shd w:val="clear" w:color="auto" w:fill="auto"/>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vysokoškolské</w:t>
            </w:r>
          </w:p>
        </w:tc>
      </w:tr>
      <w:tr w:rsidR="002B6870" w:rsidRPr="00E04C25" w:rsidTr="00762875">
        <w:trPr>
          <w:trHeight w:val="284"/>
          <w:jc w:val="center"/>
        </w:trPr>
        <w:tc>
          <w:tcPr>
            <w:tcW w:w="1908" w:type="dxa"/>
            <w:vMerge/>
            <w:tcBorders>
              <w:top w:val="single" w:sz="4" w:space="0" w:color="auto"/>
              <w:left w:val="double" w:sz="6" w:space="0" w:color="auto"/>
              <w:bottom w:val="single" w:sz="4" w:space="0" w:color="auto"/>
              <w:right w:val="single" w:sz="4" w:space="0" w:color="auto"/>
            </w:tcBorders>
            <w:vAlign w:val="center"/>
          </w:tcPr>
          <w:p w:rsidR="00762875" w:rsidRPr="00E04C25" w:rsidRDefault="00762875" w:rsidP="00AE65A5">
            <w:pPr>
              <w:tabs>
                <w:tab w:val="left" w:pos="709"/>
              </w:tabs>
              <w:rPr>
                <w:rFonts w:ascii="Arial" w:hAnsi="Arial" w:cs="Arial"/>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62875" w:rsidRPr="00E04C25" w:rsidRDefault="00762875" w:rsidP="00AE65A5">
            <w:pPr>
              <w:tabs>
                <w:tab w:val="left" w:pos="709"/>
              </w:tabs>
              <w:rPr>
                <w:rFonts w:ascii="Arial" w:hAnsi="Arial" w:cs="Arial"/>
                <w:b/>
                <w:bCs/>
                <w:sz w:val="20"/>
                <w:szCs w:val="20"/>
              </w:rPr>
            </w:pPr>
          </w:p>
        </w:tc>
        <w:tc>
          <w:tcPr>
            <w:tcW w:w="1438" w:type="dxa"/>
            <w:tcBorders>
              <w:top w:val="single" w:sz="4" w:space="0" w:color="auto"/>
              <w:left w:val="nil"/>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bez maturity</w:t>
            </w:r>
          </w:p>
        </w:tc>
        <w:tc>
          <w:tcPr>
            <w:tcW w:w="1255" w:type="dxa"/>
            <w:tcBorders>
              <w:top w:val="single" w:sz="4" w:space="0" w:color="auto"/>
              <w:left w:val="nil"/>
              <w:bottom w:val="single" w:sz="4" w:space="0" w:color="auto"/>
              <w:right w:val="single" w:sz="4" w:space="0" w:color="auto"/>
            </w:tcBorders>
            <w:shd w:val="clear" w:color="auto" w:fill="auto"/>
            <w:noWrap/>
            <w:vAlign w:val="center"/>
          </w:tcPr>
          <w:p w:rsidR="00762875" w:rsidRPr="00E04C25" w:rsidRDefault="00762875" w:rsidP="00AE65A5">
            <w:pPr>
              <w:tabs>
                <w:tab w:val="left" w:pos="709"/>
              </w:tabs>
              <w:jc w:val="center"/>
              <w:rPr>
                <w:rFonts w:ascii="Arial" w:hAnsi="Arial" w:cs="Arial"/>
                <w:b/>
                <w:bCs/>
                <w:sz w:val="20"/>
                <w:szCs w:val="20"/>
              </w:rPr>
            </w:pPr>
            <w:r w:rsidRPr="00E04C25">
              <w:rPr>
                <w:rFonts w:ascii="Arial" w:hAnsi="Arial" w:cs="Arial"/>
                <w:b/>
                <w:bCs/>
                <w:sz w:val="20"/>
                <w:szCs w:val="20"/>
              </w:rPr>
              <w:t>s maturitou</w:t>
            </w:r>
          </w:p>
        </w:tc>
        <w:tc>
          <w:tcPr>
            <w:tcW w:w="1564" w:type="dxa"/>
            <w:vMerge/>
            <w:tcBorders>
              <w:top w:val="single" w:sz="4" w:space="0" w:color="auto"/>
              <w:left w:val="single" w:sz="4" w:space="0" w:color="auto"/>
              <w:bottom w:val="single" w:sz="4" w:space="0" w:color="auto"/>
              <w:right w:val="double" w:sz="6" w:space="0" w:color="auto"/>
            </w:tcBorders>
            <w:vAlign w:val="center"/>
          </w:tcPr>
          <w:p w:rsidR="00762875" w:rsidRPr="00E04C25" w:rsidRDefault="00762875" w:rsidP="00AE65A5">
            <w:pPr>
              <w:tabs>
                <w:tab w:val="left" w:pos="709"/>
              </w:tabs>
              <w:rPr>
                <w:rFonts w:ascii="Arial" w:hAnsi="Arial" w:cs="Arial"/>
                <w:b/>
                <w:bCs/>
                <w:sz w:val="20"/>
                <w:szCs w:val="20"/>
              </w:rPr>
            </w:pPr>
          </w:p>
        </w:tc>
      </w:tr>
      <w:tr w:rsidR="00DC738C" w:rsidRPr="00E04C25" w:rsidTr="006F07AF">
        <w:trPr>
          <w:trHeight w:val="315"/>
          <w:jc w:val="center"/>
        </w:trPr>
        <w:tc>
          <w:tcPr>
            <w:tcW w:w="1908" w:type="dxa"/>
            <w:tcBorders>
              <w:top w:val="single" w:sz="4" w:space="0" w:color="auto"/>
              <w:left w:val="double" w:sz="6" w:space="0" w:color="auto"/>
              <w:bottom w:val="single" w:sz="4" w:space="0" w:color="auto"/>
              <w:right w:val="single" w:sz="4" w:space="0" w:color="auto"/>
            </w:tcBorders>
            <w:shd w:val="clear" w:color="auto" w:fill="auto"/>
            <w:noWrap/>
            <w:vAlign w:val="center"/>
          </w:tcPr>
          <w:p w:rsidR="00DC738C" w:rsidRPr="00E04C25" w:rsidRDefault="00DC738C" w:rsidP="002413D1">
            <w:pPr>
              <w:tabs>
                <w:tab w:val="left" w:pos="709"/>
              </w:tabs>
              <w:ind w:firstLineChars="100" w:firstLine="181"/>
              <w:rPr>
                <w:rFonts w:ascii="Arial" w:hAnsi="Arial" w:cs="Arial"/>
                <w:b/>
                <w:bCs/>
                <w:sz w:val="18"/>
                <w:szCs w:val="18"/>
              </w:rPr>
            </w:pPr>
            <w:r w:rsidRPr="00E04C25">
              <w:rPr>
                <w:rFonts w:ascii="Arial" w:hAnsi="Arial" w:cs="Arial"/>
                <w:b/>
                <w:bCs/>
                <w:sz w:val="18"/>
                <w:szCs w:val="18"/>
              </w:rPr>
              <w:t xml:space="preserve">Celkem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4,3</w:t>
            </w:r>
          </w:p>
        </w:tc>
        <w:tc>
          <w:tcPr>
            <w:tcW w:w="1438" w:type="dxa"/>
            <w:tcBorders>
              <w:top w:val="single" w:sz="4" w:space="0" w:color="auto"/>
              <w:left w:val="nil"/>
              <w:bottom w:val="single" w:sz="4" w:space="0" w:color="auto"/>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33,9</w:t>
            </w: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37,3</w:t>
            </w:r>
          </w:p>
        </w:tc>
        <w:tc>
          <w:tcPr>
            <w:tcW w:w="1564" w:type="dxa"/>
            <w:tcBorders>
              <w:top w:val="single" w:sz="4" w:space="0" w:color="auto"/>
              <w:left w:val="nil"/>
              <w:bottom w:val="single" w:sz="4" w:space="0" w:color="auto"/>
              <w:right w:val="double" w:sz="6"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24,6</w:t>
            </w:r>
          </w:p>
        </w:tc>
      </w:tr>
      <w:tr w:rsidR="00DC738C" w:rsidRPr="00E04C25" w:rsidTr="006F07AF">
        <w:trPr>
          <w:trHeight w:val="315"/>
          <w:jc w:val="center"/>
        </w:trPr>
        <w:tc>
          <w:tcPr>
            <w:tcW w:w="1908" w:type="dxa"/>
            <w:tcBorders>
              <w:top w:val="single" w:sz="4" w:space="0" w:color="auto"/>
              <w:left w:val="double" w:sz="6" w:space="0" w:color="auto"/>
              <w:bottom w:val="nil"/>
              <w:right w:val="single" w:sz="4" w:space="0" w:color="auto"/>
            </w:tcBorders>
            <w:shd w:val="clear" w:color="auto" w:fill="auto"/>
            <w:noWrap/>
            <w:vAlign w:val="center"/>
          </w:tcPr>
          <w:p w:rsidR="00DC738C" w:rsidRPr="00E04C25" w:rsidRDefault="00DC738C" w:rsidP="00AE65A5">
            <w:pPr>
              <w:tabs>
                <w:tab w:val="left" w:pos="709"/>
              </w:tabs>
              <w:ind w:firstLineChars="100" w:firstLine="180"/>
              <w:rPr>
                <w:rFonts w:ascii="Arial" w:hAnsi="Arial" w:cs="Arial"/>
                <w:sz w:val="18"/>
                <w:szCs w:val="18"/>
              </w:rPr>
            </w:pPr>
            <w:r w:rsidRPr="00E04C25">
              <w:rPr>
                <w:rFonts w:ascii="Arial" w:hAnsi="Arial" w:cs="Arial"/>
                <w:sz w:val="18"/>
                <w:szCs w:val="18"/>
              </w:rPr>
              <w:t>Hl. m. Praha</w:t>
            </w:r>
          </w:p>
        </w:tc>
        <w:tc>
          <w:tcPr>
            <w:tcW w:w="1418" w:type="dxa"/>
            <w:tcBorders>
              <w:top w:val="single" w:sz="4" w:space="0" w:color="auto"/>
              <w:left w:val="single" w:sz="4" w:space="0" w:color="auto"/>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2,3</w:t>
            </w:r>
          </w:p>
        </w:tc>
        <w:tc>
          <w:tcPr>
            <w:tcW w:w="1438" w:type="dxa"/>
            <w:tcBorders>
              <w:top w:val="single" w:sz="4" w:space="0" w:color="auto"/>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16,2</w:t>
            </w:r>
          </w:p>
        </w:tc>
        <w:tc>
          <w:tcPr>
            <w:tcW w:w="1255" w:type="dxa"/>
            <w:tcBorders>
              <w:top w:val="single" w:sz="4" w:space="0" w:color="auto"/>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36,4</w:t>
            </w:r>
          </w:p>
        </w:tc>
        <w:tc>
          <w:tcPr>
            <w:tcW w:w="1564" w:type="dxa"/>
            <w:tcBorders>
              <w:top w:val="single" w:sz="4" w:space="0" w:color="auto"/>
              <w:left w:val="nil"/>
              <w:bottom w:val="nil"/>
              <w:right w:val="double" w:sz="6"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45,1</w:t>
            </w:r>
          </w:p>
        </w:tc>
      </w:tr>
      <w:tr w:rsidR="00DC738C" w:rsidRPr="00E04C25" w:rsidTr="006F07AF">
        <w:trPr>
          <w:trHeight w:val="315"/>
          <w:jc w:val="center"/>
        </w:trPr>
        <w:tc>
          <w:tcPr>
            <w:tcW w:w="1908" w:type="dxa"/>
            <w:tcBorders>
              <w:top w:val="nil"/>
              <w:left w:val="double" w:sz="6" w:space="0" w:color="auto"/>
              <w:bottom w:val="nil"/>
              <w:right w:val="single" w:sz="4" w:space="0" w:color="auto"/>
            </w:tcBorders>
            <w:shd w:val="clear" w:color="auto" w:fill="auto"/>
            <w:noWrap/>
            <w:vAlign w:val="center"/>
          </w:tcPr>
          <w:p w:rsidR="00DC738C" w:rsidRPr="00E04C25" w:rsidRDefault="00DC738C" w:rsidP="00AE65A5">
            <w:pPr>
              <w:tabs>
                <w:tab w:val="left" w:pos="709"/>
              </w:tabs>
              <w:ind w:firstLineChars="100" w:firstLine="180"/>
              <w:rPr>
                <w:rFonts w:ascii="Arial" w:hAnsi="Arial" w:cs="Arial"/>
                <w:sz w:val="18"/>
                <w:szCs w:val="18"/>
              </w:rPr>
            </w:pPr>
            <w:r w:rsidRPr="00E04C25">
              <w:rPr>
                <w:rFonts w:ascii="Arial" w:hAnsi="Arial" w:cs="Arial"/>
                <w:sz w:val="18"/>
                <w:szCs w:val="18"/>
              </w:rPr>
              <w:t>Středočeský</w:t>
            </w:r>
          </w:p>
        </w:tc>
        <w:tc>
          <w:tcPr>
            <w:tcW w:w="1418" w:type="dxa"/>
            <w:tcBorders>
              <w:top w:val="nil"/>
              <w:left w:val="single" w:sz="4" w:space="0" w:color="auto"/>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3,3</w:t>
            </w:r>
          </w:p>
        </w:tc>
        <w:tc>
          <w:tcPr>
            <w:tcW w:w="1438"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33,9</w:t>
            </w:r>
          </w:p>
        </w:tc>
        <w:tc>
          <w:tcPr>
            <w:tcW w:w="1255"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40,3</w:t>
            </w:r>
          </w:p>
        </w:tc>
        <w:tc>
          <w:tcPr>
            <w:tcW w:w="1564" w:type="dxa"/>
            <w:tcBorders>
              <w:top w:val="nil"/>
              <w:left w:val="nil"/>
              <w:bottom w:val="nil"/>
              <w:right w:val="double" w:sz="6"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22,4</w:t>
            </w:r>
          </w:p>
        </w:tc>
      </w:tr>
      <w:tr w:rsidR="00DC738C" w:rsidRPr="00E04C25" w:rsidTr="006F07AF">
        <w:trPr>
          <w:trHeight w:val="315"/>
          <w:jc w:val="center"/>
        </w:trPr>
        <w:tc>
          <w:tcPr>
            <w:tcW w:w="1908" w:type="dxa"/>
            <w:tcBorders>
              <w:top w:val="nil"/>
              <w:left w:val="double" w:sz="6" w:space="0" w:color="auto"/>
              <w:bottom w:val="nil"/>
              <w:right w:val="single" w:sz="4" w:space="0" w:color="auto"/>
            </w:tcBorders>
            <w:shd w:val="clear" w:color="auto" w:fill="auto"/>
            <w:noWrap/>
            <w:vAlign w:val="center"/>
          </w:tcPr>
          <w:p w:rsidR="00DC738C" w:rsidRPr="00E04C25" w:rsidRDefault="00DC738C" w:rsidP="00AE65A5">
            <w:pPr>
              <w:tabs>
                <w:tab w:val="left" w:pos="709"/>
              </w:tabs>
              <w:ind w:firstLineChars="100" w:firstLine="180"/>
              <w:rPr>
                <w:rFonts w:ascii="Arial" w:hAnsi="Arial" w:cs="Arial"/>
                <w:sz w:val="18"/>
                <w:szCs w:val="18"/>
              </w:rPr>
            </w:pPr>
            <w:r w:rsidRPr="00E04C25">
              <w:rPr>
                <w:rFonts w:ascii="Arial" w:hAnsi="Arial" w:cs="Arial"/>
                <w:sz w:val="18"/>
                <w:szCs w:val="18"/>
              </w:rPr>
              <w:t>Jihočeský</w:t>
            </w:r>
          </w:p>
        </w:tc>
        <w:tc>
          <w:tcPr>
            <w:tcW w:w="1418" w:type="dxa"/>
            <w:tcBorders>
              <w:top w:val="nil"/>
              <w:left w:val="single" w:sz="4" w:space="0" w:color="auto"/>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4,1</w:t>
            </w:r>
          </w:p>
        </w:tc>
        <w:tc>
          <w:tcPr>
            <w:tcW w:w="1438"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37,2</w:t>
            </w:r>
          </w:p>
        </w:tc>
        <w:tc>
          <w:tcPr>
            <w:tcW w:w="1255"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39,0</w:t>
            </w:r>
          </w:p>
        </w:tc>
        <w:tc>
          <w:tcPr>
            <w:tcW w:w="1564" w:type="dxa"/>
            <w:tcBorders>
              <w:top w:val="nil"/>
              <w:left w:val="nil"/>
              <w:bottom w:val="nil"/>
              <w:right w:val="double" w:sz="6"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19,8</w:t>
            </w:r>
          </w:p>
        </w:tc>
      </w:tr>
      <w:tr w:rsidR="00DC738C" w:rsidRPr="00E04C25" w:rsidTr="006F07AF">
        <w:trPr>
          <w:trHeight w:val="315"/>
          <w:jc w:val="center"/>
        </w:trPr>
        <w:tc>
          <w:tcPr>
            <w:tcW w:w="1908" w:type="dxa"/>
            <w:tcBorders>
              <w:top w:val="nil"/>
              <w:left w:val="double" w:sz="6" w:space="0" w:color="auto"/>
              <w:bottom w:val="nil"/>
              <w:right w:val="single" w:sz="4" w:space="0" w:color="auto"/>
            </w:tcBorders>
            <w:shd w:val="clear" w:color="auto" w:fill="auto"/>
            <w:noWrap/>
            <w:vAlign w:val="center"/>
          </w:tcPr>
          <w:p w:rsidR="00DC738C" w:rsidRPr="00E04C25" w:rsidRDefault="00DC738C" w:rsidP="00AE65A5">
            <w:pPr>
              <w:tabs>
                <w:tab w:val="left" w:pos="709"/>
              </w:tabs>
              <w:ind w:firstLineChars="100" w:firstLine="180"/>
              <w:rPr>
                <w:rFonts w:ascii="Arial" w:hAnsi="Arial" w:cs="Arial"/>
                <w:sz w:val="18"/>
                <w:szCs w:val="18"/>
              </w:rPr>
            </w:pPr>
            <w:r w:rsidRPr="00E04C25">
              <w:rPr>
                <w:rFonts w:ascii="Arial" w:hAnsi="Arial" w:cs="Arial"/>
                <w:sz w:val="18"/>
                <w:szCs w:val="18"/>
              </w:rPr>
              <w:t>Plzeňský</w:t>
            </w:r>
          </w:p>
        </w:tc>
        <w:tc>
          <w:tcPr>
            <w:tcW w:w="1418" w:type="dxa"/>
            <w:tcBorders>
              <w:top w:val="nil"/>
              <w:left w:val="single" w:sz="4" w:space="0" w:color="auto"/>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4,9</w:t>
            </w:r>
          </w:p>
        </w:tc>
        <w:tc>
          <w:tcPr>
            <w:tcW w:w="1438"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38,4</w:t>
            </w:r>
          </w:p>
        </w:tc>
        <w:tc>
          <w:tcPr>
            <w:tcW w:w="1255"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35,5</w:t>
            </w:r>
          </w:p>
        </w:tc>
        <w:tc>
          <w:tcPr>
            <w:tcW w:w="1564" w:type="dxa"/>
            <w:tcBorders>
              <w:top w:val="nil"/>
              <w:left w:val="nil"/>
              <w:bottom w:val="nil"/>
              <w:right w:val="double" w:sz="6"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21,1</w:t>
            </w:r>
          </w:p>
        </w:tc>
      </w:tr>
      <w:tr w:rsidR="00DC738C" w:rsidRPr="00E04C25" w:rsidTr="006F07AF">
        <w:trPr>
          <w:trHeight w:val="315"/>
          <w:jc w:val="center"/>
        </w:trPr>
        <w:tc>
          <w:tcPr>
            <w:tcW w:w="1908" w:type="dxa"/>
            <w:tcBorders>
              <w:top w:val="nil"/>
              <w:left w:val="double" w:sz="6" w:space="0" w:color="auto"/>
              <w:bottom w:val="nil"/>
              <w:right w:val="single" w:sz="4" w:space="0" w:color="auto"/>
            </w:tcBorders>
            <w:shd w:val="clear" w:color="auto" w:fill="auto"/>
            <w:noWrap/>
            <w:vAlign w:val="center"/>
          </w:tcPr>
          <w:p w:rsidR="00DC738C" w:rsidRPr="00E04C25" w:rsidRDefault="00DC738C" w:rsidP="00AE65A5">
            <w:pPr>
              <w:tabs>
                <w:tab w:val="left" w:pos="709"/>
              </w:tabs>
              <w:ind w:firstLineChars="100" w:firstLine="180"/>
              <w:rPr>
                <w:rFonts w:ascii="Arial" w:hAnsi="Arial" w:cs="Arial"/>
                <w:sz w:val="18"/>
                <w:szCs w:val="18"/>
              </w:rPr>
            </w:pPr>
            <w:r w:rsidRPr="00E04C25">
              <w:rPr>
                <w:rFonts w:ascii="Arial" w:hAnsi="Arial" w:cs="Arial"/>
                <w:sz w:val="18"/>
                <w:szCs w:val="18"/>
              </w:rPr>
              <w:t>Karlovarský</w:t>
            </w:r>
          </w:p>
        </w:tc>
        <w:tc>
          <w:tcPr>
            <w:tcW w:w="1418" w:type="dxa"/>
            <w:tcBorders>
              <w:top w:val="nil"/>
              <w:left w:val="single" w:sz="4" w:space="0" w:color="auto"/>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9,0</w:t>
            </w:r>
          </w:p>
        </w:tc>
        <w:tc>
          <w:tcPr>
            <w:tcW w:w="1438"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42,5</w:t>
            </w:r>
          </w:p>
        </w:tc>
        <w:tc>
          <w:tcPr>
            <w:tcW w:w="1255"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34,0</w:t>
            </w:r>
          </w:p>
        </w:tc>
        <w:tc>
          <w:tcPr>
            <w:tcW w:w="1564" w:type="dxa"/>
            <w:tcBorders>
              <w:top w:val="nil"/>
              <w:left w:val="nil"/>
              <w:bottom w:val="nil"/>
              <w:right w:val="double" w:sz="6"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14,4</w:t>
            </w:r>
          </w:p>
        </w:tc>
      </w:tr>
      <w:tr w:rsidR="00DC738C" w:rsidRPr="00E04C25" w:rsidTr="006F07AF">
        <w:trPr>
          <w:trHeight w:val="315"/>
          <w:jc w:val="center"/>
        </w:trPr>
        <w:tc>
          <w:tcPr>
            <w:tcW w:w="1908" w:type="dxa"/>
            <w:tcBorders>
              <w:top w:val="nil"/>
              <w:left w:val="double" w:sz="6" w:space="0" w:color="auto"/>
              <w:bottom w:val="nil"/>
              <w:right w:val="single" w:sz="4" w:space="0" w:color="auto"/>
            </w:tcBorders>
            <w:shd w:val="clear" w:color="auto" w:fill="auto"/>
            <w:noWrap/>
            <w:vAlign w:val="center"/>
          </w:tcPr>
          <w:p w:rsidR="00DC738C" w:rsidRPr="00E04C25" w:rsidRDefault="00DC738C" w:rsidP="00AE65A5">
            <w:pPr>
              <w:tabs>
                <w:tab w:val="left" w:pos="709"/>
              </w:tabs>
              <w:ind w:firstLineChars="100" w:firstLine="180"/>
              <w:rPr>
                <w:rFonts w:ascii="Arial" w:hAnsi="Arial" w:cs="Arial"/>
                <w:sz w:val="18"/>
                <w:szCs w:val="18"/>
              </w:rPr>
            </w:pPr>
            <w:r w:rsidRPr="00E04C25">
              <w:rPr>
                <w:rFonts w:ascii="Arial" w:hAnsi="Arial" w:cs="Arial"/>
                <w:sz w:val="18"/>
                <w:szCs w:val="18"/>
              </w:rPr>
              <w:t>Ústecký</w:t>
            </w:r>
          </w:p>
        </w:tc>
        <w:tc>
          <w:tcPr>
            <w:tcW w:w="1418" w:type="dxa"/>
            <w:tcBorders>
              <w:top w:val="nil"/>
              <w:left w:val="single" w:sz="4" w:space="0" w:color="auto"/>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8,2</w:t>
            </w:r>
          </w:p>
        </w:tc>
        <w:tc>
          <w:tcPr>
            <w:tcW w:w="1438"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38,9</w:t>
            </w:r>
          </w:p>
        </w:tc>
        <w:tc>
          <w:tcPr>
            <w:tcW w:w="1255"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37,3</w:t>
            </w:r>
          </w:p>
        </w:tc>
        <w:tc>
          <w:tcPr>
            <w:tcW w:w="1564" w:type="dxa"/>
            <w:tcBorders>
              <w:top w:val="nil"/>
              <w:left w:val="nil"/>
              <w:bottom w:val="nil"/>
              <w:right w:val="double" w:sz="6"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15,6</w:t>
            </w:r>
          </w:p>
        </w:tc>
      </w:tr>
      <w:tr w:rsidR="00DC738C" w:rsidRPr="00E04C25" w:rsidTr="006F07AF">
        <w:trPr>
          <w:trHeight w:val="315"/>
          <w:jc w:val="center"/>
        </w:trPr>
        <w:tc>
          <w:tcPr>
            <w:tcW w:w="1908" w:type="dxa"/>
            <w:tcBorders>
              <w:top w:val="nil"/>
              <w:left w:val="double" w:sz="6" w:space="0" w:color="auto"/>
              <w:bottom w:val="nil"/>
              <w:right w:val="single" w:sz="4" w:space="0" w:color="auto"/>
            </w:tcBorders>
            <w:shd w:val="clear" w:color="auto" w:fill="auto"/>
            <w:noWrap/>
            <w:vAlign w:val="center"/>
          </w:tcPr>
          <w:p w:rsidR="00DC738C" w:rsidRPr="00E04C25" w:rsidRDefault="00DC738C" w:rsidP="00AE65A5">
            <w:pPr>
              <w:tabs>
                <w:tab w:val="left" w:pos="709"/>
              </w:tabs>
              <w:ind w:firstLineChars="100" w:firstLine="180"/>
              <w:rPr>
                <w:rFonts w:ascii="Arial" w:hAnsi="Arial" w:cs="Arial"/>
                <w:sz w:val="18"/>
                <w:szCs w:val="18"/>
              </w:rPr>
            </w:pPr>
            <w:r w:rsidRPr="00E04C25">
              <w:rPr>
                <w:rFonts w:ascii="Arial" w:hAnsi="Arial" w:cs="Arial"/>
                <w:sz w:val="18"/>
                <w:szCs w:val="18"/>
              </w:rPr>
              <w:t>Liberecký</w:t>
            </w:r>
          </w:p>
        </w:tc>
        <w:tc>
          <w:tcPr>
            <w:tcW w:w="1418" w:type="dxa"/>
            <w:tcBorders>
              <w:top w:val="nil"/>
              <w:left w:val="single" w:sz="4" w:space="0" w:color="auto"/>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6,8</w:t>
            </w:r>
          </w:p>
        </w:tc>
        <w:tc>
          <w:tcPr>
            <w:tcW w:w="1438"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39,0</w:t>
            </w:r>
          </w:p>
        </w:tc>
        <w:tc>
          <w:tcPr>
            <w:tcW w:w="1255"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34,9</w:t>
            </w:r>
          </w:p>
        </w:tc>
        <w:tc>
          <w:tcPr>
            <w:tcW w:w="1564" w:type="dxa"/>
            <w:tcBorders>
              <w:top w:val="nil"/>
              <w:left w:val="nil"/>
              <w:bottom w:val="nil"/>
              <w:right w:val="double" w:sz="6"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19,3</w:t>
            </w:r>
          </w:p>
        </w:tc>
      </w:tr>
      <w:tr w:rsidR="00DC738C" w:rsidRPr="00E04C25" w:rsidTr="006F07AF">
        <w:trPr>
          <w:trHeight w:val="315"/>
          <w:jc w:val="center"/>
        </w:trPr>
        <w:tc>
          <w:tcPr>
            <w:tcW w:w="1908" w:type="dxa"/>
            <w:tcBorders>
              <w:top w:val="nil"/>
              <w:left w:val="double" w:sz="6" w:space="0" w:color="auto"/>
              <w:bottom w:val="nil"/>
              <w:right w:val="single" w:sz="4" w:space="0" w:color="auto"/>
            </w:tcBorders>
            <w:shd w:val="clear" w:color="auto" w:fill="auto"/>
            <w:noWrap/>
            <w:vAlign w:val="center"/>
          </w:tcPr>
          <w:p w:rsidR="00DC738C" w:rsidRPr="00E04C25" w:rsidRDefault="00DC738C" w:rsidP="00AE65A5">
            <w:pPr>
              <w:tabs>
                <w:tab w:val="left" w:pos="709"/>
              </w:tabs>
              <w:ind w:firstLineChars="100" w:firstLine="180"/>
              <w:rPr>
                <w:rFonts w:ascii="Arial" w:hAnsi="Arial" w:cs="Arial"/>
                <w:sz w:val="18"/>
                <w:szCs w:val="18"/>
              </w:rPr>
            </w:pPr>
            <w:r w:rsidRPr="00E04C25">
              <w:rPr>
                <w:rFonts w:ascii="Arial" w:hAnsi="Arial" w:cs="Arial"/>
                <w:sz w:val="18"/>
                <w:szCs w:val="18"/>
              </w:rPr>
              <w:t>Královéhradecký</w:t>
            </w:r>
          </w:p>
        </w:tc>
        <w:tc>
          <w:tcPr>
            <w:tcW w:w="1418" w:type="dxa"/>
            <w:tcBorders>
              <w:top w:val="nil"/>
              <w:left w:val="single" w:sz="4" w:space="0" w:color="auto"/>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3,6</w:t>
            </w:r>
          </w:p>
        </w:tc>
        <w:tc>
          <w:tcPr>
            <w:tcW w:w="1438"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35,4</w:t>
            </w:r>
          </w:p>
        </w:tc>
        <w:tc>
          <w:tcPr>
            <w:tcW w:w="1255"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39,4</w:t>
            </w:r>
          </w:p>
        </w:tc>
        <w:tc>
          <w:tcPr>
            <w:tcW w:w="1564" w:type="dxa"/>
            <w:tcBorders>
              <w:top w:val="nil"/>
              <w:left w:val="nil"/>
              <w:bottom w:val="nil"/>
              <w:right w:val="double" w:sz="6"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21,6</w:t>
            </w:r>
          </w:p>
        </w:tc>
      </w:tr>
      <w:tr w:rsidR="00DC738C" w:rsidRPr="00E04C25" w:rsidTr="006F07AF">
        <w:trPr>
          <w:trHeight w:val="315"/>
          <w:jc w:val="center"/>
        </w:trPr>
        <w:tc>
          <w:tcPr>
            <w:tcW w:w="1908" w:type="dxa"/>
            <w:tcBorders>
              <w:top w:val="nil"/>
              <w:left w:val="double" w:sz="6" w:space="0" w:color="auto"/>
              <w:bottom w:val="nil"/>
              <w:right w:val="single" w:sz="4" w:space="0" w:color="auto"/>
            </w:tcBorders>
            <w:shd w:val="clear" w:color="auto" w:fill="auto"/>
            <w:noWrap/>
            <w:vAlign w:val="center"/>
          </w:tcPr>
          <w:p w:rsidR="00DC738C" w:rsidRPr="00E04C25" w:rsidRDefault="00DC738C" w:rsidP="00AE65A5">
            <w:pPr>
              <w:tabs>
                <w:tab w:val="left" w:pos="709"/>
              </w:tabs>
              <w:ind w:firstLineChars="100" w:firstLine="180"/>
              <w:rPr>
                <w:rFonts w:ascii="Arial" w:hAnsi="Arial" w:cs="Arial"/>
                <w:sz w:val="18"/>
                <w:szCs w:val="18"/>
              </w:rPr>
            </w:pPr>
            <w:r w:rsidRPr="00E04C25">
              <w:rPr>
                <w:rFonts w:ascii="Arial" w:hAnsi="Arial" w:cs="Arial"/>
                <w:sz w:val="18"/>
                <w:szCs w:val="18"/>
              </w:rPr>
              <w:t>Pardubický</w:t>
            </w:r>
          </w:p>
        </w:tc>
        <w:tc>
          <w:tcPr>
            <w:tcW w:w="1418" w:type="dxa"/>
            <w:tcBorders>
              <w:top w:val="nil"/>
              <w:left w:val="single" w:sz="4" w:space="0" w:color="auto"/>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4,0</w:t>
            </w:r>
          </w:p>
        </w:tc>
        <w:tc>
          <w:tcPr>
            <w:tcW w:w="1438"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36,3</w:t>
            </w:r>
          </w:p>
        </w:tc>
        <w:tc>
          <w:tcPr>
            <w:tcW w:w="1255"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38,1</w:t>
            </w:r>
          </w:p>
        </w:tc>
        <w:tc>
          <w:tcPr>
            <w:tcW w:w="1564" w:type="dxa"/>
            <w:tcBorders>
              <w:top w:val="nil"/>
              <w:left w:val="nil"/>
              <w:bottom w:val="nil"/>
              <w:right w:val="double" w:sz="6"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21,5</w:t>
            </w:r>
          </w:p>
        </w:tc>
      </w:tr>
      <w:tr w:rsidR="00DC738C" w:rsidRPr="00E04C25" w:rsidTr="006F07AF">
        <w:trPr>
          <w:trHeight w:val="315"/>
          <w:jc w:val="center"/>
        </w:trPr>
        <w:tc>
          <w:tcPr>
            <w:tcW w:w="1908" w:type="dxa"/>
            <w:tcBorders>
              <w:top w:val="nil"/>
              <w:left w:val="double" w:sz="6" w:space="0" w:color="auto"/>
              <w:bottom w:val="nil"/>
              <w:right w:val="single" w:sz="4" w:space="0" w:color="auto"/>
            </w:tcBorders>
            <w:shd w:val="clear" w:color="auto" w:fill="auto"/>
            <w:noWrap/>
            <w:vAlign w:val="center"/>
          </w:tcPr>
          <w:p w:rsidR="00DC738C" w:rsidRPr="00E04C25" w:rsidRDefault="00DC738C" w:rsidP="00AE65A5">
            <w:pPr>
              <w:tabs>
                <w:tab w:val="left" w:pos="709"/>
              </w:tabs>
              <w:ind w:firstLineChars="100" w:firstLine="180"/>
              <w:rPr>
                <w:rFonts w:ascii="Arial" w:hAnsi="Arial" w:cs="Arial"/>
                <w:sz w:val="18"/>
                <w:szCs w:val="18"/>
              </w:rPr>
            </w:pPr>
            <w:r w:rsidRPr="00E04C25">
              <w:rPr>
                <w:rFonts w:ascii="Arial" w:hAnsi="Arial" w:cs="Arial"/>
                <w:sz w:val="18"/>
                <w:szCs w:val="18"/>
              </w:rPr>
              <w:t>Kraj Vysočina</w:t>
            </w:r>
          </w:p>
        </w:tc>
        <w:tc>
          <w:tcPr>
            <w:tcW w:w="1418" w:type="dxa"/>
            <w:tcBorders>
              <w:top w:val="nil"/>
              <w:left w:val="single" w:sz="4" w:space="0" w:color="auto"/>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3,4</w:t>
            </w:r>
          </w:p>
        </w:tc>
        <w:tc>
          <w:tcPr>
            <w:tcW w:w="1438"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39,5</w:t>
            </w:r>
          </w:p>
        </w:tc>
        <w:tc>
          <w:tcPr>
            <w:tcW w:w="1255"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38,1</w:t>
            </w:r>
          </w:p>
        </w:tc>
        <w:tc>
          <w:tcPr>
            <w:tcW w:w="1564" w:type="dxa"/>
            <w:tcBorders>
              <w:top w:val="nil"/>
              <w:left w:val="nil"/>
              <w:bottom w:val="nil"/>
              <w:right w:val="double" w:sz="6"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18,9</w:t>
            </w:r>
          </w:p>
        </w:tc>
      </w:tr>
      <w:tr w:rsidR="00DC738C" w:rsidRPr="00E04C25" w:rsidTr="006F07AF">
        <w:trPr>
          <w:trHeight w:val="315"/>
          <w:jc w:val="center"/>
        </w:trPr>
        <w:tc>
          <w:tcPr>
            <w:tcW w:w="1908" w:type="dxa"/>
            <w:tcBorders>
              <w:top w:val="nil"/>
              <w:left w:val="double" w:sz="6" w:space="0" w:color="auto"/>
              <w:bottom w:val="nil"/>
              <w:right w:val="single" w:sz="4" w:space="0" w:color="auto"/>
            </w:tcBorders>
            <w:shd w:val="clear" w:color="auto" w:fill="auto"/>
            <w:noWrap/>
            <w:vAlign w:val="center"/>
          </w:tcPr>
          <w:p w:rsidR="00DC738C" w:rsidRPr="00E04C25" w:rsidRDefault="00DC738C" w:rsidP="00AE65A5">
            <w:pPr>
              <w:tabs>
                <w:tab w:val="left" w:pos="709"/>
              </w:tabs>
              <w:ind w:firstLineChars="100" w:firstLine="180"/>
              <w:rPr>
                <w:rFonts w:ascii="Arial" w:hAnsi="Arial" w:cs="Arial"/>
                <w:sz w:val="18"/>
                <w:szCs w:val="18"/>
              </w:rPr>
            </w:pPr>
            <w:r w:rsidRPr="00E04C25">
              <w:rPr>
                <w:rFonts w:ascii="Arial" w:hAnsi="Arial" w:cs="Arial"/>
                <w:sz w:val="18"/>
                <w:szCs w:val="18"/>
              </w:rPr>
              <w:t>Jihomoravský</w:t>
            </w:r>
          </w:p>
        </w:tc>
        <w:tc>
          <w:tcPr>
            <w:tcW w:w="1418" w:type="dxa"/>
            <w:tcBorders>
              <w:top w:val="nil"/>
              <w:left w:val="single" w:sz="4" w:space="0" w:color="auto"/>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3,6</w:t>
            </w:r>
          </w:p>
        </w:tc>
        <w:tc>
          <w:tcPr>
            <w:tcW w:w="1438"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32,8</w:t>
            </w:r>
          </w:p>
        </w:tc>
        <w:tc>
          <w:tcPr>
            <w:tcW w:w="1255"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34,6</w:t>
            </w:r>
          </w:p>
        </w:tc>
        <w:tc>
          <w:tcPr>
            <w:tcW w:w="1564" w:type="dxa"/>
            <w:tcBorders>
              <w:top w:val="nil"/>
              <w:left w:val="nil"/>
              <w:bottom w:val="nil"/>
              <w:right w:val="double" w:sz="6"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29,0</w:t>
            </w:r>
          </w:p>
        </w:tc>
      </w:tr>
      <w:tr w:rsidR="00DC738C" w:rsidRPr="00E04C25" w:rsidTr="006F07AF">
        <w:trPr>
          <w:trHeight w:val="315"/>
          <w:jc w:val="center"/>
        </w:trPr>
        <w:tc>
          <w:tcPr>
            <w:tcW w:w="1908" w:type="dxa"/>
            <w:tcBorders>
              <w:top w:val="nil"/>
              <w:left w:val="double" w:sz="6" w:space="0" w:color="auto"/>
              <w:bottom w:val="nil"/>
              <w:right w:val="single" w:sz="4" w:space="0" w:color="auto"/>
            </w:tcBorders>
            <w:shd w:val="clear" w:color="auto" w:fill="auto"/>
            <w:noWrap/>
            <w:vAlign w:val="center"/>
          </w:tcPr>
          <w:p w:rsidR="00DC738C" w:rsidRPr="00E04C25" w:rsidRDefault="00DC738C" w:rsidP="00AE65A5">
            <w:pPr>
              <w:tabs>
                <w:tab w:val="left" w:pos="709"/>
              </w:tabs>
              <w:ind w:firstLineChars="100" w:firstLine="180"/>
              <w:rPr>
                <w:rFonts w:ascii="Arial" w:hAnsi="Arial" w:cs="Arial"/>
                <w:sz w:val="18"/>
                <w:szCs w:val="18"/>
              </w:rPr>
            </w:pPr>
            <w:r w:rsidRPr="00E04C25">
              <w:rPr>
                <w:rFonts w:ascii="Arial" w:hAnsi="Arial" w:cs="Arial"/>
                <w:sz w:val="18"/>
                <w:szCs w:val="18"/>
              </w:rPr>
              <w:t>Olomoucký</w:t>
            </w:r>
          </w:p>
        </w:tc>
        <w:tc>
          <w:tcPr>
            <w:tcW w:w="1418" w:type="dxa"/>
            <w:tcBorders>
              <w:top w:val="nil"/>
              <w:left w:val="single" w:sz="4" w:space="0" w:color="auto"/>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4,5</w:t>
            </w:r>
          </w:p>
        </w:tc>
        <w:tc>
          <w:tcPr>
            <w:tcW w:w="1438"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36,8</w:t>
            </w:r>
          </w:p>
        </w:tc>
        <w:tc>
          <w:tcPr>
            <w:tcW w:w="1255" w:type="dxa"/>
            <w:tcBorders>
              <w:top w:val="nil"/>
              <w:left w:val="nil"/>
              <w:bottom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38,6</w:t>
            </w:r>
          </w:p>
        </w:tc>
        <w:tc>
          <w:tcPr>
            <w:tcW w:w="1564" w:type="dxa"/>
            <w:tcBorders>
              <w:top w:val="nil"/>
              <w:left w:val="nil"/>
              <w:bottom w:val="nil"/>
              <w:right w:val="double" w:sz="6"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20,0</w:t>
            </w:r>
          </w:p>
        </w:tc>
      </w:tr>
      <w:tr w:rsidR="00DC738C" w:rsidRPr="00E04C25" w:rsidTr="006F07AF">
        <w:trPr>
          <w:trHeight w:val="315"/>
          <w:jc w:val="center"/>
        </w:trPr>
        <w:tc>
          <w:tcPr>
            <w:tcW w:w="1908" w:type="dxa"/>
            <w:tcBorders>
              <w:top w:val="nil"/>
              <w:left w:val="double" w:sz="6" w:space="0" w:color="auto"/>
              <w:right w:val="single" w:sz="4" w:space="0" w:color="auto"/>
            </w:tcBorders>
            <w:shd w:val="clear" w:color="auto" w:fill="auto"/>
            <w:noWrap/>
            <w:vAlign w:val="center"/>
          </w:tcPr>
          <w:p w:rsidR="00DC738C" w:rsidRPr="00E04C25" w:rsidRDefault="00DC738C" w:rsidP="00AE65A5">
            <w:pPr>
              <w:tabs>
                <w:tab w:val="left" w:pos="709"/>
              </w:tabs>
              <w:ind w:firstLineChars="100" w:firstLine="180"/>
              <w:rPr>
                <w:rFonts w:ascii="Arial" w:hAnsi="Arial" w:cs="Arial"/>
                <w:sz w:val="18"/>
                <w:szCs w:val="18"/>
              </w:rPr>
            </w:pPr>
            <w:r w:rsidRPr="00E04C25">
              <w:rPr>
                <w:rFonts w:ascii="Arial" w:hAnsi="Arial" w:cs="Arial"/>
                <w:sz w:val="18"/>
                <w:szCs w:val="18"/>
              </w:rPr>
              <w:t>Zlínský</w:t>
            </w:r>
          </w:p>
        </w:tc>
        <w:tc>
          <w:tcPr>
            <w:tcW w:w="1418" w:type="dxa"/>
            <w:tcBorders>
              <w:top w:val="nil"/>
              <w:left w:val="single" w:sz="4" w:space="0" w:color="auto"/>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3,9</w:t>
            </w:r>
          </w:p>
        </w:tc>
        <w:tc>
          <w:tcPr>
            <w:tcW w:w="1438" w:type="dxa"/>
            <w:tcBorders>
              <w:top w:val="nil"/>
              <w:left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39,4</w:t>
            </w:r>
          </w:p>
        </w:tc>
        <w:tc>
          <w:tcPr>
            <w:tcW w:w="1255" w:type="dxa"/>
            <w:tcBorders>
              <w:top w:val="nil"/>
              <w:left w:val="nil"/>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36,7</w:t>
            </w:r>
          </w:p>
        </w:tc>
        <w:tc>
          <w:tcPr>
            <w:tcW w:w="1564" w:type="dxa"/>
            <w:tcBorders>
              <w:top w:val="nil"/>
              <w:left w:val="nil"/>
              <w:right w:val="double" w:sz="6"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20,0</w:t>
            </w:r>
          </w:p>
        </w:tc>
      </w:tr>
      <w:tr w:rsidR="00DC738C" w:rsidRPr="00E04C25" w:rsidTr="006F07AF">
        <w:trPr>
          <w:trHeight w:val="315"/>
          <w:jc w:val="center"/>
        </w:trPr>
        <w:tc>
          <w:tcPr>
            <w:tcW w:w="1908" w:type="dxa"/>
            <w:tcBorders>
              <w:top w:val="nil"/>
              <w:left w:val="double" w:sz="6" w:space="0" w:color="auto"/>
              <w:bottom w:val="double" w:sz="6" w:space="0" w:color="auto"/>
              <w:right w:val="single" w:sz="4" w:space="0" w:color="auto"/>
            </w:tcBorders>
            <w:shd w:val="clear" w:color="auto" w:fill="auto"/>
            <w:noWrap/>
            <w:vAlign w:val="center"/>
          </w:tcPr>
          <w:p w:rsidR="00DC738C" w:rsidRPr="00E04C25" w:rsidRDefault="00DC738C" w:rsidP="00AE65A5">
            <w:pPr>
              <w:tabs>
                <w:tab w:val="left" w:pos="709"/>
              </w:tabs>
              <w:ind w:firstLineChars="100" w:firstLine="180"/>
              <w:rPr>
                <w:rFonts w:ascii="Arial" w:hAnsi="Arial" w:cs="Arial"/>
                <w:sz w:val="18"/>
                <w:szCs w:val="18"/>
              </w:rPr>
            </w:pPr>
            <w:r w:rsidRPr="00E04C25">
              <w:rPr>
                <w:rFonts w:ascii="Arial" w:hAnsi="Arial" w:cs="Arial"/>
                <w:sz w:val="18"/>
                <w:szCs w:val="18"/>
              </w:rPr>
              <w:t>Moravskoslezský</w:t>
            </w:r>
          </w:p>
        </w:tc>
        <w:tc>
          <w:tcPr>
            <w:tcW w:w="1418" w:type="dxa"/>
            <w:tcBorders>
              <w:top w:val="nil"/>
              <w:left w:val="single" w:sz="4" w:space="0" w:color="auto"/>
              <w:bottom w:val="double" w:sz="6" w:space="0" w:color="auto"/>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4,4</w:t>
            </w:r>
          </w:p>
        </w:tc>
        <w:tc>
          <w:tcPr>
            <w:tcW w:w="1438" w:type="dxa"/>
            <w:tcBorders>
              <w:top w:val="nil"/>
              <w:left w:val="nil"/>
              <w:bottom w:val="double" w:sz="6" w:space="0" w:color="auto"/>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35,8</w:t>
            </w:r>
          </w:p>
        </w:tc>
        <w:tc>
          <w:tcPr>
            <w:tcW w:w="1255" w:type="dxa"/>
            <w:tcBorders>
              <w:top w:val="nil"/>
              <w:left w:val="nil"/>
              <w:bottom w:val="double" w:sz="6" w:space="0" w:color="auto"/>
              <w:right w:val="single" w:sz="4"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37,0</w:t>
            </w:r>
          </w:p>
        </w:tc>
        <w:tc>
          <w:tcPr>
            <w:tcW w:w="1564" w:type="dxa"/>
            <w:tcBorders>
              <w:top w:val="nil"/>
              <w:left w:val="nil"/>
              <w:bottom w:val="double" w:sz="6" w:space="0" w:color="auto"/>
              <w:right w:val="double" w:sz="6" w:space="0" w:color="auto"/>
            </w:tcBorders>
            <w:shd w:val="clear" w:color="auto" w:fill="auto"/>
            <w:noWrap/>
            <w:vAlign w:val="bottom"/>
          </w:tcPr>
          <w:p w:rsidR="00DC738C" w:rsidRPr="00E04C25" w:rsidRDefault="00DC738C" w:rsidP="00DC738C">
            <w:pPr>
              <w:jc w:val="center"/>
              <w:rPr>
                <w:rFonts w:ascii="Arial" w:hAnsi="Arial" w:cs="Arial"/>
                <w:sz w:val="18"/>
                <w:szCs w:val="18"/>
              </w:rPr>
            </w:pPr>
            <w:r w:rsidRPr="00E04C25">
              <w:rPr>
                <w:rFonts w:ascii="Arial" w:hAnsi="Arial" w:cs="Arial"/>
                <w:sz w:val="18"/>
                <w:szCs w:val="18"/>
              </w:rPr>
              <w:t>22,9</w:t>
            </w:r>
          </w:p>
        </w:tc>
      </w:tr>
    </w:tbl>
    <w:p w:rsidR="00762875" w:rsidRPr="00E04C25" w:rsidRDefault="00762875" w:rsidP="00AE65A5">
      <w:pPr>
        <w:tabs>
          <w:tab w:val="left" w:pos="709"/>
          <w:tab w:val="center" w:pos="993"/>
        </w:tabs>
        <w:spacing w:before="60" w:line="276" w:lineRule="auto"/>
        <w:ind w:left="851"/>
        <w:jc w:val="both"/>
        <w:rPr>
          <w:rFonts w:ascii="Arial" w:hAnsi="Arial" w:cs="Arial"/>
          <w:i/>
          <w:iCs/>
          <w:sz w:val="18"/>
          <w:szCs w:val="18"/>
        </w:rPr>
      </w:pPr>
      <w:r w:rsidRPr="00E04C25">
        <w:rPr>
          <w:rFonts w:ascii="Arial" w:hAnsi="Arial" w:cs="Arial"/>
          <w:i/>
          <w:iCs/>
          <w:sz w:val="20"/>
          <w:szCs w:val="20"/>
        </w:rPr>
        <w:t xml:space="preserve">   </w:t>
      </w:r>
      <w:r w:rsidRPr="00E04C25">
        <w:rPr>
          <w:rFonts w:ascii="Arial" w:hAnsi="Arial" w:cs="Arial"/>
          <w:i/>
          <w:iCs/>
          <w:sz w:val="18"/>
          <w:szCs w:val="18"/>
        </w:rPr>
        <w:t>Zdroj: ČSÚ – VŠPS</w:t>
      </w:r>
    </w:p>
    <w:p w:rsidR="00100442" w:rsidRPr="00E04C25" w:rsidRDefault="00100442" w:rsidP="00AE65A5">
      <w:pPr>
        <w:tabs>
          <w:tab w:val="left" w:pos="709"/>
          <w:tab w:val="center" w:pos="993"/>
        </w:tabs>
        <w:spacing w:line="276" w:lineRule="auto"/>
        <w:ind w:left="851"/>
        <w:jc w:val="both"/>
        <w:rPr>
          <w:rFonts w:ascii="Arial" w:hAnsi="Arial" w:cs="Arial"/>
          <w:i/>
          <w:iCs/>
          <w:sz w:val="20"/>
          <w:szCs w:val="20"/>
        </w:rPr>
      </w:pPr>
    </w:p>
    <w:p w:rsidR="00100442" w:rsidRPr="00E04C25" w:rsidRDefault="00B94F2D" w:rsidP="003823E6">
      <w:pPr>
        <w:tabs>
          <w:tab w:val="left" w:pos="709"/>
        </w:tabs>
        <w:spacing w:line="360" w:lineRule="auto"/>
        <w:jc w:val="both"/>
        <w:rPr>
          <w:rFonts w:ascii="Arial" w:hAnsi="Arial" w:cs="Arial"/>
          <w:i/>
          <w:iCs/>
          <w:sz w:val="20"/>
          <w:szCs w:val="20"/>
        </w:rPr>
      </w:pPr>
      <w:r w:rsidRPr="00E04C25">
        <w:rPr>
          <w:rFonts w:ascii="Arial" w:hAnsi="Arial" w:cs="Arial"/>
        </w:rPr>
        <w:tab/>
      </w:r>
    </w:p>
    <w:p w:rsidR="00100442" w:rsidRPr="00E04C25" w:rsidRDefault="00100442" w:rsidP="00AE65A5">
      <w:pPr>
        <w:pStyle w:val="Styl2"/>
        <w:tabs>
          <w:tab w:val="clear" w:pos="720"/>
          <w:tab w:val="left" w:pos="709"/>
          <w:tab w:val="num" w:pos="900"/>
        </w:tabs>
        <w:rPr>
          <w:color w:val="auto"/>
        </w:rPr>
      </w:pPr>
      <w:bookmarkStart w:id="107" w:name="_Toc513198676"/>
      <w:r w:rsidRPr="00E04C25">
        <w:rPr>
          <w:color w:val="auto"/>
        </w:rPr>
        <w:t>Insolvence</w:t>
      </w:r>
      <w:bookmarkEnd w:id="107"/>
    </w:p>
    <w:p w:rsidR="00100442" w:rsidRPr="00E04C25" w:rsidRDefault="00100442" w:rsidP="00AE65A5">
      <w:pPr>
        <w:pStyle w:val="Zhlav"/>
        <w:tabs>
          <w:tab w:val="clear" w:pos="4536"/>
          <w:tab w:val="clear" w:pos="9072"/>
          <w:tab w:val="left" w:pos="709"/>
        </w:tabs>
        <w:spacing w:line="360" w:lineRule="auto"/>
        <w:ind w:firstLine="720"/>
        <w:jc w:val="both"/>
        <w:rPr>
          <w:rFonts w:ascii="Arial" w:hAnsi="Arial" w:cs="Arial"/>
          <w:sz w:val="16"/>
          <w:szCs w:val="16"/>
        </w:rPr>
      </w:pPr>
    </w:p>
    <w:p w:rsidR="00161513" w:rsidRPr="00E04C25" w:rsidRDefault="00783BFD" w:rsidP="00161513">
      <w:pPr>
        <w:tabs>
          <w:tab w:val="left" w:pos="709"/>
        </w:tabs>
        <w:spacing w:line="360" w:lineRule="auto"/>
        <w:jc w:val="both"/>
        <w:rPr>
          <w:rFonts w:ascii="Arial" w:hAnsi="Arial" w:cs="Arial"/>
          <w:b/>
        </w:rPr>
      </w:pPr>
      <w:r w:rsidRPr="00E04C25">
        <w:rPr>
          <w:rFonts w:ascii="Arial" w:hAnsi="Arial" w:cs="Arial"/>
        </w:rPr>
        <w:tab/>
      </w:r>
      <w:r w:rsidR="00161513" w:rsidRPr="00E04C25">
        <w:rPr>
          <w:rFonts w:ascii="Arial" w:hAnsi="Arial" w:cs="Arial"/>
        </w:rPr>
        <w:t>Podle zákona č. 118/2000 Sb., o ochraně zaměstnanců při platební neschopnosti zaměstnavatele a o změně některých zákonů, ve znění pozdějších předpisů, mohou zaměstnanci zaměstnavatele, který je v platební neschopnosti, požádat kteroukoliv krajskou pobočku Úřadu práce ČR nebo kontaktní pracoviště krajské pobočky ÚP ČR, o uspokojení splatných mzdových nároků, které jim nebyly zaměstnavatelem vyplaceny. Ve smyslu výše zmíněného zákona je zaměstnavatel v platební neschopnosti</w:t>
      </w:r>
      <w:r w:rsidR="00161513" w:rsidRPr="00E04C25">
        <w:rPr>
          <w:rFonts w:ascii="Arial" w:hAnsi="Arial" w:cs="Arial"/>
          <w:b/>
        </w:rPr>
        <w:t xml:space="preserve">, </w:t>
      </w:r>
      <w:r w:rsidR="00161513" w:rsidRPr="00E04C25">
        <w:rPr>
          <w:rFonts w:ascii="Arial" w:hAnsi="Arial" w:cs="Arial"/>
        </w:rPr>
        <w:t xml:space="preserve">jestliže neuspokojil splatné mzdové nároky zaměstnanců, </w:t>
      </w:r>
      <w:r w:rsidR="00161513" w:rsidRPr="00E04C25">
        <w:rPr>
          <w:rFonts w:ascii="Arial" w:hAnsi="Arial" w:cs="Arial"/>
        </w:rPr>
        <w:lastRenderedPageBreak/>
        <w:t>a to dnem následujícím po dni, kdy na něho bylo vyhlášeno moratorium před zahájením insolvenčního řízení, nebo po dni, kdy byl na něho podán insolvenční návrh u příslušného soudu v České republice, nebo u nadnárodního zaměstnavatele také dnem, kdy byl prohlášen za platebně neschopného u příslušného orgánu v jiném členském státě Evropské unie. Žádosti zaměstnanců o uspokojení mzdových nároků vyřizují krajské pobočky ÚP ČR. Zaměstnanci mohou požádat o uspokojení mzdových nároků odpovídající maximálně 3 měsíčním mzdám. V období od 1. 5. 2016 do 30. 4. 2017 mohla být zaměstnanci vyplacena za 1 měsíc maximálně částka 39 701 Kč. Od 1. 5. 2017 (do 30. 4. 2018) činí tato maximální částka 41 384 Kč.</w:t>
      </w:r>
    </w:p>
    <w:p w:rsidR="00562AB5" w:rsidRPr="00E04C25" w:rsidRDefault="00783BFD" w:rsidP="00161513">
      <w:pPr>
        <w:tabs>
          <w:tab w:val="left" w:pos="709"/>
        </w:tabs>
        <w:spacing w:line="360" w:lineRule="auto"/>
        <w:jc w:val="both"/>
        <w:rPr>
          <w:rFonts w:ascii="Arial" w:hAnsi="Arial" w:cs="Arial"/>
          <w:b/>
          <w:bCs/>
        </w:rPr>
      </w:pPr>
      <w:r w:rsidRPr="00E04C25">
        <w:rPr>
          <w:rFonts w:ascii="Arial" w:hAnsi="Arial" w:cs="Arial"/>
        </w:rPr>
        <w:tab/>
      </w:r>
      <w:r w:rsidR="00562AB5" w:rsidRPr="00E04C25">
        <w:rPr>
          <w:rFonts w:ascii="Arial" w:hAnsi="Arial" w:cs="Arial"/>
        </w:rPr>
        <w:t>Zatímco v roce 201</w:t>
      </w:r>
      <w:r w:rsidR="00161513" w:rsidRPr="00E04C25">
        <w:rPr>
          <w:rFonts w:ascii="Arial" w:hAnsi="Arial" w:cs="Arial"/>
        </w:rPr>
        <w:t>6</w:t>
      </w:r>
      <w:r w:rsidR="00562AB5" w:rsidRPr="00E04C25">
        <w:rPr>
          <w:rFonts w:ascii="Arial" w:hAnsi="Arial" w:cs="Arial"/>
        </w:rPr>
        <w:t xml:space="preserve"> bylo podáno </w:t>
      </w:r>
      <w:r w:rsidR="002B6E54" w:rsidRPr="00E04C25">
        <w:rPr>
          <w:rFonts w:ascii="Arial" w:hAnsi="Arial" w:cs="Arial"/>
          <w:bCs/>
        </w:rPr>
        <w:t xml:space="preserve">3 826 </w:t>
      </w:r>
      <w:r w:rsidR="00562AB5" w:rsidRPr="00E04C25">
        <w:rPr>
          <w:rFonts w:ascii="Arial" w:hAnsi="Arial" w:cs="Arial"/>
        </w:rPr>
        <w:t xml:space="preserve">žádostí týkajících se zaměstnanců </w:t>
      </w:r>
      <w:r w:rsidR="002B6E54" w:rsidRPr="00E04C25">
        <w:rPr>
          <w:rFonts w:ascii="Arial" w:hAnsi="Arial" w:cs="Arial"/>
        </w:rPr>
        <w:t>345</w:t>
      </w:r>
      <w:r w:rsidR="00562AB5" w:rsidRPr="00E04C25">
        <w:rPr>
          <w:rFonts w:ascii="Arial" w:hAnsi="Arial" w:cs="Arial"/>
        </w:rPr>
        <w:t xml:space="preserve"> zaměstnavatelů a </w:t>
      </w:r>
      <w:r w:rsidR="00562AB5" w:rsidRPr="00E04C25">
        <w:rPr>
          <w:rFonts w:ascii="Arial" w:hAnsi="Arial" w:cs="Arial"/>
          <w:bCs/>
        </w:rPr>
        <w:t xml:space="preserve">vyřízeno bylo </w:t>
      </w:r>
      <w:r w:rsidR="002B6E54" w:rsidRPr="00E04C25">
        <w:rPr>
          <w:rFonts w:ascii="Arial" w:hAnsi="Arial" w:cs="Arial"/>
          <w:bCs/>
        </w:rPr>
        <w:t xml:space="preserve">4 402 </w:t>
      </w:r>
      <w:r w:rsidR="00562AB5" w:rsidRPr="00E04C25">
        <w:rPr>
          <w:rFonts w:ascii="Arial" w:hAnsi="Arial" w:cs="Arial"/>
          <w:bCs/>
        </w:rPr>
        <w:t xml:space="preserve">žádostí zaměstnanců </w:t>
      </w:r>
      <w:r w:rsidR="002B6E54" w:rsidRPr="00E04C25">
        <w:rPr>
          <w:rFonts w:ascii="Arial" w:hAnsi="Arial" w:cs="Arial"/>
          <w:bCs/>
        </w:rPr>
        <w:t>445</w:t>
      </w:r>
      <w:r w:rsidR="00562AB5" w:rsidRPr="00E04C25">
        <w:rPr>
          <w:rFonts w:ascii="Arial" w:hAnsi="Arial" w:cs="Arial"/>
          <w:bCs/>
        </w:rPr>
        <w:t xml:space="preserve"> firem,</w:t>
      </w:r>
      <w:r w:rsidR="00562AB5" w:rsidRPr="00E04C25">
        <w:rPr>
          <w:rFonts w:ascii="Arial" w:hAnsi="Arial" w:cs="Arial"/>
        </w:rPr>
        <w:t xml:space="preserve"> </w:t>
      </w:r>
      <w:r w:rsidR="00562AB5" w:rsidRPr="00E04C25">
        <w:rPr>
          <w:rFonts w:ascii="Arial" w:hAnsi="Arial" w:cs="Arial"/>
          <w:b/>
          <w:bCs/>
        </w:rPr>
        <w:t>v roce 201</w:t>
      </w:r>
      <w:r w:rsidR="002B6E54" w:rsidRPr="00E04C25">
        <w:rPr>
          <w:rFonts w:ascii="Arial" w:hAnsi="Arial" w:cs="Arial"/>
          <w:b/>
          <w:bCs/>
        </w:rPr>
        <w:t>7</w:t>
      </w:r>
      <w:r w:rsidR="00562AB5" w:rsidRPr="00E04C25">
        <w:rPr>
          <w:rFonts w:ascii="Arial" w:hAnsi="Arial" w:cs="Arial"/>
          <w:b/>
          <w:bCs/>
        </w:rPr>
        <w:t xml:space="preserve"> bylo podáno </w:t>
      </w:r>
      <w:r w:rsidR="002B6E54" w:rsidRPr="00E04C25">
        <w:rPr>
          <w:rFonts w:ascii="Arial" w:hAnsi="Arial" w:cs="Arial"/>
          <w:b/>
          <w:bCs/>
        </w:rPr>
        <w:t xml:space="preserve">2 177 </w:t>
      </w:r>
      <w:r w:rsidR="00562AB5" w:rsidRPr="00E04C25">
        <w:rPr>
          <w:rFonts w:ascii="Arial" w:hAnsi="Arial" w:cs="Arial"/>
          <w:b/>
          <w:bCs/>
        </w:rPr>
        <w:t>žádostí</w:t>
      </w:r>
      <w:r w:rsidR="00562AB5" w:rsidRPr="00E04C25">
        <w:rPr>
          <w:rFonts w:ascii="Arial" w:hAnsi="Arial" w:cs="Arial"/>
        </w:rPr>
        <w:t xml:space="preserve"> týkajících se zaměstnanců 3</w:t>
      </w:r>
      <w:r w:rsidR="002B6E54" w:rsidRPr="00E04C25">
        <w:rPr>
          <w:rFonts w:ascii="Arial" w:hAnsi="Arial" w:cs="Arial"/>
        </w:rPr>
        <w:t>16</w:t>
      </w:r>
      <w:r w:rsidR="00562AB5" w:rsidRPr="00E04C25">
        <w:rPr>
          <w:rFonts w:ascii="Arial" w:hAnsi="Arial" w:cs="Arial"/>
        </w:rPr>
        <w:t xml:space="preserve"> zaměstnavatelů, </w:t>
      </w:r>
      <w:r w:rsidR="00562AB5" w:rsidRPr="00E04C25">
        <w:rPr>
          <w:rFonts w:ascii="Arial" w:hAnsi="Arial" w:cs="Arial"/>
          <w:b/>
          <w:bCs/>
        </w:rPr>
        <w:t xml:space="preserve">vyřízeno bylo </w:t>
      </w:r>
      <w:r w:rsidR="002B6E54" w:rsidRPr="00E04C25">
        <w:rPr>
          <w:rFonts w:ascii="Arial" w:hAnsi="Arial" w:cs="Arial"/>
          <w:b/>
          <w:bCs/>
        </w:rPr>
        <w:t xml:space="preserve">3 290 </w:t>
      </w:r>
      <w:r w:rsidR="00562AB5" w:rsidRPr="00E04C25">
        <w:rPr>
          <w:rFonts w:ascii="Arial" w:hAnsi="Arial" w:cs="Arial"/>
          <w:b/>
          <w:bCs/>
        </w:rPr>
        <w:t xml:space="preserve">žádostí </w:t>
      </w:r>
      <w:r w:rsidR="00562AB5" w:rsidRPr="00E04C25">
        <w:rPr>
          <w:rFonts w:ascii="Arial" w:hAnsi="Arial" w:cs="Arial"/>
        </w:rPr>
        <w:t xml:space="preserve">(včetně žádostí z předchozího roku) </w:t>
      </w:r>
      <w:r w:rsidR="00562AB5" w:rsidRPr="00E04C25">
        <w:rPr>
          <w:rFonts w:ascii="Arial" w:hAnsi="Arial" w:cs="Arial"/>
          <w:b/>
          <w:bCs/>
        </w:rPr>
        <w:t xml:space="preserve">zaměstnanců </w:t>
      </w:r>
      <w:r w:rsidR="002B6E54" w:rsidRPr="00E04C25">
        <w:rPr>
          <w:rFonts w:ascii="Arial" w:hAnsi="Arial" w:cs="Arial"/>
          <w:b/>
          <w:bCs/>
        </w:rPr>
        <w:t>383 </w:t>
      </w:r>
      <w:r w:rsidR="00562AB5" w:rsidRPr="00E04C25">
        <w:rPr>
          <w:rFonts w:ascii="Arial" w:hAnsi="Arial" w:cs="Arial"/>
          <w:b/>
          <w:bCs/>
        </w:rPr>
        <w:t xml:space="preserve">firem. </w:t>
      </w:r>
    </w:p>
    <w:p w:rsidR="00BC19AE" w:rsidRPr="00E04C25" w:rsidRDefault="00BC19AE" w:rsidP="00BC19AE">
      <w:pPr>
        <w:pStyle w:val="Zkladntextodsazen2"/>
        <w:tabs>
          <w:tab w:val="left" w:pos="709"/>
        </w:tabs>
        <w:ind w:firstLine="0"/>
        <w:rPr>
          <w:rFonts w:cs="Arial"/>
          <w:i w:val="0"/>
        </w:rPr>
      </w:pPr>
      <w:bookmarkStart w:id="108" w:name="_Toc289429494"/>
      <w:bookmarkStart w:id="109" w:name="_Toc290298532"/>
      <w:bookmarkStart w:id="110" w:name="_Toc290558890"/>
      <w:r w:rsidRPr="00E04C25">
        <w:rPr>
          <w:rFonts w:cs="Arial"/>
          <w:b/>
          <w:bCs/>
          <w:i w:val="0"/>
        </w:rPr>
        <w:tab/>
        <w:t xml:space="preserve">Nejvíce žádostí bylo podáno u ÚP ČR - </w:t>
      </w:r>
      <w:r w:rsidRPr="00E04C25">
        <w:rPr>
          <w:rFonts w:cs="Arial"/>
          <w:b/>
          <w:i w:val="0"/>
        </w:rPr>
        <w:t>krajské pobočce pro hl. m. Prahu – 505</w:t>
      </w:r>
      <w:r w:rsidRPr="00E04C25">
        <w:rPr>
          <w:rFonts w:cs="Arial"/>
          <w:i w:val="0"/>
        </w:rPr>
        <w:t xml:space="preserve"> a krajské pobočce v Českých Budějovicích – 454 podaných žádostí. </w:t>
      </w:r>
      <w:r w:rsidRPr="00E04C25">
        <w:rPr>
          <w:rFonts w:cs="Arial"/>
          <w:b/>
          <w:bCs/>
          <w:i w:val="0"/>
        </w:rPr>
        <w:t xml:space="preserve">Nejméně žádostí </w:t>
      </w:r>
      <w:r w:rsidRPr="00E04C25">
        <w:rPr>
          <w:rFonts w:cs="Arial"/>
          <w:bCs/>
          <w:i w:val="0"/>
        </w:rPr>
        <w:t>bylo podáno</w:t>
      </w:r>
      <w:r w:rsidRPr="00E04C25">
        <w:rPr>
          <w:rFonts w:cs="Arial"/>
          <w:b/>
          <w:bCs/>
          <w:i w:val="0"/>
        </w:rPr>
        <w:t xml:space="preserve"> u ÚP ČR - krajské pobočce v Jihlavě – 39</w:t>
      </w:r>
      <w:r w:rsidRPr="00E04C25">
        <w:rPr>
          <w:rFonts w:cs="Arial"/>
          <w:bCs/>
          <w:i w:val="0"/>
        </w:rPr>
        <w:t>.</w:t>
      </w:r>
      <w:r w:rsidRPr="00E04C25">
        <w:rPr>
          <w:rFonts w:cs="Arial"/>
          <w:i w:val="0"/>
        </w:rPr>
        <w:t xml:space="preserve"> </w:t>
      </w:r>
    </w:p>
    <w:p w:rsidR="00BC19AE" w:rsidRPr="00E04C25" w:rsidRDefault="00BC19AE" w:rsidP="00BC19AE">
      <w:pPr>
        <w:spacing w:line="360" w:lineRule="auto"/>
        <w:ind w:firstLine="680"/>
        <w:jc w:val="both"/>
        <w:rPr>
          <w:rFonts w:ascii="Arial" w:hAnsi="Arial" w:cs="Arial"/>
        </w:rPr>
      </w:pPr>
      <w:r w:rsidRPr="00E04C25">
        <w:rPr>
          <w:rFonts w:ascii="Arial" w:hAnsi="Arial" w:cs="Arial"/>
        </w:rPr>
        <w:t xml:space="preserve">U </w:t>
      </w:r>
      <w:r w:rsidRPr="00E04C25">
        <w:rPr>
          <w:rFonts w:ascii="Arial" w:hAnsi="Arial" w:cs="Arial"/>
          <w:b/>
          <w:bCs/>
        </w:rPr>
        <w:t>vyřízených žádostí</w:t>
      </w:r>
      <w:r w:rsidRPr="00E04C25">
        <w:rPr>
          <w:rFonts w:ascii="Arial" w:hAnsi="Arial" w:cs="Arial"/>
        </w:rPr>
        <w:t xml:space="preserve"> bylo pořadí krajských poboček ÚP</w:t>
      </w:r>
      <w:r w:rsidR="000F6297" w:rsidRPr="00E04C25">
        <w:rPr>
          <w:rFonts w:ascii="Arial" w:hAnsi="Arial" w:cs="Arial"/>
        </w:rPr>
        <w:t> </w:t>
      </w:r>
      <w:r w:rsidRPr="00E04C25">
        <w:rPr>
          <w:rFonts w:ascii="Arial" w:hAnsi="Arial" w:cs="Arial"/>
        </w:rPr>
        <w:t xml:space="preserve">ČR podle jejich počtu podobné, </w:t>
      </w:r>
      <w:r w:rsidRPr="00E04C25">
        <w:rPr>
          <w:rFonts w:ascii="Arial" w:hAnsi="Arial" w:cs="Arial"/>
          <w:b/>
        </w:rPr>
        <w:t xml:space="preserve">největší počet </w:t>
      </w:r>
      <w:r w:rsidRPr="00E04C25">
        <w:rPr>
          <w:rFonts w:ascii="Arial" w:hAnsi="Arial" w:cs="Arial"/>
        </w:rPr>
        <w:t xml:space="preserve">připadal v roce 2017 </w:t>
      </w:r>
      <w:r w:rsidRPr="00E04C25">
        <w:rPr>
          <w:rFonts w:ascii="Arial" w:hAnsi="Arial" w:cs="Arial"/>
          <w:b/>
        </w:rPr>
        <w:t xml:space="preserve">na ÚP ČR - krajskou pobočku pro </w:t>
      </w:r>
      <w:r w:rsidRPr="00E04C25">
        <w:rPr>
          <w:rFonts w:ascii="Arial" w:hAnsi="Arial" w:cs="Arial"/>
          <w:b/>
          <w:bCs/>
        </w:rPr>
        <w:t>hl. m. Prahu – 962</w:t>
      </w:r>
      <w:r w:rsidRPr="00E04C25">
        <w:rPr>
          <w:rFonts w:ascii="Arial" w:hAnsi="Arial" w:cs="Arial"/>
        </w:rPr>
        <w:t xml:space="preserve">, následovala krajská pobočka v Českých Budějovicích – 606 a krajská pobočka v Karlových Varech – 467 vyřízených žádostí. </w:t>
      </w:r>
      <w:r w:rsidRPr="00E04C25">
        <w:rPr>
          <w:rFonts w:ascii="Arial" w:hAnsi="Arial" w:cs="Arial"/>
          <w:b/>
        </w:rPr>
        <w:t>Nejméně vyřízených žádostí</w:t>
      </w:r>
      <w:r w:rsidRPr="00E04C25">
        <w:rPr>
          <w:rFonts w:ascii="Arial" w:hAnsi="Arial" w:cs="Arial"/>
        </w:rPr>
        <w:t xml:space="preserve"> bylo </w:t>
      </w:r>
      <w:r w:rsidRPr="00E04C25">
        <w:rPr>
          <w:rFonts w:ascii="Arial" w:hAnsi="Arial" w:cs="Arial"/>
          <w:b/>
        </w:rPr>
        <w:t>na ÚP ČR - krajské pobočce v Jihlavě – 39</w:t>
      </w:r>
      <w:r w:rsidRPr="00E04C25">
        <w:rPr>
          <w:rFonts w:ascii="Arial" w:hAnsi="Arial" w:cs="Arial"/>
        </w:rPr>
        <w:t xml:space="preserve">. </w:t>
      </w:r>
    </w:p>
    <w:p w:rsidR="002B6E54" w:rsidRPr="00E04C25" w:rsidRDefault="002B6E54" w:rsidP="002B6E54">
      <w:pPr>
        <w:spacing w:line="360" w:lineRule="auto"/>
        <w:ind w:firstLine="567"/>
        <w:jc w:val="both"/>
        <w:rPr>
          <w:rFonts w:ascii="Arial" w:hAnsi="Arial" w:cs="Arial"/>
        </w:rPr>
      </w:pPr>
      <w:r w:rsidRPr="00E04C25">
        <w:rPr>
          <w:rFonts w:ascii="Arial" w:hAnsi="Arial" w:cs="Arial"/>
          <w:b/>
          <w:bCs/>
        </w:rPr>
        <w:t xml:space="preserve">Největšími firmami v konkurzu </w:t>
      </w:r>
      <w:r w:rsidRPr="00E04C25">
        <w:rPr>
          <w:rFonts w:ascii="Arial" w:hAnsi="Arial" w:cs="Arial"/>
          <w:bCs/>
        </w:rPr>
        <w:t>v roce 2017 byly: PROKOP INVEST</w:t>
      </w:r>
      <w:r w:rsidRPr="00E04C25">
        <w:rPr>
          <w:rFonts w:ascii="Arial" w:hAnsi="Arial" w:cs="Arial"/>
        </w:rPr>
        <w:t>, a.</w:t>
      </w:r>
      <w:r w:rsidR="003F215B" w:rsidRPr="00E04C25">
        <w:rPr>
          <w:rFonts w:ascii="Arial" w:hAnsi="Arial" w:cs="Arial"/>
        </w:rPr>
        <w:t> </w:t>
      </w:r>
      <w:r w:rsidRPr="00E04C25">
        <w:rPr>
          <w:rFonts w:ascii="Arial" w:hAnsi="Arial" w:cs="Arial"/>
        </w:rPr>
        <w:t>s., Pardubice (139), SCB Foundry, a.</w:t>
      </w:r>
      <w:r w:rsidR="003F215B" w:rsidRPr="00E04C25">
        <w:rPr>
          <w:rFonts w:ascii="Arial" w:hAnsi="Arial" w:cs="Arial"/>
        </w:rPr>
        <w:t> </w:t>
      </w:r>
      <w:r w:rsidRPr="00E04C25">
        <w:rPr>
          <w:rFonts w:ascii="Arial" w:hAnsi="Arial" w:cs="Arial"/>
        </w:rPr>
        <w:t>s. České Budějovice (84), PAVLOV TREJD BUSINESS a.s., Praha (80), NB Textil, spol. s r.</w:t>
      </w:r>
      <w:r w:rsidR="003F215B" w:rsidRPr="00E04C25">
        <w:rPr>
          <w:rFonts w:ascii="Arial" w:hAnsi="Arial" w:cs="Arial"/>
        </w:rPr>
        <w:t> </w:t>
      </w:r>
      <w:r w:rsidRPr="00E04C25">
        <w:rPr>
          <w:rFonts w:ascii="Arial" w:hAnsi="Arial" w:cs="Arial"/>
        </w:rPr>
        <w:t>o., Nová Bystřice (60) a IMOS group s</w:t>
      </w:r>
      <w:r w:rsidR="003F215B" w:rsidRPr="00E04C25">
        <w:rPr>
          <w:rFonts w:ascii="Arial" w:hAnsi="Arial" w:cs="Arial"/>
        </w:rPr>
        <w:t> </w:t>
      </w:r>
      <w:r w:rsidRPr="00E04C25">
        <w:rPr>
          <w:rFonts w:ascii="Arial" w:hAnsi="Arial" w:cs="Arial"/>
        </w:rPr>
        <w:t>r.</w:t>
      </w:r>
      <w:r w:rsidR="003F215B" w:rsidRPr="00E04C25">
        <w:rPr>
          <w:rFonts w:ascii="Arial" w:hAnsi="Arial" w:cs="Arial"/>
        </w:rPr>
        <w:t> </w:t>
      </w:r>
      <w:r w:rsidRPr="00E04C25">
        <w:rPr>
          <w:rFonts w:ascii="Arial" w:hAnsi="Arial" w:cs="Arial"/>
        </w:rPr>
        <w:t>o. Praha (51</w:t>
      </w:r>
      <w:r w:rsidR="003F215B" w:rsidRPr="00E04C25">
        <w:rPr>
          <w:rFonts w:ascii="Arial" w:hAnsi="Arial" w:cs="Arial"/>
        </w:rPr>
        <w:t xml:space="preserve"> podaných žádostí</w:t>
      </w:r>
      <w:r w:rsidRPr="00E04C25">
        <w:rPr>
          <w:rFonts w:ascii="Arial" w:hAnsi="Arial" w:cs="Arial"/>
        </w:rPr>
        <w:t>).</w:t>
      </w:r>
    </w:p>
    <w:p w:rsidR="00562AB5" w:rsidRPr="00E04C25" w:rsidRDefault="00562AB5" w:rsidP="00AE65A5">
      <w:pPr>
        <w:tabs>
          <w:tab w:val="left" w:pos="709"/>
        </w:tabs>
        <w:spacing w:line="360" w:lineRule="auto"/>
        <w:ind w:firstLine="567"/>
        <w:jc w:val="both"/>
        <w:rPr>
          <w:rFonts w:ascii="Arial" w:hAnsi="Arial" w:cs="Arial"/>
          <w:bCs/>
        </w:rPr>
      </w:pPr>
      <w:r w:rsidRPr="00E04C25">
        <w:rPr>
          <w:rFonts w:ascii="Arial" w:hAnsi="Arial" w:cs="Arial"/>
        </w:rPr>
        <w:t>Výše</w:t>
      </w:r>
      <w:r w:rsidRPr="00E04C25">
        <w:rPr>
          <w:rFonts w:ascii="Arial" w:hAnsi="Arial" w:cs="Arial"/>
          <w:b/>
        </w:rPr>
        <w:t xml:space="preserve"> výdajů</w:t>
      </w:r>
      <w:r w:rsidRPr="00E04C25">
        <w:rPr>
          <w:rFonts w:ascii="Arial" w:hAnsi="Arial" w:cs="Arial"/>
        </w:rPr>
        <w:t xml:space="preserve"> ze státního rozpočtu na insolvenci, které </w:t>
      </w:r>
      <w:r w:rsidRPr="00E04C25">
        <w:rPr>
          <w:rFonts w:ascii="Arial" w:hAnsi="Arial" w:cs="Arial"/>
          <w:b/>
        </w:rPr>
        <w:t>v roce 201</w:t>
      </w:r>
      <w:r w:rsidR="00BC19AE" w:rsidRPr="00E04C25">
        <w:rPr>
          <w:rFonts w:ascii="Arial" w:hAnsi="Arial" w:cs="Arial"/>
          <w:b/>
        </w:rPr>
        <w:t>7</w:t>
      </w:r>
      <w:r w:rsidRPr="00E04C25">
        <w:rPr>
          <w:rFonts w:ascii="Arial" w:hAnsi="Arial" w:cs="Arial"/>
        </w:rPr>
        <w:t xml:space="preserve"> dosáhly </w:t>
      </w:r>
      <w:r w:rsidR="00BC19AE" w:rsidRPr="00E04C25">
        <w:rPr>
          <w:rFonts w:ascii="Arial" w:hAnsi="Arial" w:cs="Arial"/>
          <w:b/>
        </w:rPr>
        <w:t>167 343 tis. Kč,</w:t>
      </w:r>
      <w:r w:rsidRPr="00E04C25">
        <w:rPr>
          <w:rFonts w:ascii="Arial" w:hAnsi="Arial" w:cs="Arial"/>
          <w:b/>
        </w:rPr>
        <w:t xml:space="preserve"> </w:t>
      </w:r>
      <w:r w:rsidRPr="00E04C25">
        <w:rPr>
          <w:rFonts w:ascii="Arial" w:hAnsi="Arial" w:cs="Arial"/>
        </w:rPr>
        <w:t>byly oproti předchozímu roku</w:t>
      </w:r>
      <w:r w:rsidRPr="00E04C25">
        <w:rPr>
          <w:rFonts w:ascii="Arial" w:hAnsi="Arial" w:cs="Arial"/>
          <w:b/>
        </w:rPr>
        <w:t xml:space="preserve"> </w:t>
      </w:r>
      <w:r w:rsidRPr="00E04C25">
        <w:rPr>
          <w:rFonts w:ascii="Arial" w:hAnsi="Arial" w:cs="Arial"/>
          <w:bCs/>
        </w:rPr>
        <w:t>(2</w:t>
      </w:r>
      <w:r w:rsidR="00BC19AE" w:rsidRPr="00E04C25">
        <w:rPr>
          <w:rFonts w:ascii="Arial" w:hAnsi="Arial" w:cs="Arial"/>
          <w:bCs/>
        </w:rPr>
        <w:t>50</w:t>
      </w:r>
      <w:r w:rsidRPr="00E04C25">
        <w:rPr>
          <w:rFonts w:ascii="Arial" w:hAnsi="Arial" w:cs="Arial"/>
        </w:rPr>
        <w:t> </w:t>
      </w:r>
      <w:r w:rsidR="00BC19AE" w:rsidRPr="00E04C25">
        <w:rPr>
          <w:rFonts w:ascii="Arial" w:hAnsi="Arial" w:cs="Arial"/>
        </w:rPr>
        <w:t>339</w:t>
      </w:r>
      <w:r w:rsidRPr="00E04C25">
        <w:rPr>
          <w:rFonts w:ascii="Arial" w:hAnsi="Arial" w:cs="Arial"/>
        </w:rPr>
        <w:t xml:space="preserve"> tis. Kč) </w:t>
      </w:r>
      <w:r w:rsidRPr="00E04C25">
        <w:rPr>
          <w:rFonts w:ascii="Arial" w:hAnsi="Arial" w:cs="Arial"/>
          <w:b/>
        </w:rPr>
        <w:t>o </w:t>
      </w:r>
      <w:r w:rsidR="00BC19AE" w:rsidRPr="00E04C25">
        <w:rPr>
          <w:rFonts w:ascii="Arial" w:hAnsi="Arial" w:cs="Arial"/>
          <w:b/>
        </w:rPr>
        <w:t>82 996 tis. Kč</w:t>
      </w:r>
      <w:r w:rsidR="003F215B" w:rsidRPr="00E04C25">
        <w:rPr>
          <w:rFonts w:ascii="Arial" w:hAnsi="Arial" w:cs="Arial"/>
          <w:b/>
        </w:rPr>
        <w:t xml:space="preserve"> nižší</w:t>
      </w:r>
      <w:r w:rsidRPr="00E04C25">
        <w:rPr>
          <w:rFonts w:ascii="Arial" w:hAnsi="Arial" w:cs="Arial"/>
          <w:b/>
        </w:rPr>
        <w:t xml:space="preserve">, </w:t>
      </w:r>
      <w:r w:rsidRPr="00E04C25">
        <w:rPr>
          <w:rFonts w:ascii="Arial" w:hAnsi="Arial" w:cs="Arial"/>
        </w:rPr>
        <w:t>tj. </w:t>
      </w:r>
      <w:r w:rsidR="003F215B" w:rsidRPr="00E04C25">
        <w:rPr>
          <w:rFonts w:ascii="Arial" w:hAnsi="Arial" w:cs="Arial"/>
          <w:b/>
        </w:rPr>
        <w:t xml:space="preserve"> </w:t>
      </w:r>
      <w:r w:rsidRPr="00E04C25">
        <w:rPr>
          <w:rFonts w:ascii="Arial" w:hAnsi="Arial" w:cs="Arial"/>
          <w:b/>
        </w:rPr>
        <w:t>o </w:t>
      </w:r>
      <w:r w:rsidR="00BC19AE" w:rsidRPr="00E04C25">
        <w:rPr>
          <w:rFonts w:ascii="Arial" w:hAnsi="Arial" w:cs="Arial"/>
          <w:b/>
        </w:rPr>
        <w:t>33</w:t>
      </w:r>
      <w:r w:rsidRPr="00E04C25">
        <w:rPr>
          <w:rFonts w:ascii="Arial" w:hAnsi="Arial" w:cs="Arial"/>
          <w:b/>
        </w:rPr>
        <w:t>,</w:t>
      </w:r>
      <w:r w:rsidR="00BC19AE" w:rsidRPr="00E04C25">
        <w:rPr>
          <w:rFonts w:ascii="Arial" w:hAnsi="Arial" w:cs="Arial"/>
          <w:b/>
        </w:rPr>
        <w:t>2</w:t>
      </w:r>
      <w:r w:rsidRPr="00E04C25">
        <w:rPr>
          <w:rFonts w:ascii="Arial" w:hAnsi="Arial" w:cs="Arial"/>
          <w:b/>
        </w:rPr>
        <w:t> %. Nejvyšší objem finančních prostředků</w:t>
      </w:r>
      <w:r w:rsidRPr="00E04C25">
        <w:rPr>
          <w:rFonts w:ascii="Arial" w:hAnsi="Arial" w:cs="Arial"/>
        </w:rPr>
        <w:t xml:space="preserve"> byl v roce 201</w:t>
      </w:r>
      <w:r w:rsidR="00BC19AE" w:rsidRPr="00E04C25">
        <w:rPr>
          <w:rFonts w:ascii="Arial" w:hAnsi="Arial" w:cs="Arial"/>
        </w:rPr>
        <w:t>7</w:t>
      </w:r>
      <w:r w:rsidRPr="00E04C25">
        <w:rPr>
          <w:rFonts w:ascii="Arial" w:hAnsi="Arial" w:cs="Arial"/>
        </w:rPr>
        <w:t xml:space="preserve"> vyplacen v </w:t>
      </w:r>
      <w:r w:rsidRPr="00E04C25">
        <w:rPr>
          <w:rFonts w:ascii="Arial" w:hAnsi="Arial" w:cs="Arial"/>
          <w:b/>
        </w:rPr>
        <w:t>hl. m. Praze</w:t>
      </w:r>
      <w:r w:rsidRPr="00E04C25">
        <w:rPr>
          <w:rFonts w:ascii="Arial" w:hAnsi="Arial" w:cs="Arial"/>
        </w:rPr>
        <w:t xml:space="preserve"> </w:t>
      </w:r>
      <w:r w:rsidRPr="00E04C25">
        <w:rPr>
          <w:rFonts w:ascii="Arial" w:hAnsi="Arial" w:cs="Arial"/>
          <w:bCs/>
        </w:rPr>
        <w:t>(</w:t>
      </w:r>
      <w:r w:rsidR="005159D7" w:rsidRPr="00E04C25">
        <w:rPr>
          <w:rFonts w:ascii="Arial" w:hAnsi="Arial" w:cs="Arial"/>
          <w:bCs/>
        </w:rPr>
        <w:t>50 698 </w:t>
      </w:r>
      <w:r w:rsidRPr="00E04C25">
        <w:rPr>
          <w:rFonts w:ascii="Arial" w:hAnsi="Arial" w:cs="Arial"/>
        </w:rPr>
        <w:t>tis. Kč)</w:t>
      </w:r>
      <w:r w:rsidR="005159D7" w:rsidRPr="00E04C25">
        <w:rPr>
          <w:rFonts w:ascii="Arial" w:hAnsi="Arial" w:cs="Arial"/>
        </w:rPr>
        <w:t xml:space="preserve"> a</w:t>
      </w:r>
      <w:r w:rsidRPr="00E04C25">
        <w:rPr>
          <w:rFonts w:ascii="Arial" w:hAnsi="Arial" w:cs="Arial"/>
        </w:rPr>
        <w:t xml:space="preserve"> v Jiho</w:t>
      </w:r>
      <w:r w:rsidR="005159D7" w:rsidRPr="00E04C25">
        <w:rPr>
          <w:rFonts w:ascii="Arial" w:hAnsi="Arial" w:cs="Arial"/>
        </w:rPr>
        <w:t>českém</w:t>
      </w:r>
      <w:r w:rsidRPr="00E04C25">
        <w:rPr>
          <w:rFonts w:ascii="Arial" w:hAnsi="Arial" w:cs="Arial"/>
        </w:rPr>
        <w:t xml:space="preserve"> (</w:t>
      </w:r>
      <w:r w:rsidR="005159D7" w:rsidRPr="00E04C25">
        <w:rPr>
          <w:rFonts w:ascii="Arial" w:hAnsi="Arial" w:cs="Arial"/>
        </w:rPr>
        <w:t>26 081 </w:t>
      </w:r>
      <w:r w:rsidRPr="00E04C25">
        <w:rPr>
          <w:rFonts w:ascii="Arial" w:hAnsi="Arial" w:cs="Arial"/>
        </w:rPr>
        <w:t>tis. Kč)</w:t>
      </w:r>
      <w:r w:rsidR="005159D7" w:rsidRPr="00E04C25">
        <w:rPr>
          <w:rFonts w:ascii="Arial" w:hAnsi="Arial" w:cs="Arial"/>
        </w:rPr>
        <w:t xml:space="preserve">, </w:t>
      </w:r>
      <w:r w:rsidR="005159D7" w:rsidRPr="00E04C25">
        <w:rPr>
          <w:rFonts w:ascii="Arial" w:hAnsi="Arial" w:cs="Arial"/>
          <w:b/>
        </w:rPr>
        <w:t xml:space="preserve">nejmenší v Královéhradeckém kraji </w:t>
      </w:r>
      <w:r w:rsidRPr="00E04C25">
        <w:rPr>
          <w:rFonts w:ascii="Arial" w:hAnsi="Arial" w:cs="Arial"/>
        </w:rPr>
        <w:t>(4</w:t>
      </w:r>
      <w:r w:rsidR="005159D7" w:rsidRPr="00E04C25">
        <w:rPr>
          <w:rFonts w:ascii="Arial" w:hAnsi="Arial" w:cs="Arial"/>
        </w:rPr>
        <w:t>26 tis.</w:t>
      </w:r>
      <w:r w:rsidRPr="00E04C25">
        <w:rPr>
          <w:rFonts w:ascii="Arial" w:hAnsi="Arial" w:cs="Arial"/>
        </w:rPr>
        <w:t> Kč)</w:t>
      </w:r>
      <w:r w:rsidRPr="00E04C25">
        <w:rPr>
          <w:rFonts w:ascii="Arial" w:hAnsi="Arial" w:cs="Arial"/>
          <w:bCs/>
        </w:rPr>
        <w:t xml:space="preserve">. </w:t>
      </w:r>
    </w:p>
    <w:p w:rsidR="005159D7" w:rsidRPr="00E04C25" w:rsidRDefault="005159D7" w:rsidP="00BC19AE">
      <w:pPr>
        <w:tabs>
          <w:tab w:val="left" w:pos="709"/>
        </w:tabs>
        <w:jc w:val="center"/>
        <w:rPr>
          <w:rFonts w:ascii="Arial" w:hAnsi="Arial" w:cs="Arial"/>
          <w:b/>
        </w:rPr>
      </w:pPr>
    </w:p>
    <w:p w:rsidR="00BC19AE" w:rsidRPr="00E04C25" w:rsidRDefault="00B12982" w:rsidP="00BC19AE">
      <w:pPr>
        <w:tabs>
          <w:tab w:val="left" w:pos="709"/>
        </w:tabs>
        <w:jc w:val="center"/>
        <w:rPr>
          <w:rFonts w:ascii="Arial" w:hAnsi="Arial" w:cs="Arial"/>
          <w:b/>
        </w:rPr>
      </w:pPr>
      <w:r w:rsidRPr="00E04C25">
        <w:rPr>
          <w:rFonts w:ascii="Arial" w:hAnsi="Arial" w:cs="Arial"/>
          <w:b/>
        </w:rPr>
        <w:br w:type="column"/>
      </w:r>
      <w:r w:rsidR="00BC19AE" w:rsidRPr="00E04C25">
        <w:rPr>
          <w:rFonts w:ascii="Arial" w:hAnsi="Arial" w:cs="Arial"/>
          <w:b/>
        </w:rPr>
        <w:lastRenderedPageBreak/>
        <w:t xml:space="preserve">Počty žádostí a objem vyplacených prostředků </w:t>
      </w:r>
    </w:p>
    <w:p w:rsidR="00BC19AE" w:rsidRPr="00E04C25" w:rsidRDefault="00BC19AE" w:rsidP="00BC19AE">
      <w:pPr>
        <w:tabs>
          <w:tab w:val="left" w:pos="709"/>
        </w:tabs>
        <w:jc w:val="center"/>
        <w:rPr>
          <w:rFonts w:ascii="Arial" w:hAnsi="Arial" w:cs="Arial"/>
          <w:b/>
        </w:rPr>
      </w:pPr>
      <w:r w:rsidRPr="00E04C25">
        <w:rPr>
          <w:rFonts w:ascii="Arial" w:hAnsi="Arial" w:cs="Arial"/>
          <w:b/>
        </w:rPr>
        <w:t>v důsledku platební neschopnosti</w:t>
      </w:r>
    </w:p>
    <w:p w:rsidR="00BC19AE" w:rsidRPr="00E04C25" w:rsidRDefault="00BC19AE" w:rsidP="00BC19AE">
      <w:pPr>
        <w:tabs>
          <w:tab w:val="left" w:pos="709"/>
        </w:tabs>
        <w:jc w:val="right"/>
        <w:rPr>
          <w:rFonts w:ascii="Arial" w:hAnsi="Arial" w:cs="Arial"/>
          <w:iCs/>
          <w:sz w:val="20"/>
          <w:szCs w:val="20"/>
        </w:rPr>
      </w:pPr>
      <w:r w:rsidRPr="00E04C25">
        <w:rPr>
          <w:rFonts w:ascii="Arial" w:hAnsi="Arial" w:cs="Arial"/>
          <w:iCs/>
          <w:sz w:val="20"/>
          <w:szCs w:val="20"/>
        </w:rPr>
        <w:t>tab. č. 14</w:t>
      </w:r>
    </w:p>
    <w:tbl>
      <w:tblPr>
        <w:tblStyle w:val="Mkatabulky"/>
        <w:tblW w:w="9040"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1784"/>
        <w:gridCol w:w="807"/>
        <w:gridCol w:w="807"/>
        <w:gridCol w:w="806"/>
        <w:gridCol w:w="806"/>
        <w:gridCol w:w="806"/>
        <w:gridCol w:w="806"/>
        <w:gridCol w:w="806"/>
        <w:gridCol w:w="806"/>
        <w:gridCol w:w="806"/>
      </w:tblGrid>
      <w:tr w:rsidR="00BC19AE" w:rsidRPr="00E04C25" w:rsidTr="0050387D">
        <w:trPr>
          <w:trHeight w:val="485"/>
          <w:jc w:val="center"/>
        </w:trPr>
        <w:tc>
          <w:tcPr>
            <w:tcW w:w="2518" w:type="dxa"/>
            <w:vAlign w:val="center"/>
          </w:tcPr>
          <w:p w:rsidR="00BC19AE" w:rsidRPr="00E04C25" w:rsidRDefault="00BC19AE" w:rsidP="0050387D">
            <w:pPr>
              <w:tabs>
                <w:tab w:val="left" w:pos="709"/>
              </w:tabs>
              <w:spacing w:line="360" w:lineRule="auto"/>
              <w:jc w:val="both"/>
              <w:rPr>
                <w:rFonts w:ascii="Arial" w:hAnsi="Arial" w:cs="Arial"/>
                <w:sz w:val="18"/>
                <w:szCs w:val="18"/>
              </w:rPr>
            </w:pPr>
          </w:p>
        </w:tc>
        <w:tc>
          <w:tcPr>
            <w:tcW w:w="1077" w:type="dxa"/>
            <w:vAlign w:val="center"/>
          </w:tcPr>
          <w:p w:rsidR="00BC19AE" w:rsidRPr="00E04C25" w:rsidRDefault="00BC19AE" w:rsidP="00794B3F">
            <w:pPr>
              <w:tabs>
                <w:tab w:val="left" w:pos="709"/>
              </w:tabs>
              <w:jc w:val="center"/>
              <w:rPr>
                <w:rFonts w:ascii="Arial" w:hAnsi="Arial" w:cs="Arial"/>
                <w:b/>
                <w:sz w:val="18"/>
                <w:szCs w:val="18"/>
              </w:rPr>
            </w:pPr>
            <w:r w:rsidRPr="00E04C25">
              <w:rPr>
                <w:rFonts w:ascii="Arial" w:hAnsi="Arial" w:cs="Arial"/>
                <w:b/>
                <w:sz w:val="18"/>
                <w:szCs w:val="18"/>
              </w:rPr>
              <w:t>2009</w:t>
            </w:r>
            <w:r w:rsidRPr="00E04C25">
              <w:rPr>
                <w:rStyle w:val="Znakapoznpodarou"/>
                <w:rFonts w:ascii="Arial" w:hAnsi="Arial" w:cs="Arial"/>
                <w:b/>
                <w:sz w:val="18"/>
                <w:szCs w:val="18"/>
              </w:rPr>
              <w:footnoteReference w:id="3"/>
            </w:r>
          </w:p>
        </w:tc>
        <w:tc>
          <w:tcPr>
            <w:tcW w:w="1077" w:type="dxa"/>
            <w:vAlign w:val="center"/>
          </w:tcPr>
          <w:p w:rsidR="00BC19AE" w:rsidRPr="00E04C25" w:rsidRDefault="00BC19AE" w:rsidP="0050387D">
            <w:pPr>
              <w:tabs>
                <w:tab w:val="left" w:pos="709"/>
              </w:tabs>
              <w:jc w:val="center"/>
              <w:rPr>
                <w:rFonts w:ascii="Arial" w:hAnsi="Arial" w:cs="Arial"/>
                <w:b/>
                <w:sz w:val="18"/>
                <w:szCs w:val="18"/>
              </w:rPr>
            </w:pPr>
            <w:r w:rsidRPr="00E04C25">
              <w:rPr>
                <w:rFonts w:ascii="Arial" w:hAnsi="Arial" w:cs="Arial"/>
                <w:b/>
                <w:sz w:val="18"/>
                <w:szCs w:val="18"/>
              </w:rPr>
              <w:t>2010</w:t>
            </w:r>
          </w:p>
        </w:tc>
        <w:tc>
          <w:tcPr>
            <w:tcW w:w="1077" w:type="dxa"/>
            <w:vAlign w:val="center"/>
          </w:tcPr>
          <w:p w:rsidR="00BC19AE" w:rsidRPr="00E04C25" w:rsidRDefault="00BC19AE" w:rsidP="0050387D">
            <w:pPr>
              <w:tabs>
                <w:tab w:val="left" w:pos="709"/>
              </w:tabs>
              <w:jc w:val="center"/>
              <w:rPr>
                <w:rFonts w:ascii="Arial" w:hAnsi="Arial" w:cs="Arial"/>
                <w:b/>
                <w:sz w:val="18"/>
                <w:szCs w:val="18"/>
              </w:rPr>
            </w:pPr>
            <w:r w:rsidRPr="00E04C25">
              <w:rPr>
                <w:rFonts w:ascii="Arial" w:hAnsi="Arial" w:cs="Arial"/>
                <w:b/>
                <w:sz w:val="18"/>
                <w:szCs w:val="18"/>
              </w:rPr>
              <w:t>2011</w:t>
            </w:r>
          </w:p>
        </w:tc>
        <w:tc>
          <w:tcPr>
            <w:tcW w:w="1077" w:type="dxa"/>
            <w:vAlign w:val="center"/>
          </w:tcPr>
          <w:p w:rsidR="00BC19AE" w:rsidRPr="00E04C25" w:rsidRDefault="00BC19AE" w:rsidP="0050387D">
            <w:pPr>
              <w:tabs>
                <w:tab w:val="left" w:pos="709"/>
              </w:tabs>
              <w:jc w:val="center"/>
              <w:rPr>
                <w:rFonts w:ascii="Arial" w:hAnsi="Arial" w:cs="Arial"/>
                <w:b/>
                <w:sz w:val="18"/>
                <w:szCs w:val="18"/>
              </w:rPr>
            </w:pPr>
            <w:r w:rsidRPr="00E04C25">
              <w:rPr>
                <w:rFonts w:ascii="Arial" w:hAnsi="Arial" w:cs="Arial"/>
                <w:b/>
                <w:sz w:val="18"/>
                <w:szCs w:val="18"/>
              </w:rPr>
              <w:t>2012</w:t>
            </w:r>
          </w:p>
        </w:tc>
        <w:tc>
          <w:tcPr>
            <w:tcW w:w="1077" w:type="dxa"/>
            <w:tcBorders>
              <w:top w:val="double" w:sz="4" w:space="0" w:color="auto"/>
              <w:bottom w:val="single" w:sz="4" w:space="0" w:color="auto"/>
              <w:right w:val="single" w:sz="4" w:space="0" w:color="auto"/>
            </w:tcBorders>
            <w:vAlign w:val="center"/>
          </w:tcPr>
          <w:p w:rsidR="00BC19AE" w:rsidRPr="00E04C25" w:rsidRDefault="00BC19AE" w:rsidP="0050387D">
            <w:pPr>
              <w:tabs>
                <w:tab w:val="left" w:pos="709"/>
              </w:tabs>
              <w:jc w:val="center"/>
              <w:rPr>
                <w:rFonts w:ascii="Arial" w:hAnsi="Arial" w:cs="Arial"/>
                <w:b/>
                <w:sz w:val="18"/>
                <w:szCs w:val="18"/>
              </w:rPr>
            </w:pPr>
            <w:r w:rsidRPr="00E04C25">
              <w:rPr>
                <w:rFonts w:ascii="Arial" w:hAnsi="Arial" w:cs="Arial"/>
                <w:b/>
                <w:sz w:val="18"/>
                <w:szCs w:val="18"/>
              </w:rPr>
              <w:t>2013</w:t>
            </w:r>
          </w:p>
        </w:tc>
        <w:tc>
          <w:tcPr>
            <w:tcW w:w="1077" w:type="dxa"/>
            <w:tcBorders>
              <w:top w:val="double" w:sz="4" w:space="0" w:color="auto"/>
              <w:left w:val="single" w:sz="4" w:space="0" w:color="auto"/>
              <w:bottom w:val="single" w:sz="4" w:space="0" w:color="auto"/>
            </w:tcBorders>
            <w:vAlign w:val="center"/>
          </w:tcPr>
          <w:p w:rsidR="00BC19AE" w:rsidRPr="00E04C25" w:rsidRDefault="00BC19AE" w:rsidP="0050387D">
            <w:pPr>
              <w:tabs>
                <w:tab w:val="left" w:pos="709"/>
              </w:tabs>
              <w:jc w:val="center"/>
              <w:rPr>
                <w:rFonts w:ascii="Arial" w:hAnsi="Arial" w:cs="Arial"/>
                <w:b/>
                <w:sz w:val="18"/>
                <w:szCs w:val="18"/>
              </w:rPr>
            </w:pPr>
            <w:r w:rsidRPr="00E04C25">
              <w:rPr>
                <w:rFonts w:ascii="Arial" w:hAnsi="Arial" w:cs="Arial"/>
                <w:b/>
                <w:sz w:val="18"/>
                <w:szCs w:val="18"/>
              </w:rPr>
              <w:t>2014</w:t>
            </w:r>
          </w:p>
        </w:tc>
        <w:tc>
          <w:tcPr>
            <w:tcW w:w="1077" w:type="dxa"/>
            <w:tcBorders>
              <w:top w:val="double" w:sz="4" w:space="0" w:color="auto"/>
              <w:left w:val="single" w:sz="4" w:space="0" w:color="auto"/>
              <w:bottom w:val="single" w:sz="4" w:space="0" w:color="auto"/>
            </w:tcBorders>
            <w:vAlign w:val="center"/>
          </w:tcPr>
          <w:p w:rsidR="00BC19AE" w:rsidRPr="00E04C25" w:rsidRDefault="00BC19AE" w:rsidP="0050387D">
            <w:pPr>
              <w:tabs>
                <w:tab w:val="left" w:pos="709"/>
              </w:tabs>
              <w:jc w:val="center"/>
              <w:rPr>
                <w:rFonts w:ascii="Arial" w:hAnsi="Arial" w:cs="Arial"/>
                <w:b/>
                <w:sz w:val="18"/>
                <w:szCs w:val="18"/>
              </w:rPr>
            </w:pPr>
            <w:r w:rsidRPr="00E04C25">
              <w:rPr>
                <w:rFonts w:ascii="Arial" w:hAnsi="Arial" w:cs="Arial"/>
                <w:b/>
                <w:sz w:val="18"/>
                <w:szCs w:val="18"/>
              </w:rPr>
              <w:t>2015</w:t>
            </w:r>
          </w:p>
        </w:tc>
        <w:tc>
          <w:tcPr>
            <w:tcW w:w="1077" w:type="dxa"/>
            <w:tcBorders>
              <w:top w:val="double" w:sz="4" w:space="0" w:color="auto"/>
              <w:left w:val="single" w:sz="4" w:space="0" w:color="auto"/>
              <w:bottom w:val="single" w:sz="4" w:space="0" w:color="auto"/>
              <w:right w:val="single" w:sz="4" w:space="0" w:color="auto"/>
            </w:tcBorders>
            <w:vAlign w:val="center"/>
          </w:tcPr>
          <w:p w:rsidR="00BC19AE" w:rsidRPr="00E04C25" w:rsidRDefault="00BC19AE" w:rsidP="0050387D">
            <w:pPr>
              <w:tabs>
                <w:tab w:val="left" w:pos="709"/>
              </w:tabs>
              <w:jc w:val="center"/>
              <w:rPr>
                <w:rFonts w:ascii="Arial" w:hAnsi="Arial" w:cs="Arial"/>
                <w:b/>
                <w:sz w:val="18"/>
                <w:szCs w:val="18"/>
              </w:rPr>
            </w:pPr>
            <w:r w:rsidRPr="00E04C25">
              <w:rPr>
                <w:rFonts w:ascii="Arial" w:hAnsi="Arial" w:cs="Arial"/>
                <w:b/>
                <w:sz w:val="18"/>
                <w:szCs w:val="18"/>
              </w:rPr>
              <w:t>2016</w:t>
            </w:r>
          </w:p>
        </w:tc>
        <w:tc>
          <w:tcPr>
            <w:tcW w:w="1077" w:type="dxa"/>
            <w:tcBorders>
              <w:top w:val="double" w:sz="4" w:space="0" w:color="auto"/>
              <w:left w:val="single" w:sz="4" w:space="0" w:color="auto"/>
              <w:bottom w:val="single" w:sz="4" w:space="0" w:color="auto"/>
            </w:tcBorders>
            <w:vAlign w:val="center"/>
          </w:tcPr>
          <w:p w:rsidR="00BC19AE" w:rsidRPr="00E04C25" w:rsidRDefault="00BC19AE" w:rsidP="0050387D">
            <w:pPr>
              <w:tabs>
                <w:tab w:val="left" w:pos="709"/>
              </w:tabs>
              <w:jc w:val="center"/>
              <w:rPr>
                <w:rFonts w:ascii="Arial" w:hAnsi="Arial" w:cs="Arial"/>
                <w:b/>
                <w:sz w:val="18"/>
                <w:szCs w:val="18"/>
              </w:rPr>
            </w:pPr>
            <w:r w:rsidRPr="00E04C25">
              <w:rPr>
                <w:rFonts w:ascii="Arial" w:hAnsi="Arial" w:cs="Arial"/>
                <w:b/>
                <w:sz w:val="18"/>
                <w:szCs w:val="18"/>
              </w:rPr>
              <w:t>2017</w:t>
            </w:r>
          </w:p>
        </w:tc>
      </w:tr>
      <w:tr w:rsidR="00BC19AE" w:rsidRPr="00E04C25" w:rsidTr="0050387D">
        <w:trPr>
          <w:trHeight w:val="454"/>
          <w:jc w:val="center"/>
        </w:trPr>
        <w:tc>
          <w:tcPr>
            <w:tcW w:w="2518" w:type="dxa"/>
            <w:vAlign w:val="center"/>
          </w:tcPr>
          <w:p w:rsidR="00BC19AE" w:rsidRPr="00E04C25" w:rsidRDefault="00BC19AE" w:rsidP="0050387D">
            <w:pPr>
              <w:tabs>
                <w:tab w:val="left" w:pos="709"/>
              </w:tabs>
              <w:jc w:val="both"/>
              <w:rPr>
                <w:rFonts w:ascii="Arial" w:hAnsi="Arial" w:cs="Arial"/>
                <w:b/>
                <w:sz w:val="20"/>
                <w:szCs w:val="20"/>
              </w:rPr>
            </w:pPr>
            <w:r w:rsidRPr="00E04C25">
              <w:rPr>
                <w:rFonts w:ascii="Arial" w:hAnsi="Arial" w:cs="Arial"/>
                <w:b/>
                <w:sz w:val="20"/>
                <w:szCs w:val="20"/>
              </w:rPr>
              <w:t>Podané žádosti</w:t>
            </w:r>
          </w:p>
        </w:tc>
        <w:tc>
          <w:tcPr>
            <w:tcW w:w="1077" w:type="dxa"/>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16 281</w:t>
            </w:r>
          </w:p>
        </w:tc>
        <w:tc>
          <w:tcPr>
            <w:tcW w:w="1077" w:type="dxa"/>
            <w:tcMar>
              <w:left w:w="28" w:type="dxa"/>
              <w:right w:w="28" w:type="dxa"/>
            </w:tcMar>
            <w:vAlign w:val="center"/>
          </w:tcPr>
          <w:p w:rsidR="00BC19AE" w:rsidRPr="00E04C25" w:rsidRDefault="00BC19AE" w:rsidP="0050387D">
            <w:pPr>
              <w:tabs>
                <w:tab w:val="left" w:pos="709"/>
              </w:tabs>
              <w:ind w:right="-108" w:hanging="142"/>
              <w:jc w:val="right"/>
              <w:rPr>
                <w:rFonts w:ascii="Arial" w:hAnsi="Arial" w:cs="Arial"/>
                <w:sz w:val="18"/>
                <w:szCs w:val="18"/>
              </w:rPr>
            </w:pPr>
            <w:r w:rsidRPr="00E04C25">
              <w:rPr>
                <w:rFonts w:ascii="Arial" w:hAnsi="Arial" w:cs="Arial"/>
                <w:sz w:val="18"/>
                <w:szCs w:val="18"/>
              </w:rPr>
              <w:t xml:space="preserve">9 998 </w:t>
            </w:r>
          </w:p>
        </w:tc>
        <w:tc>
          <w:tcPr>
            <w:tcW w:w="1077" w:type="dxa"/>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7 100</w:t>
            </w:r>
          </w:p>
        </w:tc>
        <w:tc>
          <w:tcPr>
            <w:tcW w:w="1077" w:type="dxa"/>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9 101</w:t>
            </w:r>
          </w:p>
        </w:tc>
        <w:tc>
          <w:tcPr>
            <w:tcW w:w="1077" w:type="dxa"/>
            <w:tcBorders>
              <w:top w:val="single" w:sz="4" w:space="0" w:color="auto"/>
              <w:bottom w:val="single" w:sz="4" w:space="0" w:color="auto"/>
              <w:right w:val="single" w:sz="4" w:space="0" w:color="auto"/>
            </w:tcBorders>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8 031</w:t>
            </w:r>
          </w:p>
        </w:tc>
        <w:tc>
          <w:tcPr>
            <w:tcW w:w="1077" w:type="dxa"/>
            <w:tcBorders>
              <w:top w:val="single" w:sz="4" w:space="0" w:color="auto"/>
              <w:left w:val="single" w:sz="4" w:space="0" w:color="auto"/>
              <w:bottom w:val="single" w:sz="4" w:space="0" w:color="auto"/>
            </w:tcBorders>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6 094</w:t>
            </w:r>
          </w:p>
        </w:tc>
        <w:tc>
          <w:tcPr>
            <w:tcW w:w="1077" w:type="dxa"/>
            <w:tcBorders>
              <w:top w:val="single" w:sz="4" w:space="0" w:color="auto"/>
              <w:left w:val="single" w:sz="4" w:space="0" w:color="auto"/>
              <w:bottom w:val="single" w:sz="4" w:space="0" w:color="auto"/>
            </w:tcBorders>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4 569</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3 826</w:t>
            </w:r>
          </w:p>
        </w:tc>
        <w:tc>
          <w:tcPr>
            <w:tcW w:w="1077" w:type="dxa"/>
            <w:tcBorders>
              <w:top w:val="single" w:sz="4" w:space="0" w:color="auto"/>
              <w:left w:val="single" w:sz="4" w:space="0" w:color="auto"/>
              <w:bottom w:val="single" w:sz="4" w:space="0" w:color="auto"/>
            </w:tcBorders>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2 177</w:t>
            </w:r>
          </w:p>
        </w:tc>
      </w:tr>
      <w:tr w:rsidR="00BC19AE" w:rsidRPr="00E04C25" w:rsidTr="0050387D">
        <w:trPr>
          <w:trHeight w:val="546"/>
          <w:jc w:val="center"/>
        </w:trPr>
        <w:tc>
          <w:tcPr>
            <w:tcW w:w="2518" w:type="dxa"/>
            <w:vAlign w:val="center"/>
          </w:tcPr>
          <w:p w:rsidR="00BC19AE" w:rsidRPr="00E04C25" w:rsidRDefault="00BC19AE" w:rsidP="0050387D">
            <w:pPr>
              <w:tabs>
                <w:tab w:val="left" w:pos="709"/>
              </w:tabs>
              <w:jc w:val="both"/>
              <w:rPr>
                <w:rFonts w:ascii="Arial" w:hAnsi="Arial" w:cs="Arial"/>
                <w:b/>
                <w:sz w:val="20"/>
                <w:szCs w:val="20"/>
              </w:rPr>
            </w:pPr>
            <w:r w:rsidRPr="00E04C25">
              <w:rPr>
                <w:rFonts w:ascii="Arial" w:hAnsi="Arial" w:cs="Arial"/>
                <w:b/>
                <w:sz w:val="20"/>
                <w:szCs w:val="20"/>
              </w:rPr>
              <w:t>Vyřízené žádosti</w:t>
            </w:r>
          </w:p>
        </w:tc>
        <w:tc>
          <w:tcPr>
            <w:tcW w:w="1077" w:type="dxa"/>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19 451</w:t>
            </w:r>
          </w:p>
        </w:tc>
        <w:tc>
          <w:tcPr>
            <w:tcW w:w="1077" w:type="dxa"/>
            <w:tcMar>
              <w:left w:w="28" w:type="dxa"/>
              <w:right w:w="28" w:type="dxa"/>
            </w:tcMar>
            <w:vAlign w:val="center"/>
          </w:tcPr>
          <w:p w:rsidR="00BC19AE" w:rsidRPr="00E04C25" w:rsidRDefault="00BC19AE" w:rsidP="0050387D">
            <w:pPr>
              <w:tabs>
                <w:tab w:val="left" w:pos="709"/>
              </w:tabs>
              <w:ind w:right="-108" w:hanging="142"/>
              <w:jc w:val="right"/>
              <w:rPr>
                <w:rFonts w:ascii="Arial" w:hAnsi="Arial" w:cs="Arial"/>
                <w:sz w:val="18"/>
                <w:szCs w:val="18"/>
              </w:rPr>
            </w:pPr>
            <w:r w:rsidRPr="00E04C25">
              <w:rPr>
                <w:rFonts w:ascii="Arial" w:hAnsi="Arial" w:cs="Arial"/>
                <w:sz w:val="18"/>
                <w:szCs w:val="18"/>
              </w:rPr>
              <w:t>11 028</w:t>
            </w:r>
          </w:p>
        </w:tc>
        <w:tc>
          <w:tcPr>
            <w:tcW w:w="1077" w:type="dxa"/>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8 253</w:t>
            </w:r>
          </w:p>
        </w:tc>
        <w:tc>
          <w:tcPr>
            <w:tcW w:w="1077" w:type="dxa"/>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7 694</w:t>
            </w:r>
          </w:p>
        </w:tc>
        <w:tc>
          <w:tcPr>
            <w:tcW w:w="1077" w:type="dxa"/>
            <w:tcBorders>
              <w:top w:val="single" w:sz="4" w:space="0" w:color="auto"/>
              <w:bottom w:val="single" w:sz="4" w:space="0" w:color="auto"/>
              <w:right w:val="single" w:sz="4" w:space="0" w:color="auto"/>
            </w:tcBorders>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8 202</w:t>
            </w:r>
          </w:p>
        </w:tc>
        <w:tc>
          <w:tcPr>
            <w:tcW w:w="1077" w:type="dxa"/>
            <w:tcBorders>
              <w:top w:val="single" w:sz="4" w:space="0" w:color="auto"/>
              <w:left w:val="single" w:sz="4" w:space="0" w:color="auto"/>
              <w:bottom w:val="single" w:sz="4" w:space="0" w:color="auto"/>
            </w:tcBorders>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6 830</w:t>
            </w:r>
          </w:p>
        </w:tc>
        <w:tc>
          <w:tcPr>
            <w:tcW w:w="1077" w:type="dxa"/>
            <w:tcBorders>
              <w:top w:val="single" w:sz="4" w:space="0" w:color="auto"/>
              <w:left w:val="single" w:sz="4" w:space="0" w:color="auto"/>
              <w:bottom w:val="single" w:sz="4" w:space="0" w:color="auto"/>
            </w:tcBorders>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5 610</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4 402</w:t>
            </w:r>
          </w:p>
        </w:tc>
        <w:tc>
          <w:tcPr>
            <w:tcW w:w="1077" w:type="dxa"/>
            <w:tcBorders>
              <w:top w:val="single" w:sz="4" w:space="0" w:color="auto"/>
              <w:left w:val="single" w:sz="4" w:space="0" w:color="auto"/>
              <w:bottom w:val="single" w:sz="4" w:space="0" w:color="auto"/>
            </w:tcBorders>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3 290</w:t>
            </w:r>
          </w:p>
        </w:tc>
      </w:tr>
      <w:tr w:rsidR="00BC19AE" w:rsidRPr="00E04C25" w:rsidTr="0050387D">
        <w:trPr>
          <w:trHeight w:val="568"/>
          <w:jc w:val="center"/>
        </w:trPr>
        <w:tc>
          <w:tcPr>
            <w:tcW w:w="2518" w:type="dxa"/>
            <w:vAlign w:val="center"/>
          </w:tcPr>
          <w:p w:rsidR="00BC19AE" w:rsidRPr="00E04C25" w:rsidRDefault="00BC19AE" w:rsidP="0050387D">
            <w:pPr>
              <w:tabs>
                <w:tab w:val="left" w:pos="709"/>
              </w:tabs>
              <w:rPr>
                <w:rFonts w:ascii="Arial" w:hAnsi="Arial" w:cs="Arial"/>
                <w:b/>
                <w:sz w:val="20"/>
                <w:szCs w:val="20"/>
              </w:rPr>
            </w:pPr>
            <w:r w:rsidRPr="00E04C25">
              <w:rPr>
                <w:rFonts w:ascii="Arial" w:hAnsi="Arial" w:cs="Arial"/>
                <w:b/>
                <w:sz w:val="20"/>
                <w:szCs w:val="20"/>
              </w:rPr>
              <w:t>Vyplacené fin. prostředky (tis.Kč)</w:t>
            </w:r>
          </w:p>
        </w:tc>
        <w:tc>
          <w:tcPr>
            <w:tcW w:w="1077" w:type="dxa"/>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844 033</w:t>
            </w:r>
          </w:p>
        </w:tc>
        <w:tc>
          <w:tcPr>
            <w:tcW w:w="1077" w:type="dxa"/>
            <w:tcMar>
              <w:left w:w="28" w:type="dxa"/>
              <w:right w:w="28" w:type="dxa"/>
            </w:tcMar>
            <w:vAlign w:val="center"/>
          </w:tcPr>
          <w:p w:rsidR="00BC19AE" w:rsidRPr="00E04C25" w:rsidRDefault="00BC19AE" w:rsidP="0050387D">
            <w:pPr>
              <w:tabs>
                <w:tab w:val="left" w:pos="709"/>
              </w:tabs>
              <w:ind w:right="-108" w:hanging="142"/>
              <w:jc w:val="right"/>
              <w:rPr>
                <w:rFonts w:ascii="Arial" w:hAnsi="Arial" w:cs="Arial"/>
                <w:sz w:val="18"/>
                <w:szCs w:val="18"/>
              </w:rPr>
            </w:pPr>
            <w:r w:rsidRPr="00E04C25">
              <w:rPr>
                <w:rFonts w:ascii="Arial" w:hAnsi="Arial" w:cs="Arial"/>
                <w:bCs/>
                <w:sz w:val="18"/>
                <w:szCs w:val="18"/>
              </w:rPr>
              <w:t>497 837</w:t>
            </w:r>
          </w:p>
        </w:tc>
        <w:tc>
          <w:tcPr>
            <w:tcW w:w="1077" w:type="dxa"/>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389 142</w:t>
            </w:r>
          </w:p>
        </w:tc>
        <w:tc>
          <w:tcPr>
            <w:tcW w:w="1077" w:type="dxa"/>
            <w:tcMar>
              <w:left w:w="28" w:type="dxa"/>
              <w:right w:w="28" w:type="dxa"/>
            </w:tcMar>
            <w:vAlign w:val="center"/>
          </w:tcPr>
          <w:p w:rsidR="00BC19AE" w:rsidRPr="00E04C25" w:rsidRDefault="00BC19AE" w:rsidP="0050387D">
            <w:pPr>
              <w:tabs>
                <w:tab w:val="left" w:pos="709"/>
              </w:tabs>
              <w:ind w:hanging="142"/>
              <w:jc w:val="right"/>
              <w:rPr>
                <w:rFonts w:ascii="Arial" w:hAnsi="Arial" w:cs="Arial"/>
                <w:sz w:val="18"/>
                <w:szCs w:val="18"/>
              </w:rPr>
            </w:pPr>
            <w:r w:rsidRPr="00E04C25">
              <w:rPr>
                <w:rFonts w:ascii="Arial" w:hAnsi="Arial" w:cs="Arial"/>
                <w:sz w:val="18"/>
                <w:szCs w:val="18"/>
              </w:rPr>
              <w:t>451 799</w:t>
            </w:r>
          </w:p>
        </w:tc>
        <w:tc>
          <w:tcPr>
            <w:tcW w:w="1077" w:type="dxa"/>
            <w:tcBorders>
              <w:top w:val="single" w:sz="4" w:space="0" w:color="auto"/>
              <w:bottom w:val="double" w:sz="4" w:space="0" w:color="auto"/>
              <w:right w:val="single" w:sz="4" w:space="0" w:color="auto"/>
            </w:tcBorders>
            <w:tcMar>
              <w:left w:w="28" w:type="dxa"/>
              <w:right w:w="28" w:type="dxa"/>
            </w:tcMar>
            <w:vAlign w:val="center"/>
          </w:tcPr>
          <w:p w:rsidR="00BC19AE" w:rsidRPr="00E04C25" w:rsidRDefault="00BC19AE" w:rsidP="0050387D">
            <w:pPr>
              <w:tabs>
                <w:tab w:val="left" w:pos="709"/>
              </w:tabs>
              <w:ind w:hanging="142"/>
              <w:jc w:val="right"/>
              <w:rPr>
                <w:rFonts w:ascii="Arial" w:hAnsi="Arial" w:cs="Arial"/>
                <w:bCs/>
                <w:sz w:val="18"/>
                <w:szCs w:val="18"/>
              </w:rPr>
            </w:pPr>
            <w:r w:rsidRPr="00E04C25">
              <w:rPr>
                <w:rFonts w:ascii="Arial" w:hAnsi="Arial" w:cs="Arial"/>
                <w:bCs/>
                <w:sz w:val="18"/>
                <w:szCs w:val="18"/>
              </w:rPr>
              <w:t>333 208</w:t>
            </w:r>
          </w:p>
        </w:tc>
        <w:tc>
          <w:tcPr>
            <w:tcW w:w="1077" w:type="dxa"/>
            <w:tcBorders>
              <w:top w:val="single" w:sz="4" w:space="0" w:color="auto"/>
              <w:left w:val="single" w:sz="4" w:space="0" w:color="auto"/>
              <w:bottom w:val="double" w:sz="4" w:space="0" w:color="auto"/>
            </w:tcBorders>
            <w:tcMar>
              <w:left w:w="28" w:type="dxa"/>
              <w:right w:w="28" w:type="dxa"/>
            </w:tcMar>
            <w:vAlign w:val="center"/>
          </w:tcPr>
          <w:p w:rsidR="00BC19AE" w:rsidRPr="00E04C25" w:rsidRDefault="00BC19AE" w:rsidP="0050387D">
            <w:pPr>
              <w:tabs>
                <w:tab w:val="left" w:pos="709"/>
              </w:tabs>
              <w:ind w:hanging="142"/>
              <w:jc w:val="right"/>
              <w:rPr>
                <w:rFonts w:ascii="Arial" w:hAnsi="Arial" w:cs="Arial"/>
                <w:bCs/>
                <w:sz w:val="18"/>
                <w:szCs w:val="18"/>
              </w:rPr>
            </w:pPr>
            <w:r w:rsidRPr="00E04C25">
              <w:rPr>
                <w:rFonts w:ascii="Arial" w:hAnsi="Arial" w:cs="Arial"/>
                <w:bCs/>
                <w:sz w:val="18"/>
                <w:szCs w:val="18"/>
              </w:rPr>
              <w:t>391 856</w:t>
            </w:r>
          </w:p>
        </w:tc>
        <w:tc>
          <w:tcPr>
            <w:tcW w:w="1077" w:type="dxa"/>
            <w:tcBorders>
              <w:top w:val="single" w:sz="4" w:space="0" w:color="auto"/>
              <w:left w:val="single" w:sz="4" w:space="0" w:color="auto"/>
              <w:bottom w:val="double" w:sz="4" w:space="0" w:color="auto"/>
            </w:tcBorders>
            <w:tcMar>
              <w:left w:w="28" w:type="dxa"/>
              <w:right w:w="28" w:type="dxa"/>
            </w:tcMar>
            <w:vAlign w:val="center"/>
          </w:tcPr>
          <w:p w:rsidR="00BC19AE" w:rsidRPr="00E04C25" w:rsidRDefault="00BC19AE" w:rsidP="0050387D">
            <w:pPr>
              <w:tabs>
                <w:tab w:val="left" w:pos="709"/>
              </w:tabs>
              <w:ind w:hanging="142"/>
              <w:jc w:val="right"/>
              <w:rPr>
                <w:rFonts w:ascii="Arial" w:hAnsi="Arial" w:cs="Arial"/>
                <w:bCs/>
                <w:sz w:val="18"/>
                <w:szCs w:val="18"/>
              </w:rPr>
            </w:pPr>
            <w:r w:rsidRPr="00E04C25">
              <w:rPr>
                <w:rFonts w:ascii="Arial" w:hAnsi="Arial" w:cs="Arial"/>
                <w:bCs/>
                <w:sz w:val="18"/>
                <w:szCs w:val="18"/>
              </w:rPr>
              <w:t>229 500</w:t>
            </w:r>
          </w:p>
        </w:tc>
        <w:tc>
          <w:tcPr>
            <w:tcW w:w="1077" w:type="dxa"/>
            <w:tcBorders>
              <w:top w:val="single" w:sz="4" w:space="0" w:color="auto"/>
              <w:left w:val="single" w:sz="4" w:space="0" w:color="auto"/>
              <w:bottom w:val="double" w:sz="4" w:space="0" w:color="auto"/>
              <w:right w:val="single" w:sz="4" w:space="0" w:color="auto"/>
            </w:tcBorders>
            <w:tcMar>
              <w:left w:w="28" w:type="dxa"/>
              <w:right w:w="28" w:type="dxa"/>
            </w:tcMar>
            <w:vAlign w:val="center"/>
          </w:tcPr>
          <w:p w:rsidR="00BC19AE" w:rsidRPr="00E04C25" w:rsidRDefault="00BC19AE" w:rsidP="0050387D">
            <w:pPr>
              <w:tabs>
                <w:tab w:val="left" w:pos="709"/>
              </w:tabs>
              <w:ind w:hanging="142"/>
              <w:jc w:val="right"/>
              <w:rPr>
                <w:rFonts w:ascii="Arial" w:hAnsi="Arial" w:cs="Arial"/>
                <w:bCs/>
                <w:sz w:val="18"/>
                <w:szCs w:val="18"/>
              </w:rPr>
            </w:pPr>
            <w:r w:rsidRPr="00E04C25">
              <w:rPr>
                <w:rFonts w:ascii="Arial" w:hAnsi="Arial" w:cs="Arial"/>
                <w:bCs/>
                <w:sz w:val="18"/>
                <w:szCs w:val="18"/>
              </w:rPr>
              <w:t>250 339</w:t>
            </w:r>
          </w:p>
        </w:tc>
        <w:tc>
          <w:tcPr>
            <w:tcW w:w="1077" w:type="dxa"/>
            <w:tcBorders>
              <w:top w:val="single" w:sz="4" w:space="0" w:color="auto"/>
              <w:left w:val="single" w:sz="4" w:space="0" w:color="auto"/>
              <w:bottom w:val="double" w:sz="4" w:space="0" w:color="auto"/>
            </w:tcBorders>
            <w:tcMar>
              <w:left w:w="28" w:type="dxa"/>
              <w:right w:w="28" w:type="dxa"/>
            </w:tcMar>
            <w:vAlign w:val="center"/>
          </w:tcPr>
          <w:p w:rsidR="00BC19AE" w:rsidRPr="00E04C25" w:rsidRDefault="00BC19AE" w:rsidP="0050387D">
            <w:pPr>
              <w:tabs>
                <w:tab w:val="left" w:pos="709"/>
              </w:tabs>
              <w:ind w:hanging="142"/>
              <w:jc w:val="right"/>
              <w:rPr>
                <w:rFonts w:ascii="Arial" w:hAnsi="Arial" w:cs="Arial"/>
                <w:bCs/>
                <w:sz w:val="18"/>
                <w:szCs w:val="18"/>
              </w:rPr>
            </w:pPr>
            <w:r w:rsidRPr="00E04C25">
              <w:rPr>
                <w:rFonts w:ascii="Arial" w:hAnsi="Arial" w:cs="Arial"/>
                <w:bCs/>
                <w:sz w:val="18"/>
                <w:szCs w:val="18"/>
              </w:rPr>
              <w:t>167 343</w:t>
            </w:r>
          </w:p>
        </w:tc>
      </w:tr>
    </w:tbl>
    <w:p w:rsidR="00BC19AE" w:rsidRPr="00E04C25" w:rsidRDefault="00BC19AE" w:rsidP="0050298B">
      <w:pPr>
        <w:tabs>
          <w:tab w:val="left" w:pos="709"/>
        </w:tabs>
        <w:spacing w:line="360" w:lineRule="auto"/>
        <w:ind w:firstLine="708"/>
        <w:jc w:val="both"/>
        <w:rPr>
          <w:rFonts w:ascii="Arial" w:hAnsi="Arial" w:cs="Arial"/>
        </w:rPr>
      </w:pPr>
    </w:p>
    <w:p w:rsidR="00562AB5" w:rsidRPr="00E04C25" w:rsidRDefault="00562AB5" w:rsidP="00AE65A5">
      <w:pPr>
        <w:tabs>
          <w:tab w:val="left" w:pos="709"/>
        </w:tabs>
        <w:spacing w:line="360" w:lineRule="auto"/>
        <w:ind w:firstLine="567"/>
        <w:jc w:val="both"/>
      </w:pPr>
      <w:r w:rsidRPr="00E04C25">
        <w:rPr>
          <w:rFonts w:ascii="Arial" w:hAnsi="Arial" w:cs="Arial"/>
          <w:b/>
          <w:bCs/>
        </w:rPr>
        <w:t>V roce 201</w:t>
      </w:r>
      <w:r w:rsidR="005159D7" w:rsidRPr="00E04C25">
        <w:rPr>
          <w:rFonts w:ascii="Arial" w:hAnsi="Arial" w:cs="Arial"/>
          <w:b/>
          <w:bCs/>
        </w:rPr>
        <w:t>7</w:t>
      </w:r>
      <w:r w:rsidRPr="00E04C25">
        <w:rPr>
          <w:rFonts w:ascii="Arial" w:hAnsi="Arial" w:cs="Arial"/>
          <w:bCs/>
        </w:rPr>
        <w:t xml:space="preserve"> bylo do příjmů státního rozpočtu přijato vymožené</w:t>
      </w:r>
      <w:r w:rsidRPr="00E04C25">
        <w:rPr>
          <w:rFonts w:ascii="Arial" w:hAnsi="Arial" w:cs="Arial"/>
          <w:b/>
          <w:bCs/>
        </w:rPr>
        <w:t xml:space="preserve"> plnění za předchozí výplaty insolvence </w:t>
      </w:r>
      <w:r w:rsidRPr="00E04C25">
        <w:rPr>
          <w:rFonts w:ascii="Arial" w:hAnsi="Arial" w:cs="Arial"/>
          <w:bCs/>
        </w:rPr>
        <w:t xml:space="preserve">z minulých let ve výši </w:t>
      </w:r>
      <w:r w:rsidRPr="00E04C25">
        <w:rPr>
          <w:rFonts w:ascii="Arial" w:hAnsi="Arial" w:cs="Arial"/>
          <w:b/>
          <w:bCs/>
        </w:rPr>
        <w:t>6</w:t>
      </w:r>
      <w:r w:rsidR="005159D7" w:rsidRPr="00E04C25">
        <w:rPr>
          <w:rFonts w:ascii="Arial" w:hAnsi="Arial" w:cs="Arial"/>
          <w:b/>
          <w:bCs/>
        </w:rPr>
        <w:t>9</w:t>
      </w:r>
      <w:r w:rsidRPr="00E04C25">
        <w:rPr>
          <w:rFonts w:ascii="Arial" w:hAnsi="Arial" w:cs="Arial"/>
          <w:b/>
        </w:rPr>
        <w:t> </w:t>
      </w:r>
      <w:r w:rsidR="005159D7" w:rsidRPr="00E04C25">
        <w:rPr>
          <w:rFonts w:ascii="Arial" w:hAnsi="Arial" w:cs="Arial"/>
          <w:b/>
        </w:rPr>
        <w:t>476</w:t>
      </w:r>
      <w:r w:rsidRPr="00E04C25">
        <w:rPr>
          <w:rFonts w:ascii="Arial" w:hAnsi="Arial" w:cs="Arial"/>
          <w:b/>
          <w:bCs/>
        </w:rPr>
        <w:t xml:space="preserve"> tis. Kč.</w:t>
      </w:r>
      <w:r w:rsidRPr="00E04C25">
        <w:rPr>
          <w:rFonts w:ascii="Arial" w:hAnsi="Arial" w:cs="Arial"/>
          <w:bCs/>
        </w:rPr>
        <w:t xml:space="preserve"> </w:t>
      </w:r>
      <w:r w:rsidRPr="00E04C25">
        <w:rPr>
          <w:rFonts w:ascii="Arial" w:hAnsi="Arial" w:cs="Arial"/>
          <w:b/>
          <w:bCs/>
        </w:rPr>
        <w:t xml:space="preserve">Celkem </w:t>
      </w:r>
      <w:r w:rsidRPr="00E04C25">
        <w:rPr>
          <w:rFonts w:ascii="Arial" w:hAnsi="Arial" w:cs="Arial"/>
          <w:bCs/>
        </w:rPr>
        <w:t xml:space="preserve">bylo za dobu účinnosti tohoto zákona žadatelům za jejich zaměstnavatele </w:t>
      </w:r>
      <w:r w:rsidRPr="00E04C25">
        <w:rPr>
          <w:rFonts w:ascii="Arial" w:hAnsi="Arial" w:cs="Arial"/>
          <w:b/>
          <w:bCs/>
        </w:rPr>
        <w:t xml:space="preserve">vyplaceno </w:t>
      </w:r>
      <w:r w:rsidRPr="00E04C25">
        <w:rPr>
          <w:rFonts w:ascii="Arial" w:hAnsi="Arial" w:cs="Arial"/>
          <w:bCs/>
        </w:rPr>
        <w:t xml:space="preserve">cca </w:t>
      </w:r>
      <w:r w:rsidR="005159D7" w:rsidRPr="00E04C25">
        <w:rPr>
          <w:rFonts w:ascii="Arial" w:hAnsi="Arial" w:cs="Arial"/>
          <w:b/>
          <w:bCs/>
        </w:rPr>
        <w:t>5</w:t>
      </w:r>
      <w:r w:rsidR="005159D7" w:rsidRPr="00E04C25">
        <w:rPr>
          <w:rFonts w:ascii="Arial" w:hAnsi="Arial" w:cs="Arial"/>
          <w:b/>
        </w:rPr>
        <w:t> 050,8</w:t>
      </w:r>
      <w:r w:rsidRPr="00E04C25">
        <w:rPr>
          <w:rFonts w:ascii="Calibri" w:hAnsi="Calibri"/>
          <w:b/>
          <w:sz w:val="22"/>
          <w:szCs w:val="22"/>
        </w:rPr>
        <w:t> </w:t>
      </w:r>
      <w:r w:rsidRPr="00E04C25">
        <w:rPr>
          <w:rFonts w:ascii="Arial" w:hAnsi="Arial" w:cs="Arial"/>
          <w:b/>
          <w:bCs/>
        </w:rPr>
        <w:t>mil. Kč</w:t>
      </w:r>
      <w:r w:rsidRPr="00E04C25">
        <w:rPr>
          <w:rFonts w:ascii="Arial" w:hAnsi="Arial" w:cs="Arial"/>
          <w:bCs/>
        </w:rPr>
        <w:t xml:space="preserve">. Do státního rozpočtu bylo </w:t>
      </w:r>
      <w:r w:rsidRPr="00E04C25">
        <w:rPr>
          <w:rFonts w:ascii="Arial" w:hAnsi="Arial" w:cs="Arial"/>
          <w:b/>
          <w:bCs/>
        </w:rPr>
        <w:t>postupně vráceno</w:t>
      </w:r>
      <w:r w:rsidRPr="00E04C25">
        <w:rPr>
          <w:rFonts w:ascii="Arial" w:hAnsi="Arial" w:cs="Arial"/>
          <w:bCs/>
        </w:rPr>
        <w:t xml:space="preserve"> celkem </w:t>
      </w:r>
      <w:r w:rsidRPr="00E04C25">
        <w:rPr>
          <w:rFonts w:ascii="Arial" w:hAnsi="Arial" w:cs="Arial"/>
          <w:b/>
          <w:bCs/>
        </w:rPr>
        <w:t>1 </w:t>
      </w:r>
      <w:r w:rsidR="005159D7" w:rsidRPr="00E04C25">
        <w:rPr>
          <w:rFonts w:ascii="Arial" w:hAnsi="Arial" w:cs="Arial"/>
          <w:b/>
          <w:bCs/>
        </w:rPr>
        <w:t>112</w:t>
      </w:r>
      <w:r w:rsidRPr="00E04C25">
        <w:rPr>
          <w:rFonts w:ascii="Arial" w:hAnsi="Arial" w:cs="Arial"/>
          <w:b/>
          <w:bCs/>
        </w:rPr>
        <w:t>,</w:t>
      </w:r>
      <w:r w:rsidR="005159D7" w:rsidRPr="00E04C25">
        <w:rPr>
          <w:rFonts w:ascii="Arial" w:hAnsi="Arial" w:cs="Arial"/>
          <w:b/>
          <w:bCs/>
        </w:rPr>
        <w:t>9</w:t>
      </w:r>
      <w:r w:rsidRPr="00E04C25">
        <w:rPr>
          <w:rFonts w:ascii="Arial" w:hAnsi="Arial" w:cs="Arial"/>
          <w:b/>
          <w:bCs/>
        </w:rPr>
        <w:t>  mil. Kč, tj. 2</w:t>
      </w:r>
      <w:r w:rsidR="005159D7" w:rsidRPr="00E04C25">
        <w:rPr>
          <w:rFonts w:ascii="Arial" w:hAnsi="Arial" w:cs="Arial"/>
          <w:b/>
          <w:bCs/>
        </w:rPr>
        <w:t>2</w:t>
      </w:r>
      <w:r w:rsidRPr="00E04C25">
        <w:rPr>
          <w:rFonts w:ascii="Arial" w:hAnsi="Arial" w:cs="Arial"/>
          <w:b/>
          <w:bCs/>
        </w:rPr>
        <w:t>,</w:t>
      </w:r>
      <w:r w:rsidR="005159D7" w:rsidRPr="00E04C25">
        <w:rPr>
          <w:rFonts w:ascii="Arial" w:hAnsi="Arial" w:cs="Arial"/>
          <w:b/>
          <w:bCs/>
        </w:rPr>
        <w:t>0</w:t>
      </w:r>
      <w:r w:rsidRPr="00E04C25">
        <w:rPr>
          <w:rFonts w:ascii="Arial" w:hAnsi="Arial" w:cs="Arial"/>
          <w:b/>
          <w:bCs/>
        </w:rPr>
        <w:t> % z celkových prostředků vyplacených ÚP ČR za zaměstnavatele.</w:t>
      </w:r>
      <w:bookmarkEnd w:id="108"/>
      <w:bookmarkEnd w:id="109"/>
      <w:bookmarkEnd w:id="110"/>
      <w:r w:rsidRPr="00E04C25">
        <w:rPr>
          <w:rFonts w:ascii="Calibri" w:hAnsi="Calibri"/>
          <w:sz w:val="22"/>
          <w:szCs w:val="22"/>
        </w:rPr>
        <w:t xml:space="preserve"> </w:t>
      </w:r>
    </w:p>
    <w:p w:rsidR="00115440" w:rsidRPr="00E04C25" w:rsidRDefault="005159D7" w:rsidP="00BF03B8">
      <w:pPr>
        <w:pStyle w:val="Nadpis1"/>
      </w:pPr>
      <w:bookmarkStart w:id="111" w:name="_Toc404672665"/>
      <w:bookmarkEnd w:id="38"/>
      <w:bookmarkEnd w:id="40"/>
      <w:bookmarkEnd w:id="41"/>
      <w:bookmarkEnd w:id="42"/>
      <w:bookmarkEnd w:id="43"/>
      <w:bookmarkEnd w:id="44"/>
      <w:r w:rsidRPr="00E04C25">
        <w:br w:type="column"/>
      </w:r>
      <w:bookmarkStart w:id="112" w:name="_Toc513198677"/>
      <w:r w:rsidR="00115440" w:rsidRPr="00E04C25">
        <w:lastRenderedPageBreak/>
        <w:t>Nezaměstnanost</w:t>
      </w:r>
      <w:bookmarkEnd w:id="111"/>
      <w:bookmarkEnd w:id="112"/>
    </w:p>
    <w:p w:rsidR="00115440" w:rsidRPr="00E04C25" w:rsidRDefault="00115440" w:rsidP="00BF03B8">
      <w:pPr>
        <w:pStyle w:val="Nadpis1"/>
        <w:numPr>
          <w:ilvl w:val="0"/>
          <w:numId w:val="0"/>
        </w:numPr>
        <w:ind w:left="1221"/>
      </w:pPr>
    </w:p>
    <w:p w:rsidR="00115440" w:rsidRPr="00E04C25" w:rsidRDefault="00115440" w:rsidP="00115440">
      <w:pPr>
        <w:pStyle w:val="Styl5"/>
        <w:numPr>
          <w:ilvl w:val="0"/>
          <w:numId w:val="11"/>
        </w:numPr>
        <w:tabs>
          <w:tab w:val="clear" w:pos="720"/>
          <w:tab w:val="center" w:pos="900"/>
        </w:tabs>
        <w:spacing w:line="240" w:lineRule="auto"/>
        <w:ind w:left="714" w:hanging="357"/>
        <w:jc w:val="both"/>
        <w:rPr>
          <w:color w:val="auto"/>
        </w:rPr>
      </w:pPr>
      <w:bookmarkStart w:id="113" w:name="_Toc400528525"/>
      <w:bookmarkStart w:id="114" w:name="_Toc404672666"/>
      <w:bookmarkStart w:id="115" w:name="_Toc513198678"/>
      <w:r w:rsidRPr="00E04C25">
        <w:rPr>
          <w:color w:val="auto"/>
        </w:rPr>
        <w:t>Stav a vývoj nezaměstnanosti</w:t>
      </w:r>
      <w:bookmarkEnd w:id="113"/>
      <w:bookmarkEnd w:id="114"/>
      <w:bookmarkEnd w:id="115"/>
      <w:r w:rsidRPr="00E04C25">
        <w:rPr>
          <w:color w:val="auto"/>
        </w:rPr>
        <w:t xml:space="preserve"> </w:t>
      </w:r>
    </w:p>
    <w:p w:rsidR="00115440" w:rsidRPr="00E04C25" w:rsidRDefault="00115440" w:rsidP="00115440">
      <w:pPr>
        <w:rPr>
          <w:rFonts w:ascii="Arial" w:hAnsi="Arial" w:cs="Arial"/>
          <w:sz w:val="16"/>
          <w:szCs w:val="16"/>
        </w:rPr>
      </w:pPr>
    </w:p>
    <w:p w:rsidR="00115440" w:rsidRPr="00E04C25" w:rsidRDefault="00973AD8" w:rsidP="00115440">
      <w:pPr>
        <w:pStyle w:val="Zhlav"/>
        <w:tabs>
          <w:tab w:val="clear" w:pos="4536"/>
          <w:tab w:val="clear" w:pos="9072"/>
        </w:tabs>
        <w:spacing w:before="120" w:line="360" w:lineRule="auto"/>
        <w:ind w:firstLine="567"/>
        <w:jc w:val="both"/>
        <w:rPr>
          <w:rFonts w:ascii="Arial" w:hAnsi="Arial" w:cs="Arial"/>
          <w:b/>
          <w:bCs/>
        </w:rPr>
      </w:pPr>
      <w:r w:rsidRPr="00E04C25">
        <w:rPr>
          <w:rFonts w:ascii="Arial" w:hAnsi="Arial" w:cs="Arial"/>
          <w:sz w:val="24"/>
          <w:szCs w:val="24"/>
        </w:rPr>
        <w:t>Pokles nezaměstnanosti byl ve srovnání s rokem 2016 díky příznivému ekonomickému vývoji a růstu poptávky po pracovnících intenzivnější.</w:t>
      </w:r>
      <w:r w:rsidR="00115440" w:rsidRPr="00E04C25">
        <w:rPr>
          <w:rFonts w:ascii="Arial" w:hAnsi="Arial" w:cs="Arial"/>
          <w:sz w:val="24"/>
          <w:szCs w:val="24"/>
        </w:rPr>
        <w:t xml:space="preserve"> Zatímco na konci roku 2016 bylo na pracovištích </w:t>
      </w:r>
      <w:r w:rsidR="00B20134" w:rsidRPr="00E04C25">
        <w:rPr>
          <w:rFonts w:ascii="Arial" w:hAnsi="Arial" w:cs="Arial"/>
          <w:sz w:val="24"/>
          <w:szCs w:val="24"/>
        </w:rPr>
        <w:t>ÚP</w:t>
      </w:r>
      <w:r w:rsidR="000F6297" w:rsidRPr="00E04C25">
        <w:rPr>
          <w:rFonts w:ascii="Arial" w:hAnsi="Arial" w:cs="Arial"/>
          <w:sz w:val="24"/>
          <w:szCs w:val="24"/>
        </w:rPr>
        <w:t> </w:t>
      </w:r>
      <w:r w:rsidR="00115440" w:rsidRPr="00E04C25">
        <w:rPr>
          <w:rFonts w:ascii="Arial" w:hAnsi="Arial" w:cs="Arial"/>
          <w:sz w:val="24"/>
          <w:szCs w:val="24"/>
        </w:rPr>
        <w:t>ČR evidováno 381,4 tis. uchazečů o</w:t>
      </w:r>
      <w:r w:rsidRPr="00E04C25">
        <w:rPr>
          <w:rFonts w:ascii="Arial" w:hAnsi="Arial" w:cs="Arial"/>
          <w:sz w:val="24"/>
          <w:szCs w:val="24"/>
        </w:rPr>
        <w:t> </w:t>
      </w:r>
      <w:r w:rsidR="00115440" w:rsidRPr="00E04C25">
        <w:rPr>
          <w:rFonts w:ascii="Arial" w:hAnsi="Arial" w:cs="Arial"/>
          <w:sz w:val="24"/>
          <w:szCs w:val="24"/>
        </w:rPr>
        <w:t xml:space="preserve">zaměstnání (UoZ), meziročně méně o 71,7 tis., </w:t>
      </w:r>
      <w:r w:rsidRPr="00E04C25">
        <w:rPr>
          <w:rFonts w:ascii="Arial" w:hAnsi="Arial" w:cs="Arial"/>
          <w:b/>
          <w:sz w:val="24"/>
          <w:szCs w:val="24"/>
        </w:rPr>
        <w:t>k 31. 12. 2017</w:t>
      </w:r>
      <w:r w:rsidR="00115440" w:rsidRPr="00E04C25">
        <w:rPr>
          <w:rFonts w:ascii="Arial" w:hAnsi="Arial" w:cs="Arial"/>
          <w:sz w:val="24"/>
          <w:szCs w:val="24"/>
        </w:rPr>
        <w:t xml:space="preserve"> </w:t>
      </w:r>
      <w:r w:rsidRPr="00E04C25">
        <w:rPr>
          <w:rFonts w:ascii="Arial" w:hAnsi="Arial" w:cs="Arial"/>
          <w:sz w:val="24"/>
          <w:szCs w:val="24"/>
        </w:rPr>
        <w:t xml:space="preserve">poklesl počet UoZ na </w:t>
      </w:r>
      <w:r w:rsidRPr="00E04C25">
        <w:rPr>
          <w:rFonts w:ascii="Arial" w:hAnsi="Arial" w:cs="Arial"/>
          <w:b/>
          <w:sz w:val="24"/>
          <w:szCs w:val="24"/>
        </w:rPr>
        <w:t>280,6</w:t>
      </w:r>
      <w:r w:rsidR="00115440" w:rsidRPr="00E04C25">
        <w:rPr>
          <w:rFonts w:ascii="Arial" w:hAnsi="Arial" w:cs="Arial"/>
          <w:b/>
          <w:sz w:val="24"/>
          <w:szCs w:val="24"/>
        </w:rPr>
        <w:t> tis. UoZ</w:t>
      </w:r>
      <w:r w:rsidR="00115440" w:rsidRPr="00E04C25">
        <w:rPr>
          <w:rFonts w:ascii="Arial" w:hAnsi="Arial" w:cs="Arial"/>
          <w:sz w:val="24"/>
          <w:szCs w:val="24"/>
        </w:rPr>
        <w:t xml:space="preserve"> a </w:t>
      </w:r>
      <w:r w:rsidR="00115440" w:rsidRPr="00E04C25">
        <w:rPr>
          <w:rFonts w:ascii="Arial" w:hAnsi="Arial" w:cs="Arial"/>
          <w:b/>
          <w:sz w:val="24"/>
          <w:szCs w:val="24"/>
        </w:rPr>
        <w:t xml:space="preserve">meziroční rozdíl činil </w:t>
      </w:r>
      <w:r w:rsidRPr="00E04C25">
        <w:rPr>
          <w:rFonts w:ascii="Arial" w:hAnsi="Arial" w:cs="Arial"/>
          <w:b/>
          <w:sz w:val="24"/>
          <w:szCs w:val="24"/>
        </w:rPr>
        <w:t>100</w:t>
      </w:r>
      <w:r w:rsidR="00115440" w:rsidRPr="00E04C25">
        <w:rPr>
          <w:rFonts w:ascii="Arial" w:hAnsi="Arial" w:cs="Arial"/>
          <w:b/>
          <w:sz w:val="24"/>
          <w:szCs w:val="24"/>
        </w:rPr>
        <w:t>,8 tis. osob.</w:t>
      </w:r>
      <w:r w:rsidR="00115440" w:rsidRPr="00E04C25">
        <w:rPr>
          <w:rFonts w:ascii="Arial" w:hAnsi="Arial" w:cs="Arial"/>
          <w:sz w:val="24"/>
          <w:szCs w:val="24"/>
        </w:rPr>
        <w:t xml:space="preserve"> Z</w:t>
      </w:r>
      <w:r w:rsidRPr="00E04C25">
        <w:rPr>
          <w:rFonts w:ascii="Arial" w:hAnsi="Arial" w:cs="Arial"/>
          <w:sz w:val="24"/>
          <w:szCs w:val="24"/>
        </w:rPr>
        <w:t xml:space="preserve">rychlení bylo (s výjimkou května a června) </w:t>
      </w:r>
      <w:r w:rsidR="00115440" w:rsidRPr="00E04C25">
        <w:rPr>
          <w:rFonts w:ascii="Arial" w:hAnsi="Arial" w:cs="Arial"/>
          <w:sz w:val="24"/>
          <w:szCs w:val="24"/>
        </w:rPr>
        <w:t xml:space="preserve">patrné </w:t>
      </w:r>
      <w:r w:rsidRPr="00E04C25">
        <w:rPr>
          <w:rFonts w:ascii="Arial" w:hAnsi="Arial" w:cs="Arial"/>
          <w:sz w:val="24"/>
          <w:szCs w:val="24"/>
        </w:rPr>
        <w:t xml:space="preserve">v průběhu celého roku. </w:t>
      </w:r>
    </w:p>
    <w:p w:rsidR="00115440" w:rsidRPr="00E04C25" w:rsidRDefault="00115440" w:rsidP="00300FBD">
      <w:pPr>
        <w:pStyle w:val="Zkladntext213"/>
        <w:widowControl/>
        <w:tabs>
          <w:tab w:val="clear" w:pos="-720"/>
          <w:tab w:val="left" w:pos="900"/>
        </w:tabs>
        <w:suppressAutoHyphens w:val="0"/>
        <w:overflowPunct/>
        <w:autoSpaceDE/>
        <w:adjustRightInd/>
        <w:spacing w:line="240" w:lineRule="auto"/>
        <w:jc w:val="left"/>
        <w:rPr>
          <w:sz w:val="20"/>
        </w:rPr>
      </w:pPr>
      <w:r w:rsidRPr="00E04C25">
        <w:rPr>
          <w:sz w:val="20"/>
        </w:rPr>
        <w:tab/>
      </w:r>
      <w:r w:rsidRPr="00E04C25">
        <w:rPr>
          <w:sz w:val="20"/>
        </w:rPr>
        <w:tab/>
      </w:r>
      <w:r w:rsidRPr="00E04C25">
        <w:rPr>
          <w:sz w:val="20"/>
        </w:rPr>
        <w:tab/>
      </w:r>
      <w:r w:rsidRPr="00E04C25">
        <w:rPr>
          <w:sz w:val="20"/>
        </w:rPr>
        <w:tab/>
      </w:r>
      <w:r w:rsidRPr="00E04C25">
        <w:rPr>
          <w:sz w:val="20"/>
        </w:rPr>
        <w:tab/>
      </w:r>
      <w:r w:rsidRPr="00E04C25">
        <w:rPr>
          <w:sz w:val="20"/>
        </w:rPr>
        <w:tab/>
      </w:r>
      <w:r w:rsidRPr="00E04C25">
        <w:rPr>
          <w:sz w:val="20"/>
        </w:rPr>
        <w:tab/>
      </w:r>
      <w:r w:rsidRPr="00E04C25">
        <w:rPr>
          <w:sz w:val="20"/>
        </w:rPr>
        <w:tab/>
      </w:r>
      <w:r w:rsidRPr="00E04C25">
        <w:rPr>
          <w:sz w:val="20"/>
        </w:rPr>
        <w:tab/>
      </w:r>
      <w:r w:rsidRPr="00E04C25">
        <w:rPr>
          <w:sz w:val="20"/>
        </w:rPr>
        <w:tab/>
      </w:r>
      <w:r w:rsidRPr="00E04C25">
        <w:rPr>
          <w:sz w:val="20"/>
        </w:rPr>
        <w:tab/>
        <w:t>graf č. 2</w:t>
      </w:r>
    </w:p>
    <w:p w:rsidR="00115440" w:rsidRPr="00E04C25" w:rsidRDefault="00093368" w:rsidP="00115440">
      <w:pPr>
        <w:tabs>
          <w:tab w:val="left" w:pos="900"/>
          <w:tab w:val="left" w:pos="1440"/>
        </w:tabs>
        <w:spacing w:line="360" w:lineRule="auto"/>
        <w:jc w:val="center"/>
        <w:rPr>
          <w:rFonts w:ascii="Arial" w:hAnsi="Arial" w:cs="Arial"/>
        </w:rPr>
      </w:pPr>
      <w:r w:rsidRPr="00E04C25">
        <w:rPr>
          <w:noProof/>
        </w:rPr>
        <w:drawing>
          <wp:inline distT="0" distB="0" distL="0" distR="0">
            <wp:extent cx="5238750" cy="3076575"/>
            <wp:effectExtent l="0" t="0" r="19050" b="952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5440" w:rsidRPr="00E04C25" w:rsidRDefault="00115440" w:rsidP="00115440">
      <w:pPr>
        <w:tabs>
          <w:tab w:val="left" w:pos="900"/>
        </w:tabs>
        <w:ind w:firstLine="720"/>
        <w:jc w:val="both"/>
        <w:rPr>
          <w:rFonts w:ascii="Arial" w:hAnsi="Arial" w:cs="Arial"/>
          <w:b/>
          <w:sz w:val="16"/>
          <w:szCs w:val="16"/>
        </w:rPr>
      </w:pPr>
    </w:p>
    <w:p w:rsidR="00973AD8" w:rsidRPr="00E04C25" w:rsidRDefault="00973AD8" w:rsidP="00973AD8">
      <w:pPr>
        <w:tabs>
          <w:tab w:val="left" w:pos="900"/>
        </w:tabs>
        <w:spacing w:line="360" w:lineRule="auto"/>
        <w:ind w:firstLine="567"/>
        <w:jc w:val="both"/>
        <w:rPr>
          <w:rFonts w:ascii="Arial" w:hAnsi="Arial" w:cs="Arial"/>
        </w:rPr>
      </w:pPr>
      <w:r w:rsidRPr="00E04C25">
        <w:rPr>
          <w:rFonts w:ascii="Arial" w:hAnsi="Arial" w:cs="Arial"/>
          <w:b/>
        </w:rPr>
        <w:t xml:space="preserve">Průměrný počet </w:t>
      </w:r>
      <w:r w:rsidRPr="00E04C25">
        <w:rPr>
          <w:rFonts w:ascii="Arial" w:hAnsi="Arial" w:cs="Arial"/>
        </w:rPr>
        <w:t>UoZ</w:t>
      </w:r>
      <w:r w:rsidRPr="00E04C25">
        <w:rPr>
          <w:rFonts w:ascii="Arial" w:hAnsi="Arial" w:cs="Arial"/>
          <w:b/>
        </w:rPr>
        <w:t xml:space="preserve"> v roce 2017 poklesl na </w:t>
      </w:r>
      <w:r w:rsidR="00AE3A39" w:rsidRPr="00E04C25">
        <w:rPr>
          <w:rFonts w:ascii="Arial" w:hAnsi="Arial" w:cs="Arial"/>
          <w:b/>
        </w:rPr>
        <w:t>317</w:t>
      </w:r>
      <w:r w:rsidRPr="00E04C25">
        <w:rPr>
          <w:rFonts w:ascii="Arial" w:hAnsi="Arial" w:cs="Arial"/>
          <w:b/>
          <w:bCs/>
        </w:rPr>
        <w:t>,</w:t>
      </w:r>
      <w:r w:rsidR="00AE3A39" w:rsidRPr="00E04C25">
        <w:rPr>
          <w:rFonts w:ascii="Arial" w:hAnsi="Arial" w:cs="Arial"/>
          <w:b/>
          <w:bCs/>
        </w:rPr>
        <w:t>6</w:t>
      </w:r>
      <w:r w:rsidRPr="00E04C25">
        <w:rPr>
          <w:rFonts w:ascii="Arial" w:hAnsi="Arial" w:cs="Arial"/>
          <w:b/>
          <w:bCs/>
          <w:sz w:val="18"/>
          <w:szCs w:val="18"/>
        </w:rPr>
        <w:t xml:space="preserve"> </w:t>
      </w:r>
      <w:r w:rsidRPr="00E04C25">
        <w:rPr>
          <w:rFonts w:ascii="Arial" w:hAnsi="Arial" w:cs="Arial"/>
          <w:b/>
        </w:rPr>
        <w:t>tis.,</w:t>
      </w:r>
      <w:r w:rsidRPr="00E04C25">
        <w:rPr>
          <w:rFonts w:ascii="Arial" w:hAnsi="Arial" w:cs="Arial"/>
        </w:rPr>
        <w:t xml:space="preserve"> což bylo </w:t>
      </w:r>
      <w:r w:rsidRPr="00E04C25">
        <w:rPr>
          <w:rFonts w:ascii="Arial" w:hAnsi="Arial" w:cs="Arial"/>
          <w:b/>
        </w:rPr>
        <w:t xml:space="preserve">o </w:t>
      </w:r>
      <w:r w:rsidR="00AE3A39" w:rsidRPr="00E04C25">
        <w:rPr>
          <w:rFonts w:ascii="Arial" w:hAnsi="Arial" w:cs="Arial"/>
          <w:b/>
        </w:rPr>
        <w:t>88</w:t>
      </w:r>
      <w:r w:rsidRPr="00E04C25">
        <w:rPr>
          <w:rFonts w:ascii="Arial" w:hAnsi="Arial" w:cs="Arial"/>
          <w:b/>
        </w:rPr>
        <w:t>,</w:t>
      </w:r>
      <w:r w:rsidR="00AE3A39" w:rsidRPr="00E04C25">
        <w:rPr>
          <w:rFonts w:ascii="Arial" w:hAnsi="Arial" w:cs="Arial"/>
          <w:b/>
        </w:rPr>
        <w:t>4</w:t>
      </w:r>
      <w:r w:rsidRPr="00E04C25">
        <w:rPr>
          <w:rFonts w:ascii="Arial" w:hAnsi="Arial" w:cs="Arial"/>
          <w:b/>
        </w:rPr>
        <w:t> tis. méně</w:t>
      </w:r>
      <w:r w:rsidRPr="00E04C25">
        <w:rPr>
          <w:rFonts w:ascii="Arial" w:hAnsi="Arial" w:cs="Arial"/>
        </w:rPr>
        <w:t xml:space="preserve"> </w:t>
      </w:r>
      <w:r w:rsidRPr="00E04C25">
        <w:rPr>
          <w:rFonts w:ascii="Arial" w:hAnsi="Arial" w:cs="Arial"/>
          <w:b/>
        </w:rPr>
        <w:t>než</w:t>
      </w:r>
      <w:r w:rsidRPr="00E04C25">
        <w:rPr>
          <w:rFonts w:ascii="Arial" w:hAnsi="Arial" w:cs="Arial"/>
        </w:rPr>
        <w:t xml:space="preserve"> jejich průměrný počet </w:t>
      </w:r>
      <w:r w:rsidRPr="00E04C25">
        <w:rPr>
          <w:rFonts w:ascii="Arial" w:hAnsi="Arial" w:cs="Arial"/>
          <w:b/>
        </w:rPr>
        <w:t>v roce 201</w:t>
      </w:r>
      <w:r w:rsidR="00AE3A39" w:rsidRPr="00E04C25">
        <w:rPr>
          <w:rFonts w:ascii="Arial" w:hAnsi="Arial" w:cs="Arial"/>
          <w:b/>
        </w:rPr>
        <w:t>6</w:t>
      </w:r>
      <w:r w:rsidRPr="00E04C25">
        <w:rPr>
          <w:rFonts w:ascii="Arial" w:hAnsi="Arial" w:cs="Arial"/>
        </w:rPr>
        <w:t xml:space="preserve">. </w:t>
      </w:r>
      <w:r w:rsidRPr="00E04C25">
        <w:rPr>
          <w:rFonts w:ascii="Arial" w:hAnsi="Arial" w:cs="Arial"/>
          <w:b/>
        </w:rPr>
        <w:t>D</w:t>
      </w:r>
      <w:r w:rsidRPr="00E04C25">
        <w:rPr>
          <w:rFonts w:ascii="Arial" w:hAnsi="Arial" w:cs="Arial"/>
          <w:b/>
          <w:bCs/>
        </w:rPr>
        <w:t>osažitelných</w:t>
      </w:r>
      <w:r w:rsidRPr="00E04C25">
        <w:rPr>
          <w:rFonts w:ascii="Arial" w:hAnsi="Arial" w:cs="Arial"/>
        </w:rPr>
        <w:t xml:space="preserve"> </w:t>
      </w:r>
      <w:r w:rsidRPr="00E04C25">
        <w:rPr>
          <w:rFonts w:ascii="Arial" w:hAnsi="Arial" w:cs="Arial"/>
          <w:b/>
        </w:rPr>
        <w:t>uchazečů o zaměstnání</w:t>
      </w:r>
      <w:r w:rsidRPr="00E04C25">
        <w:rPr>
          <w:rFonts w:ascii="Arial" w:hAnsi="Arial" w:cs="Arial"/>
        </w:rPr>
        <w:t xml:space="preserve"> </w:t>
      </w:r>
      <w:r w:rsidRPr="00E04C25">
        <w:rPr>
          <w:rFonts w:ascii="Arial" w:hAnsi="Arial" w:cs="Arial"/>
          <w:b/>
        </w:rPr>
        <w:t>ve věku 15</w:t>
      </w:r>
      <w:r w:rsidR="00AE3A39" w:rsidRPr="00E04C25">
        <w:rPr>
          <w:rFonts w:ascii="Arial" w:hAnsi="Arial" w:cs="Arial"/>
          <w:b/>
        </w:rPr>
        <w:t>-</w:t>
      </w:r>
      <w:r w:rsidRPr="00E04C25">
        <w:rPr>
          <w:rFonts w:ascii="Arial" w:hAnsi="Arial" w:cs="Arial"/>
          <w:b/>
        </w:rPr>
        <w:t>64 let</w:t>
      </w:r>
      <w:r w:rsidRPr="00E04C25">
        <w:rPr>
          <w:rFonts w:ascii="Arial" w:hAnsi="Arial" w:cs="Arial"/>
        </w:rPr>
        <w:t xml:space="preserve">, rozhodujících </w:t>
      </w:r>
      <w:r w:rsidRPr="00E04C25">
        <w:rPr>
          <w:rFonts w:ascii="Arial" w:hAnsi="Arial" w:cs="Arial"/>
          <w:b/>
        </w:rPr>
        <w:t>pro výpočet podílu nezaměstnaných osob </w:t>
      </w:r>
      <w:r w:rsidRPr="00E04C25">
        <w:rPr>
          <w:rStyle w:val="Znakapoznpodarou"/>
        </w:rPr>
        <w:footnoteReference w:id="4"/>
      </w:r>
      <w:r w:rsidRPr="00E04C25">
        <w:rPr>
          <w:rFonts w:ascii="Arial" w:hAnsi="Arial" w:cs="Arial"/>
        </w:rPr>
        <w:t xml:space="preserve">, bylo </w:t>
      </w:r>
      <w:r w:rsidR="00AE3A39" w:rsidRPr="00E04C25">
        <w:rPr>
          <w:rFonts w:ascii="Arial" w:hAnsi="Arial" w:cs="Arial"/>
          <w:b/>
        </w:rPr>
        <w:t>294,9</w:t>
      </w:r>
      <w:r w:rsidRPr="00E04C25">
        <w:rPr>
          <w:rFonts w:ascii="Arial" w:hAnsi="Arial" w:cs="Arial"/>
          <w:b/>
        </w:rPr>
        <w:t> tis</w:t>
      </w:r>
      <w:r w:rsidRPr="00E04C25">
        <w:rPr>
          <w:rFonts w:ascii="Arial" w:hAnsi="Arial" w:cs="Arial"/>
        </w:rPr>
        <w:t xml:space="preserve">., tj. méně </w:t>
      </w:r>
      <w:r w:rsidRPr="00E04C25">
        <w:rPr>
          <w:rFonts w:ascii="Arial" w:hAnsi="Arial" w:cs="Arial"/>
          <w:b/>
        </w:rPr>
        <w:t xml:space="preserve">o </w:t>
      </w:r>
      <w:r w:rsidR="00AE3A39" w:rsidRPr="00E04C25">
        <w:rPr>
          <w:rFonts w:ascii="Arial" w:hAnsi="Arial" w:cs="Arial"/>
          <w:b/>
        </w:rPr>
        <w:t>92</w:t>
      </w:r>
      <w:r w:rsidRPr="00E04C25">
        <w:rPr>
          <w:rFonts w:ascii="Arial" w:hAnsi="Arial" w:cs="Arial"/>
          <w:b/>
        </w:rPr>
        <w:t>,</w:t>
      </w:r>
      <w:r w:rsidR="00AE3A39" w:rsidRPr="00E04C25">
        <w:rPr>
          <w:rFonts w:ascii="Arial" w:hAnsi="Arial" w:cs="Arial"/>
          <w:b/>
        </w:rPr>
        <w:t>3</w:t>
      </w:r>
      <w:r w:rsidRPr="00E04C25">
        <w:rPr>
          <w:rFonts w:ascii="Arial" w:hAnsi="Arial" w:cs="Arial"/>
        </w:rPr>
        <w:t> </w:t>
      </w:r>
      <w:r w:rsidRPr="00E04C25">
        <w:rPr>
          <w:rFonts w:ascii="Arial" w:hAnsi="Arial" w:cs="Arial"/>
          <w:b/>
        </w:rPr>
        <w:t>tis.</w:t>
      </w:r>
      <w:r w:rsidRPr="00E04C25">
        <w:rPr>
          <w:rFonts w:ascii="Arial" w:hAnsi="Arial" w:cs="Arial"/>
        </w:rPr>
        <w:t xml:space="preserve">  </w:t>
      </w:r>
    </w:p>
    <w:p w:rsidR="007E14D3" w:rsidRPr="00E04C25" w:rsidRDefault="00115440" w:rsidP="00115440">
      <w:pPr>
        <w:tabs>
          <w:tab w:val="left" w:pos="900"/>
        </w:tabs>
        <w:spacing w:line="360" w:lineRule="auto"/>
        <w:ind w:firstLine="567"/>
        <w:jc w:val="both"/>
        <w:rPr>
          <w:rFonts w:ascii="Arial" w:hAnsi="Arial" w:cs="Arial"/>
          <w:b/>
          <w:bCs/>
        </w:rPr>
      </w:pPr>
      <w:r w:rsidRPr="00E04C25">
        <w:rPr>
          <w:rFonts w:ascii="Arial" w:hAnsi="Arial" w:cs="Arial"/>
          <w:bCs/>
        </w:rPr>
        <w:t>Z</w:t>
      </w:r>
      <w:r w:rsidR="00AE3A39" w:rsidRPr="00E04C25">
        <w:rPr>
          <w:rFonts w:ascii="Arial" w:hAnsi="Arial" w:cs="Arial"/>
          <w:bCs/>
        </w:rPr>
        <w:t>rychlení</w:t>
      </w:r>
      <w:r w:rsidRPr="00E04C25">
        <w:rPr>
          <w:rFonts w:ascii="Arial" w:hAnsi="Arial" w:cs="Arial"/>
          <w:bCs/>
        </w:rPr>
        <w:t xml:space="preserve"> poklesu nezaměstnanosti je patrné i z vývoje </w:t>
      </w:r>
      <w:r w:rsidRPr="00E04C25">
        <w:rPr>
          <w:rFonts w:ascii="Arial" w:hAnsi="Arial" w:cs="Arial"/>
          <w:b/>
          <w:bCs/>
        </w:rPr>
        <w:t xml:space="preserve">podílu nezaměstnaných osob </w:t>
      </w:r>
      <w:r w:rsidRPr="00E04C25">
        <w:rPr>
          <w:rFonts w:ascii="Arial" w:hAnsi="Arial" w:cs="Arial"/>
          <w:bCs/>
        </w:rPr>
        <w:t>(PNO)</w:t>
      </w:r>
      <w:r w:rsidRPr="00E04C25">
        <w:rPr>
          <w:rFonts w:ascii="Arial" w:hAnsi="Arial" w:cs="Arial"/>
          <w:b/>
          <w:bCs/>
        </w:rPr>
        <w:t xml:space="preserve">, </w:t>
      </w:r>
      <w:r w:rsidRPr="00E04C25">
        <w:rPr>
          <w:rFonts w:ascii="Arial" w:hAnsi="Arial" w:cs="Arial"/>
          <w:bCs/>
        </w:rPr>
        <w:t>který měl na konci roku 201</w:t>
      </w:r>
      <w:r w:rsidR="00AE3A39" w:rsidRPr="00E04C25">
        <w:rPr>
          <w:rFonts w:ascii="Arial" w:hAnsi="Arial" w:cs="Arial"/>
          <w:bCs/>
        </w:rPr>
        <w:t>6</w:t>
      </w:r>
      <w:r w:rsidRPr="00E04C25">
        <w:rPr>
          <w:rFonts w:ascii="Arial" w:hAnsi="Arial" w:cs="Arial"/>
          <w:bCs/>
        </w:rPr>
        <w:t xml:space="preserve"> hodnotu </w:t>
      </w:r>
      <w:r w:rsidR="00AE3A39" w:rsidRPr="00E04C25">
        <w:rPr>
          <w:rFonts w:ascii="Arial" w:hAnsi="Arial" w:cs="Arial"/>
          <w:bCs/>
        </w:rPr>
        <w:t>5</w:t>
      </w:r>
      <w:r w:rsidRPr="00E04C25">
        <w:rPr>
          <w:rFonts w:ascii="Arial" w:hAnsi="Arial" w:cs="Arial"/>
          <w:bCs/>
        </w:rPr>
        <w:t>,2 % (o 1,</w:t>
      </w:r>
      <w:r w:rsidR="00AE3A39" w:rsidRPr="00E04C25">
        <w:rPr>
          <w:rFonts w:ascii="Arial" w:hAnsi="Arial" w:cs="Arial"/>
          <w:bCs/>
        </w:rPr>
        <w:t>0</w:t>
      </w:r>
      <w:r w:rsidRPr="00E04C25">
        <w:rPr>
          <w:rFonts w:ascii="Arial" w:hAnsi="Arial" w:cs="Arial"/>
          <w:bCs/>
        </w:rPr>
        <w:t> p. b. méně než na konci roku 201</w:t>
      </w:r>
      <w:r w:rsidR="00AE3A39" w:rsidRPr="00E04C25">
        <w:rPr>
          <w:rFonts w:ascii="Arial" w:hAnsi="Arial" w:cs="Arial"/>
          <w:bCs/>
        </w:rPr>
        <w:t>5</w:t>
      </w:r>
      <w:r w:rsidRPr="00E04C25">
        <w:rPr>
          <w:rFonts w:ascii="Arial" w:hAnsi="Arial" w:cs="Arial"/>
          <w:bCs/>
        </w:rPr>
        <w:t>), a k 31. 12. 201</w:t>
      </w:r>
      <w:r w:rsidR="00AE3A39" w:rsidRPr="00E04C25">
        <w:rPr>
          <w:rFonts w:ascii="Arial" w:hAnsi="Arial" w:cs="Arial"/>
          <w:bCs/>
        </w:rPr>
        <w:t>7</w:t>
      </w:r>
      <w:r w:rsidRPr="00E04C25">
        <w:rPr>
          <w:rFonts w:ascii="Arial" w:hAnsi="Arial" w:cs="Arial"/>
          <w:bCs/>
        </w:rPr>
        <w:t xml:space="preserve"> </w:t>
      </w:r>
      <w:r w:rsidRPr="00E04C25">
        <w:rPr>
          <w:rFonts w:ascii="Arial" w:hAnsi="Arial" w:cs="Arial"/>
          <w:b/>
          <w:bCs/>
        </w:rPr>
        <w:t xml:space="preserve">poklesl na </w:t>
      </w:r>
      <w:r w:rsidR="00AE3A39" w:rsidRPr="00E04C25">
        <w:rPr>
          <w:rFonts w:ascii="Arial" w:hAnsi="Arial" w:cs="Arial"/>
          <w:b/>
          <w:bCs/>
        </w:rPr>
        <w:t>3</w:t>
      </w:r>
      <w:r w:rsidRPr="00E04C25">
        <w:rPr>
          <w:rFonts w:ascii="Arial" w:hAnsi="Arial" w:cs="Arial"/>
          <w:b/>
          <w:bCs/>
        </w:rPr>
        <w:t>,</w:t>
      </w:r>
      <w:r w:rsidR="00AE3A39" w:rsidRPr="00E04C25">
        <w:rPr>
          <w:rFonts w:ascii="Arial" w:hAnsi="Arial" w:cs="Arial"/>
          <w:b/>
          <w:bCs/>
        </w:rPr>
        <w:t>8</w:t>
      </w:r>
      <w:r w:rsidRPr="00E04C25">
        <w:rPr>
          <w:rFonts w:ascii="Arial" w:hAnsi="Arial" w:cs="Arial"/>
          <w:b/>
          <w:bCs/>
        </w:rPr>
        <w:t> %</w:t>
      </w:r>
      <w:r w:rsidRPr="00E04C25">
        <w:rPr>
          <w:rFonts w:ascii="Arial" w:hAnsi="Arial" w:cs="Arial"/>
          <w:bCs/>
        </w:rPr>
        <w:t xml:space="preserve">, </w:t>
      </w:r>
      <w:r w:rsidR="00AE3A39" w:rsidRPr="00E04C25">
        <w:rPr>
          <w:rFonts w:ascii="Arial" w:hAnsi="Arial" w:cs="Arial"/>
          <w:bCs/>
        </w:rPr>
        <w:t>a </w:t>
      </w:r>
      <w:r w:rsidRPr="00E04C25">
        <w:rPr>
          <w:rFonts w:ascii="Arial" w:hAnsi="Arial" w:cs="Arial"/>
          <w:b/>
          <w:bCs/>
        </w:rPr>
        <w:t>meziroční rozdíl</w:t>
      </w:r>
      <w:r w:rsidRPr="00E04C25">
        <w:rPr>
          <w:rFonts w:ascii="Arial" w:hAnsi="Arial" w:cs="Arial"/>
          <w:bCs/>
        </w:rPr>
        <w:t xml:space="preserve"> </w:t>
      </w:r>
      <w:r w:rsidR="00AE3A39" w:rsidRPr="00E04C25">
        <w:rPr>
          <w:rFonts w:ascii="Arial" w:hAnsi="Arial" w:cs="Arial"/>
          <w:bCs/>
        </w:rPr>
        <w:t>dosáhl</w:t>
      </w:r>
      <w:r w:rsidRPr="00E04C25">
        <w:rPr>
          <w:rFonts w:ascii="Arial" w:hAnsi="Arial" w:cs="Arial"/>
          <w:bCs/>
        </w:rPr>
        <w:t xml:space="preserve"> </w:t>
      </w:r>
      <w:r w:rsidRPr="00E04C25">
        <w:rPr>
          <w:rFonts w:ascii="Arial" w:hAnsi="Arial" w:cs="Arial"/>
          <w:b/>
          <w:bCs/>
        </w:rPr>
        <w:t>1,</w:t>
      </w:r>
      <w:r w:rsidR="00AE3A39" w:rsidRPr="00E04C25">
        <w:rPr>
          <w:rFonts w:ascii="Arial" w:hAnsi="Arial" w:cs="Arial"/>
          <w:b/>
          <w:bCs/>
        </w:rPr>
        <w:t>4</w:t>
      </w:r>
      <w:r w:rsidRPr="00E04C25">
        <w:rPr>
          <w:rFonts w:ascii="Arial" w:hAnsi="Arial" w:cs="Arial"/>
          <w:b/>
          <w:bCs/>
        </w:rPr>
        <w:t> p. b</w:t>
      </w:r>
      <w:r w:rsidRPr="00E04C25">
        <w:rPr>
          <w:rFonts w:ascii="Arial" w:hAnsi="Arial" w:cs="Arial"/>
          <w:bCs/>
        </w:rPr>
        <w:t xml:space="preserve">. </w:t>
      </w:r>
      <w:r w:rsidRPr="00E04C25">
        <w:rPr>
          <w:rFonts w:ascii="Arial" w:hAnsi="Arial" w:cs="Arial"/>
          <w:b/>
          <w:bCs/>
        </w:rPr>
        <w:t xml:space="preserve">Průměrný PNO </w:t>
      </w:r>
      <w:r w:rsidRPr="00E04C25">
        <w:rPr>
          <w:rFonts w:ascii="Arial" w:hAnsi="Arial" w:cs="Arial"/>
          <w:bCs/>
        </w:rPr>
        <w:t xml:space="preserve">se </w:t>
      </w:r>
      <w:r w:rsidRPr="00E04C25">
        <w:rPr>
          <w:rFonts w:ascii="Arial" w:hAnsi="Arial" w:cs="Arial"/>
          <w:b/>
          <w:bCs/>
        </w:rPr>
        <w:t>v roce 201</w:t>
      </w:r>
      <w:r w:rsidR="00AE3A39" w:rsidRPr="00E04C25">
        <w:rPr>
          <w:rFonts w:ascii="Arial" w:hAnsi="Arial" w:cs="Arial"/>
          <w:b/>
          <w:bCs/>
        </w:rPr>
        <w:t>7</w:t>
      </w:r>
      <w:r w:rsidRPr="00E04C25">
        <w:rPr>
          <w:rFonts w:ascii="Arial" w:hAnsi="Arial" w:cs="Arial"/>
          <w:b/>
          <w:bCs/>
        </w:rPr>
        <w:t xml:space="preserve"> snížil na </w:t>
      </w:r>
      <w:r w:rsidR="00AE3A39" w:rsidRPr="00E04C25">
        <w:rPr>
          <w:rFonts w:ascii="Arial" w:hAnsi="Arial" w:cs="Arial"/>
          <w:b/>
          <w:bCs/>
        </w:rPr>
        <w:t>4</w:t>
      </w:r>
      <w:r w:rsidRPr="00E04C25">
        <w:rPr>
          <w:rFonts w:ascii="Arial" w:hAnsi="Arial" w:cs="Arial"/>
          <w:b/>
          <w:bCs/>
        </w:rPr>
        <w:t>,</w:t>
      </w:r>
      <w:r w:rsidR="00AE3A39" w:rsidRPr="00E04C25">
        <w:rPr>
          <w:rFonts w:ascii="Arial" w:hAnsi="Arial" w:cs="Arial"/>
          <w:b/>
          <w:bCs/>
        </w:rPr>
        <w:t>3</w:t>
      </w:r>
      <w:r w:rsidRPr="00E04C25">
        <w:rPr>
          <w:rFonts w:ascii="Arial" w:hAnsi="Arial" w:cs="Arial"/>
          <w:b/>
          <w:bCs/>
        </w:rPr>
        <w:t xml:space="preserve"> %, </w:t>
      </w:r>
      <w:r w:rsidRPr="00E04C25">
        <w:rPr>
          <w:rFonts w:ascii="Arial" w:hAnsi="Arial" w:cs="Arial"/>
          <w:bCs/>
        </w:rPr>
        <w:t>t</w:t>
      </w:r>
      <w:r w:rsidR="00AE3A39" w:rsidRPr="00E04C25">
        <w:rPr>
          <w:rFonts w:ascii="Arial" w:hAnsi="Arial" w:cs="Arial"/>
          <w:bCs/>
        </w:rPr>
        <w:t>j.</w:t>
      </w:r>
      <w:r w:rsidRPr="00E04C25">
        <w:rPr>
          <w:rFonts w:ascii="Arial" w:hAnsi="Arial" w:cs="Arial"/>
          <w:bCs/>
        </w:rPr>
        <w:t xml:space="preserve"> </w:t>
      </w:r>
      <w:r w:rsidRPr="00E04C25">
        <w:rPr>
          <w:rFonts w:ascii="Arial" w:hAnsi="Arial" w:cs="Arial"/>
          <w:b/>
          <w:bCs/>
        </w:rPr>
        <w:t>o 1,</w:t>
      </w:r>
      <w:r w:rsidR="00AE3A39" w:rsidRPr="00E04C25">
        <w:rPr>
          <w:rFonts w:ascii="Arial" w:hAnsi="Arial" w:cs="Arial"/>
          <w:b/>
          <w:bCs/>
        </w:rPr>
        <w:t>3</w:t>
      </w:r>
      <w:r w:rsidRPr="00E04C25">
        <w:rPr>
          <w:rFonts w:ascii="Arial" w:hAnsi="Arial" w:cs="Arial"/>
          <w:b/>
          <w:bCs/>
        </w:rPr>
        <w:t xml:space="preserve"> p. b. </w:t>
      </w:r>
    </w:p>
    <w:p w:rsidR="00115440" w:rsidRPr="00E04C25" w:rsidRDefault="007E14D3" w:rsidP="007E14D3">
      <w:pPr>
        <w:tabs>
          <w:tab w:val="left" w:pos="567"/>
        </w:tabs>
        <w:spacing w:line="360" w:lineRule="auto"/>
        <w:ind w:firstLine="567"/>
        <w:jc w:val="both"/>
        <w:rPr>
          <w:rFonts w:ascii="Arial" w:hAnsi="Arial" w:cs="Arial"/>
          <w:bCs/>
        </w:rPr>
      </w:pPr>
      <w:r w:rsidRPr="00E04C25">
        <w:rPr>
          <w:rFonts w:ascii="Arial" w:hAnsi="Arial" w:cs="Arial"/>
          <w:bCs/>
        </w:rPr>
        <w:lastRenderedPageBreak/>
        <w:t>Pokles PNO kromě poklesu počtu uchazečů o zaměstnání ovlivnil také počet a podíl dosažitelných uchazečů o zaměstnání, kteří t</w:t>
      </w:r>
      <w:r w:rsidRPr="00E04C25">
        <w:rPr>
          <w:rFonts w:ascii="Arial" w:hAnsi="Arial" w:cs="Arial"/>
        </w:rPr>
        <w:t xml:space="preserve">vořili 92,3 % všech uchazečů o zaměstnání (zatímco před rokem to bylo 95,4 %). Přibylo zejména těch, kteří jsou nedosažitelní z důvodu práceneschopnosti. Opačným směrem na vývoj PNO </w:t>
      </w:r>
      <w:r w:rsidRPr="00E04C25">
        <w:rPr>
          <w:rFonts w:ascii="Arial" w:hAnsi="Arial" w:cs="Arial"/>
          <w:bCs/>
        </w:rPr>
        <w:t>působil pokles počtu obyvatel ve věku 15-64 let (mezi prosincem 2016 a prosincem 2017 o</w:t>
      </w:r>
      <w:r w:rsidR="00453100">
        <w:rPr>
          <w:rFonts w:ascii="Arial" w:hAnsi="Arial" w:cs="Arial"/>
          <w:bCs/>
        </w:rPr>
        <w:t> </w:t>
      </w:r>
      <w:r w:rsidRPr="00E04C25">
        <w:rPr>
          <w:rFonts w:ascii="Arial" w:hAnsi="Arial" w:cs="Arial"/>
          <w:bCs/>
        </w:rPr>
        <w:t xml:space="preserve">cca 0,7 %). Vliv těchto faktorů je zanedbatelný (rozdíl PNO by činil odhadem cca 0,1 p. b.). </w:t>
      </w:r>
    </w:p>
    <w:p w:rsidR="00115440" w:rsidRPr="00E04C25" w:rsidRDefault="00115440" w:rsidP="00115440">
      <w:pPr>
        <w:tabs>
          <w:tab w:val="left" w:pos="900"/>
        </w:tabs>
        <w:ind w:firstLine="567"/>
        <w:jc w:val="both"/>
        <w:rPr>
          <w:rFonts w:ascii="Arial" w:hAnsi="Arial" w:cs="Arial"/>
          <w:sz w:val="16"/>
          <w:szCs w:val="16"/>
        </w:rPr>
      </w:pPr>
    </w:p>
    <w:p w:rsidR="00115440" w:rsidRPr="00E04C25" w:rsidRDefault="00115440" w:rsidP="00115440">
      <w:pPr>
        <w:tabs>
          <w:tab w:val="left" w:pos="900"/>
        </w:tabs>
        <w:spacing w:line="276" w:lineRule="auto"/>
        <w:ind w:firstLine="567"/>
        <w:jc w:val="both"/>
        <w:rPr>
          <w:rFonts w:ascii="Arial" w:hAnsi="Arial" w:cs="Arial"/>
          <w:i/>
          <w:sz w:val="22"/>
          <w:szCs w:val="22"/>
        </w:rPr>
      </w:pPr>
      <w:r w:rsidRPr="00E04C25">
        <w:rPr>
          <w:rFonts w:ascii="Arial" w:hAnsi="Arial" w:cs="Arial"/>
          <w:i/>
          <w:sz w:val="22"/>
          <w:szCs w:val="22"/>
        </w:rPr>
        <w:t>Při srovnávání nezaměstnanosti podle výsledků VŠPS podle metodiky ILO (meziroční pokles nezaměstnaných o 5</w:t>
      </w:r>
      <w:r w:rsidR="00D570FF" w:rsidRPr="00E04C25">
        <w:rPr>
          <w:rFonts w:ascii="Arial" w:hAnsi="Arial" w:cs="Arial"/>
          <w:i/>
          <w:sz w:val="22"/>
          <w:szCs w:val="22"/>
        </w:rPr>
        <w:t>5</w:t>
      </w:r>
      <w:r w:rsidRPr="00E04C25">
        <w:rPr>
          <w:rFonts w:ascii="Arial" w:hAnsi="Arial" w:cs="Arial"/>
          <w:i/>
          <w:sz w:val="22"/>
          <w:szCs w:val="22"/>
        </w:rPr>
        <w:t>,</w:t>
      </w:r>
      <w:r w:rsidR="00D570FF" w:rsidRPr="00E04C25">
        <w:rPr>
          <w:rFonts w:ascii="Arial" w:hAnsi="Arial" w:cs="Arial"/>
          <w:i/>
          <w:sz w:val="22"/>
          <w:szCs w:val="22"/>
        </w:rPr>
        <w:t>9</w:t>
      </w:r>
      <w:r w:rsidRPr="00E04C25">
        <w:rPr>
          <w:rFonts w:ascii="Arial" w:hAnsi="Arial" w:cs="Arial"/>
          <w:i/>
          <w:sz w:val="22"/>
          <w:szCs w:val="22"/>
        </w:rPr>
        <w:t xml:space="preserve"> tis.na </w:t>
      </w:r>
      <w:r w:rsidR="00D570FF" w:rsidRPr="00E04C25">
        <w:rPr>
          <w:rFonts w:ascii="Arial" w:hAnsi="Arial" w:cs="Arial"/>
          <w:i/>
          <w:sz w:val="22"/>
          <w:szCs w:val="22"/>
        </w:rPr>
        <w:t>155</w:t>
      </w:r>
      <w:r w:rsidRPr="00E04C25">
        <w:rPr>
          <w:rFonts w:ascii="Arial" w:hAnsi="Arial" w:cs="Arial"/>
          <w:i/>
          <w:sz w:val="22"/>
          <w:szCs w:val="22"/>
        </w:rPr>
        <w:t>,</w:t>
      </w:r>
      <w:r w:rsidR="00D570FF" w:rsidRPr="00E04C25">
        <w:rPr>
          <w:rFonts w:ascii="Arial" w:hAnsi="Arial" w:cs="Arial"/>
          <w:i/>
          <w:sz w:val="22"/>
          <w:szCs w:val="22"/>
        </w:rPr>
        <w:t>5</w:t>
      </w:r>
      <w:r w:rsidRPr="00E04C25">
        <w:rPr>
          <w:rFonts w:ascii="Arial" w:hAnsi="Arial" w:cs="Arial"/>
          <w:i/>
          <w:sz w:val="22"/>
          <w:szCs w:val="22"/>
        </w:rPr>
        <w:t xml:space="preserve"> tis., míra nezaměstnanosti </w:t>
      </w:r>
      <w:r w:rsidR="00D570FF" w:rsidRPr="00E04C25">
        <w:rPr>
          <w:rFonts w:ascii="Arial" w:hAnsi="Arial" w:cs="Arial"/>
          <w:i/>
          <w:sz w:val="22"/>
          <w:szCs w:val="22"/>
        </w:rPr>
        <w:t>2</w:t>
      </w:r>
      <w:r w:rsidRPr="00E04C25">
        <w:rPr>
          <w:rFonts w:ascii="Arial" w:hAnsi="Arial" w:cs="Arial"/>
          <w:i/>
          <w:sz w:val="22"/>
          <w:szCs w:val="22"/>
        </w:rPr>
        <w:t>,</w:t>
      </w:r>
      <w:r w:rsidR="00D570FF" w:rsidRPr="00E04C25">
        <w:rPr>
          <w:rFonts w:ascii="Arial" w:hAnsi="Arial" w:cs="Arial"/>
          <w:i/>
          <w:sz w:val="22"/>
          <w:szCs w:val="22"/>
        </w:rPr>
        <w:t>9</w:t>
      </w:r>
      <w:r w:rsidRPr="00E04C25">
        <w:rPr>
          <w:rFonts w:ascii="Arial" w:hAnsi="Arial" w:cs="Arial"/>
          <w:i/>
          <w:sz w:val="22"/>
          <w:szCs w:val="22"/>
        </w:rPr>
        <w:t> %) a registrované nezaměstnanosti (meziroční pokles průměrného počtu uchazečů o zaměstnání o </w:t>
      </w:r>
      <w:r w:rsidR="00D570FF" w:rsidRPr="00E04C25">
        <w:rPr>
          <w:rFonts w:ascii="Arial" w:hAnsi="Arial" w:cs="Arial"/>
          <w:i/>
          <w:sz w:val="22"/>
          <w:szCs w:val="22"/>
        </w:rPr>
        <w:t>88</w:t>
      </w:r>
      <w:r w:rsidRPr="00E04C25">
        <w:rPr>
          <w:rFonts w:ascii="Arial" w:hAnsi="Arial" w:cs="Arial"/>
          <w:i/>
          <w:sz w:val="22"/>
          <w:szCs w:val="22"/>
        </w:rPr>
        <w:t>,</w:t>
      </w:r>
      <w:r w:rsidR="00D570FF" w:rsidRPr="00E04C25">
        <w:rPr>
          <w:rFonts w:ascii="Arial" w:hAnsi="Arial" w:cs="Arial"/>
          <w:i/>
          <w:sz w:val="22"/>
          <w:szCs w:val="22"/>
        </w:rPr>
        <w:t>4</w:t>
      </w:r>
      <w:r w:rsidRPr="00E04C25">
        <w:rPr>
          <w:rFonts w:ascii="Arial" w:hAnsi="Arial" w:cs="Arial"/>
          <w:i/>
          <w:sz w:val="22"/>
          <w:szCs w:val="22"/>
        </w:rPr>
        <w:t xml:space="preserve"> tis. na </w:t>
      </w:r>
      <w:r w:rsidR="00D570FF" w:rsidRPr="00E04C25">
        <w:rPr>
          <w:rFonts w:ascii="Arial" w:hAnsi="Arial" w:cs="Arial"/>
          <w:i/>
          <w:sz w:val="22"/>
          <w:szCs w:val="22"/>
        </w:rPr>
        <w:t>317,6</w:t>
      </w:r>
      <w:r w:rsidRPr="00E04C25">
        <w:rPr>
          <w:rFonts w:ascii="Arial" w:hAnsi="Arial" w:cs="Arial"/>
          <w:i/>
          <w:sz w:val="22"/>
          <w:szCs w:val="22"/>
        </w:rPr>
        <w:t xml:space="preserve"> tis., PNO </w:t>
      </w:r>
      <w:r w:rsidR="00D570FF" w:rsidRPr="00E04C25">
        <w:rPr>
          <w:rFonts w:ascii="Arial" w:hAnsi="Arial" w:cs="Arial"/>
          <w:i/>
          <w:sz w:val="22"/>
          <w:szCs w:val="22"/>
        </w:rPr>
        <w:t>4</w:t>
      </w:r>
      <w:r w:rsidRPr="00E04C25">
        <w:rPr>
          <w:rFonts w:ascii="Arial" w:hAnsi="Arial" w:cs="Arial"/>
          <w:i/>
          <w:sz w:val="22"/>
          <w:szCs w:val="22"/>
        </w:rPr>
        <w:t>,</w:t>
      </w:r>
      <w:r w:rsidR="00D570FF" w:rsidRPr="00E04C25">
        <w:rPr>
          <w:rFonts w:ascii="Arial" w:hAnsi="Arial" w:cs="Arial"/>
          <w:i/>
          <w:sz w:val="22"/>
          <w:szCs w:val="22"/>
        </w:rPr>
        <w:t>3</w:t>
      </w:r>
      <w:r w:rsidRPr="00E04C25">
        <w:rPr>
          <w:rFonts w:ascii="Arial" w:hAnsi="Arial" w:cs="Arial"/>
          <w:i/>
          <w:sz w:val="22"/>
          <w:szCs w:val="22"/>
        </w:rPr>
        <w:t xml:space="preserve"> %) se projevily rozdíly vyplývající z  definice těchto ukazatelů. V případě absolutní hodnoty nezaměstnanosti byl rozdíl ovlivněn zejména uchazeči o zaměstnání s tzv. nekolidujícím zaměstnáním, v rámci VŠPS jsou považováni za zaměstnané, nebo uchazeči z řad studentů soustavně se připravujících na budoucí povolání, kteří jsou v rámci VŠPS ekonomicky neaktivní (podrobněji viz Metodické poznámky). </w:t>
      </w:r>
    </w:p>
    <w:p w:rsidR="00115440" w:rsidRPr="00E04C25" w:rsidRDefault="00115440" w:rsidP="00115440">
      <w:pPr>
        <w:tabs>
          <w:tab w:val="left" w:pos="900"/>
        </w:tabs>
        <w:spacing w:line="276" w:lineRule="auto"/>
        <w:ind w:firstLine="567"/>
        <w:jc w:val="both"/>
        <w:rPr>
          <w:rFonts w:ascii="Arial" w:hAnsi="Arial" w:cs="Arial"/>
          <w:b/>
          <w:sz w:val="16"/>
          <w:szCs w:val="16"/>
        </w:rPr>
      </w:pPr>
    </w:p>
    <w:p w:rsidR="00115440" w:rsidRPr="00E04C25" w:rsidRDefault="00115440" w:rsidP="00115440">
      <w:pPr>
        <w:tabs>
          <w:tab w:val="left" w:pos="900"/>
        </w:tabs>
        <w:jc w:val="center"/>
        <w:rPr>
          <w:rFonts w:ascii="Arial" w:hAnsi="Arial" w:cs="Arial"/>
          <w:b/>
        </w:rPr>
      </w:pPr>
      <w:r w:rsidRPr="00E04C25">
        <w:rPr>
          <w:rFonts w:ascii="Arial" w:hAnsi="Arial" w:cs="Arial"/>
          <w:b/>
        </w:rPr>
        <w:t>Uchazeči o zaměstnání, volná místa a podíl nezaměstnaných osob</w:t>
      </w:r>
    </w:p>
    <w:p w:rsidR="00115440" w:rsidRPr="00E04C25" w:rsidRDefault="00115440" w:rsidP="00115440">
      <w:pPr>
        <w:tabs>
          <w:tab w:val="left" w:pos="900"/>
        </w:tabs>
        <w:jc w:val="right"/>
        <w:rPr>
          <w:rFonts w:ascii="Arial" w:hAnsi="Arial" w:cs="Arial"/>
          <w:sz w:val="20"/>
          <w:szCs w:val="20"/>
        </w:rPr>
      </w:pPr>
      <w:r w:rsidRPr="00E04C25">
        <w:rPr>
          <w:rFonts w:ascii="Arial" w:hAnsi="Arial" w:cs="Arial"/>
          <w:sz w:val="20"/>
          <w:szCs w:val="20"/>
        </w:rPr>
        <w:t>tab. č. 1</w:t>
      </w:r>
      <w:r w:rsidR="00310BFB" w:rsidRPr="00E04C25">
        <w:rPr>
          <w:rFonts w:ascii="Arial" w:hAnsi="Arial" w:cs="Arial"/>
          <w:sz w:val="20"/>
          <w:szCs w:val="20"/>
        </w:rPr>
        <w:t>5</w:t>
      </w:r>
    </w:p>
    <w:tbl>
      <w:tblPr>
        <w:tblW w:w="11512" w:type="dxa"/>
        <w:tblInd w:w="70" w:type="dxa"/>
        <w:tblLayout w:type="fixed"/>
        <w:tblCellMar>
          <w:left w:w="70" w:type="dxa"/>
          <w:right w:w="70" w:type="dxa"/>
        </w:tblCellMar>
        <w:tblLook w:val="04A0"/>
      </w:tblPr>
      <w:tblGrid>
        <w:gridCol w:w="9252"/>
        <w:gridCol w:w="641"/>
        <w:gridCol w:w="641"/>
        <w:gridCol w:w="978"/>
      </w:tblGrid>
      <w:tr w:rsidR="004A34B4" w:rsidRPr="00E04C25" w:rsidTr="004741A8">
        <w:trPr>
          <w:trHeight w:val="240"/>
        </w:trPr>
        <w:tc>
          <w:tcPr>
            <w:tcW w:w="9252" w:type="dxa"/>
            <w:noWrap/>
            <w:vAlign w:val="bottom"/>
          </w:tcPr>
          <w:tbl>
            <w:tblPr>
              <w:tblW w:w="9103" w:type="dxa"/>
              <w:jc w:val="center"/>
              <w:tblLayout w:type="fixed"/>
              <w:tblCellMar>
                <w:left w:w="70" w:type="dxa"/>
                <w:right w:w="70" w:type="dxa"/>
              </w:tblCellMar>
              <w:tblLook w:val="04A0"/>
            </w:tblPr>
            <w:tblGrid>
              <w:gridCol w:w="3154"/>
              <w:gridCol w:w="1017"/>
              <w:gridCol w:w="785"/>
              <w:gridCol w:w="785"/>
              <w:gridCol w:w="785"/>
              <w:gridCol w:w="785"/>
              <w:gridCol w:w="787"/>
              <w:gridCol w:w="1005"/>
            </w:tblGrid>
            <w:tr w:rsidR="004A34B4" w:rsidRPr="00E04C25" w:rsidTr="004A34B4">
              <w:trPr>
                <w:trHeight w:val="284"/>
                <w:jc w:val="center"/>
              </w:trPr>
              <w:tc>
                <w:tcPr>
                  <w:tcW w:w="3154" w:type="dxa"/>
                  <w:tcBorders>
                    <w:top w:val="double" w:sz="6" w:space="0" w:color="auto"/>
                    <w:left w:val="double" w:sz="6" w:space="0" w:color="auto"/>
                    <w:bottom w:val="nil"/>
                    <w:right w:val="nil"/>
                  </w:tcBorders>
                  <w:shd w:val="clear" w:color="auto" w:fill="auto"/>
                  <w:noWrap/>
                  <w:vAlign w:val="center"/>
                  <w:hideMark/>
                </w:tcPr>
                <w:p w:rsidR="004741A8" w:rsidRPr="00E04C25" w:rsidRDefault="004741A8" w:rsidP="00523B41">
                  <w:pPr>
                    <w:rPr>
                      <w:rFonts w:ascii="Arial" w:hAnsi="Arial" w:cs="Arial"/>
                      <w:sz w:val="20"/>
                      <w:szCs w:val="20"/>
                    </w:rPr>
                  </w:pPr>
                  <w:r w:rsidRPr="00E04C25">
                    <w:rPr>
                      <w:rFonts w:ascii="Arial" w:hAnsi="Arial" w:cs="Arial"/>
                      <w:sz w:val="20"/>
                      <w:szCs w:val="20"/>
                    </w:rPr>
                    <w:t> </w:t>
                  </w:r>
                </w:p>
              </w:tc>
              <w:tc>
                <w:tcPr>
                  <w:tcW w:w="1017" w:type="dxa"/>
                  <w:tcBorders>
                    <w:top w:val="double" w:sz="6" w:space="0" w:color="auto"/>
                    <w:left w:val="double" w:sz="6" w:space="0" w:color="auto"/>
                    <w:bottom w:val="nil"/>
                    <w:right w:val="double" w:sz="6" w:space="0" w:color="auto"/>
                  </w:tcBorders>
                  <w:shd w:val="clear" w:color="auto" w:fill="auto"/>
                  <w:noWrap/>
                  <w:tcMar>
                    <w:left w:w="0" w:type="dxa"/>
                    <w:right w:w="28" w:type="dxa"/>
                  </w:tcMar>
                  <w:vAlign w:val="center"/>
                  <w:hideMark/>
                </w:tcPr>
                <w:p w:rsidR="004741A8" w:rsidRPr="00E04C25" w:rsidRDefault="004741A8" w:rsidP="00AF42BF">
                  <w:pPr>
                    <w:jc w:val="center"/>
                    <w:rPr>
                      <w:rFonts w:ascii="Arial" w:hAnsi="Arial" w:cs="Arial"/>
                      <w:b/>
                      <w:bCs/>
                      <w:sz w:val="20"/>
                      <w:szCs w:val="20"/>
                    </w:rPr>
                  </w:pPr>
                  <w:r w:rsidRPr="00E04C25">
                    <w:rPr>
                      <w:rFonts w:ascii="Arial" w:hAnsi="Arial" w:cs="Arial"/>
                      <w:b/>
                      <w:bCs/>
                      <w:sz w:val="20"/>
                      <w:szCs w:val="20"/>
                    </w:rPr>
                    <w:t>rok 2016</w:t>
                  </w:r>
                </w:p>
              </w:tc>
              <w:tc>
                <w:tcPr>
                  <w:tcW w:w="785" w:type="dxa"/>
                  <w:tcBorders>
                    <w:top w:val="double" w:sz="6" w:space="0" w:color="auto"/>
                    <w:left w:val="nil"/>
                    <w:bottom w:val="single" w:sz="4" w:space="0" w:color="auto"/>
                    <w:right w:val="single" w:sz="4" w:space="0" w:color="auto"/>
                  </w:tcBorders>
                  <w:shd w:val="clear" w:color="auto" w:fill="auto"/>
                  <w:noWrap/>
                  <w:vAlign w:val="center"/>
                  <w:hideMark/>
                </w:tcPr>
                <w:p w:rsidR="004741A8" w:rsidRPr="00E04C25" w:rsidRDefault="004741A8" w:rsidP="00AF42BF">
                  <w:pPr>
                    <w:jc w:val="center"/>
                    <w:rPr>
                      <w:rFonts w:ascii="Arial" w:hAnsi="Arial" w:cs="Arial"/>
                      <w:b/>
                      <w:bCs/>
                      <w:sz w:val="20"/>
                      <w:szCs w:val="20"/>
                    </w:rPr>
                  </w:pPr>
                  <w:r w:rsidRPr="00E04C25">
                    <w:rPr>
                      <w:rFonts w:ascii="Arial" w:hAnsi="Arial" w:cs="Arial"/>
                      <w:b/>
                      <w:bCs/>
                      <w:sz w:val="20"/>
                      <w:szCs w:val="20"/>
                    </w:rPr>
                    <w:t>2016</w:t>
                  </w:r>
                </w:p>
              </w:tc>
              <w:tc>
                <w:tcPr>
                  <w:tcW w:w="3142" w:type="dxa"/>
                  <w:gridSpan w:val="4"/>
                  <w:tcBorders>
                    <w:top w:val="double" w:sz="6" w:space="0" w:color="auto"/>
                    <w:left w:val="nil"/>
                    <w:bottom w:val="single" w:sz="4" w:space="0" w:color="auto"/>
                    <w:right w:val="double" w:sz="6" w:space="0" w:color="000000"/>
                  </w:tcBorders>
                  <w:shd w:val="clear" w:color="auto" w:fill="auto"/>
                  <w:noWrap/>
                  <w:vAlign w:val="center"/>
                  <w:hideMark/>
                </w:tcPr>
                <w:p w:rsidR="004741A8" w:rsidRPr="00E04C25" w:rsidRDefault="004741A8" w:rsidP="00AF42BF">
                  <w:pPr>
                    <w:jc w:val="center"/>
                    <w:rPr>
                      <w:rFonts w:ascii="Arial" w:hAnsi="Arial" w:cs="Arial"/>
                      <w:b/>
                      <w:bCs/>
                      <w:sz w:val="20"/>
                      <w:szCs w:val="20"/>
                    </w:rPr>
                  </w:pPr>
                  <w:r w:rsidRPr="00E04C25">
                    <w:rPr>
                      <w:rFonts w:ascii="Arial" w:hAnsi="Arial" w:cs="Arial"/>
                      <w:b/>
                      <w:bCs/>
                      <w:sz w:val="20"/>
                      <w:szCs w:val="20"/>
                    </w:rPr>
                    <w:t>2017</w:t>
                  </w:r>
                </w:p>
              </w:tc>
              <w:tc>
                <w:tcPr>
                  <w:tcW w:w="1005" w:type="dxa"/>
                  <w:tcBorders>
                    <w:top w:val="double" w:sz="6" w:space="0" w:color="auto"/>
                    <w:left w:val="nil"/>
                    <w:bottom w:val="nil"/>
                    <w:right w:val="double" w:sz="6" w:space="0" w:color="auto"/>
                  </w:tcBorders>
                  <w:shd w:val="clear" w:color="auto" w:fill="auto"/>
                  <w:noWrap/>
                  <w:vAlign w:val="center"/>
                  <w:hideMark/>
                </w:tcPr>
                <w:p w:rsidR="004741A8" w:rsidRPr="00E04C25" w:rsidRDefault="004741A8" w:rsidP="00AF42BF">
                  <w:pPr>
                    <w:jc w:val="center"/>
                    <w:rPr>
                      <w:rFonts w:ascii="Arial" w:hAnsi="Arial" w:cs="Arial"/>
                      <w:b/>
                      <w:bCs/>
                      <w:sz w:val="20"/>
                      <w:szCs w:val="20"/>
                    </w:rPr>
                  </w:pPr>
                  <w:r w:rsidRPr="00E04C25">
                    <w:rPr>
                      <w:rFonts w:ascii="Arial" w:hAnsi="Arial" w:cs="Arial"/>
                      <w:b/>
                      <w:bCs/>
                      <w:sz w:val="20"/>
                      <w:szCs w:val="20"/>
                    </w:rPr>
                    <w:t>rok 2017</w:t>
                  </w:r>
                </w:p>
              </w:tc>
            </w:tr>
            <w:tr w:rsidR="004A34B4" w:rsidRPr="00E04C25" w:rsidTr="004A34B4">
              <w:trPr>
                <w:trHeight w:val="284"/>
                <w:jc w:val="center"/>
              </w:trPr>
              <w:tc>
                <w:tcPr>
                  <w:tcW w:w="3154" w:type="dxa"/>
                  <w:tcBorders>
                    <w:top w:val="nil"/>
                    <w:left w:val="double" w:sz="6" w:space="0" w:color="auto"/>
                    <w:bottom w:val="single" w:sz="4" w:space="0" w:color="auto"/>
                    <w:right w:val="nil"/>
                  </w:tcBorders>
                  <w:shd w:val="clear" w:color="auto" w:fill="auto"/>
                  <w:noWrap/>
                  <w:vAlign w:val="center"/>
                  <w:hideMark/>
                </w:tcPr>
                <w:p w:rsidR="004741A8" w:rsidRPr="00E04C25" w:rsidRDefault="004741A8" w:rsidP="00523B41">
                  <w:pPr>
                    <w:jc w:val="center"/>
                    <w:rPr>
                      <w:rFonts w:ascii="Arial" w:hAnsi="Arial" w:cs="Arial"/>
                      <w:bCs/>
                      <w:sz w:val="20"/>
                      <w:szCs w:val="20"/>
                    </w:rPr>
                  </w:pPr>
                  <w:r w:rsidRPr="00E04C25">
                    <w:rPr>
                      <w:rFonts w:ascii="Arial" w:hAnsi="Arial" w:cs="Arial"/>
                      <w:bCs/>
                      <w:sz w:val="20"/>
                      <w:szCs w:val="20"/>
                    </w:rPr>
                    <w:t> </w:t>
                  </w:r>
                </w:p>
              </w:tc>
              <w:tc>
                <w:tcPr>
                  <w:tcW w:w="1017" w:type="dxa"/>
                  <w:tcBorders>
                    <w:top w:val="nil"/>
                    <w:left w:val="double" w:sz="6" w:space="0" w:color="auto"/>
                    <w:bottom w:val="single" w:sz="4" w:space="0" w:color="auto"/>
                    <w:right w:val="double" w:sz="6" w:space="0" w:color="auto"/>
                  </w:tcBorders>
                  <w:shd w:val="clear" w:color="auto" w:fill="auto"/>
                  <w:noWrap/>
                  <w:tcMar>
                    <w:left w:w="0" w:type="dxa"/>
                    <w:right w:w="28" w:type="dxa"/>
                  </w:tcMar>
                  <w:vAlign w:val="center"/>
                  <w:hideMark/>
                </w:tcPr>
                <w:p w:rsidR="004741A8" w:rsidRPr="00E04C25" w:rsidRDefault="004741A8" w:rsidP="00523B41">
                  <w:pPr>
                    <w:jc w:val="center"/>
                    <w:rPr>
                      <w:rFonts w:ascii="Arial" w:hAnsi="Arial" w:cs="Arial"/>
                      <w:b/>
                      <w:bCs/>
                      <w:sz w:val="20"/>
                      <w:szCs w:val="20"/>
                    </w:rPr>
                  </w:pPr>
                  <w:r w:rsidRPr="00E04C25">
                    <w:rPr>
                      <w:rFonts w:ascii="Arial" w:hAnsi="Arial" w:cs="Arial"/>
                      <w:b/>
                      <w:bCs/>
                      <w:sz w:val="20"/>
                      <w:szCs w:val="20"/>
                    </w:rPr>
                    <w:t>průměr</w:t>
                  </w:r>
                </w:p>
              </w:tc>
              <w:tc>
                <w:tcPr>
                  <w:tcW w:w="785" w:type="dxa"/>
                  <w:tcBorders>
                    <w:top w:val="nil"/>
                    <w:left w:val="nil"/>
                    <w:bottom w:val="nil"/>
                    <w:right w:val="single" w:sz="4" w:space="0" w:color="auto"/>
                  </w:tcBorders>
                  <w:shd w:val="clear" w:color="auto" w:fill="auto"/>
                  <w:noWrap/>
                  <w:vAlign w:val="center"/>
                  <w:hideMark/>
                </w:tcPr>
                <w:p w:rsidR="004741A8" w:rsidRPr="00E04C25" w:rsidRDefault="004741A8" w:rsidP="00523B41">
                  <w:pPr>
                    <w:jc w:val="center"/>
                    <w:rPr>
                      <w:rFonts w:ascii="Arial" w:hAnsi="Arial" w:cs="Arial"/>
                      <w:b/>
                      <w:bCs/>
                      <w:sz w:val="20"/>
                      <w:szCs w:val="20"/>
                    </w:rPr>
                  </w:pPr>
                  <w:r w:rsidRPr="00E04C25">
                    <w:rPr>
                      <w:rFonts w:ascii="Arial" w:hAnsi="Arial" w:cs="Arial"/>
                      <w:b/>
                      <w:bCs/>
                      <w:sz w:val="20"/>
                      <w:szCs w:val="20"/>
                    </w:rPr>
                    <w:t>31.12.</w:t>
                  </w:r>
                </w:p>
              </w:tc>
              <w:tc>
                <w:tcPr>
                  <w:tcW w:w="785" w:type="dxa"/>
                  <w:tcBorders>
                    <w:top w:val="nil"/>
                    <w:left w:val="nil"/>
                    <w:bottom w:val="nil"/>
                    <w:right w:val="single" w:sz="4" w:space="0" w:color="auto"/>
                  </w:tcBorders>
                  <w:shd w:val="clear" w:color="auto" w:fill="auto"/>
                  <w:noWrap/>
                  <w:vAlign w:val="center"/>
                  <w:hideMark/>
                </w:tcPr>
                <w:p w:rsidR="004741A8" w:rsidRPr="00E04C25" w:rsidRDefault="004741A8" w:rsidP="00523B41">
                  <w:pPr>
                    <w:jc w:val="center"/>
                    <w:rPr>
                      <w:rFonts w:ascii="Arial" w:hAnsi="Arial" w:cs="Arial"/>
                      <w:b/>
                      <w:bCs/>
                      <w:sz w:val="20"/>
                      <w:szCs w:val="20"/>
                    </w:rPr>
                  </w:pPr>
                  <w:r w:rsidRPr="00E04C25">
                    <w:rPr>
                      <w:rFonts w:ascii="Arial" w:hAnsi="Arial" w:cs="Arial"/>
                      <w:b/>
                      <w:bCs/>
                      <w:sz w:val="20"/>
                      <w:szCs w:val="20"/>
                    </w:rPr>
                    <w:t>31.3.</w:t>
                  </w:r>
                </w:p>
              </w:tc>
              <w:tc>
                <w:tcPr>
                  <w:tcW w:w="785" w:type="dxa"/>
                  <w:tcBorders>
                    <w:top w:val="nil"/>
                    <w:left w:val="nil"/>
                    <w:bottom w:val="nil"/>
                    <w:right w:val="single" w:sz="4" w:space="0" w:color="auto"/>
                  </w:tcBorders>
                  <w:shd w:val="clear" w:color="auto" w:fill="auto"/>
                  <w:noWrap/>
                  <w:vAlign w:val="center"/>
                  <w:hideMark/>
                </w:tcPr>
                <w:p w:rsidR="004741A8" w:rsidRPr="00E04C25" w:rsidRDefault="004741A8" w:rsidP="00523B41">
                  <w:pPr>
                    <w:jc w:val="center"/>
                    <w:rPr>
                      <w:rFonts w:ascii="Arial" w:hAnsi="Arial" w:cs="Arial"/>
                      <w:b/>
                      <w:bCs/>
                      <w:sz w:val="20"/>
                      <w:szCs w:val="20"/>
                    </w:rPr>
                  </w:pPr>
                  <w:r w:rsidRPr="00E04C25">
                    <w:rPr>
                      <w:rFonts w:ascii="Arial" w:hAnsi="Arial" w:cs="Arial"/>
                      <w:b/>
                      <w:bCs/>
                      <w:sz w:val="20"/>
                      <w:szCs w:val="20"/>
                    </w:rPr>
                    <w:t>30.6.</w:t>
                  </w:r>
                </w:p>
              </w:tc>
              <w:tc>
                <w:tcPr>
                  <w:tcW w:w="785" w:type="dxa"/>
                  <w:tcBorders>
                    <w:top w:val="nil"/>
                    <w:left w:val="nil"/>
                    <w:bottom w:val="nil"/>
                    <w:right w:val="single" w:sz="4" w:space="0" w:color="auto"/>
                  </w:tcBorders>
                  <w:shd w:val="clear" w:color="auto" w:fill="auto"/>
                  <w:noWrap/>
                  <w:vAlign w:val="center"/>
                  <w:hideMark/>
                </w:tcPr>
                <w:p w:rsidR="004741A8" w:rsidRPr="00E04C25" w:rsidRDefault="004741A8" w:rsidP="00523B41">
                  <w:pPr>
                    <w:jc w:val="center"/>
                    <w:rPr>
                      <w:rFonts w:ascii="Arial" w:hAnsi="Arial" w:cs="Arial"/>
                      <w:b/>
                      <w:bCs/>
                      <w:sz w:val="20"/>
                      <w:szCs w:val="20"/>
                    </w:rPr>
                  </w:pPr>
                  <w:r w:rsidRPr="00E04C25">
                    <w:rPr>
                      <w:rFonts w:ascii="Arial" w:hAnsi="Arial" w:cs="Arial"/>
                      <w:b/>
                      <w:bCs/>
                      <w:sz w:val="20"/>
                      <w:szCs w:val="20"/>
                    </w:rPr>
                    <w:t>30.9.</w:t>
                  </w:r>
                </w:p>
              </w:tc>
              <w:tc>
                <w:tcPr>
                  <w:tcW w:w="787" w:type="dxa"/>
                  <w:tcBorders>
                    <w:top w:val="nil"/>
                    <w:left w:val="nil"/>
                    <w:bottom w:val="nil"/>
                    <w:right w:val="single" w:sz="4" w:space="0" w:color="auto"/>
                  </w:tcBorders>
                  <w:shd w:val="clear" w:color="auto" w:fill="auto"/>
                  <w:noWrap/>
                  <w:vAlign w:val="center"/>
                  <w:hideMark/>
                </w:tcPr>
                <w:p w:rsidR="004741A8" w:rsidRPr="00E04C25" w:rsidRDefault="004741A8" w:rsidP="00523B41">
                  <w:pPr>
                    <w:jc w:val="center"/>
                    <w:rPr>
                      <w:rFonts w:ascii="Arial" w:hAnsi="Arial" w:cs="Arial"/>
                      <w:b/>
                      <w:bCs/>
                      <w:sz w:val="20"/>
                      <w:szCs w:val="20"/>
                    </w:rPr>
                  </w:pPr>
                  <w:r w:rsidRPr="00E04C25">
                    <w:rPr>
                      <w:rFonts w:ascii="Arial" w:hAnsi="Arial" w:cs="Arial"/>
                      <w:b/>
                      <w:bCs/>
                      <w:sz w:val="20"/>
                      <w:szCs w:val="20"/>
                    </w:rPr>
                    <w:t>31.12.</w:t>
                  </w:r>
                </w:p>
              </w:tc>
              <w:tc>
                <w:tcPr>
                  <w:tcW w:w="1005" w:type="dxa"/>
                  <w:tcBorders>
                    <w:top w:val="nil"/>
                    <w:left w:val="double" w:sz="6" w:space="0" w:color="auto"/>
                    <w:bottom w:val="single" w:sz="4" w:space="0" w:color="auto"/>
                    <w:right w:val="double" w:sz="6" w:space="0" w:color="auto"/>
                  </w:tcBorders>
                  <w:shd w:val="clear" w:color="auto" w:fill="auto"/>
                  <w:noWrap/>
                  <w:vAlign w:val="center"/>
                  <w:hideMark/>
                </w:tcPr>
                <w:p w:rsidR="004741A8" w:rsidRPr="00E04C25" w:rsidRDefault="004741A8" w:rsidP="00523B41">
                  <w:pPr>
                    <w:jc w:val="center"/>
                    <w:rPr>
                      <w:rFonts w:ascii="Arial" w:hAnsi="Arial" w:cs="Arial"/>
                      <w:b/>
                      <w:bCs/>
                      <w:sz w:val="20"/>
                      <w:szCs w:val="20"/>
                    </w:rPr>
                  </w:pPr>
                  <w:r w:rsidRPr="00E04C25">
                    <w:rPr>
                      <w:rFonts w:ascii="Arial" w:hAnsi="Arial" w:cs="Arial"/>
                      <w:b/>
                      <w:bCs/>
                      <w:sz w:val="20"/>
                      <w:szCs w:val="20"/>
                    </w:rPr>
                    <w:t>průměr</w:t>
                  </w:r>
                </w:p>
              </w:tc>
            </w:tr>
            <w:tr w:rsidR="004A34B4" w:rsidRPr="00E04C25" w:rsidTr="004A34B4">
              <w:trPr>
                <w:trHeight w:val="284"/>
                <w:jc w:val="center"/>
              </w:trPr>
              <w:tc>
                <w:tcPr>
                  <w:tcW w:w="3154" w:type="dxa"/>
                  <w:tcBorders>
                    <w:top w:val="nil"/>
                    <w:left w:val="double" w:sz="6" w:space="0" w:color="auto"/>
                    <w:bottom w:val="single" w:sz="4" w:space="0" w:color="auto"/>
                    <w:right w:val="nil"/>
                  </w:tcBorders>
                  <w:shd w:val="clear" w:color="auto" w:fill="auto"/>
                  <w:noWrap/>
                  <w:vAlign w:val="center"/>
                  <w:hideMark/>
                </w:tcPr>
                <w:p w:rsidR="004741A8" w:rsidRPr="00E04C25" w:rsidRDefault="004741A8" w:rsidP="00523B41">
                  <w:pPr>
                    <w:rPr>
                      <w:rFonts w:ascii="Arial" w:hAnsi="Arial" w:cs="Arial"/>
                      <w:b/>
                      <w:bCs/>
                      <w:sz w:val="19"/>
                      <w:szCs w:val="19"/>
                    </w:rPr>
                  </w:pPr>
                  <w:r w:rsidRPr="00E04C25">
                    <w:rPr>
                      <w:rFonts w:ascii="Arial" w:hAnsi="Arial" w:cs="Arial"/>
                      <w:b/>
                      <w:bCs/>
                      <w:sz w:val="19"/>
                      <w:szCs w:val="19"/>
                    </w:rPr>
                    <w:t>Uchazeči o zaměstnání (v tis.)</w:t>
                  </w:r>
                </w:p>
              </w:tc>
              <w:tc>
                <w:tcPr>
                  <w:tcW w:w="1017" w:type="dxa"/>
                  <w:tcBorders>
                    <w:top w:val="nil"/>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406,0</w:t>
                  </w:r>
                </w:p>
              </w:tc>
              <w:tc>
                <w:tcPr>
                  <w:tcW w:w="78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381,4</w:t>
                  </w:r>
                </w:p>
              </w:tc>
              <w:tc>
                <w:tcPr>
                  <w:tcW w:w="785" w:type="dxa"/>
                  <w:tcBorders>
                    <w:top w:val="single" w:sz="4" w:space="0" w:color="auto"/>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356,1</w:t>
                  </w:r>
                </w:p>
              </w:tc>
              <w:tc>
                <w:tcPr>
                  <w:tcW w:w="785" w:type="dxa"/>
                  <w:tcBorders>
                    <w:top w:val="single" w:sz="4" w:space="0" w:color="auto"/>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297,4</w:t>
                  </w:r>
                </w:p>
              </w:tc>
              <w:tc>
                <w:tcPr>
                  <w:tcW w:w="785" w:type="dxa"/>
                  <w:tcBorders>
                    <w:top w:val="single" w:sz="4" w:space="0" w:color="auto"/>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284,9</w:t>
                  </w:r>
                </w:p>
              </w:tc>
              <w:tc>
                <w:tcPr>
                  <w:tcW w:w="787" w:type="dxa"/>
                  <w:tcBorders>
                    <w:top w:val="single" w:sz="4" w:space="0" w:color="auto"/>
                    <w:left w:val="nil"/>
                    <w:bottom w:val="single" w:sz="4" w:space="0" w:color="auto"/>
                    <w:right w:val="double" w:sz="6"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280,6</w:t>
                  </w:r>
                </w:p>
              </w:tc>
              <w:tc>
                <w:tcPr>
                  <w:tcW w:w="1005" w:type="dxa"/>
                  <w:tcBorders>
                    <w:top w:val="nil"/>
                    <w:left w:val="nil"/>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317,6</w:t>
                  </w:r>
                </w:p>
              </w:tc>
            </w:tr>
            <w:tr w:rsidR="004A34B4" w:rsidRPr="00E04C25" w:rsidTr="004A34B4">
              <w:trPr>
                <w:trHeight w:val="284"/>
                <w:jc w:val="center"/>
              </w:trPr>
              <w:tc>
                <w:tcPr>
                  <w:tcW w:w="3154" w:type="dxa"/>
                  <w:tcBorders>
                    <w:top w:val="nil"/>
                    <w:left w:val="double" w:sz="6" w:space="0" w:color="auto"/>
                    <w:bottom w:val="nil"/>
                    <w:right w:val="nil"/>
                  </w:tcBorders>
                  <w:shd w:val="clear" w:color="auto" w:fill="auto"/>
                  <w:noWrap/>
                  <w:vAlign w:val="center"/>
                  <w:hideMark/>
                </w:tcPr>
                <w:p w:rsidR="004741A8" w:rsidRPr="00E04C25" w:rsidRDefault="004741A8" w:rsidP="00523B41">
                  <w:pPr>
                    <w:rPr>
                      <w:rFonts w:ascii="Arial" w:hAnsi="Arial" w:cs="Arial"/>
                      <w:sz w:val="19"/>
                      <w:szCs w:val="19"/>
                    </w:rPr>
                  </w:pPr>
                  <w:r w:rsidRPr="00E04C25">
                    <w:rPr>
                      <w:rFonts w:ascii="Arial" w:hAnsi="Arial" w:cs="Arial"/>
                      <w:sz w:val="19"/>
                      <w:szCs w:val="19"/>
                    </w:rPr>
                    <w:t xml:space="preserve">      v tom  - ženy</w:t>
                  </w:r>
                </w:p>
              </w:tc>
              <w:tc>
                <w:tcPr>
                  <w:tcW w:w="1017" w:type="dxa"/>
                  <w:tcBorders>
                    <w:top w:val="nil"/>
                    <w:left w:val="double" w:sz="6" w:space="0" w:color="auto"/>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209,1</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192,0</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177,0</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158,3</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152,6</w:t>
                  </w:r>
                </w:p>
              </w:tc>
              <w:tc>
                <w:tcPr>
                  <w:tcW w:w="787" w:type="dxa"/>
                  <w:tcBorders>
                    <w:top w:val="nil"/>
                    <w:left w:val="nil"/>
                    <w:bottom w:val="nil"/>
                    <w:right w:val="double" w:sz="6"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140,9</w:t>
                  </w:r>
                </w:p>
              </w:tc>
              <w:tc>
                <w:tcPr>
                  <w:tcW w:w="1005" w:type="dxa"/>
                  <w:tcBorders>
                    <w:top w:val="nil"/>
                    <w:left w:val="nil"/>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164,2</w:t>
                  </w:r>
                </w:p>
              </w:tc>
            </w:tr>
            <w:tr w:rsidR="004A34B4" w:rsidRPr="00E04C25" w:rsidTr="004A34B4">
              <w:trPr>
                <w:trHeight w:val="284"/>
                <w:jc w:val="center"/>
              </w:trPr>
              <w:tc>
                <w:tcPr>
                  <w:tcW w:w="3154" w:type="dxa"/>
                  <w:tcBorders>
                    <w:top w:val="nil"/>
                    <w:left w:val="double" w:sz="6" w:space="0" w:color="auto"/>
                    <w:bottom w:val="single" w:sz="4" w:space="0" w:color="auto"/>
                    <w:right w:val="nil"/>
                  </w:tcBorders>
                  <w:shd w:val="clear" w:color="auto" w:fill="auto"/>
                  <w:noWrap/>
                  <w:vAlign w:val="center"/>
                  <w:hideMark/>
                </w:tcPr>
                <w:p w:rsidR="004741A8" w:rsidRPr="00E04C25" w:rsidRDefault="004741A8" w:rsidP="00523B41">
                  <w:pPr>
                    <w:rPr>
                      <w:rFonts w:ascii="Arial" w:hAnsi="Arial" w:cs="Arial"/>
                      <w:sz w:val="19"/>
                      <w:szCs w:val="19"/>
                    </w:rPr>
                  </w:pPr>
                  <w:r w:rsidRPr="00E04C25">
                    <w:rPr>
                      <w:rFonts w:ascii="Arial" w:hAnsi="Arial" w:cs="Arial"/>
                      <w:sz w:val="19"/>
                      <w:szCs w:val="19"/>
                    </w:rPr>
                    <w:t xml:space="preserve">                  - muži</w:t>
                  </w:r>
                </w:p>
              </w:tc>
              <w:tc>
                <w:tcPr>
                  <w:tcW w:w="1017" w:type="dxa"/>
                  <w:tcBorders>
                    <w:top w:val="nil"/>
                    <w:left w:val="double" w:sz="6" w:space="0" w:color="auto"/>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196,9</w:t>
                  </w:r>
                </w:p>
              </w:tc>
              <w:tc>
                <w:tcPr>
                  <w:tcW w:w="785" w:type="dxa"/>
                  <w:tcBorders>
                    <w:top w:val="nil"/>
                    <w:left w:val="single" w:sz="4" w:space="0" w:color="auto"/>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189,4</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179,1</w:t>
                  </w:r>
                </w:p>
              </w:tc>
              <w:tc>
                <w:tcPr>
                  <w:tcW w:w="785" w:type="dxa"/>
                  <w:tcBorders>
                    <w:top w:val="nil"/>
                    <w:left w:val="nil"/>
                    <w:bottom w:val="nil"/>
                    <w:right w:val="nil"/>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139,1</w:t>
                  </w:r>
                </w:p>
              </w:tc>
              <w:tc>
                <w:tcPr>
                  <w:tcW w:w="785" w:type="dxa"/>
                  <w:tcBorders>
                    <w:top w:val="nil"/>
                    <w:left w:val="single" w:sz="4" w:space="0" w:color="auto"/>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132,3</w:t>
                  </w:r>
                </w:p>
              </w:tc>
              <w:tc>
                <w:tcPr>
                  <w:tcW w:w="787" w:type="dxa"/>
                  <w:tcBorders>
                    <w:top w:val="nil"/>
                    <w:left w:val="nil"/>
                    <w:bottom w:val="nil"/>
                    <w:right w:val="nil"/>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139,7</w:t>
                  </w:r>
                </w:p>
              </w:tc>
              <w:tc>
                <w:tcPr>
                  <w:tcW w:w="1005" w:type="dxa"/>
                  <w:tcBorders>
                    <w:top w:val="nil"/>
                    <w:left w:val="double" w:sz="6" w:space="0" w:color="auto"/>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153,4</w:t>
                  </w:r>
                </w:p>
              </w:tc>
            </w:tr>
            <w:tr w:rsidR="004A34B4" w:rsidRPr="00E04C25" w:rsidTr="004A34B4">
              <w:trPr>
                <w:trHeight w:val="284"/>
                <w:jc w:val="center"/>
              </w:trPr>
              <w:tc>
                <w:tcPr>
                  <w:tcW w:w="3154" w:type="dxa"/>
                  <w:tcBorders>
                    <w:top w:val="nil"/>
                    <w:left w:val="double" w:sz="6" w:space="0" w:color="auto"/>
                    <w:bottom w:val="nil"/>
                    <w:right w:val="nil"/>
                  </w:tcBorders>
                  <w:shd w:val="clear" w:color="auto" w:fill="auto"/>
                  <w:noWrap/>
                  <w:vAlign w:val="center"/>
                  <w:hideMark/>
                </w:tcPr>
                <w:p w:rsidR="004741A8" w:rsidRPr="00E04C25" w:rsidRDefault="004741A8" w:rsidP="00523B41">
                  <w:pPr>
                    <w:rPr>
                      <w:rFonts w:ascii="Arial" w:hAnsi="Arial" w:cs="Arial"/>
                      <w:sz w:val="19"/>
                      <w:szCs w:val="19"/>
                    </w:rPr>
                  </w:pPr>
                  <w:r w:rsidRPr="00E04C25">
                    <w:rPr>
                      <w:rFonts w:ascii="Arial" w:hAnsi="Arial" w:cs="Arial"/>
                      <w:sz w:val="19"/>
                      <w:szCs w:val="19"/>
                    </w:rPr>
                    <w:t xml:space="preserve">                  - ženy (v %)</w:t>
                  </w:r>
                </w:p>
              </w:tc>
              <w:tc>
                <w:tcPr>
                  <w:tcW w:w="1017" w:type="dxa"/>
                  <w:tcBorders>
                    <w:top w:val="single" w:sz="4" w:space="0" w:color="auto"/>
                    <w:left w:val="double" w:sz="6" w:space="0" w:color="auto"/>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51,5</w:t>
                  </w:r>
                </w:p>
              </w:tc>
              <w:tc>
                <w:tcPr>
                  <w:tcW w:w="785" w:type="dxa"/>
                  <w:tcBorders>
                    <w:top w:val="single" w:sz="4" w:space="0" w:color="auto"/>
                    <w:left w:val="single" w:sz="4" w:space="0" w:color="auto"/>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50,3</w:t>
                  </w:r>
                </w:p>
              </w:tc>
              <w:tc>
                <w:tcPr>
                  <w:tcW w:w="785" w:type="dxa"/>
                  <w:tcBorders>
                    <w:top w:val="single" w:sz="4" w:space="0" w:color="auto"/>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49,7</w:t>
                  </w:r>
                </w:p>
              </w:tc>
              <w:tc>
                <w:tcPr>
                  <w:tcW w:w="785" w:type="dxa"/>
                  <w:tcBorders>
                    <w:top w:val="single" w:sz="4" w:space="0" w:color="auto"/>
                    <w:left w:val="nil"/>
                    <w:bottom w:val="nil"/>
                    <w:right w:val="nil"/>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53,2</w:t>
                  </w:r>
                </w:p>
              </w:tc>
              <w:tc>
                <w:tcPr>
                  <w:tcW w:w="785" w:type="dxa"/>
                  <w:tcBorders>
                    <w:top w:val="single" w:sz="4" w:space="0" w:color="auto"/>
                    <w:left w:val="single" w:sz="4" w:space="0" w:color="auto"/>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53,5</w:t>
                  </w:r>
                </w:p>
              </w:tc>
              <w:tc>
                <w:tcPr>
                  <w:tcW w:w="787" w:type="dxa"/>
                  <w:tcBorders>
                    <w:top w:val="single" w:sz="4" w:space="0" w:color="auto"/>
                    <w:left w:val="nil"/>
                    <w:bottom w:val="nil"/>
                    <w:right w:val="double" w:sz="6"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50,2</w:t>
                  </w:r>
                </w:p>
              </w:tc>
              <w:tc>
                <w:tcPr>
                  <w:tcW w:w="1005" w:type="dxa"/>
                  <w:tcBorders>
                    <w:top w:val="single" w:sz="4" w:space="0" w:color="auto"/>
                    <w:left w:val="nil"/>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51,7</w:t>
                  </w:r>
                </w:p>
              </w:tc>
            </w:tr>
            <w:tr w:rsidR="004A34B4" w:rsidRPr="00E04C25" w:rsidTr="004A34B4">
              <w:trPr>
                <w:trHeight w:val="284"/>
                <w:jc w:val="center"/>
              </w:trPr>
              <w:tc>
                <w:tcPr>
                  <w:tcW w:w="3154" w:type="dxa"/>
                  <w:tcBorders>
                    <w:top w:val="nil"/>
                    <w:left w:val="double" w:sz="6" w:space="0" w:color="auto"/>
                    <w:bottom w:val="single" w:sz="4" w:space="0" w:color="auto"/>
                    <w:right w:val="nil"/>
                  </w:tcBorders>
                  <w:shd w:val="clear" w:color="auto" w:fill="auto"/>
                  <w:noWrap/>
                  <w:vAlign w:val="center"/>
                  <w:hideMark/>
                </w:tcPr>
                <w:p w:rsidR="004741A8" w:rsidRPr="00E04C25" w:rsidRDefault="004741A8" w:rsidP="00523B41">
                  <w:pPr>
                    <w:rPr>
                      <w:rFonts w:ascii="Arial" w:hAnsi="Arial" w:cs="Arial"/>
                      <w:sz w:val="19"/>
                      <w:szCs w:val="19"/>
                    </w:rPr>
                  </w:pPr>
                  <w:r w:rsidRPr="00E04C25">
                    <w:rPr>
                      <w:rFonts w:ascii="Arial" w:hAnsi="Arial" w:cs="Arial"/>
                      <w:sz w:val="19"/>
                      <w:szCs w:val="19"/>
                    </w:rPr>
                    <w:t xml:space="preserve">                  - muži (v %)</w:t>
                  </w:r>
                </w:p>
              </w:tc>
              <w:tc>
                <w:tcPr>
                  <w:tcW w:w="1017" w:type="dxa"/>
                  <w:tcBorders>
                    <w:top w:val="nil"/>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48,5</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49,7</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50,3</w:t>
                  </w:r>
                </w:p>
              </w:tc>
              <w:tc>
                <w:tcPr>
                  <w:tcW w:w="785" w:type="dxa"/>
                  <w:tcBorders>
                    <w:top w:val="nil"/>
                    <w:left w:val="nil"/>
                    <w:bottom w:val="single" w:sz="4" w:space="0" w:color="auto"/>
                    <w:right w:val="nil"/>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46,8</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46,5</w:t>
                  </w:r>
                </w:p>
              </w:tc>
              <w:tc>
                <w:tcPr>
                  <w:tcW w:w="787" w:type="dxa"/>
                  <w:tcBorders>
                    <w:top w:val="nil"/>
                    <w:left w:val="nil"/>
                    <w:bottom w:val="single" w:sz="4" w:space="0" w:color="auto"/>
                    <w:right w:val="double" w:sz="6"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49,8</w:t>
                  </w:r>
                </w:p>
              </w:tc>
              <w:tc>
                <w:tcPr>
                  <w:tcW w:w="1005" w:type="dxa"/>
                  <w:tcBorders>
                    <w:top w:val="nil"/>
                    <w:left w:val="nil"/>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48,3</w:t>
                  </w:r>
                </w:p>
              </w:tc>
            </w:tr>
            <w:tr w:rsidR="004A34B4" w:rsidRPr="00E04C25" w:rsidTr="004A34B4">
              <w:trPr>
                <w:trHeight w:val="284"/>
                <w:jc w:val="center"/>
              </w:trPr>
              <w:tc>
                <w:tcPr>
                  <w:tcW w:w="3154" w:type="dxa"/>
                  <w:tcBorders>
                    <w:top w:val="nil"/>
                    <w:left w:val="double" w:sz="6" w:space="0" w:color="auto"/>
                    <w:bottom w:val="single" w:sz="4" w:space="0" w:color="auto"/>
                    <w:right w:val="nil"/>
                  </w:tcBorders>
                  <w:shd w:val="clear" w:color="auto" w:fill="auto"/>
                  <w:noWrap/>
                  <w:vAlign w:val="center"/>
                  <w:hideMark/>
                </w:tcPr>
                <w:p w:rsidR="004741A8" w:rsidRPr="00E04C25" w:rsidRDefault="004741A8" w:rsidP="00523B41">
                  <w:pPr>
                    <w:rPr>
                      <w:rFonts w:ascii="Arial" w:hAnsi="Arial" w:cs="Arial"/>
                      <w:b/>
                      <w:bCs/>
                      <w:sz w:val="19"/>
                      <w:szCs w:val="19"/>
                    </w:rPr>
                  </w:pPr>
                  <w:r w:rsidRPr="00E04C25">
                    <w:rPr>
                      <w:rFonts w:ascii="Arial" w:hAnsi="Arial" w:cs="Arial"/>
                      <w:b/>
                      <w:bCs/>
                      <w:sz w:val="19"/>
                      <w:szCs w:val="19"/>
                    </w:rPr>
                    <w:t xml:space="preserve">     - dosažitelní ve věku 15-64 let</w:t>
                  </w:r>
                </w:p>
              </w:tc>
              <w:tc>
                <w:tcPr>
                  <w:tcW w:w="1017" w:type="dxa"/>
                  <w:tcBorders>
                    <w:top w:val="nil"/>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b/>
                      <w:sz w:val="20"/>
                      <w:szCs w:val="20"/>
                    </w:rPr>
                  </w:pPr>
                  <w:r w:rsidRPr="00E04C25">
                    <w:rPr>
                      <w:rFonts w:ascii="Arial" w:hAnsi="Arial" w:cs="Arial"/>
                      <w:b/>
                      <w:sz w:val="20"/>
                      <w:szCs w:val="20"/>
                    </w:rPr>
                    <w:t>387,2</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sz w:val="20"/>
                      <w:szCs w:val="20"/>
                    </w:rPr>
                  </w:pPr>
                  <w:r w:rsidRPr="00E04C25">
                    <w:rPr>
                      <w:rFonts w:ascii="Arial" w:hAnsi="Arial" w:cs="Arial"/>
                      <w:b/>
                      <w:sz w:val="20"/>
                      <w:szCs w:val="20"/>
                    </w:rPr>
                    <w:t>360,2</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sz w:val="20"/>
                      <w:szCs w:val="20"/>
                    </w:rPr>
                  </w:pPr>
                  <w:r w:rsidRPr="00E04C25">
                    <w:rPr>
                      <w:rFonts w:ascii="Arial" w:hAnsi="Arial" w:cs="Arial"/>
                      <w:b/>
                      <w:sz w:val="20"/>
                      <w:szCs w:val="20"/>
                    </w:rPr>
                    <w:t>332,1</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sz w:val="20"/>
                      <w:szCs w:val="20"/>
                    </w:rPr>
                  </w:pPr>
                  <w:r w:rsidRPr="00E04C25">
                    <w:rPr>
                      <w:rFonts w:ascii="Arial" w:hAnsi="Arial" w:cs="Arial"/>
                      <w:b/>
                      <w:sz w:val="20"/>
                      <w:szCs w:val="20"/>
                    </w:rPr>
                    <w:t>274,5</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sz w:val="20"/>
                      <w:szCs w:val="20"/>
                    </w:rPr>
                  </w:pPr>
                  <w:r w:rsidRPr="00E04C25">
                    <w:rPr>
                      <w:rFonts w:ascii="Arial" w:hAnsi="Arial" w:cs="Arial"/>
                      <w:b/>
                      <w:sz w:val="20"/>
                      <w:szCs w:val="20"/>
                    </w:rPr>
                    <w:t>262,5</w:t>
                  </w:r>
                </w:p>
              </w:tc>
              <w:tc>
                <w:tcPr>
                  <w:tcW w:w="787" w:type="dxa"/>
                  <w:tcBorders>
                    <w:top w:val="nil"/>
                    <w:left w:val="nil"/>
                    <w:bottom w:val="single" w:sz="4" w:space="0" w:color="auto"/>
                    <w:right w:val="double" w:sz="6"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sz w:val="20"/>
                      <w:szCs w:val="20"/>
                    </w:rPr>
                  </w:pPr>
                  <w:r w:rsidRPr="00E04C25">
                    <w:rPr>
                      <w:rFonts w:ascii="Arial" w:hAnsi="Arial" w:cs="Arial"/>
                      <w:b/>
                      <w:sz w:val="20"/>
                      <w:szCs w:val="20"/>
                    </w:rPr>
                    <w:t>259,9</w:t>
                  </w:r>
                </w:p>
              </w:tc>
              <w:tc>
                <w:tcPr>
                  <w:tcW w:w="1005" w:type="dxa"/>
                  <w:tcBorders>
                    <w:top w:val="nil"/>
                    <w:left w:val="nil"/>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b/>
                      <w:sz w:val="20"/>
                      <w:szCs w:val="20"/>
                    </w:rPr>
                  </w:pPr>
                  <w:r w:rsidRPr="00E04C25">
                    <w:rPr>
                      <w:rFonts w:ascii="Arial" w:hAnsi="Arial" w:cs="Arial"/>
                      <w:b/>
                      <w:sz w:val="20"/>
                      <w:szCs w:val="20"/>
                    </w:rPr>
                    <w:t>294,9</w:t>
                  </w:r>
                </w:p>
              </w:tc>
            </w:tr>
            <w:tr w:rsidR="004A34B4" w:rsidRPr="00E04C25" w:rsidTr="004A34B4">
              <w:trPr>
                <w:trHeight w:val="284"/>
                <w:jc w:val="center"/>
              </w:trPr>
              <w:tc>
                <w:tcPr>
                  <w:tcW w:w="3154" w:type="dxa"/>
                  <w:tcBorders>
                    <w:top w:val="nil"/>
                    <w:left w:val="double" w:sz="6" w:space="0" w:color="auto"/>
                    <w:bottom w:val="nil"/>
                    <w:right w:val="nil"/>
                  </w:tcBorders>
                  <w:shd w:val="clear" w:color="auto" w:fill="auto"/>
                  <w:noWrap/>
                  <w:vAlign w:val="center"/>
                  <w:hideMark/>
                </w:tcPr>
                <w:p w:rsidR="004741A8" w:rsidRPr="00E04C25" w:rsidRDefault="004741A8" w:rsidP="00523B41">
                  <w:pPr>
                    <w:rPr>
                      <w:rFonts w:ascii="Arial" w:hAnsi="Arial" w:cs="Arial"/>
                      <w:sz w:val="19"/>
                      <w:szCs w:val="19"/>
                    </w:rPr>
                  </w:pPr>
                  <w:r w:rsidRPr="00E04C25">
                    <w:rPr>
                      <w:rFonts w:ascii="Arial" w:hAnsi="Arial" w:cs="Arial"/>
                      <w:sz w:val="19"/>
                      <w:szCs w:val="19"/>
                    </w:rPr>
                    <w:t xml:space="preserve">                  - ženy</w:t>
                  </w:r>
                </w:p>
              </w:tc>
              <w:tc>
                <w:tcPr>
                  <w:tcW w:w="1017" w:type="dxa"/>
                  <w:tcBorders>
                    <w:top w:val="nil"/>
                    <w:left w:val="double" w:sz="6" w:space="0" w:color="auto"/>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199,0</w:t>
                  </w:r>
                </w:p>
              </w:tc>
              <w:tc>
                <w:tcPr>
                  <w:tcW w:w="785" w:type="dxa"/>
                  <w:tcBorders>
                    <w:top w:val="nil"/>
                    <w:left w:val="single" w:sz="4" w:space="0" w:color="auto"/>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180,6</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164,1</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146,1</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140,6</w:t>
                  </w:r>
                </w:p>
              </w:tc>
              <w:tc>
                <w:tcPr>
                  <w:tcW w:w="787" w:type="dxa"/>
                  <w:tcBorders>
                    <w:top w:val="nil"/>
                    <w:left w:val="nil"/>
                    <w:bottom w:val="nil"/>
                    <w:right w:val="double" w:sz="6"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129,9</w:t>
                  </w:r>
                </w:p>
              </w:tc>
              <w:tc>
                <w:tcPr>
                  <w:tcW w:w="1005" w:type="dxa"/>
                  <w:tcBorders>
                    <w:top w:val="nil"/>
                    <w:left w:val="nil"/>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152,0</w:t>
                  </w:r>
                </w:p>
              </w:tc>
            </w:tr>
            <w:tr w:rsidR="004A34B4" w:rsidRPr="00E04C25" w:rsidTr="004A34B4">
              <w:trPr>
                <w:trHeight w:val="284"/>
                <w:jc w:val="center"/>
              </w:trPr>
              <w:tc>
                <w:tcPr>
                  <w:tcW w:w="3154" w:type="dxa"/>
                  <w:tcBorders>
                    <w:top w:val="nil"/>
                    <w:left w:val="double" w:sz="6" w:space="0" w:color="auto"/>
                    <w:bottom w:val="single" w:sz="4" w:space="0" w:color="auto"/>
                    <w:right w:val="nil"/>
                  </w:tcBorders>
                  <w:shd w:val="clear" w:color="auto" w:fill="auto"/>
                  <w:noWrap/>
                  <w:vAlign w:val="center"/>
                  <w:hideMark/>
                </w:tcPr>
                <w:p w:rsidR="004741A8" w:rsidRPr="00E04C25" w:rsidRDefault="004741A8" w:rsidP="00523B41">
                  <w:pPr>
                    <w:rPr>
                      <w:rFonts w:ascii="Arial" w:hAnsi="Arial" w:cs="Arial"/>
                      <w:sz w:val="19"/>
                      <w:szCs w:val="19"/>
                    </w:rPr>
                  </w:pPr>
                  <w:r w:rsidRPr="00E04C25">
                    <w:rPr>
                      <w:rFonts w:ascii="Arial" w:hAnsi="Arial" w:cs="Arial"/>
                      <w:sz w:val="19"/>
                      <w:szCs w:val="19"/>
                    </w:rPr>
                    <w:t xml:space="preserve">                  - muži</w:t>
                  </w:r>
                </w:p>
              </w:tc>
              <w:tc>
                <w:tcPr>
                  <w:tcW w:w="1017" w:type="dxa"/>
                  <w:tcBorders>
                    <w:top w:val="nil"/>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188,2</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179,6</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168,0</w:t>
                  </w:r>
                </w:p>
              </w:tc>
              <w:tc>
                <w:tcPr>
                  <w:tcW w:w="785" w:type="dxa"/>
                  <w:tcBorders>
                    <w:top w:val="nil"/>
                    <w:left w:val="nil"/>
                    <w:bottom w:val="single" w:sz="4" w:space="0" w:color="auto"/>
                    <w:right w:val="nil"/>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128,4</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121,9</w:t>
                  </w:r>
                </w:p>
              </w:tc>
              <w:tc>
                <w:tcPr>
                  <w:tcW w:w="787" w:type="dxa"/>
                  <w:tcBorders>
                    <w:top w:val="nil"/>
                    <w:left w:val="nil"/>
                    <w:bottom w:val="single" w:sz="4" w:space="0" w:color="auto"/>
                    <w:right w:val="nil"/>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130,1</w:t>
                  </w:r>
                </w:p>
              </w:tc>
              <w:tc>
                <w:tcPr>
                  <w:tcW w:w="1005" w:type="dxa"/>
                  <w:tcBorders>
                    <w:top w:val="nil"/>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142,9</w:t>
                  </w:r>
                </w:p>
              </w:tc>
            </w:tr>
            <w:tr w:rsidR="004A34B4" w:rsidRPr="00E04C25" w:rsidTr="004A34B4">
              <w:trPr>
                <w:trHeight w:val="284"/>
                <w:jc w:val="center"/>
              </w:trPr>
              <w:tc>
                <w:tcPr>
                  <w:tcW w:w="3154" w:type="dxa"/>
                  <w:tcBorders>
                    <w:top w:val="nil"/>
                    <w:left w:val="double" w:sz="6" w:space="0" w:color="auto"/>
                    <w:bottom w:val="single" w:sz="4" w:space="0" w:color="auto"/>
                    <w:right w:val="nil"/>
                  </w:tcBorders>
                  <w:shd w:val="clear" w:color="auto" w:fill="auto"/>
                  <w:noWrap/>
                  <w:vAlign w:val="center"/>
                  <w:hideMark/>
                </w:tcPr>
                <w:p w:rsidR="004741A8" w:rsidRPr="00E04C25" w:rsidRDefault="004741A8" w:rsidP="00523B41">
                  <w:pPr>
                    <w:rPr>
                      <w:rFonts w:ascii="Arial" w:hAnsi="Arial" w:cs="Arial"/>
                      <w:b/>
                      <w:bCs/>
                      <w:sz w:val="19"/>
                      <w:szCs w:val="19"/>
                    </w:rPr>
                  </w:pPr>
                  <w:r w:rsidRPr="00E04C25">
                    <w:rPr>
                      <w:rFonts w:ascii="Arial" w:hAnsi="Arial" w:cs="Arial"/>
                      <w:b/>
                      <w:bCs/>
                      <w:sz w:val="19"/>
                      <w:szCs w:val="19"/>
                    </w:rPr>
                    <w:t>Pobírající PvN (v tis.)</w:t>
                  </w:r>
                </w:p>
              </w:tc>
              <w:tc>
                <w:tcPr>
                  <w:tcW w:w="1017" w:type="dxa"/>
                  <w:tcBorders>
                    <w:top w:val="nil"/>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97,9</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19"/>
                      <w:szCs w:val="19"/>
                    </w:rPr>
                  </w:pPr>
                  <w:r w:rsidRPr="00E04C25">
                    <w:rPr>
                      <w:rFonts w:ascii="Arial" w:hAnsi="Arial" w:cs="Arial"/>
                      <w:b/>
                      <w:bCs/>
                      <w:sz w:val="19"/>
                      <w:szCs w:val="19"/>
                    </w:rPr>
                    <w:t>103,0</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19"/>
                      <w:szCs w:val="19"/>
                    </w:rPr>
                  </w:pPr>
                  <w:r w:rsidRPr="00E04C25">
                    <w:rPr>
                      <w:rFonts w:ascii="Arial" w:hAnsi="Arial" w:cs="Arial"/>
                      <w:b/>
                      <w:bCs/>
                      <w:sz w:val="19"/>
                      <w:szCs w:val="19"/>
                    </w:rPr>
                    <w:t>100,0</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19"/>
                      <w:szCs w:val="19"/>
                    </w:rPr>
                  </w:pPr>
                  <w:r w:rsidRPr="00E04C25">
                    <w:rPr>
                      <w:rFonts w:ascii="Arial" w:hAnsi="Arial" w:cs="Arial"/>
                      <w:b/>
                      <w:bCs/>
                      <w:sz w:val="19"/>
                      <w:szCs w:val="19"/>
                    </w:rPr>
                    <w:t>75,4</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19"/>
                      <w:szCs w:val="19"/>
                    </w:rPr>
                  </w:pPr>
                  <w:r w:rsidRPr="00E04C25">
                    <w:rPr>
                      <w:rFonts w:ascii="Arial" w:hAnsi="Arial" w:cs="Arial"/>
                      <w:b/>
                      <w:bCs/>
                      <w:sz w:val="19"/>
                      <w:szCs w:val="19"/>
                    </w:rPr>
                    <w:t>74,3</w:t>
                  </w:r>
                </w:p>
              </w:tc>
              <w:tc>
                <w:tcPr>
                  <w:tcW w:w="787" w:type="dxa"/>
                  <w:tcBorders>
                    <w:top w:val="nil"/>
                    <w:left w:val="nil"/>
                    <w:bottom w:val="single" w:sz="4" w:space="0" w:color="auto"/>
                    <w:right w:val="double" w:sz="6"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19"/>
                      <w:szCs w:val="19"/>
                    </w:rPr>
                  </w:pPr>
                  <w:r w:rsidRPr="00E04C25">
                    <w:rPr>
                      <w:rFonts w:ascii="Arial" w:hAnsi="Arial" w:cs="Arial"/>
                      <w:b/>
                      <w:bCs/>
                      <w:sz w:val="19"/>
                      <w:szCs w:val="19"/>
                    </w:rPr>
                    <w:t>85,6</w:t>
                  </w:r>
                </w:p>
              </w:tc>
              <w:tc>
                <w:tcPr>
                  <w:tcW w:w="1005" w:type="dxa"/>
                  <w:tcBorders>
                    <w:top w:val="nil"/>
                    <w:left w:val="nil"/>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87,1</w:t>
                  </w:r>
                </w:p>
              </w:tc>
            </w:tr>
            <w:tr w:rsidR="004A34B4" w:rsidRPr="00E04C25" w:rsidTr="004A34B4">
              <w:trPr>
                <w:trHeight w:val="284"/>
                <w:jc w:val="center"/>
              </w:trPr>
              <w:tc>
                <w:tcPr>
                  <w:tcW w:w="3154" w:type="dxa"/>
                  <w:tcBorders>
                    <w:top w:val="nil"/>
                    <w:left w:val="double" w:sz="6" w:space="0" w:color="auto"/>
                    <w:bottom w:val="nil"/>
                    <w:right w:val="nil"/>
                  </w:tcBorders>
                  <w:shd w:val="clear" w:color="auto" w:fill="auto"/>
                  <w:noWrap/>
                  <w:vAlign w:val="center"/>
                  <w:hideMark/>
                </w:tcPr>
                <w:p w:rsidR="004741A8" w:rsidRPr="00E04C25" w:rsidRDefault="004741A8" w:rsidP="00523B41">
                  <w:pPr>
                    <w:rPr>
                      <w:rFonts w:ascii="Arial" w:hAnsi="Arial" w:cs="Arial"/>
                      <w:sz w:val="19"/>
                      <w:szCs w:val="19"/>
                    </w:rPr>
                  </w:pPr>
                  <w:r w:rsidRPr="00E04C25">
                    <w:rPr>
                      <w:rFonts w:ascii="Arial" w:hAnsi="Arial" w:cs="Arial"/>
                      <w:sz w:val="19"/>
                      <w:szCs w:val="19"/>
                    </w:rPr>
                    <w:t xml:space="preserve">      v tom    - ženy</w:t>
                  </w:r>
                </w:p>
              </w:tc>
              <w:tc>
                <w:tcPr>
                  <w:tcW w:w="1017" w:type="dxa"/>
                  <w:tcBorders>
                    <w:top w:val="nil"/>
                    <w:left w:val="double" w:sz="6" w:space="0" w:color="auto"/>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51,1</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50,1</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46,5</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42,3</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42,4</w:t>
                  </w:r>
                </w:p>
              </w:tc>
              <w:tc>
                <w:tcPr>
                  <w:tcW w:w="787" w:type="dxa"/>
                  <w:tcBorders>
                    <w:top w:val="nil"/>
                    <w:left w:val="nil"/>
                    <w:bottom w:val="nil"/>
                    <w:right w:val="double" w:sz="6"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41,9</w:t>
                  </w:r>
                </w:p>
              </w:tc>
              <w:tc>
                <w:tcPr>
                  <w:tcW w:w="1005" w:type="dxa"/>
                  <w:tcBorders>
                    <w:top w:val="nil"/>
                    <w:left w:val="nil"/>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45,2</w:t>
                  </w:r>
                </w:p>
              </w:tc>
            </w:tr>
            <w:tr w:rsidR="004A34B4" w:rsidRPr="00E04C25" w:rsidTr="004A34B4">
              <w:trPr>
                <w:trHeight w:val="284"/>
                <w:jc w:val="center"/>
              </w:trPr>
              <w:tc>
                <w:tcPr>
                  <w:tcW w:w="3154" w:type="dxa"/>
                  <w:tcBorders>
                    <w:top w:val="nil"/>
                    <w:left w:val="double" w:sz="6" w:space="0" w:color="auto"/>
                    <w:bottom w:val="single" w:sz="4" w:space="0" w:color="auto"/>
                    <w:right w:val="nil"/>
                  </w:tcBorders>
                  <w:shd w:val="clear" w:color="auto" w:fill="auto"/>
                  <w:noWrap/>
                  <w:vAlign w:val="center"/>
                  <w:hideMark/>
                </w:tcPr>
                <w:p w:rsidR="004741A8" w:rsidRPr="00E04C25" w:rsidRDefault="004741A8" w:rsidP="00523B41">
                  <w:pPr>
                    <w:rPr>
                      <w:rFonts w:ascii="Arial" w:hAnsi="Arial" w:cs="Arial"/>
                      <w:sz w:val="19"/>
                      <w:szCs w:val="19"/>
                    </w:rPr>
                  </w:pPr>
                  <w:r w:rsidRPr="00E04C25">
                    <w:rPr>
                      <w:rFonts w:ascii="Arial" w:hAnsi="Arial" w:cs="Arial"/>
                      <w:sz w:val="19"/>
                      <w:szCs w:val="19"/>
                    </w:rPr>
                    <w:t xml:space="preserve">                   – muži</w:t>
                  </w:r>
                </w:p>
              </w:tc>
              <w:tc>
                <w:tcPr>
                  <w:tcW w:w="1017" w:type="dxa"/>
                  <w:tcBorders>
                    <w:top w:val="nil"/>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46,8</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52,9</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53,4</w:t>
                  </w:r>
                </w:p>
              </w:tc>
              <w:tc>
                <w:tcPr>
                  <w:tcW w:w="785" w:type="dxa"/>
                  <w:tcBorders>
                    <w:top w:val="nil"/>
                    <w:left w:val="nil"/>
                    <w:bottom w:val="single" w:sz="4" w:space="0" w:color="auto"/>
                    <w:right w:val="nil"/>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33,0</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31,9</w:t>
                  </w:r>
                </w:p>
              </w:tc>
              <w:tc>
                <w:tcPr>
                  <w:tcW w:w="787" w:type="dxa"/>
                  <w:tcBorders>
                    <w:top w:val="nil"/>
                    <w:left w:val="nil"/>
                    <w:bottom w:val="single" w:sz="4" w:space="0" w:color="auto"/>
                    <w:right w:val="nil"/>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43,7</w:t>
                  </w:r>
                </w:p>
              </w:tc>
              <w:tc>
                <w:tcPr>
                  <w:tcW w:w="1005" w:type="dxa"/>
                  <w:tcBorders>
                    <w:top w:val="nil"/>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42,0</w:t>
                  </w:r>
                </w:p>
              </w:tc>
            </w:tr>
            <w:tr w:rsidR="004A34B4" w:rsidRPr="00E04C25" w:rsidTr="004A34B4">
              <w:trPr>
                <w:trHeight w:val="284"/>
                <w:jc w:val="center"/>
              </w:trPr>
              <w:tc>
                <w:tcPr>
                  <w:tcW w:w="3154" w:type="dxa"/>
                  <w:tcBorders>
                    <w:top w:val="nil"/>
                    <w:left w:val="double" w:sz="6" w:space="0" w:color="auto"/>
                    <w:bottom w:val="nil"/>
                    <w:right w:val="nil"/>
                  </w:tcBorders>
                  <w:shd w:val="clear" w:color="auto" w:fill="auto"/>
                  <w:vAlign w:val="center"/>
                  <w:hideMark/>
                </w:tcPr>
                <w:p w:rsidR="004741A8" w:rsidRPr="00E04C25" w:rsidRDefault="004741A8" w:rsidP="00523B41">
                  <w:pPr>
                    <w:rPr>
                      <w:rFonts w:ascii="Arial" w:hAnsi="Arial" w:cs="Arial"/>
                      <w:b/>
                      <w:bCs/>
                      <w:sz w:val="19"/>
                      <w:szCs w:val="19"/>
                    </w:rPr>
                  </w:pPr>
                  <w:r w:rsidRPr="00E04C25">
                    <w:rPr>
                      <w:rFonts w:ascii="Arial" w:hAnsi="Arial" w:cs="Arial"/>
                      <w:b/>
                      <w:bCs/>
                      <w:sz w:val="19"/>
                      <w:szCs w:val="19"/>
                    </w:rPr>
                    <w:t>Pobírající PvN na celkovém počtu uchazečů (v %)</w:t>
                  </w:r>
                </w:p>
              </w:tc>
              <w:tc>
                <w:tcPr>
                  <w:tcW w:w="1017" w:type="dxa"/>
                  <w:tcBorders>
                    <w:top w:val="nil"/>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24,1</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19"/>
                      <w:szCs w:val="19"/>
                    </w:rPr>
                  </w:pPr>
                  <w:r w:rsidRPr="00E04C25">
                    <w:rPr>
                      <w:rFonts w:ascii="Arial" w:hAnsi="Arial" w:cs="Arial"/>
                      <w:b/>
                      <w:bCs/>
                      <w:sz w:val="19"/>
                      <w:szCs w:val="19"/>
                    </w:rPr>
                    <w:t>27,0</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19"/>
                      <w:szCs w:val="19"/>
                    </w:rPr>
                  </w:pPr>
                  <w:r w:rsidRPr="00E04C25">
                    <w:rPr>
                      <w:rFonts w:ascii="Arial" w:hAnsi="Arial" w:cs="Arial"/>
                      <w:b/>
                      <w:bCs/>
                      <w:sz w:val="19"/>
                      <w:szCs w:val="19"/>
                    </w:rPr>
                    <w:t>28,1</w:t>
                  </w:r>
                </w:p>
              </w:tc>
              <w:tc>
                <w:tcPr>
                  <w:tcW w:w="785" w:type="dxa"/>
                  <w:tcBorders>
                    <w:top w:val="nil"/>
                    <w:left w:val="nil"/>
                    <w:bottom w:val="single" w:sz="4" w:space="0" w:color="auto"/>
                    <w:right w:val="nil"/>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25,3</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26,1</w:t>
                  </w:r>
                </w:p>
              </w:tc>
              <w:tc>
                <w:tcPr>
                  <w:tcW w:w="787" w:type="dxa"/>
                  <w:tcBorders>
                    <w:top w:val="nil"/>
                    <w:left w:val="nil"/>
                    <w:bottom w:val="single" w:sz="4" w:space="0" w:color="auto"/>
                    <w:right w:val="nil"/>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30,5</w:t>
                  </w:r>
                </w:p>
              </w:tc>
              <w:tc>
                <w:tcPr>
                  <w:tcW w:w="1005" w:type="dxa"/>
                  <w:tcBorders>
                    <w:top w:val="nil"/>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27,4</w:t>
                  </w:r>
                </w:p>
              </w:tc>
            </w:tr>
            <w:tr w:rsidR="004A34B4" w:rsidRPr="00E04C25" w:rsidTr="004A34B4">
              <w:trPr>
                <w:trHeight w:val="284"/>
                <w:jc w:val="center"/>
              </w:trPr>
              <w:tc>
                <w:tcPr>
                  <w:tcW w:w="3154" w:type="dxa"/>
                  <w:tcBorders>
                    <w:top w:val="single" w:sz="4" w:space="0" w:color="auto"/>
                    <w:left w:val="double" w:sz="6" w:space="0" w:color="auto"/>
                    <w:bottom w:val="nil"/>
                    <w:right w:val="nil"/>
                  </w:tcBorders>
                  <w:shd w:val="clear" w:color="auto" w:fill="auto"/>
                  <w:noWrap/>
                  <w:vAlign w:val="center"/>
                  <w:hideMark/>
                </w:tcPr>
                <w:p w:rsidR="004741A8" w:rsidRPr="00E04C25" w:rsidRDefault="004741A8" w:rsidP="00523B41">
                  <w:pPr>
                    <w:rPr>
                      <w:rFonts w:ascii="Arial" w:hAnsi="Arial" w:cs="Arial"/>
                      <w:sz w:val="19"/>
                      <w:szCs w:val="19"/>
                    </w:rPr>
                  </w:pPr>
                  <w:r w:rsidRPr="00E04C25">
                    <w:rPr>
                      <w:rFonts w:ascii="Arial" w:hAnsi="Arial" w:cs="Arial"/>
                      <w:sz w:val="19"/>
                      <w:szCs w:val="19"/>
                    </w:rPr>
                    <w:t xml:space="preserve">                   - ženy (v %)</w:t>
                  </w:r>
                </w:p>
              </w:tc>
              <w:tc>
                <w:tcPr>
                  <w:tcW w:w="1017" w:type="dxa"/>
                  <w:tcBorders>
                    <w:top w:val="nil"/>
                    <w:left w:val="double" w:sz="6" w:space="0" w:color="auto"/>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24,4</w:t>
                  </w:r>
                </w:p>
              </w:tc>
              <w:tc>
                <w:tcPr>
                  <w:tcW w:w="785" w:type="dxa"/>
                  <w:tcBorders>
                    <w:top w:val="nil"/>
                    <w:left w:val="single" w:sz="4" w:space="0" w:color="auto"/>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26,1</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26,3</w:t>
                  </w:r>
                </w:p>
              </w:tc>
              <w:tc>
                <w:tcPr>
                  <w:tcW w:w="785" w:type="dxa"/>
                  <w:tcBorders>
                    <w:top w:val="nil"/>
                    <w:left w:val="nil"/>
                    <w:bottom w:val="nil"/>
                    <w:right w:val="nil"/>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26,7</w:t>
                  </w:r>
                </w:p>
              </w:tc>
              <w:tc>
                <w:tcPr>
                  <w:tcW w:w="785" w:type="dxa"/>
                  <w:tcBorders>
                    <w:top w:val="nil"/>
                    <w:left w:val="single" w:sz="4" w:space="0" w:color="auto"/>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27,8</w:t>
                  </w:r>
                </w:p>
              </w:tc>
              <w:tc>
                <w:tcPr>
                  <w:tcW w:w="787" w:type="dxa"/>
                  <w:tcBorders>
                    <w:top w:val="nil"/>
                    <w:left w:val="nil"/>
                    <w:bottom w:val="nil"/>
                    <w:right w:val="nil"/>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29,8</w:t>
                  </w:r>
                </w:p>
              </w:tc>
              <w:tc>
                <w:tcPr>
                  <w:tcW w:w="1005" w:type="dxa"/>
                  <w:tcBorders>
                    <w:top w:val="nil"/>
                    <w:left w:val="double" w:sz="6" w:space="0" w:color="auto"/>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27,5</w:t>
                  </w:r>
                </w:p>
              </w:tc>
            </w:tr>
            <w:tr w:rsidR="004A34B4" w:rsidRPr="00E04C25" w:rsidTr="004A34B4">
              <w:trPr>
                <w:trHeight w:val="284"/>
                <w:jc w:val="center"/>
              </w:trPr>
              <w:tc>
                <w:tcPr>
                  <w:tcW w:w="3154" w:type="dxa"/>
                  <w:tcBorders>
                    <w:top w:val="nil"/>
                    <w:left w:val="double" w:sz="6" w:space="0" w:color="auto"/>
                    <w:bottom w:val="single" w:sz="4" w:space="0" w:color="auto"/>
                    <w:right w:val="nil"/>
                  </w:tcBorders>
                  <w:shd w:val="clear" w:color="auto" w:fill="auto"/>
                  <w:noWrap/>
                  <w:vAlign w:val="center"/>
                  <w:hideMark/>
                </w:tcPr>
                <w:p w:rsidR="004741A8" w:rsidRPr="00E04C25" w:rsidRDefault="004741A8" w:rsidP="00523B41">
                  <w:pPr>
                    <w:rPr>
                      <w:rFonts w:ascii="Arial" w:hAnsi="Arial" w:cs="Arial"/>
                      <w:sz w:val="19"/>
                      <w:szCs w:val="19"/>
                    </w:rPr>
                  </w:pPr>
                  <w:r w:rsidRPr="00E04C25">
                    <w:rPr>
                      <w:rFonts w:ascii="Arial" w:hAnsi="Arial" w:cs="Arial"/>
                      <w:sz w:val="19"/>
                      <w:szCs w:val="19"/>
                    </w:rPr>
                    <w:t xml:space="preserve">                   -  muži (v %)</w:t>
                  </w:r>
                </w:p>
              </w:tc>
              <w:tc>
                <w:tcPr>
                  <w:tcW w:w="1017" w:type="dxa"/>
                  <w:tcBorders>
                    <w:top w:val="nil"/>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23,8</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27,9</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29,8</w:t>
                  </w:r>
                </w:p>
              </w:tc>
              <w:tc>
                <w:tcPr>
                  <w:tcW w:w="785" w:type="dxa"/>
                  <w:tcBorders>
                    <w:top w:val="nil"/>
                    <w:left w:val="nil"/>
                    <w:bottom w:val="single" w:sz="4" w:space="0" w:color="auto"/>
                    <w:right w:val="nil"/>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23,7</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24,1</w:t>
                  </w:r>
                </w:p>
              </w:tc>
              <w:tc>
                <w:tcPr>
                  <w:tcW w:w="787" w:type="dxa"/>
                  <w:tcBorders>
                    <w:top w:val="nil"/>
                    <w:left w:val="nil"/>
                    <w:bottom w:val="single" w:sz="4" w:space="0" w:color="auto"/>
                    <w:right w:val="double" w:sz="6"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31,3</w:t>
                  </w:r>
                </w:p>
              </w:tc>
              <w:tc>
                <w:tcPr>
                  <w:tcW w:w="1005" w:type="dxa"/>
                  <w:tcBorders>
                    <w:top w:val="nil"/>
                    <w:left w:val="nil"/>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27,3</w:t>
                  </w:r>
                </w:p>
              </w:tc>
            </w:tr>
            <w:tr w:rsidR="004A34B4" w:rsidRPr="00E04C25" w:rsidTr="004A34B4">
              <w:trPr>
                <w:trHeight w:val="284"/>
                <w:jc w:val="center"/>
              </w:trPr>
              <w:tc>
                <w:tcPr>
                  <w:tcW w:w="3154" w:type="dxa"/>
                  <w:tcBorders>
                    <w:top w:val="nil"/>
                    <w:left w:val="double" w:sz="6" w:space="0" w:color="auto"/>
                    <w:bottom w:val="single" w:sz="4" w:space="0" w:color="auto"/>
                    <w:right w:val="nil"/>
                  </w:tcBorders>
                  <w:shd w:val="clear" w:color="auto" w:fill="auto"/>
                  <w:noWrap/>
                  <w:vAlign w:val="center"/>
                  <w:hideMark/>
                </w:tcPr>
                <w:p w:rsidR="004741A8" w:rsidRPr="00E04C25" w:rsidRDefault="004741A8" w:rsidP="00523B41">
                  <w:pPr>
                    <w:rPr>
                      <w:rFonts w:ascii="Arial" w:hAnsi="Arial" w:cs="Arial"/>
                      <w:b/>
                      <w:bCs/>
                      <w:sz w:val="19"/>
                      <w:szCs w:val="19"/>
                    </w:rPr>
                  </w:pPr>
                  <w:r w:rsidRPr="00E04C25">
                    <w:rPr>
                      <w:rFonts w:ascii="Arial" w:hAnsi="Arial" w:cs="Arial"/>
                      <w:b/>
                      <w:bCs/>
                      <w:sz w:val="19"/>
                      <w:szCs w:val="19"/>
                    </w:rPr>
                    <w:t xml:space="preserve">Průměrná výše PvN (v Kč) </w:t>
                  </w:r>
                </w:p>
              </w:tc>
              <w:tc>
                <w:tcPr>
                  <w:tcW w:w="1017" w:type="dxa"/>
                  <w:tcBorders>
                    <w:top w:val="nil"/>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6 376</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6 457</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6 396</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6 814</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7 048</w:t>
                  </w:r>
                </w:p>
              </w:tc>
              <w:tc>
                <w:tcPr>
                  <w:tcW w:w="787"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6 969</w:t>
                  </w:r>
                </w:p>
              </w:tc>
              <w:tc>
                <w:tcPr>
                  <w:tcW w:w="1005" w:type="dxa"/>
                  <w:tcBorders>
                    <w:top w:val="nil"/>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6 746</w:t>
                  </w:r>
                </w:p>
              </w:tc>
            </w:tr>
            <w:tr w:rsidR="004A34B4" w:rsidRPr="00E04C25" w:rsidTr="004A34B4">
              <w:trPr>
                <w:trHeight w:val="284"/>
                <w:jc w:val="center"/>
              </w:trPr>
              <w:tc>
                <w:tcPr>
                  <w:tcW w:w="3154" w:type="dxa"/>
                  <w:tcBorders>
                    <w:top w:val="nil"/>
                    <w:left w:val="double" w:sz="6" w:space="0" w:color="auto"/>
                    <w:bottom w:val="nil"/>
                    <w:right w:val="nil"/>
                  </w:tcBorders>
                  <w:shd w:val="clear" w:color="auto" w:fill="auto"/>
                  <w:noWrap/>
                  <w:vAlign w:val="center"/>
                  <w:hideMark/>
                </w:tcPr>
                <w:p w:rsidR="004741A8" w:rsidRPr="00E04C25" w:rsidRDefault="004741A8" w:rsidP="00523B41">
                  <w:pPr>
                    <w:rPr>
                      <w:rFonts w:ascii="Arial" w:hAnsi="Arial" w:cs="Arial"/>
                      <w:sz w:val="19"/>
                      <w:szCs w:val="19"/>
                    </w:rPr>
                  </w:pPr>
                  <w:r w:rsidRPr="00E04C25">
                    <w:rPr>
                      <w:rFonts w:ascii="Arial" w:hAnsi="Arial" w:cs="Arial"/>
                      <w:sz w:val="19"/>
                      <w:szCs w:val="19"/>
                    </w:rPr>
                    <w:t xml:space="preserve">                   – ženy</w:t>
                  </w:r>
                </w:p>
              </w:tc>
              <w:tc>
                <w:tcPr>
                  <w:tcW w:w="1017" w:type="dxa"/>
                  <w:tcBorders>
                    <w:top w:val="nil"/>
                    <w:left w:val="double" w:sz="6" w:space="0" w:color="auto"/>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5 759</w:t>
                  </w:r>
                </w:p>
              </w:tc>
              <w:tc>
                <w:tcPr>
                  <w:tcW w:w="785" w:type="dxa"/>
                  <w:tcBorders>
                    <w:top w:val="nil"/>
                    <w:left w:val="single" w:sz="4" w:space="0" w:color="auto"/>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5 857</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5 879</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6 118</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6 297</w:t>
                  </w:r>
                </w:p>
              </w:tc>
              <w:tc>
                <w:tcPr>
                  <w:tcW w:w="787"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6 346</w:t>
                  </w:r>
                </w:p>
              </w:tc>
              <w:tc>
                <w:tcPr>
                  <w:tcW w:w="1005" w:type="dxa"/>
                  <w:tcBorders>
                    <w:top w:val="nil"/>
                    <w:left w:val="double" w:sz="6" w:space="0" w:color="auto"/>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6 106</w:t>
                  </w:r>
                </w:p>
              </w:tc>
            </w:tr>
            <w:tr w:rsidR="004A34B4" w:rsidRPr="00E04C25" w:rsidTr="004A34B4">
              <w:trPr>
                <w:trHeight w:val="284"/>
                <w:jc w:val="center"/>
              </w:trPr>
              <w:tc>
                <w:tcPr>
                  <w:tcW w:w="3154" w:type="dxa"/>
                  <w:tcBorders>
                    <w:top w:val="nil"/>
                    <w:left w:val="double" w:sz="6" w:space="0" w:color="auto"/>
                    <w:bottom w:val="single" w:sz="4" w:space="0" w:color="auto"/>
                    <w:right w:val="nil"/>
                  </w:tcBorders>
                  <w:shd w:val="clear" w:color="auto" w:fill="auto"/>
                  <w:noWrap/>
                  <w:vAlign w:val="center"/>
                  <w:hideMark/>
                </w:tcPr>
                <w:p w:rsidR="004741A8" w:rsidRPr="00E04C25" w:rsidRDefault="004741A8" w:rsidP="00523B41">
                  <w:pPr>
                    <w:rPr>
                      <w:rFonts w:ascii="Arial" w:hAnsi="Arial" w:cs="Arial"/>
                      <w:sz w:val="19"/>
                      <w:szCs w:val="19"/>
                    </w:rPr>
                  </w:pPr>
                  <w:r w:rsidRPr="00E04C25">
                    <w:rPr>
                      <w:rFonts w:ascii="Arial" w:hAnsi="Arial" w:cs="Arial"/>
                      <w:sz w:val="19"/>
                      <w:szCs w:val="19"/>
                    </w:rPr>
                    <w:t xml:space="preserve">                   – muži</w:t>
                  </w:r>
                </w:p>
              </w:tc>
              <w:tc>
                <w:tcPr>
                  <w:tcW w:w="1017" w:type="dxa"/>
                  <w:tcBorders>
                    <w:top w:val="nil"/>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7 049</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7 025</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6 846</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7 706</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8 046</w:t>
                  </w:r>
                </w:p>
              </w:tc>
              <w:tc>
                <w:tcPr>
                  <w:tcW w:w="787"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7 566</w:t>
                  </w:r>
                </w:p>
              </w:tc>
              <w:tc>
                <w:tcPr>
                  <w:tcW w:w="1005" w:type="dxa"/>
                  <w:tcBorders>
                    <w:top w:val="nil"/>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7 435</w:t>
                  </w:r>
                </w:p>
              </w:tc>
            </w:tr>
            <w:tr w:rsidR="004A34B4" w:rsidRPr="00E04C25" w:rsidTr="004A34B4">
              <w:trPr>
                <w:trHeight w:val="284"/>
                <w:jc w:val="center"/>
              </w:trPr>
              <w:tc>
                <w:tcPr>
                  <w:tcW w:w="3154" w:type="dxa"/>
                  <w:tcBorders>
                    <w:top w:val="nil"/>
                    <w:left w:val="double" w:sz="6" w:space="0" w:color="auto"/>
                    <w:bottom w:val="single" w:sz="4" w:space="0" w:color="auto"/>
                    <w:right w:val="nil"/>
                  </w:tcBorders>
                  <w:shd w:val="clear" w:color="auto" w:fill="auto"/>
                  <w:noWrap/>
                  <w:vAlign w:val="center"/>
                  <w:hideMark/>
                </w:tcPr>
                <w:p w:rsidR="004741A8" w:rsidRPr="00E04C25" w:rsidRDefault="004741A8" w:rsidP="00523B41">
                  <w:pPr>
                    <w:rPr>
                      <w:rFonts w:ascii="Arial" w:hAnsi="Arial" w:cs="Arial"/>
                      <w:b/>
                      <w:bCs/>
                      <w:sz w:val="19"/>
                      <w:szCs w:val="19"/>
                    </w:rPr>
                  </w:pPr>
                  <w:r w:rsidRPr="00E04C25">
                    <w:rPr>
                      <w:rFonts w:ascii="Arial" w:hAnsi="Arial" w:cs="Arial"/>
                      <w:b/>
                      <w:bCs/>
                      <w:sz w:val="19"/>
                      <w:szCs w:val="19"/>
                    </w:rPr>
                    <w:t>Volná pracovní místa (v tis.)</w:t>
                  </w:r>
                </w:p>
              </w:tc>
              <w:tc>
                <w:tcPr>
                  <w:tcW w:w="1017" w:type="dxa"/>
                  <w:tcBorders>
                    <w:top w:val="nil"/>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127,9</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19"/>
                      <w:szCs w:val="19"/>
                    </w:rPr>
                  </w:pPr>
                  <w:r w:rsidRPr="00E04C25">
                    <w:rPr>
                      <w:rFonts w:ascii="Arial" w:hAnsi="Arial" w:cs="Arial"/>
                      <w:b/>
                      <w:bCs/>
                      <w:sz w:val="19"/>
                      <w:szCs w:val="19"/>
                    </w:rPr>
                    <w:t>132,5</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19"/>
                      <w:szCs w:val="19"/>
                    </w:rPr>
                  </w:pPr>
                  <w:r w:rsidRPr="00E04C25">
                    <w:rPr>
                      <w:rFonts w:ascii="Arial" w:hAnsi="Arial" w:cs="Arial"/>
                      <w:b/>
                      <w:bCs/>
                      <w:sz w:val="19"/>
                      <w:szCs w:val="19"/>
                    </w:rPr>
                    <w:t>150,9</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19"/>
                      <w:szCs w:val="19"/>
                    </w:rPr>
                  </w:pPr>
                  <w:r w:rsidRPr="00E04C25">
                    <w:rPr>
                      <w:rFonts w:ascii="Arial" w:hAnsi="Arial" w:cs="Arial"/>
                      <w:b/>
                      <w:bCs/>
                      <w:sz w:val="19"/>
                      <w:szCs w:val="19"/>
                    </w:rPr>
                    <w:t>183,5</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19"/>
                      <w:szCs w:val="19"/>
                    </w:rPr>
                  </w:pPr>
                  <w:r w:rsidRPr="00E04C25">
                    <w:rPr>
                      <w:rFonts w:ascii="Arial" w:hAnsi="Arial" w:cs="Arial"/>
                      <w:b/>
                      <w:bCs/>
                      <w:sz w:val="19"/>
                      <w:szCs w:val="19"/>
                    </w:rPr>
                    <w:t>206,1</w:t>
                  </w:r>
                </w:p>
              </w:tc>
              <w:tc>
                <w:tcPr>
                  <w:tcW w:w="787" w:type="dxa"/>
                  <w:tcBorders>
                    <w:top w:val="nil"/>
                    <w:left w:val="nil"/>
                    <w:bottom w:val="single" w:sz="4" w:space="0" w:color="auto"/>
                    <w:right w:val="double" w:sz="6"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216,6</w:t>
                  </w:r>
                </w:p>
              </w:tc>
              <w:tc>
                <w:tcPr>
                  <w:tcW w:w="1005" w:type="dxa"/>
                  <w:tcBorders>
                    <w:top w:val="nil"/>
                    <w:left w:val="nil"/>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178,2</w:t>
                  </w:r>
                </w:p>
              </w:tc>
            </w:tr>
            <w:tr w:rsidR="004A34B4" w:rsidRPr="00E04C25" w:rsidTr="004A34B4">
              <w:trPr>
                <w:trHeight w:val="284"/>
                <w:jc w:val="center"/>
              </w:trPr>
              <w:tc>
                <w:tcPr>
                  <w:tcW w:w="3154" w:type="dxa"/>
                  <w:tcBorders>
                    <w:top w:val="nil"/>
                    <w:left w:val="double" w:sz="6" w:space="0" w:color="auto"/>
                    <w:bottom w:val="single" w:sz="4" w:space="0" w:color="auto"/>
                    <w:right w:val="nil"/>
                  </w:tcBorders>
                  <w:shd w:val="clear" w:color="auto" w:fill="auto"/>
                  <w:noWrap/>
                  <w:vAlign w:val="center"/>
                  <w:hideMark/>
                </w:tcPr>
                <w:p w:rsidR="004741A8" w:rsidRPr="00E04C25" w:rsidRDefault="004741A8" w:rsidP="00523B41">
                  <w:pPr>
                    <w:rPr>
                      <w:rFonts w:ascii="Arial" w:hAnsi="Arial" w:cs="Arial"/>
                      <w:b/>
                      <w:bCs/>
                      <w:sz w:val="19"/>
                      <w:szCs w:val="19"/>
                    </w:rPr>
                  </w:pPr>
                  <w:r w:rsidRPr="00E04C25">
                    <w:rPr>
                      <w:rFonts w:ascii="Arial" w:hAnsi="Arial" w:cs="Arial"/>
                      <w:b/>
                      <w:bCs/>
                      <w:sz w:val="19"/>
                      <w:szCs w:val="19"/>
                    </w:rPr>
                    <w:t>Počet uchazečů na 1 VPM</w:t>
                  </w:r>
                </w:p>
              </w:tc>
              <w:tc>
                <w:tcPr>
                  <w:tcW w:w="1017" w:type="dxa"/>
                  <w:tcBorders>
                    <w:top w:val="nil"/>
                    <w:left w:val="double" w:sz="6" w:space="0" w:color="auto"/>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3,2</w:t>
                  </w:r>
                </w:p>
              </w:tc>
              <w:tc>
                <w:tcPr>
                  <w:tcW w:w="785" w:type="dxa"/>
                  <w:tcBorders>
                    <w:top w:val="nil"/>
                    <w:left w:val="nil"/>
                    <w:bottom w:val="single" w:sz="4" w:space="0" w:color="auto"/>
                    <w:right w:val="nil"/>
                  </w:tcBorders>
                  <w:shd w:val="clear" w:color="auto" w:fill="auto"/>
                  <w:noWrap/>
                  <w:tcMar>
                    <w:right w:w="57" w:type="dxa"/>
                  </w:tcMar>
                  <w:vAlign w:val="center"/>
                  <w:hideMark/>
                </w:tcPr>
                <w:p w:rsidR="004741A8" w:rsidRPr="00E04C25" w:rsidRDefault="004741A8" w:rsidP="00AF42BF">
                  <w:pPr>
                    <w:jc w:val="right"/>
                    <w:rPr>
                      <w:rFonts w:ascii="Arial" w:hAnsi="Arial" w:cs="Arial"/>
                      <w:b/>
                      <w:bCs/>
                      <w:sz w:val="19"/>
                      <w:szCs w:val="19"/>
                    </w:rPr>
                  </w:pPr>
                  <w:r w:rsidRPr="00E04C25">
                    <w:rPr>
                      <w:rFonts w:ascii="Arial" w:hAnsi="Arial" w:cs="Arial"/>
                      <w:b/>
                      <w:bCs/>
                      <w:sz w:val="19"/>
                      <w:szCs w:val="19"/>
                    </w:rPr>
                    <w:t>2,9</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19"/>
                      <w:szCs w:val="19"/>
                    </w:rPr>
                  </w:pPr>
                  <w:r w:rsidRPr="00E04C25">
                    <w:rPr>
                      <w:rFonts w:ascii="Arial" w:hAnsi="Arial" w:cs="Arial"/>
                      <w:b/>
                      <w:bCs/>
                      <w:sz w:val="19"/>
                      <w:szCs w:val="19"/>
                    </w:rPr>
                    <w:t>2,4</w:t>
                  </w:r>
                </w:p>
              </w:tc>
              <w:tc>
                <w:tcPr>
                  <w:tcW w:w="785" w:type="dxa"/>
                  <w:tcBorders>
                    <w:top w:val="nil"/>
                    <w:left w:val="nil"/>
                    <w:bottom w:val="nil"/>
                    <w:right w:val="nil"/>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1,6</w:t>
                  </w:r>
                </w:p>
              </w:tc>
              <w:tc>
                <w:tcPr>
                  <w:tcW w:w="785" w:type="dxa"/>
                  <w:tcBorders>
                    <w:top w:val="nil"/>
                    <w:left w:val="single" w:sz="4" w:space="0" w:color="auto"/>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1,4</w:t>
                  </w:r>
                </w:p>
              </w:tc>
              <w:tc>
                <w:tcPr>
                  <w:tcW w:w="787" w:type="dxa"/>
                  <w:tcBorders>
                    <w:top w:val="nil"/>
                    <w:left w:val="nil"/>
                    <w:bottom w:val="nil"/>
                    <w:right w:val="nil"/>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1,3</w:t>
                  </w:r>
                </w:p>
              </w:tc>
              <w:tc>
                <w:tcPr>
                  <w:tcW w:w="1005" w:type="dxa"/>
                  <w:tcBorders>
                    <w:top w:val="nil"/>
                    <w:left w:val="double" w:sz="6" w:space="0" w:color="auto"/>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1,8</w:t>
                  </w:r>
                </w:p>
              </w:tc>
            </w:tr>
            <w:tr w:rsidR="004A34B4" w:rsidRPr="00E04C25" w:rsidTr="004A34B4">
              <w:trPr>
                <w:trHeight w:val="284"/>
                <w:jc w:val="center"/>
              </w:trPr>
              <w:tc>
                <w:tcPr>
                  <w:tcW w:w="3154" w:type="dxa"/>
                  <w:tcBorders>
                    <w:top w:val="nil"/>
                    <w:left w:val="double" w:sz="6" w:space="0" w:color="auto"/>
                    <w:bottom w:val="single" w:sz="4" w:space="0" w:color="auto"/>
                    <w:right w:val="nil"/>
                  </w:tcBorders>
                  <w:shd w:val="clear" w:color="auto" w:fill="auto"/>
                  <w:noWrap/>
                  <w:vAlign w:val="center"/>
                  <w:hideMark/>
                </w:tcPr>
                <w:p w:rsidR="004741A8" w:rsidRPr="00E04C25" w:rsidRDefault="004741A8" w:rsidP="00523B41">
                  <w:pPr>
                    <w:ind w:right="-111"/>
                    <w:rPr>
                      <w:rFonts w:ascii="Arial" w:hAnsi="Arial" w:cs="Arial"/>
                      <w:b/>
                      <w:bCs/>
                      <w:sz w:val="19"/>
                      <w:szCs w:val="19"/>
                    </w:rPr>
                  </w:pPr>
                  <w:r w:rsidRPr="00E04C25">
                    <w:rPr>
                      <w:rFonts w:ascii="Arial" w:hAnsi="Arial" w:cs="Arial"/>
                      <w:b/>
                      <w:sz w:val="19"/>
                      <w:szCs w:val="19"/>
                    </w:rPr>
                    <w:t>Podíl nezaměstnaných osob</w:t>
                  </w:r>
                  <w:r w:rsidRPr="00E04C25">
                    <w:rPr>
                      <w:rFonts w:ascii="Arial" w:hAnsi="Arial" w:cs="Arial"/>
                      <w:b/>
                      <w:bCs/>
                      <w:sz w:val="19"/>
                      <w:szCs w:val="19"/>
                    </w:rPr>
                    <w:t xml:space="preserve"> (v %)</w:t>
                  </w:r>
                </w:p>
              </w:tc>
              <w:tc>
                <w:tcPr>
                  <w:tcW w:w="1017" w:type="dxa"/>
                  <w:tcBorders>
                    <w:top w:val="single" w:sz="4" w:space="0" w:color="auto"/>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5,6</w:t>
                  </w:r>
                </w:p>
              </w:tc>
              <w:tc>
                <w:tcPr>
                  <w:tcW w:w="785"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19"/>
                      <w:szCs w:val="19"/>
                    </w:rPr>
                  </w:pPr>
                  <w:r w:rsidRPr="00E04C25">
                    <w:rPr>
                      <w:rFonts w:ascii="Arial" w:hAnsi="Arial" w:cs="Arial"/>
                      <w:b/>
                      <w:bCs/>
                      <w:sz w:val="19"/>
                      <w:szCs w:val="19"/>
                    </w:rPr>
                    <w:t>5,2</w:t>
                  </w:r>
                </w:p>
              </w:tc>
              <w:tc>
                <w:tcPr>
                  <w:tcW w:w="785" w:type="dxa"/>
                  <w:tcBorders>
                    <w:top w:val="nil"/>
                    <w:left w:val="nil"/>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19"/>
                      <w:szCs w:val="19"/>
                    </w:rPr>
                  </w:pPr>
                  <w:r w:rsidRPr="00E04C25">
                    <w:rPr>
                      <w:rFonts w:ascii="Arial" w:hAnsi="Arial" w:cs="Arial"/>
                      <w:b/>
                      <w:bCs/>
                      <w:sz w:val="19"/>
                      <w:szCs w:val="19"/>
                    </w:rPr>
                    <w:t>4,8</w:t>
                  </w:r>
                </w:p>
              </w:tc>
              <w:tc>
                <w:tcPr>
                  <w:tcW w:w="785" w:type="dxa"/>
                  <w:tcBorders>
                    <w:top w:val="single" w:sz="4" w:space="0" w:color="auto"/>
                    <w:left w:val="nil"/>
                    <w:bottom w:val="single" w:sz="4" w:space="0" w:color="auto"/>
                    <w:right w:val="nil"/>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4,0</w:t>
                  </w:r>
                </w:p>
              </w:tc>
              <w:tc>
                <w:tcPr>
                  <w:tcW w:w="785"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3,8</w:t>
                  </w:r>
                </w:p>
              </w:tc>
              <w:tc>
                <w:tcPr>
                  <w:tcW w:w="787" w:type="dxa"/>
                  <w:tcBorders>
                    <w:top w:val="single" w:sz="4" w:space="0" w:color="auto"/>
                    <w:left w:val="nil"/>
                    <w:bottom w:val="single" w:sz="4" w:space="0" w:color="auto"/>
                    <w:right w:val="nil"/>
                  </w:tcBorders>
                  <w:shd w:val="clear" w:color="auto" w:fill="auto"/>
                  <w:noWrap/>
                  <w:tcMar>
                    <w:right w:w="57"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3,8</w:t>
                  </w:r>
                </w:p>
              </w:tc>
              <w:tc>
                <w:tcPr>
                  <w:tcW w:w="1005" w:type="dxa"/>
                  <w:tcBorders>
                    <w:top w:val="single" w:sz="4" w:space="0" w:color="auto"/>
                    <w:left w:val="double" w:sz="6" w:space="0" w:color="auto"/>
                    <w:bottom w:val="single" w:sz="4"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b/>
                      <w:bCs/>
                      <w:sz w:val="20"/>
                      <w:szCs w:val="20"/>
                    </w:rPr>
                  </w:pPr>
                  <w:r w:rsidRPr="00E04C25">
                    <w:rPr>
                      <w:rFonts w:ascii="Arial" w:hAnsi="Arial" w:cs="Arial"/>
                      <w:b/>
                      <w:bCs/>
                      <w:sz w:val="20"/>
                      <w:szCs w:val="20"/>
                    </w:rPr>
                    <w:t>4,3</w:t>
                  </w:r>
                </w:p>
              </w:tc>
            </w:tr>
            <w:tr w:rsidR="004A34B4" w:rsidRPr="00E04C25" w:rsidTr="004A34B4">
              <w:trPr>
                <w:trHeight w:val="284"/>
                <w:jc w:val="center"/>
              </w:trPr>
              <w:tc>
                <w:tcPr>
                  <w:tcW w:w="3154" w:type="dxa"/>
                  <w:tcBorders>
                    <w:top w:val="nil"/>
                    <w:left w:val="double" w:sz="6" w:space="0" w:color="auto"/>
                    <w:bottom w:val="nil"/>
                    <w:right w:val="nil"/>
                  </w:tcBorders>
                  <w:shd w:val="clear" w:color="auto" w:fill="auto"/>
                  <w:noWrap/>
                  <w:vAlign w:val="center"/>
                  <w:hideMark/>
                </w:tcPr>
                <w:p w:rsidR="004741A8" w:rsidRPr="00E04C25" w:rsidRDefault="004741A8" w:rsidP="00AF42BF">
                  <w:pPr>
                    <w:rPr>
                      <w:rFonts w:ascii="Arial" w:hAnsi="Arial" w:cs="Arial"/>
                      <w:sz w:val="19"/>
                      <w:szCs w:val="19"/>
                    </w:rPr>
                  </w:pPr>
                  <w:r w:rsidRPr="00E04C25">
                    <w:rPr>
                      <w:rFonts w:ascii="Arial" w:hAnsi="Arial" w:cs="Arial"/>
                      <w:sz w:val="19"/>
                      <w:szCs w:val="19"/>
                    </w:rPr>
                    <w:t xml:space="preserve">                   – ženy</w:t>
                  </w:r>
                </w:p>
              </w:tc>
              <w:tc>
                <w:tcPr>
                  <w:tcW w:w="1017" w:type="dxa"/>
                  <w:tcBorders>
                    <w:top w:val="nil"/>
                    <w:left w:val="double" w:sz="6" w:space="0" w:color="auto"/>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5,8</w:t>
                  </w:r>
                </w:p>
              </w:tc>
              <w:tc>
                <w:tcPr>
                  <w:tcW w:w="785" w:type="dxa"/>
                  <w:tcBorders>
                    <w:top w:val="nil"/>
                    <w:left w:val="single" w:sz="4" w:space="0" w:color="auto"/>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5,3</w:t>
                  </w:r>
                </w:p>
              </w:tc>
              <w:tc>
                <w:tcPr>
                  <w:tcW w:w="785" w:type="dxa"/>
                  <w:tcBorders>
                    <w:top w:val="nil"/>
                    <w:left w:val="nil"/>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4,8</w:t>
                  </w:r>
                </w:p>
              </w:tc>
              <w:tc>
                <w:tcPr>
                  <w:tcW w:w="785" w:type="dxa"/>
                  <w:tcBorders>
                    <w:top w:val="nil"/>
                    <w:left w:val="nil"/>
                    <w:bottom w:val="nil"/>
                    <w:right w:val="nil"/>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4,3</w:t>
                  </w:r>
                </w:p>
              </w:tc>
              <w:tc>
                <w:tcPr>
                  <w:tcW w:w="785" w:type="dxa"/>
                  <w:tcBorders>
                    <w:top w:val="nil"/>
                    <w:left w:val="single" w:sz="4" w:space="0" w:color="auto"/>
                    <w:bottom w:val="nil"/>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4,1</w:t>
                  </w:r>
                </w:p>
              </w:tc>
              <w:tc>
                <w:tcPr>
                  <w:tcW w:w="787" w:type="dxa"/>
                  <w:tcBorders>
                    <w:top w:val="nil"/>
                    <w:left w:val="nil"/>
                    <w:bottom w:val="nil"/>
                    <w:right w:val="nil"/>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3,8</w:t>
                  </w:r>
                </w:p>
              </w:tc>
              <w:tc>
                <w:tcPr>
                  <w:tcW w:w="1005" w:type="dxa"/>
                  <w:tcBorders>
                    <w:top w:val="nil"/>
                    <w:left w:val="double" w:sz="6" w:space="0" w:color="auto"/>
                    <w:bottom w:val="nil"/>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4,5</w:t>
                  </w:r>
                </w:p>
              </w:tc>
            </w:tr>
            <w:tr w:rsidR="004A34B4" w:rsidRPr="00E04C25" w:rsidTr="004A34B4">
              <w:trPr>
                <w:trHeight w:val="284"/>
                <w:jc w:val="center"/>
              </w:trPr>
              <w:tc>
                <w:tcPr>
                  <w:tcW w:w="3154" w:type="dxa"/>
                  <w:tcBorders>
                    <w:top w:val="nil"/>
                    <w:left w:val="double" w:sz="6" w:space="0" w:color="auto"/>
                    <w:bottom w:val="double" w:sz="6" w:space="0" w:color="auto"/>
                    <w:right w:val="nil"/>
                  </w:tcBorders>
                  <w:shd w:val="clear" w:color="auto" w:fill="auto"/>
                  <w:noWrap/>
                  <w:vAlign w:val="center"/>
                  <w:hideMark/>
                </w:tcPr>
                <w:p w:rsidR="004741A8" w:rsidRPr="00E04C25" w:rsidRDefault="004741A8" w:rsidP="00AF42BF">
                  <w:pPr>
                    <w:rPr>
                      <w:rFonts w:ascii="Arial" w:hAnsi="Arial" w:cs="Arial"/>
                      <w:sz w:val="19"/>
                      <w:szCs w:val="19"/>
                    </w:rPr>
                  </w:pPr>
                  <w:r w:rsidRPr="00E04C25">
                    <w:rPr>
                      <w:rFonts w:ascii="Arial" w:hAnsi="Arial" w:cs="Arial"/>
                      <w:sz w:val="19"/>
                      <w:szCs w:val="19"/>
                    </w:rPr>
                    <w:t xml:space="preserve">                   – muži</w:t>
                  </w:r>
                </w:p>
              </w:tc>
              <w:tc>
                <w:tcPr>
                  <w:tcW w:w="1017" w:type="dxa"/>
                  <w:tcBorders>
                    <w:top w:val="nil"/>
                    <w:left w:val="double" w:sz="6" w:space="0" w:color="auto"/>
                    <w:bottom w:val="double" w:sz="6"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5,3</w:t>
                  </w:r>
                </w:p>
              </w:tc>
              <w:tc>
                <w:tcPr>
                  <w:tcW w:w="785" w:type="dxa"/>
                  <w:tcBorders>
                    <w:top w:val="nil"/>
                    <w:left w:val="nil"/>
                    <w:bottom w:val="double" w:sz="6"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5,1</w:t>
                  </w:r>
                </w:p>
              </w:tc>
              <w:tc>
                <w:tcPr>
                  <w:tcW w:w="785" w:type="dxa"/>
                  <w:tcBorders>
                    <w:top w:val="nil"/>
                    <w:left w:val="nil"/>
                    <w:bottom w:val="double" w:sz="6"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19"/>
                      <w:szCs w:val="19"/>
                    </w:rPr>
                  </w:pPr>
                  <w:r w:rsidRPr="00E04C25">
                    <w:rPr>
                      <w:rFonts w:ascii="Arial" w:hAnsi="Arial" w:cs="Arial"/>
                      <w:sz w:val="19"/>
                      <w:szCs w:val="19"/>
                    </w:rPr>
                    <w:t>4,8</w:t>
                  </w:r>
                </w:p>
              </w:tc>
              <w:tc>
                <w:tcPr>
                  <w:tcW w:w="785" w:type="dxa"/>
                  <w:tcBorders>
                    <w:top w:val="nil"/>
                    <w:left w:val="nil"/>
                    <w:bottom w:val="double" w:sz="6" w:space="0" w:color="auto"/>
                    <w:right w:val="nil"/>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3,7</w:t>
                  </w:r>
                </w:p>
              </w:tc>
              <w:tc>
                <w:tcPr>
                  <w:tcW w:w="785" w:type="dxa"/>
                  <w:tcBorders>
                    <w:top w:val="nil"/>
                    <w:left w:val="single" w:sz="4" w:space="0" w:color="auto"/>
                    <w:bottom w:val="double" w:sz="6" w:space="0" w:color="auto"/>
                    <w:right w:val="single" w:sz="4" w:space="0" w:color="auto"/>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3,5</w:t>
                  </w:r>
                </w:p>
              </w:tc>
              <w:tc>
                <w:tcPr>
                  <w:tcW w:w="787" w:type="dxa"/>
                  <w:tcBorders>
                    <w:top w:val="nil"/>
                    <w:left w:val="nil"/>
                    <w:bottom w:val="double" w:sz="6" w:space="0" w:color="auto"/>
                    <w:right w:val="nil"/>
                  </w:tcBorders>
                  <w:shd w:val="clear" w:color="auto" w:fill="auto"/>
                  <w:noWrap/>
                  <w:tcMar>
                    <w:right w:w="57"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3,7</w:t>
                  </w:r>
                </w:p>
              </w:tc>
              <w:tc>
                <w:tcPr>
                  <w:tcW w:w="1005" w:type="dxa"/>
                  <w:tcBorders>
                    <w:top w:val="nil"/>
                    <w:left w:val="double" w:sz="6" w:space="0" w:color="auto"/>
                    <w:bottom w:val="double" w:sz="6" w:space="0" w:color="auto"/>
                    <w:right w:val="double" w:sz="6" w:space="0" w:color="auto"/>
                  </w:tcBorders>
                  <w:shd w:val="clear" w:color="auto" w:fill="auto"/>
                  <w:noWrap/>
                  <w:tcMar>
                    <w:left w:w="0" w:type="dxa"/>
                    <w:right w:w="85" w:type="dxa"/>
                  </w:tcMar>
                  <w:vAlign w:val="center"/>
                  <w:hideMark/>
                </w:tcPr>
                <w:p w:rsidR="004741A8" w:rsidRPr="00E04C25" w:rsidRDefault="004741A8" w:rsidP="00AF42BF">
                  <w:pPr>
                    <w:jc w:val="right"/>
                    <w:rPr>
                      <w:rFonts w:ascii="Arial" w:hAnsi="Arial" w:cs="Arial"/>
                      <w:sz w:val="20"/>
                      <w:szCs w:val="20"/>
                    </w:rPr>
                  </w:pPr>
                  <w:r w:rsidRPr="00E04C25">
                    <w:rPr>
                      <w:rFonts w:ascii="Arial" w:hAnsi="Arial" w:cs="Arial"/>
                      <w:sz w:val="20"/>
                      <w:szCs w:val="20"/>
                    </w:rPr>
                    <w:t>4,1</w:t>
                  </w:r>
                </w:p>
              </w:tc>
            </w:tr>
          </w:tbl>
          <w:p w:rsidR="004741A8" w:rsidRPr="00E04C25" w:rsidRDefault="004741A8" w:rsidP="00523B41">
            <w:pPr>
              <w:rPr>
                <w:rFonts w:ascii="Arial" w:hAnsi="Arial" w:cs="Arial"/>
                <w:b/>
                <w:i/>
                <w:iCs/>
                <w:sz w:val="16"/>
                <w:szCs w:val="16"/>
                <w:lang w:eastAsia="en-US"/>
              </w:rPr>
            </w:pPr>
          </w:p>
        </w:tc>
        <w:tc>
          <w:tcPr>
            <w:tcW w:w="641" w:type="dxa"/>
            <w:noWrap/>
            <w:vAlign w:val="bottom"/>
          </w:tcPr>
          <w:p w:rsidR="004741A8" w:rsidRPr="00E04C25" w:rsidRDefault="004741A8" w:rsidP="00523B41">
            <w:pPr>
              <w:spacing w:line="276" w:lineRule="auto"/>
              <w:rPr>
                <w:rFonts w:ascii="Calibri" w:eastAsia="Calibri" w:hAnsi="Calibri"/>
                <w:b/>
                <w:sz w:val="22"/>
                <w:szCs w:val="22"/>
                <w:lang w:eastAsia="en-US"/>
              </w:rPr>
            </w:pPr>
          </w:p>
        </w:tc>
        <w:tc>
          <w:tcPr>
            <w:tcW w:w="641" w:type="dxa"/>
            <w:noWrap/>
            <w:vAlign w:val="bottom"/>
          </w:tcPr>
          <w:p w:rsidR="004741A8" w:rsidRPr="00E04C25" w:rsidRDefault="004741A8" w:rsidP="00523B41">
            <w:pPr>
              <w:spacing w:line="276" w:lineRule="auto"/>
              <w:rPr>
                <w:rFonts w:ascii="Calibri" w:eastAsia="Calibri" w:hAnsi="Calibri"/>
                <w:b/>
                <w:sz w:val="22"/>
                <w:szCs w:val="22"/>
                <w:lang w:eastAsia="en-US"/>
              </w:rPr>
            </w:pPr>
          </w:p>
        </w:tc>
        <w:tc>
          <w:tcPr>
            <w:tcW w:w="978" w:type="dxa"/>
            <w:noWrap/>
            <w:vAlign w:val="bottom"/>
          </w:tcPr>
          <w:p w:rsidR="004741A8" w:rsidRPr="00E04C25" w:rsidRDefault="004741A8" w:rsidP="00523B41">
            <w:pPr>
              <w:spacing w:line="276" w:lineRule="auto"/>
              <w:rPr>
                <w:rFonts w:ascii="Calibri" w:eastAsia="Calibri" w:hAnsi="Calibri"/>
                <w:b/>
                <w:sz w:val="22"/>
                <w:szCs w:val="22"/>
                <w:lang w:eastAsia="en-US"/>
              </w:rPr>
            </w:pPr>
          </w:p>
        </w:tc>
      </w:tr>
    </w:tbl>
    <w:p w:rsidR="00115440" w:rsidRPr="00E04C25" w:rsidRDefault="00AF42BF" w:rsidP="00115440">
      <w:pPr>
        <w:pStyle w:val="Zkladntext213"/>
        <w:tabs>
          <w:tab w:val="left" w:pos="567"/>
        </w:tabs>
        <w:spacing w:line="240" w:lineRule="auto"/>
        <w:rPr>
          <w:rFonts w:cs="Arial"/>
        </w:rPr>
      </w:pPr>
      <w:r w:rsidRPr="00E04C25">
        <w:rPr>
          <w:rFonts w:cs="Arial"/>
          <w:i/>
          <w:iCs/>
          <w:sz w:val="16"/>
          <w:szCs w:val="16"/>
        </w:rPr>
        <w:t>Pozn.: drobné odchylky součtu osob v jednotlivých kategoriích od uvedeného celkového počtu souvisí se zaokrouhlením hodnot na jedno desetinné místo</w:t>
      </w:r>
    </w:p>
    <w:p w:rsidR="00115440" w:rsidRPr="00E04C25" w:rsidRDefault="00115440" w:rsidP="00300FBD">
      <w:pPr>
        <w:pStyle w:val="Zkladntext213"/>
        <w:widowControl/>
        <w:tabs>
          <w:tab w:val="clear" w:pos="-720"/>
          <w:tab w:val="left" w:pos="900"/>
        </w:tabs>
        <w:suppressAutoHyphens w:val="0"/>
        <w:overflowPunct/>
        <w:autoSpaceDE/>
        <w:adjustRightInd/>
        <w:spacing w:line="240" w:lineRule="auto"/>
        <w:ind w:firstLine="567"/>
        <w:jc w:val="left"/>
        <w:rPr>
          <w:rFonts w:cs="Arial"/>
          <w:sz w:val="20"/>
        </w:rPr>
      </w:pPr>
      <w:r w:rsidRPr="00E04C25">
        <w:rPr>
          <w:bCs/>
        </w:rPr>
        <w:br w:type="column"/>
      </w:r>
      <w:r w:rsidRPr="00E04C25">
        <w:rPr>
          <w:bCs/>
        </w:rPr>
        <w:lastRenderedPageBreak/>
        <w:t xml:space="preserve"> </w:t>
      </w:r>
      <w:r w:rsidRPr="00E04C25">
        <w:rPr>
          <w:bCs/>
        </w:rPr>
        <w:tab/>
      </w:r>
      <w:r w:rsidRPr="00E04C25">
        <w:rPr>
          <w:bCs/>
        </w:rPr>
        <w:tab/>
      </w:r>
      <w:r w:rsidRPr="00E04C25">
        <w:rPr>
          <w:bCs/>
        </w:rPr>
        <w:tab/>
      </w:r>
      <w:r w:rsidRPr="00E04C25">
        <w:rPr>
          <w:bCs/>
        </w:rPr>
        <w:tab/>
      </w:r>
      <w:r w:rsidRPr="00E04C25">
        <w:rPr>
          <w:bCs/>
        </w:rPr>
        <w:tab/>
      </w:r>
      <w:r w:rsidRPr="00E04C25">
        <w:rPr>
          <w:bCs/>
        </w:rPr>
        <w:tab/>
      </w:r>
      <w:r w:rsidRPr="00E04C25">
        <w:rPr>
          <w:bCs/>
        </w:rPr>
        <w:tab/>
      </w:r>
      <w:r w:rsidRPr="00E04C25">
        <w:rPr>
          <w:bCs/>
        </w:rPr>
        <w:tab/>
      </w:r>
      <w:r w:rsidRPr="00E04C25">
        <w:rPr>
          <w:bCs/>
        </w:rPr>
        <w:tab/>
      </w:r>
      <w:r w:rsidRPr="00E04C25">
        <w:rPr>
          <w:bCs/>
        </w:rPr>
        <w:tab/>
      </w:r>
      <w:r w:rsidRPr="00E04C25">
        <w:rPr>
          <w:bCs/>
        </w:rPr>
        <w:tab/>
      </w:r>
      <w:r w:rsidRPr="00E04C25">
        <w:rPr>
          <w:rFonts w:cs="Arial"/>
          <w:sz w:val="20"/>
        </w:rPr>
        <w:t>graf č. 3</w:t>
      </w:r>
    </w:p>
    <w:p w:rsidR="00115440" w:rsidRPr="00E04C25" w:rsidRDefault="00093368" w:rsidP="00115440">
      <w:pPr>
        <w:tabs>
          <w:tab w:val="left" w:pos="900"/>
        </w:tabs>
        <w:jc w:val="center"/>
        <w:rPr>
          <w:rFonts w:ascii="Arial" w:hAnsi="Arial" w:cs="Arial"/>
          <w:b/>
          <w:sz w:val="23"/>
          <w:szCs w:val="23"/>
        </w:rPr>
      </w:pPr>
      <w:r w:rsidRPr="00E04C25">
        <w:rPr>
          <w:noProof/>
        </w:rPr>
        <w:drawing>
          <wp:inline distT="0" distB="0" distL="0" distR="0">
            <wp:extent cx="4714875" cy="2628900"/>
            <wp:effectExtent l="0" t="0" r="9525" b="1905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5440" w:rsidRPr="00E04C25" w:rsidRDefault="00115440" w:rsidP="00115440">
      <w:pPr>
        <w:pStyle w:val="Zkladntext213"/>
        <w:tabs>
          <w:tab w:val="left" w:pos="567"/>
        </w:tabs>
        <w:rPr>
          <w:rFonts w:cs="Arial"/>
          <w:b/>
        </w:rPr>
      </w:pPr>
      <w:r w:rsidRPr="00E04C25">
        <w:rPr>
          <w:rFonts w:cs="Arial"/>
          <w:b/>
        </w:rPr>
        <w:tab/>
      </w:r>
    </w:p>
    <w:p w:rsidR="00C147EB" w:rsidRPr="00E04C25" w:rsidRDefault="00115440" w:rsidP="00115440">
      <w:pPr>
        <w:pStyle w:val="Zkladntext213"/>
        <w:tabs>
          <w:tab w:val="left" w:pos="0"/>
        </w:tabs>
        <w:ind w:firstLine="567"/>
        <w:rPr>
          <w:rFonts w:cs="Arial"/>
          <w:szCs w:val="24"/>
        </w:rPr>
      </w:pPr>
      <w:r w:rsidRPr="00E04C25">
        <w:rPr>
          <w:rFonts w:cs="Arial"/>
          <w:b/>
        </w:rPr>
        <w:tab/>
      </w:r>
      <w:r w:rsidR="007E14D3" w:rsidRPr="00E04C25">
        <w:rPr>
          <w:rFonts w:cs="Arial"/>
        </w:rPr>
        <w:t>Vzhledem k relativně vysokému přílivu nových uchazečů o zaměstnání do evidence ÚP ČR</w:t>
      </w:r>
      <w:r w:rsidR="00C147EB" w:rsidRPr="00E04C25">
        <w:rPr>
          <w:rFonts w:cs="Arial"/>
        </w:rPr>
        <w:t xml:space="preserve"> (viz část III. 2. Toky nezaměstnanosti) a</w:t>
      </w:r>
      <w:r w:rsidR="007E14D3" w:rsidRPr="00E04C25">
        <w:rPr>
          <w:rFonts w:cs="Arial"/>
          <w:b/>
        </w:rPr>
        <w:t xml:space="preserve"> </w:t>
      </w:r>
      <w:r w:rsidR="007E14D3" w:rsidRPr="00E04C25">
        <w:rPr>
          <w:rFonts w:cs="Arial"/>
        </w:rPr>
        <w:t xml:space="preserve">růstu podílu </w:t>
      </w:r>
      <w:r w:rsidR="00C147EB" w:rsidRPr="00E04C25">
        <w:rPr>
          <w:rFonts w:cs="Arial"/>
          <w:szCs w:val="24"/>
        </w:rPr>
        <w:t xml:space="preserve">uchazečů o zaměstnání ve věku 50 a více let s delší než obvyklou podpůrčí dobou 5 měsíců (viz část III. 3. </w:t>
      </w:r>
      <w:r w:rsidR="00C147EB" w:rsidRPr="00E04C25">
        <w:t>Struktura uchazečů o zaměstnání</w:t>
      </w:r>
      <w:r w:rsidR="00C147EB" w:rsidRPr="00E04C25">
        <w:rPr>
          <w:rFonts w:cs="Arial"/>
          <w:szCs w:val="24"/>
        </w:rPr>
        <w:t xml:space="preserve">) byl pokles počtu osob pobírajících  podporu v nezaměstnanosti (PvN) výrazně nižší než pokles celkového počtu UoZ. </w:t>
      </w:r>
    </w:p>
    <w:p w:rsidR="00115440" w:rsidRPr="00E04C25" w:rsidRDefault="00115440" w:rsidP="00115440">
      <w:pPr>
        <w:pStyle w:val="Zkladntext213"/>
        <w:tabs>
          <w:tab w:val="left" w:pos="0"/>
        </w:tabs>
        <w:ind w:firstLine="567"/>
        <w:rPr>
          <w:rFonts w:cs="Arial"/>
        </w:rPr>
      </w:pPr>
      <w:r w:rsidRPr="00E04C25">
        <w:rPr>
          <w:rFonts w:cs="Arial"/>
          <w:b/>
        </w:rPr>
        <w:t>Podporu v nezaměstnanosti</w:t>
      </w:r>
      <w:r w:rsidRPr="00E04C25">
        <w:rPr>
          <w:rFonts w:cs="Arial"/>
        </w:rPr>
        <w:t xml:space="preserve"> (PvN) k</w:t>
      </w:r>
      <w:r w:rsidRPr="00E04C25">
        <w:rPr>
          <w:rFonts w:cs="Arial"/>
          <w:b/>
        </w:rPr>
        <w:t> 31. 12. 201</w:t>
      </w:r>
      <w:r w:rsidR="00C147EB" w:rsidRPr="00E04C25">
        <w:rPr>
          <w:rFonts w:cs="Arial"/>
          <w:b/>
        </w:rPr>
        <w:t>7</w:t>
      </w:r>
      <w:r w:rsidRPr="00E04C25">
        <w:rPr>
          <w:rFonts w:cs="Arial"/>
          <w:b/>
        </w:rPr>
        <w:t xml:space="preserve"> pobíralo</w:t>
      </w:r>
      <w:r w:rsidRPr="00E04C25">
        <w:rPr>
          <w:rFonts w:cs="Arial"/>
          <w:szCs w:val="24"/>
        </w:rPr>
        <w:t xml:space="preserve"> </w:t>
      </w:r>
      <w:r w:rsidR="00C147EB" w:rsidRPr="00E04C25">
        <w:rPr>
          <w:rFonts w:cs="Arial"/>
          <w:b/>
          <w:bCs/>
          <w:szCs w:val="24"/>
        </w:rPr>
        <w:t>85,6</w:t>
      </w:r>
      <w:r w:rsidRPr="00E04C25">
        <w:rPr>
          <w:rFonts w:cs="Arial"/>
          <w:b/>
          <w:bCs/>
        </w:rPr>
        <w:t> </w:t>
      </w:r>
      <w:r w:rsidRPr="00E04C25">
        <w:rPr>
          <w:rFonts w:cs="Arial"/>
          <w:b/>
        </w:rPr>
        <w:t>tis. uchazečů</w:t>
      </w:r>
      <w:r w:rsidRPr="00E04C25">
        <w:rPr>
          <w:rFonts w:cs="Arial"/>
        </w:rPr>
        <w:t xml:space="preserve"> o zaměstnání, </w:t>
      </w:r>
      <w:r w:rsidRPr="00E04C25">
        <w:rPr>
          <w:rFonts w:cs="Arial"/>
          <w:b/>
        </w:rPr>
        <w:t>o </w:t>
      </w:r>
      <w:r w:rsidR="00C147EB" w:rsidRPr="00E04C25">
        <w:rPr>
          <w:rFonts w:cs="Arial"/>
          <w:b/>
        </w:rPr>
        <w:t>17</w:t>
      </w:r>
      <w:r w:rsidRPr="00E04C25">
        <w:rPr>
          <w:rFonts w:cs="Arial"/>
          <w:b/>
        </w:rPr>
        <w:t>,</w:t>
      </w:r>
      <w:r w:rsidR="00C147EB" w:rsidRPr="00E04C25">
        <w:rPr>
          <w:rFonts w:cs="Arial"/>
          <w:b/>
        </w:rPr>
        <w:t>4</w:t>
      </w:r>
      <w:r w:rsidRPr="00E04C25">
        <w:rPr>
          <w:rFonts w:cs="Arial"/>
          <w:b/>
        </w:rPr>
        <w:t> tis. méně než před rokem</w:t>
      </w:r>
      <w:r w:rsidRPr="00E04C25">
        <w:rPr>
          <w:rFonts w:cs="Arial"/>
        </w:rPr>
        <w:t xml:space="preserve">. </w:t>
      </w:r>
      <w:r w:rsidR="00663241" w:rsidRPr="00E04C25">
        <w:rPr>
          <w:rFonts w:cs="Arial"/>
        </w:rPr>
        <w:t xml:space="preserve">Meziroční </w:t>
      </w:r>
      <w:r w:rsidR="00663241" w:rsidRPr="00E04C25">
        <w:rPr>
          <w:rFonts w:cs="Arial"/>
          <w:b/>
        </w:rPr>
        <w:t xml:space="preserve">pokles průměrného počtu uchazečů </w:t>
      </w:r>
      <w:r w:rsidR="00663241" w:rsidRPr="00E04C25">
        <w:rPr>
          <w:rFonts w:cs="Arial"/>
        </w:rPr>
        <w:t>o zaměstnání</w:t>
      </w:r>
      <w:r w:rsidR="00663241" w:rsidRPr="00E04C25">
        <w:rPr>
          <w:rFonts w:cs="Arial"/>
          <w:b/>
        </w:rPr>
        <w:t xml:space="preserve"> s nárokem na PvN </w:t>
      </w:r>
      <w:r w:rsidR="00663241" w:rsidRPr="00E04C25">
        <w:rPr>
          <w:rFonts w:cs="Arial"/>
        </w:rPr>
        <w:t xml:space="preserve">byl </w:t>
      </w:r>
      <w:r w:rsidR="00663241" w:rsidRPr="00E04C25">
        <w:rPr>
          <w:rFonts w:cs="Arial"/>
          <w:b/>
        </w:rPr>
        <w:t xml:space="preserve">v roce 2017 </w:t>
      </w:r>
      <w:r w:rsidR="00663241" w:rsidRPr="00E04C25">
        <w:rPr>
          <w:rFonts w:cs="Arial"/>
        </w:rPr>
        <w:t xml:space="preserve">ještě menší, a to </w:t>
      </w:r>
      <w:r w:rsidR="00663241" w:rsidRPr="00E04C25">
        <w:rPr>
          <w:rFonts w:cs="Arial"/>
          <w:b/>
        </w:rPr>
        <w:t>o 10,8 tis.</w:t>
      </w:r>
      <w:r w:rsidR="00663241" w:rsidRPr="00E04C25">
        <w:rPr>
          <w:rFonts w:cs="Arial"/>
        </w:rPr>
        <w:t xml:space="preserve"> </w:t>
      </w:r>
      <w:r w:rsidR="00663241" w:rsidRPr="00E04C25">
        <w:rPr>
          <w:rFonts w:cs="Arial"/>
          <w:b/>
        </w:rPr>
        <w:t>na 8</w:t>
      </w:r>
      <w:r w:rsidR="00663241" w:rsidRPr="00E04C25">
        <w:rPr>
          <w:rFonts w:cs="Arial"/>
          <w:b/>
          <w:bCs/>
          <w:szCs w:val="24"/>
        </w:rPr>
        <w:t>7,1 </w:t>
      </w:r>
      <w:r w:rsidR="00663241" w:rsidRPr="00E04C25">
        <w:rPr>
          <w:rFonts w:cs="Arial"/>
          <w:b/>
          <w:szCs w:val="24"/>
        </w:rPr>
        <w:t>tis.</w:t>
      </w:r>
      <w:r w:rsidR="009F0347" w:rsidRPr="00E04C25">
        <w:rPr>
          <w:rFonts w:cs="Arial"/>
          <w:b/>
          <w:szCs w:val="24"/>
        </w:rPr>
        <w:t xml:space="preserve"> osob.</w:t>
      </w:r>
      <w:r w:rsidR="00663241" w:rsidRPr="00E04C25">
        <w:rPr>
          <w:rFonts w:cs="Arial"/>
        </w:rPr>
        <w:t xml:space="preserve"> </w:t>
      </w:r>
      <w:r w:rsidRPr="00E04C25">
        <w:rPr>
          <w:rFonts w:cs="Arial"/>
        </w:rPr>
        <w:t xml:space="preserve">Vzhledem k rychlejšímu poklesu celkového počtu </w:t>
      </w:r>
      <w:r w:rsidR="009F0347" w:rsidRPr="00E04C25">
        <w:rPr>
          <w:rFonts w:cs="Arial"/>
        </w:rPr>
        <w:t>UoZ</w:t>
      </w:r>
      <w:r w:rsidRPr="00E04C25">
        <w:rPr>
          <w:rFonts w:cs="Arial"/>
        </w:rPr>
        <w:t xml:space="preserve"> se </w:t>
      </w:r>
      <w:r w:rsidRPr="00E04C25">
        <w:rPr>
          <w:rFonts w:cs="Arial"/>
          <w:b/>
        </w:rPr>
        <w:t>podíl uchazečů o zaměstnání s PvN na konci roku 201</w:t>
      </w:r>
      <w:r w:rsidR="009F0347" w:rsidRPr="00E04C25">
        <w:rPr>
          <w:rFonts w:cs="Arial"/>
          <w:b/>
        </w:rPr>
        <w:t>7</w:t>
      </w:r>
      <w:r w:rsidRPr="00E04C25">
        <w:rPr>
          <w:rFonts w:cs="Arial"/>
          <w:b/>
        </w:rPr>
        <w:t xml:space="preserve"> meziročně zvýšil </w:t>
      </w:r>
      <w:r w:rsidRPr="00E04C25">
        <w:rPr>
          <w:rFonts w:cs="Arial"/>
        </w:rPr>
        <w:t>o 3,</w:t>
      </w:r>
      <w:r w:rsidR="009F0347" w:rsidRPr="00E04C25">
        <w:rPr>
          <w:rFonts w:cs="Arial"/>
        </w:rPr>
        <w:t>5</w:t>
      </w:r>
      <w:r w:rsidRPr="00E04C25">
        <w:rPr>
          <w:rFonts w:cs="Arial"/>
        </w:rPr>
        <w:t xml:space="preserve"> p. b. </w:t>
      </w:r>
      <w:r w:rsidRPr="00E04C25">
        <w:rPr>
          <w:rFonts w:cs="Arial"/>
          <w:b/>
        </w:rPr>
        <w:t xml:space="preserve">na </w:t>
      </w:r>
      <w:r w:rsidR="009F0347" w:rsidRPr="00E04C25">
        <w:rPr>
          <w:rFonts w:cs="Arial"/>
          <w:b/>
        </w:rPr>
        <w:t>30</w:t>
      </w:r>
      <w:r w:rsidRPr="00E04C25">
        <w:rPr>
          <w:rFonts w:cs="Arial"/>
          <w:b/>
        </w:rPr>
        <w:t>,</w:t>
      </w:r>
      <w:r w:rsidR="009F0347" w:rsidRPr="00E04C25">
        <w:rPr>
          <w:rFonts w:cs="Arial"/>
          <w:b/>
        </w:rPr>
        <w:t>5</w:t>
      </w:r>
      <w:r w:rsidRPr="00E04C25">
        <w:rPr>
          <w:rFonts w:cs="Arial"/>
          <w:b/>
        </w:rPr>
        <w:t> %</w:t>
      </w:r>
      <w:r w:rsidR="009F0347" w:rsidRPr="00E04C25">
        <w:rPr>
          <w:rFonts w:cs="Arial"/>
          <w:b/>
        </w:rPr>
        <w:t>. Průměrný podíl v roce 2017 činil 27,4 %</w:t>
      </w:r>
      <w:r w:rsidRPr="00E04C25">
        <w:rPr>
          <w:rFonts w:cs="Arial"/>
        </w:rPr>
        <w:t xml:space="preserve"> </w:t>
      </w:r>
      <w:r w:rsidR="009F0347" w:rsidRPr="00E04C25">
        <w:rPr>
          <w:rFonts w:cs="Arial"/>
        </w:rPr>
        <w:t>a</w:t>
      </w:r>
      <w:r w:rsidR="00794B3F" w:rsidRPr="00E04C25">
        <w:rPr>
          <w:rFonts w:cs="Arial"/>
        </w:rPr>
        <w:t> </w:t>
      </w:r>
      <w:r w:rsidR="009F0347" w:rsidRPr="00E04C25">
        <w:rPr>
          <w:rFonts w:cs="Arial"/>
        </w:rPr>
        <w:t>byl ve srovnání s rokem 2016 vyšší o 3,3 p. b.</w:t>
      </w:r>
    </w:p>
    <w:p w:rsidR="00115440" w:rsidRPr="00E04C25" w:rsidRDefault="00115440" w:rsidP="003D1199">
      <w:pPr>
        <w:pStyle w:val="Zkladntext213"/>
        <w:tabs>
          <w:tab w:val="left" w:pos="567"/>
        </w:tabs>
        <w:rPr>
          <w:rFonts w:cs="Arial"/>
        </w:rPr>
      </w:pPr>
      <w:r w:rsidRPr="00E04C25">
        <w:rPr>
          <w:rFonts w:cs="Arial"/>
          <w:b/>
        </w:rPr>
        <w:tab/>
        <w:t>P</w:t>
      </w:r>
      <w:r w:rsidRPr="00E04C25">
        <w:rPr>
          <w:rFonts w:cs="Arial"/>
          <w:b/>
          <w:bCs/>
        </w:rPr>
        <w:t>růměrná výše PvN za rok 201</w:t>
      </w:r>
      <w:r w:rsidR="003D1199" w:rsidRPr="00E04C25">
        <w:rPr>
          <w:rFonts w:cs="Arial"/>
          <w:b/>
          <w:bCs/>
        </w:rPr>
        <w:t>7</w:t>
      </w:r>
      <w:r w:rsidRPr="00E04C25">
        <w:rPr>
          <w:rFonts w:cs="Arial"/>
          <w:b/>
          <w:bCs/>
        </w:rPr>
        <w:t xml:space="preserve"> vzrostla o </w:t>
      </w:r>
      <w:r w:rsidR="003D1199" w:rsidRPr="00E04C25">
        <w:rPr>
          <w:rFonts w:cs="Arial"/>
          <w:b/>
          <w:bCs/>
        </w:rPr>
        <w:t>370</w:t>
      </w:r>
      <w:r w:rsidRPr="00E04C25">
        <w:rPr>
          <w:rFonts w:cs="Arial"/>
          <w:b/>
          <w:bCs/>
        </w:rPr>
        <w:t xml:space="preserve"> Kč </w:t>
      </w:r>
      <w:r w:rsidRPr="00E04C25">
        <w:rPr>
          <w:rFonts w:cs="Arial"/>
          <w:bCs/>
        </w:rPr>
        <w:t>(o </w:t>
      </w:r>
      <w:r w:rsidR="003D1199" w:rsidRPr="00E04C25">
        <w:rPr>
          <w:rFonts w:cs="Arial"/>
          <w:bCs/>
        </w:rPr>
        <w:t>5</w:t>
      </w:r>
      <w:r w:rsidRPr="00E04C25">
        <w:rPr>
          <w:rFonts w:cs="Arial"/>
          <w:bCs/>
        </w:rPr>
        <w:t>,</w:t>
      </w:r>
      <w:r w:rsidR="003D1199" w:rsidRPr="00E04C25">
        <w:rPr>
          <w:rFonts w:cs="Arial"/>
          <w:bCs/>
        </w:rPr>
        <w:t>8</w:t>
      </w:r>
      <w:r w:rsidRPr="00E04C25">
        <w:rPr>
          <w:rFonts w:cs="Arial"/>
          <w:bCs/>
        </w:rPr>
        <w:t> %)</w:t>
      </w:r>
      <w:r w:rsidRPr="00E04C25">
        <w:rPr>
          <w:rFonts w:cs="Arial"/>
          <w:b/>
          <w:bCs/>
        </w:rPr>
        <w:t xml:space="preserve"> </w:t>
      </w:r>
      <w:r w:rsidRPr="00E04C25">
        <w:rPr>
          <w:rFonts w:cs="Arial"/>
          <w:bCs/>
        </w:rPr>
        <w:t>na</w:t>
      </w:r>
      <w:r w:rsidRPr="00E04C25">
        <w:rPr>
          <w:rFonts w:cs="Arial"/>
          <w:b/>
          <w:bCs/>
        </w:rPr>
        <w:t xml:space="preserve"> 6 </w:t>
      </w:r>
      <w:r w:rsidR="003D1199" w:rsidRPr="00E04C25">
        <w:rPr>
          <w:rFonts w:cs="Arial"/>
          <w:b/>
          <w:bCs/>
        </w:rPr>
        <w:t>746</w:t>
      </w:r>
      <w:r w:rsidRPr="00E04C25">
        <w:rPr>
          <w:rFonts w:cs="Arial"/>
          <w:b/>
          <w:bCs/>
          <w:sz w:val="18"/>
          <w:szCs w:val="18"/>
        </w:rPr>
        <w:t> </w:t>
      </w:r>
      <w:r w:rsidRPr="00E04C25">
        <w:rPr>
          <w:rFonts w:cs="Arial"/>
          <w:b/>
          <w:bCs/>
        </w:rPr>
        <w:t>Kč</w:t>
      </w:r>
      <w:r w:rsidRPr="00E04C25">
        <w:rPr>
          <w:rFonts w:cs="Arial"/>
        </w:rPr>
        <w:t xml:space="preserve">. Průměrná podpora </w:t>
      </w:r>
      <w:r w:rsidR="00794B3F" w:rsidRPr="00E04C25">
        <w:rPr>
          <w:rFonts w:cs="Arial"/>
        </w:rPr>
        <w:t xml:space="preserve">uchazečů o zaměstnání, kteří byly v evidenci </w:t>
      </w:r>
      <w:r w:rsidRPr="00E04C25">
        <w:rPr>
          <w:rFonts w:cs="Arial"/>
          <w:b/>
        </w:rPr>
        <w:t>k 31. 12. 201</w:t>
      </w:r>
      <w:r w:rsidR="003D1199" w:rsidRPr="00E04C25">
        <w:rPr>
          <w:rFonts w:cs="Arial"/>
          <w:b/>
        </w:rPr>
        <w:t>7</w:t>
      </w:r>
      <w:r w:rsidRPr="00E04C25">
        <w:rPr>
          <w:rFonts w:cs="Arial"/>
          <w:b/>
        </w:rPr>
        <w:t xml:space="preserve"> činila 6 </w:t>
      </w:r>
      <w:r w:rsidR="003D1199" w:rsidRPr="00E04C25">
        <w:rPr>
          <w:rFonts w:cs="Arial"/>
          <w:b/>
        </w:rPr>
        <w:t>969</w:t>
      </w:r>
      <w:r w:rsidRPr="00E04C25">
        <w:rPr>
          <w:rFonts w:cs="Arial"/>
          <w:b/>
        </w:rPr>
        <w:t xml:space="preserve"> Kč </w:t>
      </w:r>
      <w:r w:rsidRPr="00E04C25">
        <w:rPr>
          <w:rFonts w:cs="Arial"/>
        </w:rPr>
        <w:t>a byla</w:t>
      </w:r>
      <w:r w:rsidRPr="00E04C25">
        <w:rPr>
          <w:rFonts w:cs="Arial"/>
          <w:b/>
        </w:rPr>
        <w:t xml:space="preserve"> meziročně vyšší o </w:t>
      </w:r>
      <w:r w:rsidR="003D1199" w:rsidRPr="00E04C25">
        <w:rPr>
          <w:rFonts w:cs="Arial"/>
          <w:b/>
        </w:rPr>
        <w:t>512</w:t>
      </w:r>
      <w:r w:rsidRPr="00E04C25">
        <w:rPr>
          <w:rFonts w:cs="Arial"/>
          <w:b/>
        </w:rPr>
        <w:t xml:space="preserve"> Kč </w:t>
      </w:r>
      <w:r w:rsidR="003D1199" w:rsidRPr="00E04C25">
        <w:rPr>
          <w:rFonts w:cs="Arial"/>
        </w:rPr>
        <w:t>(o 7</w:t>
      </w:r>
      <w:r w:rsidRPr="00E04C25">
        <w:rPr>
          <w:rFonts w:cs="Arial"/>
        </w:rPr>
        <w:t>,</w:t>
      </w:r>
      <w:r w:rsidR="003D1199" w:rsidRPr="00E04C25">
        <w:rPr>
          <w:rFonts w:cs="Arial"/>
        </w:rPr>
        <w:t>9</w:t>
      </w:r>
      <w:r w:rsidRPr="00E04C25">
        <w:rPr>
          <w:rFonts w:cs="Arial"/>
        </w:rPr>
        <w:t> %). Vzhledem k rozdílům v úrovni výdělků byla průměrná podpor</w:t>
      </w:r>
      <w:r w:rsidR="0083646B" w:rsidRPr="00E04C25">
        <w:rPr>
          <w:rFonts w:cs="Arial"/>
        </w:rPr>
        <w:t>a</w:t>
      </w:r>
      <w:r w:rsidRPr="00E04C25">
        <w:rPr>
          <w:rFonts w:cs="Arial"/>
        </w:rPr>
        <w:t xml:space="preserve"> v nezaměstnanosti k tomuto datu </w:t>
      </w:r>
      <w:r w:rsidRPr="00E04C25">
        <w:rPr>
          <w:rFonts w:cs="Arial"/>
          <w:b/>
        </w:rPr>
        <w:t>u </w:t>
      </w:r>
      <w:r w:rsidRPr="00E04C25">
        <w:rPr>
          <w:rFonts w:cs="Arial"/>
          <w:b/>
          <w:bCs/>
        </w:rPr>
        <w:t xml:space="preserve">žen </w:t>
      </w:r>
      <w:r w:rsidRPr="00E04C25">
        <w:rPr>
          <w:rFonts w:cs="Arial"/>
          <w:bCs/>
        </w:rPr>
        <w:t>(</w:t>
      </w:r>
      <w:r w:rsidR="003D1199" w:rsidRPr="00E04C25">
        <w:rPr>
          <w:rFonts w:cs="Arial"/>
          <w:bCs/>
        </w:rPr>
        <w:t>6</w:t>
      </w:r>
      <w:r w:rsidRPr="00E04C25">
        <w:rPr>
          <w:rFonts w:cs="Arial"/>
        </w:rPr>
        <w:t> </w:t>
      </w:r>
      <w:r w:rsidR="003D1199" w:rsidRPr="00E04C25">
        <w:rPr>
          <w:rFonts w:cs="Arial"/>
        </w:rPr>
        <w:t>346</w:t>
      </w:r>
      <w:r w:rsidRPr="00E04C25">
        <w:rPr>
          <w:rFonts w:cs="Arial"/>
        </w:rPr>
        <w:t> </w:t>
      </w:r>
      <w:r w:rsidRPr="00E04C25">
        <w:rPr>
          <w:rFonts w:cs="Arial"/>
          <w:bCs/>
        </w:rPr>
        <w:t xml:space="preserve">Kč) </w:t>
      </w:r>
      <w:r w:rsidRPr="00E04C25">
        <w:rPr>
          <w:rFonts w:cs="Arial"/>
          <w:b/>
          <w:bCs/>
        </w:rPr>
        <w:t>nižší</w:t>
      </w:r>
      <w:r w:rsidRPr="00E04C25">
        <w:rPr>
          <w:rFonts w:cs="Arial"/>
        </w:rPr>
        <w:t xml:space="preserve"> (o 16,</w:t>
      </w:r>
      <w:r w:rsidR="003D1199" w:rsidRPr="00E04C25">
        <w:rPr>
          <w:rFonts w:cs="Arial"/>
        </w:rPr>
        <w:t>1</w:t>
      </w:r>
      <w:r w:rsidRPr="00E04C25">
        <w:rPr>
          <w:rFonts w:cs="Arial"/>
        </w:rPr>
        <w:t xml:space="preserve"> %) než </w:t>
      </w:r>
      <w:r w:rsidR="0083646B" w:rsidRPr="00E04C25">
        <w:rPr>
          <w:rFonts w:cs="Arial"/>
        </w:rPr>
        <w:t>u </w:t>
      </w:r>
      <w:r w:rsidRPr="00E04C25">
        <w:rPr>
          <w:rFonts w:cs="Arial"/>
        </w:rPr>
        <w:t>mužů (7 </w:t>
      </w:r>
      <w:r w:rsidR="003D1199" w:rsidRPr="00E04C25">
        <w:rPr>
          <w:rFonts w:cs="Arial"/>
        </w:rPr>
        <w:t>566</w:t>
      </w:r>
      <w:r w:rsidRPr="00E04C25">
        <w:rPr>
          <w:rFonts w:cs="Arial"/>
        </w:rPr>
        <w:t xml:space="preserve"> Kč). </w:t>
      </w:r>
      <w:r w:rsidRPr="00E04C25">
        <w:rPr>
          <w:b/>
        </w:rPr>
        <w:t xml:space="preserve">Maximální PvN ve výši </w:t>
      </w:r>
      <w:r w:rsidR="003D1199" w:rsidRPr="00E04C25">
        <w:rPr>
          <w:b/>
        </w:rPr>
        <w:t xml:space="preserve">15 660 Kč, tj. </w:t>
      </w:r>
      <w:r w:rsidRPr="00E04C25">
        <w:rPr>
          <w:b/>
        </w:rPr>
        <w:t>0,58 násobku průměrné mzdy</w:t>
      </w:r>
      <w:r w:rsidRPr="00E04C25">
        <w:t xml:space="preserve"> v národním hospodářství </w:t>
      </w:r>
      <w:r w:rsidR="003D1199" w:rsidRPr="00E04C25">
        <w:t>(</w:t>
      </w:r>
      <w:r w:rsidRPr="00E04C25">
        <w:t xml:space="preserve">za </w:t>
      </w:r>
      <w:r w:rsidR="00453100">
        <w:t xml:space="preserve">           </w:t>
      </w:r>
      <w:r w:rsidRPr="00E04C25">
        <w:t>1.</w:t>
      </w:r>
      <w:r w:rsidR="00976F7F" w:rsidRPr="00E04C25">
        <w:t>-</w:t>
      </w:r>
      <w:r w:rsidRPr="00E04C25">
        <w:t>3. čtvrtletí kalendářního roku předcházejícího kalendářnímu roku, ve kterém byla podána žádost o PvN</w:t>
      </w:r>
      <w:r w:rsidR="003D1199" w:rsidRPr="00E04C25">
        <w:t>)</w:t>
      </w:r>
      <w:r w:rsidRPr="00E04C25">
        <w:rPr>
          <w:rFonts w:ascii="Courier" w:hAnsi="Courier"/>
          <w:sz w:val="16"/>
          <w:szCs w:val="16"/>
        </w:rPr>
        <w:t xml:space="preserve"> </w:t>
      </w:r>
      <w:r w:rsidRPr="00E04C25">
        <w:rPr>
          <w:rFonts w:cs="Arial"/>
          <w:szCs w:val="24"/>
        </w:rPr>
        <w:t>na konci</w:t>
      </w:r>
      <w:r w:rsidRPr="00E04C25">
        <w:rPr>
          <w:rFonts w:ascii="Courier" w:hAnsi="Courier"/>
          <w:sz w:val="16"/>
          <w:szCs w:val="16"/>
        </w:rPr>
        <w:t xml:space="preserve"> </w:t>
      </w:r>
      <w:r w:rsidRPr="00E04C25">
        <w:t>prosince 201</w:t>
      </w:r>
      <w:r w:rsidR="003D1199" w:rsidRPr="00E04C25">
        <w:t>7</w:t>
      </w:r>
      <w:r w:rsidRPr="00E04C25">
        <w:t xml:space="preserve"> </w:t>
      </w:r>
      <w:r w:rsidRPr="00E04C25">
        <w:rPr>
          <w:b/>
        </w:rPr>
        <w:t xml:space="preserve">pobíralo </w:t>
      </w:r>
      <w:r w:rsidR="003D1199" w:rsidRPr="00E04C25">
        <w:rPr>
          <w:b/>
        </w:rPr>
        <w:t>3</w:t>
      </w:r>
      <w:r w:rsidRPr="00E04C25">
        <w:rPr>
          <w:b/>
        </w:rPr>
        <w:t>,</w:t>
      </w:r>
      <w:r w:rsidR="003D1199" w:rsidRPr="00E04C25">
        <w:rPr>
          <w:b/>
        </w:rPr>
        <w:t>8</w:t>
      </w:r>
      <w:r w:rsidRPr="00E04C25">
        <w:rPr>
          <w:b/>
        </w:rPr>
        <w:t> tis. uchazečů o zaměstnání</w:t>
      </w:r>
      <w:r w:rsidR="003D1199" w:rsidRPr="00E04C25">
        <w:t xml:space="preserve"> (před rokem </w:t>
      </w:r>
      <w:r w:rsidRPr="00E04C25">
        <w:t>4,</w:t>
      </w:r>
      <w:r w:rsidR="003D1199" w:rsidRPr="00E04C25">
        <w:t>2</w:t>
      </w:r>
      <w:r w:rsidRPr="00E04C25">
        <w:t xml:space="preserve"> tis.). </w:t>
      </w:r>
      <w:r w:rsidRPr="00E04C25">
        <w:rPr>
          <w:b/>
        </w:rPr>
        <w:t xml:space="preserve">Jejich podíl </w:t>
      </w:r>
      <w:r w:rsidRPr="00E04C25">
        <w:t xml:space="preserve">na celkovém počtu uchazečů o zaměstnání pobírajících PvN </w:t>
      </w:r>
      <w:r w:rsidRPr="00E04C25">
        <w:rPr>
          <w:b/>
        </w:rPr>
        <w:t>se</w:t>
      </w:r>
      <w:r w:rsidRPr="00E04C25">
        <w:t xml:space="preserve"> meziročně zvýšil z </w:t>
      </w:r>
      <w:r w:rsidR="003D1199" w:rsidRPr="00E04C25">
        <w:t>4</w:t>
      </w:r>
      <w:r w:rsidRPr="00E04C25">
        <w:t>,</w:t>
      </w:r>
      <w:r w:rsidR="003D1199" w:rsidRPr="00E04C25">
        <w:t>1</w:t>
      </w:r>
      <w:r w:rsidRPr="00E04C25">
        <w:t xml:space="preserve"> % </w:t>
      </w:r>
      <w:r w:rsidRPr="00E04C25">
        <w:rPr>
          <w:b/>
        </w:rPr>
        <w:t xml:space="preserve">na </w:t>
      </w:r>
      <w:r w:rsidRPr="00E04C25">
        <w:t xml:space="preserve"> </w:t>
      </w:r>
      <w:r w:rsidRPr="00E04C25">
        <w:rPr>
          <w:b/>
        </w:rPr>
        <w:t>4,</w:t>
      </w:r>
      <w:r w:rsidR="003D1199" w:rsidRPr="00E04C25">
        <w:rPr>
          <w:b/>
        </w:rPr>
        <w:t>4</w:t>
      </w:r>
      <w:r w:rsidRPr="00E04C25">
        <w:rPr>
          <w:b/>
        </w:rPr>
        <w:t> %</w:t>
      </w:r>
      <w:r w:rsidRPr="00E04C25">
        <w:t>.</w:t>
      </w:r>
    </w:p>
    <w:p w:rsidR="00115440" w:rsidRPr="00E04C25" w:rsidRDefault="00115440" w:rsidP="00115440">
      <w:pPr>
        <w:tabs>
          <w:tab w:val="left" w:pos="0"/>
          <w:tab w:val="left" w:pos="72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jc w:val="center"/>
        <w:rPr>
          <w:rFonts w:ascii="Arial" w:hAnsi="Arial"/>
          <w:b/>
        </w:rPr>
      </w:pPr>
      <w:r w:rsidRPr="00E04C25">
        <w:rPr>
          <w:rFonts w:ascii="Arial" w:hAnsi="Arial"/>
          <w:b/>
        </w:rPr>
        <w:lastRenderedPageBreak/>
        <w:t>Rozdělení počtu uchazečů o zaměstnání podle výše PvN</w:t>
      </w:r>
    </w:p>
    <w:tbl>
      <w:tblPr>
        <w:tblW w:w="7416" w:type="dxa"/>
        <w:jc w:val="center"/>
        <w:tblCellMar>
          <w:left w:w="70" w:type="dxa"/>
          <w:right w:w="70" w:type="dxa"/>
        </w:tblCellMar>
        <w:tblLook w:val="0000"/>
      </w:tblPr>
      <w:tblGrid>
        <w:gridCol w:w="293"/>
        <w:gridCol w:w="1960"/>
        <w:gridCol w:w="851"/>
        <w:gridCol w:w="851"/>
        <w:gridCol w:w="851"/>
        <w:gridCol w:w="851"/>
        <w:gridCol w:w="851"/>
        <w:gridCol w:w="963"/>
      </w:tblGrid>
      <w:tr w:rsidR="004A34B4" w:rsidRPr="00E04C25" w:rsidTr="00523B41">
        <w:trPr>
          <w:gridBefore w:val="1"/>
          <w:wBefore w:w="293" w:type="dxa"/>
          <w:trHeight w:val="270"/>
          <w:jc w:val="center"/>
        </w:trPr>
        <w:tc>
          <w:tcPr>
            <w:tcW w:w="1960" w:type="dxa"/>
            <w:tcBorders>
              <w:top w:val="nil"/>
              <w:left w:val="nil"/>
              <w:bottom w:val="nil"/>
              <w:right w:val="nil"/>
            </w:tcBorders>
            <w:shd w:val="clear" w:color="auto" w:fill="auto"/>
            <w:noWrap/>
            <w:vAlign w:val="bottom"/>
          </w:tcPr>
          <w:p w:rsidR="00115440" w:rsidRPr="00E04C25" w:rsidRDefault="00115440" w:rsidP="00523B41">
            <w:pPr>
              <w:rPr>
                <w:rFonts w:ascii="Arial" w:hAnsi="Arial"/>
                <w:sz w:val="20"/>
                <w:szCs w:val="20"/>
              </w:rPr>
            </w:pPr>
          </w:p>
        </w:tc>
        <w:tc>
          <w:tcPr>
            <w:tcW w:w="851" w:type="dxa"/>
            <w:tcBorders>
              <w:top w:val="nil"/>
              <w:left w:val="nil"/>
              <w:bottom w:val="nil"/>
              <w:right w:val="nil"/>
            </w:tcBorders>
            <w:shd w:val="clear" w:color="auto" w:fill="auto"/>
            <w:noWrap/>
            <w:vAlign w:val="bottom"/>
          </w:tcPr>
          <w:p w:rsidR="00115440" w:rsidRPr="00E04C25" w:rsidRDefault="00115440" w:rsidP="00523B41">
            <w:pPr>
              <w:rPr>
                <w:rFonts w:ascii="Arial" w:hAnsi="Arial"/>
                <w:sz w:val="20"/>
                <w:szCs w:val="20"/>
              </w:rPr>
            </w:pPr>
          </w:p>
        </w:tc>
        <w:tc>
          <w:tcPr>
            <w:tcW w:w="851" w:type="dxa"/>
            <w:tcBorders>
              <w:top w:val="nil"/>
              <w:left w:val="nil"/>
              <w:bottom w:val="nil"/>
              <w:right w:val="nil"/>
            </w:tcBorders>
            <w:shd w:val="clear" w:color="auto" w:fill="auto"/>
            <w:noWrap/>
            <w:vAlign w:val="bottom"/>
          </w:tcPr>
          <w:p w:rsidR="00115440" w:rsidRPr="00E04C25" w:rsidRDefault="00115440" w:rsidP="00523B41">
            <w:pPr>
              <w:jc w:val="right"/>
              <w:rPr>
                <w:rFonts w:ascii="Arial" w:hAnsi="Arial" w:cs="Arial"/>
                <w:sz w:val="20"/>
                <w:szCs w:val="20"/>
              </w:rPr>
            </w:pPr>
          </w:p>
        </w:tc>
        <w:tc>
          <w:tcPr>
            <w:tcW w:w="851" w:type="dxa"/>
            <w:tcBorders>
              <w:top w:val="nil"/>
              <w:left w:val="nil"/>
              <w:bottom w:val="nil"/>
              <w:right w:val="nil"/>
            </w:tcBorders>
            <w:shd w:val="clear" w:color="auto" w:fill="auto"/>
            <w:noWrap/>
            <w:vAlign w:val="bottom"/>
          </w:tcPr>
          <w:p w:rsidR="00115440" w:rsidRPr="00E04C25" w:rsidRDefault="00115440" w:rsidP="00523B41">
            <w:pPr>
              <w:rPr>
                <w:rFonts w:ascii="Arial" w:hAnsi="Arial"/>
                <w:sz w:val="20"/>
                <w:szCs w:val="20"/>
              </w:rPr>
            </w:pPr>
          </w:p>
        </w:tc>
        <w:tc>
          <w:tcPr>
            <w:tcW w:w="851" w:type="dxa"/>
            <w:tcBorders>
              <w:top w:val="nil"/>
              <w:left w:val="nil"/>
              <w:bottom w:val="nil"/>
              <w:right w:val="nil"/>
            </w:tcBorders>
            <w:shd w:val="clear" w:color="auto" w:fill="auto"/>
            <w:noWrap/>
            <w:vAlign w:val="bottom"/>
          </w:tcPr>
          <w:p w:rsidR="00115440" w:rsidRPr="00E04C25" w:rsidRDefault="00115440" w:rsidP="00523B41">
            <w:pPr>
              <w:rPr>
                <w:rFonts w:ascii="Arial" w:hAnsi="Arial"/>
                <w:sz w:val="20"/>
                <w:szCs w:val="20"/>
              </w:rPr>
            </w:pPr>
          </w:p>
        </w:tc>
        <w:tc>
          <w:tcPr>
            <w:tcW w:w="851" w:type="dxa"/>
            <w:tcBorders>
              <w:top w:val="nil"/>
              <w:left w:val="nil"/>
              <w:bottom w:val="nil"/>
              <w:right w:val="nil"/>
            </w:tcBorders>
            <w:shd w:val="clear" w:color="auto" w:fill="auto"/>
            <w:noWrap/>
            <w:vAlign w:val="bottom"/>
          </w:tcPr>
          <w:p w:rsidR="00115440" w:rsidRPr="00E04C25" w:rsidRDefault="00115440" w:rsidP="00523B41">
            <w:pPr>
              <w:rPr>
                <w:rFonts w:ascii="Arial" w:hAnsi="Arial"/>
                <w:sz w:val="20"/>
                <w:szCs w:val="20"/>
              </w:rPr>
            </w:pPr>
          </w:p>
        </w:tc>
        <w:tc>
          <w:tcPr>
            <w:tcW w:w="908" w:type="dxa"/>
            <w:tcBorders>
              <w:top w:val="nil"/>
              <w:left w:val="nil"/>
              <w:bottom w:val="nil"/>
              <w:right w:val="nil"/>
            </w:tcBorders>
            <w:shd w:val="clear" w:color="auto" w:fill="auto"/>
            <w:noWrap/>
            <w:vAlign w:val="bottom"/>
          </w:tcPr>
          <w:p w:rsidR="00115440" w:rsidRPr="00E04C25" w:rsidRDefault="00115440" w:rsidP="00310BFB">
            <w:pPr>
              <w:rPr>
                <w:rFonts w:ascii="Arial" w:hAnsi="Arial" w:cs="Arial"/>
                <w:sz w:val="20"/>
                <w:szCs w:val="20"/>
              </w:rPr>
            </w:pPr>
            <w:r w:rsidRPr="00E04C25">
              <w:rPr>
                <w:rFonts w:ascii="Arial" w:hAnsi="Arial" w:cs="Arial"/>
                <w:sz w:val="20"/>
                <w:szCs w:val="20"/>
              </w:rPr>
              <w:t>tab.</w:t>
            </w:r>
            <w:r w:rsidR="00767F7D" w:rsidRPr="00E04C25">
              <w:rPr>
                <w:rFonts w:ascii="Arial" w:hAnsi="Arial" w:cs="Arial"/>
                <w:sz w:val="20"/>
                <w:szCs w:val="20"/>
              </w:rPr>
              <w:t> </w:t>
            </w:r>
            <w:r w:rsidRPr="00E04C25">
              <w:rPr>
                <w:rFonts w:ascii="Arial" w:hAnsi="Arial" w:cs="Arial"/>
                <w:sz w:val="20"/>
                <w:szCs w:val="20"/>
              </w:rPr>
              <w:t>č. 1</w:t>
            </w:r>
            <w:r w:rsidR="00310BFB" w:rsidRPr="00E04C25">
              <w:rPr>
                <w:rFonts w:ascii="Arial" w:hAnsi="Arial" w:cs="Arial"/>
                <w:sz w:val="20"/>
                <w:szCs w:val="20"/>
              </w:rPr>
              <w:t>6</w:t>
            </w:r>
          </w:p>
        </w:tc>
      </w:tr>
      <w:tr w:rsidR="004A34B4" w:rsidRPr="00E04C25" w:rsidTr="00523B41">
        <w:trPr>
          <w:trHeight w:val="284"/>
          <w:jc w:val="center"/>
        </w:trPr>
        <w:tc>
          <w:tcPr>
            <w:tcW w:w="2253" w:type="dxa"/>
            <w:gridSpan w:val="2"/>
            <w:tcBorders>
              <w:top w:val="double" w:sz="6" w:space="0" w:color="auto"/>
              <w:left w:val="double" w:sz="6" w:space="0" w:color="auto"/>
              <w:bottom w:val="nil"/>
              <w:right w:val="single" w:sz="4" w:space="0" w:color="auto"/>
            </w:tcBorders>
            <w:shd w:val="clear" w:color="auto" w:fill="auto"/>
            <w:noWrap/>
          </w:tcPr>
          <w:p w:rsidR="00115440" w:rsidRPr="00E04C25" w:rsidRDefault="00115440" w:rsidP="00523B41">
            <w:pPr>
              <w:jc w:val="both"/>
              <w:rPr>
                <w:rFonts w:ascii="Arial" w:hAnsi="Arial"/>
              </w:rPr>
            </w:pPr>
            <w:r w:rsidRPr="00E04C25">
              <w:rPr>
                <w:rFonts w:ascii="Arial" w:hAnsi="Arial"/>
              </w:rPr>
              <w:t> </w:t>
            </w:r>
          </w:p>
        </w:tc>
        <w:tc>
          <w:tcPr>
            <w:tcW w:w="1702" w:type="dxa"/>
            <w:gridSpan w:val="2"/>
            <w:tcBorders>
              <w:top w:val="double" w:sz="6" w:space="0" w:color="auto"/>
              <w:left w:val="nil"/>
              <w:bottom w:val="single" w:sz="4" w:space="0" w:color="auto"/>
              <w:right w:val="nil"/>
            </w:tcBorders>
            <w:shd w:val="clear" w:color="auto" w:fill="auto"/>
            <w:noWrap/>
            <w:vAlign w:val="center"/>
          </w:tcPr>
          <w:p w:rsidR="00115440" w:rsidRPr="00E04C25" w:rsidRDefault="00115440" w:rsidP="00976F7F">
            <w:pPr>
              <w:jc w:val="center"/>
              <w:rPr>
                <w:rFonts w:ascii="Arial" w:hAnsi="Arial" w:cs="Arial"/>
                <w:b/>
                <w:bCs/>
                <w:sz w:val="20"/>
                <w:szCs w:val="20"/>
              </w:rPr>
            </w:pPr>
            <w:r w:rsidRPr="00E04C25">
              <w:rPr>
                <w:rFonts w:ascii="Arial" w:hAnsi="Arial" w:cs="Arial"/>
                <w:b/>
                <w:bCs/>
                <w:sz w:val="20"/>
                <w:szCs w:val="20"/>
              </w:rPr>
              <w:t>k 31. 12. 201</w:t>
            </w:r>
            <w:r w:rsidR="00976F7F" w:rsidRPr="00E04C25">
              <w:rPr>
                <w:rFonts w:ascii="Arial" w:hAnsi="Arial" w:cs="Arial"/>
                <w:b/>
                <w:bCs/>
                <w:sz w:val="20"/>
                <w:szCs w:val="20"/>
              </w:rPr>
              <w:t>6</w:t>
            </w:r>
          </w:p>
        </w:tc>
        <w:tc>
          <w:tcPr>
            <w:tcW w:w="1702" w:type="dxa"/>
            <w:gridSpan w:val="2"/>
            <w:tcBorders>
              <w:top w:val="double" w:sz="6" w:space="0" w:color="auto"/>
              <w:left w:val="single" w:sz="4" w:space="0" w:color="auto"/>
              <w:bottom w:val="single" w:sz="4" w:space="0" w:color="auto"/>
              <w:right w:val="single" w:sz="4" w:space="0" w:color="000000"/>
            </w:tcBorders>
            <w:shd w:val="clear" w:color="auto" w:fill="auto"/>
            <w:noWrap/>
            <w:vAlign w:val="center"/>
          </w:tcPr>
          <w:p w:rsidR="00115440" w:rsidRPr="00E04C25" w:rsidRDefault="00115440" w:rsidP="00976F7F">
            <w:pPr>
              <w:jc w:val="center"/>
              <w:rPr>
                <w:rFonts w:ascii="Arial" w:hAnsi="Arial" w:cs="Arial"/>
                <w:b/>
                <w:bCs/>
                <w:sz w:val="20"/>
                <w:szCs w:val="20"/>
              </w:rPr>
            </w:pPr>
            <w:r w:rsidRPr="00E04C25">
              <w:rPr>
                <w:rFonts w:ascii="Arial" w:hAnsi="Arial" w:cs="Arial"/>
                <w:b/>
                <w:bCs/>
                <w:sz w:val="20"/>
                <w:szCs w:val="20"/>
              </w:rPr>
              <w:t>k 31. 12. 201</w:t>
            </w:r>
            <w:r w:rsidR="00976F7F" w:rsidRPr="00E04C25">
              <w:rPr>
                <w:rFonts w:ascii="Arial" w:hAnsi="Arial" w:cs="Arial"/>
                <w:b/>
                <w:bCs/>
                <w:sz w:val="20"/>
                <w:szCs w:val="20"/>
              </w:rPr>
              <w:t>7</w:t>
            </w:r>
          </w:p>
        </w:tc>
        <w:tc>
          <w:tcPr>
            <w:tcW w:w="1759" w:type="dxa"/>
            <w:gridSpan w:val="2"/>
            <w:tcBorders>
              <w:top w:val="double" w:sz="6" w:space="0" w:color="auto"/>
              <w:left w:val="nil"/>
              <w:bottom w:val="single" w:sz="4" w:space="0" w:color="auto"/>
              <w:right w:val="double" w:sz="6" w:space="0" w:color="000000"/>
            </w:tcBorders>
            <w:shd w:val="clear" w:color="auto" w:fill="auto"/>
            <w:noWrap/>
            <w:vAlign w:val="center"/>
          </w:tcPr>
          <w:p w:rsidR="00115440" w:rsidRPr="00E04C25" w:rsidRDefault="00115440" w:rsidP="00523B41">
            <w:pPr>
              <w:jc w:val="center"/>
              <w:rPr>
                <w:rFonts w:ascii="Arial" w:hAnsi="Arial"/>
                <w:b/>
                <w:bCs/>
                <w:sz w:val="20"/>
                <w:szCs w:val="20"/>
              </w:rPr>
            </w:pPr>
            <w:r w:rsidRPr="00E04C25">
              <w:rPr>
                <w:rFonts w:ascii="Arial" w:hAnsi="Arial"/>
                <w:b/>
                <w:bCs/>
                <w:sz w:val="20"/>
                <w:szCs w:val="20"/>
              </w:rPr>
              <w:t>meziroční rozdíl</w:t>
            </w:r>
          </w:p>
        </w:tc>
      </w:tr>
      <w:tr w:rsidR="004A34B4" w:rsidRPr="00E04C25" w:rsidTr="00523B41">
        <w:trPr>
          <w:trHeight w:val="284"/>
          <w:jc w:val="center"/>
        </w:trPr>
        <w:tc>
          <w:tcPr>
            <w:tcW w:w="2253" w:type="dxa"/>
            <w:gridSpan w:val="2"/>
            <w:tcBorders>
              <w:top w:val="nil"/>
              <w:left w:val="double" w:sz="6" w:space="0" w:color="auto"/>
              <w:bottom w:val="single" w:sz="4" w:space="0" w:color="auto"/>
              <w:right w:val="single" w:sz="4" w:space="0" w:color="auto"/>
            </w:tcBorders>
            <w:shd w:val="clear" w:color="auto" w:fill="auto"/>
            <w:noWrap/>
          </w:tcPr>
          <w:p w:rsidR="00115440" w:rsidRPr="00E04C25" w:rsidRDefault="00115440" w:rsidP="00523B41">
            <w:pPr>
              <w:jc w:val="both"/>
              <w:rPr>
                <w:rFonts w:ascii="Arial" w:hAnsi="Arial"/>
              </w:rPr>
            </w:pPr>
            <w:r w:rsidRPr="00E04C25">
              <w:rPr>
                <w:rFonts w:ascii="Arial" w:hAnsi="Arial"/>
              </w:rPr>
              <w:t> </w:t>
            </w:r>
          </w:p>
        </w:tc>
        <w:tc>
          <w:tcPr>
            <w:tcW w:w="851" w:type="dxa"/>
            <w:tcBorders>
              <w:top w:val="nil"/>
              <w:left w:val="nil"/>
              <w:bottom w:val="single" w:sz="4" w:space="0" w:color="auto"/>
              <w:right w:val="single" w:sz="4" w:space="0" w:color="auto"/>
            </w:tcBorders>
            <w:shd w:val="clear" w:color="auto" w:fill="auto"/>
            <w:vAlign w:val="bottom"/>
          </w:tcPr>
          <w:p w:rsidR="00115440" w:rsidRPr="00E04C25" w:rsidRDefault="00115440" w:rsidP="00523B41">
            <w:pPr>
              <w:jc w:val="center"/>
              <w:rPr>
                <w:rFonts w:ascii="Arial" w:hAnsi="Arial"/>
                <w:b/>
                <w:bCs/>
                <w:sz w:val="20"/>
                <w:szCs w:val="20"/>
              </w:rPr>
            </w:pPr>
            <w:r w:rsidRPr="00E04C25">
              <w:rPr>
                <w:rFonts w:ascii="Arial" w:hAnsi="Arial"/>
                <w:b/>
                <w:bCs/>
                <w:sz w:val="20"/>
                <w:szCs w:val="20"/>
              </w:rPr>
              <w:t>v tis.</w:t>
            </w:r>
          </w:p>
        </w:tc>
        <w:tc>
          <w:tcPr>
            <w:tcW w:w="851" w:type="dxa"/>
            <w:tcBorders>
              <w:top w:val="nil"/>
              <w:left w:val="nil"/>
              <w:bottom w:val="single" w:sz="4" w:space="0" w:color="auto"/>
              <w:right w:val="nil"/>
            </w:tcBorders>
            <w:shd w:val="clear" w:color="auto" w:fill="auto"/>
            <w:vAlign w:val="bottom"/>
          </w:tcPr>
          <w:p w:rsidR="00115440" w:rsidRPr="00E04C25" w:rsidRDefault="00115440" w:rsidP="00523B41">
            <w:pPr>
              <w:jc w:val="center"/>
              <w:rPr>
                <w:rFonts w:ascii="Arial" w:hAnsi="Arial"/>
                <w:b/>
                <w:bCs/>
                <w:sz w:val="20"/>
                <w:szCs w:val="20"/>
              </w:rPr>
            </w:pPr>
            <w:r w:rsidRPr="00E04C25">
              <w:rPr>
                <w:rFonts w:ascii="Arial" w:hAnsi="Arial"/>
                <w:b/>
                <w:bCs/>
                <w:sz w:val="20"/>
                <w:szCs w:val="20"/>
              </w:rPr>
              <w:t>v %</w:t>
            </w:r>
          </w:p>
        </w:tc>
        <w:tc>
          <w:tcPr>
            <w:tcW w:w="851" w:type="dxa"/>
            <w:tcBorders>
              <w:top w:val="nil"/>
              <w:left w:val="single" w:sz="4" w:space="0" w:color="auto"/>
              <w:bottom w:val="single" w:sz="4" w:space="0" w:color="auto"/>
              <w:right w:val="single" w:sz="4" w:space="0" w:color="auto"/>
            </w:tcBorders>
            <w:shd w:val="clear" w:color="auto" w:fill="auto"/>
            <w:vAlign w:val="bottom"/>
          </w:tcPr>
          <w:p w:rsidR="00115440" w:rsidRPr="00E04C25" w:rsidRDefault="00115440" w:rsidP="00523B41">
            <w:pPr>
              <w:jc w:val="center"/>
              <w:rPr>
                <w:rFonts w:ascii="Arial" w:hAnsi="Arial"/>
                <w:b/>
                <w:bCs/>
                <w:sz w:val="20"/>
                <w:szCs w:val="20"/>
              </w:rPr>
            </w:pPr>
            <w:r w:rsidRPr="00E04C25">
              <w:rPr>
                <w:rFonts w:ascii="Arial" w:hAnsi="Arial"/>
                <w:b/>
                <w:bCs/>
                <w:sz w:val="20"/>
                <w:szCs w:val="20"/>
              </w:rPr>
              <w:t>v tis.</w:t>
            </w:r>
          </w:p>
        </w:tc>
        <w:tc>
          <w:tcPr>
            <w:tcW w:w="851" w:type="dxa"/>
            <w:tcBorders>
              <w:top w:val="nil"/>
              <w:left w:val="nil"/>
              <w:bottom w:val="single" w:sz="4" w:space="0" w:color="auto"/>
              <w:right w:val="single" w:sz="4" w:space="0" w:color="auto"/>
            </w:tcBorders>
            <w:shd w:val="clear" w:color="auto" w:fill="auto"/>
            <w:vAlign w:val="bottom"/>
          </w:tcPr>
          <w:p w:rsidR="00115440" w:rsidRPr="00E04C25" w:rsidRDefault="00115440" w:rsidP="00523B41">
            <w:pPr>
              <w:jc w:val="center"/>
              <w:rPr>
                <w:rFonts w:ascii="Arial" w:hAnsi="Arial"/>
                <w:b/>
                <w:bCs/>
                <w:sz w:val="20"/>
                <w:szCs w:val="20"/>
              </w:rPr>
            </w:pPr>
            <w:r w:rsidRPr="00E04C25">
              <w:rPr>
                <w:rFonts w:ascii="Arial" w:hAnsi="Arial"/>
                <w:b/>
                <w:bCs/>
                <w:sz w:val="20"/>
                <w:szCs w:val="20"/>
              </w:rPr>
              <w:t>v %</w:t>
            </w:r>
          </w:p>
        </w:tc>
        <w:tc>
          <w:tcPr>
            <w:tcW w:w="851" w:type="dxa"/>
            <w:tcBorders>
              <w:top w:val="nil"/>
              <w:left w:val="nil"/>
              <w:bottom w:val="single" w:sz="4" w:space="0" w:color="auto"/>
              <w:right w:val="single" w:sz="4" w:space="0" w:color="auto"/>
            </w:tcBorders>
            <w:shd w:val="clear" w:color="auto" w:fill="auto"/>
            <w:vAlign w:val="bottom"/>
          </w:tcPr>
          <w:p w:rsidR="00115440" w:rsidRPr="00E04C25" w:rsidRDefault="00115440" w:rsidP="00523B41">
            <w:pPr>
              <w:jc w:val="center"/>
              <w:rPr>
                <w:rFonts w:ascii="Arial" w:hAnsi="Arial"/>
                <w:b/>
                <w:bCs/>
                <w:sz w:val="20"/>
                <w:szCs w:val="20"/>
              </w:rPr>
            </w:pPr>
            <w:r w:rsidRPr="00E04C25">
              <w:rPr>
                <w:rFonts w:ascii="Arial" w:hAnsi="Arial"/>
                <w:b/>
                <w:bCs/>
                <w:sz w:val="20"/>
                <w:szCs w:val="20"/>
              </w:rPr>
              <w:t>v tis.</w:t>
            </w:r>
          </w:p>
        </w:tc>
        <w:tc>
          <w:tcPr>
            <w:tcW w:w="908" w:type="dxa"/>
            <w:tcBorders>
              <w:top w:val="nil"/>
              <w:left w:val="nil"/>
              <w:bottom w:val="single" w:sz="4" w:space="0" w:color="auto"/>
              <w:right w:val="double" w:sz="6" w:space="0" w:color="auto"/>
            </w:tcBorders>
            <w:shd w:val="clear" w:color="auto" w:fill="auto"/>
            <w:vAlign w:val="bottom"/>
          </w:tcPr>
          <w:p w:rsidR="00115440" w:rsidRPr="00E04C25" w:rsidRDefault="00115440" w:rsidP="00523B41">
            <w:pPr>
              <w:jc w:val="center"/>
              <w:rPr>
                <w:rFonts w:ascii="Arial" w:hAnsi="Arial"/>
                <w:b/>
                <w:bCs/>
                <w:sz w:val="20"/>
                <w:szCs w:val="20"/>
              </w:rPr>
            </w:pPr>
            <w:r w:rsidRPr="00E04C25">
              <w:rPr>
                <w:rFonts w:ascii="Arial" w:hAnsi="Arial"/>
                <w:b/>
                <w:bCs/>
                <w:sz w:val="20"/>
                <w:szCs w:val="20"/>
              </w:rPr>
              <w:t>v %</w:t>
            </w:r>
          </w:p>
        </w:tc>
      </w:tr>
      <w:tr w:rsidR="004A34B4" w:rsidRPr="00E04C25" w:rsidTr="004A34B4">
        <w:trPr>
          <w:trHeight w:val="227"/>
          <w:jc w:val="center"/>
        </w:trPr>
        <w:tc>
          <w:tcPr>
            <w:tcW w:w="2253" w:type="dxa"/>
            <w:gridSpan w:val="2"/>
            <w:tcBorders>
              <w:top w:val="nil"/>
              <w:left w:val="double" w:sz="6" w:space="0" w:color="auto"/>
              <w:bottom w:val="nil"/>
              <w:right w:val="single" w:sz="4" w:space="0" w:color="auto"/>
            </w:tcBorders>
            <w:shd w:val="clear" w:color="auto" w:fill="auto"/>
            <w:vAlign w:val="bottom"/>
          </w:tcPr>
          <w:p w:rsidR="004A34B4" w:rsidRPr="00E04C25" w:rsidRDefault="004A34B4" w:rsidP="00523B41">
            <w:pPr>
              <w:rPr>
                <w:rFonts w:ascii="Arial" w:hAnsi="Arial" w:cs="Arial"/>
                <w:b/>
                <w:bCs/>
                <w:sz w:val="20"/>
                <w:szCs w:val="20"/>
              </w:rPr>
            </w:pPr>
            <w:r w:rsidRPr="00E04C25">
              <w:rPr>
                <w:rFonts w:ascii="Arial" w:hAnsi="Arial" w:cs="Arial"/>
                <w:b/>
                <w:bCs/>
                <w:sz w:val="20"/>
                <w:szCs w:val="20"/>
              </w:rPr>
              <w:t>Uchazeči s PvN</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b/>
                <w:bCs/>
                <w:sz w:val="20"/>
                <w:szCs w:val="20"/>
              </w:rPr>
            </w:pPr>
            <w:r w:rsidRPr="00E04C25">
              <w:rPr>
                <w:rFonts w:ascii="Arial" w:hAnsi="Arial" w:cs="Arial"/>
                <w:b/>
                <w:bCs/>
                <w:sz w:val="20"/>
                <w:szCs w:val="20"/>
              </w:rPr>
              <w:t>103,0</w:t>
            </w:r>
          </w:p>
        </w:tc>
        <w:tc>
          <w:tcPr>
            <w:tcW w:w="851" w:type="dxa"/>
            <w:tcBorders>
              <w:top w:val="nil"/>
              <w:left w:val="nil"/>
              <w:bottom w:val="nil"/>
              <w:right w:val="nil"/>
            </w:tcBorders>
            <w:shd w:val="clear" w:color="auto" w:fill="auto"/>
            <w:noWrap/>
            <w:vAlign w:val="center"/>
          </w:tcPr>
          <w:p w:rsidR="004A34B4" w:rsidRPr="00E04C25" w:rsidRDefault="004A34B4">
            <w:pPr>
              <w:jc w:val="right"/>
              <w:rPr>
                <w:rFonts w:ascii="Arial" w:hAnsi="Arial" w:cs="Arial"/>
                <w:b/>
                <w:bCs/>
                <w:sz w:val="20"/>
                <w:szCs w:val="20"/>
              </w:rPr>
            </w:pPr>
            <w:r w:rsidRPr="00E04C25">
              <w:rPr>
                <w:rFonts w:ascii="Arial" w:hAnsi="Arial" w:cs="Arial"/>
                <w:b/>
                <w:bCs/>
                <w:sz w:val="20"/>
                <w:szCs w:val="20"/>
              </w:rPr>
              <w:t>100,0</w:t>
            </w:r>
          </w:p>
        </w:tc>
        <w:tc>
          <w:tcPr>
            <w:tcW w:w="851" w:type="dxa"/>
            <w:tcBorders>
              <w:top w:val="nil"/>
              <w:left w:val="single" w:sz="4" w:space="0" w:color="auto"/>
              <w:bottom w:val="nil"/>
              <w:right w:val="single" w:sz="4" w:space="0" w:color="auto"/>
            </w:tcBorders>
            <w:shd w:val="clear" w:color="auto" w:fill="auto"/>
            <w:noWrap/>
            <w:vAlign w:val="center"/>
          </w:tcPr>
          <w:p w:rsidR="004A34B4" w:rsidRPr="00E04C25" w:rsidRDefault="004A34B4">
            <w:pPr>
              <w:jc w:val="right"/>
              <w:rPr>
                <w:rFonts w:ascii="Arial" w:hAnsi="Arial" w:cs="Arial"/>
                <w:b/>
                <w:bCs/>
                <w:sz w:val="20"/>
                <w:szCs w:val="20"/>
              </w:rPr>
            </w:pPr>
            <w:r w:rsidRPr="00E04C25">
              <w:rPr>
                <w:rFonts w:ascii="Arial" w:hAnsi="Arial" w:cs="Arial"/>
                <w:b/>
                <w:bCs/>
                <w:sz w:val="20"/>
                <w:szCs w:val="20"/>
              </w:rPr>
              <w:t>85,6</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b/>
                <w:bCs/>
                <w:sz w:val="20"/>
                <w:szCs w:val="20"/>
              </w:rPr>
            </w:pPr>
            <w:r w:rsidRPr="00E04C25">
              <w:rPr>
                <w:rFonts w:ascii="Arial" w:hAnsi="Arial" w:cs="Arial"/>
                <w:b/>
                <w:bCs/>
                <w:sz w:val="20"/>
                <w:szCs w:val="20"/>
              </w:rPr>
              <w:t>100,0</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b/>
                <w:bCs/>
                <w:sz w:val="20"/>
                <w:szCs w:val="20"/>
              </w:rPr>
            </w:pPr>
            <w:r w:rsidRPr="00E04C25">
              <w:rPr>
                <w:rFonts w:ascii="Arial" w:hAnsi="Arial" w:cs="Arial"/>
                <w:b/>
                <w:bCs/>
                <w:sz w:val="20"/>
                <w:szCs w:val="20"/>
              </w:rPr>
              <w:t>-17,4</w:t>
            </w:r>
          </w:p>
        </w:tc>
        <w:tc>
          <w:tcPr>
            <w:tcW w:w="908" w:type="dxa"/>
            <w:tcBorders>
              <w:top w:val="nil"/>
              <w:left w:val="nil"/>
              <w:bottom w:val="nil"/>
              <w:right w:val="double" w:sz="6" w:space="0" w:color="auto"/>
            </w:tcBorders>
            <w:shd w:val="clear" w:color="auto" w:fill="auto"/>
            <w:noWrap/>
            <w:vAlign w:val="center"/>
          </w:tcPr>
          <w:p w:rsidR="004A34B4" w:rsidRPr="00E04C25" w:rsidRDefault="004A34B4">
            <w:pPr>
              <w:jc w:val="right"/>
              <w:rPr>
                <w:rFonts w:ascii="Arial" w:hAnsi="Arial" w:cs="Arial"/>
                <w:b/>
                <w:bCs/>
                <w:sz w:val="20"/>
                <w:szCs w:val="20"/>
              </w:rPr>
            </w:pPr>
            <w:r w:rsidRPr="00E04C25">
              <w:rPr>
                <w:rFonts w:ascii="Arial" w:hAnsi="Arial" w:cs="Arial"/>
                <w:b/>
                <w:bCs/>
                <w:sz w:val="20"/>
                <w:szCs w:val="20"/>
              </w:rPr>
              <w:t>-16,9</w:t>
            </w:r>
          </w:p>
        </w:tc>
      </w:tr>
      <w:tr w:rsidR="004A34B4" w:rsidRPr="00E04C25" w:rsidTr="004A34B4">
        <w:trPr>
          <w:trHeight w:val="227"/>
          <w:jc w:val="center"/>
        </w:trPr>
        <w:tc>
          <w:tcPr>
            <w:tcW w:w="2253" w:type="dxa"/>
            <w:gridSpan w:val="2"/>
            <w:tcBorders>
              <w:top w:val="nil"/>
              <w:left w:val="double" w:sz="6" w:space="0" w:color="auto"/>
              <w:bottom w:val="nil"/>
              <w:right w:val="single" w:sz="4" w:space="0" w:color="auto"/>
            </w:tcBorders>
            <w:shd w:val="clear" w:color="auto" w:fill="auto"/>
            <w:vAlign w:val="bottom"/>
          </w:tcPr>
          <w:p w:rsidR="004A34B4" w:rsidRPr="00E04C25" w:rsidRDefault="004A34B4" w:rsidP="00523B41">
            <w:pPr>
              <w:rPr>
                <w:rFonts w:ascii="Arial" w:hAnsi="Arial" w:cs="Arial"/>
                <w:b/>
                <w:bCs/>
                <w:sz w:val="20"/>
                <w:szCs w:val="20"/>
              </w:rPr>
            </w:pPr>
            <w:r w:rsidRPr="00E04C25">
              <w:rPr>
                <w:rFonts w:ascii="Arial" w:hAnsi="Arial" w:cs="Arial"/>
                <w:b/>
                <w:bCs/>
                <w:sz w:val="20"/>
                <w:szCs w:val="20"/>
              </w:rPr>
              <w:t xml:space="preserve">   v tom:</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rPr>
                <w:rFonts w:ascii="Arial" w:hAnsi="Arial" w:cs="Arial"/>
                <w:sz w:val="20"/>
                <w:szCs w:val="20"/>
              </w:rPr>
            </w:pPr>
            <w:r w:rsidRPr="00E04C25">
              <w:rPr>
                <w:rFonts w:ascii="Arial" w:hAnsi="Arial" w:cs="Arial"/>
                <w:sz w:val="20"/>
                <w:szCs w:val="20"/>
              </w:rPr>
              <w:t> </w:t>
            </w:r>
          </w:p>
        </w:tc>
        <w:tc>
          <w:tcPr>
            <w:tcW w:w="851" w:type="dxa"/>
            <w:tcBorders>
              <w:top w:val="nil"/>
              <w:left w:val="nil"/>
              <w:bottom w:val="nil"/>
              <w:right w:val="nil"/>
            </w:tcBorders>
            <w:shd w:val="clear" w:color="auto" w:fill="auto"/>
            <w:noWrap/>
            <w:vAlign w:val="center"/>
          </w:tcPr>
          <w:p w:rsidR="004A34B4" w:rsidRPr="00E04C25" w:rsidRDefault="004A34B4">
            <w:pPr>
              <w:rPr>
                <w:rFonts w:ascii="Arial" w:hAnsi="Arial" w:cs="Arial"/>
                <w:sz w:val="20"/>
                <w:szCs w:val="20"/>
              </w:rPr>
            </w:pPr>
          </w:p>
        </w:tc>
        <w:tc>
          <w:tcPr>
            <w:tcW w:w="851" w:type="dxa"/>
            <w:tcBorders>
              <w:top w:val="nil"/>
              <w:left w:val="single" w:sz="4" w:space="0" w:color="auto"/>
              <w:bottom w:val="nil"/>
              <w:right w:val="single" w:sz="4" w:space="0" w:color="auto"/>
            </w:tcBorders>
            <w:shd w:val="clear" w:color="auto" w:fill="auto"/>
            <w:noWrap/>
            <w:vAlign w:val="center"/>
          </w:tcPr>
          <w:p w:rsidR="004A34B4" w:rsidRPr="00E04C25" w:rsidRDefault="004A34B4">
            <w:pPr>
              <w:rPr>
                <w:rFonts w:ascii="Arial" w:hAnsi="Arial" w:cs="Arial"/>
                <w:sz w:val="20"/>
                <w:szCs w:val="20"/>
              </w:rPr>
            </w:pPr>
            <w:r w:rsidRPr="00E04C25">
              <w:rPr>
                <w:rFonts w:ascii="Arial" w:hAnsi="Arial" w:cs="Arial"/>
                <w:sz w:val="20"/>
                <w:szCs w:val="20"/>
              </w:rPr>
              <w:t> </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rPr>
                <w:rFonts w:ascii="Arial" w:hAnsi="Arial" w:cs="Arial"/>
                <w:sz w:val="20"/>
                <w:szCs w:val="20"/>
              </w:rPr>
            </w:pPr>
            <w:r w:rsidRPr="00E04C25">
              <w:rPr>
                <w:rFonts w:ascii="Arial" w:hAnsi="Arial" w:cs="Arial"/>
                <w:sz w:val="20"/>
                <w:szCs w:val="20"/>
              </w:rPr>
              <w:t> </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rPr>
                <w:rFonts w:ascii="Arial" w:hAnsi="Arial" w:cs="Arial"/>
                <w:sz w:val="20"/>
                <w:szCs w:val="20"/>
              </w:rPr>
            </w:pPr>
            <w:r w:rsidRPr="00E04C25">
              <w:rPr>
                <w:rFonts w:ascii="Arial" w:hAnsi="Arial" w:cs="Arial"/>
                <w:sz w:val="20"/>
                <w:szCs w:val="20"/>
              </w:rPr>
              <w:t> </w:t>
            </w:r>
          </w:p>
        </w:tc>
        <w:tc>
          <w:tcPr>
            <w:tcW w:w="908" w:type="dxa"/>
            <w:tcBorders>
              <w:top w:val="nil"/>
              <w:left w:val="nil"/>
              <w:bottom w:val="nil"/>
              <w:right w:val="double" w:sz="6" w:space="0" w:color="auto"/>
            </w:tcBorders>
            <w:shd w:val="clear" w:color="auto" w:fill="auto"/>
            <w:noWrap/>
            <w:vAlign w:val="center"/>
          </w:tcPr>
          <w:p w:rsidR="004A34B4" w:rsidRPr="00E04C25" w:rsidRDefault="004A34B4">
            <w:pPr>
              <w:rPr>
                <w:rFonts w:ascii="Arial" w:hAnsi="Arial" w:cs="Arial"/>
                <w:sz w:val="20"/>
                <w:szCs w:val="20"/>
              </w:rPr>
            </w:pPr>
            <w:r w:rsidRPr="00E04C25">
              <w:rPr>
                <w:rFonts w:ascii="Arial" w:hAnsi="Arial" w:cs="Arial"/>
                <w:sz w:val="20"/>
                <w:szCs w:val="20"/>
              </w:rPr>
              <w:t> </w:t>
            </w:r>
          </w:p>
        </w:tc>
      </w:tr>
      <w:tr w:rsidR="004A34B4" w:rsidRPr="00E04C25" w:rsidTr="004A34B4">
        <w:trPr>
          <w:trHeight w:val="284"/>
          <w:jc w:val="center"/>
        </w:trPr>
        <w:tc>
          <w:tcPr>
            <w:tcW w:w="2253" w:type="dxa"/>
            <w:gridSpan w:val="2"/>
            <w:tcBorders>
              <w:top w:val="nil"/>
              <w:left w:val="double" w:sz="6" w:space="0" w:color="auto"/>
              <w:bottom w:val="nil"/>
              <w:right w:val="single" w:sz="4" w:space="0" w:color="auto"/>
            </w:tcBorders>
            <w:shd w:val="clear" w:color="auto" w:fill="auto"/>
            <w:vAlign w:val="center"/>
          </w:tcPr>
          <w:p w:rsidR="004A34B4" w:rsidRPr="00E04C25" w:rsidRDefault="004A34B4" w:rsidP="00523B41">
            <w:pPr>
              <w:rPr>
                <w:rFonts w:ascii="Arial" w:hAnsi="Arial" w:cs="Arial"/>
                <w:sz w:val="20"/>
                <w:szCs w:val="20"/>
              </w:rPr>
            </w:pPr>
            <w:r w:rsidRPr="00E04C25">
              <w:rPr>
                <w:rFonts w:ascii="Arial" w:hAnsi="Arial" w:cs="Arial"/>
                <w:sz w:val="20"/>
                <w:szCs w:val="20"/>
              </w:rPr>
              <w:t xml:space="preserve">   do 1</w:t>
            </w:r>
            <w:r w:rsidR="00C73472">
              <w:rPr>
                <w:rFonts w:ascii="Arial" w:hAnsi="Arial" w:cs="Arial"/>
                <w:sz w:val="20"/>
                <w:szCs w:val="20"/>
              </w:rPr>
              <w:t> </w:t>
            </w:r>
            <w:r w:rsidRPr="00E04C25">
              <w:rPr>
                <w:rFonts w:ascii="Arial" w:hAnsi="Arial" w:cs="Arial"/>
                <w:sz w:val="20"/>
                <w:szCs w:val="20"/>
              </w:rPr>
              <w:t>500 Kč</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0,3</w:t>
            </w:r>
          </w:p>
        </w:tc>
        <w:tc>
          <w:tcPr>
            <w:tcW w:w="851" w:type="dxa"/>
            <w:tcBorders>
              <w:top w:val="nil"/>
              <w:left w:val="nil"/>
              <w:bottom w:val="nil"/>
              <w:right w:val="nil"/>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0,3</w:t>
            </w:r>
          </w:p>
        </w:tc>
        <w:tc>
          <w:tcPr>
            <w:tcW w:w="851" w:type="dxa"/>
            <w:tcBorders>
              <w:top w:val="nil"/>
              <w:left w:val="single" w:sz="4" w:space="0" w:color="auto"/>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0,2</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0,2</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-0,1</w:t>
            </w:r>
          </w:p>
        </w:tc>
        <w:tc>
          <w:tcPr>
            <w:tcW w:w="908" w:type="dxa"/>
            <w:tcBorders>
              <w:top w:val="nil"/>
              <w:left w:val="nil"/>
              <w:bottom w:val="nil"/>
              <w:right w:val="double" w:sz="6"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-33,3</w:t>
            </w:r>
          </w:p>
        </w:tc>
      </w:tr>
      <w:tr w:rsidR="004A34B4" w:rsidRPr="00E04C25" w:rsidTr="004A34B4">
        <w:trPr>
          <w:trHeight w:val="284"/>
          <w:jc w:val="center"/>
        </w:trPr>
        <w:tc>
          <w:tcPr>
            <w:tcW w:w="2253" w:type="dxa"/>
            <w:gridSpan w:val="2"/>
            <w:tcBorders>
              <w:top w:val="nil"/>
              <w:left w:val="double" w:sz="6" w:space="0" w:color="auto"/>
              <w:bottom w:val="nil"/>
              <w:right w:val="single" w:sz="4" w:space="0" w:color="auto"/>
            </w:tcBorders>
            <w:shd w:val="clear" w:color="auto" w:fill="auto"/>
            <w:vAlign w:val="center"/>
          </w:tcPr>
          <w:p w:rsidR="004A34B4" w:rsidRPr="00E04C25" w:rsidRDefault="004A34B4" w:rsidP="00523B41">
            <w:pPr>
              <w:jc w:val="both"/>
              <w:rPr>
                <w:rFonts w:ascii="Arial" w:hAnsi="Arial" w:cs="Arial"/>
                <w:sz w:val="20"/>
                <w:szCs w:val="20"/>
              </w:rPr>
            </w:pPr>
            <w:r w:rsidRPr="00E04C25">
              <w:rPr>
                <w:rFonts w:ascii="Arial" w:hAnsi="Arial" w:cs="Arial"/>
                <w:sz w:val="20"/>
                <w:szCs w:val="20"/>
              </w:rPr>
              <w:t xml:space="preserve">   </w:t>
            </w:r>
            <w:r w:rsidR="00C73472">
              <w:rPr>
                <w:rFonts w:ascii="Arial" w:hAnsi="Arial" w:cs="Arial"/>
                <w:sz w:val="20"/>
                <w:szCs w:val="20"/>
              </w:rPr>
              <w:t xml:space="preserve">  </w:t>
            </w:r>
            <w:r w:rsidRPr="00E04C25">
              <w:rPr>
                <w:rFonts w:ascii="Arial" w:hAnsi="Arial" w:cs="Arial"/>
                <w:sz w:val="20"/>
                <w:szCs w:val="20"/>
              </w:rPr>
              <w:t>1</w:t>
            </w:r>
            <w:r w:rsidR="00C73472">
              <w:rPr>
                <w:rFonts w:ascii="Arial" w:hAnsi="Arial" w:cs="Arial"/>
                <w:sz w:val="20"/>
                <w:szCs w:val="20"/>
              </w:rPr>
              <w:t> </w:t>
            </w:r>
            <w:r w:rsidRPr="00E04C25">
              <w:rPr>
                <w:rFonts w:ascii="Arial" w:hAnsi="Arial" w:cs="Arial"/>
                <w:sz w:val="20"/>
                <w:szCs w:val="20"/>
              </w:rPr>
              <w:t>501-2</w:t>
            </w:r>
            <w:r w:rsidR="00C73472">
              <w:rPr>
                <w:rFonts w:ascii="Arial" w:hAnsi="Arial" w:cs="Arial"/>
                <w:sz w:val="20"/>
                <w:szCs w:val="20"/>
              </w:rPr>
              <w:t> </w:t>
            </w:r>
            <w:r w:rsidRPr="00E04C25">
              <w:rPr>
                <w:rFonts w:ascii="Arial" w:hAnsi="Arial" w:cs="Arial"/>
                <w:sz w:val="20"/>
                <w:szCs w:val="20"/>
              </w:rPr>
              <w:t>500 Kč</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1,3</w:t>
            </w:r>
          </w:p>
        </w:tc>
        <w:tc>
          <w:tcPr>
            <w:tcW w:w="851" w:type="dxa"/>
            <w:tcBorders>
              <w:top w:val="nil"/>
              <w:left w:val="nil"/>
              <w:bottom w:val="nil"/>
              <w:right w:val="nil"/>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1,3</w:t>
            </w:r>
          </w:p>
        </w:tc>
        <w:tc>
          <w:tcPr>
            <w:tcW w:w="851" w:type="dxa"/>
            <w:tcBorders>
              <w:top w:val="nil"/>
              <w:left w:val="single" w:sz="4" w:space="0" w:color="auto"/>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1,0</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1,2</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-0,3</w:t>
            </w:r>
          </w:p>
        </w:tc>
        <w:tc>
          <w:tcPr>
            <w:tcW w:w="908" w:type="dxa"/>
            <w:tcBorders>
              <w:top w:val="nil"/>
              <w:left w:val="nil"/>
              <w:bottom w:val="nil"/>
              <w:right w:val="double" w:sz="6"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-23,1</w:t>
            </w:r>
          </w:p>
        </w:tc>
      </w:tr>
      <w:tr w:rsidR="004A34B4" w:rsidRPr="00E04C25" w:rsidTr="004A34B4">
        <w:trPr>
          <w:trHeight w:val="284"/>
          <w:jc w:val="center"/>
        </w:trPr>
        <w:tc>
          <w:tcPr>
            <w:tcW w:w="2253" w:type="dxa"/>
            <w:gridSpan w:val="2"/>
            <w:tcBorders>
              <w:top w:val="nil"/>
              <w:left w:val="double" w:sz="6" w:space="0" w:color="auto"/>
              <w:bottom w:val="nil"/>
              <w:right w:val="single" w:sz="4" w:space="0" w:color="auto"/>
            </w:tcBorders>
            <w:shd w:val="clear" w:color="auto" w:fill="auto"/>
            <w:vAlign w:val="center"/>
          </w:tcPr>
          <w:p w:rsidR="004A34B4" w:rsidRPr="00E04C25" w:rsidRDefault="004A34B4" w:rsidP="00523B41">
            <w:pPr>
              <w:jc w:val="both"/>
              <w:rPr>
                <w:rFonts w:ascii="Arial" w:hAnsi="Arial" w:cs="Arial"/>
                <w:sz w:val="20"/>
                <w:szCs w:val="20"/>
              </w:rPr>
            </w:pPr>
            <w:r w:rsidRPr="00E04C25">
              <w:rPr>
                <w:rFonts w:ascii="Arial" w:hAnsi="Arial" w:cs="Arial"/>
                <w:sz w:val="20"/>
                <w:szCs w:val="20"/>
              </w:rPr>
              <w:t xml:space="preserve">   </w:t>
            </w:r>
            <w:r w:rsidR="00C73472">
              <w:rPr>
                <w:rFonts w:ascii="Arial" w:hAnsi="Arial" w:cs="Arial"/>
                <w:sz w:val="20"/>
                <w:szCs w:val="20"/>
              </w:rPr>
              <w:t xml:space="preserve">  </w:t>
            </w:r>
            <w:r w:rsidRPr="00E04C25">
              <w:rPr>
                <w:rFonts w:ascii="Arial" w:hAnsi="Arial" w:cs="Arial"/>
                <w:sz w:val="20"/>
                <w:szCs w:val="20"/>
              </w:rPr>
              <w:t>2</w:t>
            </w:r>
            <w:r w:rsidR="00C73472">
              <w:rPr>
                <w:rFonts w:ascii="Arial" w:hAnsi="Arial" w:cs="Arial"/>
                <w:sz w:val="20"/>
                <w:szCs w:val="20"/>
              </w:rPr>
              <w:t> </w:t>
            </w:r>
            <w:r w:rsidRPr="00E04C25">
              <w:rPr>
                <w:rFonts w:ascii="Arial" w:hAnsi="Arial" w:cs="Arial"/>
                <w:sz w:val="20"/>
                <w:szCs w:val="20"/>
              </w:rPr>
              <w:t>501-3</w:t>
            </w:r>
            <w:r w:rsidR="00C73472">
              <w:rPr>
                <w:rFonts w:ascii="Arial" w:hAnsi="Arial" w:cs="Arial"/>
                <w:sz w:val="20"/>
                <w:szCs w:val="20"/>
              </w:rPr>
              <w:t> </w:t>
            </w:r>
            <w:r w:rsidRPr="00E04C25">
              <w:rPr>
                <w:rFonts w:ascii="Arial" w:hAnsi="Arial" w:cs="Arial"/>
                <w:sz w:val="20"/>
                <w:szCs w:val="20"/>
              </w:rPr>
              <w:t>500 Kč</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23,4</w:t>
            </w:r>
          </w:p>
        </w:tc>
        <w:tc>
          <w:tcPr>
            <w:tcW w:w="851" w:type="dxa"/>
            <w:tcBorders>
              <w:top w:val="nil"/>
              <w:left w:val="nil"/>
              <w:bottom w:val="nil"/>
              <w:right w:val="nil"/>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22,7</w:t>
            </w:r>
          </w:p>
        </w:tc>
        <w:tc>
          <w:tcPr>
            <w:tcW w:w="851" w:type="dxa"/>
            <w:tcBorders>
              <w:top w:val="nil"/>
              <w:left w:val="single" w:sz="4" w:space="0" w:color="auto"/>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18,4</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21,5</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-5,0</w:t>
            </w:r>
          </w:p>
        </w:tc>
        <w:tc>
          <w:tcPr>
            <w:tcW w:w="908" w:type="dxa"/>
            <w:tcBorders>
              <w:top w:val="nil"/>
              <w:left w:val="nil"/>
              <w:bottom w:val="nil"/>
              <w:right w:val="double" w:sz="6"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-21,4</w:t>
            </w:r>
          </w:p>
        </w:tc>
      </w:tr>
      <w:tr w:rsidR="004A34B4" w:rsidRPr="00E04C25" w:rsidTr="004A34B4">
        <w:trPr>
          <w:trHeight w:val="284"/>
          <w:jc w:val="center"/>
        </w:trPr>
        <w:tc>
          <w:tcPr>
            <w:tcW w:w="2253" w:type="dxa"/>
            <w:gridSpan w:val="2"/>
            <w:tcBorders>
              <w:top w:val="nil"/>
              <w:left w:val="double" w:sz="6" w:space="0" w:color="auto"/>
              <w:bottom w:val="nil"/>
              <w:right w:val="single" w:sz="4" w:space="0" w:color="auto"/>
            </w:tcBorders>
            <w:shd w:val="clear" w:color="auto" w:fill="auto"/>
            <w:vAlign w:val="center"/>
          </w:tcPr>
          <w:p w:rsidR="004A34B4" w:rsidRPr="00E04C25" w:rsidRDefault="004A34B4" w:rsidP="00523B41">
            <w:pPr>
              <w:jc w:val="both"/>
              <w:rPr>
                <w:rFonts w:ascii="Arial" w:hAnsi="Arial" w:cs="Arial"/>
                <w:sz w:val="20"/>
                <w:szCs w:val="20"/>
              </w:rPr>
            </w:pPr>
            <w:r w:rsidRPr="00E04C25">
              <w:rPr>
                <w:rFonts w:ascii="Arial" w:hAnsi="Arial" w:cs="Arial"/>
                <w:sz w:val="20"/>
                <w:szCs w:val="20"/>
              </w:rPr>
              <w:t xml:space="preserve">   </w:t>
            </w:r>
            <w:r w:rsidR="00C73472">
              <w:rPr>
                <w:rFonts w:ascii="Arial" w:hAnsi="Arial" w:cs="Arial"/>
                <w:sz w:val="20"/>
                <w:szCs w:val="20"/>
              </w:rPr>
              <w:t xml:space="preserve">  </w:t>
            </w:r>
            <w:r w:rsidRPr="00E04C25">
              <w:rPr>
                <w:rFonts w:ascii="Arial" w:hAnsi="Arial" w:cs="Arial"/>
                <w:sz w:val="20"/>
                <w:szCs w:val="20"/>
              </w:rPr>
              <w:t>3</w:t>
            </w:r>
            <w:r w:rsidR="00C73472">
              <w:rPr>
                <w:rFonts w:ascii="Arial" w:hAnsi="Arial" w:cs="Arial"/>
                <w:sz w:val="20"/>
                <w:szCs w:val="20"/>
              </w:rPr>
              <w:t> </w:t>
            </w:r>
            <w:r w:rsidRPr="00E04C25">
              <w:rPr>
                <w:rFonts w:ascii="Arial" w:hAnsi="Arial" w:cs="Arial"/>
                <w:sz w:val="20"/>
                <w:szCs w:val="20"/>
              </w:rPr>
              <w:t>501-4</w:t>
            </w:r>
            <w:r w:rsidR="00C73472">
              <w:rPr>
                <w:rFonts w:ascii="Arial" w:hAnsi="Arial" w:cs="Arial"/>
                <w:sz w:val="20"/>
                <w:szCs w:val="20"/>
              </w:rPr>
              <w:t> </w:t>
            </w:r>
            <w:r w:rsidRPr="00E04C25">
              <w:rPr>
                <w:rFonts w:ascii="Arial" w:hAnsi="Arial" w:cs="Arial"/>
                <w:sz w:val="20"/>
                <w:szCs w:val="20"/>
              </w:rPr>
              <w:t>500 Kč</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8,8</w:t>
            </w:r>
          </w:p>
        </w:tc>
        <w:tc>
          <w:tcPr>
            <w:tcW w:w="851" w:type="dxa"/>
            <w:tcBorders>
              <w:top w:val="nil"/>
              <w:left w:val="nil"/>
              <w:bottom w:val="nil"/>
              <w:right w:val="nil"/>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8,5</w:t>
            </w:r>
          </w:p>
        </w:tc>
        <w:tc>
          <w:tcPr>
            <w:tcW w:w="851" w:type="dxa"/>
            <w:tcBorders>
              <w:top w:val="nil"/>
              <w:left w:val="single" w:sz="4" w:space="0" w:color="auto"/>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4,4</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5,1</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-4,4</w:t>
            </w:r>
          </w:p>
        </w:tc>
        <w:tc>
          <w:tcPr>
            <w:tcW w:w="908" w:type="dxa"/>
            <w:tcBorders>
              <w:top w:val="nil"/>
              <w:left w:val="nil"/>
              <w:bottom w:val="nil"/>
              <w:right w:val="double" w:sz="6"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-50,0</w:t>
            </w:r>
          </w:p>
        </w:tc>
      </w:tr>
      <w:tr w:rsidR="004A34B4" w:rsidRPr="00E04C25" w:rsidTr="004A34B4">
        <w:trPr>
          <w:trHeight w:val="284"/>
          <w:jc w:val="center"/>
        </w:trPr>
        <w:tc>
          <w:tcPr>
            <w:tcW w:w="2253" w:type="dxa"/>
            <w:gridSpan w:val="2"/>
            <w:tcBorders>
              <w:top w:val="nil"/>
              <w:left w:val="double" w:sz="6" w:space="0" w:color="auto"/>
              <w:bottom w:val="nil"/>
              <w:right w:val="single" w:sz="4" w:space="0" w:color="auto"/>
            </w:tcBorders>
            <w:shd w:val="clear" w:color="auto" w:fill="auto"/>
            <w:vAlign w:val="center"/>
          </w:tcPr>
          <w:p w:rsidR="004A34B4" w:rsidRPr="00E04C25" w:rsidRDefault="004A34B4" w:rsidP="00523B41">
            <w:pPr>
              <w:jc w:val="both"/>
              <w:rPr>
                <w:rFonts w:ascii="Arial" w:hAnsi="Arial" w:cs="Arial"/>
                <w:sz w:val="20"/>
                <w:szCs w:val="20"/>
              </w:rPr>
            </w:pPr>
            <w:r w:rsidRPr="00E04C25">
              <w:rPr>
                <w:rFonts w:ascii="Arial" w:hAnsi="Arial" w:cs="Arial"/>
                <w:sz w:val="20"/>
                <w:szCs w:val="20"/>
              </w:rPr>
              <w:t xml:space="preserve">   </w:t>
            </w:r>
            <w:r w:rsidR="00C73472">
              <w:rPr>
                <w:rFonts w:ascii="Arial" w:hAnsi="Arial" w:cs="Arial"/>
                <w:sz w:val="20"/>
                <w:szCs w:val="20"/>
              </w:rPr>
              <w:t xml:space="preserve">  </w:t>
            </w:r>
            <w:r w:rsidRPr="00E04C25">
              <w:rPr>
                <w:rFonts w:ascii="Arial" w:hAnsi="Arial" w:cs="Arial"/>
                <w:sz w:val="20"/>
                <w:szCs w:val="20"/>
              </w:rPr>
              <w:t>4</w:t>
            </w:r>
            <w:r w:rsidR="00C73472">
              <w:rPr>
                <w:rFonts w:ascii="Arial" w:hAnsi="Arial" w:cs="Arial"/>
                <w:sz w:val="20"/>
                <w:szCs w:val="20"/>
              </w:rPr>
              <w:t> </w:t>
            </w:r>
            <w:r w:rsidRPr="00E04C25">
              <w:rPr>
                <w:rFonts w:ascii="Arial" w:hAnsi="Arial" w:cs="Arial"/>
                <w:sz w:val="20"/>
                <w:szCs w:val="20"/>
              </w:rPr>
              <w:t>501-5</w:t>
            </w:r>
            <w:r w:rsidR="00C73472">
              <w:rPr>
                <w:rFonts w:ascii="Arial" w:hAnsi="Arial" w:cs="Arial"/>
                <w:sz w:val="20"/>
                <w:szCs w:val="20"/>
              </w:rPr>
              <w:t> </w:t>
            </w:r>
            <w:r w:rsidRPr="00E04C25">
              <w:rPr>
                <w:rFonts w:ascii="Arial" w:hAnsi="Arial" w:cs="Arial"/>
                <w:sz w:val="20"/>
                <w:szCs w:val="20"/>
              </w:rPr>
              <w:t>500 Kč</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15,9</w:t>
            </w:r>
          </w:p>
        </w:tc>
        <w:tc>
          <w:tcPr>
            <w:tcW w:w="851" w:type="dxa"/>
            <w:tcBorders>
              <w:top w:val="nil"/>
              <w:left w:val="nil"/>
              <w:bottom w:val="nil"/>
              <w:right w:val="nil"/>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15,4</w:t>
            </w:r>
          </w:p>
        </w:tc>
        <w:tc>
          <w:tcPr>
            <w:tcW w:w="851" w:type="dxa"/>
            <w:tcBorders>
              <w:top w:val="nil"/>
              <w:left w:val="single" w:sz="4" w:space="0" w:color="auto"/>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11,3</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13,2</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-4,6</w:t>
            </w:r>
          </w:p>
        </w:tc>
        <w:tc>
          <w:tcPr>
            <w:tcW w:w="908" w:type="dxa"/>
            <w:tcBorders>
              <w:top w:val="nil"/>
              <w:left w:val="nil"/>
              <w:bottom w:val="nil"/>
              <w:right w:val="double" w:sz="6"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-28,9</w:t>
            </w:r>
          </w:p>
        </w:tc>
      </w:tr>
      <w:tr w:rsidR="004A34B4" w:rsidRPr="00E04C25" w:rsidTr="004A34B4">
        <w:trPr>
          <w:trHeight w:val="284"/>
          <w:jc w:val="center"/>
        </w:trPr>
        <w:tc>
          <w:tcPr>
            <w:tcW w:w="2253" w:type="dxa"/>
            <w:gridSpan w:val="2"/>
            <w:tcBorders>
              <w:top w:val="nil"/>
              <w:left w:val="double" w:sz="6" w:space="0" w:color="auto"/>
              <w:bottom w:val="nil"/>
              <w:right w:val="single" w:sz="4" w:space="0" w:color="auto"/>
            </w:tcBorders>
            <w:shd w:val="clear" w:color="auto" w:fill="auto"/>
            <w:vAlign w:val="center"/>
          </w:tcPr>
          <w:p w:rsidR="004A34B4" w:rsidRPr="00E04C25" w:rsidRDefault="004A34B4" w:rsidP="00523B41">
            <w:pPr>
              <w:jc w:val="both"/>
              <w:rPr>
                <w:rFonts w:ascii="Arial" w:hAnsi="Arial" w:cs="Arial"/>
                <w:sz w:val="20"/>
                <w:szCs w:val="20"/>
              </w:rPr>
            </w:pPr>
            <w:r w:rsidRPr="00E04C25">
              <w:rPr>
                <w:rFonts w:ascii="Arial" w:hAnsi="Arial" w:cs="Arial"/>
                <w:sz w:val="20"/>
                <w:szCs w:val="20"/>
              </w:rPr>
              <w:t xml:space="preserve">   </w:t>
            </w:r>
            <w:r w:rsidR="00C73472">
              <w:rPr>
                <w:rFonts w:ascii="Arial" w:hAnsi="Arial" w:cs="Arial"/>
                <w:sz w:val="20"/>
                <w:szCs w:val="20"/>
              </w:rPr>
              <w:t xml:space="preserve">  </w:t>
            </w:r>
            <w:r w:rsidRPr="00E04C25">
              <w:rPr>
                <w:rFonts w:ascii="Arial" w:hAnsi="Arial" w:cs="Arial"/>
                <w:sz w:val="20"/>
                <w:szCs w:val="20"/>
              </w:rPr>
              <w:t>5</w:t>
            </w:r>
            <w:r w:rsidR="00C73472">
              <w:rPr>
                <w:rFonts w:ascii="Arial" w:hAnsi="Arial" w:cs="Arial"/>
                <w:sz w:val="20"/>
                <w:szCs w:val="20"/>
              </w:rPr>
              <w:t> </w:t>
            </w:r>
            <w:r w:rsidRPr="00E04C25">
              <w:rPr>
                <w:rFonts w:ascii="Arial" w:hAnsi="Arial" w:cs="Arial"/>
                <w:sz w:val="20"/>
                <w:szCs w:val="20"/>
              </w:rPr>
              <w:t>501-6</w:t>
            </w:r>
            <w:r w:rsidR="00C73472">
              <w:rPr>
                <w:rFonts w:ascii="Arial" w:hAnsi="Arial" w:cs="Arial"/>
                <w:sz w:val="20"/>
                <w:szCs w:val="20"/>
              </w:rPr>
              <w:t> </w:t>
            </w:r>
            <w:r w:rsidRPr="00E04C25">
              <w:rPr>
                <w:rFonts w:ascii="Arial" w:hAnsi="Arial" w:cs="Arial"/>
                <w:sz w:val="20"/>
                <w:szCs w:val="20"/>
              </w:rPr>
              <w:t>500 Kč</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11,6</w:t>
            </w:r>
          </w:p>
        </w:tc>
        <w:tc>
          <w:tcPr>
            <w:tcW w:w="851" w:type="dxa"/>
            <w:tcBorders>
              <w:top w:val="nil"/>
              <w:left w:val="nil"/>
              <w:bottom w:val="nil"/>
              <w:right w:val="nil"/>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11,3</w:t>
            </w:r>
          </w:p>
        </w:tc>
        <w:tc>
          <w:tcPr>
            <w:tcW w:w="851" w:type="dxa"/>
            <w:tcBorders>
              <w:top w:val="nil"/>
              <w:left w:val="single" w:sz="4" w:space="0" w:color="auto"/>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10,0</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11,7</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-1,6</w:t>
            </w:r>
          </w:p>
        </w:tc>
        <w:tc>
          <w:tcPr>
            <w:tcW w:w="908" w:type="dxa"/>
            <w:tcBorders>
              <w:top w:val="nil"/>
              <w:left w:val="nil"/>
              <w:bottom w:val="nil"/>
              <w:right w:val="double" w:sz="6"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-13,8</w:t>
            </w:r>
          </w:p>
        </w:tc>
      </w:tr>
      <w:tr w:rsidR="004A34B4" w:rsidRPr="00E04C25" w:rsidTr="004A34B4">
        <w:trPr>
          <w:trHeight w:val="284"/>
          <w:jc w:val="center"/>
        </w:trPr>
        <w:tc>
          <w:tcPr>
            <w:tcW w:w="2253" w:type="dxa"/>
            <w:gridSpan w:val="2"/>
            <w:tcBorders>
              <w:top w:val="nil"/>
              <w:left w:val="double" w:sz="6" w:space="0" w:color="auto"/>
              <w:bottom w:val="nil"/>
              <w:right w:val="single" w:sz="4" w:space="0" w:color="auto"/>
            </w:tcBorders>
            <w:shd w:val="clear" w:color="auto" w:fill="auto"/>
            <w:vAlign w:val="center"/>
          </w:tcPr>
          <w:p w:rsidR="004A34B4" w:rsidRPr="00E04C25" w:rsidRDefault="004A34B4" w:rsidP="00523B41">
            <w:pPr>
              <w:jc w:val="both"/>
              <w:rPr>
                <w:rFonts w:ascii="Arial" w:hAnsi="Arial" w:cs="Arial"/>
                <w:sz w:val="20"/>
                <w:szCs w:val="20"/>
              </w:rPr>
            </w:pPr>
            <w:r w:rsidRPr="00E04C25">
              <w:rPr>
                <w:rFonts w:ascii="Arial" w:hAnsi="Arial" w:cs="Arial"/>
                <w:sz w:val="20"/>
                <w:szCs w:val="20"/>
              </w:rPr>
              <w:t xml:space="preserve">   </w:t>
            </w:r>
            <w:r w:rsidR="00C73472">
              <w:rPr>
                <w:rFonts w:ascii="Arial" w:hAnsi="Arial" w:cs="Arial"/>
                <w:sz w:val="20"/>
                <w:szCs w:val="20"/>
              </w:rPr>
              <w:t xml:space="preserve">  </w:t>
            </w:r>
            <w:r w:rsidRPr="00E04C25">
              <w:rPr>
                <w:rFonts w:ascii="Arial" w:hAnsi="Arial" w:cs="Arial"/>
                <w:sz w:val="20"/>
                <w:szCs w:val="20"/>
              </w:rPr>
              <w:t>6</w:t>
            </w:r>
            <w:r w:rsidR="00C73472">
              <w:rPr>
                <w:rFonts w:ascii="Arial" w:hAnsi="Arial" w:cs="Arial"/>
                <w:sz w:val="20"/>
                <w:szCs w:val="20"/>
              </w:rPr>
              <w:t> </w:t>
            </w:r>
            <w:r w:rsidRPr="00E04C25">
              <w:rPr>
                <w:rFonts w:ascii="Arial" w:hAnsi="Arial" w:cs="Arial"/>
                <w:sz w:val="20"/>
                <w:szCs w:val="20"/>
              </w:rPr>
              <w:t>501-7</w:t>
            </w:r>
            <w:r w:rsidR="00C73472">
              <w:rPr>
                <w:rFonts w:ascii="Arial" w:hAnsi="Arial" w:cs="Arial"/>
                <w:sz w:val="20"/>
                <w:szCs w:val="20"/>
              </w:rPr>
              <w:t> </w:t>
            </w:r>
            <w:r w:rsidRPr="00E04C25">
              <w:rPr>
                <w:rFonts w:ascii="Arial" w:hAnsi="Arial" w:cs="Arial"/>
                <w:sz w:val="20"/>
                <w:szCs w:val="20"/>
              </w:rPr>
              <w:t>500 Kč</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10,1</w:t>
            </w:r>
          </w:p>
        </w:tc>
        <w:tc>
          <w:tcPr>
            <w:tcW w:w="851" w:type="dxa"/>
            <w:tcBorders>
              <w:top w:val="nil"/>
              <w:left w:val="nil"/>
              <w:bottom w:val="nil"/>
              <w:right w:val="nil"/>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9,8</w:t>
            </w:r>
          </w:p>
        </w:tc>
        <w:tc>
          <w:tcPr>
            <w:tcW w:w="851" w:type="dxa"/>
            <w:tcBorders>
              <w:top w:val="nil"/>
              <w:left w:val="single" w:sz="4" w:space="0" w:color="auto"/>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8,4</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9,8</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-1,7</w:t>
            </w:r>
          </w:p>
        </w:tc>
        <w:tc>
          <w:tcPr>
            <w:tcW w:w="908" w:type="dxa"/>
            <w:tcBorders>
              <w:top w:val="nil"/>
              <w:left w:val="nil"/>
              <w:bottom w:val="nil"/>
              <w:right w:val="double" w:sz="6"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-16,8</w:t>
            </w:r>
          </w:p>
        </w:tc>
      </w:tr>
      <w:tr w:rsidR="004A34B4" w:rsidRPr="00E04C25" w:rsidTr="004A34B4">
        <w:trPr>
          <w:trHeight w:val="284"/>
          <w:jc w:val="center"/>
        </w:trPr>
        <w:tc>
          <w:tcPr>
            <w:tcW w:w="2253" w:type="dxa"/>
            <w:gridSpan w:val="2"/>
            <w:tcBorders>
              <w:top w:val="nil"/>
              <w:left w:val="double" w:sz="6" w:space="0" w:color="auto"/>
              <w:bottom w:val="nil"/>
              <w:right w:val="single" w:sz="4" w:space="0" w:color="auto"/>
            </w:tcBorders>
            <w:shd w:val="clear" w:color="auto" w:fill="auto"/>
            <w:noWrap/>
            <w:vAlign w:val="center"/>
          </w:tcPr>
          <w:p w:rsidR="004A34B4" w:rsidRPr="00E04C25" w:rsidRDefault="00C73472" w:rsidP="00C73472">
            <w:pPr>
              <w:rPr>
                <w:rFonts w:ascii="Arial" w:hAnsi="Arial" w:cs="Arial"/>
                <w:sz w:val="20"/>
                <w:szCs w:val="20"/>
              </w:rPr>
            </w:pPr>
            <w:r>
              <w:rPr>
                <w:rFonts w:ascii="Arial" w:hAnsi="Arial" w:cs="Arial"/>
                <w:sz w:val="20"/>
                <w:szCs w:val="20"/>
              </w:rPr>
              <w:t xml:space="preserve">     </w:t>
            </w:r>
            <w:r w:rsidR="004A34B4" w:rsidRPr="00E04C25">
              <w:rPr>
                <w:rFonts w:ascii="Arial" w:hAnsi="Arial" w:cs="Arial"/>
                <w:sz w:val="20"/>
                <w:szCs w:val="20"/>
              </w:rPr>
              <w:t>7</w:t>
            </w:r>
            <w:r>
              <w:rPr>
                <w:rFonts w:ascii="Arial" w:hAnsi="Arial" w:cs="Arial"/>
                <w:sz w:val="20"/>
                <w:szCs w:val="20"/>
              </w:rPr>
              <w:t> </w:t>
            </w:r>
            <w:r w:rsidR="004A34B4" w:rsidRPr="00E04C25">
              <w:rPr>
                <w:rFonts w:ascii="Arial" w:hAnsi="Arial" w:cs="Arial"/>
                <w:sz w:val="20"/>
                <w:szCs w:val="20"/>
              </w:rPr>
              <w:t>501-8</w:t>
            </w:r>
            <w:r>
              <w:rPr>
                <w:rFonts w:ascii="Arial" w:hAnsi="Arial" w:cs="Arial"/>
                <w:sz w:val="20"/>
                <w:szCs w:val="20"/>
              </w:rPr>
              <w:t> </w:t>
            </w:r>
            <w:r w:rsidR="004A34B4" w:rsidRPr="00E04C25">
              <w:rPr>
                <w:rFonts w:ascii="Arial" w:hAnsi="Arial" w:cs="Arial"/>
                <w:sz w:val="20"/>
                <w:szCs w:val="20"/>
              </w:rPr>
              <w:t>500 Kč</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8,2</w:t>
            </w:r>
          </w:p>
        </w:tc>
        <w:tc>
          <w:tcPr>
            <w:tcW w:w="851" w:type="dxa"/>
            <w:tcBorders>
              <w:top w:val="nil"/>
              <w:left w:val="nil"/>
              <w:bottom w:val="nil"/>
              <w:right w:val="nil"/>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8,0</w:t>
            </w:r>
          </w:p>
        </w:tc>
        <w:tc>
          <w:tcPr>
            <w:tcW w:w="851" w:type="dxa"/>
            <w:tcBorders>
              <w:top w:val="nil"/>
              <w:left w:val="single" w:sz="4" w:space="0" w:color="auto"/>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7,6</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8,9</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-0,6</w:t>
            </w:r>
          </w:p>
        </w:tc>
        <w:tc>
          <w:tcPr>
            <w:tcW w:w="908" w:type="dxa"/>
            <w:tcBorders>
              <w:top w:val="nil"/>
              <w:left w:val="nil"/>
              <w:bottom w:val="nil"/>
              <w:right w:val="double" w:sz="6"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-7,3</w:t>
            </w:r>
          </w:p>
        </w:tc>
      </w:tr>
      <w:tr w:rsidR="004A34B4" w:rsidRPr="00E04C25" w:rsidTr="004A34B4">
        <w:trPr>
          <w:trHeight w:val="284"/>
          <w:jc w:val="center"/>
        </w:trPr>
        <w:tc>
          <w:tcPr>
            <w:tcW w:w="2253" w:type="dxa"/>
            <w:gridSpan w:val="2"/>
            <w:tcBorders>
              <w:top w:val="nil"/>
              <w:left w:val="double" w:sz="6" w:space="0" w:color="auto"/>
              <w:bottom w:val="nil"/>
              <w:right w:val="single" w:sz="4" w:space="0" w:color="auto"/>
            </w:tcBorders>
            <w:shd w:val="clear" w:color="auto" w:fill="auto"/>
            <w:noWrap/>
            <w:vAlign w:val="center"/>
          </w:tcPr>
          <w:p w:rsidR="004A34B4" w:rsidRPr="00E04C25" w:rsidRDefault="00C73472" w:rsidP="00C73472">
            <w:pPr>
              <w:rPr>
                <w:rFonts w:ascii="Arial" w:hAnsi="Arial" w:cs="Arial"/>
                <w:sz w:val="20"/>
                <w:szCs w:val="20"/>
              </w:rPr>
            </w:pPr>
            <w:r>
              <w:rPr>
                <w:rFonts w:ascii="Arial" w:hAnsi="Arial" w:cs="Arial"/>
                <w:sz w:val="20"/>
                <w:szCs w:val="20"/>
              </w:rPr>
              <w:t xml:space="preserve">     </w:t>
            </w:r>
            <w:r w:rsidR="004A34B4" w:rsidRPr="00E04C25">
              <w:rPr>
                <w:rFonts w:ascii="Arial" w:hAnsi="Arial" w:cs="Arial"/>
                <w:sz w:val="20"/>
                <w:szCs w:val="20"/>
              </w:rPr>
              <w:t>8</w:t>
            </w:r>
            <w:r>
              <w:rPr>
                <w:rFonts w:ascii="Arial" w:hAnsi="Arial" w:cs="Arial"/>
                <w:sz w:val="20"/>
                <w:szCs w:val="20"/>
              </w:rPr>
              <w:t> </w:t>
            </w:r>
            <w:r w:rsidR="004A34B4" w:rsidRPr="00E04C25">
              <w:rPr>
                <w:rFonts w:ascii="Arial" w:hAnsi="Arial" w:cs="Arial"/>
                <w:sz w:val="20"/>
                <w:szCs w:val="20"/>
              </w:rPr>
              <w:t>501-9</w:t>
            </w:r>
            <w:r>
              <w:rPr>
                <w:rFonts w:ascii="Arial" w:hAnsi="Arial" w:cs="Arial"/>
                <w:sz w:val="20"/>
                <w:szCs w:val="20"/>
              </w:rPr>
              <w:t> </w:t>
            </w:r>
            <w:r w:rsidR="004A34B4" w:rsidRPr="00E04C25">
              <w:rPr>
                <w:rFonts w:ascii="Arial" w:hAnsi="Arial" w:cs="Arial"/>
                <w:sz w:val="20"/>
                <w:szCs w:val="20"/>
              </w:rPr>
              <w:t>500 Kč</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6,1</w:t>
            </w:r>
          </w:p>
        </w:tc>
        <w:tc>
          <w:tcPr>
            <w:tcW w:w="851" w:type="dxa"/>
            <w:tcBorders>
              <w:top w:val="nil"/>
              <w:left w:val="nil"/>
              <w:bottom w:val="nil"/>
              <w:right w:val="nil"/>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5,9</w:t>
            </w:r>
          </w:p>
        </w:tc>
        <w:tc>
          <w:tcPr>
            <w:tcW w:w="851" w:type="dxa"/>
            <w:tcBorders>
              <w:top w:val="nil"/>
              <w:left w:val="single" w:sz="4" w:space="0" w:color="auto"/>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6,1</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7,1</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0,0</w:t>
            </w:r>
          </w:p>
        </w:tc>
        <w:tc>
          <w:tcPr>
            <w:tcW w:w="908" w:type="dxa"/>
            <w:tcBorders>
              <w:top w:val="nil"/>
              <w:left w:val="nil"/>
              <w:bottom w:val="nil"/>
              <w:right w:val="double" w:sz="6"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0,0</w:t>
            </w:r>
          </w:p>
        </w:tc>
      </w:tr>
      <w:tr w:rsidR="004A34B4" w:rsidRPr="00E04C25" w:rsidTr="004A34B4">
        <w:trPr>
          <w:trHeight w:val="284"/>
          <w:jc w:val="center"/>
        </w:trPr>
        <w:tc>
          <w:tcPr>
            <w:tcW w:w="2253" w:type="dxa"/>
            <w:gridSpan w:val="2"/>
            <w:tcBorders>
              <w:top w:val="nil"/>
              <w:left w:val="double" w:sz="6" w:space="0" w:color="auto"/>
              <w:bottom w:val="nil"/>
              <w:right w:val="single" w:sz="4" w:space="0" w:color="auto"/>
            </w:tcBorders>
            <w:shd w:val="clear" w:color="auto" w:fill="auto"/>
            <w:noWrap/>
            <w:vAlign w:val="center"/>
          </w:tcPr>
          <w:p w:rsidR="004A34B4" w:rsidRPr="00E04C25" w:rsidRDefault="00C73472" w:rsidP="00C73472">
            <w:pPr>
              <w:rPr>
                <w:rFonts w:ascii="Arial" w:hAnsi="Arial" w:cs="Arial"/>
                <w:sz w:val="20"/>
                <w:szCs w:val="20"/>
              </w:rPr>
            </w:pPr>
            <w:r>
              <w:rPr>
                <w:rFonts w:ascii="Arial" w:hAnsi="Arial" w:cs="Arial"/>
                <w:sz w:val="20"/>
                <w:szCs w:val="20"/>
              </w:rPr>
              <w:t xml:space="preserve">     </w:t>
            </w:r>
            <w:r w:rsidR="004A34B4" w:rsidRPr="00E04C25">
              <w:rPr>
                <w:rFonts w:ascii="Arial" w:hAnsi="Arial" w:cs="Arial"/>
                <w:sz w:val="20"/>
                <w:szCs w:val="20"/>
              </w:rPr>
              <w:t>9</w:t>
            </w:r>
            <w:r>
              <w:rPr>
                <w:rFonts w:ascii="Arial" w:hAnsi="Arial" w:cs="Arial"/>
                <w:sz w:val="20"/>
                <w:szCs w:val="20"/>
              </w:rPr>
              <w:t> </w:t>
            </w:r>
            <w:r w:rsidR="004A34B4" w:rsidRPr="00E04C25">
              <w:rPr>
                <w:rFonts w:ascii="Arial" w:hAnsi="Arial" w:cs="Arial"/>
                <w:sz w:val="20"/>
                <w:szCs w:val="20"/>
              </w:rPr>
              <w:t>501-10</w:t>
            </w:r>
            <w:r>
              <w:rPr>
                <w:rFonts w:ascii="Arial" w:hAnsi="Arial" w:cs="Arial"/>
                <w:sz w:val="20"/>
                <w:szCs w:val="20"/>
              </w:rPr>
              <w:t> </w:t>
            </w:r>
            <w:r w:rsidR="004A34B4" w:rsidRPr="00E04C25">
              <w:rPr>
                <w:rFonts w:ascii="Arial" w:hAnsi="Arial" w:cs="Arial"/>
                <w:sz w:val="20"/>
                <w:szCs w:val="20"/>
              </w:rPr>
              <w:t>500 Kč</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4,6</w:t>
            </w:r>
          </w:p>
        </w:tc>
        <w:tc>
          <w:tcPr>
            <w:tcW w:w="851" w:type="dxa"/>
            <w:tcBorders>
              <w:top w:val="nil"/>
              <w:left w:val="nil"/>
              <w:bottom w:val="nil"/>
              <w:right w:val="nil"/>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4,5</w:t>
            </w:r>
          </w:p>
        </w:tc>
        <w:tc>
          <w:tcPr>
            <w:tcW w:w="851" w:type="dxa"/>
            <w:tcBorders>
              <w:top w:val="nil"/>
              <w:left w:val="single" w:sz="4" w:space="0" w:color="auto"/>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4,8</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5,6</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0,2</w:t>
            </w:r>
          </w:p>
        </w:tc>
        <w:tc>
          <w:tcPr>
            <w:tcW w:w="908" w:type="dxa"/>
            <w:tcBorders>
              <w:top w:val="nil"/>
              <w:left w:val="nil"/>
              <w:bottom w:val="nil"/>
              <w:right w:val="double" w:sz="6"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4,3</w:t>
            </w:r>
          </w:p>
        </w:tc>
      </w:tr>
      <w:tr w:rsidR="004A34B4" w:rsidRPr="00E04C25" w:rsidTr="004A34B4">
        <w:trPr>
          <w:trHeight w:val="284"/>
          <w:jc w:val="center"/>
        </w:trPr>
        <w:tc>
          <w:tcPr>
            <w:tcW w:w="2253" w:type="dxa"/>
            <w:gridSpan w:val="2"/>
            <w:tcBorders>
              <w:top w:val="nil"/>
              <w:left w:val="double" w:sz="6" w:space="0" w:color="auto"/>
              <w:bottom w:val="nil"/>
              <w:right w:val="single" w:sz="4" w:space="0" w:color="auto"/>
            </w:tcBorders>
            <w:shd w:val="clear" w:color="auto" w:fill="auto"/>
            <w:noWrap/>
            <w:vAlign w:val="center"/>
          </w:tcPr>
          <w:p w:rsidR="004A34B4" w:rsidRPr="00E04C25" w:rsidRDefault="00C73472" w:rsidP="00C73472">
            <w:pPr>
              <w:rPr>
                <w:rFonts w:ascii="Arial" w:hAnsi="Arial" w:cs="Arial"/>
                <w:sz w:val="20"/>
                <w:szCs w:val="20"/>
              </w:rPr>
            </w:pPr>
            <w:r>
              <w:rPr>
                <w:rFonts w:ascii="Arial" w:hAnsi="Arial" w:cs="Arial"/>
                <w:sz w:val="20"/>
                <w:szCs w:val="20"/>
              </w:rPr>
              <w:t xml:space="preserve">   </w:t>
            </w:r>
            <w:r w:rsidR="004A34B4" w:rsidRPr="00E04C25">
              <w:rPr>
                <w:rFonts w:ascii="Arial" w:hAnsi="Arial" w:cs="Arial"/>
                <w:sz w:val="20"/>
                <w:szCs w:val="20"/>
              </w:rPr>
              <w:t>10</w:t>
            </w:r>
            <w:r>
              <w:rPr>
                <w:rFonts w:ascii="Arial" w:hAnsi="Arial" w:cs="Arial"/>
                <w:sz w:val="20"/>
                <w:szCs w:val="20"/>
              </w:rPr>
              <w:t> </w:t>
            </w:r>
            <w:r w:rsidR="004A34B4" w:rsidRPr="00E04C25">
              <w:rPr>
                <w:rFonts w:ascii="Arial" w:hAnsi="Arial" w:cs="Arial"/>
                <w:sz w:val="20"/>
                <w:szCs w:val="20"/>
              </w:rPr>
              <w:t>501-11</w:t>
            </w:r>
            <w:r>
              <w:rPr>
                <w:rFonts w:ascii="Arial" w:hAnsi="Arial" w:cs="Arial"/>
                <w:sz w:val="20"/>
                <w:szCs w:val="20"/>
              </w:rPr>
              <w:t> </w:t>
            </w:r>
            <w:r w:rsidR="004A34B4" w:rsidRPr="00E04C25">
              <w:rPr>
                <w:rFonts w:ascii="Arial" w:hAnsi="Arial" w:cs="Arial"/>
                <w:sz w:val="20"/>
                <w:szCs w:val="20"/>
              </w:rPr>
              <w:t>500 Kč</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3,2</w:t>
            </w:r>
          </w:p>
        </w:tc>
        <w:tc>
          <w:tcPr>
            <w:tcW w:w="851" w:type="dxa"/>
            <w:tcBorders>
              <w:top w:val="nil"/>
              <w:left w:val="nil"/>
              <w:bottom w:val="nil"/>
              <w:right w:val="nil"/>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3,1</w:t>
            </w:r>
          </w:p>
        </w:tc>
        <w:tc>
          <w:tcPr>
            <w:tcW w:w="851" w:type="dxa"/>
            <w:tcBorders>
              <w:top w:val="nil"/>
              <w:left w:val="single" w:sz="4" w:space="0" w:color="auto"/>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3,3</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3,9</w:t>
            </w:r>
          </w:p>
        </w:tc>
        <w:tc>
          <w:tcPr>
            <w:tcW w:w="851" w:type="dxa"/>
            <w:tcBorders>
              <w:top w:val="nil"/>
              <w:left w:val="nil"/>
              <w:bottom w:val="nil"/>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0,1</w:t>
            </w:r>
          </w:p>
        </w:tc>
        <w:tc>
          <w:tcPr>
            <w:tcW w:w="908" w:type="dxa"/>
            <w:tcBorders>
              <w:top w:val="nil"/>
              <w:left w:val="nil"/>
              <w:bottom w:val="nil"/>
              <w:right w:val="double" w:sz="6"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3,1</w:t>
            </w:r>
          </w:p>
        </w:tc>
      </w:tr>
      <w:tr w:rsidR="004A34B4" w:rsidRPr="00E04C25" w:rsidTr="004A34B4">
        <w:trPr>
          <w:trHeight w:val="284"/>
          <w:jc w:val="center"/>
        </w:trPr>
        <w:tc>
          <w:tcPr>
            <w:tcW w:w="2253" w:type="dxa"/>
            <w:gridSpan w:val="2"/>
            <w:tcBorders>
              <w:top w:val="nil"/>
              <w:left w:val="double" w:sz="6" w:space="0" w:color="auto"/>
              <w:bottom w:val="double" w:sz="6" w:space="0" w:color="auto"/>
              <w:right w:val="single" w:sz="4" w:space="0" w:color="auto"/>
            </w:tcBorders>
            <w:shd w:val="clear" w:color="auto" w:fill="auto"/>
            <w:noWrap/>
            <w:vAlign w:val="center"/>
          </w:tcPr>
          <w:p w:rsidR="004A34B4" w:rsidRPr="00E04C25" w:rsidRDefault="00C73472" w:rsidP="00C73472">
            <w:pPr>
              <w:rPr>
                <w:rFonts w:ascii="Arial" w:hAnsi="Arial" w:cs="Arial"/>
                <w:sz w:val="20"/>
                <w:szCs w:val="20"/>
              </w:rPr>
            </w:pPr>
            <w:r>
              <w:rPr>
                <w:rFonts w:ascii="Arial" w:hAnsi="Arial" w:cs="Arial"/>
                <w:sz w:val="20"/>
                <w:szCs w:val="20"/>
              </w:rPr>
              <w:t xml:space="preserve">   </w:t>
            </w:r>
            <w:r w:rsidR="004A34B4" w:rsidRPr="00E04C25">
              <w:rPr>
                <w:rFonts w:ascii="Arial" w:hAnsi="Arial" w:cs="Arial"/>
                <w:sz w:val="20"/>
                <w:szCs w:val="20"/>
              </w:rPr>
              <w:t>11</w:t>
            </w:r>
            <w:r>
              <w:rPr>
                <w:rFonts w:ascii="Arial" w:hAnsi="Arial" w:cs="Arial"/>
                <w:sz w:val="20"/>
                <w:szCs w:val="20"/>
              </w:rPr>
              <w:t> </w:t>
            </w:r>
            <w:r w:rsidR="004A34B4" w:rsidRPr="00E04C25">
              <w:rPr>
                <w:rFonts w:ascii="Arial" w:hAnsi="Arial" w:cs="Arial"/>
                <w:sz w:val="20"/>
                <w:szCs w:val="20"/>
              </w:rPr>
              <w:t>501 Kč a více</w:t>
            </w:r>
          </w:p>
        </w:tc>
        <w:tc>
          <w:tcPr>
            <w:tcW w:w="851" w:type="dxa"/>
            <w:tcBorders>
              <w:top w:val="nil"/>
              <w:left w:val="nil"/>
              <w:bottom w:val="double" w:sz="6" w:space="0" w:color="auto"/>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9,6</w:t>
            </w:r>
          </w:p>
        </w:tc>
        <w:tc>
          <w:tcPr>
            <w:tcW w:w="851" w:type="dxa"/>
            <w:tcBorders>
              <w:top w:val="nil"/>
              <w:left w:val="nil"/>
              <w:bottom w:val="double" w:sz="6" w:space="0" w:color="auto"/>
              <w:right w:val="nil"/>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9,3</w:t>
            </w:r>
          </w:p>
        </w:tc>
        <w:tc>
          <w:tcPr>
            <w:tcW w:w="851" w:type="dxa"/>
            <w:tcBorders>
              <w:top w:val="nil"/>
              <w:left w:val="single" w:sz="4" w:space="0" w:color="auto"/>
              <w:bottom w:val="double" w:sz="6" w:space="0" w:color="auto"/>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10,1</w:t>
            </w:r>
          </w:p>
        </w:tc>
        <w:tc>
          <w:tcPr>
            <w:tcW w:w="851" w:type="dxa"/>
            <w:tcBorders>
              <w:top w:val="nil"/>
              <w:left w:val="nil"/>
              <w:bottom w:val="double" w:sz="6" w:space="0" w:color="auto"/>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11,8</w:t>
            </w:r>
          </w:p>
        </w:tc>
        <w:tc>
          <w:tcPr>
            <w:tcW w:w="851" w:type="dxa"/>
            <w:tcBorders>
              <w:top w:val="nil"/>
              <w:left w:val="nil"/>
              <w:bottom w:val="double" w:sz="6" w:space="0" w:color="auto"/>
              <w:right w:val="single" w:sz="4"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0,5</w:t>
            </w:r>
          </w:p>
        </w:tc>
        <w:tc>
          <w:tcPr>
            <w:tcW w:w="908" w:type="dxa"/>
            <w:tcBorders>
              <w:top w:val="nil"/>
              <w:left w:val="nil"/>
              <w:bottom w:val="double" w:sz="6" w:space="0" w:color="auto"/>
              <w:right w:val="double" w:sz="6" w:space="0" w:color="auto"/>
            </w:tcBorders>
            <w:shd w:val="clear" w:color="auto" w:fill="auto"/>
            <w:noWrap/>
            <w:vAlign w:val="center"/>
          </w:tcPr>
          <w:p w:rsidR="004A34B4" w:rsidRPr="00E04C25" w:rsidRDefault="004A34B4">
            <w:pPr>
              <w:jc w:val="right"/>
              <w:rPr>
                <w:rFonts w:ascii="Arial" w:hAnsi="Arial" w:cs="Arial"/>
                <w:sz w:val="20"/>
                <w:szCs w:val="20"/>
              </w:rPr>
            </w:pPr>
            <w:r w:rsidRPr="00E04C25">
              <w:rPr>
                <w:rFonts w:ascii="Arial" w:hAnsi="Arial" w:cs="Arial"/>
                <w:sz w:val="20"/>
                <w:szCs w:val="20"/>
              </w:rPr>
              <w:t>5,2</w:t>
            </w:r>
          </w:p>
        </w:tc>
      </w:tr>
      <w:tr w:rsidR="00115440" w:rsidRPr="00E04C25" w:rsidTr="00523B41">
        <w:trPr>
          <w:gridBefore w:val="1"/>
          <w:wBefore w:w="293" w:type="dxa"/>
          <w:trHeight w:val="480"/>
          <w:jc w:val="center"/>
        </w:trPr>
        <w:tc>
          <w:tcPr>
            <w:tcW w:w="7123" w:type="dxa"/>
            <w:gridSpan w:val="7"/>
            <w:tcBorders>
              <w:top w:val="nil"/>
              <w:left w:val="nil"/>
              <w:bottom w:val="nil"/>
              <w:right w:val="nil"/>
            </w:tcBorders>
            <w:shd w:val="clear" w:color="auto" w:fill="auto"/>
            <w:vAlign w:val="bottom"/>
          </w:tcPr>
          <w:p w:rsidR="00115440" w:rsidRPr="00E04C25" w:rsidRDefault="00115440" w:rsidP="00523B41">
            <w:pPr>
              <w:rPr>
                <w:rFonts w:ascii="Arial" w:hAnsi="Arial" w:cs="Arial"/>
                <w:i/>
                <w:iCs/>
                <w:sz w:val="16"/>
                <w:szCs w:val="16"/>
              </w:rPr>
            </w:pPr>
            <w:r w:rsidRPr="00E04C25">
              <w:rPr>
                <w:rFonts w:ascii="Arial" w:hAnsi="Arial" w:cs="Arial"/>
                <w:i/>
                <w:iCs/>
                <w:sz w:val="16"/>
                <w:szCs w:val="16"/>
              </w:rPr>
              <w:t>Pozn.: drobné odchylky součtu osob v jednotlivých kategoriích od uvedeného celkového počtu souvisí se zaokrouhlením hodnot na jedno desetinné místo</w:t>
            </w:r>
          </w:p>
        </w:tc>
      </w:tr>
    </w:tbl>
    <w:p w:rsidR="00115440" w:rsidRPr="00E04C25" w:rsidRDefault="00115440" w:rsidP="00E06447">
      <w:pPr>
        <w:tabs>
          <w:tab w:val="left" w:pos="567"/>
        </w:tabs>
        <w:jc w:val="both"/>
        <w:rPr>
          <w:rFonts w:ascii="Arial" w:hAnsi="Arial"/>
          <w:sz w:val="16"/>
          <w:szCs w:val="16"/>
        </w:rPr>
      </w:pPr>
    </w:p>
    <w:p w:rsidR="00794B3F" w:rsidRPr="00E04C25" w:rsidRDefault="00794B3F" w:rsidP="00794B3F">
      <w:pPr>
        <w:spacing w:line="360" w:lineRule="auto"/>
        <w:ind w:firstLine="567"/>
        <w:jc w:val="both"/>
        <w:rPr>
          <w:rFonts w:ascii="Arial" w:hAnsi="Arial" w:cs="Arial"/>
        </w:rPr>
      </w:pPr>
      <w:r w:rsidRPr="00E04C25">
        <w:rPr>
          <w:rFonts w:ascii="Arial" w:hAnsi="Arial" w:cs="Arial"/>
        </w:rPr>
        <w:t xml:space="preserve">Nárůst průměrné výše podpory souvisel především s nárůstem výdělků obecně (včetně minimální mzdy). </w:t>
      </w:r>
    </w:p>
    <w:p w:rsidR="00115440" w:rsidRPr="00E04C25" w:rsidRDefault="00115440" w:rsidP="00794B3F">
      <w:pPr>
        <w:spacing w:line="360" w:lineRule="auto"/>
        <w:ind w:firstLine="567"/>
        <w:jc w:val="both"/>
        <w:rPr>
          <w:rFonts w:ascii="Arial" w:hAnsi="Arial" w:cs="Arial"/>
        </w:rPr>
      </w:pPr>
      <w:r w:rsidRPr="00E04C25">
        <w:rPr>
          <w:rFonts w:ascii="Arial" w:hAnsi="Arial" w:cs="Arial"/>
        </w:rPr>
        <w:t xml:space="preserve">Důvodem poklesu počtu uchazečů o zaměstnání v nižších kategoriích podpory byl především </w:t>
      </w:r>
      <w:r w:rsidRPr="00E04C25">
        <w:rPr>
          <w:rFonts w:ascii="Arial" w:hAnsi="Arial" w:cs="Arial"/>
          <w:bCs/>
        </w:rPr>
        <w:t>rychlejší růst nízkých mezd a s tím související posun do vyšších kategorií.</w:t>
      </w:r>
      <w:r w:rsidRPr="00E04C25">
        <w:rPr>
          <w:rFonts w:cs="Arial"/>
          <w:bCs/>
        </w:rPr>
        <w:t xml:space="preserve"> </w:t>
      </w:r>
      <w:r w:rsidRPr="00E04C25">
        <w:rPr>
          <w:rFonts w:ascii="Arial" w:hAnsi="Arial" w:cs="Arial"/>
        </w:rPr>
        <w:t xml:space="preserve">Nárůst počtu příjemců PvN  </w:t>
      </w:r>
      <w:r w:rsidR="00E06447" w:rsidRPr="00E04C25">
        <w:rPr>
          <w:rFonts w:ascii="Arial" w:hAnsi="Arial" w:cs="Arial"/>
        </w:rPr>
        <w:t>je patrný</w:t>
      </w:r>
      <w:r w:rsidRPr="00E04C25">
        <w:rPr>
          <w:rFonts w:ascii="Arial" w:hAnsi="Arial" w:cs="Arial"/>
        </w:rPr>
        <w:t xml:space="preserve"> v kategoriích nad  9 500 Kč.</w:t>
      </w:r>
    </w:p>
    <w:p w:rsidR="00115440" w:rsidRPr="00E04C25" w:rsidRDefault="00115440" w:rsidP="00FF1775">
      <w:pPr>
        <w:tabs>
          <w:tab w:val="left" w:pos="720"/>
        </w:tabs>
        <w:ind w:left="7082" w:firstLine="709"/>
        <w:jc w:val="center"/>
        <w:rPr>
          <w:rFonts w:ascii="Arial" w:hAnsi="Arial" w:cs="Arial"/>
          <w:sz w:val="20"/>
        </w:rPr>
      </w:pPr>
      <w:r w:rsidRPr="00E04C25">
        <w:rPr>
          <w:rFonts w:ascii="Arial" w:hAnsi="Arial" w:cs="Arial"/>
          <w:sz w:val="20"/>
        </w:rPr>
        <w:t>graf č. 4</w:t>
      </w:r>
    </w:p>
    <w:p w:rsidR="00115440" w:rsidRPr="00E04C25" w:rsidRDefault="00FF1775" w:rsidP="00115440">
      <w:pPr>
        <w:tabs>
          <w:tab w:val="left" w:pos="720"/>
        </w:tabs>
        <w:spacing w:line="360" w:lineRule="auto"/>
        <w:jc w:val="center"/>
        <w:rPr>
          <w:rFonts w:ascii="Arial" w:hAnsi="Arial" w:cs="Arial"/>
          <w:bCs/>
          <w:szCs w:val="23"/>
        </w:rPr>
      </w:pPr>
      <w:r w:rsidRPr="00E04C25">
        <w:rPr>
          <w:noProof/>
        </w:rPr>
        <w:drawing>
          <wp:inline distT="0" distB="0" distL="0" distR="0">
            <wp:extent cx="5705475" cy="3381375"/>
            <wp:effectExtent l="0" t="0" r="9525" b="952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6447" w:rsidRPr="00E04C25" w:rsidRDefault="00CA6934" w:rsidP="00E06447">
      <w:pPr>
        <w:tabs>
          <w:tab w:val="left" w:pos="567"/>
        </w:tabs>
        <w:spacing w:line="360" w:lineRule="auto"/>
        <w:ind w:firstLine="567"/>
        <w:jc w:val="both"/>
        <w:rPr>
          <w:rFonts w:ascii="Arial" w:hAnsi="Arial" w:cs="Arial"/>
        </w:rPr>
      </w:pPr>
      <w:r w:rsidRPr="00E04C25">
        <w:rPr>
          <w:rFonts w:ascii="Arial" w:hAnsi="Arial"/>
        </w:rPr>
        <w:lastRenderedPageBreak/>
        <w:t xml:space="preserve">Vzhledem k </w:t>
      </w:r>
      <w:r w:rsidR="00E06447" w:rsidRPr="00E04C25">
        <w:rPr>
          <w:rFonts w:ascii="Arial" w:hAnsi="Arial"/>
        </w:rPr>
        <w:t>t</w:t>
      </w:r>
      <w:r w:rsidRPr="00E04C25">
        <w:rPr>
          <w:rFonts w:ascii="Arial" w:hAnsi="Arial"/>
        </w:rPr>
        <w:t>omuto</w:t>
      </w:r>
      <w:r w:rsidR="00E06447" w:rsidRPr="00E04C25">
        <w:rPr>
          <w:rFonts w:ascii="Arial" w:hAnsi="Arial"/>
        </w:rPr>
        <w:t xml:space="preserve"> vývoj</w:t>
      </w:r>
      <w:r w:rsidRPr="00E04C25">
        <w:rPr>
          <w:rFonts w:ascii="Arial" w:hAnsi="Arial"/>
        </w:rPr>
        <w:t>i</w:t>
      </w:r>
      <w:r w:rsidR="00E06447" w:rsidRPr="00E04C25">
        <w:rPr>
          <w:rFonts w:ascii="Arial" w:hAnsi="Arial"/>
        </w:rPr>
        <w:t xml:space="preserve"> se podíl uchazečů o zaměstnání s </w:t>
      </w:r>
      <w:r w:rsidR="00E06447" w:rsidRPr="00E04C25">
        <w:rPr>
          <w:rFonts w:ascii="Arial" w:hAnsi="Arial"/>
          <w:b/>
        </w:rPr>
        <w:t>p</w:t>
      </w:r>
      <w:r w:rsidR="00E06447" w:rsidRPr="00E04C25">
        <w:rPr>
          <w:rFonts w:ascii="Arial" w:hAnsi="Arial" w:cs="Arial"/>
          <w:b/>
          <w:bCs/>
        </w:rPr>
        <w:t>odprůměrnou podporou v nezaměstnanosti</w:t>
      </w:r>
      <w:r w:rsidR="00E06447" w:rsidRPr="00E04C25">
        <w:rPr>
          <w:rFonts w:ascii="Arial" w:hAnsi="Arial"/>
        </w:rPr>
        <w:t xml:space="preserve"> meziročně </w:t>
      </w:r>
      <w:r w:rsidRPr="00E04C25">
        <w:rPr>
          <w:rFonts w:ascii="Arial" w:hAnsi="Arial"/>
        </w:rPr>
        <w:t>snížil</w:t>
      </w:r>
      <w:r w:rsidR="00E06447" w:rsidRPr="00E04C25">
        <w:rPr>
          <w:rFonts w:ascii="Arial" w:hAnsi="Arial"/>
        </w:rPr>
        <w:t xml:space="preserve">, podporu v nezaměstnanosti nižší než průměr pobíralo přibližně </w:t>
      </w:r>
      <w:r w:rsidR="00E06447" w:rsidRPr="00E04C25">
        <w:rPr>
          <w:rFonts w:ascii="Arial" w:hAnsi="Arial"/>
          <w:b/>
        </w:rPr>
        <w:t>5</w:t>
      </w:r>
      <w:r w:rsidRPr="00E04C25">
        <w:rPr>
          <w:rFonts w:ascii="Arial" w:hAnsi="Arial"/>
          <w:b/>
        </w:rPr>
        <w:t>6</w:t>
      </w:r>
      <w:r w:rsidR="00E06447" w:rsidRPr="00E04C25">
        <w:rPr>
          <w:rFonts w:ascii="Arial" w:hAnsi="Arial"/>
          <w:b/>
        </w:rPr>
        <w:t>,</w:t>
      </w:r>
      <w:r w:rsidRPr="00E04C25">
        <w:rPr>
          <w:rFonts w:ascii="Arial" w:hAnsi="Arial"/>
          <w:b/>
        </w:rPr>
        <w:t>9</w:t>
      </w:r>
      <w:r w:rsidR="00E06447" w:rsidRPr="00E04C25">
        <w:rPr>
          <w:rFonts w:ascii="Arial" w:hAnsi="Arial"/>
          <w:b/>
        </w:rPr>
        <w:t> %</w:t>
      </w:r>
      <w:r w:rsidR="00E06447" w:rsidRPr="00E04C25">
        <w:rPr>
          <w:rFonts w:ascii="Arial" w:hAnsi="Arial"/>
        </w:rPr>
        <w:t xml:space="preserve"> uchazečů o zaměstnání (na konci roku 201</w:t>
      </w:r>
      <w:r w:rsidRPr="00E04C25">
        <w:rPr>
          <w:rFonts w:ascii="Arial" w:hAnsi="Arial"/>
        </w:rPr>
        <w:t>6</w:t>
      </w:r>
      <w:r w:rsidR="00E06447" w:rsidRPr="00E04C25">
        <w:rPr>
          <w:rFonts w:ascii="Arial" w:hAnsi="Arial"/>
        </w:rPr>
        <w:t> to bylo 5</w:t>
      </w:r>
      <w:r w:rsidRPr="00E04C25">
        <w:rPr>
          <w:rFonts w:ascii="Arial" w:hAnsi="Arial"/>
        </w:rPr>
        <w:t>8</w:t>
      </w:r>
      <w:r w:rsidR="00E06447" w:rsidRPr="00E04C25">
        <w:rPr>
          <w:rFonts w:ascii="Arial" w:hAnsi="Arial"/>
        </w:rPr>
        <w:t>,</w:t>
      </w:r>
      <w:r w:rsidRPr="00E04C25">
        <w:rPr>
          <w:rFonts w:ascii="Arial" w:hAnsi="Arial"/>
        </w:rPr>
        <w:t>1</w:t>
      </w:r>
      <w:r w:rsidR="00E06447" w:rsidRPr="00E04C25">
        <w:rPr>
          <w:rFonts w:ascii="Arial" w:hAnsi="Arial"/>
        </w:rPr>
        <w:t xml:space="preserve"> %).  </w:t>
      </w:r>
    </w:p>
    <w:p w:rsidR="00115440" w:rsidRPr="00E04C25" w:rsidRDefault="00115440" w:rsidP="00115440">
      <w:pPr>
        <w:tabs>
          <w:tab w:val="left" w:pos="720"/>
        </w:tabs>
        <w:spacing w:line="360" w:lineRule="auto"/>
        <w:jc w:val="center"/>
        <w:rPr>
          <w:rFonts w:ascii="Arial" w:hAnsi="Arial" w:cs="Arial"/>
          <w:bCs/>
          <w:szCs w:val="23"/>
        </w:rPr>
      </w:pPr>
    </w:p>
    <w:p w:rsidR="00115440" w:rsidRPr="00E04C25" w:rsidRDefault="00E352E6" w:rsidP="00115440">
      <w:pPr>
        <w:pStyle w:val="Seznam"/>
        <w:spacing w:line="360" w:lineRule="auto"/>
        <w:ind w:left="0" w:firstLine="708"/>
        <w:jc w:val="both"/>
        <w:rPr>
          <w:rFonts w:ascii="Arial" w:hAnsi="Arial" w:cs="Arial"/>
        </w:rPr>
      </w:pPr>
      <w:r w:rsidRPr="00E04C25">
        <w:rPr>
          <w:rFonts w:ascii="Arial" w:hAnsi="Arial" w:cs="Arial"/>
          <w:b/>
        </w:rPr>
        <w:t>Růst počtu volných pracovních míst</w:t>
      </w:r>
      <w:r w:rsidRPr="00E04C25">
        <w:rPr>
          <w:rFonts w:ascii="Arial" w:hAnsi="Arial" w:cs="Arial"/>
        </w:rPr>
        <w:t xml:space="preserve"> (VPM) hlášených zaměstnavateli na pracoviště</w:t>
      </w:r>
      <w:r w:rsidR="00027C6F" w:rsidRPr="00E04C25">
        <w:rPr>
          <w:rFonts w:ascii="Arial" w:hAnsi="Arial" w:cs="Arial"/>
        </w:rPr>
        <w:t> </w:t>
      </w:r>
      <w:r w:rsidR="000F6297" w:rsidRPr="00E04C25">
        <w:rPr>
          <w:rFonts w:ascii="Arial" w:hAnsi="Arial" w:cs="Arial"/>
        </w:rPr>
        <w:t>ÚP </w:t>
      </w:r>
      <w:r w:rsidRPr="00E04C25">
        <w:rPr>
          <w:rFonts w:ascii="Arial" w:hAnsi="Arial" w:cs="Arial"/>
        </w:rPr>
        <w:t xml:space="preserve">ČR v roce 2017 </w:t>
      </w:r>
      <w:r w:rsidRPr="00E04C25">
        <w:rPr>
          <w:rFonts w:ascii="Arial" w:hAnsi="Arial" w:cs="Arial"/>
          <w:b/>
        </w:rPr>
        <w:t>pokračoval</w:t>
      </w:r>
      <w:r w:rsidR="00027C6F" w:rsidRPr="00E04C25">
        <w:rPr>
          <w:rFonts w:ascii="Arial" w:hAnsi="Arial" w:cs="Arial"/>
          <w:b/>
        </w:rPr>
        <w:t xml:space="preserve"> s ještě větší dynamikou </w:t>
      </w:r>
      <w:r w:rsidR="00027C6F" w:rsidRPr="00E04C25">
        <w:rPr>
          <w:rFonts w:ascii="Arial" w:hAnsi="Arial" w:cs="Arial"/>
        </w:rPr>
        <w:t>než v předchozím roce</w:t>
      </w:r>
      <w:r w:rsidRPr="00E04C25">
        <w:rPr>
          <w:rFonts w:ascii="Arial" w:hAnsi="Arial" w:cs="Arial"/>
        </w:rPr>
        <w:t xml:space="preserve">. K poklesu nedošlo ani v posledních měsících roku, pro které je pokles VPM obvyklý. </w:t>
      </w:r>
      <w:r w:rsidR="00115440" w:rsidRPr="00E04C25">
        <w:rPr>
          <w:rFonts w:ascii="Arial" w:hAnsi="Arial" w:cs="Arial"/>
        </w:rPr>
        <w:t>Zatímco na konci roku 201</w:t>
      </w:r>
      <w:r w:rsidRPr="00E04C25">
        <w:rPr>
          <w:rFonts w:ascii="Arial" w:hAnsi="Arial" w:cs="Arial"/>
        </w:rPr>
        <w:t>6</w:t>
      </w:r>
      <w:r w:rsidR="00115440" w:rsidRPr="00E04C25">
        <w:rPr>
          <w:rFonts w:ascii="Arial" w:hAnsi="Arial" w:cs="Arial"/>
        </w:rPr>
        <w:t xml:space="preserve"> evidoval ÚP</w:t>
      </w:r>
      <w:r w:rsidR="000F6297" w:rsidRPr="00E04C25">
        <w:rPr>
          <w:rFonts w:ascii="Arial" w:hAnsi="Arial" w:cs="Arial"/>
        </w:rPr>
        <w:t> </w:t>
      </w:r>
      <w:r w:rsidR="00115440" w:rsidRPr="00E04C25">
        <w:rPr>
          <w:rFonts w:ascii="Arial" w:hAnsi="Arial" w:cs="Arial"/>
        </w:rPr>
        <w:t xml:space="preserve">ČR </w:t>
      </w:r>
      <w:r w:rsidR="00027C6F" w:rsidRPr="00E04C25">
        <w:rPr>
          <w:rFonts w:ascii="Arial" w:hAnsi="Arial" w:cs="Arial"/>
        </w:rPr>
        <w:t>132</w:t>
      </w:r>
      <w:r w:rsidR="00115440" w:rsidRPr="00E04C25">
        <w:rPr>
          <w:rFonts w:ascii="Arial" w:hAnsi="Arial" w:cs="Arial"/>
        </w:rPr>
        <w:t>,5 tis. nahlášených VPM</w:t>
      </w:r>
      <w:r w:rsidR="00027C6F" w:rsidRPr="00E04C25">
        <w:rPr>
          <w:rFonts w:ascii="Arial" w:hAnsi="Arial" w:cs="Arial"/>
        </w:rPr>
        <w:t xml:space="preserve"> (</w:t>
      </w:r>
      <w:r w:rsidR="00115440" w:rsidRPr="00E04C25">
        <w:rPr>
          <w:rFonts w:ascii="Arial" w:hAnsi="Arial" w:cs="Arial"/>
        </w:rPr>
        <w:t>o </w:t>
      </w:r>
      <w:r w:rsidR="00027C6F" w:rsidRPr="00E04C25">
        <w:rPr>
          <w:rFonts w:ascii="Arial" w:hAnsi="Arial" w:cs="Arial"/>
        </w:rPr>
        <w:t>30</w:t>
      </w:r>
      <w:r w:rsidR="00115440" w:rsidRPr="00E04C25">
        <w:rPr>
          <w:rFonts w:ascii="Arial" w:hAnsi="Arial" w:cs="Arial"/>
        </w:rPr>
        <w:t>,</w:t>
      </w:r>
      <w:r w:rsidR="00027C6F" w:rsidRPr="00E04C25">
        <w:rPr>
          <w:rFonts w:ascii="Arial" w:hAnsi="Arial" w:cs="Arial"/>
        </w:rPr>
        <w:t>0</w:t>
      </w:r>
      <w:r w:rsidR="00115440" w:rsidRPr="00E04C25">
        <w:rPr>
          <w:rFonts w:ascii="Arial" w:hAnsi="Arial" w:cs="Arial"/>
        </w:rPr>
        <w:t xml:space="preserve"> tis. více než na konci roku</w:t>
      </w:r>
      <w:r w:rsidR="00027C6F" w:rsidRPr="00E04C25">
        <w:rPr>
          <w:rFonts w:ascii="Arial" w:hAnsi="Arial" w:cs="Arial"/>
        </w:rPr>
        <w:t xml:space="preserve"> 2015)</w:t>
      </w:r>
      <w:r w:rsidR="00115440" w:rsidRPr="00E04C25">
        <w:rPr>
          <w:rFonts w:ascii="Arial" w:hAnsi="Arial" w:cs="Arial"/>
        </w:rPr>
        <w:t xml:space="preserve">, </w:t>
      </w:r>
      <w:r w:rsidR="00115440" w:rsidRPr="00E04C25">
        <w:rPr>
          <w:rFonts w:ascii="Arial" w:hAnsi="Arial" w:cs="Arial"/>
          <w:b/>
        </w:rPr>
        <w:t xml:space="preserve">na konci </w:t>
      </w:r>
      <w:r w:rsidR="00027C6F" w:rsidRPr="00E04C25">
        <w:rPr>
          <w:rFonts w:ascii="Arial" w:hAnsi="Arial" w:cs="Arial"/>
          <w:b/>
        </w:rPr>
        <w:t xml:space="preserve">roku </w:t>
      </w:r>
      <w:r w:rsidR="00115440" w:rsidRPr="00E04C25">
        <w:rPr>
          <w:rFonts w:ascii="Arial" w:hAnsi="Arial" w:cs="Arial"/>
          <w:b/>
        </w:rPr>
        <w:t>201</w:t>
      </w:r>
      <w:r w:rsidR="00027C6F" w:rsidRPr="00E04C25">
        <w:rPr>
          <w:rFonts w:ascii="Arial" w:hAnsi="Arial" w:cs="Arial"/>
          <w:b/>
        </w:rPr>
        <w:t>7</w:t>
      </w:r>
      <w:r w:rsidR="00115440" w:rsidRPr="00E04C25">
        <w:rPr>
          <w:rFonts w:ascii="Arial" w:hAnsi="Arial" w:cs="Arial"/>
        </w:rPr>
        <w:t xml:space="preserve"> to bylo </w:t>
      </w:r>
      <w:r w:rsidR="00027C6F" w:rsidRPr="00E04C25">
        <w:rPr>
          <w:rFonts w:ascii="Arial" w:hAnsi="Arial" w:cs="Arial"/>
          <w:b/>
        </w:rPr>
        <w:t>216</w:t>
      </w:r>
      <w:r w:rsidR="00115440" w:rsidRPr="00E04C25">
        <w:rPr>
          <w:rFonts w:ascii="Arial" w:hAnsi="Arial" w:cs="Arial"/>
          <w:b/>
        </w:rPr>
        <w:t>,</w:t>
      </w:r>
      <w:r w:rsidR="00027C6F" w:rsidRPr="00E04C25">
        <w:rPr>
          <w:rFonts w:ascii="Arial" w:hAnsi="Arial" w:cs="Arial"/>
          <w:b/>
        </w:rPr>
        <w:t>6</w:t>
      </w:r>
      <w:r w:rsidR="00115440" w:rsidRPr="00E04C25">
        <w:rPr>
          <w:rFonts w:ascii="Arial" w:hAnsi="Arial" w:cs="Arial"/>
          <w:b/>
        </w:rPr>
        <w:t> tis.</w:t>
      </w:r>
      <w:r w:rsidR="00027C6F" w:rsidRPr="00E04C25">
        <w:rPr>
          <w:rFonts w:ascii="Arial" w:hAnsi="Arial" w:cs="Arial"/>
          <w:b/>
        </w:rPr>
        <w:t>,</w:t>
      </w:r>
      <w:r w:rsidR="00115440" w:rsidRPr="00E04C25">
        <w:rPr>
          <w:rFonts w:ascii="Arial" w:hAnsi="Arial" w:cs="Arial"/>
        </w:rPr>
        <w:t xml:space="preserve"> meziročně </w:t>
      </w:r>
      <w:r w:rsidR="00115440" w:rsidRPr="00E04C25">
        <w:rPr>
          <w:rFonts w:ascii="Arial" w:hAnsi="Arial" w:cs="Arial"/>
          <w:b/>
        </w:rPr>
        <w:t xml:space="preserve">více o </w:t>
      </w:r>
      <w:r w:rsidR="00027C6F" w:rsidRPr="00E04C25">
        <w:rPr>
          <w:rFonts w:ascii="Arial" w:hAnsi="Arial" w:cs="Arial"/>
          <w:b/>
        </w:rPr>
        <w:t>84</w:t>
      </w:r>
      <w:r w:rsidR="00115440" w:rsidRPr="00E04C25">
        <w:rPr>
          <w:rFonts w:ascii="Arial" w:hAnsi="Arial" w:cs="Arial"/>
          <w:b/>
        </w:rPr>
        <w:t>,</w:t>
      </w:r>
      <w:r w:rsidR="00027C6F" w:rsidRPr="00E04C25">
        <w:rPr>
          <w:rFonts w:ascii="Arial" w:hAnsi="Arial" w:cs="Arial"/>
          <w:b/>
        </w:rPr>
        <w:t>1</w:t>
      </w:r>
      <w:r w:rsidR="00115440" w:rsidRPr="00E04C25">
        <w:rPr>
          <w:rFonts w:ascii="Arial" w:hAnsi="Arial" w:cs="Arial"/>
          <w:b/>
        </w:rPr>
        <w:t xml:space="preserve"> tis. </w:t>
      </w:r>
      <w:r w:rsidR="00115440" w:rsidRPr="00E04C25">
        <w:rPr>
          <w:rFonts w:ascii="Arial" w:hAnsi="Arial" w:cs="Arial"/>
        </w:rPr>
        <w:t xml:space="preserve">Jejich </w:t>
      </w:r>
      <w:r w:rsidR="00115440" w:rsidRPr="00E04C25">
        <w:rPr>
          <w:rFonts w:ascii="Arial" w:hAnsi="Arial" w:cs="Arial"/>
          <w:b/>
        </w:rPr>
        <w:t>průměrný počet v roce 201</w:t>
      </w:r>
      <w:r w:rsidR="00027C6F" w:rsidRPr="00E04C25">
        <w:rPr>
          <w:rFonts w:ascii="Arial" w:hAnsi="Arial" w:cs="Arial"/>
          <w:b/>
        </w:rPr>
        <w:t>7</w:t>
      </w:r>
      <w:r w:rsidR="00115440" w:rsidRPr="00E04C25">
        <w:rPr>
          <w:rFonts w:ascii="Arial" w:hAnsi="Arial" w:cs="Arial"/>
          <w:b/>
        </w:rPr>
        <w:t xml:space="preserve"> </w:t>
      </w:r>
      <w:r w:rsidR="00115440" w:rsidRPr="00E04C25">
        <w:rPr>
          <w:rFonts w:ascii="Arial" w:hAnsi="Arial" w:cs="Arial"/>
        </w:rPr>
        <w:t xml:space="preserve">dosáhl </w:t>
      </w:r>
      <w:r w:rsidR="00115440" w:rsidRPr="00E04C25">
        <w:rPr>
          <w:rFonts w:ascii="Arial" w:hAnsi="Arial" w:cs="Arial"/>
          <w:b/>
        </w:rPr>
        <w:t>1</w:t>
      </w:r>
      <w:r w:rsidR="00027C6F" w:rsidRPr="00E04C25">
        <w:rPr>
          <w:rFonts w:ascii="Arial" w:hAnsi="Arial" w:cs="Arial"/>
          <w:b/>
        </w:rPr>
        <w:t>78</w:t>
      </w:r>
      <w:r w:rsidR="00115440" w:rsidRPr="00E04C25">
        <w:rPr>
          <w:rFonts w:ascii="Arial" w:hAnsi="Arial" w:cs="Arial"/>
          <w:b/>
        </w:rPr>
        <w:t>,</w:t>
      </w:r>
      <w:r w:rsidR="00027C6F" w:rsidRPr="00E04C25">
        <w:rPr>
          <w:rFonts w:ascii="Arial" w:hAnsi="Arial" w:cs="Arial"/>
          <w:b/>
        </w:rPr>
        <w:t>2</w:t>
      </w:r>
      <w:r w:rsidR="00115440" w:rsidRPr="00E04C25">
        <w:rPr>
          <w:rFonts w:ascii="Arial" w:hAnsi="Arial" w:cs="Arial"/>
          <w:b/>
        </w:rPr>
        <w:t xml:space="preserve"> tis. </w:t>
      </w:r>
      <w:r w:rsidR="00115440" w:rsidRPr="00E04C25">
        <w:rPr>
          <w:rFonts w:ascii="Arial" w:hAnsi="Arial" w:cs="Arial"/>
        </w:rPr>
        <w:t>a byl proti roku 201</w:t>
      </w:r>
      <w:r w:rsidR="00027C6F" w:rsidRPr="00E04C25">
        <w:rPr>
          <w:rFonts w:ascii="Arial" w:hAnsi="Arial" w:cs="Arial"/>
        </w:rPr>
        <w:t>6</w:t>
      </w:r>
      <w:r w:rsidR="00115440" w:rsidRPr="00E04C25">
        <w:rPr>
          <w:rFonts w:ascii="Arial" w:hAnsi="Arial" w:cs="Arial"/>
        </w:rPr>
        <w:t xml:space="preserve"> </w:t>
      </w:r>
      <w:r w:rsidR="00115440" w:rsidRPr="00E04C25">
        <w:rPr>
          <w:rFonts w:ascii="Arial" w:hAnsi="Arial" w:cs="Arial"/>
          <w:b/>
        </w:rPr>
        <w:t>vyšší o </w:t>
      </w:r>
      <w:r w:rsidR="00027C6F" w:rsidRPr="00E04C25">
        <w:rPr>
          <w:rFonts w:ascii="Arial" w:hAnsi="Arial" w:cs="Arial"/>
          <w:b/>
        </w:rPr>
        <w:t>50</w:t>
      </w:r>
      <w:r w:rsidR="00115440" w:rsidRPr="00E04C25">
        <w:rPr>
          <w:rFonts w:ascii="Arial" w:hAnsi="Arial" w:cs="Arial"/>
          <w:b/>
        </w:rPr>
        <w:t>,</w:t>
      </w:r>
      <w:r w:rsidR="00027C6F" w:rsidRPr="00E04C25">
        <w:rPr>
          <w:rFonts w:ascii="Arial" w:hAnsi="Arial" w:cs="Arial"/>
          <w:b/>
        </w:rPr>
        <w:t>3</w:t>
      </w:r>
      <w:r w:rsidR="00115440" w:rsidRPr="00E04C25">
        <w:rPr>
          <w:rFonts w:ascii="Arial" w:hAnsi="Arial" w:cs="Arial"/>
          <w:b/>
        </w:rPr>
        <w:t> tis</w:t>
      </w:r>
      <w:r w:rsidR="00115440" w:rsidRPr="00E04C25">
        <w:rPr>
          <w:rFonts w:ascii="Arial" w:hAnsi="Arial" w:cs="Arial"/>
        </w:rPr>
        <w:t xml:space="preserve">. </w:t>
      </w:r>
    </w:p>
    <w:p w:rsidR="00115440" w:rsidRPr="00E04C25" w:rsidRDefault="00115440" w:rsidP="00FF1775">
      <w:pPr>
        <w:tabs>
          <w:tab w:val="left" w:pos="900"/>
        </w:tabs>
        <w:ind w:left="6180" w:firstLine="902"/>
        <w:jc w:val="center"/>
        <w:rPr>
          <w:rFonts w:ascii="Arial" w:hAnsi="Arial" w:cs="Arial"/>
          <w:bCs/>
          <w:sz w:val="20"/>
          <w:szCs w:val="20"/>
        </w:rPr>
      </w:pPr>
      <w:r w:rsidRPr="00E04C25">
        <w:rPr>
          <w:rFonts w:ascii="Arial" w:hAnsi="Arial" w:cs="Arial"/>
          <w:bCs/>
          <w:sz w:val="20"/>
          <w:szCs w:val="20"/>
        </w:rPr>
        <w:t>graf č. 5</w:t>
      </w:r>
    </w:p>
    <w:p w:rsidR="00115440" w:rsidRPr="00E04C25" w:rsidRDefault="00FF1775" w:rsidP="00115440">
      <w:pPr>
        <w:tabs>
          <w:tab w:val="left" w:pos="900"/>
        </w:tabs>
        <w:spacing w:line="360" w:lineRule="auto"/>
        <w:jc w:val="center"/>
      </w:pPr>
      <w:r w:rsidRPr="00E04C25">
        <w:rPr>
          <w:noProof/>
        </w:rPr>
        <w:drawing>
          <wp:inline distT="0" distB="0" distL="0" distR="0">
            <wp:extent cx="4933950" cy="2867025"/>
            <wp:effectExtent l="0" t="0" r="19050" b="9525"/>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5440" w:rsidRPr="00E04C25" w:rsidRDefault="00115440" w:rsidP="00115440">
      <w:pPr>
        <w:pStyle w:val="Seznam"/>
        <w:ind w:left="0" w:firstLine="709"/>
        <w:jc w:val="both"/>
        <w:rPr>
          <w:rFonts w:ascii="Arial" w:hAnsi="Arial" w:cs="Arial"/>
        </w:rPr>
      </w:pPr>
    </w:p>
    <w:p w:rsidR="00115440" w:rsidRPr="00E04C25" w:rsidRDefault="00115440" w:rsidP="00115440">
      <w:pPr>
        <w:pStyle w:val="Zkladntext"/>
        <w:spacing w:line="360" w:lineRule="auto"/>
        <w:ind w:firstLine="567"/>
        <w:rPr>
          <w:color w:val="auto"/>
          <w:lang w:val="cs-CZ"/>
        </w:rPr>
      </w:pPr>
      <w:r w:rsidRPr="00E04C25">
        <w:rPr>
          <w:rFonts w:cs="Arial"/>
          <w:color w:val="auto"/>
          <w:lang w:val="cs-CZ"/>
        </w:rPr>
        <w:t xml:space="preserve">Vzhledem k vysokému nárůstu počtu hlášených VPM a poklesu počtu uchazečů o zaměstnání se </w:t>
      </w:r>
      <w:r w:rsidRPr="00E04C25">
        <w:rPr>
          <w:rFonts w:cs="Arial"/>
          <w:b/>
          <w:color w:val="auto"/>
        </w:rPr>
        <w:t>přev</w:t>
      </w:r>
      <w:r w:rsidRPr="00E04C25">
        <w:rPr>
          <w:rFonts w:cs="Arial"/>
          <w:b/>
          <w:color w:val="auto"/>
          <w:lang w:val="cs-CZ"/>
        </w:rPr>
        <w:t>aha</w:t>
      </w:r>
      <w:r w:rsidRPr="00E04C25">
        <w:rPr>
          <w:rFonts w:cs="Arial"/>
          <w:b/>
          <w:color w:val="auto"/>
        </w:rPr>
        <w:t xml:space="preserve"> nabídk</w:t>
      </w:r>
      <w:r w:rsidRPr="00E04C25">
        <w:rPr>
          <w:rFonts w:cs="Arial"/>
          <w:b/>
          <w:color w:val="auto"/>
          <w:lang w:val="cs-CZ"/>
        </w:rPr>
        <w:t>y</w:t>
      </w:r>
      <w:r w:rsidRPr="00E04C25">
        <w:rPr>
          <w:rFonts w:cs="Arial"/>
          <w:b/>
          <w:color w:val="auto"/>
        </w:rPr>
        <w:t xml:space="preserve"> pracovní síly nad poptávkou</w:t>
      </w:r>
      <w:r w:rsidRPr="00E04C25">
        <w:rPr>
          <w:rFonts w:cs="Arial"/>
          <w:color w:val="auto"/>
        </w:rPr>
        <w:t xml:space="preserve"> po ní</w:t>
      </w:r>
      <w:r w:rsidRPr="00E04C25">
        <w:rPr>
          <w:rFonts w:cs="Arial"/>
          <w:color w:val="auto"/>
          <w:lang w:val="cs-CZ"/>
        </w:rPr>
        <w:t xml:space="preserve"> také výrazně snížila. </w:t>
      </w:r>
      <w:r w:rsidRPr="00E04C25">
        <w:rPr>
          <w:b/>
          <w:color w:val="auto"/>
          <w:lang w:val="cs-CZ"/>
        </w:rPr>
        <w:t>N</w:t>
      </w:r>
      <w:r w:rsidRPr="00E04C25">
        <w:rPr>
          <w:b/>
          <w:color w:val="auto"/>
        </w:rPr>
        <w:t>a 1 volné pracovní místo</w:t>
      </w:r>
      <w:r w:rsidRPr="00E04C25">
        <w:rPr>
          <w:b/>
          <w:color w:val="auto"/>
          <w:lang w:val="cs-CZ"/>
        </w:rPr>
        <w:t xml:space="preserve"> připadalo v průměru </w:t>
      </w:r>
      <w:r w:rsidR="00D81BAD" w:rsidRPr="00E04C25">
        <w:rPr>
          <w:b/>
          <w:color w:val="auto"/>
          <w:lang w:val="cs-CZ"/>
        </w:rPr>
        <w:t>1</w:t>
      </w:r>
      <w:r w:rsidRPr="00E04C25">
        <w:rPr>
          <w:b/>
          <w:color w:val="auto"/>
          <w:lang w:val="cs-CZ"/>
        </w:rPr>
        <w:t>,</w:t>
      </w:r>
      <w:r w:rsidR="00D81BAD" w:rsidRPr="00E04C25">
        <w:rPr>
          <w:b/>
          <w:color w:val="auto"/>
          <w:lang w:val="cs-CZ"/>
        </w:rPr>
        <w:t>8</w:t>
      </w:r>
      <w:r w:rsidRPr="00E04C25">
        <w:rPr>
          <w:b/>
          <w:color w:val="auto"/>
          <w:lang w:val="cs-CZ"/>
        </w:rPr>
        <w:t> </w:t>
      </w:r>
      <w:r w:rsidRPr="00E04C25">
        <w:rPr>
          <w:b/>
          <w:color w:val="auto"/>
        </w:rPr>
        <w:t>uchazečů o zaměstnání</w:t>
      </w:r>
      <w:r w:rsidRPr="00E04C25">
        <w:rPr>
          <w:b/>
          <w:color w:val="auto"/>
          <w:lang w:val="cs-CZ"/>
        </w:rPr>
        <w:t xml:space="preserve">, </w:t>
      </w:r>
      <w:r w:rsidRPr="00E04C25">
        <w:rPr>
          <w:color w:val="auto"/>
          <w:lang w:val="cs-CZ"/>
        </w:rPr>
        <w:t>zatímco v roce 201</w:t>
      </w:r>
      <w:r w:rsidR="00D81BAD" w:rsidRPr="00E04C25">
        <w:rPr>
          <w:color w:val="auto"/>
          <w:lang w:val="cs-CZ"/>
        </w:rPr>
        <w:t>6</w:t>
      </w:r>
      <w:r w:rsidRPr="00E04C25">
        <w:rPr>
          <w:b/>
          <w:color w:val="auto"/>
          <w:lang w:val="cs-CZ"/>
        </w:rPr>
        <w:t xml:space="preserve"> </w:t>
      </w:r>
      <w:r w:rsidRPr="00E04C25">
        <w:rPr>
          <w:color w:val="auto"/>
          <w:lang w:val="cs-CZ"/>
        </w:rPr>
        <w:t xml:space="preserve">jich bylo </w:t>
      </w:r>
      <w:r w:rsidRPr="00E04C25">
        <w:rPr>
          <w:rFonts w:cs="Arial"/>
          <w:color w:val="auto"/>
          <w:lang w:val="cs-CZ"/>
        </w:rPr>
        <w:t>3</w:t>
      </w:r>
      <w:r w:rsidR="00D81BAD" w:rsidRPr="00E04C25">
        <w:rPr>
          <w:rFonts w:cs="Arial"/>
          <w:color w:val="auto"/>
          <w:lang w:val="cs-CZ"/>
        </w:rPr>
        <w:t>,2</w:t>
      </w:r>
      <w:r w:rsidRPr="00E04C25">
        <w:rPr>
          <w:rFonts w:cs="Arial"/>
          <w:color w:val="auto"/>
          <w:lang w:val="cs-CZ"/>
        </w:rPr>
        <w:t>.</w:t>
      </w:r>
      <w:r w:rsidRPr="00E04C25">
        <w:rPr>
          <w:b/>
          <w:color w:val="auto"/>
          <w:lang w:val="cs-CZ"/>
        </w:rPr>
        <w:t xml:space="preserve"> K 31. 12. 201</w:t>
      </w:r>
      <w:r w:rsidR="00D81BAD" w:rsidRPr="00E04C25">
        <w:rPr>
          <w:b/>
          <w:color w:val="auto"/>
          <w:lang w:val="cs-CZ"/>
        </w:rPr>
        <w:t>7</w:t>
      </w:r>
      <w:r w:rsidRPr="00E04C25">
        <w:rPr>
          <w:b/>
          <w:color w:val="auto"/>
          <w:lang w:val="cs-CZ"/>
        </w:rPr>
        <w:t xml:space="preserve"> </w:t>
      </w:r>
      <w:r w:rsidRPr="00E04C25">
        <w:rPr>
          <w:color w:val="auto"/>
          <w:lang w:val="cs-CZ"/>
        </w:rPr>
        <w:t>dosáhl tento ukazatel hodnoty</w:t>
      </w:r>
      <w:r w:rsidRPr="00E04C25">
        <w:rPr>
          <w:b/>
          <w:color w:val="auto"/>
          <w:lang w:val="cs-CZ"/>
        </w:rPr>
        <w:t xml:space="preserve"> </w:t>
      </w:r>
      <w:r w:rsidR="00D81BAD" w:rsidRPr="00E04C25">
        <w:rPr>
          <w:b/>
          <w:color w:val="auto"/>
          <w:lang w:val="cs-CZ"/>
        </w:rPr>
        <w:t>1</w:t>
      </w:r>
      <w:r w:rsidRPr="00E04C25">
        <w:rPr>
          <w:b/>
          <w:color w:val="auto"/>
          <w:lang w:val="cs-CZ"/>
        </w:rPr>
        <w:t>,</w:t>
      </w:r>
      <w:r w:rsidR="00D81BAD" w:rsidRPr="00E04C25">
        <w:rPr>
          <w:b/>
          <w:color w:val="auto"/>
          <w:lang w:val="cs-CZ"/>
        </w:rPr>
        <w:t>3</w:t>
      </w:r>
      <w:r w:rsidRPr="00E04C25">
        <w:rPr>
          <w:b/>
          <w:color w:val="auto"/>
          <w:lang w:val="cs-CZ"/>
        </w:rPr>
        <w:t xml:space="preserve">, </w:t>
      </w:r>
      <w:r w:rsidRPr="00E04C25">
        <w:rPr>
          <w:color w:val="auto"/>
          <w:lang w:val="cs-CZ"/>
        </w:rPr>
        <w:t xml:space="preserve">zatímco </w:t>
      </w:r>
      <w:r w:rsidR="00D81BAD" w:rsidRPr="00E04C25">
        <w:rPr>
          <w:color w:val="auto"/>
          <w:lang w:val="cs-CZ"/>
        </w:rPr>
        <w:t>na konci prosince 2016</w:t>
      </w:r>
      <w:r w:rsidRPr="00E04C25">
        <w:rPr>
          <w:color w:val="auto"/>
          <w:lang w:val="cs-CZ"/>
        </w:rPr>
        <w:t xml:space="preserve"> to bylo </w:t>
      </w:r>
      <w:r w:rsidR="007A5C9F" w:rsidRPr="00E04C25">
        <w:rPr>
          <w:color w:val="auto"/>
          <w:lang w:val="cs-CZ"/>
        </w:rPr>
        <w:t>2</w:t>
      </w:r>
      <w:r w:rsidRPr="00E04C25">
        <w:rPr>
          <w:color w:val="auto"/>
          <w:lang w:val="cs-CZ"/>
        </w:rPr>
        <w:t>,</w:t>
      </w:r>
      <w:r w:rsidR="007A5C9F" w:rsidRPr="00E04C25">
        <w:rPr>
          <w:color w:val="auto"/>
          <w:lang w:val="cs-CZ"/>
        </w:rPr>
        <w:t>9</w:t>
      </w:r>
      <w:r w:rsidRPr="00E04C25">
        <w:rPr>
          <w:color w:val="auto"/>
          <w:lang w:val="cs-CZ"/>
        </w:rPr>
        <w:t xml:space="preserve"> uchazeče na 1 VPM</w:t>
      </w:r>
      <w:r w:rsidRPr="00E04C25">
        <w:rPr>
          <w:b/>
          <w:color w:val="auto"/>
          <w:lang w:val="cs-CZ"/>
        </w:rPr>
        <w:t xml:space="preserve">. </w:t>
      </w:r>
      <w:r w:rsidRPr="00E04C25">
        <w:rPr>
          <w:color w:val="auto"/>
          <w:lang w:val="cs-CZ"/>
        </w:rPr>
        <w:t xml:space="preserve">Současná hodnota tohoto ukazatele byla </w:t>
      </w:r>
      <w:r w:rsidR="00D81BAD" w:rsidRPr="00E04C25">
        <w:rPr>
          <w:color w:val="auto"/>
          <w:lang w:val="cs-CZ"/>
        </w:rPr>
        <w:t>nižší než jeho h</w:t>
      </w:r>
      <w:r w:rsidRPr="00E04C25">
        <w:rPr>
          <w:color w:val="auto"/>
          <w:lang w:val="cs-CZ"/>
        </w:rPr>
        <w:t>odnot</w:t>
      </w:r>
      <w:r w:rsidR="00D81BAD" w:rsidRPr="00E04C25">
        <w:rPr>
          <w:color w:val="auto"/>
          <w:lang w:val="cs-CZ"/>
        </w:rPr>
        <w:t xml:space="preserve">a </w:t>
      </w:r>
      <w:r w:rsidRPr="00E04C25">
        <w:rPr>
          <w:color w:val="auto"/>
          <w:lang w:val="cs-CZ"/>
        </w:rPr>
        <w:t xml:space="preserve"> </w:t>
      </w:r>
      <w:r w:rsidR="00D81BAD" w:rsidRPr="00E04C25">
        <w:rPr>
          <w:color w:val="auto"/>
          <w:lang w:val="cs-CZ"/>
        </w:rPr>
        <w:t>v</w:t>
      </w:r>
      <w:r w:rsidRPr="00E04C25">
        <w:rPr>
          <w:color w:val="auto"/>
          <w:lang w:val="cs-CZ"/>
        </w:rPr>
        <w:t> předkrizové</w:t>
      </w:r>
      <w:r w:rsidR="00D81BAD" w:rsidRPr="00E04C25">
        <w:rPr>
          <w:color w:val="auto"/>
          <w:lang w:val="cs-CZ"/>
        </w:rPr>
        <w:t>m</w:t>
      </w:r>
      <w:r w:rsidRPr="00E04C25">
        <w:rPr>
          <w:color w:val="auto"/>
          <w:lang w:val="cs-CZ"/>
        </w:rPr>
        <w:t xml:space="preserve"> roku 2007</w:t>
      </w:r>
      <w:r w:rsidR="00D81BAD" w:rsidRPr="00E04C25">
        <w:rPr>
          <w:color w:val="auto"/>
          <w:lang w:val="cs-CZ"/>
        </w:rPr>
        <w:t xml:space="preserve"> (2,5)</w:t>
      </w:r>
      <w:r w:rsidRPr="00E04C25">
        <w:rPr>
          <w:color w:val="auto"/>
          <w:lang w:val="cs-CZ"/>
        </w:rPr>
        <w:t xml:space="preserve">. </w:t>
      </w:r>
    </w:p>
    <w:p w:rsidR="00115440" w:rsidRPr="00E04C25" w:rsidRDefault="00D81BAD" w:rsidP="00FF1775">
      <w:pPr>
        <w:pStyle w:val="Zkladntext"/>
        <w:ind w:left="7076" w:firstLine="709"/>
        <w:jc w:val="center"/>
        <w:rPr>
          <w:bCs/>
          <w:color w:val="auto"/>
          <w:sz w:val="20"/>
          <w:szCs w:val="20"/>
        </w:rPr>
      </w:pPr>
      <w:r w:rsidRPr="00E04C25">
        <w:rPr>
          <w:bCs/>
          <w:color w:val="auto"/>
          <w:sz w:val="20"/>
          <w:szCs w:val="20"/>
        </w:rPr>
        <w:br w:type="column"/>
      </w:r>
      <w:r w:rsidR="00115440" w:rsidRPr="00E04C25">
        <w:rPr>
          <w:bCs/>
          <w:color w:val="auto"/>
          <w:sz w:val="20"/>
          <w:szCs w:val="20"/>
        </w:rPr>
        <w:lastRenderedPageBreak/>
        <w:t xml:space="preserve">graf č. </w:t>
      </w:r>
      <w:r w:rsidR="00115440" w:rsidRPr="00E04C25">
        <w:rPr>
          <w:bCs/>
          <w:color w:val="auto"/>
          <w:sz w:val="20"/>
          <w:szCs w:val="20"/>
          <w:lang w:val="cs-CZ"/>
        </w:rPr>
        <w:t>6</w:t>
      </w:r>
    </w:p>
    <w:p w:rsidR="00115440" w:rsidRPr="00E04C25" w:rsidRDefault="00FF1775" w:rsidP="007B0251">
      <w:pPr>
        <w:pStyle w:val="Zkladntext"/>
        <w:spacing w:line="360" w:lineRule="auto"/>
        <w:jc w:val="center"/>
        <w:rPr>
          <w:color w:val="auto"/>
          <w:lang w:val="cs-CZ"/>
        </w:rPr>
      </w:pPr>
      <w:r w:rsidRPr="00E04C25">
        <w:rPr>
          <w:noProof/>
          <w:color w:val="auto"/>
          <w:lang w:val="cs-CZ" w:eastAsia="cs-CZ"/>
        </w:rPr>
        <w:drawing>
          <wp:inline distT="0" distB="0" distL="0" distR="0">
            <wp:extent cx="5457825" cy="3038475"/>
            <wp:effectExtent l="0" t="0" r="9525" b="9525"/>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1BAD" w:rsidRPr="00E04C25" w:rsidRDefault="00D81BAD" w:rsidP="007B0251">
      <w:pPr>
        <w:pStyle w:val="Zkladntext"/>
        <w:ind w:firstLine="567"/>
        <w:rPr>
          <w:color w:val="auto"/>
          <w:lang w:val="cs-CZ"/>
        </w:rPr>
      </w:pPr>
    </w:p>
    <w:p w:rsidR="00115440" w:rsidRPr="00E04C25" w:rsidRDefault="00115440" w:rsidP="00115440">
      <w:pPr>
        <w:pStyle w:val="Zkladntext"/>
        <w:spacing w:line="360" w:lineRule="auto"/>
        <w:ind w:firstLine="567"/>
        <w:rPr>
          <w:color w:val="auto"/>
          <w:lang w:val="cs-CZ"/>
        </w:rPr>
      </w:pPr>
      <w:r w:rsidRPr="00E04C25">
        <w:rPr>
          <w:color w:val="auto"/>
          <w:lang w:val="cs-CZ"/>
        </w:rPr>
        <w:t xml:space="preserve">Situace v regionech je ovšem rozdílná, počet uchazečů o zaměstnání připadajících na jedno VPM se pohybuje od </w:t>
      </w:r>
      <w:r w:rsidR="00D81BAD" w:rsidRPr="00E04C25">
        <w:rPr>
          <w:color w:val="auto"/>
          <w:lang w:val="cs-CZ"/>
        </w:rPr>
        <w:t>0</w:t>
      </w:r>
      <w:r w:rsidRPr="00E04C25">
        <w:rPr>
          <w:color w:val="auto"/>
          <w:lang w:val="cs-CZ"/>
        </w:rPr>
        <w:t>,</w:t>
      </w:r>
      <w:r w:rsidR="00D81BAD" w:rsidRPr="00E04C25">
        <w:rPr>
          <w:color w:val="auto"/>
          <w:lang w:val="cs-CZ"/>
        </w:rPr>
        <w:t>5</w:t>
      </w:r>
      <w:r w:rsidRPr="00E04C25">
        <w:rPr>
          <w:color w:val="auto"/>
          <w:lang w:val="cs-CZ"/>
        </w:rPr>
        <w:t> v</w:t>
      </w:r>
      <w:r w:rsidR="00D81BAD" w:rsidRPr="00E04C25">
        <w:rPr>
          <w:color w:val="auto"/>
          <w:lang w:val="cs-CZ"/>
        </w:rPr>
        <w:t> </w:t>
      </w:r>
      <w:r w:rsidRPr="00E04C25">
        <w:rPr>
          <w:color w:val="auto"/>
          <w:lang w:val="cs-CZ"/>
        </w:rPr>
        <w:t>Plzeňském</w:t>
      </w:r>
      <w:r w:rsidR="00D81BAD" w:rsidRPr="00E04C25">
        <w:rPr>
          <w:color w:val="auto"/>
          <w:lang w:val="cs-CZ"/>
        </w:rPr>
        <w:t>, Pardubickém</w:t>
      </w:r>
      <w:r w:rsidRPr="00E04C25">
        <w:rPr>
          <w:color w:val="auto"/>
          <w:lang w:val="cs-CZ"/>
        </w:rPr>
        <w:t xml:space="preserve"> kraji a</w:t>
      </w:r>
      <w:r w:rsidR="00D81BAD" w:rsidRPr="00E04C25">
        <w:rPr>
          <w:color w:val="auto"/>
          <w:lang w:val="cs-CZ"/>
        </w:rPr>
        <w:t> </w:t>
      </w:r>
      <w:r w:rsidR="008D6DAA" w:rsidRPr="00E04C25">
        <w:rPr>
          <w:color w:val="auto"/>
          <w:lang w:val="cs-CZ"/>
        </w:rPr>
        <w:t>h</w:t>
      </w:r>
      <w:r w:rsidRPr="00E04C25">
        <w:rPr>
          <w:color w:val="auto"/>
          <w:lang w:val="cs-CZ"/>
        </w:rPr>
        <w:t xml:space="preserve">l. m. Praze až po </w:t>
      </w:r>
      <w:r w:rsidR="00D81BAD" w:rsidRPr="00E04C25">
        <w:rPr>
          <w:color w:val="auto"/>
          <w:lang w:val="cs-CZ"/>
        </w:rPr>
        <w:t>3,5</w:t>
      </w:r>
      <w:r w:rsidRPr="00E04C25">
        <w:rPr>
          <w:color w:val="auto"/>
          <w:lang w:val="cs-CZ"/>
        </w:rPr>
        <w:t> v Moravskoslezském kraji (viz část III.4 Regionální nezaměstnanost).</w:t>
      </w:r>
    </w:p>
    <w:p w:rsidR="00115440" w:rsidRPr="00E04C25" w:rsidRDefault="00115440" w:rsidP="00115440">
      <w:pPr>
        <w:spacing w:line="360" w:lineRule="auto"/>
        <w:ind w:firstLine="567"/>
        <w:jc w:val="both"/>
        <w:rPr>
          <w:rFonts w:ascii="Arial" w:hAnsi="Arial" w:cs="Arial"/>
          <w:bCs/>
          <w:szCs w:val="23"/>
        </w:rPr>
      </w:pPr>
      <w:r w:rsidRPr="00E04C25">
        <w:t xml:space="preserve"> </w:t>
      </w:r>
      <w:r w:rsidRPr="00E04C25">
        <w:rPr>
          <w:rFonts w:ascii="Arial" w:hAnsi="Arial" w:cs="Arial"/>
          <w:bCs/>
          <w:szCs w:val="23"/>
        </w:rPr>
        <w:t>Z hlediska odvětvové struktury byla největší poptávka po pracovnících na konci roku 201</w:t>
      </w:r>
      <w:r w:rsidR="00D81BAD" w:rsidRPr="00E04C25">
        <w:rPr>
          <w:rFonts w:ascii="Arial" w:hAnsi="Arial" w:cs="Arial"/>
          <w:bCs/>
          <w:szCs w:val="23"/>
        </w:rPr>
        <w:t>7</w:t>
      </w:r>
      <w:r w:rsidRPr="00E04C25">
        <w:rPr>
          <w:rFonts w:ascii="Arial" w:hAnsi="Arial" w:cs="Arial"/>
          <w:bCs/>
          <w:szCs w:val="23"/>
        </w:rPr>
        <w:t xml:space="preserve">, podobně jako před rokem, zejména </w:t>
      </w:r>
      <w:r w:rsidRPr="00E04C25">
        <w:rPr>
          <w:rFonts w:ascii="Arial" w:hAnsi="Arial" w:cs="Arial"/>
          <w:b/>
          <w:bCs/>
          <w:szCs w:val="23"/>
        </w:rPr>
        <w:t xml:space="preserve">ve zpracovatelském průmyslu </w:t>
      </w:r>
      <w:r w:rsidRPr="00E04C25">
        <w:rPr>
          <w:rFonts w:ascii="Arial" w:hAnsi="Arial" w:cs="Arial"/>
          <w:bCs/>
          <w:szCs w:val="23"/>
        </w:rPr>
        <w:t>(23,</w:t>
      </w:r>
      <w:r w:rsidR="00D81BAD" w:rsidRPr="00E04C25">
        <w:rPr>
          <w:rFonts w:ascii="Arial" w:hAnsi="Arial" w:cs="Arial"/>
          <w:bCs/>
          <w:szCs w:val="23"/>
        </w:rPr>
        <w:t>6</w:t>
      </w:r>
      <w:r w:rsidRPr="00E04C25">
        <w:rPr>
          <w:rFonts w:ascii="Arial" w:hAnsi="Arial" w:cs="Arial"/>
          <w:bCs/>
          <w:szCs w:val="23"/>
        </w:rPr>
        <w:t xml:space="preserve"> %) a </w:t>
      </w:r>
      <w:r w:rsidRPr="00E04C25">
        <w:rPr>
          <w:rFonts w:ascii="Arial" w:hAnsi="Arial" w:cs="Arial"/>
          <w:b/>
          <w:bCs/>
          <w:szCs w:val="23"/>
        </w:rPr>
        <w:t>v odvětví velkoobchod a maloobchod, oprava motorových vozidel</w:t>
      </w:r>
      <w:r w:rsidR="00D61D57" w:rsidRPr="00E04C25">
        <w:rPr>
          <w:rFonts w:ascii="Arial" w:hAnsi="Arial" w:cs="Arial"/>
          <w:bCs/>
          <w:szCs w:val="23"/>
        </w:rPr>
        <w:t xml:space="preserve"> (6</w:t>
      </w:r>
      <w:r w:rsidRPr="00E04C25">
        <w:rPr>
          <w:rFonts w:ascii="Arial" w:hAnsi="Arial" w:cs="Arial"/>
          <w:bCs/>
          <w:szCs w:val="23"/>
        </w:rPr>
        <w:t>,</w:t>
      </w:r>
      <w:r w:rsidR="00D61D57" w:rsidRPr="00E04C25">
        <w:rPr>
          <w:rFonts w:ascii="Arial" w:hAnsi="Arial" w:cs="Arial"/>
          <w:bCs/>
          <w:szCs w:val="23"/>
        </w:rPr>
        <w:t>5</w:t>
      </w:r>
      <w:r w:rsidRPr="00E04C25">
        <w:rPr>
          <w:rFonts w:ascii="Arial" w:hAnsi="Arial" w:cs="Arial"/>
          <w:bCs/>
          <w:szCs w:val="23"/>
        </w:rPr>
        <w:t> %</w:t>
      </w:r>
      <w:r w:rsidR="00D61D57" w:rsidRPr="00E04C25">
        <w:rPr>
          <w:rFonts w:ascii="Arial" w:hAnsi="Arial" w:cs="Arial"/>
          <w:bCs/>
          <w:szCs w:val="23"/>
        </w:rPr>
        <w:t xml:space="preserve">), ale také </w:t>
      </w:r>
      <w:r w:rsidR="00D61D57" w:rsidRPr="00E04C25">
        <w:rPr>
          <w:rFonts w:ascii="Arial" w:hAnsi="Arial" w:cs="Arial"/>
          <w:b/>
          <w:bCs/>
          <w:szCs w:val="23"/>
        </w:rPr>
        <w:t>ve stavebnictví</w:t>
      </w:r>
      <w:r w:rsidR="00D61D57" w:rsidRPr="00E04C25">
        <w:rPr>
          <w:rFonts w:ascii="Arial" w:hAnsi="Arial" w:cs="Arial"/>
          <w:bCs/>
          <w:szCs w:val="23"/>
        </w:rPr>
        <w:t xml:space="preserve"> (6,2 %</w:t>
      </w:r>
      <w:r w:rsidRPr="00E04C25">
        <w:rPr>
          <w:rFonts w:ascii="Arial" w:hAnsi="Arial" w:cs="Arial"/>
          <w:bCs/>
          <w:szCs w:val="23"/>
        </w:rPr>
        <w:t xml:space="preserve"> všech VPM nahlášených na ÚP ČR). </w:t>
      </w:r>
    </w:p>
    <w:p w:rsidR="007B0251" w:rsidRPr="00E04C25" w:rsidRDefault="007B0251" w:rsidP="007B0251">
      <w:pPr>
        <w:ind w:left="7480"/>
        <w:jc w:val="both"/>
        <w:rPr>
          <w:rFonts w:ascii="Arial" w:hAnsi="Arial" w:cs="Arial"/>
          <w:bCs/>
          <w:sz w:val="20"/>
          <w:szCs w:val="20"/>
        </w:rPr>
      </w:pPr>
      <w:r w:rsidRPr="00E04C25">
        <w:rPr>
          <w:rFonts w:ascii="Arial" w:hAnsi="Arial" w:cs="Arial"/>
          <w:bCs/>
          <w:sz w:val="20"/>
          <w:szCs w:val="20"/>
        </w:rPr>
        <w:t xml:space="preserve">       graf. č. 7</w:t>
      </w:r>
    </w:p>
    <w:p w:rsidR="00D97BC2" w:rsidRPr="00E04C25" w:rsidRDefault="00D97BC2" w:rsidP="007B0251">
      <w:pPr>
        <w:spacing w:line="360" w:lineRule="auto"/>
        <w:jc w:val="center"/>
        <w:rPr>
          <w:rFonts w:ascii="Arial" w:hAnsi="Arial" w:cs="Arial"/>
          <w:bCs/>
          <w:szCs w:val="23"/>
        </w:rPr>
      </w:pPr>
      <w:r w:rsidRPr="00E04C25">
        <w:rPr>
          <w:noProof/>
        </w:rPr>
        <w:drawing>
          <wp:inline distT="0" distB="0" distL="0" distR="0">
            <wp:extent cx="5353050" cy="2952750"/>
            <wp:effectExtent l="0" t="0" r="19050"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5440" w:rsidRPr="00F05BC4" w:rsidRDefault="00115440" w:rsidP="00115440">
      <w:pPr>
        <w:pStyle w:val="Zkladntext"/>
        <w:spacing w:line="360" w:lineRule="auto"/>
        <w:ind w:firstLine="567"/>
        <w:rPr>
          <w:rFonts w:cs="Arial"/>
          <w:color w:val="auto"/>
          <w:lang w:val="cs-CZ"/>
        </w:rPr>
      </w:pPr>
      <w:r w:rsidRPr="00E04C25">
        <w:rPr>
          <w:bCs/>
          <w:color w:val="auto"/>
          <w:szCs w:val="23"/>
          <w:lang w:val="cs-CZ"/>
        </w:rPr>
        <w:lastRenderedPageBreak/>
        <w:t>V</w:t>
      </w:r>
      <w:r w:rsidRPr="00E04C25">
        <w:rPr>
          <w:bCs/>
          <w:color w:val="auto"/>
          <w:szCs w:val="23"/>
        </w:rPr>
        <w:t xml:space="preserve"> nabídce </w:t>
      </w:r>
      <w:r w:rsidRPr="00E04C25">
        <w:rPr>
          <w:bCs/>
          <w:color w:val="auto"/>
          <w:szCs w:val="23"/>
          <w:lang w:val="cs-CZ"/>
        </w:rPr>
        <w:t xml:space="preserve">hlášených </w:t>
      </w:r>
      <w:r w:rsidRPr="00E04C25">
        <w:rPr>
          <w:bCs/>
          <w:color w:val="auto"/>
          <w:szCs w:val="23"/>
        </w:rPr>
        <w:t xml:space="preserve">volných </w:t>
      </w:r>
      <w:r w:rsidRPr="00E04C25">
        <w:rPr>
          <w:bCs/>
          <w:color w:val="auto"/>
          <w:szCs w:val="23"/>
          <w:lang w:val="cs-CZ"/>
        </w:rPr>
        <w:t xml:space="preserve">pracovních </w:t>
      </w:r>
      <w:r w:rsidR="007B0251" w:rsidRPr="00E04C25">
        <w:rPr>
          <w:bCs/>
          <w:color w:val="auto"/>
          <w:szCs w:val="23"/>
          <w:lang w:val="cs-CZ"/>
        </w:rPr>
        <w:t xml:space="preserve">měla </w:t>
      </w:r>
      <w:r w:rsidR="007B0251" w:rsidRPr="00E04C25">
        <w:rPr>
          <w:b/>
          <w:bCs/>
          <w:color w:val="auto"/>
          <w:szCs w:val="23"/>
          <w:lang w:val="cs-CZ"/>
        </w:rPr>
        <w:t>největší zastoupení</w:t>
      </w:r>
      <w:r w:rsidR="007B0251" w:rsidRPr="00E04C25">
        <w:rPr>
          <w:bCs/>
          <w:color w:val="auto"/>
          <w:szCs w:val="23"/>
          <w:lang w:val="cs-CZ"/>
        </w:rPr>
        <w:t xml:space="preserve"> </w:t>
      </w:r>
      <w:r w:rsidRPr="00E04C25">
        <w:rPr>
          <w:bCs/>
          <w:color w:val="auto"/>
          <w:szCs w:val="23"/>
        </w:rPr>
        <w:t>míst</w:t>
      </w:r>
      <w:r w:rsidR="007B0251" w:rsidRPr="00E04C25">
        <w:rPr>
          <w:bCs/>
          <w:color w:val="auto"/>
          <w:szCs w:val="23"/>
          <w:lang w:val="cs-CZ"/>
        </w:rPr>
        <w:t>a</w:t>
      </w:r>
      <w:r w:rsidRPr="00E04C25">
        <w:rPr>
          <w:bCs/>
          <w:color w:val="auto"/>
          <w:szCs w:val="23"/>
        </w:rPr>
        <w:t xml:space="preserve"> </w:t>
      </w:r>
      <w:r w:rsidR="007B0251" w:rsidRPr="00E04C25">
        <w:rPr>
          <w:bCs/>
          <w:color w:val="auto"/>
          <w:szCs w:val="23"/>
          <w:lang w:val="cs-CZ"/>
        </w:rPr>
        <w:t xml:space="preserve">spadající do </w:t>
      </w:r>
      <w:r w:rsidR="007B0251" w:rsidRPr="00E04C25">
        <w:rPr>
          <w:b/>
          <w:bCs/>
          <w:color w:val="auto"/>
          <w:szCs w:val="23"/>
          <w:lang w:val="cs-CZ"/>
        </w:rPr>
        <w:t>třídy 8</w:t>
      </w:r>
      <w:r w:rsidR="007B0251" w:rsidRPr="00E04C25">
        <w:rPr>
          <w:bCs/>
          <w:color w:val="auto"/>
          <w:szCs w:val="23"/>
          <w:lang w:val="cs-CZ"/>
        </w:rPr>
        <w:t xml:space="preserve"> (klasifikace zaměstnání CZ-ISCO) – </w:t>
      </w:r>
      <w:r w:rsidR="007B0251" w:rsidRPr="00E04C25">
        <w:rPr>
          <w:b/>
          <w:bCs/>
          <w:color w:val="auto"/>
          <w:szCs w:val="23"/>
          <w:lang w:val="cs-CZ"/>
        </w:rPr>
        <w:t xml:space="preserve">obsluha strojů a zařízení, </w:t>
      </w:r>
      <w:r w:rsidR="007B0251" w:rsidRPr="00E04C25">
        <w:rPr>
          <w:bCs/>
          <w:color w:val="auto"/>
          <w:szCs w:val="23"/>
          <w:lang w:val="cs-CZ"/>
        </w:rPr>
        <w:t>jejichž podíl na celkovém počtu VPM představoval</w:t>
      </w:r>
      <w:r w:rsidR="007B0251" w:rsidRPr="00E04C25">
        <w:rPr>
          <w:b/>
          <w:bCs/>
          <w:color w:val="auto"/>
          <w:szCs w:val="23"/>
          <w:lang w:val="cs-CZ"/>
        </w:rPr>
        <w:t xml:space="preserve"> 27,2 %. </w:t>
      </w:r>
      <w:r w:rsidR="00E436E3" w:rsidRPr="00E04C25">
        <w:rPr>
          <w:bCs/>
          <w:color w:val="auto"/>
          <w:szCs w:val="23"/>
          <w:lang w:val="cs-CZ"/>
        </w:rPr>
        <w:t xml:space="preserve">Počet těchto míst </w:t>
      </w:r>
      <w:r w:rsidR="00E436E3" w:rsidRPr="00E04C25">
        <w:rPr>
          <w:b/>
          <w:bCs/>
          <w:color w:val="auto"/>
          <w:szCs w:val="23"/>
          <w:lang w:val="cs-CZ"/>
        </w:rPr>
        <w:t>(58,9 tis.)</w:t>
      </w:r>
      <w:r w:rsidR="00E436E3" w:rsidRPr="00E04C25">
        <w:rPr>
          <w:bCs/>
          <w:color w:val="auto"/>
          <w:szCs w:val="23"/>
          <w:lang w:val="cs-CZ"/>
        </w:rPr>
        <w:t xml:space="preserve"> se meziročně</w:t>
      </w:r>
      <w:r w:rsidR="00E436E3" w:rsidRPr="00E04C25">
        <w:rPr>
          <w:b/>
          <w:bCs/>
          <w:color w:val="auto"/>
          <w:szCs w:val="23"/>
          <w:lang w:val="cs-CZ"/>
        </w:rPr>
        <w:t xml:space="preserve"> téměř zdvojnásobil </w:t>
      </w:r>
      <w:r w:rsidR="00864312" w:rsidRPr="00E04C25">
        <w:rPr>
          <w:bCs/>
          <w:color w:val="auto"/>
          <w:szCs w:val="23"/>
          <w:lang w:val="cs-CZ"/>
        </w:rPr>
        <w:t xml:space="preserve">(nárůst o 96,6 %) </w:t>
      </w:r>
      <w:r w:rsidR="00E436E3" w:rsidRPr="00E04C25">
        <w:rPr>
          <w:bCs/>
          <w:color w:val="auto"/>
          <w:szCs w:val="23"/>
          <w:lang w:val="cs-CZ"/>
        </w:rPr>
        <w:t>a dosáhl</w:t>
      </w:r>
      <w:r w:rsidR="00E436E3" w:rsidRPr="00E04C25">
        <w:rPr>
          <w:b/>
          <w:bCs/>
          <w:color w:val="auto"/>
          <w:szCs w:val="23"/>
          <w:lang w:val="cs-CZ"/>
        </w:rPr>
        <w:t xml:space="preserve"> </w:t>
      </w:r>
      <w:r w:rsidR="00E436E3" w:rsidRPr="00E04C25">
        <w:rPr>
          <w:bCs/>
          <w:color w:val="auto"/>
          <w:szCs w:val="23"/>
          <w:lang w:val="cs-CZ"/>
        </w:rPr>
        <w:t xml:space="preserve">hodnoty </w:t>
      </w:r>
      <w:r w:rsidR="00E436E3" w:rsidRPr="00E04C25">
        <w:rPr>
          <w:rFonts w:cs="Arial"/>
          <w:b/>
          <w:bCs/>
          <w:color w:val="auto"/>
          <w:lang w:val="cs-CZ"/>
        </w:rPr>
        <w:t xml:space="preserve">58,9 tis. </w:t>
      </w:r>
      <w:r w:rsidR="00AC0848" w:rsidRPr="00F05BC4">
        <w:rPr>
          <w:rFonts w:cs="Arial"/>
          <w:bCs/>
          <w:color w:val="auto"/>
          <w:lang w:val="cs-CZ"/>
        </w:rPr>
        <w:t>P</w:t>
      </w:r>
      <w:r w:rsidRPr="00F05BC4">
        <w:rPr>
          <w:rFonts w:cs="Arial"/>
          <w:bCs/>
          <w:color w:val="auto"/>
          <w:lang w:val="cs-CZ"/>
        </w:rPr>
        <w:t xml:space="preserve">řevažovala volná místa pro </w:t>
      </w:r>
      <w:r w:rsidR="002B7BAA" w:rsidRPr="00F05BC4">
        <w:rPr>
          <w:rFonts w:cs="Arial"/>
          <w:bCs/>
          <w:color w:val="auto"/>
          <w:lang w:val="cs-CZ"/>
        </w:rPr>
        <w:t xml:space="preserve">řidiče nákladních automobilů, </w:t>
      </w:r>
      <w:r w:rsidR="002B7BAA" w:rsidRPr="00F05BC4">
        <w:rPr>
          <w:rFonts w:cs="Arial"/>
          <w:color w:val="auto"/>
          <w:lang w:val="cs-CZ"/>
        </w:rPr>
        <w:t>tahačů a</w:t>
      </w:r>
      <w:r w:rsidR="00AC0848" w:rsidRPr="00F05BC4">
        <w:rPr>
          <w:rFonts w:cs="Arial"/>
          <w:color w:val="auto"/>
          <w:lang w:val="cs-CZ"/>
        </w:rPr>
        <w:t> </w:t>
      </w:r>
      <w:r w:rsidR="002B7BAA" w:rsidRPr="00F05BC4">
        <w:rPr>
          <w:rFonts w:cs="Arial"/>
          <w:color w:val="auto"/>
          <w:lang w:val="cs-CZ"/>
        </w:rPr>
        <w:t>speciálních vozidel</w:t>
      </w:r>
      <w:r w:rsidR="002B7BAA" w:rsidRPr="00F05BC4">
        <w:rPr>
          <w:rFonts w:cs="Arial"/>
          <w:bCs/>
          <w:color w:val="auto"/>
          <w:lang w:val="cs-CZ"/>
        </w:rPr>
        <w:t xml:space="preserve">, </w:t>
      </w:r>
      <w:r w:rsidRPr="00F05BC4">
        <w:rPr>
          <w:rFonts w:cs="Arial"/>
          <w:bCs/>
          <w:color w:val="auto"/>
          <w:lang w:val="cs-CZ"/>
        </w:rPr>
        <w:t>m</w:t>
      </w:r>
      <w:r w:rsidRPr="00F05BC4">
        <w:rPr>
          <w:rFonts w:cs="Arial"/>
          <w:color w:val="auto"/>
          <w:lang w:val="cs-CZ"/>
        </w:rPr>
        <w:t xml:space="preserve">ontážní dělníky </w:t>
      </w:r>
      <w:r w:rsidR="002B7BAA" w:rsidRPr="00F05BC4">
        <w:rPr>
          <w:rFonts w:cs="Arial"/>
          <w:color w:val="auto"/>
          <w:lang w:val="cs-CZ"/>
        </w:rPr>
        <w:t xml:space="preserve">elektrických, energetických a elektronických zařízení, mechanických zařízení, </w:t>
      </w:r>
      <w:r w:rsidR="00AC0848" w:rsidRPr="00F05BC4">
        <w:rPr>
          <w:rFonts w:cs="Arial"/>
          <w:color w:val="auto"/>
          <w:lang w:val="cs-CZ"/>
        </w:rPr>
        <w:t>pro o</w:t>
      </w:r>
      <w:r w:rsidR="002B7BAA" w:rsidRPr="00F05BC4">
        <w:rPr>
          <w:rFonts w:cs="Arial"/>
          <w:color w:val="auto"/>
          <w:lang w:val="cs-CZ"/>
        </w:rPr>
        <w:t>bsluh</w:t>
      </w:r>
      <w:r w:rsidR="00AC0848" w:rsidRPr="00F05BC4">
        <w:rPr>
          <w:rFonts w:cs="Arial"/>
          <w:color w:val="auto"/>
          <w:lang w:val="cs-CZ"/>
        </w:rPr>
        <w:t>u</w:t>
      </w:r>
      <w:r w:rsidR="002B7BAA" w:rsidRPr="00F05BC4">
        <w:rPr>
          <w:rFonts w:cs="Arial"/>
          <w:color w:val="auto"/>
          <w:lang w:val="cs-CZ"/>
        </w:rPr>
        <w:t xml:space="preserve"> vysokozdvižných a jiných vozíků a</w:t>
      </w:r>
      <w:r w:rsidR="00AC0848" w:rsidRPr="00F05BC4">
        <w:rPr>
          <w:rFonts w:cs="Arial"/>
          <w:color w:val="auto"/>
          <w:lang w:val="cs-CZ"/>
        </w:rPr>
        <w:t> </w:t>
      </w:r>
      <w:r w:rsidR="002B7BAA" w:rsidRPr="00F05BC4">
        <w:rPr>
          <w:rFonts w:cs="Arial"/>
          <w:color w:val="auto"/>
          <w:lang w:val="cs-CZ"/>
        </w:rPr>
        <w:t>skladní</w:t>
      </w:r>
      <w:r w:rsidR="00AC0848" w:rsidRPr="00F05BC4">
        <w:rPr>
          <w:rFonts w:cs="Arial"/>
          <w:color w:val="auto"/>
          <w:lang w:val="cs-CZ"/>
        </w:rPr>
        <w:t>ky</w:t>
      </w:r>
      <w:r w:rsidRPr="00F05BC4">
        <w:rPr>
          <w:rFonts w:cs="Arial"/>
          <w:color w:val="auto"/>
          <w:lang w:val="cs-CZ"/>
        </w:rPr>
        <w:t xml:space="preserve">. </w:t>
      </w:r>
    </w:p>
    <w:p w:rsidR="00115440" w:rsidRPr="00F05BC4" w:rsidRDefault="00E436E3" w:rsidP="00115440">
      <w:pPr>
        <w:pStyle w:val="Zkladntextodsazen"/>
        <w:ind w:firstLine="539"/>
        <w:rPr>
          <w:rFonts w:cs="Arial"/>
          <w:bCs/>
          <w:lang w:val="cs-CZ"/>
        </w:rPr>
      </w:pPr>
      <w:r w:rsidRPr="00E04C25">
        <w:rPr>
          <w:bCs/>
          <w:szCs w:val="23"/>
          <w:lang w:val="cs-CZ"/>
        </w:rPr>
        <w:t xml:space="preserve">Druhou nejpočetnější skupinou </w:t>
      </w:r>
      <w:r w:rsidR="00794B3F" w:rsidRPr="00E04C25">
        <w:rPr>
          <w:bCs/>
          <w:szCs w:val="23"/>
          <w:lang w:val="cs-CZ"/>
        </w:rPr>
        <w:t xml:space="preserve">s podílem 23,7 % </w:t>
      </w:r>
      <w:r w:rsidRPr="00E04C25">
        <w:rPr>
          <w:bCs/>
          <w:szCs w:val="23"/>
          <w:lang w:val="cs-CZ"/>
        </w:rPr>
        <w:t xml:space="preserve">byla </w:t>
      </w:r>
      <w:r w:rsidRPr="00E04C25">
        <w:rPr>
          <w:b/>
          <w:bCs/>
          <w:szCs w:val="23"/>
          <w:lang w:val="cs-CZ"/>
        </w:rPr>
        <w:t>třída 9</w:t>
      </w:r>
      <w:r w:rsidRPr="00E04C25">
        <w:rPr>
          <w:bCs/>
          <w:szCs w:val="23"/>
          <w:lang w:val="cs-CZ"/>
        </w:rPr>
        <w:t xml:space="preserve"> – </w:t>
      </w:r>
      <w:r w:rsidRPr="00E04C25">
        <w:rPr>
          <w:b/>
          <w:bCs/>
          <w:szCs w:val="23"/>
          <w:lang w:val="cs-CZ"/>
        </w:rPr>
        <w:t>pomocní a nekvalifikovaní pracovníci</w:t>
      </w:r>
      <w:r w:rsidRPr="00E04C25">
        <w:rPr>
          <w:bCs/>
          <w:szCs w:val="23"/>
          <w:lang w:val="cs-CZ"/>
        </w:rPr>
        <w:t xml:space="preserve">, jichž na konci roku 2017 bylo </w:t>
      </w:r>
      <w:r w:rsidRPr="00E04C25">
        <w:rPr>
          <w:b/>
          <w:bCs/>
          <w:szCs w:val="23"/>
          <w:lang w:val="cs-CZ"/>
        </w:rPr>
        <w:t>51,4 tis.</w:t>
      </w:r>
      <w:r w:rsidRPr="00E04C25">
        <w:rPr>
          <w:bCs/>
          <w:szCs w:val="23"/>
          <w:lang w:val="cs-CZ"/>
        </w:rPr>
        <w:t xml:space="preserve">, což je ve srovnání s předchozím rokem také </w:t>
      </w:r>
      <w:r w:rsidRPr="00E04C25">
        <w:rPr>
          <w:b/>
          <w:bCs/>
          <w:szCs w:val="23"/>
          <w:lang w:val="cs-CZ"/>
        </w:rPr>
        <w:t>téměř dvojnásobek</w:t>
      </w:r>
      <w:r w:rsidR="00864312" w:rsidRPr="00E04C25">
        <w:rPr>
          <w:b/>
          <w:bCs/>
          <w:szCs w:val="23"/>
          <w:lang w:val="cs-CZ"/>
        </w:rPr>
        <w:t xml:space="preserve"> </w:t>
      </w:r>
      <w:r w:rsidR="00864312" w:rsidRPr="00E04C25">
        <w:rPr>
          <w:bCs/>
          <w:szCs w:val="23"/>
          <w:lang w:val="cs-CZ"/>
        </w:rPr>
        <w:t>(o 96,0 %)</w:t>
      </w:r>
      <w:r w:rsidRPr="00E04C25">
        <w:rPr>
          <w:bCs/>
          <w:szCs w:val="23"/>
          <w:lang w:val="cs-CZ"/>
        </w:rPr>
        <w:t xml:space="preserve">. </w:t>
      </w:r>
      <w:r w:rsidR="00115440" w:rsidRPr="00E04C25">
        <w:rPr>
          <w:rFonts w:cs="Arial"/>
          <w:bCs/>
          <w:lang w:val="cs-CZ"/>
        </w:rPr>
        <w:t>Nejvýznamnější podíl v rámci t</w:t>
      </w:r>
      <w:r w:rsidR="00AC0848" w:rsidRPr="00E04C25">
        <w:rPr>
          <w:rFonts w:cs="Arial"/>
          <w:bCs/>
          <w:lang w:val="cs-CZ"/>
        </w:rPr>
        <w:t xml:space="preserve">éto </w:t>
      </w:r>
      <w:r w:rsidR="00115440" w:rsidRPr="00F05BC4">
        <w:rPr>
          <w:rFonts w:cs="Arial"/>
          <w:bCs/>
          <w:lang w:val="cs-CZ"/>
        </w:rPr>
        <w:t>tříd</w:t>
      </w:r>
      <w:r w:rsidR="00AC0848" w:rsidRPr="00F05BC4">
        <w:rPr>
          <w:rFonts w:cs="Arial"/>
          <w:bCs/>
          <w:lang w:val="cs-CZ"/>
        </w:rPr>
        <w:t>y</w:t>
      </w:r>
      <w:r w:rsidR="00115440" w:rsidRPr="00F05BC4">
        <w:rPr>
          <w:rFonts w:cs="Arial"/>
          <w:bCs/>
          <w:lang w:val="cs-CZ"/>
        </w:rPr>
        <w:t xml:space="preserve"> </w:t>
      </w:r>
      <w:r w:rsidR="00AC0848" w:rsidRPr="00F05BC4">
        <w:rPr>
          <w:rFonts w:cs="Arial"/>
          <w:bCs/>
          <w:lang w:val="cs-CZ"/>
        </w:rPr>
        <w:t>měla volná místa pro d</w:t>
      </w:r>
      <w:r w:rsidR="00AC0848" w:rsidRPr="00F05BC4">
        <w:rPr>
          <w:rFonts w:cs="Arial"/>
          <w:lang w:val="cs-CZ"/>
        </w:rPr>
        <w:t>ělníky v oblasti výstavby budov, pomocné pracovníky ve výrobě, uklízeče a pomocníky v hotelích, administrativních, průmyslových a jiných objektech, pro pomocné manipulační pracovníky.</w:t>
      </w:r>
    </w:p>
    <w:p w:rsidR="00AC0848" w:rsidRPr="00E04C25" w:rsidRDefault="00E436E3" w:rsidP="00AC0848">
      <w:pPr>
        <w:pStyle w:val="Zkladntextodsazen"/>
        <w:ind w:firstLine="567"/>
        <w:rPr>
          <w:bCs/>
          <w:szCs w:val="23"/>
          <w:lang w:val="cs-CZ"/>
        </w:rPr>
      </w:pPr>
      <w:r w:rsidRPr="00E04C25">
        <w:rPr>
          <w:bCs/>
          <w:szCs w:val="23"/>
          <w:lang w:val="cs-CZ"/>
        </w:rPr>
        <w:t xml:space="preserve">Volná pracovní místa spadající do </w:t>
      </w:r>
      <w:r w:rsidRPr="00E04C25">
        <w:rPr>
          <w:b/>
          <w:bCs/>
          <w:szCs w:val="23"/>
          <w:lang w:val="cs-CZ"/>
        </w:rPr>
        <w:t xml:space="preserve">třídy 7 </w:t>
      </w:r>
      <w:r w:rsidRPr="00E04C25">
        <w:rPr>
          <w:bCs/>
          <w:szCs w:val="23"/>
          <w:lang w:val="cs-CZ"/>
        </w:rPr>
        <w:t>–</w:t>
      </w:r>
      <w:r w:rsidRPr="00E04C25">
        <w:rPr>
          <w:b/>
          <w:bCs/>
          <w:szCs w:val="23"/>
          <w:lang w:val="cs-CZ"/>
        </w:rPr>
        <w:t xml:space="preserve"> řemeslníci a opraváři</w:t>
      </w:r>
      <w:r w:rsidRPr="00E04C25">
        <w:rPr>
          <w:bCs/>
          <w:szCs w:val="23"/>
          <w:lang w:val="cs-CZ"/>
        </w:rPr>
        <w:t xml:space="preserve"> tvořila </w:t>
      </w:r>
      <w:r w:rsidRPr="00E04C25">
        <w:rPr>
          <w:b/>
          <w:bCs/>
          <w:szCs w:val="23"/>
          <w:lang w:val="cs-CZ"/>
        </w:rPr>
        <w:t>20,1 %</w:t>
      </w:r>
      <w:r w:rsidRPr="00E04C25">
        <w:rPr>
          <w:bCs/>
          <w:szCs w:val="23"/>
          <w:lang w:val="cs-CZ"/>
        </w:rPr>
        <w:t xml:space="preserve"> všech nahlášených VPM. </w:t>
      </w:r>
      <w:r w:rsidR="00864312" w:rsidRPr="00E04C25">
        <w:rPr>
          <w:bCs/>
          <w:szCs w:val="23"/>
          <w:lang w:val="cs-CZ"/>
        </w:rPr>
        <w:t>Jejich počet se zvýšil z 28,5 tis. v roce 2</w:t>
      </w:r>
      <w:r w:rsidR="00AC0848" w:rsidRPr="00E04C25">
        <w:rPr>
          <w:bCs/>
          <w:szCs w:val="23"/>
          <w:lang w:val="cs-CZ"/>
        </w:rPr>
        <w:t xml:space="preserve">016 na </w:t>
      </w:r>
      <w:r w:rsidR="00AC0848" w:rsidRPr="00E04C25">
        <w:rPr>
          <w:rFonts w:cs="Arial"/>
          <w:bCs/>
          <w:lang w:val="cs-CZ"/>
        </w:rPr>
        <w:t>46,</w:t>
      </w:r>
      <w:r w:rsidR="00794B3F" w:rsidRPr="00E04C25">
        <w:rPr>
          <w:rFonts w:cs="Arial"/>
          <w:bCs/>
          <w:lang w:val="cs-CZ"/>
        </w:rPr>
        <w:t>3</w:t>
      </w:r>
      <w:r w:rsidR="00AC0848" w:rsidRPr="00E04C25">
        <w:rPr>
          <w:rFonts w:cs="Arial"/>
          <w:bCs/>
          <w:lang w:val="cs-CZ"/>
        </w:rPr>
        <w:t xml:space="preserve"> tis., tj. o 52,6 %. Zaměstnavatelé nejvíce poptávali s</w:t>
      </w:r>
      <w:r w:rsidR="00AC0848" w:rsidRPr="00E04C25">
        <w:rPr>
          <w:rFonts w:cs="Arial"/>
          <w:lang w:val="cs-CZ"/>
        </w:rPr>
        <w:t>vářeče, řezače plamenem a páječe, seřizovače a obsluhu obráběcích strojů, nástrojaře, zedníky, kamnáře, dlaždiče a montéry suchých staveb, mechaniky a opraváře motorových vozidel, instalatéry, potrubáře, stavební zámečníky  a stavební klempíře, švadleny, šičky, vyšívače.</w:t>
      </w:r>
    </w:p>
    <w:p w:rsidR="00A22778" w:rsidRPr="00E04C25" w:rsidRDefault="00115440" w:rsidP="00115440">
      <w:pPr>
        <w:pStyle w:val="Zkladntextodsazen"/>
        <w:ind w:firstLine="567"/>
        <w:rPr>
          <w:bCs/>
          <w:szCs w:val="23"/>
          <w:lang w:val="cs-CZ"/>
        </w:rPr>
      </w:pPr>
      <w:r w:rsidRPr="00E04C25">
        <w:rPr>
          <w:bCs/>
          <w:szCs w:val="23"/>
          <w:lang w:val="cs-CZ"/>
        </w:rPr>
        <w:t xml:space="preserve">Místa </w:t>
      </w:r>
      <w:r w:rsidRPr="00E04C25">
        <w:rPr>
          <w:b/>
          <w:bCs/>
          <w:szCs w:val="23"/>
          <w:lang w:val="cs-CZ"/>
        </w:rPr>
        <w:t>pro</w:t>
      </w:r>
      <w:r w:rsidRPr="00E04C25">
        <w:rPr>
          <w:bCs/>
          <w:szCs w:val="23"/>
          <w:lang w:val="cs-CZ"/>
        </w:rPr>
        <w:t xml:space="preserve"> </w:t>
      </w:r>
      <w:r w:rsidRPr="00E04C25">
        <w:rPr>
          <w:b/>
          <w:bCs/>
          <w:szCs w:val="23"/>
          <w:lang w:val="cs-CZ"/>
        </w:rPr>
        <w:t>pracovníky ve službách a prodeji</w:t>
      </w:r>
      <w:r w:rsidRPr="00E04C25">
        <w:rPr>
          <w:bCs/>
          <w:szCs w:val="23"/>
          <w:lang w:val="cs-CZ"/>
        </w:rPr>
        <w:t xml:space="preserve"> </w:t>
      </w:r>
      <w:r w:rsidR="00864312" w:rsidRPr="00E04C25">
        <w:rPr>
          <w:bCs/>
          <w:szCs w:val="23"/>
          <w:lang w:val="cs-CZ"/>
        </w:rPr>
        <w:t xml:space="preserve">spadající do </w:t>
      </w:r>
      <w:r w:rsidR="00864312" w:rsidRPr="00E04C25">
        <w:rPr>
          <w:b/>
          <w:bCs/>
          <w:szCs w:val="23"/>
          <w:lang w:val="cs-CZ"/>
        </w:rPr>
        <w:t xml:space="preserve">třídy </w:t>
      </w:r>
      <w:r w:rsidRPr="00E04C25">
        <w:rPr>
          <w:b/>
          <w:bCs/>
          <w:szCs w:val="23"/>
          <w:lang w:val="cs-CZ"/>
        </w:rPr>
        <w:t>5</w:t>
      </w:r>
      <w:r w:rsidRPr="00E04C25">
        <w:rPr>
          <w:bCs/>
          <w:szCs w:val="23"/>
          <w:lang w:val="cs-CZ"/>
        </w:rPr>
        <w:t xml:space="preserve"> tvořila v</w:t>
      </w:r>
      <w:r w:rsidR="00864312" w:rsidRPr="00E04C25">
        <w:rPr>
          <w:bCs/>
          <w:szCs w:val="23"/>
          <w:lang w:val="cs-CZ"/>
        </w:rPr>
        <w:t> </w:t>
      </w:r>
      <w:r w:rsidRPr="00E04C25">
        <w:rPr>
          <w:bCs/>
          <w:szCs w:val="23"/>
          <w:lang w:val="cs-CZ"/>
        </w:rPr>
        <w:t xml:space="preserve">celkovém počtu volných míst </w:t>
      </w:r>
      <w:r w:rsidRPr="00E04C25">
        <w:rPr>
          <w:b/>
          <w:bCs/>
          <w:szCs w:val="23"/>
          <w:lang w:val="cs-CZ"/>
        </w:rPr>
        <w:t>1</w:t>
      </w:r>
      <w:r w:rsidR="00864312" w:rsidRPr="00E04C25">
        <w:rPr>
          <w:b/>
          <w:bCs/>
          <w:szCs w:val="23"/>
          <w:lang w:val="cs-CZ"/>
        </w:rPr>
        <w:t>1</w:t>
      </w:r>
      <w:r w:rsidRPr="00E04C25">
        <w:rPr>
          <w:b/>
          <w:bCs/>
          <w:szCs w:val="23"/>
          <w:lang w:val="cs-CZ"/>
        </w:rPr>
        <w:t>,</w:t>
      </w:r>
      <w:r w:rsidR="00864312" w:rsidRPr="00E04C25">
        <w:rPr>
          <w:b/>
          <w:bCs/>
          <w:szCs w:val="23"/>
          <w:lang w:val="cs-CZ"/>
        </w:rPr>
        <w:t>8</w:t>
      </w:r>
      <w:r w:rsidRPr="00E04C25">
        <w:rPr>
          <w:b/>
          <w:bCs/>
          <w:szCs w:val="23"/>
          <w:lang w:val="cs-CZ"/>
        </w:rPr>
        <w:t xml:space="preserve"> %, </w:t>
      </w:r>
      <w:r w:rsidRPr="00E04C25">
        <w:rPr>
          <w:bCs/>
          <w:szCs w:val="23"/>
          <w:lang w:val="cs-CZ"/>
        </w:rPr>
        <w:t xml:space="preserve">méně než před rokem. </w:t>
      </w:r>
      <w:r w:rsidR="00864312" w:rsidRPr="00E04C25">
        <w:rPr>
          <w:bCs/>
          <w:szCs w:val="23"/>
          <w:lang w:val="cs-CZ"/>
        </w:rPr>
        <w:t xml:space="preserve">V absolutním vyjádření se ovšem jejich počet zvýšil o 6,1 tis. na 25,6 tis. (o 31,2 %). </w:t>
      </w:r>
      <w:r w:rsidR="00A22778" w:rsidRPr="00E04C25">
        <w:rPr>
          <w:bCs/>
          <w:szCs w:val="23"/>
          <w:lang w:val="cs-CZ"/>
        </w:rPr>
        <w:t xml:space="preserve">Poptáváni byli </w:t>
      </w:r>
      <w:r w:rsidR="00A22778" w:rsidRPr="00E04C25">
        <w:rPr>
          <w:rFonts w:cs="Arial"/>
          <w:bCs/>
          <w:lang w:val="cs-CZ"/>
        </w:rPr>
        <w:t>zejména p</w:t>
      </w:r>
      <w:r w:rsidR="00A22778" w:rsidRPr="00E04C25">
        <w:rPr>
          <w:rFonts w:cs="Arial"/>
          <w:lang w:val="cs-CZ"/>
        </w:rPr>
        <w:t>rodavači v prodejnách, číšníci a servírky, kosmetici a pracovníci v</w:t>
      </w:r>
      <w:r w:rsidR="0083646B" w:rsidRPr="00E04C25">
        <w:rPr>
          <w:rFonts w:cs="Arial"/>
          <w:lang w:val="cs-CZ"/>
        </w:rPr>
        <w:t> </w:t>
      </w:r>
      <w:r w:rsidR="00A22778" w:rsidRPr="00E04C25">
        <w:rPr>
          <w:rFonts w:cs="Arial"/>
          <w:lang w:val="cs-CZ"/>
        </w:rPr>
        <w:t>příbuzných oborech, policisté, ošetřovatelé a pracovníci v sociálních službách v</w:t>
      </w:r>
      <w:r w:rsidR="0083646B" w:rsidRPr="00E04C25">
        <w:rPr>
          <w:rFonts w:cs="Arial"/>
          <w:lang w:val="cs-CZ"/>
        </w:rPr>
        <w:t> </w:t>
      </w:r>
      <w:r w:rsidR="00A22778" w:rsidRPr="00E04C25">
        <w:rPr>
          <w:rFonts w:cs="Arial"/>
          <w:lang w:val="cs-CZ"/>
        </w:rPr>
        <w:t>oblasti pobytové péče, pracovníci osobní péče ve zdravotní a sociální oblasti.</w:t>
      </w:r>
    </w:p>
    <w:p w:rsidR="00A22778" w:rsidRPr="00E04C25" w:rsidRDefault="00671283" w:rsidP="00A22778">
      <w:pPr>
        <w:pStyle w:val="Zkladntextodsazen"/>
        <w:ind w:firstLine="567"/>
        <w:rPr>
          <w:rFonts w:cs="Arial"/>
          <w:lang w:val="cs-CZ"/>
        </w:rPr>
      </w:pPr>
      <w:r w:rsidRPr="00E04C25">
        <w:rPr>
          <w:rFonts w:cs="Arial"/>
          <w:bCs/>
          <w:lang w:val="cs-CZ"/>
        </w:rPr>
        <w:t>Z početně menších skupin zaměstnání lze uvést ještě VPM spadající do třídy 2 – specialisté, kde byla největší poptávk</w:t>
      </w:r>
      <w:r w:rsidR="0083646B" w:rsidRPr="00E04C25">
        <w:rPr>
          <w:rFonts w:cs="Arial"/>
          <w:bCs/>
          <w:lang w:val="cs-CZ"/>
        </w:rPr>
        <w:t>a</w:t>
      </w:r>
      <w:r w:rsidRPr="00E04C25">
        <w:rPr>
          <w:rFonts w:cs="Arial"/>
          <w:bCs/>
          <w:lang w:val="cs-CZ"/>
        </w:rPr>
        <w:t xml:space="preserve"> po </w:t>
      </w:r>
      <w:r w:rsidR="00A22778" w:rsidRPr="00E04C25">
        <w:rPr>
          <w:rFonts w:cs="Arial"/>
          <w:bCs/>
          <w:lang w:val="cs-CZ"/>
        </w:rPr>
        <w:t>v</w:t>
      </w:r>
      <w:r w:rsidR="00A22778" w:rsidRPr="00E04C25">
        <w:rPr>
          <w:rFonts w:cs="Arial"/>
          <w:lang w:val="cs-CZ"/>
        </w:rPr>
        <w:t>ývojářích softwaru</w:t>
      </w:r>
      <w:r w:rsidR="00A22778" w:rsidRPr="00E04C25">
        <w:rPr>
          <w:rFonts w:cs="Arial"/>
          <w:bCs/>
          <w:lang w:val="cs-CZ"/>
        </w:rPr>
        <w:t>, p</w:t>
      </w:r>
      <w:r w:rsidR="00A22778" w:rsidRPr="00E04C25">
        <w:rPr>
          <w:rFonts w:cs="Arial"/>
          <w:lang w:val="cs-CZ"/>
        </w:rPr>
        <w:t>rogramátorech</w:t>
      </w:r>
      <w:r w:rsidR="00D6283A" w:rsidRPr="00E04C25">
        <w:rPr>
          <w:rFonts w:cs="Arial"/>
          <w:lang w:val="cs-CZ"/>
        </w:rPr>
        <w:t xml:space="preserve"> počítačových aplikací</w:t>
      </w:r>
      <w:r w:rsidR="00A22778" w:rsidRPr="00E04C25">
        <w:rPr>
          <w:rFonts w:cs="Arial"/>
          <w:lang w:val="cs-CZ"/>
        </w:rPr>
        <w:t>, lékařích specialistech</w:t>
      </w:r>
      <w:r w:rsidR="00A22778" w:rsidRPr="00E04C25">
        <w:rPr>
          <w:rFonts w:cs="Arial"/>
          <w:bCs/>
          <w:lang w:val="cs-CZ"/>
        </w:rPr>
        <w:t xml:space="preserve">, </w:t>
      </w:r>
      <w:r w:rsidR="00A22778" w:rsidRPr="00E04C25">
        <w:rPr>
          <w:rFonts w:cs="Arial"/>
          <w:lang w:val="cs-CZ"/>
        </w:rPr>
        <w:t>zubních lékařích, strojních inženýrech</w:t>
      </w:r>
      <w:r w:rsidR="00A22778" w:rsidRPr="00E04C25">
        <w:rPr>
          <w:rFonts w:cs="Arial"/>
          <w:bCs/>
          <w:lang w:val="cs-CZ"/>
        </w:rPr>
        <w:t>, f</w:t>
      </w:r>
      <w:r w:rsidR="00A22778" w:rsidRPr="00E04C25">
        <w:rPr>
          <w:rFonts w:cs="Arial"/>
          <w:lang w:val="cs-CZ"/>
        </w:rPr>
        <w:t xml:space="preserve">inančních a investičních poradcích, </w:t>
      </w:r>
      <w:r w:rsidRPr="00E04C25">
        <w:rPr>
          <w:rFonts w:cs="Arial"/>
          <w:bCs/>
          <w:lang w:val="cs-CZ"/>
        </w:rPr>
        <w:t>a do třídy 3 – techn</w:t>
      </w:r>
      <w:r w:rsidR="00663BB7" w:rsidRPr="00E04C25">
        <w:rPr>
          <w:rFonts w:cs="Arial"/>
          <w:bCs/>
          <w:lang w:val="cs-CZ"/>
        </w:rPr>
        <w:t>i</w:t>
      </w:r>
      <w:r w:rsidRPr="00E04C25">
        <w:rPr>
          <w:rFonts w:cs="Arial"/>
          <w:bCs/>
          <w:lang w:val="cs-CZ"/>
        </w:rPr>
        <w:t>čtí a</w:t>
      </w:r>
      <w:r w:rsidR="00663BB7" w:rsidRPr="00E04C25">
        <w:rPr>
          <w:rFonts w:cs="Arial"/>
          <w:bCs/>
          <w:lang w:val="cs-CZ"/>
        </w:rPr>
        <w:t> </w:t>
      </w:r>
      <w:r w:rsidRPr="00E04C25">
        <w:rPr>
          <w:rFonts w:cs="Arial"/>
          <w:bCs/>
          <w:lang w:val="cs-CZ"/>
        </w:rPr>
        <w:t xml:space="preserve">odborní pracovníci, kde nejvíce míst tvořila místa pro </w:t>
      </w:r>
      <w:r w:rsidR="00A22778" w:rsidRPr="00E04C25">
        <w:rPr>
          <w:rFonts w:cs="Arial"/>
          <w:bCs/>
          <w:lang w:val="cs-CZ"/>
        </w:rPr>
        <w:t>v</w:t>
      </w:r>
      <w:r w:rsidR="00A22778" w:rsidRPr="00E04C25">
        <w:rPr>
          <w:rFonts w:cs="Arial"/>
          <w:lang w:val="cs-CZ"/>
        </w:rPr>
        <w:t xml:space="preserve">šeobecné sestry bez specializace, obchodní zástupce a strojírenské techniky. </w:t>
      </w:r>
    </w:p>
    <w:p w:rsidR="00115440" w:rsidRPr="00E04C25" w:rsidRDefault="00A22778" w:rsidP="00A42CAE">
      <w:pPr>
        <w:pStyle w:val="Zkladntextodsazen"/>
        <w:spacing w:line="240" w:lineRule="auto"/>
        <w:ind w:left="7082"/>
        <w:jc w:val="right"/>
        <w:rPr>
          <w:bCs/>
          <w:sz w:val="20"/>
          <w:szCs w:val="20"/>
          <w:lang w:val="cs-CZ"/>
        </w:rPr>
      </w:pPr>
      <w:r w:rsidRPr="00E04C25">
        <w:rPr>
          <w:bCs/>
          <w:sz w:val="20"/>
          <w:szCs w:val="20"/>
          <w:lang w:val="cs-CZ"/>
        </w:rPr>
        <w:br w:type="column"/>
      </w:r>
      <w:r w:rsidR="00115440" w:rsidRPr="00E04C25">
        <w:rPr>
          <w:bCs/>
          <w:sz w:val="20"/>
          <w:szCs w:val="20"/>
          <w:lang w:val="cs-CZ"/>
        </w:rPr>
        <w:lastRenderedPageBreak/>
        <w:t xml:space="preserve">graf. č. </w:t>
      </w:r>
      <w:r w:rsidR="006D5548" w:rsidRPr="00E04C25">
        <w:rPr>
          <w:bCs/>
          <w:sz w:val="20"/>
          <w:szCs w:val="20"/>
          <w:lang w:val="cs-CZ"/>
        </w:rPr>
        <w:t>8</w:t>
      </w:r>
    </w:p>
    <w:p w:rsidR="00115440" w:rsidRPr="00E04C25" w:rsidRDefault="005D2804" w:rsidP="00115440">
      <w:pPr>
        <w:pStyle w:val="Zkladntextodsazen"/>
        <w:ind w:firstLine="0"/>
        <w:jc w:val="center"/>
        <w:rPr>
          <w:bCs/>
          <w:szCs w:val="23"/>
          <w:lang w:val="cs-CZ"/>
        </w:rPr>
      </w:pPr>
      <w:r w:rsidRPr="00E04C25">
        <w:rPr>
          <w:noProof/>
          <w:lang w:val="cs-CZ" w:eastAsia="cs-CZ"/>
        </w:rPr>
        <w:drawing>
          <wp:inline distT="0" distB="0" distL="0" distR="0">
            <wp:extent cx="5800725" cy="3238500"/>
            <wp:effectExtent l="0" t="0" r="9525" b="19050"/>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5440" w:rsidRPr="00E04C25" w:rsidRDefault="00115440" w:rsidP="00115440">
      <w:pPr>
        <w:pStyle w:val="Zkladntextodsazen"/>
        <w:spacing w:line="240" w:lineRule="auto"/>
        <w:ind w:firstLine="539"/>
        <w:rPr>
          <w:bCs/>
          <w:sz w:val="16"/>
          <w:szCs w:val="16"/>
          <w:lang w:val="cs-CZ"/>
        </w:rPr>
      </w:pPr>
    </w:p>
    <w:p w:rsidR="00115440" w:rsidRPr="00E04C25" w:rsidRDefault="00115440" w:rsidP="00115440">
      <w:pPr>
        <w:pStyle w:val="Zkladntextodsazen"/>
        <w:ind w:firstLine="567"/>
        <w:rPr>
          <w:lang w:val="cs-CZ"/>
        </w:rPr>
      </w:pPr>
      <w:r w:rsidRPr="00E04C25">
        <w:rPr>
          <w:b/>
          <w:lang w:val="cs-CZ"/>
        </w:rPr>
        <w:t>Nejvyšší převis nabídky</w:t>
      </w:r>
      <w:r w:rsidRPr="00E04C25">
        <w:rPr>
          <w:lang w:val="cs-CZ"/>
        </w:rPr>
        <w:t xml:space="preserve"> </w:t>
      </w:r>
      <w:r w:rsidRPr="00E04C25">
        <w:rPr>
          <w:b/>
          <w:lang w:val="cs-CZ"/>
        </w:rPr>
        <w:t xml:space="preserve">práce </w:t>
      </w:r>
      <w:r w:rsidRPr="00E04C25">
        <w:rPr>
          <w:lang w:val="cs-CZ"/>
        </w:rPr>
        <w:t xml:space="preserve">nad poptávkou po pracovnících je patrný </w:t>
      </w:r>
      <w:r w:rsidRPr="00E04C25">
        <w:rPr>
          <w:b/>
          <w:lang w:val="cs-CZ"/>
        </w:rPr>
        <w:t>ve třídě 4 – úředníci</w:t>
      </w:r>
      <w:r w:rsidRPr="00E04C25">
        <w:rPr>
          <w:lang w:val="cs-CZ"/>
        </w:rPr>
        <w:t xml:space="preserve"> (</w:t>
      </w:r>
      <w:r w:rsidR="00CE5DDC" w:rsidRPr="00E04C25">
        <w:rPr>
          <w:lang w:val="cs-CZ"/>
        </w:rPr>
        <w:t>4</w:t>
      </w:r>
      <w:r w:rsidRPr="00E04C25">
        <w:rPr>
          <w:lang w:val="cs-CZ"/>
        </w:rPr>
        <w:t>,</w:t>
      </w:r>
      <w:r w:rsidR="00CE5DDC" w:rsidRPr="00E04C25">
        <w:rPr>
          <w:lang w:val="cs-CZ"/>
        </w:rPr>
        <w:t>7</w:t>
      </w:r>
      <w:r w:rsidRPr="00E04C25">
        <w:rPr>
          <w:lang w:val="cs-CZ"/>
        </w:rPr>
        <w:t xml:space="preserve"> UoZ na 1 VPM)</w:t>
      </w:r>
      <w:r w:rsidR="00CE5DDC" w:rsidRPr="00E04C25">
        <w:rPr>
          <w:lang w:val="cs-CZ"/>
        </w:rPr>
        <w:t xml:space="preserve">. Ve </w:t>
      </w:r>
      <w:r w:rsidR="00CE5DDC" w:rsidRPr="00E04C25">
        <w:rPr>
          <w:b/>
          <w:lang w:val="cs-CZ"/>
        </w:rPr>
        <w:t>třídách 2, 7 a 8 převyšuje poptávka po pracovnících počty UoZ</w:t>
      </w:r>
      <w:r w:rsidR="00CE5DDC" w:rsidRPr="00E04C25">
        <w:rPr>
          <w:lang w:val="cs-CZ"/>
        </w:rPr>
        <w:t xml:space="preserve"> evidovaných na ÚP ČR.</w:t>
      </w:r>
    </w:p>
    <w:p w:rsidR="00115440" w:rsidRPr="00E04C25" w:rsidRDefault="00115440" w:rsidP="00A42CAE">
      <w:pPr>
        <w:pStyle w:val="Zkladntextodsazen"/>
        <w:spacing w:line="240" w:lineRule="auto"/>
        <w:ind w:firstLine="539"/>
        <w:jc w:val="right"/>
        <w:rPr>
          <w:bCs/>
          <w:sz w:val="20"/>
          <w:szCs w:val="20"/>
          <w:lang w:val="cs-CZ"/>
        </w:rPr>
      </w:pPr>
      <w:r w:rsidRPr="00E04C25">
        <w:rPr>
          <w:bCs/>
          <w:sz w:val="20"/>
          <w:szCs w:val="20"/>
          <w:lang w:val="cs-CZ"/>
        </w:rPr>
        <w:t xml:space="preserve"> </w:t>
      </w:r>
      <w:r w:rsidRPr="00E04C25">
        <w:rPr>
          <w:bCs/>
          <w:sz w:val="20"/>
          <w:szCs w:val="20"/>
          <w:lang w:val="cs-CZ"/>
        </w:rPr>
        <w:tab/>
      </w:r>
      <w:r w:rsidRPr="00E04C25">
        <w:rPr>
          <w:bCs/>
          <w:sz w:val="20"/>
          <w:szCs w:val="20"/>
          <w:lang w:val="cs-CZ"/>
        </w:rPr>
        <w:tab/>
      </w:r>
      <w:r w:rsidRPr="00E04C25">
        <w:rPr>
          <w:bCs/>
          <w:sz w:val="20"/>
          <w:szCs w:val="20"/>
          <w:lang w:val="cs-CZ"/>
        </w:rPr>
        <w:tab/>
      </w:r>
      <w:r w:rsidRPr="00E04C25">
        <w:rPr>
          <w:bCs/>
          <w:sz w:val="20"/>
          <w:szCs w:val="20"/>
          <w:lang w:val="cs-CZ"/>
        </w:rPr>
        <w:tab/>
      </w:r>
      <w:r w:rsidRPr="00E04C25">
        <w:rPr>
          <w:bCs/>
          <w:sz w:val="20"/>
          <w:szCs w:val="20"/>
          <w:lang w:val="cs-CZ"/>
        </w:rPr>
        <w:tab/>
      </w:r>
      <w:r w:rsidRPr="00E04C25">
        <w:rPr>
          <w:bCs/>
          <w:sz w:val="20"/>
          <w:szCs w:val="20"/>
          <w:lang w:val="cs-CZ"/>
        </w:rPr>
        <w:tab/>
      </w:r>
      <w:r w:rsidRPr="00E04C25">
        <w:rPr>
          <w:bCs/>
          <w:sz w:val="20"/>
          <w:szCs w:val="20"/>
          <w:lang w:val="cs-CZ"/>
        </w:rPr>
        <w:tab/>
      </w:r>
      <w:r w:rsidRPr="00E04C25">
        <w:rPr>
          <w:bCs/>
          <w:sz w:val="20"/>
          <w:szCs w:val="20"/>
          <w:lang w:val="cs-CZ"/>
        </w:rPr>
        <w:tab/>
      </w:r>
      <w:r w:rsidRPr="00E04C25">
        <w:rPr>
          <w:bCs/>
          <w:sz w:val="20"/>
          <w:szCs w:val="20"/>
          <w:lang w:val="cs-CZ"/>
        </w:rPr>
        <w:tab/>
      </w:r>
      <w:r w:rsidRPr="00E04C25">
        <w:rPr>
          <w:bCs/>
          <w:sz w:val="20"/>
          <w:szCs w:val="20"/>
          <w:lang w:val="cs-CZ"/>
        </w:rPr>
        <w:tab/>
      </w:r>
      <w:r w:rsidRPr="00E04C25">
        <w:rPr>
          <w:bCs/>
          <w:sz w:val="20"/>
          <w:szCs w:val="20"/>
          <w:lang w:val="cs-CZ"/>
        </w:rPr>
        <w:tab/>
        <w:t xml:space="preserve">     graf. č. </w:t>
      </w:r>
      <w:r w:rsidR="006D5548" w:rsidRPr="00E04C25">
        <w:rPr>
          <w:bCs/>
          <w:sz w:val="20"/>
          <w:szCs w:val="20"/>
          <w:lang w:val="cs-CZ"/>
        </w:rPr>
        <w:t>9</w:t>
      </w:r>
    </w:p>
    <w:p w:rsidR="00115440" w:rsidRPr="00E04C25" w:rsidRDefault="005D2804" w:rsidP="00115440">
      <w:pPr>
        <w:pStyle w:val="Zkladntextodsazen"/>
        <w:ind w:firstLine="0"/>
        <w:jc w:val="center"/>
        <w:rPr>
          <w:bCs/>
          <w:szCs w:val="23"/>
        </w:rPr>
      </w:pPr>
      <w:r w:rsidRPr="00E04C25">
        <w:rPr>
          <w:noProof/>
          <w:lang w:val="cs-CZ" w:eastAsia="cs-CZ"/>
        </w:rPr>
        <w:drawing>
          <wp:inline distT="0" distB="0" distL="0" distR="0">
            <wp:extent cx="5800725" cy="3324225"/>
            <wp:effectExtent l="0" t="0" r="9525" b="9525"/>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5440" w:rsidRPr="00E04C25" w:rsidRDefault="00115440" w:rsidP="00115440">
      <w:pPr>
        <w:pStyle w:val="Zkladntextodsazen"/>
        <w:ind w:firstLine="567"/>
        <w:rPr>
          <w:b/>
          <w:sz w:val="16"/>
          <w:szCs w:val="16"/>
          <w:lang w:val="cs-CZ"/>
        </w:rPr>
      </w:pPr>
    </w:p>
    <w:p w:rsidR="00304111" w:rsidRPr="00E04C25" w:rsidRDefault="00304111" w:rsidP="00115440">
      <w:pPr>
        <w:spacing w:line="360" w:lineRule="auto"/>
        <w:ind w:firstLine="567"/>
        <w:jc w:val="both"/>
        <w:rPr>
          <w:rFonts w:ascii="Arial" w:hAnsi="Arial" w:cs="Arial"/>
        </w:rPr>
      </w:pPr>
      <w:r w:rsidRPr="00E04C25">
        <w:rPr>
          <w:rFonts w:ascii="Arial" w:hAnsi="Arial" w:cs="Arial"/>
        </w:rPr>
        <w:t>Významná část nově vytvářených pracovních míst jsou pracovní pozice vyžadující nízké vzdělání. Ke konci roku 2017 tvořila pracovní místa s požadavkem na nejvýše dosažené základní vzdělání (</w:t>
      </w:r>
      <w:r w:rsidRPr="00E04C25">
        <w:rPr>
          <w:rFonts w:ascii="Arial" w:hAnsi="Arial" w:cs="Arial"/>
          <w:bCs/>
          <w:szCs w:val="23"/>
        </w:rPr>
        <w:t>pomocní a nekvalifikovaní pracovníci</w:t>
      </w:r>
      <w:r w:rsidRPr="00E04C25">
        <w:rPr>
          <w:rFonts w:ascii="Arial" w:hAnsi="Arial" w:cs="Arial"/>
        </w:rPr>
        <w:t xml:space="preserve">) téměř </w:t>
      </w:r>
      <w:r w:rsidRPr="00E04C25">
        <w:rPr>
          <w:rFonts w:ascii="Arial" w:hAnsi="Arial" w:cs="Arial"/>
        </w:rPr>
        <w:lastRenderedPageBreak/>
        <w:t xml:space="preserve">33 % VPM neobsazených méně jak 3 měsíce, což neodpovídá vzdělanostní struktuře pracovní síly a zároveň se jedná o pozice, které ve středně dobém výhledu mohou být ohroženy zánikem v důsledku dopadů 4. průmyslové revoluce. Na straně druhé je v některých profesích s požadavky na střední až vyšší kvalifikaci sledován nárůst podílu dlouhodobě neobsazených pracovních míst, a to i při relativním dostatku volné pracovní síly s touto kvalifikací. V závěru roku 2017 bylo déle než 6 měsíců neobsazeno </w:t>
      </w:r>
      <w:r w:rsidR="00D7632D" w:rsidRPr="00E04C25">
        <w:rPr>
          <w:rFonts w:ascii="Arial" w:hAnsi="Arial" w:cs="Arial"/>
        </w:rPr>
        <w:t>více než 50</w:t>
      </w:r>
      <w:r w:rsidRPr="00E04C25">
        <w:rPr>
          <w:rFonts w:ascii="Arial" w:hAnsi="Arial" w:cs="Arial"/>
        </w:rPr>
        <w:t> % hlášených VPM v</w:t>
      </w:r>
      <w:r w:rsidR="00D7632D" w:rsidRPr="00E04C25">
        <w:rPr>
          <w:rFonts w:ascii="Arial" w:hAnsi="Arial" w:cs="Arial"/>
        </w:rPr>
        <w:t xml:space="preserve"> hl. </w:t>
      </w:r>
      <w:r w:rsidRPr="00E04C25">
        <w:rPr>
          <w:rFonts w:ascii="Arial" w:hAnsi="Arial" w:cs="Arial"/>
        </w:rPr>
        <w:t>třídách řemeslníci a opraváři a</w:t>
      </w:r>
      <w:r w:rsidR="00453100">
        <w:rPr>
          <w:rFonts w:ascii="Arial" w:hAnsi="Arial" w:cs="Arial"/>
        </w:rPr>
        <w:t> </w:t>
      </w:r>
      <w:r w:rsidRPr="00E04C25">
        <w:rPr>
          <w:rFonts w:ascii="Arial" w:hAnsi="Arial" w:cs="Arial"/>
        </w:rPr>
        <w:t>specialisté, přičemž UoZ se střední kvalifikací, středoškolským vzděláním, byly nejčastěji zastoupenou skupinou mezi UoZ). Tyto skutečnosti ukazují na kvalifikační nesoulad na trhu práce, který se při všeobecném nedostatku pracovní síly, může stát limitujícím faktorem dalšího rozvoje trhu práce</w:t>
      </w:r>
      <w:r w:rsidR="00D7632D" w:rsidRPr="00E04C25">
        <w:rPr>
          <w:rFonts w:ascii="Arial" w:hAnsi="Arial" w:cs="Arial"/>
        </w:rPr>
        <w:t>.</w:t>
      </w:r>
      <w:r w:rsidRPr="00E04C25">
        <w:rPr>
          <w:rFonts w:ascii="Arial" w:hAnsi="Arial" w:cs="Arial"/>
        </w:rPr>
        <w:t xml:space="preserve"> </w:t>
      </w:r>
    </w:p>
    <w:p w:rsidR="00115440" w:rsidRPr="00E04C25" w:rsidRDefault="00115440" w:rsidP="00115440">
      <w:pPr>
        <w:spacing w:line="360" w:lineRule="auto"/>
        <w:ind w:firstLine="567"/>
        <w:jc w:val="both"/>
        <w:rPr>
          <w:rFonts w:ascii="Arial" w:hAnsi="Arial" w:cs="Arial"/>
        </w:rPr>
      </w:pPr>
      <w:r w:rsidRPr="00E04C25">
        <w:rPr>
          <w:rFonts w:ascii="Arial" w:hAnsi="Arial" w:cs="Arial"/>
        </w:rPr>
        <w:t xml:space="preserve">V souvislosti s významně rostoucí poptávkou po pracovní síle MPSV ve spolupráci s ÚP ČR </w:t>
      </w:r>
      <w:r w:rsidR="00CE5DDC" w:rsidRPr="00E04C25">
        <w:rPr>
          <w:rFonts w:ascii="Arial" w:hAnsi="Arial" w:cs="Arial"/>
        </w:rPr>
        <w:t xml:space="preserve">zpracovává </w:t>
      </w:r>
      <w:r w:rsidRPr="00E04C25">
        <w:rPr>
          <w:rFonts w:ascii="Arial" w:hAnsi="Arial" w:cs="Arial"/>
        </w:rPr>
        <w:t>samostatný podrobný materiál „Analýza nabídky a</w:t>
      </w:r>
      <w:r w:rsidR="00D570FF" w:rsidRPr="00E04C25">
        <w:rPr>
          <w:rFonts w:ascii="Arial" w:hAnsi="Arial" w:cs="Arial"/>
        </w:rPr>
        <w:t> </w:t>
      </w:r>
      <w:r w:rsidRPr="00E04C25">
        <w:rPr>
          <w:rFonts w:ascii="Arial" w:hAnsi="Arial" w:cs="Arial"/>
        </w:rPr>
        <w:t xml:space="preserve">poptávky na trhu práce“, který rozebírá nejzávažnější problémy související s problematikou nesouladu poptávky a nabídky na trhu práce, specifika nejčastěji poptávaných profesí zaměstnavateli, bariéry přijetí zaměstnání na straně nejpočetnějších skupin uchazečů o zaměstnání, popis struktury dlouhodobě nezaměstnaných osob, jako i návrhy opatření v oblastech podpory vyššího souladu nabídky a poptávky na trhu práce. Materiál je v pravidelných intervalech vyhodnocován a předkládán členům vlády pro informaci. </w:t>
      </w:r>
    </w:p>
    <w:p w:rsidR="00115440" w:rsidRPr="00E04C25" w:rsidRDefault="00115440" w:rsidP="00115440">
      <w:pPr>
        <w:pStyle w:val="Seznam"/>
        <w:ind w:left="0" w:firstLine="709"/>
        <w:jc w:val="both"/>
        <w:rPr>
          <w:rFonts w:ascii="Arial" w:hAnsi="Arial" w:cs="Arial"/>
        </w:rPr>
      </w:pPr>
    </w:p>
    <w:p w:rsidR="00115440" w:rsidRPr="00E04C25" w:rsidRDefault="00115440" w:rsidP="00115440">
      <w:pPr>
        <w:pStyle w:val="Styl5"/>
        <w:numPr>
          <w:ilvl w:val="0"/>
          <w:numId w:val="11"/>
        </w:numPr>
        <w:tabs>
          <w:tab w:val="clear" w:pos="720"/>
          <w:tab w:val="center" w:pos="900"/>
        </w:tabs>
        <w:spacing w:line="480" w:lineRule="auto"/>
        <w:ind w:hanging="2442"/>
        <w:rPr>
          <w:color w:val="auto"/>
        </w:rPr>
      </w:pPr>
      <w:bookmarkStart w:id="116" w:name="_Toc400528526"/>
      <w:bookmarkStart w:id="117" w:name="_Toc404672667"/>
      <w:bookmarkStart w:id="118" w:name="_Toc513198679"/>
      <w:r w:rsidRPr="00E04C25">
        <w:rPr>
          <w:color w:val="auto"/>
        </w:rPr>
        <w:t>Toky nezaměstnanosti</w:t>
      </w:r>
      <w:bookmarkEnd w:id="116"/>
      <w:bookmarkEnd w:id="117"/>
      <w:bookmarkEnd w:id="118"/>
    </w:p>
    <w:p w:rsidR="00115440" w:rsidRPr="00E04C25" w:rsidRDefault="00CE5DDC" w:rsidP="00115440">
      <w:pPr>
        <w:pStyle w:val="Zkladntext"/>
        <w:spacing w:line="360" w:lineRule="auto"/>
        <w:ind w:firstLine="709"/>
        <w:rPr>
          <w:rFonts w:eastAsiaTheme="minorHAnsi" w:cs="Arial"/>
          <w:color w:val="auto"/>
          <w:lang w:val="cs-CZ" w:eastAsia="cs-CZ"/>
        </w:rPr>
      </w:pPr>
      <w:r w:rsidRPr="00E04C25">
        <w:rPr>
          <w:rFonts w:eastAsiaTheme="minorHAnsi" w:cs="Arial"/>
          <w:color w:val="auto"/>
          <w:lang w:val="cs-CZ" w:eastAsia="cs-CZ"/>
        </w:rPr>
        <w:t>Vývoj a</w:t>
      </w:r>
      <w:r w:rsidR="00115440" w:rsidRPr="00E04C25">
        <w:rPr>
          <w:rFonts w:eastAsiaTheme="minorHAnsi" w:cs="Arial"/>
          <w:color w:val="auto"/>
          <w:lang w:val="cs-CZ" w:eastAsia="cs-CZ"/>
        </w:rPr>
        <w:t>bsolutní</w:t>
      </w:r>
      <w:r w:rsidRPr="00E04C25">
        <w:rPr>
          <w:rFonts w:eastAsiaTheme="minorHAnsi" w:cs="Arial"/>
          <w:color w:val="auto"/>
          <w:lang w:val="cs-CZ" w:eastAsia="cs-CZ"/>
        </w:rPr>
        <w:t>ch</w:t>
      </w:r>
      <w:r w:rsidR="00115440" w:rsidRPr="00E04C25">
        <w:rPr>
          <w:rFonts w:eastAsiaTheme="minorHAnsi" w:cs="Arial"/>
          <w:color w:val="auto"/>
          <w:lang w:val="cs-CZ" w:eastAsia="cs-CZ"/>
        </w:rPr>
        <w:t xml:space="preserve"> přírůstk</w:t>
      </w:r>
      <w:r w:rsidRPr="00E04C25">
        <w:rPr>
          <w:rFonts w:eastAsiaTheme="minorHAnsi" w:cs="Arial"/>
          <w:color w:val="auto"/>
          <w:lang w:val="cs-CZ" w:eastAsia="cs-CZ"/>
        </w:rPr>
        <w:t>ů</w:t>
      </w:r>
      <w:r w:rsidR="00115440" w:rsidRPr="00E04C25">
        <w:rPr>
          <w:rFonts w:eastAsiaTheme="minorHAnsi" w:cs="Arial"/>
          <w:color w:val="auto"/>
          <w:lang w:val="cs-CZ" w:eastAsia="cs-CZ"/>
        </w:rPr>
        <w:t xml:space="preserve"> a úbytk</w:t>
      </w:r>
      <w:r w:rsidRPr="00E04C25">
        <w:rPr>
          <w:rFonts w:eastAsiaTheme="minorHAnsi" w:cs="Arial"/>
          <w:color w:val="auto"/>
          <w:lang w:val="cs-CZ" w:eastAsia="cs-CZ"/>
        </w:rPr>
        <w:t>ů</w:t>
      </w:r>
      <w:r w:rsidR="00115440" w:rsidRPr="00E04C25">
        <w:rPr>
          <w:rFonts w:eastAsiaTheme="minorHAnsi" w:cs="Arial"/>
          <w:color w:val="auto"/>
          <w:lang w:val="cs-CZ" w:eastAsia="cs-CZ"/>
        </w:rPr>
        <w:t xml:space="preserve"> uchazečů o zaměstnání v evidenci ÚP ČR v období let 200</w:t>
      </w:r>
      <w:r w:rsidRPr="00E04C25">
        <w:rPr>
          <w:rFonts w:eastAsiaTheme="minorHAnsi" w:cs="Arial"/>
          <w:color w:val="auto"/>
          <w:lang w:val="cs-CZ" w:eastAsia="cs-CZ"/>
        </w:rPr>
        <w:t>8</w:t>
      </w:r>
      <w:r w:rsidR="00115440" w:rsidRPr="00E04C25">
        <w:rPr>
          <w:rFonts w:eastAsiaTheme="minorHAnsi" w:cs="Arial"/>
          <w:color w:val="auto"/>
          <w:lang w:val="cs-CZ" w:eastAsia="cs-CZ"/>
        </w:rPr>
        <w:t> – 201</w:t>
      </w:r>
      <w:r w:rsidRPr="00E04C25">
        <w:rPr>
          <w:rFonts w:eastAsiaTheme="minorHAnsi" w:cs="Arial"/>
          <w:color w:val="auto"/>
          <w:lang w:val="cs-CZ" w:eastAsia="cs-CZ"/>
        </w:rPr>
        <w:t>7</w:t>
      </w:r>
      <w:r w:rsidR="00115440" w:rsidRPr="00E04C25">
        <w:rPr>
          <w:rFonts w:eastAsiaTheme="minorHAnsi" w:cs="Arial"/>
          <w:color w:val="auto"/>
          <w:lang w:val="cs-CZ" w:eastAsia="cs-CZ"/>
        </w:rPr>
        <w:t xml:space="preserve"> znázorňuje graf</w:t>
      </w:r>
      <w:r w:rsidR="00D7632D" w:rsidRPr="00E04C25">
        <w:rPr>
          <w:rFonts w:eastAsiaTheme="minorHAnsi" w:cs="Arial"/>
          <w:color w:val="auto"/>
          <w:lang w:val="cs-CZ" w:eastAsia="cs-CZ"/>
        </w:rPr>
        <w:t xml:space="preserve"> č. 10</w:t>
      </w:r>
      <w:r w:rsidR="00115440" w:rsidRPr="00E04C25">
        <w:rPr>
          <w:rFonts w:eastAsiaTheme="minorHAnsi" w:cs="Arial"/>
          <w:color w:val="auto"/>
          <w:lang w:val="cs-CZ" w:eastAsia="cs-CZ"/>
        </w:rPr>
        <w:t>.</w:t>
      </w:r>
    </w:p>
    <w:p w:rsidR="00D7632D" w:rsidRPr="00E04C25" w:rsidRDefault="00D7632D" w:rsidP="00D7632D">
      <w:pPr>
        <w:pStyle w:val="Zkladntext"/>
        <w:spacing w:line="360" w:lineRule="auto"/>
        <w:ind w:firstLine="567"/>
        <w:rPr>
          <w:color w:val="auto"/>
          <w:lang w:val="cs-CZ"/>
        </w:rPr>
      </w:pPr>
      <w:r w:rsidRPr="00E04C25">
        <w:rPr>
          <w:b/>
          <w:color w:val="auto"/>
          <w:lang w:val="cs-CZ"/>
        </w:rPr>
        <w:t>V</w:t>
      </w:r>
      <w:r w:rsidRPr="00E04C25">
        <w:rPr>
          <w:b/>
          <w:color w:val="auto"/>
        </w:rPr>
        <w:t> </w:t>
      </w:r>
      <w:r w:rsidRPr="00E04C25">
        <w:rPr>
          <w:b/>
          <w:color w:val="auto"/>
          <w:lang w:val="cs-CZ"/>
        </w:rPr>
        <w:t xml:space="preserve">roce </w:t>
      </w:r>
      <w:r w:rsidRPr="00E04C25">
        <w:rPr>
          <w:b/>
          <w:color w:val="auto"/>
        </w:rPr>
        <w:t>201</w:t>
      </w:r>
      <w:r w:rsidRPr="00E04C25">
        <w:rPr>
          <w:b/>
          <w:color w:val="auto"/>
          <w:lang w:val="cs-CZ"/>
        </w:rPr>
        <w:t>7</w:t>
      </w:r>
      <w:r w:rsidRPr="00E04C25">
        <w:rPr>
          <w:color w:val="auto"/>
        </w:rPr>
        <w:t xml:space="preserve"> </w:t>
      </w:r>
      <w:r w:rsidRPr="00E04C25">
        <w:rPr>
          <w:b/>
          <w:color w:val="auto"/>
        </w:rPr>
        <w:t>se</w:t>
      </w:r>
      <w:r w:rsidRPr="00E04C25">
        <w:rPr>
          <w:color w:val="auto"/>
        </w:rPr>
        <w:t xml:space="preserve"> </w:t>
      </w:r>
      <w:r w:rsidRPr="00E04C25">
        <w:rPr>
          <w:color w:val="auto"/>
          <w:lang w:val="cs-CZ"/>
        </w:rPr>
        <w:t>d</w:t>
      </w:r>
      <w:r w:rsidRPr="00E04C25">
        <w:rPr>
          <w:color w:val="auto"/>
        </w:rPr>
        <w:t>o evidence ÚP</w:t>
      </w:r>
      <w:r w:rsidRPr="00E04C25">
        <w:rPr>
          <w:color w:val="auto"/>
          <w:lang w:val="cs-CZ"/>
        </w:rPr>
        <w:t> ČR</w:t>
      </w:r>
      <w:r w:rsidRPr="00E04C25">
        <w:rPr>
          <w:color w:val="auto"/>
        </w:rPr>
        <w:t xml:space="preserve"> </w:t>
      </w:r>
      <w:r w:rsidRPr="00E04C25">
        <w:rPr>
          <w:b/>
          <w:color w:val="auto"/>
        </w:rPr>
        <w:t>nově za</w:t>
      </w:r>
      <w:r w:rsidRPr="00E04C25">
        <w:rPr>
          <w:b/>
          <w:color w:val="auto"/>
          <w:lang w:val="cs-CZ"/>
        </w:rPr>
        <w:t>evidova</w:t>
      </w:r>
      <w:r w:rsidRPr="00E04C25">
        <w:rPr>
          <w:b/>
          <w:color w:val="auto"/>
        </w:rPr>
        <w:t>lo</w:t>
      </w:r>
      <w:r w:rsidRPr="00E04C25">
        <w:rPr>
          <w:color w:val="auto"/>
        </w:rPr>
        <w:t xml:space="preserve"> </w:t>
      </w:r>
      <w:r w:rsidRPr="00E04C25">
        <w:rPr>
          <w:b/>
          <w:color w:val="auto"/>
          <w:lang w:val="cs-CZ"/>
        </w:rPr>
        <w:t>500,2 </w:t>
      </w:r>
      <w:r w:rsidRPr="00E04C25">
        <w:rPr>
          <w:b/>
          <w:color w:val="auto"/>
        </w:rPr>
        <w:t>tis. osob</w:t>
      </w:r>
      <w:r w:rsidRPr="00E04C25">
        <w:rPr>
          <w:color w:val="auto"/>
        </w:rPr>
        <w:t>, tj.</w:t>
      </w:r>
      <w:r w:rsidRPr="00E04C25">
        <w:rPr>
          <w:color w:val="auto"/>
          <w:lang w:val="cs-CZ"/>
        </w:rPr>
        <w:t> </w:t>
      </w:r>
      <w:r w:rsidRPr="00E04C25">
        <w:rPr>
          <w:b/>
          <w:color w:val="auto"/>
        </w:rPr>
        <w:t>o </w:t>
      </w:r>
      <w:r w:rsidRPr="00E04C25">
        <w:rPr>
          <w:b/>
          <w:color w:val="auto"/>
          <w:lang w:val="cs-CZ"/>
        </w:rPr>
        <w:t>64</w:t>
      </w:r>
      <w:r w:rsidRPr="00E04C25">
        <w:rPr>
          <w:b/>
          <w:color w:val="auto"/>
        </w:rPr>
        <w:t>,</w:t>
      </w:r>
      <w:r w:rsidRPr="00E04C25">
        <w:rPr>
          <w:b/>
          <w:color w:val="auto"/>
          <w:lang w:val="cs-CZ"/>
        </w:rPr>
        <w:t>2</w:t>
      </w:r>
      <w:r w:rsidRPr="00E04C25">
        <w:rPr>
          <w:b/>
          <w:color w:val="auto"/>
        </w:rPr>
        <w:t xml:space="preserve"> tis. </w:t>
      </w:r>
      <w:r w:rsidRPr="00E04C25">
        <w:rPr>
          <w:b/>
          <w:color w:val="auto"/>
          <w:lang w:val="cs-CZ"/>
        </w:rPr>
        <w:t>méně</w:t>
      </w:r>
      <w:r w:rsidRPr="00E04C25">
        <w:rPr>
          <w:b/>
          <w:color w:val="auto"/>
        </w:rPr>
        <w:t xml:space="preserve"> </w:t>
      </w:r>
      <w:r w:rsidRPr="00E04C25">
        <w:rPr>
          <w:color w:val="auto"/>
        </w:rPr>
        <w:t>než v </w:t>
      </w:r>
      <w:r w:rsidRPr="00E04C25">
        <w:rPr>
          <w:color w:val="auto"/>
          <w:lang w:val="cs-CZ"/>
        </w:rPr>
        <w:t>průběhu roku 2016 (564,4 tis.)</w:t>
      </w:r>
      <w:r w:rsidRPr="00E04C25">
        <w:rPr>
          <w:color w:val="auto"/>
        </w:rPr>
        <w:t xml:space="preserve">. </w:t>
      </w:r>
      <w:r w:rsidRPr="00E04C25">
        <w:rPr>
          <w:color w:val="auto"/>
          <w:lang w:val="cs-CZ"/>
        </w:rPr>
        <w:t xml:space="preserve">Snížil se jak počet nově zaevidovaných mužů (o 29,6 tis.), tak i nově zaevidovaných žen (o 34,6 tis.). </w:t>
      </w:r>
    </w:p>
    <w:p w:rsidR="00D7632D" w:rsidRPr="00E04C25" w:rsidRDefault="00D7632D" w:rsidP="00D7632D">
      <w:pPr>
        <w:pStyle w:val="Zkladntext"/>
        <w:spacing w:line="360" w:lineRule="auto"/>
        <w:ind w:firstLine="709"/>
        <w:rPr>
          <w:rFonts w:eastAsiaTheme="minorHAnsi" w:cs="Arial"/>
          <w:color w:val="auto"/>
          <w:lang w:val="cs-CZ" w:eastAsia="cs-CZ"/>
        </w:rPr>
      </w:pPr>
      <w:r w:rsidRPr="00E04C25">
        <w:rPr>
          <w:color w:val="auto"/>
          <w:lang w:val="cs-CZ"/>
        </w:rPr>
        <w:t xml:space="preserve">Pokles nezaměstnanosti spíše souvisel </w:t>
      </w:r>
      <w:r w:rsidRPr="00E04C25">
        <w:rPr>
          <w:b/>
          <w:color w:val="auto"/>
          <w:lang w:val="cs-CZ"/>
        </w:rPr>
        <w:t>s nižším počtem nově příchozích uchazečů o zaměstnání než těch, kteří z evidence ÚP ČR odcházejí</w:t>
      </w:r>
      <w:r w:rsidRPr="00E04C25">
        <w:rPr>
          <w:color w:val="auto"/>
          <w:lang w:val="cs-CZ"/>
        </w:rPr>
        <w:t>. V</w:t>
      </w:r>
      <w:r w:rsidRPr="00E04C25">
        <w:rPr>
          <w:bCs/>
          <w:color w:val="auto"/>
          <w:lang w:val="cs-CZ"/>
        </w:rPr>
        <w:t xml:space="preserve"> průběhu roku 2017 </w:t>
      </w:r>
      <w:r w:rsidRPr="00E04C25">
        <w:rPr>
          <w:b/>
          <w:bCs/>
          <w:color w:val="auto"/>
          <w:lang w:val="cs-CZ"/>
        </w:rPr>
        <w:t xml:space="preserve">odešlo 600,9 tis. UoZ </w:t>
      </w:r>
      <w:r w:rsidRPr="00E04C25">
        <w:rPr>
          <w:bCs/>
          <w:color w:val="auto"/>
          <w:lang w:val="cs-CZ"/>
        </w:rPr>
        <w:t>a</w:t>
      </w:r>
      <w:r w:rsidRPr="00E04C25">
        <w:rPr>
          <w:b/>
          <w:bCs/>
          <w:color w:val="auto"/>
          <w:lang w:val="cs-CZ"/>
        </w:rPr>
        <w:t xml:space="preserve"> </w:t>
      </w:r>
      <w:r w:rsidRPr="00E04C25">
        <w:rPr>
          <w:bCs/>
          <w:color w:val="auto"/>
          <w:lang w:val="cs-CZ"/>
        </w:rPr>
        <w:t xml:space="preserve">ve srovnání s předchozím rokem </w:t>
      </w:r>
      <w:r w:rsidRPr="00E04C25">
        <w:rPr>
          <w:color w:val="auto"/>
        </w:rPr>
        <w:t>(</w:t>
      </w:r>
      <w:r w:rsidRPr="00E04C25">
        <w:rPr>
          <w:color w:val="auto"/>
          <w:lang w:val="cs-CZ"/>
        </w:rPr>
        <w:t>636</w:t>
      </w:r>
      <w:r w:rsidRPr="00E04C25">
        <w:rPr>
          <w:rFonts w:cs="Arial"/>
          <w:bCs/>
          <w:color w:val="auto"/>
        </w:rPr>
        <w:t>,</w:t>
      </w:r>
      <w:r w:rsidRPr="00E04C25">
        <w:rPr>
          <w:rFonts w:cs="Arial"/>
          <w:bCs/>
          <w:color w:val="auto"/>
          <w:lang w:val="cs-CZ"/>
        </w:rPr>
        <w:t>1</w:t>
      </w:r>
      <w:r w:rsidRPr="00E04C25">
        <w:rPr>
          <w:color w:val="auto"/>
          <w:lang w:val="cs-CZ"/>
        </w:rPr>
        <w:t> tis.</w:t>
      </w:r>
      <w:r w:rsidRPr="00E04C25">
        <w:rPr>
          <w:color w:val="auto"/>
        </w:rPr>
        <w:t>)</w:t>
      </w:r>
      <w:r w:rsidRPr="00E04C25">
        <w:rPr>
          <w:color w:val="auto"/>
          <w:lang w:val="cs-CZ"/>
        </w:rPr>
        <w:t xml:space="preserve"> </w:t>
      </w:r>
      <w:r w:rsidRPr="00E04C25">
        <w:rPr>
          <w:b/>
          <w:color w:val="auto"/>
          <w:lang w:val="cs-CZ"/>
        </w:rPr>
        <w:t xml:space="preserve">poklesl </w:t>
      </w:r>
      <w:r w:rsidRPr="00E04C25">
        <w:rPr>
          <w:b/>
          <w:bCs/>
          <w:color w:val="auto"/>
          <w:lang w:val="cs-CZ"/>
        </w:rPr>
        <w:t xml:space="preserve">o 35,2 tis., </w:t>
      </w:r>
      <w:r w:rsidRPr="00E04C25">
        <w:rPr>
          <w:bCs/>
          <w:color w:val="auto"/>
          <w:lang w:val="cs-CZ"/>
        </w:rPr>
        <w:t>přičemž ubylo</w:t>
      </w:r>
      <w:r w:rsidRPr="00E04C25">
        <w:rPr>
          <w:b/>
          <w:bCs/>
          <w:color w:val="auto"/>
          <w:lang w:val="cs-CZ"/>
        </w:rPr>
        <w:t xml:space="preserve"> </w:t>
      </w:r>
      <w:r w:rsidRPr="00E04C25">
        <w:rPr>
          <w:bCs/>
          <w:color w:val="auto"/>
          <w:lang w:val="cs-CZ"/>
        </w:rPr>
        <w:t>14,4 tis. žen a 20,8 tis. mužů</w:t>
      </w:r>
      <w:r w:rsidRPr="00E04C25">
        <w:rPr>
          <w:b/>
          <w:bCs/>
          <w:color w:val="auto"/>
          <w:lang w:val="cs-CZ"/>
        </w:rPr>
        <w:t>.</w:t>
      </w:r>
      <w:r w:rsidRPr="00E04C25">
        <w:rPr>
          <w:bCs/>
          <w:color w:val="auto"/>
          <w:lang w:val="cs-CZ"/>
        </w:rPr>
        <w:t xml:space="preserve"> </w:t>
      </w:r>
      <w:r w:rsidRPr="00E04C25">
        <w:rPr>
          <w:color w:val="auto"/>
          <w:lang w:val="cs-CZ"/>
        </w:rPr>
        <w:t>Prokazatelně</w:t>
      </w:r>
      <w:r w:rsidRPr="00E04C25">
        <w:rPr>
          <w:color w:val="auto"/>
        </w:rPr>
        <w:t xml:space="preserve"> </w:t>
      </w:r>
      <w:r w:rsidRPr="00E04C25">
        <w:rPr>
          <w:color w:val="auto"/>
          <w:lang w:val="cs-CZ"/>
        </w:rPr>
        <w:t xml:space="preserve">se </w:t>
      </w:r>
      <w:r w:rsidRPr="00E04C25">
        <w:rPr>
          <w:b/>
          <w:color w:val="auto"/>
          <w:lang w:val="cs-CZ"/>
        </w:rPr>
        <w:t>zaměstnalo</w:t>
      </w:r>
      <w:r w:rsidRPr="00E04C25">
        <w:rPr>
          <w:color w:val="auto"/>
        </w:rPr>
        <w:t xml:space="preserve"> </w:t>
      </w:r>
      <w:r w:rsidRPr="00E04C25">
        <w:rPr>
          <w:b/>
          <w:color w:val="auto"/>
          <w:lang w:val="cs-CZ"/>
        </w:rPr>
        <w:t>387,8 tis.</w:t>
      </w:r>
      <w:r w:rsidRPr="00E04C25">
        <w:rPr>
          <w:color w:val="auto"/>
          <w:lang w:val="cs-CZ"/>
        </w:rPr>
        <w:t xml:space="preserve"> </w:t>
      </w:r>
      <w:r w:rsidRPr="00E04C25">
        <w:rPr>
          <w:b/>
          <w:bCs/>
          <w:color w:val="auto"/>
          <w:lang w:val="cs-CZ"/>
        </w:rPr>
        <w:t xml:space="preserve">nezaměstnaných, </w:t>
      </w:r>
      <w:r w:rsidRPr="00E04C25">
        <w:rPr>
          <w:bCs/>
          <w:color w:val="auto"/>
          <w:lang w:val="cs-CZ"/>
        </w:rPr>
        <w:t xml:space="preserve">ovšem </w:t>
      </w:r>
      <w:r w:rsidRPr="00E04C25">
        <w:rPr>
          <w:color w:val="auto"/>
        </w:rPr>
        <w:t xml:space="preserve">jejich počet </w:t>
      </w:r>
      <w:r w:rsidRPr="00E04C25">
        <w:rPr>
          <w:color w:val="auto"/>
          <w:lang w:val="cs-CZ"/>
        </w:rPr>
        <w:t xml:space="preserve">byl i přes zlepšující se nabídku práce meziročně </w:t>
      </w:r>
      <w:r w:rsidRPr="00E04C25">
        <w:rPr>
          <w:b/>
          <w:color w:val="auto"/>
          <w:lang w:val="cs-CZ"/>
        </w:rPr>
        <w:t xml:space="preserve">nižší </w:t>
      </w:r>
      <w:r w:rsidRPr="00E04C25">
        <w:rPr>
          <w:b/>
          <w:color w:val="auto"/>
        </w:rPr>
        <w:t>o</w:t>
      </w:r>
      <w:r w:rsidRPr="00E04C25">
        <w:rPr>
          <w:b/>
          <w:bCs/>
          <w:color w:val="auto"/>
        </w:rPr>
        <w:t> </w:t>
      </w:r>
      <w:r w:rsidRPr="00E04C25">
        <w:rPr>
          <w:b/>
          <w:bCs/>
          <w:color w:val="auto"/>
          <w:lang w:val="cs-CZ"/>
        </w:rPr>
        <w:t>31,0</w:t>
      </w:r>
      <w:r w:rsidRPr="00E04C25">
        <w:rPr>
          <w:b/>
          <w:bCs/>
          <w:color w:val="auto"/>
        </w:rPr>
        <w:t> tis. osob</w:t>
      </w:r>
      <w:r w:rsidRPr="00E04C25">
        <w:rPr>
          <w:b/>
          <w:bCs/>
          <w:color w:val="auto"/>
          <w:lang w:val="cs-CZ"/>
        </w:rPr>
        <w:t xml:space="preserve">. </w:t>
      </w:r>
      <w:r w:rsidRPr="00E04C25">
        <w:rPr>
          <w:bCs/>
          <w:color w:val="auto"/>
          <w:lang w:val="cs-CZ"/>
        </w:rPr>
        <w:t xml:space="preserve">I přes rostoucí počty nahlášených </w:t>
      </w:r>
      <w:r w:rsidRPr="00E04C25">
        <w:rPr>
          <w:bCs/>
          <w:color w:val="auto"/>
          <w:lang w:val="cs-CZ"/>
        </w:rPr>
        <w:lastRenderedPageBreak/>
        <w:t xml:space="preserve">volných pracovních míst </w:t>
      </w:r>
      <w:r w:rsidRPr="00E04C25">
        <w:rPr>
          <w:b/>
          <w:bCs/>
          <w:color w:val="auto"/>
          <w:lang w:val="cs-CZ"/>
        </w:rPr>
        <w:t xml:space="preserve">poklesl počet umístěných pomocí </w:t>
      </w:r>
      <w:r w:rsidRPr="00E04C25">
        <w:rPr>
          <w:bCs/>
          <w:color w:val="auto"/>
          <w:lang w:val="cs-CZ"/>
        </w:rPr>
        <w:t>pracovníků</w:t>
      </w:r>
      <w:r w:rsidRPr="00E04C25">
        <w:rPr>
          <w:b/>
          <w:bCs/>
          <w:color w:val="auto"/>
          <w:lang w:val="cs-CZ"/>
        </w:rPr>
        <w:t xml:space="preserve"> ÚP ČR na 92,9 tis., </w:t>
      </w:r>
      <w:r w:rsidRPr="00E04C25">
        <w:rPr>
          <w:bCs/>
          <w:color w:val="auto"/>
          <w:lang w:val="cs-CZ"/>
        </w:rPr>
        <w:t>tj. o 4,8 tis.,</w:t>
      </w:r>
      <w:r w:rsidRPr="00E04C25">
        <w:rPr>
          <w:b/>
          <w:bCs/>
          <w:color w:val="auto"/>
          <w:lang w:val="cs-CZ"/>
        </w:rPr>
        <w:t xml:space="preserve"> </w:t>
      </w:r>
      <w:r w:rsidRPr="00E04C25">
        <w:rPr>
          <w:bCs/>
          <w:color w:val="auto"/>
          <w:lang w:val="cs-CZ"/>
        </w:rPr>
        <w:t>včetně umístěných pomocí nástrojů APZ</w:t>
      </w:r>
      <w:r w:rsidRPr="00E04C25">
        <w:rPr>
          <w:b/>
          <w:bCs/>
          <w:color w:val="auto"/>
          <w:lang w:val="cs-CZ"/>
        </w:rPr>
        <w:t xml:space="preserve"> </w:t>
      </w:r>
      <w:r w:rsidRPr="00E04C25">
        <w:rPr>
          <w:bCs/>
          <w:color w:val="auto"/>
          <w:lang w:val="cs-CZ"/>
        </w:rPr>
        <w:t>(viz část IV.3 Aktivní politika zaměstnanosti realizovaná ÚP ČR)</w:t>
      </w:r>
      <w:r w:rsidRPr="00E04C25">
        <w:rPr>
          <w:b/>
          <w:bCs/>
          <w:color w:val="auto"/>
          <w:lang w:val="cs-CZ"/>
        </w:rPr>
        <w:t>.</w:t>
      </w:r>
    </w:p>
    <w:p w:rsidR="00115440" w:rsidRPr="00E04C25" w:rsidRDefault="00115440" w:rsidP="00A42CAE">
      <w:pPr>
        <w:pStyle w:val="Zkladntext"/>
        <w:ind w:left="7076" w:firstLine="709"/>
        <w:rPr>
          <w:color w:val="auto"/>
          <w:sz w:val="20"/>
          <w:szCs w:val="20"/>
        </w:rPr>
      </w:pPr>
      <w:r w:rsidRPr="00E04C25">
        <w:rPr>
          <w:color w:val="auto"/>
          <w:sz w:val="20"/>
          <w:szCs w:val="20"/>
        </w:rPr>
        <w:t xml:space="preserve">graf č. </w:t>
      </w:r>
      <w:r w:rsidR="006D5548" w:rsidRPr="00E04C25">
        <w:rPr>
          <w:color w:val="auto"/>
          <w:sz w:val="20"/>
          <w:szCs w:val="20"/>
          <w:lang w:val="cs-CZ"/>
        </w:rPr>
        <w:t>10</w:t>
      </w:r>
    </w:p>
    <w:p w:rsidR="00115440" w:rsidRPr="00E04C25" w:rsidRDefault="00A42CAE" w:rsidP="00115440">
      <w:pPr>
        <w:pStyle w:val="Zkladntext"/>
        <w:spacing w:line="360" w:lineRule="auto"/>
        <w:jc w:val="center"/>
        <w:rPr>
          <w:b/>
          <w:color w:val="auto"/>
          <w:lang w:val="cs-CZ"/>
        </w:rPr>
      </w:pPr>
      <w:r w:rsidRPr="00E04C25">
        <w:rPr>
          <w:noProof/>
          <w:color w:val="auto"/>
          <w:lang w:val="cs-CZ" w:eastAsia="cs-CZ"/>
        </w:rPr>
        <w:drawing>
          <wp:inline distT="0" distB="0" distL="0" distR="0">
            <wp:extent cx="5238750" cy="3238500"/>
            <wp:effectExtent l="0" t="0" r="19050" b="1905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5440" w:rsidRPr="00E04C25" w:rsidRDefault="00115440" w:rsidP="00115440">
      <w:pPr>
        <w:pStyle w:val="Zkladntext"/>
        <w:ind w:firstLine="708"/>
        <w:rPr>
          <w:b/>
          <w:color w:val="auto"/>
          <w:lang w:val="cs-CZ"/>
        </w:rPr>
      </w:pPr>
    </w:p>
    <w:p w:rsidR="00115440" w:rsidRPr="00E04C25" w:rsidRDefault="00115440" w:rsidP="00637CBA">
      <w:pPr>
        <w:pStyle w:val="Zkladntext"/>
        <w:spacing w:line="360" w:lineRule="auto"/>
        <w:ind w:firstLine="567"/>
        <w:rPr>
          <w:color w:val="auto"/>
          <w:lang w:val="cs-CZ"/>
        </w:rPr>
      </w:pPr>
      <w:r w:rsidRPr="00E04C25">
        <w:rPr>
          <w:b/>
          <w:bCs/>
          <w:color w:val="auto"/>
          <w:lang w:val="cs-CZ"/>
        </w:rPr>
        <w:t xml:space="preserve">Počet těch, </w:t>
      </w:r>
      <w:r w:rsidRPr="00E04C25">
        <w:rPr>
          <w:bCs/>
          <w:color w:val="auto"/>
          <w:lang w:val="cs-CZ"/>
        </w:rPr>
        <w:t>kteří si</w:t>
      </w:r>
      <w:r w:rsidRPr="00E04C25">
        <w:rPr>
          <w:b/>
          <w:bCs/>
          <w:color w:val="auto"/>
          <w:lang w:val="cs-CZ"/>
        </w:rPr>
        <w:t xml:space="preserve"> našli práci sami nebo začali podnikat bez podpory ÚP ČR </w:t>
      </w:r>
      <w:r w:rsidRPr="00E04C25">
        <w:rPr>
          <w:bCs/>
          <w:color w:val="auto"/>
          <w:lang w:val="cs-CZ"/>
        </w:rPr>
        <w:t>ovšem také</w:t>
      </w:r>
      <w:r w:rsidRPr="00E04C25">
        <w:rPr>
          <w:b/>
          <w:bCs/>
          <w:color w:val="auto"/>
          <w:lang w:val="cs-CZ"/>
        </w:rPr>
        <w:t xml:space="preserve"> poklesl, </w:t>
      </w:r>
      <w:r w:rsidRPr="00E04C25">
        <w:rPr>
          <w:bCs/>
          <w:color w:val="auto"/>
          <w:lang w:val="cs-CZ"/>
        </w:rPr>
        <w:t>a to</w:t>
      </w:r>
      <w:r w:rsidRPr="00E04C25">
        <w:rPr>
          <w:b/>
          <w:bCs/>
          <w:color w:val="auto"/>
          <w:lang w:val="cs-CZ"/>
        </w:rPr>
        <w:t xml:space="preserve"> </w:t>
      </w:r>
      <w:r w:rsidRPr="00E04C25">
        <w:rPr>
          <w:bCs/>
          <w:color w:val="auto"/>
          <w:lang w:val="cs-CZ"/>
        </w:rPr>
        <w:t>o </w:t>
      </w:r>
      <w:r w:rsidR="009862C2" w:rsidRPr="00E04C25">
        <w:rPr>
          <w:bCs/>
          <w:color w:val="auto"/>
          <w:lang w:val="cs-CZ"/>
        </w:rPr>
        <w:t>26</w:t>
      </w:r>
      <w:r w:rsidRPr="00E04C25">
        <w:rPr>
          <w:bCs/>
          <w:color w:val="auto"/>
          <w:lang w:val="cs-CZ"/>
        </w:rPr>
        <w:t>,</w:t>
      </w:r>
      <w:r w:rsidR="009862C2" w:rsidRPr="00E04C25">
        <w:rPr>
          <w:bCs/>
          <w:color w:val="auto"/>
          <w:lang w:val="cs-CZ"/>
        </w:rPr>
        <w:t>2</w:t>
      </w:r>
      <w:r w:rsidRPr="00E04C25">
        <w:rPr>
          <w:bCs/>
          <w:color w:val="auto"/>
          <w:lang w:val="cs-CZ"/>
        </w:rPr>
        <w:t> tis.</w:t>
      </w:r>
      <w:r w:rsidRPr="00E04C25">
        <w:rPr>
          <w:b/>
          <w:bCs/>
          <w:color w:val="auto"/>
          <w:lang w:val="cs-CZ"/>
        </w:rPr>
        <w:t xml:space="preserve"> na </w:t>
      </w:r>
      <w:r w:rsidR="009862C2" w:rsidRPr="00E04C25">
        <w:rPr>
          <w:b/>
          <w:bCs/>
          <w:color w:val="auto"/>
          <w:lang w:val="cs-CZ"/>
        </w:rPr>
        <w:t>294</w:t>
      </w:r>
      <w:r w:rsidRPr="00E04C25">
        <w:rPr>
          <w:b/>
          <w:bCs/>
          <w:color w:val="auto"/>
          <w:lang w:val="cs-CZ"/>
        </w:rPr>
        <w:t>,</w:t>
      </w:r>
      <w:r w:rsidR="009862C2" w:rsidRPr="00E04C25">
        <w:rPr>
          <w:b/>
          <w:bCs/>
          <w:color w:val="auto"/>
          <w:lang w:val="cs-CZ"/>
        </w:rPr>
        <w:t>9 </w:t>
      </w:r>
      <w:r w:rsidRPr="00E04C25">
        <w:rPr>
          <w:b/>
          <w:bCs/>
          <w:color w:val="auto"/>
          <w:lang w:val="cs-CZ"/>
        </w:rPr>
        <w:t>tis.</w:t>
      </w:r>
      <w:r w:rsidRPr="00E04C25">
        <w:rPr>
          <w:bCs/>
          <w:color w:val="auto"/>
          <w:lang w:val="cs-CZ"/>
        </w:rPr>
        <w:t xml:space="preserve"> V nepatrně </w:t>
      </w:r>
      <w:r w:rsidRPr="00E04C25">
        <w:rPr>
          <w:color w:val="auto"/>
          <w:lang w:val="cs-CZ"/>
        </w:rPr>
        <w:t>větší míře</w:t>
      </w:r>
      <w:r w:rsidRPr="00E04C25">
        <w:rPr>
          <w:color w:val="auto"/>
        </w:rPr>
        <w:t xml:space="preserve"> </w:t>
      </w:r>
      <w:r w:rsidRPr="00E04C25">
        <w:rPr>
          <w:b/>
          <w:color w:val="auto"/>
        </w:rPr>
        <w:t xml:space="preserve">se </w:t>
      </w:r>
      <w:r w:rsidRPr="00E04C25">
        <w:rPr>
          <w:b/>
          <w:color w:val="auto"/>
          <w:lang w:val="cs-CZ"/>
        </w:rPr>
        <w:t xml:space="preserve">na trhu práce </w:t>
      </w:r>
      <w:r w:rsidRPr="00E04C25">
        <w:rPr>
          <w:b/>
          <w:color w:val="auto"/>
        </w:rPr>
        <w:t>uplatnil</w:t>
      </w:r>
      <w:r w:rsidR="006518F4" w:rsidRPr="00E04C25">
        <w:rPr>
          <w:b/>
          <w:color w:val="auto"/>
          <w:lang w:val="cs-CZ"/>
        </w:rPr>
        <w:t>y</w:t>
      </w:r>
      <w:r w:rsidRPr="00E04C25">
        <w:rPr>
          <w:b/>
          <w:color w:val="auto"/>
        </w:rPr>
        <w:t xml:space="preserve"> </w:t>
      </w:r>
      <w:r w:rsidR="006518F4" w:rsidRPr="00E04C25">
        <w:rPr>
          <w:b/>
          <w:color w:val="auto"/>
          <w:lang w:val="cs-CZ"/>
        </w:rPr>
        <w:t>ženy</w:t>
      </w:r>
      <w:r w:rsidRPr="00E04C25">
        <w:rPr>
          <w:color w:val="auto"/>
          <w:lang w:val="cs-CZ"/>
        </w:rPr>
        <w:t xml:space="preserve"> (celkem </w:t>
      </w:r>
      <w:r w:rsidR="009862C2" w:rsidRPr="00E04C25">
        <w:rPr>
          <w:color w:val="auto"/>
          <w:lang w:val="cs-CZ"/>
        </w:rPr>
        <w:t>196</w:t>
      </w:r>
      <w:r w:rsidRPr="00E04C25">
        <w:rPr>
          <w:color w:val="auto"/>
          <w:lang w:val="cs-CZ"/>
        </w:rPr>
        <w:t>,</w:t>
      </w:r>
      <w:r w:rsidR="009862C2" w:rsidRPr="00E04C25">
        <w:rPr>
          <w:color w:val="auto"/>
          <w:lang w:val="cs-CZ"/>
        </w:rPr>
        <w:t>4</w:t>
      </w:r>
      <w:r w:rsidRPr="00E04C25">
        <w:rPr>
          <w:color w:val="auto"/>
          <w:lang w:val="cs-CZ"/>
        </w:rPr>
        <w:t> tis., tj. 50,</w:t>
      </w:r>
      <w:r w:rsidR="009862C2" w:rsidRPr="00E04C25">
        <w:rPr>
          <w:color w:val="auto"/>
          <w:lang w:val="cs-CZ"/>
        </w:rPr>
        <w:t>6</w:t>
      </w:r>
      <w:r w:rsidRPr="00E04C25">
        <w:rPr>
          <w:color w:val="auto"/>
          <w:lang w:val="cs-CZ"/>
        </w:rPr>
        <w:t> % celkového počtu umístěných). Převažoval</w:t>
      </w:r>
      <w:r w:rsidR="006518F4" w:rsidRPr="00E04C25">
        <w:rPr>
          <w:color w:val="auto"/>
          <w:lang w:val="cs-CZ"/>
        </w:rPr>
        <w:t>y</w:t>
      </w:r>
      <w:r w:rsidRPr="00E04C25">
        <w:rPr>
          <w:color w:val="auto"/>
          <w:lang w:val="cs-CZ"/>
        </w:rPr>
        <w:t xml:space="preserve"> zejména mezi těmi, kteří </w:t>
      </w:r>
      <w:r w:rsidR="006518F4" w:rsidRPr="00E04C25">
        <w:rPr>
          <w:color w:val="auto"/>
          <w:lang w:val="cs-CZ"/>
        </w:rPr>
        <w:t xml:space="preserve">našli </w:t>
      </w:r>
      <w:r w:rsidRPr="00E04C25">
        <w:rPr>
          <w:color w:val="auto"/>
          <w:lang w:val="cs-CZ"/>
        </w:rPr>
        <w:t xml:space="preserve">zaměstnání </w:t>
      </w:r>
      <w:r w:rsidR="006518F4" w:rsidRPr="00E04C25">
        <w:rPr>
          <w:color w:val="auto"/>
          <w:lang w:val="cs-CZ"/>
        </w:rPr>
        <w:t>pomocí ÚP ČR</w:t>
      </w:r>
      <w:r w:rsidRPr="00E04C25">
        <w:rPr>
          <w:color w:val="auto"/>
          <w:lang w:val="cs-CZ"/>
        </w:rPr>
        <w:t xml:space="preserve">, zatímco </w:t>
      </w:r>
      <w:r w:rsidR="006518F4" w:rsidRPr="00E04C25">
        <w:rPr>
          <w:color w:val="auto"/>
          <w:lang w:val="cs-CZ"/>
        </w:rPr>
        <w:t>mužů bylo více mezi těmi, kteří si našli práci sami.</w:t>
      </w:r>
      <w:r w:rsidRPr="00E04C25">
        <w:rPr>
          <w:color w:val="auto"/>
          <w:lang w:val="cs-CZ"/>
        </w:rPr>
        <w:t xml:space="preserve"> </w:t>
      </w:r>
    </w:p>
    <w:p w:rsidR="00D7632D" w:rsidRPr="00E04C25" w:rsidRDefault="00D7632D" w:rsidP="00D7632D">
      <w:pPr>
        <w:pStyle w:val="Zkladntext"/>
        <w:spacing w:line="360" w:lineRule="auto"/>
        <w:ind w:firstLine="567"/>
        <w:rPr>
          <w:color w:val="auto"/>
          <w:lang w:val="cs-CZ"/>
        </w:rPr>
      </w:pPr>
      <w:r w:rsidRPr="00E04C25">
        <w:rPr>
          <w:b/>
          <w:color w:val="auto"/>
        </w:rPr>
        <w:t xml:space="preserve">Podíl </w:t>
      </w:r>
      <w:r w:rsidRPr="00E04C25">
        <w:rPr>
          <w:b/>
          <w:color w:val="auto"/>
          <w:lang w:val="cs-CZ"/>
        </w:rPr>
        <w:t xml:space="preserve">všech </w:t>
      </w:r>
      <w:r w:rsidRPr="00E04C25">
        <w:rPr>
          <w:b/>
          <w:color w:val="auto"/>
        </w:rPr>
        <w:t xml:space="preserve">umístěných </w:t>
      </w:r>
      <w:r w:rsidRPr="00E04C25">
        <w:rPr>
          <w:color w:val="auto"/>
        </w:rPr>
        <w:t>z celkového počtu</w:t>
      </w:r>
      <w:r w:rsidRPr="00E04C25">
        <w:rPr>
          <w:b/>
          <w:color w:val="auto"/>
        </w:rPr>
        <w:t xml:space="preserve"> </w:t>
      </w:r>
      <w:r w:rsidRPr="00E04C25">
        <w:rPr>
          <w:color w:val="auto"/>
        </w:rPr>
        <w:t>uchazečů o</w:t>
      </w:r>
      <w:r w:rsidRPr="00E04C25">
        <w:rPr>
          <w:color w:val="auto"/>
          <w:lang w:val="cs-CZ"/>
        </w:rPr>
        <w:t> </w:t>
      </w:r>
      <w:r w:rsidRPr="00E04C25">
        <w:rPr>
          <w:color w:val="auto"/>
        </w:rPr>
        <w:t>zaměstnání</w:t>
      </w:r>
      <w:r w:rsidRPr="00E04C25">
        <w:rPr>
          <w:color w:val="auto"/>
          <w:lang w:val="cs-CZ"/>
        </w:rPr>
        <w:t>, kteří z evidence ÚP ČR odešli,</w:t>
      </w:r>
      <w:r w:rsidRPr="00E04C25">
        <w:rPr>
          <w:color w:val="auto"/>
        </w:rPr>
        <w:t xml:space="preserve"> </w:t>
      </w:r>
      <w:r w:rsidRPr="00E04C25">
        <w:rPr>
          <w:b/>
          <w:color w:val="auto"/>
          <w:lang w:val="cs-CZ"/>
        </w:rPr>
        <w:t xml:space="preserve">poklesl </w:t>
      </w:r>
      <w:r w:rsidRPr="00E04C25">
        <w:rPr>
          <w:color w:val="auto"/>
        </w:rPr>
        <w:t>na </w:t>
      </w:r>
      <w:r w:rsidRPr="00E04C25">
        <w:rPr>
          <w:b/>
          <w:color w:val="auto"/>
          <w:lang w:val="cs-CZ"/>
        </w:rPr>
        <w:t>64</w:t>
      </w:r>
      <w:r w:rsidRPr="00E04C25">
        <w:rPr>
          <w:b/>
          <w:color w:val="auto"/>
        </w:rPr>
        <w:t>,</w:t>
      </w:r>
      <w:r w:rsidRPr="00E04C25">
        <w:rPr>
          <w:b/>
          <w:color w:val="auto"/>
          <w:lang w:val="cs-CZ"/>
        </w:rPr>
        <w:t>5</w:t>
      </w:r>
      <w:r w:rsidRPr="00E04C25">
        <w:rPr>
          <w:b/>
          <w:color w:val="auto"/>
        </w:rPr>
        <w:t> %</w:t>
      </w:r>
      <w:r w:rsidRPr="00E04C25">
        <w:rPr>
          <w:color w:val="auto"/>
        </w:rPr>
        <w:t xml:space="preserve"> (v </w:t>
      </w:r>
      <w:r w:rsidRPr="00E04C25">
        <w:rPr>
          <w:color w:val="auto"/>
          <w:lang w:val="cs-CZ"/>
        </w:rPr>
        <w:t>roce 2016</w:t>
      </w:r>
      <w:r w:rsidRPr="00E04C25">
        <w:rPr>
          <w:color w:val="auto"/>
        </w:rPr>
        <w:t xml:space="preserve"> činil </w:t>
      </w:r>
      <w:r w:rsidRPr="00E04C25">
        <w:rPr>
          <w:color w:val="auto"/>
          <w:lang w:val="cs-CZ"/>
        </w:rPr>
        <w:t>65</w:t>
      </w:r>
      <w:r w:rsidRPr="00E04C25">
        <w:rPr>
          <w:color w:val="auto"/>
        </w:rPr>
        <w:t>,</w:t>
      </w:r>
      <w:r w:rsidRPr="00E04C25">
        <w:rPr>
          <w:color w:val="auto"/>
          <w:lang w:val="cs-CZ"/>
        </w:rPr>
        <w:t>8</w:t>
      </w:r>
      <w:r w:rsidRPr="00E04C25">
        <w:rPr>
          <w:color w:val="auto"/>
        </w:rPr>
        <w:t xml:space="preserve"> %). </w:t>
      </w:r>
    </w:p>
    <w:p w:rsidR="00D7632D" w:rsidRPr="00E04C25" w:rsidRDefault="00D7632D" w:rsidP="00D7632D">
      <w:pPr>
        <w:pStyle w:val="Zkladntext"/>
        <w:spacing w:line="360" w:lineRule="auto"/>
        <w:ind w:firstLine="567"/>
        <w:rPr>
          <w:color w:val="auto"/>
          <w:lang w:val="cs-CZ"/>
        </w:rPr>
      </w:pPr>
      <w:r w:rsidRPr="00E04C25">
        <w:rPr>
          <w:color w:val="auto"/>
          <w:lang w:val="cs-CZ"/>
        </w:rPr>
        <w:t xml:space="preserve">Počet uchazečů o zaměstnání </w:t>
      </w:r>
      <w:r w:rsidRPr="00E04C25">
        <w:rPr>
          <w:b/>
          <w:color w:val="auto"/>
          <w:lang w:val="cs-CZ"/>
        </w:rPr>
        <w:t>vy</w:t>
      </w:r>
      <w:r w:rsidRPr="00E04C25">
        <w:rPr>
          <w:b/>
          <w:color w:val="auto"/>
        </w:rPr>
        <w:t>řazených pro nespolupráci</w:t>
      </w:r>
      <w:r w:rsidRPr="00E04C25">
        <w:rPr>
          <w:rStyle w:val="Znakapoznpodarou"/>
          <w:color w:val="auto"/>
        </w:rPr>
        <w:footnoteReference w:id="5"/>
      </w:r>
      <w:r w:rsidRPr="00E04C25">
        <w:rPr>
          <w:color w:val="auto"/>
        </w:rPr>
        <w:t xml:space="preserve"> s ÚP </w:t>
      </w:r>
      <w:r w:rsidRPr="00E04C25">
        <w:rPr>
          <w:color w:val="auto"/>
          <w:lang w:val="cs-CZ"/>
        </w:rPr>
        <w:t xml:space="preserve">ČR se meziročně </w:t>
      </w:r>
      <w:r w:rsidRPr="00E04C25">
        <w:rPr>
          <w:b/>
          <w:color w:val="auto"/>
          <w:lang w:val="cs-CZ"/>
        </w:rPr>
        <w:t>zvýšil na 92,4 tis.,</w:t>
      </w:r>
      <w:r w:rsidRPr="00E04C25">
        <w:rPr>
          <w:color w:val="auto"/>
          <w:lang w:val="cs-CZ"/>
        </w:rPr>
        <w:t xml:space="preserve"> tj. o 6,0 tis. </w:t>
      </w:r>
      <w:r w:rsidRPr="00E04C25">
        <w:rPr>
          <w:color w:val="auto"/>
        </w:rPr>
        <w:t>(</w:t>
      </w:r>
      <w:r w:rsidRPr="00E04C25">
        <w:rPr>
          <w:color w:val="auto"/>
          <w:lang w:val="cs-CZ"/>
        </w:rPr>
        <w:t>30,0</w:t>
      </w:r>
      <w:r w:rsidRPr="00E04C25">
        <w:rPr>
          <w:color w:val="auto"/>
        </w:rPr>
        <w:t> tis. žen a </w:t>
      </w:r>
      <w:r w:rsidRPr="00E04C25">
        <w:rPr>
          <w:color w:val="auto"/>
          <w:lang w:val="cs-CZ"/>
        </w:rPr>
        <w:t>62,4 </w:t>
      </w:r>
      <w:r w:rsidRPr="00E04C25">
        <w:rPr>
          <w:color w:val="auto"/>
        </w:rPr>
        <w:t>tis. mužů).</w:t>
      </w:r>
      <w:r w:rsidRPr="00E04C25">
        <w:rPr>
          <w:color w:val="auto"/>
          <w:lang w:val="cs-CZ"/>
        </w:rPr>
        <w:t xml:space="preserve"> </w:t>
      </w:r>
      <w:r w:rsidRPr="00E04C25">
        <w:rPr>
          <w:b/>
          <w:color w:val="auto"/>
          <w:lang w:val="cs-CZ"/>
        </w:rPr>
        <w:t>Z ostatních</w:t>
      </w:r>
      <w:r w:rsidRPr="00E04C25">
        <w:rPr>
          <w:b/>
          <w:color w:val="auto"/>
        </w:rPr>
        <w:t xml:space="preserve"> důvodů</w:t>
      </w:r>
      <w:r w:rsidRPr="00E04C25">
        <w:rPr>
          <w:b/>
          <w:color w:val="auto"/>
          <w:lang w:val="cs-CZ"/>
        </w:rPr>
        <w:t> </w:t>
      </w:r>
      <w:r w:rsidRPr="00E04C25">
        <w:rPr>
          <w:rStyle w:val="Znakapoznpodarou"/>
          <w:color w:val="auto"/>
        </w:rPr>
        <w:footnoteReference w:id="6"/>
      </w:r>
      <w:r w:rsidRPr="00E04C25">
        <w:rPr>
          <w:b/>
          <w:color w:val="auto"/>
        </w:rPr>
        <w:t xml:space="preserve"> </w:t>
      </w:r>
      <w:r w:rsidRPr="00E04C25">
        <w:rPr>
          <w:color w:val="auto"/>
          <w:lang w:val="cs-CZ"/>
        </w:rPr>
        <w:t>odešlo</w:t>
      </w:r>
      <w:r w:rsidRPr="00E04C25">
        <w:rPr>
          <w:b/>
          <w:color w:val="auto"/>
          <w:lang w:val="cs-CZ"/>
        </w:rPr>
        <w:t xml:space="preserve"> 120,7 </w:t>
      </w:r>
      <w:r w:rsidRPr="00E04C25">
        <w:rPr>
          <w:b/>
          <w:color w:val="auto"/>
        </w:rPr>
        <w:t xml:space="preserve">tis. osob </w:t>
      </w:r>
      <w:r w:rsidRPr="00E04C25">
        <w:rPr>
          <w:color w:val="auto"/>
        </w:rPr>
        <w:t>(</w:t>
      </w:r>
      <w:r w:rsidRPr="00E04C25">
        <w:rPr>
          <w:color w:val="auto"/>
          <w:lang w:val="cs-CZ"/>
        </w:rPr>
        <w:t>66,4</w:t>
      </w:r>
      <w:r w:rsidRPr="00E04C25">
        <w:rPr>
          <w:color w:val="auto"/>
        </w:rPr>
        <w:t> tis. žen a </w:t>
      </w:r>
      <w:r w:rsidRPr="00E04C25">
        <w:rPr>
          <w:color w:val="auto"/>
          <w:lang w:val="cs-CZ"/>
        </w:rPr>
        <w:t>54,2 </w:t>
      </w:r>
      <w:r w:rsidRPr="00E04C25">
        <w:rPr>
          <w:color w:val="auto"/>
        </w:rPr>
        <w:t>tis. mužů)</w:t>
      </w:r>
      <w:r w:rsidRPr="00E04C25">
        <w:rPr>
          <w:color w:val="auto"/>
          <w:lang w:val="cs-CZ"/>
        </w:rPr>
        <w:t xml:space="preserve">. Proti roku 2016 jich bylo méně o 10,2 tis. </w:t>
      </w:r>
    </w:p>
    <w:p w:rsidR="00D7632D" w:rsidRPr="00E04C25" w:rsidRDefault="00D7632D" w:rsidP="00637CBA">
      <w:pPr>
        <w:pStyle w:val="Zkladntext"/>
        <w:spacing w:line="360" w:lineRule="auto"/>
        <w:ind w:firstLine="567"/>
        <w:rPr>
          <w:color w:val="auto"/>
          <w:lang w:val="cs-CZ"/>
        </w:rPr>
      </w:pPr>
    </w:p>
    <w:p w:rsidR="00115440" w:rsidRPr="00E04C25" w:rsidRDefault="00115440" w:rsidP="00115440">
      <w:pPr>
        <w:pStyle w:val="Zkladntext"/>
        <w:jc w:val="center"/>
        <w:rPr>
          <w:b/>
          <w:bCs/>
          <w:color w:val="auto"/>
          <w:lang w:val="cs-CZ"/>
        </w:rPr>
      </w:pPr>
      <w:r w:rsidRPr="00E04C25">
        <w:rPr>
          <w:b/>
          <w:bCs/>
          <w:color w:val="auto"/>
        </w:rPr>
        <w:lastRenderedPageBreak/>
        <w:t>Toky evidované nezaměstnanosti (v tis. osob)</w:t>
      </w:r>
    </w:p>
    <w:p w:rsidR="004A34B4" w:rsidRPr="00E04C25" w:rsidRDefault="004A34B4" w:rsidP="004A34B4">
      <w:pPr>
        <w:pStyle w:val="Zkladntext"/>
        <w:jc w:val="right"/>
        <w:rPr>
          <w:bCs/>
          <w:color w:val="auto"/>
          <w:sz w:val="20"/>
          <w:szCs w:val="20"/>
          <w:lang w:val="cs-CZ"/>
        </w:rPr>
      </w:pPr>
      <w:r w:rsidRPr="00E04C25">
        <w:rPr>
          <w:bCs/>
          <w:color w:val="auto"/>
          <w:sz w:val="20"/>
          <w:szCs w:val="20"/>
          <w:lang w:val="cs-CZ"/>
        </w:rPr>
        <w:t>tab.</w:t>
      </w:r>
      <w:r w:rsidR="00767F7D" w:rsidRPr="00E04C25">
        <w:rPr>
          <w:bCs/>
          <w:color w:val="auto"/>
          <w:sz w:val="20"/>
          <w:szCs w:val="20"/>
          <w:lang w:val="cs-CZ"/>
        </w:rPr>
        <w:t> </w:t>
      </w:r>
      <w:r w:rsidRPr="00E04C25">
        <w:rPr>
          <w:bCs/>
          <w:color w:val="auto"/>
          <w:sz w:val="20"/>
          <w:szCs w:val="20"/>
          <w:lang w:val="cs-CZ"/>
        </w:rPr>
        <w:t>č.</w:t>
      </w:r>
      <w:r w:rsidR="00767F7D" w:rsidRPr="00E04C25">
        <w:rPr>
          <w:bCs/>
          <w:color w:val="auto"/>
          <w:sz w:val="20"/>
          <w:szCs w:val="20"/>
          <w:lang w:val="cs-CZ"/>
        </w:rPr>
        <w:t> </w:t>
      </w:r>
      <w:r w:rsidRPr="00E04C25">
        <w:rPr>
          <w:bCs/>
          <w:color w:val="auto"/>
          <w:sz w:val="20"/>
          <w:szCs w:val="20"/>
          <w:lang w:val="cs-CZ"/>
        </w:rPr>
        <w:t>17</w:t>
      </w:r>
    </w:p>
    <w:tbl>
      <w:tblPr>
        <w:tblW w:w="9072" w:type="dxa"/>
        <w:jc w:val="center"/>
        <w:tblCellMar>
          <w:left w:w="70" w:type="dxa"/>
          <w:right w:w="70" w:type="dxa"/>
        </w:tblCellMar>
        <w:tblLook w:val="04A0"/>
      </w:tblPr>
      <w:tblGrid>
        <w:gridCol w:w="2498"/>
        <w:gridCol w:w="927"/>
        <w:gridCol w:w="855"/>
        <w:gridCol w:w="914"/>
        <w:gridCol w:w="741"/>
        <w:gridCol w:w="741"/>
        <w:gridCol w:w="914"/>
        <w:gridCol w:w="741"/>
        <w:gridCol w:w="741"/>
      </w:tblGrid>
      <w:tr w:rsidR="00115440" w:rsidRPr="00E04C25" w:rsidTr="004A34B4">
        <w:trPr>
          <w:trHeight w:val="360"/>
          <w:jc w:val="center"/>
        </w:trPr>
        <w:tc>
          <w:tcPr>
            <w:tcW w:w="2498" w:type="dxa"/>
            <w:tcBorders>
              <w:top w:val="double" w:sz="6" w:space="0" w:color="auto"/>
              <w:left w:val="double" w:sz="6" w:space="0" w:color="auto"/>
              <w:bottom w:val="nil"/>
              <w:right w:val="single" w:sz="4" w:space="0" w:color="auto"/>
            </w:tcBorders>
            <w:shd w:val="clear" w:color="auto" w:fill="auto"/>
            <w:noWrap/>
            <w:vAlign w:val="center"/>
            <w:hideMark/>
          </w:tcPr>
          <w:p w:rsidR="00115440" w:rsidRPr="00E04C25" w:rsidRDefault="00115440" w:rsidP="00523B41">
            <w:pPr>
              <w:rPr>
                <w:rFonts w:ascii="Arial" w:hAnsi="Arial" w:cs="Arial"/>
                <w:sz w:val="20"/>
                <w:szCs w:val="20"/>
              </w:rPr>
            </w:pPr>
          </w:p>
          <w:p w:rsidR="004A34B4" w:rsidRPr="00E04C25" w:rsidRDefault="004A34B4" w:rsidP="00523B41">
            <w:pPr>
              <w:rPr>
                <w:rFonts w:ascii="Arial" w:hAnsi="Arial" w:cs="Arial"/>
                <w:sz w:val="20"/>
                <w:szCs w:val="20"/>
              </w:rPr>
            </w:pPr>
          </w:p>
        </w:tc>
        <w:tc>
          <w:tcPr>
            <w:tcW w:w="927"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115440" w:rsidRPr="00E04C25" w:rsidRDefault="00115440" w:rsidP="00976F7F">
            <w:pPr>
              <w:jc w:val="center"/>
              <w:rPr>
                <w:rFonts w:ascii="Arial" w:hAnsi="Arial" w:cs="Arial"/>
                <w:b/>
                <w:bCs/>
                <w:sz w:val="20"/>
                <w:szCs w:val="20"/>
              </w:rPr>
            </w:pPr>
            <w:r w:rsidRPr="00E04C25">
              <w:rPr>
                <w:rFonts w:ascii="Arial" w:hAnsi="Arial" w:cs="Arial"/>
                <w:b/>
                <w:bCs/>
                <w:sz w:val="20"/>
                <w:szCs w:val="20"/>
              </w:rPr>
              <w:t>rok 201</w:t>
            </w:r>
            <w:r w:rsidR="00976F7F" w:rsidRPr="00E04C25">
              <w:rPr>
                <w:rFonts w:ascii="Arial" w:hAnsi="Arial" w:cs="Arial"/>
                <w:b/>
                <w:bCs/>
                <w:sz w:val="20"/>
                <w:szCs w:val="20"/>
              </w:rPr>
              <w:t>6</w:t>
            </w:r>
          </w:p>
        </w:tc>
        <w:tc>
          <w:tcPr>
            <w:tcW w:w="855"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115440" w:rsidRPr="00E04C25" w:rsidRDefault="00115440" w:rsidP="00976F7F">
            <w:pPr>
              <w:jc w:val="center"/>
              <w:rPr>
                <w:rFonts w:ascii="Arial" w:hAnsi="Arial" w:cs="Arial"/>
                <w:b/>
                <w:bCs/>
                <w:sz w:val="20"/>
                <w:szCs w:val="20"/>
              </w:rPr>
            </w:pPr>
            <w:r w:rsidRPr="00E04C25">
              <w:rPr>
                <w:rFonts w:ascii="Arial" w:hAnsi="Arial" w:cs="Arial"/>
                <w:b/>
                <w:bCs/>
                <w:sz w:val="20"/>
                <w:szCs w:val="20"/>
              </w:rPr>
              <w:t>rok 201</w:t>
            </w:r>
            <w:r w:rsidR="00976F7F" w:rsidRPr="00E04C25">
              <w:rPr>
                <w:rFonts w:ascii="Arial" w:hAnsi="Arial" w:cs="Arial"/>
                <w:b/>
                <w:bCs/>
                <w:sz w:val="20"/>
                <w:szCs w:val="20"/>
              </w:rPr>
              <w:t>7</w:t>
            </w:r>
          </w:p>
        </w:tc>
        <w:tc>
          <w:tcPr>
            <w:tcW w:w="2396" w:type="dxa"/>
            <w:gridSpan w:val="3"/>
            <w:tcBorders>
              <w:top w:val="double" w:sz="6" w:space="0" w:color="auto"/>
              <w:left w:val="nil"/>
              <w:bottom w:val="single" w:sz="4" w:space="0" w:color="auto"/>
              <w:right w:val="nil"/>
            </w:tcBorders>
            <w:shd w:val="clear" w:color="auto" w:fill="auto"/>
            <w:noWrap/>
            <w:vAlign w:val="center"/>
            <w:hideMark/>
          </w:tcPr>
          <w:p w:rsidR="00115440" w:rsidRPr="00E04C25" w:rsidRDefault="00976F7F" w:rsidP="00976F7F">
            <w:pPr>
              <w:jc w:val="center"/>
              <w:rPr>
                <w:rFonts w:ascii="Arial" w:hAnsi="Arial" w:cs="Arial"/>
                <w:b/>
                <w:bCs/>
                <w:sz w:val="20"/>
                <w:szCs w:val="20"/>
              </w:rPr>
            </w:pPr>
            <w:r w:rsidRPr="00E04C25">
              <w:rPr>
                <w:rFonts w:ascii="Arial" w:hAnsi="Arial" w:cs="Arial"/>
                <w:b/>
                <w:bCs/>
                <w:sz w:val="20"/>
                <w:szCs w:val="20"/>
              </w:rPr>
              <w:t>1</w:t>
            </w:r>
            <w:r w:rsidR="00115440" w:rsidRPr="00E04C25">
              <w:rPr>
                <w:rFonts w:ascii="Arial" w:hAnsi="Arial" w:cs="Arial"/>
                <w:b/>
                <w:bCs/>
                <w:sz w:val="20"/>
                <w:szCs w:val="20"/>
              </w:rPr>
              <w:t>. pololetí 201</w:t>
            </w:r>
            <w:r w:rsidRPr="00E04C25">
              <w:rPr>
                <w:rFonts w:ascii="Arial" w:hAnsi="Arial" w:cs="Arial"/>
                <w:b/>
                <w:bCs/>
                <w:sz w:val="20"/>
                <w:szCs w:val="20"/>
              </w:rPr>
              <w:t>7</w:t>
            </w:r>
          </w:p>
        </w:tc>
        <w:tc>
          <w:tcPr>
            <w:tcW w:w="2396" w:type="dxa"/>
            <w:gridSpan w:val="3"/>
            <w:tcBorders>
              <w:top w:val="double" w:sz="6" w:space="0" w:color="auto"/>
              <w:left w:val="single" w:sz="4" w:space="0" w:color="auto"/>
              <w:bottom w:val="single" w:sz="4" w:space="0" w:color="auto"/>
              <w:right w:val="double" w:sz="6" w:space="0" w:color="000000"/>
            </w:tcBorders>
            <w:shd w:val="clear" w:color="auto" w:fill="auto"/>
            <w:noWrap/>
            <w:vAlign w:val="center"/>
            <w:hideMark/>
          </w:tcPr>
          <w:p w:rsidR="00115440" w:rsidRPr="00E04C25" w:rsidRDefault="00976F7F" w:rsidP="00976F7F">
            <w:pPr>
              <w:jc w:val="center"/>
              <w:rPr>
                <w:rFonts w:ascii="Arial" w:hAnsi="Arial" w:cs="Arial"/>
                <w:b/>
                <w:bCs/>
                <w:sz w:val="20"/>
                <w:szCs w:val="20"/>
              </w:rPr>
            </w:pPr>
            <w:r w:rsidRPr="00E04C25">
              <w:rPr>
                <w:rFonts w:ascii="Arial" w:hAnsi="Arial" w:cs="Arial"/>
                <w:b/>
                <w:bCs/>
                <w:sz w:val="20"/>
                <w:szCs w:val="20"/>
              </w:rPr>
              <w:t>2</w:t>
            </w:r>
            <w:r w:rsidR="00115440" w:rsidRPr="00E04C25">
              <w:rPr>
                <w:rFonts w:ascii="Arial" w:hAnsi="Arial" w:cs="Arial"/>
                <w:b/>
                <w:bCs/>
                <w:sz w:val="20"/>
                <w:szCs w:val="20"/>
              </w:rPr>
              <w:t>. pololetí 201</w:t>
            </w:r>
            <w:r w:rsidRPr="00E04C25">
              <w:rPr>
                <w:rFonts w:ascii="Arial" w:hAnsi="Arial" w:cs="Arial"/>
                <w:b/>
                <w:bCs/>
                <w:sz w:val="20"/>
                <w:szCs w:val="20"/>
              </w:rPr>
              <w:t>7</w:t>
            </w:r>
          </w:p>
        </w:tc>
      </w:tr>
      <w:tr w:rsidR="00115440" w:rsidRPr="00E04C25" w:rsidTr="004A34B4">
        <w:trPr>
          <w:trHeight w:val="360"/>
          <w:jc w:val="center"/>
        </w:trPr>
        <w:tc>
          <w:tcPr>
            <w:tcW w:w="2498" w:type="dxa"/>
            <w:tcBorders>
              <w:top w:val="nil"/>
              <w:left w:val="double" w:sz="6" w:space="0" w:color="auto"/>
              <w:bottom w:val="single" w:sz="4" w:space="0" w:color="auto"/>
              <w:right w:val="single" w:sz="4" w:space="0" w:color="auto"/>
            </w:tcBorders>
            <w:shd w:val="clear" w:color="auto" w:fill="auto"/>
            <w:noWrap/>
            <w:vAlign w:val="center"/>
            <w:hideMark/>
          </w:tcPr>
          <w:p w:rsidR="00115440" w:rsidRPr="00E04C25" w:rsidRDefault="00115440" w:rsidP="00523B41">
            <w:pPr>
              <w:rPr>
                <w:rFonts w:ascii="Arial" w:hAnsi="Arial" w:cs="Arial"/>
                <w:sz w:val="20"/>
                <w:szCs w:val="20"/>
              </w:rPr>
            </w:pPr>
            <w:r w:rsidRPr="00E04C25">
              <w:rPr>
                <w:rFonts w:ascii="Arial" w:hAnsi="Arial" w:cs="Arial"/>
                <w:sz w:val="20"/>
                <w:szCs w:val="20"/>
              </w:rPr>
              <w:t> </w:t>
            </w:r>
          </w:p>
        </w:tc>
        <w:tc>
          <w:tcPr>
            <w:tcW w:w="927" w:type="dxa"/>
            <w:vMerge/>
            <w:tcBorders>
              <w:top w:val="double" w:sz="6" w:space="0" w:color="auto"/>
              <w:left w:val="single" w:sz="4" w:space="0" w:color="auto"/>
              <w:bottom w:val="single" w:sz="4" w:space="0" w:color="000000"/>
              <w:right w:val="single" w:sz="4" w:space="0" w:color="auto"/>
            </w:tcBorders>
            <w:vAlign w:val="center"/>
            <w:hideMark/>
          </w:tcPr>
          <w:p w:rsidR="00115440" w:rsidRPr="00E04C25" w:rsidRDefault="00115440" w:rsidP="00523B41">
            <w:pPr>
              <w:rPr>
                <w:rFonts w:ascii="Arial" w:hAnsi="Arial" w:cs="Arial"/>
                <w:b/>
                <w:bCs/>
                <w:sz w:val="20"/>
                <w:szCs w:val="20"/>
              </w:rPr>
            </w:pPr>
          </w:p>
        </w:tc>
        <w:tc>
          <w:tcPr>
            <w:tcW w:w="855" w:type="dxa"/>
            <w:vMerge/>
            <w:tcBorders>
              <w:top w:val="double" w:sz="6" w:space="0" w:color="auto"/>
              <w:left w:val="single" w:sz="4" w:space="0" w:color="auto"/>
              <w:bottom w:val="single" w:sz="4" w:space="0" w:color="000000"/>
              <w:right w:val="single" w:sz="4" w:space="0" w:color="auto"/>
            </w:tcBorders>
            <w:vAlign w:val="center"/>
            <w:hideMark/>
          </w:tcPr>
          <w:p w:rsidR="00115440" w:rsidRPr="00E04C25" w:rsidRDefault="00115440" w:rsidP="00523B41">
            <w:pPr>
              <w:rPr>
                <w:rFonts w:ascii="Arial" w:hAnsi="Arial" w:cs="Arial"/>
                <w:b/>
                <w:bCs/>
                <w:sz w:val="20"/>
                <w:szCs w:val="20"/>
              </w:rPr>
            </w:pPr>
          </w:p>
        </w:tc>
        <w:tc>
          <w:tcPr>
            <w:tcW w:w="914" w:type="dxa"/>
            <w:tcBorders>
              <w:top w:val="nil"/>
              <w:left w:val="nil"/>
              <w:bottom w:val="single" w:sz="4" w:space="0" w:color="auto"/>
              <w:right w:val="nil"/>
            </w:tcBorders>
            <w:shd w:val="clear" w:color="auto" w:fill="auto"/>
            <w:noWrap/>
            <w:tcMar>
              <w:right w:w="57" w:type="dxa"/>
            </w:tcMar>
            <w:vAlign w:val="center"/>
            <w:hideMark/>
          </w:tcPr>
          <w:p w:rsidR="00115440" w:rsidRPr="00E04C25" w:rsidRDefault="00115440" w:rsidP="00523B41">
            <w:pPr>
              <w:jc w:val="center"/>
              <w:rPr>
                <w:rFonts w:ascii="Arial" w:hAnsi="Arial" w:cs="Arial"/>
                <w:b/>
                <w:bCs/>
                <w:sz w:val="20"/>
                <w:szCs w:val="20"/>
              </w:rPr>
            </w:pPr>
            <w:r w:rsidRPr="00E04C25">
              <w:rPr>
                <w:rFonts w:ascii="Arial" w:hAnsi="Arial" w:cs="Arial"/>
                <w:b/>
                <w:bCs/>
                <w:sz w:val="20"/>
                <w:szCs w:val="20"/>
              </w:rPr>
              <w:t>Celkem</w:t>
            </w:r>
          </w:p>
        </w:tc>
        <w:tc>
          <w:tcPr>
            <w:tcW w:w="741"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115440" w:rsidRPr="00E04C25" w:rsidRDefault="00115440" w:rsidP="00523B41">
            <w:pPr>
              <w:jc w:val="center"/>
              <w:rPr>
                <w:rFonts w:ascii="Arial" w:hAnsi="Arial" w:cs="Arial"/>
                <w:b/>
                <w:bCs/>
                <w:sz w:val="20"/>
                <w:szCs w:val="20"/>
              </w:rPr>
            </w:pPr>
            <w:r w:rsidRPr="00E04C25">
              <w:rPr>
                <w:rFonts w:ascii="Arial" w:hAnsi="Arial" w:cs="Arial"/>
                <w:b/>
                <w:bCs/>
                <w:sz w:val="20"/>
                <w:szCs w:val="20"/>
              </w:rPr>
              <w:t>I. Q</w:t>
            </w:r>
          </w:p>
        </w:tc>
        <w:tc>
          <w:tcPr>
            <w:tcW w:w="741" w:type="dxa"/>
            <w:tcBorders>
              <w:top w:val="nil"/>
              <w:left w:val="nil"/>
              <w:bottom w:val="single" w:sz="4" w:space="0" w:color="auto"/>
              <w:right w:val="nil"/>
            </w:tcBorders>
            <w:shd w:val="clear" w:color="auto" w:fill="auto"/>
            <w:noWrap/>
            <w:tcMar>
              <w:right w:w="57" w:type="dxa"/>
            </w:tcMar>
            <w:vAlign w:val="center"/>
            <w:hideMark/>
          </w:tcPr>
          <w:p w:rsidR="00115440" w:rsidRPr="00E04C25" w:rsidRDefault="00115440" w:rsidP="00523B41">
            <w:pPr>
              <w:jc w:val="center"/>
              <w:rPr>
                <w:rFonts w:ascii="Arial" w:hAnsi="Arial" w:cs="Arial"/>
                <w:b/>
                <w:bCs/>
                <w:sz w:val="20"/>
                <w:szCs w:val="20"/>
              </w:rPr>
            </w:pPr>
            <w:r w:rsidRPr="00E04C25">
              <w:rPr>
                <w:rFonts w:ascii="Arial" w:hAnsi="Arial" w:cs="Arial"/>
                <w:b/>
                <w:bCs/>
                <w:sz w:val="20"/>
                <w:szCs w:val="20"/>
              </w:rPr>
              <w:t>II.Q</w:t>
            </w:r>
          </w:p>
        </w:tc>
        <w:tc>
          <w:tcPr>
            <w:tcW w:w="914" w:type="dxa"/>
            <w:tcBorders>
              <w:top w:val="nil"/>
              <w:left w:val="single" w:sz="4" w:space="0" w:color="auto"/>
              <w:bottom w:val="single" w:sz="4" w:space="0" w:color="auto"/>
              <w:right w:val="single" w:sz="4" w:space="0" w:color="auto"/>
            </w:tcBorders>
            <w:shd w:val="clear" w:color="auto" w:fill="auto"/>
            <w:noWrap/>
            <w:tcMar>
              <w:right w:w="57" w:type="dxa"/>
            </w:tcMar>
            <w:vAlign w:val="center"/>
            <w:hideMark/>
          </w:tcPr>
          <w:p w:rsidR="00115440" w:rsidRPr="00E04C25" w:rsidRDefault="00115440" w:rsidP="00523B41">
            <w:pPr>
              <w:jc w:val="center"/>
              <w:rPr>
                <w:rFonts w:ascii="Arial" w:hAnsi="Arial" w:cs="Arial"/>
                <w:b/>
                <w:bCs/>
                <w:sz w:val="20"/>
                <w:szCs w:val="20"/>
              </w:rPr>
            </w:pPr>
            <w:r w:rsidRPr="00E04C25">
              <w:rPr>
                <w:rFonts w:ascii="Arial" w:hAnsi="Arial" w:cs="Arial"/>
                <w:b/>
                <w:bCs/>
                <w:sz w:val="20"/>
                <w:szCs w:val="20"/>
              </w:rPr>
              <w:t>Celkem</w:t>
            </w:r>
          </w:p>
        </w:tc>
        <w:tc>
          <w:tcPr>
            <w:tcW w:w="741" w:type="dxa"/>
            <w:tcBorders>
              <w:top w:val="nil"/>
              <w:left w:val="nil"/>
              <w:bottom w:val="single" w:sz="4" w:space="0" w:color="auto"/>
              <w:right w:val="single" w:sz="4" w:space="0" w:color="auto"/>
            </w:tcBorders>
            <w:shd w:val="clear" w:color="auto" w:fill="auto"/>
            <w:noWrap/>
            <w:tcMar>
              <w:right w:w="57" w:type="dxa"/>
            </w:tcMar>
            <w:vAlign w:val="center"/>
            <w:hideMark/>
          </w:tcPr>
          <w:p w:rsidR="00115440" w:rsidRPr="00E04C25" w:rsidRDefault="00115440" w:rsidP="00523B41">
            <w:pPr>
              <w:jc w:val="center"/>
              <w:rPr>
                <w:rFonts w:ascii="Arial" w:hAnsi="Arial" w:cs="Arial"/>
                <w:b/>
                <w:bCs/>
                <w:sz w:val="20"/>
                <w:szCs w:val="20"/>
              </w:rPr>
            </w:pPr>
            <w:r w:rsidRPr="00E04C25">
              <w:rPr>
                <w:rFonts w:ascii="Arial" w:hAnsi="Arial" w:cs="Arial"/>
                <w:b/>
                <w:bCs/>
                <w:sz w:val="20"/>
                <w:szCs w:val="20"/>
              </w:rPr>
              <w:t>III.Q</w:t>
            </w:r>
          </w:p>
        </w:tc>
        <w:tc>
          <w:tcPr>
            <w:tcW w:w="741" w:type="dxa"/>
            <w:tcBorders>
              <w:top w:val="nil"/>
              <w:left w:val="nil"/>
              <w:bottom w:val="single" w:sz="4" w:space="0" w:color="auto"/>
              <w:right w:val="double" w:sz="6" w:space="0" w:color="auto"/>
            </w:tcBorders>
            <w:shd w:val="clear" w:color="auto" w:fill="auto"/>
            <w:noWrap/>
            <w:tcMar>
              <w:right w:w="57" w:type="dxa"/>
            </w:tcMar>
            <w:vAlign w:val="center"/>
            <w:hideMark/>
          </w:tcPr>
          <w:p w:rsidR="00115440" w:rsidRPr="00E04C25" w:rsidRDefault="00115440" w:rsidP="00523B41">
            <w:pPr>
              <w:jc w:val="center"/>
              <w:rPr>
                <w:rFonts w:ascii="Arial" w:hAnsi="Arial" w:cs="Arial"/>
                <w:b/>
                <w:bCs/>
                <w:sz w:val="20"/>
                <w:szCs w:val="20"/>
              </w:rPr>
            </w:pPr>
            <w:r w:rsidRPr="00E04C25">
              <w:rPr>
                <w:rFonts w:ascii="Arial" w:hAnsi="Arial" w:cs="Arial"/>
                <w:b/>
                <w:bCs/>
                <w:sz w:val="20"/>
                <w:szCs w:val="20"/>
              </w:rPr>
              <w:t>IV.Q</w:t>
            </w:r>
          </w:p>
        </w:tc>
      </w:tr>
      <w:tr w:rsidR="004A34B4" w:rsidRPr="00E04C25" w:rsidTr="004A34B4">
        <w:trPr>
          <w:trHeight w:val="330"/>
          <w:jc w:val="center"/>
        </w:trPr>
        <w:tc>
          <w:tcPr>
            <w:tcW w:w="2498" w:type="dxa"/>
            <w:tcBorders>
              <w:top w:val="nil"/>
              <w:left w:val="double" w:sz="6" w:space="0" w:color="auto"/>
              <w:bottom w:val="single" w:sz="4" w:space="0" w:color="auto"/>
              <w:right w:val="single" w:sz="4" w:space="0" w:color="auto"/>
            </w:tcBorders>
            <w:shd w:val="clear" w:color="auto" w:fill="auto"/>
            <w:noWrap/>
            <w:vAlign w:val="center"/>
            <w:hideMark/>
          </w:tcPr>
          <w:p w:rsidR="004A34B4" w:rsidRPr="00E04C25" w:rsidRDefault="004A34B4" w:rsidP="00523B41">
            <w:pPr>
              <w:rPr>
                <w:rFonts w:ascii="Arial" w:hAnsi="Arial" w:cs="Arial"/>
                <w:b/>
                <w:bCs/>
                <w:sz w:val="20"/>
                <w:szCs w:val="20"/>
              </w:rPr>
            </w:pPr>
            <w:r w:rsidRPr="00E04C25">
              <w:rPr>
                <w:rFonts w:ascii="Arial" w:hAnsi="Arial" w:cs="Arial"/>
                <w:b/>
                <w:bCs/>
                <w:sz w:val="20"/>
                <w:szCs w:val="20"/>
              </w:rPr>
              <w:t>nově evidovaní</w:t>
            </w:r>
          </w:p>
        </w:tc>
        <w:tc>
          <w:tcPr>
            <w:tcW w:w="927" w:type="dxa"/>
            <w:tcBorders>
              <w:top w:val="nil"/>
              <w:left w:val="nil"/>
              <w:bottom w:val="single" w:sz="4" w:space="0" w:color="auto"/>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564,4</w:t>
            </w:r>
          </w:p>
        </w:tc>
        <w:tc>
          <w:tcPr>
            <w:tcW w:w="855" w:type="dxa"/>
            <w:tcBorders>
              <w:top w:val="nil"/>
              <w:left w:val="nil"/>
              <w:bottom w:val="single" w:sz="4" w:space="0" w:color="auto"/>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500,2</w:t>
            </w:r>
          </w:p>
        </w:tc>
        <w:tc>
          <w:tcPr>
            <w:tcW w:w="914" w:type="dxa"/>
            <w:tcBorders>
              <w:top w:val="nil"/>
              <w:left w:val="nil"/>
              <w:bottom w:val="single" w:sz="4" w:space="0" w:color="auto"/>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250,8</w:t>
            </w:r>
          </w:p>
        </w:tc>
        <w:tc>
          <w:tcPr>
            <w:tcW w:w="741" w:type="dxa"/>
            <w:tcBorders>
              <w:top w:val="nil"/>
              <w:left w:val="single" w:sz="4" w:space="0" w:color="auto"/>
              <w:bottom w:val="single" w:sz="4" w:space="0" w:color="auto"/>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140,4</w:t>
            </w:r>
          </w:p>
        </w:tc>
        <w:tc>
          <w:tcPr>
            <w:tcW w:w="741" w:type="dxa"/>
            <w:tcBorders>
              <w:top w:val="nil"/>
              <w:left w:val="nil"/>
              <w:bottom w:val="single" w:sz="4" w:space="0" w:color="auto"/>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110,3</w:t>
            </w:r>
          </w:p>
        </w:tc>
        <w:tc>
          <w:tcPr>
            <w:tcW w:w="914"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249,4</w:t>
            </w:r>
          </w:p>
        </w:tc>
        <w:tc>
          <w:tcPr>
            <w:tcW w:w="741"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123,8</w:t>
            </w:r>
          </w:p>
        </w:tc>
        <w:tc>
          <w:tcPr>
            <w:tcW w:w="741" w:type="dxa"/>
            <w:tcBorders>
              <w:top w:val="nil"/>
              <w:left w:val="nil"/>
              <w:bottom w:val="single" w:sz="4" w:space="0" w:color="auto"/>
              <w:right w:val="double" w:sz="6"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125,6</w:t>
            </w:r>
          </w:p>
        </w:tc>
      </w:tr>
      <w:tr w:rsidR="004A34B4" w:rsidRPr="00E04C25" w:rsidTr="004A34B4">
        <w:trPr>
          <w:trHeight w:val="285"/>
          <w:jc w:val="center"/>
        </w:trPr>
        <w:tc>
          <w:tcPr>
            <w:tcW w:w="2498" w:type="dxa"/>
            <w:tcBorders>
              <w:top w:val="nil"/>
              <w:left w:val="double" w:sz="6" w:space="0" w:color="auto"/>
              <w:bottom w:val="nil"/>
              <w:right w:val="single" w:sz="4" w:space="0" w:color="auto"/>
            </w:tcBorders>
            <w:shd w:val="clear" w:color="auto" w:fill="auto"/>
            <w:noWrap/>
            <w:vAlign w:val="center"/>
            <w:hideMark/>
          </w:tcPr>
          <w:p w:rsidR="004A34B4" w:rsidRPr="00E04C25" w:rsidRDefault="004A34B4" w:rsidP="00523B41">
            <w:pPr>
              <w:rPr>
                <w:rFonts w:ascii="Arial" w:hAnsi="Arial" w:cs="Arial"/>
                <w:b/>
                <w:bCs/>
                <w:sz w:val="20"/>
                <w:szCs w:val="20"/>
              </w:rPr>
            </w:pPr>
            <w:r w:rsidRPr="00E04C25">
              <w:rPr>
                <w:rFonts w:ascii="Arial" w:hAnsi="Arial" w:cs="Arial"/>
                <w:b/>
                <w:bCs/>
                <w:sz w:val="20"/>
                <w:szCs w:val="20"/>
              </w:rPr>
              <w:t xml:space="preserve">v tom </w:t>
            </w:r>
            <w:r w:rsidRPr="00E04C25">
              <w:rPr>
                <w:rFonts w:ascii="Arial" w:hAnsi="Arial" w:cs="Arial"/>
                <w:sz w:val="20"/>
                <w:szCs w:val="20"/>
              </w:rPr>
              <w:t xml:space="preserve"> ženy</w:t>
            </w:r>
          </w:p>
        </w:tc>
        <w:tc>
          <w:tcPr>
            <w:tcW w:w="927" w:type="dxa"/>
            <w:tcBorders>
              <w:top w:val="nil"/>
              <w:left w:val="nil"/>
              <w:bottom w:val="nil"/>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271,3</w:t>
            </w:r>
          </w:p>
        </w:tc>
        <w:tc>
          <w:tcPr>
            <w:tcW w:w="855" w:type="dxa"/>
            <w:tcBorders>
              <w:top w:val="nil"/>
              <w:left w:val="nil"/>
              <w:bottom w:val="nil"/>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241,7</w:t>
            </w:r>
          </w:p>
        </w:tc>
        <w:tc>
          <w:tcPr>
            <w:tcW w:w="914"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119,1</w:t>
            </w:r>
          </w:p>
        </w:tc>
        <w:tc>
          <w:tcPr>
            <w:tcW w:w="741"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63,7</w:t>
            </w:r>
          </w:p>
        </w:tc>
        <w:tc>
          <w:tcPr>
            <w:tcW w:w="741"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55,4</w:t>
            </w:r>
          </w:p>
        </w:tc>
        <w:tc>
          <w:tcPr>
            <w:tcW w:w="914" w:type="dxa"/>
            <w:tcBorders>
              <w:top w:val="single" w:sz="4" w:space="0" w:color="auto"/>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122,6</w:t>
            </w:r>
          </w:p>
        </w:tc>
        <w:tc>
          <w:tcPr>
            <w:tcW w:w="741" w:type="dxa"/>
            <w:tcBorders>
              <w:top w:val="single" w:sz="4" w:space="0" w:color="auto"/>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66,7</w:t>
            </w:r>
          </w:p>
        </w:tc>
        <w:tc>
          <w:tcPr>
            <w:tcW w:w="741" w:type="dxa"/>
            <w:tcBorders>
              <w:top w:val="nil"/>
              <w:left w:val="nil"/>
              <w:bottom w:val="nil"/>
              <w:right w:val="double" w:sz="6"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55,9</w:t>
            </w:r>
          </w:p>
        </w:tc>
      </w:tr>
      <w:tr w:rsidR="004A34B4" w:rsidRPr="00E04C25" w:rsidTr="004A34B4">
        <w:trPr>
          <w:trHeight w:val="285"/>
          <w:jc w:val="center"/>
        </w:trPr>
        <w:tc>
          <w:tcPr>
            <w:tcW w:w="2498" w:type="dxa"/>
            <w:tcBorders>
              <w:top w:val="nil"/>
              <w:left w:val="double" w:sz="6" w:space="0" w:color="auto"/>
              <w:bottom w:val="single" w:sz="4" w:space="0" w:color="auto"/>
              <w:right w:val="single" w:sz="4" w:space="0" w:color="auto"/>
            </w:tcBorders>
            <w:shd w:val="clear" w:color="auto" w:fill="auto"/>
            <w:noWrap/>
            <w:vAlign w:val="center"/>
            <w:hideMark/>
          </w:tcPr>
          <w:p w:rsidR="004A34B4" w:rsidRPr="00E04C25" w:rsidRDefault="004A34B4" w:rsidP="00523B41">
            <w:pPr>
              <w:rPr>
                <w:rFonts w:ascii="Arial" w:hAnsi="Arial" w:cs="Arial"/>
                <w:sz w:val="20"/>
                <w:szCs w:val="20"/>
              </w:rPr>
            </w:pPr>
            <w:r w:rsidRPr="00E04C25">
              <w:rPr>
                <w:rFonts w:ascii="Arial" w:hAnsi="Arial" w:cs="Arial"/>
                <w:sz w:val="20"/>
                <w:szCs w:val="20"/>
              </w:rPr>
              <w:t xml:space="preserve">           muži</w:t>
            </w:r>
          </w:p>
        </w:tc>
        <w:tc>
          <w:tcPr>
            <w:tcW w:w="927" w:type="dxa"/>
            <w:tcBorders>
              <w:top w:val="nil"/>
              <w:left w:val="nil"/>
              <w:bottom w:val="nil"/>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293,1</w:t>
            </w:r>
          </w:p>
        </w:tc>
        <w:tc>
          <w:tcPr>
            <w:tcW w:w="855" w:type="dxa"/>
            <w:tcBorders>
              <w:top w:val="nil"/>
              <w:left w:val="nil"/>
              <w:bottom w:val="nil"/>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258,5</w:t>
            </w:r>
          </w:p>
        </w:tc>
        <w:tc>
          <w:tcPr>
            <w:tcW w:w="914" w:type="dxa"/>
            <w:tcBorders>
              <w:top w:val="nil"/>
              <w:left w:val="nil"/>
              <w:bottom w:val="single" w:sz="4" w:space="0" w:color="auto"/>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131,7</w:t>
            </w:r>
          </w:p>
        </w:tc>
        <w:tc>
          <w:tcPr>
            <w:tcW w:w="741" w:type="dxa"/>
            <w:tcBorders>
              <w:top w:val="nil"/>
              <w:left w:val="single" w:sz="4" w:space="0" w:color="auto"/>
              <w:bottom w:val="single" w:sz="4" w:space="0" w:color="auto"/>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76,7</w:t>
            </w:r>
          </w:p>
        </w:tc>
        <w:tc>
          <w:tcPr>
            <w:tcW w:w="741" w:type="dxa"/>
            <w:tcBorders>
              <w:top w:val="nil"/>
              <w:left w:val="nil"/>
              <w:bottom w:val="single" w:sz="4" w:space="0" w:color="auto"/>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54,9</w:t>
            </w:r>
          </w:p>
        </w:tc>
        <w:tc>
          <w:tcPr>
            <w:tcW w:w="914" w:type="dxa"/>
            <w:tcBorders>
              <w:top w:val="nil"/>
              <w:left w:val="single" w:sz="4" w:space="0" w:color="auto"/>
              <w:bottom w:val="single" w:sz="4" w:space="0" w:color="auto"/>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126,8</w:t>
            </w:r>
          </w:p>
        </w:tc>
        <w:tc>
          <w:tcPr>
            <w:tcW w:w="741" w:type="dxa"/>
            <w:tcBorders>
              <w:top w:val="nil"/>
              <w:left w:val="nil"/>
              <w:bottom w:val="single" w:sz="4" w:space="0" w:color="auto"/>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57,1</w:t>
            </w:r>
          </w:p>
        </w:tc>
        <w:tc>
          <w:tcPr>
            <w:tcW w:w="741" w:type="dxa"/>
            <w:tcBorders>
              <w:top w:val="nil"/>
              <w:left w:val="nil"/>
              <w:bottom w:val="single" w:sz="4" w:space="0" w:color="auto"/>
              <w:right w:val="double" w:sz="6"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69,7</w:t>
            </w:r>
          </w:p>
        </w:tc>
      </w:tr>
      <w:tr w:rsidR="004A34B4" w:rsidRPr="00E04C25" w:rsidTr="004A34B4">
        <w:trPr>
          <w:trHeight w:val="315"/>
          <w:jc w:val="center"/>
        </w:trPr>
        <w:tc>
          <w:tcPr>
            <w:tcW w:w="2498" w:type="dxa"/>
            <w:tcBorders>
              <w:top w:val="nil"/>
              <w:left w:val="double" w:sz="6" w:space="0" w:color="auto"/>
              <w:bottom w:val="nil"/>
              <w:right w:val="single" w:sz="4" w:space="0" w:color="auto"/>
            </w:tcBorders>
            <w:shd w:val="clear" w:color="auto" w:fill="auto"/>
            <w:noWrap/>
            <w:vAlign w:val="center"/>
            <w:hideMark/>
          </w:tcPr>
          <w:p w:rsidR="004A34B4" w:rsidRPr="00E04C25" w:rsidRDefault="004A34B4" w:rsidP="00523B41">
            <w:pPr>
              <w:rPr>
                <w:rFonts w:ascii="Arial" w:hAnsi="Arial" w:cs="Arial"/>
                <w:b/>
                <w:bCs/>
                <w:sz w:val="20"/>
                <w:szCs w:val="20"/>
              </w:rPr>
            </w:pPr>
            <w:r w:rsidRPr="00E04C25">
              <w:rPr>
                <w:rFonts w:ascii="Arial" w:hAnsi="Arial" w:cs="Arial"/>
                <w:b/>
                <w:bCs/>
                <w:sz w:val="20"/>
                <w:szCs w:val="20"/>
              </w:rPr>
              <w:t>ukončení evidence,</w:t>
            </w:r>
          </w:p>
          <w:p w:rsidR="004A34B4" w:rsidRPr="00E04C25" w:rsidRDefault="004A34B4" w:rsidP="00523B41">
            <w:pPr>
              <w:rPr>
                <w:rFonts w:ascii="Arial" w:hAnsi="Arial" w:cs="Arial"/>
                <w:b/>
                <w:bCs/>
                <w:sz w:val="20"/>
                <w:szCs w:val="20"/>
              </w:rPr>
            </w:pPr>
            <w:r w:rsidRPr="00E04C25">
              <w:rPr>
                <w:rFonts w:ascii="Arial" w:hAnsi="Arial" w:cs="Arial"/>
                <w:b/>
                <w:bCs/>
                <w:sz w:val="20"/>
                <w:szCs w:val="20"/>
              </w:rPr>
              <w:t>vyřazení z evid. - celkem</w:t>
            </w:r>
          </w:p>
        </w:tc>
        <w:tc>
          <w:tcPr>
            <w:tcW w:w="927" w:type="dxa"/>
            <w:tcBorders>
              <w:top w:val="single" w:sz="4" w:space="0" w:color="auto"/>
              <w:left w:val="nil"/>
              <w:bottom w:val="nil"/>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636,1</w:t>
            </w:r>
          </w:p>
        </w:tc>
        <w:tc>
          <w:tcPr>
            <w:tcW w:w="855" w:type="dxa"/>
            <w:tcBorders>
              <w:top w:val="single" w:sz="4" w:space="0" w:color="auto"/>
              <w:left w:val="nil"/>
              <w:bottom w:val="nil"/>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600,9</w:t>
            </w:r>
          </w:p>
        </w:tc>
        <w:tc>
          <w:tcPr>
            <w:tcW w:w="914"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334,7</w:t>
            </w:r>
          </w:p>
        </w:tc>
        <w:tc>
          <w:tcPr>
            <w:tcW w:w="741"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165,7</w:t>
            </w:r>
          </w:p>
        </w:tc>
        <w:tc>
          <w:tcPr>
            <w:tcW w:w="741"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169,0</w:t>
            </w:r>
          </w:p>
        </w:tc>
        <w:tc>
          <w:tcPr>
            <w:tcW w:w="914"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266,2</w:t>
            </w:r>
          </w:p>
        </w:tc>
        <w:tc>
          <w:tcPr>
            <w:tcW w:w="741"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136,3</w:t>
            </w:r>
          </w:p>
        </w:tc>
        <w:tc>
          <w:tcPr>
            <w:tcW w:w="741" w:type="dxa"/>
            <w:tcBorders>
              <w:top w:val="nil"/>
              <w:left w:val="nil"/>
              <w:bottom w:val="nil"/>
              <w:right w:val="double" w:sz="6"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129,9</w:t>
            </w:r>
          </w:p>
        </w:tc>
      </w:tr>
      <w:tr w:rsidR="004A34B4" w:rsidRPr="00E04C25" w:rsidTr="004A34B4">
        <w:trPr>
          <w:trHeight w:val="255"/>
          <w:jc w:val="center"/>
        </w:trPr>
        <w:tc>
          <w:tcPr>
            <w:tcW w:w="2498" w:type="dxa"/>
            <w:tcBorders>
              <w:top w:val="nil"/>
              <w:left w:val="double" w:sz="6" w:space="0" w:color="auto"/>
              <w:bottom w:val="nil"/>
              <w:right w:val="single" w:sz="4" w:space="0" w:color="auto"/>
            </w:tcBorders>
            <w:shd w:val="clear" w:color="auto" w:fill="auto"/>
            <w:noWrap/>
            <w:vAlign w:val="center"/>
            <w:hideMark/>
          </w:tcPr>
          <w:p w:rsidR="004A34B4" w:rsidRPr="00E04C25" w:rsidRDefault="004A34B4" w:rsidP="00523B41">
            <w:pPr>
              <w:rPr>
                <w:rFonts w:ascii="Arial" w:hAnsi="Arial" w:cs="Arial"/>
                <w:b/>
                <w:bCs/>
                <w:sz w:val="20"/>
                <w:szCs w:val="20"/>
              </w:rPr>
            </w:pPr>
            <w:r w:rsidRPr="00E04C25">
              <w:rPr>
                <w:rFonts w:ascii="Arial" w:hAnsi="Arial" w:cs="Arial"/>
                <w:b/>
                <w:bCs/>
                <w:sz w:val="20"/>
                <w:szCs w:val="20"/>
              </w:rPr>
              <w:t>z toho:</w:t>
            </w:r>
          </w:p>
        </w:tc>
        <w:tc>
          <w:tcPr>
            <w:tcW w:w="927" w:type="dxa"/>
            <w:tcBorders>
              <w:top w:val="nil"/>
              <w:left w:val="nil"/>
              <w:bottom w:val="nil"/>
              <w:right w:val="single" w:sz="4" w:space="0" w:color="auto"/>
            </w:tcBorders>
            <w:shd w:val="clear" w:color="auto" w:fill="auto"/>
            <w:tcMar>
              <w:left w:w="0" w:type="dxa"/>
              <w:right w:w="85" w:type="dxa"/>
            </w:tcMar>
            <w:vAlign w:val="center"/>
            <w:hideMark/>
          </w:tcPr>
          <w:p w:rsidR="004A34B4" w:rsidRPr="00E04C25" w:rsidRDefault="004A34B4">
            <w:pPr>
              <w:rPr>
                <w:rFonts w:ascii="Arial" w:hAnsi="Arial" w:cs="Arial"/>
                <w:b/>
                <w:bCs/>
                <w:sz w:val="20"/>
                <w:szCs w:val="20"/>
              </w:rPr>
            </w:pPr>
            <w:r w:rsidRPr="00E04C25">
              <w:rPr>
                <w:rFonts w:ascii="Arial" w:hAnsi="Arial" w:cs="Arial"/>
                <w:b/>
                <w:bCs/>
                <w:sz w:val="20"/>
                <w:szCs w:val="20"/>
              </w:rPr>
              <w:t> </w:t>
            </w:r>
          </w:p>
        </w:tc>
        <w:tc>
          <w:tcPr>
            <w:tcW w:w="855" w:type="dxa"/>
            <w:tcBorders>
              <w:top w:val="nil"/>
              <w:left w:val="nil"/>
              <w:bottom w:val="nil"/>
              <w:right w:val="single" w:sz="4" w:space="0" w:color="auto"/>
            </w:tcBorders>
            <w:shd w:val="clear" w:color="auto" w:fill="auto"/>
            <w:tcMar>
              <w:left w:w="0" w:type="dxa"/>
              <w:right w:w="85" w:type="dxa"/>
            </w:tcMar>
            <w:vAlign w:val="center"/>
            <w:hideMark/>
          </w:tcPr>
          <w:p w:rsidR="004A34B4" w:rsidRPr="00E04C25" w:rsidRDefault="004A34B4">
            <w:pPr>
              <w:rPr>
                <w:rFonts w:ascii="Arial" w:hAnsi="Arial" w:cs="Arial"/>
                <w:b/>
                <w:bCs/>
                <w:sz w:val="20"/>
                <w:szCs w:val="20"/>
              </w:rPr>
            </w:pPr>
            <w:r w:rsidRPr="00E04C25">
              <w:rPr>
                <w:rFonts w:ascii="Arial" w:hAnsi="Arial" w:cs="Arial"/>
                <w:b/>
                <w:bCs/>
                <w:sz w:val="20"/>
                <w:szCs w:val="20"/>
              </w:rPr>
              <w:t> </w:t>
            </w:r>
          </w:p>
        </w:tc>
        <w:tc>
          <w:tcPr>
            <w:tcW w:w="914"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rPr>
                <w:rFonts w:ascii="Arial" w:hAnsi="Arial" w:cs="Arial"/>
                <w:bCs/>
                <w:sz w:val="20"/>
                <w:szCs w:val="20"/>
              </w:rPr>
            </w:pPr>
            <w:r w:rsidRPr="00E04C25">
              <w:rPr>
                <w:rFonts w:ascii="Arial" w:hAnsi="Arial" w:cs="Arial"/>
                <w:bCs/>
                <w:sz w:val="20"/>
                <w:szCs w:val="20"/>
              </w:rPr>
              <w:t> </w:t>
            </w:r>
          </w:p>
        </w:tc>
        <w:tc>
          <w:tcPr>
            <w:tcW w:w="741"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rPr>
                <w:rFonts w:ascii="Arial" w:hAnsi="Arial" w:cs="Arial"/>
                <w:sz w:val="20"/>
                <w:szCs w:val="20"/>
              </w:rPr>
            </w:pPr>
            <w:r w:rsidRPr="00E04C25">
              <w:rPr>
                <w:rFonts w:ascii="Arial" w:hAnsi="Arial" w:cs="Arial"/>
                <w:sz w:val="20"/>
                <w:szCs w:val="20"/>
              </w:rPr>
              <w:t> </w:t>
            </w:r>
          </w:p>
        </w:tc>
        <w:tc>
          <w:tcPr>
            <w:tcW w:w="741"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rPr>
                <w:rFonts w:ascii="Arial" w:hAnsi="Arial" w:cs="Arial"/>
                <w:sz w:val="20"/>
                <w:szCs w:val="20"/>
              </w:rPr>
            </w:pPr>
            <w:r w:rsidRPr="00E04C25">
              <w:rPr>
                <w:rFonts w:ascii="Arial" w:hAnsi="Arial" w:cs="Arial"/>
                <w:sz w:val="20"/>
                <w:szCs w:val="20"/>
              </w:rPr>
              <w:t> </w:t>
            </w:r>
          </w:p>
        </w:tc>
        <w:tc>
          <w:tcPr>
            <w:tcW w:w="914"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rPr>
                <w:rFonts w:ascii="Arial" w:hAnsi="Arial" w:cs="Arial"/>
                <w:bCs/>
                <w:sz w:val="20"/>
                <w:szCs w:val="20"/>
              </w:rPr>
            </w:pPr>
          </w:p>
        </w:tc>
        <w:tc>
          <w:tcPr>
            <w:tcW w:w="741"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rPr>
                <w:rFonts w:ascii="Arial" w:hAnsi="Arial" w:cs="Arial"/>
                <w:sz w:val="20"/>
                <w:szCs w:val="20"/>
              </w:rPr>
            </w:pPr>
            <w:r w:rsidRPr="00E04C25">
              <w:rPr>
                <w:rFonts w:ascii="Arial" w:hAnsi="Arial" w:cs="Arial"/>
                <w:sz w:val="20"/>
                <w:szCs w:val="20"/>
              </w:rPr>
              <w:t> </w:t>
            </w:r>
          </w:p>
        </w:tc>
        <w:tc>
          <w:tcPr>
            <w:tcW w:w="741" w:type="dxa"/>
            <w:tcBorders>
              <w:top w:val="nil"/>
              <w:left w:val="nil"/>
              <w:bottom w:val="nil"/>
              <w:right w:val="double" w:sz="6" w:space="0" w:color="auto"/>
            </w:tcBorders>
            <w:shd w:val="clear" w:color="auto" w:fill="auto"/>
            <w:noWrap/>
            <w:tcMar>
              <w:left w:w="0" w:type="dxa"/>
              <w:right w:w="57" w:type="dxa"/>
            </w:tcMar>
            <w:vAlign w:val="center"/>
            <w:hideMark/>
          </w:tcPr>
          <w:p w:rsidR="004A34B4" w:rsidRPr="00E04C25" w:rsidRDefault="004A34B4">
            <w:pPr>
              <w:rPr>
                <w:rFonts w:ascii="Arial" w:hAnsi="Arial" w:cs="Arial"/>
                <w:sz w:val="20"/>
                <w:szCs w:val="20"/>
              </w:rPr>
            </w:pPr>
            <w:r w:rsidRPr="00E04C25">
              <w:rPr>
                <w:rFonts w:ascii="Arial" w:hAnsi="Arial" w:cs="Arial"/>
                <w:sz w:val="20"/>
                <w:szCs w:val="20"/>
              </w:rPr>
              <w:t> </w:t>
            </w:r>
          </w:p>
        </w:tc>
      </w:tr>
      <w:tr w:rsidR="004A34B4" w:rsidRPr="00E04C25" w:rsidTr="004A34B4">
        <w:trPr>
          <w:trHeight w:val="255"/>
          <w:jc w:val="center"/>
        </w:trPr>
        <w:tc>
          <w:tcPr>
            <w:tcW w:w="2498" w:type="dxa"/>
            <w:tcBorders>
              <w:top w:val="nil"/>
              <w:left w:val="double" w:sz="6" w:space="0" w:color="auto"/>
              <w:bottom w:val="nil"/>
              <w:right w:val="single" w:sz="4" w:space="0" w:color="auto"/>
            </w:tcBorders>
            <w:shd w:val="clear" w:color="auto" w:fill="auto"/>
            <w:noWrap/>
            <w:vAlign w:val="center"/>
            <w:hideMark/>
          </w:tcPr>
          <w:p w:rsidR="004A34B4" w:rsidRPr="00E04C25" w:rsidRDefault="004A34B4" w:rsidP="00523B41">
            <w:pPr>
              <w:rPr>
                <w:rFonts w:ascii="Arial" w:hAnsi="Arial" w:cs="Arial"/>
                <w:sz w:val="20"/>
                <w:szCs w:val="20"/>
              </w:rPr>
            </w:pPr>
            <w:r w:rsidRPr="00E04C25">
              <w:rPr>
                <w:rFonts w:ascii="Arial" w:hAnsi="Arial" w:cs="Arial"/>
                <w:sz w:val="20"/>
                <w:szCs w:val="20"/>
              </w:rPr>
              <w:t>umístění ÚP ČR</w:t>
            </w:r>
          </w:p>
        </w:tc>
        <w:tc>
          <w:tcPr>
            <w:tcW w:w="927" w:type="dxa"/>
            <w:tcBorders>
              <w:top w:val="nil"/>
              <w:left w:val="nil"/>
              <w:bottom w:val="nil"/>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97,7</w:t>
            </w:r>
          </w:p>
        </w:tc>
        <w:tc>
          <w:tcPr>
            <w:tcW w:w="855" w:type="dxa"/>
            <w:tcBorders>
              <w:top w:val="nil"/>
              <w:left w:val="nil"/>
              <w:bottom w:val="nil"/>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92,9</w:t>
            </w:r>
          </w:p>
        </w:tc>
        <w:tc>
          <w:tcPr>
            <w:tcW w:w="914"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55,6</w:t>
            </w:r>
          </w:p>
        </w:tc>
        <w:tc>
          <w:tcPr>
            <w:tcW w:w="741"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24,4</w:t>
            </w:r>
          </w:p>
        </w:tc>
        <w:tc>
          <w:tcPr>
            <w:tcW w:w="741"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31,3</w:t>
            </w:r>
          </w:p>
        </w:tc>
        <w:tc>
          <w:tcPr>
            <w:tcW w:w="914"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37,2</w:t>
            </w:r>
          </w:p>
        </w:tc>
        <w:tc>
          <w:tcPr>
            <w:tcW w:w="741"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19,0</w:t>
            </w:r>
          </w:p>
        </w:tc>
        <w:tc>
          <w:tcPr>
            <w:tcW w:w="741" w:type="dxa"/>
            <w:tcBorders>
              <w:top w:val="nil"/>
              <w:left w:val="nil"/>
              <w:bottom w:val="nil"/>
              <w:right w:val="double" w:sz="6"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18,3</w:t>
            </w:r>
          </w:p>
        </w:tc>
      </w:tr>
      <w:tr w:rsidR="004A34B4" w:rsidRPr="00E04C25" w:rsidTr="004A34B4">
        <w:trPr>
          <w:trHeight w:val="255"/>
          <w:jc w:val="center"/>
        </w:trPr>
        <w:tc>
          <w:tcPr>
            <w:tcW w:w="2498" w:type="dxa"/>
            <w:tcBorders>
              <w:top w:val="nil"/>
              <w:left w:val="double" w:sz="6" w:space="0" w:color="auto"/>
              <w:bottom w:val="nil"/>
              <w:right w:val="single" w:sz="4" w:space="0" w:color="auto"/>
            </w:tcBorders>
            <w:shd w:val="clear" w:color="auto" w:fill="auto"/>
            <w:noWrap/>
            <w:vAlign w:val="center"/>
            <w:hideMark/>
          </w:tcPr>
          <w:p w:rsidR="004A34B4" w:rsidRPr="00E04C25" w:rsidRDefault="004A34B4" w:rsidP="00523B41">
            <w:pPr>
              <w:rPr>
                <w:rFonts w:ascii="Arial" w:hAnsi="Arial" w:cs="Arial"/>
                <w:sz w:val="20"/>
                <w:szCs w:val="20"/>
              </w:rPr>
            </w:pPr>
            <w:r w:rsidRPr="00E04C25">
              <w:rPr>
                <w:rFonts w:ascii="Arial" w:hAnsi="Arial" w:cs="Arial"/>
                <w:sz w:val="20"/>
                <w:szCs w:val="20"/>
              </w:rPr>
              <w:t>umístění jinak</w:t>
            </w:r>
          </w:p>
        </w:tc>
        <w:tc>
          <w:tcPr>
            <w:tcW w:w="927" w:type="dxa"/>
            <w:tcBorders>
              <w:top w:val="nil"/>
              <w:left w:val="nil"/>
              <w:bottom w:val="nil"/>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321,1</w:t>
            </w:r>
          </w:p>
        </w:tc>
        <w:tc>
          <w:tcPr>
            <w:tcW w:w="855" w:type="dxa"/>
            <w:tcBorders>
              <w:top w:val="nil"/>
              <w:left w:val="nil"/>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294,9</w:t>
            </w:r>
          </w:p>
        </w:tc>
        <w:tc>
          <w:tcPr>
            <w:tcW w:w="914" w:type="dxa"/>
            <w:tcBorders>
              <w:top w:val="nil"/>
              <w:left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168,5</w:t>
            </w:r>
          </w:p>
        </w:tc>
        <w:tc>
          <w:tcPr>
            <w:tcW w:w="741" w:type="dxa"/>
            <w:tcBorders>
              <w:top w:val="nil"/>
              <w:left w:val="single" w:sz="4" w:space="0" w:color="auto"/>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86,4</w:t>
            </w:r>
          </w:p>
        </w:tc>
        <w:tc>
          <w:tcPr>
            <w:tcW w:w="741" w:type="dxa"/>
            <w:tcBorders>
              <w:top w:val="nil"/>
              <w:left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82,0</w:t>
            </w:r>
          </w:p>
        </w:tc>
        <w:tc>
          <w:tcPr>
            <w:tcW w:w="914" w:type="dxa"/>
            <w:tcBorders>
              <w:top w:val="nil"/>
              <w:left w:val="single" w:sz="4" w:space="0" w:color="auto"/>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126,5</w:t>
            </w:r>
          </w:p>
        </w:tc>
        <w:tc>
          <w:tcPr>
            <w:tcW w:w="741" w:type="dxa"/>
            <w:tcBorders>
              <w:top w:val="nil"/>
              <w:left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65,6</w:t>
            </w:r>
          </w:p>
        </w:tc>
        <w:tc>
          <w:tcPr>
            <w:tcW w:w="741" w:type="dxa"/>
            <w:tcBorders>
              <w:top w:val="nil"/>
              <w:left w:val="nil"/>
              <w:right w:val="double" w:sz="6"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60,9</w:t>
            </w:r>
          </w:p>
        </w:tc>
      </w:tr>
      <w:tr w:rsidR="004A34B4" w:rsidRPr="00E04C25" w:rsidTr="004A34B4">
        <w:trPr>
          <w:trHeight w:val="255"/>
          <w:jc w:val="center"/>
        </w:trPr>
        <w:tc>
          <w:tcPr>
            <w:tcW w:w="2498" w:type="dxa"/>
            <w:tcBorders>
              <w:top w:val="nil"/>
              <w:left w:val="double" w:sz="6" w:space="0" w:color="auto"/>
              <w:bottom w:val="single" w:sz="4" w:space="0" w:color="auto"/>
              <w:right w:val="single" w:sz="4" w:space="0" w:color="auto"/>
            </w:tcBorders>
            <w:shd w:val="clear" w:color="auto" w:fill="auto"/>
            <w:noWrap/>
            <w:vAlign w:val="center"/>
            <w:hideMark/>
          </w:tcPr>
          <w:p w:rsidR="004A34B4" w:rsidRPr="00E04C25" w:rsidRDefault="004A34B4" w:rsidP="00523B41">
            <w:pPr>
              <w:rPr>
                <w:rFonts w:ascii="Arial" w:hAnsi="Arial" w:cs="Arial"/>
                <w:sz w:val="20"/>
                <w:szCs w:val="20"/>
              </w:rPr>
            </w:pPr>
            <w:r w:rsidRPr="00E04C25">
              <w:rPr>
                <w:rFonts w:ascii="Arial" w:hAnsi="Arial" w:cs="Arial"/>
                <w:sz w:val="20"/>
                <w:szCs w:val="20"/>
              </w:rPr>
              <w:t>vyřazení pro nespolupráci</w:t>
            </w:r>
          </w:p>
        </w:tc>
        <w:tc>
          <w:tcPr>
            <w:tcW w:w="927" w:type="dxa"/>
            <w:tcBorders>
              <w:top w:val="nil"/>
              <w:left w:val="nil"/>
              <w:bottom w:val="single" w:sz="4" w:space="0" w:color="auto"/>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86,4</w:t>
            </w:r>
          </w:p>
        </w:tc>
        <w:tc>
          <w:tcPr>
            <w:tcW w:w="855" w:type="dxa"/>
            <w:tcBorders>
              <w:top w:val="nil"/>
              <w:left w:val="nil"/>
              <w:bottom w:val="single" w:sz="4" w:space="0" w:color="auto"/>
              <w:right w:val="single" w:sz="4" w:space="0" w:color="auto"/>
            </w:tcBorders>
            <w:shd w:val="clear" w:color="000000"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92,4</w:t>
            </w:r>
          </w:p>
        </w:tc>
        <w:tc>
          <w:tcPr>
            <w:tcW w:w="914" w:type="dxa"/>
            <w:tcBorders>
              <w:top w:val="nil"/>
              <w:left w:val="nil"/>
              <w:bottom w:val="single" w:sz="4" w:space="0" w:color="auto"/>
              <w:right w:val="nil"/>
            </w:tcBorders>
            <w:shd w:val="clear" w:color="000000"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47,9</w:t>
            </w:r>
          </w:p>
        </w:tc>
        <w:tc>
          <w:tcPr>
            <w:tcW w:w="741" w:type="dxa"/>
            <w:tcBorders>
              <w:top w:val="nil"/>
              <w:left w:val="single" w:sz="4" w:space="0" w:color="auto"/>
              <w:bottom w:val="single" w:sz="4" w:space="0" w:color="auto"/>
              <w:right w:val="single" w:sz="4" w:space="0" w:color="auto"/>
            </w:tcBorders>
            <w:shd w:val="clear" w:color="000000"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22,8</w:t>
            </w:r>
          </w:p>
        </w:tc>
        <w:tc>
          <w:tcPr>
            <w:tcW w:w="741" w:type="dxa"/>
            <w:tcBorders>
              <w:top w:val="nil"/>
              <w:left w:val="nil"/>
              <w:bottom w:val="single" w:sz="4" w:space="0" w:color="auto"/>
              <w:right w:val="nil"/>
            </w:tcBorders>
            <w:shd w:val="clear" w:color="000000"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25,1</w:t>
            </w:r>
          </w:p>
        </w:tc>
        <w:tc>
          <w:tcPr>
            <w:tcW w:w="914" w:type="dxa"/>
            <w:tcBorders>
              <w:top w:val="nil"/>
              <w:left w:val="single" w:sz="4" w:space="0" w:color="auto"/>
              <w:bottom w:val="single" w:sz="4" w:space="0" w:color="auto"/>
              <w:right w:val="single" w:sz="4" w:space="0" w:color="auto"/>
            </w:tcBorders>
            <w:shd w:val="clear" w:color="000000"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44,5</w:t>
            </w:r>
          </w:p>
        </w:tc>
        <w:tc>
          <w:tcPr>
            <w:tcW w:w="741" w:type="dxa"/>
            <w:tcBorders>
              <w:top w:val="nil"/>
              <w:left w:val="nil"/>
              <w:bottom w:val="single" w:sz="4" w:space="0" w:color="auto"/>
              <w:right w:val="single" w:sz="4" w:space="0" w:color="auto"/>
            </w:tcBorders>
            <w:shd w:val="clear" w:color="000000"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21,6</w:t>
            </w:r>
          </w:p>
        </w:tc>
        <w:tc>
          <w:tcPr>
            <w:tcW w:w="741" w:type="dxa"/>
            <w:tcBorders>
              <w:top w:val="nil"/>
              <w:left w:val="nil"/>
              <w:bottom w:val="single" w:sz="4" w:space="0" w:color="auto"/>
              <w:right w:val="double" w:sz="6" w:space="0" w:color="auto"/>
            </w:tcBorders>
            <w:shd w:val="clear" w:color="000000"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22,8</w:t>
            </w:r>
          </w:p>
        </w:tc>
      </w:tr>
      <w:tr w:rsidR="004A34B4" w:rsidRPr="00E04C25" w:rsidTr="004A34B4">
        <w:trPr>
          <w:trHeight w:val="255"/>
          <w:jc w:val="center"/>
        </w:trPr>
        <w:tc>
          <w:tcPr>
            <w:tcW w:w="2498" w:type="dxa"/>
            <w:tcBorders>
              <w:top w:val="nil"/>
              <w:left w:val="double" w:sz="6" w:space="0" w:color="auto"/>
              <w:bottom w:val="nil"/>
              <w:right w:val="single" w:sz="4" w:space="0" w:color="auto"/>
            </w:tcBorders>
            <w:shd w:val="clear" w:color="auto" w:fill="auto"/>
            <w:noWrap/>
            <w:vAlign w:val="center"/>
            <w:hideMark/>
          </w:tcPr>
          <w:p w:rsidR="004A34B4" w:rsidRPr="00E04C25" w:rsidRDefault="004A34B4" w:rsidP="00523B41">
            <w:pPr>
              <w:rPr>
                <w:rFonts w:ascii="Arial" w:hAnsi="Arial" w:cs="Arial"/>
                <w:b/>
                <w:bCs/>
                <w:sz w:val="20"/>
                <w:szCs w:val="20"/>
              </w:rPr>
            </w:pPr>
            <w:r w:rsidRPr="00E04C25">
              <w:rPr>
                <w:rFonts w:ascii="Arial" w:hAnsi="Arial" w:cs="Arial"/>
                <w:b/>
                <w:bCs/>
                <w:sz w:val="20"/>
                <w:szCs w:val="20"/>
              </w:rPr>
              <w:t>ukončení evidence,</w:t>
            </w:r>
          </w:p>
          <w:p w:rsidR="004A34B4" w:rsidRPr="00E04C25" w:rsidRDefault="004A34B4" w:rsidP="00523B41">
            <w:pPr>
              <w:rPr>
                <w:rFonts w:ascii="Arial" w:hAnsi="Arial" w:cs="Arial"/>
                <w:b/>
                <w:bCs/>
                <w:sz w:val="20"/>
                <w:szCs w:val="20"/>
              </w:rPr>
            </w:pPr>
            <w:r w:rsidRPr="00E04C25">
              <w:rPr>
                <w:rFonts w:ascii="Arial" w:hAnsi="Arial" w:cs="Arial"/>
                <w:b/>
                <w:bCs/>
                <w:sz w:val="20"/>
                <w:szCs w:val="20"/>
              </w:rPr>
              <w:t>vyřazení z evid. - ženy</w:t>
            </w:r>
          </w:p>
        </w:tc>
        <w:tc>
          <w:tcPr>
            <w:tcW w:w="927" w:type="dxa"/>
            <w:tcBorders>
              <w:top w:val="nil"/>
              <w:left w:val="nil"/>
              <w:bottom w:val="nil"/>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307,2</w:t>
            </w:r>
          </w:p>
        </w:tc>
        <w:tc>
          <w:tcPr>
            <w:tcW w:w="855" w:type="dxa"/>
            <w:tcBorders>
              <w:top w:val="nil"/>
              <w:left w:val="nil"/>
              <w:bottom w:val="nil"/>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292,8</w:t>
            </w:r>
          </w:p>
        </w:tc>
        <w:tc>
          <w:tcPr>
            <w:tcW w:w="914"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152,8</w:t>
            </w:r>
          </w:p>
        </w:tc>
        <w:tc>
          <w:tcPr>
            <w:tcW w:w="741"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78,7</w:t>
            </w:r>
          </w:p>
        </w:tc>
        <w:tc>
          <w:tcPr>
            <w:tcW w:w="741"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74,0</w:t>
            </w:r>
          </w:p>
        </w:tc>
        <w:tc>
          <w:tcPr>
            <w:tcW w:w="914"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140,0</w:t>
            </w:r>
          </w:p>
        </w:tc>
        <w:tc>
          <w:tcPr>
            <w:tcW w:w="741"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72,5</w:t>
            </w:r>
          </w:p>
        </w:tc>
        <w:tc>
          <w:tcPr>
            <w:tcW w:w="741" w:type="dxa"/>
            <w:tcBorders>
              <w:top w:val="nil"/>
              <w:left w:val="nil"/>
              <w:bottom w:val="nil"/>
              <w:right w:val="double" w:sz="6"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67,6</w:t>
            </w:r>
          </w:p>
        </w:tc>
      </w:tr>
      <w:tr w:rsidR="004A34B4" w:rsidRPr="00E04C25" w:rsidTr="004A34B4">
        <w:trPr>
          <w:trHeight w:val="255"/>
          <w:jc w:val="center"/>
        </w:trPr>
        <w:tc>
          <w:tcPr>
            <w:tcW w:w="2498" w:type="dxa"/>
            <w:tcBorders>
              <w:top w:val="nil"/>
              <w:left w:val="double" w:sz="6" w:space="0" w:color="auto"/>
              <w:bottom w:val="nil"/>
              <w:right w:val="single" w:sz="4" w:space="0" w:color="auto"/>
            </w:tcBorders>
            <w:shd w:val="clear" w:color="auto" w:fill="auto"/>
            <w:noWrap/>
            <w:vAlign w:val="center"/>
            <w:hideMark/>
          </w:tcPr>
          <w:p w:rsidR="004A34B4" w:rsidRPr="00E04C25" w:rsidRDefault="004A34B4" w:rsidP="00523B41">
            <w:pPr>
              <w:rPr>
                <w:rFonts w:ascii="Arial" w:hAnsi="Arial" w:cs="Arial"/>
                <w:b/>
                <w:bCs/>
                <w:sz w:val="20"/>
                <w:szCs w:val="20"/>
              </w:rPr>
            </w:pPr>
            <w:r w:rsidRPr="00E04C25">
              <w:rPr>
                <w:rFonts w:ascii="Arial" w:hAnsi="Arial" w:cs="Arial"/>
                <w:b/>
                <w:bCs/>
                <w:sz w:val="20"/>
                <w:szCs w:val="20"/>
              </w:rPr>
              <w:t>z toho:</w:t>
            </w:r>
          </w:p>
        </w:tc>
        <w:tc>
          <w:tcPr>
            <w:tcW w:w="927" w:type="dxa"/>
            <w:tcBorders>
              <w:top w:val="nil"/>
              <w:left w:val="nil"/>
              <w:bottom w:val="nil"/>
              <w:right w:val="single" w:sz="4" w:space="0" w:color="auto"/>
            </w:tcBorders>
            <w:shd w:val="clear" w:color="auto" w:fill="auto"/>
            <w:tcMar>
              <w:left w:w="0" w:type="dxa"/>
              <w:right w:w="85" w:type="dxa"/>
            </w:tcMar>
            <w:vAlign w:val="center"/>
            <w:hideMark/>
          </w:tcPr>
          <w:p w:rsidR="004A34B4" w:rsidRPr="00E04C25" w:rsidRDefault="004A34B4">
            <w:pPr>
              <w:rPr>
                <w:rFonts w:ascii="Arial" w:hAnsi="Arial" w:cs="Arial"/>
                <w:b/>
                <w:bCs/>
                <w:sz w:val="20"/>
                <w:szCs w:val="20"/>
              </w:rPr>
            </w:pPr>
            <w:r w:rsidRPr="00E04C25">
              <w:rPr>
                <w:rFonts w:ascii="Arial" w:hAnsi="Arial" w:cs="Arial"/>
                <w:b/>
                <w:bCs/>
                <w:sz w:val="20"/>
                <w:szCs w:val="20"/>
              </w:rPr>
              <w:t> </w:t>
            </w:r>
          </w:p>
        </w:tc>
        <w:tc>
          <w:tcPr>
            <w:tcW w:w="855" w:type="dxa"/>
            <w:tcBorders>
              <w:top w:val="nil"/>
              <w:left w:val="nil"/>
              <w:bottom w:val="nil"/>
              <w:right w:val="single" w:sz="4" w:space="0" w:color="auto"/>
            </w:tcBorders>
            <w:shd w:val="clear" w:color="auto" w:fill="auto"/>
            <w:tcMar>
              <w:left w:w="0" w:type="dxa"/>
              <w:right w:w="85" w:type="dxa"/>
            </w:tcMar>
            <w:vAlign w:val="center"/>
            <w:hideMark/>
          </w:tcPr>
          <w:p w:rsidR="004A34B4" w:rsidRPr="00E04C25" w:rsidRDefault="004A34B4">
            <w:pPr>
              <w:rPr>
                <w:rFonts w:ascii="Arial" w:hAnsi="Arial" w:cs="Arial"/>
                <w:b/>
                <w:bCs/>
                <w:sz w:val="20"/>
                <w:szCs w:val="20"/>
              </w:rPr>
            </w:pPr>
            <w:r w:rsidRPr="00E04C25">
              <w:rPr>
                <w:rFonts w:ascii="Arial" w:hAnsi="Arial" w:cs="Arial"/>
                <w:b/>
                <w:bCs/>
                <w:sz w:val="20"/>
                <w:szCs w:val="20"/>
              </w:rPr>
              <w:t> </w:t>
            </w:r>
          </w:p>
        </w:tc>
        <w:tc>
          <w:tcPr>
            <w:tcW w:w="914"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rPr>
                <w:rFonts w:ascii="Arial" w:hAnsi="Arial" w:cs="Arial"/>
                <w:bCs/>
                <w:sz w:val="20"/>
                <w:szCs w:val="20"/>
              </w:rPr>
            </w:pPr>
            <w:r w:rsidRPr="00E04C25">
              <w:rPr>
                <w:rFonts w:ascii="Arial" w:hAnsi="Arial" w:cs="Arial"/>
                <w:bCs/>
                <w:sz w:val="20"/>
                <w:szCs w:val="20"/>
              </w:rPr>
              <w:t> </w:t>
            </w:r>
          </w:p>
        </w:tc>
        <w:tc>
          <w:tcPr>
            <w:tcW w:w="741"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rPr>
                <w:rFonts w:ascii="Arial" w:hAnsi="Arial" w:cs="Arial"/>
                <w:sz w:val="20"/>
                <w:szCs w:val="20"/>
              </w:rPr>
            </w:pPr>
            <w:r w:rsidRPr="00E04C25">
              <w:rPr>
                <w:rFonts w:ascii="Arial" w:hAnsi="Arial" w:cs="Arial"/>
                <w:sz w:val="20"/>
                <w:szCs w:val="20"/>
              </w:rPr>
              <w:t> </w:t>
            </w:r>
          </w:p>
        </w:tc>
        <w:tc>
          <w:tcPr>
            <w:tcW w:w="741"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rPr>
                <w:rFonts w:ascii="Arial" w:hAnsi="Arial" w:cs="Arial"/>
                <w:sz w:val="20"/>
                <w:szCs w:val="20"/>
              </w:rPr>
            </w:pPr>
            <w:r w:rsidRPr="00E04C25">
              <w:rPr>
                <w:rFonts w:ascii="Arial" w:hAnsi="Arial" w:cs="Arial"/>
                <w:sz w:val="20"/>
                <w:szCs w:val="20"/>
              </w:rPr>
              <w:t> </w:t>
            </w:r>
          </w:p>
        </w:tc>
        <w:tc>
          <w:tcPr>
            <w:tcW w:w="914"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rPr>
                <w:rFonts w:ascii="Arial" w:hAnsi="Arial" w:cs="Arial"/>
                <w:bCs/>
                <w:sz w:val="20"/>
                <w:szCs w:val="20"/>
              </w:rPr>
            </w:pPr>
          </w:p>
        </w:tc>
        <w:tc>
          <w:tcPr>
            <w:tcW w:w="741"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rPr>
                <w:rFonts w:ascii="Arial" w:hAnsi="Arial" w:cs="Arial"/>
                <w:sz w:val="20"/>
                <w:szCs w:val="20"/>
              </w:rPr>
            </w:pPr>
            <w:r w:rsidRPr="00E04C25">
              <w:rPr>
                <w:rFonts w:ascii="Arial" w:hAnsi="Arial" w:cs="Arial"/>
                <w:sz w:val="20"/>
                <w:szCs w:val="20"/>
              </w:rPr>
              <w:t> </w:t>
            </w:r>
          </w:p>
        </w:tc>
        <w:tc>
          <w:tcPr>
            <w:tcW w:w="741" w:type="dxa"/>
            <w:tcBorders>
              <w:top w:val="nil"/>
              <w:left w:val="nil"/>
              <w:bottom w:val="nil"/>
              <w:right w:val="double" w:sz="6" w:space="0" w:color="auto"/>
            </w:tcBorders>
            <w:shd w:val="clear" w:color="auto" w:fill="auto"/>
            <w:noWrap/>
            <w:tcMar>
              <w:left w:w="0" w:type="dxa"/>
              <w:right w:w="57" w:type="dxa"/>
            </w:tcMar>
            <w:vAlign w:val="center"/>
            <w:hideMark/>
          </w:tcPr>
          <w:p w:rsidR="004A34B4" w:rsidRPr="00E04C25" w:rsidRDefault="004A34B4">
            <w:pPr>
              <w:rPr>
                <w:rFonts w:ascii="Arial" w:hAnsi="Arial" w:cs="Arial"/>
                <w:sz w:val="20"/>
                <w:szCs w:val="20"/>
              </w:rPr>
            </w:pPr>
            <w:r w:rsidRPr="00E04C25">
              <w:rPr>
                <w:rFonts w:ascii="Arial" w:hAnsi="Arial" w:cs="Arial"/>
                <w:sz w:val="20"/>
                <w:szCs w:val="20"/>
              </w:rPr>
              <w:t> </w:t>
            </w:r>
          </w:p>
        </w:tc>
      </w:tr>
      <w:tr w:rsidR="004A34B4" w:rsidRPr="00E04C25" w:rsidTr="004A34B4">
        <w:trPr>
          <w:trHeight w:val="255"/>
          <w:jc w:val="center"/>
        </w:trPr>
        <w:tc>
          <w:tcPr>
            <w:tcW w:w="2498" w:type="dxa"/>
            <w:tcBorders>
              <w:top w:val="nil"/>
              <w:left w:val="double" w:sz="6" w:space="0" w:color="auto"/>
              <w:bottom w:val="nil"/>
              <w:right w:val="single" w:sz="4" w:space="0" w:color="auto"/>
            </w:tcBorders>
            <w:shd w:val="clear" w:color="auto" w:fill="auto"/>
            <w:noWrap/>
            <w:vAlign w:val="center"/>
            <w:hideMark/>
          </w:tcPr>
          <w:p w:rsidR="004A34B4" w:rsidRPr="00E04C25" w:rsidRDefault="004A34B4" w:rsidP="00523B41">
            <w:pPr>
              <w:rPr>
                <w:rFonts w:ascii="Arial" w:hAnsi="Arial" w:cs="Arial"/>
                <w:sz w:val="20"/>
                <w:szCs w:val="20"/>
              </w:rPr>
            </w:pPr>
            <w:r w:rsidRPr="00E04C25">
              <w:rPr>
                <w:rFonts w:ascii="Arial" w:hAnsi="Arial" w:cs="Arial"/>
                <w:sz w:val="20"/>
                <w:szCs w:val="20"/>
              </w:rPr>
              <w:t>umístěné ÚP ČR</w:t>
            </w:r>
          </w:p>
        </w:tc>
        <w:tc>
          <w:tcPr>
            <w:tcW w:w="927" w:type="dxa"/>
            <w:tcBorders>
              <w:top w:val="nil"/>
              <w:left w:val="nil"/>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51,8</w:t>
            </w:r>
          </w:p>
        </w:tc>
        <w:tc>
          <w:tcPr>
            <w:tcW w:w="855" w:type="dxa"/>
            <w:tcBorders>
              <w:top w:val="nil"/>
              <w:left w:val="nil"/>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49,9</w:t>
            </w:r>
          </w:p>
        </w:tc>
        <w:tc>
          <w:tcPr>
            <w:tcW w:w="914" w:type="dxa"/>
            <w:tcBorders>
              <w:top w:val="nil"/>
              <w:left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28,5</w:t>
            </w:r>
          </w:p>
        </w:tc>
        <w:tc>
          <w:tcPr>
            <w:tcW w:w="741" w:type="dxa"/>
            <w:tcBorders>
              <w:top w:val="nil"/>
              <w:left w:val="single" w:sz="4" w:space="0" w:color="auto"/>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13,0</w:t>
            </w:r>
          </w:p>
        </w:tc>
        <w:tc>
          <w:tcPr>
            <w:tcW w:w="741" w:type="dxa"/>
            <w:tcBorders>
              <w:top w:val="nil"/>
              <w:left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15,6</w:t>
            </w:r>
          </w:p>
        </w:tc>
        <w:tc>
          <w:tcPr>
            <w:tcW w:w="914" w:type="dxa"/>
            <w:tcBorders>
              <w:top w:val="nil"/>
              <w:left w:val="single" w:sz="4" w:space="0" w:color="auto"/>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21,4</w:t>
            </w:r>
          </w:p>
        </w:tc>
        <w:tc>
          <w:tcPr>
            <w:tcW w:w="741" w:type="dxa"/>
            <w:tcBorders>
              <w:top w:val="nil"/>
              <w:left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10,9</w:t>
            </w:r>
          </w:p>
        </w:tc>
        <w:tc>
          <w:tcPr>
            <w:tcW w:w="741" w:type="dxa"/>
            <w:tcBorders>
              <w:top w:val="nil"/>
              <w:left w:val="nil"/>
              <w:right w:val="double" w:sz="6"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10,5</w:t>
            </w:r>
          </w:p>
        </w:tc>
      </w:tr>
      <w:tr w:rsidR="004A34B4" w:rsidRPr="00E04C25" w:rsidTr="004A34B4">
        <w:trPr>
          <w:trHeight w:val="255"/>
          <w:jc w:val="center"/>
        </w:trPr>
        <w:tc>
          <w:tcPr>
            <w:tcW w:w="2498" w:type="dxa"/>
            <w:tcBorders>
              <w:top w:val="nil"/>
              <w:left w:val="double" w:sz="6" w:space="0" w:color="auto"/>
              <w:bottom w:val="nil"/>
              <w:right w:val="single" w:sz="4" w:space="0" w:color="auto"/>
            </w:tcBorders>
            <w:shd w:val="clear" w:color="auto" w:fill="auto"/>
            <w:noWrap/>
            <w:vAlign w:val="center"/>
            <w:hideMark/>
          </w:tcPr>
          <w:p w:rsidR="004A34B4" w:rsidRPr="00E04C25" w:rsidRDefault="004A34B4" w:rsidP="00523B41">
            <w:pPr>
              <w:rPr>
                <w:rFonts w:ascii="Arial" w:hAnsi="Arial" w:cs="Arial"/>
                <w:sz w:val="20"/>
                <w:szCs w:val="20"/>
              </w:rPr>
            </w:pPr>
            <w:r w:rsidRPr="00E04C25">
              <w:rPr>
                <w:rFonts w:ascii="Arial" w:hAnsi="Arial" w:cs="Arial"/>
                <w:sz w:val="20"/>
                <w:szCs w:val="20"/>
              </w:rPr>
              <w:t>umístěné jinak</w:t>
            </w:r>
          </w:p>
        </w:tc>
        <w:tc>
          <w:tcPr>
            <w:tcW w:w="927" w:type="dxa"/>
            <w:tcBorders>
              <w:top w:val="nil"/>
              <w:left w:val="nil"/>
              <w:bottom w:val="nil"/>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156,2</w:t>
            </w:r>
          </w:p>
        </w:tc>
        <w:tc>
          <w:tcPr>
            <w:tcW w:w="855" w:type="dxa"/>
            <w:tcBorders>
              <w:top w:val="nil"/>
              <w:left w:val="nil"/>
              <w:bottom w:val="nil"/>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146,5</w:t>
            </w:r>
          </w:p>
        </w:tc>
        <w:tc>
          <w:tcPr>
            <w:tcW w:w="914"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74,9</w:t>
            </w:r>
          </w:p>
        </w:tc>
        <w:tc>
          <w:tcPr>
            <w:tcW w:w="741"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40,6</w:t>
            </w:r>
          </w:p>
        </w:tc>
        <w:tc>
          <w:tcPr>
            <w:tcW w:w="741"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34,4</w:t>
            </w:r>
          </w:p>
        </w:tc>
        <w:tc>
          <w:tcPr>
            <w:tcW w:w="914"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71,5</w:t>
            </w:r>
          </w:p>
        </w:tc>
        <w:tc>
          <w:tcPr>
            <w:tcW w:w="741"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37,9</w:t>
            </w:r>
          </w:p>
        </w:tc>
        <w:tc>
          <w:tcPr>
            <w:tcW w:w="741" w:type="dxa"/>
            <w:tcBorders>
              <w:top w:val="nil"/>
              <w:left w:val="nil"/>
              <w:bottom w:val="nil"/>
              <w:right w:val="double" w:sz="6"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33,6</w:t>
            </w:r>
          </w:p>
        </w:tc>
      </w:tr>
      <w:tr w:rsidR="004A34B4" w:rsidRPr="00E04C25" w:rsidTr="004A34B4">
        <w:trPr>
          <w:trHeight w:val="255"/>
          <w:jc w:val="center"/>
        </w:trPr>
        <w:tc>
          <w:tcPr>
            <w:tcW w:w="2498" w:type="dxa"/>
            <w:tcBorders>
              <w:top w:val="nil"/>
              <w:left w:val="double" w:sz="6" w:space="0" w:color="auto"/>
              <w:bottom w:val="single" w:sz="4" w:space="0" w:color="auto"/>
              <w:right w:val="single" w:sz="4" w:space="0" w:color="auto"/>
            </w:tcBorders>
            <w:shd w:val="clear" w:color="auto" w:fill="auto"/>
            <w:noWrap/>
            <w:vAlign w:val="center"/>
            <w:hideMark/>
          </w:tcPr>
          <w:p w:rsidR="004A34B4" w:rsidRPr="00E04C25" w:rsidRDefault="004A34B4" w:rsidP="00523B41">
            <w:pPr>
              <w:rPr>
                <w:rFonts w:ascii="Arial" w:hAnsi="Arial" w:cs="Arial"/>
                <w:sz w:val="20"/>
                <w:szCs w:val="20"/>
              </w:rPr>
            </w:pPr>
            <w:r w:rsidRPr="00E04C25">
              <w:rPr>
                <w:rFonts w:ascii="Arial" w:hAnsi="Arial" w:cs="Arial"/>
                <w:sz w:val="20"/>
                <w:szCs w:val="20"/>
              </w:rPr>
              <w:t>vyřazené pro nespolupráci</w:t>
            </w:r>
          </w:p>
        </w:tc>
        <w:tc>
          <w:tcPr>
            <w:tcW w:w="927" w:type="dxa"/>
            <w:tcBorders>
              <w:top w:val="nil"/>
              <w:left w:val="nil"/>
              <w:bottom w:val="single" w:sz="4" w:space="0" w:color="auto"/>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27,2</w:t>
            </w:r>
          </w:p>
        </w:tc>
        <w:tc>
          <w:tcPr>
            <w:tcW w:w="855" w:type="dxa"/>
            <w:tcBorders>
              <w:top w:val="nil"/>
              <w:left w:val="nil"/>
              <w:bottom w:val="single" w:sz="4" w:space="0" w:color="auto"/>
              <w:right w:val="single" w:sz="4" w:space="0" w:color="auto"/>
            </w:tcBorders>
            <w:shd w:val="clear" w:color="auto" w:fill="auto"/>
            <w:noWrap/>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30,0</w:t>
            </w:r>
          </w:p>
        </w:tc>
        <w:tc>
          <w:tcPr>
            <w:tcW w:w="914" w:type="dxa"/>
            <w:tcBorders>
              <w:top w:val="nil"/>
              <w:left w:val="nil"/>
              <w:bottom w:val="single" w:sz="4" w:space="0" w:color="auto"/>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15,2</w:t>
            </w:r>
          </w:p>
        </w:tc>
        <w:tc>
          <w:tcPr>
            <w:tcW w:w="741" w:type="dxa"/>
            <w:tcBorders>
              <w:top w:val="nil"/>
              <w:left w:val="single" w:sz="4" w:space="0" w:color="auto"/>
              <w:bottom w:val="single" w:sz="4" w:space="0" w:color="auto"/>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7,3</w:t>
            </w:r>
          </w:p>
        </w:tc>
        <w:tc>
          <w:tcPr>
            <w:tcW w:w="741" w:type="dxa"/>
            <w:tcBorders>
              <w:top w:val="nil"/>
              <w:left w:val="nil"/>
              <w:bottom w:val="single" w:sz="4" w:space="0" w:color="auto"/>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7,8</w:t>
            </w:r>
          </w:p>
        </w:tc>
        <w:tc>
          <w:tcPr>
            <w:tcW w:w="914" w:type="dxa"/>
            <w:tcBorders>
              <w:top w:val="nil"/>
              <w:left w:val="single" w:sz="4" w:space="0" w:color="auto"/>
              <w:bottom w:val="single" w:sz="4" w:space="0" w:color="auto"/>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14,8</w:t>
            </w:r>
          </w:p>
        </w:tc>
        <w:tc>
          <w:tcPr>
            <w:tcW w:w="741" w:type="dxa"/>
            <w:tcBorders>
              <w:top w:val="nil"/>
              <w:left w:val="nil"/>
              <w:bottom w:val="single" w:sz="4" w:space="0" w:color="auto"/>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7,1</w:t>
            </w:r>
          </w:p>
        </w:tc>
        <w:tc>
          <w:tcPr>
            <w:tcW w:w="741" w:type="dxa"/>
            <w:tcBorders>
              <w:top w:val="nil"/>
              <w:left w:val="nil"/>
              <w:bottom w:val="single" w:sz="4" w:space="0" w:color="auto"/>
              <w:right w:val="double" w:sz="6"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7,7</w:t>
            </w:r>
          </w:p>
        </w:tc>
      </w:tr>
      <w:tr w:rsidR="004A34B4" w:rsidRPr="00E04C25" w:rsidTr="004A34B4">
        <w:trPr>
          <w:trHeight w:val="255"/>
          <w:jc w:val="center"/>
        </w:trPr>
        <w:tc>
          <w:tcPr>
            <w:tcW w:w="2498" w:type="dxa"/>
            <w:tcBorders>
              <w:top w:val="nil"/>
              <w:left w:val="double" w:sz="6" w:space="0" w:color="auto"/>
              <w:bottom w:val="nil"/>
              <w:right w:val="single" w:sz="4" w:space="0" w:color="auto"/>
            </w:tcBorders>
            <w:shd w:val="clear" w:color="auto" w:fill="auto"/>
            <w:noWrap/>
            <w:vAlign w:val="center"/>
            <w:hideMark/>
          </w:tcPr>
          <w:p w:rsidR="004A34B4" w:rsidRPr="00E04C25" w:rsidRDefault="004A34B4" w:rsidP="00523B41">
            <w:pPr>
              <w:rPr>
                <w:rFonts w:ascii="Arial" w:hAnsi="Arial" w:cs="Arial"/>
                <w:b/>
                <w:bCs/>
                <w:sz w:val="20"/>
                <w:szCs w:val="20"/>
              </w:rPr>
            </w:pPr>
            <w:r w:rsidRPr="00E04C25">
              <w:rPr>
                <w:rFonts w:ascii="Arial" w:hAnsi="Arial" w:cs="Arial"/>
                <w:b/>
                <w:bCs/>
                <w:sz w:val="20"/>
                <w:szCs w:val="20"/>
              </w:rPr>
              <w:t>ukončení evidence,</w:t>
            </w:r>
          </w:p>
          <w:p w:rsidR="004A34B4" w:rsidRPr="00E04C25" w:rsidRDefault="004A34B4" w:rsidP="00523B41">
            <w:pPr>
              <w:rPr>
                <w:rFonts w:ascii="Arial" w:hAnsi="Arial" w:cs="Arial"/>
                <w:b/>
                <w:bCs/>
                <w:sz w:val="20"/>
                <w:szCs w:val="20"/>
              </w:rPr>
            </w:pPr>
            <w:r w:rsidRPr="00E04C25">
              <w:rPr>
                <w:rFonts w:ascii="Arial" w:hAnsi="Arial" w:cs="Arial"/>
                <w:b/>
                <w:bCs/>
                <w:sz w:val="20"/>
                <w:szCs w:val="20"/>
              </w:rPr>
              <w:t>vyřazení z evid. -  muži</w:t>
            </w:r>
          </w:p>
        </w:tc>
        <w:tc>
          <w:tcPr>
            <w:tcW w:w="927" w:type="dxa"/>
            <w:tcBorders>
              <w:top w:val="nil"/>
              <w:left w:val="nil"/>
              <w:bottom w:val="nil"/>
              <w:right w:val="single" w:sz="4" w:space="0" w:color="auto"/>
            </w:tcBorders>
            <w:shd w:val="clear" w:color="auto" w:fill="auto"/>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328,9</w:t>
            </w:r>
          </w:p>
        </w:tc>
        <w:tc>
          <w:tcPr>
            <w:tcW w:w="855" w:type="dxa"/>
            <w:tcBorders>
              <w:top w:val="nil"/>
              <w:left w:val="nil"/>
              <w:bottom w:val="nil"/>
              <w:right w:val="single" w:sz="4" w:space="0" w:color="auto"/>
            </w:tcBorders>
            <w:shd w:val="clear" w:color="auto" w:fill="auto"/>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308,1</w:t>
            </w:r>
          </w:p>
        </w:tc>
        <w:tc>
          <w:tcPr>
            <w:tcW w:w="914"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181,9</w:t>
            </w:r>
          </w:p>
        </w:tc>
        <w:tc>
          <w:tcPr>
            <w:tcW w:w="741"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87,0</w:t>
            </w:r>
          </w:p>
        </w:tc>
        <w:tc>
          <w:tcPr>
            <w:tcW w:w="741"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95,0</w:t>
            </w:r>
          </w:p>
        </w:tc>
        <w:tc>
          <w:tcPr>
            <w:tcW w:w="914"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126,2</w:t>
            </w:r>
          </w:p>
        </w:tc>
        <w:tc>
          <w:tcPr>
            <w:tcW w:w="741"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63,9</w:t>
            </w:r>
          </w:p>
        </w:tc>
        <w:tc>
          <w:tcPr>
            <w:tcW w:w="741" w:type="dxa"/>
            <w:tcBorders>
              <w:top w:val="nil"/>
              <w:left w:val="nil"/>
              <w:bottom w:val="nil"/>
              <w:right w:val="double" w:sz="6"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62,4</w:t>
            </w:r>
          </w:p>
        </w:tc>
      </w:tr>
      <w:tr w:rsidR="004A34B4" w:rsidRPr="00E04C25" w:rsidTr="004A34B4">
        <w:trPr>
          <w:trHeight w:val="255"/>
          <w:jc w:val="center"/>
        </w:trPr>
        <w:tc>
          <w:tcPr>
            <w:tcW w:w="2498" w:type="dxa"/>
            <w:tcBorders>
              <w:top w:val="nil"/>
              <w:left w:val="double" w:sz="6" w:space="0" w:color="auto"/>
              <w:bottom w:val="nil"/>
              <w:right w:val="single" w:sz="4" w:space="0" w:color="auto"/>
            </w:tcBorders>
            <w:shd w:val="clear" w:color="auto" w:fill="auto"/>
            <w:noWrap/>
            <w:vAlign w:val="center"/>
            <w:hideMark/>
          </w:tcPr>
          <w:p w:rsidR="004A34B4" w:rsidRPr="00E04C25" w:rsidRDefault="004A34B4" w:rsidP="00523B41">
            <w:pPr>
              <w:rPr>
                <w:rFonts w:ascii="Arial" w:hAnsi="Arial" w:cs="Arial"/>
                <w:b/>
                <w:bCs/>
                <w:sz w:val="20"/>
                <w:szCs w:val="20"/>
              </w:rPr>
            </w:pPr>
            <w:r w:rsidRPr="00E04C25">
              <w:rPr>
                <w:rFonts w:ascii="Arial" w:hAnsi="Arial" w:cs="Arial"/>
                <w:b/>
                <w:bCs/>
                <w:sz w:val="20"/>
                <w:szCs w:val="20"/>
              </w:rPr>
              <w:t>z toho:</w:t>
            </w:r>
          </w:p>
        </w:tc>
        <w:tc>
          <w:tcPr>
            <w:tcW w:w="927" w:type="dxa"/>
            <w:tcBorders>
              <w:top w:val="nil"/>
              <w:left w:val="nil"/>
              <w:bottom w:val="nil"/>
              <w:right w:val="single" w:sz="4" w:space="0" w:color="auto"/>
            </w:tcBorders>
            <w:shd w:val="clear" w:color="auto" w:fill="auto"/>
            <w:tcMar>
              <w:left w:w="0" w:type="dxa"/>
              <w:right w:w="85" w:type="dxa"/>
            </w:tcMar>
            <w:vAlign w:val="center"/>
            <w:hideMark/>
          </w:tcPr>
          <w:p w:rsidR="004A34B4" w:rsidRPr="00E04C25" w:rsidRDefault="004A34B4">
            <w:pPr>
              <w:rPr>
                <w:rFonts w:ascii="Arial" w:hAnsi="Arial" w:cs="Arial"/>
                <w:b/>
                <w:bCs/>
                <w:sz w:val="20"/>
                <w:szCs w:val="20"/>
              </w:rPr>
            </w:pPr>
            <w:r w:rsidRPr="00E04C25">
              <w:rPr>
                <w:rFonts w:ascii="Arial" w:hAnsi="Arial" w:cs="Arial"/>
                <w:b/>
                <w:bCs/>
                <w:sz w:val="20"/>
                <w:szCs w:val="20"/>
              </w:rPr>
              <w:t> </w:t>
            </w:r>
          </w:p>
        </w:tc>
        <w:tc>
          <w:tcPr>
            <w:tcW w:w="855" w:type="dxa"/>
            <w:tcBorders>
              <w:top w:val="nil"/>
              <w:left w:val="nil"/>
              <w:bottom w:val="nil"/>
              <w:right w:val="single" w:sz="4" w:space="0" w:color="auto"/>
            </w:tcBorders>
            <w:shd w:val="clear" w:color="auto" w:fill="auto"/>
            <w:tcMar>
              <w:left w:w="0" w:type="dxa"/>
              <w:right w:w="85" w:type="dxa"/>
            </w:tcMar>
            <w:vAlign w:val="center"/>
            <w:hideMark/>
          </w:tcPr>
          <w:p w:rsidR="004A34B4" w:rsidRPr="00E04C25" w:rsidRDefault="004A34B4">
            <w:pPr>
              <w:rPr>
                <w:rFonts w:ascii="Arial" w:hAnsi="Arial" w:cs="Arial"/>
                <w:b/>
                <w:bCs/>
                <w:sz w:val="20"/>
                <w:szCs w:val="20"/>
              </w:rPr>
            </w:pPr>
            <w:r w:rsidRPr="00E04C25">
              <w:rPr>
                <w:rFonts w:ascii="Arial" w:hAnsi="Arial" w:cs="Arial"/>
                <w:b/>
                <w:bCs/>
                <w:sz w:val="20"/>
                <w:szCs w:val="20"/>
              </w:rPr>
              <w:t> </w:t>
            </w:r>
          </w:p>
        </w:tc>
        <w:tc>
          <w:tcPr>
            <w:tcW w:w="914"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rPr>
                <w:rFonts w:ascii="Arial" w:hAnsi="Arial" w:cs="Arial"/>
                <w:bCs/>
                <w:sz w:val="20"/>
                <w:szCs w:val="20"/>
              </w:rPr>
            </w:pPr>
            <w:r w:rsidRPr="00E04C25">
              <w:rPr>
                <w:rFonts w:ascii="Arial" w:hAnsi="Arial" w:cs="Arial"/>
                <w:bCs/>
                <w:sz w:val="20"/>
                <w:szCs w:val="20"/>
              </w:rPr>
              <w:t> </w:t>
            </w:r>
          </w:p>
        </w:tc>
        <w:tc>
          <w:tcPr>
            <w:tcW w:w="741"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rPr>
                <w:rFonts w:ascii="Arial" w:hAnsi="Arial" w:cs="Arial"/>
                <w:sz w:val="20"/>
                <w:szCs w:val="20"/>
              </w:rPr>
            </w:pPr>
            <w:r w:rsidRPr="00E04C25">
              <w:rPr>
                <w:rFonts w:ascii="Arial" w:hAnsi="Arial" w:cs="Arial"/>
                <w:sz w:val="20"/>
                <w:szCs w:val="20"/>
              </w:rPr>
              <w:t> </w:t>
            </w:r>
          </w:p>
        </w:tc>
        <w:tc>
          <w:tcPr>
            <w:tcW w:w="741"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rPr>
                <w:rFonts w:ascii="Arial" w:hAnsi="Arial" w:cs="Arial"/>
                <w:sz w:val="20"/>
                <w:szCs w:val="20"/>
              </w:rPr>
            </w:pPr>
            <w:r w:rsidRPr="00E04C25">
              <w:rPr>
                <w:rFonts w:ascii="Arial" w:hAnsi="Arial" w:cs="Arial"/>
                <w:sz w:val="20"/>
                <w:szCs w:val="20"/>
              </w:rPr>
              <w:t> </w:t>
            </w:r>
          </w:p>
        </w:tc>
        <w:tc>
          <w:tcPr>
            <w:tcW w:w="914"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rPr>
                <w:rFonts w:ascii="Arial" w:hAnsi="Arial" w:cs="Arial"/>
                <w:bCs/>
                <w:sz w:val="20"/>
                <w:szCs w:val="20"/>
              </w:rPr>
            </w:pPr>
          </w:p>
        </w:tc>
        <w:tc>
          <w:tcPr>
            <w:tcW w:w="741"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rPr>
                <w:rFonts w:ascii="Arial" w:hAnsi="Arial" w:cs="Arial"/>
                <w:sz w:val="20"/>
                <w:szCs w:val="20"/>
              </w:rPr>
            </w:pPr>
            <w:r w:rsidRPr="00E04C25">
              <w:rPr>
                <w:rFonts w:ascii="Arial" w:hAnsi="Arial" w:cs="Arial"/>
                <w:sz w:val="20"/>
                <w:szCs w:val="20"/>
              </w:rPr>
              <w:t> </w:t>
            </w:r>
          </w:p>
        </w:tc>
        <w:tc>
          <w:tcPr>
            <w:tcW w:w="741" w:type="dxa"/>
            <w:tcBorders>
              <w:top w:val="nil"/>
              <w:left w:val="nil"/>
              <w:bottom w:val="nil"/>
              <w:right w:val="double" w:sz="6" w:space="0" w:color="auto"/>
            </w:tcBorders>
            <w:shd w:val="clear" w:color="auto" w:fill="auto"/>
            <w:noWrap/>
            <w:tcMar>
              <w:left w:w="0" w:type="dxa"/>
              <w:right w:w="57" w:type="dxa"/>
            </w:tcMar>
            <w:vAlign w:val="center"/>
            <w:hideMark/>
          </w:tcPr>
          <w:p w:rsidR="004A34B4" w:rsidRPr="00E04C25" w:rsidRDefault="004A34B4">
            <w:pPr>
              <w:rPr>
                <w:rFonts w:ascii="Arial" w:hAnsi="Arial" w:cs="Arial"/>
                <w:sz w:val="20"/>
                <w:szCs w:val="20"/>
              </w:rPr>
            </w:pPr>
            <w:r w:rsidRPr="00E04C25">
              <w:rPr>
                <w:rFonts w:ascii="Arial" w:hAnsi="Arial" w:cs="Arial"/>
                <w:sz w:val="20"/>
                <w:szCs w:val="20"/>
              </w:rPr>
              <w:t> </w:t>
            </w:r>
          </w:p>
        </w:tc>
      </w:tr>
      <w:tr w:rsidR="004A34B4" w:rsidRPr="00E04C25" w:rsidTr="004A34B4">
        <w:trPr>
          <w:trHeight w:val="255"/>
          <w:jc w:val="center"/>
        </w:trPr>
        <w:tc>
          <w:tcPr>
            <w:tcW w:w="2498" w:type="dxa"/>
            <w:tcBorders>
              <w:top w:val="nil"/>
              <w:left w:val="double" w:sz="6" w:space="0" w:color="auto"/>
              <w:bottom w:val="nil"/>
              <w:right w:val="single" w:sz="4" w:space="0" w:color="auto"/>
            </w:tcBorders>
            <w:shd w:val="clear" w:color="auto" w:fill="auto"/>
            <w:noWrap/>
            <w:vAlign w:val="center"/>
            <w:hideMark/>
          </w:tcPr>
          <w:p w:rsidR="004A34B4" w:rsidRPr="00E04C25" w:rsidRDefault="004A34B4" w:rsidP="00523B41">
            <w:pPr>
              <w:rPr>
                <w:rFonts w:ascii="Arial" w:hAnsi="Arial" w:cs="Arial"/>
                <w:sz w:val="20"/>
                <w:szCs w:val="20"/>
              </w:rPr>
            </w:pPr>
            <w:r w:rsidRPr="00E04C25">
              <w:rPr>
                <w:rFonts w:ascii="Arial" w:hAnsi="Arial" w:cs="Arial"/>
                <w:sz w:val="20"/>
                <w:szCs w:val="20"/>
              </w:rPr>
              <w:t>umístění ÚP ČR</w:t>
            </w:r>
          </w:p>
        </w:tc>
        <w:tc>
          <w:tcPr>
            <w:tcW w:w="927" w:type="dxa"/>
            <w:tcBorders>
              <w:top w:val="nil"/>
              <w:left w:val="nil"/>
              <w:bottom w:val="nil"/>
              <w:right w:val="single" w:sz="4" w:space="0" w:color="auto"/>
            </w:tcBorders>
            <w:shd w:val="clear" w:color="auto" w:fill="auto"/>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45,9</w:t>
            </w:r>
          </w:p>
        </w:tc>
        <w:tc>
          <w:tcPr>
            <w:tcW w:w="855" w:type="dxa"/>
            <w:tcBorders>
              <w:top w:val="nil"/>
              <w:left w:val="nil"/>
              <w:bottom w:val="nil"/>
              <w:right w:val="single" w:sz="4" w:space="0" w:color="auto"/>
            </w:tcBorders>
            <w:shd w:val="clear" w:color="auto" w:fill="auto"/>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43,0</w:t>
            </w:r>
          </w:p>
        </w:tc>
        <w:tc>
          <w:tcPr>
            <w:tcW w:w="914"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27,1</w:t>
            </w:r>
          </w:p>
        </w:tc>
        <w:tc>
          <w:tcPr>
            <w:tcW w:w="741"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11,4</w:t>
            </w:r>
          </w:p>
        </w:tc>
        <w:tc>
          <w:tcPr>
            <w:tcW w:w="741"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15,7</w:t>
            </w:r>
          </w:p>
        </w:tc>
        <w:tc>
          <w:tcPr>
            <w:tcW w:w="914"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15,9</w:t>
            </w:r>
          </w:p>
        </w:tc>
        <w:tc>
          <w:tcPr>
            <w:tcW w:w="741"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8,1</w:t>
            </w:r>
          </w:p>
        </w:tc>
        <w:tc>
          <w:tcPr>
            <w:tcW w:w="741" w:type="dxa"/>
            <w:tcBorders>
              <w:top w:val="nil"/>
              <w:left w:val="nil"/>
              <w:bottom w:val="nil"/>
              <w:right w:val="double" w:sz="6"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7,8</w:t>
            </w:r>
          </w:p>
        </w:tc>
      </w:tr>
      <w:tr w:rsidR="004A34B4" w:rsidRPr="00E04C25" w:rsidTr="004A34B4">
        <w:trPr>
          <w:trHeight w:val="255"/>
          <w:jc w:val="center"/>
        </w:trPr>
        <w:tc>
          <w:tcPr>
            <w:tcW w:w="2498" w:type="dxa"/>
            <w:tcBorders>
              <w:top w:val="nil"/>
              <w:left w:val="double" w:sz="6" w:space="0" w:color="auto"/>
              <w:bottom w:val="nil"/>
              <w:right w:val="single" w:sz="4" w:space="0" w:color="auto"/>
            </w:tcBorders>
            <w:shd w:val="clear" w:color="auto" w:fill="auto"/>
            <w:noWrap/>
            <w:vAlign w:val="center"/>
            <w:hideMark/>
          </w:tcPr>
          <w:p w:rsidR="004A34B4" w:rsidRPr="00E04C25" w:rsidRDefault="004A34B4" w:rsidP="00523B41">
            <w:pPr>
              <w:rPr>
                <w:rFonts w:ascii="Arial" w:hAnsi="Arial" w:cs="Arial"/>
                <w:sz w:val="20"/>
                <w:szCs w:val="20"/>
              </w:rPr>
            </w:pPr>
            <w:r w:rsidRPr="00E04C25">
              <w:rPr>
                <w:rFonts w:ascii="Arial" w:hAnsi="Arial" w:cs="Arial"/>
                <w:sz w:val="20"/>
                <w:szCs w:val="20"/>
              </w:rPr>
              <w:t>umístění jinak</w:t>
            </w:r>
          </w:p>
        </w:tc>
        <w:tc>
          <w:tcPr>
            <w:tcW w:w="927" w:type="dxa"/>
            <w:tcBorders>
              <w:top w:val="nil"/>
              <w:left w:val="nil"/>
              <w:bottom w:val="nil"/>
              <w:right w:val="single" w:sz="4" w:space="0" w:color="auto"/>
            </w:tcBorders>
            <w:shd w:val="clear" w:color="auto" w:fill="auto"/>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164,9</w:t>
            </w:r>
          </w:p>
        </w:tc>
        <w:tc>
          <w:tcPr>
            <w:tcW w:w="855" w:type="dxa"/>
            <w:tcBorders>
              <w:top w:val="nil"/>
              <w:left w:val="nil"/>
              <w:bottom w:val="nil"/>
              <w:right w:val="single" w:sz="4" w:space="0" w:color="auto"/>
            </w:tcBorders>
            <w:shd w:val="clear" w:color="auto" w:fill="auto"/>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148,5</w:t>
            </w:r>
          </w:p>
        </w:tc>
        <w:tc>
          <w:tcPr>
            <w:tcW w:w="914"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93,5</w:t>
            </w:r>
          </w:p>
        </w:tc>
        <w:tc>
          <w:tcPr>
            <w:tcW w:w="741" w:type="dxa"/>
            <w:tcBorders>
              <w:top w:val="nil"/>
              <w:left w:val="nil"/>
              <w:bottom w:val="nil"/>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45,9</w:t>
            </w:r>
          </w:p>
        </w:tc>
        <w:tc>
          <w:tcPr>
            <w:tcW w:w="741" w:type="dxa"/>
            <w:tcBorders>
              <w:top w:val="nil"/>
              <w:left w:val="single" w:sz="4" w:space="0" w:color="auto"/>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47,7</w:t>
            </w:r>
          </w:p>
        </w:tc>
        <w:tc>
          <w:tcPr>
            <w:tcW w:w="914"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54,9</w:t>
            </w:r>
          </w:p>
        </w:tc>
        <w:tc>
          <w:tcPr>
            <w:tcW w:w="741" w:type="dxa"/>
            <w:tcBorders>
              <w:top w:val="nil"/>
              <w:left w:val="nil"/>
              <w:bottom w:val="nil"/>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27,7</w:t>
            </w:r>
          </w:p>
        </w:tc>
        <w:tc>
          <w:tcPr>
            <w:tcW w:w="741" w:type="dxa"/>
            <w:tcBorders>
              <w:top w:val="nil"/>
              <w:left w:val="nil"/>
              <w:bottom w:val="nil"/>
              <w:right w:val="double" w:sz="6"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27,3</w:t>
            </w:r>
          </w:p>
        </w:tc>
      </w:tr>
      <w:tr w:rsidR="004A34B4" w:rsidRPr="00E04C25" w:rsidTr="004A34B4">
        <w:trPr>
          <w:trHeight w:val="270"/>
          <w:jc w:val="center"/>
        </w:trPr>
        <w:tc>
          <w:tcPr>
            <w:tcW w:w="2498" w:type="dxa"/>
            <w:tcBorders>
              <w:top w:val="nil"/>
              <w:left w:val="double" w:sz="6" w:space="0" w:color="auto"/>
              <w:bottom w:val="double" w:sz="6" w:space="0" w:color="auto"/>
              <w:right w:val="single" w:sz="4" w:space="0" w:color="auto"/>
            </w:tcBorders>
            <w:shd w:val="clear" w:color="auto" w:fill="auto"/>
            <w:noWrap/>
            <w:vAlign w:val="center"/>
            <w:hideMark/>
          </w:tcPr>
          <w:p w:rsidR="004A34B4" w:rsidRPr="00E04C25" w:rsidRDefault="004A34B4" w:rsidP="00523B41">
            <w:pPr>
              <w:rPr>
                <w:rFonts w:ascii="Arial" w:hAnsi="Arial" w:cs="Arial"/>
                <w:sz w:val="20"/>
                <w:szCs w:val="20"/>
              </w:rPr>
            </w:pPr>
            <w:r w:rsidRPr="00E04C25">
              <w:rPr>
                <w:rFonts w:ascii="Arial" w:hAnsi="Arial" w:cs="Arial"/>
                <w:sz w:val="20"/>
                <w:szCs w:val="20"/>
              </w:rPr>
              <w:t>vyřazení pro nespolupráci</w:t>
            </w:r>
          </w:p>
        </w:tc>
        <w:tc>
          <w:tcPr>
            <w:tcW w:w="927" w:type="dxa"/>
            <w:tcBorders>
              <w:top w:val="nil"/>
              <w:left w:val="nil"/>
              <w:bottom w:val="double" w:sz="6" w:space="0" w:color="auto"/>
              <w:right w:val="single" w:sz="4" w:space="0" w:color="auto"/>
            </w:tcBorders>
            <w:shd w:val="clear" w:color="auto" w:fill="auto"/>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59,2</w:t>
            </w:r>
          </w:p>
        </w:tc>
        <w:tc>
          <w:tcPr>
            <w:tcW w:w="855" w:type="dxa"/>
            <w:tcBorders>
              <w:top w:val="nil"/>
              <w:left w:val="nil"/>
              <w:bottom w:val="double" w:sz="6" w:space="0" w:color="auto"/>
              <w:right w:val="single" w:sz="4" w:space="0" w:color="auto"/>
            </w:tcBorders>
            <w:shd w:val="clear" w:color="auto" w:fill="auto"/>
            <w:tcMar>
              <w:left w:w="0" w:type="dxa"/>
              <w:right w:w="85" w:type="dxa"/>
            </w:tcMar>
            <w:vAlign w:val="center"/>
            <w:hideMark/>
          </w:tcPr>
          <w:p w:rsidR="004A34B4" w:rsidRPr="00E04C25" w:rsidRDefault="004A34B4">
            <w:pPr>
              <w:jc w:val="right"/>
              <w:rPr>
                <w:rFonts w:ascii="Arial" w:hAnsi="Arial" w:cs="Arial"/>
                <w:b/>
                <w:bCs/>
                <w:sz w:val="20"/>
                <w:szCs w:val="20"/>
              </w:rPr>
            </w:pPr>
            <w:r w:rsidRPr="00E04C25">
              <w:rPr>
                <w:rFonts w:ascii="Arial" w:hAnsi="Arial" w:cs="Arial"/>
                <w:b/>
                <w:bCs/>
                <w:sz w:val="20"/>
                <w:szCs w:val="20"/>
              </w:rPr>
              <w:t>62,4</w:t>
            </w:r>
          </w:p>
        </w:tc>
        <w:tc>
          <w:tcPr>
            <w:tcW w:w="914" w:type="dxa"/>
            <w:tcBorders>
              <w:top w:val="nil"/>
              <w:left w:val="nil"/>
              <w:bottom w:val="double" w:sz="6" w:space="0" w:color="auto"/>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32,7</w:t>
            </w:r>
          </w:p>
        </w:tc>
        <w:tc>
          <w:tcPr>
            <w:tcW w:w="741" w:type="dxa"/>
            <w:tcBorders>
              <w:top w:val="nil"/>
              <w:left w:val="nil"/>
              <w:bottom w:val="double" w:sz="6" w:space="0" w:color="auto"/>
              <w:right w:val="nil"/>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15,5</w:t>
            </w:r>
          </w:p>
        </w:tc>
        <w:tc>
          <w:tcPr>
            <w:tcW w:w="741" w:type="dxa"/>
            <w:tcBorders>
              <w:top w:val="nil"/>
              <w:left w:val="single" w:sz="4" w:space="0" w:color="auto"/>
              <w:bottom w:val="double" w:sz="6" w:space="0" w:color="auto"/>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17,2</w:t>
            </w:r>
          </w:p>
        </w:tc>
        <w:tc>
          <w:tcPr>
            <w:tcW w:w="914" w:type="dxa"/>
            <w:tcBorders>
              <w:top w:val="nil"/>
              <w:left w:val="nil"/>
              <w:bottom w:val="double" w:sz="6" w:space="0" w:color="auto"/>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bCs/>
                <w:sz w:val="20"/>
                <w:szCs w:val="20"/>
              </w:rPr>
            </w:pPr>
            <w:r w:rsidRPr="00E04C25">
              <w:rPr>
                <w:rFonts w:ascii="Arial" w:hAnsi="Arial" w:cs="Arial"/>
                <w:bCs/>
                <w:sz w:val="20"/>
                <w:szCs w:val="20"/>
              </w:rPr>
              <w:t>29,7</w:t>
            </w:r>
          </w:p>
        </w:tc>
        <w:tc>
          <w:tcPr>
            <w:tcW w:w="741" w:type="dxa"/>
            <w:tcBorders>
              <w:top w:val="nil"/>
              <w:left w:val="nil"/>
              <w:bottom w:val="double" w:sz="6" w:space="0" w:color="auto"/>
              <w:right w:val="single" w:sz="4"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14,5</w:t>
            </w:r>
          </w:p>
        </w:tc>
        <w:tc>
          <w:tcPr>
            <w:tcW w:w="741" w:type="dxa"/>
            <w:tcBorders>
              <w:top w:val="nil"/>
              <w:left w:val="nil"/>
              <w:bottom w:val="double" w:sz="6" w:space="0" w:color="auto"/>
              <w:right w:val="double" w:sz="6" w:space="0" w:color="auto"/>
            </w:tcBorders>
            <w:shd w:val="clear" w:color="auto" w:fill="auto"/>
            <w:noWrap/>
            <w:tcMar>
              <w:left w:w="0" w:type="dxa"/>
              <w:right w:w="57" w:type="dxa"/>
            </w:tcMar>
            <w:vAlign w:val="center"/>
            <w:hideMark/>
          </w:tcPr>
          <w:p w:rsidR="004A34B4" w:rsidRPr="00E04C25" w:rsidRDefault="004A34B4">
            <w:pPr>
              <w:jc w:val="right"/>
              <w:rPr>
                <w:rFonts w:ascii="Arial" w:hAnsi="Arial" w:cs="Arial"/>
                <w:sz w:val="20"/>
                <w:szCs w:val="20"/>
              </w:rPr>
            </w:pPr>
            <w:r w:rsidRPr="00E04C25">
              <w:rPr>
                <w:rFonts w:ascii="Arial" w:hAnsi="Arial" w:cs="Arial"/>
                <w:sz w:val="20"/>
                <w:szCs w:val="20"/>
              </w:rPr>
              <w:t>15,2</w:t>
            </w:r>
          </w:p>
        </w:tc>
      </w:tr>
    </w:tbl>
    <w:p w:rsidR="00115440" w:rsidRPr="00E04C25" w:rsidRDefault="00115440" w:rsidP="00115440">
      <w:pPr>
        <w:pStyle w:val="Zkladntext"/>
        <w:rPr>
          <w:b/>
          <w:bCs/>
          <w:color w:val="auto"/>
        </w:rPr>
      </w:pPr>
      <w:r w:rsidRPr="00E04C25">
        <w:rPr>
          <w:rFonts w:cs="Arial"/>
          <w:i/>
          <w:iCs/>
          <w:color w:val="auto"/>
          <w:sz w:val="16"/>
          <w:szCs w:val="16"/>
        </w:rPr>
        <w:t>Pozn.: drobné odchylky součtu osob v jednotlivých kategoriích od uvedeného celkového počtu souvisí se zaokrouhlením hodnot na jedno desetinné místo</w:t>
      </w:r>
      <w:r w:rsidRPr="00E04C25">
        <w:rPr>
          <w:b/>
          <w:bCs/>
          <w:color w:val="auto"/>
        </w:rPr>
        <w:t xml:space="preserve"> </w:t>
      </w:r>
    </w:p>
    <w:p w:rsidR="00115440" w:rsidRPr="00E04C25" w:rsidRDefault="00115440" w:rsidP="00115440">
      <w:pPr>
        <w:pStyle w:val="Zkladntext"/>
        <w:spacing w:line="360" w:lineRule="auto"/>
        <w:ind w:firstLine="567"/>
        <w:rPr>
          <w:color w:val="auto"/>
          <w:sz w:val="16"/>
          <w:szCs w:val="16"/>
          <w:lang w:val="cs-CZ"/>
        </w:rPr>
      </w:pPr>
    </w:p>
    <w:p w:rsidR="00775FF7" w:rsidRPr="00E04C25" w:rsidRDefault="00775FF7" w:rsidP="00775FF7">
      <w:pPr>
        <w:autoSpaceDE w:val="0"/>
        <w:autoSpaceDN w:val="0"/>
        <w:spacing w:line="360" w:lineRule="auto"/>
        <w:ind w:firstLine="708"/>
        <w:jc w:val="both"/>
        <w:rPr>
          <w:rFonts w:ascii="Arial" w:hAnsi="Arial" w:cs="Arial"/>
        </w:rPr>
      </w:pPr>
      <w:r w:rsidRPr="00E04C25">
        <w:rPr>
          <w:rFonts w:ascii="Arial" w:hAnsi="Arial" w:cs="Arial"/>
        </w:rPr>
        <w:t xml:space="preserve">Zprostředkovávat zaměstnání podle </w:t>
      </w:r>
      <w:hyperlink r:id="rId18" w:history="1">
        <w:r w:rsidRPr="00E04C25">
          <w:rPr>
            <w:rStyle w:val="Hypertextovodkaz"/>
            <w:rFonts w:ascii="Arial" w:hAnsi="Arial" w:cs="Arial"/>
            <w:color w:val="auto"/>
            <w:u w:val="none"/>
          </w:rPr>
          <w:t>§ 14 odst. 3 písm. b)</w:t>
        </w:r>
      </w:hyperlink>
      <w:r w:rsidRPr="00E04C25">
        <w:rPr>
          <w:rFonts w:ascii="Arial" w:hAnsi="Arial" w:cs="Arial"/>
        </w:rPr>
        <w:t xml:space="preserve"> zákona č. 435/2004 Sb., o zaměstnanosti, ve znění pozdějších předpisů, mohou také agentury práce (k 31. 12. 2017 jich bylo 1 938). Ve smyslu § 59 odst. </w:t>
      </w:r>
      <w:r w:rsidRPr="00E04C25">
        <w:rPr>
          <w:rFonts w:ascii="Arial" w:hAnsi="Arial" w:cs="Arial"/>
          <w:bCs/>
        </w:rPr>
        <w:t>1</w:t>
      </w:r>
      <w:r w:rsidRPr="00E04C25">
        <w:rPr>
          <w:rFonts w:ascii="Arial" w:hAnsi="Arial" w:cs="Arial"/>
          <w:b/>
          <w:bCs/>
        </w:rPr>
        <w:t xml:space="preserve"> </w:t>
      </w:r>
      <w:r w:rsidRPr="00E04C25">
        <w:rPr>
          <w:rFonts w:ascii="Arial" w:hAnsi="Arial" w:cs="Arial"/>
        </w:rPr>
        <w:t>tohoto zákona jsou povinny vést evidenci počtu volných míst, na které je požadováno zprostředkování zaměstnání, jimi umísťovaných fyzických osob a jejich zaměstnanců, jimž zprostředkovávají zaměstnání. Ze statistiky ÚP ČR vyplývá, že v roce 2017 se jednalo celkem o 187,1 tis. volných míst a 77,0 tis.</w:t>
      </w:r>
      <w:r w:rsidRPr="00E04C25">
        <w:t xml:space="preserve"> </w:t>
      </w:r>
      <w:r w:rsidRPr="00E04C25">
        <w:rPr>
          <w:rFonts w:ascii="Arial" w:hAnsi="Arial" w:cs="Arial"/>
        </w:rPr>
        <w:t xml:space="preserve">jimi umístěných osob. Pokud jde o zaměstnance agentur práce, kteří byli dočasně přiděleni k výkonu práce u uživatele, jejich počet v roce 2017 nepatrně vzrostl na 346,0 tis. (v roce 2016 jich bylo 345,1 tis.). </w:t>
      </w:r>
    </w:p>
    <w:p w:rsidR="00115440" w:rsidRPr="00E04C25" w:rsidRDefault="00775FF7" w:rsidP="00775FF7">
      <w:pPr>
        <w:widowControl w:val="0"/>
        <w:autoSpaceDE w:val="0"/>
        <w:autoSpaceDN w:val="0"/>
        <w:adjustRightInd w:val="0"/>
        <w:spacing w:line="360" w:lineRule="auto"/>
        <w:ind w:firstLine="680"/>
        <w:jc w:val="both"/>
        <w:rPr>
          <w:rFonts w:ascii="Arial" w:hAnsi="Arial" w:cs="Arial"/>
        </w:rPr>
      </w:pPr>
      <w:r w:rsidRPr="00E04C25">
        <w:rPr>
          <w:rFonts w:ascii="Arial" w:hAnsi="Arial" w:cs="Arial"/>
        </w:rPr>
        <w:t xml:space="preserve">V oblasti agenturního zaměstnávání  nabyla dne 29 . 7. 2017 účinnosti novela zákona o zaměstnanosti (zákon č. 206/2017 Sb. ze dne 8. června 2017, kterým se mění zákon č. </w:t>
      </w:r>
      <w:hyperlink r:id="rId19" w:history="1">
        <w:r w:rsidRPr="00E04C25">
          <w:rPr>
            <w:rStyle w:val="Hypertextovodkaz"/>
            <w:rFonts w:ascii="Arial" w:hAnsi="Arial" w:cs="Arial"/>
            <w:color w:val="auto"/>
            <w:u w:val="none"/>
          </w:rPr>
          <w:t>435/2004 Sb.</w:t>
        </w:r>
      </w:hyperlink>
      <w:r w:rsidRPr="00E04C25">
        <w:rPr>
          <w:rFonts w:ascii="Arial" w:hAnsi="Arial" w:cs="Arial"/>
        </w:rPr>
        <w:t>, o zaměstnanosti, ve znění pozdějších předpisů, a další související zákony), která zpřísňuje tuto formu zaměstnávání </w:t>
      </w:r>
      <w:r w:rsidR="00115440" w:rsidRPr="00E04C25">
        <w:rPr>
          <w:vertAlign w:val="superscript"/>
        </w:rPr>
        <w:footnoteReference w:id="7"/>
      </w:r>
      <w:r w:rsidR="00115440" w:rsidRPr="00E04C25">
        <w:rPr>
          <w:rFonts w:ascii="Arial" w:hAnsi="Arial" w:cs="Arial"/>
        </w:rPr>
        <w:t xml:space="preserve">. </w:t>
      </w:r>
    </w:p>
    <w:p w:rsidR="00115440" w:rsidRPr="00E04C25" w:rsidRDefault="00115440" w:rsidP="00115440">
      <w:pPr>
        <w:pStyle w:val="Styl5"/>
        <w:numPr>
          <w:ilvl w:val="0"/>
          <w:numId w:val="11"/>
        </w:numPr>
        <w:tabs>
          <w:tab w:val="clear" w:pos="720"/>
          <w:tab w:val="clear" w:pos="2868"/>
          <w:tab w:val="center" w:pos="900"/>
        </w:tabs>
        <w:spacing w:line="240" w:lineRule="auto"/>
        <w:ind w:hanging="2442"/>
        <w:jc w:val="both"/>
        <w:rPr>
          <w:color w:val="auto"/>
        </w:rPr>
      </w:pPr>
      <w:bookmarkStart w:id="119" w:name="_Toc400528527"/>
      <w:bookmarkStart w:id="120" w:name="_Toc404672668"/>
      <w:bookmarkStart w:id="121" w:name="_Toc513198680"/>
      <w:r w:rsidRPr="00E04C25">
        <w:rPr>
          <w:color w:val="auto"/>
        </w:rPr>
        <w:lastRenderedPageBreak/>
        <w:t>Struktura uchazečů o zaměstnání</w:t>
      </w:r>
      <w:bookmarkEnd w:id="119"/>
      <w:bookmarkEnd w:id="120"/>
      <w:bookmarkEnd w:id="121"/>
    </w:p>
    <w:p w:rsidR="00115440" w:rsidRPr="00E04C25" w:rsidRDefault="00115440" w:rsidP="00115440">
      <w:pPr>
        <w:pStyle w:val="Zhlav"/>
        <w:tabs>
          <w:tab w:val="clear" w:pos="4536"/>
          <w:tab w:val="clear" w:pos="9072"/>
          <w:tab w:val="left" w:pos="900"/>
        </w:tabs>
        <w:rPr>
          <w:rFonts w:cs="Arial"/>
          <w:szCs w:val="24"/>
        </w:rPr>
      </w:pPr>
    </w:p>
    <w:p w:rsidR="00115440" w:rsidRPr="00E04C25" w:rsidRDefault="00115440" w:rsidP="00115440">
      <w:pPr>
        <w:spacing w:line="360" w:lineRule="auto"/>
        <w:ind w:firstLine="567"/>
        <w:jc w:val="both"/>
        <w:rPr>
          <w:rFonts w:ascii="Arial" w:hAnsi="Arial" w:cs="Arial"/>
          <w:b/>
          <w:sz w:val="28"/>
          <w:szCs w:val="28"/>
        </w:rPr>
      </w:pPr>
      <w:r w:rsidRPr="00E04C25">
        <w:rPr>
          <w:rFonts w:ascii="Arial" w:hAnsi="Arial" w:cs="Arial"/>
          <w:iCs/>
          <w:szCs w:val="23"/>
        </w:rPr>
        <w:t xml:space="preserve">Pracoviště ÚP ČR věnují zvýšenou pozornost při zprostředkování zaměstnání především těm uchazečům o zaměstnání, kteří jsou znevýhodněni při hledání pracovního uplatnění zejména kvůli </w:t>
      </w:r>
      <w:r w:rsidRPr="00E04C25">
        <w:rPr>
          <w:rFonts w:ascii="Arial" w:hAnsi="Arial" w:cs="Arial"/>
        </w:rPr>
        <w:t>jejich zdravotnímu stavu, věku (absolventi bez praxe, mladí do 30 let a osoby nad 50 let), či péči o dítě. U nich existuje důvodný předpoklad delšího setrvání v evidenci uchazečů o zaměstnání.</w:t>
      </w:r>
    </w:p>
    <w:p w:rsidR="00115440" w:rsidRPr="00E04C25" w:rsidRDefault="00115440" w:rsidP="00115440">
      <w:pPr>
        <w:spacing w:line="360" w:lineRule="auto"/>
        <w:ind w:firstLine="567"/>
        <w:jc w:val="both"/>
        <w:rPr>
          <w:rFonts w:ascii="Arial" w:hAnsi="Arial" w:cs="Arial"/>
          <w:iCs/>
          <w:szCs w:val="23"/>
        </w:rPr>
      </w:pPr>
      <w:r w:rsidRPr="00E04C25">
        <w:rPr>
          <w:rFonts w:ascii="Arial" w:hAnsi="Arial" w:cs="Arial"/>
          <w:iCs/>
          <w:szCs w:val="23"/>
        </w:rPr>
        <w:t>S poklesem nezaměstnanosti se v roce 201</w:t>
      </w:r>
      <w:r w:rsidR="00A7276C" w:rsidRPr="00E04C25">
        <w:rPr>
          <w:rFonts w:ascii="Arial" w:hAnsi="Arial" w:cs="Arial"/>
          <w:iCs/>
          <w:szCs w:val="23"/>
        </w:rPr>
        <w:t>7</w:t>
      </w:r>
      <w:r w:rsidRPr="00E04C25">
        <w:rPr>
          <w:rFonts w:ascii="Arial" w:hAnsi="Arial" w:cs="Arial"/>
          <w:iCs/>
          <w:szCs w:val="23"/>
        </w:rPr>
        <w:t xml:space="preserve"> snížily počty uchazečů o zaměstnání všech uvedených kategorií. Pozitivní skutečností je zejména výrazný pokles počtu dlouhodobě nezaměstnaných včetně velmi dlouho nezaměstnaných (déle než 24 měsíců). Pokles u některých kategorií byl ovšem ve srovnání s průměrným poklesem nezaměstnanosti pomalejší, tudíž zastoupení některých z nich se zvýšilo. Týká se to kategorie osob ve věku 50 a více let, osob se zdravotním postižením (OZP</w:t>
      </w:r>
      <w:r w:rsidR="00442555" w:rsidRPr="00E04C25">
        <w:rPr>
          <w:rFonts w:ascii="Arial" w:hAnsi="Arial" w:cs="Arial"/>
          <w:iCs/>
          <w:szCs w:val="23"/>
        </w:rPr>
        <w:t>)</w:t>
      </w:r>
      <w:r w:rsidRPr="00E04C25">
        <w:rPr>
          <w:rFonts w:ascii="Arial" w:hAnsi="Arial" w:cs="Arial"/>
          <w:iCs/>
          <w:szCs w:val="23"/>
        </w:rPr>
        <w:t xml:space="preserve"> a osob se základním vzděláním (vč. neukončeného). </w:t>
      </w:r>
    </w:p>
    <w:p w:rsidR="00115440" w:rsidRPr="00E04C25" w:rsidRDefault="00115440" w:rsidP="00115440">
      <w:pPr>
        <w:spacing w:after="120" w:line="276" w:lineRule="auto"/>
        <w:jc w:val="both"/>
        <w:rPr>
          <w:rFonts w:ascii="Arial" w:hAnsi="Arial" w:cs="Arial"/>
          <w:b/>
          <w:bCs/>
          <w:sz w:val="16"/>
          <w:szCs w:val="16"/>
        </w:rPr>
      </w:pPr>
    </w:p>
    <w:p w:rsidR="00115440" w:rsidRPr="00E04C25" w:rsidRDefault="00115440" w:rsidP="00304119">
      <w:pPr>
        <w:pStyle w:val="Odstavecseseznamem"/>
        <w:numPr>
          <w:ilvl w:val="0"/>
          <w:numId w:val="17"/>
        </w:numPr>
        <w:spacing w:after="120" w:line="360" w:lineRule="auto"/>
        <w:jc w:val="both"/>
        <w:rPr>
          <w:rFonts w:ascii="Arial" w:hAnsi="Arial" w:cs="Arial"/>
          <w:iCs/>
          <w:szCs w:val="23"/>
        </w:rPr>
      </w:pPr>
      <w:r w:rsidRPr="00E04C25">
        <w:rPr>
          <w:rFonts w:ascii="Arial" w:hAnsi="Arial" w:cs="Arial"/>
          <w:b/>
          <w:bCs/>
        </w:rPr>
        <w:t xml:space="preserve">Uchazeči o zaměstnání </w:t>
      </w:r>
      <w:r w:rsidR="00F35B7C" w:rsidRPr="00E04C25">
        <w:rPr>
          <w:rFonts w:ascii="Arial" w:hAnsi="Arial" w:cs="Arial"/>
          <w:b/>
          <w:bCs/>
        </w:rPr>
        <w:t>–</w:t>
      </w:r>
      <w:r w:rsidR="00442555" w:rsidRPr="00E04C25">
        <w:rPr>
          <w:rFonts w:ascii="Arial" w:hAnsi="Arial" w:cs="Arial"/>
          <w:b/>
          <w:bCs/>
        </w:rPr>
        <w:t xml:space="preserve"> </w:t>
      </w:r>
      <w:r w:rsidR="00F35B7C" w:rsidRPr="00E04C25">
        <w:rPr>
          <w:rFonts w:ascii="Arial" w:hAnsi="Arial" w:cs="Arial"/>
          <w:b/>
          <w:bCs/>
        </w:rPr>
        <w:t>OZP</w:t>
      </w:r>
    </w:p>
    <w:p w:rsidR="00115440" w:rsidRPr="00E04C25" w:rsidRDefault="00115440" w:rsidP="00115440">
      <w:pPr>
        <w:spacing w:line="360" w:lineRule="auto"/>
        <w:ind w:firstLine="567"/>
        <w:jc w:val="both"/>
        <w:rPr>
          <w:rFonts w:ascii="Arial" w:hAnsi="Arial" w:cs="Arial"/>
        </w:rPr>
      </w:pPr>
      <w:r w:rsidRPr="00E04C25">
        <w:rPr>
          <w:rFonts w:ascii="Arial" w:hAnsi="Arial" w:cs="Arial"/>
          <w:b/>
          <w:bCs/>
          <w:iCs/>
        </w:rPr>
        <w:t>Na konci roku 201</w:t>
      </w:r>
      <w:r w:rsidR="00F35B7C" w:rsidRPr="00E04C25">
        <w:rPr>
          <w:rFonts w:ascii="Arial" w:hAnsi="Arial" w:cs="Arial"/>
          <w:b/>
          <w:bCs/>
          <w:iCs/>
        </w:rPr>
        <w:t>7</w:t>
      </w:r>
      <w:r w:rsidRPr="00E04C25">
        <w:rPr>
          <w:rFonts w:ascii="Arial" w:hAnsi="Arial" w:cs="Arial"/>
        </w:rPr>
        <w:t xml:space="preserve"> bylo v evidenci ÚP ČR </w:t>
      </w:r>
      <w:r w:rsidR="00F35B7C" w:rsidRPr="00E04C25">
        <w:rPr>
          <w:rFonts w:ascii="Arial" w:hAnsi="Arial" w:cs="Arial"/>
          <w:b/>
        </w:rPr>
        <w:t>46</w:t>
      </w:r>
      <w:r w:rsidRPr="00E04C25">
        <w:rPr>
          <w:rFonts w:ascii="Arial" w:hAnsi="Arial" w:cs="Arial"/>
          <w:b/>
        </w:rPr>
        <w:t>,</w:t>
      </w:r>
      <w:r w:rsidR="00F35B7C" w:rsidRPr="00E04C25">
        <w:rPr>
          <w:rFonts w:ascii="Arial" w:hAnsi="Arial" w:cs="Arial"/>
          <w:b/>
        </w:rPr>
        <w:t>0</w:t>
      </w:r>
      <w:r w:rsidRPr="00E04C25">
        <w:rPr>
          <w:rFonts w:ascii="Arial" w:hAnsi="Arial" w:cs="Arial"/>
        </w:rPr>
        <w:t xml:space="preserve"> </w:t>
      </w:r>
      <w:r w:rsidRPr="00E04C25">
        <w:rPr>
          <w:rFonts w:ascii="Arial" w:hAnsi="Arial" w:cs="Arial"/>
          <w:b/>
          <w:bCs/>
        </w:rPr>
        <w:t xml:space="preserve">tis. </w:t>
      </w:r>
      <w:r w:rsidRPr="00E04C25">
        <w:rPr>
          <w:rFonts w:ascii="Arial" w:hAnsi="Arial" w:cs="Arial"/>
          <w:b/>
          <w:bCs/>
          <w:iCs/>
        </w:rPr>
        <w:t>OZP</w:t>
      </w:r>
      <w:r w:rsidRPr="00E04C25">
        <w:rPr>
          <w:rFonts w:ascii="Arial" w:hAnsi="Arial" w:cs="Arial"/>
          <w:b/>
          <w:bCs/>
        </w:rPr>
        <w:t>,</w:t>
      </w:r>
      <w:r w:rsidRPr="00E04C25">
        <w:rPr>
          <w:rFonts w:ascii="Arial" w:hAnsi="Arial" w:cs="Arial"/>
        </w:rPr>
        <w:t xml:space="preserve"> tj. </w:t>
      </w:r>
      <w:r w:rsidRPr="00E04C25">
        <w:rPr>
          <w:rFonts w:ascii="Arial" w:hAnsi="Arial" w:cs="Arial"/>
          <w:b/>
        </w:rPr>
        <w:t>o </w:t>
      </w:r>
      <w:r w:rsidR="00F5497F" w:rsidRPr="00E04C25">
        <w:rPr>
          <w:rFonts w:ascii="Arial" w:hAnsi="Arial" w:cs="Arial"/>
          <w:b/>
        </w:rPr>
        <w:t>8</w:t>
      </w:r>
      <w:r w:rsidRPr="00E04C25">
        <w:rPr>
          <w:rFonts w:ascii="Arial" w:hAnsi="Arial" w:cs="Arial"/>
          <w:b/>
        </w:rPr>
        <w:t>,</w:t>
      </w:r>
      <w:r w:rsidR="00DB3E46" w:rsidRPr="00E04C25">
        <w:rPr>
          <w:rFonts w:ascii="Arial" w:hAnsi="Arial" w:cs="Arial"/>
          <w:b/>
        </w:rPr>
        <w:t>6</w:t>
      </w:r>
      <w:r w:rsidRPr="00E04C25">
        <w:rPr>
          <w:rFonts w:ascii="Arial" w:hAnsi="Arial" w:cs="Arial"/>
          <w:b/>
        </w:rPr>
        <w:t> tis.</w:t>
      </w:r>
      <w:r w:rsidRPr="00E04C25">
        <w:rPr>
          <w:rFonts w:ascii="Arial" w:hAnsi="Arial" w:cs="Arial"/>
        </w:rPr>
        <w:t xml:space="preserve"> </w:t>
      </w:r>
      <w:r w:rsidRPr="00E04C25">
        <w:rPr>
          <w:rFonts w:ascii="Arial" w:hAnsi="Arial" w:cs="Arial"/>
          <w:b/>
        </w:rPr>
        <w:t>méně</w:t>
      </w:r>
      <w:r w:rsidRPr="00E04C25">
        <w:rPr>
          <w:rFonts w:ascii="Arial" w:hAnsi="Arial" w:cs="Arial"/>
        </w:rPr>
        <w:t xml:space="preserve"> než před rokem. </w:t>
      </w:r>
    </w:p>
    <w:p w:rsidR="00115440" w:rsidRPr="00E04C25" w:rsidRDefault="00115440" w:rsidP="00115440">
      <w:pPr>
        <w:spacing w:line="360" w:lineRule="auto"/>
        <w:ind w:firstLine="720"/>
        <w:jc w:val="both"/>
        <w:rPr>
          <w:rFonts w:ascii="Arial" w:hAnsi="Arial" w:cs="Arial"/>
          <w:bCs/>
        </w:rPr>
      </w:pPr>
      <w:r w:rsidRPr="00E04C25">
        <w:rPr>
          <w:rFonts w:ascii="Arial" w:hAnsi="Arial" w:cs="Arial"/>
        </w:rPr>
        <w:t>Zatímco celkový počet uchazečů o zaměstnání v evidenci ÚP ČR meziročně poklesl o </w:t>
      </w:r>
      <w:r w:rsidR="00F5497F" w:rsidRPr="00E04C25">
        <w:rPr>
          <w:rFonts w:ascii="Arial" w:hAnsi="Arial" w:cs="Arial"/>
        </w:rPr>
        <w:t>26</w:t>
      </w:r>
      <w:r w:rsidRPr="00E04C25">
        <w:rPr>
          <w:rFonts w:ascii="Arial" w:hAnsi="Arial" w:cs="Arial"/>
        </w:rPr>
        <w:t>,</w:t>
      </w:r>
      <w:r w:rsidR="00F5497F" w:rsidRPr="00E04C25">
        <w:rPr>
          <w:rFonts w:ascii="Arial" w:hAnsi="Arial" w:cs="Arial"/>
        </w:rPr>
        <w:t>4</w:t>
      </w:r>
      <w:r w:rsidRPr="00E04C25">
        <w:rPr>
          <w:rFonts w:ascii="Arial" w:hAnsi="Arial" w:cs="Arial"/>
        </w:rPr>
        <w:t> %, počet uchazečů - OZP byl meziročně nižší pouze o </w:t>
      </w:r>
      <w:r w:rsidR="00F5497F" w:rsidRPr="00E04C25">
        <w:rPr>
          <w:rFonts w:ascii="Arial" w:hAnsi="Arial" w:cs="Arial"/>
        </w:rPr>
        <w:t>15,7</w:t>
      </w:r>
      <w:r w:rsidRPr="00E04C25">
        <w:rPr>
          <w:rFonts w:ascii="Arial" w:hAnsi="Arial" w:cs="Arial"/>
        </w:rPr>
        <w:t xml:space="preserve"> %. </w:t>
      </w:r>
      <w:r w:rsidRPr="00E04C25">
        <w:rPr>
          <w:rFonts w:ascii="Arial" w:hAnsi="Arial" w:cs="Arial"/>
          <w:b/>
        </w:rPr>
        <w:t>Podíl OZP</w:t>
      </w:r>
      <w:r w:rsidRPr="00E04C25">
        <w:rPr>
          <w:rFonts w:ascii="Arial" w:hAnsi="Arial" w:cs="Arial"/>
        </w:rPr>
        <w:t xml:space="preserve"> na celkovém počtu nezaměstnaných na konci prosince 201</w:t>
      </w:r>
      <w:r w:rsidR="00F5497F" w:rsidRPr="00E04C25">
        <w:rPr>
          <w:rFonts w:ascii="Arial" w:hAnsi="Arial" w:cs="Arial"/>
        </w:rPr>
        <w:t>7</w:t>
      </w:r>
      <w:r w:rsidRPr="00E04C25">
        <w:rPr>
          <w:rFonts w:ascii="Arial" w:hAnsi="Arial" w:cs="Arial"/>
        </w:rPr>
        <w:t xml:space="preserve"> proto meziročně </w:t>
      </w:r>
      <w:r w:rsidRPr="00E04C25">
        <w:rPr>
          <w:rFonts w:ascii="Arial" w:hAnsi="Arial" w:cs="Arial"/>
          <w:b/>
        </w:rPr>
        <w:t>vzrostl</w:t>
      </w:r>
      <w:r w:rsidRPr="00E04C25">
        <w:rPr>
          <w:rFonts w:ascii="Arial" w:hAnsi="Arial" w:cs="Arial"/>
        </w:rPr>
        <w:t xml:space="preserve"> z</w:t>
      </w:r>
      <w:r w:rsidR="00F5497F" w:rsidRPr="00E04C25">
        <w:rPr>
          <w:rFonts w:ascii="Arial" w:hAnsi="Arial" w:cs="Arial"/>
        </w:rPr>
        <w:t>e</w:t>
      </w:r>
      <w:r w:rsidRPr="00E04C25">
        <w:rPr>
          <w:rFonts w:ascii="Arial" w:hAnsi="Arial" w:cs="Arial"/>
        </w:rPr>
        <w:t> 1</w:t>
      </w:r>
      <w:r w:rsidR="00F5497F" w:rsidRPr="00E04C25">
        <w:rPr>
          <w:rFonts w:ascii="Arial" w:hAnsi="Arial" w:cs="Arial"/>
        </w:rPr>
        <w:t>4</w:t>
      </w:r>
      <w:r w:rsidRPr="00E04C25">
        <w:rPr>
          <w:rFonts w:ascii="Arial" w:hAnsi="Arial" w:cs="Arial"/>
        </w:rPr>
        <w:t>,</w:t>
      </w:r>
      <w:r w:rsidR="00F5497F" w:rsidRPr="00E04C25">
        <w:rPr>
          <w:rFonts w:ascii="Arial" w:hAnsi="Arial" w:cs="Arial"/>
        </w:rPr>
        <w:t>3</w:t>
      </w:r>
      <w:r w:rsidRPr="00E04C25">
        <w:rPr>
          <w:rFonts w:ascii="Arial" w:hAnsi="Arial" w:cs="Arial"/>
        </w:rPr>
        <w:t xml:space="preserve"> % </w:t>
      </w:r>
      <w:r w:rsidRPr="00E04C25">
        <w:rPr>
          <w:rFonts w:ascii="Arial" w:hAnsi="Arial" w:cs="Arial"/>
          <w:b/>
        </w:rPr>
        <w:t>na</w:t>
      </w:r>
      <w:r w:rsidRPr="00E04C25">
        <w:rPr>
          <w:rFonts w:ascii="Arial" w:hAnsi="Arial" w:cs="Arial"/>
        </w:rPr>
        <w:t xml:space="preserve"> </w:t>
      </w:r>
      <w:r w:rsidRPr="00E04C25">
        <w:rPr>
          <w:rFonts w:ascii="Arial" w:hAnsi="Arial" w:cs="Arial"/>
          <w:b/>
        </w:rPr>
        <w:t>1</w:t>
      </w:r>
      <w:r w:rsidR="00F5497F" w:rsidRPr="00E04C25">
        <w:rPr>
          <w:rFonts w:ascii="Arial" w:hAnsi="Arial" w:cs="Arial"/>
          <w:b/>
        </w:rPr>
        <w:t>6</w:t>
      </w:r>
      <w:r w:rsidRPr="00E04C25">
        <w:rPr>
          <w:rFonts w:ascii="Arial" w:hAnsi="Arial" w:cs="Arial"/>
          <w:b/>
          <w:bCs/>
        </w:rPr>
        <w:t>,</w:t>
      </w:r>
      <w:r w:rsidR="00F5497F" w:rsidRPr="00E04C25">
        <w:rPr>
          <w:rFonts w:ascii="Arial" w:hAnsi="Arial" w:cs="Arial"/>
          <w:b/>
          <w:bCs/>
        </w:rPr>
        <w:t>4</w:t>
      </w:r>
      <w:r w:rsidRPr="00E04C25">
        <w:rPr>
          <w:rFonts w:ascii="Arial" w:hAnsi="Arial" w:cs="Arial"/>
          <w:b/>
          <w:bCs/>
        </w:rPr>
        <w:t> %</w:t>
      </w:r>
      <w:r w:rsidRPr="00E04C25">
        <w:rPr>
          <w:rFonts w:ascii="Arial" w:hAnsi="Arial" w:cs="Arial"/>
          <w:bCs/>
        </w:rPr>
        <w:t>.</w:t>
      </w:r>
    </w:p>
    <w:p w:rsidR="00115440" w:rsidRPr="00E04C25" w:rsidRDefault="00115440" w:rsidP="00115440">
      <w:pPr>
        <w:spacing w:line="360" w:lineRule="auto"/>
        <w:ind w:firstLine="567"/>
        <w:jc w:val="both"/>
        <w:rPr>
          <w:rFonts w:ascii="Arial" w:hAnsi="Arial" w:cs="Arial"/>
          <w:iCs/>
          <w:szCs w:val="23"/>
        </w:rPr>
      </w:pPr>
      <w:r w:rsidRPr="00E04C25">
        <w:rPr>
          <w:rFonts w:ascii="Arial" w:hAnsi="Arial" w:cs="Arial"/>
          <w:iCs/>
          <w:szCs w:val="23"/>
        </w:rPr>
        <w:t xml:space="preserve">V průběhu roku pokračoval nárůst </w:t>
      </w:r>
      <w:r w:rsidRPr="00E04C25">
        <w:rPr>
          <w:rFonts w:ascii="Arial" w:hAnsi="Arial" w:cs="Arial"/>
          <w:b/>
          <w:bCs/>
          <w:iCs/>
          <w:szCs w:val="23"/>
        </w:rPr>
        <w:t xml:space="preserve">volných pracovních míst </w:t>
      </w:r>
      <w:r w:rsidRPr="00E04C25">
        <w:rPr>
          <w:rFonts w:ascii="Arial" w:hAnsi="Arial" w:cs="Arial"/>
          <w:bCs/>
          <w:iCs/>
          <w:szCs w:val="23"/>
        </w:rPr>
        <w:t>vhodných</w:t>
      </w:r>
      <w:r w:rsidRPr="00E04C25">
        <w:rPr>
          <w:rFonts w:ascii="Arial" w:hAnsi="Arial" w:cs="Arial"/>
          <w:b/>
          <w:bCs/>
          <w:iCs/>
          <w:szCs w:val="23"/>
        </w:rPr>
        <w:t xml:space="preserve"> </w:t>
      </w:r>
      <w:r w:rsidRPr="00E04C25">
        <w:rPr>
          <w:rFonts w:ascii="Arial" w:hAnsi="Arial" w:cs="Arial"/>
          <w:bCs/>
          <w:iCs/>
          <w:szCs w:val="23"/>
        </w:rPr>
        <w:t xml:space="preserve">také </w:t>
      </w:r>
      <w:r w:rsidRPr="00E04C25">
        <w:rPr>
          <w:rFonts w:ascii="Arial" w:hAnsi="Arial" w:cs="Arial"/>
          <w:b/>
          <w:bCs/>
          <w:iCs/>
          <w:szCs w:val="23"/>
        </w:rPr>
        <w:t>pro OZP.</w:t>
      </w:r>
      <w:r w:rsidRPr="00E04C25">
        <w:rPr>
          <w:rFonts w:ascii="Arial" w:hAnsi="Arial" w:cs="Arial"/>
          <w:iCs/>
          <w:szCs w:val="23"/>
        </w:rPr>
        <w:t xml:space="preserve"> </w:t>
      </w:r>
      <w:r w:rsidRPr="00E04C25">
        <w:rPr>
          <w:rFonts w:ascii="Arial" w:hAnsi="Arial" w:cs="Arial"/>
          <w:b/>
          <w:iCs/>
          <w:szCs w:val="23"/>
        </w:rPr>
        <w:t>K 31. 12. 201</w:t>
      </w:r>
      <w:r w:rsidR="00F5497F" w:rsidRPr="00E04C25">
        <w:rPr>
          <w:rFonts w:ascii="Arial" w:hAnsi="Arial" w:cs="Arial"/>
          <w:b/>
          <w:iCs/>
          <w:szCs w:val="23"/>
        </w:rPr>
        <w:t>7</w:t>
      </w:r>
      <w:r w:rsidRPr="00E04C25">
        <w:rPr>
          <w:rFonts w:ascii="Arial" w:hAnsi="Arial" w:cs="Arial"/>
          <w:iCs/>
          <w:szCs w:val="23"/>
        </w:rPr>
        <w:t xml:space="preserve"> jich bylo nahlášeno </w:t>
      </w:r>
      <w:r w:rsidRPr="00E04C25">
        <w:rPr>
          <w:rFonts w:ascii="Arial" w:hAnsi="Arial" w:cs="Arial"/>
          <w:b/>
          <w:iCs/>
          <w:szCs w:val="23"/>
        </w:rPr>
        <w:t>1</w:t>
      </w:r>
      <w:r w:rsidR="00F5497F" w:rsidRPr="00E04C25">
        <w:rPr>
          <w:rFonts w:ascii="Arial" w:hAnsi="Arial" w:cs="Arial"/>
          <w:b/>
          <w:iCs/>
          <w:szCs w:val="23"/>
        </w:rPr>
        <w:t>3</w:t>
      </w:r>
      <w:r w:rsidRPr="00E04C25">
        <w:rPr>
          <w:rFonts w:ascii="Arial" w:hAnsi="Arial" w:cs="Arial"/>
          <w:b/>
          <w:iCs/>
          <w:szCs w:val="23"/>
        </w:rPr>
        <w:t>,</w:t>
      </w:r>
      <w:r w:rsidR="00F5497F" w:rsidRPr="00E04C25">
        <w:rPr>
          <w:rFonts w:ascii="Arial" w:hAnsi="Arial" w:cs="Arial"/>
          <w:b/>
          <w:iCs/>
          <w:szCs w:val="23"/>
        </w:rPr>
        <w:t>0</w:t>
      </w:r>
      <w:r w:rsidRPr="00E04C25">
        <w:rPr>
          <w:rFonts w:ascii="Arial" w:hAnsi="Arial" w:cs="Arial"/>
          <w:b/>
          <w:iCs/>
          <w:szCs w:val="23"/>
        </w:rPr>
        <w:t xml:space="preserve"> tis., </w:t>
      </w:r>
      <w:r w:rsidRPr="00E04C25">
        <w:rPr>
          <w:rFonts w:ascii="Arial" w:hAnsi="Arial" w:cs="Arial"/>
          <w:iCs/>
          <w:szCs w:val="23"/>
        </w:rPr>
        <w:t>o 1,7 tis.</w:t>
      </w:r>
      <w:r w:rsidRPr="00E04C25">
        <w:rPr>
          <w:rFonts w:ascii="Arial" w:hAnsi="Arial" w:cs="Arial"/>
          <w:b/>
          <w:iCs/>
          <w:szCs w:val="23"/>
        </w:rPr>
        <w:t xml:space="preserve"> </w:t>
      </w:r>
      <w:r w:rsidRPr="00E04C25">
        <w:rPr>
          <w:rFonts w:ascii="Arial" w:hAnsi="Arial" w:cs="Arial"/>
          <w:iCs/>
          <w:szCs w:val="23"/>
        </w:rPr>
        <w:t>více než</w:t>
      </w:r>
      <w:r w:rsidR="00F5497F" w:rsidRPr="00E04C25">
        <w:rPr>
          <w:rFonts w:ascii="Arial" w:hAnsi="Arial" w:cs="Arial"/>
          <w:iCs/>
          <w:szCs w:val="23"/>
        </w:rPr>
        <w:t xml:space="preserve"> před rokem. Jejich počet ovšem </w:t>
      </w:r>
      <w:r w:rsidR="00DB3E46" w:rsidRPr="00E04C25">
        <w:rPr>
          <w:rFonts w:ascii="Arial" w:hAnsi="Arial" w:cs="Arial"/>
          <w:iCs/>
          <w:szCs w:val="23"/>
        </w:rPr>
        <w:t>(</w:t>
      </w:r>
      <w:r w:rsidR="00F5497F" w:rsidRPr="00E04C25">
        <w:rPr>
          <w:rFonts w:ascii="Arial" w:hAnsi="Arial" w:cs="Arial"/>
          <w:iCs/>
          <w:szCs w:val="23"/>
        </w:rPr>
        <w:t xml:space="preserve">podobně jako v roce 2016) </w:t>
      </w:r>
      <w:r w:rsidRPr="00E04C25">
        <w:rPr>
          <w:rFonts w:ascii="Arial" w:hAnsi="Arial" w:cs="Arial"/>
          <w:iCs/>
          <w:szCs w:val="23"/>
        </w:rPr>
        <w:t>nerostl stejnou intenzitou jako v roce 201</w:t>
      </w:r>
      <w:r w:rsidR="00F5497F" w:rsidRPr="00E04C25">
        <w:rPr>
          <w:rFonts w:ascii="Arial" w:hAnsi="Arial" w:cs="Arial"/>
          <w:iCs/>
          <w:szCs w:val="23"/>
        </w:rPr>
        <w:t>5</w:t>
      </w:r>
      <w:r w:rsidRPr="00E04C25">
        <w:rPr>
          <w:rFonts w:ascii="Arial" w:hAnsi="Arial" w:cs="Arial"/>
          <w:iCs/>
          <w:szCs w:val="23"/>
        </w:rPr>
        <w:t xml:space="preserve">, kdy se proti roku 2014 téměř zdvojnásobil. Ze všech volných </w:t>
      </w:r>
      <w:r w:rsidR="00DB3E46" w:rsidRPr="00E04C25">
        <w:rPr>
          <w:rFonts w:ascii="Arial" w:hAnsi="Arial" w:cs="Arial"/>
          <w:iCs/>
          <w:szCs w:val="23"/>
        </w:rPr>
        <w:t xml:space="preserve">pracovních </w:t>
      </w:r>
      <w:r w:rsidRPr="00E04C25">
        <w:rPr>
          <w:rFonts w:ascii="Arial" w:hAnsi="Arial" w:cs="Arial"/>
          <w:iCs/>
          <w:szCs w:val="23"/>
        </w:rPr>
        <w:t>míst hlášených na ÚP</w:t>
      </w:r>
      <w:r w:rsidR="00442555" w:rsidRPr="00E04C25">
        <w:rPr>
          <w:rFonts w:ascii="Arial" w:hAnsi="Arial" w:cs="Arial"/>
          <w:iCs/>
          <w:szCs w:val="23"/>
        </w:rPr>
        <w:t> ČR</w:t>
      </w:r>
      <w:r w:rsidRPr="00E04C25">
        <w:rPr>
          <w:rFonts w:ascii="Arial" w:hAnsi="Arial" w:cs="Arial"/>
          <w:iCs/>
          <w:szCs w:val="23"/>
        </w:rPr>
        <w:t xml:space="preserve"> představovala místa pro OZP </w:t>
      </w:r>
      <w:r w:rsidR="00F5497F" w:rsidRPr="00E04C25">
        <w:rPr>
          <w:rFonts w:ascii="Arial" w:hAnsi="Arial" w:cs="Arial"/>
          <w:iCs/>
          <w:szCs w:val="23"/>
        </w:rPr>
        <w:t>6</w:t>
      </w:r>
      <w:r w:rsidRPr="00E04C25">
        <w:rPr>
          <w:rFonts w:ascii="Arial" w:hAnsi="Arial" w:cs="Arial"/>
          <w:iCs/>
          <w:szCs w:val="23"/>
        </w:rPr>
        <w:t>,</w:t>
      </w:r>
      <w:r w:rsidR="00F5497F" w:rsidRPr="00E04C25">
        <w:rPr>
          <w:rFonts w:ascii="Arial" w:hAnsi="Arial" w:cs="Arial"/>
          <w:iCs/>
          <w:szCs w:val="23"/>
        </w:rPr>
        <w:t>0</w:t>
      </w:r>
      <w:r w:rsidRPr="00E04C25">
        <w:rPr>
          <w:rFonts w:ascii="Arial" w:hAnsi="Arial" w:cs="Arial"/>
          <w:iCs/>
          <w:szCs w:val="23"/>
        </w:rPr>
        <w:t> %, méně než před rokem (v</w:t>
      </w:r>
      <w:r w:rsidR="00DB3E46" w:rsidRPr="00E04C25">
        <w:rPr>
          <w:rFonts w:ascii="Arial" w:hAnsi="Arial" w:cs="Arial"/>
          <w:iCs/>
          <w:szCs w:val="23"/>
        </w:rPr>
        <w:t> </w:t>
      </w:r>
      <w:r w:rsidRPr="00E04C25">
        <w:rPr>
          <w:rFonts w:ascii="Arial" w:hAnsi="Arial" w:cs="Arial"/>
          <w:iCs/>
          <w:szCs w:val="23"/>
        </w:rPr>
        <w:t>prosinci 201</w:t>
      </w:r>
      <w:r w:rsidR="00F5497F" w:rsidRPr="00E04C25">
        <w:rPr>
          <w:rFonts w:ascii="Arial" w:hAnsi="Arial" w:cs="Arial"/>
          <w:iCs/>
          <w:szCs w:val="23"/>
        </w:rPr>
        <w:t>6</w:t>
      </w:r>
      <w:r w:rsidRPr="00E04C25">
        <w:rPr>
          <w:rFonts w:ascii="Arial" w:hAnsi="Arial" w:cs="Arial"/>
          <w:iCs/>
          <w:szCs w:val="23"/>
        </w:rPr>
        <w:t xml:space="preserve"> tvořila </w:t>
      </w:r>
      <w:r w:rsidR="00F5497F" w:rsidRPr="00E04C25">
        <w:rPr>
          <w:rFonts w:ascii="Arial" w:hAnsi="Arial" w:cs="Arial"/>
          <w:iCs/>
          <w:szCs w:val="23"/>
        </w:rPr>
        <w:t>8</w:t>
      </w:r>
      <w:r w:rsidRPr="00E04C25">
        <w:rPr>
          <w:rFonts w:ascii="Arial" w:hAnsi="Arial" w:cs="Arial"/>
          <w:iCs/>
          <w:szCs w:val="23"/>
        </w:rPr>
        <w:t>,</w:t>
      </w:r>
      <w:r w:rsidR="00F5497F" w:rsidRPr="00E04C25">
        <w:rPr>
          <w:rFonts w:ascii="Arial" w:hAnsi="Arial" w:cs="Arial"/>
          <w:iCs/>
          <w:szCs w:val="23"/>
        </w:rPr>
        <w:t>6</w:t>
      </w:r>
      <w:r w:rsidRPr="00E04C25">
        <w:rPr>
          <w:rFonts w:ascii="Arial" w:hAnsi="Arial" w:cs="Arial"/>
          <w:iCs/>
          <w:szCs w:val="23"/>
        </w:rPr>
        <w:t xml:space="preserve"> %). </w:t>
      </w:r>
    </w:p>
    <w:p w:rsidR="00DB3E46" w:rsidRPr="00E04C25" w:rsidRDefault="00DB3E46" w:rsidP="00DB3E46">
      <w:pPr>
        <w:spacing w:line="360" w:lineRule="auto"/>
        <w:ind w:firstLine="567"/>
        <w:jc w:val="both"/>
        <w:rPr>
          <w:rFonts w:ascii="Arial" w:hAnsi="Arial" w:cs="Arial"/>
          <w:iCs/>
          <w:szCs w:val="23"/>
        </w:rPr>
      </w:pPr>
      <w:r w:rsidRPr="00E04C25">
        <w:rPr>
          <w:rFonts w:ascii="Arial" w:hAnsi="Arial"/>
          <w:b/>
          <w:bCs/>
        </w:rPr>
        <w:t xml:space="preserve">Na jedno volné pracovní místo </w:t>
      </w:r>
      <w:r w:rsidRPr="00E04C25">
        <w:rPr>
          <w:rFonts w:ascii="Arial" w:hAnsi="Arial"/>
        </w:rPr>
        <w:t xml:space="preserve">vhodné i pro tuto skupinu připadalo </w:t>
      </w:r>
      <w:r w:rsidRPr="00E04C25">
        <w:rPr>
          <w:rFonts w:ascii="Arial" w:hAnsi="Arial"/>
          <w:b/>
        </w:rPr>
        <w:t>3,5 </w:t>
      </w:r>
      <w:r w:rsidRPr="00E04C25">
        <w:rPr>
          <w:rFonts w:ascii="Arial" w:hAnsi="Arial"/>
          <w:b/>
          <w:bCs/>
        </w:rPr>
        <w:t>OZP, což je méně než</w:t>
      </w:r>
      <w:r w:rsidRPr="00E04C25">
        <w:rPr>
          <w:rFonts w:ascii="Arial" w:hAnsi="Arial"/>
        </w:rPr>
        <w:t xml:space="preserve"> na konci roku 2016 (4,8 OZP)</w:t>
      </w:r>
      <w:r w:rsidRPr="00E04C25">
        <w:rPr>
          <w:rFonts w:ascii="Arial" w:hAnsi="Arial" w:cs="Arial"/>
          <w:iCs/>
          <w:szCs w:val="23"/>
        </w:rPr>
        <w:t xml:space="preserve">. </w:t>
      </w:r>
    </w:p>
    <w:p w:rsidR="00DB3E46" w:rsidRPr="00E04C25" w:rsidRDefault="00DB3E46" w:rsidP="00115440">
      <w:pPr>
        <w:spacing w:line="360" w:lineRule="auto"/>
        <w:ind w:firstLine="567"/>
        <w:jc w:val="both"/>
        <w:rPr>
          <w:rFonts w:ascii="Arial" w:hAnsi="Arial" w:cs="Arial"/>
          <w:iCs/>
          <w:szCs w:val="23"/>
        </w:rPr>
      </w:pPr>
    </w:p>
    <w:p w:rsidR="00115440" w:rsidRPr="00E04C25" w:rsidRDefault="00115440" w:rsidP="006D5548">
      <w:pPr>
        <w:ind w:left="3527" w:firstLine="11"/>
        <w:rPr>
          <w:rFonts w:ascii="Arial" w:hAnsi="Arial" w:cs="Arial"/>
          <w:sz w:val="20"/>
          <w:szCs w:val="20"/>
        </w:rPr>
      </w:pPr>
      <w:r w:rsidRPr="00E04C25">
        <w:rPr>
          <w:rFonts w:ascii="Arial" w:hAnsi="Arial" w:cs="Arial"/>
          <w:sz w:val="20"/>
          <w:szCs w:val="20"/>
        </w:rPr>
        <w:lastRenderedPageBreak/>
        <w:t>graf č. 1</w:t>
      </w:r>
      <w:r w:rsidR="006D5548" w:rsidRPr="00E04C25">
        <w:rPr>
          <w:rFonts w:ascii="Arial" w:hAnsi="Arial" w:cs="Arial"/>
          <w:sz w:val="20"/>
          <w:szCs w:val="20"/>
        </w:rPr>
        <w:t>1</w:t>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Pr="00E04C25">
        <w:rPr>
          <w:rFonts w:ascii="Arial" w:hAnsi="Arial" w:cs="Arial"/>
          <w:sz w:val="20"/>
          <w:szCs w:val="20"/>
        </w:rPr>
        <w:tab/>
      </w:r>
      <w:r w:rsidR="006D5548" w:rsidRPr="00E04C25">
        <w:rPr>
          <w:rFonts w:ascii="Arial" w:hAnsi="Arial" w:cs="Arial"/>
          <w:sz w:val="20"/>
          <w:szCs w:val="20"/>
        </w:rPr>
        <w:tab/>
      </w:r>
      <w:r w:rsidRPr="00E04C25">
        <w:rPr>
          <w:rFonts w:ascii="Arial" w:hAnsi="Arial" w:cs="Arial"/>
          <w:sz w:val="20"/>
          <w:szCs w:val="20"/>
        </w:rPr>
        <w:t>graf č. 1</w:t>
      </w:r>
      <w:r w:rsidR="006D5548" w:rsidRPr="00E04C25">
        <w:rPr>
          <w:rFonts w:ascii="Arial" w:hAnsi="Arial" w:cs="Arial"/>
          <w:sz w:val="20"/>
          <w:szCs w:val="20"/>
        </w:rPr>
        <w:t>2</w:t>
      </w:r>
    </w:p>
    <w:p w:rsidR="00115440" w:rsidRPr="00E04C25" w:rsidRDefault="00A42CAE" w:rsidP="00115440">
      <w:pPr>
        <w:spacing w:line="360" w:lineRule="auto"/>
        <w:jc w:val="center"/>
        <w:rPr>
          <w:noProof/>
        </w:rPr>
      </w:pPr>
      <w:r w:rsidRPr="00E04C25">
        <w:rPr>
          <w:noProof/>
        </w:rPr>
        <w:drawing>
          <wp:inline distT="0" distB="0" distL="0" distR="0">
            <wp:extent cx="2809875" cy="1771650"/>
            <wp:effectExtent l="0" t="0" r="9525" b="1905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115440" w:rsidRPr="00E04C25">
        <w:rPr>
          <w:noProof/>
        </w:rPr>
        <w:t xml:space="preserve"> </w:t>
      </w:r>
      <w:r w:rsidRPr="00E04C25">
        <w:rPr>
          <w:noProof/>
        </w:rPr>
        <w:drawing>
          <wp:inline distT="0" distB="0" distL="0" distR="0">
            <wp:extent cx="2819400" cy="1771650"/>
            <wp:effectExtent l="0" t="0" r="19050" b="1905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440" w:rsidRPr="00E04C25" w:rsidRDefault="00115440" w:rsidP="00115440">
      <w:pPr>
        <w:spacing w:line="360" w:lineRule="auto"/>
        <w:ind w:firstLine="567"/>
        <w:jc w:val="both"/>
        <w:rPr>
          <w:rFonts w:ascii="Arial" w:hAnsi="Arial" w:cs="Arial"/>
        </w:rPr>
      </w:pPr>
    </w:p>
    <w:p w:rsidR="00115440" w:rsidRPr="00E04C25" w:rsidRDefault="00115440" w:rsidP="00DB3E46">
      <w:pPr>
        <w:pStyle w:val="Odstavecseseznamem"/>
        <w:numPr>
          <w:ilvl w:val="0"/>
          <w:numId w:val="17"/>
        </w:numPr>
        <w:spacing w:after="120" w:line="360" w:lineRule="auto"/>
        <w:jc w:val="both"/>
        <w:rPr>
          <w:rFonts w:ascii="Arial" w:hAnsi="Arial" w:cs="Arial"/>
          <w:b/>
          <w:bCs/>
        </w:rPr>
      </w:pPr>
      <w:r w:rsidRPr="00E04C25">
        <w:rPr>
          <w:rFonts w:ascii="Arial" w:hAnsi="Arial" w:cs="Arial"/>
          <w:b/>
          <w:bCs/>
        </w:rPr>
        <w:t>Věková struktura uchazečů o zaměstnání</w:t>
      </w:r>
    </w:p>
    <w:p w:rsidR="00115440" w:rsidRPr="00E04C25" w:rsidRDefault="00115440" w:rsidP="00115440">
      <w:pPr>
        <w:rPr>
          <w:sz w:val="16"/>
          <w:szCs w:val="16"/>
        </w:rPr>
      </w:pPr>
    </w:p>
    <w:p w:rsidR="00115440" w:rsidRPr="00E04C25" w:rsidRDefault="00115440" w:rsidP="00115440">
      <w:pPr>
        <w:pStyle w:val="Zkladntextodsazen3"/>
        <w:tabs>
          <w:tab w:val="left" w:pos="0"/>
        </w:tabs>
        <w:spacing w:after="0" w:line="360" w:lineRule="auto"/>
        <w:ind w:left="0" w:firstLine="567"/>
        <w:jc w:val="both"/>
        <w:rPr>
          <w:rFonts w:ascii="Arial" w:hAnsi="Arial" w:cs="Arial"/>
          <w:sz w:val="24"/>
          <w:szCs w:val="24"/>
          <w:lang w:val="cs-CZ"/>
        </w:rPr>
      </w:pPr>
      <w:r w:rsidRPr="00E04C25">
        <w:rPr>
          <w:rFonts w:ascii="Arial" w:hAnsi="Arial" w:cs="Arial"/>
          <w:sz w:val="24"/>
          <w:szCs w:val="24"/>
          <w:lang w:val="cs-CZ"/>
        </w:rPr>
        <w:t xml:space="preserve">Při hledání pracovního uplatnění jsou z hlediska věku obvykle nejvíce znevýhodněné nejmladší a nejstarší věkové </w:t>
      </w:r>
      <w:r w:rsidR="002A3F88" w:rsidRPr="00E04C25">
        <w:rPr>
          <w:rFonts w:ascii="Arial" w:hAnsi="Arial" w:cs="Arial"/>
          <w:sz w:val="24"/>
          <w:szCs w:val="24"/>
          <w:lang w:val="cs-CZ"/>
        </w:rPr>
        <w:t>skupiny</w:t>
      </w:r>
      <w:r w:rsidRPr="00E04C25">
        <w:rPr>
          <w:rFonts w:ascii="Arial" w:hAnsi="Arial" w:cs="Arial"/>
          <w:sz w:val="24"/>
          <w:szCs w:val="24"/>
          <w:lang w:val="cs-CZ"/>
        </w:rPr>
        <w:t>.</w:t>
      </w:r>
      <w:r w:rsidRPr="00E04C25">
        <w:rPr>
          <w:rFonts w:ascii="Arial" w:hAnsi="Arial" w:cs="Arial"/>
          <w:sz w:val="24"/>
          <w:szCs w:val="24"/>
          <w:lang w:val="cs-CZ"/>
        </w:rPr>
        <w:tab/>
      </w:r>
    </w:p>
    <w:p w:rsidR="00115440" w:rsidRPr="00E04C25" w:rsidRDefault="00115440" w:rsidP="00115440">
      <w:pPr>
        <w:pStyle w:val="Zkladntextodsazen3"/>
        <w:tabs>
          <w:tab w:val="left" w:pos="567"/>
        </w:tabs>
        <w:spacing w:after="0" w:line="360" w:lineRule="auto"/>
        <w:ind w:left="0"/>
        <w:jc w:val="both"/>
        <w:rPr>
          <w:rFonts w:ascii="Arial" w:hAnsi="Arial" w:cs="Arial"/>
          <w:sz w:val="24"/>
          <w:szCs w:val="24"/>
          <w:lang w:val="cs-CZ"/>
        </w:rPr>
      </w:pPr>
      <w:r w:rsidRPr="00E04C25">
        <w:rPr>
          <w:rFonts w:ascii="Arial" w:hAnsi="Arial" w:cs="Arial"/>
          <w:sz w:val="24"/>
          <w:szCs w:val="24"/>
          <w:lang w:val="cs-CZ"/>
        </w:rPr>
        <w:tab/>
      </w:r>
      <w:r w:rsidRPr="00E04C25">
        <w:rPr>
          <w:rFonts w:ascii="Arial" w:hAnsi="Arial" w:cs="Arial"/>
          <w:b/>
          <w:sz w:val="24"/>
          <w:szCs w:val="24"/>
          <w:lang w:val="cs-CZ"/>
        </w:rPr>
        <w:t>Počet</w:t>
      </w:r>
      <w:r w:rsidRPr="00E04C25">
        <w:rPr>
          <w:rFonts w:ascii="Arial" w:hAnsi="Arial" w:cs="Arial"/>
          <w:sz w:val="24"/>
          <w:szCs w:val="24"/>
          <w:lang w:val="cs-CZ"/>
        </w:rPr>
        <w:t xml:space="preserve"> uchazečů </w:t>
      </w:r>
      <w:r w:rsidR="002A3F88" w:rsidRPr="00E04C25">
        <w:rPr>
          <w:rFonts w:ascii="Arial" w:hAnsi="Arial" w:cs="Arial"/>
          <w:sz w:val="24"/>
          <w:szCs w:val="24"/>
          <w:lang w:val="cs-CZ"/>
        </w:rPr>
        <w:t xml:space="preserve">o zaměstnání </w:t>
      </w:r>
      <w:r w:rsidRPr="00E04C25">
        <w:rPr>
          <w:rFonts w:ascii="Arial" w:hAnsi="Arial" w:cs="Arial"/>
          <w:sz w:val="24"/>
          <w:szCs w:val="24"/>
          <w:lang w:val="cs-CZ"/>
        </w:rPr>
        <w:t>ve věku</w:t>
      </w:r>
      <w:r w:rsidRPr="00E04C25">
        <w:rPr>
          <w:rFonts w:ascii="Arial" w:hAnsi="Arial" w:cs="Arial"/>
          <w:b/>
          <w:sz w:val="24"/>
          <w:szCs w:val="24"/>
          <w:lang w:val="cs-CZ"/>
        </w:rPr>
        <w:t xml:space="preserve"> 50 a více let</w:t>
      </w:r>
      <w:r w:rsidRPr="00E04C25">
        <w:rPr>
          <w:rFonts w:ascii="Arial" w:hAnsi="Arial" w:cs="Arial"/>
          <w:sz w:val="24"/>
          <w:szCs w:val="24"/>
          <w:lang w:val="cs-CZ"/>
        </w:rPr>
        <w:t xml:space="preserve"> na konci roku 201</w:t>
      </w:r>
      <w:r w:rsidR="00B47DC5" w:rsidRPr="00E04C25">
        <w:rPr>
          <w:rFonts w:ascii="Arial" w:hAnsi="Arial" w:cs="Arial"/>
          <w:sz w:val="24"/>
          <w:szCs w:val="24"/>
          <w:lang w:val="cs-CZ"/>
        </w:rPr>
        <w:t>7</w:t>
      </w:r>
      <w:r w:rsidRPr="00E04C25">
        <w:rPr>
          <w:rFonts w:ascii="Arial" w:hAnsi="Arial" w:cs="Arial"/>
          <w:sz w:val="24"/>
          <w:szCs w:val="24"/>
          <w:lang w:val="cs-CZ"/>
        </w:rPr>
        <w:t xml:space="preserve"> meziročně </w:t>
      </w:r>
      <w:r w:rsidRPr="00E04C25">
        <w:rPr>
          <w:rFonts w:ascii="Arial" w:hAnsi="Arial" w:cs="Arial"/>
          <w:b/>
          <w:sz w:val="24"/>
          <w:szCs w:val="24"/>
          <w:lang w:val="cs-CZ"/>
        </w:rPr>
        <w:t xml:space="preserve">poklesl </w:t>
      </w:r>
      <w:r w:rsidRPr="00E04C25">
        <w:rPr>
          <w:rFonts w:ascii="Arial" w:hAnsi="Arial" w:cs="Arial"/>
          <w:sz w:val="24"/>
          <w:szCs w:val="24"/>
          <w:lang w:val="cs-CZ"/>
        </w:rPr>
        <w:t>celkem o </w:t>
      </w:r>
      <w:r w:rsidR="00B47DC5" w:rsidRPr="00E04C25">
        <w:rPr>
          <w:rFonts w:ascii="Arial" w:hAnsi="Arial" w:cs="Arial"/>
          <w:sz w:val="24"/>
          <w:szCs w:val="24"/>
          <w:lang w:val="cs-CZ"/>
        </w:rPr>
        <w:t>25</w:t>
      </w:r>
      <w:r w:rsidRPr="00E04C25">
        <w:rPr>
          <w:rFonts w:ascii="Arial" w:hAnsi="Arial" w:cs="Arial"/>
          <w:sz w:val="24"/>
          <w:szCs w:val="24"/>
          <w:lang w:val="cs-CZ"/>
        </w:rPr>
        <w:t>,</w:t>
      </w:r>
      <w:r w:rsidR="00B47DC5" w:rsidRPr="00E04C25">
        <w:rPr>
          <w:rFonts w:ascii="Arial" w:hAnsi="Arial" w:cs="Arial"/>
          <w:sz w:val="24"/>
          <w:szCs w:val="24"/>
          <w:lang w:val="cs-CZ"/>
        </w:rPr>
        <w:t>0</w:t>
      </w:r>
      <w:r w:rsidRPr="00E04C25">
        <w:rPr>
          <w:rFonts w:ascii="Arial" w:hAnsi="Arial" w:cs="Arial"/>
          <w:sz w:val="24"/>
          <w:szCs w:val="24"/>
          <w:lang w:val="cs-CZ"/>
        </w:rPr>
        <w:t xml:space="preserve"> tis. </w:t>
      </w:r>
      <w:r w:rsidRPr="00E04C25">
        <w:rPr>
          <w:rFonts w:ascii="Arial" w:hAnsi="Arial" w:cs="Arial"/>
          <w:b/>
          <w:sz w:val="24"/>
          <w:szCs w:val="24"/>
          <w:lang w:val="cs-CZ"/>
        </w:rPr>
        <w:t>na 1</w:t>
      </w:r>
      <w:r w:rsidR="00B47DC5" w:rsidRPr="00E04C25">
        <w:rPr>
          <w:rFonts w:ascii="Arial" w:hAnsi="Arial" w:cs="Arial"/>
          <w:b/>
          <w:sz w:val="24"/>
          <w:szCs w:val="24"/>
          <w:lang w:val="cs-CZ"/>
        </w:rPr>
        <w:t>0</w:t>
      </w:r>
      <w:r w:rsidRPr="00E04C25">
        <w:rPr>
          <w:rFonts w:ascii="Arial" w:hAnsi="Arial" w:cs="Arial"/>
          <w:b/>
          <w:sz w:val="24"/>
          <w:szCs w:val="24"/>
          <w:lang w:val="cs-CZ"/>
        </w:rPr>
        <w:t xml:space="preserve">2,3 tis. </w:t>
      </w:r>
      <w:r w:rsidRPr="00E04C25">
        <w:rPr>
          <w:rFonts w:ascii="Arial" w:hAnsi="Arial" w:cs="Arial"/>
          <w:sz w:val="24"/>
          <w:szCs w:val="24"/>
          <w:lang w:val="cs-CZ"/>
        </w:rPr>
        <w:t>Pokles o 1</w:t>
      </w:r>
      <w:r w:rsidR="00B47DC5" w:rsidRPr="00E04C25">
        <w:rPr>
          <w:rFonts w:ascii="Arial" w:hAnsi="Arial" w:cs="Arial"/>
          <w:sz w:val="24"/>
          <w:szCs w:val="24"/>
          <w:lang w:val="cs-CZ"/>
        </w:rPr>
        <w:t>9</w:t>
      </w:r>
      <w:r w:rsidRPr="00E04C25">
        <w:rPr>
          <w:rFonts w:ascii="Arial" w:hAnsi="Arial" w:cs="Arial"/>
          <w:sz w:val="24"/>
          <w:szCs w:val="24"/>
          <w:lang w:val="cs-CZ"/>
        </w:rPr>
        <w:t>,</w:t>
      </w:r>
      <w:r w:rsidR="00B47DC5" w:rsidRPr="00E04C25">
        <w:rPr>
          <w:rFonts w:ascii="Arial" w:hAnsi="Arial" w:cs="Arial"/>
          <w:sz w:val="24"/>
          <w:szCs w:val="24"/>
          <w:lang w:val="cs-CZ"/>
        </w:rPr>
        <w:t>6</w:t>
      </w:r>
      <w:r w:rsidRPr="00E04C25">
        <w:rPr>
          <w:rFonts w:ascii="Arial" w:hAnsi="Arial" w:cs="Arial"/>
          <w:sz w:val="24"/>
          <w:szCs w:val="24"/>
          <w:lang w:val="cs-CZ"/>
        </w:rPr>
        <w:t xml:space="preserve"> % byl ve srovnání s poklesem celkového počtu uchazečů o zaměstnání pomalejší, </w:t>
      </w:r>
      <w:r w:rsidRPr="00E04C25">
        <w:rPr>
          <w:rFonts w:ascii="Arial" w:hAnsi="Arial" w:cs="Arial"/>
          <w:b/>
          <w:sz w:val="24"/>
          <w:szCs w:val="24"/>
          <w:lang w:val="cs-CZ"/>
        </w:rPr>
        <w:t>podíl</w:t>
      </w:r>
      <w:r w:rsidRPr="00E04C25">
        <w:rPr>
          <w:rFonts w:ascii="Arial" w:hAnsi="Arial" w:cs="Arial"/>
          <w:sz w:val="24"/>
          <w:szCs w:val="24"/>
          <w:lang w:val="cs-CZ"/>
        </w:rPr>
        <w:t xml:space="preserve"> této věkové skupiny na celkovém počtu </w:t>
      </w:r>
      <w:r w:rsidR="00DB3E46" w:rsidRPr="00E04C25">
        <w:rPr>
          <w:rFonts w:ascii="Arial" w:hAnsi="Arial" w:cs="Arial"/>
          <w:sz w:val="24"/>
          <w:szCs w:val="24"/>
          <w:lang w:val="cs-CZ"/>
        </w:rPr>
        <w:t>UoZ</w:t>
      </w:r>
      <w:r w:rsidRPr="00E04C25">
        <w:rPr>
          <w:rFonts w:ascii="Arial" w:hAnsi="Arial" w:cs="Arial"/>
          <w:sz w:val="24"/>
          <w:szCs w:val="24"/>
          <w:lang w:val="cs-CZ"/>
        </w:rPr>
        <w:t xml:space="preserve"> </w:t>
      </w:r>
      <w:r w:rsidR="00B47DC5" w:rsidRPr="00E04C25">
        <w:rPr>
          <w:rFonts w:ascii="Arial" w:hAnsi="Arial" w:cs="Arial"/>
          <w:sz w:val="24"/>
          <w:szCs w:val="24"/>
          <w:lang w:val="cs-CZ"/>
        </w:rPr>
        <w:t>proto</w:t>
      </w:r>
      <w:r w:rsidRPr="00E04C25">
        <w:rPr>
          <w:rFonts w:ascii="Arial" w:hAnsi="Arial" w:cs="Arial"/>
          <w:sz w:val="24"/>
          <w:szCs w:val="24"/>
          <w:lang w:val="cs-CZ"/>
        </w:rPr>
        <w:t xml:space="preserve"> </w:t>
      </w:r>
      <w:r w:rsidRPr="00E04C25">
        <w:rPr>
          <w:rFonts w:ascii="Arial" w:hAnsi="Arial" w:cs="Arial"/>
          <w:b/>
          <w:sz w:val="24"/>
          <w:szCs w:val="24"/>
          <w:lang w:val="cs-CZ"/>
        </w:rPr>
        <w:t>vzrostl</w:t>
      </w:r>
      <w:r w:rsidRPr="00E04C25">
        <w:rPr>
          <w:rFonts w:ascii="Arial" w:hAnsi="Arial" w:cs="Arial"/>
          <w:sz w:val="24"/>
          <w:szCs w:val="24"/>
          <w:lang w:val="cs-CZ"/>
        </w:rPr>
        <w:t xml:space="preserve"> o </w:t>
      </w:r>
      <w:r w:rsidR="00B47DC5" w:rsidRPr="00E04C25">
        <w:rPr>
          <w:rFonts w:ascii="Arial" w:hAnsi="Arial" w:cs="Arial"/>
          <w:sz w:val="24"/>
          <w:szCs w:val="24"/>
          <w:lang w:val="cs-CZ"/>
        </w:rPr>
        <w:t>3</w:t>
      </w:r>
      <w:r w:rsidRPr="00E04C25">
        <w:rPr>
          <w:rFonts w:ascii="Arial" w:hAnsi="Arial" w:cs="Arial"/>
          <w:sz w:val="24"/>
          <w:szCs w:val="24"/>
          <w:lang w:val="cs-CZ"/>
        </w:rPr>
        <w:t>,</w:t>
      </w:r>
      <w:r w:rsidR="00B47DC5" w:rsidRPr="00E04C25">
        <w:rPr>
          <w:rFonts w:ascii="Arial" w:hAnsi="Arial" w:cs="Arial"/>
          <w:sz w:val="24"/>
          <w:szCs w:val="24"/>
          <w:lang w:val="cs-CZ"/>
        </w:rPr>
        <w:t>1</w:t>
      </w:r>
      <w:r w:rsidRPr="00E04C25">
        <w:rPr>
          <w:rFonts w:cs="Arial"/>
          <w:lang w:val="cs-CZ"/>
        </w:rPr>
        <w:t> </w:t>
      </w:r>
      <w:r w:rsidRPr="00E04C25">
        <w:rPr>
          <w:rFonts w:ascii="Arial" w:hAnsi="Arial" w:cs="Arial"/>
          <w:sz w:val="24"/>
          <w:szCs w:val="24"/>
          <w:lang w:val="cs-CZ"/>
        </w:rPr>
        <w:t xml:space="preserve">p. b. </w:t>
      </w:r>
      <w:r w:rsidRPr="00E04C25">
        <w:rPr>
          <w:rFonts w:ascii="Arial" w:hAnsi="Arial" w:cs="Arial"/>
          <w:b/>
          <w:sz w:val="24"/>
          <w:szCs w:val="24"/>
          <w:lang w:val="cs-CZ"/>
        </w:rPr>
        <w:t>na 3</w:t>
      </w:r>
      <w:r w:rsidR="00B47DC5" w:rsidRPr="00E04C25">
        <w:rPr>
          <w:rFonts w:ascii="Arial" w:hAnsi="Arial" w:cs="Arial"/>
          <w:b/>
          <w:sz w:val="24"/>
          <w:szCs w:val="24"/>
          <w:lang w:val="cs-CZ"/>
        </w:rPr>
        <w:t>6</w:t>
      </w:r>
      <w:r w:rsidRPr="00E04C25">
        <w:rPr>
          <w:rFonts w:ascii="Arial" w:hAnsi="Arial" w:cs="Arial"/>
          <w:b/>
          <w:sz w:val="24"/>
          <w:szCs w:val="24"/>
          <w:lang w:val="cs-CZ"/>
        </w:rPr>
        <w:t>,</w:t>
      </w:r>
      <w:r w:rsidR="00B47DC5" w:rsidRPr="00E04C25">
        <w:rPr>
          <w:rFonts w:ascii="Arial" w:hAnsi="Arial" w:cs="Arial"/>
          <w:b/>
          <w:sz w:val="24"/>
          <w:szCs w:val="24"/>
          <w:lang w:val="cs-CZ"/>
        </w:rPr>
        <w:t>1</w:t>
      </w:r>
      <w:r w:rsidRPr="00E04C25">
        <w:rPr>
          <w:rFonts w:ascii="Arial" w:hAnsi="Arial" w:cs="Arial"/>
          <w:b/>
          <w:sz w:val="24"/>
          <w:szCs w:val="24"/>
          <w:lang w:val="cs-CZ"/>
        </w:rPr>
        <w:t> %</w:t>
      </w:r>
      <w:r w:rsidRPr="00E04C25">
        <w:rPr>
          <w:rFonts w:ascii="Arial" w:hAnsi="Arial" w:cs="Arial"/>
          <w:sz w:val="24"/>
          <w:szCs w:val="24"/>
          <w:lang w:val="cs-CZ"/>
        </w:rPr>
        <w:t xml:space="preserve">. </w:t>
      </w:r>
    </w:p>
    <w:p w:rsidR="00115440" w:rsidRPr="00E04C25" w:rsidRDefault="00115440" w:rsidP="00115440">
      <w:pPr>
        <w:pStyle w:val="Zkladntextodsazen3"/>
        <w:tabs>
          <w:tab w:val="left" w:pos="567"/>
        </w:tabs>
        <w:spacing w:after="0"/>
        <w:ind w:left="0" w:firstLine="567"/>
        <w:jc w:val="both"/>
        <w:rPr>
          <w:rFonts w:ascii="Arial" w:hAnsi="Arial" w:cs="Arial"/>
          <w:lang w:val="cs-CZ"/>
        </w:rPr>
      </w:pPr>
      <w:r w:rsidRPr="00E04C25">
        <w:rPr>
          <w:rFonts w:ascii="Arial" w:hAnsi="Arial" w:cs="Arial"/>
          <w:sz w:val="24"/>
          <w:szCs w:val="24"/>
          <w:lang w:val="cs-CZ"/>
        </w:rPr>
        <w:tab/>
      </w:r>
    </w:p>
    <w:p w:rsidR="00115440" w:rsidRPr="00E04C25" w:rsidRDefault="00115440" w:rsidP="00115440">
      <w:pPr>
        <w:pStyle w:val="Nadpis4"/>
        <w:jc w:val="center"/>
        <w:rPr>
          <w:rFonts w:ascii="Arial" w:hAnsi="Arial"/>
          <w:color w:val="auto"/>
          <w:sz w:val="24"/>
          <w:szCs w:val="24"/>
        </w:rPr>
      </w:pPr>
      <w:r w:rsidRPr="00E04C25">
        <w:rPr>
          <w:rFonts w:ascii="Arial" w:hAnsi="Arial"/>
          <w:color w:val="auto"/>
          <w:sz w:val="24"/>
          <w:szCs w:val="24"/>
        </w:rPr>
        <w:t>Struktura uchazečů o zaměstnání podle věku</w:t>
      </w:r>
    </w:p>
    <w:p w:rsidR="00115440" w:rsidRPr="00E04C25" w:rsidRDefault="00115440" w:rsidP="00115440">
      <w:pPr>
        <w:ind w:left="4956" w:firstLine="708"/>
        <w:jc w:val="center"/>
      </w:pPr>
      <w:r w:rsidRPr="00E04C25">
        <w:rPr>
          <w:rFonts w:ascii="Arial" w:hAnsi="Arial" w:cs="Arial"/>
          <w:sz w:val="20"/>
          <w:szCs w:val="20"/>
          <w:lang w:eastAsia="en-US"/>
        </w:rPr>
        <w:t>tab. č. 1</w:t>
      </w:r>
      <w:r w:rsidR="00310BFB" w:rsidRPr="00E04C25">
        <w:rPr>
          <w:rFonts w:ascii="Arial" w:hAnsi="Arial" w:cs="Arial"/>
          <w:sz w:val="20"/>
          <w:szCs w:val="20"/>
          <w:lang w:eastAsia="en-US"/>
        </w:rPr>
        <w:t>8</w:t>
      </w:r>
    </w:p>
    <w:tbl>
      <w:tblPr>
        <w:tblW w:w="6576" w:type="dxa"/>
        <w:jc w:val="center"/>
        <w:tblCellMar>
          <w:left w:w="70" w:type="dxa"/>
          <w:right w:w="70" w:type="dxa"/>
        </w:tblCellMar>
        <w:tblLook w:val="04A0"/>
      </w:tblPr>
      <w:tblGrid>
        <w:gridCol w:w="1496"/>
        <w:gridCol w:w="836"/>
        <w:gridCol w:w="836"/>
        <w:gridCol w:w="836"/>
        <w:gridCol w:w="836"/>
        <w:gridCol w:w="849"/>
        <w:gridCol w:w="887"/>
      </w:tblGrid>
      <w:tr w:rsidR="00767F7D" w:rsidRPr="00E04C25" w:rsidTr="00523B41">
        <w:trPr>
          <w:trHeight w:val="360"/>
          <w:jc w:val="center"/>
        </w:trPr>
        <w:tc>
          <w:tcPr>
            <w:tcW w:w="1496" w:type="dxa"/>
            <w:vMerge w:val="restart"/>
            <w:tcBorders>
              <w:top w:val="double" w:sz="6" w:space="0" w:color="auto"/>
              <w:left w:val="double" w:sz="6" w:space="0" w:color="auto"/>
              <w:bottom w:val="single" w:sz="4" w:space="0" w:color="000000"/>
              <w:right w:val="single" w:sz="4" w:space="0" w:color="auto"/>
            </w:tcBorders>
            <w:vAlign w:val="center"/>
            <w:hideMark/>
          </w:tcPr>
          <w:p w:rsidR="00976F7F" w:rsidRPr="00E04C25" w:rsidRDefault="00976F7F" w:rsidP="00523B41">
            <w:pPr>
              <w:spacing w:line="276" w:lineRule="auto"/>
              <w:jc w:val="center"/>
              <w:rPr>
                <w:rFonts w:ascii="Arial" w:hAnsi="Arial" w:cs="Arial"/>
                <w:b/>
                <w:bCs/>
                <w:sz w:val="20"/>
                <w:szCs w:val="20"/>
                <w:lang w:eastAsia="en-US"/>
              </w:rPr>
            </w:pPr>
            <w:r w:rsidRPr="00E04C25">
              <w:rPr>
                <w:rFonts w:ascii="Arial" w:hAnsi="Arial" w:cs="Arial"/>
                <w:b/>
                <w:bCs/>
                <w:sz w:val="20"/>
                <w:szCs w:val="20"/>
                <w:lang w:eastAsia="en-US"/>
              </w:rPr>
              <w:t> </w:t>
            </w:r>
          </w:p>
        </w:tc>
        <w:tc>
          <w:tcPr>
            <w:tcW w:w="1672" w:type="dxa"/>
            <w:gridSpan w:val="2"/>
            <w:tcBorders>
              <w:top w:val="double" w:sz="6" w:space="0" w:color="auto"/>
              <w:left w:val="nil"/>
              <w:bottom w:val="single" w:sz="4" w:space="0" w:color="auto"/>
              <w:right w:val="nil"/>
            </w:tcBorders>
            <w:noWrap/>
            <w:vAlign w:val="center"/>
            <w:hideMark/>
          </w:tcPr>
          <w:p w:rsidR="00976F7F" w:rsidRPr="00E04C25" w:rsidRDefault="00976F7F" w:rsidP="00395F04">
            <w:pPr>
              <w:jc w:val="center"/>
              <w:rPr>
                <w:rFonts w:ascii="Arial" w:hAnsi="Arial" w:cs="Arial"/>
                <w:b/>
                <w:bCs/>
                <w:sz w:val="20"/>
                <w:szCs w:val="20"/>
              </w:rPr>
            </w:pPr>
            <w:r w:rsidRPr="00E04C25">
              <w:rPr>
                <w:rFonts w:ascii="Arial" w:hAnsi="Arial" w:cs="Arial"/>
                <w:b/>
                <w:bCs/>
                <w:sz w:val="20"/>
                <w:szCs w:val="20"/>
              </w:rPr>
              <w:t>k 31. 12. 2016</w:t>
            </w:r>
          </w:p>
        </w:tc>
        <w:tc>
          <w:tcPr>
            <w:tcW w:w="1672" w:type="dxa"/>
            <w:gridSpan w:val="2"/>
            <w:tcBorders>
              <w:top w:val="double" w:sz="6" w:space="0" w:color="auto"/>
              <w:left w:val="single" w:sz="4" w:space="0" w:color="auto"/>
              <w:bottom w:val="single" w:sz="4" w:space="0" w:color="auto"/>
              <w:right w:val="single" w:sz="4" w:space="0" w:color="000000"/>
            </w:tcBorders>
            <w:noWrap/>
            <w:vAlign w:val="center"/>
            <w:hideMark/>
          </w:tcPr>
          <w:p w:rsidR="00976F7F" w:rsidRPr="00E04C25" w:rsidRDefault="00976F7F" w:rsidP="00395F04">
            <w:pPr>
              <w:jc w:val="center"/>
              <w:rPr>
                <w:rFonts w:ascii="Arial" w:hAnsi="Arial" w:cs="Arial"/>
                <w:b/>
                <w:bCs/>
                <w:sz w:val="20"/>
                <w:szCs w:val="20"/>
              </w:rPr>
            </w:pPr>
            <w:r w:rsidRPr="00E04C25">
              <w:rPr>
                <w:rFonts w:ascii="Arial" w:hAnsi="Arial" w:cs="Arial"/>
                <w:b/>
                <w:bCs/>
                <w:sz w:val="20"/>
                <w:szCs w:val="20"/>
              </w:rPr>
              <w:t>k 31. 12. 2017</w:t>
            </w:r>
          </w:p>
        </w:tc>
        <w:tc>
          <w:tcPr>
            <w:tcW w:w="1736" w:type="dxa"/>
            <w:gridSpan w:val="2"/>
            <w:tcBorders>
              <w:top w:val="double" w:sz="6" w:space="0" w:color="auto"/>
              <w:left w:val="nil"/>
              <w:bottom w:val="single" w:sz="4" w:space="0" w:color="auto"/>
              <w:right w:val="double" w:sz="6" w:space="0" w:color="000000"/>
            </w:tcBorders>
            <w:noWrap/>
            <w:vAlign w:val="center"/>
            <w:hideMark/>
          </w:tcPr>
          <w:p w:rsidR="00976F7F" w:rsidRPr="00E04C25" w:rsidRDefault="00976F7F" w:rsidP="00523B41">
            <w:pPr>
              <w:spacing w:line="276" w:lineRule="auto"/>
              <w:jc w:val="center"/>
              <w:rPr>
                <w:rFonts w:ascii="Arial" w:hAnsi="Arial" w:cs="Arial"/>
                <w:b/>
                <w:bCs/>
                <w:sz w:val="20"/>
                <w:szCs w:val="20"/>
                <w:lang w:eastAsia="en-US"/>
              </w:rPr>
            </w:pPr>
            <w:r w:rsidRPr="00E04C25">
              <w:rPr>
                <w:rFonts w:ascii="Arial" w:hAnsi="Arial" w:cs="Arial"/>
                <w:b/>
                <w:bCs/>
                <w:sz w:val="20"/>
                <w:szCs w:val="20"/>
                <w:lang w:eastAsia="en-US"/>
              </w:rPr>
              <w:t>meziroční rozdíl</w:t>
            </w:r>
          </w:p>
        </w:tc>
      </w:tr>
      <w:tr w:rsidR="00767F7D" w:rsidRPr="00E04C25" w:rsidTr="00523B41">
        <w:trPr>
          <w:trHeight w:val="285"/>
          <w:jc w:val="center"/>
        </w:trPr>
        <w:tc>
          <w:tcPr>
            <w:tcW w:w="0" w:type="auto"/>
            <w:vMerge/>
            <w:tcBorders>
              <w:top w:val="double" w:sz="6" w:space="0" w:color="auto"/>
              <w:left w:val="double" w:sz="6" w:space="0" w:color="auto"/>
              <w:bottom w:val="single" w:sz="4" w:space="0" w:color="000000"/>
              <w:right w:val="single" w:sz="4" w:space="0" w:color="auto"/>
            </w:tcBorders>
            <w:vAlign w:val="center"/>
            <w:hideMark/>
          </w:tcPr>
          <w:p w:rsidR="00115440" w:rsidRPr="00E04C25" w:rsidRDefault="00115440" w:rsidP="00523B41">
            <w:pPr>
              <w:rPr>
                <w:rFonts w:ascii="Arial" w:hAnsi="Arial" w:cs="Arial"/>
                <w:b/>
                <w:bCs/>
                <w:sz w:val="20"/>
                <w:szCs w:val="20"/>
                <w:lang w:eastAsia="en-US"/>
              </w:rPr>
            </w:pPr>
          </w:p>
        </w:tc>
        <w:tc>
          <w:tcPr>
            <w:tcW w:w="836" w:type="dxa"/>
            <w:tcBorders>
              <w:top w:val="nil"/>
              <w:left w:val="nil"/>
              <w:bottom w:val="single" w:sz="4" w:space="0" w:color="auto"/>
              <w:right w:val="single" w:sz="4" w:space="0" w:color="auto"/>
            </w:tcBorders>
            <w:vAlign w:val="center"/>
            <w:hideMark/>
          </w:tcPr>
          <w:p w:rsidR="00115440" w:rsidRPr="00E04C25" w:rsidRDefault="00115440" w:rsidP="00523B41">
            <w:pPr>
              <w:spacing w:line="276" w:lineRule="auto"/>
              <w:jc w:val="center"/>
              <w:rPr>
                <w:rFonts w:ascii="Arial" w:hAnsi="Arial" w:cs="Arial"/>
                <w:b/>
                <w:bCs/>
                <w:sz w:val="20"/>
                <w:szCs w:val="20"/>
                <w:lang w:eastAsia="en-US"/>
              </w:rPr>
            </w:pPr>
            <w:r w:rsidRPr="00E04C25">
              <w:rPr>
                <w:rFonts w:ascii="Arial" w:hAnsi="Arial" w:cs="Arial"/>
                <w:b/>
                <w:bCs/>
                <w:sz w:val="20"/>
                <w:szCs w:val="20"/>
                <w:lang w:eastAsia="en-US"/>
              </w:rPr>
              <w:t>v tis.</w:t>
            </w:r>
          </w:p>
        </w:tc>
        <w:tc>
          <w:tcPr>
            <w:tcW w:w="836" w:type="dxa"/>
            <w:tcBorders>
              <w:top w:val="nil"/>
              <w:left w:val="nil"/>
              <w:bottom w:val="single" w:sz="4" w:space="0" w:color="auto"/>
              <w:right w:val="nil"/>
            </w:tcBorders>
            <w:vAlign w:val="center"/>
            <w:hideMark/>
          </w:tcPr>
          <w:p w:rsidR="00115440" w:rsidRPr="00E04C25" w:rsidRDefault="00115440" w:rsidP="00523B41">
            <w:pPr>
              <w:spacing w:line="276" w:lineRule="auto"/>
              <w:jc w:val="center"/>
              <w:rPr>
                <w:rFonts w:ascii="Arial" w:hAnsi="Arial" w:cs="Arial"/>
                <w:b/>
                <w:bCs/>
                <w:sz w:val="20"/>
                <w:szCs w:val="20"/>
                <w:lang w:eastAsia="en-US"/>
              </w:rPr>
            </w:pPr>
            <w:r w:rsidRPr="00E04C25">
              <w:rPr>
                <w:rFonts w:ascii="Arial" w:hAnsi="Arial" w:cs="Arial"/>
                <w:b/>
                <w:bCs/>
                <w:sz w:val="20"/>
                <w:szCs w:val="20"/>
                <w:lang w:eastAsia="en-US"/>
              </w:rPr>
              <w:t>v %</w:t>
            </w:r>
          </w:p>
        </w:tc>
        <w:tc>
          <w:tcPr>
            <w:tcW w:w="836" w:type="dxa"/>
            <w:tcBorders>
              <w:top w:val="nil"/>
              <w:left w:val="single" w:sz="4" w:space="0" w:color="auto"/>
              <w:bottom w:val="single" w:sz="4" w:space="0" w:color="auto"/>
              <w:right w:val="single" w:sz="4" w:space="0" w:color="auto"/>
            </w:tcBorders>
            <w:vAlign w:val="center"/>
            <w:hideMark/>
          </w:tcPr>
          <w:p w:rsidR="00115440" w:rsidRPr="00E04C25" w:rsidRDefault="00115440" w:rsidP="00523B41">
            <w:pPr>
              <w:spacing w:line="276" w:lineRule="auto"/>
              <w:jc w:val="center"/>
              <w:rPr>
                <w:rFonts w:ascii="Arial" w:hAnsi="Arial" w:cs="Arial"/>
                <w:b/>
                <w:bCs/>
                <w:sz w:val="20"/>
                <w:szCs w:val="20"/>
                <w:lang w:eastAsia="en-US"/>
              </w:rPr>
            </w:pPr>
            <w:r w:rsidRPr="00E04C25">
              <w:rPr>
                <w:rFonts w:ascii="Arial" w:hAnsi="Arial" w:cs="Arial"/>
                <w:b/>
                <w:bCs/>
                <w:sz w:val="20"/>
                <w:szCs w:val="20"/>
                <w:lang w:eastAsia="en-US"/>
              </w:rPr>
              <w:t>v tis.</w:t>
            </w:r>
          </w:p>
        </w:tc>
        <w:tc>
          <w:tcPr>
            <w:tcW w:w="836" w:type="dxa"/>
            <w:tcBorders>
              <w:top w:val="nil"/>
              <w:left w:val="nil"/>
              <w:bottom w:val="single" w:sz="4" w:space="0" w:color="auto"/>
              <w:right w:val="single" w:sz="4" w:space="0" w:color="auto"/>
            </w:tcBorders>
            <w:vAlign w:val="center"/>
            <w:hideMark/>
          </w:tcPr>
          <w:p w:rsidR="00115440" w:rsidRPr="00E04C25" w:rsidRDefault="00115440" w:rsidP="00523B41">
            <w:pPr>
              <w:spacing w:line="276" w:lineRule="auto"/>
              <w:jc w:val="center"/>
              <w:rPr>
                <w:rFonts w:ascii="Arial" w:hAnsi="Arial" w:cs="Arial"/>
                <w:b/>
                <w:bCs/>
                <w:sz w:val="20"/>
                <w:szCs w:val="20"/>
                <w:lang w:eastAsia="en-US"/>
              </w:rPr>
            </w:pPr>
            <w:r w:rsidRPr="00E04C25">
              <w:rPr>
                <w:rFonts w:ascii="Arial" w:hAnsi="Arial" w:cs="Arial"/>
                <w:b/>
                <w:bCs/>
                <w:sz w:val="20"/>
                <w:szCs w:val="20"/>
                <w:lang w:eastAsia="en-US"/>
              </w:rPr>
              <w:t>v %</w:t>
            </w:r>
          </w:p>
        </w:tc>
        <w:tc>
          <w:tcPr>
            <w:tcW w:w="849" w:type="dxa"/>
            <w:tcBorders>
              <w:top w:val="nil"/>
              <w:left w:val="nil"/>
              <w:bottom w:val="single" w:sz="4" w:space="0" w:color="auto"/>
              <w:right w:val="single" w:sz="4" w:space="0" w:color="auto"/>
            </w:tcBorders>
            <w:vAlign w:val="center"/>
            <w:hideMark/>
          </w:tcPr>
          <w:p w:rsidR="00115440" w:rsidRPr="00E04C25" w:rsidRDefault="00115440" w:rsidP="00523B41">
            <w:pPr>
              <w:spacing w:line="276" w:lineRule="auto"/>
              <w:jc w:val="center"/>
              <w:rPr>
                <w:rFonts w:ascii="Arial" w:hAnsi="Arial" w:cs="Arial"/>
                <w:b/>
                <w:bCs/>
                <w:sz w:val="20"/>
                <w:szCs w:val="20"/>
                <w:lang w:eastAsia="en-US"/>
              </w:rPr>
            </w:pPr>
            <w:r w:rsidRPr="00E04C25">
              <w:rPr>
                <w:rFonts w:ascii="Arial" w:hAnsi="Arial" w:cs="Arial"/>
                <w:b/>
                <w:bCs/>
                <w:sz w:val="20"/>
                <w:szCs w:val="20"/>
                <w:lang w:eastAsia="en-US"/>
              </w:rPr>
              <w:t>v tis.</w:t>
            </w:r>
          </w:p>
        </w:tc>
        <w:tc>
          <w:tcPr>
            <w:tcW w:w="887" w:type="dxa"/>
            <w:tcBorders>
              <w:top w:val="nil"/>
              <w:left w:val="nil"/>
              <w:bottom w:val="single" w:sz="4" w:space="0" w:color="auto"/>
              <w:right w:val="double" w:sz="6" w:space="0" w:color="auto"/>
            </w:tcBorders>
            <w:vAlign w:val="center"/>
            <w:hideMark/>
          </w:tcPr>
          <w:p w:rsidR="00115440" w:rsidRPr="00E04C25" w:rsidRDefault="00115440" w:rsidP="00523B41">
            <w:pPr>
              <w:spacing w:line="276" w:lineRule="auto"/>
              <w:jc w:val="center"/>
              <w:rPr>
                <w:rFonts w:ascii="Arial" w:hAnsi="Arial" w:cs="Arial"/>
                <w:b/>
                <w:bCs/>
                <w:sz w:val="20"/>
                <w:szCs w:val="20"/>
                <w:lang w:eastAsia="en-US"/>
              </w:rPr>
            </w:pPr>
            <w:r w:rsidRPr="00E04C25">
              <w:rPr>
                <w:rFonts w:ascii="Arial" w:hAnsi="Arial" w:cs="Arial"/>
                <w:b/>
                <w:bCs/>
                <w:sz w:val="20"/>
                <w:szCs w:val="20"/>
                <w:lang w:eastAsia="en-US"/>
              </w:rPr>
              <w:t>v %</w:t>
            </w:r>
          </w:p>
        </w:tc>
      </w:tr>
      <w:tr w:rsidR="00767F7D" w:rsidRPr="00E04C25" w:rsidTr="00767F7D">
        <w:trPr>
          <w:trHeight w:val="285"/>
          <w:jc w:val="center"/>
        </w:trPr>
        <w:tc>
          <w:tcPr>
            <w:tcW w:w="1496" w:type="dxa"/>
            <w:tcBorders>
              <w:top w:val="nil"/>
              <w:left w:val="double" w:sz="6" w:space="0" w:color="auto"/>
              <w:bottom w:val="single" w:sz="4" w:space="0" w:color="auto"/>
              <w:right w:val="single" w:sz="4" w:space="0" w:color="auto"/>
            </w:tcBorders>
            <w:noWrap/>
            <w:vAlign w:val="center"/>
            <w:hideMark/>
          </w:tcPr>
          <w:p w:rsidR="00767F7D" w:rsidRPr="00E04C25" w:rsidRDefault="00767F7D" w:rsidP="00523B41">
            <w:pPr>
              <w:spacing w:line="276" w:lineRule="auto"/>
              <w:rPr>
                <w:rFonts w:ascii="Arial" w:hAnsi="Arial" w:cs="Arial"/>
                <w:b/>
                <w:bCs/>
                <w:sz w:val="20"/>
                <w:szCs w:val="20"/>
                <w:lang w:eastAsia="en-US"/>
              </w:rPr>
            </w:pPr>
            <w:r w:rsidRPr="00E04C25">
              <w:rPr>
                <w:rFonts w:ascii="Arial" w:hAnsi="Arial" w:cs="Arial"/>
                <w:b/>
                <w:bCs/>
                <w:sz w:val="20"/>
                <w:szCs w:val="20"/>
                <w:lang w:eastAsia="en-US"/>
              </w:rPr>
              <w:t>Celkem</w:t>
            </w:r>
          </w:p>
        </w:tc>
        <w:tc>
          <w:tcPr>
            <w:tcW w:w="836" w:type="dxa"/>
            <w:tcBorders>
              <w:top w:val="nil"/>
              <w:left w:val="nil"/>
              <w:bottom w:val="single" w:sz="4" w:space="0" w:color="auto"/>
              <w:right w:val="nil"/>
            </w:tcBorders>
            <w:noWrap/>
            <w:vAlign w:val="center"/>
            <w:hideMark/>
          </w:tcPr>
          <w:p w:rsidR="00767F7D" w:rsidRPr="00E04C25" w:rsidRDefault="00767F7D">
            <w:pPr>
              <w:jc w:val="right"/>
              <w:rPr>
                <w:rFonts w:ascii="Arial" w:hAnsi="Arial" w:cs="Arial"/>
                <w:b/>
                <w:bCs/>
                <w:sz w:val="20"/>
                <w:szCs w:val="20"/>
              </w:rPr>
            </w:pPr>
            <w:r w:rsidRPr="00E04C25">
              <w:rPr>
                <w:rFonts w:ascii="Arial" w:hAnsi="Arial" w:cs="Arial"/>
                <w:b/>
                <w:bCs/>
                <w:sz w:val="20"/>
                <w:szCs w:val="20"/>
              </w:rPr>
              <w:t>381,4</w:t>
            </w:r>
          </w:p>
        </w:tc>
        <w:tc>
          <w:tcPr>
            <w:tcW w:w="836" w:type="dxa"/>
            <w:tcBorders>
              <w:top w:val="nil"/>
              <w:left w:val="single" w:sz="4" w:space="0" w:color="auto"/>
              <w:bottom w:val="single" w:sz="4" w:space="0" w:color="auto"/>
              <w:right w:val="single" w:sz="4" w:space="0" w:color="auto"/>
            </w:tcBorders>
            <w:noWrap/>
            <w:vAlign w:val="center"/>
            <w:hideMark/>
          </w:tcPr>
          <w:p w:rsidR="00767F7D" w:rsidRPr="00E04C25" w:rsidRDefault="00767F7D">
            <w:pPr>
              <w:jc w:val="right"/>
              <w:rPr>
                <w:rFonts w:ascii="Arial" w:hAnsi="Arial" w:cs="Arial"/>
                <w:b/>
                <w:bCs/>
                <w:sz w:val="20"/>
                <w:szCs w:val="20"/>
              </w:rPr>
            </w:pPr>
            <w:r w:rsidRPr="00E04C25">
              <w:rPr>
                <w:rFonts w:ascii="Arial" w:hAnsi="Arial" w:cs="Arial"/>
                <w:b/>
                <w:bCs/>
                <w:sz w:val="20"/>
                <w:szCs w:val="20"/>
              </w:rPr>
              <w:t>100,0</w:t>
            </w:r>
          </w:p>
        </w:tc>
        <w:tc>
          <w:tcPr>
            <w:tcW w:w="836" w:type="dxa"/>
            <w:tcBorders>
              <w:top w:val="nil"/>
              <w:left w:val="nil"/>
              <w:bottom w:val="single" w:sz="4" w:space="0" w:color="auto"/>
              <w:right w:val="nil"/>
            </w:tcBorders>
            <w:noWrap/>
            <w:vAlign w:val="center"/>
            <w:hideMark/>
          </w:tcPr>
          <w:p w:rsidR="00767F7D" w:rsidRPr="00E04C25" w:rsidRDefault="00767F7D">
            <w:pPr>
              <w:jc w:val="right"/>
              <w:rPr>
                <w:rFonts w:ascii="Arial" w:hAnsi="Arial" w:cs="Arial"/>
                <w:b/>
                <w:bCs/>
                <w:sz w:val="20"/>
                <w:szCs w:val="20"/>
              </w:rPr>
            </w:pPr>
            <w:r w:rsidRPr="00E04C25">
              <w:rPr>
                <w:rFonts w:ascii="Arial" w:hAnsi="Arial" w:cs="Arial"/>
                <w:b/>
                <w:bCs/>
                <w:sz w:val="20"/>
                <w:szCs w:val="20"/>
              </w:rPr>
              <w:t>280,6</w:t>
            </w:r>
          </w:p>
        </w:tc>
        <w:tc>
          <w:tcPr>
            <w:tcW w:w="836" w:type="dxa"/>
            <w:tcBorders>
              <w:top w:val="nil"/>
              <w:left w:val="single" w:sz="4" w:space="0" w:color="auto"/>
              <w:bottom w:val="single" w:sz="4" w:space="0" w:color="auto"/>
              <w:right w:val="single" w:sz="4" w:space="0" w:color="auto"/>
            </w:tcBorders>
            <w:noWrap/>
            <w:vAlign w:val="center"/>
            <w:hideMark/>
          </w:tcPr>
          <w:p w:rsidR="00767F7D" w:rsidRPr="00E04C25" w:rsidRDefault="00767F7D">
            <w:pPr>
              <w:jc w:val="right"/>
              <w:rPr>
                <w:rFonts w:ascii="Arial" w:hAnsi="Arial" w:cs="Arial"/>
                <w:b/>
                <w:bCs/>
                <w:sz w:val="20"/>
                <w:szCs w:val="20"/>
              </w:rPr>
            </w:pPr>
            <w:r w:rsidRPr="00E04C25">
              <w:rPr>
                <w:rFonts w:ascii="Arial" w:hAnsi="Arial" w:cs="Arial"/>
                <w:b/>
                <w:bCs/>
                <w:sz w:val="20"/>
                <w:szCs w:val="20"/>
              </w:rPr>
              <w:t>100,0</w:t>
            </w:r>
          </w:p>
        </w:tc>
        <w:tc>
          <w:tcPr>
            <w:tcW w:w="849" w:type="dxa"/>
            <w:tcBorders>
              <w:top w:val="nil"/>
              <w:left w:val="nil"/>
              <w:bottom w:val="single" w:sz="4" w:space="0" w:color="auto"/>
              <w:right w:val="single" w:sz="4" w:space="0" w:color="auto"/>
            </w:tcBorders>
            <w:noWrap/>
            <w:vAlign w:val="center"/>
            <w:hideMark/>
          </w:tcPr>
          <w:p w:rsidR="00767F7D" w:rsidRPr="00E04C25" w:rsidRDefault="00767F7D">
            <w:pPr>
              <w:jc w:val="right"/>
              <w:rPr>
                <w:rFonts w:ascii="Arial" w:hAnsi="Arial" w:cs="Arial"/>
                <w:b/>
                <w:bCs/>
                <w:sz w:val="20"/>
                <w:szCs w:val="20"/>
              </w:rPr>
            </w:pPr>
            <w:r w:rsidRPr="00E04C25">
              <w:rPr>
                <w:rFonts w:ascii="Arial" w:hAnsi="Arial" w:cs="Arial"/>
                <w:b/>
                <w:bCs/>
                <w:sz w:val="20"/>
                <w:szCs w:val="20"/>
              </w:rPr>
              <w:t>-100,8</w:t>
            </w:r>
          </w:p>
        </w:tc>
        <w:tc>
          <w:tcPr>
            <w:tcW w:w="887" w:type="dxa"/>
            <w:tcBorders>
              <w:top w:val="nil"/>
              <w:left w:val="nil"/>
              <w:bottom w:val="single" w:sz="4" w:space="0" w:color="auto"/>
              <w:right w:val="double" w:sz="6" w:space="0" w:color="auto"/>
            </w:tcBorders>
            <w:noWrap/>
            <w:vAlign w:val="center"/>
            <w:hideMark/>
          </w:tcPr>
          <w:p w:rsidR="00767F7D" w:rsidRPr="00E04C25" w:rsidRDefault="00767F7D">
            <w:pPr>
              <w:jc w:val="right"/>
              <w:rPr>
                <w:rFonts w:ascii="Arial" w:hAnsi="Arial" w:cs="Arial"/>
                <w:b/>
                <w:bCs/>
                <w:sz w:val="20"/>
                <w:szCs w:val="20"/>
              </w:rPr>
            </w:pPr>
            <w:r w:rsidRPr="00E04C25">
              <w:rPr>
                <w:rFonts w:ascii="Arial" w:hAnsi="Arial" w:cs="Arial"/>
                <w:b/>
                <w:bCs/>
                <w:sz w:val="20"/>
                <w:szCs w:val="20"/>
              </w:rPr>
              <w:t>-26,4</w:t>
            </w:r>
          </w:p>
        </w:tc>
      </w:tr>
      <w:tr w:rsidR="00767F7D" w:rsidRPr="00E04C25" w:rsidTr="00767F7D">
        <w:trPr>
          <w:trHeight w:val="270"/>
          <w:jc w:val="center"/>
        </w:trPr>
        <w:tc>
          <w:tcPr>
            <w:tcW w:w="1496" w:type="dxa"/>
            <w:tcBorders>
              <w:top w:val="nil"/>
              <w:left w:val="double" w:sz="6" w:space="0" w:color="auto"/>
              <w:bottom w:val="nil"/>
              <w:right w:val="single" w:sz="4" w:space="0" w:color="auto"/>
            </w:tcBorders>
            <w:noWrap/>
            <w:vAlign w:val="center"/>
            <w:hideMark/>
          </w:tcPr>
          <w:p w:rsidR="00767F7D" w:rsidRPr="00E04C25" w:rsidRDefault="00767F7D" w:rsidP="00523B41">
            <w:pPr>
              <w:spacing w:line="276" w:lineRule="auto"/>
              <w:jc w:val="center"/>
              <w:rPr>
                <w:rFonts w:ascii="Arial" w:hAnsi="Arial" w:cs="Arial"/>
                <w:sz w:val="20"/>
                <w:szCs w:val="20"/>
                <w:lang w:eastAsia="en-US"/>
              </w:rPr>
            </w:pPr>
            <w:r w:rsidRPr="00E04C25">
              <w:rPr>
                <w:rFonts w:ascii="Arial" w:hAnsi="Arial" w:cs="Arial"/>
                <w:sz w:val="20"/>
                <w:szCs w:val="20"/>
                <w:lang w:eastAsia="en-US"/>
              </w:rPr>
              <w:t>15-19 let</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12,5</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3,3</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9,3</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3,3</w:t>
            </w:r>
          </w:p>
        </w:tc>
        <w:tc>
          <w:tcPr>
            <w:tcW w:w="849" w:type="dxa"/>
            <w:tcBorders>
              <w:top w:val="nil"/>
              <w:left w:val="nil"/>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-3,2</w:t>
            </w:r>
          </w:p>
        </w:tc>
        <w:tc>
          <w:tcPr>
            <w:tcW w:w="887" w:type="dxa"/>
            <w:tcBorders>
              <w:top w:val="nil"/>
              <w:left w:val="nil"/>
              <w:bottom w:val="nil"/>
              <w:right w:val="double" w:sz="6"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-25,6</w:t>
            </w:r>
          </w:p>
        </w:tc>
      </w:tr>
      <w:tr w:rsidR="00767F7D" w:rsidRPr="00E04C25" w:rsidTr="00767F7D">
        <w:trPr>
          <w:trHeight w:val="270"/>
          <w:jc w:val="center"/>
        </w:trPr>
        <w:tc>
          <w:tcPr>
            <w:tcW w:w="1496" w:type="dxa"/>
            <w:tcBorders>
              <w:top w:val="nil"/>
              <w:left w:val="double" w:sz="6" w:space="0" w:color="auto"/>
              <w:bottom w:val="single" w:sz="4" w:space="0" w:color="auto"/>
              <w:right w:val="single" w:sz="4" w:space="0" w:color="auto"/>
            </w:tcBorders>
            <w:noWrap/>
            <w:vAlign w:val="center"/>
            <w:hideMark/>
          </w:tcPr>
          <w:p w:rsidR="00767F7D" w:rsidRPr="00E04C25" w:rsidRDefault="00767F7D" w:rsidP="00523B41">
            <w:pPr>
              <w:spacing w:line="276" w:lineRule="auto"/>
              <w:jc w:val="center"/>
              <w:rPr>
                <w:rFonts w:ascii="Arial" w:hAnsi="Arial" w:cs="Arial"/>
                <w:sz w:val="20"/>
                <w:szCs w:val="20"/>
                <w:lang w:eastAsia="en-US"/>
              </w:rPr>
            </w:pPr>
            <w:r w:rsidRPr="00E04C25">
              <w:rPr>
                <w:rFonts w:ascii="Arial" w:hAnsi="Arial" w:cs="Arial"/>
                <w:sz w:val="20"/>
                <w:szCs w:val="20"/>
                <w:lang w:eastAsia="en-US"/>
              </w:rPr>
              <w:t>20-24 let</w:t>
            </w:r>
          </w:p>
        </w:tc>
        <w:tc>
          <w:tcPr>
            <w:tcW w:w="836" w:type="dxa"/>
            <w:tcBorders>
              <w:top w:val="nil"/>
              <w:left w:val="nil"/>
              <w:bottom w:val="single" w:sz="4" w:space="0" w:color="auto"/>
              <w:right w:val="nil"/>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34,4</w:t>
            </w:r>
          </w:p>
        </w:tc>
        <w:tc>
          <w:tcPr>
            <w:tcW w:w="836" w:type="dxa"/>
            <w:tcBorders>
              <w:top w:val="nil"/>
              <w:left w:val="single" w:sz="4" w:space="0" w:color="auto"/>
              <w:bottom w:val="single" w:sz="4" w:space="0" w:color="auto"/>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9,0</w:t>
            </w:r>
          </w:p>
        </w:tc>
        <w:tc>
          <w:tcPr>
            <w:tcW w:w="836" w:type="dxa"/>
            <w:tcBorders>
              <w:top w:val="nil"/>
              <w:left w:val="nil"/>
              <w:bottom w:val="single" w:sz="4" w:space="0" w:color="auto"/>
              <w:right w:val="nil"/>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22,0</w:t>
            </w:r>
          </w:p>
        </w:tc>
        <w:tc>
          <w:tcPr>
            <w:tcW w:w="836" w:type="dxa"/>
            <w:tcBorders>
              <w:top w:val="nil"/>
              <w:left w:val="single" w:sz="4" w:space="0" w:color="auto"/>
              <w:bottom w:val="single" w:sz="4" w:space="0" w:color="auto"/>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7,8</w:t>
            </w:r>
          </w:p>
        </w:tc>
        <w:tc>
          <w:tcPr>
            <w:tcW w:w="849" w:type="dxa"/>
            <w:tcBorders>
              <w:top w:val="nil"/>
              <w:left w:val="nil"/>
              <w:bottom w:val="single" w:sz="4" w:space="0" w:color="auto"/>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-12,4</w:t>
            </w:r>
          </w:p>
        </w:tc>
        <w:tc>
          <w:tcPr>
            <w:tcW w:w="887" w:type="dxa"/>
            <w:tcBorders>
              <w:top w:val="nil"/>
              <w:left w:val="nil"/>
              <w:bottom w:val="single" w:sz="4" w:space="0" w:color="auto"/>
              <w:right w:val="double" w:sz="6"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-36,0</w:t>
            </w:r>
          </w:p>
        </w:tc>
      </w:tr>
      <w:tr w:rsidR="00767F7D" w:rsidRPr="00E04C25" w:rsidTr="00767F7D">
        <w:trPr>
          <w:trHeight w:val="315"/>
          <w:jc w:val="center"/>
        </w:trPr>
        <w:tc>
          <w:tcPr>
            <w:tcW w:w="1496" w:type="dxa"/>
            <w:tcBorders>
              <w:top w:val="nil"/>
              <w:left w:val="double" w:sz="6" w:space="0" w:color="auto"/>
              <w:bottom w:val="single" w:sz="4" w:space="0" w:color="auto"/>
              <w:right w:val="single" w:sz="4" w:space="0" w:color="auto"/>
            </w:tcBorders>
            <w:noWrap/>
            <w:vAlign w:val="center"/>
            <w:hideMark/>
          </w:tcPr>
          <w:p w:rsidR="00767F7D" w:rsidRPr="00E04C25" w:rsidRDefault="00767F7D" w:rsidP="00523B41">
            <w:pPr>
              <w:spacing w:line="276" w:lineRule="auto"/>
              <w:rPr>
                <w:rFonts w:ascii="Arial" w:hAnsi="Arial" w:cs="Arial"/>
                <w:b/>
                <w:bCs/>
                <w:i/>
                <w:iCs/>
                <w:sz w:val="20"/>
                <w:szCs w:val="20"/>
                <w:lang w:eastAsia="en-US"/>
              </w:rPr>
            </w:pPr>
            <w:r w:rsidRPr="00E04C25">
              <w:rPr>
                <w:rFonts w:ascii="Arial" w:hAnsi="Arial" w:cs="Arial"/>
                <w:b/>
                <w:bCs/>
                <w:i/>
                <w:iCs/>
                <w:sz w:val="20"/>
                <w:szCs w:val="20"/>
                <w:lang w:eastAsia="en-US"/>
              </w:rPr>
              <w:t>do 25 let</w:t>
            </w:r>
          </w:p>
        </w:tc>
        <w:tc>
          <w:tcPr>
            <w:tcW w:w="836" w:type="dxa"/>
            <w:tcBorders>
              <w:top w:val="nil"/>
              <w:left w:val="nil"/>
              <w:bottom w:val="single" w:sz="4" w:space="0" w:color="auto"/>
              <w:right w:val="nil"/>
            </w:tcBorders>
            <w:noWrap/>
            <w:vAlign w:val="center"/>
            <w:hideMark/>
          </w:tcPr>
          <w:p w:rsidR="00767F7D" w:rsidRPr="00E04C25" w:rsidRDefault="00767F7D">
            <w:pPr>
              <w:jc w:val="right"/>
              <w:rPr>
                <w:rFonts w:ascii="Arial" w:hAnsi="Arial" w:cs="Arial"/>
                <w:b/>
                <w:bCs/>
                <w:i/>
                <w:iCs/>
                <w:sz w:val="20"/>
                <w:szCs w:val="20"/>
              </w:rPr>
            </w:pPr>
            <w:r w:rsidRPr="00E04C25">
              <w:rPr>
                <w:rFonts w:ascii="Arial" w:hAnsi="Arial" w:cs="Arial"/>
                <w:b/>
                <w:bCs/>
                <w:i/>
                <w:iCs/>
                <w:sz w:val="20"/>
                <w:szCs w:val="20"/>
              </w:rPr>
              <w:t>46,8</w:t>
            </w:r>
          </w:p>
        </w:tc>
        <w:tc>
          <w:tcPr>
            <w:tcW w:w="836" w:type="dxa"/>
            <w:tcBorders>
              <w:top w:val="nil"/>
              <w:left w:val="single" w:sz="4" w:space="0" w:color="auto"/>
              <w:bottom w:val="single" w:sz="4" w:space="0" w:color="auto"/>
              <w:right w:val="single" w:sz="4" w:space="0" w:color="auto"/>
            </w:tcBorders>
            <w:noWrap/>
            <w:vAlign w:val="center"/>
            <w:hideMark/>
          </w:tcPr>
          <w:p w:rsidR="00767F7D" w:rsidRPr="00E04C25" w:rsidRDefault="00767F7D">
            <w:pPr>
              <w:jc w:val="right"/>
              <w:rPr>
                <w:rFonts w:ascii="Arial" w:hAnsi="Arial" w:cs="Arial"/>
                <w:b/>
                <w:bCs/>
                <w:i/>
                <w:iCs/>
                <w:sz w:val="20"/>
                <w:szCs w:val="20"/>
              </w:rPr>
            </w:pPr>
            <w:r w:rsidRPr="00E04C25">
              <w:rPr>
                <w:rFonts w:ascii="Arial" w:hAnsi="Arial" w:cs="Arial"/>
                <w:b/>
                <w:bCs/>
                <w:i/>
                <w:iCs/>
                <w:sz w:val="20"/>
                <w:szCs w:val="20"/>
              </w:rPr>
              <w:t>12,3</w:t>
            </w:r>
          </w:p>
        </w:tc>
        <w:tc>
          <w:tcPr>
            <w:tcW w:w="836" w:type="dxa"/>
            <w:tcBorders>
              <w:top w:val="nil"/>
              <w:left w:val="nil"/>
              <w:bottom w:val="single" w:sz="4" w:space="0" w:color="auto"/>
              <w:right w:val="nil"/>
            </w:tcBorders>
            <w:noWrap/>
            <w:vAlign w:val="center"/>
            <w:hideMark/>
          </w:tcPr>
          <w:p w:rsidR="00767F7D" w:rsidRPr="00E04C25" w:rsidRDefault="00767F7D">
            <w:pPr>
              <w:jc w:val="right"/>
              <w:rPr>
                <w:rFonts w:ascii="Arial" w:hAnsi="Arial" w:cs="Arial"/>
                <w:b/>
                <w:bCs/>
                <w:i/>
                <w:iCs/>
                <w:sz w:val="20"/>
                <w:szCs w:val="20"/>
              </w:rPr>
            </w:pPr>
            <w:r w:rsidRPr="00E04C25">
              <w:rPr>
                <w:rFonts w:ascii="Arial" w:hAnsi="Arial" w:cs="Arial"/>
                <w:b/>
                <w:bCs/>
                <w:i/>
                <w:iCs/>
                <w:sz w:val="20"/>
                <w:szCs w:val="20"/>
              </w:rPr>
              <w:t>31,3</w:t>
            </w:r>
          </w:p>
        </w:tc>
        <w:tc>
          <w:tcPr>
            <w:tcW w:w="836" w:type="dxa"/>
            <w:tcBorders>
              <w:top w:val="nil"/>
              <w:left w:val="single" w:sz="4" w:space="0" w:color="auto"/>
              <w:bottom w:val="single" w:sz="4" w:space="0" w:color="auto"/>
              <w:right w:val="single" w:sz="4" w:space="0" w:color="auto"/>
            </w:tcBorders>
            <w:noWrap/>
            <w:vAlign w:val="center"/>
            <w:hideMark/>
          </w:tcPr>
          <w:p w:rsidR="00767F7D" w:rsidRPr="00E04C25" w:rsidRDefault="00767F7D">
            <w:pPr>
              <w:jc w:val="right"/>
              <w:rPr>
                <w:rFonts w:ascii="Arial" w:hAnsi="Arial" w:cs="Arial"/>
                <w:b/>
                <w:bCs/>
                <w:i/>
                <w:iCs/>
                <w:sz w:val="20"/>
                <w:szCs w:val="20"/>
              </w:rPr>
            </w:pPr>
            <w:r w:rsidRPr="00E04C25">
              <w:rPr>
                <w:rFonts w:ascii="Arial" w:hAnsi="Arial" w:cs="Arial"/>
                <w:b/>
                <w:bCs/>
                <w:i/>
                <w:iCs/>
                <w:sz w:val="20"/>
                <w:szCs w:val="20"/>
              </w:rPr>
              <w:t>11,2</w:t>
            </w:r>
          </w:p>
        </w:tc>
        <w:tc>
          <w:tcPr>
            <w:tcW w:w="849" w:type="dxa"/>
            <w:tcBorders>
              <w:top w:val="nil"/>
              <w:left w:val="nil"/>
              <w:bottom w:val="single" w:sz="4" w:space="0" w:color="auto"/>
              <w:right w:val="single" w:sz="4" w:space="0" w:color="auto"/>
            </w:tcBorders>
            <w:noWrap/>
            <w:vAlign w:val="center"/>
            <w:hideMark/>
          </w:tcPr>
          <w:p w:rsidR="00767F7D" w:rsidRPr="00E04C25" w:rsidRDefault="00767F7D">
            <w:pPr>
              <w:jc w:val="right"/>
              <w:rPr>
                <w:rFonts w:ascii="Arial" w:hAnsi="Arial" w:cs="Arial"/>
                <w:b/>
                <w:bCs/>
                <w:i/>
                <w:iCs/>
                <w:sz w:val="20"/>
                <w:szCs w:val="20"/>
              </w:rPr>
            </w:pPr>
            <w:r w:rsidRPr="00E04C25">
              <w:rPr>
                <w:rFonts w:ascii="Arial" w:hAnsi="Arial" w:cs="Arial"/>
                <w:b/>
                <w:bCs/>
                <w:i/>
                <w:iCs/>
                <w:sz w:val="20"/>
                <w:szCs w:val="20"/>
              </w:rPr>
              <w:t>-15,5</w:t>
            </w:r>
          </w:p>
        </w:tc>
        <w:tc>
          <w:tcPr>
            <w:tcW w:w="887" w:type="dxa"/>
            <w:tcBorders>
              <w:top w:val="nil"/>
              <w:left w:val="nil"/>
              <w:bottom w:val="single" w:sz="4" w:space="0" w:color="auto"/>
              <w:right w:val="double" w:sz="6" w:space="0" w:color="auto"/>
            </w:tcBorders>
            <w:noWrap/>
            <w:vAlign w:val="center"/>
            <w:hideMark/>
          </w:tcPr>
          <w:p w:rsidR="00767F7D" w:rsidRPr="00E04C25" w:rsidRDefault="00767F7D">
            <w:pPr>
              <w:jc w:val="right"/>
              <w:rPr>
                <w:rFonts w:ascii="Arial" w:hAnsi="Arial" w:cs="Arial"/>
                <w:b/>
                <w:bCs/>
                <w:i/>
                <w:iCs/>
                <w:sz w:val="20"/>
                <w:szCs w:val="20"/>
              </w:rPr>
            </w:pPr>
            <w:r w:rsidRPr="00E04C25">
              <w:rPr>
                <w:rFonts w:ascii="Arial" w:hAnsi="Arial" w:cs="Arial"/>
                <w:b/>
                <w:bCs/>
                <w:i/>
                <w:iCs/>
                <w:sz w:val="20"/>
                <w:szCs w:val="20"/>
              </w:rPr>
              <w:t>-33,1</w:t>
            </w:r>
          </w:p>
        </w:tc>
      </w:tr>
      <w:tr w:rsidR="00767F7D" w:rsidRPr="00E04C25" w:rsidTr="00767F7D">
        <w:trPr>
          <w:trHeight w:val="285"/>
          <w:jc w:val="center"/>
        </w:trPr>
        <w:tc>
          <w:tcPr>
            <w:tcW w:w="1496" w:type="dxa"/>
            <w:tcBorders>
              <w:top w:val="nil"/>
              <w:left w:val="double" w:sz="6" w:space="0" w:color="auto"/>
              <w:bottom w:val="nil"/>
              <w:right w:val="single" w:sz="4" w:space="0" w:color="auto"/>
            </w:tcBorders>
            <w:noWrap/>
            <w:vAlign w:val="center"/>
            <w:hideMark/>
          </w:tcPr>
          <w:p w:rsidR="00767F7D" w:rsidRPr="00E04C25" w:rsidRDefault="00767F7D" w:rsidP="00523B41">
            <w:pPr>
              <w:spacing w:line="276" w:lineRule="auto"/>
              <w:jc w:val="center"/>
              <w:rPr>
                <w:rFonts w:ascii="Arial" w:hAnsi="Arial" w:cs="Arial"/>
                <w:sz w:val="20"/>
                <w:szCs w:val="20"/>
                <w:lang w:eastAsia="en-US"/>
              </w:rPr>
            </w:pPr>
            <w:r w:rsidRPr="00E04C25">
              <w:rPr>
                <w:rFonts w:ascii="Arial" w:hAnsi="Arial" w:cs="Arial"/>
                <w:sz w:val="20"/>
                <w:szCs w:val="20"/>
                <w:lang w:eastAsia="en-US"/>
              </w:rPr>
              <w:t>25-29 let</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38,6</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10,1</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26,6</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9,5</w:t>
            </w:r>
          </w:p>
        </w:tc>
        <w:tc>
          <w:tcPr>
            <w:tcW w:w="849" w:type="dxa"/>
            <w:tcBorders>
              <w:top w:val="nil"/>
              <w:left w:val="nil"/>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-12,0</w:t>
            </w:r>
          </w:p>
        </w:tc>
        <w:tc>
          <w:tcPr>
            <w:tcW w:w="887" w:type="dxa"/>
            <w:tcBorders>
              <w:top w:val="nil"/>
              <w:left w:val="nil"/>
              <w:bottom w:val="nil"/>
              <w:right w:val="double" w:sz="6"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-31,1</w:t>
            </w:r>
          </w:p>
        </w:tc>
      </w:tr>
      <w:tr w:rsidR="00767F7D" w:rsidRPr="00E04C25" w:rsidTr="00767F7D">
        <w:trPr>
          <w:trHeight w:val="285"/>
          <w:jc w:val="center"/>
        </w:trPr>
        <w:tc>
          <w:tcPr>
            <w:tcW w:w="1496" w:type="dxa"/>
            <w:tcBorders>
              <w:top w:val="nil"/>
              <w:left w:val="double" w:sz="6" w:space="0" w:color="auto"/>
              <w:bottom w:val="nil"/>
              <w:right w:val="single" w:sz="4" w:space="0" w:color="auto"/>
            </w:tcBorders>
            <w:noWrap/>
            <w:vAlign w:val="center"/>
            <w:hideMark/>
          </w:tcPr>
          <w:p w:rsidR="00767F7D" w:rsidRPr="00E04C25" w:rsidRDefault="00767F7D" w:rsidP="00523B41">
            <w:pPr>
              <w:spacing w:line="276" w:lineRule="auto"/>
              <w:jc w:val="center"/>
              <w:rPr>
                <w:rFonts w:ascii="Arial" w:hAnsi="Arial" w:cs="Arial"/>
                <w:sz w:val="20"/>
                <w:szCs w:val="20"/>
                <w:lang w:eastAsia="en-US"/>
              </w:rPr>
            </w:pPr>
            <w:r w:rsidRPr="00E04C25">
              <w:rPr>
                <w:rFonts w:ascii="Arial" w:hAnsi="Arial" w:cs="Arial"/>
                <w:sz w:val="20"/>
                <w:szCs w:val="20"/>
                <w:lang w:eastAsia="en-US"/>
              </w:rPr>
              <w:t>30-34 let</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37,9</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9,9</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27,1</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9,7</w:t>
            </w:r>
          </w:p>
        </w:tc>
        <w:tc>
          <w:tcPr>
            <w:tcW w:w="849" w:type="dxa"/>
            <w:tcBorders>
              <w:top w:val="nil"/>
              <w:left w:val="nil"/>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-10,8</w:t>
            </w:r>
          </w:p>
        </w:tc>
        <w:tc>
          <w:tcPr>
            <w:tcW w:w="887" w:type="dxa"/>
            <w:tcBorders>
              <w:top w:val="nil"/>
              <w:left w:val="nil"/>
              <w:bottom w:val="nil"/>
              <w:right w:val="double" w:sz="6"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-28,5</w:t>
            </w:r>
          </w:p>
        </w:tc>
      </w:tr>
      <w:tr w:rsidR="00767F7D" w:rsidRPr="00E04C25" w:rsidTr="00767F7D">
        <w:trPr>
          <w:trHeight w:val="285"/>
          <w:jc w:val="center"/>
        </w:trPr>
        <w:tc>
          <w:tcPr>
            <w:tcW w:w="1496" w:type="dxa"/>
            <w:tcBorders>
              <w:top w:val="nil"/>
              <w:left w:val="double" w:sz="6" w:space="0" w:color="auto"/>
              <w:bottom w:val="nil"/>
              <w:right w:val="single" w:sz="4" w:space="0" w:color="auto"/>
            </w:tcBorders>
            <w:noWrap/>
            <w:vAlign w:val="center"/>
            <w:hideMark/>
          </w:tcPr>
          <w:p w:rsidR="00767F7D" w:rsidRPr="00E04C25" w:rsidRDefault="00767F7D" w:rsidP="00523B41">
            <w:pPr>
              <w:spacing w:line="276" w:lineRule="auto"/>
              <w:jc w:val="center"/>
              <w:rPr>
                <w:rFonts w:ascii="Arial" w:hAnsi="Arial" w:cs="Arial"/>
                <w:sz w:val="20"/>
                <w:szCs w:val="20"/>
                <w:lang w:eastAsia="en-US"/>
              </w:rPr>
            </w:pPr>
            <w:r w:rsidRPr="00E04C25">
              <w:rPr>
                <w:rFonts w:ascii="Arial" w:hAnsi="Arial" w:cs="Arial"/>
                <w:sz w:val="20"/>
                <w:szCs w:val="20"/>
                <w:lang w:eastAsia="en-US"/>
              </w:rPr>
              <w:t>35-39 let</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44,5</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11,7</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30,2</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10,8</w:t>
            </w:r>
          </w:p>
        </w:tc>
        <w:tc>
          <w:tcPr>
            <w:tcW w:w="849" w:type="dxa"/>
            <w:tcBorders>
              <w:top w:val="nil"/>
              <w:left w:val="nil"/>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-14,3</w:t>
            </w:r>
          </w:p>
        </w:tc>
        <w:tc>
          <w:tcPr>
            <w:tcW w:w="887" w:type="dxa"/>
            <w:tcBorders>
              <w:top w:val="nil"/>
              <w:left w:val="nil"/>
              <w:bottom w:val="nil"/>
              <w:right w:val="double" w:sz="6"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-32,1</w:t>
            </w:r>
          </w:p>
        </w:tc>
      </w:tr>
      <w:tr w:rsidR="00767F7D" w:rsidRPr="00E04C25" w:rsidTr="00767F7D">
        <w:trPr>
          <w:trHeight w:val="285"/>
          <w:jc w:val="center"/>
        </w:trPr>
        <w:tc>
          <w:tcPr>
            <w:tcW w:w="1496" w:type="dxa"/>
            <w:tcBorders>
              <w:top w:val="nil"/>
              <w:left w:val="double" w:sz="6" w:space="0" w:color="auto"/>
              <w:bottom w:val="nil"/>
              <w:right w:val="single" w:sz="4" w:space="0" w:color="auto"/>
            </w:tcBorders>
            <w:noWrap/>
            <w:vAlign w:val="center"/>
            <w:hideMark/>
          </w:tcPr>
          <w:p w:rsidR="00767F7D" w:rsidRPr="00E04C25" w:rsidRDefault="00767F7D" w:rsidP="00523B41">
            <w:pPr>
              <w:spacing w:line="276" w:lineRule="auto"/>
              <w:jc w:val="center"/>
              <w:rPr>
                <w:rFonts w:ascii="Arial" w:hAnsi="Arial" w:cs="Arial"/>
                <w:sz w:val="20"/>
                <w:szCs w:val="20"/>
                <w:lang w:eastAsia="en-US"/>
              </w:rPr>
            </w:pPr>
            <w:r w:rsidRPr="00E04C25">
              <w:rPr>
                <w:rFonts w:ascii="Arial" w:hAnsi="Arial" w:cs="Arial"/>
                <w:sz w:val="20"/>
                <w:szCs w:val="20"/>
                <w:lang w:eastAsia="en-US"/>
              </w:rPr>
              <w:t>40-44 let</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46,3</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12,1</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33,6</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12,0</w:t>
            </w:r>
          </w:p>
        </w:tc>
        <w:tc>
          <w:tcPr>
            <w:tcW w:w="849" w:type="dxa"/>
            <w:tcBorders>
              <w:top w:val="nil"/>
              <w:left w:val="nil"/>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-12,7</w:t>
            </w:r>
          </w:p>
        </w:tc>
        <w:tc>
          <w:tcPr>
            <w:tcW w:w="887" w:type="dxa"/>
            <w:tcBorders>
              <w:top w:val="nil"/>
              <w:left w:val="nil"/>
              <w:bottom w:val="nil"/>
              <w:right w:val="double" w:sz="6"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-27,4</w:t>
            </w:r>
          </w:p>
        </w:tc>
      </w:tr>
      <w:tr w:rsidR="00767F7D" w:rsidRPr="00E04C25" w:rsidTr="00767F7D">
        <w:trPr>
          <w:trHeight w:val="285"/>
          <w:jc w:val="center"/>
        </w:trPr>
        <w:tc>
          <w:tcPr>
            <w:tcW w:w="1496" w:type="dxa"/>
            <w:tcBorders>
              <w:top w:val="nil"/>
              <w:left w:val="double" w:sz="6" w:space="0" w:color="auto"/>
              <w:bottom w:val="nil"/>
              <w:right w:val="single" w:sz="4" w:space="0" w:color="auto"/>
            </w:tcBorders>
            <w:noWrap/>
            <w:vAlign w:val="center"/>
            <w:hideMark/>
          </w:tcPr>
          <w:p w:rsidR="00767F7D" w:rsidRPr="00E04C25" w:rsidRDefault="00767F7D" w:rsidP="00523B41">
            <w:pPr>
              <w:spacing w:line="276" w:lineRule="auto"/>
              <w:jc w:val="center"/>
              <w:rPr>
                <w:rFonts w:ascii="Arial" w:hAnsi="Arial" w:cs="Arial"/>
                <w:sz w:val="20"/>
                <w:szCs w:val="20"/>
                <w:lang w:eastAsia="en-US"/>
              </w:rPr>
            </w:pPr>
            <w:r w:rsidRPr="00E04C25">
              <w:rPr>
                <w:rFonts w:ascii="Arial" w:hAnsi="Arial" w:cs="Arial"/>
                <w:sz w:val="20"/>
                <w:szCs w:val="20"/>
                <w:lang w:eastAsia="en-US"/>
              </w:rPr>
              <w:t>45-49 let</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39,9</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10,5</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29,6</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10,5</w:t>
            </w:r>
          </w:p>
        </w:tc>
        <w:tc>
          <w:tcPr>
            <w:tcW w:w="849" w:type="dxa"/>
            <w:tcBorders>
              <w:top w:val="nil"/>
              <w:left w:val="nil"/>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-10,3</w:t>
            </w:r>
          </w:p>
        </w:tc>
        <w:tc>
          <w:tcPr>
            <w:tcW w:w="887" w:type="dxa"/>
            <w:tcBorders>
              <w:top w:val="nil"/>
              <w:left w:val="nil"/>
              <w:bottom w:val="nil"/>
              <w:right w:val="double" w:sz="6"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-25,8</w:t>
            </w:r>
          </w:p>
        </w:tc>
      </w:tr>
      <w:tr w:rsidR="00767F7D" w:rsidRPr="00E04C25" w:rsidTr="00767F7D">
        <w:trPr>
          <w:trHeight w:val="285"/>
          <w:jc w:val="center"/>
        </w:trPr>
        <w:tc>
          <w:tcPr>
            <w:tcW w:w="1496" w:type="dxa"/>
            <w:tcBorders>
              <w:top w:val="nil"/>
              <w:left w:val="double" w:sz="6" w:space="0" w:color="auto"/>
              <w:bottom w:val="nil"/>
              <w:right w:val="single" w:sz="4" w:space="0" w:color="auto"/>
            </w:tcBorders>
            <w:noWrap/>
            <w:vAlign w:val="center"/>
            <w:hideMark/>
          </w:tcPr>
          <w:p w:rsidR="00767F7D" w:rsidRPr="00E04C25" w:rsidRDefault="00767F7D" w:rsidP="00523B41">
            <w:pPr>
              <w:spacing w:line="276" w:lineRule="auto"/>
              <w:jc w:val="center"/>
              <w:rPr>
                <w:rFonts w:ascii="Arial" w:hAnsi="Arial" w:cs="Arial"/>
                <w:sz w:val="20"/>
                <w:szCs w:val="20"/>
                <w:lang w:eastAsia="en-US"/>
              </w:rPr>
            </w:pPr>
            <w:r w:rsidRPr="00E04C25">
              <w:rPr>
                <w:rFonts w:ascii="Arial" w:hAnsi="Arial" w:cs="Arial"/>
                <w:sz w:val="20"/>
                <w:szCs w:val="20"/>
                <w:lang w:eastAsia="en-US"/>
              </w:rPr>
              <w:t>50-54 let</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45,5</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11,9</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34,7</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12,4</w:t>
            </w:r>
          </w:p>
        </w:tc>
        <w:tc>
          <w:tcPr>
            <w:tcW w:w="849" w:type="dxa"/>
            <w:tcBorders>
              <w:top w:val="nil"/>
              <w:left w:val="nil"/>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-10,8</w:t>
            </w:r>
          </w:p>
        </w:tc>
        <w:tc>
          <w:tcPr>
            <w:tcW w:w="887" w:type="dxa"/>
            <w:tcBorders>
              <w:top w:val="nil"/>
              <w:left w:val="nil"/>
              <w:bottom w:val="nil"/>
              <w:right w:val="double" w:sz="6"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-23,7</w:t>
            </w:r>
          </w:p>
        </w:tc>
      </w:tr>
      <w:tr w:rsidR="00767F7D" w:rsidRPr="00E04C25" w:rsidTr="00767F7D">
        <w:trPr>
          <w:trHeight w:val="285"/>
          <w:jc w:val="center"/>
        </w:trPr>
        <w:tc>
          <w:tcPr>
            <w:tcW w:w="1496" w:type="dxa"/>
            <w:tcBorders>
              <w:top w:val="nil"/>
              <w:left w:val="double" w:sz="6" w:space="0" w:color="auto"/>
              <w:bottom w:val="nil"/>
              <w:right w:val="single" w:sz="4" w:space="0" w:color="auto"/>
            </w:tcBorders>
            <w:noWrap/>
            <w:vAlign w:val="center"/>
            <w:hideMark/>
          </w:tcPr>
          <w:p w:rsidR="00767F7D" w:rsidRPr="00E04C25" w:rsidRDefault="00767F7D" w:rsidP="00523B41">
            <w:pPr>
              <w:spacing w:line="276" w:lineRule="auto"/>
              <w:jc w:val="center"/>
              <w:rPr>
                <w:rFonts w:ascii="Arial" w:hAnsi="Arial" w:cs="Arial"/>
                <w:sz w:val="20"/>
                <w:szCs w:val="20"/>
                <w:lang w:eastAsia="en-US"/>
              </w:rPr>
            </w:pPr>
            <w:r w:rsidRPr="00E04C25">
              <w:rPr>
                <w:rFonts w:ascii="Arial" w:hAnsi="Arial" w:cs="Arial"/>
                <w:sz w:val="20"/>
                <w:szCs w:val="20"/>
                <w:lang w:eastAsia="en-US"/>
              </w:rPr>
              <w:t>55-59 let</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53,7</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14,1</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41,3</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14,7</w:t>
            </w:r>
          </w:p>
        </w:tc>
        <w:tc>
          <w:tcPr>
            <w:tcW w:w="849" w:type="dxa"/>
            <w:tcBorders>
              <w:top w:val="nil"/>
              <w:left w:val="nil"/>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-12,4</w:t>
            </w:r>
          </w:p>
        </w:tc>
        <w:tc>
          <w:tcPr>
            <w:tcW w:w="887" w:type="dxa"/>
            <w:tcBorders>
              <w:top w:val="nil"/>
              <w:left w:val="nil"/>
              <w:bottom w:val="nil"/>
              <w:right w:val="double" w:sz="6"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-23,1</w:t>
            </w:r>
          </w:p>
        </w:tc>
      </w:tr>
      <w:tr w:rsidR="00767F7D" w:rsidRPr="00E04C25" w:rsidTr="00767F7D">
        <w:trPr>
          <w:trHeight w:val="285"/>
          <w:jc w:val="center"/>
        </w:trPr>
        <w:tc>
          <w:tcPr>
            <w:tcW w:w="1496" w:type="dxa"/>
            <w:tcBorders>
              <w:top w:val="nil"/>
              <w:left w:val="double" w:sz="6" w:space="0" w:color="auto"/>
              <w:bottom w:val="nil"/>
              <w:right w:val="single" w:sz="4" w:space="0" w:color="auto"/>
            </w:tcBorders>
            <w:noWrap/>
            <w:vAlign w:val="center"/>
            <w:hideMark/>
          </w:tcPr>
          <w:p w:rsidR="00767F7D" w:rsidRPr="00E04C25" w:rsidRDefault="00767F7D" w:rsidP="00523B41">
            <w:pPr>
              <w:spacing w:line="276" w:lineRule="auto"/>
              <w:jc w:val="center"/>
              <w:rPr>
                <w:rFonts w:ascii="Arial" w:hAnsi="Arial" w:cs="Arial"/>
                <w:sz w:val="20"/>
                <w:szCs w:val="20"/>
                <w:lang w:eastAsia="en-US"/>
              </w:rPr>
            </w:pPr>
            <w:r w:rsidRPr="00E04C25">
              <w:rPr>
                <w:rFonts w:ascii="Arial" w:hAnsi="Arial" w:cs="Arial"/>
                <w:sz w:val="20"/>
                <w:szCs w:val="20"/>
                <w:lang w:eastAsia="en-US"/>
              </w:rPr>
              <w:t>60-64 let</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26,7</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7,0</w:t>
            </w:r>
          </w:p>
        </w:tc>
        <w:tc>
          <w:tcPr>
            <w:tcW w:w="836" w:type="dxa"/>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24,8</w:t>
            </w:r>
          </w:p>
        </w:tc>
        <w:tc>
          <w:tcPr>
            <w:tcW w:w="836" w:type="dxa"/>
            <w:tcBorders>
              <w:top w:val="nil"/>
              <w:left w:val="single" w:sz="4" w:space="0" w:color="auto"/>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8,8</w:t>
            </w:r>
          </w:p>
        </w:tc>
        <w:tc>
          <w:tcPr>
            <w:tcW w:w="849" w:type="dxa"/>
            <w:tcBorders>
              <w:top w:val="nil"/>
              <w:left w:val="nil"/>
              <w:bottom w:val="nil"/>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-1,9</w:t>
            </w:r>
          </w:p>
        </w:tc>
        <w:tc>
          <w:tcPr>
            <w:tcW w:w="887" w:type="dxa"/>
            <w:tcBorders>
              <w:top w:val="nil"/>
              <w:left w:val="nil"/>
              <w:bottom w:val="nil"/>
              <w:right w:val="double" w:sz="6"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-7,1</w:t>
            </w:r>
          </w:p>
        </w:tc>
      </w:tr>
      <w:tr w:rsidR="00767F7D" w:rsidRPr="00E04C25" w:rsidTr="00767F7D">
        <w:trPr>
          <w:trHeight w:val="285"/>
          <w:jc w:val="center"/>
        </w:trPr>
        <w:tc>
          <w:tcPr>
            <w:tcW w:w="1496" w:type="dxa"/>
            <w:tcBorders>
              <w:top w:val="nil"/>
              <w:left w:val="double" w:sz="6" w:space="0" w:color="auto"/>
              <w:bottom w:val="single" w:sz="4" w:space="0" w:color="auto"/>
              <w:right w:val="single" w:sz="4" w:space="0" w:color="auto"/>
            </w:tcBorders>
            <w:noWrap/>
            <w:vAlign w:val="center"/>
            <w:hideMark/>
          </w:tcPr>
          <w:p w:rsidR="00767F7D" w:rsidRPr="00E04C25" w:rsidRDefault="00767F7D" w:rsidP="00523B41">
            <w:pPr>
              <w:spacing w:line="276" w:lineRule="auto"/>
              <w:jc w:val="center"/>
              <w:rPr>
                <w:rFonts w:ascii="Arial" w:hAnsi="Arial" w:cs="Arial"/>
                <w:sz w:val="20"/>
                <w:szCs w:val="20"/>
                <w:lang w:eastAsia="en-US"/>
              </w:rPr>
            </w:pPr>
            <w:r w:rsidRPr="00E04C25">
              <w:rPr>
                <w:rFonts w:ascii="Arial" w:hAnsi="Arial" w:cs="Arial"/>
                <w:sz w:val="20"/>
                <w:szCs w:val="20"/>
                <w:lang w:eastAsia="en-US"/>
              </w:rPr>
              <w:t xml:space="preserve">   65 a více let</w:t>
            </w:r>
          </w:p>
        </w:tc>
        <w:tc>
          <w:tcPr>
            <w:tcW w:w="836" w:type="dxa"/>
            <w:tcBorders>
              <w:top w:val="nil"/>
              <w:left w:val="nil"/>
              <w:bottom w:val="single" w:sz="4" w:space="0" w:color="auto"/>
              <w:right w:val="nil"/>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1,4</w:t>
            </w:r>
          </w:p>
        </w:tc>
        <w:tc>
          <w:tcPr>
            <w:tcW w:w="836" w:type="dxa"/>
            <w:tcBorders>
              <w:top w:val="nil"/>
              <w:left w:val="single" w:sz="4" w:space="0" w:color="auto"/>
              <w:bottom w:val="single" w:sz="4" w:space="0" w:color="auto"/>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0,4</w:t>
            </w:r>
          </w:p>
        </w:tc>
        <w:tc>
          <w:tcPr>
            <w:tcW w:w="836" w:type="dxa"/>
            <w:tcBorders>
              <w:top w:val="nil"/>
              <w:left w:val="nil"/>
              <w:bottom w:val="single" w:sz="4" w:space="0" w:color="auto"/>
              <w:right w:val="nil"/>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1,5</w:t>
            </w:r>
          </w:p>
        </w:tc>
        <w:tc>
          <w:tcPr>
            <w:tcW w:w="836" w:type="dxa"/>
            <w:tcBorders>
              <w:top w:val="nil"/>
              <w:left w:val="single" w:sz="4" w:space="0" w:color="auto"/>
              <w:bottom w:val="single" w:sz="4" w:space="0" w:color="auto"/>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0,5</w:t>
            </w:r>
          </w:p>
        </w:tc>
        <w:tc>
          <w:tcPr>
            <w:tcW w:w="849" w:type="dxa"/>
            <w:tcBorders>
              <w:top w:val="nil"/>
              <w:left w:val="nil"/>
              <w:bottom w:val="single" w:sz="4" w:space="0" w:color="auto"/>
              <w:right w:val="single" w:sz="4" w:space="0" w:color="auto"/>
            </w:tcBorders>
            <w:noWrap/>
            <w:vAlign w:val="center"/>
            <w:hideMark/>
          </w:tcPr>
          <w:p w:rsidR="00767F7D" w:rsidRPr="00E04C25" w:rsidRDefault="00767F7D">
            <w:pPr>
              <w:jc w:val="right"/>
              <w:rPr>
                <w:rFonts w:ascii="Arial" w:hAnsi="Arial" w:cs="Arial"/>
                <w:sz w:val="20"/>
                <w:szCs w:val="20"/>
              </w:rPr>
            </w:pPr>
            <w:r w:rsidRPr="00E04C25">
              <w:rPr>
                <w:rFonts w:ascii="Arial" w:hAnsi="Arial" w:cs="Arial"/>
                <w:sz w:val="20"/>
                <w:szCs w:val="20"/>
              </w:rPr>
              <w:t>0,1</w:t>
            </w:r>
          </w:p>
        </w:tc>
        <w:tc>
          <w:tcPr>
            <w:tcW w:w="887" w:type="dxa"/>
            <w:tcBorders>
              <w:top w:val="nil"/>
              <w:left w:val="nil"/>
              <w:bottom w:val="single" w:sz="4" w:space="0" w:color="auto"/>
              <w:right w:val="double" w:sz="6" w:space="0" w:color="auto"/>
            </w:tcBorders>
            <w:noWrap/>
            <w:vAlign w:val="center"/>
            <w:hideMark/>
          </w:tcPr>
          <w:p w:rsidR="00767F7D" w:rsidRPr="00E04C25" w:rsidRDefault="00767F7D">
            <w:pPr>
              <w:jc w:val="right"/>
              <w:rPr>
                <w:rFonts w:ascii="Arial" w:hAnsi="Arial" w:cs="Arial"/>
                <w:b/>
                <w:bCs/>
                <w:sz w:val="20"/>
                <w:szCs w:val="20"/>
              </w:rPr>
            </w:pPr>
            <w:r w:rsidRPr="00E04C25">
              <w:rPr>
                <w:rFonts w:ascii="Arial" w:hAnsi="Arial" w:cs="Arial"/>
                <w:b/>
                <w:bCs/>
                <w:sz w:val="20"/>
                <w:szCs w:val="20"/>
              </w:rPr>
              <w:t>7,1</w:t>
            </w:r>
          </w:p>
        </w:tc>
      </w:tr>
      <w:tr w:rsidR="00767F7D" w:rsidRPr="00E04C25" w:rsidTr="00767F7D">
        <w:trPr>
          <w:trHeight w:val="285"/>
          <w:jc w:val="center"/>
        </w:trPr>
        <w:tc>
          <w:tcPr>
            <w:tcW w:w="1496" w:type="dxa"/>
            <w:tcBorders>
              <w:top w:val="nil"/>
              <w:left w:val="double" w:sz="6" w:space="0" w:color="auto"/>
              <w:bottom w:val="double" w:sz="6" w:space="0" w:color="auto"/>
              <w:right w:val="single" w:sz="4" w:space="0" w:color="auto"/>
            </w:tcBorders>
            <w:noWrap/>
            <w:vAlign w:val="center"/>
            <w:hideMark/>
          </w:tcPr>
          <w:p w:rsidR="00767F7D" w:rsidRPr="00E04C25" w:rsidRDefault="00767F7D" w:rsidP="00523B41">
            <w:pPr>
              <w:spacing w:line="276" w:lineRule="auto"/>
              <w:rPr>
                <w:rFonts w:ascii="Arial" w:hAnsi="Arial" w:cs="Arial"/>
                <w:b/>
                <w:bCs/>
                <w:i/>
                <w:iCs/>
                <w:sz w:val="20"/>
                <w:szCs w:val="20"/>
                <w:lang w:eastAsia="en-US"/>
              </w:rPr>
            </w:pPr>
            <w:r w:rsidRPr="00E04C25">
              <w:rPr>
                <w:rFonts w:ascii="Arial" w:hAnsi="Arial" w:cs="Arial"/>
                <w:b/>
                <w:bCs/>
                <w:i/>
                <w:iCs/>
                <w:sz w:val="20"/>
                <w:szCs w:val="20"/>
                <w:lang w:eastAsia="en-US"/>
              </w:rPr>
              <w:t>50 a více let</w:t>
            </w:r>
          </w:p>
        </w:tc>
        <w:tc>
          <w:tcPr>
            <w:tcW w:w="836" w:type="dxa"/>
            <w:tcBorders>
              <w:top w:val="nil"/>
              <w:left w:val="nil"/>
              <w:bottom w:val="double" w:sz="6" w:space="0" w:color="auto"/>
              <w:right w:val="nil"/>
            </w:tcBorders>
            <w:noWrap/>
            <w:vAlign w:val="center"/>
            <w:hideMark/>
          </w:tcPr>
          <w:p w:rsidR="00767F7D" w:rsidRPr="00E04C25" w:rsidRDefault="00767F7D">
            <w:pPr>
              <w:jc w:val="right"/>
              <w:rPr>
                <w:rFonts w:ascii="Arial" w:hAnsi="Arial" w:cs="Arial"/>
                <w:b/>
                <w:bCs/>
                <w:i/>
                <w:iCs/>
                <w:sz w:val="20"/>
                <w:szCs w:val="20"/>
              </w:rPr>
            </w:pPr>
            <w:r w:rsidRPr="00E04C25">
              <w:rPr>
                <w:rFonts w:ascii="Arial" w:hAnsi="Arial" w:cs="Arial"/>
                <w:b/>
                <w:bCs/>
                <w:i/>
                <w:iCs/>
                <w:sz w:val="20"/>
                <w:szCs w:val="20"/>
              </w:rPr>
              <w:t>127,3</w:t>
            </w:r>
          </w:p>
        </w:tc>
        <w:tc>
          <w:tcPr>
            <w:tcW w:w="836" w:type="dxa"/>
            <w:tcBorders>
              <w:top w:val="nil"/>
              <w:left w:val="single" w:sz="4" w:space="0" w:color="auto"/>
              <w:bottom w:val="double" w:sz="6" w:space="0" w:color="auto"/>
              <w:right w:val="single" w:sz="4" w:space="0" w:color="auto"/>
            </w:tcBorders>
            <w:noWrap/>
            <w:vAlign w:val="center"/>
            <w:hideMark/>
          </w:tcPr>
          <w:p w:rsidR="00767F7D" w:rsidRPr="00E04C25" w:rsidRDefault="00767F7D">
            <w:pPr>
              <w:jc w:val="right"/>
              <w:rPr>
                <w:rFonts w:ascii="Arial" w:hAnsi="Arial" w:cs="Arial"/>
                <w:b/>
                <w:bCs/>
                <w:i/>
                <w:iCs/>
                <w:sz w:val="20"/>
                <w:szCs w:val="20"/>
              </w:rPr>
            </w:pPr>
            <w:r w:rsidRPr="00E04C25">
              <w:rPr>
                <w:rFonts w:ascii="Arial" w:hAnsi="Arial" w:cs="Arial"/>
                <w:b/>
                <w:bCs/>
                <w:i/>
                <w:iCs/>
                <w:sz w:val="20"/>
                <w:szCs w:val="20"/>
              </w:rPr>
              <w:t>33,4</w:t>
            </w:r>
          </w:p>
        </w:tc>
        <w:tc>
          <w:tcPr>
            <w:tcW w:w="836" w:type="dxa"/>
            <w:tcBorders>
              <w:top w:val="nil"/>
              <w:left w:val="nil"/>
              <w:bottom w:val="double" w:sz="6" w:space="0" w:color="auto"/>
              <w:right w:val="nil"/>
            </w:tcBorders>
            <w:noWrap/>
            <w:vAlign w:val="center"/>
            <w:hideMark/>
          </w:tcPr>
          <w:p w:rsidR="00767F7D" w:rsidRPr="00E04C25" w:rsidRDefault="00767F7D">
            <w:pPr>
              <w:jc w:val="right"/>
              <w:rPr>
                <w:rFonts w:ascii="Arial" w:hAnsi="Arial" w:cs="Arial"/>
                <w:b/>
                <w:bCs/>
                <w:i/>
                <w:iCs/>
                <w:sz w:val="20"/>
                <w:szCs w:val="20"/>
              </w:rPr>
            </w:pPr>
            <w:r w:rsidRPr="00E04C25">
              <w:rPr>
                <w:rFonts w:ascii="Arial" w:hAnsi="Arial" w:cs="Arial"/>
                <w:b/>
                <w:bCs/>
                <w:i/>
                <w:iCs/>
                <w:sz w:val="20"/>
                <w:szCs w:val="20"/>
              </w:rPr>
              <w:t>102,3</w:t>
            </w:r>
          </w:p>
        </w:tc>
        <w:tc>
          <w:tcPr>
            <w:tcW w:w="836" w:type="dxa"/>
            <w:tcBorders>
              <w:top w:val="nil"/>
              <w:left w:val="single" w:sz="4" w:space="0" w:color="auto"/>
              <w:bottom w:val="double" w:sz="6" w:space="0" w:color="auto"/>
              <w:right w:val="single" w:sz="4" w:space="0" w:color="auto"/>
            </w:tcBorders>
            <w:noWrap/>
            <w:vAlign w:val="center"/>
            <w:hideMark/>
          </w:tcPr>
          <w:p w:rsidR="00767F7D" w:rsidRPr="00E04C25" w:rsidRDefault="00767F7D">
            <w:pPr>
              <w:jc w:val="right"/>
              <w:rPr>
                <w:rFonts w:ascii="Arial" w:hAnsi="Arial" w:cs="Arial"/>
                <w:b/>
                <w:bCs/>
                <w:i/>
                <w:iCs/>
                <w:sz w:val="20"/>
                <w:szCs w:val="20"/>
              </w:rPr>
            </w:pPr>
            <w:r w:rsidRPr="00E04C25">
              <w:rPr>
                <w:rFonts w:ascii="Arial" w:hAnsi="Arial" w:cs="Arial"/>
                <w:b/>
                <w:bCs/>
                <w:i/>
                <w:iCs/>
                <w:sz w:val="20"/>
                <w:szCs w:val="20"/>
              </w:rPr>
              <w:t>36,5</w:t>
            </w:r>
          </w:p>
        </w:tc>
        <w:tc>
          <w:tcPr>
            <w:tcW w:w="849" w:type="dxa"/>
            <w:tcBorders>
              <w:top w:val="nil"/>
              <w:left w:val="nil"/>
              <w:bottom w:val="double" w:sz="6" w:space="0" w:color="auto"/>
              <w:right w:val="single" w:sz="4" w:space="0" w:color="auto"/>
            </w:tcBorders>
            <w:noWrap/>
            <w:vAlign w:val="center"/>
            <w:hideMark/>
          </w:tcPr>
          <w:p w:rsidR="00767F7D" w:rsidRPr="00E04C25" w:rsidRDefault="00767F7D">
            <w:pPr>
              <w:jc w:val="right"/>
              <w:rPr>
                <w:rFonts w:ascii="Arial" w:hAnsi="Arial" w:cs="Arial"/>
                <w:b/>
                <w:bCs/>
                <w:i/>
                <w:iCs/>
                <w:sz w:val="20"/>
                <w:szCs w:val="20"/>
              </w:rPr>
            </w:pPr>
            <w:r w:rsidRPr="00E04C25">
              <w:rPr>
                <w:rFonts w:ascii="Arial" w:hAnsi="Arial" w:cs="Arial"/>
                <w:b/>
                <w:bCs/>
                <w:i/>
                <w:iCs/>
                <w:sz w:val="20"/>
                <w:szCs w:val="20"/>
              </w:rPr>
              <w:t>-25,0</w:t>
            </w:r>
          </w:p>
        </w:tc>
        <w:tc>
          <w:tcPr>
            <w:tcW w:w="887" w:type="dxa"/>
            <w:tcBorders>
              <w:top w:val="nil"/>
              <w:left w:val="nil"/>
              <w:bottom w:val="double" w:sz="6" w:space="0" w:color="auto"/>
              <w:right w:val="double" w:sz="6" w:space="0" w:color="auto"/>
            </w:tcBorders>
            <w:noWrap/>
            <w:vAlign w:val="center"/>
            <w:hideMark/>
          </w:tcPr>
          <w:p w:rsidR="00767F7D" w:rsidRPr="00E04C25" w:rsidRDefault="00767F7D">
            <w:pPr>
              <w:jc w:val="right"/>
              <w:rPr>
                <w:rFonts w:ascii="Arial" w:hAnsi="Arial" w:cs="Arial"/>
                <w:b/>
                <w:bCs/>
                <w:i/>
                <w:iCs/>
                <w:sz w:val="20"/>
                <w:szCs w:val="20"/>
              </w:rPr>
            </w:pPr>
            <w:r w:rsidRPr="00E04C25">
              <w:rPr>
                <w:rFonts w:ascii="Arial" w:hAnsi="Arial" w:cs="Arial"/>
                <w:b/>
                <w:bCs/>
                <w:i/>
                <w:iCs/>
                <w:sz w:val="20"/>
                <w:szCs w:val="20"/>
              </w:rPr>
              <w:t>-19,6</w:t>
            </w:r>
          </w:p>
        </w:tc>
      </w:tr>
    </w:tbl>
    <w:p w:rsidR="00767F7D" w:rsidRPr="00E04C25" w:rsidRDefault="00767F7D" w:rsidP="00767F7D">
      <w:pPr>
        <w:pStyle w:val="Zkladntextodsazen3"/>
        <w:tabs>
          <w:tab w:val="left" w:pos="567"/>
        </w:tabs>
        <w:spacing w:after="0"/>
        <w:ind w:left="1276" w:hanging="709"/>
        <w:jc w:val="both"/>
        <w:rPr>
          <w:rFonts w:ascii="Arial" w:hAnsi="Arial" w:cs="Arial"/>
          <w:i/>
          <w:iCs/>
          <w:lang w:val="cs-CZ" w:eastAsia="en-US"/>
        </w:rPr>
      </w:pPr>
      <w:r w:rsidRPr="00E04C25">
        <w:rPr>
          <w:rFonts w:ascii="Arial" w:hAnsi="Arial" w:cs="Arial"/>
          <w:i/>
          <w:iCs/>
          <w:lang w:val="cs-CZ" w:eastAsia="en-US"/>
        </w:rPr>
        <w:tab/>
      </w:r>
    </w:p>
    <w:p w:rsidR="00767F7D" w:rsidRPr="00E04C25" w:rsidRDefault="00767F7D" w:rsidP="00767F7D">
      <w:pPr>
        <w:pStyle w:val="Zkladntextodsazen3"/>
        <w:tabs>
          <w:tab w:val="left" w:pos="567"/>
        </w:tabs>
        <w:spacing w:after="0"/>
        <w:ind w:left="1276" w:hanging="709"/>
        <w:jc w:val="both"/>
        <w:rPr>
          <w:rFonts w:ascii="Arial" w:hAnsi="Arial" w:cs="Arial"/>
          <w:i/>
          <w:iCs/>
          <w:lang w:val="cs-CZ" w:eastAsia="en-US"/>
        </w:rPr>
      </w:pPr>
      <w:r w:rsidRPr="00E04C25">
        <w:rPr>
          <w:rFonts w:ascii="Arial" w:hAnsi="Arial" w:cs="Arial"/>
          <w:i/>
          <w:iCs/>
          <w:lang w:val="cs-CZ" w:eastAsia="en-US"/>
        </w:rPr>
        <w:tab/>
      </w:r>
      <w:r w:rsidRPr="00E04C25">
        <w:rPr>
          <w:rFonts w:ascii="Arial" w:hAnsi="Arial" w:cs="Arial"/>
          <w:i/>
          <w:iCs/>
          <w:lang w:eastAsia="en-US"/>
        </w:rPr>
        <w:t xml:space="preserve">Pozn.: drobné odchylky součtu osob v jednotlivých kategoriích od uvedeného celkového </w:t>
      </w:r>
    </w:p>
    <w:p w:rsidR="00115440" w:rsidRPr="00E04C25" w:rsidRDefault="00767F7D" w:rsidP="00767F7D">
      <w:pPr>
        <w:pStyle w:val="Zkladntextodsazen3"/>
        <w:tabs>
          <w:tab w:val="left" w:pos="567"/>
        </w:tabs>
        <w:spacing w:after="0"/>
        <w:ind w:left="1276" w:hanging="709"/>
        <w:jc w:val="both"/>
        <w:rPr>
          <w:rFonts w:ascii="Arial" w:hAnsi="Arial" w:cs="Arial"/>
          <w:i/>
          <w:iCs/>
          <w:lang w:val="cs-CZ" w:eastAsia="en-US"/>
        </w:rPr>
      </w:pPr>
      <w:r w:rsidRPr="00E04C25">
        <w:rPr>
          <w:rFonts w:ascii="Arial" w:hAnsi="Arial" w:cs="Arial"/>
          <w:i/>
          <w:iCs/>
          <w:lang w:val="cs-CZ" w:eastAsia="en-US"/>
        </w:rPr>
        <w:tab/>
      </w:r>
      <w:r w:rsidRPr="00E04C25">
        <w:rPr>
          <w:rFonts w:ascii="Arial" w:hAnsi="Arial" w:cs="Arial"/>
          <w:i/>
          <w:iCs/>
          <w:lang w:eastAsia="en-US"/>
        </w:rPr>
        <w:t>počtu souvisí se zaokrouhlením hodnot na jedno desetinné místo</w:t>
      </w:r>
    </w:p>
    <w:p w:rsidR="00F06ECA" w:rsidRPr="00E04C25" w:rsidRDefault="00F06ECA" w:rsidP="00F06ECA">
      <w:pPr>
        <w:pStyle w:val="Zkladntextodsazen3"/>
        <w:tabs>
          <w:tab w:val="left" w:pos="567"/>
        </w:tabs>
        <w:spacing w:after="0"/>
        <w:ind w:left="0"/>
        <w:jc w:val="both"/>
        <w:rPr>
          <w:rFonts w:ascii="Arial" w:hAnsi="Arial" w:cs="Arial"/>
          <w:sz w:val="24"/>
          <w:szCs w:val="24"/>
          <w:lang w:val="cs-CZ"/>
        </w:rPr>
      </w:pPr>
    </w:p>
    <w:p w:rsidR="00F06ECA" w:rsidRPr="00E04C25" w:rsidRDefault="00F06ECA" w:rsidP="00F06ECA">
      <w:pPr>
        <w:pStyle w:val="Zkladntextodsazen3"/>
        <w:tabs>
          <w:tab w:val="left" w:pos="567"/>
        </w:tabs>
        <w:spacing w:after="0" w:line="360" w:lineRule="auto"/>
        <w:ind w:left="0"/>
        <w:jc w:val="both"/>
        <w:rPr>
          <w:rFonts w:ascii="Arial" w:hAnsi="Arial" w:cs="Arial"/>
          <w:sz w:val="24"/>
          <w:szCs w:val="24"/>
          <w:lang w:val="cs-CZ"/>
        </w:rPr>
      </w:pPr>
      <w:r w:rsidRPr="00E04C25">
        <w:rPr>
          <w:rFonts w:ascii="Arial" w:hAnsi="Arial" w:cs="Arial"/>
          <w:sz w:val="24"/>
          <w:szCs w:val="24"/>
          <w:lang w:val="cs-CZ"/>
        </w:rPr>
        <w:tab/>
        <w:t>Je zřejmé, že díky nedostatku pracovních sil se daří nalézt zaměstnání i</w:t>
      </w:r>
      <w:r w:rsidR="00DB3E46" w:rsidRPr="00E04C25">
        <w:rPr>
          <w:rFonts w:ascii="Arial" w:hAnsi="Arial" w:cs="Arial"/>
          <w:sz w:val="24"/>
          <w:szCs w:val="24"/>
          <w:lang w:val="cs-CZ"/>
        </w:rPr>
        <w:t> </w:t>
      </w:r>
      <w:r w:rsidRPr="00E04C25">
        <w:rPr>
          <w:rFonts w:ascii="Arial" w:hAnsi="Arial" w:cs="Arial"/>
          <w:sz w:val="24"/>
          <w:szCs w:val="24"/>
          <w:lang w:val="cs-CZ"/>
        </w:rPr>
        <w:t xml:space="preserve">padesátníkům. Ztížené uplatnění mají spíše osoby těsně před dovršením </w:t>
      </w:r>
      <w:r w:rsidRPr="00E04C25">
        <w:rPr>
          <w:rFonts w:ascii="Arial" w:hAnsi="Arial" w:cs="Arial"/>
          <w:sz w:val="24"/>
          <w:szCs w:val="24"/>
          <w:lang w:val="cs-CZ"/>
        </w:rPr>
        <w:lastRenderedPageBreak/>
        <w:t xml:space="preserve">důchodového věku. V souvislosti se zvyšující se věkovou hranicí pro odchod do důchodu byl zaznamenán pomalejší pokles počtu uchazečů ve věku </w:t>
      </w:r>
      <w:r w:rsidRPr="00E04C25">
        <w:rPr>
          <w:rFonts w:ascii="Arial" w:hAnsi="Arial" w:cs="Arial"/>
          <w:b/>
          <w:sz w:val="24"/>
          <w:szCs w:val="24"/>
          <w:lang w:val="cs-CZ"/>
        </w:rPr>
        <w:t>60 – 64 let</w:t>
      </w:r>
      <w:r w:rsidRPr="00E04C25">
        <w:rPr>
          <w:rFonts w:ascii="Arial" w:hAnsi="Arial" w:cs="Arial"/>
          <w:sz w:val="24"/>
          <w:szCs w:val="24"/>
          <w:lang w:val="cs-CZ"/>
        </w:rPr>
        <w:t xml:space="preserve">, a to pouze o 1,9 tis., tj. 7,1 %. (a to díky poklesu počtu mužů, počet žen mírně vzrostl). </w:t>
      </w:r>
      <w:r w:rsidRPr="00E04C25">
        <w:rPr>
          <w:rFonts w:ascii="Arial" w:hAnsi="Arial" w:cs="Arial"/>
          <w:b/>
          <w:sz w:val="24"/>
          <w:szCs w:val="24"/>
          <w:lang w:val="cs-CZ"/>
        </w:rPr>
        <w:t>Nepatrný nárůst</w:t>
      </w:r>
      <w:r w:rsidRPr="00E04C25">
        <w:rPr>
          <w:rFonts w:ascii="Arial" w:hAnsi="Arial" w:cs="Arial"/>
          <w:sz w:val="24"/>
          <w:szCs w:val="24"/>
          <w:lang w:val="cs-CZ"/>
        </w:rPr>
        <w:t xml:space="preserve"> zaznamenala jediná věková skupina </w:t>
      </w:r>
      <w:r w:rsidRPr="00E04C25">
        <w:rPr>
          <w:rFonts w:ascii="Arial" w:hAnsi="Arial" w:cs="Arial"/>
          <w:b/>
          <w:sz w:val="24"/>
          <w:szCs w:val="24"/>
          <w:lang w:val="cs-CZ"/>
        </w:rPr>
        <w:t xml:space="preserve">65 a více let </w:t>
      </w:r>
      <w:r w:rsidRPr="00E04C25">
        <w:rPr>
          <w:rFonts w:ascii="Arial" w:hAnsi="Arial" w:cs="Arial"/>
          <w:sz w:val="24"/>
          <w:szCs w:val="24"/>
          <w:lang w:val="cs-CZ"/>
        </w:rPr>
        <w:t>(vzrostl pouze počet mužů, a to díky jejich vyšší věkové hranici pro odchod do důchodu, počet žen se nezměnil)</w:t>
      </w:r>
      <w:r w:rsidRPr="00E04C25">
        <w:rPr>
          <w:rFonts w:ascii="Arial" w:hAnsi="Arial" w:cs="Arial"/>
          <w:b/>
          <w:sz w:val="24"/>
          <w:szCs w:val="24"/>
          <w:lang w:val="cs-CZ"/>
        </w:rPr>
        <w:t xml:space="preserve">. </w:t>
      </w:r>
    </w:p>
    <w:p w:rsidR="0007182A" w:rsidRPr="00E04C25" w:rsidRDefault="00115440" w:rsidP="00D7632D">
      <w:pPr>
        <w:pStyle w:val="Zkladntextodsazen3"/>
        <w:tabs>
          <w:tab w:val="left" w:pos="567"/>
        </w:tabs>
        <w:spacing w:after="0"/>
        <w:ind w:left="0"/>
        <w:jc w:val="both"/>
        <w:rPr>
          <w:rFonts w:ascii="Arial" w:hAnsi="Arial" w:cs="Arial"/>
          <w:sz w:val="24"/>
          <w:szCs w:val="24"/>
          <w:lang w:val="cs-CZ"/>
        </w:rPr>
      </w:pPr>
      <w:r w:rsidRPr="00E04C25">
        <w:rPr>
          <w:rFonts w:ascii="Arial" w:hAnsi="Arial" w:cs="Arial"/>
          <w:b/>
          <w:sz w:val="24"/>
          <w:szCs w:val="24"/>
          <w:lang w:val="cs-CZ"/>
        </w:rPr>
        <w:tab/>
      </w:r>
      <w:r w:rsidRPr="00E04C25">
        <w:rPr>
          <w:rFonts w:ascii="Arial" w:hAnsi="Arial" w:cs="Arial"/>
          <w:sz w:val="24"/>
          <w:szCs w:val="24"/>
          <w:lang w:val="cs-CZ"/>
        </w:rPr>
        <w:tab/>
      </w:r>
      <w:r w:rsidRPr="00E04C25">
        <w:rPr>
          <w:rFonts w:ascii="Arial" w:hAnsi="Arial" w:cs="Arial"/>
          <w:sz w:val="24"/>
          <w:szCs w:val="24"/>
          <w:lang w:val="cs-CZ"/>
        </w:rPr>
        <w:tab/>
      </w:r>
      <w:r w:rsidRPr="00E04C25">
        <w:rPr>
          <w:rFonts w:ascii="Arial" w:hAnsi="Arial" w:cs="Arial"/>
          <w:sz w:val="24"/>
          <w:szCs w:val="24"/>
          <w:lang w:val="cs-CZ"/>
        </w:rPr>
        <w:tab/>
      </w:r>
      <w:r w:rsidRPr="00E04C25">
        <w:rPr>
          <w:rFonts w:ascii="Arial" w:hAnsi="Arial" w:cs="Arial"/>
          <w:sz w:val="24"/>
          <w:szCs w:val="24"/>
          <w:lang w:val="cs-CZ"/>
        </w:rPr>
        <w:tab/>
      </w:r>
      <w:r w:rsidRPr="00E04C25">
        <w:rPr>
          <w:rFonts w:ascii="Arial" w:hAnsi="Arial" w:cs="Arial"/>
          <w:sz w:val="24"/>
          <w:szCs w:val="24"/>
          <w:lang w:val="cs-CZ"/>
        </w:rPr>
        <w:tab/>
      </w:r>
      <w:r w:rsidRPr="00E04C25">
        <w:rPr>
          <w:rFonts w:ascii="Arial" w:hAnsi="Arial" w:cs="Arial"/>
          <w:sz w:val="24"/>
          <w:szCs w:val="24"/>
          <w:lang w:val="cs-CZ"/>
        </w:rPr>
        <w:tab/>
        <w:t xml:space="preserve">    </w:t>
      </w:r>
    </w:p>
    <w:p w:rsidR="00115440" w:rsidRPr="00E04C25" w:rsidRDefault="00115440" w:rsidP="0007182A">
      <w:pPr>
        <w:pStyle w:val="Zkladntextodsazen3"/>
        <w:tabs>
          <w:tab w:val="left" w:pos="567"/>
        </w:tabs>
        <w:spacing w:after="0"/>
        <w:ind w:left="0"/>
        <w:jc w:val="right"/>
        <w:rPr>
          <w:rFonts w:ascii="Arial" w:hAnsi="Arial" w:cs="Arial"/>
          <w:sz w:val="20"/>
          <w:szCs w:val="20"/>
        </w:rPr>
      </w:pPr>
      <w:r w:rsidRPr="00E04C25">
        <w:rPr>
          <w:rFonts w:ascii="Arial" w:hAnsi="Arial" w:cs="Arial"/>
          <w:sz w:val="24"/>
          <w:szCs w:val="24"/>
          <w:lang w:val="cs-CZ"/>
        </w:rPr>
        <w:t xml:space="preserve"> </w:t>
      </w:r>
      <w:r w:rsidRPr="00E04C25">
        <w:rPr>
          <w:rFonts w:ascii="Arial" w:hAnsi="Arial" w:cs="Arial"/>
          <w:sz w:val="20"/>
          <w:szCs w:val="20"/>
        </w:rPr>
        <w:t>graf č. 1</w:t>
      </w:r>
      <w:r w:rsidR="006D5548" w:rsidRPr="00E04C25">
        <w:rPr>
          <w:rFonts w:ascii="Arial" w:hAnsi="Arial" w:cs="Arial"/>
          <w:sz w:val="20"/>
          <w:szCs w:val="20"/>
          <w:lang w:val="cs-CZ"/>
        </w:rPr>
        <w:t>3</w:t>
      </w:r>
    </w:p>
    <w:p w:rsidR="00115440" w:rsidRPr="00E04C25" w:rsidRDefault="00F54249" w:rsidP="00115440">
      <w:pPr>
        <w:pStyle w:val="Zkladntextodsazen3"/>
        <w:tabs>
          <w:tab w:val="left" w:pos="567"/>
        </w:tabs>
        <w:spacing w:after="0" w:line="360" w:lineRule="auto"/>
        <w:ind w:left="0"/>
        <w:jc w:val="center"/>
        <w:rPr>
          <w:rFonts w:ascii="Arial" w:hAnsi="Arial" w:cs="Arial"/>
          <w:sz w:val="24"/>
          <w:szCs w:val="24"/>
          <w:lang w:val="cs-CZ"/>
        </w:rPr>
      </w:pPr>
      <w:r w:rsidRPr="00E04C25">
        <w:rPr>
          <w:noProof/>
          <w:lang w:val="cs-CZ" w:eastAsia="cs-CZ"/>
        </w:rPr>
        <w:drawing>
          <wp:inline distT="0" distB="0" distL="0" distR="0">
            <wp:extent cx="5724525" cy="3219450"/>
            <wp:effectExtent l="0" t="0" r="9525" b="1905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15440" w:rsidRPr="00E04C25" w:rsidRDefault="00115440" w:rsidP="00115440">
      <w:pPr>
        <w:pStyle w:val="Zkladntextodsazen3"/>
        <w:tabs>
          <w:tab w:val="left" w:pos="567"/>
        </w:tabs>
        <w:spacing w:after="0"/>
        <w:ind w:left="0"/>
        <w:jc w:val="both"/>
        <w:rPr>
          <w:rFonts w:ascii="Arial" w:hAnsi="Arial" w:cs="Arial"/>
          <w:lang w:val="cs-CZ"/>
        </w:rPr>
      </w:pPr>
      <w:r w:rsidRPr="00E04C25">
        <w:rPr>
          <w:rFonts w:ascii="Arial" w:hAnsi="Arial" w:cs="Arial"/>
          <w:sz w:val="24"/>
          <w:szCs w:val="24"/>
          <w:lang w:val="cs-CZ"/>
        </w:rPr>
        <w:tab/>
      </w:r>
    </w:p>
    <w:p w:rsidR="00551778" w:rsidRPr="00E04C25" w:rsidRDefault="00115440" w:rsidP="00115440">
      <w:pPr>
        <w:pStyle w:val="Zkladntextodsazen3"/>
        <w:tabs>
          <w:tab w:val="left" w:pos="567"/>
        </w:tabs>
        <w:spacing w:after="0" w:line="360" w:lineRule="auto"/>
        <w:ind w:left="0"/>
        <w:jc w:val="both"/>
        <w:rPr>
          <w:rFonts w:ascii="Arial" w:hAnsi="Arial" w:cs="Arial"/>
          <w:sz w:val="24"/>
          <w:szCs w:val="24"/>
          <w:lang w:val="cs-CZ"/>
        </w:rPr>
      </w:pPr>
      <w:r w:rsidRPr="00E04C25">
        <w:rPr>
          <w:rFonts w:ascii="Arial" w:hAnsi="Arial" w:cs="Arial"/>
          <w:sz w:val="24"/>
          <w:szCs w:val="24"/>
          <w:lang w:val="cs-CZ"/>
        </w:rPr>
        <w:tab/>
      </w:r>
      <w:r w:rsidR="00551778" w:rsidRPr="00E04C25">
        <w:rPr>
          <w:rFonts w:ascii="Arial" w:hAnsi="Arial" w:cs="Arial"/>
          <w:sz w:val="24"/>
          <w:szCs w:val="24"/>
          <w:lang w:val="cs-CZ"/>
        </w:rPr>
        <w:t xml:space="preserve">Počet uchazečů o zaměstnání </w:t>
      </w:r>
      <w:r w:rsidR="00551778" w:rsidRPr="00E04C25">
        <w:rPr>
          <w:rFonts w:ascii="Arial" w:hAnsi="Arial" w:cs="Arial"/>
          <w:b/>
          <w:sz w:val="24"/>
          <w:szCs w:val="24"/>
          <w:lang w:val="cs-CZ"/>
        </w:rPr>
        <w:t>mladších 20 let</w:t>
      </w:r>
      <w:r w:rsidR="00551778" w:rsidRPr="00E04C25">
        <w:rPr>
          <w:rFonts w:ascii="Arial" w:hAnsi="Arial" w:cs="Arial"/>
          <w:sz w:val="24"/>
          <w:szCs w:val="24"/>
          <w:lang w:val="cs-CZ"/>
        </w:rPr>
        <w:t xml:space="preserve"> </w:t>
      </w:r>
      <w:r w:rsidR="00551778" w:rsidRPr="00E04C25">
        <w:rPr>
          <w:rFonts w:ascii="Arial" w:hAnsi="Arial" w:cs="Arial"/>
          <w:b/>
          <w:sz w:val="24"/>
          <w:szCs w:val="24"/>
          <w:lang w:val="cs-CZ"/>
        </w:rPr>
        <w:t xml:space="preserve">se </w:t>
      </w:r>
      <w:r w:rsidR="00551778" w:rsidRPr="00E04C25">
        <w:rPr>
          <w:rFonts w:ascii="Arial" w:hAnsi="Arial" w:cs="Arial"/>
          <w:sz w:val="24"/>
          <w:szCs w:val="24"/>
          <w:lang w:val="cs-CZ"/>
        </w:rPr>
        <w:t xml:space="preserve">meziročně </w:t>
      </w:r>
      <w:r w:rsidR="00551778" w:rsidRPr="00E04C25">
        <w:rPr>
          <w:rFonts w:ascii="Arial" w:hAnsi="Arial" w:cs="Arial"/>
          <w:b/>
          <w:sz w:val="24"/>
          <w:szCs w:val="24"/>
          <w:lang w:val="cs-CZ"/>
        </w:rPr>
        <w:t>snížil</w:t>
      </w:r>
      <w:r w:rsidR="00551778" w:rsidRPr="00E04C25">
        <w:rPr>
          <w:rFonts w:ascii="Arial" w:hAnsi="Arial" w:cs="Arial"/>
          <w:sz w:val="24"/>
          <w:szCs w:val="24"/>
          <w:lang w:val="cs-CZ"/>
        </w:rPr>
        <w:t xml:space="preserve"> o 3,</w:t>
      </w:r>
      <w:r w:rsidR="00DB3E46" w:rsidRPr="00E04C25">
        <w:rPr>
          <w:rFonts w:ascii="Arial" w:hAnsi="Arial" w:cs="Arial"/>
          <w:sz w:val="24"/>
          <w:szCs w:val="24"/>
          <w:lang w:val="cs-CZ"/>
        </w:rPr>
        <w:t>2</w:t>
      </w:r>
      <w:r w:rsidR="00551778" w:rsidRPr="00E04C25">
        <w:rPr>
          <w:rFonts w:ascii="Arial" w:hAnsi="Arial" w:cs="Arial"/>
          <w:sz w:val="24"/>
          <w:szCs w:val="24"/>
          <w:lang w:val="cs-CZ"/>
        </w:rPr>
        <w:t xml:space="preserve"> tis. </w:t>
      </w:r>
      <w:r w:rsidR="00551778" w:rsidRPr="00E04C25">
        <w:rPr>
          <w:rFonts w:ascii="Arial" w:hAnsi="Arial" w:cs="Arial"/>
          <w:b/>
          <w:sz w:val="24"/>
          <w:szCs w:val="24"/>
          <w:lang w:val="cs-CZ"/>
        </w:rPr>
        <w:t>na</w:t>
      </w:r>
      <w:r w:rsidR="00551778" w:rsidRPr="00E04C25">
        <w:rPr>
          <w:rFonts w:ascii="Arial" w:hAnsi="Arial" w:cs="Arial"/>
          <w:sz w:val="24"/>
          <w:szCs w:val="24"/>
          <w:lang w:val="cs-CZ"/>
        </w:rPr>
        <w:t xml:space="preserve"> </w:t>
      </w:r>
      <w:r w:rsidR="00551778" w:rsidRPr="00E04C25">
        <w:rPr>
          <w:rFonts w:ascii="Arial" w:hAnsi="Arial" w:cs="Arial"/>
          <w:b/>
          <w:sz w:val="24"/>
          <w:szCs w:val="24"/>
          <w:lang w:val="cs-CZ"/>
        </w:rPr>
        <w:t>9,3 tis.</w:t>
      </w:r>
      <w:r w:rsidR="00551778" w:rsidRPr="00E04C25">
        <w:rPr>
          <w:rFonts w:ascii="Arial" w:hAnsi="Arial" w:cs="Arial"/>
          <w:sz w:val="24"/>
          <w:szCs w:val="24"/>
          <w:lang w:val="cs-CZ"/>
        </w:rPr>
        <w:t xml:space="preserve"> (o 25,6 %), jejich </w:t>
      </w:r>
      <w:r w:rsidR="00551778" w:rsidRPr="00E04C25">
        <w:rPr>
          <w:rFonts w:ascii="Arial" w:hAnsi="Arial" w:cs="Arial"/>
          <w:b/>
          <w:sz w:val="24"/>
          <w:szCs w:val="24"/>
          <w:lang w:val="cs-CZ"/>
        </w:rPr>
        <w:t>podíl</w:t>
      </w:r>
      <w:r w:rsidR="00551778" w:rsidRPr="00E04C25">
        <w:rPr>
          <w:rFonts w:ascii="Arial" w:hAnsi="Arial" w:cs="Arial"/>
          <w:sz w:val="24"/>
          <w:szCs w:val="24"/>
          <w:lang w:val="cs-CZ"/>
        </w:rPr>
        <w:t xml:space="preserve"> na celkovém počtu nezaměstnaných evidovaných na ÚP ČR se </w:t>
      </w:r>
      <w:r w:rsidR="00551778" w:rsidRPr="00E04C25">
        <w:rPr>
          <w:rFonts w:ascii="Arial" w:hAnsi="Arial" w:cs="Arial"/>
          <w:b/>
          <w:sz w:val="24"/>
          <w:szCs w:val="24"/>
          <w:lang w:val="cs-CZ"/>
        </w:rPr>
        <w:t>nezměnil.</w:t>
      </w:r>
      <w:r w:rsidR="00551778" w:rsidRPr="00E04C25">
        <w:rPr>
          <w:rFonts w:ascii="Arial" w:hAnsi="Arial" w:cs="Arial"/>
          <w:sz w:val="24"/>
          <w:szCs w:val="24"/>
          <w:lang w:val="cs-CZ"/>
        </w:rPr>
        <w:t xml:space="preserve"> </w:t>
      </w:r>
      <w:r w:rsidR="00551778" w:rsidRPr="00E04C25">
        <w:rPr>
          <w:rFonts w:ascii="Arial" w:hAnsi="Arial" w:cs="Arial"/>
          <w:b/>
          <w:sz w:val="24"/>
          <w:szCs w:val="24"/>
          <w:lang w:val="cs-CZ"/>
        </w:rPr>
        <w:t>Výrazněji poklesl</w:t>
      </w:r>
      <w:r w:rsidR="00551778" w:rsidRPr="00E04C25">
        <w:rPr>
          <w:rFonts w:ascii="Arial" w:hAnsi="Arial" w:cs="Arial"/>
          <w:sz w:val="24"/>
          <w:szCs w:val="24"/>
          <w:lang w:val="cs-CZ"/>
        </w:rPr>
        <w:t xml:space="preserve"> počet uchazečů o zaměstnání ve věku </w:t>
      </w:r>
      <w:r w:rsidR="00DB3E46" w:rsidRPr="00E04C25">
        <w:rPr>
          <w:rFonts w:ascii="Arial" w:hAnsi="Arial" w:cs="Arial"/>
          <w:sz w:val="24"/>
          <w:szCs w:val="24"/>
          <w:lang w:val="cs-CZ"/>
        </w:rPr>
        <w:t xml:space="preserve">     </w:t>
      </w:r>
      <w:r w:rsidR="00551778" w:rsidRPr="00E04C25">
        <w:rPr>
          <w:rFonts w:ascii="Arial" w:hAnsi="Arial" w:cs="Arial"/>
          <w:b/>
          <w:sz w:val="24"/>
          <w:szCs w:val="24"/>
          <w:lang w:val="cs-CZ"/>
        </w:rPr>
        <w:t xml:space="preserve">20-24 let, </w:t>
      </w:r>
      <w:r w:rsidR="00551778" w:rsidRPr="00E04C25">
        <w:rPr>
          <w:rFonts w:ascii="Arial" w:hAnsi="Arial" w:cs="Arial"/>
          <w:sz w:val="24"/>
          <w:szCs w:val="24"/>
          <w:lang w:val="cs-CZ"/>
        </w:rPr>
        <w:t>a to</w:t>
      </w:r>
      <w:r w:rsidR="00551778" w:rsidRPr="00E04C25">
        <w:rPr>
          <w:rFonts w:ascii="Arial" w:hAnsi="Arial" w:cs="Arial"/>
          <w:b/>
          <w:sz w:val="24"/>
          <w:szCs w:val="24"/>
          <w:lang w:val="cs-CZ"/>
        </w:rPr>
        <w:t xml:space="preserve"> </w:t>
      </w:r>
      <w:r w:rsidR="00551778" w:rsidRPr="00E04C25">
        <w:rPr>
          <w:rFonts w:ascii="Arial" w:hAnsi="Arial" w:cs="Arial"/>
          <w:sz w:val="24"/>
          <w:szCs w:val="24"/>
          <w:lang w:val="cs-CZ"/>
        </w:rPr>
        <w:t xml:space="preserve">o 12,4 tis., tj. o 36,0 %, ze všech pětiletých skupin relativně nejvíce. </w:t>
      </w:r>
      <w:r w:rsidR="00551778" w:rsidRPr="00E04C25">
        <w:rPr>
          <w:rFonts w:ascii="Arial" w:hAnsi="Arial" w:cs="Arial"/>
          <w:b/>
          <w:sz w:val="24"/>
          <w:szCs w:val="24"/>
          <w:lang w:val="cs-CZ"/>
        </w:rPr>
        <w:t xml:space="preserve">Podíl </w:t>
      </w:r>
      <w:r w:rsidR="00551778" w:rsidRPr="00E04C25">
        <w:rPr>
          <w:rFonts w:ascii="Arial" w:hAnsi="Arial" w:cs="Arial"/>
          <w:sz w:val="24"/>
          <w:szCs w:val="24"/>
          <w:lang w:val="cs-CZ"/>
        </w:rPr>
        <w:t xml:space="preserve">této kategorie na celkovém počtu uchazečů </w:t>
      </w:r>
      <w:r w:rsidR="00551778" w:rsidRPr="00E04C25">
        <w:rPr>
          <w:rFonts w:ascii="Arial" w:hAnsi="Arial" w:cs="Arial"/>
          <w:b/>
          <w:sz w:val="24"/>
          <w:szCs w:val="24"/>
          <w:lang w:val="cs-CZ"/>
        </w:rPr>
        <w:t xml:space="preserve">se </w:t>
      </w:r>
      <w:r w:rsidR="00551778" w:rsidRPr="00E04C25">
        <w:rPr>
          <w:rFonts w:ascii="Arial" w:hAnsi="Arial" w:cs="Arial"/>
          <w:sz w:val="24"/>
          <w:szCs w:val="24"/>
          <w:lang w:val="cs-CZ"/>
        </w:rPr>
        <w:t>tak</w:t>
      </w:r>
      <w:r w:rsidR="00551778" w:rsidRPr="00E04C25">
        <w:rPr>
          <w:rFonts w:ascii="Arial" w:hAnsi="Arial" w:cs="Arial"/>
          <w:b/>
          <w:sz w:val="24"/>
          <w:szCs w:val="24"/>
          <w:lang w:val="cs-CZ"/>
        </w:rPr>
        <w:t xml:space="preserve"> snížil</w:t>
      </w:r>
      <w:r w:rsidR="00551778" w:rsidRPr="00E04C25">
        <w:rPr>
          <w:rFonts w:ascii="Arial" w:hAnsi="Arial" w:cs="Arial"/>
          <w:sz w:val="24"/>
          <w:szCs w:val="24"/>
          <w:lang w:val="cs-CZ"/>
        </w:rPr>
        <w:t xml:space="preserve"> </w:t>
      </w:r>
      <w:r w:rsidR="00DB3E46" w:rsidRPr="00E04C25">
        <w:rPr>
          <w:rFonts w:ascii="Arial" w:hAnsi="Arial" w:cs="Arial"/>
          <w:sz w:val="24"/>
          <w:szCs w:val="24"/>
          <w:lang w:val="cs-CZ"/>
        </w:rPr>
        <w:t xml:space="preserve">meziročně </w:t>
      </w:r>
      <w:r w:rsidR="00551778" w:rsidRPr="00E04C25">
        <w:rPr>
          <w:rFonts w:ascii="Arial" w:hAnsi="Arial" w:cs="Arial"/>
          <w:sz w:val="24"/>
          <w:szCs w:val="24"/>
          <w:lang w:val="cs-CZ"/>
        </w:rPr>
        <w:t xml:space="preserve">z 9,0 % </w:t>
      </w:r>
      <w:r w:rsidR="00551778" w:rsidRPr="00E04C25">
        <w:rPr>
          <w:rFonts w:ascii="Arial" w:hAnsi="Arial" w:cs="Arial"/>
          <w:b/>
          <w:sz w:val="24"/>
          <w:szCs w:val="24"/>
          <w:lang w:val="cs-CZ"/>
        </w:rPr>
        <w:t>na 7,8 %</w:t>
      </w:r>
      <w:r w:rsidR="00551778" w:rsidRPr="00E04C25">
        <w:rPr>
          <w:rFonts w:ascii="Arial" w:hAnsi="Arial" w:cs="Arial"/>
          <w:sz w:val="24"/>
          <w:szCs w:val="24"/>
          <w:lang w:val="cs-CZ"/>
        </w:rPr>
        <w:t>.</w:t>
      </w:r>
    </w:p>
    <w:p w:rsidR="00115440" w:rsidRPr="00E04C25" w:rsidRDefault="00551778" w:rsidP="00115440">
      <w:pPr>
        <w:pStyle w:val="Zkladntextodsazen3"/>
        <w:tabs>
          <w:tab w:val="left" w:pos="567"/>
        </w:tabs>
        <w:spacing w:after="0" w:line="360" w:lineRule="auto"/>
        <w:ind w:left="0"/>
        <w:jc w:val="both"/>
        <w:rPr>
          <w:rFonts w:ascii="Arial" w:hAnsi="Arial" w:cs="Arial"/>
          <w:b/>
          <w:sz w:val="24"/>
          <w:szCs w:val="24"/>
          <w:lang w:val="cs-CZ"/>
        </w:rPr>
      </w:pPr>
      <w:r w:rsidRPr="00E04C25">
        <w:rPr>
          <w:rFonts w:ascii="Arial" w:hAnsi="Arial" w:cs="Arial"/>
          <w:sz w:val="24"/>
          <w:szCs w:val="24"/>
          <w:lang w:val="cs-CZ"/>
        </w:rPr>
        <w:tab/>
      </w:r>
      <w:r w:rsidR="00115440" w:rsidRPr="00E04C25">
        <w:rPr>
          <w:rFonts w:ascii="Arial" w:hAnsi="Arial" w:cs="Arial"/>
          <w:sz w:val="24"/>
          <w:szCs w:val="24"/>
          <w:lang w:val="cs-CZ"/>
        </w:rPr>
        <w:t xml:space="preserve">Celkově tak věková </w:t>
      </w:r>
      <w:r w:rsidRPr="00E04C25">
        <w:rPr>
          <w:rFonts w:ascii="Arial" w:hAnsi="Arial" w:cs="Arial"/>
          <w:sz w:val="24"/>
          <w:szCs w:val="24"/>
          <w:lang w:val="cs-CZ"/>
        </w:rPr>
        <w:t xml:space="preserve">skupina </w:t>
      </w:r>
      <w:r w:rsidR="00115440" w:rsidRPr="00E04C25">
        <w:rPr>
          <w:rFonts w:ascii="Arial" w:hAnsi="Arial" w:cs="Arial"/>
          <w:sz w:val="24"/>
          <w:szCs w:val="24"/>
          <w:lang w:val="cs-CZ"/>
        </w:rPr>
        <w:t xml:space="preserve">uchazečů o zaměstnání </w:t>
      </w:r>
      <w:r w:rsidR="00115440" w:rsidRPr="00E04C25">
        <w:rPr>
          <w:rFonts w:ascii="Arial" w:hAnsi="Arial" w:cs="Arial"/>
          <w:b/>
          <w:sz w:val="24"/>
          <w:szCs w:val="24"/>
          <w:lang w:val="cs-CZ"/>
        </w:rPr>
        <w:t>do 25 let</w:t>
      </w:r>
      <w:r w:rsidR="00115440" w:rsidRPr="00E04C25">
        <w:rPr>
          <w:rFonts w:ascii="Arial" w:hAnsi="Arial" w:cs="Arial"/>
          <w:sz w:val="24"/>
          <w:szCs w:val="24"/>
          <w:lang w:val="cs-CZ"/>
        </w:rPr>
        <w:t xml:space="preserve"> zaznamenala pokles </w:t>
      </w:r>
      <w:r w:rsidR="00115440" w:rsidRPr="00E04C25">
        <w:rPr>
          <w:rFonts w:ascii="Arial" w:hAnsi="Arial" w:cs="Arial"/>
          <w:b/>
          <w:sz w:val="24"/>
          <w:szCs w:val="24"/>
          <w:lang w:val="cs-CZ"/>
        </w:rPr>
        <w:t>o 1</w:t>
      </w:r>
      <w:r w:rsidRPr="00E04C25">
        <w:rPr>
          <w:rFonts w:ascii="Arial" w:hAnsi="Arial" w:cs="Arial"/>
          <w:b/>
          <w:sz w:val="24"/>
          <w:szCs w:val="24"/>
          <w:lang w:val="cs-CZ"/>
        </w:rPr>
        <w:t>5</w:t>
      </w:r>
      <w:r w:rsidR="00115440" w:rsidRPr="00E04C25">
        <w:rPr>
          <w:rFonts w:ascii="Arial" w:hAnsi="Arial" w:cs="Arial"/>
          <w:b/>
          <w:sz w:val="24"/>
          <w:szCs w:val="24"/>
          <w:lang w:val="cs-CZ"/>
        </w:rPr>
        <w:t>,</w:t>
      </w:r>
      <w:r w:rsidRPr="00E04C25">
        <w:rPr>
          <w:rFonts w:ascii="Arial" w:hAnsi="Arial" w:cs="Arial"/>
          <w:b/>
          <w:sz w:val="24"/>
          <w:szCs w:val="24"/>
          <w:lang w:val="cs-CZ"/>
        </w:rPr>
        <w:t>5</w:t>
      </w:r>
      <w:r w:rsidR="00115440" w:rsidRPr="00E04C25">
        <w:rPr>
          <w:rFonts w:ascii="Arial" w:hAnsi="Arial" w:cs="Arial"/>
          <w:b/>
          <w:sz w:val="24"/>
          <w:szCs w:val="24"/>
          <w:lang w:val="cs-CZ"/>
        </w:rPr>
        <w:t> tis.</w:t>
      </w:r>
      <w:r w:rsidRPr="00E04C25">
        <w:rPr>
          <w:rFonts w:ascii="Arial" w:hAnsi="Arial" w:cs="Arial"/>
          <w:sz w:val="24"/>
          <w:szCs w:val="24"/>
          <w:lang w:val="cs-CZ"/>
        </w:rPr>
        <w:t>, k 31. 12. 2017</w:t>
      </w:r>
      <w:r w:rsidR="00115440" w:rsidRPr="00E04C25">
        <w:rPr>
          <w:rFonts w:ascii="Arial" w:hAnsi="Arial" w:cs="Arial"/>
          <w:sz w:val="24"/>
          <w:szCs w:val="24"/>
          <w:lang w:val="cs-CZ"/>
        </w:rPr>
        <w:t xml:space="preserve"> jich bylo evidováno </w:t>
      </w:r>
      <w:r w:rsidRPr="00E04C25">
        <w:rPr>
          <w:rFonts w:ascii="Arial" w:hAnsi="Arial" w:cs="Arial"/>
          <w:b/>
          <w:sz w:val="24"/>
          <w:szCs w:val="24"/>
          <w:lang w:val="cs-CZ"/>
        </w:rPr>
        <w:t>31</w:t>
      </w:r>
      <w:r w:rsidR="00115440" w:rsidRPr="00E04C25">
        <w:rPr>
          <w:rFonts w:ascii="Arial" w:hAnsi="Arial" w:cs="Arial"/>
          <w:b/>
          <w:sz w:val="24"/>
          <w:szCs w:val="24"/>
          <w:lang w:val="cs-CZ"/>
        </w:rPr>
        <w:t>,</w:t>
      </w:r>
      <w:r w:rsidRPr="00E04C25">
        <w:rPr>
          <w:rFonts w:ascii="Arial" w:hAnsi="Arial" w:cs="Arial"/>
          <w:b/>
          <w:sz w:val="24"/>
          <w:szCs w:val="24"/>
          <w:lang w:val="cs-CZ"/>
        </w:rPr>
        <w:t>3</w:t>
      </w:r>
      <w:r w:rsidR="00115440" w:rsidRPr="00E04C25">
        <w:rPr>
          <w:rFonts w:ascii="Arial" w:hAnsi="Arial" w:cs="Arial"/>
          <w:b/>
          <w:sz w:val="24"/>
          <w:szCs w:val="24"/>
          <w:lang w:val="cs-CZ"/>
        </w:rPr>
        <w:t> tis</w:t>
      </w:r>
      <w:r w:rsidR="00115440" w:rsidRPr="00E04C25">
        <w:rPr>
          <w:rFonts w:ascii="Arial" w:hAnsi="Arial" w:cs="Arial"/>
          <w:sz w:val="24"/>
          <w:szCs w:val="24"/>
          <w:lang w:val="cs-CZ"/>
        </w:rPr>
        <w:t xml:space="preserve">. Její </w:t>
      </w:r>
      <w:r w:rsidR="00115440" w:rsidRPr="00E04C25">
        <w:rPr>
          <w:rFonts w:ascii="Arial" w:hAnsi="Arial" w:cs="Arial"/>
          <w:b/>
          <w:sz w:val="24"/>
          <w:szCs w:val="24"/>
          <w:lang w:val="cs-CZ"/>
        </w:rPr>
        <w:t xml:space="preserve">podíl </w:t>
      </w:r>
      <w:r w:rsidR="00115440" w:rsidRPr="00E04C25">
        <w:rPr>
          <w:rFonts w:ascii="Arial" w:hAnsi="Arial" w:cs="Arial"/>
          <w:sz w:val="24"/>
          <w:szCs w:val="24"/>
          <w:lang w:val="cs-CZ"/>
        </w:rPr>
        <w:t xml:space="preserve">na celkovém počtu nezaměstnaných </w:t>
      </w:r>
      <w:r w:rsidR="00115440" w:rsidRPr="00E04C25">
        <w:rPr>
          <w:rFonts w:ascii="Arial" w:hAnsi="Arial" w:cs="Arial"/>
          <w:b/>
          <w:sz w:val="24"/>
          <w:szCs w:val="24"/>
          <w:lang w:val="cs-CZ"/>
        </w:rPr>
        <w:t>1</w:t>
      </w:r>
      <w:r w:rsidRPr="00E04C25">
        <w:rPr>
          <w:rFonts w:ascii="Arial" w:hAnsi="Arial" w:cs="Arial"/>
          <w:b/>
          <w:sz w:val="24"/>
          <w:szCs w:val="24"/>
          <w:lang w:val="cs-CZ"/>
        </w:rPr>
        <w:t>1</w:t>
      </w:r>
      <w:r w:rsidR="00115440" w:rsidRPr="00E04C25">
        <w:rPr>
          <w:rFonts w:ascii="Arial" w:hAnsi="Arial" w:cs="Arial"/>
          <w:b/>
          <w:sz w:val="24"/>
          <w:szCs w:val="24"/>
          <w:lang w:val="cs-CZ"/>
        </w:rPr>
        <w:t>,</w:t>
      </w:r>
      <w:r w:rsidRPr="00E04C25">
        <w:rPr>
          <w:rFonts w:ascii="Arial" w:hAnsi="Arial" w:cs="Arial"/>
          <w:b/>
          <w:sz w:val="24"/>
          <w:szCs w:val="24"/>
          <w:lang w:val="cs-CZ"/>
        </w:rPr>
        <w:t>2</w:t>
      </w:r>
      <w:r w:rsidR="00115440" w:rsidRPr="00E04C25">
        <w:rPr>
          <w:rFonts w:ascii="Arial" w:hAnsi="Arial" w:cs="Arial"/>
          <w:b/>
          <w:sz w:val="24"/>
          <w:szCs w:val="24"/>
          <w:lang w:val="cs-CZ"/>
        </w:rPr>
        <w:t xml:space="preserve"> % </w:t>
      </w:r>
      <w:r w:rsidR="00115440" w:rsidRPr="00E04C25">
        <w:rPr>
          <w:rFonts w:ascii="Arial" w:hAnsi="Arial" w:cs="Arial"/>
          <w:sz w:val="24"/>
          <w:szCs w:val="24"/>
          <w:lang w:val="cs-CZ"/>
        </w:rPr>
        <w:t>byl ve srovnání s koncem roku 201</w:t>
      </w:r>
      <w:r w:rsidRPr="00E04C25">
        <w:rPr>
          <w:rFonts w:ascii="Arial" w:hAnsi="Arial" w:cs="Arial"/>
          <w:sz w:val="24"/>
          <w:szCs w:val="24"/>
          <w:lang w:val="cs-CZ"/>
        </w:rPr>
        <w:t>6</w:t>
      </w:r>
      <w:r w:rsidR="00115440" w:rsidRPr="00E04C25">
        <w:rPr>
          <w:rFonts w:ascii="Arial" w:hAnsi="Arial" w:cs="Arial"/>
          <w:b/>
          <w:sz w:val="24"/>
          <w:szCs w:val="24"/>
          <w:lang w:val="cs-CZ"/>
        </w:rPr>
        <w:t xml:space="preserve"> nižší o 1,1 p. b. </w:t>
      </w:r>
      <w:r w:rsidR="00115440" w:rsidRPr="00E04C25">
        <w:rPr>
          <w:rFonts w:ascii="Arial" w:hAnsi="Arial" w:cs="Arial"/>
          <w:sz w:val="24"/>
          <w:szCs w:val="24"/>
          <w:lang w:val="cs-CZ"/>
        </w:rPr>
        <w:t>Pokles této kategorie byl (kromě realizovaných programů určených pro mladé) ovlivněn i demografickým vývojem (počet obyvatel ve věku 15 – 24 let se podle měsíčních odhadů ČSÚ na základě bilance obyvatelstva, které MPSV používá pro výpočet PNO, mezi prosincem 201</w:t>
      </w:r>
      <w:r w:rsidRPr="00E04C25">
        <w:rPr>
          <w:rFonts w:ascii="Arial" w:hAnsi="Arial" w:cs="Arial"/>
          <w:sz w:val="24"/>
          <w:szCs w:val="24"/>
          <w:lang w:val="cs-CZ"/>
        </w:rPr>
        <w:t>6 a prosincem 2017</w:t>
      </w:r>
      <w:r w:rsidR="00115440" w:rsidRPr="00E04C25">
        <w:rPr>
          <w:rFonts w:ascii="Arial" w:hAnsi="Arial" w:cs="Arial"/>
          <w:sz w:val="24"/>
          <w:szCs w:val="24"/>
          <w:lang w:val="cs-CZ"/>
        </w:rPr>
        <w:t xml:space="preserve"> snížil o cca </w:t>
      </w:r>
      <w:r w:rsidRPr="00E04C25">
        <w:rPr>
          <w:rFonts w:ascii="Arial" w:hAnsi="Arial" w:cs="Arial"/>
          <w:sz w:val="24"/>
          <w:szCs w:val="24"/>
          <w:lang w:val="cs-CZ"/>
        </w:rPr>
        <w:t>2</w:t>
      </w:r>
      <w:r w:rsidR="00115440" w:rsidRPr="00E04C25">
        <w:rPr>
          <w:rFonts w:ascii="Arial" w:hAnsi="Arial" w:cs="Arial"/>
          <w:sz w:val="24"/>
          <w:szCs w:val="24"/>
          <w:lang w:val="cs-CZ"/>
        </w:rPr>
        <w:t>,</w:t>
      </w:r>
      <w:r w:rsidRPr="00E04C25">
        <w:rPr>
          <w:rFonts w:ascii="Arial" w:hAnsi="Arial" w:cs="Arial"/>
          <w:sz w:val="24"/>
          <w:szCs w:val="24"/>
          <w:lang w:val="cs-CZ"/>
        </w:rPr>
        <w:t>5</w:t>
      </w:r>
      <w:r w:rsidR="00115440" w:rsidRPr="00E04C25">
        <w:rPr>
          <w:rFonts w:ascii="Arial" w:hAnsi="Arial" w:cs="Arial"/>
          <w:sz w:val="24"/>
          <w:szCs w:val="24"/>
          <w:lang w:val="cs-CZ"/>
        </w:rPr>
        <w:t xml:space="preserve"> %).  </w:t>
      </w:r>
      <w:r w:rsidR="00115440" w:rsidRPr="00E04C25">
        <w:rPr>
          <w:rFonts w:ascii="Arial" w:hAnsi="Arial" w:cs="Arial"/>
          <w:b/>
          <w:sz w:val="24"/>
          <w:szCs w:val="24"/>
          <w:lang w:val="cs-CZ"/>
        </w:rPr>
        <w:tab/>
      </w:r>
    </w:p>
    <w:p w:rsidR="00CD67F7" w:rsidRPr="00E04C25" w:rsidRDefault="00CD67F7" w:rsidP="00CD67F7">
      <w:pPr>
        <w:spacing w:before="120" w:line="360" w:lineRule="auto"/>
        <w:ind w:firstLine="567"/>
        <w:jc w:val="both"/>
        <w:rPr>
          <w:rFonts w:ascii="Arial" w:hAnsi="Arial" w:cs="Arial"/>
          <w:bCs/>
          <w:szCs w:val="23"/>
        </w:rPr>
      </w:pPr>
      <w:r w:rsidRPr="00E04C25">
        <w:rPr>
          <w:rFonts w:ascii="Arial" w:hAnsi="Arial" w:cs="Arial"/>
          <w:bCs/>
          <w:szCs w:val="23"/>
        </w:rPr>
        <w:lastRenderedPageBreak/>
        <w:t xml:space="preserve">Změny ve věkové struktuře (pokles počtu a podílu mladých uchazečů o zaměstnání a nárůst podílu věkově starších) se odrazily v dalším </w:t>
      </w:r>
      <w:r w:rsidRPr="00E04C25">
        <w:rPr>
          <w:rFonts w:ascii="Arial" w:hAnsi="Arial" w:cs="Arial"/>
          <w:b/>
          <w:bCs/>
          <w:szCs w:val="23"/>
        </w:rPr>
        <w:t xml:space="preserve">zvýšení </w:t>
      </w:r>
      <w:r w:rsidRPr="00E04C25">
        <w:rPr>
          <w:rFonts w:ascii="Arial" w:hAnsi="Arial" w:cs="Arial"/>
          <w:b/>
          <w:szCs w:val="23"/>
        </w:rPr>
        <w:t>průměrného věku uchazečů</w:t>
      </w:r>
      <w:r w:rsidRPr="00E04C25">
        <w:rPr>
          <w:rFonts w:ascii="Arial" w:hAnsi="Arial" w:cs="Arial"/>
          <w:szCs w:val="23"/>
        </w:rPr>
        <w:t xml:space="preserve"> o zaměstnání ze 42,1 let k 31. 12. 2016 </w:t>
      </w:r>
      <w:r w:rsidRPr="00E04C25">
        <w:rPr>
          <w:rFonts w:ascii="Arial" w:hAnsi="Arial" w:cs="Arial"/>
          <w:b/>
          <w:szCs w:val="23"/>
        </w:rPr>
        <w:t>na 43,1 let</w:t>
      </w:r>
      <w:r w:rsidRPr="00E04C25">
        <w:rPr>
          <w:rFonts w:ascii="Arial" w:hAnsi="Arial" w:cs="Arial"/>
          <w:szCs w:val="23"/>
        </w:rPr>
        <w:t xml:space="preserve"> (u žen ze 41,7 na 42,6  a u </w:t>
      </w:r>
      <w:r w:rsidRPr="00E04C25">
        <w:rPr>
          <w:rFonts w:ascii="Arial" w:hAnsi="Arial" w:cs="Arial"/>
          <w:bCs/>
          <w:szCs w:val="23"/>
        </w:rPr>
        <w:t>mužů ze 42,6 na 43,5 let) na konci hodnoceného roku.</w:t>
      </w:r>
    </w:p>
    <w:p w:rsidR="00CD67F7" w:rsidRPr="00E04C25" w:rsidRDefault="00CD67F7" w:rsidP="00115440">
      <w:pPr>
        <w:pStyle w:val="Zkladntextodsazen3"/>
        <w:tabs>
          <w:tab w:val="left" w:pos="567"/>
        </w:tabs>
        <w:spacing w:after="0" w:line="360" w:lineRule="auto"/>
        <w:ind w:left="0"/>
        <w:jc w:val="both"/>
        <w:rPr>
          <w:rFonts w:ascii="Arial" w:hAnsi="Arial" w:cs="Arial"/>
          <w:b/>
          <w:sz w:val="24"/>
          <w:szCs w:val="24"/>
          <w:lang w:val="cs-CZ"/>
        </w:rPr>
      </w:pPr>
    </w:p>
    <w:p w:rsidR="00115440" w:rsidRPr="00453874" w:rsidRDefault="00115440" w:rsidP="00115440">
      <w:pPr>
        <w:pStyle w:val="Zkladntextodsazen3"/>
        <w:tabs>
          <w:tab w:val="left" w:pos="567"/>
        </w:tabs>
        <w:spacing w:after="0"/>
        <w:ind w:left="0"/>
        <w:jc w:val="right"/>
        <w:rPr>
          <w:rFonts w:ascii="Arial" w:hAnsi="Arial" w:cs="Arial"/>
          <w:sz w:val="24"/>
          <w:szCs w:val="24"/>
        </w:rPr>
      </w:pPr>
      <w:r w:rsidRPr="00E04C25">
        <w:rPr>
          <w:rFonts w:ascii="Arial" w:hAnsi="Arial" w:cs="Arial"/>
          <w:sz w:val="20"/>
          <w:szCs w:val="20"/>
        </w:rPr>
        <w:t>graf č. 1</w:t>
      </w:r>
      <w:r w:rsidR="006D5548" w:rsidRPr="00E04C25">
        <w:rPr>
          <w:rFonts w:ascii="Arial" w:hAnsi="Arial" w:cs="Arial"/>
          <w:sz w:val="20"/>
          <w:szCs w:val="20"/>
          <w:lang w:val="cs-CZ"/>
        </w:rPr>
        <w:t>4</w:t>
      </w:r>
      <w:r w:rsidR="00E211EB" w:rsidRPr="00453874">
        <w:rPr>
          <w:noProof/>
          <w:lang w:val="cs-CZ" w:eastAsia="cs-CZ"/>
        </w:rPr>
        <w:drawing>
          <wp:inline distT="0" distB="0" distL="0" distR="0">
            <wp:extent cx="5760720" cy="3203122"/>
            <wp:effectExtent l="0" t="0" r="11430" b="16510"/>
            <wp:docPr id="53" name="Graf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15440" w:rsidRPr="00453874" w:rsidRDefault="00115440" w:rsidP="00115440">
      <w:pPr>
        <w:tabs>
          <w:tab w:val="left" w:pos="567"/>
        </w:tabs>
        <w:spacing w:line="360" w:lineRule="auto"/>
        <w:ind w:firstLine="567"/>
        <w:jc w:val="both"/>
        <w:rPr>
          <w:rFonts w:ascii="Arial" w:hAnsi="Arial" w:cs="Arial"/>
          <w:b/>
        </w:rPr>
      </w:pPr>
    </w:p>
    <w:p w:rsidR="00115440" w:rsidRPr="00E04C25" w:rsidRDefault="00115440" w:rsidP="00115440">
      <w:pPr>
        <w:spacing w:line="360" w:lineRule="auto"/>
        <w:ind w:firstLine="567"/>
        <w:jc w:val="both"/>
        <w:rPr>
          <w:rFonts w:ascii="Arial" w:hAnsi="Arial" w:cs="Arial"/>
        </w:rPr>
      </w:pPr>
      <w:r w:rsidRPr="00E04C25">
        <w:rPr>
          <w:rFonts w:ascii="Arial" w:hAnsi="Arial" w:cs="Arial"/>
          <w:b/>
        </w:rPr>
        <w:t>Specifický podíl nezaměstnaných osob (SPNO)</w:t>
      </w:r>
      <w:r w:rsidRPr="00E04C25">
        <w:rPr>
          <w:rStyle w:val="Znakapoznpodarou"/>
          <w:rFonts w:ascii="Arial" w:hAnsi="Arial" w:cs="Arial"/>
        </w:rPr>
        <w:footnoteReference w:id="8"/>
      </w:r>
      <w:r w:rsidRPr="00E04C25">
        <w:rPr>
          <w:rFonts w:ascii="Arial" w:hAnsi="Arial" w:cs="Arial"/>
          <w:b/>
        </w:rPr>
        <w:t xml:space="preserve"> </w:t>
      </w:r>
      <w:r w:rsidRPr="00E04C25">
        <w:rPr>
          <w:rFonts w:ascii="Arial" w:hAnsi="Arial" w:cs="Arial"/>
        </w:rPr>
        <w:t xml:space="preserve">věkové </w:t>
      </w:r>
      <w:r w:rsidR="00551778" w:rsidRPr="00E04C25">
        <w:rPr>
          <w:rFonts w:ascii="Arial" w:hAnsi="Arial" w:cs="Arial"/>
        </w:rPr>
        <w:t>skupiny</w:t>
      </w:r>
      <w:r w:rsidRPr="00E04C25">
        <w:rPr>
          <w:rFonts w:ascii="Arial" w:hAnsi="Arial" w:cs="Arial"/>
        </w:rPr>
        <w:t xml:space="preserve"> mladých </w:t>
      </w:r>
      <w:r w:rsidRPr="00E04C25">
        <w:rPr>
          <w:rFonts w:ascii="Arial" w:hAnsi="Arial" w:cs="Arial"/>
          <w:b/>
        </w:rPr>
        <w:t>do 25 let</w:t>
      </w:r>
      <w:r w:rsidRPr="00E04C25">
        <w:rPr>
          <w:rFonts w:ascii="Arial" w:hAnsi="Arial" w:cs="Arial"/>
        </w:rPr>
        <w:t xml:space="preserve"> dosáhl k 31. 12. 201</w:t>
      </w:r>
      <w:r w:rsidR="00551778" w:rsidRPr="00E04C25">
        <w:rPr>
          <w:rFonts w:ascii="Arial" w:hAnsi="Arial" w:cs="Arial"/>
        </w:rPr>
        <w:t>7</w:t>
      </w:r>
      <w:r w:rsidRPr="00E04C25">
        <w:rPr>
          <w:rFonts w:ascii="Arial" w:hAnsi="Arial" w:cs="Arial"/>
        </w:rPr>
        <w:t xml:space="preserve"> hodnoty </w:t>
      </w:r>
      <w:r w:rsidR="00551778" w:rsidRPr="00E04C25">
        <w:rPr>
          <w:rFonts w:ascii="Arial" w:hAnsi="Arial" w:cs="Arial"/>
          <w:b/>
        </w:rPr>
        <w:t>3</w:t>
      </w:r>
      <w:r w:rsidRPr="00E04C25">
        <w:rPr>
          <w:rFonts w:ascii="Arial" w:hAnsi="Arial" w:cs="Arial"/>
          <w:b/>
        </w:rPr>
        <w:t>,</w:t>
      </w:r>
      <w:r w:rsidR="00551778" w:rsidRPr="00E04C25">
        <w:rPr>
          <w:rFonts w:ascii="Arial" w:hAnsi="Arial" w:cs="Arial"/>
          <w:b/>
        </w:rPr>
        <w:t>1</w:t>
      </w:r>
      <w:r w:rsidRPr="00E04C25">
        <w:rPr>
          <w:rFonts w:ascii="Arial" w:hAnsi="Arial" w:cs="Arial"/>
          <w:b/>
        </w:rPr>
        <w:t xml:space="preserve"> % </w:t>
      </w:r>
      <w:r w:rsidRPr="00E04C25">
        <w:rPr>
          <w:rFonts w:ascii="Arial" w:hAnsi="Arial" w:cs="Arial"/>
        </w:rPr>
        <w:t xml:space="preserve">a </w:t>
      </w:r>
      <w:r w:rsidRPr="00E04C25">
        <w:rPr>
          <w:rFonts w:ascii="Arial" w:hAnsi="Arial" w:cs="Arial"/>
          <w:b/>
        </w:rPr>
        <w:t xml:space="preserve">meziročně poklesl </w:t>
      </w:r>
      <w:r w:rsidRPr="00E04C25">
        <w:rPr>
          <w:rFonts w:ascii="Arial" w:hAnsi="Arial" w:cs="Arial"/>
        </w:rPr>
        <w:t>o 1,</w:t>
      </w:r>
      <w:r w:rsidR="00551778" w:rsidRPr="00E04C25">
        <w:rPr>
          <w:rFonts w:ascii="Arial" w:hAnsi="Arial" w:cs="Arial"/>
        </w:rPr>
        <w:t>4</w:t>
      </w:r>
      <w:r w:rsidRPr="00E04C25">
        <w:rPr>
          <w:rFonts w:ascii="Arial" w:hAnsi="Arial" w:cs="Arial"/>
        </w:rPr>
        <w:t> p. b. (</w:t>
      </w:r>
      <w:r w:rsidR="00551778" w:rsidRPr="00E04C25">
        <w:rPr>
          <w:rFonts w:ascii="Arial" w:hAnsi="Arial" w:cs="Arial"/>
        </w:rPr>
        <w:t>stejně jako</w:t>
      </w:r>
      <w:r w:rsidRPr="00E04C25">
        <w:rPr>
          <w:rFonts w:ascii="Arial" w:hAnsi="Arial" w:cs="Arial"/>
        </w:rPr>
        <w:t xml:space="preserve"> </w:t>
      </w:r>
      <w:r w:rsidR="00551778" w:rsidRPr="00E04C25">
        <w:rPr>
          <w:rFonts w:ascii="Arial" w:hAnsi="Arial" w:cs="Arial"/>
        </w:rPr>
        <w:t xml:space="preserve">pokles </w:t>
      </w:r>
      <w:r w:rsidRPr="00E04C25">
        <w:rPr>
          <w:rFonts w:ascii="Arial" w:hAnsi="Arial" w:cs="Arial"/>
        </w:rPr>
        <w:t>celkov</w:t>
      </w:r>
      <w:r w:rsidR="00551778" w:rsidRPr="00E04C25">
        <w:rPr>
          <w:rFonts w:ascii="Arial" w:hAnsi="Arial" w:cs="Arial"/>
        </w:rPr>
        <w:t>ého</w:t>
      </w:r>
      <w:r w:rsidRPr="00E04C25">
        <w:rPr>
          <w:rFonts w:ascii="Arial" w:hAnsi="Arial" w:cs="Arial"/>
        </w:rPr>
        <w:t xml:space="preserve"> PNO</w:t>
      </w:r>
      <w:r w:rsidR="00551778" w:rsidRPr="00E04C25">
        <w:rPr>
          <w:rFonts w:ascii="Arial" w:hAnsi="Arial" w:cs="Arial"/>
        </w:rPr>
        <w:t>)</w:t>
      </w:r>
      <w:r w:rsidRPr="00E04C25">
        <w:rPr>
          <w:rFonts w:ascii="Arial" w:hAnsi="Arial" w:cs="Arial"/>
        </w:rPr>
        <w:t xml:space="preserve">, v kategorii </w:t>
      </w:r>
      <w:r w:rsidRPr="00E04C25">
        <w:rPr>
          <w:rFonts w:ascii="Arial" w:hAnsi="Arial" w:cs="Arial"/>
          <w:b/>
        </w:rPr>
        <w:t>55</w:t>
      </w:r>
      <w:r w:rsidR="00DB3E46" w:rsidRPr="00E04C25">
        <w:rPr>
          <w:rFonts w:ascii="Arial" w:hAnsi="Arial" w:cs="Arial"/>
          <w:b/>
        </w:rPr>
        <w:t>-</w:t>
      </w:r>
      <w:r w:rsidRPr="00E04C25">
        <w:rPr>
          <w:rFonts w:ascii="Arial" w:hAnsi="Arial" w:cs="Arial"/>
          <w:b/>
        </w:rPr>
        <w:t xml:space="preserve">64 let </w:t>
      </w:r>
      <w:r w:rsidRPr="00E04C25">
        <w:rPr>
          <w:rFonts w:ascii="Arial" w:hAnsi="Arial" w:cs="Arial"/>
        </w:rPr>
        <w:t xml:space="preserve">činil SPNO </w:t>
      </w:r>
      <w:r w:rsidR="00551778" w:rsidRPr="00E04C25">
        <w:rPr>
          <w:rFonts w:ascii="Arial" w:hAnsi="Arial" w:cs="Arial"/>
          <w:b/>
        </w:rPr>
        <w:t>4</w:t>
      </w:r>
      <w:r w:rsidRPr="00E04C25">
        <w:rPr>
          <w:rFonts w:ascii="Arial" w:hAnsi="Arial" w:cs="Arial"/>
          <w:b/>
        </w:rPr>
        <w:t>,</w:t>
      </w:r>
      <w:r w:rsidR="00551778" w:rsidRPr="00E04C25">
        <w:rPr>
          <w:rFonts w:ascii="Arial" w:hAnsi="Arial" w:cs="Arial"/>
          <w:b/>
        </w:rPr>
        <w:t>5</w:t>
      </w:r>
      <w:r w:rsidRPr="00E04C25">
        <w:rPr>
          <w:rFonts w:ascii="Arial" w:hAnsi="Arial" w:cs="Arial"/>
          <w:b/>
        </w:rPr>
        <w:t> %</w:t>
      </w:r>
      <w:r w:rsidRPr="00E04C25">
        <w:rPr>
          <w:rFonts w:ascii="Arial" w:hAnsi="Arial" w:cs="Arial"/>
        </w:rPr>
        <w:t xml:space="preserve"> a meziročně byl nižší o </w:t>
      </w:r>
      <w:r w:rsidR="00551778" w:rsidRPr="00E04C25">
        <w:rPr>
          <w:rFonts w:ascii="Arial" w:hAnsi="Arial" w:cs="Arial"/>
        </w:rPr>
        <w:t>1</w:t>
      </w:r>
      <w:r w:rsidRPr="00E04C25">
        <w:rPr>
          <w:rFonts w:ascii="Arial" w:hAnsi="Arial" w:cs="Arial"/>
        </w:rPr>
        <w:t>,</w:t>
      </w:r>
      <w:r w:rsidR="00551778" w:rsidRPr="00E04C25">
        <w:rPr>
          <w:rFonts w:ascii="Arial" w:hAnsi="Arial" w:cs="Arial"/>
        </w:rPr>
        <w:t>1</w:t>
      </w:r>
      <w:r w:rsidRPr="00E04C25">
        <w:rPr>
          <w:rFonts w:ascii="Arial" w:hAnsi="Arial" w:cs="Arial"/>
        </w:rPr>
        <w:t> p. b.</w:t>
      </w:r>
    </w:p>
    <w:p w:rsidR="00115440" w:rsidRPr="00E04C25" w:rsidRDefault="00115440" w:rsidP="00115440">
      <w:pPr>
        <w:tabs>
          <w:tab w:val="left" w:pos="567"/>
        </w:tabs>
        <w:spacing w:line="360" w:lineRule="auto"/>
        <w:ind w:firstLine="567"/>
        <w:jc w:val="both"/>
        <w:rPr>
          <w:rFonts w:ascii="Arial" w:hAnsi="Arial" w:cs="Arial"/>
        </w:rPr>
      </w:pPr>
      <w:r w:rsidRPr="00E04C25">
        <w:rPr>
          <w:rFonts w:ascii="Arial" w:hAnsi="Arial" w:cs="Arial"/>
          <w:b/>
        </w:rPr>
        <w:t>Nadprůměrnou hodnotu</w:t>
      </w:r>
      <w:r w:rsidRPr="00E04C25">
        <w:rPr>
          <w:rFonts w:ascii="Arial" w:hAnsi="Arial" w:cs="Arial"/>
        </w:rPr>
        <w:t xml:space="preserve"> tohoto ukazatele (více než </w:t>
      </w:r>
      <w:r w:rsidR="006D5548" w:rsidRPr="00E04C25">
        <w:rPr>
          <w:rFonts w:ascii="Arial" w:hAnsi="Arial" w:cs="Arial"/>
        </w:rPr>
        <w:t>3</w:t>
      </w:r>
      <w:r w:rsidRPr="00E04C25">
        <w:rPr>
          <w:rFonts w:ascii="Arial" w:hAnsi="Arial" w:cs="Arial"/>
        </w:rPr>
        <w:t>,</w:t>
      </w:r>
      <w:r w:rsidR="006D5548" w:rsidRPr="00E04C25">
        <w:rPr>
          <w:rFonts w:ascii="Arial" w:hAnsi="Arial" w:cs="Arial"/>
        </w:rPr>
        <w:t>8</w:t>
      </w:r>
      <w:r w:rsidRPr="00E04C25">
        <w:rPr>
          <w:rFonts w:ascii="Arial" w:hAnsi="Arial" w:cs="Arial"/>
        </w:rPr>
        <w:t xml:space="preserve"> %) vykázaly </w:t>
      </w:r>
      <w:r w:rsidR="006D5548" w:rsidRPr="00E04C25">
        <w:rPr>
          <w:rFonts w:ascii="Arial" w:hAnsi="Arial" w:cs="Arial"/>
        </w:rPr>
        <w:t>věkové skupiny</w:t>
      </w:r>
      <w:r w:rsidRPr="00E04C25">
        <w:rPr>
          <w:rFonts w:ascii="Arial" w:hAnsi="Arial" w:cs="Arial"/>
        </w:rPr>
        <w:t xml:space="preserve">, do nichž  spadají absolventi škol a lidé v předdůchodovém věku, a to </w:t>
      </w:r>
      <w:r w:rsidR="00DB3E46" w:rsidRPr="00E04C25">
        <w:rPr>
          <w:rFonts w:ascii="Arial" w:hAnsi="Arial" w:cs="Arial"/>
        </w:rPr>
        <w:t xml:space="preserve">       </w:t>
      </w:r>
      <w:r w:rsidRPr="00E04C25">
        <w:rPr>
          <w:rFonts w:ascii="Arial" w:hAnsi="Arial" w:cs="Arial"/>
          <w:b/>
        </w:rPr>
        <w:t>20</w:t>
      </w:r>
      <w:r w:rsidR="00DB3E46" w:rsidRPr="00E04C25">
        <w:rPr>
          <w:rFonts w:ascii="Arial" w:hAnsi="Arial" w:cs="Arial"/>
          <w:b/>
        </w:rPr>
        <w:t>-</w:t>
      </w:r>
      <w:r w:rsidRPr="00E04C25">
        <w:rPr>
          <w:rFonts w:ascii="Arial" w:hAnsi="Arial" w:cs="Arial"/>
          <w:b/>
        </w:rPr>
        <w:t>29 let a </w:t>
      </w:r>
      <w:r w:rsidR="006D5548" w:rsidRPr="00E04C25">
        <w:rPr>
          <w:rFonts w:ascii="Arial" w:hAnsi="Arial" w:cs="Arial"/>
          <w:b/>
        </w:rPr>
        <w:t>55</w:t>
      </w:r>
      <w:r w:rsidR="00DB3E46" w:rsidRPr="00E04C25">
        <w:rPr>
          <w:rFonts w:ascii="Arial" w:hAnsi="Arial" w:cs="Arial"/>
          <w:b/>
        </w:rPr>
        <w:t>-</w:t>
      </w:r>
      <w:r w:rsidRPr="00E04C25">
        <w:rPr>
          <w:rFonts w:ascii="Arial" w:hAnsi="Arial" w:cs="Arial"/>
          <w:b/>
        </w:rPr>
        <w:t>59 let</w:t>
      </w:r>
      <w:r w:rsidRPr="00E04C25">
        <w:rPr>
          <w:rFonts w:ascii="Arial" w:hAnsi="Arial" w:cs="Arial"/>
        </w:rPr>
        <w:t>.</w:t>
      </w:r>
    </w:p>
    <w:p w:rsidR="00115440" w:rsidRPr="00E04C25" w:rsidRDefault="00115440" w:rsidP="00115440">
      <w:pPr>
        <w:tabs>
          <w:tab w:val="left" w:pos="567"/>
        </w:tabs>
        <w:spacing w:line="360" w:lineRule="auto"/>
        <w:ind w:firstLine="567"/>
        <w:jc w:val="both"/>
        <w:rPr>
          <w:rFonts w:ascii="Arial" w:hAnsi="Arial" w:cs="Arial"/>
          <w:b/>
        </w:rPr>
      </w:pPr>
      <w:r w:rsidRPr="00E04C25">
        <w:rPr>
          <w:rFonts w:ascii="Arial" w:hAnsi="Arial" w:cs="Arial"/>
          <w:b/>
        </w:rPr>
        <w:t xml:space="preserve">SPNO podle jednotlivých věkových skupin na obyvatelstvu stejného věku </w:t>
      </w:r>
      <w:r w:rsidRPr="00E04C25">
        <w:rPr>
          <w:rFonts w:ascii="Arial" w:hAnsi="Arial" w:cs="Arial"/>
        </w:rPr>
        <w:t>jsou uvedeny v příloze č. 6</w:t>
      </w:r>
      <w:r w:rsidRPr="00E04C25">
        <w:rPr>
          <w:rFonts w:ascii="Arial" w:hAnsi="Arial" w:cs="Arial"/>
          <w:b/>
        </w:rPr>
        <w:t xml:space="preserve">. </w:t>
      </w:r>
    </w:p>
    <w:p w:rsidR="00115440" w:rsidRPr="00E04C25" w:rsidRDefault="00115440" w:rsidP="00115440">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567"/>
        <w:jc w:val="both"/>
        <w:rPr>
          <w:rFonts w:ascii="Arial" w:hAnsi="Arial" w:cs="Arial"/>
          <w:bCs/>
        </w:rPr>
      </w:pPr>
      <w:r w:rsidRPr="00E04C25">
        <w:rPr>
          <w:rFonts w:ascii="Arial" w:hAnsi="Arial" w:cs="Arial"/>
        </w:rPr>
        <w:t xml:space="preserve">Vývoj počtu uchazečů o zaměstnání v mladších věkových </w:t>
      </w:r>
      <w:r w:rsidR="006D5548" w:rsidRPr="00E04C25">
        <w:rPr>
          <w:rFonts w:ascii="Arial" w:hAnsi="Arial" w:cs="Arial"/>
        </w:rPr>
        <w:t>skupinách</w:t>
      </w:r>
      <w:r w:rsidRPr="00E04C25">
        <w:rPr>
          <w:rFonts w:ascii="Arial" w:hAnsi="Arial" w:cs="Arial"/>
        </w:rPr>
        <w:t xml:space="preserve"> ovlivňuje také vývoj počtu </w:t>
      </w:r>
      <w:r w:rsidRPr="00E04C25">
        <w:rPr>
          <w:rFonts w:ascii="Arial" w:hAnsi="Arial" w:cs="Arial"/>
          <w:b/>
        </w:rPr>
        <w:t>absolventů škol</w:t>
      </w:r>
      <w:r w:rsidRPr="00E04C25">
        <w:rPr>
          <w:rFonts w:ascii="Arial" w:hAnsi="Arial" w:cs="Arial"/>
        </w:rPr>
        <w:t xml:space="preserve"> všech stupňů vzdělání </w:t>
      </w:r>
      <w:r w:rsidRPr="00E04C25">
        <w:rPr>
          <w:rFonts w:ascii="Arial" w:hAnsi="Arial" w:cs="Arial"/>
          <w:b/>
        </w:rPr>
        <w:t>a</w:t>
      </w:r>
      <w:r w:rsidRPr="00E04C25">
        <w:rPr>
          <w:rFonts w:ascii="Arial" w:hAnsi="Arial" w:cs="Arial"/>
        </w:rPr>
        <w:t> </w:t>
      </w:r>
      <w:r w:rsidRPr="00E04C25">
        <w:rPr>
          <w:rFonts w:ascii="Arial" w:hAnsi="Arial" w:cs="Arial"/>
          <w:b/>
          <w:bCs/>
        </w:rPr>
        <w:t>mladistvých</w:t>
      </w:r>
      <w:r w:rsidRPr="00E04C25">
        <w:rPr>
          <w:rFonts w:ascii="Arial" w:hAnsi="Arial" w:cs="Arial"/>
        </w:rPr>
        <w:t xml:space="preserve"> po ukončení </w:t>
      </w:r>
      <w:r w:rsidRPr="00E04C25">
        <w:rPr>
          <w:rFonts w:ascii="Arial" w:hAnsi="Arial" w:cs="Arial"/>
        </w:rPr>
        <w:lastRenderedPageBreak/>
        <w:t>základní školy (dále „absolventi“). K </w:t>
      </w:r>
      <w:r w:rsidRPr="00E04C25">
        <w:rPr>
          <w:rFonts w:ascii="Arial" w:hAnsi="Arial" w:cs="Arial"/>
          <w:b/>
          <w:bCs/>
        </w:rPr>
        <w:t>31. 12. 201</w:t>
      </w:r>
      <w:r w:rsidR="006D5548" w:rsidRPr="00E04C25">
        <w:rPr>
          <w:rFonts w:ascii="Arial" w:hAnsi="Arial" w:cs="Arial"/>
          <w:b/>
          <w:bCs/>
        </w:rPr>
        <w:t>7</w:t>
      </w:r>
      <w:r w:rsidRPr="00E04C25">
        <w:rPr>
          <w:rFonts w:ascii="Arial" w:hAnsi="Arial" w:cs="Arial"/>
        </w:rPr>
        <w:t xml:space="preserve"> jich bylo evidováno </w:t>
      </w:r>
      <w:r w:rsidRPr="00E04C25">
        <w:rPr>
          <w:rFonts w:ascii="Arial" w:hAnsi="Arial" w:cs="Arial"/>
          <w:b/>
        </w:rPr>
        <w:t>1</w:t>
      </w:r>
      <w:r w:rsidR="006D5548" w:rsidRPr="00E04C25">
        <w:rPr>
          <w:rFonts w:ascii="Arial" w:hAnsi="Arial" w:cs="Arial"/>
          <w:b/>
        </w:rPr>
        <w:t>1</w:t>
      </w:r>
      <w:r w:rsidRPr="00E04C25">
        <w:rPr>
          <w:rFonts w:ascii="Arial" w:hAnsi="Arial" w:cs="Arial"/>
          <w:b/>
        </w:rPr>
        <w:t>,</w:t>
      </w:r>
      <w:r w:rsidR="006D5548" w:rsidRPr="00E04C25">
        <w:rPr>
          <w:rFonts w:ascii="Arial" w:hAnsi="Arial" w:cs="Arial"/>
          <w:b/>
        </w:rPr>
        <w:t>4</w:t>
      </w:r>
      <w:r w:rsidRPr="00E04C25">
        <w:rPr>
          <w:rFonts w:ascii="Arial" w:hAnsi="Arial" w:cs="Arial"/>
          <w:b/>
        </w:rPr>
        <w:t> </w:t>
      </w:r>
      <w:r w:rsidRPr="00E04C25">
        <w:rPr>
          <w:rFonts w:ascii="Arial" w:hAnsi="Arial" w:cs="Arial"/>
          <w:b/>
          <w:bCs/>
        </w:rPr>
        <w:t>tis.</w:t>
      </w:r>
      <w:r w:rsidRPr="00E04C25">
        <w:rPr>
          <w:rFonts w:ascii="Arial" w:hAnsi="Arial" w:cs="Arial"/>
        </w:rPr>
        <w:t xml:space="preserve">, což je </w:t>
      </w:r>
      <w:r w:rsidRPr="00E04C25">
        <w:rPr>
          <w:rFonts w:ascii="Arial" w:hAnsi="Arial" w:cs="Arial"/>
          <w:b/>
        </w:rPr>
        <w:t>o 5,</w:t>
      </w:r>
      <w:r w:rsidR="006D5548" w:rsidRPr="00E04C25">
        <w:rPr>
          <w:rFonts w:ascii="Arial" w:hAnsi="Arial" w:cs="Arial"/>
          <w:b/>
        </w:rPr>
        <w:t>6</w:t>
      </w:r>
      <w:r w:rsidRPr="00E04C25">
        <w:rPr>
          <w:rFonts w:ascii="Arial" w:hAnsi="Arial" w:cs="Arial"/>
          <w:b/>
        </w:rPr>
        <w:t> tis. méně</w:t>
      </w:r>
      <w:r w:rsidRPr="00E04C25">
        <w:rPr>
          <w:rFonts w:ascii="Arial" w:hAnsi="Arial" w:cs="Arial"/>
        </w:rPr>
        <w:t xml:space="preserve"> než před rokem.</w:t>
      </w:r>
      <w:r w:rsidRPr="00E04C25">
        <w:rPr>
          <w:rFonts w:ascii="Arial" w:hAnsi="Arial" w:cs="Arial"/>
          <w:bCs/>
        </w:rPr>
        <w:t xml:space="preserve"> </w:t>
      </w:r>
      <w:r w:rsidRPr="00E04C25">
        <w:rPr>
          <w:rFonts w:ascii="Arial" w:hAnsi="Arial" w:cs="Arial"/>
          <w:b/>
          <w:bCs/>
        </w:rPr>
        <w:t xml:space="preserve">Jejich podíl </w:t>
      </w:r>
      <w:r w:rsidRPr="00E04C25">
        <w:rPr>
          <w:rFonts w:ascii="Arial" w:hAnsi="Arial" w:cs="Arial"/>
        </w:rPr>
        <w:t xml:space="preserve">na celkovém počtu uchazečů o zaměstnání </w:t>
      </w:r>
      <w:r w:rsidRPr="00E04C25">
        <w:rPr>
          <w:rFonts w:ascii="Arial" w:hAnsi="Arial" w:cs="Arial"/>
          <w:b/>
        </w:rPr>
        <w:t>se</w:t>
      </w:r>
      <w:r w:rsidRPr="00E04C25">
        <w:rPr>
          <w:rFonts w:ascii="Arial" w:hAnsi="Arial" w:cs="Arial"/>
        </w:rPr>
        <w:t xml:space="preserve"> meziročně </w:t>
      </w:r>
      <w:r w:rsidRPr="00E04C25">
        <w:rPr>
          <w:rFonts w:ascii="Arial" w:hAnsi="Arial" w:cs="Arial"/>
          <w:b/>
        </w:rPr>
        <w:t>snížil</w:t>
      </w:r>
      <w:r w:rsidRPr="00E04C25">
        <w:rPr>
          <w:rFonts w:ascii="Arial" w:hAnsi="Arial" w:cs="Arial"/>
        </w:rPr>
        <w:t xml:space="preserve"> ze 4,</w:t>
      </w:r>
      <w:r w:rsidR="006D5548" w:rsidRPr="00E04C25">
        <w:rPr>
          <w:rFonts w:ascii="Arial" w:hAnsi="Arial" w:cs="Arial"/>
        </w:rPr>
        <w:t>5</w:t>
      </w:r>
      <w:r w:rsidRPr="00E04C25">
        <w:rPr>
          <w:rFonts w:ascii="Arial" w:hAnsi="Arial" w:cs="Arial"/>
        </w:rPr>
        <w:t xml:space="preserve"> % </w:t>
      </w:r>
      <w:r w:rsidRPr="00E04C25">
        <w:rPr>
          <w:rFonts w:ascii="Arial" w:hAnsi="Arial" w:cs="Arial"/>
          <w:b/>
        </w:rPr>
        <w:t>na 4,</w:t>
      </w:r>
      <w:r w:rsidR="006D5548" w:rsidRPr="00E04C25">
        <w:rPr>
          <w:rFonts w:ascii="Arial" w:hAnsi="Arial" w:cs="Arial"/>
          <w:b/>
        </w:rPr>
        <w:t>1</w:t>
      </w:r>
      <w:r w:rsidRPr="00E04C25">
        <w:rPr>
          <w:rFonts w:ascii="Arial" w:hAnsi="Arial" w:cs="Arial"/>
          <w:b/>
          <w:bCs/>
        </w:rPr>
        <w:t> %</w:t>
      </w:r>
      <w:r w:rsidRPr="00E04C25">
        <w:rPr>
          <w:rFonts w:ascii="Arial" w:hAnsi="Arial" w:cs="Arial"/>
          <w:bCs/>
        </w:rPr>
        <w:t xml:space="preserve">. </w:t>
      </w:r>
    </w:p>
    <w:p w:rsidR="00115440" w:rsidRPr="00E04C25" w:rsidRDefault="00115440" w:rsidP="006D5548">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left="2498" w:firstLine="902"/>
        <w:jc w:val="both"/>
        <w:rPr>
          <w:rFonts w:ascii="Arial" w:hAnsi="Arial" w:cs="Arial"/>
          <w:sz w:val="20"/>
          <w:szCs w:val="20"/>
        </w:rPr>
      </w:pPr>
      <w:r w:rsidRPr="00E04C25">
        <w:rPr>
          <w:rFonts w:ascii="Arial" w:hAnsi="Arial" w:cs="Arial"/>
          <w:sz w:val="20"/>
          <w:szCs w:val="20"/>
        </w:rPr>
        <w:t>graf č. 1</w:t>
      </w:r>
      <w:r w:rsidR="006D5548" w:rsidRPr="00E04C25">
        <w:rPr>
          <w:rFonts w:ascii="Arial" w:hAnsi="Arial" w:cs="Arial"/>
          <w:sz w:val="20"/>
          <w:szCs w:val="20"/>
        </w:rPr>
        <w:t>5</w:t>
      </w:r>
      <w:r w:rsidR="006D5548" w:rsidRPr="00E04C25">
        <w:rPr>
          <w:rFonts w:ascii="Arial" w:hAnsi="Arial" w:cs="Arial"/>
          <w:sz w:val="20"/>
          <w:szCs w:val="20"/>
        </w:rPr>
        <w:tab/>
      </w:r>
      <w:r w:rsidR="006D5548" w:rsidRPr="00E04C25">
        <w:rPr>
          <w:rFonts w:ascii="Arial" w:hAnsi="Arial" w:cs="Arial"/>
          <w:sz w:val="20"/>
          <w:szCs w:val="20"/>
        </w:rPr>
        <w:tab/>
      </w:r>
      <w:r w:rsidR="006D5548" w:rsidRPr="00E04C25">
        <w:rPr>
          <w:rFonts w:ascii="Arial" w:hAnsi="Arial" w:cs="Arial"/>
          <w:sz w:val="20"/>
          <w:szCs w:val="20"/>
        </w:rPr>
        <w:tab/>
      </w:r>
      <w:r w:rsidR="006D5548" w:rsidRPr="00E04C25">
        <w:rPr>
          <w:rFonts w:ascii="Arial" w:hAnsi="Arial" w:cs="Arial"/>
          <w:sz w:val="20"/>
          <w:szCs w:val="20"/>
        </w:rPr>
        <w:tab/>
      </w:r>
      <w:r w:rsidR="006D5548" w:rsidRPr="00E04C25">
        <w:rPr>
          <w:rFonts w:ascii="Arial" w:hAnsi="Arial" w:cs="Arial"/>
          <w:sz w:val="20"/>
          <w:szCs w:val="20"/>
        </w:rPr>
        <w:tab/>
      </w:r>
      <w:r w:rsidRPr="00E04C25">
        <w:rPr>
          <w:rFonts w:ascii="Arial" w:hAnsi="Arial" w:cs="Arial"/>
          <w:sz w:val="20"/>
          <w:szCs w:val="20"/>
        </w:rPr>
        <w:t>graf č. 1</w:t>
      </w:r>
      <w:r w:rsidR="006D5548" w:rsidRPr="00E04C25">
        <w:rPr>
          <w:rFonts w:ascii="Arial" w:hAnsi="Arial" w:cs="Arial"/>
          <w:sz w:val="20"/>
          <w:szCs w:val="20"/>
        </w:rPr>
        <w:t>6</w:t>
      </w:r>
    </w:p>
    <w:p w:rsidR="00115440" w:rsidRPr="00E04C25" w:rsidRDefault="00A42CAE" w:rsidP="00115440">
      <w:pPr>
        <w:pStyle w:val="Nadpis3"/>
        <w:tabs>
          <w:tab w:val="left" w:pos="720"/>
        </w:tabs>
        <w:spacing w:line="360" w:lineRule="auto"/>
        <w:ind w:firstLine="0"/>
        <w:jc w:val="left"/>
        <w:rPr>
          <w:noProof/>
        </w:rPr>
      </w:pPr>
      <w:r w:rsidRPr="00E04C25">
        <w:rPr>
          <w:noProof/>
        </w:rPr>
        <w:drawing>
          <wp:inline distT="0" distB="0" distL="0" distR="0">
            <wp:extent cx="2809875" cy="1981200"/>
            <wp:effectExtent l="0" t="0" r="9525" b="19050"/>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115440" w:rsidRPr="00E04C25">
        <w:rPr>
          <w:noProof/>
        </w:rPr>
        <w:t xml:space="preserve"> </w:t>
      </w:r>
      <w:r w:rsidRPr="00E04C25">
        <w:rPr>
          <w:noProof/>
        </w:rPr>
        <w:drawing>
          <wp:inline distT="0" distB="0" distL="0" distR="0">
            <wp:extent cx="2809875" cy="1990725"/>
            <wp:effectExtent l="0" t="0" r="9525" b="9525"/>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15440" w:rsidRPr="00E04C25" w:rsidRDefault="00115440" w:rsidP="00115440">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jc w:val="both"/>
        <w:rPr>
          <w:rFonts w:ascii="Arial" w:hAnsi="Arial" w:cs="Arial"/>
        </w:rPr>
      </w:pPr>
    </w:p>
    <w:p w:rsidR="00115440" w:rsidRPr="00E04C25" w:rsidRDefault="00115440" w:rsidP="00115440">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567"/>
        <w:jc w:val="both"/>
        <w:rPr>
          <w:rFonts w:ascii="Arial" w:hAnsi="Arial" w:cs="Arial"/>
        </w:rPr>
      </w:pPr>
      <w:r w:rsidRPr="00E04C25">
        <w:rPr>
          <w:rFonts w:ascii="Arial" w:hAnsi="Arial" w:cs="Arial"/>
          <w:bCs/>
        </w:rPr>
        <w:t xml:space="preserve">Nabídka nahlášených </w:t>
      </w:r>
      <w:r w:rsidRPr="00E04C25">
        <w:rPr>
          <w:rFonts w:ascii="Arial" w:hAnsi="Arial" w:cs="Arial"/>
          <w:b/>
          <w:bCs/>
        </w:rPr>
        <w:t xml:space="preserve">volných pracovních míst, </w:t>
      </w:r>
      <w:r w:rsidRPr="00E04C25">
        <w:rPr>
          <w:rFonts w:ascii="Arial" w:hAnsi="Arial" w:cs="Arial"/>
          <w:bCs/>
        </w:rPr>
        <w:t>na která jsou</w:t>
      </w:r>
      <w:r w:rsidRPr="00E04C25">
        <w:rPr>
          <w:rFonts w:ascii="Arial" w:hAnsi="Arial" w:cs="Arial"/>
          <w:b/>
          <w:bCs/>
        </w:rPr>
        <w:t xml:space="preserve"> </w:t>
      </w:r>
      <w:r w:rsidRPr="00E04C25">
        <w:rPr>
          <w:rFonts w:ascii="Arial" w:hAnsi="Arial" w:cs="Arial"/>
          <w:bCs/>
        </w:rPr>
        <w:t xml:space="preserve"> </w:t>
      </w:r>
      <w:r w:rsidRPr="00E04C25">
        <w:rPr>
          <w:rFonts w:ascii="Arial" w:hAnsi="Arial" w:cs="Arial"/>
        </w:rPr>
        <w:t>zaměstnavatelé ochotni přijmout nové pracovníky i z řad čerstvých absolventů škol</w:t>
      </w:r>
      <w:r w:rsidRPr="00E04C25">
        <w:rPr>
          <w:rFonts w:ascii="Arial" w:hAnsi="Arial" w:cs="Arial"/>
          <w:bCs/>
        </w:rPr>
        <w:t xml:space="preserve">, </w:t>
      </w:r>
      <w:r w:rsidRPr="00E04C25">
        <w:rPr>
          <w:rFonts w:ascii="Arial" w:hAnsi="Arial" w:cs="Arial"/>
        </w:rPr>
        <w:t>na konci prosince 201</w:t>
      </w:r>
      <w:r w:rsidR="00CD67F7" w:rsidRPr="00E04C25">
        <w:rPr>
          <w:rFonts w:ascii="Arial" w:hAnsi="Arial" w:cs="Arial"/>
        </w:rPr>
        <w:t>7</w:t>
      </w:r>
      <w:r w:rsidRPr="00E04C25">
        <w:rPr>
          <w:rFonts w:ascii="Arial" w:hAnsi="Arial" w:cs="Arial"/>
        </w:rPr>
        <w:t xml:space="preserve"> </w:t>
      </w:r>
      <w:r w:rsidRPr="00E04C25">
        <w:rPr>
          <w:rFonts w:ascii="Arial" w:hAnsi="Arial" w:cs="Arial"/>
          <w:b/>
        </w:rPr>
        <w:t>vzrostla</w:t>
      </w:r>
      <w:r w:rsidRPr="00E04C25">
        <w:rPr>
          <w:rFonts w:ascii="Arial" w:hAnsi="Arial" w:cs="Arial"/>
        </w:rPr>
        <w:t xml:space="preserve"> </w:t>
      </w:r>
      <w:r w:rsidRPr="00E04C25">
        <w:rPr>
          <w:rFonts w:ascii="Arial" w:hAnsi="Arial" w:cs="Arial"/>
          <w:b/>
        </w:rPr>
        <w:t xml:space="preserve">na </w:t>
      </w:r>
      <w:r w:rsidR="00CD67F7" w:rsidRPr="00E04C25">
        <w:rPr>
          <w:rFonts w:ascii="Arial" w:hAnsi="Arial" w:cs="Arial"/>
          <w:b/>
        </w:rPr>
        <w:t>56</w:t>
      </w:r>
      <w:r w:rsidRPr="00E04C25">
        <w:rPr>
          <w:rFonts w:ascii="Arial" w:hAnsi="Arial" w:cs="Arial"/>
          <w:b/>
        </w:rPr>
        <w:t>,</w:t>
      </w:r>
      <w:r w:rsidR="00CD67F7" w:rsidRPr="00E04C25">
        <w:rPr>
          <w:rFonts w:ascii="Arial" w:hAnsi="Arial" w:cs="Arial"/>
          <w:b/>
        </w:rPr>
        <w:t>0</w:t>
      </w:r>
      <w:r w:rsidRPr="00E04C25">
        <w:rPr>
          <w:rFonts w:ascii="Arial" w:hAnsi="Arial" w:cs="Arial"/>
          <w:b/>
        </w:rPr>
        <w:t xml:space="preserve"> tis</w:t>
      </w:r>
      <w:r w:rsidRPr="00E04C25">
        <w:rPr>
          <w:rFonts w:ascii="Arial" w:hAnsi="Arial" w:cs="Arial"/>
        </w:rPr>
        <w:t>., zatímco na konci roku 201</w:t>
      </w:r>
      <w:r w:rsidR="00CD67F7" w:rsidRPr="00E04C25">
        <w:rPr>
          <w:rFonts w:ascii="Arial" w:hAnsi="Arial" w:cs="Arial"/>
        </w:rPr>
        <w:t>6</w:t>
      </w:r>
      <w:r w:rsidRPr="00E04C25">
        <w:rPr>
          <w:rFonts w:ascii="Arial" w:hAnsi="Arial" w:cs="Arial"/>
        </w:rPr>
        <w:t xml:space="preserve"> bylo takových míst evidováno </w:t>
      </w:r>
      <w:r w:rsidR="00CD67F7" w:rsidRPr="00E04C25">
        <w:rPr>
          <w:rFonts w:ascii="Arial" w:hAnsi="Arial" w:cs="Arial"/>
        </w:rPr>
        <w:t>38</w:t>
      </w:r>
      <w:r w:rsidRPr="00E04C25">
        <w:rPr>
          <w:rFonts w:ascii="Arial" w:hAnsi="Arial" w:cs="Arial"/>
        </w:rPr>
        <w:t>,</w:t>
      </w:r>
      <w:r w:rsidR="00CD67F7" w:rsidRPr="00E04C25">
        <w:rPr>
          <w:rFonts w:ascii="Arial" w:hAnsi="Arial" w:cs="Arial"/>
        </w:rPr>
        <w:t>6</w:t>
      </w:r>
      <w:r w:rsidRPr="00E04C25">
        <w:rPr>
          <w:rFonts w:ascii="Arial" w:hAnsi="Arial" w:cs="Arial"/>
        </w:rPr>
        <w:t xml:space="preserve"> tis.  </w:t>
      </w:r>
      <w:r w:rsidRPr="00E04C25">
        <w:rPr>
          <w:rFonts w:ascii="Arial" w:hAnsi="Arial" w:cs="Arial"/>
          <w:b/>
        </w:rPr>
        <w:t>Na jedno</w:t>
      </w:r>
      <w:r w:rsidR="00A7276C" w:rsidRPr="00E04C25">
        <w:rPr>
          <w:rFonts w:ascii="Arial" w:hAnsi="Arial" w:cs="Arial"/>
          <w:b/>
        </w:rPr>
        <w:t xml:space="preserve">ho </w:t>
      </w:r>
      <w:r w:rsidRPr="00E04C25">
        <w:rPr>
          <w:rFonts w:ascii="Arial" w:hAnsi="Arial" w:cs="Arial"/>
          <w:b/>
        </w:rPr>
        <w:t xml:space="preserve"> </w:t>
      </w:r>
      <w:r w:rsidR="00A7276C" w:rsidRPr="00E04C25">
        <w:rPr>
          <w:rFonts w:ascii="Arial" w:hAnsi="Arial" w:cs="Arial"/>
          <w:b/>
        </w:rPr>
        <w:t>absolventa</w:t>
      </w:r>
      <w:r w:rsidR="00A7276C" w:rsidRPr="00E04C25">
        <w:rPr>
          <w:rFonts w:ascii="Arial" w:hAnsi="Arial" w:cs="Arial"/>
        </w:rPr>
        <w:t xml:space="preserve"> připadalo </w:t>
      </w:r>
      <w:r w:rsidR="00A7276C" w:rsidRPr="00E04C25">
        <w:rPr>
          <w:rFonts w:ascii="Arial" w:hAnsi="Arial" w:cs="Arial"/>
          <w:b/>
        </w:rPr>
        <w:t xml:space="preserve">až 5 volných </w:t>
      </w:r>
      <w:r w:rsidRPr="00E04C25">
        <w:rPr>
          <w:rFonts w:ascii="Arial" w:hAnsi="Arial" w:cs="Arial"/>
          <w:b/>
        </w:rPr>
        <w:t>pracovní</w:t>
      </w:r>
      <w:r w:rsidR="00A7276C" w:rsidRPr="00E04C25">
        <w:rPr>
          <w:rFonts w:ascii="Arial" w:hAnsi="Arial" w:cs="Arial"/>
          <w:b/>
        </w:rPr>
        <w:t>ch</w:t>
      </w:r>
      <w:r w:rsidRPr="00E04C25">
        <w:rPr>
          <w:rFonts w:ascii="Arial" w:hAnsi="Arial" w:cs="Arial"/>
          <w:b/>
        </w:rPr>
        <w:t xml:space="preserve"> míst</w:t>
      </w:r>
      <w:r w:rsidRPr="00E04C25">
        <w:rPr>
          <w:rFonts w:ascii="Arial" w:hAnsi="Arial" w:cs="Arial"/>
        </w:rPr>
        <w:t xml:space="preserve"> vhodn</w:t>
      </w:r>
      <w:r w:rsidR="0007182A" w:rsidRPr="00E04C25">
        <w:rPr>
          <w:rFonts w:ascii="Arial" w:hAnsi="Arial" w:cs="Arial"/>
        </w:rPr>
        <w:t>ých</w:t>
      </w:r>
      <w:r w:rsidRPr="00E04C25">
        <w:rPr>
          <w:rFonts w:ascii="Arial" w:hAnsi="Arial" w:cs="Arial"/>
        </w:rPr>
        <w:t xml:space="preserve"> i pro </w:t>
      </w:r>
      <w:r w:rsidR="00A7276C" w:rsidRPr="00E04C25">
        <w:rPr>
          <w:rFonts w:ascii="Arial" w:hAnsi="Arial" w:cs="Arial"/>
        </w:rPr>
        <w:t>tuto kategorii UoZ</w:t>
      </w:r>
      <w:r w:rsidRPr="00E04C25">
        <w:rPr>
          <w:rFonts w:ascii="Arial" w:hAnsi="Arial" w:cs="Arial"/>
        </w:rPr>
        <w:t xml:space="preserve"> (na konci prosince 201</w:t>
      </w:r>
      <w:r w:rsidR="00A7276C" w:rsidRPr="00E04C25">
        <w:rPr>
          <w:rFonts w:ascii="Arial" w:hAnsi="Arial" w:cs="Arial"/>
        </w:rPr>
        <w:t>6</w:t>
      </w:r>
      <w:r w:rsidRPr="00E04C25">
        <w:rPr>
          <w:rFonts w:ascii="Arial" w:hAnsi="Arial" w:cs="Arial"/>
        </w:rPr>
        <w:t xml:space="preserve"> </w:t>
      </w:r>
      <w:r w:rsidR="00A7276C" w:rsidRPr="00E04C25">
        <w:rPr>
          <w:rFonts w:ascii="Arial" w:hAnsi="Arial" w:cs="Arial"/>
        </w:rPr>
        <w:t>to bylo polovina VPM)</w:t>
      </w:r>
      <w:r w:rsidR="00DA25C6" w:rsidRPr="00E04C25">
        <w:rPr>
          <w:rStyle w:val="Znakapoznpodarou"/>
          <w:rFonts w:ascii="Arial" w:hAnsi="Arial" w:cs="Arial"/>
        </w:rPr>
        <w:footnoteReference w:id="9"/>
      </w:r>
      <w:r w:rsidR="00DA25C6" w:rsidRPr="00E04C25">
        <w:rPr>
          <w:rFonts w:ascii="Arial" w:hAnsi="Arial" w:cs="Arial"/>
          <w:vertAlign w:val="superscript"/>
        </w:rPr>
        <w:t xml:space="preserve"> </w:t>
      </w:r>
      <w:r w:rsidR="00DA25C6" w:rsidRPr="00E04C25">
        <w:rPr>
          <w:rFonts w:ascii="Arial" w:hAnsi="Arial" w:cs="Arial"/>
        </w:rPr>
        <w:t>.</w:t>
      </w:r>
    </w:p>
    <w:p w:rsidR="00115440" w:rsidRPr="00E04C25" w:rsidRDefault="00115440" w:rsidP="00115440">
      <w:pPr>
        <w:ind w:firstLine="708"/>
        <w:jc w:val="both"/>
        <w:rPr>
          <w:rFonts w:ascii="Arial" w:hAnsi="Arial" w:cs="Arial"/>
          <w:bCs/>
          <w:sz w:val="16"/>
          <w:szCs w:val="16"/>
        </w:rPr>
      </w:pPr>
    </w:p>
    <w:p w:rsidR="00B5138C" w:rsidRPr="00E04C25" w:rsidRDefault="00B5138C" w:rsidP="00115440">
      <w:pPr>
        <w:ind w:firstLine="708"/>
        <w:jc w:val="both"/>
        <w:rPr>
          <w:rFonts w:ascii="Arial" w:hAnsi="Arial" w:cs="Arial"/>
          <w:bCs/>
          <w:sz w:val="16"/>
          <w:szCs w:val="16"/>
        </w:rPr>
      </w:pPr>
    </w:p>
    <w:p w:rsidR="00115440" w:rsidRPr="00E04C25" w:rsidRDefault="00115440" w:rsidP="00304119">
      <w:pPr>
        <w:pStyle w:val="Nadpis3"/>
        <w:numPr>
          <w:ilvl w:val="0"/>
          <w:numId w:val="17"/>
        </w:numPr>
        <w:tabs>
          <w:tab w:val="left" w:pos="720"/>
        </w:tabs>
        <w:spacing w:line="360" w:lineRule="auto"/>
        <w:jc w:val="left"/>
      </w:pPr>
      <w:r w:rsidRPr="00E04C25">
        <w:t>Struktura uchazečů o zaměstnání podle délky nezaměstnanosti</w:t>
      </w:r>
    </w:p>
    <w:p w:rsidR="00115440" w:rsidRPr="00E04C25" w:rsidRDefault="00115440" w:rsidP="00115440">
      <w:pPr>
        <w:rPr>
          <w:sz w:val="16"/>
          <w:szCs w:val="16"/>
        </w:rPr>
      </w:pPr>
    </w:p>
    <w:p w:rsidR="00115440" w:rsidRPr="00E04C25" w:rsidRDefault="00115440" w:rsidP="00115440">
      <w:pPr>
        <w:pStyle w:val="Zkladntextodsazen3"/>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360" w:lineRule="auto"/>
        <w:ind w:left="0" w:firstLine="567"/>
        <w:jc w:val="both"/>
        <w:rPr>
          <w:rFonts w:ascii="Arial" w:hAnsi="Arial" w:cs="Arial"/>
          <w:sz w:val="24"/>
          <w:szCs w:val="24"/>
          <w:lang w:val="cs-CZ"/>
        </w:rPr>
      </w:pPr>
      <w:r w:rsidRPr="00E04C25">
        <w:rPr>
          <w:rFonts w:ascii="Arial" w:hAnsi="Arial" w:cs="Arial"/>
          <w:b/>
          <w:sz w:val="24"/>
          <w:szCs w:val="24"/>
          <w:lang w:val="cs-CZ"/>
        </w:rPr>
        <w:t>Počet dlouhodobě nezaměstnaných</w:t>
      </w:r>
      <w:r w:rsidRPr="00E04C25">
        <w:rPr>
          <w:rFonts w:ascii="Arial" w:hAnsi="Arial" w:cs="Arial"/>
          <w:sz w:val="24"/>
          <w:szCs w:val="24"/>
          <w:lang w:val="cs-CZ"/>
        </w:rPr>
        <w:t xml:space="preserve"> uchazečů o zaměstnání (déle než 12</w:t>
      </w:r>
      <w:r w:rsidR="00453100">
        <w:rPr>
          <w:rFonts w:ascii="Arial" w:hAnsi="Arial" w:cs="Arial"/>
          <w:sz w:val="24"/>
          <w:szCs w:val="24"/>
          <w:lang w:val="cs-CZ"/>
        </w:rPr>
        <w:t> </w:t>
      </w:r>
      <w:r w:rsidRPr="00E04C25">
        <w:rPr>
          <w:rFonts w:ascii="Arial" w:hAnsi="Arial" w:cs="Arial"/>
          <w:sz w:val="24"/>
          <w:szCs w:val="24"/>
          <w:lang w:val="cs-CZ"/>
        </w:rPr>
        <w:t xml:space="preserve">měsíců) se meziročně </w:t>
      </w:r>
      <w:r w:rsidRPr="00E04C25">
        <w:rPr>
          <w:rFonts w:ascii="Arial" w:hAnsi="Arial" w:cs="Arial"/>
          <w:b/>
          <w:sz w:val="24"/>
          <w:szCs w:val="24"/>
          <w:lang w:val="cs-CZ"/>
        </w:rPr>
        <w:t>snížil</w:t>
      </w:r>
      <w:r w:rsidRPr="00E04C25">
        <w:rPr>
          <w:rFonts w:ascii="Arial" w:hAnsi="Arial" w:cs="Arial"/>
          <w:sz w:val="24"/>
          <w:szCs w:val="24"/>
          <w:lang w:val="cs-CZ"/>
        </w:rPr>
        <w:t xml:space="preserve"> </w:t>
      </w:r>
      <w:r w:rsidRPr="00E04C25">
        <w:rPr>
          <w:rFonts w:ascii="Arial" w:hAnsi="Arial" w:cs="Arial"/>
          <w:b/>
          <w:sz w:val="24"/>
          <w:szCs w:val="24"/>
          <w:lang w:val="cs-CZ"/>
        </w:rPr>
        <w:t xml:space="preserve">o </w:t>
      </w:r>
      <w:r w:rsidR="00766827" w:rsidRPr="00E04C25">
        <w:rPr>
          <w:rFonts w:ascii="Arial" w:hAnsi="Arial" w:cs="Arial"/>
          <w:b/>
          <w:sz w:val="24"/>
          <w:szCs w:val="24"/>
          <w:lang w:val="cs-CZ"/>
        </w:rPr>
        <w:t>49</w:t>
      </w:r>
      <w:r w:rsidRPr="00E04C25">
        <w:rPr>
          <w:rFonts w:ascii="Arial" w:hAnsi="Arial" w:cs="Arial"/>
          <w:b/>
          <w:sz w:val="24"/>
          <w:szCs w:val="24"/>
          <w:lang w:val="cs-CZ"/>
        </w:rPr>
        <w:t>,</w:t>
      </w:r>
      <w:r w:rsidR="00766827" w:rsidRPr="00E04C25">
        <w:rPr>
          <w:rFonts w:ascii="Arial" w:hAnsi="Arial" w:cs="Arial"/>
          <w:b/>
          <w:sz w:val="24"/>
          <w:szCs w:val="24"/>
          <w:lang w:val="cs-CZ"/>
        </w:rPr>
        <w:t>7</w:t>
      </w:r>
      <w:r w:rsidRPr="00E04C25">
        <w:rPr>
          <w:rFonts w:ascii="Arial" w:hAnsi="Arial" w:cs="Arial"/>
          <w:b/>
          <w:sz w:val="24"/>
          <w:szCs w:val="24"/>
          <w:lang w:val="cs-CZ"/>
        </w:rPr>
        <w:t> tis.</w:t>
      </w:r>
      <w:r w:rsidRPr="00E04C25">
        <w:rPr>
          <w:rFonts w:ascii="Arial" w:hAnsi="Arial" w:cs="Arial"/>
          <w:sz w:val="24"/>
          <w:szCs w:val="24"/>
          <w:lang w:val="cs-CZ"/>
        </w:rPr>
        <w:t xml:space="preserve"> (tj. o 3</w:t>
      </w:r>
      <w:r w:rsidR="00766827" w:rsidRPr="00E04C25">
        <w:rPr>
          <w:rFonts w:ascii="Arial" w:hAnsi="Arial" w:cs="Arial"/>
          <w:sz w:val="24"/>
          <w:szCs w:val="24"/>
          <w:lang w:val="cs-CZ"/>
        </w:rPr>
        <w:t>4</w:t>
      </w:r>
      <w:r w:rsidRPr="00E04C25">
        <w:rPr>
          <w:rFonts w:ascii="Arial" w:hAnsi="Arial" w:cs="Arial"/>
          <w:sz w:val="24"/>
          <w:szCs w:val="24"/>
          <w:lang w:val="cs-CZ"/>
        </w:rPr>
        <w:t>,</w:t>
      </w:r>
      <w:r w:rsidR="00766827" w:rsidRPr="00E04C25">
        <w:rPr>
          <w:rFonts w:ascii="Arial" w:hAnsi="Arial" w:cs="Arial"/>
          <w:sz w:val="24"/>
          <w:szCs w:val="24"/>
          <w:lang w:val="cs-CZ"/>
        </w:rPr>
        <w:t>5</w:t>
      </w:r>
      <w:r w:rsidRPr="00E04C25">
        <w:rPr>
          <w:rFonts w:ascii="Arial" w:hAnsi="Arial" w:cs="Arial"/>
          <w:sz w:val="24"/>
          <w:szCs w:val="24"/>
          <w:lang w:val="cs-CZ"/>
        </w:rPr>
        <w:t xml:space="preserve"> %) </w:t>
      </w:r>
      <w:r w:rsidRPr="00E04C25">
        <w:rPr>
          <w:rFonts w:ascii="Arial" w:hAnsi="Arial" w:cs="Arial"/>
          <w:b/>
          <w:sz w:val="24"/>
          <w:szCs w:val="24"/>
          <w:lang w:val="cs-CZ"/>
        </w:rPr>
        <w:t xml:space="preserve">na </w:t>
      </w:r>
      <w:r w:rsidR="00766827" w:rsidRPr="00E04C25">
        <w:rPr>
          <w:rFonts w:ascii="Arial" w:hAnsi="Arial" w:cs="Arial"/>
          <w:b/>
          <w:sz w:val="24"/>
          <w:szCs w:val="24"/>
          <w:lang w:val="cs-CZ"/>
        </w:rPr>
        <w:t>94</w:t>
      </w:r>
      <w:r w:rsidRPr="00E04C25">
        <w:rPr>
          <w:rFonts w:ascii="Arial" w:hAnsi="Arial" w:cs="Arial"/>
          <w:b/>
          <w:sz w:val="24"/>
          <w:szCs w:val="24"/>
          <w:lang w:val="cs-CZ"/>
        </w:rPr>
        <w:t>,</w:t>
      </w:r>
      <w:r w:rsidR="00766827" w:rsidRPr="00E04C25">
        <w:rPr>
          <w:rFonts w:ascii="Arial" w:hAnsi="Arial" w:cs="Arial"/>
          <w:b/>
          <w:sz w:val="24"/>
          <w:szCs w:val="24"/>
          <w:lang w:val="cs-CZ"/>
        </w:rPr>
        <w:t>5</w:t>
      </w:r>
      <w:r w:rsidRPr="00E04C25">
        <w:rPr>
          <w:rFonts w:ascii="Arial" w:hAnsi="Arial" w:cs="Arial"/>
          <w:b/>
          <w:sz w:val="24"/>
          <w:szCs w:val="24"/>
          <w:lang w:val="cs-CZ"/>
        </w:rPr>
        <w:t xml:space="preserve"> tis. </w:t>
      </w:r>
      <w:r w:rsidRPr="00E04C25">
        <w:rPr>
          <w:rFonts w:ascii="Arial" w:hAnsi="Arial" w:cs="Arial"/>
          <w:sz w:val="24"/>
          <w:szCs w:val="24"/>
          <w:lang w:val="cs-CZ"/>
        </w:rPr>
        <w:t>Díky rychlejšímu poklesu jejich počtu proti poklesu celkové nezaměstnanosti (</w:t>
      </w:r>
      <w:r w:rsidR="00766827" w:rsidRPr="00E04C25">
        <w:rPr>
          <w:rFonts w:ascii="Arial" w:hAnsi="Arial" w:cs="Arial"/>
          <w:sz w:val="24"/>
          <w:szCs w:val="24"/>
          <w:lang w:val="cs-CZ"/>
        </w:rPr>
        <w:t xml:space="preserve">pokles </w:t>
      </w:r>
      <w:r w:rsidRPr="00E04C25">
        <w:rPr>
          <w:rFonts w:ascii="Arial" w:hAnsi="Arial" w:cs="Arial"/>
          <w:sz w:val="24"/>
          <w:szCs w:val="24"/>
          <w:lang w:val="cs-CZ"/>
        </w:rPr>
        <w:t>o </w:t>
      </w:r>
      <w:r w:rsidR="00766827" w:rsidRPr="00E04C25">
        <w:rPr>
          <w:rFonts w:ascii="Arial" w:hAnsi="Arial" w:cs="Arial"/>
          <w:sz w:val="24"/>
          <w:szCs w:val="24"/>
          <w:lang w:val="cs-CZ"/>
        </w:rPr>
        <w:t>26</w:t>
      </w:r>
      <w:r w:rsidRPr="00E04C25">
        <w:rPr>
          <w:rFonts w:ascii="Arial" w:hAnsi="Arial" w:cs="Arial"/>
          <w:sz w:val="24"/>
          <w:szCs w:val="24"/>
          <w:lang w:val="cs-CZ"/>
        </w:rPr>
        <w:t>,</w:t>
      </w:r>
      <w:r w:rsidR="00766827" w:rsidRPr="00E04C25">
        <w:rPr>
          <w:rFonts w:ascii="Arial" w:hAnsi="Arial" w:cs="Arial"/>
          <w:sz w:val="24"/>
          <w:szCs w:val="24"/>
          <w:lang w:val="cs-CZ"/>
        </w:rPr>
        <w:t>4</w:t>
      </w:r>
      <w:r w:rsidRPr="00E04C25">
        <w:rPr>
          <w:rFonts w:ascii="Arial" w:hAnsi="Arial" w:cs="Arial"/>
          <w:sz w:val="24"/>
          <w:szCs w:val="24"/>
          <w:lang w:val="cs-CZ"/>
        </w:rPr>
        <w:t xml:space="preserve"> %) se jejich podíl </w:t>
      </w:r>
      <w:r w:rsidR="00766827" w:rsidRPr="00E04C25">
        <w:rPr>
          <w:rFonts w:ascii="Arial" w:hAnsi="Arial" w:cs="Arial"/>
          <w:sz w:val="24"/>
          <w:szCs w:val="24"/>
          <w:lang w:val="cs-CZ"/>
        </w:rPr>
        <w:t xml:space="preserve">na celkové nezaměstnanosti </w:t>
      </w:r>
      <w:r w:rsidRPr="00E04C25">
        <w:rPr>
          <w:rFonts w:ascii="Arial" w:hAnsi="Arial" w:cs="Arial"/>
          <w:sz w:val="24"/>
          <w:szCs w:val="24"/>
          <w:lang w:val="cs-CZ"/>
        </w:rPr>
        <w:t>snížil z </w:t>
      </w:r>
      <w:r w:rsidR="00766827" w:rsidRPr="00E04C25">
        <w:rPr>
          <w:rFonts w:ascii="Arial" w:hAnsi="Arial" w:cs="Arial"/>
          <w:sz w:val="24"/>
          <w:szCs w:val="24"/>
          <w:lang w:val="cs-CZ"/>
        </w:rPr>
        <w:t>37</w:t>
      </w:r>
      <w:r w:rsidRPr="00E04C25">
        <w:rPr>
          <w:rFonts w:ascii="Arial" w:hAnsi="Arial" w:cs="Arial"/>
          <w:sz w:val="24"/>
          <w:szCs w:val="24"/>
          <w:lang w:val="cs-CZ"/>
        </w:rPr>
        <w:t>,</w:t>
      </w:r>
      <w:r w:rsidR="00766827" w:rsidRPr="00E04C25">
        <w:rPr>
          <w:rFonts w:ascii="Arial" w:hAnsi="Arial" w:cs="Arial"/>
          <w:sz w:val="24"/>
          <w:szCs w:val="24"/>
          <w:lang w:val="cs-CZ"/>
        </w:rPr>
        <w:t>8</w:t>
      </w:r>
      <w:r w:rsidRPr="00E04C25">
        <w:rPr>
          <w:rFonts w:ascii="Arial" w:hAnsi="Arial" w:cs="Arial"/>
          <w:sz w:val="24"/>
          <w:szCs w:val="24"/>
          <w:lang w:val="cs-CZ"/>
        </w:rPr>
        <w:t xml:space="preserve"> % </w:t>
      </w:r>
      <w:r w:rsidRPr="00E04C25">
        <w:rPr>
          <w:rFonts w:ascii="Arial" w:hAnsi="Arial" w:cs="Arial"/>
          <w:b/>
          <w:sz w:val="24"/>
          <w:szCs w:val="24"/>
          <w:lang w:val="cs-CZ"/>
        </w:rPr>
        <w:t>na 3</w:t>
      </w:r>
      <w:r w:rsidR="00766827" w:rsidRPr="00E04C25">
        <w:rPr>
          <w:rFonts w:ascii="Arial" w:hAnsi="Arial" w:cs="Arial"/>
          <w:b/>
          <w:sz w:val="24"/>
          <w:szCs w:val="24"/>
          <w:lang w:val="cs-CZ"/>
        </w:rPr>
        <w:t>3</w:t>
      </w:r>
      <w:r w:rsidRPr="00E04C25">
        <w:rPr>
          <w:rFonts w:ascii="Arial" w:hAnsi="Arial" w:cs="Arial"/>
          <w:b/>
          <w:sz w:val="24"/>
          <w:szCs w:val="24"/>
          <w:lang w:val="cs-CZ"/>
        </w:rPr>
        <w:t>,</w:t>
      </w:r>
      <w:r w:rsidR="00766827" w:rsidRPr="00E04C25">
        <w:rPr>
          <w:rFonts w:ascii="Arial" w:hAnsi="Arial" w:cs="Arial"/>
          <w:b/>
          <w:sz w:val="24"/>
          <w:szCs w:val="24"/>
          <w:lang w:val="cs-CZ"/>
        </w:rPr>
        <w:t>7</w:t>
      </w:r>
      <w:r w:rsidRPr="00E04C25">
        <w:rPr>
          <w:rFonts w:ascii="Arial" w:hAnsi="Arial" w:cs="Arial"/>
          <w:b/>
          <w:sz w:val="24"/>
          <w:szCs w:val="24"/>
          <w:lang w:val="cs-CZ"/>
        </w:rPr>
        <w:t> %</w:t>
      </w:r>
      <w:r w:rsidRPr="00E04C25">
        <w:rPr>
          <w:rFonts w:ascii="Arial" w:hAnsi="Arial" w:cs="Arial"/>
          <w:sz w:val="24"/>
          <w:szCs w:val="24"/>
          <w:lang w:val="cs-CZ"/>
        </w:rPr>
        <w:t xml:space="preserve">. Na poklesu se podíleli jak </w:t>
      </w:r>
      <w:r w:rsidRPr="00E04C25">
        <w:rPr>
          <w:rFonts w:ascii="Arial" w:hAnsi="Arial" w:cs="Arial"/>
          <w:b/>
          <w:sz w:val="24"/>
          <w:szCs w:val="24"/>
          <w:lang w:val="cs-CZ"/>
        </w:rPr>
        <w:t xml:space="preserve">nezaměstnaní </w:t>
      </w:r>
      <w:r w:rsidRPr="00E04C25">
        <w:rPr>
          <w:rFonts w:ascii="Arial" w:hAnsi="Arial" w:cs="Arial"/>
          <w:sz w:val="24"/>
          <w:szCs w:val="24"/>
          <w:lang w:val="cs-CZ"/>
        </w:rPr>
        <w:t>v rozmezí</w:t>
      </w:r>
      <w:r w:rsidRPr="00E04C25">
        <w:rPr>
          <w:rFonts w:ascii="Arial" w:hAnsi="Arial" w:cs="Arial"/>
          <w:b/>
          <w:sz w:val="24"/>
          <w:szCs w:val="24"/>
          <w:lang w:val="cs-CZ"/>
        </w:rPr>
        <w:t xml:space="preserve"> 12</w:t>
      </w:r>
      <w:r w:rsidR="00766827" w:rsidRPr="00E04C25">
        <w:rPr>
          <w:rFonts w:ascii="Arial" w:hAnsi="Arial" w:cs="Arial"/>
          <w:b/>
          <w:sz w:val="24"/>
          <w:szCs w:val="24"/>
          <w:lang w:val="cs-CZ"/>
        </w:rPr>
        <w:t>-</w:t>
      </w:r>
      <w:r w:rsidRPr="00E04C25">
        <w:rPr>
          <w:rFonts w:ascii="Arial" w:hAnsi="Arial" w:cs="Arial"/>
          <w:b/>
          <w:sz w:val="24"/>
          <w:szCs w:val="24"/>
          <w:lang w:val="cs-CZ"/>
        </w:rPr>
        <w:t xml:space="preserve">24 měsíců </w:t>
      </w:r>
      <w:r w:rsidRPr="00E04C25">
        <w:rPr>
          <w:rFonts w:ascii="Arial" w:hAnsi="Arial" w:cs="Arial"/>
          <w:sz w:val="24"/>
          <w:szCs w:val="24"/>
          <w:lang w:val="cs-CZ"/>
        </w:rPr>
        <w:t>(pokles o 1</w:t>
      </w:r>
      <w:r w:rsidR="00766827" w:rsidRPr="00E04C25">
        <w:rPr>
          <w:rFonts w:ascii="Arial" w:hAnsi="Arial" w:cs="Arial"/>
          <w:sz w:val="24"/>
          <w:szCs w:val="24"/>
          <w:lang w:val="cs-CZ"/>
        </w:rPr>
        <w:t>6</w:t>
      </w:r>
      <w:r w:rsidRPr="00E04C25">
        <w:rPr>
          <w:rFonts w:ascii="Arial" w:hAnsi="Arial" w:cs="Arial"/>
          <w:sz w:val="24"/>
          <w:szCs w:val="24"/>
          <w:lang w:val="cs-CZ"/>
        </w:rPr>
        <w:t>,</w:t>
      </w:r>
      <w:r w:rsidR="00766827" w:rsidRPr="00E04C25">
        <w:rPr>
          <w:rFonts w:ascii="Arial" w:hAnsi="Arial" w:cs="Arial"/>
          <w:sz w:val="24"/>
          <w:szCs w:val="24"/>
          <w:lang w:val="cs-CZ"/>
        </w:rPr>
        <w:t>2</w:t>
      </w:r>
      <w:r w:rsidRPr="00E04C25">
        <w:rPr>
          <w:rFonts w:ascii="Arial" w:hAnsi="Arial" w:cs="Arial"/>
          <w:sz w:val="24"/>
          <w:szCs w:val="24"/>
          <w:lang w:val="cs-CZ"/>
        </w:rPr>
        <w:t xml:space="preserve"> tis. na </w:t>
      </w:r>
      <w:r w:rsidR="00766827" w:rsidRPr="00E04C25">
        <w:rPr>
          <w:rFonts w:ascii="Arial" w:hAnsi="Arial" w:cs="Arial"/>
          <w:sz w:val="24"/>
          <w:szCs w:val="24"/>
          <w:lang w:val="cs-CZ"/>
        </w:rPr>
        <w:t>29</w:t>
      </w:r>
      <w:r w:rsidRPr="00E04C25">
        <w:rPr>
          <w:rFonts w:ascii="Arial" w:hAnsi="Arial" w:cs="Arial"/>
          <w:sz w:val="24"/>
          <w:szCs w:val="24"/>
          <w:lang w:val="cs-CZ"/>
        </w:rPr>
        <w:t>,</w:t>
      </w:r>
      <w:r w:rsidR="00766827" w:rsidRPr="00E04C25">
        <w:rPr>
          <w:rFonts w:ascii="Arial" w:hAnsi="Arial" w:cs="Arial"/>
          <w:sz w:val="24"/>
          <w:szCs w:val="24"/>
          <w:lang w:val="cs-CZ"/>
        </w:rPr>
        <w:t>1</w:t>
      </w:r>
      <w:r w:rsidRPr="00E04C25">
        <w:rPr>
          <w:rFonts w:ascii="Arial" w:hAnsi="Arial" w:cs="Arial"/>
          <w:sz w:val="24"/>
          <w:szCs w:val="24"/>
          <w:lang w:val="cs-CZ"/>
        </w:rPr>
        <w:t xml:space="preserve"> tis.), </w:t>
      </w:r>
      <w:r w:rsidR="00442555" w:rsidRPr="00E04C25">
        <w:rPr>
          <w:rFonts w:ascii="Arial" w:hAnsi="Arial" w:cs="Arial"/>
          <w:sz w:val="24"/>
          <w:szCs w:val="24"/>
          <w:lang w:val="cs-CZ"/>
        </w:rPr>
        <w:t>tak</w:t>
      </w:r>
      <w:r w:rsidRPr="00E04C25">
        <w:rPr>
          <w:rFonts w:ascii="Arial" w:hAnsi="Arial" w:cs="Arial"/>
          <w:sz w:val="24"/>
          <w:szCs w:val="24"/>
          <w:lang w:val="cs-CZ"/>
        </w:rPr>
        <w:t xml:space="preserve"> především </w:t>
      </w:r>
      <w:r w:rsidRPr="00E04C25">
        <w:rPr>
          <w:rFonts w:ascii="Arial" w:hAnsi="Arial" w:cs="Arial"/>
          <w:b/>
          <w:sz w:val="24"/>
          <w:szCs w:val="24"/>
          <w:lang w:val="cs-CZ"/>
        </w:rPr>
        <w:t xml:space="preserve">nezaměstnaní 24 a více měsíců </w:t>
      </w:r>
      <w:r w:rsidRPr="00E04C25">
        <w:rPr>
          <w:rFonts w:ascii="Arial" w:hAnsi="Arial" w:cs="Arial"/>
          <w:sz w:val="24"/>
          <w:szCs w:val="24"/>
          <w:lang w:val="cs-CZ"/>
        </w:rPr>
        <w:t>(pokles o 3</w:t>
      </w:r>
      <w:r w:rsidR="00766827" w:rsidRPr="00E04C25">
        <w:rPr>
          <w:rFonts w:ascii="Arial" w:hAnsi="Arial" w:cs="Arial"/>
          <w:sz w:val="24"/>
          <w:szCs w:val="24"/>
          <w:lang w:val="cs-CZ"/>
        </w:rPr>
        <w:t>3</w:t>
      </w:r>
      <w:r w:rsidRPr="00E04C25">
        <w:rPr>
          <w:rFonts w:ascii="Arial" w:hAnsi="Arial" w:cs="Arial"/>
          <w:sz w:val="24"/>
          <w:szCs w:val="24"/>
          <w:lang w:val="cs-CZ"/>
        </w:rPr>
        <w:t>,</w:t>
      </w:r>
      <w:r w:rsidR="00766827" w:rsidRPr="00E04C25">
        <w:rPr>
          <w:rFonts w:ascii="Arial" w:hAnsi="Arial" w:cs="Arial"/>
          <w:sz w:val="24"/>
          <w:szCs w:val="24"/>
          <w:lang w:val="cs-CZ"/>
        </w:rPr>
        <w:t>5</w:t>
      </w:r>
      <w:r w:rsidRPr="00E04C25">
        <w:rPr>
          <w:rFonts w:ascii="Arial" w:hAnsi="Arial" w:cs="Arial"/>
          <w:sz w:val="24"/>
          <w:szCs w:val="24"/>
          <w:lang w:val="cs-CZ"/>
        </w:rPr>
        <w:t xml:space="preserve"> tis. na </w:t>
      </w:r>
      <w:r w:rsidR="00766827" w:rsidRPr="00E04C25">
        <w:rPr>
          <w:rFonts w:ascii="Arial" w:hAnsi="Arial" w:cs="Arial"/>
          <w:sz w:val="24"/>
          <w:szCs w:val="24"/>
          <w:lang w:val="cs-CZ"/>
        </w:rPr>
        <w:t>65</w:t>
      </w:r>
      <w:r w:rsidRPr="00E04C25">
        <w:rPr>
          <w:rFonts w:ascii="Arial" w:hAnsi="Arial" w:cs="Arial"/>
          <w:sz w:val="24"/>
          <w:szCs w:val="24"/>
          <w:lang w:val="cs-CZ"/>
        </w:rPr>
        <w:t>,</w:t>
      </w:r>
      <w:r w:rsidR="00766827" w:rsidRPr="00E04C25">
        <w:rPr>
          <w:rFonts w:ascii="Arial" w:hAnsi="Arial" w:cs="Arial"/>
          <w:sz w:val="24"/>
          <w:szCs w:val="24"/>
          <w:lang w:val="cs-CZ"/>
        </w:rPr>
        <w:t>4</w:t>
      </w:r>
      <w:r w:rsidRPr="00E04C25">
        <w:rPr>
          <w:rFonts w:ascii="Arial" w:hAnsi="Arial" w:cs="Arial"/>
          <w:sz w:val="24"/>
          <w:szCs w:val="24"/>
          <w:lang w:val="cs-CZ"/>
        </w:rPr>
        <w:t xml:space="preserve"> tis.), v relativním vyjádření představovalo snížení </w:t>
      </w:r>
      <w:r w:rsidR="00766827" w:rsidRPr="00E04C25">
        <w:rPr>
          <w:rFonts w:ascii="Arial" w:hAnsi="Arial" w:cs="Arial"/>
          <w:sz w:val="24"/>
          <w:szCs w:val="24"/>
          <w:lang w:val="cs-CZ"/>
        </w:rPr>
        <w:t>jejich počtu 3</w:t>
      </w:r>
      <w:r w:rsidRPr="00E04C25">
        <w:rPr>
          <w:rFonts w:ascii="Arial" w:hAnsi="Arial" w:cs="Arial"/>
          <w:sz w:val="24"/>
          <w:szCs w:val="24"/>
          <w:lang w:val="cs-CZ"/>
        </w:rPr>
        <w:t>3</w:t>
      </w:r>
      <w:r w:rsidR="00766827" w:rsidRPr="00E04C25">
        <w:rPr>
          <w:rFonts w:ascii="Arial" w:hAnsi="Arial" w:cs="Arial"/>
          <w:sz w:val="24"/>
          <w:szCs w:val="24"/>
          <w:lang w:val="cs-CZ"/>
        </w:rPr>
        <w:t>,9</w:t>
      </w:r>
      <w:r w:rsidRPr="00E04C25">
        <w:rPr>
          <w:rFonts w:ascii="Arial" w:hAnsi="Arial" w:cs="Arial"/>
          <w:sz w:val="24"/>
          <w:szCs w:val="24"/>
          <w:lang w:val="cs-CZ"/>
        </w:rPr>
        <w:t xml:space="preserve"> %. </w:t>
      </w:r>
    </w:p>
    <w:p w:rsidR="00766827" w:rsidRPr="00453874" w:rsidRDefault="00766827" w:rsidP="00766827">
      <w:pPr>
        <w:pStyle w:val="Zkladntextodsazen3"/>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360" w:lineRule="auto"/>
        <w:ind w:left="0" w:firstLine="567"/>
        <w:jc w:val="both"/>
        <w:rPr>
          <w:rFonts w:ascii="Arial" w:hAnsi="Arial" w:cs="Arial"/>
          <w:sz w:val="24"/>
          <w:szCs w:val="24"/>
          <w:lang w:val="cs-CZ"/>
        </w:rPr>
      </w:pPr>
      <w:r w:rsidRPr="00E04C25">
        <w:rPr>
          <w:rFonts w:ascii="Arial" w:hAnsi="Arial" w:cs="Arial"/>
          <w:sz w:val="24"/>
          <w:szCs w:val="24"/>
          <w:lang w:val="cs-CZ"/>
        </w:rPr>
        <w:t xml:space="preserve">Pokles počtu a podílu dlouhodobě nezaměstnaných jako celku byl zaznamenán již v roce 2015, ovšem </w:t>
      </w:r>
      <w:r w:rsidRPr="00E04C25">
        <w:rPr>
          <w:rFonts w:ascii="Arial" w:hAnsi="Arial" w:cs="Arial"/>
          <w:b/>
          <w:sz w:val="24"/>
          <w:szCs w:val="24"/>
          <w:lang w:val="cs-CZ"/>
        </w:rPr>
        <w:t>podíl</w:t>
      </w:r>
      <w:r w:rsidRPr="00E04C25">
        <w:rPr>
          <w:rFonts w:ascii="Arial" w:hAnsi="Arial" w:cs="Arial"/>
          <w:sz w:val="24"/>
          <w:szCs w:val="24"/>
          <w:lang w:val="cs-CZ"/>
        </w:rPr>
        <w:t xml:space="preserve"> uchazečů o zaměstnání </w:t>
      </w:r>
      <w:r w:rsidRPr="00E04C25">
        <w:rPr>
          <w:rFonts w:ascii="Arial" w:hAnsi="Arial" w:cs="Arial"/>
          <w:b/>
          <w:sz w:val="24"/>
          <w:szCs w:val="24"/>
          <w:lang w:val="cs-CZ"/>
        </w:rPr>
        <w:t>nezaměstnaných 24 a více měsíců</w:t>
      </w:r>
      <w:r w:rsidRPr="00E04C25">
        <w:rPr>
          <w:rFonts w:ascii="Arial" w:hAnsi="Arial" w:cs="Arial"/>
          <w:sz w:val="24"/>
          <w:szCs w:val="24"/>
          <w:lang w:val="cs-CZ"/>
        </w:rPr>
        <w:t xml:space="preserve"> </w:t>
      </w:r>
      <w:r w:rsidR="00DB3E46" w:rsidRPr="00E04C25">
        <w:rPr>
          <w:rFonts w:ascii="Arial" w:hAnsi="Arial" w:cs="Arial"/>
          <w:sz w:val="24"/>
          <w:szCs w:val="24"/>
          <w:lang w:val="cs-CZ"/>
        </w:rPr>
        <w:t>(</w:t>
      </w:r>
      <w:r w:rsidRPr="00E04C25">
        <w:rPr>
          <w:rFonts w:ascii="Arial" w:hAnsi="Arial" w:cs="Arial"/>
          <w:sz w:val="24"/>
          <w:szCs w:val="24"/>
          <w:lang w:val="cs-CZ"/>
        </w:rPr>
        <w:t>při poklesu jejich počtu</w:t>
      </w:r>
      <w:r w:rsidR="00DB3E46" w:rsidRPr="00E04C25">
        <w:rPr>
          <w:rFonts w:ascii="Arial" w:hAnsi="Arial" w:cs="Arial"/>
          <w:sz w:val="24"/>
          <w:szCs w:val="24"/>
          <w:lang w:val="cs-CZ"/>
        </w:rPr>
        <w:t>)</w:t>
      </w:r>
      <w:r w:rsidRPr="00E04C25">
        <w:rPr>
          <w:rFonts w:ascii="Arial" w:hAnsi="Arial" w:cs="Arial"/>
          <w:sz w:val="24"/>
          <w:szCs w:val="24"/>
          <w:lang w:val="cs-CZ"/>
        </w:rPr>
        <w:t xml:space="preserve"> zatím ještě rostl. Od roku 2016 ale </w:t>
      </w:r>
      <w:r w:rsidRPr="00E04C25">
        <w:rPr>
          <w:rFonts w:ascii="Arial" w:hAnsi="Arial" w:cs="Arial"/>
          <w:b/>
          <w:sz w:val="24"/>
          <w:szCs w:val="24"/>
          <w:lang w:val="cs-CZ"/>
        </w:rPr>
        <w:t>klesá</w:t>
      </w:r>
      <w:r w:rsidRPr="00E04C25">
        <w:rPr>
          <w:rFonts w:ascii="Arial" w:hAnsi="Arial" w:cs="Arial"/>
          <w:sz w:val="24"/>
          <w:szCs w:val="24"/>
          <w:lang w:val="cs-CZ"/>
        </w:rPr>
        <w:t xml:space="preserve"> meziročně </w:t>
      </w:r>
      <w:r w:rsidRPr="00453874">
        <w:rPr>
          <w:rFonts w:ascii="Arial" w:hAnsi="Arial" w:cs="Arial"/>
          <w:sz w:val="24"/>
          <w:szCs w:val="24"/>
          <w:lang w:val="cs-CZ"/>
        </w:rPr>
        <w:lastRenderedPageBreak/>
        <w:t xml:space="preserve">už i </w:t>
      </w:r>
      <w:r w:rsidRPr="00453874">
        <w:rPr>
          <w:rFonts w:ascii="Arial" w:hAnsi="Arial" w:cs="Arial"/>
          <w:b/>
          <w:sz w:val="24"/>
          <w:szCs w:val="24"/>
          <w:lang w:val="cs-CZ"/>
        </w:rPr>
        <w:t>podíl skupiny velmi dlouho nezaměstnaných.</w:t>
      </w:r>
      <w:r w:rsidRPr="00453874">
        <w:rPr>
          <w:rFonts w:ascii="Arial" w:hAnsi="Arial" w:cs="Arial"/>
          <w:sz w:val="24"/>
          <w:szCs w:val="24"/>
          <w:lang w:val="cs-CZ"/>
        </w:rPr>
        <w:t xml:space="preserve"> Nadále však </w:t>
      </w:r>
      <w:r w:rsidRPr="00453874">
        <w:rPr>
          <w:rFonts w:ascii="Arial" w:hAnsi="Arial" w:cs="Arial"/>
          <w:b/>
          <w:sz w:val="24"/>
          <w:szCs w:val="24"/>
          <w:lang w:val="cs-CZ"/>
        </w:rPr>
        <w:t xml:space="preserve">tvoří značnou část </w:t>
      </w:r>
      <w:r w:rsidRPr="00453874">
        <w:rPr>
          <w:rFonts w:ascii="Arial" w:hAnsi="Arial" w:cs="Arial"/>
          <w:sz w:val="24"/>
          <w:szCs w:val="24"/>
          <w:lang w:val="cs-CZ"/>
        </w:rPr>
        <w:t>dlouhodobě nezaměstnaných</w:t>
      </w:r>
      <w:r w:rsidRPr="00453874">
        <w:rPr>
          <w:rFonts w:ascii="Arial" w:hAnsi="Arial" w:cs="Arial"/>
          <w:b/>
          <w:sz w:val="24"/>
          <w:szCs w:val="24"/>
          <w:lang w:val="cs-CZ"/>
        </w:rPr>
        <w:t>,</w:t>
      </w:r>
      <w:r w:rsidRPr="00453874">
        <w:rPr>
          <w:rFonts w:ascii="Arial" w:hAnsi="Arial" w:cs="Arial"/>
          <w:sz w:val="24"/>
          <w:szCs w:val="24"/>
          <w:lang w:val="cs-CZ"/>
        </w:rPr>
        <w:t xml:space="preserve"> a to</w:t>
      </w:r>
      <w:r w:rsidRPr="00453874">
        <w:rPr>
          <w:rFonts w:ascii="Arial" w:hAnsi="Arial" w:cs="Arial"/>
          <w:b/>
          <w:sz w:val="24"/>
          <w:szCs w:val="24"/>
          <w:lang w:val="cs-CZ"/>
        </w:rPr>
        <w:t xml:space="preserve"> 61,8 % </w:t>
      </w:r>
      <w:r w:rsidRPr="00453874">
        <w:rPr>
          <w:rFonts w:ascii="Arial" w:hAnsi="Arial" w:cs="Arial"/>
          <w:sz w:val="24"/>
          <w:szCs w:val="24"/>
          <w:lang w:val="cs-CZ"/>
        </w:rPr>
        <w:t>(na konci roku 2016 to bylo 68,6 %).</w:t>
      </w:r>
    </w:p>
    <w:p w:rsidR="00115440" w:rsidRPr="00453874" w:rsidRDefault="00115440" w:rsidP="00115440">
      <w:pPr>
        <w:pStyle w:val="Zkladntextodsazen3"/>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ind w:left="0" w:firstLine="720"/>
        <w:jc w:val="both"/>
        <w:rPr>
          <w:rFonts w:ascii="Arial" w:hAnsi="Arial" w:cs="Arial"/>
        </w:rPr>
      </w:pPr>
    </w:p>
    <w:p w:rsidR="00115440" w:rsidRPr="00453874" w:rsidRDefault="00115440" w:rsidP="00115440">
      <w:pPr>
        <w:pStyle w:val="Titulek"/>
      </w:pPr>
      <w:r w:rsidRPr="00453874">
        <w:t>Struktura uchazečů o zaměstnání podle délky nezaměstnanosti</w:t>
      </w:r>
    </w:p>
    <w:tbl>
      <w:tblPr>
        <w:tblW w:w="7088" w:type="dxa"/>
        <w:jc w:val="center"/>
        <w:tblCellMar>
          <w:left w:w="70" w:type="dxa"/>
          <w:right w:w="70" w:type="dxa"/>
        </w:tblCellMar>
        <w:tblLook w:val="04A0"/>
      </w:tblPr>
      <w:tblGrid>
        <w:gridCol w:w="2061"/>
        <w:gridCol w:w="721"/>
        <w:gridCol w:w="858"/>
        <w:gridCol w:w="858"/>
        <w:gridCol w:w="858"/>
        <w:gridCol w:w="860"/>
        <w:gridCol w:w="872"/>
      </w:tblGrid>
      <w:tr w:rsidR="00767F7D" w:rsidRPr="00453874" w:rsidTr="00523B41">
        <w:trPr>
          <w:trHeight w:val="270"/>
          <w:jc w:val="center"/>
        </w:trPr>
        <w:tc>
          <w:tcPr>
            <w:tcW w:w="2061" w:type="dxa"/>
            <w:noWrap/>
            <w:vAlign w:val="bottom"/>
            <w:hideMark/>
          </w:tcPr>
          <w:p w:rsidR="00115440" w:rsidRPr="00453874" w:rsidRDefault="00115440" w:rsidP="00523B41">
            <w:pPr>
              <w:spacing w:after="200" w:line="276" w:lineRule="auto"/>
              <w:rPr>
                <w:rFonts w:ascii="Calibri" w:eastAsia="Calibri" w:hAnsi="Calibri"/>
                <w:sz w:val="22"/>
                <w:szCs w:val="22"/>
                <w:lang w:eastAsia="en-US"/>
              </w:rPr>
            </w:pPr>
          </w:p>
        </w:tc>
        <w:tc>
          <w:tcPr>
            <w:tcW w:w="721" w:type="dxa"/>
            <w:noWrap/>
            <w:vAlign w:val="bottom"/>
            <w:hideMark/>
          </w:tcPr>
          <w:p w:rsidR="00115440" w:rsidRPr="00453874" w:rsidRDefault="00115440" w:rsidP="00523B41">
            <w:pPr>
              <w:spacing w:after="200" w:line="276" w:lineRule="auto"/>
              <w:rPr>
                <w:rFonts w:ascii="Calibri" w:eastAsia="Calibri" w:hAnsi="Calibri"/>
                <w:sz w:val="22"/>
                <w:szCs w:val="22"/>
                <w:lang w:eastAsia="en-US"/>
              </w:rPr>
            </w:pPr>
          </w:p>
        </w:tc>
        <w:tc>
          <w:tcPr>
            <w:tcW w:w="858" w:type="dxa"/>
            <w:noWrap/>
            <w:vAlign w:val="bottom"/>
            <w:hideMark/>
          </w:tcPr>
          <w:p w:rsidR="00115440" w:rsidRPr="00453874" w:rsidRDefault="00115440" w:rsidP="00523B41">
            <w:pPr>
              <w:spacing w:after="200" w:line="276" w:lineRule="auto"/>
              <w:rPr>
                <w:rFonts w:ascii="Calibri" w:eastAsia="Calibri" w:hAnsi="Calibri"/>
                <w:sz w:val="22"/>
                <w:szCs w:val="22"/>
                <w:lang w:eastAsia="en-US"/>
              </w:rPr>
            </w:pPr>
          </w:p>
        </w:tc>
        <w:tc>
          <w:tcPr>
            <w:tcW w:w="858" w:type="dxa"/>
            <w:noWrap/>
            <w:vAlign w:val="bottom"/>
            <w:hideMark/>
          </w:tcPr>
          <w:p w:rsidR="00115440" w:rsidRPr="00453874" w:rsidRDefault="00115440" w:rsidP="00523B41">
            <w:pPr>
              <w:spacing w:after="200" w:line="276" w:lineRule="auto"/>
              <w:rPr>
                <w:rFonts w:ascii="Calibri" w:eastAsia="Calibri" w:hAnsi="Calibri"/>
                <w:sz w:val="22"/>
                <w:szCs w:val="22"/>
                <w:lang w:eastAsia="en-US"/>
              </w:rPr>
            </w:pPr>
          </w:p>
        </w:tc>
        <w:tc>
          <w:tcPr>
            <w:tcW w:w="858" w:type="dxa"/>
            <w:noWrap/>
            <w:vAlign w:val="bottom"/>
            <w:hideMark/>
          </w:tcPr>
          <w:p w:rsidR="00115440" w:rsidRPr="00453874" w:rsidRDefault="00115440" w:rsidP="00523B41">
            <w:pPr>
              <w:spacing w:after="200" w:line="276" w:lineRule="auto"/>
              <w:rPr>
                <w:rFonts w:ascii="Calibri" w:eastAsia="Calibri" w:hAnsi="Calibri"/>
                <w:sz w:val="22"/>
                <w:szCs w:val="22"/>
                <w:lang w:eastAsia="en-US"/>
              </w:rPr>
            </w:pPr>
          </w:p>
        </w:tc>
        <w:tc>
          <w:tcPr>
            <w:tcW w:w="1732" w:type="dxa"/>
            <w:gridSpan w:val="2"/>
            <w:tcBorders>
              <w:top w:val="nil"/>
              <w:left w:val="nil"/>
              <w:bottom w:val="double" w:sz="6" w:space="0" w:color="auto"/>
              <w:right w:val="nil"/>
            </w:tcBorders>
            <w:noWrap/>
            <w:vAlign w:val="bottom"/>
            <w:hideMark/>
          </w:tcPr>
          <w:p w:rsidR="00115440" w:rsidRPr="00453874" w:rsidRDefault="00115440" w:rsidP="00310BFB">
            <w:pPr>
              <w:spacing w:line="276" w:lineRule="auto"/>
              <w:jc w:val="right"/>
              <w:rPr>
                <w:rFonts w:ascii="Arial" w:hAnsi="Arial" w:cs="Arial"/>
                <w:sz w:val="20"/>
                <w:szCs w:val="20"/>
                <w:lang w:eastAsia="en-US"/>
              </w:rPr>
            </w:pPr>
            <w:r w:rsidRPr="00453874">
              <w:rPr>
                <w:rFonts w:ascii="Arial" w:hAnsi="Arial" w:cs="Arial"/>
                <w:sz w:val="20"/>
                <w:szCs w:val="20"/>
                <w:lang w:eastAsia="en-US"/>
              </w:rPr>
              <w:t xml:space="preserve">tab. č. </w:t>
            </w:r>
            <w:r w:rsidR="00310BFB" w:rsidRPr="00453874">
              <w:rPr>
                <w:rFonts w:ascii="Arial" w:hAnsi="Arial" w:cs="Arial"/>
                <w:sz w:val="20"/>
                <w:szCs w:val="20"/>
                <w:lang w:eastAsia="en-US"/>
              </w:rPr>
              <w:t>19</w:t>
            </w:r>
          </w:p>
        </w:tc>
      </w:tr>
      <w:tr w:rsidR="00767F7D" w:rsidRPr="00453874" w:rsidTr="00523B41">
        <w:trPr>
          <w:trHeight w:val="375"/>
          <w:jc w:val="center"/>
        </w:trPr>
        <w:tc>
          <w:tcPr>
            <w:tcW w:w="2061" w:type="dxa"/>
            <w:tcBorders>
              <w:top w:val="double" w:sz="6" w:space="0" w:color="auto"/>
              <w:left w:val="double" w:sz="6" w:space="0" w:color="auto"/>
              <w:bottom w:val="nil"/>
              <w:right w:val="single" w:sz="4" w:space="0" w:color="auto"/>
            </w:tcBorders>
            <w:noWrap/>
            <w:hideMark/>
          </w:tcPr>
          <w:p w:rsidR="00976F7F" w:rsidRPr="00453874" w:rsidRDefault="00976F7F" w:rsidP="00523B41">
            <w:pPr>
              <w:spacing w:line="276" w:lineRule="auto"/>
              <w:jc w:val="both"/>
              <w:rPr>
                <w:rFonts w:ascii="Arial" w:hAnsi="Arial" w:cs="Arial"/>
                <w:lang w:eastAsia="en-US"/>
              </w:rPr>
            </w:pPr>
            <w:r w:rsidRPr="00453874">
              <w:rPr>
                <w:rFonts w:ascii="Arial" w:hAnsi="Arial" w:cs="Arial"/>
                <w:lang w:eastAsia="en-US"/>
              </w:rPr>
              <w:t> </w:t>
            </w:r>
          </w:p>
        </w:tc>
        <w:tc>
          <w:tcPr>
            <w:tcW w:w="1579" w:type="dxa"/>
            <w:gridSpan w:val="2"/>
            <w:tcBorders>
              <w:top w:val="double" w:sz="6" w:space="0" w:color="auto"/>
              <w:left w:val="nil"/>
              <w:bottom w:val="single" w:sz="4" w:space="0" w:color="auto"/>
              <w:right w:val="nil"/>
            </w:tcBorders>
            <w:noWrap/>
            <w:vAlign w:val="center"/>
            <w:hideMark/>
          </w:tcPr>
          <w:p w:rsidR="00976F7F" w:rsidRPr="00453874" w:rsidRDefault="00976F7F" w:rsidP="00395F04">
            <w:pPr>
              <w:jc w:val="center"/>
              <w:rPr>
                <w:rFonts w:ascii="Arial" w:hAnsi="Arial" w:cs="Arial"/>
                <w:b/>
                <w:bCs/>
                <w:sz w:val="20"/>
                <w:szCs w:val="20"/>
              </w:rPr>
            </w:pPr>
            <w:r w:rsidRPr="00453874">
              <w:rPr>
                <w:rFonts w:ascii="Arial" w:hAnsi="Arial" w:cs="Arial"/>
                <w:b/>
                <w:bCs/>
                <w:sz w:val="20"/>
                <w:szCs w:val="20"/>
              </w:rPr>
              <w:t>k 31. 12. 2016</w:t>
            </w:r>
          </w:p>
        </w:tc>
        <w:tc>
          <w:tcPr>
            <w:tcW w:w="1716" w:type="dxa"/>
            <w:gridSpan w:val="2"/>
            <w:tcBorders>
              <w:top w:val="double" w:sz="6" w:space="0" w:color="auto"/>
              <w:left w:val="single" w:sz="4" w:space="0" w:color="auto"/>
              <w:bottom w:val="single" w:sz="4" w:space="0" w:color="auto"/>
              <w:right w:val="single" w:sz="4" w:space="0" w:color="000000"/>
            </w:tcBorders>
            <w:noWrap/>
            <w:vAlign w:val="center"/>
            <w:hideMark/>
          </w:tcPr>
          <w:p w:rsidR="00976F7F" w:rsidRPr="00453874" w:rsidRDefault="00976F7F" w:rsidP="00395F04">
            <w:pPr>
              <w:jc w:val="center"/>
              <w:rPr>
                <w:rFonts w:ascii="Arial" w:hAnsi="Arial" w:cs="Arial"/>
                <w:b/>
                <w:bCs/>
                <w:sz w:val="20"/>
                <w:szCs w:val="20"/>
              </w:rPr>
            </w:pPr>
            <w:r w:rsidRPr="00453874">
              <w:rPr>
                <w:rFonts w:ascii="Arial" w:hAnsi="Arial" w:cs="Arial"/>
                <w:b/>
                <w:bCs/>
                <w:sz w:val="20"/>
                <w:szCs w:val="20"/>
              </w:rPr>
              <w:t>k 31. 12. 2017</w:t>
            </w:r>
          </w:p>
        </w:tc>
        <w:tc>
          <w:tcPr>
            <w:tcW w:w="1732" w:type="dxa"/>
            <w:gridSpan w:val="2"/>
            <w:tcBorders>
              <w:top w:val="double" w:sz="6" w:space="0" w:color="auto"/>
              <w:left w:val="nil"/>
              <w:bottom w:val="single" w:sz="4" w:space="0" w:color="auto"/>
              <w:right w:val="double" w:sz="6" w:space="0" w:color="000000"/>
            </w:tcBorders>
            <w:noWrap/>
            <w:vAlign w:val="center"/>
            <w:hideMark/>
          </w:tcPr>
          <w:p w:rsidR="00976F7F" w:rsidRPr="00453874" w:rsidRDefault="00976F7F" w:rsidP="00523B41">
            <w:pPr>
              <w:spacing w:line="276" w:lineRule="auto"/>
              <w:jc w:val="center"/>
              <w:rPr>
                <w:rFonts w:ascii="Arial" w:hAnsi="Arial" w:cs="Arial"/>
                <w:b/>
                <w:bCs/>
                <w:sz w:val="20"/>
                <w:szCs w:val="20"/>
                <w:lang w:eastAsia="en-US"/>
              </w:rPr>
            </w:pPr>
            <w:r w:rsidRPr="00453874">
              <w:rPr>
                <w:rFonts w:ascii="Arial" w:hAnsi="Arial" w:cs="Arial"/>
                <w:b/>
                <w:bCs/>
                <w:sz w:val="20"/>
                <w:szCs w:val="20"/>
                <w:lang w:eastAsia="en-US"/>
              </w:rPr>
              <w:t>meziroční rozdíl</w:t>
            </w:r>
          </w:p>
        </w:tc>
      </w:tr>
      <w:tr w:rsidR="00767F7D" w:rsidRPr="00453874" w:rsidTr="00523B41">
        <w:trPr>
          <w:trHeight w:val="315"/>
          <w:jc w:val="center"/>
        </w:trPr>
        <w:tc>
          <w:tcPr>
            <w:tcW w:w="2061" w:type="dxa"/>
            <w:tcBorders>
              <w:top w:val="nil"/>
              <w:left w:val="double" w:sz="6" w:space="0" w:color="auto"/>
              <w:bottom w:val="single" w:sz="4" w:space="0" w:color="auto"/>
              <w:right w:val="single" w:sz="4" w:space="0" w:color="auto"/>
            </w:tcBorders>
            <w:noWrap/>
            <w:vAlign w:val="bottom"/>
            <w:hideMark/>
          </w:tcPr>
          <w:p w:rsidR="00115440" w:rsidRPr="00453874" w:rsidRDefault="00115440" w:rsidP="00523B41">
            <w:pPr>
              <w:spacing w:line="276" w:lineRule="auto"/>
              <w:rPr>
                <w:rFonts w:ascii="Arial" w:hAnsi="Arial" w:cs="Arial"/>
                <w:sz w:val="20"/>
                <w:szCs w:val="20"/>
                <w:lang w:eastAsia="en-US"/>
              </w:rPr>
            </w:pPr>
            <w:r w:rsidRPr="00453874">
              <w:rPr>
                <w:rFonts w:ascii="Arial" w:hAnsi="Arial" w:cs="Arial"/>
                <w:sz w:val="20"/>
                <w:szCs w:val="20"/>
                <w:lang w:eastAsia="en-US"/>
              </w:rPr>
              <w:t> </w:t>
            </w:r>
          </w:p>
        </w:tc>
        <w:tc>
          <w:tcPr>
            <w:tcW w:w="721" w:type="dxa"/>
            <w:tcBorders>
              <w:top w:val="nil"/>
              <w:left w:val="nil"/>
              <w:bottom w:val="single" w:sz="4" w:space="0" w:color="auto"/>
              <w:right w:val="single" w:sz="4" w:space="0" w:color="auto"/>
            </w:tcBorders>
            <w:vAlign w:val="bottom"/>
            <w:hideMark/>
          </w:tcPr>
          <w:p w:rsidR="00115440" w:rsidRPr="00453874" w:rsidRDefault="00115440" w:rsidP="00523B41">
            <w:pPr>
              <w:spacing w:line="276" w:lineRule="auto"/>
              <w:jc w:val="center"/>
              <w:rPr>
                <w:rFonts w:ascii="Arial" w:hAnsi="Arial" w:cs="Arial"/>
                <w:b/>
                <w:bCs/>
                <w:sz w:val="20"/>
                <w:szCs w:val="20"/>
                <w:lang w:eastAsia="en-US"/>
              </w:rPr>
            </w:pPr>
            <w:r w:rsidRPr="00453874">
              <w:rPr>
                <w:rFonts w:ascii="Arial" w:hAnsi="Arial" w:cs="Arial"/>
                <w:b/>
                <w:bCs/>
                <w:sz w:val="20"/>
                <w:szCs w:val="20"/>
                <w:lang w:eastAsia="en-US"/>
              </w:rPr>
              <w:t>v tis.</w:t>
            </w:r>
          </w:p>
        </w:tc>
        <w:tc>
          <w:tcPr>
            <w:tcW w:w="858" w:type="dxa"/>
            <w:tcBorders>
              <w:top w:val="nil"/>
              <w:left w:val="nil"/>
              <w:bottom w:val="single" w:sz="4" w:space="0" w:color="auto"/>
              <w:right w:val="nil"/>
            </w:tcBorders>
            <w:vAlign w:val="bottom"/>
            <w:hideMark/>
          </w:tcPr>
          <w:p w:rsidR="00115440" w:rsidRPr="00453874" w:rsidRDefault="00115440" w:rsidP="00523B41">
            <w:pPr>
              <w:spacing w:line="276" w:lineRule="auto"/>
              <w:jc w:val="center"/>
              <w:rPr>
                <w:rFonts w:ascii="Arial" w:hAnsi="Arial" w:cs="Arial"/>
                <w:b/>
                <w:bCs/>
                <w:sz w:val="20"/>
                <w:szCs w:val="20"/>
                <w:lang w:eastAsia="en-US"/>
              </w:rPr>
            </w:pPr>
            <w:r w:rsidRPr="00453874">
              <w:rPr>
                <w:rFonts w:ascii="Arial" w:hAnsi="Arial" w:cs="Arial"/>
                <w:b/>
                <w:bCs/>
                <w:sz w:val="20"/>
                <w:szCs w:val="20"/>
                <w:lang w:eastAsia="en-US"/>
              </w:rPr>
              <w:t>v %</w:t>
            </w:r>
          </w:p>
        </w:tc>
        <w:tc>
          <w:tcPr>
            <w:tcW w:w="858" w:type="dxa"/>
            <w:tcBorders>
              <w:top w:val="nil"/>
              <w:left w:val="single" w:sz="4" w:space="0" w:color="auto"/>
              <w:bottom w:val="single" w:sz="4" w:space="0" w:color="auto"/>
              <w:right w:val="single" w:sz="4" w:space="0" w:color="auto"/>
            </w:tcBorders>
            <w:vAlign w:val="bottom"/>
            <w:hideMark/>
          </w:tcPr>
          <w:p w:rsidR="00115440" w:rsidRPr="00453874" w:rsidRDefault="00115440" w:rsidP="00523B41">
            <w:pPr>
              <w:spacing w:line="276" w:lineRule="auto"/>
              <w:jc w:val="center"/>
              <w:rPr>
                <w:rFonts w:ascii="Arial" w:hAnsi="Arial" w:cs="Arial"/>
                <w:b/>
                <w:bCs/>
                <w:sz w:val="20"/>
                <w:szCs w:val="20"/>
                <w:lang w:eastAsia="en-US"/>
              </w:rPr>
            </w:pPr>
            <w:r w:rsidRPr="00453874">
              <w:rPr>
                <w:rFonts w:ascii="Arial" w:hAnsi="Arial" w:cs="Arial"/>
                <w:b/>
                <w:bCs/>
                <w:sz w:val="20"/>
                <w:szCs w:val="20"/>
                <w:lang w:eastAsia="en-US"/>
              </w:rPr>
              <w:t>v tis.</w:t>
            </w:r>
          </w:p>
        </w:tc>
        <w:tc>
          <w:tcPr>
            <w:tcW w:w="858" w:type="dxa"/>
            <w:tcBorders>
              <w:top w:val="nil"/>
              <w:left w:val="nil"/>
              <w:bottom w:val="single" w:sz="4" w:space="0" w:color="auto"/>
              <w:right w:val="single" w:sz="4" w:space="0" w:color="auto"/>
            </w:tcBorders>
            <w:vAlign w:val="bottom"/>
            <w:hideMark/>
          </w:tcPr>
          <w:p w:rsidR="00115440" w:rsidRPr="00453874" w:rsidRDefault="00115440" w:rsidP="00523B41">
            <w:pPr>
              <w:spacing w:line="276" w:lineRule="auto"/>
              <w:jc w:val="center"/>
              <w:rPr>
                <w:rFonts w:ascii="Arial" w:hAnsi="Arial" w:cs="Arial"/>
                <w:b/>
                <w:bCs/>
                <w:sz w:val="20"/>
                <w:szCs w:val="20"/>
                <w:lang w:eastAsia="en-US"/>
              </w:rPr>
            </w:pPr>
            <w:r w:rsidRPr="00453874">
              <w:rPr>
                <w:rFonts w:ascii="Arial" w:hAnsi="Arial" w:cs="Arial"/>
                <w:b/>
                <w:bCs/>
                <w:sz w:val="20"/>
                <w:szCs w:val="20"/>
                <w:lang w:eastAsia="en-US"/>
              </w:rPr>
              <w:t>v %</w:t>
            </w:r>
          </w:p>
        </w:tc>
        <w:tc>
          <w:tcPr>
            <w:tcW w:w="860" w:type="dxa"/>
            <w:tcBorders>
              <w:top w:val="nil"/>
              <w:left w:val="nil"/>
              <w:bottom w:val="single" w:sz="4" w:space="0" w:color="auto"/>
              <w:right w:val="single" w:sz="4" w:space="0" w:color="auto"/>
            </w:tcBorders>
            <w:vAlign w:val="bottom"/>
            <w:hideMark/>
          </w:tcPr>
          <w:p w:rsidR="00115440" w:rsidRPr="00453874" w:rsidRDefault="00115440" w:rsidP="00523B41">
            <w:pPr>
              <w:spacing w:line="276" w:lineRule="auto"/>
              <w:jc w:val="center"/>
              <w:rPr>
                <w:rFonts w:ascii="Arial" w:hAnsi="Arial" w:cs="Arial"/>
                <w:b/>
                <w:bCs/>
                <w:sz w:val="20"/>
                <w:szCs w:val="20"/>
                <w:lang w:eastAsia="en-US"/>
              </w:rPr>
            </w:pPr>
            <w:r w:rsidRPr="00453874">
              <w:rPr>
                <w:rFonts w:ascii="Arial" w:hAnsi="Arial" w:cs="Arial"/>
                <w:b/>
                <w:bCs/>
                <w:sz w:val="20"/>
                <w:szCs w:val="20"/>
                <w:lang w:eastAsia="en-US"/>
              </w:rPr>
              <w:t>v tis.</w:t>
            </w:r>
          </w:p>
        </w:tc>
        <w:tc>
          <w:tcPr>
            <w:tcW w:w="872" w:type="dxa"/>
            <w:tcBorders>
              <w:top w:val="nil"/>
              <w:left w:val="nil"/>
              <w:bottom w:val="single" w:sz="4" w:space="0" w:color="auto"/>
              <w:right w:val="double" w:sz="6" w:space="0" w:color="auto"/>
            </w:tcBorders>
            <w:vAlign w:val="bottom"/>
            <w:hideMark/>
          </w:tcPr>
          <w:p w:rsidR="00115440" w:rsidRPr="00453874" w:rsidRDefault="00115440" w:rsidP="00523B41">
            <w:pPr>
              <w:spacing w:line="276" w:lineRule="auto"/>
              <w:jc w:val="center"/>
              <w:rPr>
                <w:rFonts w:ascii="Arial" w:hAnsi="Arial" w:cs="Arial"/>
                <w:b/>
                <w:bCs/>
                <w:sz w:val="20"/>
                <w:szCs w:val="20"/>
                <w:lang w:eastAsia="en-US"/>
              </w:rPr>
            </w:pPr>
            <w:r w:rsidRPr="00453874">
              <w:rPr>
                <w:rFonts w:ascii="Arial" w:hAnsi="Arial" w:cs="Arial"/>
                <w:b/>
                <w:bCs/>
                <w:sz w:val="20"/>
                <w:szCs w:val="20"/>
                <w:lang w:eastAsia="en-US"/>
              </w:rPr>
              <w:t>v %</w:t>
            </w:r>
          </w:p>
        </w:tc>
      </w:tr>
      <w:tr w:rsidR="00767F7D" w:rsidRPr="00453874" w:rsidTr="00767F7D">
        <w:trPr>
          <w:trHeight w:val="255"/>
          <w:jc w:val="center"/>
        </w:trPr>
        <w:tc>
          <w:tcPr>
            <w:tcW w:w="2061" w:type="dxa"/>
            <w:tcBorders>
              <w:top w:val="nil"/>
              <w:left w:val="double" w:sz="6" w:space="0" w:color="auto"/>
              <w:bottom w:val="nil"/>
              <w:right w:val="single" w:sz="4" w:space="0" w:color="auto"/>
            </w:tcBorders>
            <w:noWrap/>
            <w:vAlign w:val="center"/>
            <w:hideMark/>
          </w:tcPr>
          <w:p w:rsidR="00767F7D" w:rsidRPr="00453874" w:rsidRDefault="00767F7D" w:rsidP="00523B41">
            <w:pPr>
              <w:spacing w:line="276" w:lineRule="auto"/>
              <w:rPr>
                <w:rFonts w:ascii="Arial" w:hAnsi="Arial" w:cs="Arial"/>
                <w:b/>
                <w:bCs/>
                <w:sz w:val="20"/>
                <w:szCs w:val="20"/>
                <w:lang w:eastAsia="en-US"/>
              </w:rPr>
            </w:pPr>
            <w:r w:rsidRPr="00453874">
              <w:rPr>
                <w:rFonts w:ascii="Arial" w:hAnsi="Arial" w:cs="Arial"/>
                <w:b/>
                <w:bCs/>
                <w:sz w:val="20"/>
                <w:szCs w:val="20"/>
                <w:lang w:eastAsia="en-US"/>
              </w:rPr>
              <w:t>Uchazeči celkem</w:t>
            </w:r>
          </w:p>
        </w:tc>
        <w:tc>
          <w:tcPr>
            <w:tcW w:w="721"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b/>
                <w:bCs/>
                <w:sz w:val="20"/>
                <w:szCs w:val="20"/>
              </w:rPr>
            </w:pPr>
            <w:r w:rsidRPr="00453874">
              <w:rPr>
                <w:rFonts w:ascii="Arial" w:hAnsi="Arial" w:cs="Arial"/>
                <w:b/>
                <w:bCs/>
                <w:sz w:val="20"/>
                <w:szCs w:val="20"/>
              </w:rPr>
              <w:t>381,4</w:t>
            </w:r>
          </w:p>
        </w:tc>
        <w:tc>
          <w:tcPr>
            <w:tcW w:w="858" w:type="dxa"/>
            <w:noWrap/>
            <w:vAlign w:val="center"/>
            <w:hideMark/>
          </w:tcPr>
          <w:p w:rsidR="00767F7D" w:rsidRPr="00453874" w:rsidRDefault="00767F7D">
            <w:pPr>
              <w:jc w:val="right"/>
              <w:rPr>
                <w:rFonts w:ascii="Arial" w:hAnsi="Arial" w:cs="Arial"/>
                <w:b/>
                <w:bCs/>
                <w:sz w:val="20"/>
                <w:szCs w:val="20"/>
              </w:rPr>
            </w:pPr>
            <w:r w:rsidRPr="00453874">
              <w:rPr>
                <w:rFonts w:ascii="Arial" w:hAnsi="Arial" w:cs="Arial"/>
                <w:b/>
                <w:bCs/>
                <w:sz w:val="20"/>
                <w:szCs w:val="20"/>
              </w:rPr>
              <w:t>100,0</w:t>
            </w:r>
          </w:p>
        </w:tc>
        <w:tc>
          <w:tcPr>
            <w:tcW w:w="858" w:type="dxa"/>
            <w:tcBorders>
              <w:top w:val="nil"/>
              <w:left w:val="single" w:sz="4" w:space="0" w:color="auto"/>
              <w:bottom w:val="nil"/>
              <w:right w:val="single" w:sz="4" w:space="0" w:color="auto"/>
            </w:tcBorders>
            <w:noWrap/>
            <w:vAlign w:val="center"/>
            <w:hideMark/>
          </w:tcPr>
          <w:p w:rsidR="00767F7D" w:rsidRPr="00453874" w:rsidRDefault="00767F7D">
            <w:pPr>
              <w:jc w:val="right"/>
              <w:rPr>
                <w:rFonts w:ascii="Arial" w:hAnsi="Arial" w:cs="Arial"/>
                <w:b/>
                <w:bCs/>
                <w:sz w:val="20"/>
                <w:szCs w:val="20"/>
              </w:rPr>
            </w:pPr>
            <w:r w:rsidRPr="00453874">
              <w:rPr>
                <w:rFonts w:ascii="Arial" w:hAnsi="Arial" w:cs="Arial"/>
                <w:b/>
                <w:bCs/>
                <w:sz w:val="20"/>
                <w:szCs w:val="20"/>
              </w:rPr>
              <w:t>280,6</w:t>
            </w:r>
          </w:p>
        </w:tc>
        <w:tc>
          <w:tcPr>
            <w:tcW w:w="858"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b/>
                <w:bCs/>
                <w:sz w:val="20"/>
                <w:szCs w:val="20"/>
              </w:rPr>
            </w:pPr>
            <w:r w:rsidRPr="00453874">
              <w:rPr>
                <w:rFonts w:ascii="Arial" w:hAnsi="Arial" w:cs="Arial"/>
                <w:b/>
                <w:bCs/>
                <w:sz w:val="20"/>
                <w:szCs w:val="20"/>
              </w:rPr>
              <w:t>100,0</w:t>
            </w:r>
          </w:p>
        </w:tc>
        <w:tc>
          <w:tcPr>
            <w:tcW w:w="860"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b/>
                <w:bCs/>
                <w:sz w:val="20"/>
                <w:szCs w:val="20"/>
              </w:rPr>
            </w:pPr>
            <w:r w:rsidRPr="00453874">
              <w:rPr>
                <w:rFonts w:ascii="Arial" w:hAnsi="Arial" w:cs="Arial"/>
                <w:b/>
                <w:bCs/>
                <w:sz w:val="20"/>
                <w:szCs w:val="20"/>
              </w:rPr>
              <w:t>-100,8</w:t>
            </w:r>
          </w:p>
        </w:tc>
        <w:tc>
          <w:tcPr>
            <w:tcW w:w="872" w:type="dxa"/>
            <w:tcBorders>
              <w:top w:val="nil"/>
              <w:left w:val="nil"/>
              <w:bottom w:val="nil"/>
              <w:right w:val="double" w:sz="6" w:space="0" w:color="auto"/>
            </w:tcBorders>
            <w:noWrap/>
            <w:vAlign w:val="center"/>
            <w:hideMark/>
          </w:tcPr>
          <w:p w:rsidR="00767F7D" w:rsidRPr="00453874" w:rsidRDefault="00767F7D">
            <w:pPr>
              <w:jc w:val="right"/>
              <w:rPr>
                <w:rFonts w:ascii="Arial" w:hAnsi="Arial" w:cs="Arial"/>
                <w:b/>
                <w:bCs/>
                <w:sz w:val="20"/>
                <w:szCs w:val="20"/>
              </w:rPr>
            </w:pPr>
            <w:r w:rsidRPr="00453874">
              <w:rPr>
                <w:rFonts w:ascii="Arial" w:hAnsi="Arial" w:cs="Arial"/>
                <w:b/>
                <w:bCs/>
                <w:sz w:val="20"/>
                <w:szCs w:val="20"/>
              </w:rPr>
              <w:t>-26,4</w:t>
            </w:r>
          </w:p>
        </w:tc>
      </w:tr>
      <w:tr w:rsidR="00767F7D" w:rsidRPr="00453874" w:rsidTr="00767F7D">
        <w:trPr>
          <w:trHeight w:val="255"/>
          <w:jc w:val="center"/>
        </w:trPr>
        <w:tc>
          <w:tcPr>
            <w:tcW w:w="2061" w:type="dxa"/>
            <w:tcBorders>
              <w:top w:val="nil"/>
              <w:left w:val="double" w:sz="6" w:space="0" w:color="auto"/>
              <w:bottom w:val="nil"/>
              <w:right w:val="single" w:sz="4" w:space="0" w:color="auto"/>
            </w:tcBorders>
            <w:noWrap/>
            <w:vAlign w:val="center"/>
            <w:hideMark/>
          </w:tcPr>
          <w:p w:rsidR="00767F7D" w:rsidRPr="00453874" w:rsidRDefault="00767F7D" w:rsidP="00523B41">
            <w:pPr>
              <w:spacing w:line="276" w:lineRule="auto"/>
              <w:rPr>
                <w:rFonts w:ascii="Arial" w:hAnsi="Arial" w:cs="Arial"/>
                <w:b/>
                <w:bCs/>
                <w:sz w:val="20"/>
                <w:szCs w:val="20"/>
                <w:lang w:eastAsia="en-US"/>
              </w:rPr>
            </w:pPr>
            <w:r w:rsidRPr="00453874">
              <w:rPr>
                <w:rFonts w:ascii="Arial" w:hAnsi="Arial" w:cs="Arial"/>
                <w:b/>
                <w:bCs/>
                <w:sz w:val="20"/>
                <w:szCs w:val="20"/>
                <w:lang w:eastAsia="en-US"/>
              </w:rPr>
              <w:t xml:space="preserve">    v tom:</w:t>
            </w:r>
          </w:p>
        </w:tc>
        <w:tc>
          <w:tcPr>
            <w:tcW w:w="721" w:type="dxa"/>
            <w:tcBorders>
              <w:top w:val="nil"/>
              <w:left w:val="nil"/>
              <w:bottom w:val="nil"/>
              <w:right w:val="single" w:sz="4" w:space="0" w:color="auto"/>
            </w:tcBorders>
            <w:noWrap/>
            <w:vAlign w:val="center"/>
            <w:hideMark/>
          </w:tcPr>
          <w:p w:rsidR="00767F7D" w:rsidRPr="00453874" w:rsidRDefault="00767F7D">
            <w:pPr>
              <w:rPr>
                <w:rFonts w:ascii="Arial" w:hAnsi="Arial" w:cs="Arial"/>
                <w:sz w:val="20"/>
                <w:szCs w:val="20"/>
              </w:rPr>
            </w:pPr>
            <w:r w:rsidRPr="00453874">
              <w:rPr>
                <w:rFonts w:ascii="Arial" w:hAnsi="Arial" w:cs="Arial"/>
                <w:sz w:val="20"/>
                <w:szCs w:val="20"/>
              </w:rPr>
              <w:t> </w:t>
            </w:r>
          </w:p>
        </w:tc>
        <w:tc>
          <w:tcPr>
            <w:tcW w:w="858" w:type="dxa"/>
            <w:noWrap/>
            <w:vAlign w:val="center"/>
            <w:hideMark/>
          </w:tcPr>
          <w:p w:rsidR="00767F7D" w:rsidRPr="00453874" w:rsidRDefault="00767F7D">
            <w:pPr>
              <w:rPr>
                <w:rFonts w:ascii="Arial" w:hAnsi="Arial" w:cs="Arial"/>
                <w:sz w:val="20"/>
                <w:szCs w:val="20"/>
              </w:rPr>
            </w:pPr>
            <w:r w:rsidRPr="00453874">
              <w:rPr>
                <w:rFonts w:ascii="Arial" w:hAnsi="Arial" w:cs="Arial"/>
                <w:sz w:val="20"/>
                <w:szCs w:val="20"/>
              </w:rPr>
              <w:t> </w:t>
            </w:r>
          </w:p>
        </w:tc>
        <w:tc>
          <w:tcPr>
            <w:tcW w:w="858" w:type="dxa"/>
            <w:tcBorders>
              <w:top w:val="nil"/>
              <w:left w:val="single" w:sz="4" w:space="0" w:color="auto"/>
              <w:bottom w:val="nil"/>
              <w:right w:val="single" w:sz="4" w:space="0" w:color="auto"/>
            </w:tcBorders>
            <w:noWrap/>
            <w:vAlign w:val="center"/>
            <w:hideMark/>
          </w:tcPr>
          <w:p w:rsidR="00767F7D" w:rsidRPr="00453874" w:rsidRDefault="00767F7D">
            <w:pPr>
              <w:rPr>
                <w:rFonts w:ascii="Arial" w:hAnsi="Arial" w:cs="Arial"/>
                <w:sz w:val="20"/>
                <w:szCs w:val="20"/>
              </w:rPr>
            </w:pPr>
            <w:r w:rsidRPr="00453874">
              <w:rPr>
                <w:rFonts w:ascii="Arial" w:hAnsi="Arial" w:cs="Arial"/>
                <w:sz w:val="20"/>
                <w:szCs w:val="20"/>
              </w:rPr>
              <w:t> </w:t>
            </w:r>
          </w:p>
        </w:tc>
        <w:tc>
          <w:tcPr>
            <w:tcW w:w="858" w:type="dxa"/>
            <w:tcBorders>
              <w:top w:val="nil"/>
              <w:left w:val="nil"/>
              <w:bottom w:val="nil"/>
              <w:right w:val="single" w:sz="4" w:space="0" w:color="auto"/>
            </w:tcBorders>
            <w:noWrap/>
            <w:vAlign w:val="center"/>
            <w:hideMark/>
          </w:tcPr>
          <w:p w:rsidR="00767F7D" w:rsidRPr="00453874" w:rsidRDefault="00767F7D">
            <w:pPr>
              <w:rPr>
                <w:rFonts w:ascii="Arial" w:hAnsi="Arial" w:cs="Arial"/>
                <w:sz w:val="20"/>
                <w:szCs w:val="20"/>
              </w:rPr>
            </w:pPr>
            <w:r w:rsidRPr="00453874">
              <w:rPr>
                <w:rFonts w:ascii="Arial" w:hAnsi="Arial" w:cs="Arial"/>
                <w:sz w:val="20"/>
                <w:szCs w:val="20"/>
              </w:rPr>
              <w:t> </w:t>
            </w:r>
          </w:p>
        </w:tc>
        <w:tc>
          <w:tcPr>
            <w:tcW w:w="860" w:type="dxa"/>
            <w:tcBorders>
              <w:top w:val="nil"/>
              <w:left w:val="nil"/>
              <w:bottom w:val="nil"/>
              <w:right w:val="single" w:sz="4" w:space="0" w:color="auto"/>
            </w:tcBorders>
            <w:noWrap/>
            <w:vAlign w:val="center"/>
            <w:hideMark/>
          </w:tcPr>
          <w:p w:rsidR="00767F7D" w:rsidRPr="00453874" w:rsidRDefault="00767F7D">
            <w:pPr>
              <w:rPr>
                <w:rFonts w:ascii="Arial" w:hAnsi="Arial" w:cs="Arial"/>
                <w:sz w:val="20"/>
                <w:szCs w:val="20"/>
              </w:rPr>
            </w:pPr>
            <w:r w:rsidRPr="00453874">
              <w:rPr>
                <w:rFonts w:ascii="Arial" w:hAnsi="Arial" w:cs="Arial"/>
                <w:sz w:val="20"/>
                <w:szCs w:val="20"/>
              </w:rPr>
              <w:t> </w:t>
            </w:r>
          </w:p>
        </w:tc>
        <w:tc>
          <w:tcPr>
            <w:tcW w:w="872" w:type="dxa"/>
            <w:tcBorders>
              <w:top w:val="nil"/>
              <w:left w:val="nil"/>
              <w:bottom w:val="nil"/>
              <w:right w:val="double" w:sz="6" w:space="0" w:color="auto"/>
            </w:tcBorders>
            <w:noWrap/>
            <w:vAlign w:val="center"/>
            <w:hideMark/>
          </w:tcPr>
          <w:p w:rsidR="00767F7D" w:rsidRPr="00453874" w:rsidRDefault="00767F7D">
            <w:pPr>
              <w:rPr>
                <w:rFonts w:ascii="Arial" w:hAnsi="Arial" w:cs="Arial"/>
                <w:sz w:val="20"/>
                <w:szCs w:val="20"/>
              </w:rPr>
            </w:pPr>
            <w:r w:rsidRPr="00453874">
              <w:rPr>
                <w:rFonts w:ascii="Arial" w:hAnsi="Arial" w:cs="Arial"/>
                <w:sz w:val="20"/>
                <w:szCs w:val="20"/>
              </w:rPr>
              <w:t> </w:t>
            </w:r>
          </w:p>
        </w:tc>
      </w:tr>
      <w:tr w:rsidR="00767F7D" w:rsidRPr="00453874" w:rsidTr="00767F7D">
        <w:trPr>
          <w:trHeight w:val="255"/>
          <w:jc w:val="center"/>
        </w:trPr>
        <w:tc>
          <w:tcPr>
            <w:tcW w:w="2061" w:type="dxa"/>
            <w:tcBorders>
              <w:top w:val="nil"/>
              <w:left w:val="double" w:sz="6" w:space="0" w:color="auto"/>
              <w:bottom w:val="nil"/>
              <w:right w:val="single" w:sz="4" w:space="0" w:color="auto"/>
            </w:tcBorders>
            <w:noWrap/>
            <w:vAlign w:val="center"/>
            <w:hideMark/>
          </w:tcPr>
          <w:p w:rsidR="00767F7D" w:rsidRPr="00453874" w:rsidRDefault="00767F7D" w:rsidP="00523B41">
            <w:pPr>
              <w:spacing w:line="276" w:lineRule="auto"/>
              <w:rPr>
                <w:rFonts w:ascii="Arial" w:hAnsi="Arial" w:cs="Arial"/>
                <w:sz w:val="20"/>
                <w:szCs w:val="20"/>
                <w:lang w:eastAsia="en-US"/>
              </w:rPr>
            </w:pPr>
            <w:r w:rsidRPr="00453874">
              <w:rPr>
                <w:rFonts w:ascii="Arial" w:hAnsi="Arial" w:cs="Arial"/>
                <w:sz w:val="20"/>
                <w:szCs w:val="20"/>
                <w:lang w:eastAsia="en-US"/>
              </w:rPr>
              <w:t>do 3 měsíců</w:t>
            </w:r>
          </w:p>
        </w:tc>
        <w:tc>
          <w:tcPr>
            <w:tcW w:w="721"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118,0</w:t>
            </w:r>
          </w:p>
        </w:tc>
        <w:tc>
          <w:tcPr>
            <w:tcW w:w="858" w:type="dxa"/>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30,9</w:t>
            </w:r>
          </w:p>
        </w:tc>
        <w:tc>
          <w:tcPr>
            <w:tcW w:w="858" w:type="dxa"/>
            <w:tcBorders>
              <w:top w:val="nil"/>
              <w:left w:val="single" w:sz="4" w:space="0" w:color="auto"/>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98,9</w:t>
            </w:r>
          </w:p>
        </w:tc>
        <w:tc>
          <w:tcPr>
            <w:tcW w:w="858"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35,2</w:t>
            </w:r>
          </w:p>
        </w:tc>
        <w:tc>
          <w:tcPr>
            <w:tcW w:w="860"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-19,1</w:t>
            </w:r>
          </w:p>
        </w:tc>
        <w:tc>
          <w:tcPr>
            <w:tcW w:w="872" w:type="dxa"/>
            <w:tcBorders>
              <w:top w:val="nil"/>
              <w:left w:val="nil"/>
              <w:bottom w:val="nil"/>
              <w:right w:val="double" w:sz="6"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-16,2</w:t>
            </w:r>
          </w:p>
        </w:tc>
      </w:tr>
      <w:tr w:rsidR="00767F7D" w:rsidRPr="00453874" w:rsidTr="00767F7D">
        <w:trPr>
          <w:trHeight w:val="255"/>
          <w:jc w:val="center"/>
        </w:trPr>
        <w:tc>
          <w:tcPr>
            <w:tcW w:w="2061" w:type="dxa"/>
            <w:tcBorders>
              <w:top w:val="nil"/>
              <w:left w:val="double" w:sz="6" w:space="0" w:color="auto"/>
              <w:bottom w:val="nil"/>
              <w:right w:val="single" w:sz="4" w:space="0" w:color="auto"/>
            </w:tcBorders>
            <w:noWrap/>
            <w:vAlign w:val="center"/>
            <w:hideMark/>
          </w:tcPr>
          <w:p w:rsidR="00767F7D" w:rsidRPr="00453874" w:rsidRDefault="00767F7D" w:rsidP="00523B41">
            <w:pPr>
              <w:spacing w:line="276" w:lineRule="auto"/>
              <w:rPr>
                <w:rFonts w:ascii="Arial" w:hAnsi="Arial" w:cs="Arial"/>
                <w:sz w:val="20"/>
                <w:szCs w:val="20"/>
                <w:lang w:eastAsia="en-US"/>
              </w:rPr>
            </w:pPr>
            <w:r w:rsidRPr="00453874">
              <w:rPr>
                <w:rFonts w:ascii="Arial" w:hAnsi="Arial" w:cs="Arial"/>
                <w:sz w:val="20"/>
                <w:szCs w:val="20"/>
                <w:lang w:eastAsia="en-US"/>
              </w:rPr>
              <w:t>3-6 měsíců</w:t>
            </w:r>
          </w:p>
        </w:tc>
        <w:tc>
          <w:tcPr>
            <w:tcW w:w="721"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61,7</w:t>
            </w:r>
          </w:p>
        </w:tc>
        <w:tc>
          <w:tcPr>
            <w:tcW w:w="858" w:type="dxa"/>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16,2</w:t>
            </w:r>
          </w:p>
        </w:tc>
        <w:tc>
          <w:tcPr>
            <w:tcW w:w="858" w:type="dxa"/>
            <w:tcBorders>
              <w:top w:val="nil"/>
              <w:left w:val="single" w:sz="4" w:space="0" w:color="auto"/>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46,3</w:t>
            </w:r>
          </w:p>
        </w:tc>
        <w:tc>
          <w:tcPr>
            <w:tcW w:w="858"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16,5</w:t>
            </w:r>
          </w:p>
        </w:tc>
        <w:tc>
          <w:tcPr>
            <w:tcW w:w="860"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-15,4</w:t>
            </w:r>
          </w:p>
        </w:tc>
        <w:tc>
          <w:tcPr>
            <w:tcW w:w="872" w:type="dxa"/>
            <w:tcBorders>
              <w:top w:val="nil"/>
              <w:left w:val="nil"/>
              <w:bottom w:val="nil"/>
              <w:right w:val="double" w:sz="6"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-25,0</w:t>
            </w:r>
          </w:p>
        </w:tc>
      </w:tr>
      <w:tr w:rsidR="00767F7D" w:rsidRPr="00453874" w:rsidTr="00767F7D">
        <w:trPr>
          <w:trHeight w:val="255"/>
          <w:jc w:val="center"/>
        </w:trPr>
        <w:tc>
          <w:tcPr>
            <w:tcW w:w="2061" w:type="dxa"/>
            <w:tcBorders>
              <w:top w:val="nil"/>
              <w:left w:val="double" w:sz="6" w:space="0" w:color="auto"/>
              <w:bottom w:val="nil"/>
              <w:right w:val="single" w:sz="4" w:space="0" w:color="auto"/>
            </w:tcBorders>
            <w:noWrap/>
            <w:vAlign w:val="center"/>
            <w:hideMark/>
          </w:tcPr>
          <w:p w:rsidR="00767F7D" w:rsidRPr="00453874" w:rsidRDefault="00767F7D" w:rsidP="00523B41">
            <w:pPr>
              <w:spacing w:line="276" w:lineRule="auto"/>
              <w:rPr>
                <w:rFonts w:ascii="Arial" w:hAnsi="Arial" w:cs="Arial"/>
                <w:sz w:val="20"/>
                <w:szCs w:val="20"/>
                <w:lang w:eastAsia="en-US"/>
              </w:rPr>
            </w:pPr>
            <w:r w:rsidRPr="00453874">
              <w:rPr>
                <w:rFonts w:ascii="Arial" w:hAnsi="Arial" w:cs="Arial"/>
                <w:sz w:val="20"/>
                <w:szCs w:val="20"/>
                <w:lang w:eastAsia="en-US"/>
              </w:rPr>
              <w:t>6-9 měsíců</w:t>
            </w:r>
          </w:p>
        </w:tc>
        <w:tc>
          <w:tcPr>
            <w:tcW w:w="721"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34,3</w:t>
            </w:r>
          </w:p>
        </w:tc>
        <w:tc>
          <w:tcPr>
            <w:tcW w:w="858" w:type="dxa"/>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9,0</w:t>
            </w:r>
          </w:p>
        </w:tc>
        <w:tc>
          <w:tcPr>
            <w:tcW w:w="858" w:type="dxa"/>
            <w:tcBorders>
              <w:top w:val="nil"/>
              <w:left w:val="single" w:sz="4" w:space="0" w:color="auto"/>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24,3</w:t>
            </w:r>
          </w:p>
        </w:tc>
        <w:tc>
          <w:tcPr>
            <w:tcW w:w="858"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8,7</w:t>
            </w:r>
          </w:p>
        </w:tc>
        <w:tc>
          <w:tcPr>
            <w:tcW w:w="860"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-10,0</w:t>
            </w:r>
          </w:p>
        </w:tc>
        <w:tc>
          <w:tcPr>
            <w:tcW w:w="872" w:type="dxa"/>
            <w:tcBorders>
              <w:top w:val="nil"/>
              <w:left w:val="nil"/>
              <w:bottom w:val="nil"/>
              <w:right w:val="double" w:sz="6"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-29,2</w:t>
            </w:r>
          </w:p>
        </w:tc>
      </w:tr>
      <w:tr w:rsidR="00767F7D" w:rsidRPr="00453874" w:rsidTr="00767F7D">
        <w:trPr>
          <w:trHeight w:val="255"/>
          <w:jc w:val="center"/>
        </w:trPr>
        <w:tc>
          <w:tcPr>
            <w:tcW w:w="2061" w:type="dxa"/>
            <w:tcBorders>
              <w:top w:val="nil"/>
              <w:left w:val="double" w:sz="6" w:space="0" w:color="auto"/>
              <w:bottom w:val="nil"/>
              <w:right w:val="single" w:sz="4" w:space="0" w:color="auto"/>
            </w:tcBorders>
            <w:noWrap/>
            <w:vAlign w:val="center"/>
            <w:hideMark/>
          </w:tcPr>
          <w:p w:rsidR="00767F7D" w:rsidRPr="00453874" w:rsidRDefault="00767F7D" w:rsidP="00523B41">
            <w:pPr>
              <w:spacing w:line="276" w:lineRule="auto"/>
              <w:rPr>
                <w:rFonts w:ascii="Arial" w:hAnsi="Arial" w:cs="Arial"/>
                <w:sz w:val="20"/>
                <w:szCs w:val="20"/>
                <w:lang w:eastAsia="en-US"/>
              </w:rPr>
            </w:pPr>
            <w:r w:rsidRPr="00453874">
              <w:rPr>
                <w:rFonts w:ascii="Arial" w:hAnsi="Arial" w:cs="Arial"/>
                <w:sz w:val="20"/>
                <w:szCs w:val="20"/>
                <w:lang w:eastAsia="en-US"/>
              </w:rPr>
              <w:t>9-12 měsíců</w:t>
            </w:r>
          </w:p>
        </w:tc>
        <w:tc>
          <w:tcPr>
            <w:tcW w:w="721"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23,3</w:t>
            </w:r>
          </w:p>
        </w:tc>
        <w:tc>
          <w:tcPr>
            <w:tcW w:w="858" w:type="dxa"/>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6,1</w:t>
            </w:r>
          </w:p>
        </w:tc>
        <w:tc>
          <w:tcPr>
            <w:tcW w:w="858" w:type="dxa"/>
            <w:tcBorders>
              <w:top w:val="nil"/>
              <w:left w:val="single" w:sz="4" w:space="0" w:color="auto"/>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16,7</w:t>
            </w:r>
          </w:p>
        </w:tc>
        <w:tc>
          <w:tcPr>
            <w:tcW w:w="858"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5,9</w:t>
            </w:r>
          </w:p>
        </w:tc>
        <w:tc>
          <w:tcPr>
            <w:tcW w:w="860"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-6,6</w:t>
            </w:r>
          </w:p>
        </w:tc>
        <w:tc>
          <w:tcPr>
            <w:tcW w:w="872" w:type="dxa"/>
            <w:tcBorders>
              <w:top w:val="nil"/>
              <w:left w:val="nil"/>
              <w:bottom w:val="nil"/>
              <w:right w:val="double" w:sz="6"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-28,3</w:t>
            </w:r>
          </w:p>
        </w:tc>
      </w:tr>
      <w:tr w:rsidR="00767F7D" w:rsidRPr="00453874" w:rsidTr="00767F7D">
        <w:trPr>
          <w:trHeight w:val="255"/>
          <w:jc w:val="center"/>
        </w:trPr>
        <w:tc>
          <w:tcPr>
            <w:tcW w:w="2061" w:type="dxa"/>
            <w:tcBorders>
              <w:top w:val="nil"/>
              <w:left w:val="double" w:sz="6" w:space="0" w:color="auto"/>
              <w:bottom w:val="nil"/>
              <w:right w:val="single" w:sz="4" w:space="0" w:color="auto"/>
            </w:tcBorders>
            <w:noWrap/>
            <w:vAlign w:val="center"/>
            <w:hideMark/>
          </w:tcPr>
          <w:p w:rsidR="00767F7D" w:rsidRPr="00453874" w:rsidRDefault="00767F7D" w:rsidP="00523B41">
            <w:pPr>
              <w:spacing w:line="276" w:lineRule="auto"/>
              <w:rPr>
                <w:rFonts w:ascii="Arial" w:hAnsi="Arial" w:cs="Arial"/>
                <w:sz w:val="20"/>
                <w:szCs w:val="20"/>
                <w:lang w:eastAsia="en-US"/>
              </w:rPr>
            </w:pPr>
            <w:r w:rsidRPr="00453874">
              <w:rPr>
                <w:rFonts w:ascii="Arial" w:hAnsi="Arial" w:cs="Arial"/>
                <w:sz w:val="20"/>
                <w:szCs w:val="20"/>
                <w:lang w:eastAsia="en-US"/>
              </w:rPr>
              <w:t>12-24 měsíců</w:t>
            </w:r>
          </w:p>
        </w:tc>
        <w:tc>
          <w:tcPr>
            <w:tcW w:w="721"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45,3</w:t>
            </w:r>
          </w:p>
        </w:tc>
        <w:tc>
          <w:tcPr>
            <w:tcW w:w="858" w:type="dxa"/>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11,9</w:t>
            </w:r>
          </w:p>
        </w:tc>
        <w:tc>
          <w:tcPr>
            <w:tcW w:w="858" w:type="dxa"/>
            <w:tcBorders>
              <w:top w:val="nil"/>
              <w:left w:val="single" w:sz="4" w:space="0" w:color="auto"/>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29,1</w:t>
            </w:r>
          </w:p>
        </w:tc>
        <w:tc>
          <w:tcPr>
            <w:tcW w:w="858"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10,4</w:t>
            </w:r>
          </w:p>
        </w:tc>
        <w:tc>
          <w:tcPr>
            <w:tcW w:w="860"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-16,2</w:t>
            </w:r>
          </w:p>
        </w:tc>
        <w:tc>
          <w:tcPr>
            <w:tcW w:w="872" w:type="dxa"/>
            <w:tcBorders>
              <w:top w:val="nil"/>
              <w:left w:val="nil"/>
              <w:bottom w:val="nil"/>
              <w:right w:val="double" w:sz="6"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-35,8</w:t>
            </w:r>
          </w:p>
        </w:tc>
      </w:tr>
      <w:tr w:rsidR="00767F7D" w:rsidRPr="00453874" w:rsidTr="00767F7D">
        <w:trPr>
          <w:trHeight w:val="255"/>
          <w:jc w:val="center"/>
        </w:trPr>
        <w:tc>
          <w:tcPr>
            <w:tcW w:w="2061" w:type="dxa"/>
            <w:tcBorders>
              <w:top w:val="nil"/>
              <w:left w:val="double" w:sz="6" w:space="0" w:color="auto"/>
              <w:bottom w:val="single" w:sz="4" w:space="0" w:color="auto"/>
              <w:right w:val="single" w:sz="4" w:space="0" w:color="auto"/>
            </w:tcBorders>
            <w:noWrap/>
            <w:vAlign w:val="center"/>
            <w:hideMark/>
          </w:tcPr>
          <w:p w:rsidR="00767F7D" w:rsidRPr="00453874" w:rsidRDefault="00767F7D" w:rsidP="00523B41">
            <w:pPr>
              <w:spacing w:line="276" w:lineRule="auto"/>
              <w:rPr>
                <w:rFonts w:ascii="Arial" w:hAnsi="Arial" w:cs="Arial"/>
                <w:sz w:val="20"/>
                <w:szCs w:val="20"/>
                <w:lang w:eastAsia="en-US"/>
              </w:rPr>
            </w:pPr>
            <w:r w:rsidRPr="00453874">
              <w:rPr>
                <w:rFonts w:ascii="Arial" w:hAnsi="Arial" w:cs="Arial"/>
                <w:sz w:val="20"/>
                <w:szCs w:val="20"/>
                <w:lang w:eastAsia="en-US"/>
              </w:rPr>
              <w:t>nad 24 měsíců</w:t>
            </w:r>
          </w:p>
        </w:tc>
        <w:tc>
          <w:tcPr>
            <w:tcW w:w="721" w:type="dxa"/>
            <w:tcBorders>
              <w:top w:val="nil"/>
              <w:left w:val="nil"/>
              <w:bottom w:val="single" w:sz="4" w:space="0" w:color="auto"/>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98,9</w:t>
            </w:r>
          </w:p>
        </w:tc>
        <w:tc>
          <w:tcPr>
            <w:tcW w:w="858" w:type="dxa"/>
            <w:tcBorders>
              <w:top w:val="nil"/>
              <w:left w:val="nil"/>
              <w:bottom w:val="single" w:sz="4" w:space="0" w:color="auto"/>
              <w:right w:val="nil"/>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25,9</w:t>
            </w:r>
          </w:p>
        </w:tc>
        <w:tc>
          <w:tcPr>
            <w:tcW w:w="858" w:type="dxa"/>
            <w:tcBorders>
              <w:top w:val="nil"/>
              <w:left w:val="single" w:sz="4" w:space="0" w:color="auto"/>
              <w:bottom w:val="single" w:sz="4" w:space="0" w:color="auto"/>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65,4</w:t>
            </w:r>
          </w:p>
        </w:tc>
        <w:tc>
          <w:tcPr>
            <w:tcW w:w="858" w:type="dxa"/>
            <w:tcBorders>
              <w:top w:val="nil"/>
              <w:left w:val="nil"/>
              <w:bottom w:val="single" w:sz="4" w:space="0" w:color="auto"/>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23,3</w:t>
            </w:r>
          </w:p>
        </w:tc>
        <w:tc>
          <w:tcPr>
            <w:tcW w:w="860" w:type="dxa"/>
            <w:tcBorders>
              <w:top w:val="nil"/>
              <w:left w:val="nil"/>
              <w:bottom w:val="single" w:sz="4" w:space="0" w:color="auto"/>
              <w:right w:val="single" w:sz="4"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-33,5</w:t>
            </w:r>
          </w:p>
        </w:tc>
        <w:tc>
          <w:tcPr>
            <w:tcW w:w="872" w:type="dxa"/>
            <w:tcBorders>
              <w:top w:val="nil"/>
              <w:left w:val="nil"/>
              <w:bottom w:val="single" w:sz="4" w:space="0" w:color="auto"/>
              <w:right w:val="double" w:sz="6" w:space="0" w:color="auto"/>
            </w:tcBorders>
            <w:noWrap/>
            <w:vAlign w:val="center"/>
            <w:hideMark/>
          </w:tcPr>
          <w:p w:rsidR="00767F7D" w:rsidRPr="00453874" w:rsidRDefault="00767F7D">
            <w:pPr>
              <w:jc w:val="right"/>
              <w:rPr>
                <w:rFonts w:ascii="Arial" w:hAnsi="Arial" w:cs="Arial"/>
                <w:sz w:val="20"/>
                <w:szCs w:val="20"/>
              </w:rPr>
            </w:pPr>
            <w:r w:rsidRPr="00453874">
              <w:rPr>
                <w:rFonts w:ascii="Arial" w:hAnsi="Arial" w:cs="Arial"/>
                <w:sz w:val="20"/>
                <w:szCs w:val="20"/>
              </w:rPr>
              <w:t>-33,9</w:t>
            </w:r>
          </w:p>
        </w:tc>
      </w:tr>
      <w:tr w:rsidR="00767F7D" w:rsidRPr="00453874" w:rsidTr="00767F7D">
        <w:trPr>
          <w:trHeight w:val="270"/>
          <w:jc w:val="center"/>
        </w:trPr>
        <w:tc>
          <w:tcPr>
            <w:tcW w:w="2061" w:type="dxa"/>
            <w:tcBorders>
              <w:top w:val="nil"/>
              <w:left w:val="double" w:sz="6" w:space="0" w:color="auto"/>
              <w:bottom w:val="single" w:sz="4" w:space="0" w:color="auto"/>
              <w:right w:val="single" w:sz="4" w:space="0" w:color="auto"/>
            </w:tcBorders>
            <w:noWrap/>
            <w:vAlign w:val="center"/>
            <w:hideMark/>
          </w:tcPr>
          <w:p w:rsidR="00767F7D" w:rsidRPr="00453874" w:rsidRDefault="00767F7D" w:rsidP="00523B41">
            <w:pPr>
              <w:spacing w:line="276" w:lineRule="auto"/>
              <w:rPr>
                <w:rFonts w:ascii="Arial" w:hAnsi="Arial" w:cs="Arial"/>
                <w:b/>
                <w:bCs/>
                <w:i/>
                <w:iCs/>
                <w:sz w:val="20"/>
                <w:szCs w:val="20"/>
                <w:lang w:eastAsia="en-US"/>
              </w:rPr>
            </w:pPr>
            <w:r w:rsidRPr="00453874">
              <w:rPr>
                <w:rFonts w:ascii="Arial" w:hAnsi="Arial" w:cs="Arial"/>
                <w:b/>
                <w:bCs/>
                <w:i/>
                <w:iCs/>
                <w:sz w:val="20"/>
                <w:szCs w:val="20"/>
                <w:lang w:eastAsia="en-US"/>
              </w:rPr>
              <w:t>nad 5 měsíců</w:t>
            </w:r>
          </w:p>
        </w:tc>
        <w:tc>
          <w:tcPr>
            <w:tcW w:w="721" w:type="dxa"/>
            <w:tcBorders>
              <w:top w:val="nil"/>
              <w:left w:val="nil"/>
              <w:bottom w:val="single" w:sz="4" w:space="0" w:color="auto"/>
              <w:right w:val="single" w:sz="4"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217,7</w:t>
            </w:r>
          </w:p>
        </w:tc>
        <w:tc>
          <w:tcPr>
            <w:tcW w:w="858" w:type="dxa"/>
            <w:tcBorders>
              <w:top w:val="nil"/>
              <w:left w:val="nil"/>
              <w:bottom w:val="single" w:sz="4" w:space="0" w:color="auto"/>
              <w:right w:val="nil"/>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57,1</w:t>
            </w:r>
          </w:p>
        </w:tc>
        <w:tc>
          <w:tcPr>
            <w:tcW w:w="858" w:type="dxa"/>
            <w:tcBorders>
              <w:top w:val="nil"/>
              <w:left w:val="single" w:sz="4" w:space="0" w:color="auto"/>
              <w:bottom w:val="single" w:sz="4" w:space="0" w:color="auto"/>
              <w:right w:val="single" w:sz="4"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147,1</w:t>
            </w:r>
          </w:p>
        </w:tc>
        <w:tc>
          <w:tcPr>
            <w:tcW w:w="858" w:type="dxa"/>
            <w:tcBorders>
              <w:top w:val="nil"/>
              <w:left w:val="nil"/>
              <w:bottom w:val="single" w:sz="4" w:space="0" w:color="auto"/>
              <w:right w:val="single" w:sz="4"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52,4</w:t>
            </w:r>
          </w:p>
        </w:tc>
        <w:tc>
          <w:tcPr>
            <w:tcW w:w="860" w:type="dxa"/>
            <w:tcBorders>
              <w:top w:val="nil"/>
              <w:left w:val="nil"/>
              <w:bottom w:val="single" w:sz="4" w:space="0" w:color="auto"/>
              <w:right w:val="single" w:sz="4"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-70,6</w:t>
            </w:r>
          </w:p>
        </w:tc>
        <w:tc>
          <w:tcPr>
            <w:tcW w:w="872" w:type="dxa"/>
            <w:tcBorders>
              <w:top w:val="nil"/>
              <w:left w:val="nil"/>
              <w:bottom w:val="single" w:sz="4" w:space="0" w:color="auto"/>
              <w:right w:val="double" w:sz="6"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-32,4</w:t>
            </w:r>
          </w:p>
        </w:tc>
      </w:tr>
      <w:tr w:rsidR="00767F7D" w:rsidRPr="00453874" w:rsidTr="00767F7D">
        <w:trPr>
          <w:trHeight w:val="270"/>
          <w:jc w:val="center"/>
        </w:trPr>
        <w:tc>
          <w:tcPr>
            <w:tcW w:w="2061" w:type="dxa"/>
            <w:tcBorders>
              <w:top w:val="nil"/>
              <w:left w:val="double" w:sz="6" w:space="0" w:color="auto"/>
              <w:bottom w:val="nil"/>
              <w:right w:val="single" w:sz="4" w:space="0" w:color="auto"/>
            </w:tcBorders>
            <w:noWrap/>
            <w:vAlign w:val="center"/>
            <w:hideMark/>
          </w:tcPr>
          <w:p w:rsidR="00767F7D" w:rsidRPr="00453874" w:rsidRDefault="00767F7D" w:rsidP="00523B41">
            <w:pPr>
              <w:spacing w:line="276" w:lineRule="auto"/>
              <w:rPr>
                <w:rFonts w:ascii="Arial" w:hAnsi="Arial" w:cs="Arial"/>
                <w:b/>
                <w:bCs/>
                <w:i/>
                <w:iCs/>
                <w:sz w:val="20"/>
                <w:szCs w:val="20"/>
                <w:lang w:eastAsia="en-US"/>
              </w:rPr>
            </w:pPr>
            <w:r w:rsidRPr="00453874">
              <w:rPr>
                <w:rFonts w:ascii="Arial" w:hAnsi="Arial" w:cs="Arial"/>
                <w:b/>
                <w:bCs/>
                <w:i/>
                <w:iCs/>
                <w:sz w:val="20"/>
                <w:szCs w:val="20"/>
                <w:lang w:eastAsia="en-US"/>
              </w:rPr>
              <w:t>nad 6 měsíců</w:t>
            </w:r>
          </w:p>
        </w:tc>
        <w:tc>
          <w:tcPr>
            <w:tcW w:w="721"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201,7</w:t>
            </w:r>
          </w:p>
        </w:tc>
        <w:tc>
          <w:tcPr>
            <w:tcW w:w="858"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52,9</w:t>
            </w:r>
          </w:p>
        </w:tc>
        <w:tc>
          <w:tcPr>
            <w:tcW w:w="858"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135,5</w:t>
            </w:r>
          </w:p>
        </w:tc>
        <w:tc>
          <w:tcPr>
            <w:tcW w:w="858"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48,3</w:t>
            </w:r>
          </w:p>
        </w:tc>
        <w:tc>
          <w:tcPr>
            <w:tcW w:w="860" w:type="dxa"/>
            <w:tcBorders>
              <w:top w:val="nil"/>
              <w:left w:val="nil"/>
              <w:bottom w:val="nil"/>
              <w:right w:val="single" w:sz="4"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-66,2</w:t>
            </w:r>
          </w:p>
        </w:tc>
        <w:tc>
          <w:tcPr>
            <w:tcW w:w="872" w:type="dxa"/>
            <w:tcBorders>
              <w:top w:val="nil"/>
              <w:left w:val="nil"/>
              <w:bottom w:val="nil"/>
              <w:right w:val="double" w:sz="6"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-32,8</w:t>
            </w:r>
          </w:p>
        </w:tc>
      </w:tr>
      <w:tr w:rsidR="00767F7D" w:rsidRPr="00453874" w:rsidTr="00767F7D">
        <w:trPr>
          <w:trHeight w:val="270"/>
          <w:jc w:val="center"/>
        </w:trPr>
        <w:tc>
          <w:tcPr>
            <w:tcW w:w="2061" w:type="dxa"/>
            <w:tcBorders>
              <w:top w:val="nil"/>
              <w:left w:val="double" w:sz="6" w:space="0" w:color="auto"/>
              <w:bottom w:val="double" w:sz="6" w:space="0" w:color="auto"/>
              <w:right w:val="single" w:sz="4" w:space="0" w:color="auto"/>
            </w:tcBorders>
            <w:noWrap/>
            <w:vAlign w:val="center"/>
            <w:hideMark/>
          </w:tcPr>
          <w:p w:rsidR="00767F7D" w:rsidRPr="00453874" w:rsidRDefault="00767F7D" w:rsidP="00523B41">
            <w:pPr>
              <w:spacing w:line="276" w:lineRule="auto"/>
              <w:rPr>
                <w:rFonts w:ascii="Arial" w:hAnsi="Arial" w:cs="Arial"/>
                <w:b/>
                <w:bCs/>
                <w:i/>
                <w:iCs/>
                <w:sz w:val="20"/>
                <w:szCs w:val="20"/>
                <w:lang w:eastAsia="en-US"/>
              </w:rPr>
            </w:pPr>
            <w:r w:rsidRPr="00453874">
              <w:rPr>
                <w:rFonts w:ascii="Arial" w:hAnsi="Arial" w:cs="Arial"/>
                <w:b/>
                <w:bCs/>
                <w:i/>
                <w:iCs/>
                <w:sz w:val="20"/>
                <w:szCs w:val="20"/>
                <w:lang w:eastAsia="en-US"/>
              </w:rPr>
              <w:t>nad 12 měsíců</w:t>
            </w:r>
          </w:p>
        </w:tc>
        <w:tc>
          <w:tcPr>
            <w:tcW w:w="721" w:type="dxa"/>
            <w:tcBorders>
              <w:top w:val="nil"/>
              <w:left w:val="nil"/>
              <w:bottom w:val="double" w:sz="6" w:space="0" w:color="auto"/>
              <w:right w:val="single" w:sz="4"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144,2</w:t>
            </w:r>
          </w:p>
        </w:tc>
        <w:tc>
          <w:tcPr>
            <w:tcW w:w="858" w:type="dxa"/>
            <w:tcBorders>
              <w:top w:val="nil"/>
              <w:left w:val="nil"/>
              <w:bottom w:val="double" w:sz="6" w:space="0" w:color="auto"/>
              <w:right w:val="single" w:sz="4"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37,8</w:t>
            </w:r>
          </w:p>
        </w:tc>
        <w:tc>
          <w:tcPr>
            <w:tcW w:w="858" w:type="dxa"/>
            <w:tcBorders>
              <w:top w:val="nil"/>
              <w:left w:val="nil"/>
              <w:bottom w:val="double" w:sz="6" w:space="0" w:color="auto"/>
              <w:right w:val="single" w:sz="4"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94,5</w:t>
            </w:r>
          </w:p>
        </w:tc>
        <w:tc>
          <w:tcPr>
            <w:tcW w:w="858" w:type="dxa"/>
            <w:tcBorders>
              <w:top w:val="nil"/>
              <w:left w:val="nil"/>
              <w:bottom w:val="double" w:sz="6" w:space="0" w:color="auto"/>
              <w:right w:val="single" w:sz="4"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33,7</w:t>
            </w:r>
          </w:p>
        </w:tc>
        <w:tc>
          <w:tcPr>
            <w:tcW w:w="860" w:type="dxa"/>
            <w:tcBorders>
              <w:top w:val="nil"/>
              <w:left w:val="nil"/>
              <w:bottom w:val="double" w:sz="6" w:space="0" w:color="auto"/>
              <w:right w:val="single" w:sz="4"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-49,7</w:t>
            </w:r>
          </w:p>
        </w:tc>
        <w:tc>
          <w:tcPr>
            <w:tcW w:w="872" w:type="dxa"/>
            <w:tcBorders>
              <w:top w:val="nil"/>
              <w:left w:val="nil"/>
              <w:bottom w:val="double" w:sz="6" w:space="0" w:color="auto"/>
              <w:right w:val="double" w:sz="6" w:space="0" w:color="auto"/>
            </w:tcBorders>
            <w:noWrap/>
            <w:vAlign w:val="center"/>
            <w:hideMark/>
          </w:tcPr>
          <w:p w:rsidR="00767F7D" w:rsidRPr="00453874" w:rsidRDefault="00767F7D">
            <w:pPr>
              <w:jc w:val="right"/>
              <w:rPr>
                <w:rFonts w:ascii="Arial" w:hAnsi="Arial" w:cs="Arial"/>
                <w:b/>
                <w:bCs/>
                <w:i/>
                <w:iCs/>
                <w:sz w:val="20"/>
                <w:szCs w:val="20"/>
              </w:rPr>
            </w:pPr>
            <w:r w:rsidRPr="00453874">
              <w:rPr>
                <w:rFonts w:ascii="Arial" w:hAnsi="Arial" w:cs="Arial"/>
                <w:b/>
                <w:bCs/>
                <w:i/>
                <w:iCs/>
                <w:sz w:val="20"/>
                <w:szCs w:val="20"/>
              </w:rPr>
              <w:t>-34,5</w:t>
            </w:r>
          </w:p>
        </w:tc>
      </w:tr>
    </w:tbl>
    <w:p w:rsidR="00767F7D" w:rsidRPr="00453874" w:rsidRDefault="00767F7D" w:rsidP="00767F7D">
      <w:pPr>
        <w:pStyle w:val="Zkladntextodsazen3"/>
        <w:tabs>
          <w:tab w:val="left" w:pos="567"/>
        </w:tabs>
        <w:spacing w:after="0"/>
        <w:ind w:left="1276" w:hanging="709"/>
        <w:jc w:val="both"/>
        <w:rPr>
          <w:rFonts w:ascii="Arial" w:hAnsi="Arial" w:cs="Arial"/>
          <w:i/>
          <w:iCs/>
          <w:sz w:val="10"/>
          <w:szCs w:val="10"/>
          <w:lang w:val="cs-CZ" w:eastAsia="en-US"/>
        </w:rPr>
      </w:pPr>
      <w:r w:rsidRPr="00453874">
        <w:rPr>
          <w:rFonts w:ascii="Arial" w:hAnsi="Arial" w:cs="Arial"/>
          <w:i/>
          <w:iCs/>
          <w:lang w:val="cs-CZ" w:eastAsia="en-US"/>
        </w:rPr>
        <w:tab/>
      </w:r>
    </w:p>
    <w:p w:rsidR="00767F7D" w:rsidRPr="00453874" w:rsidRDefault="00767F7D" w:rsidP="00767F7D">
      <w:pPr>
        <w:pStyle w:val="Zkladntextodsazen3"/>
        <w:tabs>
          <w:tab w:val="left" w:pos="567"/>
        </w:tabs>
        <w:spacing w:after="0"/>
        <w:ind w:left="1276" w:hanging="709"/>
        <w:jc w:val="both"/>
        <w:rPr>
          <w:rFonts w:ascii="Arial" w:hAnsi="Arial" w:cs="Arial"/>
          <w:i/>
          <w:iCs/>
          <w:lang w:val="cs-CZ" w:eastAsia="en-US"/>
        </w:rPr>
      </w:pPr>
      <w:r w:rsidRPr="00453874">
        <w:rPr>
          <w:rFonts w:ascii="Arial" w:hAnsi="Arial" w:cs="Arial"/>
          <w:i/>
          <w:iCs/>
          <w:lang w:val="cs-CZ" w:eastAsia="en-US"/>
        </w:rPr>
        <w:tab/>
      </w:r>
      <w:r w:rsidRPr="00453874">
        <w:rPr>
          <w:rFonts w:ascii="Arial" w:hAnsi="Arial" w:cs="Arial"/>
          <w:i/>
          <w:iCs/>
          <w:lang w:eastAsia="en-US"/>
        </w:rPr>
        <w:t xml:space="preserve">Pozn.: drobné odchylky součtu osob v jednotlivých kategoriích od uvedeného celkového </w:t>
      </w:r>
    </w:p>
    <w:p w:rsidR="00767F7D" w:rsidRPr="00453874" w:rsidRDefault="00767F7D" w:rsidP="00767F7D">
      <w:pPr>
        <w:pStyle w:val="Zkladntextodsazen3"/>
        <w:tabs>
          <w:tab w:val="left" w:pos="567"/>
        </w:tabs>
        <w:spacing w:after="0"/>
        <w:ind w:left="1276" w:hanging="709"/>
        <w:jc w:val="both"/>
        <w:rPr>
          <w:rFonts w:ascii="Arial" w:hAnsi="Arial" w:cs="Arial"/>
          <w:sz w:val="24"/>
          <w:szCs w:val="24"/>
          <w:lang w:val="cs-CZ"/>
        </w:rPr>
      </w:pPr>
      <w:r w:rsidRPr="00453874">
        <w:rPr>
          <w:rFonts w:ascii="Arial" w:hAnsi="Arial" w:cs="Arial"/>
          <w:i/>
          <w:iCs/>
          <w:lang w:val="cs-CZ" w:eastAsia="en-US"/>
        </w:rPr>
        <w:tab/>
      </w:r>
      <w:r w:rsidRPr="00453874">
        <w:rPr>
          <w:rFonts w:ascii="Arial" w:hAnsi="Arial" w:cs="Arial"/>
          <w:i/>
          <w:iCs/>
          <w:lang w:eastAsia="en-US"/>
        </w:rPr>
        <w:t>počtu souvisí se zaokrouhlením hodnot na jedno desetinné místo</w:t>
      </w:r>
    </w:p>
    <w:p w:rsidR="00115440" w:rsidRPr="00453874" w:rsidRDefault="00115440" w:rsidP="00767F7D">
      <w:pPr>
        <w:pStyle w:val="Zkladntext"/>
        <w:spacing w:line="360" w:lineRule="auto"/>
        <w:ind w:firstLine="708"/>
        <w:rPr>
          <w:bCs/>
          <w:color w:val="auto"/>
          <w:sz w:val="20"/>
          <w:szCs w:val="20"/>
          <w:lang w:val="cs-CZ"/>
        </w:rPr>
      </w:pPr>
    </w:p>
    <w:p w:rsidR="00115440" w:rsidRPr="00453874" w:rsidRDefault="00115440" w:rsidP="00E211EB">
      <w:pPr>
        <w:pStyle w:val="Zkladntext"/>
        <w:jc w:val="right"/>
        <w:rPr>
          <w:bCs/>
          <w:color w:val="auto"/>
          <w:sz w:val="20"/>
          <w:szCs w:val="20"/>
          <w:lang w:val="cs-CZ"/>
        </w:rPr>
      </w:pPr>
      <w:r w:rsidRPr="00453874">
        <w:rPr>
          <w:bCs/>
          <w:color w:val="auto"/>
          <w:sz w:val="20"/>
          <w:szCs w:val="20"/>
        </w:rPr>
        <w:t>graf č. 1</w:t>
      </w:r>
      <w:r w:rsidR="006D5548" w:rsidRPr="00453874">
        <w:rPr>
          <w:bCs/>
          <w:color w:val="auto"/>
          <w:sz w:val="20"/>
          <w:szCs w:val="20"/>
          <w:lang w:val="cs-CZ"/>
        </w:rPr>
        <w:t>7</w:t>
      </w:r>
    </w:p>
    <w:p w:rsidR="00115440" w:rsidRPr="00453874" w:rsidRDefault="00E211EB" w:rsidP="00115440">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rPr>
          <w:szCs w:val="23"/>
        </w:rPr>
      </w:pPr>
      <w:r w:rsidRPr="00453874">
        <w:rPr>
          <w:noProof/>
        </w:rPr>
        <w:drawing>
          <wp:inline distT="0" distB="0" distL="0" distR="0">
            <wp:extent cx="5760720" cy="3242319"/>
            <wp:effectExtent l="0" t="0" r="11430" b="15240"/>
            <wp:docPr id="54" name="Graf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15440" w:rsidRPr="00453874" w:rsidRDefault="00115440" w:rsidP="00115440">
      <w:pPr>
        <w:pStyle w:val="Zkladntextodsazen3"/>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360" w:lineRule="auto"/>
        <w:ind w:left="0" w:firstLine="720"/>
        <w:jc w:val="both"/>
        <w:rPr>
          <w:rFonts w:ascii="Arial" w:hAnsi="Arial" w:cs="Arial"/>
          <w:sz w:val="24"/>
          <w:szCs w:val="24"/>
          <w:lang w:val="cs-CZ"/>
        </w:rPr>
      </w:pPr>
    </w:p>
    <w:p w:rsidR="00115440" w:rsidRPr="00E04C25" w:rsidRDefault="00115440" w:rsidP="00453100">
      <w:pPr>
        <w:spacing w:line="360" w:lineRule="auto"/>
        <w:ind w:firstLine="567"/>
        <w:jc w:val="both"/>
        <w:rPr>
          <w:rFonts w:ascii="Arial" w:hAnsi="Arial" w:cs="Arial"/>
        </w:rPr>
      </w:pPr>
      <w:r w:rsidRPr="00E04C25">
        <w:t xml:space="preserve"> </w:t>
      </w:r>
      <w:r w:rsidRPr="00E04C25">
        <w:rPr>
          <w:rFonts w:ascii="Arial" w:hAnsi="Arial" w:cs="Arial"/>
        </w:rPr>
        <w:t xml:space="preserve">Statistiky  ze současného informačního systému ÚP ČR neposkytují podrobnější strukturu dlouhodobě nezaměstnaných uchazečů o zaměstnání. </w:t>
      </w:r>
      <w:r w:rsidR="00B5138C" w:rsidRPr="00E04C25">
        <w:rPr>
          <w:rFonts w:ascii="Arial" w:hAnsi="Arial" w:cs="Arial"/>
        </w:rPr>
        <w:t>Z</w:t>
      </w:r>
      <w:r w:rsidR="008118C3" w:rsidRPr="00E04C25">
        <w:rPr>
          <w:rFonts w:ascii="Arial" w:hAnsi="Arial" w:cs="Arial"/>
        </w:rPr>
        <w:t xml:space="preserve"> výsledků šetření provedeného na pracovištích ÚP ČR k </w:t>
      </w:r>
      <w:r w:rsidR="00B5138C" w:rsidRPr="00E04C25">
        <w:rPr>
          <w:rFonts w:ascii="Arial" w:hAnsi="Arial" w:cs="Arial"/>
        </w:rPr>
        <w:t>poslední průběžné zpráv</w:t>
      </w:r>
      <w:r w:rsidR="00442555" w:rsidRPr="00E04C25">
        <w:rPr>
          <w:rFonts w:ascii="Arial" w:hAnsi="Arial" w:cs="Arial"/>
        </w:rPr>
        <w:t>ě</w:t>
      </w:r>
      <w:r w:rsidR="00B5138C" w:rsidRPr="00E04C25">
        <w:rPr>
          <w:rFonts w:ascii="Arial" w:hAnsi="Arial" w:cs="Arial"/>
        </w:rPr>
        <w:t xml:space="preserve"> k </w:t>
      </w:r>
      <w:r w:rsidRPr="00E04C25">
        <w:rPr>
          <w:rFonts w:ascii="Arial" w:hAnsi="Arial" w:cs="Arial"/>
        </w:rPr>
        <w:t xml:space="preserve">materiálu „Analýza nabídky a poptávky na trhu práce“ vyplynulo, že </w:t>
      </w:r>
      <w:r w:rsidR="008118C3" w:rsidRPr="00E04C25">
        <w:rPr>
          <w:rFonts w:ascii="Arial" w:hAnsi="Arial" w:cs="Arial"/>
        </w:rPr>
        <w:t>mezi uchazeči o zaměstnání</w:t>
      </w:r>
      <w:r w:rsidR="008118C3" w:rsidRPr="00E04C25">
        <w:rPr>
          <w:rFonts w:ascii="Arial" w:hAnsi="Arial" w:cs="Arial"/>
          <w:b/>
        </w:rPr>
        <w:t xml:space="preserve"> nezaměstnanými déle </w:t>
      </w:r>
      <w:r w:rsidRPr="00E04C25">
        <w:rPr>
          <w:rFonts w:ascii="Arial" w:hAnsi="Arial" w:cs="Arial"/>
          <w:b/>
        </w:rPr>
        <w:t>než 1</w:t>
      </w:r>
      <w:r w:rsidR="004B153E" w:rsidRPr="00E04C25">
        <w:rPr>
          <w:rFonts w:ascii="Arial" w:hAnsi="Arial" w:cs="Arial"/>
          <w:b/>
        </w:rPr>
        <w:t> </w:t>
      </w:r>
      <w:r w:rsidRPr="00E04C25">
        <w:rPr>
          <w:rFonts w:ascii="Arial" w:hAnsi="Arial" w:cs="Arial"/>
          <w:b/>
        </w:rPr>
        <w:t xml:space="preserve">rok je cca </w:t>
      </w:r>
      <w:r w:rsidR="008118C3" w:rsidRPr="00E04C25">
        <w:rPr>
          <w:rFonts w:ascii="Arial" w:hAnsi="Arial" w:cs="Arial"/>
          <w:b/>
        </w:rPr>
        <w:t>34,5 %</w:t>
      </w:r>
      <w:r w:rsidRPr="00E04C25">
        <w:rPr>
          <w:rFonts w:ascii="Arial" w:hAnsi="Arial" w:cs="Arial"/>
          <w:b/>
        </w:rPr>
        <w:t xml:space="preserve"> osob starších 55 let </w:t>
      </w:r>
      <w:r w:rsidR="0007182A" w:rsidRPr="00E04C25">
        <w:rPr>
          <w:rFonts w:ascii="Arial" w:hAnsi="Arial" w:cs="Arial"/>
          <w:b/>
        </w:rPr>
        <w:lastRenderedPageBreak/>
        <w:t xml:space="preserve">a 25,9 % OZP, </w:t>
      </w:r>
      <w:r w:rsidRPr="00E04C25">
        <w:rPr>
          <w:rFonts w:ascii="Arial" w:hAnsi="Arial" w:cs="Arial"/>
          <w:b/>
        </w:rPr>
        <w:t xml:space="preserve">nejvýše dosažené základní vzdělání má </w:t>
      </w:r>
      <w:r w:rsidR="008118C3" w:rsidRPr="00E04C25">
        <w:rPr>
          <w:rFonts w:ascii="Arial" w:hAnsi="Arial" w:cs="Arial"/>
          <w:b/>
        </w:rPr>
        <w:t xml:space="preserve">39,3 % </w:t>
      </w:r>
      <w:r w:rsidRPr="00E04C25">
        <w:rPr>
          <w:rFonts w:ascii="Arial" w:hAnsi="Arial" w:cs="Arial"/>
          <w:b/>
        </w:rPr>
        <w:t xml:space="preserve">dlouhodobě nezaměstnaných UoZ </w:t>
      </w:r>
      <w:r w:rsidR="0007182A" w:rsidRPr="00E04C25">
        <w:rPr>
          <w:rFonts w:ascii="Arial" w:hAnsi="Arial" w:cs="Arial"/>
        </w:rPr>
        <w:t>(</w:t>
      </w:r>
      <w:r w:rsidR="008118C3" w:rsidRPr="00E04C25">
        <w:rPr>
          <w:rFonts w:ascii="Arial" w:hAnsi="Arial" w:cs="Arial"/>
        </w:rPr>
        <w:t>zatímco v celkovém počtu U</w:t>
      </w:r>
      <w:r w:rsidR="0007182A" w:rsidRPr="00E04C25">
        <w:rPr>
          <w:rFonts w:ascii="Arial" w:hAnsi="Arial" w:cs="Arial"/>
        </w:rPr>
        <w:t>o</w:t>
      </w:r>
      <w:r w:rsidR="008118C3" w:rsidRPr="00E04C25">
        <w:rPr>
          <w:rFonts w:ascii="Arial" w:hAnsi="Arial" w:cs="Arial"/>
        </w:rPr>
        <w:t>Z je osob ve věku 55+ 24,1 %, OZP 16,4 % a UoZ s</w:t>
      </w:r>
      <w:r w:rsidR="0007182A" w:rsidRPr="00E04C25">
        <w:rPr>
          <w:rFonts w:ascii="Arial" w:hAnsi="Arial" w:cs="Arial"/>
        </w:rPr>
        <w:t>e základním vzděláním nebo bez vzdělání</w:t>
      </w:r>
      <w:r w:rsidR="008118C3" w:rsidRPr="00E04C25">
        <w:rPr>
          <w:rFonts w:ascii="Arial" w:hAnsi="Arial" w:cs="Arial"/>
        </w:rPr>
        <w:t xml:space="preserve"> </w:t>
      </w:r>
      <w:r w:rsidR="0007182A" w:rsidRPr="00E04C25">
        <w:rPr>
          <w:rFonts w:ascii="Arial" w:hAnsi="Arial" w:cs="Arial"/>
        </w:rPr>
        <w:t>30,6 %).</w:t>
      </w:r>
      <w:r w:rsidRPr="00E04C25">
        <w:rPr>
          <w:rFonts w:ascii="Arial" w:hAnsi="Arial" w:cs="Arial"/>
        </w:rPr>
        <w:t xml:space="preserve"> </w:t>
      </w:r>
    </w:p>
    <w:p w:rsidR="00115440" w:rsidRPr="00E04C25" w:rsidRDefault="00115440" w:rsidP="00115440">
      <w:pPr>
        <w:pStyle w:val="Zkladntextodsazen3"/>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360" w:lineRule="auto"/>
        <w:ind w:left="0" w:firstLine="720"/>
        <w:jc w:val="both"/>
        <w:rPr>
          <w:rFonts w:ascii="Arial" w:hAnsi="Arial" w:cs="Arial"/>
          <w:sz w:val="24"/>
          <w:szCs w:val="24"/>
          <w:lang w:val="cs-CZ"/>
        </w:rPr>
      </w:pPr>
    </w:p>
    <w:p w:rsidR="00115440" w:rsidRPr="00E04C25" w:rsidRDefault="00115440" w:rsidP="00115440">
      <w:pPr>
        <w:pStyle w:val="Zkladntextodsazen3"/>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line="360" w:lineRule="auto"/>
        <w:ind w:left="0" w:firstLine="720"/>
        <w:jc w:val="both"/>
        <w:rPr>
          <w:rFonts w:ascii="Arial" w:hAnsi="Arial" w:cs="Arial"/>
          <w:sz w:val="24"/>
          <w:szCs w:val="24"/>
          <w:lang w:val="cs-CZ"/>
        </w:rPr>
      </w:pPr>
      <w:r w:rsidRPr="00E04C25">
        <w:rPr>
          <w:rFonts w:ascii="Arial" w:hAnsi="Arial" w:cs="Arial"/>
          <w:sz w:val="24"/>
          <w:szCs w:val="24"/>
        </w:rPr>
        <w:t xml:space="preserve">V souladu s </w:t>
      </w:r>
      <w:r w:rsidRPr="00E04C25">
        <w:rPr>
          <w:rFonts w:ascii="Arial" w:hAnsi="Arial" w:cs="Arial"/>
          <w:sz w:val="24"/>
          <w:szCs w:val="24"/>
          <w:lang w:val="cs-CZ"/>
        </w:rPr>
        <w:t xml:space="preserve">instrukcí MPSV k realizaci aktivní politiky zaměstnanosti </w:t>
      </w:r>
      <w:r w:rsidRPr="00E04C25">
        <w:rPr>
          <w:rFonts w:ascii="Arial" w:hAnsi="Arial" w:cs="Arial"/>
          <w:sz w:val="24"/>
          <w:szCs w:val="24"/>
        </w:rPr>
        <w:t>věn</w:t>
      </w:r>
      <w:r w:rsidR="00442555" w:rsidRPr="00E04C25">
        <w:rPr>
          <w:rFonts w:ascii="Arial" w:hAnsi="Arial" w:cs="Arial"/>
          <w:sz w:val="24"/>
          <w:szCs w:val="24"/>
          <w:lang w:val="cs-CZ"/>
        </w:rPr>
        <w:t xml:space="preserve">oval </w:t>
      </w:r>
      <w:r w:rsidRPr="00E04C25">
        <w:rPr>
          <w:rFonts w:ascii="Arial" w:hAnsi="Arial" w:cs="Arial"/>
          <w:sz w:val="24"/>
          <w:szCs w:val="24"/>
        </w:rPr>
        <w:t>ÚP</w:t>
      </w:r>
      <w:r w:rsidRPr="00E04C25">
        <w:rPr>
          <w:rFonts w:ascii="Arial" w:hAnsi="Arial" w:cs="Arial"/>
          <w:sz w:val="24"/>
          <w:szCs w:val="24"/>
          <w:lang w:val="cs-CZ"/>
        </w:rPr>
        <w:t xml:space="preserve"> ČR</w:t>
      </w:r>
      <w:r w:rsidRPr="00E04C25">
        <w:rPr>
          <w:rFonts w:ascii="Arial" w:hAnsi="Arial" w:cs="Arial"/>
          <w:sz w:val="24"/>
          <w:szCs w:val="24"/>
        </w:rPr>
        <w:t xml:space="preserve"> zvýšenou péči uchazečům o zaměstnání, kteří </w:t>
      </w:r>
      <w:r w:rsidRPr="00E04C25">
        <w:rPr>
          <w:rFonts w:ascii="Arial" w:hAnsi="Arial" w:cs="Arial"/>
          <w:sz w:val="24"/>
          <w:szCs w:val="24"/>
          <w:lang w:val="cs-CZ"/>
        </w:rPr>
        <w:t>jsou</w:t>
      </w:r>
      <w:r w:rsidRPr="00E04C25">
        <w:rPr>
          <w:rFonts w:ascii="Arial" w:hAnsi="Arial" w:cs="Arial"/>
          <w:sz w:val="24"/>
          <w:szCs w:val="24"/>
        </w:rPr>
        <w:t xml:space="preserve"> v evidenci </w:t>
      </w:r>
      <w:r w:rsidRPr="00E04C25">
        <w:rPr>
          <w:rFonts w:ascii="Arial" w:hAnsi="Arial" w:cs="Arial"/>
          <w:b/>
          <w:sz w:val="24"/>
          <w:szCs w:val="24"/>
        </w:rPr>
        <w:t>déle než 5</w:t>
      </w:r>
      <w:r w:rsidR="003D0662">
        <w:rPr>
          <w:rFonts w:ascii="Arial" w:hAnsi="Arial" w:cs="Arial"/>
          <w:b/>
          <w:sz w:val="24"/>
          <w:szCs w:val="24"/>
          <w:lang w:val="cs-CZ"/>
        </w:rPr>
        <w:t> </w:t>
      </w:r>
      <w:r w:rsidRPr="00E04C25">
        <w:rPr>
          <w:rFonts w:ascii="Arial" w:hAnsi="Arial" w:cs="Arial"/>
          <w:b/>
          <w:sz w:val="24"/>
          <w:szCs w:val="24"/>
        </w:rPr>
        <w:t xml:space="preserve">měsíců. Na konci </w:t>
      </w:r>
      <w:r w:rsidRPr="00E04C25">
        <w:rPr>
          <w:rFonts w:ascii="Arial" w:hAnsi="Arial" w:cs="Arial"/>
          <w:b/>
          <w:sz w:val="24"/>
          <w:szCs w:val="24"/>
          <w:lang w:val="cs-CZ"/>
        </w:rPr>
        <w:t>prosince</w:t>
      </w:r>
      <w:r w:rsidRPr="00E04C25">
        <w:rPr>
          <w:rFonts w:ascii="Arial" w:hAnsi="Arial" w:cs="Arial"/>
          <w:sz w:val="24"/>
          <w:szCs w:val="24"/>
        </w:rPr>
        <w:t xml:space="preserve"> </w:t>
      </w:r>
      <w:r w:rsidRPr="00E04C25">
        <w:rPr>
          <w:rFonts w:ascii="Arial" w:hAnsi="Arial" w:cs="Arial"/>
          <w:b/>
          <w:sz w:val="24"/>
          <w:szCs w:val="24"/>
        </w:rPr>
        <w:t>201</w:t>
      </w:r>
      <w:r w:rsidR="00A22B69" w:rsidRPr="00E04C25">
        <w:rPr>
          <w:rFonts w:ascii="Arial" w:hAnsi="Arial" w:cs="Arial"/>
          <w:b/>
          <w:sz w:val="24"/>
          <w:szCs w:val="24"/>
          <w:lang w:val="cs-CZ"/>
        </w:rPr>
        <w:t>7</w:t>
      </w:r>
      <w:r w:rsidRPr="00E04C25">
        <w:rPr>
          <w:rFonts w:ascii="Arial" w:hAnsi="Arial" w:cs="Arial"/>
          <w:sz w:val="24"/>
          <w:szCs w:val="24"/>
        </w:rPr>
        <w:t xml:space="preserve"> jich bylo evidováno </w:t>
      </w:r>
      <w:r w:rsidR="00A22B69" w:rsidRPr="00E04C25">
        <w:rPr>
          <w:rFonts w:ascii="Arial" w:hAnsi="Arial" w:cs="Arial"/>
          <w:b/>
          <w:sz w:val="24"/>
          <w:szCs w:val="24"/>
          <w:lang w:val="cs-CZ"/>
        </w:rPr>
        <w:t>147</w:t>
      </w:r>
      <w:r w:rsidRPr="00E04C25">
        <w:rPr>
          <w:rFonts w:ascii="Arial" w:hAnsi="Arial" w:cs="Arial"/>
          <w:b/>
          <w:sz w:val="24"/>
          <w:szCs w:val="24"/>
          <w:lang w:val="cs-CZ"/>
        </w:rPr>
        <w:t>,</w:t>
      </w:r>
      <w:r w:rsidR="00A22B69" w:rsidRPr="00E04C25">
        <w:rPr>
          <w:rFonts w:ascii="Arial" w:hAnsi="Arial" w:cs="Arial"/>
          <w:b/>
          <w:sz w:val="24"/>
          <w:szCs w:val="24"/>
          <w:lang w:val="cs-CZ"/>
        </w:rPr>
        <w:t>1</w:t>
      </w:r>
      <w:r w:rsidRPr="00E04C25">
        <w:rPr>
          <w:rFonts w:ascii="Arial" w:hAnsi="Arial" w:cs="Arial"/>
          <w:b/>
          <w:sz w:val="24"/>
          <w:szCs w:val="24"/>
          <w:lang w:val="cs-CZ"/>
        </w:rPr>
        <w:t> </w:t>
      </w:r>
      <w:r w:rsidRPr="00E04C25">
        <w:rPr>
          <w:rFonts w:ascii="Arial" w:hAnsi="Arial" w:cs="Arial"/>
          <w:b/>
          <w:sz w:val="24"/>
          <w:szCs w:val="24"/>
        </w:rPr>
        <w:t>tis.</w:t>
      </w:r>
      <w:r w:rsidRPr="00E04C25">
        <w:rPr>
          <w:rFonts w:ascii="Arial" w:hAnsi="Arial" w:cs="Arial"/>
          <w:sz w:val="24"/>
          <w:szCs w:val="24"/>
        </w:rPr>
        <w:t xml:space="preserve">, což znamená meziroční </w:t>
      </w:r>
      <w:r w:rsidRPr="00E04C25">
        <w:rPr>
          <w:rFonts w:ascii="Arial" w:hAnsi="Arial" w:cs="Arial"/>
          <w:sz w:val="24"/>
          <w:szCs w:val="24"/>
          <w:lang w:val="cs-CZ"/>
        </w:rPr>
        <w:t>pokles</w:t>
      </w:r>
      <w:r w:rsidRPr="00E04C25">
        <w:rPr>
          <w:rFonts w:ascii="Arial" w:hAnsi="Arial" w:cs="Arial"/>
          <w:sz w:val="24"/>
          <w:szCs w:val="24"/>
        </w:rPr>
        <w:t xml:space="preserve"> o </w:t>
      </w:r>
      <w:r w:rsidR="00A22B69" w:rsidRPr="00E04C25">
        <w:rPr>
          <w:rFonts w:ascii="Arial" w:hAnsi="Arial" w:cs="Arial"/>
          <w:sz w:val="24"/>
          <w:szCs w:val="24"/>
          <w:lang w:val="cs-CZ"/>
        </w:rPr>
        <w:t>70</w:t>
      </w:r>
      <w:r w:rsidRPr="00E04C25">
        <w:rPr>
          <w:rFonts w:ascii="Arial" w:hAnsi="Arial" w:cs="Arial"/>
          <w:sz w:val="24"/>
          <w:szCs w:val="24"/>
          <w:lang w:val="cs-CZ"/>
        </w:rPr>
        <w:t>,</w:t>
      </w:r>
      <w:r w:rsidR="00A22B69" w:rsidRPr="00E04C25">
        <w:rPr>
          <w:rFonts w:ascii="Arial" w:hAnsi="Arial" w:cs="Arial"/>
          <w:sz w:val="24"/>
          <w:szCs w:val="24"/>
          <w:lang w:val="cs-CZ"/>
        </w:rPr>
        <w:t>6</w:t>
      </w:r>
      <w:r w:rsidRPr="00E04C25">
        <w:rPr>
          <w:rFonts w:ascii="Arial" w:hAnsi="Arial" w:cs="Arial"/>
          <w:sz w:val="24"/>
          <w:szCs w:val="24"/>
        </w:rPr>
        <w:t> tis. osob</w:t>
      </w:r>
      <w:r w:rsidRPr="00E04C25">
        <w:rPr>
          <w:rFonts w:ascii="Arial" w:hAnsi="Arial" w:cs="Arial"/>
          <w:sz w:val="24"/>
          <w:szCs w:val="24"/>
          <w:lang w:val="cs-CZ"/>
        </w:rPr>
        <w:t>, tj. o </w:t>
      </w:r>
      <w:r w:rsidR="00A22B69" w:rsidRPr="00E04C25">
        <w:rPr>
          <w:rFonts w:ascii="Arial" w:hAnsi="Arial" w:cs="Arial"/>
          <w:sz w:val="24"/>
          <w:szCs w:val="24"/>
          <w:lang w:val="cs-CZ"/>
        </w:rPr>
        <w:t>32</w:t>
      </w:r>
      <w:r w:rsidRPr="00E04C25">
        <w:rPr>
          <w:rFonts w:ascii="Arial" w:hAnsi="Arial" w:cs="Arial"/>
          <w:sz w:val="24"/>
          <w:szCs w:val="24"/>
          <w:lang w:val="cs-CZ"/>
        </w:rPr>
        <w:t>,</w:t>
      </w:r>
      <w:r w:rsidR="00A22B69" w:rsidRPr="00E04C25">
        <w:rPr>
          <w:rFonts w:ascii="Arial" w:hAnsi="Arial" w:cs="Arial"/>
          <w:sz w:val="24"/>
          <w:szCs w:val="24"/>
          <w:lang w:val="cs-CZ"/>
        </w:rPr>
        <w:t>4</w:t>
      </w:r>
      <w:r w:rsidRPr="00E04C25">
        <w:rPr>
          <w:rFonts w:ascii="Arial" w:hAnsi="Arial" w:cs="Arial"/>
          <w:sz w:val="24"/>
          <w:szCs w:val="24"/>
          <w:lang w:val="cs-CZ"/>
        </w:rPr>
        <w:t> %</w:t>
      </w:r>
      <w:r w:rsidRPr="00E04C25">
        <w:rPr>
          <w:rFonts w:ascii="Arial" w:hAnsi="Arial" w:cs="Arial"/>
          <w:sz w:val="24"/>
          <w:szCs w:val="24"/>
        </w:rPr>
        <w:t xml:space="preserve">. Jejich </w:t>
      </w:r>
      <w:r w:rsidRPr="00E04C25">
        <w:rPr>
          <w:rFonts w:ascii="Arial" w:hAnsi="Arial" w:cs="Arial"/>
          <w:b/>
          <w:sz w:val="24"/>
          <w:szCs w:val="24"/>
        </w:rPr>
        <w:t>podíl</w:t>
      </w:r>
      <w:r w:rsidRPr="00E04C25">
        <w:rPr>
          <w:rFonts w:ascii="Arial" w:hAnsi="Arial" w:cs="Arial"/>
          <w:sz w:val="24"/>
          <w:szCs w:val="24"/>
        </w:rPr>
        <w:t xml:space="preserve"> na celkovém počtu nezaměstnaných </w:t>
      </w:r>
      <w:r w:rsidRPr="00E04C25">
        <w:rPr>
          <w:rFonts w:ascii="Arial" w:hAnsi="Arial" w:cs="Arial"/>
          <w:sz w:val="24"/>
          <w:szCs w:val="24"/>
          <w:lang w:val="cs-CZ"/>
        </w:rPr>
        <w:t xml:space="preserve">meziročně </w:t>
      </w:r>
      <w:r w:rsidRPr="00E04C25">
        <w:rPr>
          <w:rFonts w:ascii="Arial" w:hAnsi="Arial" w:cs="Arial"/>
          <w:b/>
          <w:sz w:val="24"/>
          <w:szCs w:val="24"/>
          <w:lang w:val="cs-CZ"/>
        </w:rPr>
        <w:t xml:space="preserve">poklesl </w:t>
      </w:r>
      <w:r w:rsidRPr="00E04C25">
        <w:rPr>
          <w:rFonts w:ascii="Arial" w:hAnsi="Arial" w:cs="Arial"/>
          <w:sz w:val="24"/>
          <w:szCs w:val="24"/>
          <w:lang w:val="cs-CZ"/>
        </w:rPr>
        <w:t>o </w:t>
      </w:r>
      <w:r w:rsidR="00A22B69" w:rsidRPr="00E04C25">
        <w:rPr>
          <w:rFonts w:ascii="Arial" w:hAnsi="Arial" w:cs="Arial"/>
          <w:sz w:val="24"/>
          <w:szCs w:val="24"/>
          <w:lang w:val="cs-CZ"/>
        </w:rPr>
        <w:t>4</w:t>
      </w:r>
      <w:r w:rsidRPr="00E04C25">
        <w:rPr>
          <w:rFonts w:ascii="Arial" w:hAnsi="Arial" w:cs="Arial"/>
          <w:sz w:val="24"/>
          <w:szCs w:val="24"/>
          <w:lang w:val="cs-CZ"/>
        </w:rPr>
        <w:t>,</w:t>
      </w:r>
      <w:r w:rsidR="00A22B69" w:rsidRPr="00E04C25">
        <w:rPr>
          <w:rFonts w:ascii="Arial" w:hAnsi="Arial" w:cs="Arial"/>
          <w:sz w:val="24"/>
          <w:szCs w:val="24"/>
          <w:lang w:val="cs-CZ"/>
        </w:rPr>
        <w:t>7</w:t>
      </w:r>
      <w:r w:rsidRPr="00E04C25">
        <w:rPr>
          <w:rFonts w:ascii="Arial" w:hAnsi="Arial" w:cs="Arial"/>
          <w:sz w:val="24"/>
          <w:szCs w:val="24"/>
          <w:lang w:val="cs-CZ"/>
        </w:rPr>
        <w:t> p. b. </w:t>
      </w:r>
      <w:r w:rsidRPr="00E04C25">
        <w:rPr>
          <w:rFonts w:ascii="Arial" w:hAnsi="Arial" w:cs="Arial"/>
          <w:b/>
          <w:sz w:val="24"/>
          <w:szCs w:val="24"/>
          <w:lang w:val="cs-CZ"/>
        </w:rPr>
        <w:t>na 5</w:t>
      </w:r>
      <w:r w:rsidR="00A22B69" w:rsidRPr="00E04C25">
        <w:rPr>
          <w:rFonts w:ascii="Arial" w:hAnsi="Arial" w:cs="Arial"/>
          <w:b/>
          <w:sz w:val="24"/>
          <w:szCs w:val="24"/>
          <w:lang w:val="cs-CZ"/>
        </w:rPr>
        <w:t>2</w:t>
      </w:r>
      <w:r w:rsidRPr="00E04C25">
        <w:rPr>
          <w:rFonts w:ascii="Arial" w:hAnsi="Arial" w:cs="Arial"/>
          <w:b/>
          <w:sz w:val="24"/>
          <w:szCs w:val="24"/>
          <w:lang w:val="cs-CZ"/>
        </w:rPr>
        <w:t>,</w:t>
      </w:r>
      <w:r w:rsidR="00A22B69" w:rsidRPr="00E04C25">
        <w:rPr>
          <w:rFonts w:ascii="Arial" w:hAnsi="Arial" w:cs="Arial"/>
          <w:b/>
          <w:sz w:val="24"/>
          <w:szCs w:val="24"/>
          <w:lang w:val="cs-CZ"/>
        </w:rPr>
        <w:t>4</w:t>
      </w:r>
      <w:r w:rsidRPr="00E04C25">
        <w:rPr>
          <w:rFonts w:ascii="Arial" w:hAnsi="Arial" w:cs="Arial"/>
          <w:b/>
          <w:sz w:val="24"/>
          <w:szCs w:val="24"/>
          <w:lang w:val="cs-CZ"/>
        </w:rPr>
        <w:t> %</w:t>
      </w:r>
      <w:r w:rsidRPr="00E04C25">
        <w:rPr>
          <w:rFonts w:ascii="Arial" w:hAnsi="Arial" w:cs="Arial"/>
          <w:sz w:val="24"/>
          <w:szCs w:val="24"/>
          <w:lang w:val="cs-CZ"/>
        </w:rPr>
        <w:t>.</w:t>
      </w:r>
    </w:p>
    <w:p w:rsidR="00115440" w:rsidRPr="00E04C25" w:rsidRDefault="00115440" w:rsidP="00115440">
      <w:pPr>
        <w:pStyle w:val="Zkladntextodsazen3"/>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ind w:left="0" w:firstLine="720"/>
        <w:jc w:val="both"/>
        <w:rPr>
          <w:rFonts w:ascii="Arial" w:hAnsi="Arial" w:cs="Arial"/>
          <w:lang w:val="cs-CZ"/>
        </w:rPr>
      </w:pPr>
    </w:p>
    <w:p w:rsidR="00115440" w:rsidRPr="00E04C25" w:rsidRDefault="00115440" w:rsidP="00115440">
      <w:pPr>
        <w:pStyle w:val="Zkladntextodsazen3"/>
        <w:tabs>
          <w:tab w:val="left" w:pos="0"/>
          <w:tab w:val="left" w:pos="567"/>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after="0"/>
        <w:ind w:left="0"/>
        <w:jc w:val="both"/>
        <w:rPr>
          <w:szCs w:val="23"/>
        </w:rPr>
      </w:pPr>
      <w:r w:rsidRPr="00E04C25">
        <w:rPr>
          <w:rFonts w:ascii="Arial" w:hAnsi="Arial" w:cs="Arial"/>
          <w:sz w:val="24"/>
          <w:szCs w:val="24"/>
          <w:lang w:val="cs-CZ"/>
        </w:rPr>
        <w:tab/>
      </w:r>
    </w:p>
    <w:p w:rsidR="00115440" w:rsidRPr="00E04C25" w:rsidRDefault="00115440" w:rsidP="00304119">
      <w:pPr>
        <w:pStyle w:val="Nadpis3"/>
        <w:numPr>
          <w:ilvl w:val="0"/>
          <w:numId w:val="17"/>
        </w:numPr>
        <w:spacing w:line="360" w:lineRule="auto"/>
        <w:jc w:val="both"/>
        <w:rPr>
          <w:szCs w:val="23"/>
        </w:rPr>
      </w:pPr>
      <w:r w:rsidRPr="00E04C25">
        <w:rPr>
          <w:szCs w:val="23"/>
        </w:rPr>
        <w:t>Délka evidence uchazečů o zaměstnání</w:t>
      </w:r>
    </w:p>
    <w:p w:rsidR="00115440" w:rsidRPr="00E04C25" w:rsidRDefault="00115440" w:rsidP="00115440">
      <w:pPr>
        <w:rPr>
          <w:sz w:val="16"/>
          <w:szCs w:val="16"/>
          <w:vertAlign w:val="subscript"/>
        </w:rPr>
      </w:pPr>
    </w:p>
    <w:p w:rsidR="00115440" w:rsidRPr="00E04C25" w:rsidRDefault="00115440" w:rsidP="00115440">
      <w:pPr>
        <w:tabs>
          <w:tab w:val="left" w:pos="567"/>
        </w:tabs>
        <w:spacing w:line="360" w:lineRule="auto"/>
        <w:ind w:firstLine="567"/>
        <w:jc w:val="both"/>
        <w:rPr>
          <w:rFonts w:ascii="Arial" w:hAnsi="Arial" w:cs="Arial"/>
          <w:szCs w:val="23"/>
        </w:rPr>
      </w:pPr>
      <w:r w:rsidRPr="00E04C25">
        <w:rPr>
          <w:rFonts w:ascii="Arial" w:hAnsi="Arial" w:cs="Arial"/>
          <w:szCs w:val="23"/>
        </w:rPr>
        <w:t>Díky relativně příznivému vývoji počtu dlouhodobě nezaměstnaných se délka evidence na ÚP ČR nepatrně</w:t>
      </w:r>
      <w:r w:rsidR="00A22B69" w:rsidRPr="00E04C25">
        <w:rPr>
          <w:rFonts w:ascii="Arial" w:hAnsi="Arial" w:cs="Arial"/>
          <w:szCs w:val="23"/>
        </w:rPr>
        <w:t xml:space="preserve"> zkrátila</w:t>
      </w:r>
      <w:r w:rsidRPr="00E04C25">
        <w:rPr>
          <w:rFonts w:ascii="Arial" w:hAnsi="Arial" w:cs="Arial"/>
          <w:szCs w:val="23"/>
        </w:rPr>
        <w:t xml:space="preserve">. Průměrná </w:t>
      </w:r>
      <w:r w:rsidRPr="00E04C25">
        <w:rPr>
          <w:rFonts w:ascii="Arial" w:hAnsi="Arial" w:cs="Arial"/>
          <w:b/>
          <w:bCs/>
          <w:szCs w:val="23"/>
        </w:rPr>
        <w:t>délka průběžné evidence</w:t>
      </w:r>
      <w:r w:rsidRPr="00E04C25">
        <w:rPr>
          <w:rFonts w:ascii="Arial" w:hAnsi="Arial" w:cs="Arial"/>
          <w:szCs w:val="23"/>
        </w:rPr>
        <w:t xml:space="preserve"> (tj. délka evidence uchazečů o zaměstnání, kteří byli k 31. 12. 201</w:t>
      </w:r>
      <w:r w:rsidR="00A22B69" w:rsidRPr="00E04C25">
        <w:rPr>
          <w:rFonts w:ascii="Arial" w:hAnsi="Arial" w:cs="Arial"/>
          <w:szCs w:val="23"/>
        </w:rPr>
        <w:t>7</w:t>
      </w:r>
      <w:r w:rsidRPr="00E04C25">
        <w:rPr>
          <w:rFonts w:ascii="Arial" w:hAnsi="Arial" w:cs="Arial"/>
          <w:szCs w:val="23"/>
        </w:rPr>
        <w:t xml:space="preserve"> </w:t>
      </w:r>
      <w:r w:rsidR="00DB3E46" w:rsidRPr="00E04C25">
        <w:rPr>
          <w:rFonts w:ascii="Arial" w:hAnsi="Arial" w:cs="Arial"/>
          <w:szCs w:val="23"/>
        </w:rPr>
        <w:t>evidováni</w:t>
      </w:r>
      <w:r w:rsidRPr="00E04C25">
        <w:rPr>
          <w:rFonts w:ascii="Arial" w:hAnsi="Arial" w:cs="Arial"/>
          <w:szCs w:val="23"/>
        </w:rPr>
        <w:t xml:space="preserve"> na ÚP ČR) byla proti prosinci 201</w:t>
      </w:r>
      <w:r w:rsidR="00A22B69" w:rsidRPr="00E04C25">
        <w:rPr>
          <w:rFonts w:ascii="Arial" w:hAnsi="Arial" w:cs="Arial"/>
          <w:szCs w:val="23"/>
        </w:rPr>
        <w:t>6</w:t>
      </w:r>
      <w:r w:rsidRPr="00E04C25">
        <w:rPr>
          <w:rFonts w:ascii="Arial" w:hAnsi="Arial" w:cs="Arial"/>
          <w:szCs w:val="23"/>
        </w:rPr>
        <w:t xml:space="preserve"> (68</w:t>
      </w:r>
      <w:r w:rsidR="00A22B69" w:rsidRPr="00E04C25">
        <w:rPr>
          <w:rFonts w:ascii="Arial" w:hAnsi="Arial" w:cs="Arial"/>
          <w:szCs w:val="23"/>
        </w:rPr>
        <w:t>5</w:t>
      </w:r>
      <w:r w:rsidRPr="00E04C25">
        <w:rPr>
          <w:rFonts w:ascii="Arial" w:hAnsi="Arial" w:cs="Arial"/>
          <w:szCs w:val="23"/>
        </w:rPr>
        <w:t xml:space="preserve"> dní) </w:t>
      </w:r>
      <w:r w:rsidR="00A22B69" w:rsidRPr="00E04C25">
        <w:rPr>
          <w:rFonts w:ascii="Arial" w:hAnsi="Arial" w:cs="Arial"/>
          <w:szCs w:val="23"/>
        </w:rPr>
        <w:t>kratší</w:t>
      </w:r>
      <w:r w:rsidRPr="00E04C25">
        <w:rPr>
          <w:rFonts w:ascii="Arial" w:hAnsi="Arial" w:cs="Arial"/>
          <w:szCs w:val="23"/>
        </w:rPr>
        <w:t xml:space="preserve"> o </w:t>
      </w:r>
      <w:r w:rsidR="00A22B69" w:rsidRPr="00E04C25">
        <w:rPr>
          <w:rFonts w:ascii="Arial" w:hAnsi="Arial" w:cs="Arial"/>
          <w:szCs w:val="23"/>
        </w:rPr>
        <w:t>6</w:t>
      </w:r>
      <w:r w:rsidRPr="00E04C25">
        <w:rPr>
          <w:rFonts w:ascii="Arial" w:hAnsi="Arial" w:cs="Arial"/>
          <w:szCs w:val="23"/>
        </w:rPr>
        <w:t xml:space="preserve"> dny a dosáhla </w:t>
      </w:r>
      <w:r w:rsidRPr="00E04C25">
        <w:rPr>
          <w:rFonts w:ascii="Arial" w:hAnsi="Arial" w:cs="Arial"/>
          <w:b/>
          <w:szCs w:val="23"/>
        </w:rPr>
        <w:t>6</w:t>
      </w:r>
      <w:r w:rsidR="00A22B69" w:rsidRPr="00E04C25">
        <w:rPr>
          <w:rFonts w:ascii="Arial" w:hAnsi="Arial" w:cs="Arial"/>
          <w:b/>
          <w:szCs w:val="23"/>
        </w:rPr>
        <w:t>79</w:t>
      </w:r>
      <w:r w:rsidRPr="00E04C25">
        <w:rPr>
          <w:rFonts w:ascii="Arial" w:hAnsi="Arial" w:cs="Arial"/>
          <w:b/>
          <w:szCs w:val="23"/>
        </w:rPr>
        <w:t xml:space="preserve"> dní</w:t>
      </w:r>
      <w:r w:rsidRPr="00E04C25">
        <w:rPr>
          <w:rFonts w:ascii="Arial" w:hAnsi="Arial" w:cs="Arial"/>
          <w:szCs w:val="23"/>
        </w:rPr>
        <w:t xml:space="preserve">. </w:t>
      </w:r>
    </w:p>
    <w:p w:rsidR="00115440" w:rsidRPr="00E04C25" w:rsidRDefault="00115440" w:rsidP="00115440">
      <w:pPr>
        <w:pStyle w:val="Zkladntext"/>
        <w:spacing w:line="360" w:lineRule="auto"/>
        <w:ind w:firstLine="567"/>
        <w:rPr>
          <w:b/>
          <w:color w:val="auto"/>
          <w:szCs w:val="23"/>
          <w:lang w:val="cs-CZ"/>
        </w:rPr>
      </w:pPr>
      <w:r w:rsidRPr="00E04C25">
        <w:rPr>
          <w:color w:val="auto"/>
          <w:szCs w:val="23"/>
          <w:lang w:val="cs-CZ"/>
        </w:rPr>
        <w:t xml:space="preserve">Průměrná </w:t>
      </w:r>
      <w:r w:rsidRPr="00E04C25">
        <w:rPr>
          <w:b/>
          <w:bCs/>
          <w:color w:val="auto"/>
          <w:szCs w:val="23"/>
          <w:lang w:val="cs-CZ"/>
        </w:rPr>
        <w:t>délka</w:t>
      </w:r>
      <w:r w:rsidRPr="00E04C25">
        <w:rPr>
          <w:b/>
          <w:bCs/>
          <w:color w:val="auto"/>
          <w:szCs w:val="23"/>
        </w:rPr>
        <w:t xml:space="preserve"> ukončené evidence</w:t>
      </w:r>
      <w:r w:rsidRPr="00E04C25">
        <w:rPr>
          <w:color w:val="auto"/>
          <w:szCs w:val="23"/>
        </w:rPr>
        <w:t xml:space="preserve"> </w:t>
      </w:r>
      <w:r w:rsidRPr="00E04C25">
        <w:rPr>
          <w:color w:val="auto"/>
          <w:szCs w:val="23"/>
          <w:lang w:val="cs-CZ"/>
        </w:rPr>
        <w:t>(tj. délka nezaměstnanosti těch, kteří z evidence odešli) na konci roku 201</w:t>
      </w:r>
      <w:r w:rsidR="00A22B69" w:rsidRPr="00E04C25">
        <w:rPr>
          <w:color w:val="auto"/>
          <w:szCs w:val="23"/>
          <w:lang w:val="cs-CZ"/>
        </w:rPr>
        <w:t>6</w:t>
      </w:r>
      <w:r w:rsidRPr="00E04C25">
        <w:rPr>
          <w:color w:val="auto"/>
          <w:szCs w:val="23"/>
          <w:lang w:val="cs-CZ"/>
        </w:rPr>
        <w:t xml:space="preserve"> </w:t>
      </w:r>
      <w:r w:rsidRPr="00E04C25">
        <w:rPr>
          <w:color w:val="auto"/>
          <w:szCs w:val="23"/>
        </w:rPr>
        <w:t xml:space="preserve">představovala </w:t>
      </w:r>
      <w:r w:rsidRPr="00E04C25">
        <w:rPr>
          <w:color w:val="auto"/>
          <w:szCs w:val="23"/>
          <w:lang w:val="cs-CZ"/>
        </w:rPr>
        <w:t>3</w:t>
      </w:r>
      <w:r w:rsidR="00A22B69" w:rsidRPr="00E04C25">
        <w:rPr>
          <w:color w:val="auto"/>
          <w:szCs w:val="23"/>
          <w:lang w:val="cs-CZ"/>
        </w:rPr>
        <w:t>24</w:t>
      </w:r>
      <w:r w:rsidRPr="00E04C25">
        <w:rPr>
          <w:bCs/>
          <w:color w:val="auto"/>
          <w:szCs w:val="23"/>
        </w:rPr>
        <w:t> dní</w:t>
      </w:r>
      <w:r w:rsidRPr="00E04C25">
        <w:rPr>
          <w:color w:val="auto"/>
          <w:szCs w:val="23"/>
          <w:lang w:val="cs-CZ"/>
        </w:rPr>
        <w:t xml:space="preserve">, </w:t>
      </w:r>
      <w:r w:rsidRPr="00E04C25">
        <w:rPr>
          <w:b/>
          <w:color w:val="auto"/>
          <w:szCs w:val="23"/>
          <w:lang w:val="cs-CZ"/>
        </w:rPr>
        <w:t>v prosinci 201</w:t>
      </w:r>
      <w:r w:rsidR="00A22B69" w:rsidRPr="00E04C25">
        <w:rPr>
          <w:b/>
          <w:color w:val="auto"/>
          <w:szCs w:val="23"/>
          <w:lang w:val="cs-CZ"/>
        </w:rPr>
        <w:t>7</w:t>
      </w:r>
      <w:r w:rsidRPr="00E04C25">
        <w:rPr>
          <w:color w:val="auto"/>
          <w:szCs w:val="23"/>
          <w:lang w:val="cs-CZ"/>
        </w:rPr>
        <w:t xml:space="preserve"> se </w:t>
      </w:r>
      <w:r w:rsidR="00A22B69" w:rsidRPr="00E04C25">
        <w:rPr>
          <w:color w:val="auto"/>
          <w:szCs w:val="23"/>
          <w:lang w:val="cs-CZ"/>
        </w:rPr>
        <w:t>zkrátila</w:t>
      </w:r>
      <w:r w:rsidRPr="00E04C25">
        <w:rPr>
          <w:color w:val="auto"/>
          <w:szCs w:val="23"/>
          <w:lang w:val="cs-CZ"/>
        </w:rPr>
        <w:t xml:space="preserve"> na </w:t>
      </w:r>
      <w:r w:rsidRPr="00E04C25">
        <w:rPr>
          <w:b/>
          <w:color w:val="auto"/>
          <w:szCs w:val="23"/>
          <w:lang w:val="cs-CZ"/>
        </w:rPr>
        <w:t>3</w:t>
      </w:r>
      <w:r w:rsidR="00A22B69" w:rsidRPr="00E04C25">
        <w:rPr>
          <w:b/>
          <w:color w:val="auto"/>
          <w:szCs w:val="23"/>
          <w:lang w:val="cs-CZ"/>
        </w:rPr>
        <w:t>12</w:t>
      </w:r>
      <w:r w:rsidRPr="00E04C25">
        <w:rPr>
          <w:b/>
          <w:color w:val="auto"/>
          <w:szCs w:val="23"/>
          <w:lang w:val="cs-CZ"/>
        </w:rPr>
        <w:t xml:space="preserve"> dní. </w:t>
      </w:r>
    </w:p>
    <w:p w:rsidR="00A22B69" w:rsidRPr="00E04C25" w:rsidRDefault="00A22B69" w:rsidP="00115440">
      <w:pPr>
        <w:pStyle w:val="Zkladntext"/>
        <w:spacing w:line="360" w:lineRule="auto"/>
        <w:ind w:firstLine="567"/>
        <w:rPr>
          <w:color w:val="auto"/>
          <w:szCs w:val="23"/>
          <w:lang w:val="cs-CZ"/>
        </w:rPr>
      </w:pPr>
    </w:p>
    <w:p w:rsidR="00115440" w:rsidRPr="00E04C25" w:rsidRDefault="00115440" w:rsidP="00304119">
      <w:pPr>
        <w:pStyle w:val="Zkladntextodsazen"/>
        <w:numPr>
          <w:ilvl w:val="0"/>
          <w:numId w:val="17"/>
        </w:numPr>
        <w:tabs>
          <w:tab w:val="left" w:pos="720"/>
        </w:tabs>
        <w:spacing w:line="240" w:lineRule="auto"/>
        <w:jc w:val="left"/>
        <w:rPr>
          <w:rFonts w:cs="Arial"/>
          <w:b/>
          <w:bCs/>
        </w:rPr>
      </w:pPr>
      <w:r w:rsidRPr="00E04C25">
        <w:rPr>
          <w:rFonts w:cs="Arial"/>
          <w:b/>
          <w:bCs/>
        </w:rPr>
        <w:t xml:space="preserve">Struktura uchazečů o zaměstnání a volných pracovních míst podle </w:t>
      </w:r>
      <w:r w:rsidRPr="00E04C25">
        <w:rPr>
          <w:rFonts w:cs="Arial"/>
          <w:b/>
          <w:bCs/>
          <w:lang w:val="cs-CZ"/>
        </w:rPr>
        <w:t xml:space="preserve">stupně </w:t>
      </w:r>
      <w:r w:rsidRPr="00E04C25">
        <w:rPr>
          <w:rFonts w:cs="Arial"/>
          <w:b/>
          <w:bCs/>
        </w:rPr>
        <w:t>vzdělání</w:t>
      </w:r>
    </w:p>
    <w:p w:rsidR="00115440" w:rsidRPr="00E04C25" w:rsidRDefault="00115440" w:rsidP="00115440">
      <w:pPr>
        <w:pStyle w:val="Zkladntextodsazen"/>
        <w:tabs>
          <w:tab w:val="left" w:pos="720"/>
        </w:tabs>
        <w:spacing w:line="240" w:lineRule="auto"/>
        <w:ind w:left="720" w:firstLine="0"/>
        <w:jc w:val="left"/>
        <w:rPr>
          <w:rFonts w:cs="Arial"/>
          <w:b/>
          <w:bCs/>
          <w:sz w:val="16"/>
          <w:szCs w:val="16"/>
        </w:rPr>
      </w:pPr>
    </w:p>
    <w:p w:rsidR="00115440" w:rsidRPr="00E04C25" w:rsidRDefault="00115440" w:rsidP="00115440">
      <w:pPr>
        <w:pStyle w:val="Zkladntextodsazen"/>
        <w:tabs>
          <w:tab w:val="left" w:pos="720"/>
        </w:tabs>
        <w:spacing w:line="240" w:lineRule="auto"/>
        <w:ind w:firstLine="0"/>
        <w:jc w:val="left"/>
        <w:rPr>
          <w:rFonts w:cs="Arial"/>
          <w:b/>
          <w:bCs/>
          <w:sz w:val="16"/>
          <w:szCs w:val="16"/>
        </w:rPr>
      </w:pPr>
    </w:p>
    <w:p w:rsidR="002115B2" w:rsidRPr="00E04C25" w:rsidRDefault="002115B2" w:rsidP="002115B2">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567"/>
        <w:jc w:val="both"/>
        <w:rPr>
          <w:rFonts w:ascii="Arial" w:hAnsi="Arial" w:cs="Arial"/>
          <w:b/>
        </w:rPr>
      </w:pPr>
      <w:r w:rsidRPr="00E04C25">
        <w:rPr>
          <w:rFonts w:ascii="Arial" w:hAnsi="Arial" w:cs="Arial"/>
        </w:rPr>
        <w:t xml:space="preserve">K 31. 12. 2017 byl zaznamenán meziroční </w:t>
      </w:r>
      <w:r w:rsidRPr="00E04C25">
        <w:rPr>
          <w:rFonts w:ascii="Arial" w:hAnsi="Arial" w:cs="Arial"/>
          <w:b/>
        </w:rPr>
        <w:t xml:space="preserve">pokles </w:t>
      </w:r>
      <w:r w:rsidRPr="00E04C25">
        <w:rPr>
          <w:rFonts w:ascii="Arial" w:hAnsi="Arial" w:cs="Arial"/>
        </w:rPr>
        <w:t>uchazečů o zaměstnání</w:t>
      </w:r>
      <w:r w:rsidRPr="00E04C25">
        <w:rPr>
          <w:rFonts w:ascii="Arial" w:hAnsi="Arial" w:cs="Arial"/>
          <w:b/>
        </w:rPr>
        <w:t xml:space="preserve"> ve všech vzdělanostních skupinách.</w:t>
      </w:r>
    </w:p>
    <w:p w:rsidR="002115B2" w:rsidRPr="00E04C25" w:rsidRDefault="002115B2" w:rsidP="002115B2">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567"/>
        <w:jc w:val="both"/>
        <w:rPr>
          <w:rFonts w:ascii="Arial" w:hAnsi="Arial" w:cs="Arial"/>
          <w:b/>
        </w:rPr>
      </w:pPr>
      <w:r w:rsidRPr="00E04C25">
        <w:rPr>
          <w:rFonts w:ascii="Arial" w:hAnsi="Arial" w:cs="Arial"/>
          <w:b/>
        </w:rPr>
        <w:t xml:space="preserve">Absolutně nejvíce poklesl </w:t>
      </w:r>
      <w:r w:rsidRPr="00E04C25">
        <w:rPr>
          <w:rFonts w:ascii="Arial" w:hAnsi="Arial" w:cs="Arial"/>
        </w:rPr>
        <w:t>počet uchazečů o zaměstnání</w:t>
      </w:r>
      <w:r w:rsidRPr="00E04C25">
        <w:rPr>
          <w:rFonts w:ascii="Arial" w:hAnsi="Arial" w:cs="Arial"/>
          <w:b/>
        </w:rPr>
        <w:t xml:space="preserve"> v početně největších skupinách </w:t>
      </w:r>
      <w:r w:rsidRPr="00E04C25">
        <w:rPr>
          <w:rFonts w:ascii="Arial" w:hAnsi="Arial" w:cs="Arial"/>
        </w:rPr>
        <w:t xml:space="preserve">UoZ </w:t>
      </w:r>
      <w:r w:rsidRPr="00E04C25">
        <w:rPr>
          <w:rFonts w:ascii="Arial" w:hAnsi="Arial" w:cs="Arial"/>
          <w:b/>
        </w:rPr>
        <w:t xml:space="preserve">s vyučením </w:t>
      </w:r>
      <w:r w:rsidRPr="00E04C25">
        <w:rPr>
          <w:rFonts w:ascii="Arial" w:hAnsi="Arial" w:cs="Arial"/>
        </w:rPr>
        <w:t xml:space="preserve">(o 38,6  tis.), </w:t>
      </w:r>
      <w:r w:rsidRPr="00E04C25">
        <w:rPr>
          <w:rFonts w:ascii="Arial" w:hAnsi="Arial" w:cs="Arial"/>
          <w:b/>
        </w:rPr>
        <w:t xml:space="preserve">se základním vzděláním </w:t>
      </w:r>
      <w:r w:rsidRPr="00E04C25">
        <w:rPr>
          <w:rFonts w:ascii="Arial" w:hAnsi="Arial" w:cs="Arial"/>
        </w:rPr>
        <w:t xml:space="preserve">vč. neukončeného (o 28,4 tis.) a </w:t>
      </w:r>
      <w:r w:rsidRPr="00E04C25">
        <w:rPr>
          <w:rFonts w:ascii="Arial" w:hAnsi="Arial" w:cs="Arial"/>
          <w:b/>
        </w:rPr>
        <w:t xml:space="preserve">se středním odborným vzděláním s maturitou </w:t>
      </w:r>
      <w:r w:rsidRPr="00E04C25">
        <w:rPr>
          <w:rFonts w:ascii="Arial" w:hAnsi="Arial" w:cs="Arial"/>
        </w:rPr>
        <w:t>(o 15,7 tis.)</w:t>
      </w:r>
      <w:r w:rsidRPr="00E04C25">
        <w:rPr>
          <w:rFonts w:ascii="Arial" w:hAnsi="Arial" w:cs="Arial"/>
          <w:b/>
        </w:rPr>
        <w:t xml:space="preserve"> </w:t>
      </w:r>
      <w:r w:rsidRPr="00E04C25">
        <w:rPr>
          <w:rFonts w:ascii="Arial" w:hAnsi="Arial" w:cs="Arial"/>
        </w:rPr>
        <w:t xml:space="preserve">Relativně podprůměrný </w:t>
      </w:r>
      <w:r w:rsidRPr="00E04C25">
        <w:rPr>
          <w:rFonts w:ascii="Arial" w:hAnsi="Arial" w:cs="Arial"/>
          <w:b/>
        </w:rPr>
        <w:t xml:space="preserve">pokles </w:t>
      </w:r>
      <w:r w:rsidRPr="00E04C25">
        <w:rPr>
          <w:rFonts w:ascii="Arial" w:hAnsi="Arial" w:cs="Arial"/>
        </w:rPr>
        <w:t>byl patrný pouze u uchazečů</w:t>
      </w:r>
      <w:r w:rsidRPr="00E04C25">
        <w:rPr>
          <w:rFonts w:ascii="Arial" w:hAnsi="Arial" w:cs="Arial"/>
          <w:b/>
        </w:rPr>
        <w:t xml:space="preserve"> </w:t>
      </w:r>
      <w:r w:rsidRPr="00E04C25">
        <w:rPr>
          <w:rFonts w:ascii="Arial" w:hAnsi="Arial" w:cs="Arial"/>
        </w:rPr>
        <w:t>o zaměstnání</w:t>
      </w:r>
      <w:r w:rsidRPr="00E04C25">
        <w:rPr>
          <w:rFonts w:ascii="Arial" w:hAnsi="Arial" w:cs="Arial"/>
          <w:b/>
        </w:rPr>
        <w:t xml:space="preserve"> se základní vzděláním </w:t>
      </w:r>
      <w:r w:rsidRPr="00E04C25">
        <w:rPr>
          <w:rFonts w:ascii="Arial" w:hAnsi="Arial" w:cs="Arial"/>
        </w:rPr>
        <w:t>vč. neukončeného (o 24,8 %)</w:t>
      </w:r>
      <w:r w:rsidRPr="00E04C25">
        <w:rPr>
          <w:rFonts w:ascii="Arial" w:hAnsi="Arial" w:cs="Arial"/>
          <w:b/>
        </w:rPr>
        <w:t xml:space="preserve"> a vysokoškolským vzděláním </w:t>
      </w:r>
      <w:r w:rsidRPr="00E04C25">
        <w:rPr>
          <w:rFonts w:ascii="Arial" w:hAnsi="Arial" w:cs="Arial"/>
        </w:rPr>
        <w:t>(o 24,6 %).</w:t>
      </w:r>
      <w:r w:rsidRPr="00E04C25">
        <w:rPr>
          <w:rFonts w:ascii="Arial" w:hAnsi="Arial" w:cs="Arial"/>
          <w:b/>
        </w:rPr>
        <w:t xml:space="preserve"> </w:t>
      </w:r>
    </w:p>
    <w:p w:rsidR="002115B2" w:rsidRPr="00E04C25" w:rsidRDefault="002115B2" w:rsidP="002115B2">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567"/>
        <w:jc w:val="both"/>
        <w:rPr>
          <w:rFonts w:ascii="Arial" w:hAnsi="Arial" w:cs="Arial"/>
        </w:rPr>
      </w:pPr>
      <w:r w:rsidRPr="00E04C25">
        <w:rPr>
          <w:rFonts w:ascii="Arial" w:hAnsi="Arial" w:cs="Arial"/>
          <w:b/>
        </w:rPr>
        <w:t xml:space="preserve">Poměrné zastoupení </w:t>
      </w:r>
      <w:r w:rsidRPr="00E04C25">
        <w:rPr>
          <w:rFonts w:ascii="Arial" w:hAnsi="Arial" w:cs="Arial"/>
        </w:rPr>
        <w:t xml:space="preserve">jednotlivých kategorií na celkovém počtu uchazečů o zaměstnání se téměř nezměnilo. Po </w:t>
      </w:r>
      <w:r w:rsidRPr="00E04C25">
        <w:rPr>
          <w:rFonts w:ascii="Arial" w:hAnsi="Arial" w:cs="Arial"/>
          <w:b/>
        </w:rPr>
        <w:t xml:space="preserve">vyučených (101,9 tis., </w:t>
      </w:r>
      <w:r w:rsidRPr="00E04C25">
        <w:rPr>
          <w:rFonts w:ascii="Arial" w:hAnsi="Arial" w:cs="Arial"/>
        </w:rPr>
        <w:t>tj. 36,3 % všech UoZ</w:t>
      </w:r>
      <w:r w:rsidRPr="00E04C25">
        <w:rPr>
          <w:rFonts w:ascii="Arial" w:hAnsi="Arial" w:cs="Arial"/>
          <w:b/>
        </w:rPr>
        <w:t>)</w:t>
      </w:r>
      <w:r w:rsidRPr="00E04C25">
        <w:rPr>
          <w:rFonts w:ascii="Arial" w:hAnsi="Arial" w:cs="Arial"/>
        </w:rPr>
        <w:t xml:space="preserve"> </w:t>
      </w:r>
      <w:r w:rsidRPr="00E04C25">
        <w:rPr>
          <w:rFonts w:ascii="Arial" w:hAnsi="Arial" w:cs="Arial"/>
          <w:b/>
        </w:rPr>
        <w:t xml:space="preserve">druhou nejpočetnější skupinou zůstávají </w:t>
      </w:r>
      <w:r w:rsidRPr="00E04C25">
        <w:rPr>
          <w:rFonts w:ascii="Arial" w:hAnsi="Arial" w:cs="Arial"/>
        </w:rPr>
        <w:t xml:space="preserve">uchazeči o zaměstnání </w:t>
      </w:r>
      <w:r w:rsidRPr="00E04C25">
        <w:rPr>
          <w:rFonts w:ascii="Arial" w:hAnsi="Arial" w:cs="Arial"/>
          <w:b/>
        </w:rPr>
        <w:t>se základním vzděláním</w:t>
      </w:r>
      <w:r w:rsidRPr="00E04C25">
        <w:rPr>
          <w:rFonts w:ascii="Arial" w:hAnsi="Arial" w:cs="Arial"/>
        </w:rPr>
        <w:t xml:space="preserve"> vč. neukončeného (85,9 tis. osob, tj. 30,6 % celkové nezaměstnanosti). </w:t>
      </w:r>
    </w:p>
    <w:p w:rsidR="00115440" w:rsidRPr="00E04C25" w:rsidRDefault="00115440" w:rsidP="00115440">
      <w:pPr>
        <w:pStyle w:val="Nadpis4"/>
        <w:jc w:val="center"/>
        <w:rPr>
          <w:rFonts w:ascii="Arial" w:hAnsi="Arial"/>
          <w:color w:val="auto"/>
          <w:sz w:val="24"/>
        </w:rPr>
      </w:pPr>
      <w:r w:rsidRPr="00E04C25">
        <w:rPr>
          <w:rFonts w:ascii="Arial" w:hAnsi="Arial"/>
          <w:color w:val="auto"/>
          <w:sz w:val="24"/>
        </w:rPr>
        <w:lastRenderedPageBreak/>
        <w:t>Struktura uchazečů o zaměstnání podle vzdělání</w:t>
      </w:r>
    </w:p>
    <w:p w:rsidR="00115440" w:rsidRPr="00E04C25" w:rsidRDefault="00115440" w:rsidP="00115440">
      <w:pPr>
        <w:ind w:left="6372" w:firstLine="708"/>
        <w:rPr>
          <w:rFonts w:ascii="Arial" w:hAnsi="Arial" w:cs="Arial"/>
          <w:sz w:val="20"/>
          <w:szCs w:val="20"/>
        </w:rPr>
      </w:pPr>
      <w:r w:rsidRPr="00E04C25">
        <w:rPr>
          <w:rFonts w:ascii="Arial" w:hAnsi="Arial" w:cs="Arial"/>
          <w:sz w:val="20"/>
          <w:szCs w:val="20"/>
        </w:rPr>
        <w:t>tab. č. 2</w:t>
      </w:r>
      <w:r w:rsidR="00310BFB" w:rsidRPr="00E04C25">
        <w:rPr>
          <w:rFonts w:ascii="Arial" w:hAnsi="Arial" w:cs="Arial"/>
          <w:sz w:val="20"/>
          <w:szCs w:val="20"/>
        </w:rPr>
        <w:t>0</w:t>
      </w:r>
    </w:p>
    <w:tbl>
      <w:tblPr>
        <w:tblW w:w="7256" w:type="dxa"/>
        <w:jc w:val="center"/>
        <w:tblCellMar>
          <w:left w:w="70" w:type="dxa"/>
          <w:right w:w="70" w:type="dxa"/>
        </w:tblCellMar>
        <w:tblLook w:val="04A0"/>
      </w:tblPr>
      <w:tblGrid>
        <w:gridCol w:w="1960"/>
        <w:gridCol w:w="880"/>
        <w:gridCol w:w="880"/>
        <w:gridCol w:w="880"/>
        <w:gridCol w:w="880"/>
        <w:gridCol w:w="904"/>
        <w:gridCol w:w="872"/>
      </w:tblGrid>
      <w:tr w:rsidR="00767F7D" w:rsidRPr="00E04C25" w:rsidTr="00523B41">
        <w:trPr>
          <w:trHeight w:val="315"/>
          <w:jc w:val="center"/>
        </w:trPr>
        <w:tc>
          <w:tcPr>
            <w:tcW w:w="1960" w:type="dxa"/>
            <w:tcBorders>
              <w:top w:val="double" w:sz="6" w:space="0" w:color="auto"/>
              <w:left w:val="double" w:sz="6" w:space="0" w:color="auto"/>
              <w:bottom w:val="nil"/>
              <w:right w:val="single" w:sz="4" w:space="0" w:color="auto"/>
            </w:tcBorders>
            <w:noWrap/>
            <w:hideMark/>
          </w:tcPr>
          <w:p w:rsidR="00976F7F" w:rsidRPr="00E04C25" w:rsidRDefault="00976F7F" w:rsidP="00523B41">
            <w:pPr>
              <w:spacing w:line="276" w:lineRule="auto"/>
              <w:jc w:val="both"/>
              <w:rPr>
                <w:rFonts w:ascii="Arial" w:hAnsi="Arial" w:cs="Arial"/>
                <w:lang w:eastAsia="en-US"/>
              </w:rPr>
            </w:pPr>
            <w:r w:rsidRPr="00E04C25">
              <w:rPr>
                <w:rFonts w:ascii="Arial" w:hAnsi="Arial" w:cs="Arial"/>
                <w:lang w:eastAsia="en-US"/>
              </w:rPr>
              <w:t> </w:t>
            </w:r>
          </w:p>
        </w:tc>
        <w:tc>
          <w:tcPr>
            <w:tcW w:w="1760" w:type="dxa"/>
            <w:gridSpan w:val="2"/>
            <w:tcBorders>
              <w:top w:val="double" w:sz="6" w:space="0" w:color="auto"/>
              <w:left w:val="nil"/>
              <w:bottom w:val="single" w:sz="4" w:space="0" w:color="auto"/>
              <w:right w:val="nil"/>
            </w:tcBorders>
            <w:noWrap/>
            <w:vAlign w:val="center"/>
            <w:hideMark/>
          </w:tcPr>
          <w:p w:rsidR="00976F7F" w:rsidRPr="00E04C25" w:rsidRDefault="00976F7F" w:rsidP="00395F04">
            <w:pPr>
              <w:jc w:val="center"/>
              <w:rPr>
                <w:rFonts w:ascii="Arial" w:hAnsi="Arial" w:cs="Arial"/>
                <w:b/>
                <w:bCs/>
                <w:sz w:val="20"/>
                <w:szCs w:val="20"/>
              </w:rPr>
            </w:pPr>
            <w:r w:rsidRPr="00E04C25">
              <w:rPr>
                <w:rFonts w:ascii="Arial" w:hAnsi="Arial" w:cs="Arial"/>
                <w:b/>
                <w:bCs/>
                <w:sz w:val="20"/>
                <w:szCs w:val="20"/>
              </w:rPr>
              <w:t>k 31. 12. 2016</w:t>
            </w:r>
          </w:p>
        </w:tc>
        <w:tc>
          <w:tcPr>
            <w:tcW w:w="1760" w:type="dxa"/>
            <w:gridSpan w:val="2"/>
            <w:tcBorders>
              <w:top w:val="double" w:sz="6" w:space="0" w:color="auto"/>
              <w:left w:val="single" w:sz="4" w:space="0" w:color="auto"/>
              <w:bottom w:val="single" w:sz="4" w:space="0" w:color="auto"/>
              <w:right w:val="single" w:sz="4" w:space="0" w:color="000000"/>
            </w:tcBorders>
            <w:noWrap/>
            <w:vAlign w:val="center"/>
            <w:hideMark/>
          </w:tcPr>
          <w:p w:rsidR="00976F7F" w:rsidRPr="00E04C25" w:rsidRDefault="00976F7F" w:rsidP="00395F04">
            <w:pPr>
              <w:jc w:val="center"/>
              <w:rPr>
                <w:rFonts w:ascii="Arial" w:hAnsi="Arial" w:cs="Arial"/>
                <w:b/>
                <w:bCs/>
                <w:sz w:val="20"/>
                <w:szCs w:val="20"/>
              </w:rPr>
            </w:pPr>
            <w:r w:rsidRPr="00E04C25">
              <w:rPr>
                <w:rFonts w:ascii="Arial" w:hAnsi="Arial" w:cs="Arial"/>
                <w:b/>
                <w:bCs/>
                <w:sz w:val="20"/>
                <w:szCs w:val="20"/>
              </w:rPr>
              <w:t>k 31. 12. 2017</w:t>
            </w:r>
          </w:p>
        </w:tc>
        <w:tc>
          <w:tcPr>
            <w:tcW w:w="1776" w:type="dxa"/>
            <w:gridSpan w:val="2"/>
            <w:tcBorders>
              <w:top w:val="double" w:sz="6" w:space="0" w:color="auto"/>
              <w:left w:val="nil"/>
              <w:bottom w:val="single" w:sz="4" w:space="0" w:color="auto"/>
              <w:right w:val="double" w:sz="6" w:space="0" w:color="000000"/>
            </w:tcBorders>
            <w:noWrap/>
            <w:vAlign w:val="center"/>
            <w:hideMark/>
          </w:tcPr>
          <w:p w:rsidR="00976F7F" w:rsidRPr="00E04C25" w:rsidRDefault="00976F7F" w:rsidP="00523B41">
            <w:pPr>
              <w:spacing w:line="276" w:lineRule="auto"/>
              <w:jc w:val="center"/>
              <w:rPr>
                <w:rFonts w:ascii="Arial" w:hAnsi="Arial" w:cs="Arial"/>
                <w:b/>
                <w:bCs/>
                <w:sz w:val="20"/>
                <w:szCs w:val="20"/>
                <w:lang w:eastAsia="en-US"/>
              </w:rPr>
            </w:pPr>
            <w:r w:rsidRPr="00E04C25">
              <w:rPr>
                <w:rFonts w:ascii="Arial" w:hAnsi="Arial" w:cs="Arial"/>
                <w:b/>
                <w:bCs/>
                <w:sz w:val="20"/>
                <w:szCs w:val="20"/>
                <w:lang w:eastAsia="en-US"/>
              </w:rPr>
              <w:t>meziroční rozdíl</w:t>
            </w:r>
          </w:p>
        </w:tc>
      </w:tr>
      <w:tr w:rsidR="00767F7D" w:rsidRPr="00E04C25" w:rsidTr="00523B41">
        <w:trPr>
          <w:trHeight w:val="285"/>
          <w:jc w:val="center"/>
        </w:trPr>
        <w:tc>
          <w:tcPr>
            <w:tcW w:w="1960" w:type="dxa"/>
            <w:tcBorders>
              <w:top w:val="nil"/>
              <w:left w:val="double" w:sz="6" w:space="0" w:color="auto"/>
              <w:bottom w:val="single" w:sz="4" w:space="0" w:color="auto"/>
              <w:right w:val="single" w:sz="4" w:space="0" w:color="auto"/>
            </w:tcBorders>
            <w:noWrap/>
            <w:vAlign w:val="bottom"/>
            <w:hideMark/>
          </w:tcPr>
          <w:p w:rsidR="00115440" w:rsidRPr="00E04C25" w:rsidRDefault="00115440" w:rsidP="00523B41">
            <w:pPr>
              <w:spacing w:line="276" w:lineRule="auto"/>
              <w:rPr>
                <w:rFonts w:ascii="Arial" w:hAnsi="Arial" w:cs="Arial"/>
                <w:sz w:val="20"/>
                <w:szCs w:val="20"/>
                <w:lang w:eastAsia="en-US"/>
              </w:rPr>
            </w:pPr>
            <w:r w:rsidRPr="00E04C25">
              <w:rPr>
                <w:rFonts w:ascii="Arial" w:hAnsi="Arial" w:cs="Arial"/>
                <w:sz w:val="20"/>
                <w:szCs w:val="20"/>
                <w:lang w:eastAsia="en-US"/>
              </w:rPr>
              <w:t> </w:t>
            </w:r>
          </w:p>
        </w:tc>
        <w:tc>
          <w:tcPr>
            <w:tcW w:w="880" w:type="dxa"/>
            <w:tcBorders>
              <w:top w:val="nil"/>
              <w:left w:val="nil"/>
              <w:bottom w:val="single" w:sz="4" w:space="0" w:color="auto"/>
              <w:right w:val="single" w:sz="4" w:space="0" w:color="auto"/>
            </w:tcBorders>
            <w:vAlign w:val="bottom"/>
            <w:hideMark/>
          </w:tcPr>
          <w:p w:rsidR="00115440" w:rsidRPr="00E04C25" w:rsidRDefault="00115440" w:rsidP="00523B41">
            <w:pPr>
              <w:spacing w:line="276" w:lineRule="auto"/>
              <w:jc w:val="center"/>
              <w:rPr>
                <w:rFonts w:ascii="Arial" w:hAnsi="Arial" w:cs="Arial"/>
                <w:b/>
                <w:bCs/>
                <w:sz w:val="20"/>
                <w:szCs w:val="20"/>
                <w:lang w:eastAsia="en-US"/>
              </w:rPr>
            </w:pPr>
            <w:r w:rsidRPr="00E04C25">
              <w:rPr>
                <w:rFonts w:ascii="Arial" w:hAnsi="Arial" w:cs="Arial"/>
                <w:b/>
                <w:bCs/>
                <w:sz w:val="20"/>
                <w:szCs w:val="20"/>
                <w:lang w:eastAsia="en-US"/>
              </w:rPr>
              <w:t>v tis.</w:t>
            </w:r>
          </w:p>
        </w:tc>
        <w:tc>
          <w:tcPr>
            <w:tcW w:w="880" w:type="dxa"/>
            <w:tcBorders>
              <w:top w:val="nil"/>
              <w:left w:val="nil"/>
              <w:bottom w:val="single" w:sz="4" w:space="0" w:color="auto"/>
              <w:right w:val="nil"/>
            </w:tcBorders>
            <w:vAlign w:val="bottom"/>
            <w:hideMark/>
          </w:tcPr>
          <w:p w:rsidR="00115440" w:rsidRPr="00E04C25" w:rsidRDefault="00115440" w:rsidP="00523B41">
            <w:pPr>
              <w:spacing w:line="276" w:lineRule="auto"/>
              <w:jc w:val="center"/>
              <w:rPr>
                <w:rFonts w:ascii="Arial" w:hAnsi="Arial" w:cs="Arial"/>
                <w:b/>
                <w:bCs/>
                <w:sz w:val="20"/>
                <w:szCs w:val="20"/>
                <w:lang w:eastAsia="en-US"/>
              </w:rPr>
            </w:pPr>
            <w:r w:rsidRPr="00E04C25">
              <w:rPr>
                <w:rFonts w:ascii="Arial" w:hAnsi="Arial" w:cs="Arial"/>
                <w:b/>
                <w:bCs/>
                <w:sz w:val="20"/>
                <w:szCs w:val="20"/>
                <w:lang w:eastAsia="en-US"/>
              </w:rPr>
              <w:t>v %</w:t>
            </w:r>
          </w:p>
        </w:tc>
        <w:tc>
          <w:tcPr>
            <w:tcW w:w="880" w:type="dxa"/>
            <w:tcBorders>
              <w:top w:val="nil"/>
              <w:left w:val="single" w:sz="4" w:space="0" w:color="auto"/>
              <w:bottom w:val="single" w:sz="4" w:space="0" w:color="auto"/>
              <w:right w:val="single" w:sz="4" w:space="0" w:color="auto"/>
            </w:tcBorders>
            <w:vAlign w:val="bottom"/>
            <w:hideMark/>
          </w:tcPr>
          <w:p w:rsidR="00115440" w:rsidRPr="00E04C25" w:rsidRDefault="00115440" w:rsidP="00523B41">
            <w:pPr>
              <w:spacing w:line="276" w:lineRule="auto"/>
              <w:jc w:val="center"/>
              <w:rPr>
                <w:rFonts w:ascii="Arial" w:hAnsi="Arial" w:cs="Arial"/>
                <w:b/>
                <w:bCs/>
                <w:sz w:val="20"/>
                <w:szCs w:val="20"/>
                <w:lang w:eastAsia="en-US"/>
              </w:rPr>
            </w:pPr>
            <w:r w:rsidRPr="00E04C25">
              <w:rPr>
                <w:rFonts w:ascii="Arial" w:hAnsi="Arial" w:cs="Arial"/>
                <w:b/>
                <w:bCs/>
                <w:sz w:val="20"/>
                <w:szCs w:val="20"/>
                <w:lang w:eastAsia="en-US"/>
              </w:rPr>
              <w:t>v tis.</w:t>
            </w:r>
          </w:p>
        </w:tc>
        <w:tc>
          <w:tcPr>
            <w:tcW w:w="880" w:type="dxa"/>
            <w:tcBorders>
              <w:top w:val="nil"/>
              <w:left w:val="nil"/>
              <w:bottom w:val="single" w:sz="4" w:space="0" w:color="auto"/>
              <w:right w:val="single" w:sz="4" w:space="0" w:color="auto"/>
            </w:tcBorders>
            <w:vAlign w:val="bottom"/>
            <w:hideMark/>
          </w:tcPr>
          <w:p w:rsidR="00115440" w:rsidRPr="00E04C25" w:rsidRDefault="00115440" w:rsidP="00523B41">
            <w:pPr>
              <w:spacing w:line="276" w:lineRule="auto"/>
              <w:jc w:val="center"/>
              <w:rPr>
                <w:rFonts w:ascii="Arial" w:hAnsi="Arial" w:cs="Arial"/>
                <w:b/>
                <w:bCs/>
                <w:sz w:val="20"/>
                <w:szCs w:val="20"/>
                <w:lang w:eastAsia="en-US"/>
              </w:rPr>
            </w:pPr>
            <w:r w:rsidRPr="00E04C25">
              <w:rPr>
                <w:rFonts w:ascii="Arial" w:hAnsi="Arial" w:cs="Arial"/>
                <w:b/>
                <w:bCs/>
                <w:sz w:val="20"/>
                <w:szCs w:val="20"/>
                <w:lang w:eastAsia="en-US"/>
              </w:rPr>
              <w:t>v %</w:t>
            </w:r>
          </w:p>
        </w:tc>
        <w:tc>
          <w:tcPr>
            <w:tcW w:w="904" w:type="dxa"/>
            <w:tcBorders>
              <w:top w:val="nil"/>
              <w:left w:val="nil"/>
              <w:bottom w:val="single" w:sz="4" w:space="0" w:color="auto"/>
              <w:right w:val="single" w:sz="4" w:space="0" w:color="auto"/>
            </w:tcBorders>
            <w:vAlign w:val="bottom"/>
            <w:hideMark/>
          </w:tcPr>
          <w:p w:rsidR="00115440" w:rsidRPr="00E04C25" w:rsidRDefault="00115440" w:rsidP="00523B41">
            <w:pPr>
              <w:spacing w:line="276" w:lineRule="auto"/>
              <w:jc w:val="center"/>
              <w:rPr>
                <w:rFonts w:ascii="Arial" w:hAnsi="Arial" w:cs="Arial"/>
                <w:b/>
                <w:bCs/>
                <w:sz w:val="20"/>
                <w:szCs w:val="20"/>
                <w:lang w:eastAsia="en-US"/>
              </w:rPr>
            </w:pPr>
            <w:r w:rsidRPr="00E04C25">
              <w:rPr>
                <w:rFonts w:ascii="Arial" w:hAnsi="Arial" w:cs="Arial"/>
                <w:b/>
                <w:bCs/>
                <w:sz w:val="20"/>
                <w:szCs w:val="20"/>
                <w:lang w:eastAsia="en-US"/>
              </w:rPr>
              <w:t>v tis.</w:t>
            </w:r>
          </w:p>
        </w:tc>
        <w:tc>
          <w:tcPr>
            <w:tcW w:w="872" w:type="dxa"/>
            <w:tcBorders>
              <w:top w:val="nil"/>
              <w:left w:val="nil"/>
              <w:bottom w:val="single" w:sz="4" w:space="0" w:color="auto"/>
              <w:right w:val="double" w:sz="6" w:space="0" w:color="auto"/>
            </w:tcBorders>
            <w:vAlign w:val="bottom"/>
            <w:hideMark/>
          </w:tcPr>
          <w:p w:rsidR="00115440" w:rsidRPr="00E04C25" w:rsidRDefault="00115440" w:rsidP="00523B41">
            <w:pPr>
              <w:spacing w:line="276" w:lineRule="auto"/>
              <w:jc w:val="center"/>
              <w:rPr>
                <w:rFonts w:ascii="Arial" w:hAnsi="Arial" w:cs="Arial"/>
                <w:b/>
                <w:bCs/>
                <w:sz w:val="20"/>
                <w:szCs w:val="20"/>
                <w:lang w:eastAsia="en-US"/>
              </w:rPr>
            </w:pPr>
            <w:r w:rsidRPr="00E04C25">
              <w:rPr>
                <w:rFonts w:ascii="Arial" w:hAnsi="Arial" w:cs="Arial"/>
                <w:b/>
                <w:bCs/>
                <w:sz w:val="20"/>
                <w:szCs w:val="20"/>
                <w:lang w:eastAsia="en-US"/>
              </w:rPr>
              <w:t>v %</w:t>
            </w:r>
          </w:p>
        </w:tc>
      </w:tr>
      <w:tr w:rsidR="00A22B69" w:rsidRPr="00E04C25" w:rsidTr="009357F0">
        <w:trPr>
          <w:trHeight w:val="255"/>
          <w:jc w:val="center"/>
        </w:trPr>
        <w:tc>
          <w:tcPr>
            <w:tcW w:w="1960" w:type="dxa"/>
            <w:tcBorders>
              <w:top w:val="nil"/>
              <w:left w:val="double" w:sz="6" w:space="0" w:color="auto"/>
              <w:bottom w:val="nil"/>
              <w:right w:val="single" w:sz="4" w:space="0" w:color="auto"/>
            </w:tcBorders>
            <w:noWrap/>
            <w:vAlign w:val="center"/>
            <w:hideMark/>
          </w:tcPr>
          <w:p w:rsidR="00A22B69" w:rsidRPr="00E04C25" w:rsidRDefault="00A22B69" w:rsidP="00523B41">
            <w:pPr>
              <w:spacing w:line="276" w:lineRule="auto"/>
              <w:rPr>
                <w:rFonts w:ascii="Arial" w:hAnsi="Arial" w:cs="Arial"/>
                <w:b/>
                <w:bCs/>
                <w:sz w:val="20"/>
                <w:szCs w:val="20"/>
                <w:lang w:eastAsia="en-US"/>
              </w:rPr>
            </w:pPr>
            <w:r w:rsidRPr="00E04C25">
              <w:rPr>
                <w:rFonts w:ascii="Arial" w:hAnsi="Arial" w:cs="Arial"/>
                <w:b/>
                <w:bCs/>
                <w:sz w:val="20"/>
                <w:szCs w:val="20"/>
                <w:lang w:eastAsia="en-US"/>
              </w:rPr>
              <w:t>Uchazeči celkem</w:t>
            </w:r>
          </w:p>
        </w:tc>
        <w:tc>
          <w:tcPr>
            <w:tcW w:w="880" w:type="dxa"/>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381,4</w:t>
            </w:r>
          </w:p>
        </w:tc>
        <w:tc>
          <w:tcPr>
            <w:tcW w:w="880" w:type="dxa"/>
            <w:tcBorders>
              <w:top w:val="nil"/>
              <w:left w:val="single" w:sz="4" w:space="0" w:color="auto"/>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100,0</w:t>
            </w:r>
          </w:p>
        </w:tc>
        <w:tc>
          <w:tcPr>
            <w:tcW w:w="880" w:type="dxa"/>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280,6</w:t>
            </w:r>
          </w:p>
        </w:tc>
        <w:tc>
          <w:tcPr>
            <w:tcW w:w="880" w:type="dxa"/>
            <w:tcBorders>
              <w:top w:val="nil"/>
              <w:left w:val="single" w:sz="4" w:space="0" w:color="auto"/>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100,0</w:t>
            </w:r>
          </w:p>
        </w:tc>
        <w:tc>
          <w:tcPr>
            <w:tcW w:w="904" w:type="dxa"/>
            <w:tcBorders>
              <w:top w:val="nil"/>
              <w:left w:val="nil"/>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-100,8</w:t>
            </w:r>
          </w:p>
        </w:tc>
        <w:tc>
          <w:tcPr>
            <w:tcW w:w="872" w:type="dxa"/>
            <w:tcBorders>
              <w:top w:val="nil"/>
              <w:left w:val="nil"/>
              <w:bottom w:val="nil"/>
              <w:right w:val="double" w:sz="6"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-26,4</w:t>
            </w:r>
          </w:p>
        </w:tc>
      </w:tr>
      <w:tr w:rsidR="00A22B69" w:rsidRPr="00E04C25" w:rsidTr="009357F0">
        <w:trPr>
          <w:trHeight w:val="255"/>
          <w:jc w:val="center"/>
        </w:trPr>
        <w:tc>
          <w:tcPr>
            <w:tcW w:w="1960" w:type="dxa"/>
            <w:tcBorders>
              <w:top w:val="nil"/>
              <w:left w:val="double" w:sz="6" w:space="0" w:color="auto"/>
              <w:bottom w:val="nil"/>
              <w:right w:val="single" w:sz="4" w:space="0" w:color="auto"/>
            </w:tcBorders>
            <w:noWrap/>
            <w:vAlign w:val="center"/>
            <w:hideMark/>
          </w:tcPr>
          <w:p w:rsidR="00A22B69" w:rsidRPr="00E04C25" w:rsidRDefault="00A22B69" w:rsidP="00523B41">
            <w:pPr>
              <w:spacing w:line="276" w:lineRule="auto"/>
              <w:rPr>
                <w:rFonts w:ascii="Arial" w:hAnsi="Arial" w:cs="Arial"/>
                <w:b/>
                <w:bCs/>
                <w:sz w:val="20"/>
                <w:szCs w:val="20"/>
                <w:lang w:eastAsia="en-US"/>
              </w:rPr>
            </w:pPr>
            <w:r w:rsidRPr="00E04C25">
              <w:rPr>
                <w:rFonts w:ascii="Arial" w:hAnsi="Arial" w:cs="Arial"/>
                <w:b/>
                <w:bCs/>
                <w:sz w:val="20"/>
                <w:szCs w:val="20"/>
                <w:lang w:eastAsia="en-US"/>
              </w:rPr>
              <w:t xml:space="preserve">    v tom:</w:t>
            </w:r>
          </w:p>
        </w:tc>
        <w:tc>
          <w:tcPr>
            <w:tcW w:w="880" w:type="dxa"/>
            <w:noWrap/>
            <w:vAlign w:val="center"/>
            <w:hideMark/>
          </w:tcPr>
          <w:p w:rsidR="00A22B69" w:rsidRPr="00E04C25" w:rsidRDefault="00A22B69">
            <w:pPr>
              <w:rPr>
                <w:rFonts w:ascii="Arial" w:hAnsi="Arial" w:cs="Arial"/>
                <w:sz w:val="18"/>
                <w:szCs w:val="18"/>
              </w:rPr>
            </w:pPr>
          </w:p>
        </w:tc>
        <w:tc>
          <w:tcPr>
            <w:tcW w:w="880" w:type="dxa"/>
            <w:tcBorders>
              <w:top w:val="nil"/>
              <w:left w:val="single" w:sz="4" w:space="0" w:color="auto"/>
              <w:bottom w:val="nil"/>
              <w:right w:val="single" w:sz="4" w:space="0" w:color="auto"/>
            </w:tcBorders>
            <w:noWrap/>
            <w:vAlign w:val="center"/>
            <w:hideMark/>
          </w:tcPr>
          <w:p w:rsidR="00A22B69" w:rsidRPr="00E04C25" w:rsidRDefault="00A22B69">
            <w:pPr>
              <w:rPr>
                <w:rFonts w:ascii="Arial" w:hAnsi="Arial" w:cs="Arial"/>
                <w:sz w:val="18"/>
                <w:szCs w:val="18"/>
              </w:rPr>
            </w:pPr>
            <w:r w:rsidRPr="00E04C25">
              <w:rPr>
                <w:rFonts w:ascii="Arial" w:hAnsi="Arial" w:cs="Arial"/>
                <w:sz w:val="18"/>
                <w:szCs w:val="18"/>
              </w:rPr>
              <w:t> </w:t>
            </w:r>
          </w:p>
        </w:tc>
        <w:tc>
          <w:tcPr>
            <w:tcW w:w="880" w:type="dxa"/>
            <w:noWrap/>
            <w:vAlign w:val="center"/>
            <w:hideMark/>
          </w:tcPr>
          <w:p w:rsidR="00A22B69" w:rsidRPr="00E04C25" w:rsidRDefault="00A22B69">
            <w:pPr>
              <w:rPr>
                <w:rFonts w:ascii="Arial" w:hAnsi="Arial" w:cs="Arial"/>
                <w:sz w:val="18"/>
                <w:szCs w:val="18"/>
              </w:rPr>
            </w:pPr>
          </w:p>
        </w:tc>
        <w:tc>
          <w:tcPr>
            <w:tcW w:w="880" w:type="dxa"/>
            <w:tcBorders>
              <w:top w:val="nil"/>
              <w:left w:val="single" w:sz="4" w:space="0" w:color="auto"/>
              <w:bottom w:val="nil"/>
              <w:right w:val="single" w:sz="4" w:space="0" w:color="auto"/>
            </w:tcBorders>
            <w:noWrap/>
            <w:vAlign w:val="center"/>
            <w:hideMark/>
          </w:tcPr>
          <w:p w:rsidR="00A22B69" w:rsidRPr="00E04C25" w:rsidRDefault="00A22B69">
            <w:pPr>
              <w:rPr>
                <w:rFonts w:ascii="Arial" w:hAnsi="Arial" w:cs="Arial"/>
                <w:sz w:val="18"/>
                <w:szCs w:val="18"/>
              </w:rPr>
            </w:pPr>
            <w:r w:rsidRPr="00E04C25">
              <w:rPr>
                <w:rFonts w:ascii="Arial" w:hAnsi="Arial" w:cs="Arial"/>
                <w:sz w:val="18"/>
                <w:szCs w:val="18"/>
              </w:rPr>
              <w:t> </w:t>
            </w:r>
          </w:p>
        </w:tc>
        <w:tc>
          <w:tcPr>
            <w:tcW w:w="904" w:type="dxa"/>
            <w:tcBorders>
              <w:top w:val="nil"/>
              <w:left w:val="nil"/>
              <w:bottom w:val="nil"/>
              <w:right w:val="single" w:sz="4" w:space="0" w:color="auto"/>
            </w:tcBorders>
            <w:noWrap/>
            <w:vAlign w:val="center"/>
            <w:hideMark/>
          </w:tcPr>
          <w:p w:rsidR="00A22B69" w:rsidRPr="00E04C25" w:rsidRDefault="00A22B69">
            <w:pPr>
              <w:rPr>
                <w:rFonts w:ascii="Arial" w:hAnsi="Arial" w:cs="Arial"/>
                <w:sz w:val="18"/>
                <w:szCs w:val="18"/>
              </w:rPr>
            </w:pPr>
            <w:r w:rsidRPr="00E04C25">
              <w:rPr>
                <w:rFonts w:ascii="Arial" w:hAnsi="Arial" w:cs="Arial"/>
                <w:sz w:val="18"/>
                <w:szCs w:val="18"/>
              </w:rPr>
              <w:t> </w:t>
            </w:r>
          </w:p>
        </w:tc>
        <w:tc>
          <w:tcPr>
            <w:tcW w:w="872" w:type="dxa"/>
            <w:tcBorders>
              <w:top w:val="nil"/>
              <w:left w:val="nil"/>
              <w:bottom w:val="nil"/>
              <w:right w:val="double" w:sz="6" w:space="0" w:color="auto"/>
            </w:tcBorders>
            <w:noWrap/>
            <w:vAlign w:val="center"/>
            <w:hideMark/>
          </w:tcPr>
          <w:p w:rsidR="00A22B69" w:rsidRPr="00E04C25" w:rsidRDefault="00A22B69">
            <w:pPr>
              <w:rPr>
                <w:rFonts w:ascii="Arial" w:hAnsi="Arial" w:cs="Arial"/>
                <w:sz w:val="18"/>
                <w:szCs w:val="18"/>
              </w:rPr>
            </w:pPr>
            <w:r w:rsidRPr="00E04C25">
              <w:rPr>
                <w:rFonts w:ascii="Arial" w:hAnsi="Arial" w:cs="Arial"/>
                <w:sz w:val="18"/>
                <w:szCs w:val="18"/>
              </w:rPr>
              <w:t> </w:t>
            </w:r>
          </w:p>
        </w:tc>
      </w:tr>
      <w:tr w:rsidR="00A22B69" w:rsidRPr="00E04C25" w:rsidTr="009357F0">
        <w:trPr>
          <w:trHeight w:val="255"/>
          <w:jc w:val="center"/>
        </w:trPr>
        <w:tc>
          <w:tcPr>
            <w:tcW w:w="1960" w:type="dxa"/>
            <w:tcBorders>
              <w:top w:val="nil"/>
              <w:left w:val="double" w:sz="6" w:space="0" w:color="auto"/>
              <w:bottom w:val="nil"/>
              <w:right w:val="single" w:sz="4" w:space="0" w:color="auto"/>
            </w:tcBorders>
            <w:noWrap/>
            <w:vAlign w:val="center"/>
            <w:hideMark/>
          </w:tcPr>
          <w:p w:rsidR="00A22B69" w:rsidRPr="00E04C25" w:rsidRDefault="00A22B69" w:rsidP="00523B41">
            <w:pPr>
              <w:spacing w:line="276" w:lineRule="auto"/>
              <w:rPr>
                <w:rFonts w:ascii="Arial" w:hAnsi="Arial" w:cs="Arial"/>
                <w:sz w:val="20"/>
                <w:szCs w:val="20"/>
                <w:lang w:eastAsia="en-US"/>
              </w:rPr>
            </w:pPr>
            <w:r w:rsidRPr="00E04C25">
              <w:rPr>
                <w:rFonts w:ascii="Arial" w:hAnsi="Arial" w:cs="Arial"/>
                <w:sz w:val="20"/>
                <w:szCs w:val="20"/>
                <w:lang w:eastAsia="en-US"/>
              </w:rPr>
              <w:t>základní vzdělání (vč. neukonč.)</w:t>
            </w:r>
          </w:p>
        </w:tc>
        <w:tc>
          <w:tcPr>
            <w:tcW w:w="880" w:type="dxa"/>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114,3</w:t>
            </w:r>
          </w:p>
        </w:tc>
        <w:tc>
          <w:tcPr>
            <w:tcW w:w="880" w:type="dxa"/>
            <w:tcBorders>
              <w:top w:val="nil"/>
              <w:left w:val="single" w:sz="4" w:space="0" w:color="auto"/>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30,0</w:t>
            </w:r>
          </w:p>
        </w:tc>
        <w:tc>
          <w:tcPr>
            <w:tcW w:w="880" w:type="dxa"/>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85,9</w:t>
            </w:r>
          </w:p>
        </w:tc>
        <w:tc>
          <w:tcPr>
            <w:tcW w:w="880" w:type="dxa"/>
            <w:tcBorders>
              <w:top w:val="nil"/>
              <w:left w:val="single" w:sz="4" w:space="0" w:color="auto"/>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30,6</w:t>
            </w:r>
          </w:p>
        </w:tc>
        <w:tc>
          <w:tcPr>
            <w:tcW w:w="904" w:type="dxa"/>
            <w:tcBorders>
              <w:top w:val="nil"/>
              <w:left w:val="nil"/>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-28,4</w:t>
            </w:r>
          </w:p>
        </w:tc>
        <w:tc>
          <w:tcPr>
            <w:tcW w:w="872" w:type="dxa"/>
            <w:tcBorders>
              <w:top w:val="nil"/>
              <w:left w:val="nil"/>
              <w:bottom w:val="nil"/>
              <w:right w:val="double" w:sz="6"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-24,8</w:t>
            </w:r>
          </w:p>
        </w:tc>
      </w:tr>
      <w:tr w:rsidR="00A22B69" w:rsidRPr="00E04C25" w:rsidTr="009357F0">
        <w:trPr>
          <w:trHeight w:val="255"/>
          <w:jc w:val="center"/>
        </w:trPr>
        <w:tc>
          <w:tcPr>
            <w:tcW w:w="1960" w:type="dxa"/>
            <w:tcBorders>
              <w:top w:val="nil"/>
              <w:left w:val="double" w:sz="6" w:space="0" w:color="auto"/>
              <w:bottom w:val="nil"/>
              <w:right w:val="single" w:sz="4" w:space="0" w:color="auto"/>
            </w:tcBorders>
            <w:noWrap/>
            <w:vAlign w:val="center"/>
            <w:hideMark/>
          </w:tcPr>
          <w:p w:rsidR="00A22B69" w:rsidRPr="00E04C25" w:rsidRDefault="00A22B69" w:rsidP="00523B41">
            <w:pPr>
              <w:spacing w:line="276" w:lineRule="auto"/>
              <w:rPr>
                <w:rFonts w:ascii="Arial" w:hAnsi="Arial" w:cs="Arial"/>
                <w:sz w:val="20"/>
                <w:szCs w:val="20"/>
                <w:lang w:eastAsia="en-US"/>
              </w:rPr>
            </w:pPr>
            <w:r w:rsidRPr="00E04C25">
              <w:rPr>
                <w:rFonts w:ascii="Arial" w:hAnsi="Arial" w:cs="Arial"/>
                <w:sz w:val="20"/>
                <w:szCs w:val="20"/>
                <w:lang w:eastAsia="en-US"/>
              </w:rPr>
              <w:t>vyučen</w:t>
            </w:r>
          </w:p>
        </w:tc>
        <w:tc>
          <w:tcPr>
            <w:tcW w:w="880" w:type="dxa"/>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140,5</w:t>
            </w:r>
          </w:p>
        </w:tc>
        <w:tc>
          <w:tcPr>
            <w:tcW w:w="880" w:type="dxa"/>
            <w:tcBorders>
              <w:top w:val="nil"/>
              <w:left w:val="single" w:sz="4" w:space="0" w:color="auto"/>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36,8</w:t>
            </w:r>
          </w:p>
        </w:tc>
        <w:tc>
          <w:tcPr>
            <w:tcW w:w="880" w:type="dxa"/>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101,9</w:t>
            </w:r>
          </w:p>
        </w:tc>
        <w:tc>
          <w:tcPr>
            <w:tcW w:w="880" w:type="dxa"/>
            <w:tcBorders>
              <w:top w:val="nil"/>
              <w:left w:val="single" w:sz="4" w:space="0" w:color="auto"/>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36,3</w:t>
            </w:r>
          </w:p>
        </w:tc>
        <w:tc>
          <w:tcPr>
            <w:tcW w:w="904" w:type="dxa"/>
            <w:tcBorders>
              <w:top w:val="nil"/>
              <w:left w:val="nil"/>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-38,6</w:t>
            </w:r>
          </w:p>
        </w:tc>
        <w:tc>
          <w:tcPr>
            <w:tcW w:w="872" w:type="dxa"/>
            <w:tcBorders>
              <w:top w:val="nil"/>
              <w:left w:val="nil"/>
              <w:bottom w:val="nil"/>
              <w:right w:val="double" w:sz="6"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-27,5</w:t>
            </w:r>
          </w:p>
        </w:tc>
      </w:tr>
      <w:tr w:rsidR="00A22B69" w:rsidRPr="00E04C25" w:rsidTr="009357F0">
        <w:trPr>
          <w:trHeight w:val="255"/>
          <w:jc w:val="center"/>
        </w:trPr>
        <w:tc>
          <w:tcPr>
            <w:tcW w:w="1960" w:type="dxa"/>
            <w:tcBorders>
              <w:top w:val="nil"/>
              <w:left w:val="double" w:sz="6" w:space="0" w:color="auto"/>
              <w:bottom w:val="nil"/>
              <w:right w:val="single" w:sz="4" w:space="0" w:color="auto"/>
            </w:tcBorders>
            <w:noWrap/>
            <w:vAlign w:val="center"/>
            <w:hideMark/>
          </w:tcPr>
          <w:p w:rsidR="00A22B69" w:rsidRPr="00E04C25" w:rsidRDefault="00A22B69" w:rsidP="00523B41">
            <w:pPr>
              <w:spacing w:line="276" w:lineRule="auto"/>
              <w:rPr>
                <w:rFonts w:ascii="Arial" w:hAnsi="Arial" w:cs="Arial"/>
                <w:sz w:val="20"/>
                <w:szCs w:val="20"/>
                <w:lang w:eastAsia="en-US"/>
              </w:rPr>
            </w:pPr>
            <w:r w:rsidRPr="00E04C25">
              <w:rPr>
                <w:rFonts w:ascii="Arial" w:hAnsi="Arial" w:cs="Arial"/>
                <w:sz w:val="20"/>
                <w:szCs w:val="20"/>
                <w:lang w:eastAsia="en-US"/>
              </w:rPr>
              <w:t>středoškol. bez mat.</w:t>
            </w:r>
          </w:p>
        </w:tc>
        <w:tc>
          <w:tcPr>
            <w:tcW w:w="880" w:type="dxa"/>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12,3</w:t>
            </w:r>
          </w:p>
        </w:tc>
        <w:tc>
          <w:tcPr>
            <w:tcW w:w="880" w:type="dxa"/>
            <w:tcBorders>
              <w:top w:val="nil"/>
              <w:left w:val="single" w:sz="4" w:space="0" w:color="auto"/>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3,2</w:t>
            </w:r>
          </w:p>
        </w:tc>
        <w:tc>
          <w:tcPr>
            <w:tcW w:w="880" w:type="dxa"/>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8,9</w:t>
            </w:r>
          </w:p>
        </w:tc>
        <w:tc>
          <w:tcPr>
            <w:tcW w:w="880" w:type="dxa"/>
            <w:tcBorders>
              <w:top w:val="nil"/>
              <w:left w:val="single" w:sz="4" w:space="0" w:color="auto"/>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3,2</w:t>
            </w:r>
          </w:p>
        </w:tc>
        <w:tc>
          <w:tcPr>
            <w:tcW w:w="904" w:type="dxa"/>
            <w:tcBorders>
              <w:top w:val="nil"/>
              <w:left w:val="nil"/>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-3,4</w:t>
            </w:r>
          </w:p>
        </w:tc>
        <w:tc>
          <w:tcPr>
            <w:tcW w:w="872" w:type="dxa"/>
            <w:tcBorders>
              <w:top w:val="nil"/>
              <w:left w:val="nil"/>
              <w:bottom w:val="nil"/>
              <w:right w:val="double" w:sz="6"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-27,6</w:t>
            </w:r>
          </w:p>
        </w:tc>
      </w:tr>
      <w:tr w:rsidR="00A22B69" w:rsidRPr="00E04C25" w:rsidTr="009357F0">
        <w:trPr>
          <w:trHeight w:val="255"/>
          <w:jc w:val="center"/>
        </w:trPr>
        <w:tc>
          <w:tcPr>
            <w:tcW w:w="1960" w:type="dxa"/>
            <w:tcBorders>
              <w:top w:val="nil"/>
              <w:left w:val="double" w:sz="6" w:space="0" w:color="auto"/>
              <w:bottom w:val="nil"/>
              <w:right w:val="single" w:sz="4" w:space="0" w:color="auto"/>
            </w:tcBorders>
            <w:noWrap/>
            <w:vAlign w:val="center"/>
            <w:hideMark/>
          </w:tcPr>
          <w:p w:rsidR="00A22B69" w:rsidRPr="00E04C25" w:rsidRDefault="00A22B69" w:rsidP="00523B41">
            <w:pPr>
              <w:spacing w:line="276" w:lineRule="auto"/>
              <w:rPr>
                <w:rFonts w:ascii="Arial" w:hAnsi="Arial" w:cs="Arial"/>
                <w:sz w:val="20"/>
                <w:szCs w:val="20"/>
                <w:lang w:eastAsia="en-US"/>
              </w:rPr>
            </w:pPr>
            <w:r w:rsidRPr="00E04C25">
              <w:rPr>
                <w:rFonts w:ascii="Arial" w:hAnsi="Arial" w:cs="Arial"/>
                <w:sz w:val="20"/>
                <w:szCs w:val="20"/>
                <w:lang w:eastAsia="en-US"/>
              </w:rPr>
              <w:t>vyučen s mat.</w:t>
            </w:r>
          </w:p>
        </w:tc>
        <w:tc>
          <w:tcPr>
            <w:tcW w:w="880" w:type="dxa"/>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16,3</w:t>
            </w:r>
          </w:p>
        </w:tc>
        <w:tc>
          <w:tcPr>
            <w:tcW w:w="880" w:type="dxa"/>
            <w:tcBorders>
              <w:top w:val="nil"/>
              <w:left w:val="single" w:sz="4" w:space="0" w:color="auto"/>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4,3</w:t>
            </w:r>
          </w:p>
        </w:tc>
        <w:tc>
          <w:tcPr>
            <w:tcW w:w="880" w:type="dxa"/>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12,0</w:t>
            </w:r>
          </w:p>
        </w:tc>
        <w:tc>
          <w:tcPr>
            <w:tcW w:w="880" w:type="dxa"/>
            <w:tcBorders>
              <w:top w:val="nil"/>
              <w:left w:val="single" w:sz="4" w:space="0" w:color="auto"/>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4,3</w:t>
            </w:r>
          </w:p>
        </w:tc>
        <w:tc>
          <w:tcPr>
            <w:tcW w:w="904" w:type="dxa"/>
            <w:tcBorders>
              <w:top w:val="nil"/>
              <w:left w:val="nil"/>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-4,3</w:t>
            </w:r>
          </w:p>
        </w:tc>
        <w:tc>
          <w:tcPr>
            <w:tcW w:w="872" w:type="dxa"/>
            <w:tcBorders>
              <w:top w:val="nil"/>
              <w:left w:val="nil"/>
              <w:bottom w:val="nil"/>
              <w:right w:val="double" w:sz="6"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-26,4</w:t>
            </w:r>
          </w:p>
        </w:tc>
      </w:tr>
      <w:tr w:rsidR="00A22B69" w:rsidRPr="00E04C25" w:rsidTr="009357F0">
        <w:trPr>
          <w:trHeight w:val="255"/>
          <w:jc w:val="center"/>
        </w:trPr>
        <w:tc>
          <w:tcPr>
            <w:tcW w:w="1960" w:type="dxa"/>
            <w:tcBorders>
              <w:top w:val="nil"/>
              <w:left w:val="double" w:sz="6" w:space="0" w:color="auto"/>
              <w:bottom w:val="nil"/>
              <w:right w:val="single" w:sz="4" w:space="0" w:color="auto"/>
            </w:tcBorders>
            <w:noWrap/>
            <w:vAlign w:val="center"/>
            <w:hideMark/>
          </w:tcPr>
          <w:p w:rsidR="00A22B69" w:rsidRPr="00E04C25" w:rsidRDefault="00A22B69" w:rsidP="00523B41">
            <w:pPr>
              <w:spacing w:line="276" w:lineRule="auto"/>
              <w:rPr>
                <w:rFonts w:ascii="Arial" w:hAnsi="Arial" w:cs="Arial"/>
                <w:sz w:val="20"/>
                <w:szCs w:val="20"/>
                <w:lang w:eastAsia="en-US"/>
              </w:rPr>
            </w:pPr>
            <w:r w:rsidRPr="00E04C25">
              <w:rPr>
                <w:rFonts w:ascii="Arial" w:hAnsi="Arial" w:cs="Arial"/>
                <w:sz w:val="20"/>
                <w:szCs w:val="20"/>
                <w:lang w:eastAsia="en-US"/>
              </w:rPr>
              <w:t>gymnázium</w:t>
            </w:r>
          </w:p>
        </w:tc>
        <w:tc>
          <w:tcPr>
            <w:tcW w:w="880" w:type="dxa"/>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10,4</w:t>
            </w:r>
          </w:p>
        </w:tc>
        <w:tc>
          <w:tcPr>
            <w:tcW w:w="880" w:type="dxa"/>
            <w:tcBorders>
              <w:top w:val="nil"/>
              <w:left w:val="single" w:sz="4" w:space="0" w:color="auto"/>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2,7</w:t>
            </w:r>
          </w:p>
        </w:tc>
        <w:tc>
          <w:tcPr>
            <w:tcW w:w="880" w:type="dxa"/>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7,5</w:t>
            </w:r>
          </w:p>
        </w:tc>
        <w:tc>
          <w:tcPr>
            <w:tcW w:w="880" w:type="dxa"/>
            <w:tcBorders>
              <w:top w:val="nil"/>
              <w:left w:val="single" w:sz="4" w:space="0" w:color="auto"/>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2,7</w:t>
            </w:r>
          </w:p>
        </w:tc>
        <w:tc>
          <w:tcPr>
            <w:tcW w:w="904" w:type="dxa"/>
            <w:tcBorders>
              <w:top w:val="nil"/>
              <w:left w:val="nil"/>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-2,9</w:t>
            </w:r>
          </w:p>
        </w:tc>
        <w:tc>
          <w:tcPr>
            <w:tcW w:w="872" w:type="dxa"/>
            <w:tcBorders>
              <w:top w:val="nil"/>
              <w:left w:val="nil"/>
              <w:bottom w:val="nil"/>
              <w:right w:val="double" w:sz="6"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-27,9</w:t>
            </w:r>
          </w:p>
        </w:tc>
      </w:tr>
      <w:tr w:rsidR="00A22B69" w:rsidRPr="00E04C25" w:rsidTr="009357F0">
        <w:trPr>
          <w:trHeight w:val="255"/>
          <w:jc w:val="center"/>
        </w:trPr>
        <w:tc>
          <w:tcPr>
            <w:tcW w:w="1960" w:type="dxa"/>
            <w:tcBorders>
              <w:top w:val="nil"/>
              <w:left w:val="double" w:sz="6" w:space="0" w:color="auto"/>
              <w:bottom w:val="nil"/>
              <w:right w:val="single" w:sz="4" w:space="0" w:color="auto"/>
            </w:tcBorders>
            <w:noWrap/>
            <w:vAlign w:val="center"/>
            <w:hideMark/>
          </w:tcPr>
          <w:p w:rsidR="00A22B69" w:rsidRPr="00E04C25" w:rsidRDefault="00A22B69" w:rsidP="00523B41">
            <w:pPr>
              <w:spacing w:line="276" w:lineRule="auto"/>
              <w:rPr>
                <w:rFonts w:ascii="Arial" w:hAnsi="Arial" w:cs="Arial"/>
                <w:sz w:val="20"/>
                <w:szCs w:val="20"/>
                <w:lang w:eastAsia="en-US"/>
              </w:rPr>
            </w:pPr>
            <w:r w:rsidRPr="00E04C25">
              <w:rPr>
                <w:rFonts w:ascii="Arial" w:hAnsi="Arial" w:cs="Arial"/>
                <w:sz w:val="20"/>
                <w:szCs w:val="20"/>
                <w:lang w:eastAsia="en-US"/>
              </w:rPr>
              <w:t>SOŠ s mat.</w:t>
            </w:r>
          </w:p>
        </w:tc>
        <w:tc>
          <w:tcPr>
            <w:tcW w:w="880" w:type="dxa"/>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57,9</w:t>
            </w:r>
          </w:p>
        </w:tc>
        <w:tc>
          <w:tcPr>
            <w:tcW w:w="880" w:type="dxa"/>
            <w:tcBorders>
              <w:top w:val="nil"/>
              <w:left w:val="single" w:sz="4" w:space="0" w:color="auto"/>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15,2</w:t>
            </w:r>
          </w:p>
        </w:tc>
        <w:tc>
          <w:tcPr>
            <w:tcW w:w="880" w:type="dxa"/>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42,2</w:t>
            </w:r>
          </w:p>
        </w:tc>
        <w:tc>
          <w:tcPr>
            <w:tcW w:w="880" w:type="dxa"/>
            <w:tcBorders>
              <w:top w:val="nil"/>
              <w:left w:val="single" w:sz="4" w:space="0" w:color="auto"/>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15,0</w:t>
            </w:r>
          </w:p>
        </w:tc>
        <w:tc>
          <w:tcPr>
            <w:tcW w:w="904" w:type="dxa"/>
            <w:tcBorders>
              <w:top w:val="nil"/>
              <w:left w:val="nil"/>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-15,7</w:t>
            </w:r>
          </w:p>
        </w:tc>
        <w:tc>
          <w:tcPr>
            <w:tcW w:w="872" w:type="dxa"/>
            <w:tcBorders>
              <w:top w:val="nil"/>
              <w:left w:val="nil"/>
              <w:bottom w:val="nil"/>
              <w:right w:val="double" w:sz="6"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-27,1</w:t>
            </w:r>
          </w:p>
        </w:tc>
      </w:tr>
      <w:tr w:rsidR="00A22B69" w:rsidRPr="00E04C25" w:rsidTr="009357F0">
        <w:trPr>
          <w:trHeight w:val="255"/>
          <w:jc w:val="center"/>
        </w:trPr>
        <w:tc>
          <w:tcPr>
            <w:tcW w:w="1960" w:type="dxa"/>
            <w:tcBorders>
              <w:top w:val="nil"/>
              <w:left w:val="double" w:sz="6" w:space="0" w:color="auto"/>
              <w:bottom w:val="nil"/>
              <w:right w:val="single" w:sz="4" w:space="0" w:color="auto"/>
            </w:tcBorders>
            <w:noWrap/>
            <w:vAlign w:val="center"/>
            <w:hideMark/>
          </w:tcPr>
          <w:p w:rsidR="00A22B69" w:rsidRPr="00E04C25" w:rsidRDefault="00A22B69" w:rsidP="00523B41">
            <w:pPr>
              <w:spacing w:line="276" w:lineRule="auto"/>
              <w:rPr>
                <w:rFonts w:ascii="Arial" w:hAnsi="Arial" w:cs="Arial"/>
                <w:sz w:val="20"/>
                <w:szCs w:val="20"/>
                <w:lang w:eastAsia="en-US"/>
              </w:rPr>
            </w:pPr>
            <w:r w:rsidRPr="00E04C25">
              <w:rPr>
                <w:rFonts w:ascii="Arial" w:hAnsi="Arial" w:cs="Arial"/>
                <w:sz w:val="20"/>
                <w:szCs w:val="20"/>
                <w:lang w:eastAsia="en-US"/>
              </w:rPr>
              <w:t>vyšší vzdělání</w:t>
            </w:r>
          </w:p>
        </w:tc>
        <w:tc>
          <w:tcPr>
            <w:tcW w:w="880" w:type="dxa"/>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3,2</w:t>
            </w:r>
          </w:p>
        </w:tc>
        <w:tc>
          <w:tcPr>
            <w:tcW w:w="880" w:type="dxa"/>
            <w:tcBorders>
              <w:top w:val="nil"/>
              <w:left w:val="single" w:sz="4" w:space="0" w:color="auto"/>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0,8</w:t>
            </w:r>
          </w:p>
        </w:tc>
        <w:tc>
          <w:tcPr>
            <w:tcW w:w="880" w:type="dxa"/>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2,3</w:t>
            </w:r>
          </w:p>
        </w:tc>
        <w:tc>
          <w:tcPr>
            <w:tcW w:w="880" w:type="dxa"/>
            <w:tcBorders>
              <w:top w:val="nil"/>
              <w:left w:val="single" w:sz="4" w:space="0" w:color="auto"/>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0,8</w:t>
            </w:r>
          </w:p>
        </w:tc>
        <w:tc>
          <w:tcPr>
            <w:tcW w:w="904" w:type="dxa"/>
            <w:tcBorders>
              <w:top w:val="nil"/>
              <w:left w:val="nil"/>
              <w:bottom w:val="nil"/>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-0,9</w:t>
            </w:r>
          </w:p>
        </w:tc>
        <w:tc>
          <w:tcPr>
            <w:tcW w:w="872" w:type="dxa"/>
            <w:tcBorders>
              <w:top w:val="nil"/>
              <w:left w:val="nil"/>
              <w:bottom w:val="nil"/>
              <w:right w:val="double" w:sz="6"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-28,1</w:t>
            </w:r>
          </w:p>
        </w:tc>
      </w:tr>
      <w:tr w:rsidR="00A22B69" w:rsidRPr="00E04C25" w:rsidTr="009357F0">
        <w:trPr>
          <w:trHeight w:val="270"/>
          <w:jc w:val="center"/>
        </w:trPr>
        <w:tc>
          <w:tcPr>
            <w:tcW w:w="1960" w:type="dxa"/>
            <w:tcBorders>
              <w:top w:val="nil"/>
              <w:left w:val="double" w:sz="6" w:space="0" w:color="auto"/>
              <w:bottom w:val="double" w:sz="6" w:space="0" w:color="auto"/>
              <w:right w:val="single" w:sz="4" w:space="0" w:color="auto"/>
            </w:tcBorders>
            <w:noWrap/>
            <w:vAlign w:val="center"/>
            <w:hideMark/>
          </w:tcPr>
          <w:p w:rsidR="00A22B69" w:rsidRPr="00E04C25" w:rsidRDefault="00A22B69" w:rsidP="00523B41">
            <w:pPr>
              <w:spacing w:line="276" w:lineRule="auto"/>
              <w:rPr>
                <w:rFonts w:ascii="Arial" w:hAnsi="Arial" w:cs="Arial"/>
                <w:sz w:val="20"/>
                <w:szCs w:val="20"/>
                <w:lang w:eastAsia="en-US"/>
              </w:rPr>
            </w:pPr>
            <w:r w:rsidRPr="00E04C25">
              <w:rPr>
                <w:rFonts w:ascii="Arial" w:hAnsi="Arial" w:cs="Arial"/>
                <w:sz w:val="20"/>
                <w:szCs w:val="20"/>
                <w:lang w:eastAsia="en-US"/>
              </w:rPr>
              <w:t>vysokoškolské</w:t>
            </w:r>
          </w:p>
        </w:tc>
        <w:tc>
          <w:tcPr>
            <w:tcW w:w="880" w:type="dxa"/>
            <w:tcBorders>
              <w:top w:val="nil"/>
              <w:left w:val="nil"/>
              <w:bottom w:val="double" w:sz="6" w:space="0" w:color="auto"/>
              <w:right w:val="nil"/>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26,4</w:t>
            </w:r>
          </w:p>
        </w:tc>
        <w:tc>
          <w:tcPr>
            <w:tcW w:w="880" w:type="dxa"/>
            <w:tcBorders>
              <w:top w:val="nil"/>
              <w:left w:val="single" w:sz="4" w:space="0" w:color="auto"/>
              <w:bottom w:val="double" w:sz="6" w:space="0" w:color="auto"/>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6,9</w:t>
            </w:r>
          </w:p>
        </w:tc>
        <w:tc>
          <w:tcPr>
            <w:tcW w:w="880" w:type="dxa"/>
            <w:tcBorders>
              <w:top w:val="nil"/>
              <w:left w:val="nil"/>
              <w:bottom w:val="double" w:sz="6" w:space="0" w:color="auto"/>
              <w:right w:val="nil"/>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19,9</w:t>
            </w:r>
          </w:p>
        </w:tc>
        <w:tc>
          <w:tcPr>
            <w:tcW w:w="880" w:type="dxa"/>
            <w:tcBorders>
              <w:top w:val="nil"/>
              <w:left w:val="single" w:sz="4" w:space="0" w:color="auto"/>
              <w:bottom w:val="double" w:sz="6" w:space="0" w:color="auto"/>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7,1</w:t>
            </w:r>
          </w:p>
        </w:tc>
        <w:tc>
          <w:tcPr>
            <w:tcW w:w="904" w:type="dxa"/>
            <w:tcBorders>
              <w:top w:val="nil"/>
              <w:left w:val="nil"/>
              <w:bottom w:val="double" w:sz="6" w:space="0" w:color="auto"/>
              <w:right w:val="single" w:sz="4"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-6,5</w:t>
            </w:r>
          </w:p>
        </w:tc>
        <w:tc>
          <w:tcPr>
            <w:tcW w:w="872" w:type="dxa"/>
            <w:tcBorders>
              <w:top w:val="nil"/>
              <w:left w:val="nil"/>
              <w:bottom w:val="double" w:sz="6" w:space="0" w:color="auto"/>
              <w:right w:val="double" w:sz="6" w:space="0" w:color="auto"/>
            </w:tcBorders>
            <w:noWrap/>
            <w:vAlign w:val="center"/>
            <w:hideMark/>
          </w:tcPr>
          <w:p w:rsidR="00A22B69" w:rsidRPr="00E04C25" w:rsidRDefault="00A22B69">
            <w:pPr>
              <w:jc w:val="right"/>
              <w:rPr>
                <w:rFonts w:ascii="Arial" w:hAnsi="Arial" w:cs="Arial"/>
                <w:sz w:val="18"/>
                <w:szCs w:val="18"/>
              </w:rPr>
            </w:pPr>
            <w:r w:rsidRPr="00E04C25">
              <w:rPr>
                <w:rFonts w:ascii="Arial" w:hAnsi="Arial" w:cs="Arial"/>
                <w:sz w:val="18"/>
                <w:szCs w:val="18"/>
              </w:rPr>
              <w:t>-24,6</w:t>
            </w:r>
          </w:p>
        </w:tc>
      </w:tr>
    </w:tbl>
    <w:p w:rsidR="00115440" w:rsidRPr="00E04C25" w:rsidRDefault="00115440" w:rsidP="00767F7D">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firstLine="567"/>
        <w:jc w:val="both"/>
        <w:rPr>
          <w:rFonts w:ascii="Arial" w:hAnsi="Arial" w:cs="Arial"/>
          <w:b/>
          <w:sz w:val="10"/>
          <w:szCs w:val="10"/>
        </w:rPr>
      </w:pPr>
    </w:p>
    <w:p w:rsidR="00767F7D" w:rsidRPr="00E04C25" w:rsidRDefault="00767F7D" w:rsidP="00767F7D">
      <w:pPr>
        <w:pStyle w:val="Zkladntextodsazen3"/>
        <w:tabs>
          <w:tab w:val="left" w:pos="567"/>
        </w:tabs>
        <w:spacing w:after="0"/>
        <w:ind w:left="1276" w:hanging="709"/>
        <w:jc w:val="both"/>
        <w:rPr>
          <w:rFonts w:ascii="Arial" w:hAnsi="Arial" w:cs="Arial"/>
          <w:i/>
          <w:iCs/>
          <w:lang w:val="cs-CZ" w:eastAsia="en-US"/>
        </w:rPr>
      </w:pPr>
      <w:r w:rsidRPr="00E04C25">
        <w:rPr>
          <w:rFonts w:ascii="Arial" w:hAnsi="Arial" w:cs="Arial"/>
          <w:i/>
          <w:iCs/>
          <w:lang w:val="cs-CZ" w:eastAsia="en-US"/>
        </w:rPr>
        <w:tab/>
      </w:r>
      <w:r w:rsidRPr="00E04C25">
        <w:rPr>
          <w:rFonts w:ascii="Arial" w:hAnsi="Arial" w:cs="Arial"/>
          <w:i/>
          <w:iCs/>
          <w:lang w:eastAsia="en-US"/>
        </w:rPr>
        <w:t xml:space="preserve">Pozn.: drobné odchylky součtu osob v jednotlivých kategoriích od uvedeného celkového </w:t>
      </w:r>
    </w:p>
    <w:p w:rsidR="00767F7D" w:rsidRPr="00E04C25" w:rsidRDefault="00767F7D" w:rsidP="00767F7D">
      <w:pPr>
        <w:pStyle w:val="Zkladntextodsazen3"/>
        <w:tabs>
          <w:tab w:val="left" w:pos="567"/>
        </w:tabs>
        <w:spacing w:after="0"/>
        <w:ind w:left="1276" w:hanging="709"/>
        <w:jc w:val="both"/>
        <w:rPr>
          <w:rFonts w:ascii="Arial" w:hAnsi="Arial" w:cs="Arial"/>
          <w:sz w:val="24"/>
          <w:szCs w:val="24"/>
          <w:lang w:val="cs-CZ"/>
        </w:rPr>
      </w:pPr>
      <w:r w:rsidRPr="00E04C25">
        <w:rPr>
          <w:rFonts w:ascii="Arial" w:hAnsi="Arial" w:cs="Arial"/>
          <w:i/>
          <w:iCs/>
          <w:lang w:val="cs-CZ" w:eastAsia="en-US"/>
        </w:rPr>
        <w:tab/>
      </w:r>
      <w:r w:rsidRPr="00E04C25">
        <w:rPr>
          <w:rFonts w:ascii="Arial" w:hAnsi="Arial" w:cs="Arial"/>
          <w:i/>
          <w:iCs/>
          <w:lang w:eastAsia="en-US"/>
        </w:rPr>
        <w:t>počtu souvisí se zaokrouhlením hodnot na jedno desetinné místo</w:t>
      </w:r>
    </w:p>
    <w:p w:rsidR="00767F7D" w:rsidRPr="00E04C25" w:rsidRDefault="00767F7D" w:rsidP="00115440">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567"/>
        <w:jc w:val="both"/>
        <w:rPr>
          <w:rFonts w:ascii="Arial" w:hAnsi="Arial" w:cs="Arial"/>
          <w:b/>
          <w:sz w:val="16"/>
          <w:szCs w:val="16"/>
        </w:rPr>
      </w:pPr>
    </w:p>
    <w:p w:rsidR="000254B4" w:rsidRPr="00E04C25" w:rsidRDefault="000254B4" w:rsidP="000254B4">
      <w:pPr>
        <w:pStyle w:val="Zkladntext"/>
        <w:spacing w:line="360" w:lineRule="auto"/>
        <w:ind w:firstLine="567"/>
        <w:rPr>
          <w:rFonts w:cs="Arial"/>
          <w:color w:val="auto"/>
          <w:szCs w:val="23"/>
          <w:lang w:val="cs-CZ"/>
        </w:rPr>
      </w:pPr>
      <w:r w:rsidRPr="00E04C25">
        <w:rPr>
          <w:color w:val="auto"/>
          <w:szCs w:val="23"/>
          <w:lang w:val="cs-CZ"/>
        </w:rPr>
        <w:t>R</w:t>
      </w:r>
      <w:r w:rsidRPr="00E04C25">
        <w:rPr>
          <w:bCs/>
          <w:color w:val="auto"/>
          <w:szCs w:val="23"/>
          <w:lang w:val="cs-CZ"/>
        </w:rPr>
        <w:t>o</w:t>
      </w:r>
      <w:r w:rsidRPr="00E04C25">
        <w:rPr>
          <w:bCs/>
          <w:color w:val="auto"/>
          <w:szCs w:val="23"/>
        </w:rPr>
        <w:t xml:space="preserve">zdíly mezi kvalifikační strukturou uchazečů o zaměstnání a kvalifikačními požadavky </w:t>
      </w:r>
      <w:r w:rsidRPr="00E04C25">
        <w:rPr>
          <w:bCs/>
          <w:color w:val="auto"/>
          <w:szCs w:val="23"/>
          <w:lang w:val="cs-CZ"/>
        </w:rPr>
        <w:t xml:space="preserve">zaměstnavatelů vyjádřené </w:t>
      </w:r>
      <w:r w:rsidRPr="00E04C25">
        <w:rPr>
          <w:b/>
          <w:color w:val="auto"/>
          <w:szCs w:val="23"/>
        </w:rPr>
        <w:t>počt</w:t>
      </w:r>
      <w:r w:rsidRPr="00E04C25">
        <w:rPr>
          <w:b/>
          <w:color w:val="auto"/>
          <w:szCs w:val="23"/>
          <w:lang w:val="cs-CZ"/>
        </w:rPr>
        <w:t>em</w:t>
      </w:r>
      <w:r w:rsidRPr="00E04C25">
        <w:rPr>
          <w:b/>
          <w:color w:val="auto"/>
          <w:szCs w:val="23"/>
        </w:rPr>
        <w:t xml:space="preserve"> uchazečů o zaměstnání na 1 volné pracovní </w:t>
      </w:r>
      <w:r w:rsidRPr="00E04C25">
        <w:rPr>
          <w:rFonts w:cs="Arial"/>
          <w:b/>
          <w:color w:val="auto"/>
        </w:rPr>
        <w:t xml:space="preserve">místo </w:t>
      </w:r>
      <w:r w:rsidRPr="00E04C25">
        <w:rPr>
          <w:b/>
          <w:color w:val="auto"/>
          <w:szCs w:val="23"/>
        </w:rPr>
        <w:t>se</w:t>
      </w:r>
      <w:r w:rsidRPr="00E04C25">
        <w:rPr>
          <w:color w:val="auto"/>
          <w:szCs w:val="23"/>
        </w:rPr>
        <w:t xml:space="preserve"> oproti </w:t>
      </w:r>
      <w:r w:rsidRPr="00E04C25">
        <w:rPr>
          <w:color w:val="auto"/>
          <w:szCs w:val="23"/>
          <w:lang w:val="cs-CZ"/>
        </w:rPr>
        <w:t>prosinci</w:t>
      </w:r>
      <w:r w:rsidRPr="00E04C25">
        <w:rPr>
          <w:color w:val="auto"/>
          <w:szCs w:val="23"/>
        </w:rPr>
        <w:t xml:space="preserve"> 20</w:t>
      </w:r>
      <w:r w:rsidRPr="00E04C25">
        <w:rPr>
          <w:color w:val="auto"/>
          <w:szCs w:val="23"/>
          <w:lang w:val="cs-CZ"/>
        </w:rPr>
        <w:t>16</w:t>
      </w:r>
      <w:r w:rsidRPr="00E04C25">
        <w:rPr>
          <w:color w:val="auto"/>
          <w:szCs w:val="23"/>
        </w:rPr>
        <w:t xml:space="preserve"> </w:t>
      </w:r>
      <w:r w:rsidRPr="00E04C25">
        <w:rPr>
          <w:b/>
          <w:color w:val="auto"/>
          <w:szCs w:val="23"/>
        </w:rPr>
        <w:t>nejvíce</w:t>
      </w:r>
      <w:r w:rsidRPr="00E04C25">
        <w:rPr>
          <w:color w:val="auto"/>
          <w:szCs w:val="23"/>
        </w:rPr>
        <w:t xml:space="preserve"> </w:t>
      </w:r>
      <w:r w:rsidRPr="00E04C25">
        <w:rPr>
          <w:b/>
          <w:color w:val="auto"/>
          <w:szCs w:val="23"/>
        </w:rPr>
        <w:t>zmírnil</w:t>
      </w:r>
      <w:r w:rsidRPr="00E04C25">
        <w:rPr>
          <w:b/>
          <w:color w:val="auto"/>
          <w:szCs w:val="23"/>
          <w:lang w:val="cs-CZ"/>
        </w:rPr>
        <w:t>y</w:t>
      </w:r>
      <w:r w:rsidRPr="00E04C25">
        <w:rPr>
          <w:color w:val="auto"/>
          <w:szCs w:val="23"/>
        </w:rPr>
        <w:t xml:space="preserve"> </w:t>
      </w:r>
      <w:r w:rsidRPr="00E04C25">
        <w:rPr>
          <w:rFonts w:cs="Arial"/>
          <w:color w:val="auto"/>
          <w:lang w:val="cs-CZ"/>
        </w:rPr>
        <w:t>u</w:t>
      </w:r>
      <w:r w:rsidRPr="00E04C25">
        <w:rPr>
          <w:rFonts w:cs="Arial"/>
          <w:b/>
          <w:color w:val="auto"/>
          <w:lang w:val="cs-CZ"/>
        </w:rPr>
        <w:t xml:space="preserve"> </w:t>
      </w:r>
      <w:r w:rsidRPr="00E04C25">
        <w:rPr>
          <w:rFonts w:cs="Arial"/>
          <w:b/>
          <w:color w:val="auto"/>
        </w:rPr>
        <w:t>gymn</w:t>
      </w:r>
      <w:r w:rsidRPr="00E04C25">
        <w:rPr>
          <w:rFonts w:cs="Arial"/>
          <w:b/>
          <w:color w:val="auto"/>
          <w:lang w:val="cs-CZ"/>
        </w:rPr>
        <w:t>áz</w:t>
      </w:r>
      <w:r w:rsidRPr="00E04C25">
        <w:rPr>
          <w:rFonts w:cs="Arial"/>
          <w:b/>
          <w:color w:val="auto"/>
        </w:rPr>
        <w:t>i</w:t>
      </w:r>
      <w:r w:rsidRPr="00E04C25">
        <w:rPr>
          <w:rFonts w:cs="Arial"/>
          <w:b/>
          <w:color w:val="auto"/>
          <w:lang w:val="cs-CZ"/>
        </w:rPr>
        <w:t>í,</w:t>
      </w:r>
      <w:r w:rsidRPr="00E04C25">
        <w:rPr>
          <w:color w:val="auto"/>
          <w:szCs w:val="23"/>
          <w:lang w:val="cs-CZ"/>
        </w:rPr>
        <w:t xml:space="preserve"> u </w:t>
      </w:r>
      <w:r w:rsidRPr="00E04C25">
        <w:rPr>
          <w:rFonts w:cs="Arial"/>
          <w:b/>
          <w:color w:val="auto"/>
          <w:lang w:val="cs-CZ"/>
        </w:rPr>
        <w:t xml:space="preserve">středního odborného vzdělání bez maturity a </w:t>
      </w:r>
      <w:r w:rsidRPr="00E04C25">
        <w:rPr>
          <w:color w:val="auto"/>
          <w:szCs w:val="23"/>
          <w:lang w:val="cs-CZ"/>
        </w:rPr>
        <w:t xml:space="preserve">u </w:t>
      </w:r>
      <w:r w:rsidRPr="00E04C25">
        <w:rPr>
          <w:rFonts w:cs="Arial"/>
          <w:b/>
          <w:color w:val="auto"/>
          <w:lang w:val="cs-CZ"/>
        </w:rPr>
        <w:t>vysokoškolského vzdělání.</w:t>
      </w:r>
      <w:r w:rsidRPr="00E04C25">
        <w:rPr>
          <w:b/>
          <w:color w:val="auto"/>
          <w:szCs w:val="23"/>
          <w:lang w:val="cs-CZ"/>
        </w:rPr>
        <w:t xml:space="preserve"> </w:t>
      </w:r>
    </w:p>
    <w:p w:rsidR="00115440" w:rsidRPr="00E04C25" w:rsidRDefault="00115440" w:rsidP="00E211EB">
      <w:pPr>
        <w:pStyle w:val="Zkladntext"/>
        <w:ind w:left="7082" w:firstLine="709"/>
        <w:jc w:val="right"/>
        <w:rPr>
          <w:bCs/>
          <w:color w:val="auto"/>
          <w:sz w:val="20"/>
          <w:szCs w:val="20"/>
          <w:lang w:val="cs-CZ"/>
        </w:rPr>
      </w:pPr>
      <w:r w:rsidRPr="00E04C25">
        <w:rPr>
          <w:bCs/>
          <w:color w:val="auto"/>
          <w:sz w:val="20"/>
          <w:szCs w:val="20"/>
        </w:rPr>
        <w:t>graf č. 1</w:t>
      </w:r>
      <w:r w:rsidR="006D5548" w:rsidRPr="00E04C25">
        <w:rPr>
          <w:bCs/>
          <w:color w:val="auto"/>
          <w:sz w:val="20"/>
          <w:szCs w:val="20"/>
          <w:lang w:val="cs-CZ"/>
        </w:rPr>
        <w:t>8</w:t>
      </w:r>
    </w:p>
    <w:p w:rsidR="00115440" w:rsidRPr="00E04C25" w:rsidRDefault="00E211EB" w:rsidP="00115440">
      <w:pPr>
        <w:pStyle w:val="xl53"/>
        <w:pBdr>
          <w:bottom w:val="none" w:sz="0" w:space="0" w:color="auto"/>
          <w:right w:val="none" w:sz="0" w:space="0" w:color="auto"/>
        </w:pBdr>
        <w:tabs>
          <w:tab w:val="left" w:pos="720"/>
        </w:tabs>
        <w:spacing w:before="0" w:beforeAutospacing="0" w:after="0" w:afterAutospacing="0" w:line="360" w:lineRule="auto"/>
      </w:pPr>
      <w:r w:rsidRPr="00E04C25">
        <w:rPr>
          <w:noProof/>
        </w:rPr>
        <w:drawing>
          <wp:inline distT="0" distB="0" distL="0" distR="0">
            <wp:extent cx="5705475" cy="3390900"/>
            <wp:effectExtent l="0" t="0" r="9525" b="19050"/>
            <wp:docPr id="56" name="Graf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15440" w:rsidRPr="00E04C25" w:rsidRDefault="00115440" w:rsidP="00115440">
      <w:pPr>
        <w:tabs>
          <w:tab w:val="left" w:pos="720"/>
        </w:tabs>
        <w:spacing w:line="360" w:lineRule="auto"/>
        <w:ind w:firstLine="567"/>
        <w:jc w:val="both"/>
        <w:rPr>
          <w:rFonts w:ascii="Arial" w:hAnsi="Arial" w:cs="Arial"/>
          <w:sz w:val="16"/>
          <w:szCs w:val="16"/>
        </w:rPr>
      </w:pPr>
    </w:p>
    <w:p w:rsidR="00115440" w:rsidRPr="00E04C25" w:rsidRDefault="00115440" w:rsidP="00115440">
      <w:pPr>
        <w:tabs>
          <w:tab w:val="left" w:pos="567"/>
        </w:tabs>
        <w:spacing w:line="360" w:lineRule="auto"/>
        <w:jc w:val="both"/>
        <w:rPr>
          <w:rFonts w:ascii="Arial" w:hAnsi="Arial" w:cs="Arial"/>
        </w:rPr>
      </w:pPr>
      <w:r w:rsidRPr="00E04C25">
        <w:rPr>
          <w:rFonts w:ascii="Arial" w:hAnsi="Arial" w:cs="Arial"/>
        </w:rPr>
        <w:tab/>
        <w:t xml:space="preserve">V souvislosti s hlavními cíli Strategie Evropa 2020 v oblasti zaměstnanosti se projevila potřeba snížení vysoké míry nezaměstnanosti některých skupin obyvatel. Proto do národních cílů České republiky byl zařazen cíl </w:t>
      </w:r>
      <w:r w:rsidRPr="00E04C25">
        <w:rPr>
          <w:rFonts w:ascii="Arial" w:hAnsi="Arial" w:cs="Arial"/>
          <w:b/>
        </w:rPr>
        <w:t xml:space="preserve">snížení míry </w:t>
      </w:r>
      <w:r w:rsidRPr="00E04C25">
        <w:rPr>
          <w:rFonts w:ascii="Arial" w:hAnsi="Arial" w:cs="Arial"/>
          <w:b/>
        </w:rPr>
        <w:lastRenderedPageBreak/>
        <w:t>nezaměstnanosti mladých osob</w:t>
      </w:r>
      <w:r w:rsidRPr="00E04C25">
        <w:rPr>
          <w:rFonts w:ascii="Arial" w:hAnsi="Arial" w:cs="Arial"/>
        </w:rPr>
        <w:t xml:space="preserve"> (15</w:t>
      </w:r>
      <w:r w:rsidR="000254B4" w:rsidRPr="00E04C25">
        <w:rPr>
          <w:rFonts w:ascii="Arial" w:hAnsi="Arial" w:cs="Arial"/>
        </w:rPr>
        <w:t>-</w:t>
      </w:r>
      <w:r w:rsidRPr="00E04C25">
        <w:rPr>
          <w:rFonts w:ascii="Arial" w:hAnsi="Arial" w:cs="Arial"/>
        </w:rPr>
        <w:t xml:space="preserve">24 let) </w:t>
      </w:r>
      <w:r w:rsidRPr="00E04C25">
        <w:rPr>
          <w:rFonts w:ascii="Arial" w:hAnsi="Arial" w:cs="Arial"/>
          <w:b/>
        </w:rPr>
        <w:t>o třetinu</w:t>
      </w:r>
      <w:r w:rsidRPr="00E04C25">
        <w:rPr>
          <w:rFonts w:ascii="Arial" w:hAnsi="Arial" w:cs="Arial"/>
        </w:rPr>
        <w:t xml:space="preserve"> a </w:t>
      </w:r>
      <w:r w:rsidRPr="00E04C25">
        <w:rPr>
          <w:rFonts w:ascii="Arial" w:hAnsi="Arial" w:cs="Arial"/>
          <w:b/>
        </w:rPr>
        <w:t>snížení míry nezaměstnanosti osob s nízkou kvalifikací</w:t>
      </w:r>
      <w:r w:rsidRPr="00E04C25">
        <w:rPr>
          <w:rFonts w:ascii="Arial" w:hAnsi="Arial" w:cs="Arial"/>
        </w:rPr>
        <w:t xml:space="preserve"> (stupeň ISCED 0</w:t>
      </w:r>
      <w:r w:rsidR="00976F7F" w:rsidRPr="00E04C25">
        <w:rPr>
          <w:rFonts w:ascii="Arial" w:hAnsi="Arial" w:cs="Arial"/>
        </w:rPr>
        <w:t>-</w:t>
      </w:r>
      <w:r w:rsidRPr="00E04C25">
        <w:rPr>
          <w:rFonts w:ascii="Arial" w:hAnsi="Arial" w:cs="Arial"/>
        </w:rPr>
        <w:t xml:space="preserve">2 klasifikace vzdělání) </w:t>
      </w:r>
      <w:r w:rsidRPr="00E04C25">
        <w:rPr>
          <w:rFonts w:ascii="Arial" w:hAnsi="Arial" w:cs="Arial"/>
          <w:b/>
        </w:rPr>
        <w:t>o čtvrtinu</w:t>
      </w:r>
      <w:r w:rsidRPr="00E04C25">
        <w:rPr>
          <w:rFonts w:ascii="Arial" w:hAnsi="Arial" w:cs="Arial"/>
        </w:rPr>
        <w:t xml:space="preserve"> </w:t>
      </w:r>
      <w:r w:rsidRPr="00E04C25">
        <w:rPr>
          <w:rFonts w:ascii="Arial" w:hAnsi="Arial" w:cs="Arial"/>
          <w:b/>
        </w:rPr>
        <w:t xml:space="preserve">oproti roku 2010. </w:t>
      </w:r>
      <w:r w:rsidRPr="00E04C25">
        <w:rPr>
          <w:rFonts w:ascii="Arial" w:hAnsi="Arial" w:cs="Arial"/>
        </w:rPr>
        <w:t xml:space="preserve">Vzhledem k tomu, že k vyhodnocení se používají mezinárodně srovnatelná data EUROSTATu z VŠPS/LFS podle metodiky ILO, konkrétní hodnoty jsou uvedeny v části V. Mezinárodní srovnání zaměstnanosti a nezaměstnanosti. </w:t>
      </w:r>
    </w:p>
    <w:p w:rsidR="00115440" w:rsidRPr="00E04C25" w:rsidRDefault="00115440" w:rsidP="00115440">
      <w:pPr>
        <w:pStyle w:val="Normlnweb"/>
        <w:spacing w:line="360" w:lineRule="auto"/>
        <w:rPr>
          <w:rFonts w:ascii="Arial" w:hAnsi="Arial"/>
          <w:b/>
        </w:rPr>
      </w:pPr>
    </w:p>
    <w:p w:rsidR="00115440" w:rsidRPr="00E04C25" w:rsidRDefault="00115440" w:rsidP="00304119">
      <w:pPr>
        <w:pStyle w:val="Normlnweb"/>
        <w:numPr>
          <w:ilvl w:val="0"/>
          <w:numId w:val="17"/>
        </w:numPr>
        <w:spacing w:line="360" w:lineRule="auto"/>
        <w:rPr>
          <w:rFonts w:ascii="Arial" w:hAnsi="Arial"/>
          <w:b/>
        </w:rPr>
      </w:pPr>
      <w:r w:rsidRPr="00E04C25">
        <w:rPr>
          <w:rFonts w:ascii="Arial" w:hAnsi="Arial"/>
          <w:b/>
        </w:rPr>
        <w:t>Ženy a muži v evidenci ÚP ČR</w:t>
      </w:r>
    </w:p>
    <w:p w:rsidR="00115440" w:rsidRPr="00E04C25" w:rsidRDefault="00115440" w:rsidP="00115440">
      <w:pPr>
        <w:pStyle w:val="Normlnweb"/>
        <w:rPr>
          <w:rFonts w:ascii="Arial" w:hAnsi="Arial"/>
          <w:b/>
          <w:sz w:val="16"/>
          <w:szCs w:val="16"/>
        </w:rPr>
      </w:pPr>
    </w:p>
    <w:p w:rsidR="00365B47" w:rsidRPr="00E04C25" w:rsidRDefault="00365B47" w:rsidP="00365B47">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567"/>
        <w:jc w:val="both"/>
        <w:rPr>
          <w:rFonts w:ascii="Arial" w:hAnsi="Arial"/>
          <w:bCs/>
          <w:szCs w:val="23"/>
        </w:rPr>
      </w:pPr>
      <w:r w:rsidRPr="00E04C25">
        <w:rPr>
          <w:rFonts w:ascii="Arial" w:hAnsi="Arial"/>
          <w:bCs/>
          <w:szCs w:val="23"/>
        </w:rPr>
        <w:t xml:space="preserve">Nezaměstnanost postihuje ženy větší měrou, v průměru je počet žen v evidenci ÚP ČR vyšší než mužů (výjimkou byly roky 2008 a 2009, kdy ekonomická krize postihla především odvětví s vyšší zaměstnaností mužů).  </w:t>
      </w:r>
    </w:p>
    <w:p w:rsidR="00365B47" w:rsidRPr="00E04C25" w:rsidRDefault="00365B47" w:rsidP="00365B47">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567"/>
        <w:jc w:val="both"/>
        <w:rPr>
          <w:rFonts w:ascii="Arial" w:hAnsi="Arial"/>
          <w:bCs/>
          <w:szCs w:val="23"/>
        </w:rPr>
      </w:pPr>
      <w:r w:rsidRPr="00E04C25">
        <w:rPr>
          <w:rFonts w:ascii="Arial" w:hAnsi="Arial"/>
          <w:bCs/>
          <w:szCs w:val="23"/>
        </w:rPr>
        <w:t xml:space="preserve">V roce 2017 dosáhl </w:t>
      </w:r>
      <w:r w:rsidRPr="00E04C25">
        <w:rPr>
          <w:rFonts w:ascii="Arial" w:hAnsi="Arial"/>
          <w:b/>
          <w:bCs/>
          <w:szCs w:val="23"/>
        </w:rPr>
        <w:t>průměrný počet mužů v evidenci ÚP ČR 153,4 tis.</w:t>
      </w:r>
      <w:r w:rsidRPr="00E04C25">
        <w:rPr>
          <w:rFonts w:ascii="Arial" w:hAnsi="Arial"/>
          <w:bCs/>
          <w:szCs w:val="23"/>
        </w:rPr>
        <w:t>, což je o 4</w:t>
      </w:r>
      <w:r w:rsidR="00674EDC" w:rsidRPr="00E04C25">
        <w:rPr>
          <w:rFonts w:ascii="Arial" w:hAnsi="Arial"/>
          <w:bCs/>
          <w:szCs w:val="23"/>
        </w:rPr>
        <w:t>3</w:t>
      </w:r>
      <w:r w:rsidRPr="00E04C25">
        <w:rPr>
          <w:rFonts w:ascii="Arial" w:hAnsi="Arial"/>
          <w:bCs/>
          <w:szCs w:val="23"/>
        </w:rPr>
        <w:t>,</w:t>
      </w:r>
      <w:r w:rsidR="00DB3E46" w:rsidRPr="00E04C25">
        <w:rPr>
          <w:rFonts w:ascii="Arial" w:hAnsi="Arial"/>
          <w:bCs/>
          <w:szCs w:val="23"/>
        </w:rPr>
        <w:t>5</w:t>
      </w:r>
      <w:r w:rsidRPr="00E04C25">
        <w:rPr>
          <w:rFonts w:ascii="Arial" w:hAnsi="Arial"/>
          <w:bCs/>
          <w:szCs w:val="23"/>
        </w:rPr>
        <w:t> tis. méně než v </w:t>
      </w:r>
      <w:r w:rsidR="00674EDC" w:rsidRPr="00E04C25">
        <w:rPr>
          <w:rFonts w:ascii="Arial" w:hAnsi="Arial"/>
          <w:bCs/>
          <w:szCs w:val="23"/>
        </w:rPr>
        <w:t>roce</w:t>
      </w:r>
      <w:r w:rsidRPr="00E04C25">
        <w:rPr>
          <w:rFonts w:ascii="Arial" w:hAnsi="Arial"/>
          <w:bCs/>
          <w:szCs w:val="23"/>
        </w:rPr>
        <w:t xml:space="preserve"> 2016. Průměrný </w:t>
      </w:r>
      <w:r w:rsidRPr="00E04C25">
        <w:rPr>
          <w:rFonts w:ascii="Arial" w:hAnsi="Arial"/>
          <w:b/>
          <w:bCs/>
          <w:szCs w:val="23"/>
        </w:rPr>
        <w:t>počet žen</w:t>
      </w:r>
      <w:r w:rsidRPr="00E04C25">
        <w:rPr>
          <w:rFonts w:ascii="Arial" w:hAnsi="Arial"/>
          <w:bCs/>
          <w:szCs w:val="23"/>
        </w:rPr>
        <w:t xml:space="preserve"> se snížil o 4</w:t>
      </w:r>
      <w:r w:rsidR="00674EDC" w:rsidRPr="00E04C25">
        <w:rPr>
          <w:rFonts w:ascii="Arial" w:hAnsi="Arial"/>
          <w:bCs/>
          <w:szCs w:val="23"/>
        </w:rPr>
        <w:t>4</w:t>
      </w:r>
      <w:r w:rsidRPr="00E04C25">
        <w:rPr>
          <w:rFonts w:ascii="Arial" w:hAnsi="Arial"/>
          <w:bCs/>
          <w:szCs w:val="23"/>
        </w:rPr>
        <w:t>,</w:t>
      </w:r>
      <w:r w:rsidR="00674EDC" w:rsidRPr="00E04C25">
        <w:rPr>
          <w:rFonts w:ascii="Arial" w:hAnsi="Arial"/>
          <w:bCs/>
          <w:szCs w:val="23"/>
        </w:rPr>
        <w:t>9</w:t>
      </w:r>
      <w:r w:rsidRPr="00E04C25">
        <w:rPr>
          <w:rFonts w:ascii="Arial" w:hAnsi="Arial"/>
          <w:bCs/>
          <w:szCs w:val="23"/>
        </w:rPr>
        <w:t xml:space="preserve"> tis. na </w:t>
      </w:r>
      <w:r w:rsidRPr="00E04C25">
        <w:rPr>
          <w:rFonts w:ascii="Arial" w:hAnsi="Arial"/>
          <w:b/>
          <w:bCs/>
          <w:szCs w:val="23"/>
        </w:rPr>
        <w:t>1</w:t>
      </w:r>
      <w:r w:rsidR="00674EDC" w:rsidRPr="00E04C25">
        <w:rPr>
          <w:rFonts w:ascii="Arial" w:hAnsi="Arial"/>
          <w:b/>
          <w:bCs/>
          <w:szCs w:val="23"/>
        </w:rPr>
        <w:t>64</w:t>
      </w:r>
      <w:r w:rsidRPr="00E04C25">
        <w:rPr>
          <w:rFonts w:ascii="Arial" w:hAnsi="Arial" w:cs="Arial"/>
          <w:b/>
          <w:szCs w:val="23"/>
        </w:rPr>
        <w:t>,2 tis.</w:t>
      </w:r>
      <w:r w:rsidRPr="00E04C25">
        <w:rPr>
          <w:rFonts w:ascii="Arial" w:hAnsi="Arial" w:cs="Arial"/>
          <w:szCs w:val="23"/>
        </w:rPr>
        <w:t xml:space="preserve"> </w:t>
      </w:r>
      <w:r w:rsidRPr="00E04C25">
        <w:rPr>
          <w:rFonts w:ascii="Arial" w:hAnsi="Arial" w:cs="Arial"/>
          <w:b/>
          <w:szCs w:val="23"/>
        </w:rPr>
        <w:t>P</w:t>
      </w:r>
      <w:r w:rsidRPr="00E04C25">
        <w:rPr>
          <w:rFonts w:ascii="Arial" w:hAnsi="Arial"/>
          <w:b/>
          <w:bCs/>
          <w:szCs w:val="23"/>
        </w:rPr>
        <w:t xml:space="preserve">růměrný </w:t>
      </w:r>
      <w:r w:rsidRPr="00E04C25">
        <w:rPr>
          <w:rFonts w:ascii="Arial" w:hAnsi="Arial"/>
          <w:b/>
          <w:szCs w:val="23"/>
        </w:rPr>
        <w:t>podíl</w:t>
      </w:r>
      <w:r w:rsidRPr="00E04C25">
        <w:rPr>
          <w:rFonts w:ascii="Arial" w:hAnsi="Arial"/>
          <w:bCs/>
          <w:szCs w:val="23"/>
        </w:rPr>
        <w:t xml:space="preserve"> </w:t>
      </w:r>
      <w:r w:rsidRPr="00E04C25">
        <w:rPr>
          <w:rFonts w:ascii="Arial" w:hAnsi="Arial"/>
          <w:b/>
          <w:bCs/>
          <w:szCs w:val="23"/>
        </w:rPr>
        <w:t>žen</w:t>
      </w:r>
      <w:r w:rsidRPr="00E04C25">
        <w:rPr>
          <w:rFonts w:ascii="Arial" w:hAnsi="Arial"/>
          <w:bCs/>
          <w:szCs w:val="23"/>
        </w:rPr>
        <w:t xml:space="preserve"> na celkovém počtu registrovaných nezaměstnaných se nepatrně </w:t>
      </w:r>
      <w:r w:rsidRPr="00E04C25">
        <w:rPr>
          <w:rFonts w:ascii="Arial" w:hAnsi="Arial"/>
          <w:b/>
          <w:bCs/>
          <w:szCs w:val="23"/>
        </w:rPr>
        <w:t>zvýšil na 5</w:t>
      </w:r>
      <w:r w:rsidR="00674EDC" w:rsidRPr="00E04C25">
        <w:rPr>
          <w:rFonts w:ascii="Arial" w:hAnsi="Arial"/>
          <w:b/>
          <w:bCs/>
          <w:szCs w:val="23"/>
        </w:rPr>
        <w:t>1</w:t>
      </w:r>
      <w:r w:rsidRPr="00E04C25">
        <w:rPr>
          <w:rFonts w:ascii="Arial" w:hAnsi="Arial"/>
          <w:b/>
          <w:bCs/>
          <w:szCs w:val="23"/>
        </w:rPr>
        <w:t>,</w:t>
      </w:r>
      <w:r w:rsidR="00674EDC" w:rsidRPr="00E04C25">
        <w:rPr>
          <w:rFonts w:ascii="Arial" w:hAnsi="Arial"/>
          <w:b/>
          <w:bCs/>
          <w:szCs w:val="23"/>
        </w:rPr>
        <w:t>7</w:t>
      </w:r>
      <w:r w:rsidRPr="00E04C25">
        <w:rPr>
          <w:rFonts w:ascii="Arial" w:hAnsi="Arial"/>
          <w:b/>
          <w:bCs/>
          <w:szCs w:val="23"/>
        </w:rPr>
        <w:t xml:space="preserve"> %, </w:t>
      </w:r>
      <w:r w:rsidRPr="00E04C25">
        <w:rPr>
          <w:rFonts w:ascii="Arial" w:hAnsi="Arial"/>
          <w:bCs/>
          <w:szCs w:val="23"/>
        </w:rPr>
        <w:t>zatímco</w:t>
      </w:r>
      <w:r w:rsidRPr="00E04C25">
        <w:rPr>
          <w:rFonts w:ascii="Arial" w:hAnsi="Arial"/>
          <w:b/>
          <w:bCs/>
          <w:szCs w:val="23"/>
        </w:rPr>
        <w:t xml:space="preserve"> </w:t>
      </w:r>
      <w:r w:rsidRPr="00E04C25">
        <w:rPr>
          <w:rFonts w:ascii="Arial" w:hAnsi="Arial"/>
          <w:bCs/>
          <w:szCs w:val="23"/>
        </w:rPr>
        <w:t>v </w:t>
      </w:r>
      <w:r w:rsidR="00674EDC" w:rsidRPr="00E04C25">
        <w:rPr>
          <w:rFonts w:ascii="Arial" w:hAnsi="Arial"/>
          <w:bCs/>
          <w:szCs w:val="23"/>
        </w:rPr>
        <w:t>roce</w:t>
      </w:r>
      <w:r w:rsidRPr="00E04C25">
        <w:rPr>
          <w:rFonts w:ascii="Arial" w:hAnsi="Arial"/>
          <w:bCs/>
          <w:szCs w:val="23"/>
        </w:rPr>
        <w:t xml:space="preserve"> 2016 ženy tvořily 5</w:t>
      </w:r>
      <w:r w:rsidR="00674EDC" w:rsidRPr="00E04C25">
        <w:rPr>
          <w:rFonts w:ascii="Arial" w:hAnsi="Arial"/>
          <w:bCs/>
          <w:szCs w:val="23"/>
        </w:rPr>
        <w:t>1</w:t>
      </w:r>
      <w:r w:rsidRPr="00E04C25">
        <w:rPr>
          <w:rFonts w:ascii="Arial" w:hAnsi="Arial"/>
          <w:bCs/>
          <w:szCs w:val="23"/>
        </w:rPr>
        <w:t>,</w:t>
      </w:r>
      <w:r w:rsidR="00674EDC" w:rsidRPr="00E04C25">
        <w:rPr>
          <w:rFonts w:ascii="Arial" w:hAnsi="Arial"/>
          <w:bCs/>
          <w:szCs w:val="23"/>
        </w:rPr>
        <w:t>5</w:t>
      </w:r>
      <w:r w:rsidRPr="00E04C25">
        <w:rPr>
          <w:rFonts w:ascii="Arial" w:hAnsi="Arial"/>
          <w:bCs/>
          <w:szCs w:val="23"/>
        </w:rPr>
        <w:t> % všech uchazečů o zaměstnání.</w:t>
      </w:r>
    </w:p>
    <w:p w:rsidR="00115440" w:rsidRPr="00E04C25" w:rsidRDefault="00115440" w:rsidP="0022441C">
      <w:pPr>
        <w:pStyle w:val="Normlnweb"/>
        <w:ind w:left="7082" w:firstLine="709"/>
        <w:rPr>
          <w:rFonts w:ascii="Arial" w:hAnsi="Arial" w:cs="Arial"/>
          <w:bCs/>
          <w:sz w:val="20"/>
          <w:szCs w:val="20"/>
        </w:rPr>
      </w:pPr>
      <w:r w:rsidRPr="00E04C25">
        <w:rPr>
          <w:rFonts w:ascii="Arial" w:hAnsi="Arial" w:cs="Arial"/>
          <w:bCs/>
          <w:sz w:val="20"/>
          <w:szCs w:val="20"/>
        </w:rPr>
        <w:t>graf č. 1</w:t>
      </w:r>
      <w:r w:rsidR="006D5548" w:rsidRPr="00E04C25">
        <w:rPr>
          <w:rFonts w:ascii="Arial" w:hAnsi="Arial" w:cs="Arial"/>
          <w:bCs/>
          <w:sz w:val="20"/>
          <w:szCs w:val="20"/>
        </w:rPr>
        <w:t>9</w:t>
      </w:r>
    </w:p>
    <w:p w:rsidR="00115440" w:rsidRPr="00E04C25" w:rsidRDefault="0022441C" w:rsidP="00115440">
      <w:pPr>
        <w:pStyle w:val="Zkladntext213"/>
        <w:widowControl/>
        <w:tabs>
          <w:tab w:val="left" w:pos="708"/>
        </w:tabs>
        <w:suppressAutoHyphens w:val="0"/>
        <w:overflowPunct/>
        <w:autoSpaceDE/>
        <w:adjustRightInd/>
        <w:jc w:val="center"/>
      </w:pPr>
      <w:r w:rsidRPr="00E04C25">
        <w:rPr>
          <w:noProof/>
        </w:rPr>
        <w:drawing>
          <wp:inline distT="0" distB="0" distL="0" distR="0">
            <wp:extent cx="5562600" cy="3105150"/>
            <wp:effectExtent l="0" t="0" r="19050" b="19050"/>
            <wp:docPr id="57" name="Graf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15440" w:rsidRPr="00E04C25" w:rsidRDefault="00115440" w:rsidP="00115440">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ind w:firstLine="567"/>
        <w:jc w:val="both"/>
        <w:rPr>
          <w:rFonts w:ascii="Arial" w:hAnsi="Arial"/>
          <w:b/>
          <w:bCs/>
          <w:szCs w:val="23"/>
        </w:rPr>
      </w:pPr>
    </w:p>
    <w:p w:rsidR="0007182A" w:rsidRPr="00E04C25" w:rsidRDefault="0007182A" w:rsidP="0007182A">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720"/>
        <w:jc w:val="both"/>
        <w:rPr>
          <w:rFonts w:ascii="Arial" w:hAnsi="Arial" w:cs="Arial"/>
          <w:szCs w:val="23"/>
        </w:rPr>
      </w:pPr>
      <w:r w:rsidRPr="00E04C25">
        <w:rPr>
          <w:rFonts w:ascii="Arial" w:hAnsi="Arial"/>
          <w:bCs/>
          <w:szCs w:val="23"/>
        </w:rPr>
        <w:t xml:space="preserve">V průběhu roku se však zastoupení mužů a žen mezi uchazeči o zaměstnání mění. </w:t>
      </w:r>
      <w:r w:rsidRPr="00E04C25">
        <w:rPr>
          <w:rFonts w:ascii="Arial" w:hAnsi="Arial" w:cs="Arial"/>
          <w:szCs w:val="23"/>
        </w:rPr>
        <w:t xml:space="preserve">Vyšší počet mužů je charakteristický zejména na přelomu roku, protože se více uplatňují v sezónně orientovaných odvětvích nebo sezónních pracích. </w:t>
      </w:r>
      <w:r w:rsidRPr="00E04C25">
        <w:rPr>
          <w:rFonts w:ascii="Arial" w:hAnsi="Arial"/>
          <w:bCs/>
          <w:szCs w:val="23"/>
        </w:rPr>
        <w:t>N</w:t>
      </w:r>
      <w:r w:rsidRPr="00E04C25">
        <w:rPr>
          <w:rFonts w:ascii="Arial" w:hAnsi="Arial" w:cs="Arial"/>
          <w:szCs w:val="23"/>
        </w:rPr>
        <w:t xml:space="preserve">aopak převaha žen v evidenci ÚP ČR je typická spíše pro letní měsíce, a to v souvislosti </w:t>
      </w:r>
      <w:r w:rsidRPr="00E04C25">
        <w:rPr>
          <w:rFonts w:ascii="Arial" w:hAnsi="Arial" w:cs="Arial"/>
          <w:szCs w:val="23"/>
        </w:rPr>
        <w:lastRenderedPageBreak/>
        <w:t>s pracovními poměry u zaměstnanců ve školství sjednávanými na dobu určitou, nebo i s tím, že ženy při ztrátě nebo změně zaměstnání odkládají nástup do zaměstnání kvůli péči o děti až po prázdninách. Tuto skutečnost dokládá i vývoj počtu žen a mužů v evidenci ÚP ČR v grafu</w:t>
      </w:r>
      <w:r w:rsidR="00442555" w:rsidRPr="00E04C25">
        <w:rPr>
          <w:rFonts w:ascii="Arial" w:hAnsi="Arial" w:cs="Arial"/>
          <w:szCs w:val="23"/>
        </w:rPr>
        <w:t xml:space="preserve"> č.</w:t>
      </w:r>
      <w:r w:rsidR="00442555" w:rsidRPr="00E04C25">
        <w:rPr>
          <w:rFonts w:ascii="Arial" w:hAnsi="Arial" w:cs="Arial"/>
        </w:rPr>
        <w:t>19</w:t>
      </w:r>
      <w:r w:rsidRPr="00E04C25">
        <w:rPr>
          <w:rFonts w:ascii="Arial" w:hAnsi="Arial" w:cs="Arial"/>
          <w:szCs w:val="23"/>
        </w:rPr>
        <w:t>.</w:t>
      </w:r>
    </w:p>
    <w:p w:rsidR="00365B47" w:rsidRPr="00E04C25" w:rsidRDefault="00365B47" w:rsidP="00365B47">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567"/>
        <w:jc w:val="both"/>
        <w:rPr>
          <w:rFonts w:ascii="Arial" w:hAnsi="Arial"/>
          <w:bCs/>
          <w:szCs w:val="23"/>
        </w:rPr>
      </w:pPr>
      <w:r w:rsidRPr="00E04C25">
        <w:rPr>
          <w:rFonts w:ascii="Arial" w:hAnsi="Arial"/>
          <w:b/>
          <w:bCs/>
          <w:szCs w:val="23"/>
        </w:rPr>
        <w:t>K 3</w:t>
      </w:r>
      <w:r w:rsidR="00674EDC" w:rsidRPr="00E04C25">
        <w:rPr>
          <w:rFonts w:ascii="Arial" w:hAnsi="Arial"/>
          <w:b/>
          <w:bCs/>
          <w:szCs w:val="23"/>
        </w:rPr>
        <w:t>1</w:t>
      </w:r>
      <w:r w:rsidRPr="00E04C25">
        <w:rPr>
          <w:rFonts w:ascii="Arial" w:hAnsi="Arial"/>
          <w:b/>
          <w:bCs/>
          <w:szCs w:val="23"/>
        </w:rPr>
        <w:t>. </w:t>
      </w:r>
      <w:r w:rsidR="00674EDC" w:rsidRPr="00E04C25">
        <w:rPr>
          <w:rFonts w:ascii="Arial" w:hAnsi="Arial"/>
          <w:b/>
          <w:bCs/>
          <w:szCs w:val="23"/>
        </w:rPr>
        <w:t>12</w:t>
      </w:r>
      <w:r w:rsidRPr="00E04C25">
        <w:rPr>
          <w:rFonts w:ascii="Arial" w:hAnsi="Arial"/>
          <w:b/>
          <w:bCs/>
          <w:szCs w:val="23"/>
        </w:rPr>
        <w:t xml:space="preserve">. 2017 klesl </w:t>
      </w:r>
      <w:r w:rsidRPr="00E04C25">
        <w:rPr>
          <w:rFonts w:ascii="Arial" w:hAnsi="Arial"/>
          <w:bCs/>
          <w:szCs w:val="23"/>
        </w:rPr>
        <w:t xml:space="preserve">počet mužů v evidenci ÚP ČR na </w:t>
      </w:r>
      <w:r w:rsidR="00674EDC" w:rsidRPr="00E04C25">
        <w:rPr>
          <w:rFonts w:ascii="Arial" w:hAnsi="Arial"/>
          <w:b/>
          <w:bCs/>
          <w:szCs w:val="23"/>
        </w:rPr>
        <w:t>139,7</w:t>
      </w:r>
      <w:r w:rsidRPr="00E04C25">
        <w:rPr>
          <w:rFonts w:ascii="Arial" w:hAnsi="Arial"/>
          <w:b/>
          <w:bCs/>
          <w:szCs w:val="23"/>
        </w:rPr>
        <w:t> tis., žen bylo 1</w:t>
      </w:r>
      <w:r w:rsidR="00674EDC" w:rsidRPr="00E04C25">
        <w:rPr>
          <w:rFonts w:ascii="Arial" w:hAnsi="Arial"/>
          <w:b/>
          <w:bCs/>
          <w:szCs w:val="23"/>
        </w:rPr>
        <w:t>40,9</w:t>
      </w:r>
      <w:r w:rsidRPr="00E04C25">
        <w:rPr>
          <w:rFonts w:ascii="Arial" w:hAnsi="Arial"/>
          <w:b/>
          <w:bCs/>
          <w:szCs w:val="23"/>
        </w:rPr>
        <w:t> </w:t>
      </w:r>
      <w:r w:rsidRPr="00E04C25">
        <w:rPr>
          <w:rFonts w:ascii="Arial" w:hAnsi="Arial"/>
          <w:b/>
          <w:szCs w:val="23"/>
        </w:rPr>
        <w:t>tis</w:t>
      </w:r>
      <w:r w:rsidRPr="00E04C25">
        <w:rPr>
          <w:rFonts w:ascii="Arial" w:hAnsi="Arial"/>
          <w:bCs/>
          <w:szCs w:val="23"/>
        </w:rPr>
        <w:t xml:space="preserve">., tj. </w:t>
      </w:r>
      <w:r w:rsidR="00674EDC" w:rsidRPr="00E04C25">
        <w:rPr>
          <w:rFonts w:ascii="Arial" w:hAnsi="Arial"/>
          <w:bCs/>
          <w:szCs w:val="23"/>
        </w:rPr>
        <w:t xml:space="preserve">pouze </w:t>
      </w:r>
      <w:r w:rsidRPr="00E04C25">
        <w:rPr>
          <w:rFonts w:ascii="Arial" w:hAnsi="Arial"/>
          <w:bCs/>
          <w:szCs w:val="23"/>
        </w:rPr>
        <w:t>o 1,2 tis. více než mužů.</w:t>
      </w:r>
    </w:p>
    <w:p w:rsidR="00365B47" w:rsidRPr="00E04C25" w:rsidRDefault="00365B47" w:rsidP="00365B47">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567"/>
        <w:jc w:val="both"/>
        <w:rPr>
          <w:rFonts w:ascii="Arial" w:hAnsi="Arial" w:cs="Arial"/>
          <w:b/>
        </w:rPr>
      </w:pPr>
      <w:r w:rsidRPr="00E04C25">
        <w:rPr>
          <w:rFonts w:ascii="Arial" w:hAnsi="Arial"/>
          <w:bCs/>
          <w:szCs w:val="23"/>
        </w:rPr>
        <w:t>Relativní ukazatel</w:t>
      </w:r>
      <w:r w:rsidRPr="00E04C25">
        <w:rPr>
          <w:rFonts w:ascii="Arial" w:hAnsi="Arial"/>
          <w:b/>
          <w:bCs/>
          <w:szCs w:val="23"/>
        </w:rPr>
        <w:t xml:space="preserve"> </w:t>
      </w:r>
      <w:r w:rsidRPr="00E04C25">
        <w:rPr>
          <w:rFonts w:ascii="Arial" w:hAnsi="Arial"/>
          <w:bCs/>
          <w:szCs w:val="23"/>
        </w:rPr>
        <w:t>registrované nezaměstnanosti</w:t>
      </w:r>
      <w:r w:rsidRPr="00E04C25">
        <w:rPr>
          <w:rFonts w:ascii="Arial" w:hAnsi="Arial"/>
          <w:b/>
          <w:bCs/>
          <w:szCs w:val="23"/>
        </w:rPr>
        <w:t xml:space="preserve"> - podíl </w:t>
      </w:r>
      <w:r w:rsidRPr="00E04C25">
        <w:rPr>
          <w:rFonts w:ascii="Arial" w:hAnsi="Arial" w:cs="Arial"/>
          <w:b/>
        </w:rPr>
        <w:t>nezaměstnaných</w:t>
      </w:r>
      <w:r w:rsidRPr="00E04C25">
        <w:rPr>
          <w:rFonts w:ascii="Arial" w:hAnsi="Arial" w:cs="Arial"/>
        </w:rPr>
        <w:t xml:space="preserve"> </w:t>
      </w:r>
      <w:r w:rsidRPr="00E04C25">
        <w:rPr>
          <w:rFonts w:ascii="Arial" w:hAnsi="Arial" w:cs="Arial"/>
          <w:b/>
        </w:rPr>
        <w:t xml:space="preserve">osob, </w:t>
      </w:r>
      <w:r w:rsidRPr="00E04C25">
        <w:rPr>
          <w:rFonts w:ascii="Arial" w:hAnsi="Arial" w:cs="Arial"/>
        </w:rPr>
        <w:t xml:space="preserve">byl na konci </w:t>
      </w:r>
      <w:r w:rsidR="00674EDC" w:rsidRPr="00E04C25">
        <w:rPr>
          <w:rFonts w:ascii="Arial" w:hAnsi="Arial" w:cs="Arial"/>
        </w:rPr>
        <w:t>roku</w:t>
      </w:r>
      <w:r w:rsidRPr="00E04C25">
        <w:rPr>
          <w:rFonts w:ascii="Arial" w:hAnsi="Arial" w:cs="Arial"/>
        </w:rPr>
        <w:t xml:space="preserve"> 2017 </w:t>
      </w:r>
      <w:r w:rsidRPr="00E04C25">
        <w:rPr>
          <w:rFonts w:ascii="Arial" w:hAnsi="Arial" w:cs="Arial"/>
          <w:b/>
        </w:rPr>
        <w:t>u žen (</w:t>
      </w:r>
      <w:r w:rsidR="00674EDC" w:rsidRPr="00E04C25">
        <w:rPr>
          <w:rFonts w:ascii="Arial" w:hAnsi="Arial" w:cs="Arial"/>
          <w:b/>
        </w:rPr>
        <w:t>3</w:t>
      </w:r>
      <w:r w:rsidRPr="00E04C25">
        <w:rPr>
          <w:rFonts w:ascii="Arial" w:hAnsi="Arial" w:cs="Arial"/>
          <w:b/>
        </w:rPr>
        <w:t>,</w:t>
      </w:r>
      <w:r w:rsidR="00674EDC" w:rsidRPr="00E04C25">
        <w:rPr>
          <w:rFonts w:ascii="Arial" w:hAnsi="Arial" w:cs="Arial"/>
          <w:b/>
        </w:rPr>
        <w:t>8</w:t>
      </w:r>
      <w:r w:rsidRPr="00E04C25">
        <w:rPr>
          <w:rFonts w:ascii="Arial" w:hAnsi="Arial" w:cs="Arial"/>
          <w:b/>
        </w:rPr>
        <w:t> %)</w:t>
      </w:r>
      <w:r w:rsidRPr="00E04C25">
        <w:rPr>
          <w:rFonts w:ascii="Arial" w:hAnsi="Arial" w:cs="Arial"/>
        </w:rPr>
        <w:t xml:space="preserve"> </w:t>
      </w:r>
      <w:r w:rsidR="00674EDC" w:rsidRPr="00E04C25">
        <w:rPr>
          <w:rFonts w:ascii="Arial" w:hAnsi="Arial" w:cs="Arial"/>
        </w:rPr>
        <w:t xml:space="preserve">pouze nepatrně </w:t>
      </w:r>
      <w:r w:rsidRPr="00E04C25">
        <w:rPr>
          <w:rFonts w:ascii="Arial" w:hAnsi="Arial" w:cs="Arial"/>
        </w:rPr>
        <w:t>vyšší</w:t>
      </w:r>
      <w:r w:rsidRPr="00E04C25">
        <w:rPr>
          <w:rFonts w:ascii="Arial" w:hAnsi="Arial" w:cs="Arial"/>
          <w:b/>
        </w:rPr>
        <w:t xml:space="preserve"> než u mužů (3,7 %), průměrná hodnota </w:t>
      </w:r>
      <w:r w:rsidR="00674EDC" w:rsidRPr="00E04C25">
        <w:rPr>
          <w:rFonts w:ascii="Arial" w:hAnsi="Arial" w:cs="Arial"/>
        </w:rPr>
        <w:t>tohoto ukazatele za celý</w:t>
      </w:r>
      <w:r w:rsidRPr="00E04C25">
        <w:rPr>
          <w:rFonts w:ascii="Arial" w:hAnsi="Arial" w:cs="Arial"/>
        </w:rPr>
        <w:t xml:space="preserve"> </w:t>
      </w:r>
      <w:r w:rsidR="00674EDC" w:rsidRPr="00E04C25">
        <w:rPr>
          <w:rFonts w:ascii="Arial" w:hAnsi="Arial" w:cs="Arial"/>
        </w:rPr>
        <w:t xml:space="preserve">rok </w:t>
      </w:r>
      <w:r w:rsidRPr="00E04C25">
        <w:rPr>
          <w:rFonts w:ascii="Arial" w:hAnsi="Arial" w:cs="Arial"/>
        </w:rPr>
        <w:t xml:space="preserve">představovala </w:t>
      </w:r>
      <w:r w:rsidRPr="00E04C25">
        <w:rPr>
          <w:rFonts w:ascii="Arial" w:hAnsi="Arial" w:cs="Arial"/>
          <w:b/>
        </w:rPr>
        <w:t>u žen 4,</w:t>
      </w:r>
      <w:r w:rsidR="00674EDC" w:rsidRPr="00E04C25">
        <w:rPr>
          <w:rFonts w:ascii="Arial" w:hAnsi="Arial" w:cs="Arial"/>
          <w:b/>
        </w:rPr>
        <w:t>5</w:t>
      </w:r>
      <w:r w:rsidRPr="00E04C25">
        <w:rPr>
          <w:rFonts w:ascii="Arial" w:hAnsi="Arial" w:cs="Arial"/>
          <w:b/>
        </w:rPr>
        <w:t xml:space="preserve"> % </w:t>
      </w:r>
      <w:r w:rsidRPr="00E04C25">
        <w:rPr>
          <w:rFonts w:ascii="Arial" w:hAnsi="Arial" w:cs="Arial"/>
        </w:rPr>
        <w:t>a </w:t>
      </w:r>
      <w:r w:rsidRPr="00E04C25">
        <w:rPr>
          <w:rFonts w:ascii="Arial" w:hAnsi="Arial" w:cs="Arial"/>
          <w:b/>
        </w:rPr>
        <w:t>u mužů 4,</w:t>
      </w:r>
      <w:r w:rsidR="00674EDC" w:rsidRPr="00E04C25">
        <w:rPr>
          <w:rFonts w:ascii="Arial" w:hAnsi="Arial" w:cs="Arial"/>
          <w:b/>
        </w:rPr>
        <w:t>1</w:t>
      </w:r>
      <w:r w:rsidRPr="00E04C25">
        <w:rPr>
          <w:rFonts w:ascii="Arial" w:hAnsi="Arial" w:cs="Arial"/>
          <w:b/>
        </w:rPr>
        <w:t xml:space="preserve"> %. </w:t>
      </w:r>
    </w:p>
    <w:p w:rsidR="00365B47" w:rsidRPr="00E04C25" w:rsidRDefault="00365B47" w:rsidP="00365B47">
      <w:pPr>
        <w:tabs>
          <w:tab w:val="left" w:pos="567"/>
        </w:tabs>
        <w:spacing w:line="360" w:lineRule="auto"/>
        <w:ind w:firstLine="708"/>
        <w:jc w:val="both"/>
        <w:rPr>
          <w:rFonts w:ascii="Arial" w:hAnsi="Arial" w:cs="Arial"/>
        </w:rPr>
      </w:pPr>
      <w:r w:rsidRPr="00E04C25">
        <w:rPr>
          <w:rFonts w:ascii="Arial" w:hAnsi="Arial" w:cs="Arial"/>
          <w:b/>
        </w:rPr>
        <w:t>U žen byl PNO</w:t>
      </w:r>
      <w:r w:rsidRPr="00E04C25">
        <w:rPr>
          <w:rFonts w:ascii="Arial" w:hAnsi="Arial" w:cs="Arial"/>
        </w:rPr>
        <w:t xml:space="preserve"> na konci </w:t>
      </w:r>
      <w:r w:rsidR="00DB3E46" w:rsidRPr="00E04C25">
        <w:rPr>
          <w:rFonts w:ascii="Arial" w:hAnsi="Arial" w:cs="Arial"/>
        </w:rPr>
        <w:t>roku</w:t>
      </w:r>
      <w:r w:rsidRPr="00E04C25">
        <w:rPr>
          <w:rFonts w:ascii="Arial" w:hAnsi="Arial" w:cs="Arial"/>
        </w:rPr>
        <w:t xml:space="preserve"> nižší</w:t>
      </w:r>
      <w:r w:rsidRPr="00E04C25">
        <w:rPr>
          <w:rFonts w:ascii="Arial" w:hAnsi="Arial" w:cs="Arial"/>
          <w:b/>
        </w:rPr>
        <w:t xml:space="preserve"> než u mužů </w:t>
      </w:r>
      <w:r w:rsidRPr="00E04C25">
        <w:rPr>
          <w:rFonts w:ascii="Arial" w:hAnsi="Arial" w:cs="Arial"/>
        </w:rPr>
        <w:t>pouze ve věku</w:t>
      </w:r>
      <w:r w:rsidRPr="00E04C25">
        <w:rPr>
          <w:rFonts w:ascii="Arial" w:hAnsi="Arial" w:cs="Arial"/>
          <w:b/>
        </w:rPr>
        <w:t xml:space="preserve"> 60 let a více </w:t>
      </w:r>
      <w:r w:rsidRPr="00E04C25">
        <w:rPr>
          <w:rFonts w:ascii="Arial" w:hAnsi="Arial" w:cs="Arial"/>
        </w:rPr>
        <w:t xml:space="preserve">(z důvodu dřívějších odchodů žen do důchodu) a </w:t>
      </w:r>
      <w:r w:rsidR="00336401" w:rsidRPr="00E04C25">
        <w:rPr>
          <w:rFonts w:ascii="Arial" w:hAnsi="Arial" w:cs="Arial"/>
        </w:rPr>
        <w:t xml:space="preserve">nepatrně nižší také </w:t>
      </w:r>
      <w:r w:rsidRPr="00E04C25">
        <w:rPr>
          <w:rFonts w:ascii="Arial" w:hAnsi="Arial" w:cs="Arial"/>
        </w:rPr>
        <w:t xml:space="preserve"> v nejmladších věkových kategoriích do 25 let</w:t>
      </w:r>
      <w:r w:rsidR="00336401" w:rsidRPr="00E04C25">
        <w:rPr>
          <w:rFonts w:ascii="Arial" w:hAnsi="Arial" w:cs="Arial"/>
        </w:rPr>
        <w:t xml:space="preserve"> (mezi ekonomicky neaktivními z důvodu studia je převaha dívek)</w:t>
      </w:r>
      <w:r w:rsidRPr="00E04C25">
        <w:rPr>
          <w:rFonts w:ascii="Arial" w:hAnsi="Arial" w:cs="Arial"/>
        </w:rPr>
        <w:t>.</w:t>
      </w:r>
      <w:r w:rsidRPr="00E04C25">
        <w:rPr>
          <w:rFonts w:ascii="Arial" w:hAnsi="Arial" w:cs="Arial"/>
          <w:b/>
        </w:rPr>
        <w:t xml:space="preserve"> </w:t>
      </w:r>
      <w:r w:rsidRPr="00E04C25">
        <w:rPr>
          <w:rFonts w:ascii="Arial" w:hAnsi="Arial" w:cs="Arial"/>
        </w:rPr>
        <w:t xml:space="preserve">Naopak </w:t>
      </w:r>
      <w:r w:rsidRPr="00E04C25">
        <w:rPr>
          <w:rFonts w:ascii="Arial" w:hAnsi="Arial" w:cs="Arial"/>
          <w:b/>
        </w:rPr>
        <w:t>nejvíce převyšuje PNO mužů</w:t>
      </w:r>
      <w:r w:rsidRPr="00E04C25">
        <w:rPr>
          <w:rFonts w:ascii="Arial" w:hAnsi="Arial" w:cs="Arial"/>
        </w:rPr>
        <w:t xml:space="preserve"> (o </w:t>
      </w:r>
      <w:r w:rsidR="00156C55" w:rsidRPr="00E04C25">
        <w:rPr>
          <w:rFonts w:ascii="Arial" w:hAnsi="Arial" w:cs="Arial"/>
        </w:rPr>
        <w:t>0</w:t>
      </w:r>
      <w:r w:rsidRPr="00E04C25">
        <w:rPr>
          <w:rFonts w:ascii="Arial" w:hAnsi="Arial" w:cs="Arial"/>
        </w:rPr>
        <w:t>,</w:t>
      </w:r>
      <w:r w:rsidR="00156C55" w:rsidRPr="00E04C25">
        <w:rPr>
          <w:rFonts w:ascii="Arial" w:hAnsi="Arial" w:cs="Arial"/>
        </w:rPr>
        <w:t>7-0</w:t>
      </w:r>
      <w:r w:rsidRPr="00E04C25">
        <w:rPr>
          <w:rFonts w:ascii="Arial" w:hAnsi="Arial" w:cs="Arial"/>
        </w:rPr>
        <w:t xml:space="preserve">,8 p. b.) ve věkové skupině </w:t>
      </w:r>
      <w:r w:rsidRPr="00E04C25">
        <w:rPr>
          <w:rFonts w:ascii="Arial" w:hAnsi="Arial" w:cs="Arial"/>
          <w:b/>
        </w:rPr>
        <w:t>30</w:t>
      </w:r>
      <w:r w:rsidR="00F05BC4">
        <w:rPr>
          <w:rFonts w:ascii="Arial" w:hAnsi="Arial" w:cs="Arial"/>
          <w:b/>
        </w:rPr>
        <w:t>-</w:t>
      </w:r>
      <w:r w:rsidRPr="00E04C25">
        <w:rPr>
          <w:rFonts w:ascii="Arial" w:hAnsi="Arial" w:cs="Arial"/>
          <w:b/>
        </w:rPr>
        <w:t>4</w:t>
      </w:r>
      <w:r w:rsidR="00156C55" w:rsidRPr="00E04C25">
        <w:rPr>
          <w:rFonts w:ascii="Arial" w:hAnsi="Arial" w:cs="Arial"/>
          <w:b/>
        </w:rPr>
        <w:t>4</w:t>
      </w:r>
      <w:r w:rsidRPr="00E04C25">
        <w:rPr>
          <w:rFonts w:ascii="Arial" w:hAnsi="Arial" w:cs="Arial"/>
          <w:b/>
        </w:rPr>
        <w:t> let</w:t>
      </w:r>
      <w:r w:rsidRPr="00E04C25">
        <w:rPr>
          <w:rFonts w:ascii="Arial" w:hAnsi="Arial" w:cs="Arial"/>
        </w:rPr>
        <w:t xml:space="preserve">, do níž spadají ženy, které hůř nacházejí uplatnění na trhu práce z důvodu péče o dítě, případně péče o osobu blízkou, a v předdůchodovém věku </w:t>
      </w:r>
      <w:r w:rsidR="00453100">
        <w:rPr>
          <w:rFonts w:ascii="Arial" w:hAnsi="Arial" w:cs="Arial"/>
        </w:rPr>
        <w:t xml:space="preserve"> </w:t>
      </w:r>
      <w:r w:rsidRPr="00E04C25">
        <w:rPr>
          <w:rFonts w:ascii="Arial" w:hAnsi="Arial" w:cs="Arial"/>
          <w:b/>
        </w:rPr>
        <w:t>55</w:t>
      </w:r>
      <w:r w:rsidR="00F05BC4">
        <w:rPr>
          <w:rFonts w:ascii="Arial" w:hAnsi="Arial" w:cs="Arial"/>
          <w:b/>
        </w:rPr>
        <w:t>-</w:t>
      </w:r>
      <w:r w:rsidRPr="00E04C25">
        <w:rPr>
          <w:rFonts w:ascii="Arial" w:hAnsi="Arial" w:cs="Arial"/>
          <w:b/>
        </w:rPr>
        <w:t>59 let</w:t>
      </w:r>
      <w:r w:rsidRPr="00E04C25">
        <w:rPr>
          <w:rFonts w:ascii="Arial" w:hAnsi="Arial" w:cs="Arial"/>
        </w:rPr>
        <w:t xml:space="preserve"> (</w:t>
      </w:r>
      <w:r w:rsidR="00156C55" w:rsidRPr="00E04C25">
        <w:rPr>
          <w:rFonts w:ascii="Arial" w:hAnsi="Arial" w:cs="Arial"/>
        </w:rPr>
        <w:t>0</w:t>
      </w:r>
      <w:r w:rsidRPr="00E04C25">
        <w:rPr>
          <w:rFonts w:ascii="Arial" w:hAnsi="Arial" w:cs="Arial"/>
        </w:rPr>
        <w:t>,</w:t>
      </w:r>
      <w:r w:rsidR="00156C55" w:rsidRPr="00E04C25">
        <w:rPr>
          <w:rFonts w:ascii="Arial" w:hAnsi="Arial" w:cs="Arial"/>
        </w:rPr>
        <w:t>9</w:t>
      </w:r>
      <w:r w:rsidRPr="00E04C25">
        <w:rPr>
          <w:rFonts w:ascii="Arial" w:hAnsi="Arial" w:cs="Arial"/>
        </w:rPr>
        <w:t> p. b.), viz příloha č. 6.</w:t>
      </w:r>
    </w:p>
    <w:p w:rsidR="00365B47" w:rsidRPr="00E04C25" w:rsidRDefault="00365B47" w:rsidP="00365B47">
      <w:pPr>
        <w:pStyle w:val="Zkladntext"/>
        <w:spacing w:line="360" w:lineRule="auto"/>
        <w:ind w:firstLine="708"/>
        <w:rPr>
          <w:rFonts w:cs="Arial"/>
          <w:color w:val="auto"/>
          <w:lang w:val="cs-CZ"/>
        </w:rPr>
      </w:pPr>
      <w:r w:rsidRPr="00E04C25">
        <w:rPr>
          <w:rFonts w:cs="Arial"/>
          <w:color w:val="auto"/>
        </w:rPr>
        <w:t xml:space="preserve">Z celkového počtu </w:t>
      </w:r>
      <w:r w:rsidRPr="00E04C25">
        <w:rPr>
          <w:rFonts w:cs="Arial"/>
          <w:color w:val="auto"/>
          <w:lang w:val="cs-CZ"/>
        </w:rPr>
        <w:t xml:space="preserve">uchazečů o zaměstnání v evidenci ÚP ČR na konci </w:t>
      </w:r>
      <w:r w:rsidR="00156C55" w:rsidRPr="00E04C25">
        <w:rPr>
          <w:rFonts w:cs="Arial"/>
          <w:color w:val="auto"/>
          <w:lang w:val="cs-CZ"/>
        </w:rPr>
        <w:t>roku </w:t>
      </w:r>
      <w:r w:rsidRPr="00E04C25">
        <w:rPr>
          <w:rFonts w:cs="Arial"/>
          <w:color w:val="auto"/>
          <w:lang w:val="cs-CZ"/>
        </w:rPr>
        <w:t xml:space="preserve">2017 bylo </w:t>
      </w:r>
      <w:r w:rsidR="00156C55" w:rsidRPr="00E04C25">
        <w:rPr>
          <w:rFonts w:cs="Arial"/>
          <w:b/>
          <w:color w:val="auto"/>
          <w:lang w:val="cs-CZ"/>
        </w:rPr>
        <w:t>46</w:t>
      </w:r>
      <w:r w:rsidRPr="00E04C25">
        <w:rPr>
          <w:rFonts w:cs="Arial"/>
          <w:b/>
          <w:color w:val="auto"/>
          <w:lang w:val="cs-CZ"/>
        </w:rPr>
        <w:t>,</w:t>
      </w:r>
      <w:r w:rsidR="00156C55" w:rsidRPr="00E04C25">
        <w:rPr>
          <w:rFonts w:cs="Arial"/>
          <w:b/>
          <w:color w:val="auto"/>
          <w:lang w:val="cs-CZ"/>
        </w:rPr>
        <w:t>6</w:t>
      </w:r>
      <w:r w:rsidRPr="00E04C25">
        <w:rPr>
          <w:rFonts w:cs="Arial"/>
          <w:b/>
          <w:color w:val="auto"/>
          <w:lang w:val="cs-CZ"/>
        </w:rPr>
        <w:t> tis. osob</w:t>
      </w:r>
      <w:r w:rsidRPr="00E04C25">
        <w:rPr>
          <w:rFonts w:cs="Arial"/>
          <w:color w:val="auto"/>
          <w:lang w:val="cs-CZ"/>
        </w:rPr>
        <w:t xml:space="preserve"> </w:t>
      </w:r>
      <w:r w:rsidRPr="00E04C25">
        <w:rPr>
          <w:rFonts w:cs="Arial"/>
          <w:b/>
          <w:color w:val="auto"/>
        </w:rPr>
        <w:t>pečujících o dítě do 15 let</w:t>
      </w:r>
      <w:r w:rsidRPr="00E04C25">
        <w:rPr>
          <w:rFonts w:cs="Arial"/>
          <w:color w:val="auto"/>
        </w:rPr>
        <w:t xml:space="preserve"> (</w:t>
      </w:r>
      <w:r w:rsidRPr="00E04C25">
        <w:rPr>
          <w:rFonts w:cs="Arial"/>
          <w:color w:val="auto"/>
          <w:lang w:val="cs-CZ"/>
        </w:rPr>
        <w:t>1</w:t>
      </w:r>
      <w:r w:rsidR="00156C55" w:rsidRPr="00E04C25">
        <w:rPr>
          <w:rFonts w:cs="Arial"/>
          <w:color w:val="auto"/>
          <w:lang w:val="cs-CZ"/>
        </w:rPr>
        <w:t>6</w:t>
      </w:r>
      <w:r w:rsidRPr="00E04C25">
        <w:rPr>
          <w:rFonts w:cs="Arial"/>
          <w:color w:val="auto"/>
        </w:rPr>
        <w:t>,</w:t>
      </w:r>
      <w:r w:rsidR="00156C55" w:rsidRPr="00E04C25">
        <w:rPr>
          <w:rFonts w:cs="Arial"/>
          <w:color w:val="auto"/>
          <w:lang w:val="cs-CZ"/>
        </w:rPr>
        <w:t>6</w:t>
      </w:r>
      <w:r w:rsidRPr="00E04C25">
        <w:rPr>
          <w:rFonts w:cs="Arial"/>
          <w:color w:val="auto"/>
        </w:rPr>
        <w:t> % z celkového počtu uchazeč</w:t>
      </w:r>
      <w:r w:rsidRPr="00E04C25">
        <w:rPr>
          <w:rFonts w:cs="Arial"/>
          <w:color w:val="auto"/>
          <w:lang w:val="cs-CZ"/>
        </w:rPr>
        <w:t>ů</w:t>
      </w:r>
      <w:r w:rsidRPr="00E04C25">
        <w:rPr>
          <w:rFonts w:cs="Arial"/>
          <w:color w:val="auto"/>
        </w:rPr>
        <w:t xml:space="preserve"> o zaměstnání</w:t>
      </w:r>
      <w:r w:rsidRPr="00E04C25">
        <w:rPr>
          <w:rFonts w:cs="Arial"/>
          <w:color w:val="auto"/>
          <w:lang w:val="cs-CZ"/>
        </w:rPr>
        <w:t xml:space="preserve">). Z tohoto počtu bylo </w:t>
      </w:r>
      <w:r w:rsidRPr="00E04C25">
        <w:rPr>
          <w:rFonts w:cs="Arial"/>
          <w:b/>
          <w:color w:val="auto"/>
          <w:lang w:val="cs-CZ"/>
        </w:rPr>
        <w:t>4</w:t>
      </w:r>
      <w:r w:rsidR="00156C55" w:rsidRPr="00E04C25">
        <w:rPr>
          <w:rFonts w:cs="Arial"/>
          <w:b/>
          <w:color w:val="auto"/>
          <w:lang w:val="cs-CZ"/>
        </w:rPr>
        <w:t>1</w:t>
      </w:r>
      <w:r w:rsidRPr="00E04C25">
        <w:rPr>
          <w:rFonts w:cs="Arial"/>
          <w:b/>
          <w:color w:val="auto"/>
        </w:rPr>
        <w:t>,</w:t>
      </w:r>
      <w:r w:rsidR="00156C55" w:rsidRPr="00E04C25">
        <w:rPr>
          <w:rFonts w:cs="Arial"/>
          <w:b/>
          <w:color w:val="auto"/>
          <w:lang w:val="cs-CZ"/>
        </w:rPr>
        <w:t>8</w:t>
      </w:r>
      <w:r w:rsidRPr="00E04C25">
        <w:rPr>
          <w:rFonts w:cs="Arial"/>
          <w:b/>
          <w:color w:val="auto"/>
        </w:rPr>
        <w:t> tis. žen</w:t>
      </w:r>
      <w:r w:rsidRPr="00E04C25">
        <w:rPr>
          <w:rFonts w:cs="Arial"/>
          <w:b/>
          <w:color w:val="auto"/>
          <w:lang w:val="cs-CZ"/>
        </w:rPr>
        <w:t xml:space="preserve"> </w:t>
      </w:r>
      <w:r w:rsidRPr="00E04C25">
        <w:rPr>
          <w:rFonts w:cs="Arial"/>
          <w:color w:val="auto"/>
          <w:lang w:val="cs-CZ"/>
        </w:rPr>
        <w:t>(</w:t>
      </w:r>
      <w:r w:rsidR="00156C55" w:rsidRPr="00E04C25">
        <w:rPr>
          <w:rFonts w:cs="Arial"/>
          <w:color w:val="auto"/>
          <w:lang w:val="cs-CZ"/>
        </w:rPr>
        <w:t>2</w:t>
      </w:r>
      <w:r w:rsidR="00DB3E46" w:rsidRPr="00E04C25">
        <w:rPr>
          <w:rFonts w:cs="Arial"/>
          <w:color w:val="auto"/>
          <w:lang w:val="cs-CZ"/>
        </w:rPr>
        <w:t>9</w:t>
      </w:r>
      <w:r w:rsidRPr="00E04C25">
        <w:rPr>
          <w:rFonts w:cs="Arial"/>
          <w:color w:val="auto"/>
          <w:lang w:val="cs-CZ"/>
        </w:rPr>
        <w:t>,</w:t>
      </w:r>
      <w:r w:rsidR="00DB3E46" w:rsidRPr="00E04C25">
        <w:rPr>
          <w:rFonts w:cs="Arial"/>
          <w:color w:val="auto"/>
          <w:lang w:val="cs-CZ"/>
        </w:rPr>
        <w:t>7</w:t>
      </w:r>
      <w:r w:rsidRPr="00E04C25">
        <w:rPr>
          <w:rFonts w:cs="Arial"/>
          <w:color w:val="auto"/>
          <w:lang w:val="cs-CZ"/>
        </w:rPr>
        <w:t> % všech</w:t>
      </w:r>
      <w:r w:rsidR="007F6CC6" w:rsidRPr="00E04C25">
        <w:rPr>
          <w:rFonts w:cs="Arial"/>
          <w:color w:val="auto"/>
          <w:lang w:val="cs-CZ"/>
        </w:rPr>
        <w:t xml:space="preserve"> uchazeček o zaměstnání</w:t>
      </w:r>
      <w:r w:rsidRPr="00E04C25">
        <w:rPr>
          <w:rFonts w:cs="Arial"/>
          <w:color w:val="auto"/>
          <w:lang w:val="cs-CZ"/>
        </w:rPr>
        <w:t xml:space="preserve">) </w:t>
      </w:r>
      <w:r w:rsidRPr="00E04C25">
        <w:rPr>
          <w:rFonts w:cs="Arial"/>
          <w:b/>
          <w:color w:val="auto"/>
          <w:lang w:val="cs-CZ"/>
        </w:rPr>
        <w:t>a 4,</w:t>
      </w:r>
      <w:r w:rsidR="00156C55" w:rsidRPr="00E04C25">
        <w:rPr>
          <w:rFonts w:cs="Arial"/>
          <w:b/>
          <w:color w:val="auto"/>
          <w:lang w:val="cs-CZ"/>
        </w:rPr>
        <w:t>8</w:t>
      </w:r>
      <w:r w:rsidRPr="00E04C25">
        <w:rPr>
          <w:rFonts w:cs="Arial"/>
          <w:b/>
          <w:color w:val="auto"/>
          <w:lang w:val="cs-CZ"/>
        </w:rPr>
        <w:t xml:space="preserve"> tis. mužů </w:t>
      </w:r>
      <w:r w:rsidRPr="00E04C25">
        <w:rPr>
          <w:rFonts w:cs="Arial"/>
          <w:color w:val="auto"/>
          <w:lang w:val="cs-CZ"/>
        </w:rPr>
        <w:t>(3,</w:t>
      </w:r>
      <w:r w:rsidR="00156C55" w:rsidRPr="00E04C25">
        <w:rPr>
          <w:rFonts w:cs="Arial"/>
          <w:color w:val="auto"/>
          <w:lang w:val="cs-CZ"/>
        </w:rPr>
        <w:t>4</w:t>
      </w:r>
      <w:r w:rsidRPr="00E04C25">
        <w:rPr>
          <w:rFonts w:cs="Arial"/>
          <w:color w:val="auto"/>
          <w:lang w:val="cs-CZ"/>
        </w:rPr>
        <w:t> % všech uchazečů o zaměstnání</w:t>
      </w:r>
      <w:r w:rsidR="007F6CC6" w:rsidRPr="00E04C25">
        <w:rPr>
          <w:rFonts w:cs="Arial"/>
          <w:color w:val="auto"/>
          <w:lang w:val="cs-CZ"/>
        </w:rPr>
        <w:t xml:space="preserve"> - mužů</w:t>
      </w:r>
      <w:r w:rsidRPr="00E04C25">
        <w:rPr>
          <w:rFonts w:cs="Arial"/>
          <w:color w:val="auto"/>
          <w:lang w:val="cs-CZ"/>
        </w:rPr>
        <w:t>).</w:t>
      </w:r>
      <w:r w:rsidRPr="00E04C25">
        <w:rPr>
          <w:rFonts w:cs="Arial"/>
          <w:b/>
          <w:color w:val="auto"/>
          <w:lang w:val="cs-CZ"/>
        </w:rPr>
        <w:t xml:space="preserve"> </w:t>
      </w:r>
      <w:r w:rsidRPr="00E04C25">
        <w:rPr>
          <w:rFonts w:cs="Arial"/>
          <w:color w:val="auto"/>
          <w:lang w:val="cs-CZ"/>
        </w:rPr>
        <w:t>P</w:t>
      </w:r>
      <w:r w:rsidRPr="00E04C25">
        <w:rPr>
          <w:rFonts w:cs="Arial"/>
          <w:color w:val="auto"/>
        </w:rPr>
        <w:t xml:space="preserve">řed rokem </w:t>
      </w:r>
      <w:r w:rsidRPr="00E04C25">
        <w:rPr>
          <w:rFonts w:cs="Arial"/>
          <w:color w:val="auto"/>
          <w:lang w:val="cs-CZ"/>
        </w:rPr>
        <w:t xml:space="preserve">byl </w:t>
      </w:r>
      <w:r w:rsidRPr="00E04C25">
        <w:rPr>
          <w:rFonts w:cs="Arial"/>
          <w:color w:val="auto"/>
        </w:rPr>
        <w:t xml:space="preserve">při vyšší nezaměstnanosti </w:t>
      </w:r>
      <w:r w:rsidRPr="00E04C25">
        <w:rPr>
          <w:rFonts w:cs="Arial"/>
          <w:color w:val="auto"/>
          <w:lang w:val="cs-CZ"/>
        </w:rPr>
        <w:t xml:space="preserve">jejich počet </w:t>
      </w:r>
      <w:r w:rsidR="00156C55" w:rsidRPr="00E04C25">
        <w:rPr>
          <w:rFonts w:cs="Arial"/>
          <w:color w:val="auto"/>
          <w:lang w:val="cs-CZ"/>
        </w:rPr>
        <w:t>vyšší</w:t>
      </w:r>
      <w:r w:rsidRPr="00E04C25">
        <w:rPr>
          <w:rFonts w:cs="Arial"/>
          <w:color w:val="auto"/>
          <w:lang w:val="cs-CZ"/>
        </w:rPr>
        <w:t xml:space="preserve">, celkem </w:t>
      </w:r>
      <w:r w:rsidR="00156C55" w:rsidRPr="00E04C25">
        <w:rPr>
          <w:rFonts w:cs="Arial"/>
          <w:color w:val="auto"/>
          <w:lang w:val="cs-CZ"/>
        </w:rPr>
        <w:t>63</w:t>
      </w:r>
      <w:r w:rsidRPr="00E04C25">
        <w:rPr>
          <w:rFonts w:cs="Arial"/>
          <w:color w:val="auto"/>
          <w:lang w:val="cs-CZ"/>
        </w:rPr>
        <w:t>,</w:t>
      </w:r>
      <w:r w:rsidR="00156C55" w:rsidRPr="00E04C25">
        <w:rPr>
          <w:rFonts w:cs="Arial"/>
          <w:color w:val="auto"/>
          <w:lang w:val="cs-CZ"/>
        </w:rPr>
        <w:t>7</w:t>
      </w:r>
      <w:r w:rsidRPr="00E04C25">
        <w:rPr>
          <w:rFonts w:cs="Arial"/>
          <w:color w:val="auto"/>
          <w:lang w:val="cs-CZ"/>
        </w:rPr>
        <w:t> tis. osob (1</w:t>
      </w:r>
      <w:r w:rsidR="00156C55" w:rsidRPr="00E04C25">
        <w:rPr>
          <w:rFonts w:cs="Arial"/>
          <w:color w:val="auto"/>
          <w:lang w:val="cs-CZ"/>
        </w:rPr>
        <w:t>6</w:t>
      </w:r>
      <w:r w:rsidRPr="00E04C25">
        <w:rPr>
          <w:rFonts w:cs="Arial"/>
          <w:color w:val="auto"/>
          <w:lang w:val="cs-CZ"/>
        </w:rPr>
        <w:t>,</w:t>
      </w:r>
      <w:r w:rsidR="00156C55" w:rsidRPr="00E04C25">
        <w:rPr>
          <w:rFonts w:cs="Arial"/>
          <w:color w:val="auto"/>
          <w:lang w:val="cs-CZ"/>
        </w:rPr>
        <w:t>7</w:t>
      </w:r>
      <w:r w:rsidRPr="00E04C25">
        <w:rPr>
          <w:rFonts w:cs="Arial"/>
          <w:color w:val="auto"/>
          <w:lang w:val="cs-CZ"/>
        </w:rPr>
        <w:t xml:space="preserve"> %), z toho </w:t>
      </w:r>
      <w:r w:rsidR="00156C55" w:rsidRPr="00E04C25">
        <w:rPr>
          <w:rFonts w:cs="Arial"/>
          <w:color w:val="auto"/>
          <w:lang w:val="cs-CZ"/>
        </w:rPr>
        <w:t>58</w:t>
      </w:r>
      <w:r w:rsidRPr="00E04C25">
        <w:rPr>
          <w:rFonts w:cs="Arial"/>
          <w:color w:val="auto"/>
          <w:lang w:val="cs-CZ"/>
        </w:rPr>
        <w:t>,</w:t>
      </w:r>
      <w:r w:rsidR="00156C55" w:rsidRPr="00E04C25">
        <w:rPr>
          <w:rFonts w:cs="Arial"/>
          <w:color w:val="auto"/>
          <w:lang w:val="cs-CZ"/>
        </w:rPr>
        <w:t>0</w:t>
      </w:r>
      <w:r w:rsidRPr="00E04C25">
        <w:rPr>
          <w:rFonts w:cs="Arial"/>
          <w:color w:val="auto"/>
          <w:lang w:val="cs-CZ"/>
        </w:rPr>
        <w:t> tis. žen (</w:t>
      </w:r>
      <w:r w:rsidR="00156C55" w:rsidRPr="00E04C25">
        <w:rPr>
          <w:rFonts w:cs="Arial"/>
          <w:color w:val="auto"/>
          <w:lang w:val="cs-CZ"/>
        </w:rPr>
        <w:t>30</w:t>
      </w:r>
      <w:r w:rsidRPr="00E04C25">
        <w:rPr>
          <w:rFonts w:cs="Arial"/>
          <w:color w:val="auto"/>
          <w:lang w:val="cs-CZ"/>
        </w:rPr>
        <w:t>,</w:t>
      </w:r>
      <w:r w:rsidR="00156C55" w:rsidRPr="00E04C25">
        <w:rPr>
          <w:rFonts w:cs="Arial"/>
          <w:color w:val="auto"/>
          <w:lang w:val="cs-CZ"/>
        </w:rPr>
        <w:t>2</w:t>
      </w:r>
      <w:r w:rsidRPr="00E04C25">
        <w:rPr>
          <w:rFonts w:cs="Arial"/>
          <w:color w:val="auto"/>
          <w:lang w:val="cs-CZ"/>
        </w:rPr>
        <w:t xml:space="preserve"> %) a </w:t>
      </w:r>
      <w:r w:rsidR="00156C55" w:rsidRPr="00E04C25">
        <w:rPr>
          <w:rFonts w:cs="Arial"/>
          <w:color w:val="auto"/>
          <w:lang w:val="cs-CZ"/>
        </w:rPr>
        <w:t>5</w:t>
      </w:r>
      <w:r w:rsidRPr="00E04C25">
        <w:rPr>
          <w:rFonts w:cs="Arial"/>
          <w:color w:val="auto"/>
          <w:lang w:val="cs-CZ"/>
        </w:rPr>
        <w:t>,7 tis. mužů</w:t>
      </w:r>
      <w:r w:rsidR="007F6CC6" w:rsidRPr="00E04C25">
        <w:rPr>
          <w:rFonts w:cs="Arial"/>
          <w:color w:val="auto"/>
          <w:lang w:val="cs-CZ"/>
        </w:rPr>
        <w:t>, jejichž podíl se nepatrně zvýšil</w:t>
      </w:r>
      <w:r w:rsidRPr="00E04C25">
        <w:rPr>
          <w:rFonts w:cs="Arial"/>
          <w:color w:val="auto"/>
          <w:lang w:val="cs-CZ"/>
        </w:rPr>
        <w:t xml:space="preserve"> (</w:t>
      </w:r>
      <w:r w:rsidR="007F6CC6" w:rsidRPr="00E04C25">
        <w:rPr>
          <w:rFonts w:cs="Arial"/>
          <w:color w:val="auto"/>
          <w:lang w:val="cs-CZ"/>
        </w:rPr>
        <w:t xml:space="preserve">na konci předešlého roku </w:t>
      </w:r>
      <w:r w:rsidRPr="00E04C25">
        <w:rPr>
          <w:rFonts w:cs="Arial"/>
          <w:color w:val="auto"/>
          <w:lang w:val="cs-CZ"/>
        </w:rPr>
        <w:t>3,0 %).</w:t>
      </w:r>
      <w:r w:rsidRPr="00E04C25">
        <w:rPr>
          <w:rFonts w:cs="Arial"/>
          <w:color w:val="auto"/>
        </w:rPr>
        <w:t xml:space="preserve"> </w:t>
      </w:r>
      <w:r w:rsidR="007F6CC6" w:rsidRPr="00E04C25">
        <w:rPr>
          <w:rFonts w:cs="Arial"/>
          <w:color w:val="auto"/>
          <w:lang w:val="cs-CZ"/>
        </w:rPr>
        <w:t>Tyto údaje i</w:t>
      </w:r>
      <w:r w:rsidRPr="00E04C25">
        <w:rPr>
          <w:rFonts w:cs="Arial"/>
          <w:color w:val="auto"/>
          <w:lang w:val="cs-CZ"/>
        </w:rPr>
        <w:t xml:space="preserve"> </w:t>
      </w:r>
      <w:r w:rsidR="007F6CC6" w:rsidRPr="00E04C25">
        <w:rPr>
          <w:rFonts w:cs="Arial"/>
          <w:color w:val="auto"/>
          <w:lang w:val="cs-CZ"/>
        </w:rPr>
        <w:t xml:space="preserve">stále </w:t>
      </w:r>
      <w:r w:rsidRPr="00E04C25">
        <w:rPr>
          <w:rFonts w:cs="Arial"/>
          <w:color w:val="auto"/>
          <w:lang w:val="cs-CZ"/>
        </w:rPr>
        <w:t xml:space="preserve">potvrzují jejich ztíženou možnost pracovního uplatnění, především žen, které tvoří </w:t>
      </w:r>
      <w:r w:rsidR="007F6CC6" w:rsidRPr="00E04C25">
        <w:rPr>
          <w:rFonts w:cs="Arial"/>
          <w:color w:val="auto"/>
          <w:lang w:val="cs-CZ"/>
        </w:rPr>
        <w:t>89</w:t>
      </w:r>
      <w:r w:rsidRPr="00E04C25">
        <w:rPr>
          <w:rFonts w:cs="Arial"/>
          <w:color w:val="auto"/>
          <w:lang w:val="cs-CZ"/>
        </w:rPr>
        <w:t>,</w:t>
      </w:r>
      <w:r w:rsidR="007F6CC6" w:rsidRPr="00E04C25">
        <w:rPr>
          <w:rFonts w:cs="Arial"/>
          <w:color w:val="auto"/>
          <w:lang w:val="cs-CZ"/>
        </w:rPr>
        <w:t>7</w:t>
      </w:r>
      <w:r w:rsidRPr="00E04C25">
        <w:rPr>
          <w:rFonts w:cs="Arial"/>
          <w:color w:val="auto"/>
          <w:lang w:val="cs-CZ"/>
        </w:rPr>
        <w:t> % z této kategorie uchazečů o</w:t>
      </w:r>
      <w:r w:rsidR="00DB3E46" w:rsidRPr="00E04C25">
        <w:rPr>
          <w:rFonts w:cs="Arial"/>
          <w:color w:val="auto"/>
          <w:lang w:val="cs-CZ"/>
        </w:rPr>
        <w:t> </w:t>
      </w:r>
      <w:r w:rsidRPr="00E04C25">
        <w:rPr>
          <w:rFonts w:cs="Arial"/>
          <w:color w:val="auto"/>
          <w:lang w:val="cs-CZ"/>
        </w:rPr>
        <w:t xml:space="preserve">zaměstnání. </w:t>
      </w:r>
    </w:p>
    <w:p w:rsidR="00365B47" w:rsidRPr="00E04C25" w:rsidRDefault="00365B47" w:rsidP="00365B47">
      <w:pPr>
        <w:pStyle w:val="Normlnweb"/>
        <w:spacing w:line="360" w:lineRule="auto"/>
        <w:ind w:firstLine="708"/>
        <w:jc w:val="both"/>
        <w:rPr>
          <w:rFonts w:ascii="Arial" w:hAnsi="Arial" w:cs="Arial"/>
        </w:rPr>
      </w:pPr>
      <w:r w:rsidRPr="00E04C25">
        <w:rPr>
          <w:rFonts w:ascii="Arial" w:hAnsi="Arial" w:cs="Arial"/>
        </w:rPr>
        <w:t xml:space="preserve">Uchazečů o zaměstnání, kteří bezprostředně před vstupem do evidence </w:t>
      </w:r>
      <w:r w:rsidRPr="00E04C25">
        <w:rPr>
          <w:rFonts w:ascii="Arial" w:hAnsi="Arial" w:cs="Arial"/>
          <w:b/>
        </w:rPr>
        <w:t xml:space="preserve">osobně pečovali o dítě do 4 let, se </w:t>
      </w:r>
      <w:r w:rsidRPr="00E04C25">
        <w:rPr>
          <w:rFonts w:ascii="Arial" w:hAnsi="Arial" w:cs="Arial"/>
        </w:rPr>
        <w:t>v </w:t>
      </w:r>
      <w:r w:rsidR="007F6CC6" w:rsidRPr="00E04C25">
        <w:rPr>
          <w:rFonts w:ascii="Arial" w:hAnsi="Arial" w:cs="Arial"/>
        </w:rPr>
        <w:t>roce</w:t>
      </w:r>
      <w:r w:rsidRPr="00E04C25">
        <w:rPr>
          <w:rFonts w:ascii="Arial" w:hAnsi="Arial" w:cs="Arial"/>
        </w:rPr>
        <w:t xml:space="preserve"> 2017</w:t>
      </w:r>
      <w:r w:rsidRPr="00E04C25">
        <w:rPr>
          <w:rFonts w:ascii="Arial" w:hAnsi="Arial" w:cs="Arial"/>
          <w:b/>
        </w:rPr>
        <w:t xml:space="preserve"> zaevidovalo </w:t>
      </w:r>
      <w:r w:rsidR="007326BD" w:rsidRPr="00E04C25">
        <w:rPr>
          <w:rFonts w:ascii="Arial" w:hAnsi="Arial" w:cs="Arial"/>
          <w:b/>
        </w:rPr>
        <w:t>24</w:t>
      </w:r>
      <w:r w:rsidRPr="00E04C25">
        <w:rPr>
          <w:rFonts w:ascii="Arial" w:hAnsi="Arial" w:cs="Arial"/>
          <w:b/>
        </w:rPr>
        <w:t>,</w:t>
      </w:r>
      <w:r w:rsidR="007326BD" w:rsidRPr="00E04C25">
        <w:rPr>
          <w:rFonts w:ascii="Arial" w:hAnsi="Arial" w:cs="Arial"/>
          <w:b/>
        </w:rPr>
        <w:t>8</w:t>
      </w:r>
      <w:r w:rsidRPr="00E04C25">
        <w:rPr>
          <w:rFonts w:ascii="Arial" w:hAnsi="Arial" w:cs="Arial"/>
          <w:b/>
        </w:rPr>
        <w:t xml:space="preserve"> tis. </w:t>
      </w:r>
      <w:r w:rsidRPr="00E04C25">
        <w:rPr>
          <w:rFonts w:ascii="Arial" w:hAnsi="Arial" w:cs="Arial"/>
        </w:rPr>
        <w:t>(5,0 % všech nově zaevidovaných UoZ)</w:t>
      </w:r>
      <w:r w:rsidRPr="00E04C25">
        <w:rPr>
          <w:rFonts w:ascii="Arial" w:hAnsi="Arial" w:cs="Arial"/>
          <w:b/>
        </w:rPr>
        <w:t xml:space="preserve">, z toho </w:t>
      </w:r>
      <w:r w:rsidRPr="00E04C25">
        <w:rPr>
          <w:rFonts w:ascii="Arial" w:hAnsi="Arial" w:cs="Arial"/>
        </w:rPr>
        <w:t xml:space="preserve">bylo </w:t>
      </w:r>
      <w:r w:rsidR="00DB3E46" w:rsidRPr="00E04C25">
        <w:rPr>
          <w:rFonts w:ascii="Arial" w:hAnsi="Arial" w:cs="Arial"/>
          <w:b/>
        </w:rPr>
        <w:t>24</w:t>
      </w:r>
      <w:r w:rsidRPr="00E04C25">
        <w:rPr>
          <w:rFonts w:ascii="Arial" w:hAnsi="Arial" w:cs="Arial"/>
          <w:b/>
        </w:rPr>
        <w:t>,</w:t>
      </w:r>
      <w:r w:rsidR="00DB3E46" w:rsidRPr="00E04C25">
        <w:rPr>
          <w:rFonts w:ascii="Arial" w:hAnsi="Arial" w:cs="Arial"/>
          <w:b/>
        </w:rPr>
        <w:t>3</w:t>
      </w:r>
      <w:r w:rsidRPr="00E04C25">
        <w:rPr>
          <w:rFonts w:ascii="Arial" w:hAnsi="Arial" w:cs="Arial"/>
          <w:b/>
        </w:rPr>
        <w:t xml:space="preserve"> tis. žen </w:t>
      </w:r>
      <w:r w:rsidRPr="00E04C25">
        <w:rPr>
          <w:rFonts w:ascii="Arial" w:hAnsi="Arial" w:cs="Arial"/>
        </w:rPr>
        <w:t>(10,</w:t>
      </w:r>
      <w:r w:rsidR="007326BD" w:rsidRPr="00E04C25">
        <w:rPr>
          <w:rFonts w:ascii="Arial" w:hAnsi="Arial" w:cs="Arial"/>
        </w:rPr>
        <w:t>1</w:t>
      </w:r>
      <w:r w:rsidRPr="00E04C25">
        <w:rPr>
          <w:rFonts w:ascii="Arial" w:hAnsi="Arial" w:cs="Arial"/>
        </w:rPr>
        <w:t xml:space="preserve"> % z celkového počtu nově zaevidovaných žen). Je to méně než v průběhu </w:t>
      </w:r>
      <w:r w:rsidR="007326BD" w:rsidRPr="00E04C25">
        <w:rPr>
          <w:rFonts w:ascii="Arial" w:hAnsi="Arial" w:cs="Arial"/>
        </w:rPr>
        <w:t>roku</w:t>
      </w:r>
      <w:r w:rsidRPr="00E04C25">
        <w:rPr>
          <w:rFonts w:ascii="Arial" w:hAnsi="Arial" w:cs="Arial"/>
        </w:rPr>
        <w:t xml:space="preserve"> 2016, kdy jich přišlo do evidence celkem </w:t>
      </w:r>
      <w:r w:rsidR="007326BD" w:rsidRPr="00E04C25">
        <w:rPr>
          <w:rFonts w:ascii="Arial" w:hAnsi="Arial" w:cs="Arial"/>
        </w:rPr>
        <w:t>28</w:t>
      </w:r>
      <w:r w:rsidRPr="00E04C25">
        <w:rPr>
          <w:rFonts w:ascii="Arial" w:hAnsi="Arial" w:cs="Arial"/>
        </w:rPr>
        <w:t>,</w:t>
      </w:r>
      <w:r w:rsidR="007326BD" w:rsidRPr="00E04C25">
        <w:rPr>
          <w:rFonts w:ascii="Arial" w:hAnsi="Arial" w:cs="Arial"/>
        </w:rPr>
        <w:t>7</w:t>
      </w:r>
      <w:r w:rsidRPr="00E04C25">
        <w:rPr>
          <w:rFonts w:ascii="Arial" w:hAnsi="Arial" w:cs="Arial"/>
        </w:rPr>
        <w:t> tis., tj. 5,</w:t>
      </w:r>
      <w:r w:rsidR="007326BD" w:rsidRPr="00E04C25">
        <w:rPr>
          <w:rFonts w:ascii="Arial" w:hAnsi="Arial" w:cs="Arial"/>
        </w:rPr>
        <w:t>1</w:t>
      </w:r>
      <w:r w:rsidRPr="00E04C25">
        <w:rPr>
          <w:rFonts w:ascii="Arial" w:hAnsi="Arial" w:cs="Arial"/>
        </w:rPr>
        <w:t xml:space="preserve"> % všech nových UoZ, z toho bylo </w:t>
      </w:r>
      <w:r w:rsidR="00DB3E46" w:rsidRPr="00E04C25">
        <w:rPr>
          <w:rFonts w:ascii="Arial" w:hAnsi="Arial" w:cs="Arial"/>
        </w:rPr>
        <w:t>28</w:t>
      </w:r>
      <w:r w:rsidRPr="00E04C25">
        <w:rPr>
          <w:rFonts w:ascii="Arial" w:hAnsi="Arial" w:cs="Arial"/>
        </w:rPr>
        <w:t>,</w:t>
      </w:r>
      <w:r w:rsidR="00DB3E46" w:rsidRPr="00E04C25">
        <w:rPr>
          <w:rFonts w:ascii="Arial" w:hAnsi="Arial" w:cs="Arial"/>
        </w:rPr>
        <w:t>2</w:t>
      </w:r>
      <w:r w:rsidRPr="00E04C25">
        <w:rPr>
          <w:rFonts w:ascii="Arial" w:hAnsi="Arial" w:cs="Arial"/>
        </w:rPr>
        <w:t> tis. žen a</w:t>
      </w:r>
      <w:r w:rsidR="007326BD" w:rsidRPr="00E04C25">
        <w:rPr>
          <w:rFonts w:ascii="Arial" w:hAnsi="Arial" w:cs="Arial"/>
        </w:rPr>
        <w:t> </w:t>
      </w:r>
      <w:r w:rsidRPr="00E04C25">
        <w:rPr>
          <w:rFonts w:ascii="Arial" w:hAnsi="Arial" w:cs="Arial"/>
        </w:rPr>
        <w:t>tvořily 1</w:t>
      </w:r>
      <w:r w:rsidR="007326BD" w:rsidRPr="00E04C25">
        <w:rPr>
          <w:rFonts w:ascii="Arial" w:hAnsi="Arial" w:cs="Arial"/>
        </w:rPr>
        <w:t>0</w:t>
      </w:r>
      <w:r w:rsidRPr="00E04C25">
        <w:rPr>
          <w:rFonts w:ascii="Arial" w:hAnsi="Arial" w:cs="Arial"/>
        </w:rPr>
        <w:t>,</w:t>
      </w:r>
      <w:r w:rsidR="007326BD" w:rsidRPr="00E04C25">
        <w:rPr>
          <w:rFonts w:ascii="Arial" w:hAnsi="Arial" w:cs="Arial"/>
        </w:rPr>
        <w:t>4</w:t>
      </w:r>
      <w:r w:rsidRPr="00E04C25">
        <w:rPr>
          <w:rFonts w:ascii="Arial" w:hAnsi="Arial" w:cs="Arial"/>
        </w:rPr>
        <w:t xml:space="preserve"> % všech nově příchozích žen. </w:t>
      </w:r>
      <w:r w:rsidRPr="00E04C25">
        <w:rPr>
          <w:rFonts w:ascii="Arial" w:hAnsi="Arial" w:cs="Arial"/>
          <w:b/>
        </w:rPr>
        <w:t xml:space="preserve">Na konci </w:t>
      </w:r>
      <w:r w:rsidR="007326BD" w:rsidRPr="00E04C25">
        <w:rPr>
          <w:rFonts w:ascii="Arial" w:hAnsi="Arial" w:cs="Arial"/>
          <w:b/>
        </w:rPr>
        <w:t>prosince</w:t>
      </w:r>
      <w:r w:rsidRPr="00E04C25">
        <w:rPr>
          <w:rFonts w:ascii="Arial" w:hAnsi="Arial" w:cs="Arial"/>
          <w:b/>
        </w:rPr>
        <w:t xml:space="preserve"> 2017</w:t>
      </w:r>
      <w:r w:rsidRPr="00E04C25">
        <w:rPr>
          <w:rFonts w:ascii="Arial" w:hAnsi="Arial" w:cs="Arial"/>
        </w:rPr>
        <w:t xml:space="preserve"> jich bylo v evidenci ÚP ČR </w:t>
      </w:r>
      <w:r w:rsidRPr="00E04C25">
        <w:rPr>
          <w:rFonts w:ascii="Arial" w:hAnsi="Arial" w:cs="Arial"/>
          <w:b/>
        </w:rPr>
        <w:t>celkem 1</w:t>
      </w:r>
      <w:r w:rsidR="007326BD" w:rsidRPr="00E04C25">
        <w:rPr>
          <w:rFonts w:ascii="Arial" w:hAnsi="Arial" w:cs="Arial"/>
          <w:b/>
        </w:rPr>
        <w:t>2</w:t>
      </w:r>
      <w:r w:rsidRPr="00E04C25">
        <w:rPr>
          <w:rFonts w:ascii="Arial" w:hAnsi="Arial" w:cs="Arial"/>
          <w:b/>
        </w:rPr>
        <w:t>,7 tis</w:t>
      </w:r>
      <w:r w:rsidRPr="00E04C25">
        <w:rPr>
          <w:rFonts w:ascii="Arial" w:hAnsi="Arial" w:cs="Arial"/>
        </w:rPr>
        <w:t xml:space="preserve">., tj. </w:t>
      </w:r>
      <w:r w:rsidR="007326BD" w:rsidRPr="00E04C25">
        <w:rPr>
          <w:rFonts w:ascii="Arial" w:hAnsi="Arial" w:cs="Arial"/>
        </w:rPr>
        <w:t>4</w:t>
      </w:r>
      <w:r w:rsidRPr="00E04C25">
        <w:rPr>
          <w:rFonts w:ascii="Arial" w:hAnsi="Arial" w:cs="Arial"/>
        </w:rPr>
        <w:t>,</w:t>
      </w:r>
      <w:r w:rsidR="007326BD" w:rsidRPr="00E04C25">
        <w:rPr>
          <w:rFonts w:ascii="Arial" w:hAnsi="Arial" w:cs="Arial"/>
        </w:rPr>
        <w:t>5</w:t>
      </w:r>
      <w:r w:rsidRPr="00E04C25">
        <w:rPr>
          <w:rFonts w:ascii="Arial" w:hAnsi="Arial" w:cs="Arial"/>
        </w:rPr>
        <w:t xml:space="preserve"> % všech UoZ, z toho </w:t>
      </w:r>
      <w:r w:rsidRPr="00E04C25">
        <w:rPr>
          <w:rFonts w:ascii="Arial" w:hAnsi="Arial" w:cs="Arial"/>
          <w:b/>
        </w:rPr>
        <w:t>1</w:t>
      </w:r>
      <w:r w:rsidR="007326BD" w:rsidRPr="00E04C25">
        <w:rPr>
          <w:rFonts w:ascii="Arial" w:hAnsi="Arial" w:cs="Arial"/>
          <w:b/>
        </w:rPr>
        <w:t>2</w:t>
      </w:r>
      <w:r w:rsidRPr="00E04C25">
        <w:rPr>
          <w:rFonts w:ascii="Arial" w:hAnsi="Arial" w:cs="Arial"/>
          <w:b/>
        </w:rPr>
        <w:t>,</w:t>
      </w:r>
      <w:r w:rsidR="007326BD" w:rsidRPr="00E04C25">
        <w:rPr>
          <w:rFonts w:ascii="Arial" w:hAnsi="Arial" w:cs="Arial"/>
          <w:b/>
        </w:rPr>
        <w:t>2</w:t>
      </w:r>
      <w:r w:rsidRPr="00E04C25">
        <w:rPr>
          <w:rFonts w:ascii="Arial" w:hAnsi="Arial" w:cs="Arial"/>
          <w:b/>
        </w:rPr>
        <w:t> tis. žen</w:t>
      </w:r>
      <w:r w:rsidRPr="00E04C25">
        <w:rPr>
          <w:rFonts w:ascii="Arial" w:hAnsi="Arial" w:cs="Arial"/>
        </w:rPr>
        <w:t xml:space="preserve">, které </w:t>
      </w:r>
      <w:r w:rsidRPr="00E04C25">
        <w:rPr>
          <w:rFonts w:ascii="Arial" w:hAnsi="Arial" w:cs="Arial"/>
        </w:rPr>
        <w:lastRenderedPageBreak/>
        <w:t xml:space="preserve">představovaly </w:t>
      </w:r>
      <w:r w:rsidR="007326BD" w:rsidRPr="00E04C25">
        <w:rPr>
          <w:rFonts w:ascii="Arial" w:hAnsi="Arial" w:cs="Arial"/>
        </w:rPr>
        <w:t>8,7</w:t>
      </w:r>
      <w:r w:rsidRPr="00E04C25">
        <w:rPr>
          <w:rFonts w:ascii="Arial" w:hAnsi="Arial" w:cs="Arial"/>
        </w:rPr>
        <w:t xml:space="preserve"> % všech uchazeček zaměstnání. Na konci </w:t>
      </w:r>
      <w:r w:rsidR="007326BD" w:rsidRPr="00E04C25">
        <w:rPr>
          <w:rFonts w:ascii="Arial" w:hAnsi="Arial" w:cs="Arial"/>
        </w:rPr>
        <w:t>prosince</w:t>
      </w:r>
      <w:r w:rsidRPr="00E04C25">
        <w:rPr>
          <w:rFonts w:ascii="Arial" w:hAnsi="Arial" w:cs="Arial"/>
        </w:rPr>
        <w:t xml:space="preserve"> 2016 to bylo </w:t>
      </w:r>
      <w:r w:rsidR="007326BD" w:rsidRPr="00E04C25">
        <w:rPr>
          <w:rFonts w:ascii="Arial" w:hAnsi="Arial" w:cs="Arial"/>
        </w:rPr>
        <w:t>19</w:t>
      </w:r>
      <w:r w:rsidRPr="00E04C25">
        <w:rPr>
          <w:rFonts w:ascii="Arial" w:hAnsi="Arial" w:cs="Arial"/>
        </w:rPr>
        <w:t>,</w:t>
      </w:r>
      <w:r w:rsidR="007326BD" w:rsidRPr="00E04C25">
        <w:rPr>
          <w:rFonts w:ascii="Arial" w:hAnsi="Arial" w:cs="Arial"/>
        </w:rPr>
        <w:t>0</w:t>
      </w:r>
      <w:r w:rsidRPr="00E04C25">
        <w:rPr>
          <w:rFonts w:ascii="Arial" w:hAnsi="Arial" w:cs="Arial"/>
        </w:rPr>
        <w:t> tis. UoZ (5,</w:t>
      </w:r>
      <w:r w:rsidR="007326BD" w:rsidRPr="00E04C25">
        <w:rPr>
          <w:rFonts w:ascii="Arial" w:hAnsi="Arial" w:cs="Arial"/>
        </w:rPr>
        <w:t>0</w:t>
      </w:r>
      <w:r w:rsidRPr="00E04C25">
        <w:rPr>
          <w:rFonts w:ascii="Arial" w:hAnsi="Arial" w:cs="Arial"/>
        </w:rPr>
        <w:t xml:space="preserve"> %), žen bylo </w:t>
      </w:r>
      <w:r w:rsidR="007326BD" w:rsidRPr="00E04C25">
        <w:rPr>
          <w:rFonts w:ascii="Arial" w:hAnsi="Arial" w:cs="Arial"/>
        </w:rPr>
        <w:t>18</w:t>
      </w:r>
      <w:r w:rsidRPr="00E04C25">
        <w:rPr>
          <w:rFonts w:ascii="Arial" w:hAnsi="Arial" w:cs="Arial"/>
        </w:rPr>
        <w:t>,</w:t>
      </w:r>
      <w:r w:rsidR="00DB3E46" w:rsidRPr="00E04C25">
        <w:rPr>
          <w:rFonts w:ascii="Arial" w:hAnsi="Arial" w:cs="Arial"/>
        </w:rPr>
        <w:t>4</w:t>
      </w:r>
      <w:r w:rsidRPr="00E04C25">
        <w:rPr>
          <w:rFonts w:ascii="Arial" w:hAnsi="Arial" w:cs="Arial"/>
        </w:rPr>
        <w:t> tis. (</w:t>
      </w:r>
      <w:r w:rsidR="007326BD" w:rsidRPr="00E04C25">
        <w:rPr>
          <w:rFonts w:ascii="Arial" w:hAnsi="Arial" w:cs="Arial"/>
        </w:rPr>
        <w:t>9</w:t>
      </w:r>
      <w:r w:rsidRPr="00E04C25">
        <w:rPr>
          <w:rFonts w:ascii="Arial" w:hAnsi="Arial" w:cs="Arial"/>
        </w:rPr>
        <w:t>,</w:t>
      </w:r>
      <w:r w:rsidR="00DB3E46" w:rsidRPr="00E04C25">
        <w:rPr>
          <w:rFonts w:ascii="Arial" w:hAnsi="Arial" w:cs="Arial"/>
        </w:rPr>
        <w:t>6</w:t>
      </w:r>
      <w:r w:rsidRPr="00E04C25">
        <w:rPr>
          <w:rFonts w:ascii="Arial" w:hAnsi="Arial" w:cs="Arial"/>
        </w:rPr>
        <w:t xml:space="preserve"> % všech žen). </w:t>
      </w:r>
    </w:p>
    <w:p w:rsidR="00365B47" w:rsidRPr="00E04C25" w:rsidRDefault="00365B47" w:rsidP="00365B47">
      <w:pPr>
        <w:pStyle w:val="Zkladntext"/>
        <w:spacing w:line="360" w:lineRule="auto"/>
        <w:ind w:firstLine="708"/>
        <w:rPr>
          <w:color w:val="auto"/>
          <w:lang w:val="cs-CZ"/>
        </w:rPr>
      </w:pPr>
      <w:r w:rsidRPr="00E04C25">
        <w:rPr>
          <w:bCs/>
          <w:color w:val="auto"/>
          <w:lang w:val="cs-CZ"/>
        </w:rPr>
        <w:t>Vzhledem k převaze mužů v sezónně orientovaných odvětvích je u mužů patrná spíše opakovaná nezaměstnanost, zatímco</w:t>
      </w:r>
      <w:r w:rsidRPr="00E04C25">
        <w:rPr>
          <w:b/>
          <w:bCs/>
          <w:color w:val="auto"/>
          <w:lang w:val="cs-CZ"/>
        </w:rPr>
        <w:t xml:space="preserve"> </w:t>
      </w:r>
      <w:r w:rsidRPr="00E04C25">
        <w:rPr>
          <w:bCs/>
          <w:color w:val="auto"/>
        </w:rPr>
        <w:t xml:space="preserve">ženy </w:t>
      </w:r>
      <w:r w:rsidRPr="00E04C25">
        <w:rPr>
          <w:bCs/>
          <w:color w:val="auto"/>
          <w:lang w:val="cs-CZ"/>
        </w:rPr>
        <w:t xml:space="preserve">jsou </w:t>
      </w:r>
      <w:r w:rsidRPr="00E04C25">
        <w:rPr>
          <w:color w:val="auto"/>
        </w:rPr>
        <w:t>více postiženy</w:t>
      </w:r>
      <w:r w:rsidRPr="00E04C25">
        <w:rPr>
          <w:bCs/>
          <w:color w:val="auto"/>
        </w:rPr>
        <w:t xml:space="preserve"> dlouhodobou nezaměstnaností.</w:t>
      </w:r>
      <w:r w:rsidRPr="00E04C25">
        <w:rPr>
          <w:bCs/>
          <w:color w:val="auto"/>
          <w:lang w:val="cs-CZ"/>
        </w:rPr>
        <w:t xml:space="preserve"> </w:t>
      </w:r>
      <w:r w:rsidRPr="00E04C25">
        <w:rPr>
          <w:color w:val="auto"/>
          <w:lang w:val="cs-CZ"/>
        </w:rPr>
        <w:t xml:space="preserve">Nemalou roli v dlouhodobé nezaměstnanosti žen hrají právě faktory související s péčí o děti nebo osobu blízkou (ztížená dojížďka do práce a práce na směny, nedostatek práce na zkrácený úvazek nebo s jinou formou uspořádání pracovní doby). </w:t>
      </w:r>
    </w:p>
    <w:p w:rsidR="00365B47" w:rsidRPr="00E04C25" w:rsidRDefault="00365B47" w:rsidP="00365B47">
      <w:pPr>
        <w:pStyle w:val="Zkladntext"/>
        <w:spacing w:line="360" w:lineRule="auto"/>
        <w:ind w:firstLine="708"/>
        <w:rPr>
          <w:rFonts w:cs="Arial"/>
          <w:bCs/>
          <w:color w:val="auto"/>
          <w:lang w:val="cs-CZ"/>
        </w:rPr>
      </w:pPr>
      <w:r w:rsidRPr="00E04C25">
        <w:rPr>
          <w:b/>
          <w:bCs/>
          <w:color w:val="auto"/>
        </w:rPr>
        <w:t>K</w:t>
      </w:r>
      <w:r w:rsidRPr="00E04C25">
        <w:rPr>
          <w:b/>
          <w:color w:val="auto"/>
        </w:rPr>
        <w:t> 3</w:t>
      </w:r>
      <w:r w:rsidR="007326BD" w:rsidRPr="00E04C25">
        <w:rPr>
          <w:b/>
          <w:color w:val="auto"/>
          <w:lang w:val="cs-CZ"/>
        </w:rPr>
        <w:t>1</w:t>
      </w:r>
      <w:r w:rsidRPr="00E04C25">
        <w:rPr>
          <w:b/>
          <w:color w:val="auto"/>
        </w:rPr>
        <w:t>. </w:t>
      </w:r>
      <w:r w:rsidR="007326BD" w:rsidRPr="00E04C25">
        <w:rPr>
          <w:b/>
          <w:color w:val="auto"/>
          <w:lang w:val="cs-CZ"/>
        </w:rPr>
        <w:t>12.</w:t>
      </w:r>
      <w:r w:rsidRPr="00E04C25">
        <w:rPr>
          <w:b/>
          <w:color w:val="auto"/>
        </w:rPr>
        <w:t> 201</w:t>
      </w:r>
      <w:r w:rsidRPr="00E04C25">
        <w:rPr>
          <w:b/>
          <w:color w:val="auto"/>
          <w:lang w:val="cs-CZ"/>
        </w:rPr>
        <w:t>7</w:t>
      </w:r>
      <w:r w:rsidRPr="00E04C25">
        <w:rPr>
          <w:color w:val="auto"/>
        </w:rPr>
        <w:t xml:space="preserve"> bylo v evidenci </w:t>
      </w:r>
      <w:r w:rsidRPr="00E04C25">
        <w:rPr>
          <w:color w:val="auto"/>
          <w:lang w:val="cs-CZ"/>
        </w:rPr>
        <w:t>ÚP ČR</w:t>
      </w:r>
      <w:r w:rsidRPr="00E04C25">
        <w:rPr>
          <w:color w:val="auto"/>
        </w:rPr>
        <w:t xml:space="preserve"> </w:t>
      </w:r>
      <w:r w:rsidRPr="00E04C25">
        <w:rPr>
          <w:color w:val="auto"/>
          <w:lang w:val="cs-CZ"/>
        </w:rPr>
        <w:t xml:space="preserve">nepřetržitě </w:t>
      </w:r>
      <w:r w:rsidRPr="00E04C25">
        <w:rPr>
          <w:b/>
          <w:bCs/>
          <w:color w:val="auto"/>
        </w:rPr>
        <w:t xml:space="preserve">déle než 6 měsíců </w:t>
      </w:r>
      <w:r w:rsidRPr="00E04C25">
        <w:rPr>
          <w:b/>
          <w:bCs/>
          <w:color w:val="auto"/>
          <w:lang w:val="cs-CZ"/>
        </w:rPr>
        <w:t>5</w:t>
      </w:r>
      <w:r w:rsidR="007326BD" w:rsidRPr="00E04C25">
        <w:rPr>
          <w:b/>
          <w:bCs/>
          <w:color w:val="auto"/>
          <w:lang w:val="cs-CZ"/>
        </w:rPr>
        <w:t>2</w:t>
      </w:r>
      <w:r w:rsidRPr="00E04C25">
        <w:rPr>
          <w:b/>
          <w:bCs/>
          <w:color w:val="auto"/>
          <w:lang w:val="cs-CZ"/>
        </w:rPr>
        <w:t>,</w:t>
      </w:r>
      <w:r w:rsidR="007326BD" w:rsidRPr="00E04C25">
        <w:rPr>
          <w:b/>
          <w:bCs/>
          <w:color w:val="auto"/>
          <w:lang w:val="cs-CZ"/>
        </w:rPr>
        <w:t>2</w:t>
      </w:r>
      <w:r w:rsidRPr="00E04C25">
        <w:rPr>
          <w:b/>
          <w:bCs/>
          <w:color w:val="auto"/>
        </w:rPr>
        <w:t> %</w:t>
      </w:r>
      <w:r w:rsidRPr="00E04C25">
        <w:rPr>
          <w:b/>
          <w:bCs/>
          <w:color w:val="auto"/>
          <w:lang w:val="cs-CZ"/>
        </w:rPr>
        <w:t xml:space="preserve"> a </w:t>
      </w:r>
      <w:r w:rsidRPr="00E04C25">
        <w:rPr>
          <w:b/>
          <w:bCs/>
          <w:color w:val="auto"/>
        </w:rPr>
        <w:t xml:space="preserve">déle než 12 měsíců </w:t>
      </w:r>
      <w:r w:rsidR="007326BD" w:rsidRPr="00E04C25">
        <w:rPr>
          <w:b/>
          <w:bCs/>
          <w:color w:val="auto"/>
          <w:lang w:val="cs-CZ"/>
        </w:rPr>
        <w:t>36,4</w:t>
      </w:r>
      <w:r w:rsidRPr="00E04C25">
        <w:rPr>
          <w:b/>
          <w:bCs/>
          <w:color w:val="auto"/>
        </w:rPr>
        <w:t> %</w:t>
      </w:r>
      <w:r w:rsidRPr="00E04C25">
        <w:rPr>
          <w:color w:val="auto"/>
        </w:rPr>
        <w:t xml:space="preserve"> </w:t>
      </w:r>
      <w:r w:rsidRPr="00E04C25">
        <w:rPr>
          <w:b/>
          <w:bCs/>
          <w:color w:val="auto"/>
          <w:lang w:val="cs-CZ"/>
        </w:rPr>
        <w:t>žen.</w:t>
      </w:r>
      <w:r w:rsidRPr="00E04C25">
        <w:rPr>
          <w:color w:val="auto"/>
        </w:rPr>
        <w:t xml:space="preserve"> </w:t>
      </w:r>
      <w:r w:rsidRPr="00E04C25">
        <w:rPr>
          <w:b/>
          <w:color w:val="auto"/>
        </w:rPr>
        <w:t>Naproti tomu z celkového počtu nezaměstnaných mužů</w:t>
      </w:r>
      <w:r w:rsidRPr="00E04C25">
        <w:rPr>
          <w:color w:val="auto"/>
        </w:rPr>
        <w:t xml:space="preserve"> </w:t>
      </w:r>
      <w:r w:rsidRPr="00E04C25">
        <w:rPr>
          <w:color w:val="auto"/>
          <w:lang w:val="cs-CZ"/>
        </w:rPr>
        <w:t xml:space="preserve">jich </w:t>
      </w:r>
      <w:r w:rsidRPr="00E04C25">
        <w:rPr>
          <w:color w:val="auto"/>
        </w:rPr>
        <w:t xml:space="preserve">bylo </w:t>
      </w:r>
      <w:r w:rsidRPr="00E04C25">
        <w:rPr>
          <w:color w:val="auto"/>
          <w:lang w:val="cs-CZ"/>
        </w:rPr>
        <w:t xml:space="preserve">s poslední evidencí </w:t>
      </w:r>
      <w:r w:rsidRPr="00E04C25">
        <w:rPr>
          <w:color w:val="auto"/>
        </w:rPr>
        <w:t>d</w:t>
      </w:r>
      <w:r w:rsidRPr="00E04C25">
        <w:rPr>
          <w:color w:val="auto"/>
          <w:lang w:val="cs-CZ"/>
        </w:rPr>
        <w:t>elší</w:t>
      </w:r>
      <w:r w:rsidRPr="00E04C25">
        <w:rPr>
          <w:color w:val="auto"/>
        </w:rPr>
        <w:t xml:space="preserve"> </w:t>
      </w:r>
      <w:r w:rsidRPr="00E04C25">
        <w:rPr>
          <w:b/>
          <w:bCs/>
          <w:color w:val="auto"/>
        </w:rPr>
        <w:t xml:space="preserve">než 6 měsíců </w:t>
      </w:r>
      <w:r w:rsidR="00231CAC" w:rsidRPr="00E04C25">
        <w:rPr>
          <w:b/>
          <w:bCs/>
          <w:color w:val="auto"/>
          <w:lang w:val="cs-CZ"/>
        </w:rPr>
        <w:t>44</w:t>
      </w:r>
      <w:r w:rsidRPr="00E04C25">
        <w:rPr>
          <w:b/>
          <w:bCs/>
          <w:color w:val="auto"/>
        </w:rPr>
        <w:t>,</w:t>
      </w:r>
      <w:r w:rsidR="00231CAC" w:rsidRPr="00E04C25">
        <w:rPr>
          <w:b/>
          <w:bCs/>
          <w:color w:val="auto"/>
          <w:lang w:val="cs-CZ"/>
        </w:rPr>
        <w:t>3</w:t>
      </w:r>
      <w:r w:rsidRPr="00E04C25">
        <w:rPr>
          <w:b/>
          <w:bCs/>
          <w:color w:val="auto"/>
        </w:rPr>
        <w:t> %</w:t>
      </w:r>
      <w:r w:rsidRPr="00E04C25">
        <w:rPr>
          <w:bCs/>
          <w:color w:val="auto"/>
        </w:rPr>
        <w:t xml:space="preserve">, </w:t>
      </w:r>
      <w:r w:rsidRPr="00E04C25">
        <w:rPr>
          <w:b/>
          <w:bCs/>
          <w:color w:val="auto"/>
        </w:rPr>
        <w:t xml:space="preserve">déle než 12 měsíců </w:t>
      </w:r>
      <w:r w:rsidRPr="00E04C25">
        <w:rPr>
          <w:b/>
          <w:bCs/>
          <w:color w:val="auto"/>
          <w:lang w:val="cs-CZ"/>
        </w:rPr>
        <w:t>3</w:t>
      </w:r>
      <w:r w:rsidR="00231CAC" w:rsidRPr="00E04C25">
        <w:rPr>
          <w:b/>
          <w:bCs/>
          <w:color w:val="auto"/>
          <w:lang w:val="cs-CZ"/>
        </w:rPr>
        <w:t>0</w:t>
      </w:r>
      <w:r w:rsidRPr="00E04C25">
        <w:rPr>
          <w:b/>
          <w:bCs/>
          <w:color w:val="auto"/>
        </w:rPr>
        <w:t>,</w:t>
      </w:r>
      <w:r w:rsidR="00231CAC" w:rsidRPr="00E04C25">
        <w:rPr>
          <w:b/>
          <w:bCs/>
          <w:color w:val="auto"/>
          <w:lang w:val="cs-CZ"/>
        </w:rPr>
        <w:t>9</w:t>
      </w:r>
      <w:r w:rsidRPr="00E04C25">
        <w:rPr>
          <w:b/>
          <w:bCs/>
          <w:color w:val="auto"/>
        </w:rPr>
        <w:t> %</w:t>
      </w:r>
      <w:r w:rsidRPr="00E04C25">
        <w:rPr>
          <w:color w:val="auto"/>
        </w:rPr>
        <w:t xml:space="preserve">. </w:t>
      </w:r>
      <w:r w:rsidRPr="00E04C25">
        <w:rPr>
          <w:bCs/>
          <w:color w:val="auto"/>
          <w:lang w:val="cs-CZ"/>
        </w:rPr>
        <w:t xml:space="preserve">Absolutní počty i podíly dlouhodobě nezaměstnaných </w:t>
      </w:r>
      <w:r w:rsidRPr="00E04C25">
        <w:rPr>
          <w:rFonts w:cs="Arial"/>
          <w:bCs/>
          <w:color w:val="auto"/>
          <w:lang w:val="cs-CZ"/>
        </w:rPr>
        <w:t xml:space="preserve">uchazečů o zaměstnání u obou pohlaví poklesly. </w:t>
      </w:r>
    </w:p>
    <w:p w:rsidR="00365B47" w:rsidRPr="00E04C25" w:rsidRDefault="00365B47" w:rsidP="00365B47">
      <w:pPr>
        <w:spacing w:line="360" w:lineRule="auto"/>
        <w:ind w:firstLine="567"/>
        <w:jc w:val="both"/>
        <w:rPr>
          <w:rFonts w:ascii="Arial" w:hAnsi="Arial" w:cs="Arial"/>
        </w:rPr>
      </w:pPr>
      <w:r w:rsidRPr="00E04C25">
        <w:rPr>
          <w:rFonts w:ascii="Arial" w:hAnsi="Arial" w:cs="Arial"/>
          <w:szCs w:val="23"/>
        </w:rPr>
        <w:t xml:space="preserve">Průměrná </w:t>
      </w:r>
      <w:r w:rsidRPr="00E04C25">
        <w:rPr>
          <w:rFonts w:ascii="Arial" w:hAnsi="Arial" w:cs="Arial"/>
          <w:b/>
          <w:bCs/>
          <w:szCs w:val="23"/>
        </w:rPr>
        <w:t>délka průběžné evidence</w:t>
      </w:r>
      <w:r w:rsidRPr="00E04C25">
        <w:rPr>
          <w:rFonts w:ascii="Arial" w:hAnsi="Arial" w:cs="Arial"/>
          <w:szCs w:val="23"/>
        </w:rPr>
        <w:t xml:space="preserve"> se na konci </w:t>
      </w:r>
      <w:r w:rsidR="00231CAC" w:rsidRPr="00E04C25">
        <w:rPr>
          <w:rFonts w:ascii="Arial" w:hAnsi="Arial" w:cs="Arial"/>
          <w:szCs w:val="23"/>
        </w:rPr>
        <w:t>roku</w:t>
      </w:r>
      <w:r w:rsidRPr="00E04C25">
        <w:rPr>
          <w:rFonts w:ascii="Arial" w:hAnsi="Arial" w:cs="Arial"/>
          <w:szCs w:val="23"/>
        </w:rPr>
        <w:t xml:space="preserve"> 2017 </w:t>
      </w:r>
      <w:r w:rsidRPr="00E04C25">
        <w:rPr>
          <w:rFonts w:ascii="Arial" w:hAnsi="Arial" w:cs="Arial"/>
          <w:b/>
          <w:szCs w:val="23"/>
        </w:rPr>
        <w:t>u mužů</w:t>
      </w:r>
      <w:r w:rsidRPr="00E04C25">
        <w:rPr>
          <w:rFonts w:ascii="Arial" w:hAnsi="Arial" w:cs="Arial"/>
          <w:szCs w:val="23"/>
        </w:rPr>
        <w:t xml:space="preserve"> </w:t>
      </w:r>
      <w:r w:rsidR="00231CAC" w:rsidRPr="00E04C25">
        <w:rPr>
          <w:rFonts w:ascii="Arial" w:hAnsi="Arial" w:cs="Arial"/>
          <w:b/>
          <w:szCs w:val="23"/>
        </w:rPr>
        <w:t xml:space="preserve">nepatrně zvýšila </w:t>
      </w:r>
      <w:r w:rsidRPr="00E04C25">
        <w:rPr>
          <w:rFonts w:ascii="Arial" w:hAnsi="Arial" w:cs="Arial"/>
          <w:szCs w:val="23"/>
        </w:rPr>
        <w:t>z </w:t>
      </w:r>
      <w:r w:rsidR="00231CAC" w:rsidRPr="00E04C25">
        <w:rPr>
          <w:rFonts w:ascii="Arial" w:hAnsi="Arial" w:cs="Arial"/>
          <w:szCs w:val="23"/>
        </w:rPr>
        <w:t>645</w:t>
      </w:r>
      <w:r w:rsidRPr="00E04C25">
        <w:rPr>
          <w:rFonts w:ascii="Arial" w:hAnsi="Arial" w:cs="Arial"/>
          <w:szCs w:val="23"/>
        </w:rPr>
        <w:t xml:space="preserve"> </w:t>
      </w:r>
      <w:r w:rsidRPr="00E04C25">
        <w:rPr>
          <w:rFonts w:ascii="Arial" w:hAnsi="Arial" w:cs="Arial"/>
          <w:b/>
          <w:szCs w:val="23"/>
        </w:rPr>
        <w:t xml:space="preserve">na </w:t>
      </w:r>
      <w:r w:rsidR="00231CAC" w:rsidRPr="00E04C25">
        <w:rPr>
          <w:rFonts w:ascii="Arial" w:hAnsi="Arial" w:cs="Arial"/>
          <w:b/>
          <w:szCs w:val="23"/>
        </w:rPr>
        <w:t>647</w:t>
      </w:r>
      <w:r w:rsidRPr="00E04C25">
        <w:rPr>
          <w:rFonts w:ascii="Arial" w:hAnsi="Arial" w:cs="Arial"/>
          <w:b/>
          <w:szCs w:val="23"/>
        </w:rPr>
        <w:t xml:space="preserve"> dní</w:t>
      </w:r>
      <w:r w:rsidRPr="00E04C25">
        <w:rPr>
          <w:rFonts w:ascii="Arial" w:hAnsi="Arial" w:cs="Arial"/>
          <w:szCs w:val="23"/>
        </w:rPr>
        <w:t xml:space="preserve">, </w:t>
      </w:r>
      <w:r w:rsidRPr="00E04C25">
        <w:rPr>
          <w:rFonts w:ascii="Arial" w:hAnsi="Arial" w:cs="Arial"/>
          <w:b/>
          <w:szCs w:val="23"/>
        </w:rPr>
        <w:t>u žen</w:t>
      </w:r>
      <w:r w:rsidRPr="00E04C25">
        <w:rPr>
          <w:rFonts w:ascii="Arial" w:hAnsi="Arial" w:cs="Arial"/>
          <w:szCs w:val="23"/>
        </w:rPr>
        <w:t xml:space="preserve"> </w:t>
      </w:r>
      <w:r w:rsidRPr="00E04C25">
        <w:rPr>
          <w:rFonts w:ascii="Arial" w:hAnsi="Arial" w:cs="Arial"/>
          <w:b/>
          <w:szCs w:val="23"/>
        </w:rPr>
        <w:t>poklesla</w:t>
      </w:r>
      <w:r w:rsidRPr="00E04C25">
        <w:rPr>
          <w:rFonts w:ascii="Arial" w:hAnsi="Arial" w:cs="Arial"/>
          <w:szCs w:val="23"/>
        </w:rPr>
        <w:t xml:space="preserve"> ze 7</w:t>
      </w:r>
      <w:r w:rsidR="00231CAC" w:rsidRPr="00E04C25">
        <w:rPr>
          <w:rFonts w:ascii="Arial" w:hAnsi="Arial" w:cs="Arial"/>
          <w:szCs w:val="23"/>
        </w:rPr>
        <w:t>25</w:t>
      </w:r>
      <w:r w:rsidRPr="00E04C25">
        <w:rPr>
          <w:rFonts w:ascii="Arial" w:hAnsi="Arial" w:cs="Arial"/>
          <w:szCs w:val="23"/>
        </w:rPr>
        <w:t> </w:t>
      </w:r>
      <w:r w:rsidRPr="00E04C25">
        <w:rPr>
          <w:rFonts w:ascii="Arial" w:hAnsi="Arial" w:cs="Arial"/>
          <w:b/>
          <w:szCs w:val="23"/>
        </w:rPr>
        <w:t>na 7</w:t>
      </w:r>
      <w:r w:rsidR="00231CAC" w:rsidRPr="00E04C25">
        <w:rPr>
          <w:rFonts w:ascii="Arial" w:hAnsi="Arial" w:cs="Arial"/>
          <w:b/>
          <w:szCs w:val="23"/>
        </w:rPr>
        <w:t>12</w:t>
      </w:r>
      <w:r w:rsidRPr="00E04C25">
        <w:rPr>
          <w:rFonts w:ascii="Arial" w:hAnsi="Arial" w:cs="Arial"/>
          <w:b/>
          <w:szCs w:val="23"/>
        </w:rPr>
        <w:t xml:space="preserve"> dní</w:t>
      </w:r>
      <w:r w:rsidRPr="00E04C25">
        <w:rPr>
          <w:rFonts w:ascii="Arial" w:hAnsi="Arial" w:cs="Arial"/>
          <w:szCs w:val="23"/>
        </w:rPr>
        <w:t xml:space="preserve">. </w:t>
      </w:r>
      <w:r w:rsidRPr="00E04C25">
        <w:rPr>
          <w:rFonts w:ascii="Arial" w:hAnsi="Arial" w:cs="Arial"/>
          <w:b/>
          <w:szCs w:val="23"/>
        </w:rPr>
        <w:t>D</w:t>
      </w:r>
      <w:r w:rsidRPr="00E04C25">
        <w:rPr>
          <w:rFonts w:ascii="Arial" w:hAnsi="Arial" w:cs="Arial"/>
          <w:b/>
          <w:bCs/>
          <w:szCs w:val="23"/>
        </w:rPr>
        <w:t>élka ukončené evidence</w:t>
      </w:r>
      <w:r w:rsidRPr="00E04C25">
        <w:rPr>
          <w:rFonts w:ascii="Arial" w:hAnsi="Arial" w:cs="Arial"/>
          <w:szCs w:val="23"/>
        </w:rPr>
        <w:t xml:space="preserve"> se </w:t>
      </w:r>
      <w:r w:rsidRPr="00E04C25">
        <w:rPr>
          <w:rFonts w:ascii="Arial" w:hAnsi="Arial" w:cs="Arial"/>
          <w:b/>
          <w:szCs w:val="23"/>
        </w:rPr>
        <w:t>snížila u obou pohlaví</w:t>
      </w:r>
      <w:r w:rsidRPr="00E04C25">
        <w:rPr>
          <w:rFonts w:ascii="Arial" w:hAnsi="Arial" w:cs="Arial"/>
          <w:szCs w:val="23"/>
        </w:rPr>
        <w:t xml:space="preserve">, </w:t>
      </w:r>
      <w:r w:rsidRPr="00E04C25">
        <w:rPr>
          <w:rFonts w:ascii="Arial" w:hAnsi="Arial" w:cs="Arial"/>
          <w:b/>
          <w:szCs w:val="23"/>
        </w:rPr>
        <w:t xml:space="preserve">u mužů </w:t>
      </w:r>
      <w:r w:rsidR="00231CAC" w:rsidRPr="00E04C25">
        <w:rPr>
          <w:rFonts w:ascii="Arial" w:hAnsi="Arial" w:cs="Arial"/>
          <w:b/>
          <w:szCs w:val="23"/>
        </w:rPr>
        <w:t xml:space="preserve">výrazněji, </w:t>
      </w:r>
      <w:r w:rsidR="00231CAC" w:rsidRPr="00E04C25">
        <w:rPr>
          <w:rFonts w:ascii="Arial" w:hAnsi="Arial" w:cs="Arial"/>
          <w:szCs w:val="23"/>
        </w:rPr>
        <w:t xml:space="preserve">a to z 302 dní na </w:t>
      </w:r>
      <w:r w:rsidR="00231CAC" w:rsidRPr="00E04C25">
        <w:rPr>
          <w:rFonts w:ascii="Arial" w:hAnsi="Arial" w:cs="Arial"/>
          <w:b/>
          <w:szCs w:val="23"/>
        </w:rPr>
        <w:t>283</w:t>
      </w:r>
      <w:r w:rsidRPr="00E04C25">
        <w:rPr>
          <w:rFonts w:ascii="Arial" w:hAnsi="Arial" w:cs="Arial"/>
          <w:b/>
          <w:szCs w:val="23"/>
        </w:rPr>
        <w:t xml:space="preserve"> dní,</w:t>
      </w:r>
      <w:r w:rsidRPr="00E04C25">
        <w:rPr>
          <w:rFonts w:ascii="Arial" w:hAnsi="Arial" w:cs="Arial"/>
          <w:szCs w:val="23"/>
        </w:rPr>
        <w:t xml:space="preserve"> </w:t>
      </w:r>
      <w:r w:rsidRPr="00E04C25">
        <w:rPr>
          <w:rFonts w:ascii="Arial" w:hAnsi="Arial" w:cs="Arial"/>
          <w:b/>
          <w:szCs w:val="23"/>
        </w:rPr>
        <w:t>u žen</w:t>
      </w:r>
      <w:r w:rsidRPr="00E04C25">
        <w:rPr>
          <w:rFonts w:ascii="Arial" w:hAnsi="Arial" w:cs="Arial"/>
          <w:szCs w:val="23"/>
        </w:rPr>
        <w:t xml:space="preserve"> z 3</w:t>
      </w:r>
      <w:r w:rsidR="00231CAC" w:rsidRPr="00E04C25">
        <w:rPr>
          <w:rFonts w:ascii="Arial" w:hAnsi="Arial" w:cs="Arial"/>
          <w:szCs w:val="23"/>
        </w:rPr>
        <w:t>47</w:t>
      </w:r>
      <w:r w:rsidRPr="00E04C25">
        <w:rPr>
          <w:rFonts w:ascii="Arial" w:hAnsi="Arial" w:cs="Arial"/>
          <w:szCs w:val="23"/>
        </w:rPr>
        <w:t xml:space="preserve"> </w:t>
      </w:r>
      <w:r w:rsidRPr="00E04C25">
        <w:rPr>
          <w:rFonts w:ascii="Arial" w:hAnsi="Arial" w:cs="Arial"/>
          <w:b/>
          <w:szCs w:val="23"/>
        </w:rPr>
        <w:t>na</w:t>
      </w:r>
      <w:r w:rsidRPr="00E04C25">
        <w:rPr>
          <w:rFonts w:ascii="Arial" w:hAnsi="Arial" w:cs="Arial"/>
          <w:szCs w:val="23"/>
        </w:rPr>
        <w:t xml:space="preserve"> </w:t>
      </w:r>
      <w:r w:rsidRPr="00E04C25">
        <w:rPr>
          <w:rFonts w:ascii="Arial" w:hAnsi="Arial" w:cs="Arial"/>
          <w:b/>
          <w:szCs w:val="23"/>
        </w:rPr>
        <w:t>3</w:t>
      </w:r>
      <w:r w:rsidR="00231CAC" w:rsidRPr="00E04C25">
        <w:rPr>
          <w:rFonts w:ascii="Arial" w:hAnsi="Arial" w:cs="Arial"/>
          <w:b/>
          <w:szCs w:val="23"/>
        </w:rPr>
        <w:t>40</w:t>
      </w:r>
      <w:r w:rsidRPr="00E04C25">
        <w:rPr>
          <w:rFonts w:ascii="Arial" w:hAnsi="Arial" w:cs="Arial"/>
          <w:b/>
          <w:szCs w:val="23"/>
        </w:rPr>
        <w:t xml:space="preserve"> dní</w:t>
      </w:r>
      <w:r w:rsidRPr="00E04C25">
        <w:rPr>
          <w:rFonts w:ascii="Arial" w:hAnsi="Arial" w:cs="Arial"/>
          <w:szCs w:val="23"/>
        </w:rPr>
        <w:t xml:space="preserve">. </w:t>
      </w:r>
      <w:r w:rsidRPr="00E04C25">
        <w:rPr>
          <w:rFonts w:ascii="Arial" w:hAnsi="Arial" w:cs="Arial"/>
        </w:rPr>
        <w:t xml:space="preserve">Podrobnější údaje o počtech a podílech mužů a žen z celkového počtu nezaměstnaných v jednotlivých </w:t>
      </w:r>
      <w:r w:rsidRPr="00E04C25">
        <w:rPr>
          <w:rFonts w:ascii="Arial" w:hAnsi="Arial" w:cs="Arial"/>
          <w:bCs/>
        </w:rPr>
        <w:t>kategoriích</w:t>
      </w:r>
      <w:r w:rsidRPr="00E04C25">
        <w:rPr>
          <w:rFonts w:ascii="Arial" w:hAnsi="Arial" w:cs="Arial"/>
          <w:b/>
          <w:bCs/>
        </w:rPr>
        <w:t xml:space="preserve"> </w:t>
      </w:r>
      <w:r w:rsidRPr="00E04C25">
        <w:rPr>
          <w:rFonts w:ascii="Arial" w:hAnsi="Arial" w:cs="Arial"/>
          <w:bCs/>
        </w:rPr>
        <w:t xml:space="preserve">(věk, vzdělání, výše podpory v nezaměstnanosti, délka nezaměstnanosti) včetně grafického znázornění jsou uvedeny v příloze č. 8 </w:t>
      </w:r>
      <w:r w:rsidRPr="00E04C25">
        <w:rPr>
          <w:rFonts w:ascii="Arial" w:hAnsi="Arial" w:cs="Arial"/>
        </w:rPr>
        <w:t>a 9.</w:t>
      </w:r>
    </w:p>
    <w:p w:rsidR="00115440" w:rsidRPr="00E04C25" w:rsidRDefault="00115440" w:rsidP="00115440">
      <w:pPr>
        <w:spacing w:after="120" w:line="276" w:lineRule="auto"/>
        <w:jc w:val="both"/>
        <w:rPr>
          <w:rFonts w:ascii="Arial" w:hAnsi="Arial" w:cs="Arial"/>
          <w:b/>
          <w:bCs/>
          <w:sz w:val="16"/>
          <w:szCs w:val="16"/>
        </w:rPr>
      </w:pPr>
    </w:p>
    <w:p w:rsidR="00115440" w:rsidRPr="00E04C25" w:rsidRDefault="00115440" w:rsidP="00115440">
      <w:pPr>
        <w:pStyle w:val="Styl5"/>
        <w:numPr>
          <w:ilvl w:val="0"/>
          <w:numId w:val="11"/>
        </w:numPr>
        <w:tabs>
          <w:tab w:val="clear" w:pos="720"/>
          <w:tab w:val="clear" w:pos="2868"/>
          <w:tab w:val="num" w:pos="851"/>
        </w:tabs>
        <w:ind w:hanging="2442"/>
        <w:jc w:val="both"/>
        <w:rPr>
          <w:color w:val="auto"/>
          <w:sz w:val="24"/>
          <w:szCs w:val="24"/>
        </w:rPr>
      </w:pPr>
      <w:bookmarkStart w:id="122" w:name="_Toc400528528"/>
      <w:bookmarkStart w:id="123" w:name="_Toc404672669"/>
      <w:bookmarkStart w:id="124" w:name="_Toc513198681"/>
      <w:r w:rsidRPr="00E04C25">
        <w:rPr>
          <w:color w:val="auto"/>
          <w:sz w:val="24"/>
          <w:szCs w:val="24"/>
        </w:rPr>
        <w:t>Regionální nezaměstnanost</w:t>
      </w:r>
      <w:bookmarkEnd w:id="122"/>
      <w:bookmarkEnd w:id="123"/>
      <w:bookmarkEnd w:id="124"/>
    </w:p>
    <w:p w:rsidR="00115440" w:rsidRPr="00E04C25" w:rsidRDefault="00115440" w:rsidP="00115440">
      <w:pPr>
        <w:pStyle w:val="Zkladntext"/>
        <w:ind w:firstLine="709"/>
        <w:rPr>
          <w:color w:val="auto"/>
          <w:sz w:val="16"/>
          <w:szCs w:val="16"/>
          <w:highlight w:val="yellow"/>
        </w:rPr>
      </w:pPr>
    </w:p>
    <w:p w:rsidR="00115440" w:rsidRPr="00E04C25" w:rsidRDefault="00115440" w:rsidP="00115440">
      <w:pPr>
        <w:pStyle w:val="Zkladntext"/>
        <w:spacing w:line="360" w:lineRule="auto"/>
        <w:ind w:firstLine="709"/>
        <w:rPr>
          <w:b/>
          <w:iCs/>
          <w:color w:val="auto"/>
          <w:szCs w:val="23"/>
          <w:lang w:val="cs-CZ"/>
        </w:rPr>
      </w:pPr>
      <w:r w:rsidRPr="00E04C25">
        <w:rPr>
          <w:rFonts w:cs="Arial"/>
          <w:b/>
          <w:bCs/>
          <w:color w:val="auto"/>
        </w:rPr>
        <w:t xml:space="preserve">Podíl nezaměstnaných osob </w:t>
      </w:r>
      <w:r w:rsidRPr="00E04C25">
        <w:rPr>
          <w:color w:val="auto"/>
          <w:szCs w:val="23"/>
        </w:rPr>
        <w:t>vyšší než celorepublikový průměr (</w:t>
      </w:r>
      <w:r w:rsidR="007F6CC6" w:rsidRPr="00E04C25">
        <w:rPr>
          <w:color w:val="auto"/>
          <w:szCs w:val="23"/>
          <w:lang w:val="cs-CZ"/>
        </w:rPr>
        <w:t>3</w:t>
      </w:r>
      <w:r w:rsidRPr="00E04C25">
        <w:rPr>
          <w:color w:val="auto"/>
          <w:szCs w:val="23"/>
          <w:lang w:val="cs-CZ"/>
        </w:rPr>
        <w:t>,</w:t>
      </w:r>
      <w:r w:rsidR="007F6CC6" w:rsidRPr="00E04C25">
        <w:rPr>
          <w:color w:val="auto"/>
          <w:szCs w:val="23"/>
          <w:lang w:val="cs-CZ"/>
        </w:rPr>
        <w:t>8</w:t>
      </w:r>
      <w:r w:rsidRPr="00E04C25">
        <w:rPr>
          <w:color w:val="auto"/>
          <w:szCs w:val="23"/>
        </w:rPr>
        <w:t> %) byl k 3</w:t>
      </w:r>
      <w:r w:rsidRPr="00E04C25">
        <w:rPr>
          <w:color w:val="auto"/>
          <w:szCs w:val="23"/>
          <w:lang w:val="cs-CZ"/>
        </w:rPr>
        <w:t>1</w:t>
      </w:r>
      <w:r w:rsidRPr="00E04C25">
        <w:rPr>
          <w:color w:val="auto"/>
          <w:szCs w:val="23"/>
        </w:rPr>
        <w:t>. </w:t>
      </w:r>
      <w:r w:rsidRPr="00E04C25">
        <w:rPr>
          <w:color w:val="auto"/>
          <w:szCs w:val="23"/>
          <w:lang w:val="cs-CZ"/>
        </w:rPr>
        <w:t>12</w:t>
      </w:r>
      <w:r w:rsidRPr="00E04C25">
        <w:rPr>
          <w:color w:val="auto"/>
          <w:szCs w:val="23"/>
        </w:rPr>
        <w:t>. 201</w:t>
      </w:r>
      <w:r w:rsidR="00682C79" w:rsidRPr="00E04C25">
        <w:rPr>
          <w:color w:val="auto"/>
          <w:szCs w:val="23"/>
          <w:lang w:val="cs-CZ"/>
        </w:rPr>
        <w:t>7</w:t>
      </w:r>
      <w:r w:rsidRPr="00E04C25">
        <w:rPr>
          <w:color w:val="auto"/>
          <w:szCs w:val="23"/>
          <w:lang w:val="cs-CZ"/>
        </w:rPr>
        <w:t xml:space="preserve"> </w:t>
      </w:r>
      <w:r w:rsidRPr="00E04C25">
        <w:rPr>
          <w:color w:val="auto"/>
          <w:szCs w:val="23"/>
        </w:rPr>
        <w:t>zaznamenán v </w:t>
      </w:r>
      <w:r w:rsidRPr="00E04C25">
        <w:rPr>
          <w:color w:val="auto"/>
          <w:szCs w:val="23"/>
          <w:lang w:val="cs-CZ"/>
        </w:rPr>
        <w:t xml:space="preserve">pěti </w:t>
      </w:r>
      <w:r w:rsidRPr="00E04C25">
        <w:rPr>
          <w:color w:val="auto"/>
          <w:szCs w:val="23"/>
        </w:rPr>
        <w:t>kraj</w:t>
      </w:r>
      <w:r w:rsidRPr="00E04C25">
        <w:rPr>
          <w:color w:val="auto"/>
          <w:szCs w:val="23"/>
          <w:lang w:val="cs-CZ"/>
        </w:rPr>
        <w:t>ích</w:t>
      </w:r>
      <w:r w:rsidRPr="00E04C25">
        <w:rPr>
          <w:color w:val="auto"/>
          <w:szCs w:val="23"/>
        </w:rPr>
        <w:t xml:space="preserve">. </w:t>
      </w:r>
      <w:r w:rsidRPr="00E04C25">
        <w:rPr>
          <w:color w:val="auto"/>
          <w:szCs w:val="23"/>
          <w:lang w:val="cs-CZ"/>
        </w:rPr>
        <w:t>N</w:t>
      </w:r>
      <w:r w:rsidRPr="00E04C25">
        <w:rPr>
          <w:iCs/>
          <w:color w:val="auto"/>
          <w:szCs w:val="23"/>
          <w:lang w:val="cs-CZ"/>
        </w:rPr>
        <w:t xml:space="preserve">ejvyšší </w:t>
      </w:r>
      <w:r w:rsidRPr="00E04C25">
        <w:rPr>
          <w:color w:val="auto"/>
          <w:szCs w:val="23"/>
          <w:lang w:val="cs-CZ"/>
        </w:rPr>
        <w:t xml:space="preserve">byl </w:t>
      </w:r>
      <w:r w:rsidRPr="00E04C25">
        <w:rPr>
          <w:iCs/>
          <w:color w:val="auto"/>
          <w:szCs w:val="23"/>
        </w:rPr>
        <w:t>v</w:t>
      </w:r>
      <w:r w:rsidR="003F2C0E" w:rsidRPr="00E04C25">
        <w:rPr>
          <w:iCs/>
          <w:color w:val="auto"/>
          <w:szCs w:val="23"/>
          <w:lang w:val="cs-CZ"/>
        </w:rPr>
        <w:t> </w:t>
      </w:r>
      <w:r w:rsidR="003F2C0E" w:rsidRPr="00E04C25">
        <w:rPr>
          <w:b/>
          <w:iCs/>
          <w:color w:val="auto"/>
          <w:szCs w:val="23"/>
        </w:rPr>
        <w:t>Moravskoslezsk</w:t>
      </w:r>
      <w:r w:rsidR="003F2C0E" w:rsidRPr="00E04C25">
        <w:rPr>
          <w:b/>
          <w:iCs/>
          <w:color w:val="auto"/>
          <w:szCs w:val="23"/>
          <w:lang w:val="cs-CZ"/>
        </w:rPr>
        <w:t xml:space="preserve">ém kraji, </w:t>
      </w:r>
      <w:r w:rsidRPr="00E04C25">
        <w:rPr>
          <w:b/>
          <w:iCs/>
          <w:color w:val="auto"/>
          <w:szCs w:val="23"/>
        </w:rPr>
        <w:t>násled</w:t>
      </w:r>
      <w:r w:rsidRPr="00E04C25">
        <w:rPr>
          <w:b/>
          <w:iCs/>
          <w:color w:val="auto"/>
          <w:szCs w:val="23"/>
          <w:lang w:val="cs-CZ"/>
        </w:rPr>
        <w:t>oval</w:t>
      </w:r>
      <w:r w:rsidRPr="00E04C25">
        <w:rPr>
          <w:b/>
          <w:iCs/>
          <w:color w:val="auto"/>
          <w:szCs w:val="23"/>
        </w:rPr>
        <w:t xml:space="preserve"> </w:t>
      </w:r>
      <w:r w:rsidR="003F2C0E" w:rsidRPr="00E04C25">
        <w:rPr>
          <w:b/>
          <w:iCs/>
          <w:color w:val="auto"/>
          <w:szCs w:val="23"/>
        </w:rPr>
        <w:t>Ústeck</w:t>
      </w:r>
      <w:r w:rsidR="003F2C0E" w:rsidRPr="00E04C25">
        <w:rPr>
          <w:b/>
          <w:iCs/>
          <w:color w:val="auto"/>
          <w:szCs w:val="23"/>
          <w:lang w:val="cs-CZ"/>
        </w:rPr>
        <w:t>ý</w:t>
      </w:r>
      <w:r w:rsidR="003F2C0E" w:rsidRPr="00E04C25">
        <w:rPr>
          <w:b/>
          <w:iCs/>
          <w:color w:val="auto"/>
          <w:szCs w:val="23"/>
        </w:rPr>
        <w:t xml:space="preserve"> </w:t>
      </w:r>
      <w:r w:rsidRPr="00E04C25">
        <w:rPr>
          <w:b/>
          <w:iCs/>
          <w:color w:val="auto"/>
          <w:szCs w:val="23"/>
          <w:lang w:val="cs-CZ"/>
        </w:rPr>
        <w:t>a Jihomoravský kraj</w:t>
      </w:r>
      <w:r w:rsidRPr="00E04C25">
        <w:rPr>
          <w:b/>
          <w:iCs/>
          <w:color w:val="auto"/>
          <w:szCs w:val="23"/>
        </w:rPr>
        <w:t>.</w:t>
      </w:r>
      <w:r w:rsidRPr="00E04C25">
        <w:rPr>
          <w:b/>
          <w:iCs/>
          <w:color w:val="auto"/>
          <w:szCs w:val="23"/>
          <w:lang w:val="cs-CZ"/>
        </w:rPr>
        <w:t xml:space="preserve"> </w:t>
      </w:r>
    </w:p>
    <w:p w:rsidR="00A30DA2" w:rsidRPr="00E04C25" w:rsidRDefault="00A30DA2" w:rsidP="008D6DAA">
      <w:pPr>
        <w:pStyle w:val="Zkladntext"/>
        <w:spacing w:line="360" w:lineRule="auto"/>
        <w:ind w:firstLine="708"/>
        <w:rPr>
          <w:color w:val="auto"/>
          <w:szCs w:val="23"/>
          <w:lang w:val="cs-CZ"/>
        </w:rPr>
      </w:pPr>
      <w:r w:rsidRPr="00E04C25">
        <w:rPr>
          <w:rFonts w:cs="Arial"/>
          <w:bCs/>
          <w:color w:val="auto"/>
          <w:lang w:val="cs-CZ"/>
        </w:rPr>
        <w:t xml:space="preserve">Meziročně </w:t>
      </w:r>
      <w:r w:rsidRPr="00E04C25">
        <w:rPr>
          <w:b/>
          <w:color w:val="auto"/>
          <w:szCs w:val="23"/>
          <w:lang w:val="cs-CZ"/>
        </w:rPr>
        <w:t>se PNO snížil ve všech krajích</w:t>
      </w:r>
      <w:r w:rsidRPr="00E04C25">
        <w:rPr>
          <w:color w:val="auto"/>
          <w:szCs w:val="23"/>
          <w:lang w:val="cs-CZ"/>
        </w:rPr>
        <w:t xml:space="preserve">, nejvíce v Ústeckém (o 2,4 p. b.), Karlovarském kraji (o 2,0 p. b.), Moravskoslezském (o 1,7 p. b.), Olomouckém (o 1,6 p. b.) a Jihomoravském kraji (1,5 p. b.), tj. v krajích z horní poloviny pomyslného žebříčku podle úrovně nezaměstnanosti. </w:t>
      </w:r>
      <w:r w:rsidRPr="00E04C25">
        <w:rPr>
          <w:b/>
          <w:color w:val="auto"/>
          <w:szCs w:val="23"/>
          <w:lang w:val="cs-CZ"/>
        </w:rPr>
        <w:t>Nejpomalejší pokles</w:t>
      </w:r>
      <w:r w:rsidRPr="00E04C25">
        <w:rPr>
          <w:color w:val="auto"/>
          <w:szCs w:val="23"/>
          <w:lang w:val="cs-CZ"/>
        </w:rPr>
        <w:t xml:space="preserve"> byl zaznamenán v krajích s podprůměrnou nezaměstnaností, a to v Plzeňském kraji (o 1,0 p. b.), dále v</w:t>
      </w:r>
      <w:r w:rsidR="008D6DAA" w:rsidRPr="00E04C25">
        <w:rPr>
          <w:color w:val="auto"/>
          <w:szCs w:val="23"/>
          <w:lang w:val="cs-CZ"/>
        </w:rPr>
        <w:t> h</w:t>
      </w:r>
      <w:r w:rsidRPr="00E04C25">
        <w:rPr>
          <w:color w:val="auto"/>
          <w:szCs w:val="23"/>
          <w:lang w:val="cs-CZ"/>
        </w:rPr>
        <w:t>l.</w:t>
      </w:r>
      <w:r w:rsidR="00442555" w:rsidRPr="00E04C25">
        <w:rPr>
          <w:color w:val="auto"/>
          <w:szCs w:val="23"/>
          <w:lang w:val="cs-CZ"/>
        </w:rPr>
        <w:t> </w:t>
      </w:r>
      <w:r w:rsidRPr="00E04C25">
        <w:rPr>
          <w:color w:val="auto"/>
          <w:szCs w:val="23"/>
          <w:lang w:val="cs-CZ"/>
        </w:rPr>
        <w:t>městě Praze, Královéhradeckém a Středočeském kraji (shodně o 1,1 p. b.).</w:t>
      </w:r>
    </w:p>
    <w:p w:rsidR="00A30DA2" w:rsidRPr="00E04C25" w:rsidRDefault="00A30DA2" w:rsidP="00115440">
      <w:pPr>
        <w:pStyle w:val="Zkladntext"/>
        <w:spacing w:line="360" w:lineRule="auto"/>
        <w:ind w:firstLine="709"/>
        <w:rPr>
          <w:b/>
          <w:iCs/>
          <w:color w:val="auto"/>
          <w:szCs w:val="23"/>
          <w:lang w:val="cs-CZ"/>
        </w:rPr>
      </w:pPr>
    </w:p>
    <w:p w:rsidR="00115440" w:rsidRPr="00E04C25" w:rsidRDefault="00115440" w:rsidP="00115440">
      <w:pPr>
        <w:pStyle w:val="Normlnweb11"/>
        <w:spacing w:before="0" w:after="0"/>
        <w:jc w:val="center"/>
        <w:rPr>
          <w:rFonts w:ascii="Arial" w:hAnsi="Arial" w:cs="Arial"/>
          <w:b/>
          <w:bCs/>
        </w:rPr>
      </w:pPr>
      <w:r w:rsidRPr="00E04C25">
        <w:rPr>
          <w:rFonts w:ascii="Arial" w:hAnsi="Arial" w:cs="Arial"/>
          <w:b/>
          <w:bCs/>
        </w:rPr>
        <w:lastRenderedPageBreak/>
        <w:t>Podíl nezaměstnaných osob</w:t>
      </w:r>
      <w:r w:rsidR="00A4289A" w:rsidRPr="00E04C25">
        <w:rPr>
          <w:rFonts w:ascii="Arial" w:hAnsi="Arial" w:cs="Arial"/>
          <w:b/>
          <w:bCs/>
        </w:rPr>
        <w:t>,</w:t>
      </w:r>
      <w:r w:rsidRPr="00E04C25">
        <w:rPr>
          <w:rFonts w:ascii="Arial" w:hAnsi="Arial" w:cs="Arial"/>
          <w:b/>
          <w:bCs/>
        </w:rPr>
        <w:t xml:space="preserve"> počet </w:t>
      </w:r>
      <w:r w:rsidR="00A4289A" w:rsidRPr="00E04C25">
        <w:rPr>
          <w:rFonts w:ascii="Arial" w:hAnsi="Arial" w:cs="Arial"/>
          <w:b/>
          <w:bCs/>
        </w:rPr>
        <w:t>UoZ a VPM</w:t>
      </w:r>
      <w:r w:rsidRPr="00E04C25">
        <w:rPr>
          <w:rFonts w:ascii="Arial" w:hAnsi="Arial" w:cs="Arial"/>
          <w:b/>
          <w:bCs/>
        </w:rPr>
        <w:t xml:space="preserve"> v krajích ČR</w:t>
      </w:r>
    </w:p>
    <w:p w:rsidR="00115440" w:rsidRPr="00E04C25" w:rsidRDefault="00115440" w:rsidP="00115440">
      <w:pPr>
        <w:pStyle w:val="Normlnweb11"/>
        <w:spacing w:before="0" w:after="0"/>
        <w:jc w:val="center"/>
        <w:rPr>
          <w:rFonts w:ascii="Arial" w:hAnsi="Arial" w:cs="Arial"/>
          <w:b/>
          <w:sz w:val="20"/>
        </w:rPr>
      </w:pPr>
      <w:r w:rsidRPr="00E04C25">
        <w:rPr>
          <w:rFonts w:ascii="Arial" w:hAnsi="Arial" w:cs="Arial"/>
          <w:sz w:val="20"/>
        </w:rPr>
        <w:t>(seřazen</w:t>
      </w:r>
      <w:r w:rsidR="00A4289A" w:rsidRPr="00E04C25">
        <w:rPr>
          <w:rFonts w:ascii="Arial" w:hAnsi="Arial" w:cs="Arial"/>
          <w:sz w:val="20"/>
        </w:rPr>
        <w:t>o</w:t>
      </w:r>
      <w:r w:rsidRPr="00E04C25">
        <w:rPr>
          <w:rFonts w:ascii="Arial" w:hAnsi="Arial" w:cs="Arial"/>
          <w:sz w:val="20"/>
        </w:rPr>
        <w:t xml:space="preserve"> podle podílu nezaměstnaných osob k 31. 12. 201</w:t>
      </w:r>
      <w:r w:rsidR="00A4289A" w:rsidRPr="00E04C25">
        <w:rPr>
          <w:rFonts w:ascii="Arial" w:hAnsi="Arial" w:cs="Arial"/>
          <w:sz w:val="20"/>
        </w:rPr>
        <w:t>7</w:t>
      </w:r>
      <w:r w:rsidRPr="00E04C25">
        <w:rPr>
          <w:rFonts w:ascii="Arial" w:hAnsi="Arial" w:cs="Arial"/>
          <w:sz w:val="20"/>
        </w:rPr>
        <w:t>)</w:t>
      </w:r>
    </w:p>
    <w:p w:rsidR="00115440" w:rsidRPr="00E04C25" w:rsidRDefault="00115440" w:rsidP="00115440">
      <w:pPr>
        <w:pStyle w:val="Normlnweb11"/>
        <w:spacing w:before="0" w:after="0"/>
        <w:jc w:val="right"/>
        <w:rPr>
          <w:rFonts w:ascii="Arial" w:hAnsi="Arial" w:cs="Arial"/>
          <w:sz w:val="20"/>
        </w:rPr>
      </w:pPr>
      <w:r w:rsidRPr="00E04C25">
        <w:rPr>
          <w:rFonts w:ascii="Arial" w:hAnsi="Arial" w:cs="Arial"/>
          <w:sz w:val="20"/>
        </w:rPr>
        <w:t>tab. č. 2</w:t>
      </w:r>
      <w:r w:rsidR="00310BFB" w:rsidRPr="00E04C25">
        <w:rPr>
          <w:rFonts w:ascii="Arial" w:hAnsi="Arial" w:cs="Arial"/>
          <w:sz w:val="20"/>
        </w:rPr>
        <w:t>1</w:t>
      </w:r>
    </w:p>
    <w:tbl>
      <w:tblPr>
        <w:tblW w:w="8930" w:type="dxa"/>
        <w:jc w:val="center"/>
        <w:tblLayout w:type="fixed"/>
        <w:tblCellMar>
          <w:left w:w="0" w:type="dxa"/>
          <w:right w:w="170" w:type="dxa"/>
        </w:tblCellMar>
        <w:tblLook w:val="04A0"/>
      </w:tblPr>
      <w:tblGrid>
        <w:gridCol w:w="316"/>
        <w:gridCol w:w="2236"/>
        <w:gridCol w:w="1063"/>
        <w:gridCol w:w="1205"/>
        <w:gridCol w:w="1112"/>
        <w:gridCol w:w="1156"/>
        <w:gridCol w:w="850"/>
        <w:gridCol w:w="992"/>
      </w:tblGrid>
      <w:tr w:rsidR="00A4289A" w:rsidRPr="00E04C25" w:rsidTr="00523B41">
        <w:trPr>
          <w:trHeight w:val="585"/>
          <w:jc w:val="center"/>
        </w:trPr>
        <w:tc>
          <w:tcPr>
            <w:tcW w:w="2552" w:type="dxa"/>
            <w:gridSpan w:val="2"/>
            <w:vMerge w:val="restart"/>
            <w:tcBorders>
              <w:top w:val="double" w:sz="6" w:space="0" w:color="auto"/>
              <w:left w:val="double" w:sz="6"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115440" w:rsidRPr="00E04C25" w:rsidRDefault="00115440" w:rsidP="00523B41">
            <w:pPr>
              <w:spacing w:line="276" w:lineRule="auto"/>
              <w:jc w:val="center"/>
              <w:rPr>
                <w:rFonts w:ascii="Arial" w:eastAsia="Arial Unicode MS" w:hAnsi="Arial" w:cs="Arial"/>
                <w:b/>
                <w:bCs/>
                <w:sz w:val="20"/>
                <w:szCs w:val="20"/>
                <w:lang w:eastAsia="en-US"/>
              </w:rPr>
            </w:pPr>
            <w:r w:rsidRPr="00E04C25">
              <w:rPr>
                <w:rFonts w:ascii="Arial" w:hAnsi="Arial" w:cs="Arial"/>
                <w:b/>
                <w:bCs/>
                <w:sz w:val="20"/>
                <w:szCs w:val="20"/>
                <w:lang w:eastAsia="en-US"/>
              </w:rPr>
              <w:t>Kraj</w:t>
            </w:r>
          </w:p>
        </w:tc>
        <w:tc>
          <w:tcPr>
            <w:tcW w:w="2268" w:type="dxa"/>
            <w:gridSpan w:val="2"/>
            <w:tcBorders>
              <w:top w:val="double" w:sz="6"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115440" w:rsidRPr="00E04C25" w:rsidRDefault="00115440" w:rsidP="00523B41">
            <w:pPr>
              <w:spacing w:line="276" w:lineRule="auto"/>
              <w:jc w:val="center"/>
              <w:rPr>
                <w:rFonts w:ascii="Arial" w:eastAsia="Arial Unicode MS" w:hAnsi="Arial" w:cs="Arial"/>
                <w:b/>
                <w:bCs/>
                <w:sz w:val="20"/>
                <w:szCs w:val="20"/>
                <w:lang w:eastAsia="en-US"/>
              </w:rPr>
            </w:pPr>
            <w:r w:rsidRPr="00E04C25">
              <w:rPr>
                <w:rFonts w:ascii="Arial" w:hAnsi="Arial" w:cs="Arial"/>
                <w:b/>
                <w:bCs/>
                <w:sz w:val="20"/>
                <w:szCs w:val="20"/>
                <w:lang w:eastAsia="en-US"/>
              </w:rPr>
              <w:t>Evidovaní uchazeči o zaměstnání</w:t>
            </w:r>
          </w:p>
        </w:tc>
        <w:tc>
          <w:tcPr>
            <w:tcW w:w="2268" w:type="dxa"/>
            <w:gridSpan w:val="2"/>
            <w:tcBorders>
              <w:top w:val="double" w:sz="6"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15440" w:rsidRPr="00E04C25" w:rsidRDefault="00115440" w:rsidP="00523B41">
            <w:pPr>
              <w:spacing w:line="276" w:lineRule="auto"/>
              <w:jc w:val="center"/>
              <w:rPr>
                <w:rFonts w:ascii="Arial" w:eastAsia="Arial Unicode MS" w:hAnsi="Arial" w:cs="Arial"/>
                <w:b/>
                <w:bCs/>
                <w:sz w:val="20"/>
                <w:szCs w:val="20"/>
                <w:lang w:eastAsia="en-US"/>
              </w:rPr>
            </w:pPr>
            <w:r w:rsidRPr="00E04C25">
              <w:rPr>
                <w:rFonts w:ascii="Arial" w:hAnsi="Arial" w:cs="Arial"/>
                <w:b/>
                <w:bCs/>
                <w:sz w:val="20"/>
                <w:szCs w:val="20"/>
                <w:lang w:eastAsia="en-US"/>
              </w:rPr>
              <w:t>Volná pracovní místa</w:t>
            </w:r>
          </w:p>
        </w:tc>
        <w:tc>
          <w:tcPr>
            <w:tcW w:w="1842" w:type="dxa"/>
            <w:gridSpan w:val="2"/>
            <w:tcBorders>
              <w:top w:val="double" w:sz="6" w:space="0" w:color="auto"/>
              <w:left w:val="nil"/>
              <w:bottom w:val="single" w:sz="4" w:space="0" w:color="auto"/>
              <w:right w:val="double" w:sz="6" w:space="0" w:color="000000"/>
            </w:tcBorders>
            <w:shd w:val="clear" w:color="auto" w:fill="auto"/>
            <w:tcMar>
              <w:top w:w="15" w:type="dxa"/>
              <w:left w:w="15" w:type="dxa"/>
              <w:bottom w:w="0" w:type="dxa"/>
              <w:right w:w="15" w:type="dxa"/>
            </w:tcMar>
            <w:vAlign w:val="center"/>
            <w:hideMark/>
          </w:tcPr>
          <w:p w:rsidR="00115440" w:rsidRPr="00E04C25" w:rsidRDefault="00115440" w:rsidP="00523B41">
            <w:pPr>
              <w:spacing w:line="276" w:lineRule="auto"/>
              <w:jc w:val="center"/>
              <w:rPr>
                <w:rFonts w:ascii="Arial" w:eastAsia="Arial Unicode MS" w:hAnsi="Arial" w:cs="Arial"/>
                <w:b/>
                <w:bCs/>
                <w:sz w:val="20"/>
                <w:szCs w:val="20"/>
                <w:lang w:eastAsia="en-US"/>
              </w:rPr>
            </w:pPr>
            <w:r w:rsidRPr="00E04C25">
              <w:rPr>
                <w:rFonts w:ascii="Arial" w:hAnsi="Arial" w:cs="Arial"/>
                <w:b/>
                <w:bCs/>
                <w:sz w:val="20"/>
                <w:szCs w:val="20"/>
                <w:lang w:eastAsia="en-US"/>
              </w:rPr>
              <w:t>Podíl nezaměstnaných osob v %</w:t>
            </w:r>
          </w:p>
        </w:tc>
      </w:tr>
      <w:tr w:rsidR="00A4289A" w:rsidRPr="00E04C25" w:rsidTr="00523B41">
        <w:trPr>
          <w:trHeight w:val="270"/>
          <w:jc w:val="center"/>
        </w:trPr>
        <w:tc>
          <w:tcPr>
            <w:tcW w:w="2552" w:type="dxa"/>
            <w:gridSpan w:val="2"/>
            <w:vMerge/>
            <w:tcBorders>
              <w:top w:val="double" w:sz="6" w:space="0" w:color="auto"/>
              <w:left w:val="double" w:sz="6" w:space="0" w:color="auto"/>
              <w:bottom w:val="single" w:sz="4" w:space="0" w:color="auto"/>
              <w:right w:val="single" w:sz="4" w:space="0" w:color="000000"/>
            </w:tcBorders>
            <w:shd w:val="clear" w:color="auto" w:fill="auto"/>
            <w:vAlign w:val="center"/>
            <w:hideMark/>
          </w:tcPr>
          <w:p w:rsidR="00115440" w:rsidRPr="00E04C25" w:rsidRDefault="00115440" w:rsidP="00523B41">
            <w:pPr>
              <w:rPr>
                <w:rFonts w:ascii="Arial" w:eastAsia="Arial Unicode MS" w:hAnsi="Arial" w:cs="Arial"/>
                <w:b/>
                <w:bCs/>
                <w:sz w:val="20"/>
                <w:szCs w:val="20"/>
                <w:lang w:eastAsia="en-US"/>
              </w:rPr>
            </w:pPr>
          </w:p>
        </w:tc>
        <w:tc>
          <w:tcPr>
            <w:tcW w:w="2268"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115440" w:rsidRPr="00E04C25" w:rsidRDefault="00115440" w:rsidP="00523B41">
            <w:pPr>
              <w:jc w:val="center"/>
              <w:rPr>
                <w:rFonts w:ascii="Arial" w:hAnsi="Arial" w:cs="Arial"/>
                <w:sz w:val="20"/>
                <w:szCs w:val="20"/>
              </w:rPr>
            </w:pPr>
            <w:r w:rsidRPr="00E04C25">
              <w:rPr>
                <w:rFonts w:ascii="Arial" w:hAnsi="Arial" w:cs="Arial"/>
                <w:sz w:val="20"/>
                <w:szCs w:val="20"/>
              </w:rPr>
              <w:t>k 31.12.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15440" w:rsidRPr="00E04C25" w:rsidRDefault="00115440" w:rsidP="00523B41">
            <w:pPr>
              <w:jc w:val="center"/>
              <w:rPr>
                <w:rFonts w:ascii="Arial" w:hAnsi="Arial" w:cs="Arial"/>
                <w:sz w:val="20"/>
                <w:szCs w:val="20"/>
              </w:rPr>
            </w:pPr>
            <w:r w:rsidRPr="00E04C25">
              <w:rPr>
                <w:rFonts w:ascii="Arial" w:hAnsi="Arial" w:cs="Arial"/>
                <w:sz w:val="20"/>
                <w:szCs w:val="20"/>
              </w:rPr>
              <w:t>k 31.12.</w:t>
            </w:r>
          </w:p>
        </w:tc>
        <w:tc>
          <w:tcPr>
            <w:tcW w:w="1842" w:type="dxa"/>
            <w:gridSpan w:val="2"/>
            <w:tcBorders>
              <w:top w:val="single" w:sz="4" w:space="0" w:color="auto"/>
              <w:left w:val="nil"/>
              <w:bottom w:val="single" w:sz="4" w:space="0" w:color="auto"/>
              <w:right w:val="double" w:sz="6" w:space="0" w:color="auto"/>
            </w:tcBorders>
            <w:shd w:val="clear" w:color="auto" w:fill="auto"/>
            <w:noWrap/>
            <w:tcMar>
              <w:top w:w="15" w:type="dxa"/>
              <w:left w:w="15" w:type="dxa"/>
              <w:bottom w:w="0" w:type="dxa"/>
              <w:right w:w="15" w:type="dxa"/>
            </w:tcMar>
            <w:vAlign w:val="center"/>
            <w:hideMark/>
          </w:tcPr>
          <w:p w:rsidR="00115440" w:rsidRPr="00E04C25" w:rsidRDefault="00115440" w:rsidP="00523B41">
            <w:pPr>
              <w:jc w:val="center"/>
              <w:rPr>
                <w:rFonts w:ascii="Arial" w:hAnsi="Arial" w:cs="Arial"/>
                <w:sz w:val="20"/>
                <w:szCs w:val="20"/>
              </w:rPr>
            </w:pPr>
            <w:r w:rsidRPr="00E04C25">
              <w:rPr>
                <w:rFonts w:ascii="Arial" w:hAnsi="Arial" w:cs="Arial"/>
                <w:sz w:val="20"/>
                <w:szCs w:val="20"/>
              </w:rPr>
              <w:t>k 31.12.</w:t>
            </w:r>
          </w:p>
        </w:tc>
      </w:tr>
      <w:tr w:rsidR="00A4289A" w:rsidRPr="00E04C25" w:rsidTr="00523B41">
        <w:trPr>
          <w:trHeight w:val="240"/>
          <w:jc w:val="center"/>
        </w:trPr>
        <w:tc>
          <w:tcPr>
            <w:tcW w:w="2552" w:type="dxa"/>
            <w:gridSpan w:val="2"/>
            <w:vMerge/>
            <w:tcBorders>
              <w:top w:val="double" w:sz="6" w:space="0" w:color="auto"/>
              <w:left w:val="double" w:sz="6" w:space="0" w:color="auto"/>
              <w:bottom w:val="single" w:sz="4" w:space="0" w:color="auto"/>
              <w:right w:val="single" w:sz="4" w:space="0" w:color="000000"/>
            </w:tcBorders>
            <w:shd w:val="clear" w:color="auto" w:fill="auto"/>
            <w:vAlign w:val="center"/>
            <w:hideMark/>
          </w:tcPr>
          <w:p w:rsidR="00976F7F" w:rsidRPr="00E04C25" w:rsidRDefault="00976F7F" w:rsidP="00523B41">
            <w:pPr>
              <w:rPr>
                <w:rFonts w:ascii="Arial" w:eastAsia="Arial Unicode MS" w:hAnsi="Arial" w:cs="Arial"/>
                <w:b/>
                <w:bCs/>
                <w:sz w:val="20"/>
                <w:szCs w:val="20"/>
                <w:lang w:eastAsia="en-US"/>
              </w:rPr>
            </w:pPr>
          </w:p>
        </w:tc>
        <w:tc>
          <w:tcPr>
            <w:tcW w:w="106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976F7F" w:rsidRPr="00E04C25" w:rsidRDefault="00976F7F" w:rsidP="00976F7F">
            <w:pPr>
              <w:jc w:val="center"/>
              <w:rPr>
                <w:rFonts w:ascii="Arial" w:hAnsi="Arial" w:cs="Arial"/>
                <w:bCs/>
                <w:sz w:val="20"/>
                <w:szCs w:val="20"/>
              </w:rPr>
            </w:pPr>
            <w:r w:rsidRPr="00E04C25">
              <w:rPr>
                <w:rFonts w:ascii="Arial" w:hAnsi="Arial" w:cs="Arial"/>
                <w:bCs/>
                <w:sz w:val="20"/>
                <w:szCs w:val="20"/>
              </w:rPr>
              <w:t>2016</w:t>
            </w:r>
          </w:p>
        </w:tc>
        <w:tc>
          <w:tcPr>
            <w:tcW w:w="120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76F7F" w:rsidRPr="00E04C25" w:rsidRDefault="00976F7F" w:rsidP="00976F7F">
            <w:pPr>
              <w:jc w:val="center"/>
              <w:rPr>
                <w:rFonts w:ascii="Arial" w:hAnsi="Arial" w:cs="Arial"/>
                <w:b/>
                <w:bCs/>
                <w:sz w:val="20"/>
                <w:szCs w:val="20"/>
              </w:rPr>
            </w:pPr>
            <w:r w:rsidRPr="00E04C25">
              <w:rPr>
                <w:rFonts w:ascii="Arial" w:hAnsi="Arial" w:cs="Arial"/>
                <w:b/>
                <w:bCs/>
                <w:sz w:val="20"/>
                <w:szCs w:val="20"/>
              </w:rPr>
              <w:t>2017</w:t>
            </w:r>
          </w:p>
        </w:tc>
        <w:tc>
          <w:tcPr>
            <w:tcW w:w="111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76F7F" w:rsidRPr="00E04C25" w:rsidRDefault="00976F7F" w:rsidP="00395F04">
            <w:pPr>
              <w:jc w:val="center"/>
              <w:rPr>
                <w:rFonts w:ascii="Arial" w:hAnsi="Arial" w:cs="Arial"/>
                <w:bCs/>
                <w:sz w:val="20"/>
                <w:szCs w:val="20"/>
              </w:rPr>
            </w:pPr>
            <w:r w:rsidRPr="00E04C25">
              <w:rPr>
                <w:rFonts w:ascii="Arial" w:hAnsi="Arial" w:cs="Arial"/>
                <w:bCs/>
                <w:sz w:val="20"/>
                <w:szCs w:val="20"/>
              </w:rPr>
              <w:t>2016</w:t>
            </w:r>
          </w:p>
        </w:tc>
        <w:tc>
          <w:tcPr>
            <w:tcW w:w="115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76F7F" w:rsidRPr="00E04C25" w:rsidRDefault="00976F7F" w:rsidP="00395F04">
            <w:pPr>
              <w:jc w:val="center"/>
              <w:rPr>
                <w:rFonts w:ascii="Arial" w:hAnsi="Arial" w:cs="Arial"/>
                <w:b/>
                <w:bCs/>
                <w:sz w:val="20"/>
                <w:szCs w:val="20"/>
              </w:rPr>
            </w:pPr>
            <w:r w:rsidRPr="00E04C25">
              <w:rPr>
                <w:rFonts w:ascii="Arial" w:hAnsi="Arial" w:cs="Arial"/>
                <w:b/>
                <w:bCs/>
                <w:sz w:val="20"/>
                <w:szCs w:val="20"/>
              </w:rPr>
              <w:t>2017</w:t>
            </w:r>
          </w:p>
        </w:tc>
        <w:tc>
          <w:tcPr>
            <w:tcW w:w="850"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976F7F" w:rsidRPr="00E04C25" w:rsidRDefault="00976F7F" w:rsidP="00395F04">
            <w:pPr>
              <w:jc w:val="center"/>
              <w:rPr>
                <w:rFonts w:ascii="Arial" w:hAnsi="Arial" w:cs="Arial"/>
                <w:bCs/>
                <w:sz w:val="20"/>
                <w:szCs w:val="20"/>
              </w:rPr>
            </w:pPr>
            <w:r w:rsidRPr="00E04C25">
              <w:rPr>
                <w:rFonts w:ascii="Arial" w:hAnsi="Arial" w:cs="Arial"/>
                <w:bCs/>
                <w:sz w:val="20"/>
                <w:szCs w:val="20"/>
              </w:rPr>
              <w:t>2016</w:t>
            </w:r>
          </w:p>
        </w:tc>
        <w:tc>
          <w:tcPr>
            <w:tcW w:w="992" w:type="dxa"/>
            <w:tcBorders>
              <w:top w:val="single" w:sz="4" w:space="0" w:color="auto"/>
              <w:left w:val="single" w:sz="4" w:space="0" w:color="auto"/>
              <w:bottom w:val="single" w:sz="4" w:space="0" w:color="auto"/>
              <w:right w:val="double" w:sz="6" w:space="0" w:color="auto"/>
            </w:tcBorders>
            <w:shd w:val="clear" w:color="auto" w:fill="auto"/>
            <w:tcMar>
              <w:top w:w="15" w:type="dxa"/>
              <w:left w:w="15" w:type="dxa"/>
              <w:bottom w:w="0" w:type="dxa"/>
              <w:right w:w="15" w:type="dxa"/>
            </w:tcMar>
            <w:vAlign w:val="center"/>
            <w:hideMark/>
          </w:tcPr>
          <w:p w:rsidR="00976F7F" w:rsidRPr="00E04C25" w:rsidRDefault="00976F7F" w:rsidP="00395F04">
            <w:pPr>
              <w:jc w:val="center"/>
              <w:rPr>
                <w:rFonts w:ascii="Arial" w:hAnsi="Arial" w:cs="Arial"/>
                <w:b/>
                <w:bCs/>
                <w:sz w:val="20"/>
                <w:szCs w:val="20"/>
              </w:rPr>
            </w:pPr>
            <w:r w:rsidRPr="00E04C25">
              <w:rPr>
                <w:rFonts w:ascii="Arial" w:hAnsi="Arial" w:cs="Arial"/>
                <w:b/>
                <w:bCs/>
                <w:sz w:val="20"/>
                <w:szCs w:val="20"/>
              </w:rPr>
              <w:t>2017</w:t>
            </w:r>
          </w:p>
        </w:tc>
      </w:tr>
      <w:tr w:rsidR="00A4289A" w:rsidRPr="00E04C25" w:rsidTr="00523B41">
        <w:trPr>
          <w:trHeight w:val="300"/>
          <w:jc w:val="center"/>
        </w:trPr>
        <w:tc>
          <w:tcPr>
            <w:tcW w:w="316" w:type="dxa"/>
            <w:tcBorders>
              <w:top w:val="single" w:sz="4" w:space="0" w:color="auto"/>
              <w:left w:val="double" w:sz="6" w:space="0" w:color="auto"/>
              <w:bottom w:val="nil"/>
              <w:right w:val="single" w:sz="4" w:space="0" w:color="auto"/>
            </w:tcBorders>
            <w:shd w:val="clear" w:color="auto" w:fill="auto"/>
            <w:noWrap/>
            <w:tcMar>
              <w:top w:w="15" w:type="dxa"/>
              <w:left w:w="15" w:type="dxa"/>
              <w:bottom w:w="0" w:type="dxa"/>
              <w:right w:w="15" w:type="dxa"/>
            </w:tcMar>
            <w:vAlign w:val="center"/>
            <w:hideMark/>
          </w:tcPr>
          <w:p w:rsidR="00A4289A" w:rsidRPr="00E04C25" w:rsidRDefault="00A4289A" w:rsidP="00523B41">
            <w:pPr>
              <w:spacing w:line="276" w:lineRule="auto"/>
              <w:jc w:val="center"/>
              <w:rPr>
                <w:rFonts w:ascii="Arial" w:eastAsia="Arial Unicode MS" w:hAnsi="Arial" w:cs="Arial"/>
                <w:sz w:val="20"/>
                <w:szCs w:val="20"/>
                <w:lang w:eastAsia="en-US"/>
              </w:rPr>
            </w:pPr>
            <w:r w:rsidRPr="00E04C25">
              <w:rPr>
                <w:rFonts w:ascii="Arial" w:hAnsi="Arial" w:cs="Arial"/>
                <w:sz w:val="20"/>
                <w:szCs w:val="20"/>
                <w:lang w:eastAsia="en-US"/>
              </w:rPr>
              <w:t>1.</w:t>
            </w:r>
          </w:p>
        </w:tc>
        <w:tc>
          <w:tcPr>
            <w:tcW w:w="2236" w:type="dxa"/>
            <w:tcBorders>
              <w:top w:val="single" w:sz="4" w:space="0" w:color="auto"/>
              <w:left w:val="nil"/>
              <w:bottom w:val="nil"/>
              <w:right w:val="single" w:sz="4" w:space="0" w:color="auto"/>
            </w:tcBorders>
            <w:shd w:val="clear" w:color="auto" w:fill="auto"/>
            <w:noWrap/>
            <w:tcMar>
              <w:top w:w="15" w:type="dxa"/>
              <w:left w:w="113" w:type="dxa"/>
              <w:bottom w:w="0" w:type="dxa"/>
              <w:right w:w="15" w:type="dxa"/>
            </w:tcMar>
            <w:vAlign w:val="center"/>
            <w:hideMark/>
          </w:tcPr>
          <w:p w:rsidR="00A4289A" w:rsidRPr="00E04C25" w:rsidRDefault="00A4289A">
            <w:pPr>
              <w:rPr>
                <w:rFonts w:ascii="Arial" w:hAnsi="Arial" w:cs="Arial"/>
                <w:sz w:val="20"/>
                <w:szCs w:val="20"/>
              </w:rPr>
            </w:pPr>
            <w:r w:rsidRPr="00E04C25">
              <w:rPr>
                <w:rFonts w:ascii="Arial" w:hAnsi="Arial" w:cs="Arial"/>
                <w:sz w:val="20"/>
                <w:szCs w:val="20"/>
              </w:rPr>
              <w:t>Moravskoslezský kraj</w:t>
            </w:r>
          </w:p>
        </w:tc>
        <w:tc>
          <w:tcPr>
            <w:tcW w:w="1063" w:type="dxa"/>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64 036</w:t>
            </w:r>
          </w:p>
        </w:tc>
        <w:tc>
          <w:tcPr>
            <w:tcW w:w="1205"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49 487</w:t>
            </w:r>
          </w:p>
        </w:tc>
        <w:tc>
          <w:tcPr>
            <w:tcW w:w="1112"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10 911</w:t>
            </w:r>
          </w:p>
        </w:tc>
        <w:tc>
          <w:tcPr>
            <w:tcW w:w="1156" w:type="dxa"/>
            <w:tcBorders>
              <w:top w:val="nil"/>
              <w:left w:val="single" w:sz="4" w:space="0" w:color="auto"/>
              <w:bottom w:val="nil"/>
              <w:right w:val="single" w:sz="4" w:space="0" w:color="auto"/>
            </w:tcBorders>
            <w:shd w:val="clear" w:color="auto" w:fill="auto"/>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13 973</w:t>
            </w:r>
          </w:p>
        </w:tc>
        <w:tc>
          <w:tcPr>
            <w:tcW w:w="850"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ind w:firstLineChars="100" w:firstLine="200"/>
              <w:jc w:val="right"/>
              <w:rPr>
                <w:rFonts w:ascii="Arial" w:hAnsi="Arial" w:cs="Arial"/>
                <w:sz w:val="20"/>
                <w:szCs w:val="20"/>
              </w:rPr>
            </w:pPr>
            <w:r w:rsidRPr="00E04C25">
              <w:rPr>
                <w:rFonts w:ascii="Arial" w:hAnsi="Arial" w:cs="Arial"/>
                <w:sz w:val="20"/>
                <w:szCs w:val="20"/>
              </w:rPr>
              <w:t>7,5</w:t>
            </w:r>
          </w:p>
        </w:tc>
        <w:tc>
          <w:tcPr>
            <w:tcW w:w="992" w:type="dxa"/>
            <w:tcBorders>
              <w:top w:val="nil"/>
              <w:left w:val="nil"/>
              <w:bottom w:val="nil"/>
              <w:right w:val="double" w:sz="6" w:space="0" w:color="auto"/>
            </w:tcBorders>
            <w:shd w:val="clear" w:color="auto" w:fill="auto"/>
            <w:noWrap/>
            <w:tcMar>
              <w:top w:w="15" w:type="dxa"/>
              <w:left w:w="15" w:type="dxa"/>
              <w:bottom w:w="0" w:type="dxa"/>
              <w:right w:w="85" w:type="dxa"/>
            </w:tcMar>
            <w:vAlign w:val="center"/>
            <w:hideMark/>
          </w:tcPr>
          <w:p w:rsidR="00A4289A" w:rsidRPr="00E04C25" w:rsidRDefault="00A4289A" w:rsidP="002413D1">
            <w:pPr>
              <w:ind w:firstLineChars="100" w:firstLine="201"/>
              <w:jc w:val="right"/>
              <w:rPr>
                <w:rFonts w:ascii="Arial" w:hAnsi="Arial" w:cs="Arial"/>
                <w:b/>
                <w:bCs/>
                <w:sz w:val="20"/>
                <w:szCs w:val="20"/>
              </w:rPr>
            </w:pPr>
            <w:r w:rsidRPr="00E04C25">
              <w:rPr>
                <w:rFonts w:ascii="Arial" w:hAnsi="Arial" w:cs="Arial"/>
                <w:b/>
                <w:bCs/>
                <w:sz w:val="20"/>
                <w:szCs w:val="20"/>
              </w:rPr>
              <w:t>5,8</w:t>
            </w:r>
          </w:p>
        </w:tc>
      </w:tr>
      <w:tr w:rsidR="00A4289A" w:rsidRPr="00E04C25" w:rsidTr="00523B41">
        <w:trPr>
          <w:trHeight w:val="300"/>
          <w:jc w:val="center"/>
        </w:trPr>
        <w:tc>
          <w:tcPr>
            <w:tcW w:w="316" w:type="dxa"/>
            <w:tcBorders>
              <w:top w:val="nil"/>
              <w:left w:val="double" w:sz="6" w:space="0" w:color="auto"/>
              <w:bottom w:val="nil"/>
              <w:right w:val="single" w:sz="4" w:space="0" w:color="auto"/>
            </w:tcBorders>
            <w:shd w:val="clear" w:color="auto" w:fill="auto"/>
            <w:noWrap/>
            <w:tcMar>
              <w:top w:w="15" w:type="dxa"/>
              <w:left w:w="15" w:type="dxa"/>
              <w:bottom w:w="0" w:type="dxa"/>
              <w:right w:w="15" w:type="dxa"/>
            </w:tcMar>
            <w:vAlign w:val="center"/>
            <w:hideMark/>
          </w:tcPr>
          <w:p w:rsidR="00A4289A" w:rsidRPr="00E04C25" w:rsidRDefault="00A4289A" w:rsidP="00523B41">
            <w:pPr>
              <w:spacing w:line="276" w:lineRule="auto"/>
              <w:jc w:val="center"/>
              <w:rPr>
                <w:rFonts w:ascii="Arial" w:eastAsia="Arial Unicode MS" w:hAnsi="Arial" w:cs="Arial"/>
                <w:sz w:val="20"/>
                <w:szCs w:val="20"/>
                <w:lang w:eastAsia="en-US"/>
              </w:rPr>
            </w:pPr>
            <w:r w:rsidRPr="00E04C25">
              <w:rPr>
                <w:rFonts w:ascii="Arial" w:hAnsi="Arial" w:cs="Arial"/>
                <w:sz w:val="20"/>
                <w:szCs w:val="20"/>
                <w:lang w:eastAsia="en-US"/>
              </w:rPr>
              <w:t>2.</w:t>
            </w:r>
          </w:p>
        </w:tc>
        <w:tc>
          <w:tcPr>
            <w:tcW w:w="2236" w:type="dxa"/>
            <w:tcBorders>
              <w:top w:val="nil"/>
              <w:left w:val="nil"/>
              <w:bottom w:val="nil"/>
              <w:right w:val="single" w:sz="4" w:space="0" w:color="auto"/>
            </w:tcBorders>
            <w:shd w:val="clear" w:color="auto" w:fill="auto"/>
            <w:noWrap/>
            <w:tcMar>
              <w:top w:w="15" w:type="dxa"/>
              <w:left w:w="113" w:type="dxa"/>
              <w:bottom w:w="0" w:type="dxa"/>
              <w:right w:w="15" w:type="dxa"/>
            </w:tcMar>
            <w:vAlign w:val="center"/>
            <w:hideMark/>
          </w:tcPr>
          <w:p w:rsidR="00A4289A" w:rsidRPr="00E04C25" w:rsidRDefault="00A4289A">
            <w:pPr>
              <w:rPr>
                <w:rFonts w:ascii="Arial" w:hAnsi="Arial" w:cs="Arial"/>
                <w:sz w:val="20"/>
                <w:szCs w:val="20"/>
              </w:rPr>
            </w:pPr>
            <w:r w:rsidRPr="00E04C25">
              <w:rPr>
                <w:rFonts w:ascii="Arial" w:hAnsi="Arial" w:cs="Arial"/>
                <w:sz w:val="20"/>
                <w:szCs w:val="20"/>
              </w:rPr>
              <w:t>Ústecký kraj</w:t>
            </w:r>
          </w:p>
        </w:tc>
        <w:tc>
          <w:tcPr>
            <w:tcW w:w="1063" w:type="dxa"/>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44 528</w:t>
            </w:r>
          </w:p>
        </w:tc>
        <w:tc>
          <w:tcPr>
            <w:tcW w:w="1205"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31 522</w:t>
            </w:r>
          </w:p>
        </w:tc>
        <w:tc>
          <w:tcPr>
            <w:tcW w:w="1112"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7 634</w:t>
            </w:r>
          </w:p>
        </w:tc>
        <w:tc>
          <w:tcPr>
            <w:tcW w:w="1156" w:type="dxa"/>
            <w:tcBorders>
              <w:top w:val="nil"/>
              <w:left w:val="single" w:sz="4" w:space="0" w:color="auto"/>
              <w:bottom w:val="nil"/>
              <w:right w:val="single" w:sz="4" w:space="0" w:color="auto"/>
            </w:tcBorders>
            <w:shd w:val="clear" w:color="auto" w:fill="auto"/>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10 808</w:t>
            </w:r>
          </w:p>
        </w:tc>
        <w:tc>
          <w:tcPr>
            <w:tcW w:w="850"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ind w:firstLineChars="100" w:firstLine="200"/>
              <w:jc w:val="right"/>
              <w:rPr>
                <w:rFonts w:ascii="Arial" w:hAnsi="Arial" w:cs="Arial"/>
                <w:sz w:val="20"/>
                <w:szCs w:val="20"/>
              </w:rPr>
            </w:pPr>
            <w:r w:rsidRPr="00E04C25">
              <w:rPr>
                <w:rFonts w:ascii="Arial" w:hAnsi="Arial" w:cs="Arial"/>
                <w:sz w:val="20"/>
                <w:szCs w:val="20"/>
              </w:rPr>
              <w:t>7,8</w:t>
            </w:r>
          </w:p>
        </w:tc>
        <w:tc>
          <w:tcPr>
            <w:tcW w:w="992" w:type="dxa"/>
            <w:tcBorders>
              <w:top w:val="nil"/>
              <w:left w:val="nil"/>
              <w:bottom w:val="nil"/>
              <w:right w:val="double" w:sz="6" w:space="0" w:color="auto"/>
            </w:tcBorders>
            <w:shd w:val="clear" w:color="auto" w:fill="auto"/>
            <w:noWrap/>
            <w:tcMar>
              <w:top w:w="15" w:type="dxa"/>
              <w:left w:w="15" w:type="dxa"/>
              <w:bottom w:w="0" w:type="dxa"/>
              <w:right w:w="85" w:type="dxa"/>
            </w:tcMar>
            <w:vAlign w:val="center"/>
            <w:hideMark/>
          </w:tcPr>
          <w:p w:rsidR="00A4289A" w:rsidRPr="00E04C25" w:rsidRDefault="00A4289A" w:rsidP="002413D1">
            <w:pPr>
              <w:ind w:firstLineChars="100" w:firstLine="201"/>
              <w:jc w:val="right"/>
              <w:rPr>
                <w:rFonts w:ascii="Arial" w:hAnsi="Arial" w:cs="Arial"/>
                <w:b/>
                <w:bCs/>
                <w:sz w:val="20"/>
                <w:szCs w:val="20"/>
              </w:rPr>
            </w:pPr>
            <w:r w:rsidRPr="00E04C25">
              <w:rPr>
                <w:rFonts w:ascii="Arial" w:hAnsi="Arial" w:cs="Arial"/>
                <w:b/>
                <w:bCs/>
                <w:sz w:val="20"/>
                <w:szCs w:val="20"/>
              </w:rPr>
              <w:t>5,4</w:t>
            </w:r>
          </w:p>
        </w:tc>
      </w:tr>
      <w:tr w:rsidR="00A4289A" w:rsidRPr="00E04C25" w:rsidTr="00523B41">
        <w:trPr>
          <w:trHeight w:val="300"/>
          <w:jc w:val="center"/>
        </w:trPr>
        <w:tc>
          <w:tcPr>
            <w:tcW w:w="316" w:type="dxa"/>
            <w:tcBorders>
              <w:top w:val="nil"/>
              <w:left w:val="double" w:sz="6" w:space="0" w:color="auto"/>
              <w:bottom w:val="nil"/>
              <w:right w:val="single" w:sz="4" w:space="0" w:color="auto"/>
            </w:tcBorders>
            <w:shd w:val="clear" w:color="auto" w:fill="auto"/>
            <w:noWrap/>
            <w:tcMar>
              <w:top w:w="15" w:type="dxa"/>
              <w:left w:w="15" w:type="dxa"/>
              <w:bottom w:w="0" w:type="dxa"/>
              <w:right w:w="15" w:type="dxa"/>
            </w:tcMar>
            <w:vAlign w:val="center"/>
            <w:hideMark/>
          </w:tcPr>
          <w:p w:rsidR="00A4289A" w:rsidRPr="00E04C25" w:rsidRDefault="00A4289A" w:rsidP="00523B41">
            <w:pPr>
              <w:spacing w:line="276" w:lineRule="auto"/>
              <w:jc w:val="center"/>
              <w:rPr>
                <w:rFonts w:ascii="Arial" w:eastAsia="Arial Unicode MS" w:hAnsi="Arial" w:cs="Arial"/>
                <w:sz w:val="20"/>
                <w:szCs w:val="20"/>
                <w:lang w:eastAsia="en-US"/>
              </w:rPr>
            </w:pPr>
            <w:r w:rsidRPr="00E04C25">
              <w:rPr>
                <w:rFonts w:ascii="Arial" w:hAnsi="Arial" w:cs="Arial"/>
                <w:sz w:val="20"/>
                <w:szCs w:val="20"/>
                <w:lang w:eastAsia="en-US"/>
              </w:rPr>
              <w:t>3.</w:t>
            </w:r>
          </w:p>
        </w:tc>
        <w:tc>
          <w:tcPr>
            <w:tcW w:w="2236" w:type="dxa"/>
            <w:tcBorders>
              <w:top w:val="nil"/>
              <w:left w:val="nil"/>
              <w:bottom w:val="nil"/>
              <w:right w:val="single" w:sz="4" w:space="0" w:color="auto"/>
            </w:tcBorders>
            <w:shd w:val="clear" w:color="auto" w:fill="auto"/>
            <w:noWrap/>
            <w:tcMar>
              <w:top w:w="15" w:type="dxa"/>
              <w:left w:w="113" w:type="dxa"/>
              <w:bottom w:w="0" w:type="dxa"/>
              <w:right w:w="15" w:type="dxa"/>
            </w:tcMar>
            <w:vAlign w:val="center"/>
            <w:hideMark/>
          </w:tcPr>
          <w:p w:rsidR="00A4289A" w:rsidRPr="00E04C25" w:rsidRDefault="00A4289A">
            <w:pPr>
              <w:rPr>
                <w:rFonts w:ascii="Arial" w:hAnsi="Arial" w:cs="Arial"/>
                <w:sz w:val="20"/>
                <w:szCs w:val="20"/>
              </w:rPr>
            </w:pPr>
            <w:r w:rsidRPr="00E04C25">
              <w:rPr>
                <w:rFonts w:ascii="Arial" w:hAnsi="Arial" w:cs="Arial"/>
                <w:sz w:val="20"/>
                <w:szCs w:val="20"/>
              </w:rPr>
              <w:t>Jihomoravský kraj</w:t>
            </w:r>
          </w:p>
        </w:tc>
        <w:tc>
          <w:tcPr>
            <w:tcW w:w="1063" w:type="dxa"/>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49 032</w:t>
            </w:r>
          </w:p>
        </w:tc>
        <w:tc>
          <w:tcPr>
            <w:tcW w:w="1205"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37 290</w:t>
            </w:r>
          </w:p>
        </w:tc>
        <w:tc>
          <w:tcPr>
            <w:tcW w:w="1112"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11 228</w:t>
            </w:r>
          </w:p>
        </w:tc>
        <w:tc>
          <w:tcPr>
            <w:tcW w:w="1156" w:type="dxa"/>
            <w:tcBorders>
              <w:top w:val="nil"/>
              <w:left w:val="single" w:sz="4" w:space="0" w:color="auto"/>
              <w:bottom w:val="nil"/>
              <w:right w:val="single" w:sz="4" w:space="0" w:color="auto"/>
            </w:tcBorders>
            <w:shd w:val="clear" w:color="auto" w:fill="auto"/>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16 826</w:t>
            </w:r>
          </w:p>
        </w:tc>
        <w:tc>
          <w:tcPr>
            <w:tcW w:w="850"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ind w:firstLineChars="100" w:firstLine="200"/>
              <w:jc w:val="right"/>
              <w:rPr>
                <w:rFonts w:ascii="Arial" w:hAnsi="Arial" w:cs="Arial"/>
                <w:sz w:val="20"/>
                <w:szCs w:val="20"/>
              </w:rPr>
            </w:pPr>
            <w:r w:rsidRPr="00E04C25">
              <w:rPr>
                <w:rFonts w:ascii="Arial" w:hAnsi="Arial" w:cs="Arial"/>
                <w:sz w:val="20"/>
                <w:szCs w:val="20"/>
              </w:rPr>
              <w:t>6,1</w:t>
            </w:r>
          </w:p>
        </w:tc>
        <w:tc>
          <w:tcPr>
            <w:tcW w:w="992" w:type="dxa"/>
            <w:tcBorders>
              <w:top w:val="nil"/>
              <w:left w:val="nil"/>
              <w:bottom w:val="nil"/>
              <w:right w:val="double" w:sz="6" w:space="0" w:color="auto"/>
            </w:tcBorders>
            <w:shd w:val="clear" w:color="auto" w:fill="auto"/>
            <w:noWrap/>
            <w:tcMar>
              <w:top w:w="15" w:type="dxa"/>
              <w:left w:w="15" w:type="dxa"/>
              <w:bottom w:w="0" w:type="dxa"/>
              <w:right w:w="85" w:type="dxa"/>
            </w:tcMar>
            <w:vAlign w:val="center"/>
            <w:hideMark/>
          </w:tcPr>
          <w:p w:rsidR="00A4289A" w:rsidRPr="00E04C25" w:rsidRDefault="00A4289A" w:rsidP="002413D1">
            <w:pPr>
              <w:ind w:firstLineChars="100" w:firstLine="201"/>
              <w:jc w:val="right"/>
              <w:rPr>
                <w:rFonts w:ascii="Arial" w:hAnsi="Arial" w:cs="Arial"/>
                <w:b/>
                <w:bCs/>
                <w:sz w:val="20"/>
                <w:szCs w:val="20"/>
              </w:rPr>
            </w:pPr>
            <w:r w:rsidRPr="00E04C25">
              <w:rPr>
                <w:rFonts w:ascii="Arial" w:hAnsi="Arial" w:cs="Arial"/>
                <w:b/>
                <w:bCs/>
                <w:sz w:val="20"/>
                <w:szCs w:val="20"/>
              </w:rPr>
              <w:t>4,6</w:t>
            </w:r>
          </w:p>
        </w:tc>
      </w:tr>
      <w:tr w:rsidR="00A4289A" w:rsidRPr="00E04C25" w:rsidTr="00523B41">
        <w:trPr>
          <w:trHeight w:val="300"/>
          <w:jc w:val="center"/>
        </w:trPr>
        <w:tc>
          <w:tcPr>
            <w:tcW w:w="316" w:type="dxa"/>
            <w:tcBorders>
              <w:top w:val="nil"/>
              <w:left w:val="double" w:sz="6" w:space="0" w:color="auto"/>
              <w:bottom w:val="nil"/>
              <w:right w:val="single" w:sz="4" w:space="0" w:color="auto"/>
            </w:tcBorders>
            <w:shd w:val="clear" w:color="auto" w:fill="auto"/>
            <w:noWrap/>
            <w:tcMar>
              <w:top w:w="15" w:type="dxa"/>
              <w:left w:w="15" w:type="dxa"/>
              <w:bottom w:w="0" w:type="dxa"/>
              <w:right w:w="15" w:type="dxa"/>
            </w:tcMar>
            <w:vAlign w:val="center"/>
            <w:hideMark/>
          </w:tcPr>
          <w:p w:rsidR="00A4289A" w:rsidRPr="00E04C25" w:rsidRDefault="00A4289A" w:rsidP="00523B41">
            <w:pPr>
              <w:spacing w:line="276" w:lineRule="auto"/>
              <w:jc w:val="center"/>
              <w:rPr>
                <w:rFonts w:ascii="Arial" w:eastAsia="Arial Unicode MS" w:hAnsi="Arial" w:cs="Arial"/>
                <w:sz w:val="20"/>
                <w:szCs w:val="20"/>
                <w:lang w:eastAsia="en-US"/>
              </w:rPr>
            </w:pPr>
            <w:r w:rsidRPr="00E04C25">
              <w:rPr>
                <w:rFonts w:ascii="Arial" w:hAnsi="Arial" w:cs="Arial"/>
                <w:sz w:val="20"/>
                <w:szCs w:val="20"/>
                <w:lang w:eastAsia="en-US"/>
              </w:rPr>
              <w:t>4.</w:t>
            </w:r>
          </w:p>
        </w:tc>
        <w:tc>
          <w:tcPr>
            <w:tcW w:w="2236" w:type="dxa"/>
            <w:tcBorders>
              <w:top w:val="nil"/>
              <w:left w:val="nil"/>
              <w:bottom w:val="nil"/>
              <w:right w:val="single" w:sz="4" w:space="0" w:color="auto"/>
            </w:tcBorders>
            <w:shd w:val="clear" w:color="auto" w:fill="auto"/>
            <w:noWrap/>
            <w:tcMar>
              <w:top w:w="15" w:type="dxa"/>
              <w:left w:w="113" w:type="dxa"/>
              <w:bottom w:w="0" w:type="dxa"/>
              <w:right w:w="15" w:type="dxa"/>
            </w:tcMar>
            <w:vAlign w:val="center"/>
            <w:hideMark/>
          </w:tcPr>
          <w:p w:rsidR="00A4289A" w:rsidRPr="00E04C25" w:rsidRDefault="00A4289A">
            <w:pPr>
              <w:rPr>
                <w:rFonts w:ascii="Arial" w:hAnsi="Arial" w:cs="Arial"/>
                <w:sz w:val="20"/>
                <w:szCs w:val="20"/>
              </w:rPr>
            </w:pPr>
            <w:r w:rsidRPr="00E04C25">
              <w:rPr>
                <w:rFonts w:ascii="Arial" w:hAnsi="Arial" w:cs="Arial"/>
                <w:sz w:val="20"/>
                <w:szCs w:val="20"/>
              </w:rPr>
              <w:t>Olomoucký kraj</w:t>
            </w:r>
          </w:p>
        </w:tc>
        <w:tc>
          <w:tcPr>
            <w:tcW w:w="1063" w:type="dxa"/>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26 495</w:t>
            </w:r>
          </w:p>
        </w:tc>
        <w:tc>
          <w:tcPr>
            <w:tcW w:w="1205"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19 519</w:t>
            </w:r>
          </w:p>
        </w:tc>
        <w:tc>
          <w:tcPr>
            <w:tcW w:w="1112"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6 282</w:t>
            </w:r>
          </w:p>
        </w:tc>
        <w:tc>
          <w:tcPr>
            <w:tcW w:w="1156" w:type="dxa"/>
            <w:tcBorders>
              <w:top w:val="nil"/>
              <w:left w:val="single" w:sz="4" w:space="0" w:color="auto"/>
              <w:bottom w:val="nil"/>
              <w:right w:val="single" w:sz="4" w:space="0" w:color="auto"/>
            </w:tcBorders>
            <w:shd w:val="clear" w:color="auto" w:fill="auto"/>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8 696</w:t>
            </w:r>
          </w:p>
        </w:tc>
        <w:tc>
          <w:tcPr>
            <w:tcW w:w="850"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ind w:firstLineChars="100" w:firstLine="200"/>
              <w:jc w:val="right"/>
              <w:rPr>
                <w:rFonts w:ascii="Arial" w:hAnsi="Arial" w:cs="Arial"/>
                <w:sz w:val="20"/>
                <w:szCs w:val="20"/>
              </w:rPr>
            </w:pPr>
            <w:r w:rsidRPr="00E04C25">
              <w:rPr>
                <w:rFonts w:ascii="Arial" w:hAnsi="Arial" w:cs="Arial"/>
                <w:sz w:val="20"/>
                <w:szCs w:val="20"/>
              </w:rPr>
              <w:t>5,9</w:t>
            </w:r>
          </w:p>
        </w:tc>
        <w:tc>
          <w:tcPr>
            <w:tcW w:w="992" w:type="dxa"/>
            <w:tcBorders>
              <w:top w:val="nil"/>
              <w:left w:val="nil"/>
              <w:bottom w:val="nil"/>
              <w:right w:val="double" w:sz="6" w:space="0" w:color="auto"/>
            </w:tcBorders>
            <w:shd w:val="clear" w:color="auto" w:fill="auto"/>
            <w:noWrap/>
            <w:tcMar>
              <w:top w:w="15" w:type="dxa"/>
              <w:left w:w="15" w:type="dxa"/>
              <w:bottom w:w="0" w:type="dxa"/>
              <w:right w:w="85" w:type="dxa"/>
            </w:tcMar>
            <w:vAlign w:val="center"/>
            <w:hideMark/>
          </w:tcPr>
          <w:p w:rsidR="00A4289A" w:rsidRPr="00E04C25" w:rsidRDefault="00A4289A" w:rsidP="002413D1">
            <w:pPr>
              <w:ind w:firstLineChars="100" w:firstLine="201"/>
              <w:jc w:val="right"/>
              <w:rPr>
                <w:rFonts w:ascii="Arial" w:hAnsi="Arial" w:cs="Arial"/>
                <w:b/>
                <w:bCs/>
                <w:sz w:val="20"/>
                <w:szCs w:val="20"/>
              </w:rPr>
            </w:pPr>
            <w:r w:rsidRPr="00E04C25">
              <w:rPr>
                <w:rFonts w:ascii="Arial" w:hAnsi="Arial" w:cs="Arial"/>
                <w:b/>
                <w:bCs/>
                <w:sz w:val="20"/>
                <w:szCs w:val="20"/>
              </w:rPr>
              <w:t>4,3</w:t>
            </w:r>
          </w:p>
        </w:tc>
      </w:tr>
      <w:tr w:rsidR="00A4289A" w:rsidRPr="00E04C25" w:rsidTr="00523B41">
        <w:trPr>
          <w:trHeight w:val="300"/>
          <w:jc w:val="center"/>
        </w:trPr>
        <w:tc>
          <w:tcPr>
            <w:tcW w:w="316" w:type="dxa"/>
            <w:tcBorders>
              <w:top w:val="nil"/>
              <w:left w:val="double" w:sz="6" w:space="0" w:color="auto"/>
              <w:bottom w:val="nil"/>
              <w:right w:val="single" w:sz="4" w:space="0" w:color="auto"/>
            </w:tcBorders>
            <w:shd w:val="clear" w:color="auto" w:fill="auto"/>
            <w:noWrap/>
            <w:tcMar>
              <w:top w:w="15" w:type="dxa"/>
              <w:left w:w="15" w:type="dxa"/>
              <w:bottom w:w="0" w:type="dxa"/>
              <w:right w:w="15" w:type="dxa"/>
            </w:tcMar>
            <w:vAlign w:val="center"/>
            <w:hideMark/>
          </w:tcPr>
          <w:p w:rsidR="00A4289A" w:rsidRPr="00E04C25" w:rsidRDefault="00A4289A" w:rsidP="00523B41">
            <w:pPr>
              <w:spacing w:line="276" w:lineRule="auto"/>
              <w:jc w:val="center"/>
              <w:rPr>
                <w:rFonts w:ascii="Arial" w:eastAsia="Arial Unicode MS" w:hAnsi="Arial" w:cs="Arial"/>
                <w:sz w:val="20"/>
                <w:szCs w:val="20"/>
                <w:lang w:eastAsia="en-US"/>
              </w:rPr>
            </w:pPr>
            <w:r w:rsidRPr="00E04C25">
              <w:rPr>
                <w:rFonts w:ascii="Arial" w:hAnsi="Arial" w:cs="Arial"/>
                <w:sz w:val="20"/>
                <w:szCs w:val="20"/>
                <w:lang w:eastAsia="en-US"/>
              </w:rPr>
              <w:t>5.</w:t>
            </w:r>
          </w:p>
        </w:tc>
        <w:tc>
          <w:tcPr>
            <w:tcW w:w="2236" w:type="dxa"/>
            <w:tcBorders>
              <w:top w:val="nil"/>
              <w:left w:val="nil"/>
              <w:bottom w:val="nil"/>
              <w:right w:val="single" w:sz="4" w:space="0" w:color="auto"/>
            </w:tcBorders>
            <w:shd w:val="clear" w:color="auto" w:fill="auto"/>
            <w:noWrap/>
            <w:tcMar>
              <w:top w:w="15" w:type="dxa"/>
              <w:left w:w="113" w:type="dxa"/>
              <w:bottom w:w="0" w:type="dxa"/>
              <w:right w:w="15" w:type="dxa"/>
            </w:tcMar>
            <w:vAlign w:val="center"/>
            <w:hideMark/>
          </w:tcPr>
          <w:p w:rsidR="00A4289A" w:rsidRPr="00E04C25" w:rsidRDefault="00A4289A">
            <w:pPr>
              <w:rPr>
                <w:rFonts w:ascii="Arial" w:hAnsi="Arial" w:cs="Arial"/>
                <w:sz w:val="20"/>
                <w:szCs w:val="20"/>
              </w:rPr>
            </w:pPr>
            <w:r w:rsidRPr="00E04C25">
              <w:rPr>
                <w:rFonts w:ascii="Arial" w:hAnsi="Arial" w:cs="Arial"/>
                <w:sz w:val="20"/>
                <w:szCs w:val="20"/>
              </w:rPr>
              <w:t>Kraj Vysočina</w:t>
            </w:r>
          </w:p>
        </w:tc>
        <w:tc>
          <w:tcPr>
            <w:tcW w:w="1063" w:type="dxa"/>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17 672</w:t>
            </w:r>
          </w:p>
        </w:tc>
        <w:tc>
          <w:tcPr>
            <w:tcW w:w="1205"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12 992</w:t>
            </w:r>
          </w:p>
        </w:tc>
        <w:tc>
          <w:tcPr>
            <w:tcW w:w="1112"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5 418</w:t>
            </w:r>
          </w:p>
        </w:tc>
        <w:tc>
          <w:tcPr>
            <w:tcW w:w="1156" w:type="dxa"/>
            <w:tcBorders>
              <w:top w:val="nil"/>
              <w:left w:val="single" w:sz="4" w:space="0" w:color="auto"/>
              <w:bottom w:val="nil"/>
              <w:right w:val="single" w:sz="4" w:space="0" w:color="auto"/>
            </w:tcBorders>
            <w:shd w:val="clear" w:color="auto" w:fill="auto"/>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7 475</w:t>
            </w:r>
          </w:p>
        </w:tc>
        <w:tc>
          <w:tcPr>
            <w:tcW w:w="850"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ind w:firstLineChars="100" w:firstLine="200"/>
              <w:jc w:val="right"/>
              <w:rPr>
                <w:rFonts w:ascii="Arial" w:hAnsi="Arial" w:cs="Arial"/>
                <w:sz w:val="20"/>
                <w:szCs w:val="20"/>
              </w:rPr>
            </w:pPr>
            <w:r w:rsidRPr="00E04C25">
              <w:rPr>
                <w:rFonts w:ascii="Arial" w:hAnsi="Arial" w:cs="Arial"/>
                <w:sz w:val="20"/>
                <w:szCs w:val="20"/>
              </w:rPr>
              <w:t>5,2</w:t>
            </w:r>
          </w:p>
        </w:tc>
        <w:tc>
          <w:tcPr>
            <w:tcW w:w="992" w:type="dxa"/>
            <w:tcBorders>
              <w:top w:val="nil"/>
              <w:left w:val="nil"/>
              <w:bottom w:val="nil"/>
              <w:right w:val="double" w:sz="6" w:space="0" w:color="auto"/>
            </w:tcBorders>
            <w:shd w:val="clear" w:color="auto" w:fill="auto"/>
            <w:noWrap/>
            <w:tcMar>
              <w:top w:w="15" w:type="dxa"/>
              <w:left w:w="15" w:type="dxa"/>
              <w:bottom w:w="0" w:type="dxa"/>
              <w:right w:w="85" w:type="dxa"/>
            </w:tcMar>
            <w:vAlign w:val="center"/>
            <w:hideMark/>
          </w:tcPr>
          <w:p w:rsidR="00A4289A" w:rsidRPr="00E04C25" w:rsidRDefault="00A4289A" w:rsidP="002413D1">
            <w:pPr>
              <w:ind w:firstLineChars="100" w:firstLine="201"/>
              <w:jc w:val="right"/>
              <w:rPr>
                <w:rFonts w:ascii="Arial" w:hAnsi="Arial" w:cs="Arial"/>
                <w:b/>
                <w:bCs/>
                <w:sz w:val="20"/>
                <w:szCs w:val="20"/>
              </w:rPr>
            </w:pPr>
            <w:r w:rsidRPr="00E04C25">
              <w:rPr>
                <w:rFonts w:ascii="Arial" w:hAnsi="Arial" w:cs="Arial"/>
                <w:b/>
                <w:bCs/>
                <w:sz w:val="20"/>
                <w:szCs w:val="20"/>
              </w:rPr>
              <w:t>3,8</w:t>
            </w:r>
          </w:p>
        </w:tc>
      </w:tr>
      <w:tr w:rsidR="00A4289A" w:rsidRPr="00E04C25" w:rsidTr="00523B41">
        <w:trPr>
          <w:trHeight w:val="300"/>
          <w:jc w:val="center"/>
        </w:trPr>
        <w:tc>
          <w:tcPr>
            <w:tcW w:w="316" w:type="dxa"/>
            <w:tcBorders>
              <w:top w:val="nil"/>
              <w:left w:val="double" w:sz="6" w:space="0" w:color="auto"/>
              <w:bottom w:val="nil"/>
              <w:right w:val="single" w:sz="4" w:space="0" w:color="auto"/>
            </w:tcBorders>
            <w:shd w:val="clear" w:color="auto" w:fill="auto"/>
            <w:noWrap/>
            <w:tcMar>
              <w:top w:w="15" w:type="dxa"/>
              <w:left w:w="15" w:type="dxa"/>
              <w:bottom w:w="0" w:type="dxa"/>
              <w:right w:w="15" w:type="dxa"/>
            </w:tcMar>
            <w:vAlign w:val="center"/>
            <w:hideMark/>
          </w:tcPr>
          <w:p w:rsidR="00A4289A" w:rsidRPr="00E04C25" w:rsidRDefault="00A4289A" w:rsidP="00523B41">
            <w:pPr>
              <w:spacing w:line="276" w:lineRule="auto"/>
              <w:jc w:val="center"/>
              <w:rPr>
                <w:rFonts w:ascii="Arial" w:eastAsia="Arial Unicode MS" w:hAnsi="Arial" w:cs="Arial"/>
                <w:sz w:val="20"/>
                <w:szCs w:val="20"/>
                <w:lang w:eastAsia="en-US"/>
              </w:rPr>
            </w:pPr>
            <w:r w:rsidRPr="00E04C25">
              <w:rPr>
                <w:rFonts w:ascii="Arial" w:hAnsi="Arial" w:cs="Arial"/>
                <w:sz w:val="20"/>
                <w:szCs w:val="20"/>
                <w:lang w:eastAsia="en-US"/>
              </w:rPr>
              <w:t>6.</w:t>
            </w:r>
          </w:p>
        </w:tc>
        <w:tc>
          <w:tcPr>
            <w:tcW w:w="2236" w:type="dxa"/>
            <w:tcBorders>
              <w:top w:val="nil"/>
              <w:left w:val="nil"/>
              <w:bottom w:val="nil"/>
              <w:right w:val="single" w:sz="4" w:space="0" w:color="auto"/>
            </w:tcBorders>
            <w:shd w:val="clear" w:color="auto" w:fill="auto"/>
            <w:noWrap/>
            <w:tcMar>
              <w:top w:w="15" w:type="dxa"/>
              <w:left w:w="113" w:type="dxa"/>
              <w:bottom w:w="0" w:type="dxa"/>
              <w:right w:w="15" w:type="dxa"/>
            </w:tcMar>
            <w:vAlign w:val="center"/>
            <w:hideMark/>
          </w:tcPr>
          <w:p w:rsidR="00A4289A" w:rsidRPr="00E04C25" w:rsidRDefault="00A4289A">
            <w:pPr>
              <w:rPr>
                <w:rFonts w:ascii="Arial" w:hAnsi="Arial" w:cs="Arial"/>
                <w:sz w:val="20"/>
                <w:szCs w:val="20"/>
              </w:rPr>
            </w:pPr>
            <w:r w:rsidRPr="00E04C25">
              <w:rPr>
                <w:rFonts w:ascii="Arial" w:hAnsi="Arial" w:cs="Arial"/>
                <w:sz w:val="20"/>
                <w:szCs w:val="20"/>
              </w:rPr>
              <w:t>Liberecký kraj</w:t>
            </w:r>
          </w:p>
        </w:tc>
        <w:tc>
          <w:tcPr>
            <w:tcW w:w="1063" w:type="dxa"/>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16 104</w:t>
            </w:r>
          </w:p>
        </w:tc>
        <w:tc>
          <w:tcPr>
            <w:tcW w:w="1205"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11 861</w:t>
            </w:r>
          </w:p>
        </w:tc>
        <w:tc>
          <w:tcPr>
            <w:tcW w:w="1112"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5 607</w:t>
            </w:r>
          </w:p>
        </w:tc>
        <w:tc>
          <w:tcPr>
            <w:tcW w:w="1156" w:type="dxa"/>
            <w:tcBorders>
              <w:top w:val="nil"/>
              <w:left w:val="single" w:sz="4" w:space="0" w:color="auto"/>
              <w:bottom w:val="nil"/>
              <w:right w:val="single" w:sz="4" w:space="0" w:color="auto"/>
            </w:tcBorders>
            <w:shd w:val="clear" w:color="auto" w:fill="auto"/>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8 674</w:t>
            </w:r>
          </w:p>
        </w:tc>
        <w:tc>
          <w:tcPr>
            <w:tcW w:w="850"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ind w:firstLineChars="100" w:firstLine="200"/>
              <w:jc w:val="right"/>
              <w:rPr>
                <w:rFonts w:ascii="Arial" w:hAnsi="Arial" w:cs="Arial"/>
                <w:sz w:val="20"/>
                <w:szCs w:val="20"/>
              </w:rPr>
            </w:pPr>
            <w:r w:rsidRPr="00E04C25">
              <w:rPr>
                <w:rFonts w:ascii="Arial" w:hAnsi="Arial" w:cs="Arial"/>
                <w:sz w:val="20"/>
                <w:szCs w:val="20"/>
              </w:rPr>
              <w:t>5,2</w:t>
            </w:r>
          </w:p>
        </w:tc>
        <w:tc>
          <w:tcPr>
            <w:tcW w:w="992" w:type="dxa"/>
            <w:tcBorders>
              <w:top w:val="nil"/>
              <w:left w:val="nil"/>
              <w:bottom w:val="nil"/>
              <w:right w:val="double" w:sz="6" w:space="0" w:color="auto"/>
            </w:tcBorders>
            <w:shd w:val="clear" w:color="auto" w:fill="auto"/>
            <w:noWrap/>
            <w:tcMar>
              <w:top w:w="15" w:type="dxa"/>
              <w:left w:w="15" w:type="dxa"/>
              <w:bottom w:w="0" w:type="dxa"/>
              <w:right w:w="85" w:type="dxa"/>
            </w:tcMar>
            <w:vAlign w:val="center"/>
            <w:hideMark/>
          </w:tcPr>
          <w:p w:rsidR="00A4289A" w:rsidRPr="00E04C25" w:rsidRDefault="00A4289A" w:rsidP="002413D1">
            <w:pPr>
              <w:ind w:firstLineChars="100" w:firstLine="201"/>
              <w:jc w:val="right"/>
              <w:rPr>
                <w:rFonts w:ascii="Arial" w:hAnsi="Arial" w:cs="Arial"/>
                <w:b/>
                <w:bCs/>
                <w:sz w:val="20"/>
                <w:szCs w:val="20"/>
              </w:rPr>
            </w:pPr>
            <w:r w:rsidRPr="00E04C25">
              <w:rPr>
                <w:rFonts w:ascii="Arial" w:hAnsi="Arial" w:cs="Arial"/>
                <w:b/>
                <w:bCs/>
                <w:sz w:val="20"/>
                <w:szCs w:val="20"/>
              </w:rPr>
              <w:t>3,8</w:t>
            </w:r>
          </w:p>
        </w:tc>
      </w:tr>
      <w:tr w:rsidR="00A4289A" w:rsidRPr="00E04C25" w:rsidTr="00523B41">
        <w:trPr>
          <w:trHeight w:val="300"/>
          <w:jc w:val="center"/>
        </w:trPr>
        <w:tc>
          <w:tcPr>
            <w:tcW w:w="316" w:type="dxa"/>
            <w:tcBorders>
              <w:top w:val="nil"/>
              <w:left w:val="double" w:sz="6" w:space="0" w:color="auto"/>
              <w:bottom w:val="nil"/>
              <w:right w:val="single" w:sz="4" w:space="0" w:color="auto"/>
            </w:tcBorders>
            <w:shd w:val="clear" w:color="auto" w:fill="auto"/>
            <w:noWrap/>
            <w:tcMar>
              <w:top w:w="15" w:type="dxa"/>
              <w:left w:w="15" w:type="dxa"/>
              <w:bottom w:w="0" w:type="dxa"/>
              <w:right w:w="15" w:type="dxa"/>
            </w:tcMar>
            <w:vAlign w:val="center"/>
            <w:hideMark/>
          </w:tcPr>
          <w:p w:rsidR="00A4289A" w:rsidRPr="00E04C25" w:rsidRDefault="00A4289A" w:rsidP="00523B41">
            <w:pPr>
              <w:spacing w:line="276" w:lineRule="auto"/>
              <w:jc w:val="center"/>
              <w:rPr>
                <w:rFonts w:ascii="Arial" w:eastAsia="Arial Unicode MS" w:hAnsi="Arial" w:cs="Arial"/>
                <w:sz w:val="20"/>
                <w:szCs w:val="20"/>
                <w:lang w:eastAsia="en-US"/>
              </w:rPr>
            </w:pPr>
            <w:r w:rsidRPr="00E04C25">
              <w:rPr>
                <w:rFonts w:ascii="Arial" w:hAnsi="Arial" w:cs="Arial"/>
                <w:sz w:val="20"/>
                <w:szCs w:val="20"/>
                <w:lang w:eastAsia="en-US"/>
              </w:rPr>
              <w:t>7.</w:t>
            </w:r>
          </w:p>
        </w:tc>
        <w:tc>
          <w:tcPr>
            <w:tcW w:w="2236" w:type="dxa"/>
            <w:tcBorders>
              <w:top w:val="nil"/>
              <w:left w:val="nil"/>
              <w:bottom w:val="nil"/>
              <w:right w:val="single" w:sz="4" w:space="0" w:color="auto"/>
            </w:tcBorders>
            <w:shd w:val="clear" w:color="auto" w:fill="auto"/>
            <w:noWrap/>
            <w:tcMar>
              <w:top w:w="15" w:type="dxa"/>
              <w:left w:w="113" w:type="dxa"/>
              <w:bottom w:w="0" w:type="dxa"/>
              <w:right w:w="15" w:type="dxa"/>
            </w:tcMar>
            <w:vAlign w:val="center"/>
            <w:hideMark/>
          </w:tcPr>
          <w:p w:rsidR="00A4289A" w:rsidRPr="00E04C25" w:rsidRDefault="00A4289A">
            <w:pPr>
              <w:rPr>
                <w:rFonts w:ascii="Arial" w:hAnsi="Arial" w:cs="Arial"/>
                <w:sz w:val="20"/>
                <w:szCs w:val="20"/>
              </w:rPr>
            </w:pPr>
            <w:r w:rsidRPr="00E04C25">
              <w:rPr>
                <w:rFonts w:ascii="Arial" w:hAnsi="Arial" w:cs="Arial"/>
                <w:sz w:val="20"/>
                <w:szCs w:val="20"/>
              </w:rPr>
              <w:t>Karlovarský kraj</w:t>
            </w:r>
          </w:p>
        </w:tc>
        <w:tc>
          <w:tcPr>
            <w:tcW w:w="1063" w:type="dxa"/>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11 796</w:t>
            </w:r>
          </w:p>
        </w:tc>
        <w:tc>
          <w:tcPr>
            <w:tcW w:w="1205"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7 488</w:t>
            </w:r>
          </w:p>
        </w:tc>
        <w:tc>
          <w:tcPr>
            <w:tcW w:w="1112"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3 678</w:t>
            </w:r>
          </w:p>
        </w:tc>
        <w:tc>
          <w:tcPr>
            <w:tcW w:w="1156" w:type="dxa"/>
            <w:tcBorders>
              <w:top w:val="nil"/>
              <w:left w:val="single" w:sz="4" w:space="0" w:color="auto"/>
              <w:bottom w:val="nil"/>
              <w:right w:val="single" w:sz="4" w:space="0" w:color="auto"/>
            </w:tcBorders>
            <w:shd w:val="clear" w:color="auto" w:fill="auto"/>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6 503</w:t>
            </w:r>
          </w:p>
        </w:tc>
        <w:tc>
          <w:tcPr>
            <w:tcW w:w="850"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ind w:firstLineChars="100" w:firstLine="200"/>
              <w:jc w:val="right"/>
              <w:rPr>
                <w:rFonts w:ascii="Arial" w:hAnsi="Arial" w:cs="Arial"/>
                <w:sz w:val="20"/>
                <w:szCs w:val="20"/>
              </w:rPr>
            </w:pPr>
            <w:r w:rsidRPr="00E04C25">
              <w:rPr>
                <w:rFonts w:ascii="Arial" w:hAnsi="Arial" w:cs="Arial"/>
                <w:sz w:val="20"/>
                <w:szCs w:val="20"/>
              </w:rPr>
              <w:t>5,5</w:t>
            </w:r>
          </w:p>
        </w:tc>
        <w:tc>
          <w:tcPr>
            <w:tcW w:w="992" w:type="dxa"/>
            <w:tcBorders>
              <w:top w:val="nil"/>
              <w:left w:val="nil"/>
              <w:bottom w:val="nil"/>
              <w:right w:val="double" w:sz="6" w:space="0" w:color="auto"/>
            </w:tcBorders>
            <w:shd w:val="clear" w:color="auto" w:fill="auto"/>
            <w:noWrap/>
            <w:tcMar>
              <w:top w:w="15" w:type="dxa"/>
              <w:left w:w="15" w:type="dxa"/>
              <w:bottom w:w="0" w:type="dxa"/>
              <w:right w:w="85" w:type="dxa"/>
            </w:tcMar>
            <w:vAlign w:val="center"/>
            <w:hideMark/>
          </w:tcPr>
          <w:p w:rsidR="00A4289A" w:rsidRPr="00E04C25" w:rsidRDefault="00A4289A" w:rsidP="002413D1">
            <w:pPr>
              <w:ind w:firstLineChars="100" w:firstLine="201"/>
              <w:jc w:val="right"/>
              <w:rPr>
                <w:rFonts w:ascii="Arial" w:hAnsi="Arial" w:cs="Arial"/>
                <w:b/>
                <w:bCs/>
                <w:sz w:val="20"/>
                <w:szCs w:val="20"/>
              </w:rPr>
            </w:pPr>
            <w:r w:rsidRPr="00E04C25">
              <w:rPr>
                <w:rFonts w:ascii="Arial" w:hAnsi="Arial" w:cs="Arial"/>
                <w:b/>
                <w:bCs/>
                <w:sz w:val="20"/>
                <w:szCs w:val="20"/>
              </w:rPr>
              <w:t>3,5</w:t>
            </w:r>
          </w:p>
        </w:tc>
      </w:tr>
      <w:tr w:rsidR="00A4289A" w:rsidRPr="00E04C25" w:rsidTr="00523B41">
        <w:trPr>
          <w:trHeight w:val="300"/>
          <w:jc w:val="center"/>
        </w:trPr>
        <w:tc>
          <w:tcPr>
            <w:tcW w:w="316" w:type="dxa"/>
            <w:tcBorders>
              <w:top w:val="nil"/>
              <w:left w:val="double" w:sz="6" w:space="0" w:color="auto"/>
              <w:bottom w:val="nil"/>
              <w:right w:val="single" w:sz="4" w:space="0" w:color="auto"/>
            </w:tcBorders>
            <w:shd w:val="clear" w:color="auto" w:fill="auto"/>
            <w:noWrap/>
            <w:tcMar>
              <w:top w:w="15" w:type="dxa"/>
              <w:left w:w="15" w:type="dxa"/>
              <w:bottom w:w="0" w:type="dxa"/>
              <w:right w:w="15" w:type="dxa"/>
            </w:tcMar>
            <w:vAlign w:val="center"/>
            <w:hideMark/>
          </w:tcPr>
          <w:p w:rsidR="00A4289A" w:rsidRPr="00E04C25" w:rsidRDefault="00A4289A" w:rsidP="00523B41">
            <w:pPr>
              <w:spacing w:line="276" w:lineRule="auto"/>
              <w:jc w:val="center"/>
              <w:rPr>
                <w:rFonts w:ascii="Arial" w:eastAsia="Arial Unicode MS" w:hAnsi="Arial" w:cs="Arial"/>
                <w:sz w:val="20"/>
                <w:szCs w:val="20"/>
                <w:lang w:eastAsia="en-US"/>
              </w:rPr>
            </w:pPr>
            <w:r w:rsidRPr="00E04C25">
              <w:rPr>
                <w:rFonts w:ascii="Arial" w:hAnsi="Arial" w:cs="Arial"/>
                <w:sz w:val="20"/>
                <w:szCs w:val="20"/>
                <w:lang w:eastAsia="en-US"/>
              </w:rPr>
              <w:t>8.</w:t>
            </w:r>
          </w:p>
        </w:tc>
        <w:tc>
          <w:tcPr>
            <w:tcW w:w="2236" w:type="dxa"/>
            <w:tcBorders>
              <w:top w:val="nil"/>
              <w:left w:val="nil"/>
              <w:bottom w:val="nil"/>
              <w:right w:val="single" w:sz="4" w:space="0" w:color="auto"/>
            </w:tcBorders>
            <w:shd w:val="clear" w:color="auto" w:fill="auto"/>
            <w:noWrap/>
            <w:tcMar>
              <w:top w:w="15" w:type="dxa"/>
              <w:left w:w="113" w:type="dxa"/>
              <w:bottom w:w="0" w:type="dxa"/>
              <w:right w:w="15" w:type="dxa"/>
            </w:tcMar>
            <w:vAlign w:val="center"/>
            <w:hideMark/>
          </w:tcPr>
          <w:p w:rsidR="00A4289A" w:rsidRPr="00E04C25" w:rsidRDefault="00A4289A">
            <w:pPr>
              <w:rPr>
                <w:rFonts w:ascii="Arial" w:hAnsi="Arial" w:cs="Arial"/>
                <w:sz w:val="20"/>
                <w:szCs w:val="20"/>
              </w:rPr>
            </w:pPr>
            <w:r w:rsidRPr="00E04C25">
              <w:rPr>
                <w:rFonts w:ascii="Arial" w:hAnsi="Arial" w:cs="Arial"/>
                <w:sz w:val="20"/>
                <w:szCs w:val="20"/>
              </w:rPr>
              <w:t>Zlínsky kraj</w:t>
            </w:r>
          </w:p>
        </w:tc>
        <w:tc>
          <w:tcPr>
            <w:tcW w:w="1063" w:type="dxa"/>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19 848</w:t>
            </w:r>
          </w:p>
        </w:tc>
        <w:tc>
          <w:tcPr>
            <w:tcW w:w="1205"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14 040</w:t>
            </w:r>
          </w:p>
        </w:tc>
        <w:tc>
          <w:tcPr>
            <w:tcW w:w="1112"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6 528</w:t>
            </w:r>
          </w:p>
        </w:tc>
        <w:tc>
          <w:tcPr>
            <w:tcW w:w="1156" w:type="dxa"/>
            <w:tcBorders>
              <w:top w:val="nil"/>
              <w:left w:val="single" w:sz="4" w:space="0" w:color="auto"/>
              <w:bottom w:val="nil"/>
              <w:right w:val="single" w:sz="4" w:space="0" w:color="auto"/>
            </w:tcBorders>
            <w:shd w:val="clear" w:color="auto" w:fill="auto"/>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7 975</w:t>
            </w:r>
          </w:p>
        </w:tc>
        <w:tc>
          <w:tcPr>
            <w:tcW w:w="850"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ind w:firstLineChars="100" w:firstLine="200"/>
              <w:jc w:val="right"/>
              <w:rPr>
                <w:rFonts w:ascii="Arial" w:hAnsi="Arial" w:cs="Arial"/>
                <w:sz w:val="20"/>
                <w:szCs w:val="20"/>
              </w:rPr>
            </w:pPr>
            <w:r w:rsidRPr="00E04C25">
              <w:rPr>
                <w:rFonts w:ascii="Arial" w:hAnsi="Arial" w:cs="Arial"/>
                <w:sz w:val="20"/>
                <w:szCs w:val="20"/>
              </w:rPr>
              <w:t>4,9</w:t>
            </w:r>
          </w:p>
        </w:tc>
        <w:tc>
          <w:tcPr>
            <w:tcW w:w="992" w:type="dxa"/>
            <w:tcBorders>
              <w:top w:val="nil"/>
              <w:left w:val="nil"/>
              <w:bottom w:val="nil"/>
              <w:right w:val="double" w:sz="6" w:space="0" w:color="auto"/>
            </w:tcBorders>
            <w:shd w:val="clear" w:color="auto" w:fill="auto"/>
            <w:noWrap/>
            <w:tcMar>
              <w:top w:w="15" w:type="dxa"/>
              <w:left w:w="15" w:type="dxa"/>
              <w:bottom w:w="0" w:type="dxa"/>
              <w:right w:w="85" w:type="dxa"/>
            </w:tcMar>
            <w:vAlign w:val="center"/>
            <w:hideMark/>
          </w:tcPr>
          <w:p w:rsidR="00A4289A" w:rsidRPr="00E04C25" w:rsidRDefault="00A4289A" w:rsidP="002413D1">
            <w:pPr>
              <w:ind w:firstLineChars="100" w:firstLine="201"/>
              <w:jc w:val="right"/>
              <w:rPr>
                <w:rFonts w:ascii="Arial" w:hAnsi="Arial" w:cs="Arial"/>
                <w:b/>
                <w:bCs/>
                <w:sz w:val="20"/>
                <w:szCs w:val="20"/>
              </w:rPr>
            </w:pPr>
            <w:r w:rsidRPr="00E04C25">
              <w:rPr>
                <w:rFonts w:ascii="Arial" w:hAnsi="Arial" w:cs="Arial"/>
                <w:b/>
                <w:bCs/>
                <w:sz w:val="20"/>
                <w:szCs w:val="20"/>
              </w:rPr>
              <w:t>3,4</w:t>
            </w:r>
          </w:p>
        </w:tc>
      </w:tr>
      <w:tr w:rsidR="00A4289A" w:rsidRPr="00E04C25" w:rsidTr="00523B41">
        <w:trPr>
          <w:trHeight w:val="300"/>
          <w:jc w:val="center"/>
        </w:trPr>
        <w:tc>
          <w:tcPr>
            <w:tcW w:w="316" w:type="dxa"/>
            <w:tcBorders>
              <w:top w:val="nil"/>
              <w:left w:val="double" w:sz="6" w:space="0" w:color="auto"/>
              <w:bottom w:val="nil"/>
              <w:right w:val="single" w:sz="4" w:space="0" w:color="auto"/>
            </w:tcBorders>
            <w:shd w:val="clear" w:color="auto" w:fill="auto"/>
            <w:noWrap/>
            <w:tcMar>
              <w:top w:w="15" w:type="dxa"/>
              <w:left w:w="15" w:type="dxa"/>
              <w:bottom w:w="0" w:type="dxa"/>
              <w:right w:w="15" w:type="dxa"/>
            </w:tcMar>
            <w:vAlign w:val="center"/>
            <w:hideMark/>
          </w:tcPr>
          <w:p w:rsidR="00A4289A" w:rsidRPr="00E04C25" w:rsidRDefault="00A4289A" w:rsidP="00523B41">
            <w:pPr>
              <w:spacing w:line="276" w:lineRule="auto"/>
              <w:jc w:val="center"/>
              <w:rPr>
                <w:rFonts w:ascii="Arial" w:eastAsia="Arial Unicode MS" w:hAnsi="Arial" w:cs="Arial"/>
                <w:sz w:val="20"/>
                <w:szCs w:val="20"/>
                <w:lang w:eastAsia="en-US"/>
              </w:rPr>
            </w:pPr>
            <w:r w:rsidRPr="00E04C25">
              <w:rPr>
                <w:rFonts w:ascii="Arial" w:hAnsi="Arial" w:cs="Arial"/>
                <w:sz w:val="20"/>
                <w:szCs w:val="20"/>
                <w:lang w:eastAsia="en-US"/>
              </w:rPr>
              <w:t>9.</w:t>
            </w:r>
          </w:p>
        </w:tc>
        <w:tc>
          <w:tcPr>
            <w:tcW w:w="2236" w:type="dxa"/>
            <w:tcBorders>
              <w:top w:val="nil"/>
              <w:left w:val="nil"/>
              <w:bottom w:val="nil"/>
              <w:right w:val="single" w:sz="4" w:space="0" w:color="auto"/>
            </w:tcBorders>
            <w:shd w:val="clear" w:color="auto" w:fill="auto"/>
            <w:noWrap/>
            <w:tcMar>
              <w:top w:w="15" w:type="dxa"/>
              <w:left w:w="113" w:type="dxa"/>
              <w:bottom w:w="0" w:type="dxa"/>
              <w:right w:w="15" w:type="dxa"/>
            </w:tcMar>
            <w:vAlign w:val="center"/>
            <w:hideMark/>
          </w:tcPr>
          <w:p w:rsidR="00A4289A" w:rsidRPr="00E04C25" w:rsidRDefault="00A4289A">
            <w:pPr>
              <w:rPr>
                <w:rFonts w:ascii="Arial" w:hAnsi="Arial" w:cs="Arial"/>
                <w:sz w:val="20"/>
                <w:szCs w:val="20"/>
              </w:rPr>
            </w:pPr>
            <w:r w:rsidRPr="00E04C25">
              <w:rPr>
                <w:rFonts w:ascii="Arial" w:hAnsi="Arial" w:cs="Arial"/>
                <w:sz w:val="20"/>
                <w:szCs w:val="20"/>
              </w:rPr>
              <w:t>Středočeský kraj</w:t>
            </w:r>
          </w:p>
        </w:tc>
        <w:tc>
          <w:tcPr>
            <w:tcW w:w="1063" w:type="dxa"/>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38 966</w:t>
            </w:r>
          </w:p>
        </w:tc>
        <w:tc>
          <w:tcPr>
            <w:tcW w:w="1205"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29 370</w:t>
            </w:r>
          </w:p>
        </w:tc>
        <w:tc>
          <w:tcPr>
            <w:tcW w:w="1112"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18 650</w:t>
            </w:r>
          </w:p>
        </w:tc>
        <w:tc>
          <w:tcPr>
            <w:tcW w:w="1156" w:type="dxa"/>
            <w:tcBorders>
              <w:top w:val="nil"/>
              <w:left w:val="single" w:sz="4" w:space="0" w:color="auto"/>
              <w:bottom w:val="nil"/>
              <w:right w:val="single" w:sz="4" w:space="0" w:color="auto"/>
            </w:tcBorders>
            <w:shd w:val="clear" w:color="auto" w:fill="auto"/>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30 321</w:t>
            </w:r>
          </w:p>
        </w:tc>
        <w:tc>
          <w:tcPr>
            <w:tcW w:w="850"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ind w:firstLineChars="100" w:firstLine="200"/>
              <w:jc w:val="right"/>
              <w:rPr>
                <w:rFonts w:ascii="Arial" w:hAnsi="Arial" w:cs="Arial"/>
                <w:sz w:val="20"/>
                <w:szCs w:val="20"/>
              </w:rPr>
            </w:pPr>
            <w:r w:rsidRPr="00E04C25">
              <w:rPr>
                <w:rFonts w:ascii="Arial" w:hAnsi="Arial" w:cs="Arial"/>
                <w:sz w:val="20"/>
                <w:szCs w:val="20"/>
              </w:rPr>
              <w:t>4,3</w:t>
            </w:r>
          </w:p>
        </w:tc>
        <w:tc>
          <w:tcPr>
            <w:tcW w:w="992" w:type="dxa"/>
            <w:tcBorders>
              <w:top w:val="nil"/>
              <w:left w:val="nil"/>
              <w:bottom w:val="nil"/>
              <w:right w:val="double" w:sz="6" w:space="0" w:color="auto"/>
            </w:tcBorders>
            <w:shd w:val="clear" w:color="auto" w:fill="auto"/>
            <w:noWrap/>
            <w:tcMar>
              <w:top w:w="15" w:type="dxa"/>
              <w:left w:w="15" w:type="dxa"/>
              <w:bottom w:w="0" w:type="dxa"/>
              <w:right w:w="85" w:type="dxa"/>
            </w:tcMar>
            <w:vAlign w:val="center"/>
            <w:hideMark/>
          </w:tcPr>
          <w:p w:rsidR="00A4289A" w:rsidRPr="00E04C25" w:rsidRDefault="00A4289A" w:rsidP="002413D1">
            <w:pPr>
              <w:ind w:firstLineChars="100" w:firstLine="201"/>
              <w:jc w:val="right"/>
              <w:rPr>
                <w:rFonts w:ascii="Arial" w:hAnsi="Arial" w:cs="Arial"/>
                <w:b/>
                <w:bCs/>
                <w:sz w:val="20"/>
                <w:szCs w:val="20"/>
              </w:rPr>
            </w:pPr>
            <w:r w:rsidRPr="00E04C25">
              <w:rPr>
                <w:rFonts w:ascii="Arial" w:hAnsi="Arial" w:cs="Arial"/>
                <w:b/>
                <w:bCs/>
                <w:sz w:val="20"/>
                <w:szCs w:val="20"/>
              </w:rPr>
              <w:t>3,2</w:t>
            </w:r>
          </w:p>
        </w:tc>
      </w:tr>
      <w:tr w:rsidR="00A4289A" w:rsidRPr="00E04C25" w:rsidTr="00523B41">
        <w:trPr>
          <w:trHeight w:val="300"/>
          <w:jc w:val="center"/>
        </w:trPr>
        <w:tc>
          <w:tcPr>
            <w:tcW w:w="316" w:type="dxa"/>
            <w:tcBorders>
              <w:top w:val="nil"/>
              <w:left w:val="double" w:sz="6" w:space="0" w:color="auto"/>
              <w:bottom w:val="nil"/>
              <w:right w:val="single" w:sz="4" w:space="0" w:color="auto"/>
            </w:tcBorders>
            <w:shd w:val="clear" w:color="auto" w:fill="auto"/>
            <w:noWrap/>
            <w:tcMar>
              <w:top w:w="15" w:type="dxa"/>
              <w:left w:w="15" w:type="dxa"/>
              <w:bottom w:w="0" w:type="dxa"/>
              <w:right w:w="15" w:type="dxa"/>
            </w:tcMar>
            <w:vAlign w:val="center"/>
            <w:hideMark/>
          </w:tcPr>
          <w:p w:rsidR="00A4289A" w:rsidRPr="00E04C25" w:rsidRDefault="00A4289A" w:rsidP="00523B41">
            <w:pPr>
              <w:spacing w:line="276" w:lineRule="auto"/>
              <w:jc w:val="center"/>
              <w:rPr>
                <w:rFonts w:ascii="Arial" w:eastAsia="Arial Unicode MS" w:hAnsi="Arial" w:cs="Arial"/>
                <w:sz w:val="20"/>
                <w:szCs w:val="20"/>
                <w:lang w:eastAsia="en-US"/>
              </w:rPr>
            </w:pPr>
            <w:r w:rsidRPr="00E04C25">
              <w:rPr>
                <w:rFonts w:ascii="Arial" w:hAnsi="Arial" w:cs="Arial"/>
                <w:sz w:val="20"/>
                <w:szCs w:val="20"/>
                <w:lang w:eastAsia="en-US"/>
              </w:rPr>
              <w:t>10.</w:t>
            </w:r>
          </w:p>
        </w:tc>
        <w:tc>
          <w:tcPr>
            <w:tcW w:w="2236" w:type="dxa"/>
            <w:tcBorders>
              <w:top w:val="nil"/>
              <w:left w:val="nil"/>
              <w:bottom w:val="nil"/>
              <w:right w:val="single" w:sz="4" w:space="0" w:color="auto"/>
            </w:tcBorders>
            <w:shd w:val="clear" w:color="auto" w:fill="auto"/>
            <w:noWrap/>
            <w:tcMar>
              <w:top w:w="15" w:type="dxa"/>
              <w:left w:w="113" w:type="dxa"/>
              <w:bottom w:w="0" w:type="dxa"/>
              <w:right w:w="15" w:type="dxa"/>
            </w:tcMar>
            <w:vAlign w:val="center"/>
            <w:hideMark/>
          </w:tcPr>
          <w:p w:rsidR="00A4289A" w:rsidRPr="00E04C25" w:rsidRDefault="00A4289A">
            <w:pPr>
              <w:rPr>
                <w:rFonts w:ascii="Arial" w:hAnsi="Arial" w:cs="Arial"/>
                <w:sz w:val="20"/>
                <w:szCs w:val="20"/>
              </w:rPr>
            </w:pPr>
            <w:r w:rsidRPr="00E04C25">
              <w:rPr>
                <w:rFonts w:ascii="Arial" w:hAnsi="Arial" w:cs="Arial"/>
                <w:sz w:val="20"/>
                <w:szCs w:val="20"/>
              </w:rPr>
              <w:t>Jihočeský kraj</w:t>
            </w:r>
          </w:p>
        </w:tc>
        <w:tc>
          <w:tcPr>
            <w:tcW w:w="1063" w:type="dxa"/>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19 385</w:t>
            </w:r>
          </w:p>
        </w:tc>
        <w:tc>
          <w:tcPr>
            <w:tcW w:w="1205"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14 112</w:t>
            </w:r>
          </w:p>
        </w:tc>
        <w:tc>
          <w:tcPr>
            <w:tcW w:w="1112"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9 458</w:t>
            </w:r>
          </w:p>
        </w:tc>
        <w:tc>
          <w:tcPr>
            <w:tcW w:w="1156" w:type="dxa"/>
            <w:tcBorders>
              <w:top w:val="nil"/>
              <w:left w:val="single" w:sz="4" w:space="0" w:color="auto"/>
              <w:bottom w:val="nil"/>
              <w:right w:val="single" w:sz="4" w:space="0" w:color="auto"/>
            </w:tcBorders>
            <w:shd w:val="clear" w:color="auto" w:fill="auto"/>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13 833</w:t>
            </w:r>
          </w:p>
        </w:tc>
        <w:tc>
          <w:tcPr>
            <w:tcW w:w="850"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ind w:firstLineChars="100" w:firstLine="200"/>
              <w:jc w:val="right"/>
              <w:rPr>
                <w:rFonts w:ascii="Arial" w:hAnsi="Arial" w:cs="Arial"/>
                <w:sz w:val="20"/>
                <w:szCs w:val="20"/>
              </w:rPr>
            </w:pPr>
            <w:r w:rsidRPr="00E04C25">
              <w:rPr>
                <w:rFonts w:ascii="Arial" w:hAnsi="Arial" w:cs="Arial"/>
                <w:sz w:val="20"/>
                <w:szCs w:val="20"/>
              </w:rPr>
              <w:t>4,3</w:t>
            </w:r>
          </w:p>
        </w:tc>
        <w:tc>
          <w:tcPr>
            <w:tcW w:w="992" w:type="dxa"/>
            <w:tcBorders>
              <w:top w:val="nil"/>
              <w:left w:val="nil"/>
              <w:bottom w:val="nil"/>
              <w:right w:val="double" w:sz="6" w:space="0" w:color="auto"/>
            </w:tcBorders>
            <w:shd w:val="clear" w:color="auto" w:fill="auto"/>
            <w:noWrap/>
            <w:tcMar>
              <w:top w:w="15" w:type="dxa"/>
              <w:left w:w="15" w:type="dxa"/>
              <w:bottom w:w="0" w:type="dxa"/>
              <w:right w:w="85" w:type="dxa"/>
            </w:tcMar>
            <w:vAlign w:val="center"/>
            <w:hideMark/>
          </w:tcPr>
          <w:p w:rsidR="00A4289A" w:rsidRPr="00E04C25" w:rsidRDefault="00A4289A" w:rsidP="002413D1">
            <w:pPr>
              <w:ind w:firstLineChars="100" w:firstLine="201"/>
              <w:jc w:val="right"/>
              <w:rPr>
                <w:rFonts w:ascii="Arial" w:hAnsi="Arial" w:cs="Arial"/>
                <w:b/>
                <w:bCs/>
                <w:sz w:val="20"/>
                <w:szCs w:val="20"/>
              </w:rPr>
            </w:pPr>
            <w:r w:rsidRPr="00E04C25">
              <w:rPr>
                <w:rFonts w:ascii="Arial" w:hAnsi="Arial" w:cs="Arial"/>
                <w:b/>
                <w:bCs/>
                <w:sz w:val="20"/>
                <w:szCs w:val="20"/>
              </w:rPr>
              <w:t>3,1</w:t>
            </w:r>
          </w:p>
        </w:tc>
      </w:tr>
      <w:tr w:rsidR="00A4289A" w:rsidRPr="00E04C25" w:rsidTr="00523B41">
        <w:trPr>
          <w:trHeight w:val="300"/>
          <w:jc w:val="center"/>
        </w:trPr>
        <w:tc>
          <w:tcPr>
            <w:tcW w:w="316" w:type="dxa"/>
            <w:tcBorders>
              <w:top w:val="nil"/>
              <w:left w:val="double" w:sz="6" w:space="0" w:color="auto"/>
              <w:bottom w:val="nil"/>
              <w:right w:val="single" w:sz="4" w:space="0" w:color="auto"/>
            </w:tcBorders>
            <w:shd w:val="clear" w:color="auto" w:fill="auto"/>
            <w:noWrap/>
            <w:tcMar>
              <w:top w:w="15" w:type="dxa"/>
              <w:left w:w="15" w:type="dxa"/>
              <w:bottom w:w="0" w:type="dxa"/>
              <w:right w:w="15" w:type="dxa"/>
            </w:tcMar>
            <w:vAlign w:val="center"/>
            <w:hideMark/>
          </w:tcPr>
          <w:p w:rsidR="00A4289A" w:rsidRPr="00E04C25" w:rsidRDefault="00A4289A" w:rsidP="00523B41">
            <w:pPr>
              <w:spacing w:line="276" w:lineRule="auto"/>
              <w:jc w:val="center"/>
              <w:rPr>
                <w:rFonts w:ascii="Arial" w:eastAsia="Arial Unicode MS" w:hAnsi="Arial" w:cs="Arial"/>
                <w:sz w:val="20"/>
                <w:szCs w:val="20"/>
                <w:lang w:eastAsia="en-US"/>
              </w:rPr>
            </w:pPr>
            <w:r w:rsidRPr="00E04C25">
              <w:rPr>
                <w:rFonts w:ascii="Arial" w:hAnsi="Arial" w:cs="Arial"/>
                <w:sz w:val="20"/>
                <w:szCs w:val="20"/>
                <w:lang w:eastAsia="en-US"/>
              </w:rPr>
              <w:t>11.</w:t>
            </w:r>
          </w:p>
        </w:tc>
        <w:tc>
          <w:tcPr>
            <w:tcW w:w="2236" w:type="dxa"/>
            <w:tcBorders>
              <w:top w:val="nil"/>
              <w:left w:val="nil"/>
              <w:bottom w:val="nil"/>
              <w:right w:val="single" w:sz="4" w:space="0" w:color="auto"/>
            </w:tcBorders>
            <w:shd w:val="clear" w:color="auto" w:fill="auto"/>
            <w:noWrap/>
            <w:tcMar>
              <w:top w:w="15" w:type="dxa"/>
              <w:left w:w="113" w:type="dxa"/>
              <w:bottom w:w="0" w:type="dxa"/>
              <w:right w:w="15" w:type="dxa"/>
            </w:tcMar>
            <w:vAlign w:val="center"/>
            <w:hideMark/>
          </w:tcPr>
          <w:p w:rsidR="00A4289A" w:rsidRPr="00E04C25" w:rsidRDefault="00A4289A">
            <w:pPr>
              <w:rPr>
                <w:rFonts w:ascii="Arial" w:hAnsi="Arial" w:cs="Arial"/>
                <w:sz w:val="20"/>
                <w:szCs w:val="20"/>
              </w:rPr>
            </w:pPr>
            <w:r w:rsidRPr="00E04C25">
              <w:rPr>
                <w:rFonts w:ascii="Arial" w:hAnsi="Arial" w:cs="Arial"/>
                <w:sz w:val="20"/>
                <w:szCs w:val="20"/>
              </w:rPr>
              <w:t>Pardubický kraj</w:t>
            </w:r>
          </w:p>
        </w:tc>
        <w:tc>
          <w:tcPr>
            <w:tcW w:w="1063" w:type="dxa"/>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14 407</w:t>
            </w:r>
          </w:p>
        </w:tc>
        <w:tc>
          <w:tcPr>
            <w:tcW w:w="1205"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10 152</w:t>
            </w:r>
          </w:p>
        </w:tc>
        <w:tc>
          <w:tcPr>
            <w:tcW w:w="1112"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9 687</w:t>
            </w:r>
          </w:p>
        </w:tc>
        <w:tc>
          <w:tcPr>
            <w:tcW w:w="1156" w:type="dxa"/>
            <w:tcBorders>
              <w:top w:val="nil"/>
              <w:left w:val="single" w:sz="4" w:space="0" w:color="auto"/>
              <w:bottom w:val="nil"/>
              <w:right w:val="single" w:sz="4" w:space="0" w:color="auto"/>
            </w:tcBorders>
            <w:shd w:val="clear" w:color="auto" w:fill="auto"/>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19 953</w:t>
            </w:r>
          </w:p>
        </w:tc>
        <w:tc>
          <w:tcPr>
            <w:tcW w:w="850"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ind w:firstLineChars="100" w:firstLine="200"/>
              <w:jc w:val="right"/>
              <w:rPr>
                <w:rFonts w:ascii="Arial" w:hAnsi="Arial" w:cs="Arial"/>
                <w:sz w:val="20"/>
                <w:szCs w:val="20"/>
              </w:rPr>
            </w:pPr>
            <w:r w:rsidRPr="00E04C25">
              <w:rPr>
                <w:rFonts w:ascii="Arial" w:hAnsi="Arial" w:cs="Arial"/>
                <w:sz w:val="20"/>
                <w:szCs w:val="20"/>
              </w:rPr>
              <w:t>4,0</w:t>
            </w:r>
          </w:p>
        </w:tc>
        <w:tc>
          <w:tcPr>
            <w:tcW w:w="992" w:type="dxa"/>
            <w:tcBorders>
              <w:top w:val="nil"/>
              <w:left w:val="nil"/>
              <w:bottom w:val="nil"/>
              <w:right w:val="double" w:sz="6" w:space="0" w:color="auto"/>
            </w:tcBorders>
            <w:shd w:val="clear" w:color="auto" w:fill="auto"/>
            <w:noWrap/>
            <w:tcMar>
              <w:top w:w="15" w:type="dxa"/>
              <w:left w:w="15" w:type="dxa"/>
              <w:bottom w:w="0" w:type="dxa"/>
              <w:right w:w="85" w:type="dxa"/>
            </w:tcMar>
            <w:vAlign w:val="center"/>
            <w:hideMark/>
          </w:tcPr>
          <w:p w:rsidR="00A4289A" w:rsidRPr="00E04C25" w:rsidRDefault="00A4289A" w:rsidP="002413D1">
            <w:pPr>
              <w:ind w:firstLineChars="100" w:firstLine="201"/>
              <w:jc w:val="right"/>
              <w:rPr>
                <w:rFonts w:ascii="Arial" w:hAnsi="Arial" w:cs="Arial"/>
                <w:b/>
                <w:bCs/>
                <w:sz w:val="20"/>
                <w:szCs w:val="20"/>
              </w:rPr>
            </w:pPr>
            <w:r w:rsidRPr="00E04C25">
              <w:rPr>
                <w:rFonts w:ascii="Arial" w:hAnsi="Arial" w:cs="Arial"/>
                <w:b/>
                <w:bCs/>
                <w:sz w:val="20"/>
                <w:szCs w:val="20"/>
              </w:rPr>
              <w:t>2,8</w:t>
            </w:r>
          </w:p>
        </w:tc>
      </w:tr>
      <w:tr w:rsidR="00A4289A" w:rsidRPr="00E04C25" w:rsidTr="00523B41">
        <w:trPr>
          <w:trHeight w:val="300"/>
          <w:jc w:val="center"/>
        </w:trPr>
        <w:tc>
          <w:tcPr>
            <w:tcW w:w="316" w:type="dxa"/>
            <w:tcBorders>
              <w:top w:val="nil"/>
              <w:left w:val="double" w:sz="6" w:space="0" w:color="auto"/>
              <w:bottom w:val="nil"/>
              <w:right w:val="single" w:sz="4" w:space="0" w:color="auto"/>
            </w:tcBorders>
            <w:shd w:val="clear" w:color="auto" w:fill="auto"/>
            <w:noWrap/>
            <w:tcMar>
              <w:top w:w="15" w:type="dxa"/>
              <w:left w:w="15" w:type="dxa"/>
              <w:bottom w:w="0" w:type="dxa"/>
              <w:right w:w="15" w:type="dxa"/>
            </w:tcMar>
            <w:vAlign w:val="center"/>
            <w:hideMark/>
          </w:tcPr>
          <w:p w:rsidR="00A4289A" w:rsidRPr="00E04C25" w:rsidRDefault="00A4289A" w:rsidP="00523B41">
            <w:pPr>
              <w:spacing w:line="276" w:lineRule="auto"/>
              <w:jc w:val="center"/>
              <w:rPr>
                <w:rFonts w:ascii="Arial" w:eastAsia="Arial Unicode MS" w:hAnsi="Arial" w:cs="Arial"/>
                <w:sz w:val="20"/>
                <w:szCs w:val="20"/>
                <w:lang w:eastAsia="en-US"/>
              </w:rPr>
            </w:pPr>
            <w:r w:rsidRPr="00E04C25">
              <w:rPr>
                <w:rFonts w:ascii="Arial" w:hAnsi="Arial" w:cs="Arial"/>
                <w:sz w:val="20"/>
                <w:szCs w:val="20"/>
                <w:lang w:eastAsia="en-US"/>
              </w:rPr>
              <w:t>12.</w:t>
            </w:r>
          </w:p>
        </w:tc>
        <w:tc>
          <w:tcPr>
            <w:tcW w:w="2236" w:type="dxa"/>
            <w:tcBorders>
              <w:top w:val="nil"/>
              <w:left w:val="nil"/>
              <w:bottom w:val="nil"/>
              <w:right w:val="single" w:sz="4" w:space="0" w:color="auto"/>
            </w:tcBorders>
            <w:shd w:val="clear" w:color="auto" w:fill="auto"/>
            <w:noWrap/>
            <w:tcMar>
              <w:top w:w="15" w:type="dxa"/>
              <w:left w:w="113" w:type="dxa"/>
              <w:bottom w:w="0" w:type="dxa"/>
              <w:right w:w="15" w:type="dxa"/>
            </w:tcMar>
            <w:vAlign w:val="center"/>
            <w:hideMark/>
          </w:tcPr>
          <w:p w:rsidR="00A4289A" w:rsidRPr="00E04C25" w:rsidRDefault="00A4289A">
            <w:pPr>
              <w:rPr>
                <w:rFonts w:ascii="Arial" w:hAnsi="Arial" w:cs="Arial"/>
                <w:sz w:val="20"/>
                <w:szCs w:val="20"/>
              </w:rPr>
            </w:pPr>
            <w:r w:rsidRPr="00E04C25">
              <w:rPr>
                <w:rFonts w:ascii="Arial" w:hAnsi="Arial" w:cs="Arial"/>
                <w:sz w:val="20"/>
                <w:szCs w:val="20"/>
              </w:rPr>
              <w:t>Královéhradecký kraj</w:t>
            </w:r>
          </w:p>
        </w:tc>
        <w:tc>
          <w:tcPr>
            <w:tcW w:w="1063" w:type="dxa"/>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14 270</w:t>
            </w:r>
          </w:p>
        </w:tc>
        <w:tc>
          <w:tcPr>
            <w:tcW w:w="1205"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10 483</w:t>
            </w:r>
          </w:p>
        </w:tc>
        <w:tc>
          <w:tcPr>
            <w:tcW w:w="1112"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6 151</w:t>
            </w:r>
          </w:p>
        </w:tc>
        <w:tc>
          <w:tcPr>
            <w:tcW w:w="1156" w:type="dxa"/>
            <w:tcBorders>
              <w:top w:val="nil"/>
              <w:left w:val="single" w:sz="4" w:space="0" w:color="auto"/>
              <w:bottom w:val="nil"/>
              <w:right w:val="single" w:sz="4" w:space="0" w:color="auto"/>
            </w:tcBorders>
            <w:shd w:val="clear" w:color="auto" w:fill="auto"/>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8 816</w:t>
            </w:r>
          </w:p>
        </w:tc>
        <w:tc>
          <w:tcPr>
            <w:tcW w:w="850"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ind w:firstLineChars="100" w:firstLine="200"/>
              <w:jc w:val="right"/>
              <w:rPr>
                <w:rFonts w:ascii="Arial" w:hAnsi="Arial" w:cs="Arial"/>
                <w:sz w:val="20"/>
                <w:szCs w:val="20"/>
              </w:rPr>
            </w:pPr>
            <w:r w:rsidRPr="00E04C25">
              <w:rPr>
                <w:rFonts w:ascii="Arial" w:hAnsi="Arial" w:cs="Arial"/>
                <w:sz w:val="20"/>
                <w:szCs w:val="20"/>
              </w:rPr>
              <w:t>3,8</w:t>
            </w:r>
          </w:p>
        </w:tc>
        <w:tc>
          <w:tcPr>
            <w:tcW w:w="992" w:type="dxa"/>
            <w:tcBorders>
              <w:top w:val="nil"/>
              <w:left w:val="nil"/>
              <w:bottom w:val="nil"/>
              <w:right w:val="double" w:sz="6" w:space="0" w:color="auto"/>
            </w:tcBorders>
            <w:shd w:val="clear" w:color="auto" w:fill="auto"/>
            <w:noWrap/>
            <w:tcMar>
              <w:top w:w="15" w:type="dxa"/>
              <w:left w:w="15" w:type="dxa"/>
              <w:bottom w:w="0" w:type="dxa"/>
              <w:right w:w="85" w:type="dxa"/>
            </w:tcMar>
            <w:vAlign w:val="center"/>
            <w:hideMark/>
          </w:tcPr>
          <w:p w:rsidR="00A4289A" w:rsidRPr="00E04C25" w:rsidRDefault="00A4289A" w:rsidP="002413D1">
            <w:pPr>
              <w:ind w:firstLineChars="100" w:firstLine="201"/>
              <w:jc w:val="right"/>
              <w:rPr>
                <w:rFonts w:ascii="Arial" w:hAnsi="Arial" w:cs="Arial"/>
                <w:b/>
                <w:bCs/>
                <w:sz w:val="20"/>
                <w:szCs w:val="20"/>
              </w:rPr>
            </w:pPr>
            <w:r w:rsidRPr="00E04C25">
              <w:rPr>
                <w:rFonts w:ascii="Arial" w:hAnsi="Arial" w:cs="Arial"/>
                <w:b/>
                <w:bCs/>
                <w:sz w:val="20"/>
                <w:szCs w:val="20"/>
              </w:rPr>
              <w:t>2,7</w:t>
            </w:r>
          </w:p>
        </w:tc>
      </w:tr>
      <w:tr w:rsidR="00A4289A" w:rsidRPr="00E04C25" w:rsidTr="00523B41">
        <w:trPr>
          <w:trHeight w:val="300"/>
          <w:jc w:val="center"/>
        </w:trPr>
        <w:tc>
          <w:tcPr>
            <w:tcW w:w="316" w:type="dxa"/>
            <w:tcBorders>
              <w:top w:val="nil"/>
              <w:left w:val="double" w:sz="6" w:space="0" w:color="auto"/>
              <w:bottom w:val="nil"/>
              <w:right w:val="single" w:sz="4" w:space="0" w:color="auto"/>
            </w:tcBorders>
            <w:shd w:val="clear" w:color="auto" w:fill="auto"/>
            <w:noWrap/>
            <w:tcMar>
              <w:top w:w="15" w:type="dxa"/>
              <w:left w:w="15" w:type="dxa"/>
              <w:bottom w:w="0" w:type="dxa"/>
              <w:right w:w="15" w:type="dxa"/>
            </w:tcMar>
            <w:vAlign w:val="center"/>
            <w:hideMark/>
          </w:tcPr>
          <w:p w:rsidR="00A4289A" w:rsidRPr="00E04C25" w:rsidRDefault="00A4289A" w:rsidP="00523B41">
            <w:pPr>
              <w:spacing w:line="276" w:lineRule="auto"/>
              <w:jc w:val="center"/>
              <w:rPr>
                <w:rFonts w:ascii="Arial" w:eastAsia="Arial Unicode MS" w:hAnsi="Arial" w:cs="Arial"/>
                <w:sz w:val="20"/>
                <w:szCs w:val="20"/>
                <w:lang w:eastAsia="en-US"/>
              </w:rPr>
            </w:pPr>
            <w:r w:rsidRPr="00E04C25">
              <w:rPr>
                <w:rFonts w:ascii="Arial" w:hAnsi="Arial" w:cs="Arial"/>
                <w:sz w:val="20"/>
                <w:szCs w:val="20"/>
                <w:lang w:eastAsia="en-US"/>
              </w:rPr>
              <w:t>13.</w:t>
            </w:r>
          </w:p>
        </w:tc>
        <w:tc>
          <w:tcPr>
            <w:tcW w:w="2236" w:type="dxa"/>
            <w:tcBorders>
              <w:top w:val="nil"/>
              <w:left w:val="nil"/>
              <w:bottom w:val="nil"/>
              <w:right w:val="single" w:sz="4" w:space="0" w:color="auto"/>
            </w:tcBorders>
            <w:shd w:val="clear" w:color="auto" w:fill="auto"/>
            <w:noWrap/>
            <w:tcMar>
              <w:top w:w="15" w:type="dxa"/>
              <w:left w:w="113" w:type="dxa"/>
              <w:bottom w:w="0" w:type="dxa"/>
              <w:right w:w="15" w:type="dxa"/>
            </w:tcMar>
            <w:vAlign w:val="center"/>
            <w:hideMark/>
          </w:tcPr>
          <w:p w:rsidR="00A4289A" w:rsidRPr="00E04C25" w:rsidRDefault="00A4289A">
            <w:pPr>
              <w:rPr>
                <w:rFonts w:ascii="Arial" w:hAnsi="Arial" w:cs="Arial"/>
                <w:sz w:val="20"/>
                <w:szCs w:val="20"/>
              </w:rPr>
            </w:pPr>
            <w:r w:rsidRPr="00E04C25">
              <w:rPr>
                <w:rFonts w:ascii="Arial" w:hAnsi="Arial" w:cs="Arial"/>
                <w:sz w:val="20"/>
                <w:szCs w:val="20"/>
              </w:rPr>
              <w:t>Plzeňský kraj</w:t>
            </w:r>
          </w:p>
        </w:tc>
        <w:tc>
          <w:tcPr>
            <w:tcW w:w="1063" w:type="dxa"/>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14 655</w:t>
            </w:r>
          </w:p>
        </w:tc>
        <w:tc>
          <w:tcPr>
            <w:tcW w:w="1205"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10 517</w:t>
            </w:r>
          </w:p>
        </w:tc>
        <w:tc>
          <w:tcPr>
            <w:tcW w:w="1112"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10 210</w:t>
            </w:r>
          </w:p>
        </w:tc>
        <w:tc>
          <w:tcPr>
            <w:tcW w:w="1156" w:type="dxa"/>
            <w:tcBorders>
              <w:top w:val="nil"/>
              <w:left w:val="single" w:sz="4" w:space="0" w:color="auto"/>
              <w:bottom w:val="nil"/>
              <w:right w:val="single" w:sz="4" w:space="0" w:color="auto"/>
            </w:tcBorders>
            <w:shd w:val="clear" w:color="auto" w:fill="auto"/>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20 396</w:t>
            </w:r>
          </w:p>
        </w:tc>
        <w:tc>
          <w:tcPr>
            <w:tcW w:w="850" w:type="dxa"/>
            <w:tcBorders>
              <w:top w:val="nil"/>
              <w:left w:val="single" w:sz="4" w:space="0" w:color="auto"/>
              <w:bottom w:val="nil"/>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ind w:firstLineChars="100" w:firstLine="200"/>
              <w:jc w:val="right"/>
              <w:rPr>
                <w:rFonts w:ascii="Arial" w:hAnsi="Arial" w:cs="Arial"/>
                <w:sz w:val="20"/>
                <w:szCs w:val="20"/>
              </w:rPr>
            </w:pPr>
            <w:r w:rsidRPr="00E04C25">
              <w:rPr>
                <w:rFonts w:ascii="Arial" w:hAnsi="Arial" w:cs="Arial"/>
                <w:sz w:val="20"/>
                <w:szCs w:val="20"/>
              </w:rPr>
              <w:t>3,6</w:t>
            </w:r>
          </w:p>
        </w:tc>
        <w:tc>
          <w:tcPr>
            <w:tcW w:w="992" w:type="dxa"/>
            <w:tcBorders>
              <w:top w:val="nil"/>
              <w:left w:val="nil"/>
              <w:bottom w:val="nil"/>
              <w:right w:val="double" w:sz="6" w:space="0" w:color="auto"/>
            </w:tcBorders>
            <w:shd w:val="clear" w:color="auto" w:fill="auto"/>
            <w:noWrap/>
            <w:tcMar>
              <w:top w:w="15" w:type="dxa"/>
              <w:left w:w="15" w:type="dxa"/>
              <w:bottom w:w="0" w:type="dxa"/>
              <w:right w:w="85" w:type="dxa"/>
            </w:tcMar>
            <w:vAlign w:val="center"/>
            <w:hideMark/>
          </w:tcPr>
          <w:p w:rsidR="00A4289A" w:rsidRPr="00E04C25" w:rsidRDefault="00A4289A" w:rsidP="002413D1">
            <w:pPr>
              <w:ind w:firstLineChars="100" w:firstLine="201"/>
              <w:jc w:val="right"/>
              <w:rPr>
                <w:rFonts w:ascii="Arial" w:hAnsi="Arial" w:cs="Arial"/>
                <w:b/>
                <w:bCs/>
                <w:sz w:val="20"/>
                <w:szCs w:val="20"/>
              </w:rPr>
            </w:pPr>
            <w:r w:rsidRPr="00E04C25">
              <w:rPr>
                <w:rFonts w:ascii="Arial" w:hAnsi="Arial" w:cs="Arial"/>
                <w:b/>
                <w:bCs/>
                <w:sz w:val="20"/>
                <w:szCs w:val="20"/>
              </w:rPr>
              <w:t>2,6</w:t>
            </w:r>
          </w:p>
        </w:tc>
      </w:tr>
      <w:tr w:rsidR="00A4289A" w:rsidRPr="00E04C25" w:rsidTr="00523B41">
        <w:trPr>
          <w:trHeight w:val="300"/>
          <w:jc w:val="center"/>
        </w:trPr>
        <w:tc>
          <w:tcPr>
            <w:tcW w:w="316" w:type="dxa"/>
            <w:tcBorders>
              <w:top w:val="nil"/>
              <w:left w:val="double" w:sz="6" w:space="0" w:color="auto"/>
              <w:bottom w:val="single" w:sz="6" w:space="0" w:color="auto"/>
              <w:right w:val="single" w:sz="4" w:space="0" w:color="auto"/>
            </w:tcBorders>
            <w:shd w:val="clear" w:color="auto" w:fill="auto"/>
            <w:noWrap/>
            <w:tcMar>
              <w:top w:w="15" w:type="dxa"/>
              <w:left w:w="15" w:type="dxa"/>
              <w:bottom w:w="0" w:type="dxa"/>
              <w:right w:w="15" w:type="dxa"/>
            </w:tcMar>
            <w:vAlign w:val="center"/>
            <w:hideMark/>
          </w:tcPr>
          <w:p w:rsidR="00A4289A" w:rsidRPr="00E04C25" w:rsidRDefault="00A4289A" w:rsidP="00523B41">
            <w:pPr>
              <w:spacing w:line="276" w:lineRule="auto"/>
              <w:jc w:val="center"/>
              <w:rPr>
                <w:rFonts w:ascii="Arial" w:eastAsia="Arial Unicode MS" w:hAnsi="Arial" w:cs="Arial"/>
                <w:sz w:val="20"/>
                <w:szCs w:val="20"/>
                <w:lang w:eastAsia="en-US"/>
              </w:rPr>
            </w:pPr>
            <w:r w:rsidRPr="00E04C25">
              <w:rPr>
                <w:rFonts w:ascii="Arial" w:hAnsi="Arial" w:cs="Arial"/>
                <w:sz w:val="20"/>
                <w:szCs w:val="20"/>
                <w:lang w:eastAsia="en-US"/>
              </w:rPr>
              <w:t>14.</w:t>
            </w:r>
          </w:p>
        </w:tc>
        <w:tc>
          <w:tcPr>
            <w:tcW w:w="2236" w:type="dxa"/>
            <w:tcBorders>
              <w:top w:val="nil"/>
              <w:left w:val="nil"/>
              <w:bottom w:val="single" w:sz="6" w:space="0" w:color="auto"/>
              <w:right w:val="single" w:sz="4" w:space="0" w:color="auto"/>
            </w:tcBorders>
            <w:shd w:val="clear" w:color="auto" w:fill="auto"/>
            <w:noWrap/>
            <w:tcMar>
              <w:top w:w="15" w:type="dxa"/>
              <w:left w:w="113" w:type="dxa"/>
              <w:bottom w:w="0" w:type="dxa"/>
              <w:right w:w="15" w:type="dxa"/>
            </w:tcMar>
            <w:vAlign w:val="center"/>
            <w:hideMark/>
          </w:tcPr>
          <w:p w:rsidR="00A4289A" w:rsidRPr="00E04C25" w:rsidRDefault="00A4289A">
            <w:pPr>
              <w:rPr>
                <w:rFonts w:ascii="Arial" w:hAnsi="Arial" w:cs="Arial"/>
                <w:sz w:val="20"/>
                <w:szCs w:val="20"/>
              </w:rPr>
            </w:pPr>
            <w:r w:rsidRPr="00E04C25">
              <w:rPr>
                <w:rFonts w:ascii="Arial" w:hAnsi="Arial" w:cs="Arial"/>
                <w:sz w:val="20"/>
                <w:szCs w:val="20"/>
              </w:rPr>
              <w:t>Hl. m. Praha</w:t>
            </w:r>
          </w:p>
        </w:tc>
        <w:tc>
          <w:tcPr>
            <w:tcW w:w="1063" w:type="dxa"/>
            <w:tcBorders>
              <w:top w:val="nil"/>
              <w:left w:val="nil"/>
              <w:bottom w:val="single" w:sz="6" w:space="0" w:color="auto"/>
              <w:right w:val="nil"/>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30 179</w:t>
            </w:r>
          </w:p>
        </w:tc>
        <w:tc>
          <w:tcPr>
            <w:tcW w:w="1205" w:type="dxa"/>
            <w:tcBorders>
              <w:top w:val="nil"/>
              <w:left w:val="single" w:sz="4" w:space="0" w:color="auto"/>
              <w:bottom w:val="single" w:sz="6" w:space="0" w:color="auto"/>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21 787</w:t>
            </w:r>
          </w:p>
        </w:tc>
        <w:tc>
          <w:tcPr>
            <w:tcW w:w="1112" w:type="dxa"/>
            <w:tcBorders>
              <w:top w:val="nil"/>
              <w:left w:val="single" w:sz="4" w:space="0" w:color="auto"/>
              <w:bottom w:val="single" w:sz="6" w:space="0" w:color="auto"/>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21 054</w:t>
            </w:r>
          </w:p>
        </w:tc>
        <w:tc>
          <w:tcPr>
            <w:tcW w:w="1156" w:type="dxa"/>
            <w:tcBorders>
              <w:top w:val="nil"/>
              <w:left w:val="single" w:sz="4" w:space="0" w:color="auto"/>
              <w:bottom w:val="single" w:sz="6" w:space="0" w:color="auto"/>
              <w:right w:val="single" w:sz="4" w:space="0" w:color="auto"/>
            </w:tcBorders>
            <w:shd w:val="clear" w:color="auto" w:fill="auto"/>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42 380</w:t>
            </w:r>
          </w:p>
        </w:tc>
        <w:tc>
          <w:tcPr>
            <w:tcW w:w="850" w:type="dxa"/>
            <w:tcBorders>
              <w:top w:val="nil"/>
              <w:left w:val="single" w:sz="4" w:space="0" w:color="auto"/>
              <w:bottom w:val="single" w:sz="6" w:space="0" w:color="auto"/>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ind w:firstLineChars="100" w:firstLine="200"/>
              <w:jc w:val="right"/>
              <w:rPr>
                <w:rFonts w:ascii="Arial" w:hAnsi="Arial" w:cs="Arial"/>
                <w:sz w:val="20"/>
                <w:szCs w:val="20"/>
              </w:rPr>
            </w:pPr>
            <w:r w:rsidRPr="00E04C25">
              <w:rPr>
                <w:rFonts w:ascii="Arial" w:hAnsi="Arial" w:cs="Arial"/>
                <w:sz w:val="20"/>
                <w:szCs w:val="20"/>
              </w:rPr>
              <w:t>3,4</w:t>
            </w:r>
          </w:p>
        </w:tc>
        <w:tc>
          <w:tcPr>
            <w:tcW w:w="992" w:type="dxa"/>
            <w:tcBorders>
              <w:top w:val="nil"/>
              <w:left w:val="nil"/>
              <w:bottom w:val="single" w:sz="6" w:space="0" w:color="auto"/>
              <w:right w:val="double" w:sz="6" w:space="0" w:color="auto"/>
            </w:tcBorders>
            <w:shd w:val="clear" w:color="auto" w:fill="auto"/>
            <w:noWrap/>
            <w:tcMar>
              <w:top w:w="15" w:type="dxa"/>
              <w:left w:w="15" w:type="dxa"/>
              <w:bottom w:w="0" w:type="dxa"/>
              <w:right w:w="85" w:type="dxa"/>
            </w:tcMar>
            <w:vAlign w:val="center"/>
            <w:hideMark/>
          </w:tcPr>
          <w:p w:rsidR="00A4289A" w:rsidRPr="00E04C25" w:rsidRDefault="00A4289A" w:rsidP="002413D1">
            <w:pPr>
              <w:ind w:firstLineChars="100" w:firstLine="201"/>
              <w:jc w:val="right"/>
              <w:rPr>
                <w:rFonts w:ascii="Arial" w:hAnsi="Arial" w:cs="Arial"/>
                <w:b/>
                <w:bCs/>
                <w:sz w:val="20"/>
                <w:szCs w:val="20"/>
              </w:rPr>
            </w:pPr>
            <w:r w:rsidRPr="00E04C25">
              <w:rPr>
                <w:rFonts w:ascii="Arial" w:hAnsi="Arial" w:cs="Arial"/>
                <w:b/>
                <w:bCs/>
                <w:sz w:val="20"/>
                <w:szCs w:val="20"/>
              </w:rPr>
              <w:t>2,3</w:t>
            </w:r>
          </w:p>
        </w:tc>
      </w:tr>
      <w:tr w:rsidR="00A4289A" w:rsidRPr="00E04C25" w:rsidTr="00523B41">
        <w:trPr>
          <w:trHeight w:val="300"/>
          <w:jc w:val="center"/>
        </w:trPr>
        <w:tc>
          <w:tcPr>
            <w:tcW w:w="316" w:type="dxa"/>
            <w:tcBorders>
              <w:top w:val="single" w:sz="6" w:space="0" w:color="auto"/>
              <w:left w:val="double" w:sz="6" w:space="0" w:color="auto"/>
              <w:bottom w:val="double" w:sz="6" w:space="0" w:color="auto"/>
              <w:right w:val="single" w:sz="4" w:space="0" w:color="auto"/>
            </w:tcBorders>
            <w:shd w:val="clear" w:color="auto" w:fill="auto"/>
            <w:noWrap/>
            <w:tcMar>
              <w:top w:w="15" w:type="dxa"/>
              <w:left w:w="15" w:type="dxa"/>
              <w:bottom w:w="0" w:type="dxa"/>
              <w:right w:w="15" w:type="dxa"/>
            </w:tcMar>
            <w:vAlign w:val="center"/>
          </w:tcPr>
          <w:p w:rsidR="00A4289A" w:rsidRPr="00E04C25" w:rsidRDefault="00A4289A" w:rsidP="00523B41">
            <w:pPr>
              <w:spacing w:line="276" w:lineRule="auto"/>
              <w:rPr>
                <w:rFonts w:ascii="Arial" w:hAnsi="Arial" w:cs="Arial"/>
                <w:sz w:val="20"/>
                <w:szCs w:val="20"/>
                <w:lang w:eastAsia="en-US"/>
              </w:rPr>
            </w:pPr>
          </w:p>
        </w:tc>
        <w:tc>
          <w:tcPr>
            <w:tcW w:w="2236" w:type="dxa"/>
            <w:tcBorders>
              <w:top w:val="single" w:sz="6" w:space="0" w:color="auto"/>
              <w:left w:val="nil"/>
              <w:bottom w:val="double" w:sz="6" w:space="0" w:color="auto"/>
              <w:right w:val="single" w:sz="4" w:space="0" w:color="auto"/>
            </w:tcBorders>
            <w:shd w:val="clear" w:color="auto" w:fill="auto"/>
            <w:noWrap/>
            <w:tcMar>
              <w:top w:w="15" w:type="dxa"/>
              <w:left w:w="113" w:type="dxa"/>
              <w:bottom w:w="0" w:type="dxa"/>
              <w:right w:w="15" w:type="dxa"/>
            </w:tcMar>
            <w:vAlign w:val="center"/>
            <w:hideMark/>
          </w:tcPr>
          <w:p w:rsidR="00A4289A" w:rsidRPr="00E04C25" w:rsidRDefault="00A4289A">
            <w:pPr>
              <w:rPr>
                <w:rFonts w:ascii="Arial" w:hAnsi="Arial" w:cs="Arial"/>
                <w:b/>
                <w:bCs/>
                <w:sz w:val="20"/>
                <w:szCs w:val="20"/>
              </w:rPr>
            </w:pPr>
            <w:r w:rsidRPr="00E04C25">
              <w:rPr>
                <w:rFonts w:ascii="Arial" w:hAnsi="Arial" w:cs="Arial"/>
                <w:b/>
                <w:bCs/>
                <w:sz w:val="20"/>
                <w:szCs w:val="20"/>
              </w:rPr>
              <w:t>Celkem ČR</w:t>
            </w:r>
          </w:p>
        </w:tc>
        <w:tc>
          <w:tcPr>
            <w:tcW w:w="1063" w:type="dxa"/>
            <w:tcBorders>
              <w:top w:val="single" w:sz="6" w:space="0" w:color="auto"/>
              <w:left w:val="nil"/>
              <w:bottom w:val="double" w:sz="6" w:space="0" w:color="auto"/>
              <w:right w:val="nil"/>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381 373</w:t>
            </w:r>
          </w:p>
        </w:tc>
        <w:tc>
          <w:tcPr>
            <w:tcW w:w="1205" w:type="dxa"/>
            <w:tcBorders>
              <w:top w:val="single" w:sz="6" w:space="0" w:color="auto"/>
              <w:left w:val="single" w:sz="4" w:space="0" w:color="auto"/>
              <w:bottom w:val="double" w:sz="6" w:space="0" w:color="auto"/>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280 620</w:t>
            </w:r>
          </w:p>
        </w:tc>
        <w:tc>
          <w:tcPr>
            <w:tcW w:w="1112" w:type="dxa"/>
            <w:tcBorders>
              <w:top w:val="single" w:sz="6" w:space="0" w:color="auto"/>
              <w:left w:val="single" w:sz="4" w:space="0" w:color="auto"/>
              <w:bottom w:val="double" w:sz="6" w:space="0" w:color="auto"/>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jc w:val="right"/>
              <w:rPr>
                <w:rFonts w:ascii="Arial" w:hAnsi="Arial" w:cs="Arial"/>
                <w:sz w:val="20"/>
                <w:szCs w:val="20"/>
              </w:rPr>
            </w:pPr>
            <w:r w:rsidRPr="00E04C25">
              <w:rPr>
                <w:rFonts w:ascii="Arial" w:hAnsi="Arial" w:cs="Arial"/>
                <w:sz w:val="20"/>
                <w:szCs w:val="20"/>
              </w:rPr>
              <w:t>132 496</w:t>
            </w:r>
          </w:p>
        </w:tc>
        <w:tc>
          <w:tcPr>
            <w:tcW w:w="1156" w:type="dxa"/>
            <w:tcBorders>
              <w:top w:val="single" w:sz="6" w:space="0" w:color="auto"/>
              <w:left w:val="single" w:sz="4" w:space="0" w:color="auto"/>
              <w:bottom w:val="double" w:sz="6" w:space="0" w:color="auto"/>
              <w:right w:val="single" w:sz="4" w:space="0" w:color="auto"/>
            </w:tcBorders>
            <w:shd w:val="clear" w:color="auto" w:fill="auto"/>
            <w:tcMar>
              <w:top w:w="15" w:type="dxa"/>
              <w:left w:w="15" w:type="dxa"/>
              <w:bottom w:w="0" w:type="dxa"/>
              <w:right w:w="85" w:type="dxa"/>
            </w:tcMar>
            <w:vAlign w:val="center"/>
            <w:hideMark/>
          </w:tcPr>
          <w:p w:rsidR="00A4289A" w:rsidRPr="00E04C25" w:rsidRDefault="00A4289A">
            <w:pPr>
              <w:jc w:val="right"/>
              <w:rPr>
                <w:rFonts w:ascii="Arial" w:hAnsi="Arial" w:cs="Arial"/>
                <w:b/>
                <w:bCs/>
                <w:sz w:val="20"/>
                <w:szCs w:val="20"/>
              </w:rPr>
            </w:pPr>
            <w:r w:rsidRPr="00E04C25">
              <w:rPr>
                <w:rFonts w:ascii="Arial" w:hAnsi="Arial" w:cs="Arial"/>
                <w:b/>
                <w:bCs/>
                <w:sz w:val="20"/>
                <w:szCs w:val="20"/>
              </w:rPr>
              <w:t>216 629</w:t>
            </w:r>
          </w:p>
        </w:tc>
        <w:tc>
          <w:tcPr>
            <w:tcW w:w="850" w:type="dxa"/>
            <w:tcBorders>
              <w:top w:val="single" w:sz="6" w:space="0" w:color="auto"/>
              <w:left w:val="single" w:sz="4" w:space="0" w:color="auto"/>
              <w:bottom w:val="double" w:sz="6" w:space="0" w:color="auto"/>
              <w:right w:val="single" w:sz="4" w:space="0" w:color="auto"/>
            </w:tcBorders>
            <w:shd w:val="clear" w:color="auto" w:fill="auto"/>
            <w:noWrap/>
            <w:tcMar>
              <w:top w:w="15" w:type="dxa"/>
              <w:left w:w="15" w:type="dxa"/>
              <w:bottom w:w="0" w:type="dxa"/>
              <w:right w:w="85" w:type="dxa"/>
            </w:tcMar>
            <w:vAlign w:val="center"/>
            <w:hideMark/>
          </w:tcPr>
          <w:p w:rsidR="00A4289A" w:rsidRPr="00E04C25" w:rsidRDefault="00A4289A">
            <w:pPr>
              <w:ind w:firstLineChars="100" w:firstLine="200"/>
              <w:jc w:val="right"/>
              <w:rPr>
                <w:rFonts w:ascii="Arial" w:hAnsi="Arial" w:cs="Arial"/>
                <w:sz w:val="20"/>
                <w:szCs w:val="20"/>
              </w:rPr>
            </w:pPr>
            <w:r w:rsidRPr="00E04C25">
              <w:rPr>
                <w:rFonts w:ascii="Arial" w:hAnsi="Arial" w:cs="Arial"/>
                <w:sz w:val="20"/>
                <w:szCs w:val="20"/>
              </w:rPr>
              <w:t>5,2</w:t>
            </w:r>
          </w:p>
        </w:tc>
        <w:tc>
          <w:tcPr>
            <w:tcW w:w="992" w:type="dxa"/>
            <w:tcBorders>
              <w:top w:val="single" w:sz="6" w:space="0" w:color="auto"/>
              <w:left w:val="nil"/>
              <w:bottom w:val="double" w:sz="6" w:space="0" w:color="auto"/>
              <w:right w:val="double" w:sz="6" w:space="0" w:color="auto"/>
            </w:tcBorders>
            <w:shd w:val="clear" w:color="auto" w:fill="auto"/>
            <w:noWrap/>
            <w:tcMar>
              <w:top w:w="15" w:type="dxa"/>
              <w:left w:w="15" w:type="dxa"/>
              <w:bottom w:w="0" w:type="dxa"/>
              <w:right w:w="85" w:type="dxa"/>
            </w:tcMar>
            <w:vAlign w:val="center"/>
            <w:hideMark/>
          </w:tcPr>
          <w:p w:rsidR="00A4289A" w:rsidRPr="00E04C25" w:rsidRDefault="00A4289A" w:rsidP="002413D1">
            <w:pPr>
              <w:ind w:firstLineChars="100" w:firstLine="201"/>
              <w:jc w:val="right"/>
              <w:rPr>
                <w:rFonts w:ascii="Arial" w:hAnsi="Arial" w:cs="Arial"/>
                <w:b/>
                <w:bCs/>
                <w:sz w:val="20"/>
                <w:szCs w:val="20"/>
              </w:rPr>
            </w:pPr>
            <w:r w:rsidRPr="00E04C25">
              <w:rPr>
                <w:rFonts w:ascii="Arial" w:hAnsi="Arial" w:cs="Arial"/>
                <w:b/>
                <w:bCs/>
                <w:sz w:val="20"/>
                <w:szCs w:val="20"/>
              </w:rPr>
              <w:t>3,8</w:t>
            </w:r>
          </w:p>
        </w:tc>
      </w:tr>
    </w:tbl>
    <w:p w:rsidR="00115440" w:rsidRPr="00E04C25" w:rsidRDefault="00115440" w:rsidP="00115440">
      <w:pPr>
        <w:pStyle w:val="Zkladntext"/>
        <w:spacing w:line="360" w:lineRule="auto"/>
        <w:ind w:firstLine="708"/>
        <w:rPr>
          <w:b/>
          <w:color w:val="auto"/>
          <w:szCs w:val="23"/>
          <w:highlight w:val="yellow"/>
          <w:lang w:val="cs-CZ"/>
        </w:rPr>
      </w:pPr>
    </w:p>
    <w:p w:rsidR="00115440" w:rsidRPr="00E04C25" w:rsidRDefault="00115440" w:rsidP="00115440">
      <w:pPr>
        <w:pStyle w:val="Zkladntext"/>
        <w:spacing w:line="360" w:lineRule="auto"/>
        <w:ind w:firstLine="567"/>
        <w:rPr>
          <w:color w:val="auto"/>
          <w:szCs w:val="23"/>
          <w:lang w:val="cs-CZ"/>
        </w:rPr>
      </w:pPr>
      <w:r w:rsidRPr="00E04C25">
        <w:rPr>
          <w:b/>
          <w:color w:val="auto"/>
          <w:szCs w:val="23"/>
          <w:lang w:val="cs-CZ"/>
        </w:rPr>
        <w:t>Nej</w:t>
      </w:r>
      <w:r w:rsidR="00C062E1" w:rsidRPr="00E04C25">
        <w:rPr>
          <w:b/>
          <w:color w:val="auto"/>
          <w:szCs w:val="23"/>
          <w:lang w:val="cs-CZ"/>
        </w:rPr>
        <w:t>větší</w:t>
      </w:r>
      <w:r w:rsidRPr="00E04C25">
        <w:rPr>
          <w:b/>
          <w:color w:val="auto"/>
          <w:szCs w:val="23"/>
          <w:lang w:val="cs-CZ"/>
        </w:rPr>
        <w:t xml:space="preserve"> pokles počtu uchazečů o zaměstnání</w:t>
      </w:r>
      <w:r w:rsidRPr="00E04C25">
        <w:rPr>
          <w:color w:val="auto"/>
          <w:szCs w:val="23"/>
          <w:lang w:val="cs-CZ"/>
        </w:rPr>
        <w:t xml:space="preserve"> byl zaznamenán </w:t>
      </w:r>
      <w:r w:rsidR="003F2C0E" w:rsidRPr="00E04C25">
        <w:rPr>
          <w:b/>
          <w:color w:val="auto"/>
          <w:szCs w:val="23"/>
          <w:lang w:val="cs-CZ"/>
        </w:rPr>
        <w:t>v Moravskoslezském</w:t>
      </w:r>
      <w:r w:rsidRPr="00E04C25">
        <w:rPr>
          <w:color w:val="auto"/>
          <w:szCs w:val="23"/>
          <w:lang w:val="cs-CZ"/>
        </w:rPr>
        <w:t xml:space="preserve"> (o </w:t>
      </w:r>
      <w:r w:rsidR="003F2C0E" w:rsidRPr="00E04C25">
        <w:rPr>
          <w:color w:val="auto"/>
          <w:szCs w:val="23"/>
          <w:lang w:val="cs-CZ"/>
        </w:rPr>
        <w:t>14 549</w:t>
      </w:r>
      <w:r w:rsidRPr="00E04C25">
        <w:rPr>
          <w:color w:val="auto"/>
          <w:szCs w:val="23"/>
          <w:lang w:val="cs-CZ"/>
        </w:rPr>
        <w:t xml:space="preserve">) a </w:t>
      </w:r>
      <w:r w:rsidR="003F2C0E" w:rsidRPr="00E04C25">
        <w:rPr>
          <w:color w:val="auto"/>
          <w:szCs w:val="23"/>
          <w:lang w:val="cs-CZ"/>
        </w:rPr>
        <w:t>Ústeckém</w:t>
      </w:r>
      <w:r w:rsidRPr="00E04C25">
        <w:rPr>
          <w:b/>
          <w:color w:val="auto"/>
          <w:szCs w:val="23"/>
          <w:lang w:val="cs-CZ"/>
        </w:rPr>
        <w:t xml:space="preserve"> </w:t>
      </w:r>
      <w:r w:rsidRPr="00E04C25">
        <w:rPr>
          <w:color w:val="auto"/>
          <w:szCs w:val="23"/>
          <w:lang w:val="cs-CZ"/>
        </w:rPr>
        <w:t xml:space="preserve">(o </w:t>
      </w:r>
      <w:r w:rsidR="003F2C0E" w:rsidRPr="00E04C25">
        <w:rPr>
          <w:color w:val="auto"/>
          <w:szCs w:val="23"/>
          <w:lang w:val="cs-CZ"/>
        </w:rPr>
        <w:t>13</w:t>
      </w:r>
      <w:r w:rsidRPr="00E04C25">
        <w:rPr>
          <w:color w:val="auto"/>
          <w:szCs w:val="23"/>
          <w:lang w:val="cs-CZ"/>
        </w:rPr>
        <w:t> </w:t>
      </w:r>
      <w:r w:rsidR="003F2C0E" w:rsidRPr="00E04C25">
        <w:rPr>
          <w:color w:val="auto"/>
          <w:szCs w:val="23"/>
          <w:lang w:val="cs-CZ"/>
        </w:rPr>
        <w:t>006</w:t>
      </w:r>
      <w:r w:rsidRPr="00E04C25">
        <w:rPr>
          <w:color w:val="auto"/>
          <w:szCs w:val="23"/>
          <w:lang w:val="cs-CZ"/>
        </w:rPr>
        <w:t xml:space="preserve">), </w:t>
      </w:r>
      <w:r w:rsidR="003F2C0E" w:rsidRPr="00E04C25">
        <w:rPr>
          <w:color w:val="auto"/>
          <w:szCs w:val="23"/>
          <w:lang w:val="cs-CZ"/>
        </w:rPr>
        <w:t>a Jihomoravském kraji (o 11 742</w:t>
      </w:r>
      <w:r w:rsidRPr="00E04C25">
        <w:rPr>
          <w:color w:val="auto"/>
          <w:szCs w:val="23"/>
          <w:lang w:val="cs-CZ"/>
        </w:rPr>
        <w:t xml:space="preserve"> osob), ovšem </w:t>
      </w:r>
      <w:r w:rsidRPr="00E04C25">
        <w:rPr>
          <w:b/>
          <w:color w:val="auto"/>
          <w:szCs w:val="23"/>
          <w:lang w:val="cs-CZ"/>
        </w:rPr>
        <w:t xml:space="preserve">v relativním vyjádření </w:t>
      </w:r>
      <w:r w:rsidRPr="00E04C25">
        <w:rPr>
          <w:color w:val="auto"/>
          <w:szCs w:val="23"/>
          <w:lang w:val="cs-CZ"/>
        </w:rPr>
        <w:t xml:space="preserve">byl jejich </w:t>
      </w:r>
      <w:r w:rsidRPr="00E04C25">
        <w:rPr>
          <w:b/>
          <w:color w:val="auto"/>
          <w:szCs w:val="23"/>
          <w:lang w:val="cs-CZ"/>
        </w:rPr>
        <w:t>pokles nejvýraznější v K</w:t>
      </w:r>
      <w:r w:rsidR="003F2C0E" w:rsidRPr="00E04C25">
        <w:rPr>
          <w:b/>
          <w:color w:val="auto"/>
          <w:szCs w:val="23"/>
          <w:lang w:val="cs-CZ"/>
        </w:rPr>
        <w:t>arlovarské</w:t>
      </w:r>
      <w:r w:rsidRPr="00E04C25">
        <w:rPr>
          <w:b/>
          <w:color w:val="auto"/>
          <w:szCs w:val="23"/>
          <w:lang w:val="cs-CZ"/>
        </w:rPr>
        <w:t>m</w:t>
      </w:r>
      <w:r w:rsidRPr="00E04C25">
        <w:rPr>
          <w:color w:val="auto"/>
          <w:szCs w:val="23"/>
          <w:lang w:val="cs-CZ"/>
        </w:rPr>
        <w:t xml:space="preserve"> (o </w:t>
      </w:r>
      <w:r w:rsidR="003F2C0E" w:rsidRPr="00E04C25">
        <w:rPr>
          <w:color w:val="auto"/>
          <w:szCs w:val="23"/>
          <w:lang w:val="cs-CZ"/>
        </w:rPr>
        <w:t>36</w:t>
      </w:r>
      <w:r w:rsidRPr="00E04C25">
        <w:rPr>
          <w:color w:val="auto"/>
          <w:szCs w:val="23"/>
          <w:lang w:val="cs-CZ"/>
        </w:rPr>
        <w:t>,</w:t>
      </w:r>
      <w:r w:rsidR="003F2C0E" w:rsidRPr="00E04C25">
        <w:rPr>
          <w:color w:val="auto"/>
          <w:szCs w:val="23"/>
          <w:lang w:val="cs-CZ"/>
        </w:rPr>
        <w:t>5</w:t>
      </w:r>
      <w:r w:rsidRPr="00E04C25">
        <w:rPr>
          <w:color w:val="auto"/>
          <w:szCs w:val="23"/>
          <w:lang w:val="cs-CZ"/>
        </w:rPr>
        <w:t> %), P</w:t>
      </w:r>
      <w:r w:rsidR="003F2C0E" w:rsidRPr="00E04C25">
        <w:rPr>
          <w:color w:val="auto"/>
          <w:szCs w:val="23"/>
          <w:lang w:val="cs-CZ"/>
        </w:rPr>
        <w:t>ardubickém</w:t>
      </w:r>
      <w:r w:rsidRPr="00E04C25">
        <w:rPr>
          <w:color w:val="auto"/>
          <w:szCs w:val="23"/>
          <w:lang w:val="cs-CZ"/>
        </w:rPr>
        <w:t xml:space="preserve"> (o 2</w:t>
      </w:r>
      <w:r w:rsidR="003F2C0E" w:rsidRPr="00E04C25">
        <w:rPr>
          <w:color w:val="auto"/>
          <w:szCs w:val="23"/>
          <w:lang w:val="cs-CZ"/>
        </w:rPr>
        <w:t>9</w:t>
      </w:r>
      <w:r w:rsidRPr="00E04C25">
        <w:rPr>
          <w:color w:val="auto"/>
          <w:szCs w:val="23"/>
          <w:lang w:val="cs-CZ"/>
        </w:rPr>
        <w:t>,</w:t>
      </w:r>
      <w:r w:rsidR="003F2C0E" w:rsidRPr="00E04C25">
        <w:rPr>
          <w:color w:val="auto"/>
          <w:szCs w:val="23"/>
          <w:lang w:val="cs-CZ"/>
        </w:rPr>
        <w:t>5</w:t>
      </w:r>
      <w:r w:rsidRPr="00E04C25">
        <w:rPr>
          <w:color w:val="auto"/>
          <w:szCs w:val="23"/>
          <w:lang w:val="cs-CZ"/>
        </w:rPr>
        <w:t xml:space="preserve"> %), </w:t>
      </w:r>
      <w:r w:rsidR="003F2C0E" w:rsidRPr="00E04C25">
        <w:rPr>
          <w:color w:val="auto"/>
          <w:szCs w:val="23"/>
          <w:lang w:val="cs-CZ"/>
        </w:rPr>
        <w:t xml:space="preserve">Zlínském </w:t>
      </w:r>
      <w:r w:rsidRPr="00E04C25">
        <w:rPr>
          <w:color w:val="auto"/>
          <w:szCs w:val="23"/>
          <w:lang w:val="cs-CZ"/>
        </w:rPr>
        <w:t>(o 2</w:t>
      </w:r>
      <w:r w:rsidR="003F2C0E" w:rsidRPr="00E04C25">
        <w:rPr>
          <w:color w:val="auto"/>
          <w:szCs w:val="23"/>
          <w:lang w:val="cs-CZ"/>
        </w:rPr>
        <w:t>9</w:t>
      </w:r>
      <w:r w:rsidRPr="00E04C25">
        <w:rPr>
          <w:color w:val="auto"/>
          <w:szCs w:val="23"/>
          <w:lang w:val="cs-CZ"/>
        </w:rPr>
        <w:t>,</w:t>
      </w:r>
      <w:r w:rsidR="003F2C0E" w:rsidRPr="00E04C25">
        <w:rPr>
          <w:color w:val="auto"/>
          <w:szCs w:val="23"/>
          <w:lang w:val="cs-CZ"/>
        </w:rPr>
        <w:t>3</w:t>
      </w:r>
      <w:r w:rsidRPr="00E04C25">
        <w:rPr>
          <w:color w:val="auto"/>
          <w:szCs w:val="23"/>
          <w:lang w:val="cs-CZ"/>
        </w:rPr>
        <w:t xml:space="preserve"> %) </w:t>
      </w:r>
      <w:r w:rsidR="003F2C0E" w:rsidRPr="00E04C25">
        <w:rPr>
          <w:color w:val="auto"/>
          <w:szCs w:val="23"/>
          <w:lang w:val="cs-CZ"/>
        </w:rPr>
        <w:t>a</w:t>
      </w:r>
      <w:r w:rsidRPr="00E04C25">
        <w:rPr>
          <w:color w:val="auto"/>
          <w:szCs w:val="23"/>
          <w:lang w:val="cs-CZ"/>
        </w:rPr>
        <w:t> </w:t>
      </w:r>
      <w:r w:rsidR="003F2C0E" w:rsidRPr="00E04C25">
        <w:rPr>
          <w:color w:val="auto"/>
          <w:szCs w:val="23"/>
          <w:lang w:val="cs-CZ"/>
        </w:rPr>
        <w:t>Ústeckém</w:t>
      </w:r>
      <w:r w:rsidRPr="00E04C25">
        <w:rPr>
          <w:color w:val="auto"/>
          <w:szCs w:val="23"/>
          <w:lang w:val="cs-CZ"/>
        </w:rPr>
        <w:t xml:space="preserve"> kraji (o 2</w:t>
      </w:r>
      <w:r w:rsidR="003F2C0E" w:rsidRPr="00E04C25">
        <w:rPr>
          <w:color w:val="auto"/>
          <w:szCs w:val="23"/>
          <w:lang w:val="cs-CZ"/>
        </w:rPr>
        <w:t>9</w:t>
      </w:r>
      <w:r w:rsidRPr="00E04C25">
        <w:rPr>
          <w:color w:val="auto"/>
          <w:szCs w:val="23"/>
          <w:lang w:val="cs-CZ"/>
        </w:rPr>
        <w:t>,</w:t>
      </w:r>
      <w:r w:rsidR="003F2C0E" w:rsidRPr="00E04C25">
        <w:rPr>
          <w:color w:val="auto"/>
          <w:szCs w:val="23"/>
          <w:lang w:val="cs-CZ"/>
        </w:rPr>
        <w:t>2</w:t>
      </w:r>
      <w:r w:rsidRPr="00E04C25">
        <w:rPr>
          <w:color w:val="auto"/>
          <w:szCs w:val="23"/>
          <w:lang w:val="cs-CZ"/>
        </w:rPr>
        <w:t> %). V Moravskoslezském a Jihomoravském kraji, i přes výrazný pokles počtu uchazečů o zaměstnání, byl pokles nejpomalejší (o </w:t>
      </w:r>
      <w:r w:rsidR="003F2C0E" w:rsidRPr="00E04C25">
        <w:rPr>
          <w:color w:val="auto"/>
          <w:szCs w:val="23"/>
          <w:lang w:val="cs-CZ"/>
        </w:rPr>
        <w:t>22</w:t>
      </w:r>
      <w:r w:rsidRPr="00E04C25">
        <w:rPr>
          <w:color w:val="auto"/>
          <w:szCs w:val="23"/>
          <w:lang w:val="cs-CZ"/>
        </w:rPr>
        <w:t>,</w:t>
      </w:r>
      <w:r w:rsidR="003F2C0E" w:rsidRPr="00E04C25">
        <w:rPr>
          <w:color w:val="auto"/>
          <w:szCs w:val="23"/>
          <w:lang w:val="cs-CZ"/>
        </w:rPr>
        <w:t>7</w:t>
      </w:r>
      <w:r w:rsidRPr="00E04C25">
        <w:rPr>
          <w:color w:val="auto"/>
          <w:szCs w:val="23"/>
          <w:lang w:val="cs-CZ"/>
        </w:rPr>
        <w:t> %, resp. 12,3 %). Pomaleji klesal počet uchazečů o zaměstnání i v Ústeckém kraji (o </w:t>
      </w:r>
      <w:r w:rsidR="003F2C0E" w:rsidRPr="00E04C25">
        <w:rPr>
          <w:color w:val="auto"/>
          <w:szCs w:val="23"/>
          <w:lang w:val="cs-CZ"/>
        </w:rPr>
        <w:t>23</w:t>
      </w:r>
      <w:r w:rsidRPr="00E04C25">
        <w:rPr>
          <w:color w:val="auto"/>
          <w:szCs w:val="23"/>
          <w:lang w:val="cs-CZ"/>
        </w:rPr>
        <w:t>,</w:t>
      </w:r>
      <w:r w:rsidR="003F2C0E" w:rsidRPr="00E04C25">
        <w:rPr>
          <w:color w:val="auto"/>
          <w:szCs w:val="23"/>
          <w:lang w:val="cs-CZ"/>
        </w:rPr>
        <w:t>9</w:t>
      </w:r>
      <w:r w:rsidRPr="00E04C25">
        <w:rPr>
          <w:color w:val="auto"/>
          <w:szCs w:val="23"/>
          <w:lang w:val="cs-CZ"/>
        </w:rPr>
        <w:t xml:space="preserve"> %). </w:t>
      </w:r>
    </w:p>
    <w:p w:rsidR="000D3797" w:rsidRPr="00E04C25" w:rsidRDefault="000D3797" w:rsidP="000D3797">
      <w:pPr>
        <w:pStyle w:val="Zkladntext"/>
        <w:spacing w:line="360" w:lineRule="auto"/>
        <w:ind w:firstLine="567"/>
        <w:rPr>
          <w:color w:val="auto"/>
          <w:szCs w:val="23"/>
          <w:lang w:val="cs-CZ"/>
        </w:rPr>
      </w:pPr>
      <w:r w:rsidRPr="00E04C25">
        <w:rPr>
          <w:color w:val="auto"/>
          <w:szCs w:val="23"/>
          <w:lang w:val="cs-CZ"/>
        </w:rPr>
        <w:t>Vývoj nezaměstnanosti v jednotlivých krajích ovlivňuje zejména struktura nabídky práce ze strany zaměstnavatelů a struktura těch, co práci hledají, různá míra uplatňování aktivní politiky zaměstnanosti, věková a vzdělanostní struktura obyvatelstva.</w:t>
      </w:r>
    </w:p>
    <w:p w:rsidR="00995C40" w:rsidRPr="00E04C25" w:rsidRDefault="00115440" w:rsidP="004876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60" w:lineRule="auto"/>
        <w:ind w:firstLine="567"/>
        <w:jc w:val="both"/>
        <w:rPr>
          <w:rFonts w:ascii="Arial" w:hAnsi="Arial" w:cs="Arial"/>
          <w:szCs w:val="23"/>
        </w:rPr>
      </w:pPr>
      <w:r w:rsidRPr="00E04C25">
        <w:rPr>
          <w:rFonts w:ascii="Arial" w:hAnsi="Arial" w:cs="Arial"/>
          <w:b/>
          <w:szCs w:val="23"/>
        </w:rPr>
        <w:t xml:space="preserve">Největší počet </w:t>
      </w:r>
      <w:r w:rsidRPr="00E04C25">
        <w:rPr>
          <w:rFonts w:ascii="Arial" w:hAnsi="Arial" w:cs="Arial"/>
          <w:b/>
          <w:bCs/>
          <w:szCs w:val="23"/>
        </w:rPr>
        <w:t xml:space="preserve">volných pracovních míst </w:t>
      </w:r>
      <w:r w:rsidRPr="00E04C25">
        <w:rPr>
          <w:rFonts w:ascii="Arial" w:hAnsi="Arial" w:cs="Arial"/>
          <w:bCs/>
          <w:szCs w:val="23"/>
        </w:rPr>
        <w:t>nahlášených na pracoviště ÚP ČR k</w:t>
      </w:r>
      <w:r w:rsidRPr="00E04C25">
        <w:rPr>
          <w:rFonts w:ascii="Arial" w:hAnsi="Arial" w:cs="Arial"/>
          <w:szCs w:val="23"/>
        </w:rPr>
        <w:t> 31. 12. 201</w:t>
      </w:r>
      <w:r w:rsidR="00995C40" w:rsidRPr="00E04C25">
        <w:rPr>
          <w:rFonts w:ascii="Arial" w:hAnsi="Arial" w:cs="Arial"/>
          <w:szCs w:val="23"/>
        </w:rPr>
        <w:t>7</w:t>
      </w:r>
      <w:r w:rsidRPr="00E04C25">
        <w:rPr>
          <w:rFonts w:ascii="Arial" w:hAnsi="Arial" w:cs="Arial"/>
          <w:szCs w:val="23"/>
        </w:rPr>
        <w:t xml:space="preserve"> byl evidován </w:t>
      </w:r>
      <w:r w:rsidRPr="00E04C25">
        <w:rPr>
          <w:rFonts w:ascii="Arial" w:hAnsi="Arial" w:cs="Arial"/>
          <w:b/>
          <w:szCs w:val="23"/>
        </w:rPr>
        <w:t>v </w:t>
      </w:r>
      <w:r w:rsidR="008D6DAA" w:rsidRPr="00E04C25">
        <w:rPr>
          <w:rFonts w:ascii="Arial" w:hAnsi="Arial" w:cs="Arial"/>
          <w:b/>
          <w:szCs w:val="23"/>
        </w:rPr>
        <w:t>h</w:t>
      </w:r>
      <w:r w:rsidRPr="00E04C25">
        <w:rPr>
          <w:rFonts w:ascii="Arial" w:hAnsi="Arial" w:cs="Arial"/>
          <w:b/>
          <w:szCs w:val="23"/>
        </w:rPr>
        <w:t xml:space="preserve">l. m. Praze </w:t>
      </w:r>
      <w:r w:rsidRPr="00E04C25">
        <w:rPr>
          <w:rFonts w:ascii="Arial" w:hAnsi="Arial" w:cs="Arial"/>
          <w:szCs w:val="23"/>
        </w:rPr>
        <w:t>(</w:t>
      </w:r>
      <w:r w:rsidR="00995C40" w:rsidRPr="00E04C25">
        <w:rPr>
          <w:rFonts w:ascii="Arial" w:hAnsi="Arial" w:cs="Arial"/>
          <w:szCs w:val="23"/>
        </w:rPr>
        <w:t>42</w:t>
      </w:r>
      <w:r w:rsidRPr="00E04C25">
        <w:rPr>
          <w:rFonts w:ascii="Arial" w:hAnsi="Arial" w:cs="Arial"/>
          <w:szCs w:val="23"/>
        </w:rPr>
        <w:t> </w:t>
      </w:r>
      <w:r w:rsidR="00995C40" w:rsidRPr="00E04C25">
        <w:rPr>
          <w:rFonts w:ascii="Arial" w:hAnsi="Arial" w:cs="Arial"/>
          <w:szCs w:val="23"/>
        </w:rPr>
        <w:t>380</w:t>
      </w:r>
      <w:r w:rsidRPr="00E04C25">
        <w:rPr>
          <w:rFonts w:ascii="Arial" w:hAnsi="Arial" w:cs="Arial"/>
          <w:szCs w:val="23"/>
        </w:rPr>
        <w:t>), v Středočeském (</w:t>
      </w:r>
      <w:r w:rsidR="00995C40" w:rsidRPr="00E04C25">
        <w:rPr>
          <w:rFonts w:ascii="Arial" w:hAnsi="Arial" w:cs="Arial"/>
          <w:szCs w:val="23"/>
        </w:rPr>
        <w:t>30</w:t>
      </w:r>
      <w:r w:rsidRPr="00E04C25">
        <w:rPr>
          <w:rFonts w:ascii="Arial" w:hAnsi="Arial" w:cs="Arial"/>
          <w:szCs w:val="23"/>
        </w:rPr>
        <w:t> </w:t>
      </w:r>
      <w:r w:rsidR="00995C40" w:rsidRPr="00E04C25">
        <w:rPr>
          <w:rFonts w:ascii="Arial" w:hAnsi="Arial" w:cs="Arial"/>
          <w:szCs w:val="23"/>
        </w:rPr>
        <w:t>321</w:t>
      </w:r>
      <w:r w:rsidRPr="00E04C25">
        <w:rPr>
          <w:rFonts w:ascii="Arial" w:hAnsi="Arial" w:cs="Arial"/>
          <w:szCs w:val="23"/>
        </w:rPr>
        <w:t xml:space="preserve">) </w:t>
      </w:r>
      <w:r w:rsidR="00995C40" w:rsidRPr="00E04C25">
        <w:rPr>
          <w:rFonts w:ascii="Arial" w:hAnsi="Arial" w:cs="Arial"/>
          <w:szCs w:val="23"/>
        </w:rPr>
        <w:t xml:space="preserve">a Plzeňském kraji </w:t>
      </w:r>
      <w:r w:rsidRPr="00E04C25">
        <w:rPr>
          <w:rFonts w:ascii="Arial" w:hAnsi="Arial" w:cs="Arial"/>
          <w:szCs w:val="23"/>
        </w:rPr>
        <w:t>(</w:t>
      </w:r>
      <w:r w:rsidR="00995C40" w:rsidRPr="00E04C25">
        <w:rPr>
          <w:rFonts w:ascii="Arial" w:hAnsi="Arial" w:cs="Arial"/>
          <w:szCs w:val="23"/>
        </w:rPr>
        <w:t>20</w:t>
      </w:r>
      <w:r w:rsidRPr="00E04C25">
        <w:rPr>
          <w:rFonts w:ascii="Arial" w:hAnsi="Arial" w:cs="Arial"/>
          <w:szCs w:val="23"/>
        </w:rPr>
        <w:t> </w:t>
      </w:r>
      <w:r w:rsidR="00995C40" w:rsidRPr="00E04C25">
        <w:rPr>
          <w:rFonts w:ascii="Arial" w:hAnsi="Arial" w:cs="Arial"/>
          <w:szCs w:val="23"/>
        </w:rPr>
        <w:t>396</w:t>
      </w:r>
      <w:r w:rsidRPr="00E04C25">
        <w:rPr>
          <w:rFonts w:ascii="Arial" w:hAnsi="Arial" w:cs="Arial"/>
          <w:szCs w:val="23"/>
        </w:rPr>
        <w:t>), nejméně v Karlovarském kraji (</w:t>
      </w:r>
      <w:r w:rsidR="00995C40" w:rsidRPr="00E04C25">
        <w:rPr>
          <w:rFonts w:ascii="Arial" w:hAnsi="Arial" w:cs="Arial"/>
          <w:szCs w:val="23"/>
        </w:rPr>
        <w:t>6</w:t>
      </w:r>
      <w:r w:rsidRPr="00E04C25">
        <w:rPr>
          <w:rFonts w:ascii="Arial" w:hAnsi="Arial" w:cs="Arial"/>
          <w:szCs w:val="23"/>
        </w:rPr>
        <w:t> </w:t>
      </w:r>
      <w:r w:rsidR="00995C40" w:rsidRPr="00E04C25">
        <w:rPr>
          <w:rFonts w:ascii="Arial" w:hAnsi="Arial" w:cs="Arial"/>
          <w:szCs w:val="23"/>
        </w:rPr>
        <w:t>503</w:t>
      </w:r>
      <w:r w:rsidRPr="00E04C25">
        <w:rPr>
          <w:rFonts w:ascii="Arial" w:hAnsi="Arial" w:cs="Arial"/>
          <w:szCs w:val="23"/>
        </w:rPr>
        <w:t>), Kraji Vysočina (</w:t>
      </w:r>
      <w:r w:rsidR="00995C40" w:rsidRPr="00E04C25">
        <w:rPr>
          <w:rFonts w:ascii="Arial" w:hAnsi="Arial" w:cs="Arial"/>
          <w:szCs w:val="23"/>
        </w:rPr>
        <w:t>7</w:t>
      </w:r>
      <w:r w:rsidRPr="00E04C25">
        <w:rPr>
          <w:rFonts w:ascii="Arial" w:hAnsi="Arial" w:cs="Arial"/>
          <w:szCs w:val="23"/>
        </w:rPr>
        <w:t> </w:t>
      </w:r>
      <w:r w:rsidR="00995C40" w:rsidRPr="00E04C25">
        <w:rPr>
          <w:rFonts w:ascii="Arial" w:hAnsi="Arial" w:cs="Arial"/>
          <w:szCs w:val="23"/>
        </w:rPr>
        <w:t>475</w:t>
      </w:r>
      <w:r w:rsidRPr="00E04C25">
        <w:rPr>
          <w:rFonts w:ascii="Arial" w:hAnsi="Arial" w:cs="Arial"/>
          <w:szCs w:val="23"/>
        </w:rPr>
        <w:t>) a </w:t>
      </w:r>
      <w:r w:rsidR="00995C40" w:rsidRPr="00E04C25">
        <w:rPr>
          <w:rFonts w:ascii="Arial" w:hAnsi="Arial" w:cs="Arial"/>
          <w:szCs w:val="23"/>
        </w:rPr>
        <w:t>Zlínském</w:t>
      </w:r>
      <w:r w:rsidRPr="00E04C25">
        <w:rPr>
          <w:rFonts w:ascii="Arial" w:hAnsi="Arial" w:cs="Arial"/>
          <w:szCs w:val="23"/>
        </w:rPr>
        <w:t xml:space="preserve"> kraji (</w:t>
      </w:r>
      <w:r w:rsidR="00995C40" w:rsidRPr="00E04C25">
        <w:rPr>
          <w:rFonts w:ascii="Arial" w:hAnsi="Arial" w:cs="Arial"/>
          <w:szCs w:val="23"/>
        </w:rPr>
        <w:t>7</w:t>
      </w:r>
      <w:r w:rsidRPr="00E04C25">
        <w:rPr>
          <w:rFonts w:ascii="Arial" w:hAnsi="Arial" w:cs="Arial"/>
          <w:szCs w:val="23"/>
        </w:rPr>
        <w:t> </w:t>
      </w:r>
      <w:r w:rsidR="00995C40" w:rsidRPr="00E04C25">
        <w:rPr>
          <w:rFonts w:ascii="Arial" w:hAnsi="Arial" w:cs="Arial"/>
          <w:szCs w:val="23"/>
        </w:rPr>
        <w:t>975</w:t>
      </w:r>
      <w:r w:rsidRPr="00E04C25">
        <w:rPr>
          <w:rFonts w:ascii="Arial" w:hAnsi="Arial" w:cs="Arial"/>
          <w:szCs w:val="23"/>
        </w:rPr>
        <w:t xml:space="preserve">). </w:t>
      </w:r>
      <w:r w:rsidRPr="00E04C25">
        <w:rPr>
          <w:rFonts w:ascii="Arial" w:hAnsi="Arial" w:cs="Arial"/>
          <w:b/>
          <w:szCs w:val="23"/>
        </w:rPr>
        <w:t>Počet volných míst vzrostl</w:t>
      </w:r>
      <w:r w:rsidRPr="00E04C25">
        <w:rPr>
          <w:rFonts w:ascii="Arial" w:hAnsi="Arial" w:cs="Arial"/>
          <w:szCs w:val="23"/>
        </w:rPr>
        <w:t xml:space="preserve"> meziročně </w:t>
      </w:r>
      <w:r w:rsidR="00995C40" w:rsidRPr="00E04C25">
        <w:rPr>
          <w:rFonts w:ascii="Arial" w:hAnsi="Arial" w:cs="Arial"/>
          <w:b/>
          <w:szCs w:val="23"/>
        </w:rPr>
        <w:t xml:space="preserve">ve všech </w:t>
      </w:r>
      <w:r w:rsidR="00995C40" w:rsidRPr="00E04C25">
        <w:rPr>
          <w:rFonts w:ascii="Arial" w:hAnsi="Arial" w:cs="Arial"/>
          <w:b/>
          <w:szCs w:val="23"/>
        </w:rPr>
        <w:lastRenderedPageBreak/>
        <w:t>krajích,</w:t>
      </w:r>
      <w:r w:rsidRPr="00E04C25">
        <w:rPr>
          <w:rFonts w:ascii="Arial" w:hAnsi="Arial" w:cs="Arial"/>
          <w:szCs w:val="23"/>
        </w:rPr>
        <w:t xml:space="preserve"> </w:t>
      </w:r>
      <w:r w:rsidR="00995C40" w:rsidRPr="00E04C25">
        <w:rPr>
          <w:rFonts w:ascii="Arial" w:hAnsi="Arial" w:cs="Arial"/>
          <w:b/>
          <w:szCs w:val="23"/>
        </w:rPr>
        <w:t>a</w:t>
      </w:r>
      <w:r w:rsidRPr="00E04C25">
        <w:rPr>
          <w:rFonts w:ascii="Arial" w:hAnsi="Arial" w:cs="Arial"/>
          <w:b/>
          <w:szCs w:val="23"/>
        </w:rPr>
        <w:t>bsolutně nejvíce v </w:t>
      </w:r>
      <w:r w:rsidR="008D6DAA" w:rsidRPr="00E04C25">
        <w:rPr>
          <w:rFonts w:ascii="Arial" w:hAnsi="Arial" w:cs="Arial"/>
          <w:b/>
          <w:szCs w:val="23"/>
        </w:rPr>
        <w:t>h</w:t>
      </w:r>
      <w:r w:rsidRPr="00E04C25">
        <w:rPr>
          <w:rFonts w:ascii="Arial" w:hAnsi="Arial" w:cs="Arial"/>
          <w:b/>
          <w:szCs w:val="23"/>
        </w:rPr>
        <w:t>l. m. Praze</w:t>
      </w:r>
      <w:r w:rsidRPr="00E04C25">
        <w:rPr>
          <w:rFonts w:ascii="Arial" w:hAnsi="Arial" w:cs="Arial"/>
          <w:szCs w:val="23"/>
        </w:rPr>
        <w:t xml:space="preserve"> (o </w:t>
      </w:r>
      <w:r w:rsidR="004876D3" w:rsidRPr="00E04C25">
        <w:rPr>
          <w:rFonts w:ascii="Arial" w:hAnsi="Arial" w:cs="Arial"/>
          <w:szCs w:val="23"/>
        </w:rPr>
        <w:t>21 326</w:t>
      </w:r>
      <w:r w:rsidRPr="00E04C25">
        <w:rPr>
          <w:rFonts w:ascii="Arial" w:hAnsi="Arial" w:cs="Arial"/>
          <w:szCs w:val="23"/>
        </w:rPr>
        <w:t xml:space="preserve">), </w:t>
      </w:r>
      <w:r w:rsidRPr="00E04C25">
        <w:rPr>
          <w:rFonts w:ascii="Arial" w:hAnsi="Arial" w:cs="Arial"/>
          <w:b/>
          <w:szCs w:val="23"/>
        </w:rPr>
        <w:t>v</w:t>
      </w:r>
      <w:r w:rsidR="004876D3" w:rsidRPr="00E04C25">
        <w:rPr>
          <w:rFonts w:ascii="Arial" w:hAnsi="Arial" w:cs="Arial"/>
          <w:b/>
          <w:szCs w:val="23"/>
        </w:rPr>
        <w:t> Pardubickém</w:t>
      </w:r>
      <w:r w:rsidR="004876D3" w:rsidRPr="00E04C25">
        <w:rPr>
          <w:rFonts w:ascii="Arial" w:hAnsi="Arial" w:cs="Arial"/>
          <w:szCs w:val="23"/>
        </w:rPr>
        <w:t xml:space="preserve"> (10 266) </w:t>
      </w:r>
      <w:r w:rsidR="004876D3" w:rsidRPr="00E04C25">
        <w:rPr>
          <w:rFonts w:ascii="Arial" w:hAnsi="Arial" w:cs="Arial"/>
          <w:b/>
          <w:szCs w:val="23"/>
        </w:rPr>
        <w:t>a Plzeňském kraji</w:t>
      </w:r>
      <w:r w:rsidR="004876D3" w:rsidRPr="00E04C25">
        <w:rPr>
          <w:rFonts w:ascii="Arial" w:hAnsi="Arial" w:cs="Arial"/>
          <w:szCs w:val="23"/>
        </w:rPr>
        <w:t xml:space="preserve"> (10 186), kde jsou počty proti konci předchozího roku </w:t>
      </w:r>
      <w:r w:rsidR="004876D3" w:rsidRPr="00E04C25">
        <w:rPr>
          <w:rFonts w:ascii="Arial" w:hAnsi="Arial" w:cs="Arial"/>
          <w:b/>
          <w:szCs w:val="23"/>
        </w:rPr>
        <w:t>dvojnásobné</w:t>
      </w:r>
      <w:r w:rsidR="004876D3" w:rsidRPr="00E04C25">
        <w:rPr>
          <w:rFonts w:ascii="Arial" w:hAnsi="Arial" w:cs="Arial"/>
          <w:szCs w:val="23"/>
        </w:rPr>
        <w:t xml:space="preserve">. Výrazný nárůst byl zaznamenán </w:t>
      </w:r>
      <w:r w:rsidR="004876D3" w:rsidRPr="00E04C25">
        <w:rPr>
          <w:rFonts w:ascii="Arial" w:hAnsi="Arial" w:cs="Arial"/>
          <w:b/>
          <w:szCs w:val="23"/>
        </w:rPr>
        <w:t>také ve Středočeském kraji</w:t>
      </w:r>
      <w:r w:rsidR="004876D3" w:rsidRPr="00E04C25">
        <w:rPr>
          <w:rFonts w:ascii="Arial" w:hAnsi="Arial" w:cs="Arial"/>
          <w:szCs w:val="23"/>
        </w:rPr>
        <w:t xml:space="preserve"> </w:t>
      </w:r>
      <w:r w:rsidRPr="00E04C25">
        <w:rPr>
          <w:rFonts w:ascii="Arial" w:hAnsi="Arial" w:cs="Arial"/>
          <w:szCs w:val="23"/>
        </w:rPr>
        <w:t>(o </w:t>
      </w:r>
      <w:r w:rsidR="004876D3" w:rsidRPr="00E04C25">
        <w:rPr>
          <w:rFonts w:ascii="Arial" w:hAnsi="Arial" w:cs="Arial"/>
          <w:szCs w:val="23"/>
        </w:rPr>
        <w:t>11 671</w:t>
      </w:r>
      <w:r w:rsidRPr="00E04C25">
        <w:rPr>
          <w:rFonts w:ascii="Arial" w:hAnsi="Arial" w:cs="Arial"/>
          <w:szCs w:val="23"/>
        </w:rPr>
        <w:t xml:space="preserve">), </w:t>
      </w:r>
      <w:r w:rsidR="004876D3" w:rsidRPr="00E04C25">
        <w:rPr>
          <w:rFonts w:ascii="Arial" w:hAnsi="Arial" w:cs="Arial"/>
          <w:szCs w:val="23"/>
        </w:rPr>
        <w:t>kde počty VPM vzrostly o téměř dvě třetiny. Relativně nejméně VPM přibylo ve Zlínském (22,2 %) a Moravskoslezském kraji (28,1 %).</w:t>
      </w:r>
    </w:p>
    <w:p w:rsidR="00115440" w:rsidRPr="00E04C25" w:rsidRDefault="00115440" w:rsidP="001154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60" w:lineRule="auto"/>
        <w:ind w:firstLine="567"/>
        <w:jc w:val="both"/>
        <w:rPr>
          <w:rFonts w:ascii="Arial" w:hAnsi="Arial" w:cs="Arial"/>
          <w:szCs w:val="23"/>
        </w:rPr>
      </w:pPr>
      <w:r w:rsidRPr="00E04C25">
        <w:rPr>
          <w:rFonts w:ascii="Arial" w:hAnsi="Arial" w:cs="Arial"/>
          <w:szCs w:val="23"/>
        </w:rPr>
        <w:t xml:space="preserve">Vzhledem k rozdílné velikosti krajů má větší vypovídající hodnotu ukazatel počtu uchazečů o zaměstnání připadajících na 1 volné pracovní místo. Z hlediska poměru </w:t>
      </w:r>
      <w:r w:rsidRPr="00E04C25">
        <w:rPr>
          <w:rFonts w:ascii="Arial" w:hAnsi="Arial" w:cs="Arial"/>
          <w:b/>
        </w:rPr>
        <w:t>nabídky pracovní síly a poptávky</w:t>
      </w:r>
      <w:r w:rsidRPr="00E04C25">
        <w:rPr>
          <w:rFonts w:ascii="Arial" w:hAnsi="Arial" w:cs="Arial"/>
        </w:rPr>
        <w:t xml:space="preserve"> po ní byla </w:t>
      </w:r>
      <w:r w:rsidR="00480B68" w:rsidRPr="00E04C25">
        <w:rPr>
          <w:rFonts w:ascii="Arial" w:hAnsi="Arial" w:cs="Arial"/>
        </w:rPr>
        <w:t xml:space="preserve">na konci roku </w:t>
      </w:r>
      <w:r w:rsidRPr="00E04C25">
        <w:rPr>
          <w:rFonts w:ascii="Arial" w:hAnsi="Arial" w:cs="Arial"/>
        </w:rPr>
        <w:t>situace stejná nebo lepší než celorepublikový průměr (</w:t>
      </w:r>
      <w:r w:rsidR="00480B68" w:rsidRPr="00E04C25">
        <w:rPr>
          <w:rFonts w:ascii="Arial" w:hAnsi="Arial" w:cs="Arial"/>
        </w:rPr>
        <w:t>1</w:t>
      </w:r>
      <w:r w:rsidRPr="00E04C25">
        <w:rPr>
          <w:rFonts w:ascii="Arial" w:hAnsi="Arial" w:cs="Arial"/>
        </w:rPr>
        <w:t>,</w:t>
      </w:r>
      <w:r w:rsidR="00480B68" w:rsidRPr="00E04C25">
        <w:rPr>
          <w:rFonts w:ascii="Arial" w:hAnsi="Arial" w:cs="Arial"/>
        </w:rPr>
        <w:t>3</w:t>
      </w:r>
      <w:r w:rsidRPr="00E04C25">
        <w:rPr>
          <w:rFonts w:ascii="Arial" w:hAnsi="Arial" w:cs="Arial"/>
        </w:rPr>
        <w:t xml:space="preserve"> uchazečů na 1 VPM) v sedmi krajích, </w:t>
      </w:r>
      <w:r w:rsidRPr="00E04C25">
        <w:rPr>
          <w:rFonts w:ascii="Arial" w:hAnsi="Arial" w:cs="Arial"/>
          <w:b/>
        </w:rPr>
        <w:t>nejpříznivější</w:t>
      </w:r>
      <w:r w:rsidRPr="00E04C25">
        <w:rPr>
          <w:rFonts w:ascii="Arial" w:hAnsi="Arial" w:cs="Arial"/>
        </w:rPr>
        <w:t xml:space="preserve"> byla </w:t>
      </w:r>
      <w:r w:rsidR="00480B68" w:rsidRPr="00E04C25">
        <w:rPr>
          <w:rFonts w:ascii="Arial" w:hAnsi="Arial" w:cs="Arial"/>
          <w:b/>
        </w:rPr>
        <w:t>v </w:t>
      </w:r>
      <w:r w:rsidR="008D6DAA" w:rsidRPr="00E04C25">
        <w:rPr>
          <w:rFonts w:ascii="Arial" w:hAnsi="Arial" w:cs="Arial"/>
          <w:b/>
        </w:rPr>
        <w:t>h</w:t>
      </w:r>
      <w:r w:rsidR="00480B68" w:rsidRPr="00E04C25">
        <w:rPr>
          <w:rFonts w:ascii="Arial" w:hAnsi="Arial" w:cs="Arial"/>
          <w:b/>
        </w:rPr>
        <w:t xml:space="preserve">l. m. Praze, </w:t>
      </w:r>
      <w:r w:rsidRPr="00E04C25">
        <w:rPr>
          <w:rFonts w:ascii="Arial" w:hAnsi="Arial" w:cs="Arial"/>
          <w:b/>
        </w:rPr>
        <w:t xml:space="preserve">v Plzeňském </w:t>
      </w:r>
      <w:r w:rsidR="00480B68" w:rsidRPr="00E04C25">
        <w:rPr>
          <w:rFonts w:ascii="Arial" w:hAnsi="Arial" w:cs="Arial"/>
        </w:rPr>
        <w:t xml:space="preserve">a </w:t>
      </w:r>
      <w:r w:rsidR="00480B68" w:rsidRPr="00E04C25">
        <w:rPr>
          <w:rFonts w:ascii="Arial" w:hAnsi="Arial" w:cs="Arial"/>
          <w:b/>
        </w:rPr>
        <w:t xml:space="preserve">Pardubickém </w:t>
      </w:r>
      <w:r w:rsidRPr="00E04C25">
        <w:rPr>
          <w:rFonts w:ascii="Arial" w:hAnsi="Arial" w:cs="Arial"/>
          <w:b/>
        </w:rPr>
        <w:t>kraji</w:t>
      </w:r>
      <w:r w:rsidR="00480B68" w:rsidRPr="00E04C25">
        <w:rPr>
          <w:rFonts w:ascii="Arial" w:hAnsi="Arial" w:cs="Arial"/>
          <w:b/>
        </w:rPr>
        <w:t xml:space="preserve">, </w:t>
      </w:r>
      <w:r w:rsidR="00480B68" w:rsidRPr="00E04C25">
        <w:rPr>
          <w:rFonts w:ascii="Arial" w:hAnsi="Arial" w:cs="Arial"/>
        </w:rPr>
        <w:t>kde na</w:t>
      </w:r>
      <w:r w:rsidR="00480B68" w:rsidRPr="00E04C25">
        <w:rPr>
          <w:rFonts w:ascii="Arial" w:hAnsi="Arial" w:cs="Arial"/>
          <w:b/>
        </w:rPr>
        <w:t xml:space="preserve"> jednoho uchazeče o zaměstnání připadala 2 volná pracovní místa</w:t>
      </w:r>
      <w:r w:rsidRPr="00E04C25">
        <w:rPr>
          <w:rFonts w:ascii="Arial" w:hAnsi="Arial" w:cs="Arial"/>
        </w:rPr>
        <w:t xml:space="preserve">. Naopak </w:t>
      </w:r>
      <w:r w:rsidRPr="00E04C25">
        <w:rPr>
          <w:rFonts w:ascii="Arial" w:hAnsi="Arial" w:cs="Arial"/>
          <w:b/>
        </w:rPr>
        <w:t xml:space="preserve">nejhorší </w:t>
      </w:r>
      <w:r w:rsidRPr="00E04C25">
        <w:rPr>
          <w:rFonts w:ascii="Arial" w:hAnsi="Arial" w:cs="Arial"/>
        </w:rPr>
        <w:t>poměr byl</w:t>
      </w:r>
      <w:r w:rsidRPr="00E04C25">
        <w:rPr>
          <w:rFonts w:ascii="Arial" w:hAnsi="Arial" w:cs="Arial"/>
          <w:b/>
        </w:rPr>
        <w:t xml:space="preserve"> v Moravskoslezském </w:t>
      </w:r>
      <w:r w:rsidR="00480B68" w:rsidRPr="00E04C25">
        <w:rPr>
          <w:rFonts w:ascii="Arial" w:hAnsi="Arial" w:cs="Arial"/>
        </w:rPr>
        <w:t>(3,5</w:t>
      </w:r>
      <w:r w:rsidRPr="00E04C25">
        <w:rPr>
          <w:rFonts w:ascii="Arial" w:hAnsi="Arial" w:cs="Arial"/>
        </w:rPr>
        <w:t>)</w:t>
      </w:r>
      <w:r w:rsidR="00480B68" w:rsidRPr="00E04C25">
        <w:rPr>
          <w:rFonts w:ascii="Arial" w:hAnsi="Arial" w:cs="Arial"/>
        </w:rPr>
        <w:t xml:space="preserve">, </w:t>
      </w:r>
      <w:r w:rsidRPr="00E04C25">
        <w:rPr>
          <w:rFonts w:ascii="Arial" w:hAnsi="Arial" w:cs="Arial"/>
          <w:b/>
        </w:rPr>
        <w:t xml:space="preserve">Ústeckém </w:t>
      </w:r>
      <w:r w:rsidR="00480B68" w:rsidRPr="00E04C25">
        <w:rPr>
          <w:rFonts w:ascii="Arial" w:hAnsi="Arial" w:cs="Arial"/>
        </w:rPr>
        <w:t>(2,9),</w:t>
      </w:r>
      <w:r w:rsidR="00480B68" w:rsidRPr="00E04C25">
        <w:rPr>
          <w:rFonts w:ascii="Arial" w:hAnsi="Arial" w:cs="Arial"/>
          <w:b/>
        </w:rPr>
        <w:t xml:space="preserve"> Jihomoravském a Olomouckém </w:t>
      </w:r>
      <w:r w:rsidRPr="00E04C25">
        <w:rPr>
          <w:rFonts w:ascii="Arial" w:hAnsi="Arial" w:cs="Arial"/>
          <w:b/>
        </w:rPr>
        <w:t xml:space="preserve">kraji </w:t>
      </w:r>
      <w:r w:rsidRPr="00E04C25">
        <w:rPr>
          <w:rFonts w:ascii="Arial" w:hAnsi="Arial" w:cs="Arial"/>
        </w:rPr>
        <w:t>(</w:t>
      </w:r>
      <w:r w:rsidR="00480B68" w:rsidRPr="00E04C25">
        <w:rPr>
          <w:rFonts w:ascii="Arial" w:hAnsi="Arial" w:cs="Arial"/>
        </w:rPr>
        <w:t xml:space="preserve">v obou 2,2 </w:t>
      </w:r>
      <w:r w:rsidRPr="00E04C25">
        <w:rPr>
          <w:rFonts w:ascii="Arial" w:hAnsi="Arial" w:cs="Arial"/>
        </w:rPr>
        <w:t>UoZ na 1 VPM),</w:t>
      </w:r>
      <w:r w:rsidRPr="00E04C25">
        <w:rPr>
          <w:rFonts w:ascii="Arial" w:hAnsi="Arial" w:cs="Arial"/>
          <w:b/>
        </w:rPr>
        <w:t xml:space="preserve"> </w:t>
      </w:r>
      <w:r w:rsidRPr="00E04C25">
        <w:rPr>
          <w:rFonts w:ascii="Arial" w:hAnsi="Arial" w:cs="Arial"/>
        </w:rPr>
        <w:t>ale v meziročním srovnání je tato hodnota podstatně nižší.</w:t>
      </w:r>
      <w:r w:rsidRPr="00E04C25">
        <w:rPr>
          <w:rFonts w:ascii="Arial" w:hAnsi="Arial" w:cs="Arial"/>
          <w:szCs w:val="23"/>
        </w:rPr>
        <w:t xml:space="preserve"> </w:t>
      </w:r>
    </w:p>
    <w:p w:rsidR="00115440" w:rsidRPr="00E04C25" w:rsidRDefault="00115440" w:rsidP="00300FB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firstLine="567"/>
        <w:jc w:val="right"/>
        <w:rPr>
          <w:rFonts w:ascii="Arial" w:hAnsi="Arial" w:cs="Arial"/>
          <w:b/>
          <w:szCs w:val="23"/>
        </w:rPr>
      </w:pPr>
      <w:r w:rsidRPr="00E04C25">
        <w:rPr>
          <w:rFonts w:ascii="Arial" w:hAnsi="Arial" w:cs="Arial"/>
          <w:sz w:val="20"/>
          <w:szCs w:val="20"/>
        </w:rPr>
        <w:t xml:space="preserve">graf. č. </w:t>
      </w:r>
      <w:r w:rsidR="006D5548" w:rsidRPr="00E04C25">
        <w:rPr>
          <w:rFonts w:ascii="Arial" w:hAnsi="Arial" w:cs="Arial"/>
          <w:sz w:val="20"/>
          <w:szCs w:val="20"/>
        </w:rPr>
        <w:t>20</w:t>
      </w:r>
      <w:r w:rsidR="0022441C" w:rsidRPr="00E04C25">
        <w:rPr>
          <w:noProof/>
        </w:rPr>
        <w:drawing>
          <wp:inline distT="0" distB="0" distL="0" distR="0">
            <wp:extent cx="5760720" cy="3539358"/>
            <wp:effectExtent l="0" t="0" r="11430" b="23495"/>
            <wp:docPr id="58" name="Graf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15440" w:rsidRPr="00E04C25" w:rsidRDefault="00115440" w:rsidP="001154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firstLine="567"/>
        <w:jc w:val="both"/>
        <w:rPr>
          <w:rFonts w:ascii="Arial" w:hAnsi="Arial" w:cs="Arial"/>
        </w:rPr>
      </w:pPr>
    </w:p>
    <w:p w:rsidR="002A6CBB" w:rsidRPr="00E04C25" w:rsidRDefault="00B906E8" w:rsidP="00B906E8">
      <w:pPr>
        <w:tabs>
          <w:tab w:val="left" w:pos="0"/>
          <w:tab w:val="left" w:pos="72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720"/>
        <w:jc w:val="both"/>
        <w:rPr>
          <w:rFonts w:ascii="Arial" w:hAnsi="Arial"/>
          <w:szCs w:val="23"/>
        </w:rPr>
      </w:pPr>
      <w:r w:rsidRPr="00E04C25">
        <w:rPr>
          <w:rFonts w:ascii="Arial" w:hAnsi="Arial"/>
          <w:szCs w:val="23"/>
        </w:rPr>
        <w:t xml:space="preserve">Ve všech krajích se meziročně v celkovém počtu uchazečů o zaměstnání snížilo zastoupení mladých do 25 let, dlouhodobě nezaměstnaných a osob, které do evidence přišly po skončení mateřské nebo rodičovské dovolené. Naopak </w:t>
      </w:r>
      <w:r w:rsidRPr="00E04C25">
        <w:rPr>
          <w:rFonts w:ascii="Arial" w:hAnsi="Arial"/>
          <w:b/>
          <w:szCs w:val="23"/>
        </w:rPr>
        <w:t>ve všech krajích vzrostl podíl OZ</w:t>
      </w:r>
      <w:r w:rsidR="002A6CBB" w:rsidRPr="00E04C25">
        <w:rPr>
          <w:rFonts w:ascii="Arial" w:hAnsi="Arial"/>
          <w:b/>
          <w:szCs w:val="23"/>
        </w:rPr>
        <w:t xml:space="preserve">P a osob ve věku 50 a více let a </w:t>
      </w:r>
      <w:r w:rsidR="002A6CBB" w:rsidRPr="00E04C25">
        <w:rPr>
          <w:rFonts w:ascii="Arial" w:hAnsi="Arial"/>
          <w:szCs w:val="23"/>
        </w:rPr>
        <w:t>ve všech krajích kromě Plzeňského také podíl UoZ</w:t>
      </w:r>
      <w:r w:rsidR="002A6CBB" w:rsidRPr="00E04C25">
        <w:rPr>
          <w:rFonts w:ascii="Arial" w:hAnsi="Arial"/>
          <w:b/>
          <w:szCs w:val="23"/>
        </w:rPr>
        <w:t xml:space="preserve"> s nanejvýš základním vzděláním.</w:t>
      </w:r>
      <w:r w:rsidRPr="00E04C25">
        <w:rPr>
          <w:rFonts w:ascii="Arial" w:hAnsi="Arial"/>
          <w:szCs w:val="23"/>
        </w:rPr>
        <w:t> </w:t>
      </w:r>
    </w:p>
    <w:p w:rsidR="00141A12" w:rsidRPr="00E04C25" w:rsidRDefault="00141A12" w:rsidP="00141A12">
      <w:pPr>
        <w:pStyle w:val="Zhlav"/>
        <w:tabs>
          <w:tab w:val="clear" w:pos="4536"/>
          <w:tab w:val="clear" w:pos="9072"/>
          <w:tab w:val="left" w:pos="0"/>
          <w:tab w:val="left" w:pos="72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567"/>
        <w:jc w:val="both"/>
        <w:rPr>
          <w:rFonts w:ascii="Arial" w:hAnsi="Arial" w:cs="Arial"/>
          <w:sz w:val="24"/>
          <w:szCs w:val="24"/>
        </w:rPr>
      </w:pPr>
      <w:r w:rsidRPr="00E04C25">
        <w:rPr>
          <w:rFonts w:ascii="Arial" w:hAnsi="Arial" w:cs="Arial"/>
          <w:sz w:val="24"/>
          <w:szCs w:val="24"/>
        </w:rPr>
        <w:lastRenderedPageBreak/>
        <w:tab/>
      </w:r>
      <w:r w:rsidRPr="00E04C25">
        <w:rPr>
          <w:rFonts w:ascii="Arial" w:hAnsi="Arial" w:cs="Arial"/>
          <w:b/>
          <w:sz w:val="24"/>
          <w:szCs w:val="24"/>
        </w:rPr>
        <w:t>Podíl OZP</w:t>
      </w:r>
      <w:r w:rsidRPr="00E04C25">
        <w:rPr>
          <w:rFonts w:ascii="Arial" w:hAnsi="Arial" w:cs="Arial"/>
          <w:sz w:val="24"/>
          <w:szCs w:val="24"/>
        </w:rPr>
        <w:t xml:space="preserve"> představoval v ČR v průměru 16,4 %. </w:t>
      </w:r>
      <w:r w:rsidRPr="00E04C25">
        <w:rPr>
          <w:rFonts w:ascii="Arial" w:hAnsi="Arial" w:cs="Arial"/>
          <w:b/>
          <w:sz w:val="24"/>
          <w:szCs w:val="24"/>
        </w:rPr>
        <w:t xml:space="preserve">Nejvyšší podíl </w:t>
      </w:r>
      <w:r w:rsidRPr="00E04C25">
        <w:rPr>
          <w:rFonts w:ascii="Arial" w:hAnsi="Arial" w:cs="Arial"/>
          <w:sz w:val="24"/>
          <w:szCs w:val="24"/>
        </w:rPr>
        <w:t xml:space="preserve">zaznamenali </w:t>
      </w:r>
      <w:r w:rsidRPr="00E04C25">
        <w:rPr>
          <w:rFonts w:ascii="Arial" w:hAnsi="Arial" w:cs="Arial"/>
          <w:b/>
          <w:sz w:val="24"/>
          <w:szCs w:val="24"/>
        </w:rPr>
        <w:t xml:space="preserve">v Plzeňském </w:t>
      </w:r>
      <w:r w:rsidRPr="00E04C25">
        <w:rPr>
          <w:rFonts w:ascii="Arial" w:hAnsi="Arial" w:cs="Arial"/>
          <w:sz w:val="24"/>
          <w:szCs w:val="24"/>
        </w:rPr>
        <w:t xml:space="preserve">(20,9 %), </w:t>
      </w:r>
      <w:r w:rsidRPr="00E04C25">
        <w:rPr>
          <w:rFonts w:ascii="Arial" w:hAnsi="Arial" w:cs="Arial"/>
          <w:b/>
          <w:sz w:val="24"/>
          <w:szCs w:val="24"/>
        </w:rPr>
        <w:t>Pardubickém kraji</w:t>
      </w:r>
      <w:r w:rsidRPr="00E04C25">
        <w:rPr>
          <w:rFonts w:ascii="Arial" w:hAnsi="Arial" w:cs="Arial"/>
          <w:sz w:val="24"/>
          <w:szCs w:val="24"/>
        </w:rPr>
        <w:t xml:space="preserve"> (19,6 %) </w:t>
      </w:r>
      <w:r w:rsidRPr="00E04C25">
        <w:rPr>
          <w:rFonts w:ascii="Arial" w:hAnsi="Arial" w:cs="Arial"/>
          <w:b/>
          <w:sz w:val="24"/>
          <w:szCs w:val="24"/>
        </w:rPr>
        <w:t>a Kraji Vysočina</w:t>
      </w:r>
      <w:r w:rsidRPr="00E04C25">
        <w:rPr>
          <w:rFonts w:ascii="Arial" w:hAnsi="Arial" w:cs="Arial"/>
          <w:sz w:val="24"/>
          <w:szCs w:val="24"/>
        </w:rPr>
        <w:t xml:space="preserve"> (19,3 %), nejnižší v </w:t>
      </w:r>
      <w:r w:rsidR="008D6DAA" w:rsidRPr="00E04C25">
        <w:rPr>
          <w:rFonts w:ascii="Arial" w:hAnsi="Arial" w:cs="Arial"/>
          <w:sz w:val="24"/>
          <w:szCs w:val="24"/>
        </w:rPr>
        <w:t>h</w:t>
      </w:r>
      <w:r w:rsidRPr="00E04C25">
        <w:rPr>
          <w:rFonts w:ascii="Arial" w:hAnsi="Arial" w:cs="Arial"/>
          <w:sz w:val="24"/>
          <w:szCs w:val="24"/>
        </w:rPr>
        <w:t xml:space="preserve">l. m. Praze (10,0 %) a Karlovarském kraji (12,0 %). </w:t>
      </w:r>
    </w:p>
    <w:p w:rsidR="00141A12" w:rsidRPr="00E04C25" w:rsidRDefault="00141A12" w:rsidP="00141A12">
      <w:pPr>
        <w:pStyle w:val="Zhlav"/>
        <w:tabs>
          <w:tab w:val="clear" w:pos="4536"/>
          <w:tab w:val="clear" w:pos="9072"/>
          <w:tab w:val="left" w:pos="0"/>
          <w:tab w:val="left" w:pos="72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567"/>
        <w:jc w:val="both"/>
        <w:rPr>
          <w:rFonts w:ascii="Arial" w:hAnsi="Arial" w:cs="Arial"/>
          <w:sz w:val="24"/>
          <w:szCs w:val="24"/>
        </w:rPr>
      </w:pPr>
      <w:r w:rsidRPr="00E04C25">
        <w:rPr>
          <w:rFonts w:ascii="Arial" w:hAnsi="Arial" w:cs="Arial"/>
          <w:b/>
          <w:sz w:val="24"/>
          <w:szCs w:val="24"/>
        </w:rPr>
        <w:tab/>
        <w:t>Nejvyšší zastoupení</w:t>
      </w:r>
      <w:r w:rsidRPr="00E04C25">
        <w:rPr>
          <w:rFonts w:ascii="Arial" w:hAnsi="Arial" w:cs="Arial"/>
          <w:sz w:val="24"/>
          <w:szCs w:val="24"/>
        </w:rPr>
        <w:t xml:space="preserve"> měli uchazeči o zaměstnání </w:t>
      </w:r>
      <w:r w:rsidRPr="00E04C25">
        <w:rPr>
          <w:rFonts w:ascii="Arial" w:hAnsi="Arial" w:cs="Arial"/>
          <w:b/>
          <w:sz w:val="24"/>
          <w:szCs w:val="24"/>
        </w:rPr>
        <w:t>ve věku 50 a více let</w:t>
      </w:r>
      <w:r w:rsidRPr="00E04C25">
        <w:rPr>
          <w:rFonts w:ascii="Arial" w:hAnsi="Arial" w:cs="Arial"/>
          <w:sz w:val="24"/>
          <w:szCs w:val="24"/>
        </w:rPr>
        <w:t xml:space="preserve"> </w:t>
      </w:r>
      <w:r w:rsidRPr="00E04C25">
        <w:rPr>
          <w:rFonts w:ascii="Arial" w:hAnsi="Arial" w:cs="Arial"/>
          <w:b/>
          <w:sz w:val="24"/>
          <w:szCs w:val="24"/>
        </w:rPr>
        <w:t>v Moravskoslezském, Zlínském, Plzeňském a Olomouckém kraji</w:t>
      </w:r>
      <w:r w:rsidRPr="00E04C25">
        <w:rPr>
          <w:rFonts w:ascii="Arial" w:hAnsi="Arial" w:cs="Arial"/>
          <w:sz w:val="24"/>
          <w:szCs w:val="24"/>
        </w:rPr>
        <w:t xml:space="preserve"> (více než 38,5 %), nejnižší bylo v </w:t>
      </w:r>
      <w:r w:rsidR="008D6DAA" w:rsidRPr="00E04C25">
        <w:rPr>
          <w:rFonts w:ascii="Arial" w:hAnsi="Arial" w:cs="Arial"/>
          <w:sz w:val="24"/>
          <w:szCs w:val="24"/>
        </w:rPr>
        <w:t>h</w:t>
      </w:r>
      <w:r w:rsidRPr="00E04C25">
        <w:rPr>
          <w:rFonts w:ascii="Arial" w:hAnsi="Arial" w:cs="Arial"/>
          <w:sz w:val="24"/>
          <w:szCs w:val="24"/>
        </w:rPr>
        <w:t>l. m. Praze (32,5 %) a Libereckém kraji (33,4 %), přičemž celorepublikový průměr činil 36,</w:t>
      </w:r>
      <w:r w:rsidR="00B4789E" w:rsidRPr="00E04C25">
        <w:rPr>
          <w:rFonts w:ascii="Arial" w:hAnsi="Arial" w:cs="Arial"/>
          <w:sz w:val="24"/>
          <w:szCs w:val="24"/>
        </w:rPr>
        <w:t>5</w:t>
      </w:r>
      <w:r w:rsidRPr="00E04C25">
        <w:rPr>
          <w:rFonts w:ascii="Arial" w:hAnsi="Arial" w:cs="Arial"/>
          <w:sz w:val="24"/>
          <w:szCs w:val="24"/>
        </w:rPr>
        <w:t xml:space="preserve"> %. </w:t>
      </w:r>
    </w:p>
    <w:p w:rsidR="002A6CBB" w:rsidRPr="00E04C25" w:rsidRDefault="00B906E8" w:rsidP="002A6CBB">
      <w:pPr>
        <w:tabs>
          <w:tab w:val="left" w:pos="0"/>
          <w:tab w:val="left" w:pos="72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709"/>
        <w:jc w:val="both"/>
        <w:rPr>
          <w:rFonts w:ascii="Arial" w:hAnsi="Arial"/>
        </w:rPr>
      </w:pPr>
      <w:r w:rsidRPr="00E04C25">
        <w:rPr>
          <w:rFonts w:ascii="Arial" w:hAnsi="Arial"/>
          <w:b/>
        </w:rPr>
        <w:t xml:space="preserve">Podíl uchazečů </w:t>
      </w:r>
      <w:r w:rsidRPr="00E04C25">
        <w:rPr>
          <w:rFonts w:ascii="Arial" w:hAnsi="Arial"/>
          <w:b/>
          <w:bCs/>
        </w:rPr>
        <w:t>o zaměstnání se základním vzděláním</w:t>
      </w:r>
      <w:r w:rsidRPr="00E04C25">
        <w:rPr>
          <w:rFonts w:ascii="Arial" w:hAnsi="Arial"/>
        </w:rPr>
        <w:t xml:space="preserve"> vč. neukončeného v ČR k 3</w:t>
      </w:r>
      <w:r w:rsidR="002A6CBB" w:rsidRPr="00E04C25">
        <w:rPr>
          <w:rFonts w:ascii="Arial" w:hAnsi="Arial"/>
        </w:rPr>
        <w:t>1</w:t>
      </w:r>
      <w:r w:rsidRPr="00E04C25">
        <w:rPr>
          <w:rFonts w:ascii="Arial" w:hAnsi="Arial"/>
        </w:rPr>
        <w:t>. </w:t>
      </w:r>
      <w:r w:rsidR="002A6CBB" w:rsidRPr="00E04C25">
        <w:rPr>
          <w:rFonts w:ascii="Arial" w:hAnsi="Arial"/>
        </w:rPr>
        <w:t>12</w:t>
      </w:r>
      <w:r w:rsidRPr="00E04C25">
        <w:rPr>
          <w:rFonts w:ascii="Arial" w:hAnsi="Arial"/>
        </w:rPr>
        <w:t>. 2017 vzrostl na 3</w:t>
      </w:r>
      <w:r w:rsidR="002A6CBB" w:rsidRPr="00E04C25">
        <w:rPr>
          <w:rFonts w:ascii="Arial" w:hAnsi="Arial"/>
        </w:rPr>
        <w:t>0</w:t>
      </w:r>
      <w:r w:rsidRPr="00E04C25">
        <w:rPr>
          <w:rFonts w:ascii="Arial" w:hAnsi="Arial"/>
        </w:rPr>
        <w:t>,</w:t>
      </w:r>
      <w:r w:rsidR="002A6CBB" w:rsidRPr="00E04C25">
        <w:rPr>
          <w:rFonts w:ascii="Arial" w:hAnsi="Arial"/>
        </w:rPr>
        <w:t>6</w:t>
      </w:r>
      <w:r w:rsidRPr="00E04C25">
        <w:rPr>
          <w:rFonts w:ascii="Arial" w:hAnsi="Arial"/>
        </w:rPr>
        <w:t xml:space="preserve"> % všech uchazečů o zaměstnání. Z pohledu krajů byl </w:t>
      </w:r>
      <w:r w:rsidRPr="00E04C25">
        <w:rPr>
          <w:rFonts w:ascii="Arial" w:hAnsi="Arial"/>
          <w:b/>
        </w:rPr>
        <w:t xml:space="preserve">nejvyšší v Karlovarském </w:t>
      </w:r>
      <w:r w:rsidRPr="00E04C25">
        <w:rPr>
          <w:rFonts w:ascii="Arial" w:hAnsi="Arial"/>
        </w:rPr>
        <w:t>(53,1 %)</w:t>
      </w:r>
      <w:r w:rsidRPr="00E04C25">
        <w:rPr>
          <w:rFonts w:ascii="Arial" w:hAnsi="Arial"/>
          <w:b/>
        </w:rPr>
        <w:t xml:space="preserve"> a Ústeckém kraji</w:t>
      </w:r>
      <w:r w:rsidRPr="00E04C25">
        <w:rPr>
          <w:rFonts w:ascii="Arial" w:hAnsi="Arial"/>
        </w:rPr>
        <w:t xml:space="preserve"> (4</w:t>
      </w:r>
      <w:r w:rsidR="002A6CBB" w:rsidRPr="00E04C25">
        <w:rPr>
          <w:rFonts w:ascii="Arial" w:hAnsi="Arial"/>
        </w:rPr>
        <w:t>7</w:t>
      </w:r>
      <w:r w:rsidRPr="00E04C25">
        <w:rPr>
          <w:rFonts w:ascii="Arial" w:hAnsi="Arial"/>
        </w:rPr>
        <w:t>,</w:t>
      </w:r>
      <w:r w:rsidR="002A6CBB" w:rsidRPr="00E04C25">
        <w:rPr>
          <w:rFonts w:ascii="Arial" w:hAnsi="Arial"/>
        </w:rPr>
        <w:t>8</w:t>
      </w:r>
      <w:r w:rsidRPr="00E04C25">
        <w:rPr>
          <w:rFonts w:ascii="Arial" w:hAnsi="Arial"/>
        </w:rPr>
        <w:t> %). Celorepubliková hodnota tohoto ukazatele byla překročena i v Libereckém, Moravskoslezském a Královéhradeckém kraji. Nejnižší podíl osob s nejnižším vzděláním byl evidován v Kraji Vysočina (</w:t>
      </w:r>
      <w:r w:rsidR="002A6CBB" w:rsidRPr="00E04C25">
        <w:rPr>
          <w:rFonts w:ascii="Arial" w:hAnsi="Arial"/>
        </w:rPr>
        <w:t>18</w:t>
      </w:r>
      <w:r w:rsidRPr="00E04C25">
        <w:rPr>
          <w:rFonts w:ascii="Arial" w:hAnsi="Arial"/>
        </w:rPr>
        <w:t>,</w:t>
      </w:r>
      <w:r w:rsidR="002A6CBB" w:rsidRPr="00E04C25">
        <w:rPr>
          <w:rFonts w:ascii="Arial" w:hAnsi="Arial"/>
        </w:rPr>
        <w:t>5</w:t>
      </w:r>
      <w:r w:rsidRPr="00E04C25">
        <w:rPr>
          <w:rFonts w:ascii="Arial" w:hAnsi="Arial"/>
        </w:rPr>
        <w:t> %), ve Zlínském kraji (</w:t>
      </w:r>
      <w:r w:rsidR="002A6CBB" w:rsidRPr="00E04C25">
        <w:rPr>
          <w:rFonts w:ascii="Arial" w:hAnsi="Arial"/>
        </w:rPr>
        <w:t>19</w:t>
      </w:r>
      <w:r w:rsidRPr="00E04C25">
        <w:rPr>
          <w:rFonts w:ascii="Arial" w:hAnsi="Arial"/>
        </w:rPr>
        <w:t>,</w:t>
      </w:r>
      <w:r w:rsidR="002A6CBB" w:rsidRPr="00E04C25">
        <w:rPr>
          <w:rFonts w:ascii="Arial" w:hAnsi="Arial"/>
        </w:rPr>
        <w:t>3</w:t>
      </w:r>
      <w:r w:rsidRPr="00E04C25">
        <w:rPr>
          <w:rFonts w:ascii="Arial" w:hAnsi="Arial"/>
        </w:rPr>
        <w:t> %) a  v </w:t>
      </w:r>
      <w:r w:rsidR="008D6DAA" w:rsidRPr="00E04C25">
        <w:rPr>
          <w:rFonts w:ascii="Arial" w:hAnsi="Arial"/>
        </w:rPr>
        <w:t>h</w:t>
      </w:r>
      <w:r w:rsidRPr="00E04C25">
        <w:rPr>
          <w:rFonts w:ascii="Arial" w:hAnsi="Arial"/>
        </w:rPr>
        <w:t>l.</w:t>
      </w:r>
      <w:r w:rsidR="002A6CBB" w:rsidRPr="00E04C25">
        <w:rPr>
          <w:rFonts w:ascii="Arial" w:hAnsi="Arial"/>
        </w:rPr>
        <w:t> </w:t>
      </w:r>
      <w:r w:rsidRPr="00E04C25">
        <w:rPr>
          <w:rFonts w:ascii="Arial" w:hAnsi="Arial"/>
        </w:rPr>
        <w:t>m. Praze (2</w:t>
      </w:r>
      <w:r w:rsidR="002A6CBB" w:rsidRPr="00E04C25">
        <w:rPr>
          <w:rFonts w:ascii="Arial" w:hAnsi="Arial"/>
        </w:rPr>
        <w:t>1</w:t>
      </w:r>
      <w:r w:rsidRPr="00E04C25">
        <w:rPr>
          <w:rFonts w:ascii="Arial" w:hAnsi="Arial"/>
        </w:rPr>
        <w:t>,</w:t>
      </w:r>
      <w:r w:rsidR="002A6CBB" w:rsidRPr="00E04C25">
        <w:rPr>
          <w:rFonts w:ascii="Arial" w:hAnsi="Arial"/>
        </w:rPr>
        <w:t>0</w:t>
      </w:r>
      <w:r w:rsidRPr="00E04C25">
        <w:rPr>
          <w:rFonts w:ascii="Arial" w:hAnsi="Arial"/>
        </w:rPr>
        <w:t xml:space="preserve"> %). </w:t>
      </w:r>
    </w:p>
    <w:p w:rsidR="00141A12" w:rsidRPr="00E04C25" w:rsidRDefault="00141A12" w:rsidP="00973FF4">
      <w:pPr>
        <w:tabs>
          <w:tab w:val="left" w:pos="0"/>
          <w:tab w:val="left" w:pos="72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709"/>
        <w:jc w:val="both"/>
        <w:rPr>
          <w:rFonts w:ascii="Arial" w:hAnsi="Arial"/>
        </w:rPr>
      </w:pPr>
      <w:r w:rsidRPr="00E04C25">
        <w:rPr>
          <w:rFonts w:ascii="Arial" w:hAnsi="Arial"/>
        </w:rPr>
        <w:t xml:space="preserve">V pěti krajích se zvýšil podíl uchazečů o zaměstnání pečujících o dítě do 15 let. Nadprůměrný podíl (vyšší než 16,6 %) byl zaznamenán v šesti krajích, nejvyšší v Karlovarském, Libereckém, Ústeckém a Středočeském kraji. </w:t>
      </w:r>
    </w:p>
    <w:p w:rsidR="002A6CBB" w:rsidRPr="00E04C25" w:rsidRDefault="00141A12" w:rsidP="000C6498">
      <w:pPr>
        <w:pStyle w:val="Zhlav"/>
        <w:tabs>
          <w:tab w:val="clear" w:pos="4536"/>
          <w:tab w:val="clear" w:pos="9072"/>
          <w:tab w:val="left" w:pos="0"/>
          <w:tab w:val="left" w:pos="72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567"/>
        <w:jc w:val="both"/>
        <w:rPr>
          <w:rFonts w:ascii="Arial" w:hAnsi="Arial" w:cs="Arial"/>
          <w:sz w:val="24"/>
          <w:szCs w:val="24"/>
        </w:rPr>
      </w:pPr>
      <w:r w:rsidRPr="00E04C25">
        <w:rPr>
          <w:rFonts w:ascii="Arial" w:hAnsi="Arial" w:cs="Arial"/>
          <w:sz w:val="24"/>
          <w:szCs w:val="24"/>
        </w:rPr>
        <w:tab/>
      </w:r>
      <w:r w:rsidR="00B906E8" w:rsidRPr="00E04C25">
        <w:rPr>
          <w:rFonts w:ascii="Arial" w:hAnsi="Arial" w:cs="Arial"/>
          <w:sz w:val="24"/>
          <w:szCs w:val="24"/>
        </w:rPr>
        <w:t xml:space="preserve">Podíl uchazečů o zaměstnání </w:t>
      </w:r>
      <w:r w:rsidR="00B906E8" w:rsidRPr="00E04C25">
        <w:rPr>
          <w:rFonts w:ascii="Arial" w:hAnsi="Arial" w:cs="Arial"/>
          <w:b/>
          <w:sz w:val="24"/>
          <w:szCs w:val="24"/>
        </w:rPr>
        <w:t>do 25 let</w:t>
      </w:r>
      <w:r w:rsidR="00B906E8" w:rsidRPr="00E04C25">
        <w:rPr>
          <w:rFonts w:ascii="Arial" w:hAnsi="Arial" w:cs="Arial"/>
          <w:sz w:val="24"/>
          <w:szCs w:val="24"/>
        </w:rPr>
        <w:t xml:space="preserve"> byl </w:t>
      </w:r>
      <w:r w:rsidR="000C6498" w:rsidRPr="00E04C25">
        <w:rPr>
          <w:rFonts w:ascii="Arial" w:hAnsi="Arial" w:cs="Arial"/>
          <w:sz w:val="24"/>
          <w:szCs w:val="24"/>
        </w:rPr>
        <w:t>na konci</w:t>
      </w:r>
      <w:r w:rsidR="00B906E8" w:rsidRPr="00E04C25">
        <w:rPr>
          <w:rFonts w:ascii="Arial" w:hAnsi="Arial" w:cs="Arial"/>
          <w:sz w:val="24"/>
          <w:szCs w:val="24"/>
        </w:rPr>
        <w:t xml:space="preserve"> roku 2017 </w:t>
      </w:r>
      <w:r w:rsidR="00B906E8" w:rsidRPr="00E04C25">
        <w:rPr>
          <w:rFonts w:ascii="Arial" w:hAnsi="Arial" w:cs="Arial"/>
          <w:b/>
          <w:sz w:val="24"/>
          <w:szCs w:val="24"/>
        </w:rPr>
        <w:t xml:space="preserve">nejvyšší </w:t>
      </w:r>
      <w:r w:rsidR="00B906E8" w:rsidRPr="00E04C25">
        <w:rPr>
          <w:rFonts w:ascii="Arial" w:hAnsi="Arial" w:cs="Arial"/>
          <w:sz w:val="24"/>
          <w:szCs w:val="24"/>
        </w:rPr>
        <w:t xml:space="preserve">(vyšší než 12 %) </w:t>
      </w:r>
      <w:r w:rsidR="00B906E8" w:rsidRPr="00E04C25">
        <w:rPr>
          <w:rFonts w:ascii="Arial" w:hAnsi="Arial" w:cs="Arial"/>
          <w:b/>
          <w:sz w:val="24"/>
          <w:szCs w:val="24"/>
        </w:rPr>
        <w:t>v</w:t>
      </w:r>
      <w:r w:rsidR="000C6498" w:rsidRPr="00E04C25">
        <w:rPr>
          <w:rFonts w:ascii="Arial" w:hAnsi="Arial" w:cs="Arial"/>
          <w:b/>
          <w:sz w:val="24"/>
          <w:szCs w:val="24"/>
        </w:rPr>
        <w:t> Královéhradeckém, Libereckém</w:t>
      </w:r>
      <w:r w:rsidR="00B906E8" w:rsidRPr="00E04C25">
        <w:rPr>
          <w:rFonts w:ascii="Arial" w:hAnsi="Arial" w:cs="Arial"/>
          <w:b/>
          <w:sz w:val="24"/>
          <w:szCs w:val="24"/>
        </w:rPr>
        <w:t>, Ústeckém</w:t>
      </w:r>
      <w:r w:rsidR="000C6498" w:rsidRPr="00E04C25">
        <w:rPr>
          <w:rFonts w:ascii="Arial" w:hAnsi="Arial" w:cs="Arial"/>
          <w:b/>
          <w:sz w:val="24"/>
          <w:szCs w:val="24"/>
        </w:rPr>
        <w:t xml:space="preserve"> a</w:t>
      </w:r>
      <w:r w:rsidR="00B906E8" w:rsidRPr="00E04C25">
        <w:rPr>
          <w:rFonts w:ascii="Arial" w:hAnsi="Arial" w:cs="Arial"/>
          <w:b/>
          <w:sz w:val="24"/>
          <w:szCs w:val="24"/>
        </w:rPr>
        <w:t xml:space="preserve"> </w:t>
      </w:r>
      <w:r w:rsidR="000C6498" w:rsidRPr="00E04C25">
        <w:rPr>
          <w:rFonts w:ascii="Arial" w:hAnsi="Arial" w:cs="Arial"/>
          <w:b/>
          <w:sz w:val="24"/>
          <w:szCs w:val="24"/>
        </w:rPr>
        <w:t xml:space="preserve">Pardubickém </w:t>
      </w:r>
      <w:r w:rsidR="00B906E8" w:rsidRPr="00E04C25">
        <w:rPr>
          <w:rFonts w:ascii="Arial" w:hAnsi="Arial" w:cs="Arial"/>
          <w:b/>
          <w:sz w:val="24"/>
          <w:szCs w:val="24"/>
        </w:rPr>
        <w:t>kraji</w:t>
      </w:r>
      <w:r w:rsidR="000C6498" w:rsidRPr="00E04C25">
        <w:rPr>
          <w:rFonts w:ascii="Arial" w:hAnsi="Arial" w:cs="Arial"/>
          <w:b/>
          <w:sz w:val="24"/>
          <w:szCs w:val="24"/>
        </w:rPr>
        <w:t>,</w:t>
      </w:r>
      <w:r w:rsidR="00B906E8" w:rsidRPr="00E04C25">
        <w:rPr>
          <w:rFonts w:ascii="Arial" w:hAnsi="Arial" w:cs="Arial"/>
          <w:sz w:val="24"/>
          <w:szCs w:val="24"/>
        </w:rPr>
        <w:t xml:space="preserve"> nejnižší v </w:t>
      </w:r>
      <w:r w:rsidR="008D6DAA" w:rsidRPr="00E04C25">
        <w:rPr>
          <w:rFonts w:ascii="Arial" w:hAnsi="Arial" w:cs="Arial"/>
          <w:sz w:val="24"/>
          <w:szCs w:val="24"/>
        </w:rPr>
        <w:t>h</w:t>
      </w:r>
      <w:r w:rsidR="00B906E8" w:rsidRPr="00E04C25">
        <w:rPr>
          <w:rFonts w:ascii="Arial" w:hAnsi="Arial" w:cs="Arial"/>
          <w:sz w:val="24"/>
          <w:szCs w:val="24"/>
        </w:rPr>
        <w:t>l. m. Praze (</w:t>
      </w:r>
      <w:r w:rsidR="000C6498" w:rsidRPr="00E04C25">
        <w:rPr>
          <w:rFonts w:ascii="Arial" w:hAnsi="Arial" w:cs="Arial"/>
          <w:sz w:val="24"/>
          <w:szCs w:val="24"/>
        </w:rPr>
        <w:t>8</w:t>
      </w:r>
      <w:r w:rsidR="00B906E8" w:rsidRPr="00E04C25">
        <w:rPr>
          <w:rFonts w:ascii="Arial" w:hAnsi="Arial" w:cs="Arial"/>
          <w:sz w:val="24"/>
          <w:szCs w:val="24"/>
        </w:rPr>
        <w:t>,</w:t>
      </w:r>
      <w:r w:rsidR="000C6498" w:rsidRPr="00E04C25">
        <w:rPr>
          <w:rFonts w:ascii="Arial" w:hAnsi="Arial" w:cs="Arial"/>
          <w:sz w:val="24"/>
          <w:szCs w:val="24"/>
        </w:rPr>
        <w:t>6</w:t>
      </w:r>
      <w:r w:rsidR="00B906E8" w:rsidRPr="00E04C25">
        <w:rPr>
          <w:rFonts w:ascii="Arial" w:hAnsi="Arial" w:cs="Arial"/>
          <w:sz w:val="24"/>
          <w:szCs w:val="24"/>
        </w:rPr>
        <w:t xml:space="preserve"> %), zatímco celorepublikový průměr dosáhl hodnoty 11,2 %. </w:t>
      </w:r>
    </w:p>
    <w:p w:rsidR="000C6498" w:rsidRPr="00E04C25" w:rsidRDefault="00B906E8" w:rsidP="0029073E">
      <w:pPr>
        <w:pStyle w:val="Zhlav"/>
        <w:tabs>
          <w:tab w:val="clear" w:pos="4536"/>
          <w:tab w:val="clear" w:pos="9072"/>
          <w:tab w:val="left" w:pos="0"/>
          <w:tab w:val="left" w:pos="72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567"/>
        <w:jc w:val="both"/>
        <w:rPr>
          <w:rFonts w:ascii="Arial" w:hAnsi="Arial" w:cs="Arial"/>
          <w:sz w:val="24"/>
          <w:szCs w:val="24"/>
        </w:rPr>
      </w:pPr>
      <w:r w:rsidRPr="00E04C25">
        <w:rPr>
          <w:rFonts w:ascii="Arial" w:hAnsi="Arial" w:cs="Arial"/>
          <w:b/>
          <w:sz w:val="24"/>
          <w:szCs w:val="24"/>
        </w:rPr>
        <w:t>V</w:t>
      </w:r>
      <w:r w:rsidR="000C6498" w:rsidRPr="00E04C25">
        <w:rPr>
          <w:rFonts w:ascii="Arial" w:hAnsi="Arial" w:cs="Arial"/>
          <w:b/>
          <w:sz w:val="24"/>
          <w:szCs w:val="24"/>
        </w:rPr>
        <w:t>e</w:t>
      </w:r>
      <w:r w:rsidRPr="00E04C25">
        <w:rPr>
          <w:rFonts w:ascii="Arial" w:hAnsi="Arial" w:cs="Arial"/>
          <w:b/>
          <w:sz w:val="24"/>
          <w:szCs w:val="24"/>
        </w:rPr>
        <w:t> </w:t>
      </w:r>
      <w:r w:rsidR="000C6498" w:rsidRPr="00E04C25">
        <w:rPr>
          <w:rFonts w:ascii="Arial" w:hAnsi="Arial" w:cs="Arial"/>
          <w:b/>
          <w:sz w:val="24"/>
          <w:szCs w:val="24"/>
        </w:rPr>
        <w:t>Středočeském, Ústeckém</w:t>
      </w:r>
      <w:r w:rsidR="0029073E" w:rsidRPr="00E04C25">
        <w:rPr>
          <w:rFonts w:ascii="Arial" w:hAnsi="Arial" w:cs="Arial"/>
          <w:b/>
          <w:sz w:val="24"/>
          <w:szCs w:val="24"/>
        </w:rPr>
        <w:t xml:space="preserve">, Libereckém kraji a </w:t>
      </w:r>
      <w:r w:rsidR="008D6DAA" w:rsidRPr="00E04C25">
        <w:rPr>
          <w:rFonts w:ascii="Arial" w:hAnsi="Arial" w:cs="Arial"/>
          <w:b/>
          <w:sz w:val="24"/>
          <w:szCs w:val="24"/>
        </w:rPr>
        <w:t>h</w:t>
      </w:r>
      <w:r w:rsidR="0029073E" w:rsidRPr="00E04C25">
        <w:rPr>
          <w:rFonts w:ascii="Arial" w:hAnsi="Arial" w:cs="Arial"/>
          <w:b/>
          <w:sz w:val="24"/>
          <w:szCs w:val="24"/>
        </w:rPr>
        <w:t>l. m. Praze</w:t>
      </w:r>
      <w:r w:rsidRPr="00E04C25">
        <w:rPr>
          <w:rFonts w:ascii="Arial" w:hAnsi="Arial" w:cs="Arial"/>
          <w:sz w:val="24"/>
          <w:szCs w:val="24"/>
        </w:rPr>
        <w:t xml:space="preserve"> představovaly </w:t>
      </w:r>
      <w:r w:rsidRPr="00E04C25">
        <w:rPr>
          <w:rFonts w:ascii="Arial" w:hAnsi="Arial" w:cs="Arial"/>
          <w:b/>
          <w:sz w:val="24"/>
          <w:szCs w:val="24"/>
        </w:rPr>
        <w:t xml:space="preserve">ženy </w:t>
      </w:r>
      <w:r w:rsidRPr="00E04C25">
        <w:rPr>
          <w:rFonts w:ascii="Arial" w:hAnsi="Arial" w:cs="Arial"/>
          <w:sz w:val="24"/>
          <w:szCs w:val="24"/>
        </w:rPr>
        <w:t>více než 5</w:t>
      </w:r>
      <w:r w:rsidR="0029073E" w:rsidRPr="00E04C25">
        <w:rPr>
          <w:rFonts w:ascii="Arial" w:hAnsi="Arial" w:cs="Arial"/>
          <w:sz w:val="24"/>
          <w:szCs w:val="24"/>
        </w:rPr>
        <w:t>2</w:t>
      </w:r>
      <w:r w:rsidRPr="00E04C25">
        <w:rPr>
          <w:rFonts w:ascii="Arial" w:hAnsi="Arial" w:cs="Arial"/>
          <w:sz w:val="24"/>
          <w:szCs w:val="24"/>
        </w:rPr>
        <w:t> % uchazečů o zaměstnání</w:t>
      </w:r>
      <w:r w:rsidR="0029073E" w:rsidRPr="00E04C25">
        <w:rPr>
          <w:rFonts w:ascii="Arial" w:hAnsi="Arial" w:cs="Arial"/>
          <w:sz w:val="24"/>
          <w:szCs w:val="24"/>
        </w:rPr>
        <w:t xml:space="preserve">. Nad úrovní republikového průměru (50,2 %) byl podíl žen ještě v Plzeňském a Jihomoravském kraji. Naopak </w:t>
      </w:r>
      <w:r w:rsidRPr="00E04C25">
        <w:rPr>
          <w:rFonts w:ascii="Arial" w:hAnsi="Arial" w:cs="Arial"/>
          <w:sz w:val="24"/>
          <w:szCs w:val="24"/>
        </w:rPr>
        <w:t>v</w:t>
      </w:r>
      <w:r w:rsidR="00DB3E46" w:rsidRPr="00E04C25">
        <w:rPr>
          <w:rFonts w:ascii="Arial" w:hAnsi="Arial" w:cs="Arial"/>
          <w:sz w:val="24"/>
          <w:szCs w:val="24"/>
        </w:rPr>
        <w:t>e</w:t>
      </w:r>
      <w:r w:rsidR="0029073E" w:rsidRPr="00E04C25">
        <w:rPr>
          <w:rFonts w:ascii="Arial" w:hAnsi="Arial" w:cs="Arial"/>
          <w:sz w:val="24"/>
          <w:szCs w:val="24"/>
        </w:rPr>
        <w:t> Zlínském a </w:t>
      </w:r>
      <w:r w:rsidRPr="00E04C25">
        <w:rPr>
          <w:rFonts w:ascii="Arial" w:hAnsi="Arial" w:cs="Arial"/>
          <w:sz w:val="24"/>
          <w:szCs w:val="24"/>
        </w:rPr>
        <w:t xml:space="preserve">Moravskoslezském kraji </w:t>
      </w:r>
      <w:r w:rsidR="0029073E" w:rsidRPr="00E04C25">
        <w:rPr>
          <w:rFonts w:ascii="Arial" w:hAnsi="Arial" w:cs="Arial"/>
          <w:sz w:val="24"/>
          <w:szCs w:val="24"/>
        </w:rPr>
        <w:t xml:space="preserve">činil podíl žen </w:t>
      </w:r>
      <w:r w:rsidRPr="00E04C25">
        <w:rPr>
          <w:rFonts w:ascii="Arial" w:hAnsi="Arial" w:cs="Arial"/>
          <w:sz w:val="24"/>
          <w:szCs w:val="24"/>
        </w:rPr>
        <w:t xml:space="preserve">pouze </w:t>
      </w:r>
      <w:r w:rsidR="0029073E" w:rsidRPr="00E04C25">
        <w:rPr>
          <w:rFonts w:ascii="Arial" w:hAnsi="Arial" w:cs="Arial"/>
          <w:sz w:val="24"/>
          <w:szCs w:val="24"/>
        </w:rPr>
        <w:t xml:space="preserve">47,0, resp. </w:t>
      </w:r>
      <w:r w:rsidRPr="00E04C25">
        <w:rPr>
          <w:rFonts w:ascii="Arial" w:hAnsi="Arial" w:cs="Arial"/>
          <w:sz w:val="24"/>
          <w:szCs w:val="24"/>
        </w:rPr>
        <w:t>4</w:t>
      </w:r>
      <w:r w:rsidR="0029073E" w:rsidRPr="00E04C25">
        <w:rPr>
          <w:rFonts w:ascii="Arial" w:hAnsi="Arial" w:cs="Arial"/>
          <w:sz w:val="24"/>
          <w:szCs w:val="24"/>
        </w:rPr>
        <w:t>7</w:t>
      </w:r>
      <w:r w:rsidRPr="00E04C25">
        <w:rPr>
          <w:rFonts w:ascii="Arial" w:hAnsi="Arial" w:cs="Arial"/>
          <w:sz w:val="24"/>
          <w:szCs w:val="24"/>
        </w:rPr>
        <w:t>,</w:t>
      </w:r>
      <w:r w:rsidR="0029073E" w:rsidRPr="00E04C25">
        <w:rPr>
          <w:rFonts w:ascii="Arial" w:hAnsi="Arial" w:cs="Arial"/>
          <w:sz w:val="24"/>
          <w:szCs w:val="24"/>
        </w:rPr>
        <w:t>3</w:t>
      </w:r>
      <w:r w:rsidRPr="00E04C25">
        <w:rPr>
          <w:rFonts w:ascii="Arial" w:hAnsi="Arial" w:cs="Arial"/>
          <w:sz w:val="24"/>
          <w:szCs w:val="24"/>
        </w:rPr>
        <w:t xml:space="preserve"> %. </w:t>
      </w:r>
    </w:p>
    <w:p w:rsidR="0029073E" w:rsidRPr="00E04C25" w:rsidRDefault="0029073E" w:rsidP="00973FF4">
      <w:pPr>
        <w:tabs>
          <w:tab w:val="left" w:pos="0"/>
          <w:tab w:val="left" w:pos="72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720"/>
        <w:jc w:val="both"/>
        <w:rPr>
          <w:b/>
          <w:szCs w:val="23"/>
        </w:rPr>
      </w:pPr>
      <w:r w:rsidRPr="00E04C25">
        <w:rPr>
          <w:rFonts w:ascii="Arial" w:hAnsi="Arial" w:cs="Arial"/>
          <w:szCs w:val="23"/>
        </w:rPr>
        <w:t xml:space="preserve">Z výše uvedeného </w:t>
      </w:r>
      <w:r w:rsidRPr="00E04C25">
        <w:rPr>
          <w:rFonts w:ascii="Arial" w:hAnsi="Arial"/>
          <w:szCs w:val="23"/>
        </w:rPr>
        <w:t>vyplývá, že v</w:t>
      </w:r>
      <w:r w:rsidRPr="00E04C25">
        <w:rPr>
          <w:rFonts w:ascii="Arial" w:hAnsi="Arial"/>
        </w:rPr>
        <w:t xml:space="preserve"> zastoupení </w:t>
      </w:r>
      <w:r w:rsidRPr="00E04C25">
        <w:rPr>
          <w:rFonts w:ascii="Arial" w:hAnsi="Arial"/>
          <w:szCs w:val="23"/>
        </w:rPr>
        <w:t>skupin uchazečů o zaměstnání na trhu práce znevýhodněných i nadále přetrvávají velké regionální</w:t>
      </w:r>
      <w:r w:rsidRPr="00E04C25">
        <w:rPr>
          <w:rFonts w:ascii="Arial" w:hAnsi="Arial"/>
        </w:rPr>
        <w:t xml:space="preserve"> rozdíly. </w:t>
      </w:r>
      <w:r w:rsidR="00141A12" w:rsidRPr="00E04C25">
        <w:rPr>
          <w:rFonts w:ascii="Arial" w:hAnsi="Arial" w:cs="Arial"/>
        </w:rPr>
        <w:t xml:space="preserve">Struktura uchazečů o zaměstnání je spíše závislá např. na </w:t>
      </w:r>
      <w:r w:rsidR="00973FF4" w:rsidRPr="00E04C25">
        <w:rPr>
          <w:rFonts w:ascii="Arial" w:hAnsi="Arial" w:cs="Arial"/>
        </w:rPr>
        <w:t xml:space="preserve">věkové a vzdělanostní struktuře </w:t>
      </w:r>
      <w:r w:rsidR="00141A12" w:rsidRPr="00E04C25">
        <w:rPr>
          <w:rFonts w:ascii="Arial" w:hAnsi="Arial" w:cs="Arial"/>
        </w:rPr>
        <w:t>obyvatelstva a míře jejich ekonomické aktivity nebo i struktuře zaměstnanosti a</w:t>
      </w:r>
      <w:r w:rsidR="00973FF4" w:rsidRPr="00E04C25">
        <w:rPr>
          <w:rFonts w:ascii="Arial" w:hAnsi="Arial" w:cs="Arial"/>
        </w:rPr>
        <w:t> </w:t>
      </w:r>
      <w:r w:rsidR="00141A12" w:rsidRPr="00E04C25">
        <w:rPr>
          <w:rFonts w:ascii="Arial" w:hAnsi="Arial" w:cs="Arial"/>
        </w:rPr>
        <w:t xml:space="preserve">nabídce práce </w:t>
      </w:r>
      <w:r w:rsidR="00973FF4" w:rsidRPr="00E04C25">
        <w:rPr>
          <w:rFonts w:ascii="Arial" w:hAnsi="Arial" w:cs="Arial"/>
        </w:rPr>
        <w:t xml:space="preserve">než na </w:t>
      </w:r>
      <w:r w:rsidR="00141A12" w:rsidRPr="00E04C25">
        <w:rPr>
          <w:rFonts w:ascii="Arial" w:hAnsi="Arial" w:cs="Arial"/>
        </w:rPr>
        <w:t xml:space="preserve">úrovni nezaměstnanosti. </w:t>
      </w:r>
    </w:p>
    <w:p w:rsidR="00B906E8" w:rsidRPr="00E04C25" w:rsidRDefault="00B906E8" w:rsidP="00B906E8">
      <w:pPr>
        <w:pStyle w:val="Zkladntext"/>
        <w:spacing w:line="360" w:lineRule="auto"/>
        <w:ind w:firstLine="709"/>
        <w:rPr>
          <w:bCs/>
          <w:color w:val="auto"/>
          <w:szCs w:val="23"/>
          <w:lang w:val="cs-CZ"/>
        </w:rPr>
      </w:pPr>
      <w:r w:rsidRPr="00E04C25">
        <w:rPr>
          <w:b/>
          <w:color w:val="auto"/>
          <w:szCs w:val="23"/>
        </w:rPr>
        <w:t>V regionech s nadprůměrnou nezaměstnaností</w:t>
      </w:r>
      <w:r w:rsidRPr="00E04C25">
        <w:rPr>
          <w:color w:val="auto"/>
          <w:szCs w:val="23"/>
        </w:rPr>
        <w:t xml:space="preserve"> je </w:t>
      </w:r>
      <w:r w:rsidR="00973FF4" w:rsidRPr="00E04C25">
        <w:rPr>
          <w:color w:val="auto"/>
          <w:szCs w:val="23"/>
          <w:lang w:val="cs-CZ"/>
        </w:rPr>
        <w:t xml:space="preserve">však </w:t>
      </w:r>
      <w:r w:rsidRPr="00E04C25">
        <w:rPr>
          <w:color w:val="auto"/>
          <w:szCs w:val="23"/>
        </w:rPr>
        <w:t>jak absolutně, tak i relativně vyšší</w:t>
      </w:r>
      <w:r w:rsidRPr="00E04C25">
        <w:rPr>
          <w:b/>
          <w:color w:val="auto"/>
          <w:szCs w:val="23"/>
        </w:rPr>
        <w:t xml:space="preserve"> </w:t>
      </w:r>
      <w:r w:rsidRPr="00E04C25">
        <w:rPr>
          <w:b/>
          <w:bCs/>
          <w:color w:val="auto"/>
          <w:szCs w:val="23"/>
        </w:rPr>
        <w:t>dlouhodobá nezaměstnanost</w:t>
      </w:r>
      <w:r w:rsidRPr="00E04C25">
        <w:rPr>
          <w:color w:val="auto"/>
          <w:szCs w:val="23"/>
        </w:rPr>
        <w:t xml:space="preserve">. </w:t>
      </w:r>
      <w:r w:rsidRPr="00E04C25">
        <w:rPr>
          <w:b/>
          <w:color w:val="auto"/>
          <w:szCs w:val="23"/>
          <w:lang w:val="cs-CZ"/>
        </w:rPr>
        <w:t xml:space="preserve">Nejvyšší podíl </w:t>
      </w:r>
      <w:r w:rsidRPr="00E04C25">
        <w:rPr>
          <w:color w:val="auto"/>
          <w:szCs w:val="23"/>
          <w:lang w:val="cs-CZ"/>
        </w:rPr>
        <w:t xml:space="preserve">dlouhodobě nezaměstnaných (12 měsíců a více) </w:t>
      </w:r>
      <w:r w:rsidRPr="00E04C25">
        <w:rPr>
          <w:color w:val="auto"/>
          <w:lang w:val="cs-CZ"/>
        </w:rPr>
        <w:t>měl</w:t>
      </w:r>
      <w:r w:rsidRPr="00E04C25">
        <w:rPr>
          <w:color w:val="auto"/>
        </w:rPr>
        <w:t xml:space="preserve"> </w:t>
      </w:r>
      <w:r w:rsidRPr="00E04C25">
        <w:rPr>
          <w:b/>
          <w:color w:val="auto"/>
        </w:rPr>
        <w:t>Moravskoslezsk</w:t>
      </w:r>
      <w:r w:rsidRPr="00E04C25">
        <w:rPr>
          <w:b/>
          <w:color w:val="auto"/>
          <w:lang w:val="cs-CZ"/>
        </w:rPr>
        <w:t xml:space="preserve">ý </w:t>
      </w:r>
      <w:r w:rsidRPr="00E04C25">
        <w:rPr>
          <w:color w:val="auto"/>
          <w:lang w:val="cs-CZ"/>
        </w:rPr>
        <w:t>(4</w:t>
      </w:r>
      <w:r w:rsidR="00973FF4" w:rsidRPr="00E04C25">
        <w:rPr>
          <w:color w:val="auto"/>
          <w:lang w:val="cs-CZ"/>
        </w:rPr>
        <w:t>2</w:t>
      </w:r>
      <w:r w:rsidRPr="00E04C25">
        <w:rPr>
          <w:color w:val="auto"/>
          <w:lang w:val="cs-CZ"/>
        </w:rPr>
        <w:t>,</w:t>
      </w:r>
      <w:r w:rsidR="00973FF4" w:rsidRPr="00E04C25">
        <w:rPr>
          <w:color w:val="auto"/>
          <w:lang w:val="cs-CZ"/>
        </w:rPr>
        <w:t>7</w:t>
      </w:r>
      <w:r w:rsidRPr="00E04C25">
        <w:rPr>
          <w:color w:val="auto"/>
          <w:lang w:val="cs-CZ"/>
        </w:rPr>
        <w:t xml:space="preserve"> %), </w:t>
      </w:r>
      <w:r w:rsidRPr="00E04C25">
        <w:rPr>
          <w:b/>
          <w:color w:val="auto"/>
        </w:rPr>
        <w:t>Ústeck</w:t>
      </w:r>
      <w:r w:rsidRPr="00E04C25">
        <w:rPr>
          <w:b/>
          <w:color w:val="auto"/>
          <w:lang w:val="cs-CZ"/>
        </w:rPr>
        <w:t xml:space="preserve">ý </w:t>
      </w:r>
      <w:r w:rsidRPr="00E04C25">
        <w:rPr>
          <w:color w:val="auto"/>
          <w:lang w:val="cs-CZ"/>
        </w:rPr>
        <w:t>(4</w:t>
      </w:r>
      <w:r w:rsidR="00973FF4" w:rsidRPr="00E04C25">
        <w:rPr>
          <w:color w:val="auto"/>
          <w:lang w:val="cs-CZ"/>
        </w:rPr>
        <w:t>0</w:t>
      </w:r>
      <w:r w:rsidRPr="00E04C25">
        <w:rPr>
          <w:color w:val="auto"/>
          <w:lang w:val="cs-CZ"/>
        </w:rPr>
        <w:t>,</w:t>
      </w:r>
      <w:r w:rsidR="00973FF4" w:rsidRPr="00E04C25">
        <w:rPr>
          <w:color w:val="auto"/>
          <w:lang w:val="cs-CZ"/>
        </w:rPr>
        <w:t>7</w:t>
      </w:r>
      <w:r w:rsidRPr="00E04C25">
        <w:rPr>
          <w:color w:val="auto"/>
          <w:lang w:val="cs-CZ"/>
        </w:rPr>
        <w:t> %)</w:t>
      </w:r>
      <w:r w:rsidR="00973FF4" w:rsidRPr="00E04C25">
        <w:rPr>
          <w:color w:val="auto"/>
          <w:lang w:val="cs-CZ"/>
        </w:rPr>
        <w:t>,</w:t>
      </w:r>
      <w:r w:rsidRPr="00E04C25">
        <w:rPr>
          <w:color w:val="auto"/>
          <w:lang w:val="cs-CZ"/>
        </w:rPr>
        <w:t xml:space="preserve"> </w:t>
      </w:r>
      <w:r w:rsidRPr="00E04C25">
        <w:rPr>
          <w:b/>
          <w:color w:val="auto"/>
        </w:rPr>
        <w:t>Karlovarsk</w:t>
      </w:r>
      <w:r w:rsidRPr="00E04C25">
        <w:rPr>
          <w:b/>
          <w:color w:val="auto"/>
          <w:lang w:val="cs-CZ"/>
        </w:rPr>
        <w:t xml:space="preserve">ý </w:t>
      </w:r>
      <w:r w:rsidRPr="00E04C25">
        <w:rPr>
          <w:color w:val="auto"/>
          <w:lang w:val="cs-CZ"/>
        </w:rPr>
        <w:t>(</w:t>
      </w:r>
      <w:r w:rsidR="00973FF4" w:rsidRPr="00E04C25">
        <w:rPr>
          <w:color w:val="auto"/>
          <w:lang w:val="cs-CZ"/>
        </w:rPr>
        <w:t>36</w:t>
      </w:r>
      <w:r w:rsidRPr="00E04C25">
        <w:rPr>
          <w:color w:val="auto"/>
          <w:lang w:val="cs-CZ"/>
        </w:rPr>
        <w:t>,</w:t>
      </w:r>
      <w:r w:rsidR="00973FF4" w:rsidRPr="00E04C25">
        <w:rPr>
          <w:color w:val="auto"/>
          <w:lang w:val="cs-CZ"/>
        </w:rPr>
        <w:t>7</w:t>
      </w:r>
      <w:r w:rsidRPr="00E04C25">
        <w:rPr>
          <w:color w:val="auto"/>
          <w:lang w:val="cs-CZ"/>
        </w:rPr>
        <w:t> %</w:t>
      </w:r>
      <w:r w:rsidR="00973FF4" w:rsidRPr="00E04C25">
        <w:rPr>
          <w:color w:val="auto"/>
          <w:lang w:val="cs-CZ"/>
        </w:rPr>
        <w:t xml:space="preserve">) a </w:t>
      </w:r>
      <w:r w:rsidR="00973FF4" w:rsidRPr="00E04C25">
        <w:rPr>
          <w:b/>
          <w:color w:val="auto"/>
          <w:lang w:val="cs-CZ"/>
        </w:rPr>
        <w:t xml:space="preserve">Jihomoravský </w:t>
      </w:r>
      <w:r w:rsidR="00973FF4" w:rsidRPr="00E04C25">
        <w:rPr>
          <w:b/>
          <w:color w:val="auto"/>
        </w:rPr>
        <w:t>kraj</w:t>
      </w:r>
      <w:r w:rsidR="00973FF4" w:rsidRPr="00E04C25">
        <w:rPr>
          <w:color w:val="auto"/>
          <w:lang w:val="cs-CZ"/>
        </w:rPr>
        <w:t xml:space="preserve"> (35,8 % </w:t>
      </w:r>
      <w:r w:rsidRPr="00E04C25">
        <w:rPr>
          <w:color w:val="auto"/>
          <w:lang w:val="cs-CZ"/>
        </w:rPr>
        <w:t xml:space="preserve">všech uchazečů </w:t>
      </w:r>
      <w:r w:rsidRPr="00E04C25">
        <w:rPr>
          <w:color w:val="auto"/>
          <w:lang w:val="cs-CZ"/>
        </w:rPr>
        <w:lastRenderedPageBreak/>
        <w:t xml:space="preserve">o zaměstnání). </w:t>
      </w:r>
      <w:r w:rsidRPr="00E04C25">
        <w:rPr>
          <w:bCs/>
          <w:color w:val="auto"/>
          <w:szCs w:val="23"/>
          <w:lang w:val="cs-CZ"/>
        </w:rPr>
        <w:t>Nejnižší podíl evidovaly regiony s nejnižší nezaměstnaností, zejména Pardubický (2</w:t>
      </w:r>
      <w:r w:rsidR="00973FF4" w:rsidRPr="00E04C25">
        <w:rPr>
          <w:bCs/>
          <w:color w:val="auto"/>
          <w:szCs w:val="23"/>
          <w:lang w:val="cs-CZ"/>
        </w:rPr>
        <w:t>1</w:t>
      </w:r>
      <w:r w:rsidRPr="00E04C25">
        <w:rPr>
          <w:bCs/>
          <w:color w:val="auto"/>
          <w:szCs w:val="23"/>
          <w:lang w:val="cs-CZ"/>
        </w:rPr>
        <w:t>,</w:t>
      </w:r>
      <w:r w:rsidR="00973FF4" w:rsidRPr="00E04C25">
        <w:rPr>
          <w:bCs/>
          <w:color w:val="auto"/>
          <w:szCs w:val="23"/>
          <w:lang w:val="cs-CZ"/>
        </w:rPr>
        <w:t>2</w:t>
      </w:r>
      <w:r w:rsidRPr="00E04C25">
        <w:rPr>
          <w:bCs/>
          <w:color w:val="auto"/>
          <w:szCs w:val="23"/>
          <w:lang w:val="cs-CZ"/>
        </w:rPr>
        <w:t> %), Jihočeský (2</w:t>
      </w:r>
      <w:r w:rsidR="00973FF4" w:rsidRPr="00E04C25">
        <w:rPr>
          <w:bCs/>
          <w:color w:val="auto"/>
          <w:szCs w:val="23"/>
          <w:lang w:val="cs-CZ"/>
        </w:rPr>
        <w:t>2</w:t>
      </w:r>
      <w:r w:rsidRPr="00E04C25">
        <w:rPr>
          <w:bCs/>
          <w:color w:val="auto"/>
          <w:szCs w:val="23"/>
          <w:lang w:val="cs-CZ"/>
        </w:rPr>
        <w:t>,</w:t>
      </w:r>
      <w:r w:rsidR="00973FF4" w:rsidRPr="00E04C25">
        <w:rPr>
          <w:bCs/>
          <w:color w:val="auto"/>
          <w:szCs w:val="23"/>
          <w:lang w:val="cs-CZ"/>
        </w:rPr>
        <w:t>1</w:t>
      </w:r>
      <w:r w:rsidRPr="00E04C25">
        <w:rPr>
          <w:bCs/>
          <w:color w:val="auto"/>
          <w:szCs w:val="23"/>
          <w:lang w:val="cs-CZ"/>
        </w:rPr>
        <w:t> %)</w:t>
      </w:r>
      <w:r w:rsidR="00973FF4" w:rsidRPr="00E04C25">
        <w:rPr>
          <w:bCs/>
          <w:color w:val="auto"/>
          <w:szCs w:val="23"/>
          <w:lang w:val="cs-CZ"/>
        </w:rPr>
        <w:t>,</w:t>
      </w:r>
      <w:r w:rsidR="00453874" w:rsidRPr="00E04C25">
        <w:rPr>
          <w:bCs/>
          <w:color w:val="auto"/>
          <w:szCs w:val="23"/>
          <w:lang w:val="cs-CZ"/>
        </w:rPr>
        <w:t xml:space="preserve"> </w:t>
      </w:r>
      <w:r w:rsidRPr="00E04C25">
        <w:rPr>
          <w:bCs/>
          <w:color w:val="auto"/>
          <w:szCs w:val="23"/>
          <w:lang w:val="cs-CZ"/>
        </w:rPr>
        <w:t>Královéhradecký (</w:t>
      </w:r>
      <w:r w:rsidR="00973FF4" w:rsidRPr="00E04C25">
        <w:rPr>
          <w:bCs/>
          <w:color w:val="auto"/>
          <w:szCs w:val="23"/>
          <w:lang w:val="cs-CZ"/>
        </w:rPr>
        <w:t>25</w:t>
      </w:r>
      <w:r w:rsidRPr="00E04C25">
        <w:rPr>
          <w:bCs/>
          <w:color w:val="auto"/>
          <w:szCs w:val="23"/>
          <w:lang w:val="cs-CZ"/>
        </w:rPr>
        <w:t>,</w:t>
      </w:r>
      <w:r w:rsidR="00973FF4" w:rsidRPr="00E04C25">
        <w:rPr>
          <w:bCs/>
          <w:color w:val="auto"/>
          <w:szCs w:val="23"/>
          <w:lang w:val="cs-CZ"/>
        </w:rPr>
        <w:t>3</w:t>
      </w:r>
      <w:r w:rsidRPr="00E04C25">
        <w:rPr>
          <w:bCs/>
          <w:color w:val="auto"/>
          <w:szCs w:val="23"/>
          <w:lang w:val="cs-CZ"/>
        </w:rPr>
        <w:t> %)</w:t>
      </w:r>
      <w:r w:rsidR="00973FF4" w:rsidRPr="00E04C25">
        <w:rPr>
          <w:bCs/>
          <w:color w:val="auto"/>
          <w:szCs w:val="23"/>
          <w:lang w:val="cs-CZ"/>
        </w:rPr>
        <w:t xml:space="preserve"> a Plzeňský kraj (25,6 %)</w:t>
      </w:r>
      <w:r w:rsidRPr="00E04C25">
        <w:rPr>
          <w:bCs/>
          <w:color w:val="auto"/>
          <w:szCs w:val="23"/>
          <w:lang w:val="cs-CZ"/>
        </w:rPr>
        <w:t xml:space="preserve">. </w:t>
      </w:r>
    </w:p>
    <w:p w:rsidR="00B906E8" w:rsidRPr="00E04C25" w:rsidRDefault="00B906E8" w:rsidP="00B906E8">
      <w:pPr>
        <w:pStyle w:val="Zhlav"/>
        <w:tabs>
          <w:tab w:val="clear" w:pos="4536"/>
          <w:tab w:val="clear" w:pos="9072"/>
          <w:tab w:val="left" w:pos="0"/>
          <w:tab w:val="left" w:pos="72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709"/>
        <w:jc w:val="both"/>
        <w:rPr>
          <w:rFonts w:ascii="Arial" w:hAnsi="Arial" w:cs="Arial"/>
          <w:bCs/>
          <w:sz w:val="24"/>
          <w:szCs w:val="23"/>
        </w:rPr>
      </w:pPr>
      <w:r w:rsidRPr="00E04C25">
        <w:rPr>
          <w:rFonts w:ascii="Arial" w:hAnsi="Arial" w:cs="Arial"/>
          <w:b/>
          <w:bCs/>
          <w:sz w:val="24"/>
          <w:szCs w:val="23"/>
        </w:rPr>
        <w:t>V krajích s vysokou nezaměstnaností</w:t>
      </w:r>
      <w:r w:rsidRPr="00E04C25">
        <w:rPr>
          <w:rFonts w:ascii="Arial" w:hAnsi="Arial" w:cs="Arial"/>
          <w:bCs/>
          <w:sz w:val="24"/>
          <w:szCs w:val="23"/>
        </w:rPr>
        <w:t xml:space="preserve"> bývá i nejvyšší</w:t>
      </w:r>
      <w:r w:rsidRPr="00E04C25">
        <w:rPr>
          <w:rFonts w:ascii="Arial" w:hAnsi="Arial" w:cs="Arial"/>
          <w:b/>
          <w:bCs/>
          <w:sz w:val="24"/>
          <w:szCs w:val="23"/>
        </w:rPr>
        <w:t xml:space="preserve"> </w:t>
      </w:r>
      <w:r w:rsidRPr="00E04C25">
        <w:rPr>
          <w:rFonts w:ascii="Arial" w:hAnsi="Arial" w:cs="Arial"/>
          <w:bCs/>
          <w:sz w:val="24"/>
          <w:szCs w:val="23"/>
        </w:rPr>
        <w:t>p</w:t>
      </w:r>
      <w:r w:rsidRPr="00E04C25">
        <w:rPr>
          <w:rFonts w:ascii="Arial" w:hAnsi="Arial" w:cs="Arial"/>
          <w:sz w:val="24"/>
          <w:szCs w:val="23"/>
        </w:rPr>
        <w:t>růměrná délka evidence uchazečů o zaměstnání, kteří byli aktuálně v evidenci ÚP ČR, tzv. </w:t>
      </w:r>
      <w:r w:rsidRPr="00E04C25">
        <w:rPr>
          <w:rFonts w:ascii="Arial" w:hAnsi="Arial" w:cs="Arial"/>
          <w:b/>
          <w:bCs/>
          <w:sz w:val="24"/>
          <w:szCs w:val="23"/>
        </w:rPr>
        <w:t xml:space="preserve">délka průběžné evidence. </w:t>
      </w:r>
      <w:r w:rsidRPr="00E04C25">
        <w:rPr>
          <w:rFonts w:ascii="Arial" w:hAnsi="Arial" w:cs="Arial"/>
          <w:sz w:val="24"/>
          <w:szCs w:val="23"/>
        </w:rPr>
        <w:t>K  3</w:t>
      </w:r>
      <w:r w:rsidR="0051310B" w:rsidRPr="00E04C25">
        <w:rPr>
          <w:rFonts w:ascii="Arial" w:hAnsi="Arial" w:cs="Arial"/>
          <w:sz w:val="24"/>
          <w:szCs w:val="23"/>
        </w:rPr>
        <w:t>1</w:t>
      </w:r>
      <w:r w:rsidRPr="00E04C25">
        <w:rPr>
          <w:rFonts w:ascii="Arial" w:hAnsi="Arial" w:cs="Arial"/>
          <w:sz w:val="24"/>
          <w:szCs w:val="23"/>
        </w:rPr>
        <w:t>. </w:t>
      </w:r>
      <w:r w:rsidR="0051310B" w:rsidRPr="00E04C25">
        <w:rPr>
          <w:rFonts w:ascii="Arial" w:hAnsi="Arial" w:cs="Arial"/>
          <w:sz w:val="24"/>
          <w:szCs w:val="23"/>
        </w:rPr>
        <w:t>12</w:t>
      </w:r>
      <w:r w:rsidRPr="00E04C25">
        <w:rPr>
          <w:rFonts w:ascii="Arial" w:hAnsi="Arial" w:cs="Arial"/>
          <w:sz w:val="24"/>
          <w:szCs w:val="23"/>
        </w:rPr>
        <w:t xml:space="preserve">. 2017 dosáhla </w:t>
      </w:r>
      <w:r w:rsidRPr="00E04C25">
        <w:rPr>
          <w:rFonts w:ascii="Arial" w:hAnsi="Arial" w:cs="Arial"/>
          <w:b/>
          <w:sz w:val="24"/>
          <w:szCs w:val="23"/>
        </w:rPr>
        <w:t>nejvyšších hodnot</w:t>
      </w:r>
      <w:r w:rsidRPr="00E04C25">
        <w:rPr>
          <w:rFonts w:ascii="Arial" w:hAnsi="Arial" w:cs="Arial"/>
          <w:sz w:val="24"/>
          <w:szCs w:val="23"/>
        </w:rPr>
        <w:t xml:space="preserve"> </w:t>
      </w:r>
      <w:r w:rsidRPr="00E04C25">
        <w:rPr>
          <w:rFonts w:ascii="Arial" w:hAnsi="Arial" w:cs="Arial"/>
          <w:b/>
          <w:sz w:val="24"/>
          <w:szCs w:val="23"/>
        </w:rPr>
        <w:t xml:space="preserve">v Moravskoslezském </w:t>
      </w:r>
      <w:r w:rsidRPr="00E04C25">
        <w:rPr>
          <w:rFonts w:ascii="Arial" w:hAnsi="Arial" w:cs="Arial"/>
          <w:sz w:val="24"/>
          <w:szCs w:val="23"/>
        </w:rPr>
        <w:t>(9</w:t>
      </w:r>
      <w:r w:rsidR="0051310B" w:rsidRPr="00E04C25">
        <w:rPr>
          <w:rFonts w:ascii="Arial" w:hAnsi="Arial" w:cs="Arial"/>
          <w:sz w:val="24"/>
          <w:szCs w:val="23"/>
        </w:rPr>
        <w:t>49</w:t>
      </w:r>
      <w:r w:rsidRPr="00E04C25">
        <w:rPr>
          <w:rFonts w:ascii="Arial" w:hAnsi="Arial" w:cs="Arial"/>
          <w:sz w:val="24"/>
          <w:szCs w:val="23"/>
        </w:rPr>
        <w:t xml:space="preserve">), </w:t>
      </w:r>
      <w:r w:rsidR="0051310B" w:rsidRPr="00E04C25">
        <w:rPr>
          <w:rFonts w:ascii="Arial" w:hAnsi="Arial" w:cs="Arial"/>
          <w:b/>
          <w:sz w:val="24"/>
          <w:szCs w:val="23"/>
        </w:rPr>
        <w:t xml:space="preserve">Ústeckém (839), </w:t>
      </w:r>
      <w:r w:rsidRPr="00E04C25">
        <w:rPr>
          <w:rFonts w:ascii="Arial" w:hAnsi="Arial" w:cs="Arial"/>
          <w:b/>
          <w:sz w:val="24"/>
          <w:szCs w:val="23"/>
        </w:rPr>
        <w:t xml:space="preserve">Karlovarském </w:t>
      </w:r>
      <w:r w:rsidR="0051310B" w:rsidRPr="00E04C25">
        <w:rPr>
          <w:rFonts w:ascii="Arial" w:hAnsi="Arial" w:cs="Arial"/>
          <w:b/>
          <w:sz w:val="24"/>
          <w:szCs w:val="23"/>
        </w:rPr>
        <w:t xml:space="preserve">(796) </w:t>
      </w:r>
      <w:r w:rsidRPr="00E04C25">
        <w:rPr>
          <w:rFonts w:ascii="Arial" w:hAnsi="Arial" w:cs="Arial"/>
          <w:sz w:val="24"/>
          <w:szCs w:val="23"/>
        </w:rPr>
        <w:t>a</w:t>
      </w:r>
      <w:r w:rsidR="0051310B" w:rsidRPr="00E04C25">
        <w:rPr>
          <w:rFonts w:ascii="Arial" w:hAnsi="Arial" w:cs="Arial"/>
          <w:sz w:val="24"/>
          <w:szCs w:val="23"/>
        </w:rPr>
        <w:t> </w:t>
      </w:r>
      <w:r w:rsidR="0051310B" w:rsidRPr="00E04C25">
        <w:rPr>
          <w:rFonts w:ascii="Arial" w:hAnsi="Arial" w:cs="Arial"/>
          <w:b/>
          <w:sz w:val="24"/>
          <w:szCs w:val="23"/>
        </w:rPr>
        <w:t xml:space="preserve">Jihomoravském </w:t>
      </w:r>
      <w:r w:rsidRPr="00E04C25">
        <w:rPr>
          <w:rFonts w:ascii="Arial" w:hAnsi="Arial" w:cs="Arial"/>
          <w:b/>
          <w:sz w:val="24"/>
          <w:szCs w:val="23"/>
        </w:rPr>
        <w:t>kraji</w:t>
      </w:r>
      <w:r w:rsidRPr="00E04C25">
        <w:rPr>
          <w:rFonts w:ascii="Arial" w:hAnsi="Arial" w:cs="Arial"/>
          <w:sz w:val="24"/>
          <w:szCs w:val="23"/>
        </w:rPr>
        <w:t xml:space="preserve"> (</w:t>
      </w:r>
      <w:r w:rsidR="0051310B" w:rsidRPr="00E04C25">
        <w:rPr>
          <w:rFonts w:ascii="Arial" w:hAnsi="Arial" w:cs="Arial"/>
          <w:sz w:val="24"/>
          <w:szCs w:val="23"/>
        </w:rPr>
        <w:t>695</w:t>
      </w:r>
      <w:r w:rsidRPr="00E04C25">
        <w:rPr>
          <w:rFonts w:ascii="Arial" w:hAnsi="Arial" w:cs="Arial"/>
          <w:sz w:val="24"/>
          <w:szCs w:val="23"/>
        </w:rPr>
        <w:t xml:space="preserve"> dní). Celorepublikový průměr </w:t>
      </w:r>
      <w:r w:rsidR="0051310B" w:rsidRPr="00E04C25">
        <w:rPr>
          <w:rFonts w:ascii="Arial" w:hAnsi="Arial" w:cs="Arial"/>
          <w:sz w:val="24"/>
          <w:szCs w:val="23"/>
        </w:rPr>
        <w:t>činil 679</w:t>
      </w:r>
      <w:r w:rsidRPr="00E04C25">
        <w:rPr>
          <w:rFonts w:ascii="Arial" w:hAnsi="Arial" w:cs="Arial"/>
          <w:sz w:val="24"/>
          <w:szCs w:val="23"/>
        </w:rPr>
        <w:t xml:space="preserve"> dní</w:t>
      </w:r>
      <w:r w:rsidR="0051310B" w:rsidRPr="00E04C25">
        <w:rPr>
          <w:rFonts w:ascii="Arial" w:hAnsi="Arial" w:cs="Arial"/>
          <w:sz w:val="24"/>
          <w:szCs w:val="23"/>
        </w:rPr>
        <w:t xml:space="preserve">. </w:t>
      </w:r>
      <w:r w:rsidRPr="00E04C25">
        <w:rPr>
          <w:rFonts w:ascii="Arial" w:hAnsi="Arial" w:cs="Arial"/>
          <w:sz w:val="24"/>
          <w:szCs w:val="23"/>
        </w:rPr>
        <w:t xml:space="preserve">Nejkratší délka průběžné evidence byla zaznamenána </w:t>
      </w:r>
      <w:r w:rsidR="00DB3E46" w:rsidRPr="00E04C25">
        <w:rPr>
          <w:rFonts w:ascii="Arial" w:hAnsi="Arial" w:cs="Arial"/>
          <w:sz w:val="24"/>
          <w:szCs w:val="23"/>
        </w:rPr>
        <w:t>v </w:t>
      </w:r>
      <w:r w:rsidR="0051310B" w:rsidRPr="00E04C25">
        <w:rPr>
          <w:rFonts w:ascii="Arial" w:hAnsi="Arial" w:cs="Arial"/>
          <w:sz w:val="24"/>
          <w:szCs w:val="23"/>
        </w:rPr>
        <w:t>Jihočeském (424), Pardubickém kraji (427) a </w:t>
      </w:r>
      <w:r w:rsidRPr="00E04C25">
        <w:rPr>
          <w:rFonts w:ascii="Arial" w:hAnsi="Arial" w:cs="Arial"/>
          <w:sz w:val="24"/>
          <w:szCs w:val="23"/>
        </w:rPr>
        <w:t>v </w:t>
      </w:r>
      <w:r w:rsidR="008D6DAA" w:rsidRPr="00E04C25">
        <w:rPr>
          <w:rFonts w:ascii="Arial" w:hAnsi="Arial" w:cs="Arial"/>
          <w:sz w:val="24"/>
          <w:szCs w:val="23"/>
        </w:rPr>
        <w:t>h</w:t>
      </w:r>
      <w:r w:rsidRPr="00E04C25">
        <w:rPr>
          <w:rFonts w:ascii="Arial" w:hAnsi="Arial" w:cs="Arial"/>
          <w:sz w:val="24"/>
          <w:szCs w:val="23"/>
        </w:rPr>
        <w:t>l. m. Praze</w:t>
      </w:r>
      <w:r w:rsidRPr="00E04C25">
        <w:rPr>
          <w:rFonts w:ascii="Arial" w:hAnsi="Arial" w:cs="Arial"/>
          <w:b/>
          <w:sz w:val="24"/>
          <w:szCs w:val="23"/>
        </w:rPr>
        <w:t xml:space="preserve"> </w:t>
      </w:r>
      <w:r w:rsidRPr="00E04C25">
        <w:rPr>
          <w:rFonts w:ascii="Arial" w:hAnsi="Arial" w:cs="Arial"/>
          <w:sz w:val="24"/>
          <w:szCs w:val="23"/>
        </w:rPr>
        <w:t>(4</w:t>
      </w:r>
      <w:r w:rsidR="0051310B" w:rsidRPr="00E04C25">
        <w:rPr>
          <w:rFonts w:ascii="Arial" w:hAnsi="Arial" w:cs="Arial"/>
          <w:sz w:val="24"/>
          <w:szCs w:val="23"/>
        </w:rPr>
        <w:t>67 dní</w:t>
      </w:r>
      <w:r w:rsidRPr="00E04C25">
        <w:rPr>
          <w:rFonts w:ascii="Arial" w:hAnsi="Arial" w:cs="Arial"/>
          <w:sz w:val="24"/>
          <w:szCs w:val="23"/>
        </w:rPr>
        <w:t xml:space="preserve">). </w:t>
      </w:r>
      <w:r w:rsidR="0051310B" w:rsidRPr="00E04C25">
        <w:rPr>
          <w:rFonts w:ascii="Arial" w:hAnsi="Arial" w:cs="Arial"/>
          <w:sz w:val="24"/>
          <w:szCs w:val="23"/>
        </w:rPr>
        <w:t xml:space="preserve">Prodloužila se pouze v Moravskoslezském (o 33) a Karlovarském kraji (o 3 dní). </w:t>
      </w:r>
      <w:r w:rsidR="0051310B" w:rsidRPr="00E04C25">
        <w:rPr>
          <w:rFonts w:ascii="Arial" w:hAnsi="Arial" w:cs="Arial"/>
          <w:b/>
          <w:sz w:val="24"/>
          <w:szCs w:val="23"/>
        </w:rPr>
        <w:t>V ostatních krajích se zkrátila</w:t>
      </w:r>
      <w:r w:rsidR="0051310B" w:rsidRPr="00E04C25">
        <w:rPr>
          <w:rFonts w:ascii="Arial" w:hAnsi="Arial" w:cs="Arial"/>
          <w:sz w:val="24"/>
          <w:szCs w:val="23"/>
        </w:rPr>
        <w:t>, nejvíce v</w:t>
      </w:r>
      <w:r w:rsidR="00D6283A" w:rsidRPr="00E04C25">
        <w:rPr>
          <w:rFonts w:ascii="Arial" w:hAnsi="Arial" w:cs="Arial"/>
          <w:sz w:val="24"/>
          <w:szCs w:val="23"/>
        </w:rPr>
        <w:t> Pardubickém (o 74), Plzeňském kraji (o 60) a Kraji Vysočina (o 40 dní).</w:t>
      </w:r>
      <w:r w:rsidRPr="00E04C25">
        <w:rPr>
          <w:rFonts w:ascii="Arial" w:hAnsi="Arial" w:cs="Arial"/>
          <w:bCs/>
          <w:sz w:val="24"/>
          <w:szCs w:val="23"/>
        </w:rPr>
        <w:t xml:space="preserve"> </w:t>
      </w:r>
    </w:p>
    <w:p w:rsidR="00D6283A" w:rsidRPr="00E04C25" w:rsidRDefault="00B906E8" w:rsidP="00D6283A">
      <w:pPr>
        <w:tabs>
          <w:tab w:val="left" w:pos="0"/>
          <w:tab w:val="left" w:pos="72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567"/>
        <w:jc w:val="both"/>
        <w:rPr>
          <w:rFonts w:ascii="Arial" w:hAnsi="Arial"/>
        </w:rPr>
      </w:pPr>
      <w:r w:rsidRPr="00E04C25">
        <w:rPr>
          <w:rFonts w:ascii="Arial" w:hAnsi="Arial" w:cs="Arial"/>
          <w:bCs/>
          <w:szCs w:val="23"/>
        </w:rPr>
        <w:t xml:space="preserve">Průměrná délka evidence uchazečů o zaměstnání, kteří v průběhu </w:t>
      </w:r>
      <w:r w:rsidR="00D6283A" w:rsidRPr="00E04C25">
        <w:rPr>
          <w:rFonts w:ascii="Arial" w:hAnsi="Arial" w:cs="Arial"/>
          <w:bCs/>
          <w:szCs w:val="23"/>
        </w:rPr>
        <w:t>prosince </w:t>
      </w:r>
      <w:r w:rsidRPr="00E04C25">
        <w:rPr>
          <w:rFonts w:ascii="Arial" w:hAnsi="Arial" w:cs="Arial"/>
          <w:bCs/>
          <w:szCs w:val="23"/>
        </w:rPr>
        <w:t>2017 již z evidence odešli</w:t>
      </w:r>
      <w:r w:rsidRPr="00E04C25">
        <w:rPr>
          <w:rFonts w:ascii="Arial" w:hAnsi="Arial" w:cs="Arial"/>
          <w:szCs w:val="23"/>
        </w:rPr>
        <w:t>, tj. </w:t>
      </w:r>
      <w:r w:rsidRPr="00E04C25">
        <w:rPr>
          <w:rFonts w:ascii="Arial" w:hAnsi="Arial" w:cs="Arial"/>
          <w:b/>
          <w:bCs/>
          <w:szCs w:val="23"/>
        </w:rPr>
        <w:t xml:space="preserve">délka ukončené evidence, </w:t>
      </w:r>
      <w:r w:rsidRPr="00E04C25">
        <w:rPr>
          <w:rFonts w:ascii="Arial" w:hAnsi="Arial" w:cs="Arial"/>
          <w:bCs/>
          <w:szCs w:val="23"/>
        </w:rPr>
        <w:t xml:space="preserve">byla </w:t>
      </w:r>
      <w:r w:rsidRPr="00E04C25">
        <w:rPr>
          <w:rFonts w:ascii="Arial" w:hAnsi="Arial" w:cs="Arial"/>
          <w:b/>
          <w:bCs/>
          <w:szCs w:val="23"/>
        </w:rPr>
        <w:t xml:space="preserve">nejdelší </w:t>
      </w:r>
      <w:r w:rsidRPr="00E04C25">
        <w:rPr>
          <w:rFonts w:ascii="Arial" w:hAnsi="Arial" w:cs="Arial"/>
          <w:b/>
          <w:szCs w:val="23"/>
        </w:rPr>
        <w:t>v </w:t>
      </w:r>
      <w:r w:rsidR="00D6283A" w:rsidRPr="00E04C25">
        <w:rPr>
          <w:rFonts w:ascii="Arial" w:hAnsi="Arial" w:cs="Arial"/>
          <w:b/>
          <w:szCs w:val="23"/>
        </w:rPr>
        <w:t>Ústeckém</w:t>
      </w:r>
      <w:r w:rsidR="00D6283A" w:rsidRPr="00E04C25">
        <w:rPr>
          <w:rFonts w:ascii="Arial" w:hAnsi="Arial" w:cs="Arial"/>
          <w:szCs w:val="23"/>
        </w:rPr>
        <w:t xml:space="preserve"> (389), </w:t>
      </w:r>
      <w:r w:rsidRPr="00E04C25">
        <w:rPr>
          <w:rFonts w:ascii="Arial" w:hAnsi="Arial" w:cs="Arial"/>
          <w:b/>
          <w:szCs w:val="23"/>
        </w:rPr>
        <w:t xml:space="preserve">Moravskoslezském </w:t>
      </w:r>
      <w:r w:rsidRPr="00E04C25">
        <w:rPr>
          <w:rFonts w:ascii="Arial" w:hAnsi="Arial" w:cs="Arial"/>
          <w:szCs w:val="23"/>
        </w:rPr>
        <w:t>(3</w:t>
      </w:r>
      <w:r w:rsidR="00D6283A" w:rsidRPr="00E04C25">
        <w:rPr>
          <w:rFonts w:ascii="Arial" w:hAnsi="Arial" w:cs="Arial"/>
          <w:szCs w:val="23"/>
        </w:rPr>
        <w:t>83</w:t>
      </w:r>
      <w:r w:rsidRPr="00E04C25">
        <w:rPr>
          <w:rFonts w:ascii="Arial" w:hAnsi="Arial" w:cs="Arial"/>
          <w:szCs w:val="23"/>
        </w:rPr>
        <w:t>)</w:t>
      </w:r>
      <w:r w:rsidR="00D6283A" w:rsidRPr="00E04C25">
        <w:rPr>
          <w:rFonts w:ascii="Arial" w:hAnsi="Arial" w:cs="Arial"/>
          <w:szCs w:val="23"/>
        </w:rPr>
        <w:t xml:space="preserve">, </w:t>
      </w:r>
      <w:r w:rsidR="00D6283A" w:rsidRPr="00E04C25">
        <w:rPr>
          <w:rFonts w:ascii="Arial" w:hAnsi="Arial" w:cs="Arial"/>
          <w:b/>
          <w:szCs w:val="23"/>
        </w:rPr>
        <w:t xml:space="preserve">Karlovarském </w:t>
      </w:r>
      <w:r w:rsidR="00D6283A" w:rsidRPr="00E04C25">
        <w:rPr>
          <w:rFonts w:ascii="Arial" w:hAnsi="Arial" w:cs="Arial"/>
          <w:szCs w:val="23"/>
        </w:rPr>
        <w:t>(359)</w:t>
      </w:r>
      <w:r w:rsidRPr="00E04C25">
        <w:rPr>
          <w:rFonts w:ascii="Arial" w:hAnsi="Arial" w:cs="Arial"/>
          <w:b/>
          <w:szCs w:val="23"/>
        </w:rPr>
        <w:t xml:space="preserve"> a Olomouckém kraji</w:t>
      </w:r>
      <w:r w:rsidRPr="00E04C25">
        <w:rPr>
          <w:rFonts w:ascii="Arial" w:hAnsi="Arial" w:cs="Arial"/>
          <w:szCs w:val="23"/>
        </w:rPr>
        <w:t xml:space="preserve"> (3</w:t>
      </w:r>
      <w:r w:rsidR="00D6283A" w:rsidRPr="00E04C25">
        <w:rPr>
          <w:rFonts w:ascii="Arial" w:hAnsi="Arial" w:cs="Arial"/>
          <w:szCs w:val="23"/>
        </w:rPr>
        <w:t>45</w:t>
      </w:r>
      <w:r w:rsidRPr="00E04C25">
        <w:rPr>
          <w:rFonts w:ascii="Arial" w:hAnsi="Arial" w:cs="Arial"/>
          <w:szCs w:val="23"/>
        </w:rPr>
        <w:t xml:space="preserve">), nejkratší byla v </w:t>
      </w:r>
      <w:r w:rsidR="00D6283A" w:rsidRPr="00E04C25">
        <w:rPr>
          <w:rFonts w:ascii="Arial" w:hAnsi="Arial" w:cs="Arial"/>
          <w:szCs w:val="23"/>
        </w:rPr>
        <w:t>Jihočeském</w:t>
      </w:r>
      <w:r w:rsidR="00D6283A" w:rsidRPr="00E04C25">
        <w:rPr>
          <w:rFonts w:ascii="Arial" w:hAnsi="Arial" w:cs="Arial"/>
          <w:b/>
          <w:szCs w:val="23"/>
        </w:rPr>
        <w:t xml:space="preserve"> </w:t>
      </w:r>
      <w:r w:rsidR="00D6283A" w:rsidRPr="00E04C25">
        <w:rPr>
          <w:rFonts w:ascii="Arial" w:hAnsi="Arial" w:cs="Arial"/>
          <w:szCs w:val="23"/>
        </w:rPr>
        <w:t>(217),</w:t>
      </w:r>
      <w:r w:rsidR="00D6283A" w:rsidRPr="00E04C25">
        <w:rPr>
          <w:rFonts w:ascii="Arial" w:hAnsi="Arial" w:cs="Arial"/>
          <w:b/>
          <w:szCs w:val="23"/>
        </w:rPr>
        <w:t xml:space="preserve"> </w:t>
      </w:r>
      <w:r w:rsidRPr="00E04C25">
        <w:rPr>
          <w:rFonts w:ascii="Arial" w:hAnsi="Arial" w:cs="Arial"/>
          <w:szCs w:val="23"/>
        </w:rPr>
        <w:t>Královéhradeckém</w:t>
      </w:r>
      <w:r w:rsidRPr="00E04C25">
        <w:rPr>
          <w:rFonts w:ascii="Arial" w:hAnsi="Arial" w:cs="Arial"/>
          <w:b/>
          <w:szCs w:val="23"/>
        </w:rPr>
        <w:t xml:space="preserve"> </w:t>
      </w:r>
      <w:r w:rsidRPr="00E04C25">
        <w:rPr>
          <w:rFonts w:ascii="Arial" w:hAnsi="Arial" w:cs="Arial"/>
          <w:szCs w:val="23"/>
        </w:rPr>
        <w:t>(2</w:t>
      </w:r>
      <w:r w:rsidR="00D6283A" w:rsidRPr="00E04C25">
        <w:rPr>
          <w:rFonts w:ascii="Arial" w:hAnsi="Arial" w:cs="Arial"/>
          <w:szCs w:val="23"/>
        </w:rPr>
        <w:t>31</w:t>
      </w:r>
      <w:r w:rsidRPr="00E04C25">
        <w:rPr>
          <w:rFonts w:ascii="Arial" w:hAnsi="Arial" w:cs="Arial"/>
          <w:szCs w:val="23"/>
        </w:rPr>
        <w:t>), a  Pardubickém kraji (2</w:t>
      </w:r>
      <w:r w:rsidR="00D6283A" w:rsidRPr="00E04C25">
        <w:rPr>
          <w:rFonts w:ascii="Arial" w:hAnsi="Arial" w:cs="Arial"/>
          <w:szCs w:val="23"/>
        </w:rPr>
        <w:t>43</w:t>
      </w:r>
      <w:r w:rsidRPr="00E04C25">
        <w:rPr>
          <w:rFonts w:ascii="Arial" w:hAnsi="Arial" w:cs="Arial"/>
          <w:szCs w:val="23"/>
        </w:rPr>
        <w:t xml:space="preserve"> dní). Celostátní průměr, který měl hodnotu 3</w:t>
      </w:r>
      <w:r w:rsidR="00D6283A" w:rsidRPr="00E04C25">
        <w:rPr>
          <w:rFonts w:ascii="Arial" w:hAnsi="Arial" w:cs="Arial"/>
          <w:szCs w:val="23"/>
        </w:rPr>
        <w:t>12</w:t>
      </w:r>
      <w:r w:rsidRPr="00E04C25">
        <w:rPr>
          <w:rFonts w:ascii="Arial" w:hAnsi="Arial" w:cs="Arial"/>
          <w:szCs w:val="23"/>
        </w:rPr>
        <w:t xml:space="preserve"> dní, překročily ještě další </w:t>
      </w:r>
      <w:r w:rsidR="00D6283A" w:rsidRPr="00E04C25">
        <w:rPr>
          <w:rFonts w:ascii="Arial" w:hAnsi="Arial" w:cs="Arial"/>
          <w:szCs w:val="23"/>
        </w:rPr>
        <w:t>3</w:t>
      </w:r>
      <w:r w:rsidRPr="00E04C25">
        <w:rPr>
          <w:rFonts w:ascii="Arial" w:hAnsi="Arial" w:cs="Arial"/>
          <w:szCs w:val="23"/>
        </w:rPr>
        <w:t xml:space="preserve"> kraje, a to </w:t>
      </w:r>
      <w:r w:rsidR="00D6283A" w:rsidRPr="00E04C25">
        <w:rPr>
          <w:rFonts w:ascii="Arial" w:hAnsi="Arial" w:cs="Arial"/>
          <w:szCs w:val="23"/>
        </w:rPr>
        <w:t xml:space="preserve">Zlínský, </w:t>
      </w:r>
      <w:r w:rsidRPr="00E04C25">
        <w:rPr>
          <w:rFonts w:ascii="Arial" w:hAnsi="Arial" w:cs="Arial"/>
          <w:szCs w:val="23"/>
        </w:rPr>
        <w:t>Jihomoravský</w:t>
      </w:r>
      <w:r w:rsidR="00D6283A" w:rsidRPr="00E04C25">
        <w:rPr>
          <w:rFonts w:ascii="Arial" w:hAnsi="Arial" w:cs="Arial"/>
          <w:szCs w:val="23"/>
        </w:rPr>
        <w:t xml:space="preserve"> kraj a </w:t>
      </w:r>
      <w:r w:rsidRPr="00E04C25">
        <w:rPr>
          <w:rFonts w:ascii="Arial" w:hAnsi="Arial" w:cs="Arial"/>
          <w:szCs w:val="23"/>
        </w:rPr>
        <w:t xml:space="preserve">Kraj Vysočina. Délka ukončené evidence vzrostla ve </w:t>
      </w:r>
      <w:r w:rsidR="00D6283A" w:rsidRPr="00E04C25">
        <w:rPr>
          <w:rFonts w:ascii="Arial" w:hAnsi="Arial" w:cs="Arial"/>
          <w:szCs w:val="23"/>
        </w:rPr>
        <w:t>čtyřech</w:t>
      </w:r>
      <w:r w:rsidRPr="00E04C25">
        <w:rPr>
          <w:rFonts w:ascii="Arial" w:hAnsi="Arial" w:cs="Arial"/>
          <w:szCs w:val="23"/>
        </w:rPr>
        <w:t xml:space="preserve"> krajích, a to </w:t>
      </w:r>
      <w:r w:rsidR="00D6283A" w:rsidRPr="00E04C25">
        <w:rPr>
          <w:rFonts w:ascii="Arial" w:hAnsi="Arial" w:cs="Arial"/>
          <w:szCs w:val="23"/>
        </w:rPr>
        <w:t xml:space="preserve">Karlovarském, </w:t>
      </w:r>
      <w:r w:rsidRPr="00E04C25">
        <w:rPr>
          <w:rFonts w:ascii="Arial" w:hAnsi="Arial" w:cs="Arial"/>
          <w:szCs w:val="23"/>
        </w:rPr>
        <w:t xml:space="preserve">Olomouckém, Moravskoslezském </w:t>
      </w:r>
      <w:r w:rsidR="00D6283A" w:rsidRPr="00E04C25">
        <w:rPr>
          <w:rFonts w:ascii="Arial" w:hAnsi="Arial" w:cs="Arial"/>
          <w:szCs w:val="23"/>
        </w:rPr>
        <w:t xml:space="preserve">a Zlínském </w:t>
      </w:r>
      <w:r w:rsidRPr="00E04C25">
        <w:rPr>
          <w:rFonts w:ascii="Arial" w:hAnsi="Arial" w:cs="Arial"/>
          <w:szCs w:val="23"/>
        </w:rPr>
        <w:t xml:space="preserve">kraji. Nejvíce se zkrátila </w:t>
      </w:r>
      <w:r w:rsidR="00D6283A" w:rsidRPr="00E04C25">
        <w:rPr>
          <w:rFonts w:ascii="Arial" w:hAnsi="Arial" w:cs="Arial"/>
          <w:szCs w:val="23"/>
        </w:rPr>
        <w:t>v Kraji Vysočina (o </w:t>
      </w:r>
      <w:r w:rsidR="00D6283A" w:rsidRPr="00E04C25">
        <w:rPr>
          <w:rFonts w:ascii="Arial" w:hAnsi="Arial" w:cs="Arial"/>
        </w:rPr>
        <w:t xml:space="preserve">99 dní), následoval </w:t>
      </w:r>
      <w:r w:rsidRPr="00E04C25">
        <w:rPr>
          <w:rFonts w:ascii="Arial" w:hAnsi="Arial" w:cs="Arial"/>
          <w:szCs w:val="23"/>
        </w:rPr>
        <w:t>Středočesk</w:t>
      </w:r>
      <w:r w:rsidR="00D6283A" w:rsidRPr="00E04C25">
        <w:rPr>
          <w:rFonts w:ascii="Arial" w:hAnsi="Arial" w:cs="Arial"/>
          <w:szCs w:val="23"/>
        </w:rPr>
        <w:t>ý,</w:t>
      </w:r>
      <w:r w:rsidRPr="00E04C25">
        <w:rPr>
          <w:rFonts w:ascii="Arial" w:hAnsi="Arial" w:cs="Arial"/>
          <w:szCs w:val="23"/>
        </w:rPr>
        <w:t xml:space="preserve"> Pardubick</w:t>
      </w:r>
      <w:r w:rsidR="00D6283A" w:rsidRPr="00E04C25">
        <w:rPr>
          <w:rFonts w:ascii="Arial" w:hAnsi="Arial" w:cs="Arial"/>
          <w:szCs w:val="23"/>
        </w:rPr>
        <w:t>ý</w:t>
      </w:r>
      <w:r w:rsidRPr="00E04C25">
        <w:rPr>
          <w:rFonts w:ascii="Arial" w:hAnsi="Arial" w:cs="Arial"/>
          <w:szCs w:val="23"/>
        </w:rPr>
        <w:t xml:space="preserve"> kraj </w:t>
      </w:r>
      <w:r w:rsidR="00D6283A" w:rsidRPr="00E04C25">
        <w:rPr>
          <w:rFonts w:ascii="Arial" w:hAnsi="Arial" w:cs="Arial"/>
          <w:szCs w:val="23"/>
        </w:rPr>
        <w:t xml:space="preserve">a </w:t>
      </w:r>
      <w:r w:rsidR="008D6DAA" w:rsidRPr="00E04C25">
        <w:rPr>
          <w:rFonts w:ascii="Arial" w:hAnsi="Arial" w:cs="Arial"/>
          <w:szCs w:val="23"/>
        </w:rPr>
        <w:t>h</w:t>
      </w:r>
      <w:r w:rsidR="00D6283A" w:rsidRPr="00E04C25">
        <w:rPr>
          <w:rFonts w:ascii="Arial" w:hAnsi="Arial" w:cs="Arial"/>
          <w:szCs w:val="23"/>
        </w:rPr>
        <w:t>l. m. Praha.</w:t>
      </w:r>
      <w:r w:rsidR="00D6283A" w:rsidRPr="00E04C25">
        <w:rPr>
          <w:rFonts w:ascii="Arial" w:hAnsi="Arial"/>
        </w:rPr>
        <w:t xml:space="preserve"> </w:t>
      </w:r>
    </w:p>
    <w:p w:rsidR="00115440" w:rsidRPr="00E04C25" w:rsidRDefault="00115440" w:rsidP="00115440">
      <w:pPr>
        <w:pStyle w:val="Zhlav"/>
        <w:tabs>
          <w:tab w:val="clear" w:pos="4536"/>
          <w:tab w:val="clear" w:pos="9072"/>
          <w:tab w:val="left" w:pos="0"/>
          <w:tab w:val="left" w:pos="72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ind w:firstLine="567"/>
        <w:jc w:val="both"/>
        <w:rPr>
          <w:rFonts w:ascii="Arial" w:hAnsi="Arial" w:cs="Arial"/>
          <w:sz w:val="24"/>
          <w:szCs w:val="24"/>
        </w:rPr>
      </w:pPr>
      <w:r w:rsidRPr="00E04C25">
        <w:rPr>
          <w:rFonts w:ascii="Arial" w:hAnsi="Arial" w:cs="Arial"/>
          <w:sz w:val="24"/>
          <w:szCs w:val="24"/>
        </w:rPr>
        <w:t>Podrobnější informace o zastoupení vybraných skupin uchazečů o zaměstnání jsou uvedeny v příloze č. 13. V přílohách jsou uvedeny i další podrobné údaje o nezaměstnanosti za kraje a okresy ČR.</w:t>
      </w:r>
    </w:p>
    <w:p w:rsidR="00310BFB" w:rsidRPr="00E04C25" w:rsidRDefault="00310BFB" w:rsidP="00BF03B8">
      <w:pPr>
        <w:pStyle w:val="Nadpis1"/>
        <w:numPr>
          <w:ilvl w:val="0"/>
          <w:numId w:val="0"/>
        </w:numPr>
        <w:ind w:left="1221"/>
      </w:pPr>
    </w:p>
    <w:p w:rsidR="00BC71FC" w:rsidRPr="00E04C25" w:rsidRDefault="00440AD8" w:rsidP="00BF03B8">
      <w:pPr>
        <w:pStyle w:val="Nadpis1"/>
      </w:pPr>
      <w:r w:rsidRPr="00E04C25">
        <w:br w:type="column"/>
      </w:r>
      <w:bookmarkStart w:id="125" w:name="_Toc464827489"/>
      <w:bookmarkStart w:id="126" w:name="_Toc513198682"/>
      <w:bookmarkStart w:id="127" w:name="_Toc464827495"/>
      <w:r w:rsidR="00BC71FC" w:rsidRPr="00E04C25">
        <w:lastRenderedPageBreak/>
        <w:t>Politika zaměstnanosti</w:t>
      </w:r>
      <w:bookmarkEnd w:id="125"/>
      <w:bookmarkEnd w:id="126"/>
    </w:p>
    <w:p w:rsidR="00BC71FC" w:rsidRPr="00E04C25" w:rsidRDefault="00BC71FC" w:rsidP="00BF03B8">
      <w:pPr>
        <w:pStyle w:val="Nadpis1"/>
        <w:numPr>
          <w:ilvl w:val="0"/>
          <w:numId w:val="0"/>
        </w:numPr>
        <w:ind w:left="720"/>
      </w:pPr>
    </w:p>
    <w:p w:rsidR="00EE15EF" w:rsidRPr="00E04C25" w:rsidRDefault="00EE15EF" w:rsidP="00EE15EF">
      <w:pPr>
        <w:pStyle w:val="Styl3"/>
      </w:pPr>
      <w:bookmarkStart w:id="128" w:name="_Toc372530196"/>
      <w:bookmarkStart w:id="129" w:name="_Toc404672671"/>
      <w:bookmarkStart w:id="130" w:name="_Toc464827490"/>
      <w:bookmarkStart w:id="131" w:name="_Toc513198683"/>
      <w:bookmarkStart w:id="132" w:name="_Toc102269857"/>
      <w:bookmarkStart w:id="133" w:name="_Toc116354715"/>
      <w:bookmarkStart w:id="134" w:name="_Toc116354804"/>
      <w:bookmarkStart w:id="135" w:name="_Toc116355040"/>
      <w:bookmarkStart w:id="136" w:name="_Toc149033465"/>
      <w:bookmarkStart w:id="137" w:name="_Toc179787912"/>
      <w:bookmarkStart w:id="138" w:name="_Toc258997898"/>
      <w:bookmarkStart w:id="139" w:name="_Toc85008460"/>
      <w:bookmarkStart w:id="140" w:name="_Toc116354719"/>
      <w:bookmarkStart w:id="141" w:name="_Toc116354808"/>
      <w:bookmarkStart w:id="142" w:name="_Toc116355044"/>
      <w:bookmarkStart w:id="143" w:name="_Toc149033469"/>
      <w:bookmarkStart w:id="144" w:name="_Toc179787916"/>
      <w:r w:rsidRPr="00E04C25">
        <w:t>Zaměření politiky zaměstnanosti</w:t>
      </w:r>
      <w:bookmarkEnd w:id="128"/>
      <w:bookmarkEnd w:id="129"/>
      <w:bookmarkEnd w:id="130"/>
      <w:bookmarkEnd w:id="131"/>
    </w:p>
    <w:bookmarkEnd w:id="132"/>
    <w:bookmarkEnd w:id="133"/>
    <w:bookmarkEnd w:id="134"/>
    <w:bookmarkEnd w:id="135"/>
    <w:bookmarkEnd w:id="136"/>
    <w:bookmarkEnd w:id="137"/>
    <w:bookmarkEnd w:id="138"/>
    <w:bookmarkEnd w:id="139"/>
    <w:bookmarkEnd w:id="140"/>
    <w:bookmarkEnd w:id="141"/>
    <w:bookmarkEnd w:id="142"/>
    <w:bookmarkEnd w:id="143"/>
    <w:bookmarkEnd w:id="144"/>
    <w:p w:rsidR="00EE15EF" w:rsidRPr="00E04C25" w:rsidRDefault="00EE15EF" w:rsidP="00EE15EF">
      <w:pPr>
        <w:spacing w:line="360" w:lineRule="auto"/>
        <w:ind w:firstLine="567"/>
        <w:jc w:val="both"/>
        <w:rPr>
          <w:rFonts w:ascii="Arial" w:hAnsi="Arial" w:cs="Arial"/>
        </w:rPr>
      </w:pPr>
    </w:p>
    <w:p w:rsidR="00EE15EF" w:rsidRPr="00E04C25" w:rsidRDefault="00EE15EF" w:rsidP="00EE15EF">
      <w:pPr>
        <w:spacing w:line="360" w:lineRule="auto"/>
        <w:ind w:firstLine="567"/>
        <w:jc w:val="both"/>
        <w:rPr>
          <w:rFonts w:ascii="Arial" w:hAnsi="Arial" w:cs="Arial"/>
        </w:rPr>
      </w:pPr>
      <w:r w:rsidRPr="00E04C25">
        <w:rPr>
          <w:rFonts w:ascii="Arial" w:hAnsi="Arial" w:cs="Arial"/>
        </w:rPr>
        <w:t xml:space="preserve">Hlavním východiskem v oblasti zaměstnanosti pro </w:t>
      </w:r>
      <w:r w:rsidRPr="00E04C25">
        <w:rPr>
          <w:rFonts w:ascii="Arial" w:hAnsi="Arial"/>
          <w:bCs/>
        </w:rPr>
        <w:t xml:space="preserve">rok 2017 </w:t>
      </w:r>
      <w:r w:rsidRPr="00E04C25">
        <w:rPr>
          <w:rFonts w:ascii="Arial" w:hAnsi="Arial" w:cs="Arial"/>
        </w:rPr>
        <w:t>je strategie „Evropa 2020“ a na ní navazující strategie „Národní program reforem České republiky“ kladoucí si za cíl na národní úrovni dosáhnout do roku 2020 zvýšení celkové míry zaměstnanosti ve věkové skupině 20-64 let na 75 %, z čehož:</w:t>
      </w:r>
    </w:p>
    <w:p w:rsidR="00EE15EF" w:rsidRPr="00E04C25" w:rsidRDefault="00EE15EF" w:rsidP="00EE15EF">
      <w:pPr>
        <w:numPr>
          <w:ilvl w:val="0"/>
          <w:numId w:val="13"/>
        </w:numPr>
        <w:spacing w:line="360" w:lineRule="auto"/>
        <w:jc w:val="both"/>
        <w:rPr>
          <w:rFonts w:ascii="Arial" w:hAnsi="Arial" w:cs="Arial"/>
        </w:rPr>
      </w:pPr>
      <w:r w:rsidRPr="00E04C25">
        <w:rPr>
          <w:rFonts w:ascii="Arial" w:hAnsi="Arial" w:cs="Arial"/>
        </w:rPr>
        <w:t>u žen ve věku 20-64 let na 65 %,</w:t>
      </w:r>
    </w:p>
    <w:p w:rsidR="00EE15EF" w:rsidRPr="00E04C25" w:rsidRDefault="00EE15EF" w:rsidP="00EE15EF">
      <w:pPr>
        <w:numPr>
          <w:ilvl w:val="0"/>
          <w:numId w:val="13"/>
        </w:numPr>
        <w:spacing w:line="360" w:lineRule="auto"/>
        <w:jc w:val="both"/>
        <w:rPr>
          <w:rFonts w:ascii="Arial" w:hAnsi="Arial" w:cs="Arial"/>
        </w:rPr>
      </w:pPr>
      <w:r w:rsidRPr="00E04C25">
        <w:rPr>
          <w:rFonts w:ascii="Arial" w:hAnsi="Arial" w:cs="Arial"/>
        </w:rPr>
        <w:t>u starších pracovníků ve věku 55-64 let na 55 %,</w:t>
      </w:r>
    </w:p>
    <w:p w:rsidR="00EE15EF" w:rsidRPr="00E04C25" w:rsidRDefault="00EE15EF" w:rsidP="00EE15EF">
      <w:pPr>
        <w:numPr>
          <w:ilvl w:val="0"/>
          <w:numId w:val="13"/>
        </w:numPr>
        <w:spacing w:line="360" w:lineRule="auto"/>
        <w:jc w:val="both"/>
        <w:rPr>
          <w:rFonts w:ascii="Arial" w:hAnsi="Arial" w:cs="Arial"/>
        </w:rPr>
      </w:pPr>
      <w:r w:rsidRPr="00E04C25">
        <w:rPr>
          <w:rFonts w:ascii="Arial" w:hAnsi="Arial" w:cs="Arial"/>
        </w:rPr>
        <w:t>snížit míru nezaměstnanosti mladých osob ve věku 15-24 let o třetinu oproti roku 2010,</w:t>
      </w:r>
    </w:p>
    <w:p w:rsidR="00EE15EF" w:rsidRPr="00E04C25" w:rsidRDefault="00EE15EF" w:rsidP="00EE15EF">
      <w:pPr>
        <w:numPr>
          <w:ilvl w:val="0"/>
          <w:numId w:val="13"/>
        </w:numPr>
        <w:spacing w:line="360" w:lineRule="auto"/>
        <w:jc w:val="both"/>
        <w:rPr>
          <w:rFonts w:ascii="Arial" w:hAnsi="Arial" w:cs="Arial"/>
        </w:rPr>
      </w:pPr>
      <w:r w:rsidRPr="00E04C25">
        <w:rPr>
          <w:rFonts w:ascii="Arial" w:hAnsi="Arial" w:cs="Arial"/>
        </w:rPr>
        <w:t>snížit míru nezaměstnanosti osob s nízkou kvalifikací o čtvrtinu oproti roku 2010.</w:t>
      </w:r>
    </w:p>
    <w:p w:rsidR="00EE15EF" w:rsidRPr="00E04C25" w:rsidRDefault="00EE15EF" w:rsidP="00EE15EF">
      <w:pPr>
        <w:autoSpaceDE w:val="0"/>
        <w:autoSpaceDN w:val="0"/>
        <w:adjustRightInd w:val="0"/>
        <w:jc w:val="both"/>
        <w:rPr>
          <w:rFonts w:ascii="Arial" w:hAnsi="Arial"/>
          <w:sz w:val="16"/>
          <w:szCs w:val="16"/>
        </w:rPr>
      </w:pPr>
    </w:p>
    <w:p w:rsidR="00EE15EF" w:rsidRPr="00E04C25" w:rsidRDefault="00EE15EF" w:rsidP="00EE15EF">
      <w:pPr>
        <w:autoSpaceDE w:val="0"/>
        <w:autoSpaceDN w:val="0"/>
        <w:adjustRightInd w:val="0"/>
        <w:spacing w:line="360" w:lineRule="auto"/>
        <w:ind w:firstLine="567"/>
        <w:jc w:val="both"/>
        <w:rPr>
          <w:rFonts w:ascii="Arial" w:hAnsi="Arial" w:cs="Arial"/>
        </w:rPr>
      </w:pPr>
      <w:r w:rsidRPr="00E04C25">
        <w:rPr>
          <w:rFonts w:ascii="Arial" w:hAnsi="Arial" w:cs="Arial"/>
        </w:rPr>
        <w:t>S cílem zajistit plnění výše uvedených cílů vyhotovilo MPSV „Strategii politiky zaměstnanosti do roku 2020“, která byla schválena vládou České republiky usnesením č. 835 ze dne 15. října 2014. V závěru roku 2016 byl implementační dokument Strategie politiky zaměstnanosti do roku 2020, kterým byl materiál „Aktivizační opatření k řešení nepříznivé situace na trhu práce“, s ohledem na stávající vývoj trhu práce nahrazen novým implementujícím dokumentem, kterým se stal pololetně vyhodnocovaný materiál „Analýza nabídky a poptávky na trhu práce“ schválený usnesením vlády č. 1127/2016.</w:t>
      </w:r>
    </w:p>
    <w:p w:rsidR="00EE15EF" w:rsidRPr="00E04C25" w:rsidRDefault="00EE15EF" w:rsidP="00EE15EF">
      <w:pPr>
        <w:autoSpaceDE w:val="0"/>
        <w:autoSpaceDN w:val="0"/>
        <w:adjustRightInd w:val="0"/>
        <w:spacing w:line="360" w:lineRule="auto"/>
        <w:ind w:firstLine="567"/>
        <w:jc w:val="both"/>
        <w:rPr>
          <w:rFonts w:ascii="Arial" w:hAnsi="Arial" w:cs="Arial"/>
          <w:strike/>
        </w:rPr>
      </w:pPr>
      <w:r w:rsidRPr="00E04C25">
        <w:rPr>
          <w:rFonts w:ascii="Arial" w:hAnsi="Arial" w:cs="Arial"/>
        </w:rPr>
        <w:t>Realizace politiky zaměstnanosti byla v </w:t>
      </w:r>
      <w:r w:rsidRPr="00E04C25">
        <w:rPr>
          <w:rFonts w:ascii="Arial" w:hAnsi="Arial"/>
        </w:rPr>
        <w:t xml:space="preserve">roce 2017 </w:t>
      </w:r>
      <w:r w:rsidRPr="00E04C25">
        <w:rPr>
          <w:rFonts w:ascii="Arial" w:hAnsi="Arial" w:cs="Arial"/>
        </w:rPr>
        <w:t xml:space="preserve">ovlivněna příznivým ekonomickým vývojem, kdy HDP meziročně vzrostl o 4,4 % (v roce 2016 o 2,6 %). </w:t>
      </w:r>
    </w:p>
    <w:p w:rsidR="00EE15EF" w:rsidRPr="00E04C25" w:rsidRDefault="00EE15EF" w:rsidP="00EE15EF">
      <w:pPr>
        <w:spacing w:line="360" w:lineRule="auto"/>
        <w:ind w:firstLine="567"/>
        <w:jc w:val="both"/>
        <w:rPr>
          <w:rFonts w:ascii="Arial" w:hAnsi="Arial" w:cs="Arial"/>
        </w:rPr>
      </w:pPr>
      <w:r w:rsidRPr="00E04C25">
        <w:rPr>
          <w:rFonts w:ascii="Arial" w:hAnsi="Arial" w:cs="Arial"/>
          <w:b/>
        </w:rPr>
        <w:t>Poskytování příspěvků aktivní politiky zaměstnanosti</w:t>
      </w:r>
      <w:r w:rsidRPr="00E04C25">
        <w:rPr>
          <w:rFonts w:ascii="Arial" w:hAnsi="Arial" w:cs="Arial"/>
        </w:rPr>
        <w:t xml:space="preserve"> se řídí stanovenými kritérii, která jsou zakotvena v Normativní instrukci č. 15/2014 Ministerstva práce a sociálních věcí určené ÚP ČR, a která stanoví, že nástroje aktivní politiky zaměstnanosti jsou primárně určeny uchazečům o zaměstnání, kterým není pro jejich individuální charakteristiky možné zajistit zaměstnání jiným způsobem. Za nejvíce ohrožené osoby na trhu práce jsou považovány osoby zdravotně postižené. Dále pak absolventi bez praxe, mladí lidé do 30 let, osoby starší 50 let věku a rodiče, zejména matky vracející se z rodičovské dovolené. Nástroje aktivní politiky zaměstnanosti rovněž slouží k boji se sociálním vyloučením a v neposlední řadě jsou určeny osobám vedeným v evidenci uchazečů o zaměstnání déle než 5 měsíců. </w:t>
      </w:r>
    </w:p>
    <w:p w:rsidR="00EE15EF" w:rsidRPr="00025D02" w:rsidRDefault="00EE15EF" w:rsidP="00EE15EF">
      <w:pPr>
        <w:spacing w:line="360" w:lineRule="auto"/>
        <w:ind w:firstLine="567"/>
        <w:jc w:val="both"/>
        <w:rPr>
          <w:rFonts w:ascii="Arial" w:hAnsi="Arial" w:cs="Arial"/>
        </w:rPr>
      </w:pPr>
      <w:r w:rsidRPr="00025D02">
        <w:rPr>
          <w:rFonts w:ascii="Arial" w:hAnsi="Arial"/>
        </w:rPr>
        <w:lastRenderedPageBreak/>
        <w:t>V roce 2017 nadále p</w:t>
      </w:r>
      <w:r w:rsidRPr="00025D02">
        <w:rPr>
          <w:rFonts w:ascii="Arial" w:hAnsi="Arial" w:cs="Arial"/>
        </w:rPr>
        <w:t xml:space="preserve">okračovala </w:t>
      </w:r>
      <w:r w:rsidRPr="00025D02">
        <w:rPr>
          <w:rFonts w:ascii="Arial" w:hAnsi="Arial" w:cs="Arial"/>
          <w:b/>
          <w:bCs/>
        </w:rPr>
        <w:t>podpora zaměstnavatelů v rámci systému investičních pobídek.</w:t>
      </w:r>
      <w:r w:rsidRPr="00025D02">
        <w:rPr>
          <w:rFonts w:ascii="Arial" w:hAnsi="Arial" w:cs="Arial"/>
        </w:rPr>
        <w:t xml:space="preserve"> Podpora je určena na vytvoření nových pracovních míst, k rekvalifikaci nebo školení zaměstnanců. </w:t>
      </w:r>
    </w:p>
    <w:p w:rsidR="00EE15EF" w:rsidRPr="00025D02" w:rsidRDefault="00EE15EF" w:rsidP="00EE15EF">
      <w:pPr>
        <w:spacing w:line="360" w:lineRule="auto"/>
        <w:ind w:firstLine="567"/>
        <w:jc w:val="both"/>
        <w:rPr>
          <w:rFonts w:ascii="Arial" w:hAnsi="Arial" w:cs="Arial"/>
        </w:rPr>
      </w:pPr>
      <w:r w:rsidRPr="00025D02">
        <w:rPr>
          <w:rFonts w:ascii="Arial" w:hAnsi="Arial" w:cs="Arial"/>
        </w:rPr>
        <w:t xml:space="preserve">Důležitou pomocí byl </w:t>
      </w:r>
      <w:r w:rsidRPr="00025D02">
        <w:rPr>
          <w:rFonts w:ascii="Arial" w:hAnsi="Arial" w:cs="Arial"/>
          <w:b/>
          <w:bCs/>
        </w:rPr>
        <w:t>příspěvek na podporu zaměstnávání osob se zdravotním postižením</w:t>
      </w:r>
      <w:r w:rsidRPr="00025D02">
        <w:rPr>
          <w:rFonts w:ascii="Arial" w:hAnsi="Arial" w:cs="Arial"/>
        </w:rPr>
        <w:t xml:space="preserve"> (§ 78 zákona o zaměstnanosti).</w:t>
      </w:r>
    </w:p>
    <w:p w:rsidR="00EE15EF" w:rsidRPr="00C33500" w:rsidRDefault="00EE15EF" w:rsidP="00EE15EF">
      <w:pPr>
        <w:autoSpaceDE w:val="0"/>
        <w:autoSpaceDN w:val="0"/>
        <w:adjustRightInd w:val="0"/>
        <w:spacing w:line="360" w:lineRule="auto"/>
        <w:ind w:firstLine="567"/>
        <w:jc w:val="both"/>
        <w:rPr>
          <w:rFonts w:ascii="Arial" w:hAnsi="Arial" w:cs="Arial"/>
          <w:highlight w:val="yellow"/>
        </w:rPr>
      </w:pPr>
    </w:p>
    <w:p w:rsidR="00EE15EF" w:rsidRPr="00C33500" w:rsidRDefault="00EE15EF" w:rsidP="00EE15EF">
      <w:pPr>
        <w:pStyle w:val="Styl3"/>
      </w:pPr>
      <w:bookmarkStart w:id="145" w:name="_Toc372530197"/>
      <w:bookmarkStart w:id="146" w:name="_Toc404672672"/>
      <w:bookmarkStart w:id="147" w:name="_Toc416687479"/>
      <w:bookmarkStart w:id="148" w:name="_Toc464827491"/>
      <w:bookmarkStart w:id="149" w:name="_Toc513198684"/>
      <w:r w:rsidRPr="00C33500">
        <w:t>Výdaje na politiku zaměstnanosti</w:t>
      </w:r>
      <w:bookmarkEnd w:id="145"/>
      <w:bookmarkEnd w:id="146"/>
      <w:bookmarkEnd w:id="147"/>
      <w:bookmarkEnd w:id="148"/>
      <w:bookmarkEnd w:id="149"/>
    </w:p>
    <w:p w:rsidR="00EE15EF" w:rsidRPr="00C33500" w:rsidRDefault="00EE15EF" w:rsidP="00EE15EF">
      <w:pPr>
        <w:pStyle w:val="Styl4"/>
        <w:tabs>
          <w:tab w:val="clear" w:pos="720"/>
        </w:tabs>
        <w:spacing w:before="0" w:after="0"/>
        <w:ind w:left="1080" w:firstLine="0"/>
        <w:rPr>
          <w:b w:val="0"/>
          <w:highlight w:val="yellow"/>
        </w:rPr>
      </w:pPr>
    </w:p>
    <w:p w:rsidR="00EE15EF" w:rsidRPr="00E66A1C" w:rsidRDefault="00EE15EF" w:rsidP="00EE15EF">
      <w:pPr>
        <w:spacing w:line="360" w:lineRule="auto"/>
        <w:ind w:firstLine="567"/>
        <w:jc w:val="both"/>
        <w:rPr>
          <w:rFonts w:ascii="Arial" w:hAnsi="Arial" w:cs="Arial"/>
        </w:rPr>
      </w:pPr>
      <w:r w:rsidRPr="00C33500">
        <w:rPr>
          <w:rFonts w:ascii="Arial" w:hAnsi="Arial" w:cs="Arial"/>
        </w:rPr>
        <w:t xml:space="preserve">Výdaje </w:t>
      </w:r>
      <w:r w:rsidRPr="00C33500">
        <w:rPr>
          <w:rFonts w:ascii="Arial" w:hAnsi="Arial" w:cs="Arial"/>
          <w:b/>
          <w:bCs/>
        </w:rPr>
        <w:t>ze státního rozpočtu (SR)</w:t>
      </w:r>
      <w:r w:rsidRPr="00C33500">
        <w:rPr>
          <w:rFonts w:ascii="Arial" w:hAnsi="Arial" w:cs="Arial"/>
          <w:bCs/>
        </w:rPr>
        <w:t xml:space="preserve"> na </w:t>
      </w:r>
      <w:r w:rsidRPr="00C33500">
        <w:rPr>
          <w:rFonts w:ascii="Arial" w:hAnsi="Arial" w:cs="Arial"/>
          <w:b/>
          <w:bCs/>
        </w:rPr>
        <w:t>pasivní politiku zaměstnanosti</w:t>
      </w:r>
      <w:r w:rsidRPr="00C33500">
        <w:rPr>
          <w:rFonts w:ascii="Arial" w:hAnsi="Arial" w:cs="Arial"/>
        </w:rPr>
        <w:t xml:space="preserve"> </w:t>
      </w:r>
      <w:r w:rsidRPr="00C33500">
        <w:rPr>
          <w:rFonts w:ascii="Arial" w:hAnsi="Arial" w:cs="Arial"/>
          <w:b/>
          <w:bCs/>
        </w:rPr>
        <w:t>v </w:t>
      </w:r>
      <w:r w:rsidRPr="00C33500">
        <w:rPr>
          <w:rFonts w:ascii="Arial" w:hAnsi="Arial"/>
          <w:b/>
        </w:rPr>
        <w:t xml:space="preserve">roce 2017 </w:t>
      </w:r>
      <w:r w:rsidRPr="00EB2E24">
        <w:rPr>
          <w:rFonts w:ascii="Arial" w:hAnsi="Arial" w:cs="Arial"/>
          <w:bCs/>
        </w:rPr>
        <w:t xml:space="preserve">dosáhly </w:t>
      </w:r>
      <w:r w:rsidRPr="00EB2E24">
        <w:rPr>
          <w:rFonts w:ascii="Arial" w:hAnsi="Arial" w:cs="Arial"/>
          <w:b/>
          <w:bCs/>
        </w:rPr>
        <w:t>7</w:t>
      </w:r>
      <w:r w:rsidRPr="00EB2E24">
        <w:rPr>
          <w:rFonts w:ascii="Arial" w:hAnsi="Arial" w:cs="Arial"/>
          <w:b/>
        </w:rPr>
        <w:t> 853 520</w:t>
      </w:r>
      <w:r w:rsidRPr="00EB2E24">
        <w:rPr>
          <w:rFonts w:ascii="Arial" w:hAnsi="Arial" w:cs="Arial"/>
          <w:b/>
          <w:bCs/>
        </w:rPr>
        <w:t> </w:t>
      </w:r>
      <w:r w:rsidRPr="00EB2E24">
        <w:rPr>
          <w:rFonts w:ascii="Arial" w:hAnsi="Arial" w:cs="Arial"/>
          <w:b/>
        </w:rPr>
        <w:t>tis. Kč</w:t>
      </w:r>
      <w:r w:rsidRPr="00EB2E24">
        <w:rPr>
          <w:rFonts w:ascii="Arial" w:hAnsi="Arial" w:cs="Arial"/>
        </w:rPr>
        <w:t xml:space="preserve"> a byly </w:t>
      </w:r>
      <w:r w:rsidRPr="00C33500">
        <w:rPr>
          <w:rFonts w:ascii="Arial" w:hAnsi="Arial" w:cs="Arial"/>
        </w:rPr>
        <w:t>ve srovnání s výdaji v </w:t>
      </w:r>
      <w:r w:rsidRPr="00C33500">
        <w:rPr>
          <w:rFonts w:ascii="Arial" w:hAnsi="Arial"/>
        </w:rPr>
        <w:t>roce 2016</w:t>
      </w:r>
      <w:r w:rsidRPr="00C33500">
        <w:rPr>
          <w:rFonts w:ascii="Arial" w:hAnsi="Arial"/>
          <w:b/>
        </w:rPr>
        <w:t xml:space="preserve"> </w:t>
      </w:r>
      <w:r w:rsidRPr="00A01294">
        <w:rPr>
          <w:rFonts w:ascii="Arial" w:hAnsi="Arial" w:cs="Arial"/>
        </w:rPr>
        <w:t>(8 </w:t>
      </w:r>
      <w:r w:rsidRPr="00E66A1C">
        <w:rPr>
          <w:rFonts w:ascii="Arial" w:hAnsi="Arial" w:cs="Arial"/>
        </w:rPr>
        <w:t>254 527</w:t>
      </w:r>
      <w:r w:rsidRPr="00E66A1C">
        <w:rPr>
          <w:rFonts w:ascii="Arial" w:hAnsi="Arial" w:cs="Arial"/>
          <w:bCs/>
        </w:rPr>
        <w:t> </w:t>
      </w:r>
      <w:r w:rsidRPr="00E66A1C">
        <w:rPr>
          <w:rFonts w:ascii="Arial" w:hAnsi="Arial" w:cs="Arial"/>
        </w:rPr>
        <w:t xml:space="preserve">tis. Kč) </w:t>
      </w:r>
      <w:r w:rsidRPr="00E66A1C">
        <w:rPr>
          <w:rFonts w:ascii="Arial" w:hAnsi="Arial" w:cs="Arial"/>
          <w:b/>
        </w:rPr>
        <w:t>o 401 007</w:t>
      </w:r>
      <w:r w:rsidRPr="00E66A1C">
        <w:rPr>
          <w:rFonts w:ascii="Arial" w:hAnsi="Arial" w:cs="Arial"/>
          <w:b/>
          <w:bCs/>
        </w:rPr>
        <w:t> </w:t>
      </w:r>
      <w:r w:rsidRPr="00E66A1C">
        <w:rPr>
          <w:rFonts w:ascii="Arial" w:hAnsi="Arial" w:cs="Arial"/>
          <w:b/>
        </w:rPr>
        <w:t>tis. Kč, tj. o 4,9 % nižší</w:t>
      </w:r>
      <w:r w:rsidRPr="00E66A1C">
        <w:rPr>
          <w:rFonts w:ascii="Arial" w:hAnsi="Arial" w:cs="Arial"/>
        </w:rPr>
        <w:t xml:space="preserve">. </w:t>
      </w:r>
    </w:p>
    <w:p w:rsidR="00EE15EF" w:rsidRPr="00E66A1C" w:rsidRDefault="00EE15EF" w:rsidP="00EE15EF">
      <w:pPr>
        <w:tabs>
          <w:tab w:val="left" w:pos="567"/>
        </w:tabs>
        <w:spacing w:line="360" w:lineRule="auto"/>
        <w:jc w:val="both"/>
        <w:rPr>
          <w:rFonts w:ascii="Arial" w:hAnsi="Arial" w:cs="Arial"/>
        </w:rPr>
      </w:pPr>
      <w:r w:rsidRPr="00E66A1C">
        <w:rPr>
          <w:rFonts w:ascii="Arial" w:hAnsi="Arial" w:cs="Arial"/>
          <w:bCs/>
        </w:rPr>
        <w:tab/>
        <w:t xml:space="preserve">I přes výrazný pokles nezaměstnanosti se výdaje související </w:t>
      </w:r>
      <w:r w:rsidRPr="00E66A1C">
        <w:rPr>
          <w:rFonts w:ascii="Arial" w:hAnsi="Arial" w:cs="Arial"/>
        </w:rPr>
        <w:t>s výplatou podpor v nezaměstnanosti snížily pouze nepatrně, a to především v důsledku nárůstu průměrné podpory v nezaměstnanosti a rostoucímu podílu věkově starších, jejichž rozhodující příjem pro výpočet nároku na podporu v nezaměstnanosti je obvykle vyšší a jejich podpůrčí doba je delší.</w:t>
      </w:r>
    </w:p>
    <w:tbl>
      <w:tblPr>
        <w:tblW w:w="9161" w:type="dxa"/>
        <w:tblCellMar>
          <w:left w:w="70" w:type="dxa"/>
          <w:right w:w="70" w:type="dxa"/>
        </w:tblCellMar>
        <w:tblLook w:val="04A0"/>
      </w:tblPr>
      <w:tblGrid>
        <w:gridCol w:w="3402"/>
        <w:gridCol w:w="1134"/>
        <w:gridCol w:w="851"/>
        <w:gridCol w:w="1153"/>
        <w:gridCol w:w="800"/>
        <w:gridCol w:w="1040"/>
        <w:gridCol w:w="781"/>
      </w:tblGrid>
      <w:tr w:rsidR="00EE15EF" w:rsidRPr="00E66A1C" w:rsidTr="001616A0">
        <w:trPr>
          <w:trHeight w:val="270"/>
        </w:trPr>
        <w:tc>
          <w:tcPr>
            <w:tcW w:w="3402" w:type="dxa"/>
            <w:tcBorders>
              <w:top w:val="nil"/>
              <w:left w:val="nil"/>
              <w:bottom w:val="nil"/>
              <w:right w:val="nil"/>
            </w:tcBorders>
            <w:shd w:val="clear" w:color="auto" w:fill="auto"/>
            <w:noWrap/>
            <w:vAlign w:val="bottom"/>
            <w:hideMark/>
          </w:tcPr>
          <w:p w:rsidR="00EE15EF" w:rsidRPr="002F20D4" w:rsidRDefault="00EE15EF" w:rsidP="001616A0">
            <w:pPr>
              <w:rPr>
                <w:sz w:val="18"/>
                <w:szCs w:val="18"/>
              </w:rPr>
            </w:pPr>
          </w:p>
        </w:tc>
        <w:tc>
          <w:tcPr>
            <w:tcW w:w="1134" w:type="dxa"/>
            <w:tcBorders>
              <w:top w:val="nil"/>
              <w:left w:val="nil"/>
              <w:bottom w:val="nil"/>
              <w:right w:val="nil"/>
            </w:tcBorders>
            <w:shd w:val="clear" w:color="auto" w:fill="auto"/>
            <w:noWrap/>
            <w:vAlign w:val="bottom"/>
            <w:hideMark/>
          </w:tcPr>
          <w:p w:rsidR="00EE15EF" w:rsidRPr="002F20D4" w:rsidRDefault="00EE15EF" w:rsidP="001616A0">
            <w:pPr>
              <w:rPr>
                <w:sz w:val="18"/>
                <w:szCs w:val="18"/>
              </w:rPr>
            </w:pPr>
          </w:p>
        </w:tc>
        <w:tc>
          <w:tcPr>
            <w:tcW w:w="851" w:type="dxa"/>
            <w:tcBorders>
              <w:top w:val="nil"/>
              <w:left w:val="nil"/>
              <w:bottom w:val="nil"/>
              <w:right w:val="nil"/>
            </w:tcBorders>
            <w:shd w:val="clear" w:color="auto" w:fill="auto"/>
            <w:noWrap/>
            <w:vAlign w:val="bottom"/>
            <w:hideMark/>
          </w:tcPr>
          <w:p w:rsidR="00EE15EF" w:rsidRPr="002F20D4" w:rsidRDefault="00EE15EF" w:rsidP="001616A0">
            <w:pPr>
              <w:rPr>
                <w:sz w:val="18"/>
                <w:szCs w:val="18"/>
              </w:rPr>
            </w:pPr>
          </w:p>
        </w:tc>
        <w:tc>
          <w:tcPr>
            <w:tcW w:w="1153" w:type="dxa"/>
            <w:tcBorders>
              <w:top w:val="nil"/>
              <w:left w:val="nil"/>
              <w:bottom w:val="nil"/>
              <w:right w:val="nil"/>
            </w:tcBorders>
            <w:shd w:val="clear" w:color="auto" w:fill="auto"/>
            <w:noWrap/>
            <w:vAlign w:val="bottom"/>
            <w:hideMark/>
          </w:tcPr>
          <w:p w:rsidR="00EE15EF" w:rsidRPr="002F20D4" w:rsidRDefault="00EE15EF" w:rsidP="001616A0">
            <w:pPr>
              <w:rPr>
                <w:sz w:val="18"/>
                <w:szCs w:val="18"/>
              </w:rPr>
            </w:pPr>
          </w:p>
        </w:tc>
        <w:tc>
          <w:tcPr>
            <w:tcW w:w="800" w:type="dxa"/>
            <w:tcBorders>
              <w:top w:val="nil"/>
              <w:left w:val="nil"/>
              <w:bottom w:val="nil"/>
              <w:right w:val="nil"/>
            </w:tcBorders>
            <w:shd w:val="clear" w:color="auto" w:fill="auto"/>
            <w:noWrap/>
            <w:vAlign w:val="bottom"/>
            <w:hideMark/>
          </w:tcPr>
          <w:p w:rsidR="00EE15EF" w:rsidRPr="002F20D4" w:rsidRDefault="00EE15EF" w:rsidP="001616A0">
            <w:pPr>
              <w:rPr>
                <w:sz w:val="18"/>
                <w:szCs w:val="18"/>
              </w:rPr>
            </w:pPr>
          </w:p>
        </w:tc>
        <w:tc>
          <w:tcPr>
            <w:tcW w:w="1040" w:type="dxa"/>
            <w:tcBorders>
              <w:top w:val="nil"/>
              <w:left w:val="nil"/>
              <w:bottom w:val="nil"/>
              <w:right w:val="nil"/>
            </w:tcBorders>
            <w:shd w:val="clear" w:color="auto" w:fill="auto"/>
            <w:noWrap/>
            <w:vAlign w:val="bottom"/>
            <w:hideMark/>
          </w:tcPr>
          <w:p w:rsidR="00EE15EF" w:rsidRPr="002F20D4" w:rsidRDefault="00EE15EF" w:rsidP="001616A0">
            <w:pPr>
              <w:rPr>
                <w:sz w:val="18"/>
                <w:szCs w:val="18"/>
              </w:rPr>
            </w:pPr>
          </w:p>
        </w:tc>
        <w:tc>
          <w:tcPr>
            <w:tcW w:w="781" w:type="dxa"/>
            <w:tcBorders>
              <w:top w:val="nil"/>
              <w:left w:val="nil"/>
              <w:bottom w:val="nil"/>
              <w:right w:val="nil"/>
            </w:tcBorders>
            <w:shd w:val="clear" w:color="auto" w:fill="auto"/>
            <w:noWrap/>
            <w:vAlign w:val="bottom"/>
            <w:hideMark/>
          </w:tcPr>
          <w:p w:rsidR="00EE15EF" w:rsidRPr="002F20D4" w:rsidRDefault="00EE15EF" w:rsidP="006B76EF">
            <w:pPr>
              <w:jc w:val="right"/>
              <w:rPr>
                <w:rFonts w:ascii="Arial CE" w:hAnsi="Arial CE" w:cs="Arial CE"/>
                <w:color w:val="FF00FF"/>
                <w:sz w:val="18"/>
                <w:szCs w:val="18"/>
              </w:rPr>
            </w:pPr>
            <w:r w:rsidRPr="006B76EF">
              <w:rPr>
                <w:rFonts w:ascii="Arial CE" w:hAnsi="Arial CE" w:cs="Arial CE"/>
                <w:sz w:val="18"/>
                <w:szCs w:val="18"/>
              </w:rPr>
              <w:t>tab.č.2</w:t>
            </w:r>
            <w:r w:rsidR="006B76EF" w:rsidRPr="006B76EF">
              <w:rPr>
                <w:rFonts w:ascii="Arial CE" w:hAnsi="Arial CE" w:cs="Arial CE"/>
                <w:sz w:val="18"/>
                <w:szCs w:val="18"/>
              </w:rPr>
              <w:t>2</w:t>
            </w:r>
          </w:p>
        </w:tc>
      </w:tr>
      <w:tr w:rsidR="00EE15EF" w:rsidRPr="002F20D4" w:rsidTr="001616A0">
        <w:trPr>
          <w:trHeight w:val="270"/>
        </w:trPr>
        <w:tc>
          <w:tcPr>
            <w:tcW w:w="3402" w:type="dxa"/>
            <w:vMerge w:val="restart"/>
            <w:tcBorders>
              <w:top w:val="double" w:sz="6" w:space="0" w:color="auto"/>
              <w:left w:val="double" w:sz="6" w:space="0" w:color="auto"/>
              <w:bottom w:val="single" w:sz="8" w:space="0" w:color="000000"/>
              <w:right w:val="single" w:sz="8" w:space="0" w:color="auto"/>
            </w:tcBorders>
            <w:shd w:val="clear" w:color="auto" w:fill="auto"/>
            <w:noWrap/>
            <w:vAlign w:val="bottom"/>
            <w:hideMark/>
          </w:tcPr>
          <w:p w:rsidR="00EE15EF" w:rsidRPr="002F20D4" w:rsidRDefault="00EE15EF" w:rsidP="001616A0">
            <w:pPr>
              <w:rPr>
                <w:rFonts w:ascii="Arial" w:hAnsi="Arial" w:cs="Arial"/>
                <w:sz w:val="18"/>
                <w:szCs w:val="18"/>
              </w:rPr>
            </w:pPr>
            <w:r w:rsidRPr="002F20D4">
              <w:rPr>
                <w:rFonts w:ascii="Arial" w:hAnsi="Arial" w:cs="Arial"/>
                <w:sz w:val="18"/>
                <w:szCs w:val="18"/>
              </w:rPr>
              <w:t> </w:t>
            </w:r>
          </w:p>
        </w:tc>
        <w:tc>
          <w:tcPr>
            <w:tcW w:w="1985" w:type="dxa"/>
            <w:gridSpan w:val="2"/>
            <w:tcBorders>
              <w:top w:val="double" w:sz="6" w:space="0" w:color="auto"/>
              <w:left w:val="nil"/>
              <w:bottom w:val="single" w:sz="4" w:space="0" w:color="auto"/>
              <w:right w:val="single" w:sz="8" w:space="0" w:color="000000"/>
            </w:tcBorders>
            <w:shd w:val="clear" w:color="auto" w:fill="auto"/>
            <w:noWrap/>
            <w:vAlign w:val="bottom"/>
            <w:hideMark/>
          </w:tcPr>
          <w:p w:rsidR="00EE15EF" w:rsidRPr="002F20D4" w:rsidRDefault="00EE15EF" w:rsidP="001616A0">
            <w:pPr>
              <w:jc w:val="center"/>
              <w:rPr>
                <w:rFonts w:ascii="Arial" w:hAnsi="Arial" w:cs="Arial"/>
                <w:b/>
                <w:bCs/>
                <w:sz w:val="18"/>
                <w:szCs w:val="18"/>
              </w:rPr>
            </w:pPr>
            <w:r w:rsidRPr="002F20D4">
              <w:rPr>
                <w:rFonts w:ascii="Arial" w:hAnsi="Arial" w:cs="Arial"/>
                <w:b/>
                <w:bCs/>
                <w:sz w:val="18"/>
                <w:szCs w:val="18"/>
              </w:rPr>
              <w:t>2016</w:t>
            </w:r>
          </w:p>
        </w:tc>
        <w:tc>
          <w:tcPr>
            <w:tcW w:w="1953" w:type="dxa"/>
            <w:gridSpan w:val="2"/>
            <w:tcBorders>
              <w:top w:val="double" w:sz="6" w:space="0" w:color="auto"/>
              <w:left w:val="nil"/>
              <w:bottom w:val="single" w:sz="4" w:space="0" w:color="auto"/>
              <w:right w:val="single" w:sz="8" w:space="0" w:color="000000"/>
            </w:tcBorders>
            <w:shd w:val="clear" w:color="auto" w:fill="auto"/>
            <w:noWrap/>
            <w:vAlign w:val="bottom"/>
            <w:hideMark/>
          </w:tcPr>
          <w:p w:rsidR="00EE15EF" w:rsidRPr="002F20D4" w:rsidRDefault="00EE15EF" w:rsidP="001616A0">
            <w:pPr>
              <w:jc w:val="center"/>
              <w:rPr>
                <w:rFonts w:ascii="Arial" w:hAnsi="Arial" w:cs="Arial"/>
                <w:b/>
                <w:bCs/>
                <w:sz w:val="18"/>
                <w:szCs w:val="18"/>
              </w:rPr>
            </w:pPr>
            <w:r w:rsidRPr="002F20D4">
              <w:rPr>
                <w:rFonts w:ascii="Arial" w:hAnsi="Arial" w:cs="Arial"/>
                <w:b/>
                <w:bCs/>
                <w:sz w:val="18"/>
                <w:szCs w:val="18"/>
              </w:rPr>
              <w:t>2017</w:t>
            </w:r>
          </w:p>
        </w:tc>
        <w:tc>
          <w:tcPr>
            <w:tcW w:w="1040" w:type="dxa"/>
            <w:vMerge w:val="restart"/>
            <w:tcBorders>
              <w:top w:val="double" w:sz="6" w:space="0" w:color="auto"/>
              <w:left w:val="nil"/>
              <w:bottom w:val="single" w:sz="8" w:space="0" w:color="000000"/>
              <w:right w:val="single" w:sz="4" w:space="0" w:color="auto"/>
            </w:tcBorders>
            <w:shd w:val="clear" w:color="auto" w:fill="auto"/>
            <w:vAlign w:val="center"/>
            <w:hideMark/>
          </w:tcPr>
          <w:p w:rsidR="00EE15EF" w:rsidRPr="002F20D4" w:rsidRDefault="00EE15EF" w:rsidP="001616A0">
            <w:pPr>
              <w:jc w:val="center"/>
              <w:rPr>
                <w:rFonts w:ascii="Arial CE" w:hAnsi="Arial CE" w:cs="Arial CE"/>
                <w:sz w:val="18"/>
                <w:szCs w:val="18"/>
              </w:rPr>
            </w:pPr>
            <w:r w:rsidRPr="002F20D4">
              <w:rPr>
                <w:rFonts w:ascii="Arial CE" w:hAnsi="Arial CE" w:cs="Arial CE"/>
                <w:sz w:val="18"/>
                <w:szCs w:val="18"/>
              </w:rPr>
              <w:t>rozdíl</w:t>
            </w:r>
            <w:r w:rsidRPr="002F20D4">
              <w:rPr>
                <w:rFonts w:ascii="Arial CE" w:hAnsi="Arial CE" w:cs="Arial CE"/>
                <w:sz w:val="18"/>
                <w:szCs w:val="18"/>
              </w:rPr>
              <w:br/>
              <w:t>2017-2016</w:t>
            </w:r>
          </w:p>
        </w:tc>
        <w:tc>
          <w:tcPr>
            <w:tcW w:w="781" w:type="dxa"/>
            <w:vMerge w:val="restart"/>
            <w:tcBorders>
              <w:top w:val="double" w:sz="6" w:space="0" w:color="auto"/>
              <w:left w:val="nil"/>
              <w:bottom w:val="single" w:sz="8" w:space="0" w:color="000000"/>
              <w:right w:val="double" w:sz="6" w:space="0" w:color="auto"/>
            </w:tcBorders>
            <w:shd w:val="clear" w:color="auto" w:fill="auto"/>
            <w:vAlign w:val="center"/>
            <w:hideMark/>
          </w:tcPr>
          <w:p w:rsidR="00EE15EF" w:rsidRPr="002F20D4" w:rsidRDefault="00EE15EF" w:rsidP="001616A0">
            <w:pPr>
              <w:jc w:val="center"/>
              <w:rPr>
                <w:rFonts w:ascii="Arial CE" w:hAnsi="Arial CE" w:cs="Arial CE"/>
                <w:sz w:val="18"/>
                <w:szCs w:val="18"/>
              </w:rPr>
            </w:pPr>
            <w:r w:rsidRPr="002F20D4">
              <w:rPr>
                <w:rFonts w:ascii="Arial CE" w:hAnsi="Arial CE" w:cs="Arial CE"/>
                <w:sz w:val="18"/>
                <w:szCs w:val="18"/>
              </w:rPr>
              <w:t>Index 17/16</w:t>
            </w:r>
          </w:p>
        </w:tc>
      </w:tr>
      <w:tr w:rsidR="00EE15EF" w:rsidRPr="002F20D4" w:rsidTr="001616A0">
        <w:trPr>
          <w:trHeight w:val="458"/>
        </w:trPr>
        <w:tc>
          <w:tcPr>
            <w:tcW w:w="3402" w:type="dxa"/>
            <w:vMerge/>
            <w:tcBorders>
              <w:top w:val="double" w:sz="6" w:space="0" w:color="auto"/>
              <w:left w:val="double" w:sz="6" w:space="0" w:color="auto"/>
              <w:bottom w:val="single" w:sz="8" w:space="0" w:color="000000"/>
              <w:right w:val="single" w:sz="8" w:space="0" w:color="auto"/>
            </w:tcBorders>
            <w:vAlign w:val="center"/>
            <w:hideMark/>
          </w:tcPr>
          <w:p w:rsidR="00EE15EF" w:rsidRPr="002F20D4" w:rsidRDefault="00EE15EF" w:rsidP="001616A0">
            <w:pPr>
              <w:rPr>
                <w:rFonts w:ascii="Arial" w:hAnsi="Arial" w:cs="Arial"/>
                <w:sz w:val="18"/>
                <w:szCs w:val="18"/>
              </w:rPr>
            </w:pPr>
          </w:p>
        </w:tc>
        <w:tc>
          <w:tcPr>
            <w:tcW w:w="1134" w:type="dxa"/>
            <w:vMerge w:val="restart"/>
            <w:tcBorders>
              <w:top w:val="nil"/>
              <w:left w:val="nil"/>
              <w:bottom w:val="single" w:sz="8" w:space="0" w:color="000000"/>
              <w:right w:val="single" w:sz="4" w:space="0" w:color="auto"/>
            </w:tcBorders>
            <w:shd w:val="clear" w:color="auto" w:fill="auto"/>
            <w:noWrap/>
            <w:vAlign w:val="center"/>
            <w:hideMark/>
          </w:tcPr>
          <w:p w:rsidR="00EE15EF" w:rsidRPr="002F20D4" w:rsidRDefault="00EE15EF" w:rsidP="001616A0">
            <w:pPr>
              <w:jc w:val="center"/>
              <w:rPr>
                <w:rFonts w:ascii="Arial" w:hAnsi="Arial" w:cs="Arial"/>
                <w:b/>
                <w:bCs/>
                <w:sz w:val="18"/>
                <w:szCs w:val="18"/>
              </w:rPr>
            </w:pPr>
            <w:r w:rsidRPr="002F20D4">
              <w:rPr>
                <w:rFonts w:ascii="Arial" w:hAnsi="Arial" w:cs="Arial"/>
                <w:b/>
                <w:bCs/>
                <w:sz w:val="18"/>
                <w:szCs w:val="18"/>
              </w:rPr>
              <w:t>v tis. Kč</w:t>
            </w:r>
          </w:p>
        </w:tc>
        <w:tc>
          <w:tcPr>
            <w:tcW w:w="851" w:type="dxa"/>
            <w:vMerge w:val="restart"/>
            <w:tcBorders>
              <w:top w:val="nil"/>
              <w:left w:val="single" w:sz="4" w:space="0" w:color="auto"/>
              <w:bottom w:val="single" w:sz="8" w:space="0" w:color="000000"/>
              <w:right w:val="single" w:sz="8" w:space="0" w:color="auto"/>
            </w:tcBorders>
            <w:shd w:val="clear" w:color="auto" w:fill="auto"/>
            <w:vAlign w:val="center"/>
            <w:hideMark/>
          </w:tcPr>
          <w:p w:rsidR="00EE15EF" w:rsidRPr="002F20D4" w:rsidRDefault="00EE15EF" w:rsidP="001616A0">
            <w:pPr>
              <w:jc w:val="center"/>
              <w:rPr>
                <w:rFonts w:ascii="Arial" w:hAnsi="Arial" w:cs="Arial"/>
                <w:b/>
                <w:bCs/>
                <w:sz w:val="18"/>
                <w:szCs w:val="18"/>
              </w:rPr>
            </w:pPr>
            <w:r w:rsidRPr="002F20D4">
              <w:rPr>
                <w:rFonts w:ascii="Arial" w:hAnsi="Arial" w:cs="Arial"/>
                <w:b/>
                <w:bCs/>
                <w:sz w:val="18"/>
                <w:szCs w:val="18"/>
              </w:rPr>
              <w:t>Podíl na HDP v % *)</w:t>
            </w:r>
          </w:p>
        </w:tc>
        <w:tc>
          <w:tcPr>
            <w:tcW w:w="1153" w:type="dxa"/>
            <w:vMerge w:val="restart"/>
            <w:tcBorders>
              <w:top w:val="nil"/>
              <w:left w:val="nil"/>
              <w:bottom w:val="single" w:sz="8" w:space="0" w:color="000000"/>
              <w:right w:val="single" w:sz="4" w:space="0" w:color="auto"/>
            </w:tcBorders>
            <w:shd w:val="clear" w:color="auto" w:fill="auto"/>
            <w:noWrap/>
            <w:vAlign w:val="center"/>
            <w:hideMark/>
          </w:tcPr>
          <w:p w:rsidR="00EE15EF" w:rsidRPr="002F20D4" w:rsidRDefault="00EE15EF" w:rsidP="001616A0">
            <w:pPr>
              <w:jc w:val="center"/>
              <w:rPr>
                <w:rFonts w:ascii="Arial" w:hAnsi="Arial" w:cs="Arial"/>
                <w:b/>
                <w:bCs/>
                <w:sz w:val="18"/>
                <w:szCs w:val="18"/>
              </w:rPr>
            </w:pPr>
            <w:r w:rsidRPr="002F20D4">
              <w:rPr>
                <w:rFonts w:ascii="Arial" w:hAnsi="Arial" w:cs="Arial"/>
                <w:b/>
                <w:bCs/>
                <w:sz w:val="18"/>
                <w:szCs w:val="18"/>
              </w:rPr>
              <w:t>v tis. Kč</w:t>
            </w:r>
          </w:p>
        </w:tc>
        <w:tc>
          <w:tcPr>
            <w:tcW w:w="800" w:type="dxa"/>
            <w:vMerge w:val="restart"/>
            <w:tcBorders>
              <w:top w:val="nil"/>
              <w:left w:val="single" w:sz="4" w:space="0" w:color="auto"/>
              <w:bottom w:val="single" w:sz="8" w:space="0" w:color="000000"/>
              <w:right w:val="single" w:sz="8" w:space="0" w:color="auto"/>
            </w:tcBorders>
            <w:shd w:val="clear" w:color="auto" w:fill="auto"/>
            <w:vAlign w:val="center"/>
            <w:hideMark/>
          </w:tcPr>
          <w:p w:rsidR="00EE15EF" w:rsidRPr="002F20D4" w:rsidRDefault="00EE15EF" w:rsidP="001616A0">
            <w:pPr>
              <w:jc w:val="center"/>
              <w:rPr>
                <w:rFonts w:ascii="Arial" w:hAnsi="Arial" w:cs="Arial"/>
                <w:b/>
                <w:bCs/>
                <w:sz w:val="18"/>
                <w:szCs w:val="18"/>
              </w:rPr>
            </w:pPr>
            <w:r w:rsidRPr="002F20D4">
              <w:rPr>
                <w:rFonts w:ascii="Arial" w:hAnsi="Arial" w:cs="Arial"/>
                <w:b/>
                <w:bCs/>
                <w:sz w:val="18"/>
                <w:szCs w:val="18"/>
              </w:rPr>
              <w:t>Podíl na HDP v % *)</w:t>
            </w:r>
          </w:p>
        </w:tc>
        <w:tc>
          <w:tcPr>
            <w:tcW w:w="1040" w:type="dxa"/>
            <w:vMerge/>
            <w:tcBorders>
              <w:top w:val="double" w:sz="6" w:space="0" w:color="auto"/>
              <w:left w:val="nil"/>
              <w:bottom w:val="single" w:sz="8" w:space="0" w:color="000000"/>
              <w:right w:val="single" w:sz="4" w:space="0" w:color="auto"/>
            </w:tcBorders>
            <w:vAlign w:val="center"/>
            <w:hideMark/>
          </w:tcPr>
          <w:p w:rsidR="00EE15EF" w:rsidRPr="002F20D4" w:rsidRDefault="00EE15EF" w:rsidP="001616A0">
            <w:pPr>
              <w:rPr>
                <w:rFonts w:ascii="Arial CE" w:hAnsi="Arial CE" w:cs="Arial CE"/>
                <w:sz w:val="18"/>
                <w:szCs w:val="18"/>
              </w:rPr>
            </w:pPr>
          </w:p>
        </w:tc>
        <w:tc>
          <w:tcPr>
            <w:tcW w:w="781" w:type="dxa"/>
            <w:vMerge/>
            <w:tcBorders>
              <w:top w:val="double" w:sz="6" w:space="0" w:color="auto"/>
              <w:left w:val="nil"/>
              <w:bottom w:val="single" w:sz="8" w:space="0" w:color="000000"/>
              <w:right w:val="double" w:sz="6" w:space="0" w:color="auto"/>
            </w:tcBorders>
            <w:vAlign w:val="center"/>
            <w:hideMark/>
          </w:tcPr>
          <w:p w:rsidR="00EE15EF" w:rsidRPr="002F20D4" w:rsidRDefault="00EE15EF" w:rsidP="001616A0">
            <w:pPr>
              <w:rPr>
                <w:rFonts w:ascii="Arial CE" w:hAnsi="Arial CE" w:cs="Arial CE"/>
                <w:sz w:val="18"/>
                <w:szCs w:val="18"/>
              </w:rPr>
            </w:pPr>
          </w:p>
        </w:tc>
      </w:tr>
      <w:tr w:rsidR="00EE15EF" w:rsidRPr="002F20D4" w:rsidTr="001616A0">
        <w:trPr>
          <w:trHeight w:val="458"/>
        </w:trPr>
        <w:tc>
          <w:tcPr>
            <w:tcW w:w="3402" w:type="dxa"/>
            <w:vMerge/>
            <w:tcBorders>
              <w:top w:val="double" w:sz="6" w:space="0" w:color="auto"/>
              <w:left w:val="double" w:sz="6" w:space="0" w:color="auto"/>
              <w:bottom w:val="single" w:sz="8" w:space="0" w:color="000000"/>
              <w:right w:val="single" w:sz="8" w:space="0" w:color="auto"/>
            </w:tcBorders>
            <w:vAlign w:val="center"/>
            <w:hideMark/>
          </w:tcPr>
          <w:p w:rsidR="00EE15EF" w:rsidRPr="002F20D4" w:rsidRDefault="00EE15EF" w:rsidP="001616A0">
            <w:pPr>
              <w:rPr>
                <w:rFonts w:ascii="Arial" w:hAnsi="Arial" w:cs="Arial"/>
                <w:sz w:val="18"/>
                <w:szCs w:val="18"/>
              </w:rPr>
            </w:pPr>
          </w:p>
        </w:tc>
        <w:tc>
          <w:tcPr>
            <w:tcW w:w="1134" w:type="dxa"/>
            <w:vMerge/>
            <w:tcBorders>
              <w:top w:val="nil"/>
              <w:left w:val="nil"/>
              <w:bottom w:val="single" w:sz="8" w:space="0" w:color="000000"/>
              <w:right w:val="single" w:sz="4" w:space="0" w:color="auto"/>
            </w:tcBorders>
            <w:vAlign w:val="center"/>
            <w:hideMark/>
          </w:tcPr>
          <w:p w:rsidR="00EE15EF" w:rsidRPr="002F20D4" w:rsidRDefault="00EE15EF" w:rsidP="001616A0">
            <w:pPr>
              <w:rPr>
                <w:rFonts w:ascii="Arial" w:hAnsi="Arial" w:cs="Arial"/>
                <w:b/>
                <w:bCs/>
                <w:sz w:val="18"/>
                <w:szCs w:val="18"/>
              </w:rPr>
            </w:pPr>
          </w:p>
        </w:tc>
        <w:tc>
          <w:tcPr>
            <w:tcW w:w="851" w:type="dxa"/>
            <w:vMerge/>
            <w:tcBorders>
              <w:top w:val="nil"/>
              <w:left w:val="single" w:sz="4" w:space="0" w:color="auto"/>
              <w:bottom w:val="single" w:sz="8" w:space="0" w:color="000000"/>
              <w:right w:val="single" w:sz="8" w:space="0" w:color="auto"/>
            </w:tcBorders>
            <w:vAlign w:val="center"/>
            <w:hideMark/>
          </w:tcPr>
          <w:p w:rsidR="00EE15EF" w:rsidRPr="002F20D4" w:rsidRDefault="00EE15EF" w:rsidP="001616A0">
            <w:pPr>
              <w:rPr>
                <w:rFonts w:ascii="Arial" w:hAnsi="Arial" w:cs="Arial"/>
                <w:b/>
                <w:bCs/>
                <w:sz w:val="18"/>
                <w:szCs w:val="18"/>
              </w:rPr>
            </w:pPr>
          </w:p>
        </w:tc>
        <w:tc>
          <w:tcPr>
            <w:tcW w:w="1153" w:type="dxa"/>
            <w:vMerge/>
            <w:tcBorders>
              <w:top w:val="nil"/>
              <w:left w:val="nil"/>
              <w:bottom w:val="single" w:sz="8" w:space="0" w:color="000000"/>
              <w:right w:val="single" w:sz="4" w:space="0" w:color="auto"/>
            </w:tcBorders>
            <w:vAlign w:val="center"/>
            <w:hideMark/>
          </w:tcPr>
          <w:p w:rsidR="00EE15EF" w:rsidRPr="002F20D4" w:rsidRDefault="00EE15EF" w:rsidP="001616A0">
            <w:pPr>
              <w:rPr>
                <w:rFonts w:ascii="Arial" w:hAnsi="Arial" w:cs="Arial"/>
                <w:b/>
                <w:bCs/>
                <w:sz w:val="18"/>
                <w:szCs w:val="18"/>
              </w:rPr>
            </w:pPr>
          </w:p>
        </w:tc>
        <w:tc>
          <w:tcPr>
            <w:tcW w:w="800" w:type="dxa"/>
            <w:vMerge/>
            <w:tcBorders>
              <w:top w:val="nil"/>
              <w:left w:val="single" w:sz="4" w:space="0" w:color="auto"/>
              <w:bottom w:val="single" w:sz="8" w:space="0" w:color="000000"/>
              <w:right w:val="single" w:sz="8" w:space="0" w:color="auto"/>
            </w:tcBorders>
            <w:vAlign w:val="center"/>
            <w:hideMark/>
          </w:tcPr>
          <w:p w:rsidR="00EE15EF" w:rsidRPr="002F20D4" w:rsidRDefault="00EE15EF" w:rsidP="001616A0">
            <w:pPr>
              <w:rPr>
                <w:rFonts w:ascii="Arial" w:hAnsi="Arial" w:cs="Arial"/>
                <w:b/>
                <w:bCs/>
                <w:sz w:val="18"/>
                <w:szCs w:val="18"/>
              </w:rPr>
            </w:pPr>
          </w:p>
        </w:tc>
        <w:tc>
          <w:tcPr>
            <w:tcW w:w="1040" w:type="dxa"/>
            <w:vMerge/>
            <w:tcBorders>
              <w:top w:val="double" w:sz="6" w:space="0" w:color="auto"/>
              <w:left w:val="nil"/>
              <w:bottom w:val="single" w:sz="8" w:space="0" w:color="000000"/>
              <w:right w:val="single" w:sz="4" w:space="0" w:color="auto"/>
            </w:tcBorders>
            <w:vAlign w:val="center"/>
            <w:hideMark/>
          </w:tcPr>
          <w:p w:rsidR="00EE15EF" w:rsidRPr="002F20D4" w:rsidRDefault="00EE15EF" w:rsidP="001616A0">
            <w:pPr>
              <w:rPr>
                <w:rFonts w:ascii="Arial CE" w:hAnsi="Arial CE" w:cs="Arial CE"/>
                <w:sz w:val="18"/>
                <w:szCs w:val="18"/>
              </w:rPr>
            </w:pPr>
          </w:p>
        </w:tc>
        <w:tc>
          <w:tcPr>
            <w:tcW w:w="781" w:type="dxa"/>
            <w:vMerge/>
            <w:tcBorders>
              <w:top w:val="double" w:sz="6" w:space="0" w:color="auto"/>
              <w:left w:val="nil"/>
              <w:bottom w:val="single" w:sz="8" w:space="0" w:color="000000"/>
              <w:right w:val="double" w:sz="6" w:space="0" w:color="auto"/>
            </w:tcBorders>
            <w:vAlign w:val="center"/>
            <w:hideMark/>
          </w:tcPr>
          <w:p w:rsidR="00EE15EF" w:rsidRPr="002F20D4" w:rsidRDefault="00EE15EF" w:rsidP="001616A0">
            <w:pPr>
              <w:rPr>
                <w:rFonts w:ascii="Arial CE" w:hAnsi="Arial CE" w:cs="Arial CE"/>
                <w:sz w:val="18"/>
                <w:szCs w:val="18"/>
              </w:rPr>
            </w:pPr>
          </w:p>
        </w:tc>
      </w:tr>
      <w:tr w:rsidR="00EE15EF" w:rsidRPr="002F20D4" w:rsidTr="001616A0">
        <w:trPr>
          <w:trHeight w:val="255"/>
        </w:trPr>
        <w:tc>
          <w:tcPr>
            <w:tcW w:w="3402" w:type="dxa"/>
            <w:tcBorders>
              <w:top w:val="nil"/>
              <w:left w:val="double" w:sz="6" w:space="0" w:color="auto"/>
              <w:bottom w:val="single" w:sz="4" w:space="0" w:color="auto"/>
              <w:right w:val="single" w:sz="8" w:space="0" w:color="auto"/>
            </w:tcBorders>
            <w:shd w:val="clear" w:color="auto" w:fill="auto"/>
            <w:noWrap/>
            <w:vAlign w:val="bottom"/>
            <w:hideMark/>
          </w:tcPr>
          <w:p w:rsidR="00EE15EF" w:rsidRPr="002F20D4" w:rsidRDefault="00EE15EF" w:rsidP="001616A0">
            <w:pPr>
              <w:rPr>
                <w:rFonts w:ascii="Arial" w:hAnsi="Arial" w:cs="Arial"/>
                <w:b/>
                <w:bCs/>
                <w:sz w:val="18"/>
                <w:szCs w:val="18"/>
              </w:rPr>
            </w:pPr>
            <w:r w:rsidRPr="002F20D4">
              <w:rPr>
                <w:rFonts w:ascii="Arial" w:hAnsi="Arial" w:cs="Arial"/>
                <w:b/>
                <w:bCs/>
                <w:sz w:val="18"/>
                <w:szCs w:val="18"/>
              </w:rPr>
              <w:t>Výdaje na SPZ ze SR</w:t>
            </w:r>
          </w:p>
        </w:tc>
        <w:tc>
          <w:tcPr>
            <w:tcW w:w="1134" w:type="dxa"/>
            <w:tcBorders>
              <w:top w:val="nil"/>
              <w:left w:val="nil"/>
              <w:bottom w:val="single" w:sz="4" w:space="0" w:color="auto"/>
              <w:right w:val="single" w:sz="4"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20 324 185</w:t>
            </w:r>
          </w:p>
        </w:tc>
        <w:tc>
          <w:tcPr>
            <w:tcW w:w="851" w:type="dxa"/>
            <w:tcBorders>
              <w:top w:val="nil"/>
              <w:left w:val="nil"/>
              <w:bottom w:val="single" w:sz="4" w:space="0" w:color="auto"/>
              <w:right w:val="single" w:sz="8"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0,43</w:t>
            </w:r>
          </w:p>
        </w:tc>
        <w:tc>
          <w:tcPr>
            <w:tcW w:w="1153" w:type="dxa"/>
            <w:tcBorders>
              <w:top w:val="nil"/>
              <w:left w:val="nil"/>
              <w:bottom w:val="single" w:sz="4" w:space="0" w:color="auto"/>
              <w:right w:val="single" w:sz="4"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18 457 077</w:t>
            </w:r>
          </w:p>
        </w:tc>
        <w:tc>
          <w:tcPr>
            <w:tcW w:w="800" w:type="dxa"/>
            <w:tcBorders>
              <w:top w:val="nil"/>
              <w:left w:val="nil"/>
              <w:bottom w:val="single" w:sz="4" w:space="0" w:color="auto"/>
              <w:right w:val="single" w:sz="8"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0,37</w:t>
            </w:r>
          </w:p>
        </w:tc>
        <w:tc>
          <w:tcPr>
            <w:tcW w:w="1040" w:type="dxa"/>
            <w:tcBorders>
              <w:top w:val="nil"/>
              <w:left w:val="nil"/>
              <w:bottom w:val="single" w:sz="4" w:space="0" w:color="auto"/>
              <w:right w:val="single" w:sz="4" w:space="0" w:color="auto"/>
            </w:tcBorders>
            <w:shd w:val="clear" w:color="auto" w:fill="auto"/>
            <w:noWrap/>
            <w:vAlign w:val="bottom"/>
            <w:hideMark/>
          </w:tcPr>
          <w:p w:rsidR="00EE15EF" w:rsidRPr="002F20D4" w:rsidRDefault="00EE15EF" w:rsidP="001616A0">
            <w:pPr>
              <w:jc w:val="right"/>
              <w:rPr>
                <w:rFonts w:ascii="Arial CE" w:hAnsi="Arial CE" w:cs="Arial CE"/>
                <w:sz w:val="18"/>
                <w:szCs w:val="18"/>
              </w:rPr>
            </w:pPr>
            <w:r w:rsidRPr="002F20D4">
              <w:rPr>
                <w:rFonts w:ascii="Arial CE" w:hAnsi="Arial CE" w:cs="Arial CE"/>
                <w:sz w:val="18"/>
                <w:szCs w:val="18"/>
              </w:rPr>
              <w:t>-1 867 108</w:t>
            </w:r>
          </w:p>
        </w:tc>
        <w:tc>
          <w:tcPr>
            <w:tcW w:w="781" w:type="dxa"/>
            <w:tcBorders>
              <w:top w:val="nil"/>
              <w:left w:val="nil"/>
              <w:bottom w:val="single" w:sz="4" w:space="0" w:color="auto"/>
              <w:right w:val="double" w:sz="6" w:space="0" w:color="auto"/>
            </w:tcBorders>
            <w:shd w:val="clear" w:color="auto" w:fill="auto"/>
            <w:noWrap/>
            <w:vAlign w:val="bottom"/>
            <w:hideMark/>
          </w:tcPr>
          <w:p w:rsidR="00EE15EF" w:rsidRPr="002F20D4" w:rsidRDefault="00EE15EF" w:rsidP="001616A0">
            <w:pPr>
              <w:jc w:val="right"/>
              <w:rPr>
                <w:rFonts w:ascii="Arial CE" w:hAnsi="Arial CE" w:cs="Arial CE"/>
                <w:sz w:val="18"/>
                <w:szCs w:val="18"/>
              </w:rPr>
            </w:pPr>
            <w:r w:rsidRPr="002F20D4">
              <w:rPr>
                <w:rFonts w:ascii="Arial CE" w:hAnsi="Arial CE" w:cs="Arial CE"/>
                <w:sz w:val="18"/>
                <w:szCs w:val="18"/>
              </w:rPr>
              <w:t>90,8</w:t>
            </w:r>
          </w:p>
        </w:tc>
      </w:tr>
      <w:tr w:rsidR="00EE15EF" w:rsidRPr="002F20D4" w:rsidTr="001616A0">
        <w:trPr>
          <w:trHeight w:val="255"/>
        </w:trPr>
        <w:tc>
          <w:tcPr>
            <w:tcW w:w="3402" w:type="dxa"/>
            <w:tcBorders>
              <w:top w:val="nil"/>
              <w:left w:val="double" w:sz="6" w:space="0" w:color="auto"/>
              <w:bottom w:val="nil"/>
              <w:right w:val="single" w:sz="8" w:space="0" w:color="auto"/>
            </w:tcBorders>
            <w:shd w:val="clear" w:color="auto" w:fill="auto"/>
            <w:noWrap/>
            <w:vAlign w:val="bottom"/>
            <w:hideMark/>
          </w:tcPr>
          <w:p w:rsidR="00EE15EF" w:rsidRPr="002F20D4" w:rsidRDefault="00EE15EF" w:rsidP="001616A0">
            <w:pPr>
              <w:rPr>
                <w:rFonts w:ascii="Arial" w:hAnsi="Arial" w:cs="Arial"/>
                <w:sz w:val="18"/>
                <w:szCs w:val="18"/>
              </w:rPr>
            </w:pPr>
            <w:r w:rsidRPr="002F20D4">
              <w:rPr>
                <w:rFonts w:ascii="Arial" w:hAnsi="Arial" w:cs="Arial"/>
                <w:sz w:val="18"/>
                <w:szCs w:val="18"/>
              </w:rPr>
              <w:t>V tom:</w:t>
            </w:r>
          </w:p>
        </w:tc>
        <w:tc>
          <w:tcPr>
            <w:tcW w:w="1134"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 </w:t>
            </w:r>
          </w:p>
        </w:tc>
        <w:tc>
          <w:tcPr>
            <w:tcW w:w="851"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 </w:t>
            </w:r>
          </w:p>
        </w:tc>
        <w:tc>
          <w:tcPr>
            <w:tcW w:w="1153"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 </w:t>
            </w:r>
          </w:p>
        </w:tc>
        <w:tc>
          <w:tcPr>
            <w:tcW w:w="800"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 </w:t>
            </w:r>
          </w:p>
        </w:tc>
        <w:tc>
          <w:tcPr>
            <w:tcW w:w="1040" w:type="dxa"/>
            <w:tcBorders>
              <w:top w:val="nil"/>
              <w:left w:val="nil"/>
              <w:bottom w:val="nil"/>
              <w:right w:val="single" w:sz="4" w:space="0" w:color="auto"/>
            </w:tcBorders>
            <w:shd w:val="clear" w:color="auto" w:fill="auto"/>
            <w:noWrap/>
            <w:vAlign w:val="bottom"/>
            <w:hideMark/>
          </w:tcPr>
          <w:p w:rsidR="00EE15EF" w:rsidRPr="002F20D4" w:rsidRDefault="00EE15EF" w:rsidP="001616A0">
            <w:pPr>
              <w:jc w:val="right"/>
              <w:rPr>
                <w:rFonts w:ascii="Arial CE" w:hAnsi="Arial CE" w:cs="Arial CE"/>
                <w:sz w:val="18"/>
                <w:szCs w:val="18"/>
              </w:rPr>
            </w:pPr>
            <w:r w:rsidRPr="002F20D4">
              <w:rPr>
                <w:rFonts w:ascii="Arial CE" w:hAnsi="Arial CE" w:cs="Arial CE"/>
                <w:sz w:val="18"/>
                <w:szCs w:val="18"/>
              </w:rPr>
              <w:t> </w:t>
            </w:r>
          </w:p>
        </w:tc>
        <w:tc>
          <w:tcPr>
            <w:tcW w:w="781" w:type="dxa"/>
            <w:tcBorders>
              <w:top w:val="nil"/>
              <w:left w:val="nil"/>
              <w:bottom w:val="nil"/>
              <w:right w:val="double" w:sz="6" w:space="0" w:color="auto"/>
            </w:tcBorders>
            <w:shd w:val="clear" w:color="auto" w:fill="auto"/>
            <w:noWrap/>
            <w:vAlign w:val="bottom"/>
            <w:hideMark/>
          </w:tcPr>
          <w:p w:rsidR="00EE15EF" w:rsidRPr="002F20D4" w:rsidRDefault="00EE15EF" w:rsidP="001616A0">
            <w:pPr>
              <w:jc w:val="right"/>
              <w:rPr>
                <w:rFonts w:ascii="Arial CE" w:hAnsi="Arial CE" w:cs="Arial CE"/>
                <w:sz w:val="18"/>
                <w:szCs w:val="18"/>
              </w:rPr>
            </w:pPr>
            <w:r w:rsidRPr="002F20D4">
              <w:rPr>
                <w:rFonts w:ascii="Arial CE" w:hAnsi="Arial CE" w:cs="Arial CE"/>
                <w:sz w:val="18"/>
                <w:szCs w:val="18"/>
              </w:rPr>
              <w:t> </w:t>
            </w:r>
          </w:p>
        </w:tc>
      </w:tr>
      <w:tr w:rsidR="00EE15EF" w:rsidRPr="002F20D4" w:rsidTr="001616A0">
        <w:trPr>
          <w:trHeight w:val="285"/>
        </w:trPr>
        <w:tc>
          <w:tcPr>
            <w:tcW w:w="3402" w:type="dxa"/>
            <w:tcBorders>
              <w:top w:val="nil"/>
              <w:left w:val="double" w:sz="6" w:space="0" w:color="auto"/>
              <w:bottom w:val="nil"/>
              <w:right w:val="single" w:sz="8" w:space="0" w:color="auto"/>
            </w:tcBorders>
            <w:shd w:val="clear" w:color="auto" w:fill="auto"/>
            <w:noWrap/>
            <w:vAlign w:val="bottom"/>
            <w:hideMark/>
          </w:tcPr>
          <w:p w:rsidR="00EE15EF" w:rsidRPr="002F20D4" w:rsidRDefault="00EE15EF" w:rsidP="001616A0">
            <w:pPr>
              <w:rPr>
                <w:rFonts w:ascii="Arial" w:hAnsi="Arial" w:cs="Arial"/>
                <w:b/>
                <w:bCs/>
                <w:i/>
                <w:iCs/>
                <w:sz w:val="18"/>
                <w:szCs w:val="18"/>
              </w:rPr>
            </w:pPr>
            <w:r w:rsidRPr="002F20D4">
              <w:rPr>
                <w:rFonts w:ascii="Arial" w:hAnsi="Arial" w:cs="Arial"/>
                <w:b/>
                <w:bCs/>
                <w:i/>
                <w:iCs/>
                <w:sz w:val="18"/>
                <w:szCs w:val="18"/>
              </w:rPr>
              <w:t>Pasivní politika zaměstnanosti (PPZ)</w:t>
            </w:r>
            <w:r w:rsidRPr="002F20D4">
              <w:rPr>
                <w:rFonts w:ascii="Arial" w:hAnsi="Arial" w:cs="Arial"/>
                <w:b/>
                <w:bCs/>
                <w:i/>
                <w:iCs/>
                <w:sz w:val="18"/>
                <w:szCs w:val="18"/>
                <w:vertAlign w:val="superscript"/>
              </w:rPr>
              <w:t xml:space="preserve"> </w:t>
            </w:r>
          </w:p>
        </w:tc>
        <w:tc>
          <w:tcPr>
            <w:tcW w:w="1134"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b/>
                <w:bCs/>
                <w:i/>
                <w:iCs/>
                <w:sz w:val="18"/>
                <w:szCs w:val="18"/>
              </w:rPr>
            </w:pPr>
            <w:r w:rsidRPr="002F20D4">
              <w:rPr>
                <w:rFonts w:ascii="Arial" w:hAnsi="Arial" w:cs="Arial"/>
                <w:b/>
                <w:bCs/>
                <w:i/>
                <w:iCs/>
                <w:sz w:val="18"/>
                <w:szCs w:val="18"/>
              </w:rPr>
              <w:t>8 254 527</w:t>
            </w:r>
          </w:p>
        </w:tc>
        <w:tc>
          <w:tcPr>
            <w:tcW w:w="851"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b/>
                <w:bCs/>
                <w:i/>
                <w:iCs/>
                <w:sz w:val="18"/>
                <w:szCs w:val="18"/>
              </w:rPr>
            </w:pPr>
            <w:r w:rsidRPr="002F20D4">
              <w:rPr>
                <w:rFonts w:ascii="Arial" w:hAnsi="Arial" w:cs="Arial"/>
                <w:b/>
                <w:bCs/>
                <w:i/>
                <w:iCs/>
                <w:sz w:val="18"/>
                <w:szCs w:val="18"/>
              </w:rPr>
              <w:t>0,18</w:t>
            </w:r>
          </w:p>
        </w:tc>
        <w:tc>
          <w:tcPr>
            <w:tcW w:w="1153"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b/>
                <w:bCs/>
                <w:i/>
                <w:iCs/>
                <w:sz w:val="18"/>
                <w:szCs w:val="18"/>
              </w:rPr>
            </w:pPr>
            <w:r w:rsidRPr="002F20D4">
              <w:rPr>
                <w:rFonts w:ascii="Arial" w:hAnsi="Arial" w:cs="Arial"/>
                <w:b/>
                <w:bCs/>
                <w:i/>
                <w:iCs/>
                <w:sz w:val="18"/>
                <w:szCs w:val="18"/>
              </w:rPr>
              <w:t>7 853 520</w:t>
            </w:r>
          </w:p>
        </w:tc>
        <w:tc>
          <w:tcPr>
            <w:tcW w:w="800"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b/>
                <w:bCs/>
                <w:i/>
                <w:iCs/>
                <w:sz w:val="18"/>
                <w:szCs w:val="18"/>
              </w:rPr>
            </w:pPr>
            <w:r w:rsidRPr="002F20D4">
              <w:rPr>
                <w:rFonts w:ascii="Arial" w:hAnsi="Arial" w:cs="Arial"/>
                <w:b/>
                <w:bCs/>
                <w:i/>
                <w:iCs/>
                <w:sz w:val="18"/>
                <w:szCs w:val="18"/>
              </w:rPr>
              <w:t>0,16</w:t>
            </w:r>
          </w:p>
        </w:tc>
        <w:tc>
          <w:tcPr>
            <w:tcW w:w="1040" w:type="dxa"/>
            <w:tcBorders>
              <w:top w:val="nil"/>
              <w:left w:val="nil"/>
              <w:bottom w:val="nil"/>
              <w:right w:val="single" w:sz="4" w:space="0" w:color="auto"/>
            </w:tcBorders>
            <w:shd w:val="clear" w:color="auto" w:fill="auto"/>
            <w:noWrap/>
            <w:vAlign w:val="bottom"/>
            <w:hideMark/>
          </w:tcPr>
          <w:p w:rsidR="00EE15EF" w:rsidRPr="002F20D4" w:rsidRDefault="00EE15EF" w:rsidP="001616A0">
            <w:pPr>
              <w:jc w:val="right"/>
              <w:rPr>
                <w:rFonts w:ascii="Arial CE" w:hAnsi="Arial CE" w:cs="Arial CE"/>
                <w:b/>
                <w:bCs/>
                <w:i/>
                <w:iCs/>
                <w:sz w:val="18"/>
                <w:szCs w:val="18"/>
              </w:rPr>
            </w:pPr>
            <w:r w:rsidRPr="002F20D4">
              <w:rPr>
                <w:rFonts w:ascii="Arial CE" w:hAnsi="Arial CE" w:cs="Arial CE"/>
                <w:b/>
                <w:bCs/>
                <w:i/>
                <w:iCs/>
                <w:sz w:val="18"/>
                <w:szCs w:val="18"/>
              </w:rPr>
              <w:t>-401 007</w:t>
            </w:r>
          </w:p>
        </w:tc>
        <w:tc>
          <w:tcPr>
            <w:tcW w:w="781" w:type="dxa"/>
            <w:tcBorders>
              <w:top w:val="nil"/>
              <w:left w:val="nil"/>
              <w:bottom w:val="nil"/>
              <w:right w:val="double" w:sz="6" w:space="0" w:color="auto"/>
            </w:tcBorders>
            <w:shd w:val="clear" w:color="auto" w:fill="auto"/>
            <w:noWrap/>
            <w:vAlign w:val="bottom"/>
            <w:hideMark/>
          </w:tcPr>
          <w:p w:rsidR="00EE15EF" w:rsidRPr="002F20D4" w:rsidRDefault="00EE15EF" w:rsidP="001616A0">
            <w:pPr>
              <w:jc w:val="right"/>
              <w:rPr>
                <w:rFonts w:ascii="Arial CE" w:hAnsi="Arial CE" w:cs="Arial CE"/>
                <w:b/>
                <w:bCs/>
                <w:i/>
                <w:iCs/>
                <w:sz w:val="18"/>
                <w:szCs w:val="18"/>
              </w:rPr>
            </w:pPr>
            <w:r w:rsidRPr="002F20D4">
              <w:rPr>
                <w:rFonts w:ascii="Arial CE" w:hAnsi="Arial CE" w:cs="Arial CE"/>
                <w:b/>
                <w:bCs/>
                <w:i/>
                <w:iCs/>
                <w:sz w:val="18"/>
                <w:szCs w:val="18"/>
              </w:rPr>
              <w:t>95,1</w:t>
            </w:r>
          </w:p>
        </w:tc>
      </w:tr>
      <w:tr w:rsidR="00EE15EF" w:rsidRPr="002F20D4" w:rsidTr="001616A0">
        <w:trPr>
          <w:trHeight w:val="255"/>
        </w:trPr>
        <w:tc>
          <w:tcPr>
            <w:tcW w:w="3402" w:type="dxa"/>
            <w:tcBorders>
              <w:top w:val="nil"/>
              <w:left w:val="double" w:sz="6" w:space="0" w:color="auto"/>
              <w:bottom w:val="nil"/>
              <w:right w:val="single" w:sz="8" w:space="0" w:color="auto"/>
            </w:tcBorders>
            <w:shd w:val="clear" w:color="auto" w:fill="auto"/>
            <w:noWrap/>
            <w:vAlign w:val="bottom"/>
            <w:hideMark/>
          </w:tcPr>
          <w:p w:rsidR="00EE15EF" w:rsidRPr="002F20D4" w:rsidRDefault="00EE15EF" w:rsidP="001616A0">
            <w:pPr>
              <w:rPr>
                <w:rFonts w:ascii="Arial" w:hAnsi="Arial" w:cs="Arial"/>
                <w:sz w:val="18"/>
                <w:szCs w:val="18"/>
              </w:rPr>
            </w:pPr>
            <w:r w:rsidRPr="002F20D4">
              <w:rPr>
                <w:rFonts w:ascii="Arial" w:hAnsi="Arial" w:cs="Arial"/>
                <w:sz w:val="18"/>
                <w:szCs w:val="18"/>
              </w:rPr>
              <w:t>Podíl PPZ na SPZ v %</w:t>
            </w:r>
          </w:p>
        </w:tc>
        <w:tc>
          <w:tcPr>
            <w:tcW w:w="1134"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40,6</w:t>
            </w:r>
          </w:p>
        </w:tc>
        <w:tc>
          <w:tcPr>
            <w:tcW w:w="851"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x </w:t>
            </w:r>
          </w:p>
        </w:tc>
        <w:tc>
          <w:tcPr>
            <w:tcW w:w="1153"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42,6</w:t>
            </w:r>
          </w:p>
        </w:tc>
        <w:tc>
          <w:tcPr>
            <w:tcW w:w="800"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x </w:t>
            </w:r>
          </w:p>
        </w:tc>
        <w:tc>
          <w:tcPr>
            <w:tcW w:w="1040" w:type="dxa"/>
            <w:tcBorders>
              <w:top w:val="nil"/>
              <w:left w:val="nil"/>
              <w:bottom w:val="nil"/>
              <w:right w:val="single" w:sz="4" w:space="0" w:color="auto"/>
            </w:tcBorders>
            <w:shd w:val="clear" w:color="auto" w:fill="auto"/>
            <w:noWrap/>
            <w:vAlign w:val="bottom"/>
            <w:hideMark/>
          </w:tcPr>
          <w:p w:rsidR="00EE15EF" w:rsidRPr="002F20D4" w:rsidRDefault="00EE15EF" w:rsidP="001616A0">
            <w:pPr>
              <w:jc w:val="right"/>
              <w:rPr>
                <w:rFonts w:ascii="Arial CE" w:hAnsi="Arial CE" w:cs="Arial CE"/>
                <w:sz w:val="18"/>
                <w:szCs w:val="18"/>
              </w:rPr>
            </w:pPr>
            <w:r w:rsidRPr="002F20D4">
              <w:rPr>
                <w:rFonts w:ascii="Arial CE" w:hAnsi="Arial CE" w:cs="Arial CE"/>
                <w:sz w:val="18"/>
                <w:szCs w:val="18"/>
              </w:rPr>
              <w:t>x </w:t>
            </w:r>
          </w:p>
        </w:tc>
        <w:tc>
          <w:tcPr>
            <w:tcW w:w="781" w:type="dxa"/>
            <w:tcBorders>
              <w:top w:val="nil"/>
              <w:left w:val="nil"/>
              <w:bottom w:val="nil"/>
              <w:right w:val="double" w:sz="6" w:space="0" w:color="auto"/>
            </w:tcBorders>
            <w:shd w:val="clear" w:color="auto" w:fill="auto"/>
            <w:noWrap/>
            <w:vAlign w:val="bottom"/>
            <w:hideMark/>
          </w:tcPr>
          <w:p w:rsidR="00EE15EF" w:rsidRPr="002F20D4" w:rsidRDefault="00EE15EF" w:rsidP="001616A0">
            <w:pPr>
              <w:jc w:val="right"/>
              <w:rPr>
                <w:rFonts w:ascii="Arial CE" w:hAnsi="Arial CE" w:cs="Arial CE"/>
                <w:sz w:val="18"/>
                <w:szCs w:val="18"/>
              </w:rPr>
            </w:pPr>
            <w:r w:rsidRPr="002F20D4">
              <w:rPr>
                <w:rFonts w:ascii="Arial CE" w:hAnsi="Arial CE" w:cs="Arial CE"/>
                <w:sz w:val="18"/>
                <w:szCs w:val="18"/>
              </w:rPr>
              <w:t>x </w:t>
            </w:r>
          </w:p>
        </w:tc>
      </w:tr>
      <w:tr w:rsidR="00EE15EF" w:rsidRPr="002F20D4" w:rsidTr="001616A0">
        <w:trPr>
          <w:trHeight w:val="255"/>
        </w:trPr>
        <w:tc>
          <w:tcPr>
            <w:tcW w:w="3402" w:type="dxa"/>
            <w:tcBorders>
              <w:top w:val="nil"/>
              <w:left w:val="double" w:sz="6" w:space="0" w:color="auto"/>
              <w:bottom w:val="nil"/>
              <w:right w:val="single" w:sz="8" w:space="0" w:color="auto"/>
            </w:tcBorders>
            <w:shd w:val="clear" w:color="auto" w:fill="auto"/>
            <w:noWrap/>
            <w:vAlign w:val="bottom"/>
            <w:hideMark/>
          </w:tcPr>
          <w:p w:rsidR="00EE15EF" w:rsidRPr="002F20D4" w:rsidRDefault="00EE15EF" w:rsidP="001616A0">
            <w:pPr>
              <w:rPr>
                <w:rFonts w:ascii="Arial" w:hAnsi="Arial" w:cs="Arial"/>
                <w:b/>
                <w:bCs/>
                <w:i/>
                <w:iCs/>
                <w:sz w:val="18"/>
                <w:szCs w:val="18"/>
              </w:rPr>
            </w:pPr>
            <w:r w:rsidRPr="002F20D4">
              <w:rPr>
                <w:rFonts w:ascii="Arial" w:hAnsi="Arial" w:cs="Arial"/>
                <w:b/>
                <w:bCs/>
                <w:i/>
                <w:iCs/>
                <w:sz w:val="18"/>
                <w:szCs w:val="18"/>
              </w:rPr>
              <w:t>Aktivní politika zaměstnanosti (APZ)</w:t>
            </w:r>
          </w:p>
        </w:tc>
        <w:tc>
          <w:tcPr>
            <w:tcW w:w="1134"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b/>
                <w:bCs/>
                <w:i/>
                <w:iCs/>
                <w:sz w:val="18"/>
                <w:szCs w:val="18"/>
              </w:rPr>
            </w:pPr>
            <w:r w:rsidRPr="002F20D4">
              <w:rPr>
                <w:rFonts w:ascii="Arial" w:hAnsi="Arial" w:cs="Arial"/>
                <w:b/>
                <w:bCs/>
                <w:i/>
                <w:iCs/>
                <w:sz w:val="18"/>
                <w:szCs w:val="18"/>
              </w:rPr>
              <w:t>6 866 805</w:t>
            </w:r>
          </w:p>
        </w:tc>
        <w:tc>
          <w:tcPr>
            <w:tcW w:w="851"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b/>
                <w:bCs/>
                <w:i/>
                <w:iCs/>
                <w:sz w:val="18"/>
                <w:szCs w:val="18"/>
              </w:rPr>
            </w:pPr>
            <w:r w:rsidRPr="002F20D4">
              <w:rPr>
                <w:rFonts w:ascii="Arial" w:hAnsi="Arial" w:cs="Arial"/>
                <w:b/>
                <w:bCs/>
                <w:i/>
                <w:iCs/>
                <w:sz w:val="18"/>
                <w:szCs w:val="18"/>
              </w:rPr>
              <w:t>0,15</w:t>
            </w:r>
          </w:p>
        </w:tc>
        <w:tc>
          <w:tcPr>
            <w:tcW w:w="1153"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b/>
                <w:bCs/>
                <w:i/>
                <w:iCs/>
                <w:sz w:val="18"/>
                <w:szCs w:val="18"/>
              </w:rPr>
            </w:pPr>
            <w:r w:rsidRPr="002F20D4">
              <w:rPr>
                <w:rFonts w:ascii="Arial" w:hAnsi="Arial" w:cs="Arial"/>
                <w:b/>
                <w:bCs/>
                <w:i/>
                <w:iCs/>
                <w:sz w:val="18"/>
                <w:szCs w:val="18"/>
              </w:rPr>
              <w:t>4 760 642</w:t>
            </w:r>
          </w:p>
        </w:tc>
        <w:tc>
          <w:tcPr>
            <w:tcW w:w="800"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b/>
                <w:bCs/>
                <w:i/>
                <w:iCs/>
                <w:sz w:val="18"/>
                <w:szCs w:val="18"/>
              </w:rPr>
            </w:pPr>
            <w:r w:rsidRPr="002F20D4">
              <w:rPr>
                <w:rFonts w:ascii="Arial" w:hAnsi="Arial" w:cs="Arial"/>
                <w:b/>
                <w:bCs/>
                <w:i/>
                <w:iCs/>
                <w:sz w:val="18"/>
                <w:szCs w:val="18"/>
              </w:rPr>
              <w:t>0,09</w:t>
            </w:r>
          </w:p>
        </w:tc>
        <w:tc>
          <w:tcPr>
            <w:tcW w:w="1040" w:type="dxa"/>
            <w:tcBorders>
              <w:top w:val="nil"/>
              <w:left w:val="nil"/>
              <w:bottom w:val="nil"/>
              <w:right w:val="single" w:sz="4" w:space="0" w:color="auto"/>
            </w:tcBorders>
            <w:shd w:val="clear" w:color="auto" w:fill="auto"/>
            <w:noWrap/>
            <w:vAlign w:val="bottom"/>
            <w:hideMark/>
          </w:tcPr>
          <w:p w:rsidR="00EE15EF" w:rsidRPr="002F20D4" w:rsidRDefault="00EE15EF" w:rsidP="001616A0">
            <w:pPr>
              <w:jc w:val="right"/>
              <w:rPr>
                <w:rFonts w:ascii="Arial CE" w:hAnsi="Arial CE" w:cs="Arial CE"/>
                <w:b/>
                <w:bCs/>
                <w:i/>
                <w:iCs/>
                <w:sz w:val="18"/>
                <w:szCs w:val="18"/>
              </w:rPr>
            </w:pPr>
            <w:r w:rsidRPr="002F20D4">
              <w:rPr>
                <w:rFonts w:ascii="Arial CE" w:hAnsi="Arial CE" w:cs="Arial CE"/>
                <w:b/>
                <w:bCs/>
                <w:i/>
                <w:iCs/>
                <w:sz w:val="18"/>
                <w:szCs w:val="18"/>
              </w:rPr>
              <w:t>-2 106 163</w:t>
            </w:r>
          </w:p>
        </w:tc>
        <w:tc>
          <w:tcPr>
            <w:tcW w:w="781" w:type="dxa"/>
            <w:tcBorders>
              <w:top w:val="nil"/>
              <w:left w:val="nil"/>
              <w:bottom w:val="nil"/>
              <w:right w:val="double" w:sz="6" w:space="0" w:color="auto"/>
            </w:tcBorders>
            <w:shd w:val="clear" w:color="auto" w:fill="auto"/>
            <w:noWrap/>
            <w:vAlign w:val="bottom"/>
            <w:hideMark/>
          </w:tcPr>
          <w:p w:rsidR="00EE15EF" w:rsidRPr="002F20D4" w:rsidRDefault="00EE15EF" w:rsidP="001616A0">
            <w:pPr>
              <w:jc w:val="right"/>
              <w:rPr>
                <w:rFonts w:ascii="Arial CE" w:hAnsi="Arial CE" w:cs="Arial CE"/>
                <w:b/>
                <w:bCs/>
                <w:i/>
                <w:iCs/>
                <w:sz w:val="18"/>
                <w:szCs w:val="18"/>
              </w:rPr>
            </w:pPr>
            <w:r w:rsidRPr="002F20D4">
              <w:rPr>
                <w:rFonts w:ascii="Arial CE" w:hAnsi="Arial CE" w:cs="Arial CE"/>
                <w:b/>
                <w:bCs/>
                <w:i/>
                <w:iCs/>
                <w:sz w:val="18"/>
                <w:szCs w:val="18"/>
              </w:rPr>
              <w:t>69,3</w:t>
            </w:r>
          </w:p>
        </w:tc>
      </w:tr>
      <w:tr w:rsidR="00EE15EF" w:rsidRPr="002F20D4" w:rsidTr="001616A0">
        <w:trPr>
          <w:trHeight w:val="255"/>
        </w:trPr>
        <w:tc>
          <w:tcPr>
            <w:tcW w:w="3402" w:type="dxa"/>
            <w:tcBorders>
              <w:top w:val="nil"/>
              <w:left w:val="double" w:sz="6" w:space="0" w:color="auto"/>
              <w:bottom w:val="nil"/>
              <w:right w:val="single" w:sz="8" w:space="0" w:color="auto"/>
            </w:tcBorders>
            <w:shd w:val="clear" w:color="auto" w:fill="auto"/>
            <w:noWrap/>
            <w:vAlign w:val="bottom"/>
            <w:hideMark/>
          </w:tcPr>
          <w:p w:rsidR="00EE15EF" w:rsidRPr="002F20D4" w:rsidRDefault="00EE15EF" w:rsidP="001616A0">
            <w:pPr>
              <w:rPr>
                <w:rFonts w:ascii="Arial" w:hAnsi="Arial" w:cs="Arial"/>
                <w:sz w:val="18"/>
                <w:szCs w:val="18"/>
              </w:rPr>
            </w:pPr>
            <w:r w:rsidRPr="002F20D4">
              <w:rPr>
                <w:rFonts w:ascii="Arial" w:hAnsi="Arial" w:cs="Arial"/>
                <w:sz w:val="18"/>
                <w:szCs w:val="18"/>
              </w:rPr>
              <w:t xml:space="preserve">Podíl APZ na SPZ v % </w:t>
            </w:r>
          </w:p>
        </w:tc>
        <w:tc>
          <w:tcPr>
            <w:tcW w:w="1134"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33,8</w:t>
            </w:r>
          </w:p>
        </w:tc>
        <w:tc>
          <w:tcPr>
            <w:tcW w:w="851"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x </w:t>
            </w:r>
          </w:p>
        </w:tc>
        <w:tc>
          <w:tcPr>
            <w:tcW w:w="1153"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25,8</w:t>
            </w:r>
          </w:p>
        </w:tc>
        <w:tc>
          <w:tcPr>
            <w:tcW w:w="800"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x </w:t>
            </w:r>
          </w:p>
        </w:tc>
        <w:tc>
          <w:tcPr>
            <w:tcW w:w="1040" w:type="dxa"/>
            <w:tcBorders>
              <w:top w:val="nil"/>
              <w:left w:val="nil"/>
              <w:bottom w:val="nil"/>
              <w:right w:val="single" w:sz="4" w:space="0" w:color="auto"/>
            </w:tcBorders>
            <w:shd w:val="clear" w:color="auto" w:fill="auto"/>
            <w:noWrap/>
            <w:vAlign w:val="bottom"/>
            <w:hideMark/>
          </w:tcPr>
          <w:p w:rsidR="00EE15EF" w:rsidRPr="002F20D4" w:rsidRDefault="00EE15EF" w:rsidP="001616A0">
            <w:pPr>
              <w:jc w:val="right"/>
              <w:rPr>
                <w:rFonts w:ascii="Arial CE" w:hAnsi="Arial CE" w:cs="Arial CE"/>
                <w:sz w:val="18"/>
                <w:szCs w:val="18"/>
              </w:rPr>
            </w:pPr>
            <w:r w:rsidRPr="002F20D4">
              <w:rPr>
                <w:rFonts w:ascii="Arial CE" w:hAnsi="Arial CE" w:cs="Arial CE"/>
                <w:sz w:val="18"/>
                <w:szCs w:val="18"/>
              </w:rPr>
              <w:t>x </w:t>
            </w:r>
          </w:p>
        </w:tc>
        <w:tc>
          <w:tcPr>
            <w:tcW w:w="781" w:type="dxa"/>
            <w:tcBorders>
              <w:top w:val="nil"/>
              <w:left w:val="nil"/>
              <w:bottom w:val="nil"/>
              <w:right w:val="double" w:sz="6" w:space="0" w:color="auto"/>
            </w:tcBorders>
            <w:shd w:val="clear" w:color="auto" w:fill="auto"/>
            <w:noWrap/>
            <w:vAlign w:val="bottom"/>
            <w:hideMark/>
          </w:tcPr>
          <w:p w:rsidR="00EE15EF" w:rsidRPr="002F20D4" w:rsidRDefault="00EE15EF" w:rsidP="001616A0">
            <w:pPr>
              <w:jc w:val="right"/>
              <w:rPr>
                <w:rFonts w:ascii="Arial CE" w:hAnsi="Arial CE" w:cs="Arial CE"/>
                <w:sz w:val="18"/>
                <w:szCs w:val="18"/>
              </w:rPr>
            </w:pPr>
            <w:r w:rsidRPr="002F20D4">
              <w:rPr>
                <w:rFonts w:ascii="Arial CE" w:hAnsi="Arial CE" w:cs="Arial CE"/>
                <w:sz w:val="18"/>
                <w:szCs w:val="18"/>
              </w:rPr>
              <w:t>x </w:t>
            </w:r>
          </w:p>
        </w:tc>
      </w:tr>
      <w:tr w:rsidR="00EE15EF" w:rsidRPr="002F20D4" w:rsidTr="001616A0">
        <w:trPr>
          <w:trHeight w:val="255"/>
        </w:trPr>
        <w:tc>
          <w:tcPr>
            <w:tcW w:w="3402" w:type="dxa"/>
            <w:tcBorders>
              <w:top w:val="nil"/>
              <w:left w:val="double" w:sz="6" w:space="0" w:color="auto"/>
              <w:bottom w:val="nil"/>
              <w:right w:val="single" w:sz="8" w:space="0" w:color="auto"/>
            </w:tcBorders>
            <w:shd w:val="clear" w:color="auto" w:fill="auto"/>
            <w:noWrap/>
            <w:vAlign w:val="bottom"/>
            <w:hideMark/>
          </w:tcPr>
          <w:p w:rsidR="00EE15EF" w:rsidRPr="002F20D4" w:rsidRDefault="00EE15EF" w:rsidP="001616A0">
            <w:pPr>
              <w:ind w:firstLineChars="200" w:firstLine="360"/>
              <w:rPr>
                <w:rFonts w:ascii="Arial" w:hAnsi="Arial" w:cs="Arial"/>
                <w:i/>
                <w:iCs/>
                <w:sz w:val="18"/>
                <w:szCs w:val="18"/>
              </w:rPr>
            </w:pPr>
            <w:r w:rsidRPr="002F20D4">
              <w:rPr>
                <w:rFonts w:ascii="Arial" w:hAnsi="Arial" w:cs="Arial"/>
                <w:i/>
                <w:iCs/>
                <w:sz w:val="18"/>
                <w:szCs w:val="18"/>
              </w:rPr>
              <w:t>z toho financování projektů ESF</w:t>
            </w:r>
          </w:p>
        </w:tc>
        <w:tc>
          <w:tcPr>
            <w:tcW w:w="1134"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i/>
                <w:iCs/>
                <w:sz w:val="18"/>
                <w:szCs w:val="18"/>
              </w:rPr>
            </w:pPr>
            <w:r w:rsidRPr="002F20D4">
              <w:rPr>
                <w:rFonts w:ascii="Arial" w:hAnsi="Arial" w:cs="Arial"/>
                <w:i/>
                <w:iCs/>
                <w:sz w:val="18"/>
                <w:szCs w:val="18"/>
              </w:rPr>
              <w:t>5 860 679</w:t>
            </w:r>
          </w:p>
        </w:tc>
        <w:tc>
          <w:tcPr>
            <w:tcW w:w="851"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i/>
                <w:iCs/>
                <w:sz w:val="18"/>
                <w:szCs w:val="18"/>
              </w:rPr>
            </w:pPr>
            <w:r w:rsidRPr="002F20D4">
              <w:rPr>
                <w:rFonts w:ascii="Arial" w:hAnsi="Arial" w:cs="Arial"/>
                <w:i/>
                <w:iCs/>
                <w:sz w:val="18"/>
                <w:szCs w:val="18"/>
              </w:rPr>
              <w:t>0,12</w:t>
            </w:r>
          </w:p>
        </w:tc>
        <w:tc>
          <w:tcPr>
            <w:tcW w:w="1153"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i/>
                <w:iCs/>
                <w:sz w:val="18"/>
                <w:szCs w:val="18"/>
              </w:rPr>
            </w:pPr>
            <w:r w:rsidRPr="002F20D4">
              <w:rPr>
                <w:rFonts w:ascii="Arial" w:hAnsi="Arial" w:cs="Arial"/>
                <w:i/>
                <w:iCs/>
                <w:sz w:val="18"/>
                <w:szCs w:val="18"/>
              </w:rPr>
              <w:t>2 948 024</w:t>
            </w:r>
          </w:p>
        </w:tc>
        <w:tc>
          <w:tcPr>
            <w:tcW w:w="800" w:type="dxa"/>
            <w:tcBorders>
              <w:top w:val="nil"/>
              <w:left w:val="nil"/>
              <w:bottom w:val="nil"/>
              <w:right w:val="single" w:sz="8" w:space="0" w:color="auto"/>
            </w:tcBorders>
            <w:shd w:val="clear" w:color="auto" w:fill="auto"/>
            <w:vAlign w:val="bottom"/>
            <w:hideMark/>
          </w:tcPr>
          <w:p w:rsidR="00EE15EF" w:rsidRPr="002F20D4" w:rsidRDefault="00EE15EF" w:rsidP="00D44462">
            <w:pPr>
              <w:jc w:val="right"/>
              <w:rPr>
                <w:rFonts w:ascii="Arial" w:hAnsi="Arial" w:cs="Arial"/>
                <w:i/>
                <w:iCs/>
                <w:sz w:val="18"/>
                <w:szCs w:val="18"/>
              </w:rPr>
            </w:pPr>
            <w:r w:rsidRPr="002F20D4">
              <w:rPr>
                <w:rFonts w:ascii="Arial" w:hAnsi="Arial" w:cs="Arial"/>
                <w:i/>
                <w:iCs/>
                <w:sz w:val="18"/>
                <w:szCs w:val="18"/>
              </w:rPr>
              <w:t>0,0</w:t>
            </w:r>
            <w:r w:rsidR="00D44462">
              <w:rPr>
                <w:rFonts w:ascii="Arial" w:hAnsi="Arial" w:cs="Arial"/>
                <w:i/>
                <w:iCs/>
                <w:sz w:val="18"/>
                <w:szCs w:val="18"/>
              </w:rPr>
              <w:t>6</w:t>
            </w:r>
          </w:p>
        </w:tc>
        <w:tc>
          <w:tcPr>
            <w:tcW w:w="1040" w:type="dxa"/>
            <w:tcBorders>
              <w:top w:val="nil"/>
              <w:left w:val="nil"/>
              <w:bottom w:val="nil"/>
              <w:right w:val="single" w:sz="4" w:space="0" w:color="auto"/>
            </w:tcBorders>
            <w:shd w:val="clear" w:color="auto" w:fill="auto"/>
            <w:noWrap/>
            <w:vAlign w:val="bottom"/>
            <w:hideMark/>
          </w:tcPr>
          <w:p w:rsidR="00EE15EF" w:rsidRPr="002F20D4" w:rsidRDefault="00EE15EF" w:rsidP="001616A0">
            <w:pPr>
              <w:jc w:val="right"/>
              <w:rPr>
                <w:rFonts w:ascii="Arial CE" w:hAnsi="Arial CE" w:cs="Arial CE"/>
                <w:i/>
                <w:iCs/>
                <w:sz w:val="18"/>
                <w:szCs w:val="18"/>
              </w:rPr>
            </w:pPr>
            <w:r w:rsidRPr="002F20D4">
              <w:rPr>
                <w:rFonts w:ascii="Arial CE" w:hAnsi="Arial CE" w:cs="Arial CE"/>
                <w:i/>
                <w:iCs/>
                <w:sz w:val="18"/>
                <w:szCs w:val="18"/>
              </w:rPr>
              <w:t>-2 912 655</w:t>
            </w:r>
          </w:p>
        </w:tc>
        <w:tc>
          <w:tcPr>
            <w:tcW w:w="781" w:type="dxa"/>
            <w:tcBorders>
              <w:top w:val="nil"/>
              <w:left w:val="nil"/>
              <w:bottom w:val="nil"/>
              <w:right w:val="double" w:sz="6" w:space="0" w:color="auto"/>
            </w:tcBorders>
            <w:shd w:val="clear" w:color="auto" w:fill="auto"/>
            <w:noWrap/>
            <w:vAlign w:val="bottom"/>
            <w:hideMark/>
          </w:tcPr>
          <w:p w:rsidR="00EE15EF" w:rsidRPr="002F20D4" w:rsidRDefault="00EE15EF" w:rsidP="001616A0">
            <w:pPr>
              <w:jc w:val="right"/>
              <w:rPr>
                <w:rFonts w:ascii="Arial CE" w:hAnsi="Arial CE" w:cs="Arial CE"/>
                <w:i/>
                <w:iCs/>
                <w:sz w:val="18"/>
                <w:szCs w:val="18"/>
              </w:rPr>
            </w:pPr>
            <w:r w:rsidRPr="002F20D4">
              <w:rPr>
                <w:rFonts w:ascii="Arial CE" w:hAnsi="Arial CE" w:cs="Arial CE"/>
                <w:i/>
                <w:iCs/>
                <w:sz w:val="18"/>
                <w:szCs w:val="18"/>
              </w:rPr>
              <w:t>50,3</w:t>
            </w:r>
          </w:p>
        </w:tc>
      </w:tr>
      <w:tr w:rsidR="00EE15EF" w:rsidRPr="002F20D4" w:rsidTr="001616A0">
        <w:trPr>
          <w:trHeight w:val="255"/>
        </w:trPr>
        <w:tc>
          <w:tcPr>
            <w:tcW w:w="3402" w:type="dxa"/>
            <w:tcBorders>
              <w:top w:val="nil"/>
              <w:left w:val="double" w:sz="6" w:space="0" w:color="auto"/>
              <w:bottom w:val="nil"/>
              <w:right w:val="single" w:sz="8" w:space="0" w:color="auto"/>
            </w:tcBorders>
            <w:shd w:val="clear" w:color="auto" w:fill="auto"/>
            <w:noWrap/>
            <w:vAlign w:val="bottom"/>
            <w:hideMark/>
          </w:tcPr>
          <w:p w:rsidR="00EE15EF" w:rsidRPr="002F20D4" w:rsidRDefault="00EE15EF" w:rsidP="001616A0">
            <w:pPr>
              <w:ind w:firstLineChars="200" w:firstLine="360"/>
              <w:rPr>
                <w:rFonts w:ascii="Arial" w:hAnsi="Arial" w:cs="Arial"/>
                <w:i/>
                <w:iCs/>
                <w:sz w:val="18"/>
                <w:szCs w:val="18"/>
              </w:rPr>
            </w:pPr>
            <w:r w:rsidRPr="002F20D4">
              <w:rPr>
                <w:rFonts w:ascii="Arial" w:hAnsi="Arial" w:cs="Arial"/>
                <w:i/>
                <w:iCs/>
                <w:sz w:val="18"/>
                <w:szCs w:val="18"/>
              </w:rPr>
              <w:t>Podíl APZ-ESF na SPZ v %</w:t>
            </w:r>
          </w:p>
        </w:tc>
        <w:tc>
          <w:tcPr>
            <w:tcW w:w="1134"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i/>
                <w:iCs/>
                <w:sz w:val="18"/>
                <w:szCs w:val="18"/>
              </w:rPr>
            </w:pPr>
            <w:r w:rsidRPr="002F20D4">
              <w:rPr>
                <w:rFonts w:ascii="Arial" w:hAnsi="Arial" w:cs="Arial"/>
                <w:i/>
                <w:iCs/>
                <w:sz w:val="18"/>
                <w:szCs w:val="18"/>
              </w:rPr>
              <w:t>28,8</w:t>
            </w:r>
          </w:p>
        </w:tc>
        <w:tc>
          <w:tcPr>
            <w:tcW w:w="851"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i/>
                <w:iCs/>
                <w:sz w:val="18"/>
                <w:szCs w:val="18"/>
              </w:rPr>
            </w:pPr>
            <w:r w:rsidRPr="002F20D4">
              <w:rPr>
                <w:rFonts w:ascii="Arial" w:hAnsi="Arial" w:cs="Arial"/>
                <w:i/>
                <w:iCs/>
                <w:sz w:val="18"/>
                <w:szCs w:val="18"/>
              </w:rPr>
              <w:t>x </w:t>
            </w:r>
          </w:p>
        </w:tc>
        <w:tc>
          <w:tcPr>
            <w:tcW w:w="1153" w:type="dxa"/>
            <w:tcBorders>
              <w:top w:val="nil"/>
              <w:left w:val="nil"/>
              <w:bottom w:val="nil"/>
              <w:right w:val="single" w:sz="4" w:space="0" w:color="auto"/>
            </w:tcBorders>
            <w:shd w:val="clear" w:color="auto" w:fill="auto"/>
            <w:vAlign w:val="bottom"/>
            <w:hideMark/>
          </w:tcPr>
          <w:p w:rsidR="00EE15EF" w:rsidRPr="002F20D4" w:rsidRDefault="00E90B78" w:rsidP="00E90B78">
            <w:pPr>
              <w:jc w:val="right"/>
              <w:rPr>
                <w:rFonts w:ascii="Arial" w:hAnsi="Arial" w:cs="Arial"/>
                <w:i/>
                <w:iCs/>
                <w:sz w:val="18"/>
                <w:szCs w:val="18"/>
              </w:rPr>
            </w:pPr>
            <w:r>
              <w:rPr>
                <w:rFonts w:ascii="Arial" w:hAnsi="Arial" w:cs="Arial"/>
                <w:i/>
                <w:iCs/>
                <w:sz w:val="18"/>
                <w:szCs w:val="18"/>
              </w:rPr>
              <w:t>16</w:t>
            </w:r>
            <w:r w:rsidR="00EE15EF" w:rsidRPr="002F20D4">
              <w:rPr>
                <w:rFonts w:ascii="Arial" w:hAnsi="Arial" w:cs="Arial"/>
                <w:i/>
                <w:iCs/>
                <w:sz w:val="18"/>
                <w:szCs w:val="18"/>
              </w:rPr>
              <w:t>,</w:t>
            </w:r>
            <w:r>
              <w:rPr>
                <w:rFonts w:ascii="Arial" w:hAnsi="Arial" w:cs="Arial"/>
                <w:i/>
                <w:iCs/>
                <w:sz w:val="18"/>
                <w:szCs w:val="18"/>
              </w:rPr>
              <w:t>0</w:t>
            </w:r>
          </w:p>
        </w:tc>
        <w:tc>
          <w:tcPr>
            <w:tcW w:w="800"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i/>
                <w:iCs/>
                <w:sz w:val="18"/>
                <w:szCs w:val="18"/>
              </w:rPr>
            </w:pPr>
            <w:r w:rsidRPr="002F20D4">
              <w:rPr>
                <w:rFonts w:ascii="Arial" w:hAnsi="Arial" w:cs="Arial"/>
                <w:i/>
                <w:iCs/>
                <w:sz w:val="18"/>
                <w:szCs w:val="18"/>
              </w:rPr>
              <w:t>x </w:t>
            </w:r>
          </w:p>
        </w:tc>
        <w:tc>
          <w:tcPr>
            <w:tcW w:w="1040" w:type="dxa"/>
            <w:tcBorders>
              <w:top w:val="nil"/>
              <w:left w:val="nil"/>
              <w:bottom w:val="nil"/>
              <w:right w:val="single" w:sz="4" w:space="0" w:color="auto"/>
            </w:tcBorders>
            <w:shd w:val="clear" w:color="auto" w:fill="auto"/>
            <w:noWrap/>
            <w:vAlign w:val="bottom"/>
            <w:hideMark/>
          </w:tcPr>
          <w:p w:rsidR="00EE15EF" w:rsidRPr="002F20D4" w:rsidRDefault="00EE15EF" w:rsidP="001616A0">
            <w:pPr>
              <w:jc w:val="right"/>
              <w:rPr>
                <w:rFonts w:ascii="Arial CE" w:hAnsi="Arial CE" w:cs="Arial CE"/>
                <w:sz w:val="18"/>
                <w:szCs w:val="18"/>
              </w:rPr>
            </w:pPr>
            <w:r w:rsidRPr="002F20D4">
              <w:rPr>
                <w:rFonts w:ascii="Arial CE" w:hAnsi="Arial CE" w:cs="Arial CE"/>
                <w:sz w:val="18"/>
                <w:szCs w:val="18"/>
              </w:rPr>
              <w:t>x </w:t>
            </w:r>
          </w:p>
        </w:tc>
        <w:tc>
          <w:tcPr>
            <w:tcW w:w="781" w:type="dxa"/>
            <w:tcBorders>
              <w:top w:val="nil"/>
              <w:left w:val="nil"/>
              <w:bottom w:val="nil"/>
              <w:right w:val="double" w:sz="6" w:space="0" w:color="auto"/>
            </w:tcBorders>
            <w:shd w:val="clear" w:color="auto" w:fill="auto"/>
            <w:noWrap/>
            <w:vAlign w:val="bottom"/>
            <w:hideMark/>
          </w:tcPr>
          <w:p w:rsidR="00EE15EF" w:rsidRPr="002F20D4" w:rsidRDefault="00EE15EF" w:rsidP="001616A0">
            <w:pPr>
              <w:jc w:val="right"/>
              <w:rPr>
                <w:rFonts w:ascii="Arial CE" w:hAnsi="Arial CE" w:cs="Arial CE"/>
                <w:i/>
                <w:iCs/>
                <w:sz w:val="18"/>
                <w:szCs w:val="18"/>
              </w:rPr>
            </w:pPr>
            <w:r w:rsidRPr="002F20D4">
              <w:rPr>
                <w:rFonts w:ascii="Arial CE" w:hAnsi="Arial CE" w:cs="Arial CE"/>
                <w:i/>
                <w:iCs/>
                <w:sz w:val="18"/>
                <w:szCs w:val="18"/>
              </w:rPr>
              <w:t>x </w:t>
            </w:r>
          </w:p>
        </w:tc>
      </w:tr>
      <w:tr w:rsidR="00EE15EF" w:rsidRPr="002F20D4" w:rsidTr="001616A0">
        <w:trPr>
          <w:trHeight w:val="510"/>
        </w:trPr>
        <w:tc>
          <w:tcPr>
            <w:tcW w:w="3402" w:type="dxa"/>
            <w:tcBorders>
              <w:top w:val="nil"/>
              <w:left w:val="double" w:sz="6" w:space="0" w:color="auto"/>
              <w:bottom w:val="nil"/>
              <w:right w:val="single" w:sz="8" w:space="0" w:color="auto"/>
            </w:tcBorders>
            <w:shd w:val="clear" w:color="auto" w:fill="auto"/>
            <w:vAlign w:val="bottom"/>
            <w:hideMark/>
          </w:tcPr>
          <w:p w:rsidR="00EE15EF" w:rsidRPr="002F20D4" w:rsidRDefault="00EE15EF" w:rsidP="001616A0">
            <w:pPr>
              <w:rPr>
                <w:rFonts w:ascii="Arial" w:hAnsi="Arial" w:cs="Arial"/>
                <w:b/>
                <w:bCs/>
                <w:i/>
                <w:iCs/>
                <w:sz w:val="18"/>
                <w:szCs w:val="18"/>
              </w:rPr>
            </w:pPr>
            <w:r w:rsidRPr="002F20D4">
              <w:rPr>
                <w:rFonts w:ascii="Arial" w:hAnsi="Arial" w:cs="Arial"/>
                <w:b/>
                <w:bCs/>
                <w:i/>
                <w:iCs/>
                <w:sz w:val="18"/>
                <w:szCs w:val="18"/>
              </w:rPr>
              <w:t>Podpora zaměstnávání OZP - příspěvek dle §78 ZoZ</w:t>
            </w:r>
          </w:p>
        </w:tc>
        <w:tc>
          <w:tcPr>
            <w:tcW w:w="1134"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b/>
                <w:bCs/>
                <w:i/>
                <w:iCs/>
                <w:sz w:val="18"/>
                <w:szCs w:val="18"/>
              </w:rPr>
            </w:pPr>
            <w:r w:rsidRPr="002F20D4">
              <w:rPr>
                <w:rFonts w:ascii="Arial" w:hAnsi="Arial" w:cs="Arial"/>
                <w:b/>
                <w:bCs/>
                <w:i/>
                <w:iCs/>
                <w:sz w:val="18"/>
                <w:szCs w:val="18"/>
              </w:rPr>
              <w:t>4 952 515</w:t>
            </w:r>
          </w:p>
        </w:tc>
        <w:tc>
          <w:tcPr>
            <w:tcW w:w="851"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b/>
                <w:bCs/>
                <w:i/>
                <w:iCs/>
                <w:sz w:val="18"/>
                <w:szCs w:val="18"/>
              </w:rPr>
            </w:pPr>
            <w:r w:rsidRPr="002F20D4">
              <w:rPr>
                <w:rFonts w:ascii="Arial" w:hAnsi="Arial" w:cs="Arial"/>
                <w:b/>
                <w:bCs/>
                <w:i/>
                <w:iCs/>
                <w:sz w:val="18"/>
                <w:szCs w:val="18"/>
              </w:rPr>
              <w:t>0,11</w:t>
            </w:r>
          </w:p>
        </w:tc>
        <w:tc>
          <w:tcPr>
            <w:tcW w:w="1153"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b/>
                <w:bCs/>
                <w:i/>
                <w:iCs/>
                <w:sz w:val="18"/>
                <w:szCs w:val="18"/>
              </w:rPr>
            </w:pPr>
            <w:r w:rsidRPr="002F20D4">
              <w:rPr>
                <w:rFonts w:ascii="Arial" w:hAnsi="Arial" w:cs="Arial"/>
                <w:b/>
                <w:bCs/>
                <w:i/>
                <w:iCs/>
                <w:sz w:val="18"/>
                <w:szCs w:val="18"/>
              </w:rPr>
              <w:t>5 675 572</w:t>
            </w:r>
          </w:p>
        </w:tc>
        <w:tc>
          <w:tcPr>
            <w:tcW w:w="800"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b/>
                <w:bCs/>
                <w:i/>
                <w:iCs/>
                <w:sz w:val="18"/>
                <w:szCs w:val="18"/>
              </w:rPr>
            </w:pPr>
            <w:r w:rsidRPr="002F20D4">
              <w:rPr>
                <w:rFonts w:ascii="Arial" w:hAnsi="Arial" w:cs="Arial"/>
                <w:b/>
                <w:bCs/>
                <w:i/>
                <w:iCs/>
                <w:sz w:val="18"/>
                <w:szCs w:val="18"/>
              </w:rPr>
              <w:t>0,11</w:t>
            </w:r>
          </w:p>
        </w:tc>
        <w:tc>
          <w:tcPr>
            <w:tcW w:w="1040" w:type="dxa"/>
            <w:tcBorders>
              <w:top w:val="nil"/>
              <w:left w:val="nil"/>
              <w:bottom w:val="nil"/>
              <w:right w:val="single" w:sz="4" w:space="0" w:color="auto"/>
            </w:tcBorders>
            <w:shd w:val="clear" w:color="auto" w:fill="auto"/>
            <w:noWrap/>
            <w:vAlign w:val="bottom"/>
            <w:hideMark/>
          </w:tcPr>
          <w:p w:rsidR="00EE15EF" w:rsidRPr="002F20D4" w:rsidRDefault="00EE15EF" w:rsidP="001616A0">
            <w:pPr>
              <w:jc w:val="right"/>
              <w:rPr>
                <w:rFonts w:ascii="Arial CE" w:hAnsi="Arial CE" w:cs="Arial CE"/>
                <w:b/>
                <w:bCs/>
                <w:i/>
                <w:iCs/>
                <w:sz w:val="18"/>
                <w:szCs w:val="18"/>
              </w:rPr>
            </w:pPr>
            <w:r w:rsidRPr="002F20D4">
              <w:rPr>
                <w:rFonts w:ascii="Arial CE" w:hAnsi="Arial CE" w:cs="Arial CE"/>
                <w:b/>
                <w:bCs/>
                <w:i/>
                <w:iCs/>
                <w:sz w:val="18"/>
                <w:szCs w:val="18"/>
              </w:rPr>
              <w:t>723 057</w:t>
            </w:r>
          </w:p>
        </w:tc>
        <w:tc>
          <w:tcPr>
            <w:tcW w:w="781" w:type="dxa"/>
            <w:tcBorders>
              <w:top w:val="nil"/>
              <w:left w:val="nil"/>
              <w:bottom w:val="nil"/>
              <w:right w:val="double" w:sz="6" w:space="0" w:color="auto"/>
            </w:tcBorders>
            <w:shd w:val="clear" w:color="auto" w:fill="auto"/>
            <w:noWrap/>
            <w:vAlign w:val="bottom"/>
            <w:hideMark/>
          </w:tcPr>
          <w:p w:rsidR="00EE15EF" w:rsidRPr="002F20D4" w:rsidRDefault="00EE15EF" w:rsidP="001616A0">
            <w:pPr>
              <w:jc w:val="right"/>
              <w:rPr>
                <w:rFonts w:ascii="Arial CE" w:hAnsi="Arial CE" w:cs="Arial CE"/>
                <w:b/>
                <w:bCs/>
                <w:i/>
                <w:iCs/>
                <w:sz w:val="18"/>
                <w:szCs w:val="18"/>
              </w:rPr>
            </w:pPr>
            <w:r w:rsidRPr="002F20D4">
              <w:rPr>
                <w:rFonts w:ascii="Arial CE" w:hAnsi="Arial CE" w:cs="Arial CE"/>
                <w:b/>
                <w:bCs/>
                <w:i/>
                <w:iCs/>
                <w:sz w:val="18"/>
                <w:szCs w:val="18"/>
              </w:rPr>
              <w:t>114,6</w:t>
            </w:r>
          </w:p>
        </w:tc>
      </w:tr>
      <w:tr w:rsidR="00EE15EF" w:rsidRPr="002F20D4" w:rsidTr="001616A0">
        <w:trPr>
          <w:trHeight w:val="255"/>
        </w:trPr>
        <w:tc>
          <w:tcPr>
            <w:tcW w:w="3402" w:type="dxa"/>
            <w:tcBorders>
              <w:top w:val="nil"/>
              <w:left w:val="double" w:sz="6" w:space="0" w:color="auto"/>
              <w:bottom w:val="nil"/>
              <w:right w:val="single" w:sz="8" w:space="0" w:color="auto"/>
            </w:tcBorders>
            <w:shd w:val="clear" w:color="auto" w:fill="auto"/>
            <w:noWrap/>
            <w:vAlign w:val="bottom"/>
            <w:hideMark/>
          </w:tcPr>
          <w:p w:rsidR="00EE15EF" w:rsidRPr="002F20D4" w:rsidRDefault="00EE15EF" w:rsidP="001616A0">
            <w:pPr>
              <w:rPr>
                <w:rFonts w:ascii="Arial" w:hAnsi="Arial" w:cs="Arial"/>
                <w:sz w:val="18"/>
                <w:szCs w:val="18"/>
              </w:rPr>
            </w:pPr>
            <w:r w:rsidRPr="002F20D4">
              <w:rPr>
                <w:rFonts w:ascii="Arial" w:hAnsi="Arial" w:cs="Arial"/>
                <w:sz w:val="18"/>
                <w:szCs w:val="18"/>
              </w:rPr>
              <w:t>Podíl podpory zaměstnávání OZP v %</w:t>
            </w:r>
          </w:p>
        </w:tc>
        <w:tc>
          <w:tcPr>
            <w:tcW w:w="1134"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24,4</w:t>
            </w:r>
          </w:p>
        </w:tc>
        <w:tc>
          <w:tcPr>
            <w:tcW w:w="851"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x </w:t>
            </w:r>
          </w:p>
        </w:tc>
        <w:tc>
          <w:tcPr>
            <w:tcW w:w="1153"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30,8</w:t>
            </w:r>
          </w:p>
        </w:tc>
        <w:tc>
          <w:tcPr>
            <w:tcW w:w="800"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x </w:t>
            </w:r>
          </w:p>
        </w:tc>
        <w:tc>
          <w:tcPr>
            <w:tcW w:w="1040" w:type="dxa"/>
            <w:tcBorders>
              <w:top w:val="nil"/>
              <w:left w:val="nil"/>
              <w:bottom w:val="nil"/>
              <w:right w:val="single" w:sz="4" w:space="0" w:color="auto"/>
            </w:tcBorders>
            <w:shd w:val="clear" w:color="auto" w:fill="auto"/>
            <w:noWrap/>
            <w:vAlign w:val="bottom"/>
            <w:hideMark/>
          </w:tcPr>
          <w:p w:rsidR="00EE15EF" w:rsidRPr="002F20D4" w:rsidRDefault="00EE15EF" w:rsidP="001616A0">
            <w:pPr>
              <w:jc w:val="right"/>
              <w:rPr>
                <w:rFonts w:ascii="Arial CE" w:hAnsi="Arial CE" w:cs="Arial CE"/>
                <w:sz w:val="18"/>
                <w:szCs w:val="18"/>
              </w:rPr>
            </w:pPr>
            <w:r w:rsidRPr="002F20D4">
              <w:rPr>
                <w:rFonts w:ascii="Arial CE" w:hAnsi="Arial CE" w:cs="Arial CE"/>
                <w:sz w:val="18"/>
                <w:szCs w:val="18"/>
              </w:rPr>
              <w:t>x </w:t>
            </w:r>
          </w:p>
        </w:tc>
        <w:tc>
          <w:tcPr>
            <w:tcW w:w="781" w:type="dxa"/>
            <w:tcBorders>
              <w:top w:val="nil"/>
              <w:left w:val="nil"/>
              <w:bottom w:val="nil"/>
              <w:right w:val="double" w:sz="6" w:space="0" w:color="auto"/>
            </w:tcBorders>
            <w:shd w:val="clear" w:color="auto" w:fill="auto"/>
            <w:noWrap/>
            <w:vAlign w:val="bottom"/>
            <w:hideMark/>
          </w:tcPr>
          <w:p w:rsidR="00EE15EF" w:rsidRPr="002F20D4" w:rsidRDefault="00EE15EF" w:rsidP="001616A0">
            <w:pPr>
              <w:jc w:val="right"/>
              <w:rPr>
                <w:rFonts w:ascii="Arial CE" w:hAnsi="Arial CE" w:cs="Arial CE"/>
                <w:sz w:val="18"/>
                <w:szCs w:val="18"/>
              </w:rPr>
            </w:pPr>
            <w:r w:rsidRPr="002F20D4">
              <w:rPr>
                <w:rFonts w:ascii="Arial CE" w:hAnsi="Arial CE" w:cs="Arial CE"/>
                <w:sz w:val="18"/>
                <w:szCs w:val="18"/>
              </w:rPr>
              <w:t>x </w:t>
            </w:r>
          </w:p>
        </w:tc>
      </w:tr>
      <w:tr w:rsidR="00EE15EF" w:rsidRPr="002F20D4" w:rsidTr="001616A0">
        <w:trPr>
          <w:trHeight w:val="255"/>
        </w:trPr>
        <w:tc>
          <w:tcPr>
            <w:tcW w:w="3402" w:type="dxa"/>
            <w:tcBorders>
              <w:top w:val="nil"/>
              <w:left w:val="double" w:sz="6" w:space="0" w:color="auto"/>
              <w:bottom w:val="nil"/>
              <w:right w:val="single" w:sz="8" w:space="0" w:color="auto"/>
            </w:tcBorders>
            <w:shd w:val="clear" w:color="auto" w:fill="auto"/>
            <w:noWrap/>
            <w:vAlign w:val="bottom"/>
            <w:hideMark/>
          </w:tcPr>
          <w:p w:rsidR="00EE15EF" w:rsidRPr="002F20D4" w:rsidRDefault="00EE15EF" w:rsidP="001616A0">
            <w:pPr>
              <w:rPr>
                <w:rFonts w:ascii="Arial" w:hAnsi="Arial" w:cs="Arial"/>
                <w:b/>
                <w:bCs/>
                <w:i/>
                <w:iCs/>
                <w:sz w:val="18"/>
                <w:szCs w:val="18"/>
              </w:rPr>
            </w:pPr>
            <w:r w:rsidRPr="002F20D4">
              <w:rPr>
                <w:rFonts w:ascii="Arial" w:hAnsi="Arial" w:cs="Arial"/>
                <w:b/>
                <w:bCs/>
                <w:i/>
                <w:iCs/>
                <w:sz w:val="18"/>
                <w:szCs w:val="18"/>
              </w:rPr>
              <w:t xml:space="preserve">Insolvence </w:t>
            </w:r>
          </w:p>
        </w:tc>
        <w:tc>
          <w:tcPr>
            <w:tcW w:w="1134"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b/>
                <w:bCs/>
                <w:i/>
                <w:iCs/>
                <w:sz w:val="18"/>
                <w:szCs w:val="18"/>
              </w:rPr>
            </w:pPr>
            <w:r w:rsidRPr="002F20D4">
              <w:rPr>
                <w:rFonts w:ascii="Arial" w:hAnsi="Arial" w:cs="Arial"/>
                <w:b/>
                <w:bCs/>
                <w:i/>
                <w:iCs/>
                <w:sz w:val="18"/>
                <w:szCs w:val="18"/>
              </w:rPr>
              <w:t>250 339</w:t>
            </w:r>
          </w:p>
        </w:tc>
        <w:tc>
          <w:tcPr>
            <w:tcW w:w="851"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b/>
                <w:bCs/>
                <w:i/>
                <w:iCs/>
                <w:sz w:val="18"/>
                <w:szCs w:val="18"/>
              </w:rPr>
            </w:pPr>
            <w:r w:rsidRPr="002F20D4">
              <w:rPr>
                <w:rFonts w:ascii="Arial" w:hAnsi="Arial" w:cs="Arial"/>
                <w:b/>
                <w:bCs/>
                <w:i/>
                <w:iCs/>
                <w:sz w:val="18"/>
                <w:szCs w:val="18"/>
              </w:rPr>
              <w:t>0,01</w:t>
            </w:r>
          </w:p>
        </w:tc>
        <w:tc>
          <w:tcPr>
            <w:tcW w:w="1153" w:type="dxa"/>
            <w:tcBorders>
              <w:top w:val="nil"/>
              <w:left w:val="nil"/>
              <w:bottom w:val="nil"/>
              <w:right w:val="single" w:sz="4" w:space="0" w:color="auto"/>
            </w:tcBorders>
            <w:shd w:val="clear" w:color="auto" w:fill="auto"/>
            <w:vAlign w:val="bottom"/>
            <w:hideMark/>
          </w:tcPr>
          <w:p w:rsidR="00EE15EF" w:rsidRPr="002F20D4" w:rsidRDefault="00EE15EF" w:rsidP="001616A0">
            <w:pPr>
              <w:jc w:val="right"/>
              <w:rPr>
                <w:rFonts w:ascii="Arial" w:hAnsi="Arial" w:cs="Arial"/>
                <w:b/>
                <w:bCs/>
                <w:i/>
                <w:iCs/>
                <w:sz w:val="18"/>
                <w:szCs w:val="18"/>
              </w:rPr>
            </w:pPr>
            <w:r w:rsidRPr="002F20D4">
              <w:rPr>
                <w:rFonts w:ascii="Arial" w:hAnsi="Arial" w:cs="Arial"/>
                <w:b/>
                <w:bCs/>
                <w:i/>
                <w:iCs/>
                <w:sz w:val="18"/>
                <w:szCs w:val="18"/>
              </w:rPr>
              <w:t>167 343</w:t>
            </w:r>
          </w:p>
        </w:tc>
        <w:tc>
          <w:tcPr>
            <w:tcW w:w="800" w:type="dxa"/>
            <w:tcBorders>
              <w:top w:val="nil"/>
              <w:left w:val="nil"/>
              <w:bottom w:val="nil"/>
              <w:right w:val="single" w:sz="8" w:space="0" w:color="auto"/>
            </w:tcBorders>
            <w:shd w:val="clear" w:color="auto" w:fill="auto"/>
            <w:vAlign w:val="bottom"/>
            <w:hideMark/>
          </w:tcPr>
          <w:p w:rsidR="00EE15EF" w:rsidRPr="002F20D4" w:rsidRDefault="00EE15EF" w:rsidP="001616A0">
            <w:pPr>
              <w:jc w:val="right"/>
              <w:rPr>
                <w:rFonts w:ascii="Arial" w:hAnsi="Arial" w:cs="Arial"/>
                <w:b/>
                <w:bCs/>
                <w:i/>
                <w:iCs/>
                <w:sz w:val="18"/>
                <w:szCs w:val="18"/>
              </w:rPr>
            </w:pPr>
            <w:r w:rsidRPr="002F20D4">
              <w:rPr>
                <w:rFonts w:ascii="Arial" w:hAnsi="Arial" w:cs="Arial"/>
                <w:b/>
                <w:bCs/>
                <w:i/>
                <w:iCs/>
                <w:sz w:val="18"/>
                <w:szCs w:val="18"/>
              </w:rPr>
              <w:t>0,00</w:t>
            </w:r>
          </w:p>
        </w:tc>
        <w:tc>
          <w:tcPr>
            <w:tcW w:w="1040" w:type="dxa"/>
            <w:tcBorders>
              <w:top w:val="nil"/>
              <w:left w:val="nil"/>
              <w:bottom w:val="nil"/>
              <w:right w:val="single" w:sz="4" w:space="0" w:color="auto"/>
            </w:tcBorders>
            <w:shd w:val="clear" w:color="auto" w:fill="auto"/>
            <w:noWrap/>
            <w:vAlign w:val="bottom"/>
            <w:hideMark/>
          </w:tcPr>
          <w:p w:rsidR="00EE15EF" w:rsidRPr="002F20D4" w:rsidRDefault="00EE15EF" w:rsidP="001616A0">
            <w:pPr>
              <w:jc w:val="right"/>
              <w:rPr>
                <w:rFonts w:ascii="Arial CE" w:hAnsi="Arial CE" w:cs="Arial CE"/>
                <w:b/>
                <w:bCs/>
                <w:i/>
                <w:iCs/>
                <w:sz w:val="18"/>
                <w:szCs w:val="18"/>
              </w:rPr>
            </w:pPr>
            <w:r w:rsidRPr="002F20D4">
              <w:rPr>
                <w:rFonts w:ascii="Arial CE" w:hAnsi="Arial CE" w:cs="Arial CE"/>
                <w:b/>
                <w:bCs/>
                <w:i/>
                <w:iCs/>
                <w:sz w:val="18"/>
                <w:szCs w:val="18"/>
              </w:rPr>
              <w:t>-82 996</w:t>
            </w:r>
          </w:p>
        </w:tc>
        <w:tc>
          <w:tcPr>
            <w:tcW w:w="781" w:type="dxa"/>
            <w:tcBorders>
              <w:top w:val="nil"/>
              <w:left w:val="nil"/>
              <w:bottom w:val="nil"/>
              <w:right w:val="double" w:sz="6" w:space="0" w:color="auto"/>
            </w:tcBorders>
            <w:shd w:val="clear" w:color="auto" w:fill="auto"/>
            <w:noWrap/>
            <w:vAlign w:val="bottom"/>
            <w:hideMark/>
          </w:tcPr>
          <w:p w:rsidR="00EE15EF" w:rsidRPr="002F20D4" w:rsidRDefault="00EE15EF" w:rsidP="001616A0">
            <w:pPr>
              <w:jc w:val="right"/>
              <w:rPr>
                <w:rFonts w:ascii="Arial CE" w:hAnsi="Arial CE" w:cs="Arial CE"/>
                <w:b/>
                <w:bCs/>
                <w:i/>
                <w:iCs/>
                <w:sz w:val="18"/>
                <w:szCs w:val="18"/>
              </w:rPr>
            </w:pPr>
            <w:r w:rsidRPr="002F20D4">
              <w:rPr>
                <w:rFonts w:ascii="Arial CE" w:hAnsi="Arial CE" w:cs="Arial CE"/>
                <w:b/>
                <w:bCs/>
                <w:i/>
                <w:iCs/>
                <w:sz w:val="18"/>
                <w:szCs w:val="18"/>
              </w:rPr>
              <w:t>66,8</w:t>
            </w:r>
          </w:p>
        </w:tc>
      </w:tr>
      <w:tr w:rsidR="00EE15EF" w:rsidRPr="002F20D4" w:rsidTr="001616A0">
        <w:trPr>
          <w:trHeight w:val="270"/>
        </w:trPr>
        <w:tc>
          <w:tcPr>
            <w:tcW w:w="3402" w:type="dxa"/>
            <w:tcBorders>
              <w:top w:val="nil"/>
              <w:left w:val="double" w:sz="6" w:space="0" w:color="auto"/>
              <w:bottom w:val="double" w:sz="6" w:space="0" w:color="auto"/>
              <w:right w:val="single" w:sz="8" w:space="0" w:color="auto"/>
            </w:tcBorders>
            <w:shd w:val="clear" w:color="auto" w:fill="auto"/>
            <w:noWrap/>
            <w:vAlign w:val="bottom"/>
            <w:hideMark/>
          </w:tcPr>
          <w:p w:rsidR="00EE15EF" w:rsidRPr="002F20D4" w:rsidRDefault="00EE15EF" w:rsidP="001616A0">
            <w:pPr>
              <w:rPr>
                <w:rFonts w:ascii="Arial" w:hAnsi="Arial" w:cs="Arial"/>
                <w:sz w:val="18"/>
                <w:szCs w:val="18"/>
              </w:rPr>
            </w:pPr>
            <w:r w:rsidRPr="002F20D4">
              <w:rPr>
                <w:rFonts w:ascii="Arial" w:hAnsi="Arial" w:cs="Arial"/>
                <w:sz w:val="18"/>
                <w:szCs w:val="18"/>
              </w:rPr>
              <w:t>Podíl insolvence na SPZ v %</w:t>
            </w:r>
          </w:p>
        </w:tc>
        <w:tc>
          <w:tcPr>
            <w:tcW w:w="1134" w:type="dxa"/>
            <w:tcBorders>
              <w:top w:val="nil"/>
              <w:left w:val="nil"/>
              <w:bottom w:val="double" w:sz="6" w:space="0" w:color="auto"/>
              <w:right w:val="single" w:sz="4"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1,2</w:t>
            </w:r>
          </w:p>
        </w:tc>
        <w:tc>
          <w:tcPr>
            <w:tcW w:w="851" w:type="dxa"/>
            <w:tcBorders>
              <w:top w:val="nil"/>
              <w:left w:val="nil"/>
              <w:bottom w:val="double" w:sz="6" w:space="0" w:color="auto"/>
              <w:right w:val="single" w:sz="8"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x </w:t>
            </w:r>
          </w:p>
        </w:tc>
        <w:tc>
          <w:tcPr>
            <w:tcW w:w="1153" w:type="dxa"/>
            <w:tcBorders>
              <w:top w:val="nil"/>
              <w:left w:val="nil"/>
              <w:bottom w:val="double" w:sz="6" w:space="0" w:color="auto"/>
              <w:right w:val="single" w:sz="4"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0,9</w:t>
            </w:r>
          </w:p>
        </w:tc>
        <w:tc>
          <w:tcPr>
            <w:tcW w:w="800" w:type="dxa"/>
            <w:tcBorders>
              <w:top w:val="nil"/>
              <w:left w:val="nil"/>
              <w:bottom w:val="double" w:sz="6" w:space="0" w:color="auto"/>
              <w:right w:val="single" w:sz="8" w:space="0" w:color="auto"/>
            </w:tcBorders>
            <w:shd w:val="clear" w:color="auto" w:fill="auto"/>
            <w:vAlign w:val="bottom"/>
            <w:hideMark/>
          </w:tcPr>
          <w:p w:rsidR="00EE15EF" w:rsidRPr="002F20D4" w:rsidRDefault="00EE15EF" w:rsidP="001616A0">
            <w:pPr>
              <w:jc w:val="right"/>
              <w:rPr>
                <w:rFonts w:ascii="Arial" w:hAnsi="Arial" w:cs="Arial"/>
                <w:sz w:val="18"/>
                <w:szCs w:val="18"/>
              </w:rPr>
            </w:pPr>
            <w:r w:rsidRPr="002F20D4">
              <w:rPr>
                <w:rFonts w:ascii="Arial" w:hAnsi="Arial" w:cs="Arial"/>
                <w:sz w:val="18"/>
                <w:szCs w:val="18"/>
              </w:rPr>
              <w:t>x </w:t>
            </w:r>
          </w:p>
        </w:tc>
        <w:tc>
          <w:tcPr>
            <w:tcW w:w="1040" w:type="dxa"/>
            <w:tcBorders>
              <w:top w:val="nil"/>
              <w:left w:val="nil"/>
              <w:bottom w:val="double" w:sz="6" w:space="0" w:color="auto"/>
              <w:right w:val="single" w:sz="4" w:space="0" w:color="auto"/>
            </w:tcBorders>
            <w:shd w:val="clear" w:color="auto" w:fill="auto"/>
            <w:noWrap/>
            <w:vAlign w:val="bottom"/>
            <w:hideMark/>
          </w:tcPr>
          <w:p w:rsidR="00EE15EF" w:rsidRPr="002F20D4" w:rsidRDefault="00EE15EF" w:rsidP="001616A0">
            <w:pPr>
              <w:jc w:val="right"/>
              <w:rPr>
                <w:rFonts w:ascii="Arial CE" w:hAnsi="Arial CE" w:cs="Arial CE"/>
                <w:sz w:val="18"/>
                <w:szCs w:val="18"/>
              </w:rPr>
            </w:pPr>
            <w:r w:rsidRPr="002F20D4">
              <w:rPr>
                <w:rFonts w:ascii="Arial CE" w:hAnsi="Arial CE" w:cs="Arial CE"/>
                <w:sz w:val="18"/>
                <w:szCs w:val="18"/>
              </w:rPr>
              <w:t>x </w:t>
            </w:r>
          </w:p>
        </w:tc>
        <w:tc>
          <w:tcPr>
            <w:tcW w:w="781" w:type="dxa"/>
            <w:tcBorders>
              <w:top w:val="nil"/>
              <w:left w:val="nil"/>
              <w:bottom w:val="double" w:sz="6" w:space="0" w:color="auto"/>
              <w:right w:val="double" w:sz="6" w:space="0" w:color="auto"/>
            </w:tcBorders>
            <w:shd w:val="clear" w:color="auto" w:fill="auto"/>
            <w:noWrap/>
            <w:vAlign w:val="bottom"/>
            <w:hideMark/>
          </w:tcPr>
          <w:p w:rsidR="00EE15EF" w:rsidRPr="002F20D4" w:rsidRDefault="00EE15EF" w:rsidP="001616A0">
            <w:pPr>
              <w:jc w:val="right"/>
              <w:rPr>
                <w:rFonts w:ascii="Arial CE" w:hAnsi="Arial CE" w:cs="Arial CE"/>
                <w:sz w:val="18"/>
                <w:szCs w:val="18"/>
              </w:rPr>
            </w:pPr>
            <w:r w:rsidRPr="002F20D4">
              <w:rPr>
                <w:rFonts w:ascii="Arial CE" w:hAnsi="Arial CE" w:cs="Arial CE"/>
                <w:sz w:val="18"/>
                <w:szCs w:val="18"/>
              </w:rPr>
              <w:t>x </w:t>
            </w:r>
          </w:p>
        </w:tc>
      </w:tr>
      <w:tr w:rsidR="00EE15EF" w:rsidRPr="002F20D4" w:rsidTr="001616A0">
        <w:trPr>
          <w:trHeight w:val="270"/>
        </w:trPr>
        <w:tc>
          <w:tcPr>
            <w:tcW w:w="3402" w:type="dxa"/>
            <w:tcBorders>
              <w:top w:val="nil"/>
              <w:left w:val="nil"/>
              <w:bottom w:val="nil"/>
              <w:right w:val="nil"/>
            </w:tcBorders>
            <w:shd w:val="clear" w:color="auto" w:fill="auto"/>
            <w:noWrap/>
            <w:vAlign w:val="center"/>
            <w:hideMark/>
          </w:tcPr>
          <w:p w:rsidR="00EE15EF" w:rsidRPr="002F20D4" w:rsidRDefault="00EE15EF" w:rsidP="001616A0">
            <w:pPr>
              <w:rPr>
                <w:rFonts w:ascii="Arial" w:hAnsi="Arial" w:cs="Arial"/>
                <w:sz w:val="18"/>
                <w:szCs w:val="18"/>
              </w:rPr>
            </w:pPr>
            <w:r w:rsidRPr="002F20D4">
              <w:rPr>
                <w:rFonts w:ascii="Arial" w:hAnsi="Arial" w:cs="Arial"/>
                <w:sz w:val="18"/>
                <w:szCs w:val="18"/>
              </w:rPr>
              <w:t xml:space="preserve">*) </w:t>
            </w:r>
            <w:r w:rsidRPr="002F20D4">
              <w:rPr>
                <w:rFonts w:ascii="Arial" w:hAnsi="Arial" w:cs="Arial"/>
                <w:i/>
                <w:iCs/>
                <w:sz w:val="18"/>
                <w:szCs w:val="18"/>
              </w:rPr>
              <w:t>Údaje o HDP - zdroj ČSÚ</w:t>
            </w:r>
          </w:p>
        </w:tc>
        <w:tc>
          <w:tcPr>
            <w:tcW w:w="1134" w:type="dxa"/>
            <w:tcBorders>
              <w:top w:val="nil"/>
              <w:left w:val="nil"/>
              <w:bottom w:val="nil"/>
              <w:right w:val="nil"/>
            </w:tcBorders>
            <w:shd w:val="clear" w:color="auto" w:fill="auto"/>
            <w:noWrap/>
            <w:vAlign w:val="bottom"/>
            <w:hideMark/>
          </w:tcPr>
          <w:p w:rsidR="00EE15EF" w:rsidRPr="002F20D4" w:rsidRDefault="00EE15EF" w:rsidP="001616A0">
            <w:pPr>
              <w:rPr>
                <w:rFonts w:ascii="Arial" w:hAnsi="Arial" w:cs="Arial"/>
                <w:sz w:val="18"/>
                <w:szCs w:val="18"/>
              </w:rPr>
            </w:pPr>
          </w:p>
        </w:tc>
        <w:tc>
          <w:tcPr>
            <w:tcW w:w="851" w:type="dxa"/>
            <w:tcBorders>
              <w:top w:val="nil"/>
              <w:left w:val="nil"/>
              <w:bottom w:val="nil"/>
              <w:right w:val="nil"/>
            </w:tcBorders>
            <w:shd w:val="clear" w:color="auto" w:fill="auto"/>
            <w:noWrap/>
            <w:vAlign w:val="bottom"/>
            <w:hideMark/>
          </w:tcPr>
          <w:p w:rsidR="00EE15EF" w:rsidRPr="002F20D4" w:rsidRDefault="00EE15EF" w:rsidP="001616A0">
            <w:pPr>
              <w:rPr>
                <w:sz w:val="18"/>
                <w:szCs w:val="18"/>
              </w:rPr>
            </w:pPr>
          </w:p>
        </w:tc>
        <w:tc>
          <w:tcPr>
            <w:tcW w:w="1153" w:type="dxa"/>
            <w:tcBorders>
              <w:top w:val="nil"/>
              <w:left w:val="nil"/>
              <w:bottom w:val="nil"/>
              <w:right w:val="nil"/>
            </w:tcBorders>
            <w:shd w:val="clear" w:color="auto" w:fill="auto"/>
            <w:noWrap/>
            <w:vAlign w:val="bottom"/>
            <w:hideMark/>
          </w:tcPr>
          <w:p w:rsidR="00EE15EF" w:rsidRPr="002F20D4" w:rsidRDefault="00EE15EF" w:rsidP="001616A0">
            <w:pPr>
              <w:rPr>
                <w:sz w:val="18"/>
                <w:szCs w:val="18"/>
              </w:rPr>
            </w:pPr>
          </w:p>
        </w:tc>
        <w:tc>
          <w:tcPr>
            <w:tcW w:w="800" w:type="dxa"/>
            <w:tcBorders>
              <w:top w:val="nil"/>
              <w:left w:val="nil"/>
              <w:bottom w:val="nil"/>
              <w:right w:val="nil"/>
            </w:tcBorders>
            <w:shd w:val="clear" w:color="auto" w:fill="auto"/>
            <w:noWrap/>
            <w:vAlign w:val="bottom"/>
            <w:hideMark/>
          </w:tcPr>
          <w:p w:rsidR="00EE15EF" w:rsidRPr="002F20D4" w:rsidRDefault="00EE15EF" w:rsidP="001616A0">
            <w:pPr>
              <w:rPr>
                <w:sz w:val="18"/>
                <w:szCs w:val="18"/>
              </w:rPr>
            </w:pPr>
          </w:p>
        </w:tc>
        <w:tc>
          <w:tcPr>
            <w:tcW w:w="1040" w:type="dxa"/>
            <w:tcBorders>
              <w:top w:val="nil"/>
              <w:left w:val="nil"/>
              <w:bottom w:val="nil"/>
              <w:right w:val="nil"/>
            </w:tcBorders>
            <w:shd w:val="clear" w:color="auto" w:fill="auto"/>
            <w:noWrap/>
            <w:vAlign w:val="bottom"/>
            <w:hideMark/>
          </w:tcPr>
          <w:p w:rsidR="00EE15EF" w:rsidRPr="002F20D4" w:rsidRDefault="00EE15EF" w:rsidP="001616A0">
            <w:pPr>
              <w:rPr>
                <w:sz w:val="18"/>
                <w:szCs w:val="18"/>
              </w:rPr>
            </w:pPr>
          </w:p>
        </w:tc>
        <w:tc>
          <w:tcPr>
            <w:tcW w:w="781" w:type="dxa"/>
            <w:tcBorders>
              <w:top w:val="nil"/>
              <w:left w:val="nil"/>
              <w:bottom w:val="nil"/>
              <w:right w:val="nil"/>
            </w:tcBorders>
            <w:shd w:val="clear" w:color="auto" w:fill="auto"/>
            <w:noWrap/>
            <w:vAlign w:val="bottom"/>
            <w:hideMark/>
          </w:tcPr>
          <w:p w:rsidR="00EE15EF" w:rsidRPr="002F20D4" w:rsidRDefault="00EE15EF" w:rsidP="001616A0">
            <w:pPr>
              <w:rPr>
                <w:sz w:val="18"/>
                <w:szCs w:val="18"/>
              </w:rPr>
            </w:pPr>
          </w:p>
        </w:tc>
      </w:tr>
    </w:tbl>
    <w:p w:rsidR="00EE15EF" w:rsidRPr="00E60B3A" w:rsidRDefault="00EE15EF" w:rsidP="00EE15EF">
      <w:pPr>
        <w:tabs>
          <w:tab w:val="left" w:pos="567"/>
        </w:tabs>
        <w:spacing w:line="360" w:lineRule="auto"/>
        <w:jc w:val="both"/>
        <w:rPr>
          <w:rFonts w:ascii="Arial" w:hAnsi="Arial" w:cs="Arial"/>
        </w:rPr>
      </w:pPr>
    </w:p>
    <w:p w:rsidR="00EE15EF" w:rsidRPr="00E60B3A" w:rsidRDefault="00EE15EF" w:rsidP="00EE15EF">
      <w:pPr>
        <w:tabs>
          <w:tab w:val="left" w:pos="567"/>
        </w:tabs>
        <w:spacing w:line="360" w:lineRule="auto"/>
        <w:jc w:val="both"/>
        <w:rPr>
          <w:rFonts w:ascii="Arial" w:hAnsi="Arial" w:cs="Arial"/>
        </w:rPr>
      </w:pPr>
    </w:p>
    <w:p w:rsidR="00EE15EF" w:rsidRPr="00E60B3A" w:rsidRDefault="00EE15EF" w:rsidP="00EE15EF">
      <w:pPr>
        <w:tabs>
          <w:tab w:val="left" w:pos="567"/>
        </w:tabs>
        <w:spacing w:line="360" w:lineRule="auto"/>
        <w:jc w:val="both"/>
        <w:rPr>
          <w:rFonts w:ascii="Arial" w:hAnsi="Arial" w:cs="Arial"/>
        </w:rPr>
      </w:pPr>
    </w:p>
    <w:p w:rsidR="00EE15EF" w:rsidRPr="00E60B3A" w:rsidRDefault="00EE15EF" w:rsidP="00EE15EF">
      <w:pPr>
        <w:tabs>
          <w:tab w:val="left" w:pos="567"/>
        </w:tabs>
        <w:spacing w:line="360" w:lineRule="auto"/>
        <w:jc w:val="both"/>
        <w:rPr>
          <w:rFonts w:ascii="Arial" w:hAnsi="Arial" w:cs="Arial"/>
        </w:rPr>
      </w:pPr>
    </w:p>
    <w:p w:rsidR="00EE15EF" w:rsidRPr="00E60B3A" w:rsidRDefault="00EE15EF" w:rsidP="00EE15EF">
      <w:pPr>
        <w:tabs>
          <w:tab w:val="left" w:pos="567"/>
        </w:tabs>
        <w:spacing w:line="360" w:lineRule="auto"/>
        <w:jc w:val="both"/>
        <w:rPr>
          <w:rFonts w:ascii="Arial" w:hAnsi="Arial" w:cs="Arial"/>
        </w:rPr>
      </w:pPr>
    </w:p>
    <w:p w:rsidR="00EE15EF" w:rsidRPr="003318C2" w:rsidRDefault="00EE15EF" w:rsidP="00EE15EF">
      <w:pPr>
        <w:spacing w:line="360" w:lineRule="auto"/>
        <w:ind w:firstLine="567"/>
        <w:jc w:val="both"/>
        <w:rPr>
          <w:rFonts w:ascii="Arial" w:hAnsi="Arial" w:cs="Arial"/>
        </w:rPr>
      </w:pPr>
      <w:r w:rsidRPr="003D560B">
        <w:rPr>
          <w:rFonts w:ascii="Arial" w:hAnsi="Arial" w:cs="Arial"/>
          <w:b/>
          <w:bCs/>
        </w:rPr>
        <w:lastRenderedPageBreak/>
        <w:t>Na aktivní politiku zaměstnanosti (APZ)</w:t>
      </w:r>
      <w:r w:rsidRPr="003D560B">
        <w:rPr>
          <w:rFonts w:ascii="Arial" w:hAnsi="Arial" w:cs="Arial"/>
        </w:rPr>
        <w:t xml:space="preserve"> bylo </w:t>
      </w:r>
      <w:r w:rsidRPr="003D560B">
        <w:rPr>
          <w:rFonts w:ascii="Arial" w:hAnsi="Arial" w:cs="Arial"/>
          <w:bCs/>
        </w:rPr>
        <w:t>v </w:t>
      </w:r>
      <w:r w:rsidRPr="003D560B">
        <w:rPr>
          <w:rFonts w:ascii="Arial" w:hAnsi="Arial"/>
          <w:b/>
        </w:rPr>
        <w:t xml:space="preserve">roce 2017 </w:t>
      </w:r>
      <w:r w:rsidRPr="003D560B">
        <w:rPr>
          <w:rFonts w:ascii="Arial" w:hAnsi="Arial" w:cs="Arial"/>
        </w:rPr>
        <w:t xml:space="preserve">na MPSV a ÚP ČR </w:t>
      </w:r>
      <w:r w:rsidRPr="00280441">
        <w:rPr>
          <w:rFonts w:ascii="Arial" w:hAnsi="Arial" w:cs="Arial"/>
        </w:rPr>
        <w:t xml:space="preserve">vynaloženo </w:t>
      </w:r>
      <w:r w:rsidRPr="00280441">
        <w:rPr>
          <w:rFonts w:ascii="Arial" w:hAnsi="Arial" w:cs="Arial"/>
          <w:b/>
        </w:rPr>
        <w:t>4 760</w:t>
      </w:r>
      <w:r w:rsidRPr="00280441">
        <w:rPr>
          <w:rFonts w:ascii="Arial" w:hAnsi="Arial" w:cs="Arial"/>
          <w:b/>
          <w:bCs/>
        </w:rPr>
        <w:t> 642 tis. Kč</w:t>
      </w:r>
      <w:r w:rsidRPr="00280441">
        <w:rPr>
          <w:rFonts w:ascii="Arial" w:hAnsi="Arial" w:cs="Arial"/>
          <w:bCs/>
        </w:rPr>
        <w:t xml:space="preserve">, v tom </w:t>
      </w:r>
      <w:r w:rsidRPr="00FF7186">
        <w:rPr>
          <w:rFonts w:ascii="Arial" w:hAnsi="Arial" w:cs="Arial"/>
          <w:bCs/>
        </w:rPr>
        <w:t xml:space="preserve">MPSV 57 453 tis. Kč, </w:t>
      </w:r>
      <w:r w:rsidRPr="00280441">
        <w:rPr>
          <w:rFonts w:ascii="Arial" w:hAnsi="Arial" w:cs="Arial"/>
          <w:bCs/>
        </w:rPr>
        <w:t>ÚP ČR </w:t>
      </w:r>
      <w:r w:rsidRPr="00C56717">
        <w:rPr>
          <w:rFonts w:ascii="Arial" w:hAnsi="Arial" w:cs="Arial"/>
          <w:bCs/>
        </w:rPr>
        <w:t>4 </w:t>
      </w:r>
      <w:r w:rsidRPr="00BC4592">
        <w:rPr>
          <w:rFonts w:ascii="Arial" w:hAnsi="Arial" w:cs="Arial"/>
          <w:bCs/>
        </w:rPr>
        <w:t xml:space="preserve">703 189 tis. Kč. </w:t>
      </w:r>
      <w:r w:rsidRPr="00ED5B57">
        <w:rPr>
          <w:rFonts w:ascii="Arial" w:hAnsi="Arial" w:cs="Arial"/>
        </w:rPr>
        <w:t>Ve srovnání s </w:t>
      </w:r>
      <w:r w:rsidRPr="00ED5B57">
        <w:rPr>
          <w:rFonts w:ascii="Arial" w:hAnsi="Arial"/>
        </w:rPr>
        <w:t>rokem 2016</w:t>
      </w:r>
      <w:r w:rsidRPr="00ED5B57">
        <w:rPr>
          <w:rFonts w:ascii="Arial" w:hAnsi="Arial"/>
          <w:b/>
        </w:rPr>
        <w:t xml:space="preserve"> </w:t>
      </w:r>
      <w:r w:rsidRPr="00ED5B57">
        <w:rPr>
          <w:rFonts w:ascii="Arial" w:hAnsi="Arial" w:cs="Arial"/>
          <w:b/>
        </w:rPr>
        <w:t>klesly výdaje</w:t>
      </w:r>
      <w:r w:rsidRPr="00ED5B57">
        <w:rPr>
          <w:rFonts w:ascii="Arial" w:hAnsi="Arial" w:cs="Arial"/>
        </w:rPr>
        <w:t xml:space="preserve"> </w:t>
      </w:r>
      <w:r w:rsidRPr="00ED5B57">
        <w:rPr>
          <w:rFonts w:ascii="Arial" w:hAnsi="Arial" w:cs="Arial"/>
          <w:bCs/>
        </w:rPr>
        <w:t xml:space="preserve">na APZ </w:t>
      </w:r>
      <w:r w:rsidRPr="00ED5B57">
        <w:rPr>
          <w:rFonts w:ascii="Arial" w:hAnsi="Arial" w:cs="Arial"/>
          <w:b/>
          <w:bCs/>
        </w:rPr>
        <w:t>o 2 106 163 tis. Kč</w:t>
      </w:r>
      <w:r w:rsidRPr="00ED5B57">
        <w:rPr>
          <w:rFonts w:ascii="Arial" w:hAnsi="Arial" w:cs="Arial"/>
        </w:rPr>
        <w:t>, tj. </w:t>
      </w:r>
      <w:r w:rsidRPr="00ED5B57">
        <w:rPr>
          <w:rFonts w:ascii="Arial" w:hAnsi="Arial" w:cs="Arial"/>
          <w:b/>
        </w:rPr>
        <w:t>o 30,7 %</w:t>
      </w:r>
      <w:r w:rsidRPr="00ED5B57">
        <w:rPr>
          <w:rFonts w:ascii="Arial" w:hAnsi="Arial" w:cs="Arial"/>
        </w:rPr>
        <w:t xml:space="preserve">. Snížil se objem výdajů aktivní politiky zaměstnanosti financovaných z Evropského sociálního fondu </w:t>
      </w:r>
      <w:r>
        <w:rPr>
          <w:rFonts w:ascii="Arial" w:hAnsi="Arial" w:cs="Arial"/>
        </w:rPr>
        <w:t>(pokles o </w:t>
      </w:r>
      <w:r w:rsidRPr="00ED5B57">
        <w:rPr>
          <w:rFonts w:ascii="Arial" w:hAnsi="Arial" w:cs="Arial"/>
        </w:rPr>
        <w:t xml:space="preserve">49,7 %), </w:t>
      </w:r>
      <w:r w:rsidRPr="00350A6F">
        <w:rPr>
          <w:rFonts w:ascii="Arial" w:hAnsi="Arial" w:cs="Arial"/>
        </w:rPr>
        <w:t xml:space="preserve">naopak výdaje financované z národních prostředků meziročně vzrostly o 80,2 %. Pokles celkového objemu výdajů na APZ souvisí zejména s výrazně pozitivním vývojem trhu práce charakterizovaným vysokou poptávkou po pracovní síle a souvisejícím snižováním počtu uchazečů o zaměstnání. </w:t>
      </w:r>
      <w:r>
        <w:rPr>
          <w:rFonts w:ascii="Arial" w:hAnsi="Arial" w:cs="Arial"/>
        </w:rPr>
        <w:t>P</w:t>
      </w:r>
      <w:r w:rsidRPr="009D1E6C">
        <w:rPr>
          <w:rFonts w:ascii="Arial" w:hAnsi="Arial" w:cs="Arial"/>
        </w:rPr>
        <w:t xml:space="preserve">rojekty APZ byly použity k nastartování čerpání </w:t>
      </w:r>
      <w:r>
        <w:rPr>
          <w:rFonts w:ascii="Arial" w:hAnsi="Arial" w:cs="Arial"/>
        </w:rPr>
        <w:t xml:space="preserve">nového </w:t>
      </w:r>
      <w:r w:rsidRPr="00703D25">
        <w:rPr>
          <w:rFonts w:ascii="Arial" w:hAnsi="Arial" w:cs="Arial"/>
        </w:rPr>
        <w:t>Operačního programu Zaměstnanost (OPZ)</w:t>
      </w:r>
      <w:r>
        <w:rPr>
          <w:rFonts w:ascii="Arial" w:hAnsi="Arial" w:cs="Arial"/>
        </w:rPr>
        <w:t xml:space="preserve"> tak, aby bylo splněno pravidlo n+3</w:t>
      </w:r>
      <w:r>
        <w:rPr>
          <w:rStyle w:val="Znakapoznpodarou"/>
          <w:rFonts w:ascii="Arial" w:hAnsi="Arial" w:cs="Arial"/>
        </w:rPr>
        <w:footnoteReference w:id="10"/>
      </w:r>
      <w:r>
        <w:rPr>
          <w:rFonts w:ascii="Arial" w:hAnsi="Arial" w:cs="Arial"/>
        </w:rPr>
        <w:t xml:space="preserve">. </w:t>
      </w:r>
      <w:r w:rsidRPr="00A41241">
        <w:rPr>
          <w:rFonts w:ascii="Arial" w:hAnsi="Arial" w:cs="Arial"/>
        </w:rPr>
        <w:t xml:space="preserve">Pokles prostředků z Evropského sociálního </w:t>
      </w:r>
      <w:r w:rsidRPr="00BD12AC">
        <w:rPr>
          <w:rFonts w:ascii="Arial" w:hAnsi="Arial" w:cs="Arial"/>
        </w:rPr>
        <w:t xml:space="preserve">fondu na APZ </w:t>
      </w:r>
      <w:r w:rsidRPr="00BD12AC">
        <w:rPr>
          <w:rFonts w:ascii="Arial" w:hAnsi="Arial" w:cs="Arial"/>
          <w:bCs/>
        </w:rPr>
        <w:t>v </w:t>
      </w:r>
      <w:r w:rsidRPr="00BD12AC">
        <w:rPr>
          <w:rFonts w:ascii="Arial" w:hAnsi="Arial"/>
        </w:rPr>
        <w:t>roce 2017</w:t>
      </w:r>
      <w:r w:rsidRPr="00BD12AC">
        <w:rPr>
          <w:rFonts w:ascii="Arial" w:hAnsi="Arial"/>
          <w:b/>
        </w:rPr>
        <w:t xml:space="preserve"> </w:t>
      </w:r>
      <w:r w:rsidRPr="00BD12AC">
        <w:rPr>
          <w:rFonts w:ascii="Arial" w:hAnsi="Arial"/>
        </w:rPr>
        <w:t xml:space="preserve">v porovnání se stejným obdobím předchozího roku </w:t>
      </w:r>
      <w:r w:rsidRPr="00BD12AC">
        <w:rPr>
          <w:rFonts w:ascii="Arial" w:hAnsi="Arial" w:cs="Arial"/>
        </w:rPr>
        <w:t xml:space="preserve">souvisel </w:t>
      </w:r>
      <w:r>
        <w:rPr>
          <w:rFonts w:ascii="Arial" w:hAnsi="Arial" w:cs="Arial"/>
        </w:rPr>
        <w:t>s blížícím se datem ukončení projektů Nové pracovní příležitosti – VPP a Nové pracovní příležitosti – SÚPM, kdy zaměstnavatelé neměli zájem o uzavírání dohod na dobu kratší než 6 měsíců (pro projekt Nové pracovní příležitosti – VPP již také byla téměř vyčerpána alokace projektu</w:t>
      </w:r>
      <w:r w:rsidRPr="0068785D">
        <w:rPr>
          <w:rFonts w:ascii="Arial" w:hAnsi="Arial" w:cs="Arial"/>
        </w:rPr>
        <w:t xml:space="preserve">). </w:t>
      </w:r>
    </w:p>
    <w:p w:rsidR="00EE15EF" w:rsidRPr="00A12C4C" w:rsidRDefault="00EE15EF" w:rsidP="00EE15EF">
      <w:pPr>
        <w:spacing w:line="360" w:lineRule="auto"/>
        <w:ind w:firstLine="567"/>
        <w:jc w:val="both"/>
        <w:rPr>
          <w:rFonts w:ascii="Arial" w:hAnsi="Arial" w:cs="Arial"/>
          <w:bCs/>
        </w:rPr>
      </w:pPr>
      <w:r w:rsidRPr="004C76D6">
        <w:rPr>
          <w:rFonts w:ascii="Arial" w:hAnsi="Arial" w:cs="Arial"/>
        </w:rPr>
        <w:t>Dále bylo v rámci státní politiky zaměstnanosti ze státního rozpočtu jako</w:t>
      </w:r>
      <w:r w:rsidRPr="004C76D6">
        <w:rPr>
          <w:rFonts w:ascii="Arial" w:hAnsi="Arial" w:cs="Arial"/>
          <w:b/>
        </w:rPr>
        <w:t xml:space="preserve"> příspěvek zaměstnavatelům zaměstnávajícím více než 50 % osob se zdravotním postižením</w:t>
      </w:r>
      <w:r w:rsidRPr="004C76D6">
        <w:rPr>
          <w:rFonts w:ascii="Arial" w:hAnsi="Arial" w:cs="Arial"/>
        </w:rPr>
        <w:t xml:space="preserve"> </w:t>
      </w:r>
      <w:r w:rsidRPr="004C76D6">
        <w:rPr>
          <w:rFonts w:ascii="Arial" w:hAnsi="Arial" w:cs="Arial"/>
          <w:b/>
        </w:rPr>
        <w:t xml:space="preserve">podle § 78 zákona č. </w:t>
      </w:r>
      <w:r w:rsidRPr="004C76D6">
        <w:rPr>
          <w:rFonts w:ascii="Arial" w:hAnsi="Arial" w:cs="Arial"/>
          <w:b/>
          <w:bCs/>
        </w:rPr>
        <w:t xml:space="preserve">435/2004 Sb., </w:t>
      </w:r>
      <w:r w:rsidRPr="004C76D6">
        <w:rPr>
          <w:rFonts w:ascii="Arial" w:hAnsi="Arial" w:cs="Arial"/>
          <w:b/>
        </w:rPr>
        <w:t>o zaměstnanosti</w:t>
      </w:r>
      <w:r w:rsidRPr="004C76D6">
        <w:rPr>
          <w:rFonts w:ascii="Arial" w:hAnsi="Arial" w:cs="Arial"/>
        </w:rPr>
        <w:t xml:space="preserve">, ve znění pozdějších předpisů, vynaloženo </w:t>
      </w:r>
      <w:r w:rsidRPr="007935C0">
        <w:rPr>
          <w:rFonts w:ascii="Arial" w:hAnsi="Arial" w:cs="Arial"/>
          <w:b/>
        </w:rPr>
        <w:t>5</w:t>
      </w:r>
      <w:r w:rsidRPr="007935C0">
        <w:rPr>
          <w:rFonts w:ascii="Arial" w:hAnsi="Arial" w:cs="Arial"/>
          <w:b/>
          <w:bCs/>
        </w:rPr>
        <w:t> </w:t>
      </w:r>
      <w:r w:rsidRPr="00A12C4C">
        <w:rPr>
          <w:rFonts w:ascii="Arial" w:hAnsi="Arial" w:cs="Arial"/>
          <w:b/>
          <w:bCs/>
        </w:rPr>
        <w:t>675 572 </w:t>
      </w:r>
      <w:r w:rsidRPr="00A12C4C">
        <w:rPr>
          <w:rFonts w:ascii="Arial" w:hAnsi="Arial" w:cs="Arial"/>
          <w:b/>
        </w:rPr>
        <w:t>tis. Kč</w:t>
      </w:r>
      <w:r w:rsidRPr="00A12C4C">
        <w:rPr>
          <w:rFonts w:ascii="Arial" w:hAnsi="Arial" w:cs="Arial"/>
        </w:rPr>
        <w:t xml:space="preserve">, </w:t>
      </w:r>
      <w:r w:rsidRPr="006F6D41">
        <w:rPr>
          <w:rFonts w:ascii="Arial" w:hAnsi="Arial" w:cs="Arial"/>
        </w:rPr>
        <w:t>tj. o 723 057</w:t>
      </w:r>
      <w:r w:rsidRPr="006F6D41">
        <w:rPr>
          <w:rFonts w:ascii="Arial" w:hAnsi="Arial" w:cs="Arial"/>
          <w:bCs/>
        </w:rPr>
        <w:t> tis. </w:t>
      </w:r>
      <w:r>
        <w:rPr>
          <w:rFonts w:ascii="Arial" w:hAnsi="Arial" w:cs="Arial"/>
          <w:bCs/>
        </w:rPr>
        <w:t>Kč</w:t>
      </w:r>
      <w:r w:rsidRPr="00C5098B">
        <w:rPr>
          <w:rFonts w:ascii="Arial" w:hAnsi="Arial" w:cs="Arial"/>
          <w:bCs/>
        </w:rPr>
        <w:t xml:space="preserve"> (o 14,6 %</w:t>
      </w:r>
      <w:r>
        <w:rPr>
          <w:rFonts w:ascii="Arial" w:hAnsi="Arial" w:cs="Arial"/>
          <w:bCs/>
        </w:rPr>
        <w:t>)</w:t>
      </w:r>
      <w:r w:rsidRPr="00C5098B">
        <w:rPr>
          <w:rFonts w:ascii="Arial" w:hAnsi="Arial" w:cs="Arial"/>
          <w:bCs/>
        </w:rPr>
        <w:t xml:space="preserve"> </w:t>
      </w:r>
      <w:r w:rsidRPr="00A12C4C">
        <w:rPr>
          <w:rFonts w:ascii="Arial" w:hAnsi="Arial" w:cs="Arial"/>
          <w:bCs/>
        </w:rPr>
        <w:t xml:space="preserve">více než v </w:t>
      </w:r>
      <w:r w:rsidRPr="00A12C4C">
        <w:rPr>
          <w:rFonts w:ascii="Arial" w:hAnsi="Arial"/>
        </w:rPr>
        <w:t>roce 2016</w:t>
      </w:r>
      <w:r w:rsidRPr="00A12C4C">
        <w:rPr>
          <w:rFonts w:ascii="Arial" w:hAnsi="Arial" w:cs="Arial"/>
          <w:bCs/>
        </w:rPr>
        <w:t>.</w:t>
      </w:r>
    </w:p>
    <w:p w:rsidR="00EE15EF" w:rsidRPr="00C159D0" w:rsidRDefault="00EE15EF" w:rsidP="00EE15EF">
      <w:pPr>
        <w:spacing w:line="360" w:lineRule="auto"/>
        <w:ind w:firstLine="567"/>
        <w:jc w:val="both"/>
        <w:rPr>
          <w:rFonts w:ascii="Arial" w:hAnsi="Arial" w:cs="Arial"/>
        </w:rPr>
      </w:pPr>
      <w:r w:rsidRPr="00A12C4C">
        <w:rPr>
          <w:rFonts w:ascii="Arial" w:hAnsi="Arial" w:cs="Arial"/>
          <w:bCs/>
        </w:rPr>
        <w:t>N</w:t>
      </w:r>
      <w:r w:rsidRPr="00A12C4C">
        <w:rPr>
          <w:rFonts w:ascii="Arial" w:hAnsi="Arial" w:cs="Arial"/>
        </w:rPr>
        <w:t xml:space="preserve">a výplatu mzdových </w:t>
      </w:r>
      <w:r w:rsidRPr="00C159D0">
        <w:rPr>
          <w:rFonts w:ascii="Arial" w:hAnsi="Arial" w:cs="Arial"/>
        </w:rPr>
        <w:t>nároků zaměstnancům při platební neschopnosti zaměstnavatele, tj. </w:t>
      </w:r>
      <w:r w:rsidRPr="00C159D0">
        <w:rPr>
          <w:rFonts w:ascii="Arial" w:hAnsi="Arial" w:cs="Arial"/>
          <w:b/>
        </w:rPr>
        <w:t>insolvenci</w:t>
      </w:r>
      <w:r w:rsidRPr="00C159D0">
        <w:rPr>
          <w:rFonts w:ascii="Arial" w:hAnsi="Arial" w:cs="Arial"/>
        </w:rPr>
        <w:t>,</w:t>
      </w:r>
      <w:r w:rsidRPr="00C159D0">
        <w:rPr>
          <w:rFonts w:ascii="Arial" w:hAnsi="Arial" w:cs="Arial"/>
          <w:b/>
        </w:rPr>
        <w:t xml:space="preserve"> </w:t>
      </w:r>
      <w:r w:rsidRPr="00C159D0">
        <w:rPr>
          <w:rFonts w:ascii="Arial" w:hAnsi="Arial" w:cs="Arial"/>
        </w:rPr>
        <w:t>bylo vynaloženo</w:t>
      </w:r>
      <w:r w:rsidRPr="00C159D0">
        <w:rPr>
          <w:rFonts w:ascii="Arial" w:hAnsi="Arial" w:cs="Arial"/>
          <w:b/>
        </w:rPr>
        <w:t xml:space="preserve"> 167</w:t>
      </w:r>
      <w:r w:rsidRPr="00C159D0">
        <w:rPr>
          <w:rFonts w:ascii="Arial" w:hAnsi="Arial" w:cs="Arial"/>
          <w:b/>
          <w:bCs/>
        </w:rPr>
        <w:t> 343 </w:t>
      </w:r>
      <w:r w:rsidRPr="00C159D0">
        <w:rPr>
          <w:rFonts w:ascii="Arial" w:hAnsi="Arial" w:cs="Arial"/>
          <w:b/>
        </w:rPr>
        <w:t xml:space="preserve">tis. Kč </w:t>
      </w:r>
      <w:r w:rsidRPr="00C159D0">
        <w:rPr>
          <w:rFonts w:ascii="Arial" w:hAnsi="Arial" w:cs="Arial"/>
        </w:rPr>
        <w:t>(meziročně méně o 82 996</w:t>
      </w:r>
      <w:r w:rsidRPr="00C159D0">
        <w:rPr>
          <w:rFonts w:ascii="Arial" w:hAnsi="Arial" w:cs="Arial"/>
          <w:bCs/>
        </w:rPr>
        <w:t> tis. Kč, tj. </w:t>
      </w:r>
      <w:r w:rsidRPr="00C159D0">
        <w:rPr>
          <w:rFonts w:ascii="Arial" w:hAnsi="Arial" w:cs="Arial"/>
        </w:rPr>
        <w:t>o 33</w:t>
      </w:r>
      <w:r w:rsidRPr="00C159D0">
        <w:rPr>
          <w:rFonts w:ascii="Arial" w:hAnsi="Arial" w:cs="Arial"/>
          <w:bCs/>
        </w:rPr>
        <w:t>,2 </w:t>
      </w:r>
      <w:r w:rsidRPr="00C159D0">
        <w:rPr>
          <w:rFonts w:ascii="Arial" w:hAnsi="Arial" w:cs="Arial"/>
        </w:rPr>
        <w:t xml:space="preserve">%). </w:t>
      </w:r>
    </w:p>
    <w:p w:rsidR="00EE15EF" w:rsidRPr="00C159D0" w:rsidRDefault="00EE15EF" w:rsidP="00EE15EF">
      <w:pPr>
        <w:spacing w:line="360" w:lineRule="auto"/>
        <w:ind w:firstLine="567"/>
        <w:jc w:val="both"/>
        <w:rPr>
          <w:rFonts w:ascii="Arial" w:hAnsi="Arial" w:cs="Arial"/>
        </w:rPr>
      </w:pPr>
      <w:r w:rsidRPr="00C159D0">
        <w:rPr>
          <w:rFonts w:ascii="Arial" w:hAnsi="Arial" w:cs="Arial"/>
          <w:b/>
        </w:rPr>
        <w:t>Uvedené nástroje a opatření nejsou součástí APZ.</w:t>
      </w:r>
    </w:p>
    <w:p w:rsidR="00EE15EF" w:rsidRDefault="00EE15EF" w:rsidP="00EE15EF">
      <w:pPr>
        <w:spacing w:line="360" w:lineRule="auto"/>
        <w:jc w:val="both"/>
        <w:rPr>
          <w:rFonts w:ascii="Arial" w:hAnsi="Arial" w:cs="Arial"/>
          <w:b/>
        </w:rPr>
      </w:pPr>
    </w:p>
    <w:p w:rsidR="00EE15EF" w:rsidRPr="00C159D0" w:rsidRDefault="00EE15EF" w:rsidP="00EE15EF">
      <w:pPr>
        <w:spacing w:line="360" w:lineRule="auto"/>
        <w:jc w:val="both"/>
        <w:rPr>
          <w:rFonts w:ascii="Arial" w:hAnsi="Arial" w:cs="Arial"/>
          <w:b/>
        </w:rPr>
      </w:pPr>
    </w:p>
    <w:p w:rsidR="00EE15EF" w:rsidRPr="004C76D6" w:rsidRDefault="00EE15EF" w:rsidP="00EE15EF">
      <w:pPr>
        <w:pStyle w:val="Styl3"/>
      </w:pPr>
      <w:bookmarkStart w:id="150" w:name="_Toc372530198"/>
      <w:bookmarkStart w:id="151" w:name="_Toc404672673"/>
      <w:bookmarkStart w:id="152" w:name="_Toc416687480"/>
      <w:bookmarkStart w:id="153" w:name="_Toc464827492"/>
      <w:bookmarkStart w:id="154" w:name="_Toc513198685"/>
      <w:r w:rsidRPr="00C159D0">
        <w:t>Aktivní politika zaměstnanosti realizovaná ÚP </w:t>
      </w:r>
      <w:r w:rsidRPr="004C76D6">
        <w:t>ČR</w:t>
      </w:r>
      <w:bookmarkEnd w:id="150"/>
      <w:bookmarkEnd w:id="151"/>
      <w:bookmarkEnd w:id="152"/>
      <w:bookmarkEnd w:id="153"/>
      <w:bookmarkEnd w:id="154"/>
    </w:p>
    <w:p w:rsidR="00EE15EF" w:rsidRPr="004C76D6" w:rsidRDefault="00EE15EF" w:rsidP="00EE15EF">
      <w:pPr>
        <w:widowControl w:val="0"/>
        <w:tabs>
          <w:tab w:val="left" w:pos="0"/>
          <w:tab w:val="left" w:pos="567"/>
        </w:tabs>
        <w:suppressAutoHyphens/>
        <w:autoSpaceDE w:val="0"/>
        <w:autoSpaceDN w:val="0"/>
        <w:adjustRightInd w:val="0"/>
        <w:spacing w:line="360" w:lineRule="auto"/>
        <w:jc w:val="both"/>
        <w:rPr>
          <w:rFonts w:ascii="Arial" w:hAnsi="Arial" w:cs="Arial"/>
          <w:sz w:val="16"/>
          <w:szCs w:val="16"/>
        </w:rPr>
      </w:pPr>
    </w:p>
    <w:p w:rsidR="00EE15EF" w:rsidRPr="00FA6BEF" w:rsidRDefault="00EE15EF" w:rsidP="00EE15EF">
      <w:pPr>
        <w:widowControl w:val="0"/>
        <w:tabs>
          <w:tab w:val="left" w:pos="0"/>
          <w:tab w:val="left" w:pos="567"/>
        </w:tabs>
        <w:suppressAutoHyphens/>
        <w:autoSpaceDE w:val="0"/>
        <w:autoSpaceDN w:val="0"/>
        <w:adjustRightInd w:val="0"/>
        <w:spacing w:line="360" w:lineRule="auto"/>
        <w:jc w:val="both"/>
        <w:rPr>
          <w:rFonts w:ascii="Arial" w:hAnsi="Arial" w:cs="Arial"/>
        </w:rPr>
      </w:pPr>
      <w:r w:rsidRPr="00637EF0">
        <w:rPr>
          <w:rFonts w:ascii="Arial" w:hAnsi="Arial" w:cs="Arial"/>
          <w:color w:val="FF00FF"/>
        </w:rPr>
        <w:tab/>
      </w:r>
      <w:r w:rsidRPr="00FA6BEF">
        <w:rPr>
          <w:rFonts w:ascii="Arial" w:hAnsi="Arial" w:cs="Arial"/>
        </w:rPr>
        <w:t>Finanční prostředky n</w:t>
      </w:r>
      <w:r>
        <w:rPr>
          <w:rFonts w:ascii="Arial" w:hAnsi="Arial" w:cs="Arial"/>
        </w:rPr>
        <w:t>a jednotlivé krajské pobočky ÚP </w:t>
      </w:r>
      <w:r w:rsidRPr="00FA6BEF">
        <w:rPr>
          <w:rFonts w:ascii="Arial" w:hAnsi="Arial" w:cs="Arial"/>
        </w:rPr>
        <w:t>ČR přiděluje Generální ředitelství ÚP ČR, a to na základě kombinace ukazatelů charakterizujících trh práce.</w:t>
      </w:r>
    </w:p>
    <w:p w:rsidR="00EE15EF" w:rsidRPr="003D0662" w:rsidRDefault="00EE15EF" w:rsidP="00EE15EF">
      <w:pPr>
        <w:widowControl w:val="0"/>
        <w:tabs>
          <w:tab w:val="left" w:pos="0"/>
          <w:tab w:val="left" w:pos="567"/>
        </w:tabs>
        <w:suppressAutoHyphens/>
        <w:autoSpaceDE w:val="0"/>
        <w:autoSpaceDN w:val="0"/>
        <w:adjustRightInd w:val="0"/>
        <w:spacing w:line="360" w:lineRule="auto"/>
        <w:jc w:val="both"/>
        <w:rPr>
          <w:rFonts w:ascii="Arial" w:hAnsi="Arial"/>
        </w:rPr>
      </w:pPr>
      <w:r w:rsidRPr="00FA6BEF">
        <w:rPr>
          <w:rFonts w:ascii="Arial" w:hAnsi="Arial"/>
        </w:rPr>
        <w:tab/>
        <w:t xml:space="preserve">Nejvíce prostředků na APZ je směrováno do regionů s nejhorší bilancí těchto </w:t>
      </w:r>
      <w:r w:rsidRPr="00FA6BEF">
        <w:rPr>
          <w:rFonts w:ascii="Arial" w:hAnsi="Arial"/>
        </w:rPr>
        <w:lastRenderedPageBreak/>
        <w:t xml:space="preserve">ukazatelů. Z celkového objemu finančních prostředků ÚP ČR na APZ (včetně prostředků ESF) bylo </w:t>
      </w:r>
      <w:r w:rsidRPr="00BC3E63">
        <w:rPr>
          <w:rFonts w:ascii="Arial" w:hAnsi="Arial"/>
        </w:rPr>
        <w:t xml:space="preserve">nejvíce použito v Moravskoslezském a Ústeckém kraji, </w:t>
      </w:r>
      <w:r w:rsidRPr="003D0662">
        <w:rPr>
          <w:rFonts w:ascii="Arial" w:hAnsi="Arial"/>
        </w:rPr>
        <w:t>podrobněji v příloze č. 17.</w:t>
      </w:r>
    </w:p>
    <w:p w:rsidR="00EE15EF" w:rsidRPr="0059691C" w:rsidRDefault="00EE15EF" w:rsidP="00EE15EF">
      <w:pPr>
        <w:widowControl w:val="0"/>
        <w:tabs>
          <w:tab w:val="left" w:pos="0"/>
          <w:tab w:val="left" w:pos="567"/>
        </w:tabs>
        <w:suppressAutoHyphens/>
        <w:autoSpaceDE w:val="0"/>
        <w:autoSpaceDN w:val="0"/>
        <w:adjustRightInd w:val="0"/>
        <w:spacing w:line="360" w:lineRule="auto"/>
        <w:jc w:val="both"/>
        <w:rPr>
          <w:rFonts w:ascii="Arial" w:hAnsi="Arial" w:cs="Arial"/>
          <w:sz w:val="16"/>
          <w:szCs w:val="16"/>
        </w:rPr>
      </w:pPr>
    </w:p>
    <w:p w:rsidR="00EE15EF" w:rsidRPr="00D20B23" w:rsidRDefault="00EE15EF" w:rsidP="00EE15EF">
      <w:pPr>
        <w:jc w:val="center"/>
        <w:rPr>
          <w:rFonts w:ascii="Arial" w:hAnsi="Arial"/>
          <w:b/>
          <w:bCs/>
        </w:rPr>
      </w:pPr>
      <w:r w:rsidRPr="00D20B23">
        <w:rPr>
          <w:rFonts w:ascii="Arial" w:hAnsi="Arial"/>
          <w:b/>
          <w:bCs/>
        </w:rPr>
        <w:t xml:space="preserve">Osoby zařazené na nástroje aktivní politiky zaměstnanosti (APZ) </w:t>
      </w:r>
    </w:p>
    <w:p w:rsidR="00EE15EF" w:rsidRDefault="00EE15EF" w:rsidP="00EE15EF">
      <w:pPr>
        <w:jc w:val="center"/>
        <w:rPr>
          <w:rFonts w:ascii="Arial" w:hAnsi="Arial"/>
          <w:b/>
          <w:bCs/>
        </w:rPr>
      </w:pPr>
      <w:r w:rsidRPr="00D20B23">
        <w:rPr>
          <w:rFonts w:ascii="Arial" w:hAnsi="Arial"/>
          <w:b/>
          <w:bCs/>
        </w:rPr>
        <w:t>v roce 2017</w:t>
      </w:r>
    </w:p>
    <w:p w:rsidR="00EE15EF" w:rsidRPr="006B76EF" w:rsidRDefault="00EE15EF" w:rsidP="00EE15EF">
      <w:pPr>
        <w:jc w:val="center"/>
        <w:rPr>
          <w:rFonts w:ascii="Arial" w:hAnsi="Arial"/>
          <w:b/>
          <w:bCs/>
        </w:rPr>
      </w:pPr>
      <w:r w:rsidRPr="006B76EF">
        <w:rPr>
          <w:rFonts w:ascii="Arial" w:hAnsi="Arial"/>
          <w:bCs/>
          <w:sz w:val="20"/>
          <w:szCs w:val="20"/>
        </w:rPr>
        <w:t xml:space="preserve">                                                                             </w:t>
      </w:r>
      <w:r w:rsidR="006B76EF">
        <w:rPr>
          <w:rFonts w:ascii="Arial" w:hAnsi="Arial"/>
          <w:bCs/>
          <w:sz w:val="20"/>
          <w:szCs w:val="20"/>
        </w:rPr>
        <w:t xml:space="preserve">                       </w:t>
      </w:r>
      <w:r w:rsidRPr="006B76EF">
        <w:rPr>
          <w:rFonts w:ascii="Arial" w:hAnsi="Arial"/>
          <w:bCs/>
          <w:sz w:val="20"/>
          <w:szCs w:val="20"/>
        </w:rPr>
        <w:t xml:space="preserve">tab. č. </w:t>
      </w:r>
      <w:r w:rsidR="006B76EF" w:rsidRPr="006B76EF">
        <w:rPr>
          <w:rFonts w:ascii="Arial" w:hAnsi="Arial"/>
          <w:bCs/>
          <w:sz w:val="20"/>
          <w:szCs w:val="20"/>
        </w:rPr>
        <w:t>23</w:t>
      </w:r>
    </w:p>
    <w:tbl>
      <w:tblPr>
        <w:tblW w:w="6820" w:type="dxa"/>
        <w:jc w:val="center"/>
        <w:tblCellMar>
          <w:left w:w="70" w:type="dxa"/>
          <w:right w:w="70" w:type="dxa"/>
        </w:tblCellMar>
        <w:tblLook w:val="04A0"/>
      </w:tblPr>
      <w:tblGrid>
        <w:gridCol w:w="5100"/>
        <w:gridCol w:w="860"/>
        <w:gridCol w:w="860"/>
      </w:tblGrid>
      <w:tr w:rsidR="00EE15EF" w:rsidRPr="00D20B23" w:rsidTr="001616A0">
        <w:trPr>
          <w:trHeight w:val="300"/>
          <w:jc w:val="center"/>
        </w:trPr>
        <w:tc>
          <w:tcPr>
            <w:tcW w:w="5100" w:type="dxa"/>
            <w:vMerge w:val="restart"/>
            <w:tcBorders>
              <w:top w:val="single" w:sz="12" w:space="0" w:color="auto"/>
              <w:left w:val="single" w:sz="12" w:space="0" w:color="auto"/>
              <w:bottom w:val="double" w:sz="6" w:space="0" w:color="000000"/>
              <w:right w:val="single" w:sz="8" w:space="0" w:color="auto"/>
            </w:tcBorders>
            <w:shd w:val="clear" w:color="auto" w:fill="BFBFBF" w:themeFill="background1" w:themeFillShade="BF"/>
            <w:noWrap/>
            <w:vAlign w:val="center"/>
            <w:hideMark/>
          </w:tcPr>
          <w:p w:rsidR="00EE15EF" w:rsidRPr="00D20B23" w:rsidRDefault="00EE15EF" w:rsidP="001616A0">
            <w:pPr>
              <w:jc w:val="center"/>
              <w:rPr>
                <w:rFonts w:ascii="Calibri" w:hAnsi="Calibri" w:cs="Calibri"/>
                <w:b/>
                <w:bCs/>
                <w:sz w:val="22"/>
                <w:szCs w:val="22"/>
              </w:rPr>
            </w:pPr>
            <w:r w:rsidRPr="00D20B23">
              <w:rPr>
                <w:rFonts w:ascii="Calibri" w:hAnsi="Calibri" w:cs="Calibri"/>
                <w:b/>
                <w:bCs/>
                <w:sz w:val="22"/>
                <w:szCs w:val="22"/>
              </w:rPr>
              <w:t>Nástroje APZ bez ohledu na zdroje financování</w:t>
            </w:r>
          </w:p>
        </w:tc>
        <w:tc>
          <w:tcPr>
            <w:tcW w:w="1720" w:type="dxa"/>
            <w:gridSpan w:val="2"/>
            <w:tcBorders>
              <w:top w:val="single" w:sz="12" w:space="0" w:color="auto"/>
              <w:left w:val="nil"/>
              <w:bottom w:val="single" w:sz="4" w:space="0" w:color="auto"/>
              <w:right w:val="single" w:sz="12" w:space="0" w:color="auto"/>
            </w:tcBorders>
            <w:shd w:val="clear" w:color="auto" w:fill="BFBFBF" w:themeFill="background1" w:themeFillShade="BF"/>
            <w:vAlign w:val="center"/>
            <w:hideMark/>
          </w:tcPr>
          <w:p w:rsidR="00EE15EF" w:rsidRPr="00D20B23" w:rsidRDefault="00EE15EF" w:rsidP="001616A0">
            <w:pPr>
              <w:jc w:val="center"/>
              <w:rPr>
                <w:rFonts w:ascii="Calibri" w:hAnsi="Calibri" w:cs="Calibri"/>
                <w:b/>
                <w:bCs/>
                <w:color w:val="000000"/>
                <w:sz w:val="22"/>
                <w:szCs w:val="22"/>
              </w:rPr>
            </w:pPr>
            <w:r w:rsidRPr="00D20B23">
              <w:rPr>
                <w:rFonts w:ascii="Calibri" w:hAnsi="Calibri" w:cs="Calibri"/>
                <w:b/>
                <w:bCs/>
                <w:color w:val="000000"/>
                <w:sz w:val="22"/>
                <w:szCs w:val="22"/>
              </w:rPr>
              <w:t>rok 2017</w:t>
            </w:r>
          </w:p>
        </w:tc>
      </w:tr>
      <w:tr w:rsidR="00EE15EF" w:rsidRPr="00D20B23" w:rsidTr="001616A0">
        <w:trPr>
          <w:trHeight w:val="315"/>
          <w:jc w:val="center"/>
        </w:trPr>
        <w:tc>
          <w:tcPr>
            <w:tcW w:w="5100" w:type="dxa"/>
            <w:vMerge/>
            <w:tcBorders>
              <w:top w:val="single" w:sz="8" w:space="0" w:color="auto"/>
              <w:left w:val="single" w:sz="12" w:space="0" w:color="auto"/>
              <w:bottom w:val="double" w:sz="6" w:space="0" w:color="000000"/>
              <w:right w:val="single" w:sz="8" w:space="0" w:color="auto"/>
            </w:tcBorders>
            <w:shd w:val="clear" w:color="auto" w:fill="BFBFBF" w:themeFill="background1" w:themeFillShade="BF"/>
            <w:vAlign w:val="center"/>
            <w:hideMark/>
          </w:tcPr>
          <w:p w:rsidR="00EE15EF" w:rsidRPr="00D20B23" w:rsidRDefault="00EE15EF" w:rsidP="001616A0">
            <w:pPr>
              <w:rPr>
                <w:rFonts w:ascii="Calibri" w:hAnsi="Calibri" w:cs="Calibri"/>
                <w:b/>
                <w:bCs/>
                <w:sz w:val="22"/>
                <w:szCs w:val="22"/>
              </w:rPr>
            </w:pPr>
          </w:p>
        </w:tc>
        <w:tc>
          <w:tcPr>
            <w:tcW w:w="860" w:type="dxa"/>
            <w:tcBorders>
              <w:top w:val="nil"/>
              <w:left w:val="nil"/>
              <w:bottom w:val="double" w:sz="6" w:space="0" w:color="auto"/>
              <w:right w:val="single" w:sz="4" w:space="0" w:color="auto"/>
            </w:tcBorders>
            <w:shd w:val="clear" w:color="auto" w:fill="D9D9D9" w:themeFill="background1" w:themeFillShade="D9"/>
            <w:vAlign w:val="center"/>
            <w:hideMark/>
          </w:tcPr>
          <w:p w:rsidR="00EE15EF" w:rsidRPr="00D20B23" w:rsidRDefault="00EE15EF" w:rsidP="001616A0">
            <w:pPr>
              <w:jc w:val="center"/>
              <w:rPr>
                <w:rFonts w:ascii="Calibri" w:hAnsi="Calibri" w:cs="Calibri"/>
                <w:b/>
                <w:bCs/>
                <w:color w:val="000000"/>
                <w:sz w:val="22"/>
                <w:szCs w:val="22"/>
              </w:rPr>
            </w:pPr>
            <w:r w:rsidRPr="00D20B23">
              <w:rPr>
                <w:rFonts w:ascii="Calibri" w:hAnsi="Calibri" w:cs="Calibri"/>
                <w:b/>
                <w:bCs/>
                <w:color w:val="000000"/>
                <w:sz w:val="22"/>
                <w:szCs w:val="22"/>
              </w:rPr>
              <w:t>celkem</w:t>
            </w:r>
          </w:p>
        </w:tc>
        <w:tc>
          <w:tcPr>
            <w:tcW w:w="860" w:type="dxa"/>
            <w:tcBorders>
              <w:top w:val="nil"/>
              <w:left w:val="nil"/>
              <w:bottom w:val="double" w:sz="6" w:space="0" w:color="auto"/>
              <w:right w:val="single" w:sz="12" w:space="0" w:color="auto"/>
            </w:tcBorders>
            <w:shd w:val="clear" w:color="auto" w:fill="D9D9D9" w:themeFill="background1" w:themeFillShade="D9"/>
            <w:vAlign w:val="center"/>
            <w:hideMark/>
          </w:tcPr>
          <w:p w:rsidR="00EE15EF" w:rsidRPr="00D20B23" w:rsidRDefault="00EE15EF" w:rsidP="001616A0">
            <w:pPr>
              <w:jc w:val="center"/>
              <w:rPr>
                <w:rFonts w:ascii="Calibri" w:hAnsi="Calibri" w:cs="Calibri"/>
                <w:b/>
                <w:bCs/>
                <w:color w:val="000000"/>
                <w:sz w:val="22"/>
                <w:szCs w:val="22"/>
              </w:rPr>
            </w:pPr>
            <w:r w:rsidRPr="00D20B23">
              <w:rPr>
                <w:rFonts w:ascii="Calibri" w:hAnsi="Calibri" w:cs="Calibri"/>
                <w:b/>
                <w:bCs/>
                <w:color w:val="000000"/>
                <w:sz w:val="22"/>
                <w:szCs w:val="22"/>
              </w:rPr>
              <w:t>ženy</w:t>
            </w:r>
          </w:p>
        </w:tc>
      </w:tr>
      <w:tr w:rsidR="00EE15EF" w:rsidRPr="00D20B23" w:rsidTr="001616A0">
        <w:trPr>
          <w:trHeight w:val="315"/>
          <w:jc w:val="center"/>
        </w:trPr>
        <w:tc>
          <w:tcPr>
            <w:tcW w:w="5100" w:type="dxa"/>
            <w:tcBorders>
              <w:top w:val="nil"/>
              <w:left w:val="single" w:sz="12" w:space="0" w:color="auto"/>
              <w:bottom w:val="single" w:sz="4" w:space="0" w:color="auto"/>
              <w:right w:val="single" w:sz="8" w:space="0" w:color="auto"/>
            </w:tcBorders>
            <w:shd w:val="clear" w:color="auto" w:fill="auto"/>
            <w:noWrap/>
            <w:vAlign w:val="bottom"/>
            <w:hideMark/>
          </w:tcPr>
          <w:p w:rsidR="00EE15EF" w:rsidRPr="00D20B23" w:rsidRDefault="00EE15EF" w:rsidP="001616A0">
            <w:pPr>
              <w:rPr>
                <w:rFonts w:ascii="Calibri" w:hAnsi="Calibri" w:cs="Calibri"/>
                <w:sz w:val="22"/>
                <w:szCs w:val="22"/>
              </w:rPr>
            </w:pPr>
            <w:r w:rsidRPr="00D20B23">
              <w:rPr>
                <w:rFonts w:ascii="Calibri" w:hAnsi="Calibri" w:cs="Calibri"/>
                <w:sz w:val="22"/>
                <w:szCs w:val="22"/>
              </w:rPr>
              <w:t>Veřejně prospěšné práce</w:t>
            </w:r>
          </w:p>
        </w:tc>
        <w:tc>
          <w:tcPr>
            <w:tcW w:w="860" w:type="dxa"/>
            <w:tcBorders>
              <w:top w:val="nil"/>
              <w:left w:val="nil"/>
              <w:bottom w:val="single" w:sz="4" w:space="0" w:color="auto"/>
              <w:right w:val="single" w:sz="4"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19 259</w:t>
            </w:r>
          </w:p>
        </w:tc>
        <w:tc>
          <w:tcPr>
            <w:tcW w:w="860" w:type="dxa"/>
            <w:tcBorders>
              <w:top w:val="nil"/>
              <w:left w:val="nil"/>
              <w:bottom w:val="single" w:sz="4" w:space="0" w:color="auto"/>
              <w:right w:val="single" w:sz="12"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8 773</w:t>
            </w:r>
          </w:p>
        </w:tc>
      </w:tr>
      <w:tr w:rsidR="00EE15EF" w:rsidRPr="00D20B23" w:rsidTr="001616A0">
        <w:trPr>
          <w:trHeight w:val="300"/>
          <w:jc w:val="center"/>
        </w:trPr>
        <w:tc>
          <w:tcPr>
            <w:tcW w:w="5100" w:type="dxa"/>
            <w:tcBorders>
              <w:top w:val="nil"/>
              <w:left w:val="single" w:sz="12" w:space="0" w:color="auto"/>
              <w:bottom w:val="single" w:sz="4" w:space="0" w:color="auto"/>
              <w:right w:val="single" w:sz="8" w:space="0" w:color="auto"/>
            </w:tcBorders>
            <w:shd w:val="clear" w:color="auto" w:fill="auto"/>
            <w:noWrap/>
            <w:vAlign w:val="bottom"/>
            <w:hideMark/>
          </w:tcPr>
          <w:p w:rsidR="00EE15EF" w:rsidRPr="00D20B23" w:rsidRDefault="00EE15EF" w:rsidP="001616A0">
            <w:pPr>
              <w:rPr>
                <w:rFonts w:ascii="Calibri" w:hAnsi="Calibri" w:cs="Calibri"/>
                <w:sz w:val="22"/>
                <w:szCs w:val="22"/>
              </w:rPr>
            </w:pPr>
            <w:r w:rsidRPr="00D20B23">
              <w:rPr>
                <w:rFonts w:ascii="Calibri" w:hAnsi="Calibri" w:cs="Calibri"/>
                <w:sz w:val="22"/>
                <w:szCs w:val="22"/>
              </w:rPr>
              <w:t>Společensky účelná pracovní místa (SÚPM), vč. SVČ</w:t>
            </w:r>
          </w:p>
        </w:tc>
        <w:tc>
          <w:tcPr>
            <w:tcW w:w="860" w:type="dxa"/>
            <w:tcBorders>
              <w:top w:val="nil"/>
              <w:left w:val="nil"/>
              <w:bottom w:val="single" w:sz="4" w:space="0" w:color="auto"/>
              <w:right w:val="single" w:sz="4"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17 437</w:t>
            </w:r>
          </w:p>
        </w:tc>
        <w:tc>
          <w:tcPr>
            <w:tcW w:w="860" w:type="dxa"/>
            <w:tcBorders>
              <w:top w:val="nil"/>
              <w:left w:val="nil"/>
              <w:bottom w:val="single" w:sz="4" w:space="0" w:color="auto"/>
              <w:right w:val="single" w:sz="12"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10 832</w:t>
            </w:r>
          </w:p>
        </w:tc>
      </w:tr>
      <w:tr w:rsidR="00EE15EF" w:rsidRPr="00D20B23" w:rsidTr="001616A0">
        <w:trPr>
          <w:trHeight w:val="300"/>
          <w:jc w:val="center"/>
        </w:trPr>
        <w:tc>
          <w:tcPr>
            <w:tcW w:w="5100" w:type="dxa"/>
            <w:tcBorders>
              <w:top w:val="nil"/>
              <w:left w:val="single" w:sz="12" w:space="0" w:color="auto"/>
              <w:bottom w:val="single" w:sz="4" w:space="0" w:color="auto"/>
              <w:right w:val="single" w:sz="8" w:space="0" w:color="auto"/>
            </w:tcBorders>
            <w:shd w:val="clear" w:color="auto" w:fill="auto"/>
            <w:noWrap/>
            <w:vAlign w:val="bottom"/>
            <w:hideMark/>
          </w:tcPr>
          <w:p w:rsidR="00EE15EF" w:rsidRPr="00D20B23" w:rsidRDefault="00EE15EF" w:rsidP="001616A0">
            <w:pPr>
              <w:rPr>
                <w:rFonts w:ascii="Calibri" w:hAnsi="Calibri" w:cs="Calibri"/>
                <w:sz w:val="22"/>
                <w:szCs w:val="22"/>
              </w:rPr>
            </w:pPr>
            <w:r w:rsidRPr="00D20B23">
              <w:rPr>
                <w:rFonts w:ascii="Calibri" w:hAnsi="Calibri" w:cs="Calibri"/>
                <w:sz w:val="22"/>
                <w:szCs w:val="22"/>
              </w:rPr>
              <w:t>Chráněná pracovní místa (CHPM), vč. CHPM-SVČ</w:t>
            </w:r>
          </w:p>
        </w:tc>
        <w:tc>
          <w:tcPr>
            <w:tcW w:w="860" w:type="dxa"/>
            <w:tcBorders>
              <w:top w:val="nil"/>
              <w:left w:val="nil"/>
              <w:bottom w:val="single" w:sz="4" w:space="0" w:color="auto"/>
              <w:right w:val="single" w:sz="4"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1 187</w:t>
            </w:r>
          </w:p>
        </w:tc>
        <w:tc>
          <w:tcPr>
            <w:tcW w:w="860" w:type="dxa"/>
            <w:tcBorders>
              <w:top w:val="nil"/>
              <w:left w:val="nil"/>
              <w:bottom w:val="single" w:sz="4" w:space="0" w:color="auto"/>
              <w:right w:val="single" w:sz="12"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338</w:t>
            </w:r>
          </w:p>
        </w:tc>
      </w:tr>
      <w:tr w:rsidR="00EE15EF" w:rsidRPr="00D20B23" w:rsidTr="001616A0">
        <w:trPr>
          <w:trHeight w:val="300"/>
          <w:jc w:val="center"/>
        </w:trPr>
        <w:tc>
          <w:tcPr>
            <w:tcW w:w="5100" w:type="dxa"/>
            <w:tcBorders>
              <w:top w:val="nil"/>
              <w:left w:val="single" w:sz="12" w:space="0" w:color="auto"/>
              <w:bottom w:val="single" w:sz="4" w:space="0" w:color="auto"/>
              <w:right w:val="single" w:sz="8" w:space="0" w:color="auto"/>
            </w:tcBorders>
            <w:shd w:val="clear" w:color="auto" w:fill="auto"/>
            <w:noWrap/>
            <w:vAlign w:val="bottom"/>
            <w:hideMark/>
          </w:tcPr>
          <w:p w:rsidR="00EE15EF" w:rsidRPr="00D20B23" w:rsidRDefault="00EE15EF" w:rsidP="001616A0">
            <w:pPr>
              <w:rPr>
                <w:rFonts w:ascii="Calibri" w:hAnsi="Calibri" w:cs="Calibri"/>
                <w:sz w:val="22"/>
                <w:szCs w:val="22"/>
              </w:rPr>
            </w:pPr>
            <w:r w:rsidRPr="00D20B23">
              <w:rPr>
                <w:rFonts w:ascii="Calibri" w:hAnsi="Calibri" w:cs="Calibri"/>
                <w:sz w:val="22"/>
                <w:szCs w:val="22"/>
              </w:rPr>
              <w:t>Příspěvek na provoz CHPM a CHPM-SVČ</w:t>
            </w:r>
          </w:p>
        </w:tc>
        <w:tc>
          <w:tcPr>
            <w:tcW w:w="860" w:type="dxa"/>
            <w:tcBorders>
              <w:top w:val="nil"/>
              <w:left w:val="nil"/>
              <w:bottom w:val="single" w:sz="4" w:space="0" w:color="auto"/>
              <w:right w:val="single" w:sz="4"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134</w:t>
            </w:r>
          </w:p>
        </w:tc>
        <w:tc>
          <w:tcPr>
            <w:tcW w:w="860" w:type="dxa"/>
            <w:tcBorders>
              <w:top w:val="nil"/>
              <w:left w:val="nil"/>
              <w:bottom w:val="single" w:sz="4" w:space="0" w:color="auto"/>
              <w:right w:val="single" w:sz="12" w:space="0" w:color="auto"/>
            </w:tcBorders>
            <w:shd w:val="clear" w:color="auto" w:fill="auto"/>
            <w:noWrap/>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w:t>
            </w:r>
          </w:p>
        </w:tc>
      </w:tr>
      <w:tr w:rsidR="00EE15EF" w:rsidRPr="00D20B23" w:rsidTr="001616A0">
        <w:trPr>
          <w:trHeight w:val="300"/>
          <w:jc w:val="center"/>
        </w:trPr>
        <w:tc>
          <w:tcPr>
            <w:tcW w:w="5100" w:type="dxa"/>
            <w:tcBorders>
              <w:top w:val="nil"/>
              <w:left w:val="single" w:sz="12" w:space="0" w:color="auto"/>
              <w:bottom w:val="single" w:sz="4" w:space="0" w:color="auto"/>
              <w:right w:val="single" w:sz="8" w:space="0" w:color="auto"/>
            </w:tcBorders>
            <w:shd w:val="clear" w:color="auto" w:fill="auto"/>
            <w:noWrap/>
            <w:vAlign w:val="bottom"/>
            <w:hideMark/>
          </w:tcPr>
          <w:p w:rsidR="00EE15EF" w:rsidRPr="00D20B23" w:rsidRDefault="00EE15EF" w:rsidP="001616A0">
            <w:pPr>
              <w:rPr>
                <w:rFonts w:ascii="Calibri" w:hAnsi="Calibri" w:cs="Calibri"/>
                <w:sz w:val="22"/>
                <w:szCs w:val="22"/>
              </w:rPr>
            </w:pPr>
            <w:r w:rsidRPr="00D20B23">
              <w:rPr>
                <w:rFonts w:ascii="Calibri" w:hAnsi="Calibri" w:cs="Calibri"/>
                <w:sz w:val="22"/>
                <w:szCs w:val="22"/>
              </w:rPr>
              <w:t>Překlenovací příspěvek</w:t>
            </w:r>
          </w:p>
        </w:tc>
        <w:tc>
          <w:tcPr>
            <w:tcW w:w="860" w:type="dxa"/>
            <w:tcBorders>
              <w:top w:val="nil"/>
              <w:left w:val="nil"/>
              <w:bottom w:val="single" w:sz="4" w:space="0" w:color="auto"/>
              <w:right w:val="single" w:sz="4"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128</w:t>
            </w:r>
          </w:p>
        </w:tc>
        <w:tc>
          <w:tcPr>
            <w:tcW w:w="860" w:type="dxa"/>
            <w:tcBorders>
              <w:top w:val="nil"/>
              <w:left w:val="nil"/>
              <w:bottom w:val="single" w:sz="4" w:space="0" w:color="auto"/>
              <w:right w:val="single" w:sz="12"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78</w:t>
            </w:r>
          </w:p>
        </w:tc>
      </w:tr>
      <w:tr w:rsidR="00EE15EF" w:rsidRPr="00D20B23" w:rsidTr="001616A0">
        <w:trPr>
          <w:trHeight w:val="300"/>
          <w:jc w:val="center"/>
        </w:trPr>
        <w:tc>
          <w:tcPr>
            <w:tcW w:w="5100" w:type="dxa"/>
            <w:tcBorders>
              <w:top w:val="nil"/>
              <w:left w:val="single" w:sz="12" w:space="0" w:color="auto"/>
              <w:bottom w:val="single" w:sz="4" w:space="0" w:color="auto"/>
              <w:right w:val="single" w:sz="8" w:space="0" w:color="auto"/>
            </w:tcBorders>
            <w:shd w:val="clear" w:color="auto" w:fill="auto"/>
            <w:noWrap/>
            <w:vAlign w:val="bottom"/>
            <w:hideMark/>
          </w:tcPr>
          <w:p w:rsidR="00EE15EF" w:rsidRPr="00D20B23" w:rsidRDefault="00EE15EF" w:rsidP="001616A0">
            <w:pPr>
              <w:rPr>
                <w:rFonts w:ascii="Calibri" w:hAnsi="Calibri" w:cs="Calibri"/>
                <w:sz w:val="22"/>
                <w:szCs w:val="22"/>
              </w:rPr>
            </w:pPr>
            <w:r w:rsidRPr="00D20B23">
              <w:rPr>
                <w:rFonts w:ascii="Calibri" w:hAnsi="Calibri" w:cs="Calibri"/>
                <w:sz w:val="22"/>
                <w:szCs w:val="22"/>
              </w:rPr>
              <w:t>Příspěvek na zapracování</w:t>
            </w:r>
          </w:p>
        </w:tc>
        <w:tc>
          <w:tcPr>
            <w:tcW w:w="860" w:type="dxa"/>
            <w:tcBorders>
              <w:top w:val="nil"/>
              <w:left w:val="nil"/>
              <w:bottom w:val="single" w:sz="4" w:space="0" w:color="auto"/>
              <w:right w:val="single" w:sz="4"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1</w:t>
            </w:r>
          </w:p>
        </w:tc>
        <w:tc>
          <w:tcPr>
            <w:tcW w:w="860" w:type="dxa"/>
            <w:tcBorders>
              <w:top w:val="nil"/>
              <w:left w:val="nil"/>
              <w:bottom w:val="single" w:sz="4" w:space="0" w:color="auto"/>
              <w:right w:val="single" w:sz="12"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0</w:t>
            </w:r>
          </w:p>
        </w:tc>
      </w:tr>
      <w:tr w:rsidR="00EE15EF" w:rsidRPr="00D20B23" w:rsidTr="001616A0">
        <w:trPr>
          <w:trHeight w:val="300"/>
          <w:jc w:val="center"/>
        </w:trPr>
        <w:tc>
          <w:tcPr>
            <w:tcW w:w="5100" w:type="dxa"/>
            <w:tcBorders>
              <w:top w:val="nil"/>
              <w:left w:val="single" w:sz="12" w:space="0" w:color="auto"/>
              <w:bottom w:val="nil"/>
              <w:right w:val="single" w:sz="8" w:space="0" w:color="auto"/>
            </w:tcBorders>
            <w:shd w:val="clear" w:color="auto" w:fill="auto"/>
            <w:noWrap/>
            <w:vAlign w:val="bottom"/>
            <w:hideMark/>
          </w:tcPr>
          <w:p w:rsidR="00EE15EF" w:rsidRPr="00D20B23" w:rsidRDefault="00EE15EF" w:rsidP="001616A0">
            <w:pPr>
              <w:rPr>
                <w:rFonts w:ascii="Calibri" w:hAnsi="Calibri" w:cs="Calibri"/>
                <w:sz w:val="22"/>
                <w:szCs w:val="22"/>
              </w:rPr>
            </w:pPr>
            <w:r w:rsidRPr="00D20B23">
              <w:rPr>
                <w:rFonts w:ascii="Calibri" w:hAnsi="Calibri" w:cs="Calibri"/>
                <w:sz w:val="22"/>
                <w:szCs w:val="22"/>
              </w:rPr>
              <w:t>Rekvalifikace celkem</w:t>
            </w:r>
          </w:p>
        </w:tc>
        <w:tc>
          <w:tcPr>
            <w:tcW w:w="860" w:type="dxa"/>
            <w:tcBorders>
              <w:top w:val="nil"/>
              <w:left w:val="nil"/>
              <w:bottom w:val="nil"/>
              <w:right w:val="single" w:sz="4"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18 174</w:t>
            </w:r>
          </w:p>
        </w:tc>
        <w:tc>
          <w:tcPr>
            <w:tcW w:w="860" w:type="dxa"/>
            <w:tcBorders>
              <w:top w:val="nil"/>
              <w:left w:val="nil"/>
              <w:bottom w:val="nil"/>
              <w:right w:val="single" w:sz="12"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9 542</w:t>
            </w:r>
          </w:p>
        </w:tc>
      </w:tr>
      <w:tr w:rsidR="00EE15EF" w:rsidRPr="00D20B23" w:rsidTr="001616A0">
        <w:trPr>
          <w:trHeight w:val="300"/>
          <w:jc w:val="center"/>
        </w:trPr>
        <w:tc>
          <w:tcPr>
            <w:tcW w:w="5100" w:type="dxa"/>
            <w:tcBorders>
              <w:top w:val="nil"/>
              <w:left w:val="single" w:sz="12" w:space="0" w:color="auto"/>
              <w:bottom w:val="nil"/>
              <w:right w:val="single" w:sz="8" w:space="0" w:color="auto"/>
            </w:tcBorders>
            <w:shd w:val="clear" w:color="auto" w:fill="auto"/>
            <w:noWrap/>
            <w:vAlign w:val="bottom"/>
            <w:hideMark/>
          </w:tcPr>
          <w:p w:rsidR="00EE15EF" w:rsidRPr="00D20B23" w:rsidRDefault="00EE15EF" w:rsidP="001616A0">
            <w:pPr>
              <w:ind w:firstLineChars="300" w:firstLine="660"/>
              <w:rPr>
                <w:rFonts w:ascii="Calibri" w:hAnsi="Calibri" w:cs="Calibri"/>
                <w:i/>
                <w:iCs/>
                <w:sz w:val="22"/>
                <w:szCs w:val="22"/>
              </w:rPr>
            </w:pPr>
            <w:r w:rsidRPr="00D20B23">
              <w:rPr>
                <w:rFonts w:ascii="Calibri" w:hAnsi="Calibri" w:cs="Calibri"/>
                <w:i/>
                <w:iCs/>
                <w:sz w:val="22"/>
                <w:szCs w:val="22"/>
              </w:rPr>
              <w:t>Zvolené rekvalifikace</w:t>
            </w:r>
          </w:p>
        </w:tc>
        <w:tc>
          <w:tcPr>
            <w:tcW w:w="860" w:type="dxa"/>
            <w:tcBorders>
              <w:top w:val="nil"/>
              <w:left w:val="nil"/>
              <w:bottom w:val="nil"/>
              <w:right w:val="single" w:sz="4" w:space="0" w:color="auto"/>
            </w:tcBorders>
            <w:shd w:val="clear" w:color="auto" w:fill="auto"/>
            <w:noWrap/>
            <w:vAlign w:val="bottom"/>
            <w:hideMark/>
          </w:tcPr>
          <w:p w:rsidR="00EE15EF" w:rsidRPr="00D20B23" w:rsidRDefault="00EE15EF" w:rsidP="001616A0">
            <w:pPr>
              <w:jc w:val="right"/>
              <w:rPr>
                <w:rFonts w:ascii="Calibri" w:hAnsi="Calibri" w:cs="Calibri"/>
                <w:i/>
                <w:iCs/>
                <w:sz w:val="22"/>
                <w:szCs w:val="22"/>
              </w:rPr>
            </w:pPr>
            <w:r w:rsidRPr="00D20B23">
              <w:rPr>
                <w:rFonts w:ascii="Calibri" w:hAnsi="Calibri" w:cs="Calibri"/>
                <w:i/>
                <w:iCs/>
                <w:sz w:val="22"/>
                <w:szCs w:val="22"/>
              </w:rPr>
              <w:t>6 696</w:t>
            </w:r>
          </w:p>
        </w:tc>
        <w:tc>
          <w:tcPr>
            <w:tcW w:w="860" w:type="dxa"/>
            <w:tcBorders>
              <w:top w:val="nil"/>
              <w:left w:val="nil"/>
              <w:bottom w:val="nil"/>
              <w:right w:val="single" w:sz="12" w:space="0" w:color="auto"/>
            </w:tcBorders>
            <w:shd w:val="clear" w:color="auto" w:fill="auto"/>
            <w:noWrap/>
            <w:vAlign w:val="bottom"/>
            <w:hideMark/>
          </w:tcPr>
          <w:p w:rsidR="00EE15EF" w:rsidRPr="00D20B23" w:rsidRDefault="00EE15EF" w:rsidP="001616A0">
            <w:pPr>
              <w:jc w:val="right"/>
              <w:rPr>
                <w:rFonts w:ascii="Calibri" w:hAnsi="Calibri" w:cs="Calibri"/>
                <w:i/>
                <w:iCs/>
                <w:sz w:val="22"/>
                <w:szCs w:val="22"/>
              </w:rPr>
            </w:pPr>
            <w:r w:rsidRPr="00D20B23">
              <w:rPr>
                <w:rFonts w:ascii="Calibri" w:hAnsi="Calibri" w:cs="Calibri"/>
                <w:i/>
                <w:iCs/>
                <w:sz w:val="22"/>
                <w:szCs w:val="22"/>
              </w:rPr>
              <w:t>3 181</w:t>
            </w:r>
          </w:p>
        </w:tc>
      </w:tr>
      <w:tr w:rsidR="00EE15EF" w:rsidRPr="00D20B23" w:rsidTr="001616A0">
        <w:trPr>
          <w:trHeight w:val="300"/>
          <w:jc w:val="center"/>
        </w:trPr>
        <w:tc>
          <w:tcPr>
            <w:tcW w:w="5100" w:type="dxa"/>
            <w:tcBorders>
              <w:top w:val="nil"/>
              <w:left w:val="single" w:sz="12" w:space="0" w:color="auto"/>
              <w:bottom w:val="single" w:sz="4" w:space="0" w:color="auto"/>
              <w:right w:val="single" w:sz="8" w:space="0" w:color="auto"/>
            </w:tcBorders>
            <w:shd w:val="clear" w:color="auto" w:fill="auto"/>
            <w:noWrap/>
            <w:vAlign w:val="bottom"/>
            <w:hideMark/>
          </w:tcPr>
          <w:p w:rsidR="00EE15EF" w:rsidRPr="00D20B23" w:rsidRDefault="00EE15EF" w:rsidP="001616A0">
            <w:pPr>
              <w:ind w:firstLineChars="300" w:firstLine="660"/>
              <w:rPr>
                <w:rFonts w:ascii="Calibri" w:hAnsi="Calibri" w:cs="Calibri"/>
                <w:i/>
                <w:iCs/>
                <w:sz w:val="22"/>
                <w:szCs w:val="22"/>
              </w:rPr>
            </w:pPr>
            <w:r w:rsidRPr="00D20B23">
              <w:rPr>
                <w:rFonts w:ascii="Calibri" w:hAnsi="Calibri" w:cs="Calibri"/>
                <w:i/>
                <w:iCs/>
                <w:sz w:val="22"/>
                <w:szCs w:val="22"/>
              </w:rPr>
              <w:t>Rekvalifikace</w:t>
            </w:r>
          </w:p>
        </w:tc>
        <w:tc>
          <w:tcPr>
            <w:tcW w:w="860" w:type="dxa"/>
            <w:tcBorders>
              <w:top w:val="nil"/>
              <w:left w:val="nil"/>
              <w:bottom w:val="single" w:sz="4" w:space="0" w:color="auto"/>
              <w:right w:val="single" w:sz="4" w:space="0" w:color="auto"/>
            </w:tcBorders>
            <w:shd w:val="clear" w:color="auto" w:fill="auto"/>
            <w:noWrap/>
            <w:vAlign w:val="bottom"/>
            <w:hideMark/>
          </w:tcPr>
          <w:p w:rsidR="00EE15EF" w:rsidRPr="00D20B23" w:rsidRDefault="00EE15EF" w:rsidP="001616A0">
            <w:pPr>
              <w:jc w:val="right"/>
              <w:rPr>
                <w:rFonts w:ascii="Calibri" w:hAnsi="Calibri" w:cs="Calibri"/>
                <w:i/>
                <w:iCs/>
                <w:sz w:val="22"/>
                <w:szCs w:val="22"/>
              </w:rPr>
            </w:pPr>
            <w:r w:rsidRPr="00D20B23">
              <w:rPr>
                <w:rFonts w:ascii="Calibri" w:hAnsi="Calibri" w:cs="Calibri"/>
                <w:i/>
                <w:iCs/>
                <w:sz w:val="22"/>
                <w:szCs w:val="22"/>
              </w:rPr>
              <w:t>11 478</w:t>
            </w:r>
          </w:p>
        </w:tc>
        <w:tc>
          <w:tcPr>
            <w:tcW w:w="860" w:type="dxa"/>
            <w:tcBorders>
              <w:top w:val="nil"/>
              <w:left w:val="nil"/>
              <w:bottom w:val="single" w:sz="4" w:space="0" w:color="auto"/>
              <w:right w:val="single" w:sz="12" w:space="0" w:color="auto"/>
            </w:tcBorders>
            <w:shd w:val="clear" w:color="auto" w:fill="auto"/>
            <w:noWrap/>
            <w:vAlign w:val="bottom"/>
            <w:hideMark/>
          </w:tcPr>
          <w:p w:rsidR="00EE15EF" w:rsidRPr="00D20B23" w:rsidRDefault="00EE15EF" w:rsidP="001616A0">
            <w:pPr>
              <w:jc w:val="right"/>
              <w:rPr>
                <w:rFonts w:ascii="Calibri" w:hAnsi="Calibri" w:cs="Calibri"/>
                <w:i/>
                <w:iCs/>
                <w:sz w:val="22"/>
                <w:szCs w:val="22"/>
              </w:rPr>
            </w:pPr>
            <w:r w:rsidRPr="00D20B23">
              <w:rPr>
                <w:rFonts w:ascii="Calibri" w:hAnsi="Calibri" w:cs="Calibri"/>
                <w:i/>
                <w:iCs/>
                <w:sz w:val="22"/>
                <w:szCs w:val="22"/>
              </w:rPr>
              <w:t>6 361</w:t>
            </w:r>
          </w:p>
        </w:tc>
      </w:tr>
      <w:tr w:rsidR="00EE15EF" w:rsidRPr="00D20B23" w:rsidTr="001616A0">
        <w:trPr>
          <w:trHeight w:val="300"/>
          <w:jc w:val="center"/>
        </w:trPr>
        <w:tc>
          <w:tcPr>
            <w:tcW w:w="5100" w:type="dxa"/>
            <w:tcBorders>
              <w:top w:val="nil"/>
              <w:left w:val="single" w:sz="12" w:space="0" w:color="auto"/>
              <w:bottom w:val="single" w:sz="4" w:space="0" w:color="auto"/>
              <w:right w:val="single" w:sz="8" w:space="0" w:color="auto"/>
            </w:tcBorders>
            <w:shd w:val="clear" w:color="auto" w:fill="auto"/>
            <w:noWrap/>
            <w:vAlign w:val="bottom"/>
            <w:hideMark/>
          </w:tcPr>
          <w:p w:rsidR="00EE15EF" w:rsidRPr="00D20B23" w:rsidRDefault="00EE15EF" w:rsidP="001616A0">
            <w:pPr>
              <w:rPr>
                <w:rFonts w:ascii="Calibri" w:hAnsi="Calibri" w:cs="Calibri"/>
                <w:sz w:val="22"/>
                <w:szCs w:val="22"/>
              </w:rPr>
            </w:pPr>
            <w:r w:rsidRPr="00D20B23">
              <w:rPr>
                <w:rFonts w:ascii="Calibri" w:hAnsi="Calibri" w:cs="Calibri"/>
                <w:sz w:val="22"/>
                <w:szCs w:val="22"/>
              </w:rPr>
              <w:t>Mentor</w:t>
            </w:r>
          </w:p>
        </w:tc>
        <w:tc>
          <w:tcPr>
            <w:tcW w:w="860" w:type="dxa"/>
            <w:tcBorders>
              <w:top w:val="nil"/>
              <w:left w:val="nil"/>
              <w:bottom w:val="single" w:sz="4" w:space="0" w:color="auto"/>
              <w:right w:val="single" w:sz="4"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595</w:t>
            </w:r>
          </w:p>
        </w:tc>
        <w:tc>
          <w:tcPr>
            <w:tcW w:w="860" w:type="dxa"/>
            <w:tcBorders>
              <w:top w:val="nil"/>
              <w:left w:val="nil"/>
              <w:bottom w:val="single" w:sz="4" w:space="0" w:color="auto"/>
              <w:right w:val="single" w:sz="12" w:space="0" w:color="auto"/>
            </w:tcBorders>
            <w:shd w:val="clear" w:color="auto" w:fill="auto"/>
            <w:noWrap/>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w:t>
            </w:r>
          </w:p>
        </w:tc>
      </w:tr>
      <w:tr w:rsidR="00EE15EF" w:rsidRPr="00D20B23" w:rsidTr="001616A0">
        <w:trPr>
          <w:trHeight w:val="300"/>
          <w:jc w:val="center"/>
        </w:trPr>
        <w:tc>
          <w:tcPr>
            <w:tcW w:w="5100" w:type="dxa"/>
            <w:tcBorders>
              <w:top w:val="nil"/>
              <w:left w:val="single" w:sz="12" w:space="0" w:color="auto"/>
              <w:bottom w:val="single" w:sz="4" w:space="0" w:color="auto"/>
              <w:right w:val="single" w:sz="8" w:space="0" w:color="auto"/>
            </w:tcBorders>
            <w:shd w:val="clear" w:color="auto" w:fill="auto"/>
            <w:noWrap/>
            <w:vAlign w:val="bottom"/>
            <w:hideMark/>
          </w:tcPr>
          <w:p w:rsidR="00EE15EF" w:rsidRPr="00D20B23" w:rsidRDefault="00EE15EF" w:rsidP="001616A0">
            <w:pPr>
              <w:rPr>
                <w:rFonts w:ascii="Calibri" w:hAnsi="Calibri" w:cs="Calibri"/>
                <w:sz w:val="22"/>
                <w:szCs w:val="22"/>
              </w:rPr>
            </w:pPr>
            <w:r w:rsidRPr="00D20B23">
              <w:rPr>
                <w:rFonts w:ascii="Calibri" w:hAnsi="Calibri" w:cs="Calibri"/>
                <w:sz w:val="22"/>
                <w:szCs w:val="22"/>
              </w:rPr>
              <w:t>Příspěvek na dojížďku *)</w:t>
            </w:r>
          </w:p>
        </w:tc>
        <w:tc>
          <w:tcPr>
            <w:tcW w:w="860" w:type="dxa"/>
            <w:tcBorders>
              <w:top w:val="nil"/>
              <w:left w:val="nil"/>
              <w:bottom w:val="single" w:sz="4" w:space="0" w:color="auto"/>
              <w:right w:val="single" w:sz="4"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2 910</w:t>
            </w:r>
          </w:p>
        </w:tc>
        <w:tc>
          <w:tcPr>
            <w:tcW w:w="860" w:type="dxa"/>
            <w:tcBorders>
              <w:top w:val="nil"/>
              <w:left w:val="nil"/>
              <w:bottom w:val="nil"/>
              <w:right w:val="single" w:sz="12"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1 742</w:t>
            </w:r>
          </w:p>
        </w:tc>
      </w:tr>
      <w:tr w:rsidR="00EE15EF" w:rsidRPr="00D20B23" w:rsidTr="001616A0">
        <w:trPr>
          <w:trHeight w:val="300"/>
          <w:jc w:val="center"/>
        </w:trPr>
        <w:tc>
          <w:tcPr>
            <w:tcW w:w="5100" w:type="dxa"/>
            <w:tcBorders>
              <w:top w:val="nil"/>
              <w:left w:val="single" w:sz="12" w:space="0" w:color="auto"/>
              <w:bottom w:val="single" w:sz="4" w:space="0" w:color="auto"/>
              <w:right w:val="single" w:sz="8" w:space="0" w:color="auto"/>
            </w:tcBorders>
            <w:shd w:val="clear" w:color="auto" w:fill="auto"/>
            <w:noWrap/>
            <w:vAlign w:val="bottom"/>
            <w:hideMark/>
          </w:tcPr>
          <w:p w:rsidR="00EE15EF" w:rsidRPr="00D20B23" w:rsidRDefault="00EE15EF" w:rsidP="001616A0">
            <w:pPr>
              <w:rPr>
                <w:rFonts w:ascii="Calibri" w:hAnsi="Calibri" w:cs="Calibri"/>
                <w:sz w:val="22"/>
                <w:szCs w:val="22"/>
              </w:rPr>
            </w:pPr>
            <w:r w:rsidRPr="00D20B23">
              <w:rPr>
                <w:rFonts w:ascii="Calibri" w:hAnsi="Calibri" w:cs="Calibri"/>
                <w:sz w:val="22"/>
                <w:szCs w:val="22"/>
              </w:rPr>
              <w:t>Příspěvek na přestěhování *)</w:t>
            </w:r>
          </w:p>
        </w:tc>
        <w:tc>
          <w:tcPr>
            <w:tcW w:w="860" w:type="dxa"/>
            <w:tcBorders>
              <w:top w:val="nil"/>
              <w:left w:val="nil"/>
              <w:bottom w:val="single" w:sz="4" w:space="0" w:color="auto"/>
              <w:right w:val="single" w:sz="4"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100</w:t>
            </w:r>
          </w:p>
        </w:tc>
        <w:tc>
          <w:tcPr>
            <w:tcW w:w="860" w:type="dxa"/>
            <w:tcBorders>
              <w:top w:val="single" w:sz="4" w:space="0" w:color="auto"/>
              <w:left w:val="nil"/>
              <w:bottom w:val="single" w:sz="4" w:space="0" w:color="auto"/>
              <w:right w:val="single" w:sz="12" w:space="0" w:color="auto"/>
            </w:tcBorders>
            <w:shd w:val="clear" w:color="auto" w:fill="auto"/>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53</w:t>
            </w:r>
          </w:p>
        </w:tc>
      </w:tr>
      <w:tr w:rsidR="00EE15EF" w:rsidRPr="00D20B23" w:rsidTr="001616A0">
        <w:trPr>
          <w:trHeight w:val="315"/>
          <w:jc w:val="center"/>
        </w:trPr>
        <w:tc>
          <w:tcPr>
            <w:tcW w:w="5100" w:type="dxa"/>
            <w:tcBorders>
              <w:top w:val="nil"/>
              <w:left w:val="single" w:sz="12" w:space="0" w:color="auto"/>
              <w:bottom w:val="single" w:sz="12" w:space="0" w:color="auto"/>
              <w:right w:val="single" w:sz="8" w:space="0" w:color="auto"/>
            </w:tcBorders>
            <w:shd w:val="clear" w:color="auto" w:fill="BFBFBF" w:themeFill="background1" w:themeFillShade="BF"/>
            <w:noWrap/>
            <w:vAlign w:val="bottom"/>
            <w:hideMark/>
          </w:tcPr>
          <w:p w:rsidR="00EE15EF" w:rsidRPr="00D20B23" w:rsidRDefault="00EE15EF" w:rsidP="001616A0">
            <w:pPr>
              <w:rPr>
                <w:rFonts w:ascii="Calibri" w:hAnsi="Calibri" w:cs="Calibri"/>
                <w:b/>
                <w:bCs/>
                <w:sz w:val="22"/>
                <w:szCs w:val="22"/>
              </w:rPr>
            </w:pPr>
            <w:r w:rsidRPr="00D20B23">
              <w:rPr>
                <w:rFonts w:ascii="Calibri" w:hAnsi="Calibri" w:cs="Calibri"/>
                <w:b/>
                <w:bCs/>
                <w:sz w:val="22"/>
                <w:szCs w:val="22"/>
              </w:rPr>
              <w:t>Osoby na APZ celkem</w:t>
            </w:r>
          </w:p>
        </w:tc>
        <w:tc>
          <w:tcPr>
            <w:tcW w:w="860" w:type="dxa"/>
            <w:tcBorders>
              <w:top w:val="nil"/>
              <w:left w:val="nil"/>
              <w:bottom w:val="single" w:sz="12" w:space="0" w:color="auto"/>
              <w:right w:val="single" w:sz="4" w:space="0" w:color="auto"/>
            </w:tcBorders>
            <w:shd w:val="clear" w:color="auto" w:fill="BFBFBF" w:themeFill="background1" w:themeFillShade="BF"/>
            <w:noWrap/>
            <w:vAlign w:val="bottom"/>
            <w:hideMark/>
          </w:tcPr>
          <w:p w:rsidR="00EE15EF" w:rsidRPr="00D20B23" w:rsidRDefault="00EE15EF" w:rsidP="001616A0">
            <w:pPr>
              <w:jc w:val="right"/>
              <w:rPr>
                <w:rFonts w:ascii="Calibri" w:hAnsi="Calibri" w:cs="Calibri"/>
                <w:b/>
                <w:bCs/>
                <w:sz w:val="22"/>
                <w:szCs w:val="22"/>
              </w:rPr>
            </w:pPr>
            <w:r w:rsidRPr="00D20B23">
              <w:rPr>
                <w:rFonts w:ascii="Calibri" w:hAnsi="Calibri" w:cs="Calibri"/>
                <w:b/>
                <w:bCs/>
                <w:sz w:val="22"/>
                <w:szCs w:val="22"/>
              </w:rPr>
              <w:t>59 925</w:t>
            </w:r>
          </w:p>
        </w:tc>
        <w:tc>
          <w:tcPr>
            <w:tcW w:w="860" w:type="dxa"/>
            <w:tcBorders>
              <w:top w:val="nil"/>
              <w:left w:val="nil"/>
              <w:bottom w:val="single" w:sz="12" w:space="0" w:color="auto"/>
              <w:right w:val="single" w:sz="12" w:space="0" w:color="auto"/>
            </w:tcBorders>
            <w:shd w:val="clear" w:color="auto" w:fill="BFBFBF" w:themeFill="background1" w:themeFillShade="BF"/>
            <w:noWrap/>
            <w:vAlign w:val="bottom"/>
            <w:hideMark/>
          </w:tcPr>
          <w:p w:rsidR="00EE15EF" w:rsidRPr="00D20B23" w:rsidRDefault="00EE15EF" w:rsidP="001616A0">
            <w:pPr>
              <w:jc w:val="right"/>
              <w:rPr>
                <w:rFonts w:ascii="Calibri" w:hAnsi="Calibri" w:cs="Calibri"/>
                <w:sz w:val="22"/>
                <w:szCs w:val="22"/>
              </w:rPr>
            </w:pPr>
            <w:r w:rsidRPr="00D20B23">
              <w:rPr>
                <w:rFonts w:ascii="Calibri" w:hAnsi="Calibri" w:cs="Calibri"/>
                <w:sz w:val="22"/>
                <w:szCs w:val="22"/>
              </w:rPr>
              <w:t>-</w:t>
            </w:r>
          </w:p>
        </w:tc>
      </w:tr>
    </w:tbl>
    <w:p w:rsidR="00EE15EF" w:rsidRPr="00D20B23" w:rsidRDefault="00EE15EF" w:rsidP="00EE15EF">
      <w:pPr>
        <w:ind w:left="1134"/>
        <w:rPr>
          <w:rFonts w:ascii="Arial" w:hAnsi="Arial"/>
          <w:i/>
          <w:sz w:val="16"/>
          <w:szCs w:val="16"/>
        </w:rPr>
      </w:pPr>
      <w:r w:rsidRPr="00D20B23">
        <w:rPr>
          <w:rFonts w:ascii="Arial" w:hAnsi="Arial"/>
          <w:i/>
          <w:sz w:val="16"/>
          <w:szCs w:val="16"/>
        </w:rPr>
        <w:t>-   nesleduje se</w:t>
      </w:r>
    </w:p>
    <w:p w:rsidR="00EE15EF" w:rsidRPr="00D20B23" w:rsidRDefault="00EE15EF" w:rsidP="00EE15EF">
      <w:pPr>
        <w:ind w:firstLine="1134"/>
        <w:rPr>
          <w:rFonts w:ascii="Arial" w:hAnsi="Arial"/>
          <w:bCs/>
          <w:sz w:val="20"/>
          <w:szCs w:val="20"/>
        </w:rPr>
      </w:pPr>
      <w:r w:rsidRPr="00D20B23">
        <w:rPr>
          <w:rFonts w:ascii="Arial" w:hAnsi="Arial"/>
          <w:i/>
          <w:sz w:val="16"/>
          <w:szCs w:val="16"/>
        </w:rPr>
        <w:t>*) Typy příspěvku na podporu regionální mobility.</w:t>
      </w:r>
    </w:p>
    <w:p w:rsidR="00EE15EF" w:rsidRPr="0059691C" w:rsidRDefault="00EE15EF" w:rsidP="00EE15EF">
      <w:pPr>
        <w:widowControl w:val="0"/>
        <w:tabs>
          <w:tab w:val="left" w:pos="0"/>
          <w:tab w:val="left" w:pos="567"/>
        </w:tabs>
        <w:suppressAutoHyphens/>
        <w:autoSpaceDE w:val="0"/>
        <w:autoSpaceDN w:val="0"/>
        <w:adjustRightInd w:val="0"/>
        <w:jc w:val="both"/>
        <w:rPr>
          <w:rFonts w:ascii="Arial" w:hAnsi="Arial"/>
          <w:b/>
        </w:rPr>
      </w:pPr>
    </w:p>
    <w:p w:rsidR="00EE15EF" w:rsidRPr="00004171" w:rsidRDefault="00EE15EF" w:rsidP="00EE15EF">
      <w:pPr>
        <w:widowControl w:val="0"/>
        <w:tabs>
          <w:tab w:val="left" w:pos="0"/>
          <w:tab w:val="left" w:pos="567"/>
        </w:tabs>
        <w:suppressAutoHyphens/>
        <w:autoSpaceDE w:val="0"/>
        <w:autoSpaceDN w:val="0"/>
        <w:adjustRightInd w:val="0"/>
        <w:jc w:val="both"/>
        <w:rPr>
          <w:rFonts w:ascii="Arial" w:hAnsi="Arial"/>
          <w:b/>
        </w:rPr>
      </w:pPr>
    </w:p>
    <w:p w:rsidR="00EE15EF" w:rsidRPr="00004171" w:rsidRDefault="00EE15EF" w:rsidP="00EE15EF">
      <w:pPr>
        <w:widowControl w:val="0"/>
        <w:tabs>
          <w:tab w:val="left" w:pos="0"/>
          <w:tab w:val="left" w:pos="567"/>
        </w:tabs>
        <w:suppressAutoHyphens/>
        <w:autoSpaceDE w:val="0"/>
        <w:autoSpaceDN w:val="0"/>
        <w:adjustRightInd w:val="0"/>
        <w:jc w:val="both"/>
        <w:rPr>
          <w:rFonts w:ascii="Arial" w:hAnsi="Arial"/>
          <w:b/>
        </w:rPr>
      </w:pPr>
      <w:r w:rsidRPr="00004171">
        <w:rPr>
          <w:rFonts w:ascii="Arial" w:hAnsi="Arial"/>
          <w:b/>
        </w:rPr>
        <w:t>Rekvalifikace a poradenství</w:t>
      </w:r>
    </w:p>
    <w:p w:rsidR="00EE15EF" w:rsidRPr="00004171" w:rsidRDefault="00EE15EF" w:rsidP="00EE15EF">
      <w:pPr>
        <w:rPr>
          <w:sz w:val="16"/>
          <w:szCs w:val="16"/>
        </w:rPr>
      </w:pPr>
    </w:p>
    <w:p w:rsidR="00EE15EF" w:rsidRPr="00D82F20" w:rsidRDefault="00EE15EF" w:rsidP="00EE15EF">
      <w:pPr>
        <w:spacing w:line="360" w:lineRule="auto"/>
        <w:ind w:firstLine="567"/>
        <w:jc w:val="both"/>
        <w:rPr>
          <w:rFonts w:ascii="Arial" w:hAnsi="Arial" w:cs="Arial"/>
        </w:rPr>
      </w:pPr>
      <w:r w:rsidRPr="00004171">
        <w:rPr>
          <w:rFonts w:ascii="Arial" w:hAnsi="Arial" w:cs="Arial"/>
        </w:rPr>
        <w:t xml:space="preserve">Rekvalifikace se svým zaměřením, obdobně jako v předchozích obdobích, přizpůsobovaly požadavkům trhu práce a struktuře volných pracovních míst. Využívaly se nejen pro získání nové nebo rozšíření stávající kvalifikace, ale také k jejímu zvýšení a prohloubení, včetně jejího udržování a obnovování.  S ohledem na požadavky zaměstnavatelů byly ÚP ČR přednostně podporovány rekvalifikace s praktickou částí výuky a  rekvalifikace směřující ke konkrétnímu pracovnímu uplatnění. Na základě poptávky zaměstnavatelů a zájmu uchazečů o zaměstnání a zájemců o zaměstnání o konkrétní rekvalifikace byly </w:t>
      </w:r>
      <w:r w:rsidRPr="00A51F5C">
        <w:rPr>
          <w:rFonts w:ascii="Arial" w:hAnsi="Arial" w:cs="Arial"/>
        </w:rPr>
        <w:t xml:space="preserve">nejčastěji realizovány </w:t>
      </w:r>
      <w:r w:rsidRPr="00455843">
        <w:rPr>
          <w:rFonts w:ascii="Arial" w:hAnsi="Arial" w:cs="Arial"/>
        </w:rPr>
        <w:t xml:space="preserve">rekvalifikační kurzy pro získání </w:t>
      </w:r>
      <w:r w:rsidRPr="004B0F24">
        <w:rPr>
          <w:rFonts w:ascii="Arial" w:hAnsi="Arial" w:cs="Arial"/>
        </w:rPr>
        <w:t xml:space="preserve">řidičských oprávnění včetně průkazů profesní způsobilosti řidiče, dále pak kurzy směřující ke zvýšení počítačové gramotnosti a získání specializovaných PC </w:t>
      </w:r>
      <w:r w:rsidRPr="00D82F20">
        <w:rPr>
          <w:rFonts w:ascii="Arial" w:hAnsi="Arial" w:cs="Arial"/>
        </w:rPr>
        <w:t>dovedností, kurzy vedoucí k získání svářečských, strojnických aj. odborných průkazů, kurzy pro pracovníky v sociálních službách a kurzy účetnictví.</w:t>
      </w:r>
    </w:p>
    <w:p w:rsidR="00EE15EF" w:rsidRDefault="00EE15EF" w:rsidP="00EE15EF">
      <w:pPr>
        <w:jc w:val="center"/>
        <w:rPr>
          <w:rFonts w:ascii="Arial" w:hAnsi="Arial"/>
        </w:rPr>
      </w:pPr>
      <w:r w:rsidRPr="00637EF0">
        <w:rPr>
          <w:rFonts w:ascii="Arial" w:hAnsi="Arial"/>
          <w:b/>
          <w:bCs/>
          <w:color w:val="FF00FF"/>
        </w:rPr>
        <w:br w:type="column"/>
      </w:r>
      <w:r w:rsidRPr="000A5A02">
        <w:rPr>
          <w:rFonts w:ascii="Arial" w:hAnsi="Arial"/>
          <w:b/>
          <w:bCs/>
        </w:rPr>
        <w:lastRenderedPageBreak/>
        <w:t xml:space="preserve">Struktura použitých nástrojů APZ v letech 2016 a 2017 </w:t>
      </w:r>
      <w:r w:rsidRPr="000A5A02">
        <w:rPr>
          <w:rFonts w:ascii="Arial" w:hAnsi="Arial"/>
        </w:rPr>
        <w:t>(ÚP ČR a MPSV)</w:t>
      </w:r>
    </w:p>
    <w:p w:rsidR="00EE15EF" w:rsidRDefault="00EE15EF" w:rsidP="00EE15EF">
      <w:pPr>
        <w:jc w:val="center"/>
        <w:rPr>
          <w:rFonts w:ascii="Arial" w:hAnsi="Arial"/>
        </w:rPr>
      </w:pPr>
    </w:p>
    <w:tbl>
      <w:tblPr>
        <w:tblW w:w="10655" w:type="dxa"/>
        <w:tblInd w:w="-864" w:type="dxa"/>
        <w:tblCellMar>
          <w:left w:w="70" w:type="dxa"/>
          <w:right w:w="70" w:type="dxa"/>
        </w:tblCellMar>
        <w:tblLook w:val="04A0"/>
      </w:tblPr>
      <w:tblGrid>
        <w:gridCol w:w="2991"/>
        <w:gridCol w:w="696"/>
        <w:gridCol w:w="724"/>
        <w:gridCol w:w="696"/>
        <w:gridCol w:w="716"/>
        <w:gridCol w:w="716"/>
        <w:gridCol w:w="756"/>
        <w:gridCol w:w="721"/>
        <w:gridCol w:w="727"/>
        <w:gridCol w:w="956"/>
        <w:gridCol w:w="956"/>
      </w:tblGrid>
      <w:tr w:rsidR="00EE15EF" w:rsidRPr="000A5A02" w:rsidTr="001616A0">
        <w:trPr>
          <w:trHeight w:val="330"/>
        </w:trPr>
        <w:tc>
          <w:tcPr>
            <w:tcW w:w="2991" w:type="dxa"/>
            <w:tcBorders>
              <w:top w:val="nil"/>
              <w:left w:val="nil"/>
              <w:bottom w:val="nil"/>
              <w:right w:val="nil"/>
            </w:tcBorders>
            <w:shd w:val="clear" w:color="auto" w:fill="auto"/>
            <w:noWrap/>
            <w:hideMark/>
          </w:tcPr>
          <w:p w:rsidR="00EE15EF" w:rsidRPr="000A5A02" w:rsidRDefault="00EE15EF" w:rsidP="001616A0">
            <w:pPr>
              <w:rPr>
                <w:sz w:val="20"/>
                <w:szCs w:val="20"/>
              </w:rPr>
            </w:pPr>
          </w:p>
        </w:tc>
        <w:tc>
          <w:tcPr>
            <w:tcW w:w="696" w:type="dxa"/>
            <w:tcBorders>
              <w:top w:val="nil"/>
              <w:left w:val="nil"/>
              <w:bottom w:val="nil"/>
              <w:right w:val="nil"/>
            </w:tcBorders>
            <w:shd w:val="clear" w:color="auto" w:fill="auto"/>
            <w:noWrap/>
            <w:hideMark/>
          </w:tcPr>
          <w:p w:rsidR="00EE15EF" w:rsidRPr="000A5A02" w:rsidRDefault="00EE15EF" w:rsidP="001616A0">
            <w:pPr>
              <w:rPr>
                <w:sz w:val="20"/>
                <w:szCs w:val="20"/>
              </w:rPr>
            </w:pPr>
          </w:p>
        </w:tc>
        <w:tc>
          <w:tcPr>
            <w:tcW w:w="724" w:type="dxa"/>
            <w:tcBorders>
              <w:top w:val="nil"/>
              <w:left w:val="nil"/>
              <w:bottom w:val="nil"/>
              <w:right w:val="nil"/>
            </w:tcBorders>
            <w:shd w:val="clear" w:color="auto" w:fill="auto"/>
            <w:noWrap/>
            <w:hideMark/>
          </w:tcPr>
          <w:p w:rsidR="00EE15EF" w:rsidRPr="000A5A02" w:rsidRDefault="00EE15EF" w:rsidP="001616A0">
            <w:pPr>
              <w:rPr>
                <w:sz w:val="20"/>
                <w:szCs w:val="20"/>
              </w:rPr>
            </w:pPr>
          </w:p>
        </w:tc>
        <w:tc>
          <w:tcPr>
            <w:tcW w:w="696" w:type="dxa"/>
            <w:tcBorders>
              <w:top w:val="nil"/>
              <w:left w:val="nil"/>
              <w:bottom w:val="nil"/>
              <w:right w:val="nil"/>
            </w:tcBorders>
            <w:shd w:val="clear" w:color="auto" w:fill="auto"/>
            <w:noWrap/>
            <w:hideMark/>
          </w:tcPr>
          <w:p w:rsidR="00EE15EF" w:rsidRPr="000A5A02" w:rsidRDefault="00EE15EF" w:rsidP="001616A0">
            <w:pPr>
              <w:rPr>
                <w:sz w:val="20"/>
                <w:szCs w:val="20"/>
              </w:rPr>
            </w:pPr>
          </w:p>
        </w:tc>
        <w:tc>
          <w:tcPr>
            <w:tcW w:w="716" w:type="dxa"/>
            <w:tcBorders>
              <w:top w:val="nil"/>
              <w:left w:val="nil"/>
              <w:bottom w:val="nil"/>
              <w:right w:val="nil"/>
            </w:tcBorders>
            <w:shd w:val="clear" w:color="auto" w:fill="auto"/>
            <w:noWrap/>
            <w:hideMark/>
          </w:tcPr>
          <w:p w:rsidR="00EE15EF" w:rsidRPr="000A5A02" w:rsidRDefault="00EE15EF" w:rsidP="001616A0">
            <w:pPr>
              <w:rPr>
                <w:sz w:val="20"/>
                <w:szCs w:val="20"/>
              </w:rPr>
            </w:pPr>
          </w:p>
        </w:tc>
        <w:tc>
          <w:tcPr>
            <w:tcW w:w="716" w:type="dxa"/>
            <w:tcBorders>
              <w:top w:val="nil"/>
              <w:left w:val="nil"/>
              <w:bottom w:val="nil"/>
              <w:right w:val="nil"/>
            </w:tcBorders>
            <w:shd w:val="clear" w:color="auto" w:fill="auto"/>
            <w:noWrap/>
            <w:hideMark/>
          </w:tcPr>
          <w:p w:rsidR="00EE15EF" w:rsidRPr="000A5A02" w:rsidRDefault="00EE15EF" w:rsidP="001616A0">
            <w:pPr>
              <w:rPr>
                <w:sz w:val="20"/>
                <w:szCs w:val="20"/>
              </w:rPr>
            </w:pPr>
          </w:p>
        </w:tc>
        <w:tc>
          <w:tcPr>
            <w:tcW w:w="756" w:type="dxa"/>
            <w:tcBorders>
              <w:top w:val="nil"/>
              <w:left w:val="nil"/>
              <w:bottom w:val="nil"/>
              <w:right w:val="nil"/>
            </w:tcBorders>
            <w:shd w:val="clear" w:color="auto" w:fill="auto"/>
            <w:noWrap/>
            <w:hideMark/>
          </w:tcPr>
          <w:p w:rsidR="00EE15EF" w:rsidRPr="000A5A02" w:rsidRDefault="00EE15EF" w:rsidP="001616A0">
            <w:pPr>
              <w:rPr>
                <w:sz w:val="20"/>
                <w:szCs w:val="20"/>
              </w:rPr>
            </w:pPr>
          </w:p>
        </w:tc>
        <w:tc>
          <w:tcPr>
            <w:tcW w:w="721" w:type="dxa"/>
            <w:tcBorders>
              <w:top w:val="nil"/>
              <w:left w:val="nil"/>
              <w:bottom w:val="nil"/>
              <w:right w:val="nil"/>
            </w:tcBorders>
            <w:shd w:val="clear" w:color="auto" w:fill="auto"/>
            <w:noWrap/>
            <w:hideMark/>
          </w:tcPr>
          <w:p w:rsidR="00EE15EF" w:rsidRPr="000A5A02" w:rsidRDefault="00EE15EF" w:rsidP="001616A0">
            <w:pPr>
              <w:rPr>
                <w:sz w:val="20"/>
                <w:szCs w:val="20"/>
              </w:rPr>
            </w:pPr>
          </w:p>
        </w:tc>
        <w:tc>
          <w:tcPr>
            <w:tcW w:w="727" w:type="dxa"/>
            <w:tcBorders>
              <w:top w:val="nil"/>
              <w:left w:val="nil"/>
              <w:bottom w:val="nil"/>
              <w:right w:val="nil"/>
            </w:tcBorders>
            <w:shd w:val="clear" w:color="auto" w:fill="auto"/>
            <w:noWrap/>
            <w:hideMark/>
          </w:tcPr>
          <w:p w:rsidR="00EE15EF" w:rsidRPr="000A5A02" w:rsidRDefault="00EE15EF" w:rsidP="001616A0">
            <w:pPr>
              <w:rPr>
                <w:sz w:val="20"/>
                <w:szCs w:val="20"/>
              </w:rPr>
            </w:pPr>
          </w:p>
        </w:tc>
        <w:tc>
          <w:tcPr>
            <w:tcW w:w="956" w:type="dxa"/>
            <w:tcBorders>
              <w:top w:val="nil"/>
              <w:left w:val="nil"/>
              <w:bottom w:val="nil"/>
              <w:right w:val="nil"/>
            </w:tcBorders>
            <w:shd w:val="clear" w:color="auto" w:fill="auto"/>
            <w:noWrap/>
            <w:hideMark/>
          </w:tcPr>
          <w:p w:rsidR="00EE15EF" w:rsidRPr="000A5A02" w:rsidRDefault="00EE15EF" w:rsidP="001616A0">
            <w:pPr>
              <w:rPr>
                <w:sz w:val="20"/>
                <w:szCs w:val="20"/>
              </w:rPr>
            </w:pPr>
          </w:p>
        </w:tc>
        <w:tc>
          <w:tcPr>
            <w:tcW w:w="956" w:type="dxa"/>
            <w:tcBorders>
              <w:top w:val="nil"/>
              <w:left w:val="nil"/>
              <w:bottom w:val="nil"/>
              <w:right w:val="nil"/>
            </w:tcBorders>
            <w:shd w:val="clear" w:color="auto" w:fill="auto"/>
            <w:noWrap/>
            <w:vAlign w:val="bottom"/>
            <w:hideMark/>
          </w:tcPr>
          <w:p w:rsidR="00EE15EF" w:rsidRPr="000A5A02" w:rsidRDefault="00EE15EF" w:rsidP="006B76EF">
            <w:pPr>
              <w:rPr>
                <w:rFonts w:ascii="Arial" w:hAnsi="Arial" w:cs="Arial"/>
                <w:sz w:val="20"/>
                <w:szCs w:val="20"/>
              </w:rPr>
            </w:pPr>
            <w:r w:rsidRPr="000A5A02">
              <w:rPr>
                <w:rFonts w:ascii="Arial" w:hAnsi="Arial" w:cs="Arial"/>
                <w:sz w:val="20"/>
                <w:szCs w:val="20"/>
              </w:rPr>
              <w:t>tab.č.2</w:t>
            </w:r>
            <w:r w:rsidR="006B76EF">
              <w:rPr>
                <w:rFonts w:ascii="Arial" w:hAnsi="Arial" w:cs="Arial"/>
                <w:sz w:val="20"/>
                <w:szCs w:val="20"/>
              </w:rPr>
              <w:t>4</w:t>
            </w:r>
          </w:p>
        </w:tc>
      </w:tr>
      <w:tr w:rsidR="00EE15EF" w:rsidRPr="000A5A02" w:rsidTr="001616A0">
        <w:trPr>
          <w:trHeight w:val="1200"/>
        </w:trPr>
        <w:tc>
          <w:tcPr>
            <w:tcW w:w="2991" w:type="dxa"/>
            <w:vMerge w:val="restart"/>
            <w:tcBorders>
              <w:top w:val="double" w:sz="6" w:space="0" w:color="auto"/>
              <w:left w:val="double" w:sz="6" w:space="0" w:color="auto"/>
              <w:bottom w:val="single" w:sz="8" w:space="0" w:color="000000"/>
              <w:right w:val="single" w:sz="4" w:space="0" w:color="auto"/>
            </w:tcBorders>
            <w:shd w:val="clear" w:color="000000" w:fill="BFBFBF"/>
            <w:vAlign w:val="center"/>
            <w:hideMark/>
          </w:tcPr>
          <w:p w:rsidR="00EE15EF" w:rsidRPr="000A5A02" w:rsidRDefault="00EE15EF" w:rsidP="001616A0">
            <w:pPr>
              <w:jc w:val="center"/>
              <w:rPr>
                <w:rFonts w:ascii="Arial" w:hAnsi="Arial" w:cs="Arial"/>
                <w:b/>
                <w:bCs/>
                <w:color w:val="000000"/>
                <w:sz w:val="18"/>
                <w:szCs w:val="18"/>
              </w:rPr>
            </w:pPr>
            <w:r w:rsidRPr="000A5A02">
              <w:rPr>
                <w:rFonts w:ascii="Arial" w:hAnsi="Arial" w:cs="Arial"/>
                <w:b/>
                <w:bCs/>
                <w:color w:val="000000"/>
                <w:sz w:val="18"/>
                <w:szCs w:val="18"/>
              </w:rPr>
              <w:t>nástroj APZ</w:t>
            </w:r>
          </w:p>
        </w:tc>
        <w:tc>
          <w:tcPr>
            <w:tcW w:w="1420" w:type="dxa"/>
            <w:gridSpan w:val="2"/>
            <w:tcBorders>
              <w:top w:val="double" w:sz="6" w:space="0" w:color="auto"/>
              <w:left w:val="nil"/>
              <w:bottom w:val="nil"/>
              <w:right w:val="single" w:sz="4" w:space="0" w:color="auto"/>
            </w:tcBorders>
            <w:shd w:val="clear" w:color="000000" w:fill="BFBFBF"/>
            <w:vAlign w:val="center"/>
            <w:hideMark/>
          </w:tcPr>
          <w:p w:rsidR="00EE15EF" w:rsidRPr="000A5A02" w:rsidRDefault="00EE15EF" w:rsidP="001616A0">
            <w:pPr>
              <w:jc w:val="center"/>
              <w:rPr>
                <w:rFonts w:ascii="Arial" w:hAnsi="Arial" w:cs="Arial"/>
                <w:b/>
                <w:bCs/>
                <w:color w:val="000000"/>
                <w:sz w:val="18"/>
                <w:szCs w:val="18"/>
              </w:rPr>
            </w:pPr>
            <w:r w:rsidRPr="000A5A02">
              <w:rPr>
                <w:rFonts w:ascii="Arial" w:hAnsi="Arial" w:cs="Arial"/>
                <w:b/>
                <w:bCs/>
                <w:color w:val="000000"/>
                <w:sz w:val="18"/>
                <w:szCs w:val="18"/>
              </w:rPr>
              <w:t>Počty vytvořených míst (stav)                                      k</w:t>
            </w:r>
          </w:p>
        </w:tc>
        <w:tc>
          <w:tcPr>
            <w:tcW w:w="1412" w:type="dxa"/>
            <w:gridSpan w:val="2"/>
            <w:tcBorders>
              <w:top w:val="double" w:sz="6" w:space="0" w:color="auto"/>
              <w:left w:val="single" w:sz="4" w:space="0" w:color="auto"/>
              <w:bottom w:val="nil"/>
              <w:right w:val="single" w:sz="4" w:space="0" w:color="auto"/>
            </w:tcBorders>
            <w:shd w:val="clear" w:color="000000" w:fill="BFBFBF"/>
            <w:vAlign w:val="center"/>
            <w:hideMark/>
          </w:tcPr>
          <w:p w:rsidR="00EE15EF" w:rsidRPr="000A5A02" w:rsidRDefault="00EE15EF" w:rsidP="001616A0">
            <w:pPr>
              <w:jc w:val="center"/>
              <w:rPr>
                <w:rFonts w:ascii="Arial" w:hAnsi="Arial" w:cs="Arial"/>
                <w:b/>
                <w:bCs/>
                <w:color w:val="000000"/>
                <w:sz w:val="18"/>
                <w:szCs w:val="18"/>
              </w:rPr>
            </w:pPr>
            <w:r w:rsidRPr="000A5A02">
              <w:rPr>
                <w:rFonts w:ascii="Arial" w:hAnsi="Arial" w:cs="Arial"/>
                <w:b/>
                <w:bCs/>
                <w:color w:val="000000"/>
                <w:sz w:val="18"/>
                <w:szCs w:val="18"/>
              </w:rPr>
              <w:t xml:space="preserve">Počty vytvořených míst celkem </w:t>
            </w:r>
            <w:r w:rsidRPr="000A5A02">
              <w:rPr>
                <w:rFonts w:ascii="Arial" w:hAnsi="Arial" w:cs="Arial"/>
                <w:b/>
                <w:bCs/>
                <w:color w:val="000000"/>
                <w:sz w:val="18"/>
                <w:szCs w:val="18"/>
              </w:rPr>
              <w:br/>
              <w:t>v průběhu</w:t>
            </w:r>
          </w:p>
        </w:tc>
        <w:tc>
          <w:tcPr>
            <w:tcW w:w="1472" w:type="dxa"/>
            <w:gridSpan w:val="2"/>
            <w:tcBorders>
              <w:top w:val="double" w:sz="6" w:space="0" w:color="auto"/>
              <w:left w:val="nil"/>
              <w:bottom w:val="nil"/>
              <w:right w:val="single" w:sz="4" w:space="0" w:color="auto"/>
            </w:tcBorders>
            <w:shd w:val="clear" w:color="000000" w:fill="BFBFBF"/>
            <w:vAlign w:val="center"/>
            <w:hideMark/>
          </w:tcPr>
          <w:p w:rsidR="00EE15EF" w:rsidRPr="000A5A02" w:rsidRDefault="00EE15EF" w:rsidP="001616A0">
            <w:pPr>
              <w:jc w:val="center"/>
              <w:rPr>
                <w:rFonts w:ascii="Arial" w:hAnsi="Arial" w:cs="Arial"/>
                <w:b/>
                <w:bCs/>
                <w:color w:val="000000"/>
                <w:sz w:val="18"/>
                <w:szCs w:val="18"/>
              </w:rPr>
            </w:pPr>
            <w:r w:rsidRPr="000A5A02">
              <w:rPr>
                <w:rFonts w:ascii="Arial" w:hAnsi="Arial" w:cs="Arial"/>
                <w:b/>
                <w:bCs/>
                <w:color w:val="000000"/>
                <w:sz w:val="18"/>
                <w:szCs w:val="18"/>
              </w:rPr>
              <w:t>Počty podpořených uchazečů/osob (stav)                                                            k</w:t>
            </w:r>
          </w:p>
        </w:tc>
        <w:tc>
          <w:tcPr>
            <w:tcW w:w="1448" w:type="dxa"/>
            <w:gridSpan w:val="2"/>
            <w:tcBorders>
              <w:top w:val="double" w:sz="6" w:space="0" w:color="auto"/>
              <w:left w:val="nil"/>
              <w:bottom w:val="nil"/>
              <w:right w:val="single" w:sz="4" w:space="0" w:color="auto"/>
            </w:tcBorders>
            <w:shd w:val="clear" w:color="000000" w:fill="BFBFBF"/>
            <w:vAlign w:val="center"/>
            <w:hideMark/>
          </w:tcPr>
          <w:p w:rsidR="00EE15EF" w:rsidRPr="000A5A02" w:rsidRDefault="00EE15EF" w:rsidP="001616A0">
            <w:pPr>
              <w:jc w:val="center"/>
              <w:rPr>
                <w:rFonts w:ascii="Arial" w:hAnsi="Arial" w:cs="Arial"/>
                <w:b/>
                <w:bCs/>
                <w:sz w:val="18"/>
                <w:szCs w:val="18"/>
              </w:rPr>
            </w:pPr>
            <w:r w:rsidRPr="000A5A02">
              <w:rPr>
                <w:rFonts w:ascii="Arial" w:hAnsi="Arial" w:cs="Arial"/>
                <w:b/>
                <w:bCs/>
                <w:sz w:val="18"/>
                <w:szCs w:val="18"/>
              </w:rPr>
              <w:t xml:space="preserve">Počty podpořených uchazečů/osob celkem </w:t>
            </w:r>
            <w:r w:rsidRPr="000A5A02">
              <w:rPr>
                <w:rFonts w:ascii="Arial" w:hAnsi="Arial" w:cs="Arial"/>
                <w:b/>
                <w:bCs/>
                <w:sz w:val="18"/>
                <w:szCs w:val="18"/>
              </w:rPr>
              <w:br/>
              <w:t>v průběhu</w:t>
            </w:r>
          </w:p>
        </w:tc>
        <w:tc>
          <w:tcPr>
            <w:tcW w:w="1912" w:type="dxa"/>
            <w:gridSpan w:val="2"/>
            <w:tcBorders>
              <w:top w:val="double" w:sz="6" w:space="0" w:color="auto"/>
              <w:left w:val="nil"/>
              <w:bottom w:val="nil"/>
              <w:right w:val="double" w:sz="6" w:space="0" w:color="000000"/>
            </w:tcBorders>
            <w:shd w:val="clear" w:color="000000" w:fill="BFBFBF"/>
            <w:vAlign w:val="center"/>
            <w:hideMark/>
          </w:tcPr>
          <w:p w:rsidR="00EE15EF" w:rsidRPr="000A5A02" w:rsidRDefault="00EE15EF" w:rsidP="001616A0">
            <w:pPr>
              <w:jc w:val="center"/>
              <w:rPr>
                <w:rFonts w:ascii="Arial" w:hAnsi="Arial" w:cs="Arial"/>
                <w:b/>
                <w:bCs/>
                <w:sz w:val="18"/>
                <w:szCs w:val="18"/>
              </w:rPr>
            </w:pPr>
            <w:r w:rsidRPr="000A5A02">
              <w:rPr>
                <w:rFonts w:ascii="Arial" w:hAnsi="Arial" w:cs="Arial"/>
                <w:b/>
                <w:bCs/>
                <w:sz w:val="18"/>
                <w:szCs w:val="18"/>
              </w:rPr>
              <w:t>Čerpání finančních prostředků v roce</w:t>
            </w:r>
            <w:r w:rsidRPr="000A5A02">
              <w:rPr>
                <w:rFonts w:ascii="Arial" w:hAnsi="Arial" w:cs="Arial"/>
                <w:b/>
                <w:bCs/>
                <w:sz w:val="18"/>
                <w:szCs w:val="18"/>
              </w:rPr>
              <w:br/>
              <w:t>(v tis. Kč)</w:t>
            </w:r>
          </w:p>
        </w:tc>
      </w:tr>
      <w:tr w:rsidR="00EE15EF" w:rsidRPr="000A5A02" w:rsidTr="001616A0">
        <w:trPr>
          <w:trHeight w:val="450"/>
        </w:trPr>
        <w:tc>
          <w:tcPr>
            <w:tcW w:w="2991" w:type="dxa"/>
            <w:vMerge/>
            <w:tcBorders>
              <w:top w:val="double" w:sz="6" w:space="0" w:color="auto"/>
              <w:left w:val="double" w:sz="6" w:space="0" w:color="auto"/>
              <w:bottom w:val="single" w:sz="8" w:space="0" w:color="000000"/>
              <w:right w:val="single" w:sz="4" w:space="0" w:color="auto"/>
            </w:tcBorders>
            <w:vAlign w:val="center"/>
            <w:hideMark/>
          </w:tcPr>
          <w:p w:rsidR="00EE15EF" w:rsidRPr="000A5A02" w:rsidRDefault="00EE15EF" w:rsidP="001616A0">
            <w:pPr>
              <w:rPr>
                <w:rFonts w:ascii="Arial" w:hAnsi="Arial" w:cs="Arial"/>
                <w:b/>
                <w:bCs/>
                <w:color w:val="000000"/>
                <w:sz w:val="18"/>
                <w:szCs w:val="18"/>
              </w:rPr>
            </w:pPr>
          </w:p>
        </w:tc>
        <w:tc>
          <w:tcPr>
            <w:tcW w:w="696" w:type="dxa"/>
            <w:tcBorders>
              <w:top w:val="single" w:sz="4" w:space="0" w:color="auto"/>
              <w:left w:val="nil"/>
              <w:bottom w:val="single" w:sz="8" w:space="0" w:color="auto"/>
              <w:right w:val="single" w:sz="4" w:space="0" w:color="auto"/>
            </w:tcBorders>
            <w:shd w:val="clear" w:color="000000" w:fill="D9D9D9"/>
            <w:vAlign w:val="center"/>
            <w:hideMark/>
          </w:tcPr>
          <w:p w:rsidR="00EE15EF" w:rsidRPr="000A5A02" w:rsidRDefault="00EE15EF" w:rsidP="001616A0">
            <w:pPr>
              <w:jc w:val="center"/>
              <w:rPr>
                <w:rFonts w:ascii="Arial" w:hAnsi="Arial" w:cs="Arial"/>
                <w:b/>
                <w:bCs/>
                <w:sz w:val="16"/>
                <w:szCs w:val="16"/>
              </w:rPr>
            </w:pPr>
            <w:r w:rsidRPr="000A5A02">
              <w:rPr>
                <w:rFonts w:ascii="Arial" w:hAnsi="Arial" w:cs="Arial"/>
                <w:b/>
                <w:bCs/>
                <w:sz w:val="16"/>
                <w:szCs w:val="16"/>
              </w:rPr>
              <w:t>31. 12. 2016</w:t>
            </w:r>
          </w:p>
        </w:tc>
        <w:tc>
          <w:tcPr>
            <w:tcW w:w="724" w:type="dxa"/>
            <w:tcBorders>
              <w:top w:val="single" w:sz="4" w:space="0" w:color="auto"/>
              <w:left w:val="nil"/>
              <w:bottom w:val="single" w:sz="8" w:space="0" w:color="auto"/>
              <w:right w:val="single" w:sz="4" w:space="0" w:color="auto"/>
            </w:tcBorders>
            <w:shd w:val="clear" w:color="000000" w:fill="D9D9D9"/>
            <w:vAlign w:val="center"/>
            <w:hideMark/>
          </w:tcPr>
          <w:p w:rsidR="00EE15EF" w:rsidRPr="000A5A02" w:rsidRDefault="00EE15EF" w:rsidP="001616A0">
            <w:pPr>
              <w:jc w:val="center"/>
              <w:rPr>
                <w:rFonts w:ascii="Arial" w:hAnsi="Arial" w:cs="Arial"/>
                <w:b/>
                <w:bCs/>
                <w:sz w:val="16"/>
                <w:szCs w:val="16"/>
              </w:rPr>
            </w:pPr>
            <w:r w:rsidRPr="000A5A02">
              <w:rPr>
                <w:rFonts w:ascii="Arial" w:hAnsi="Arial" w:cs="Arial"/>
                <w:b/>
                <w:bCs/>
                <w:sz w:val="16"/>
                <w:szCs w:val="16"/>
              </w:rPr>
              <w:t>31. 12. 2017</w:t>
            </w:r>
          </w:p>
        </w:tc>
        <w:tc>
          <w:tcPr>
            <w:tcW w:w="696" w:type="dxa"/>
            <w:tcBorders>
              <w:top w:val="single" w:sz="4" w:space="0" w:color="auto"/>
              <w:left w:val="nil"/>
              <w:bottom w:val="single" w:sz="8" w:space="0" w:color="auto"/>
              <w:right w:val="single" w:sz="4" w:space="0" w:color="auto"/>
            </w:tcBorders>
            <w:shd w:val="clear" w:color="000000" w:fill="D9D9D9"/>
            <w:vAlign w:val="center"/>
            <w:hideMark/>
          </w:tcPr>
          <w:p w:rsidR="00EE15EF" w:rsidRPr="000A5A02" w:rsidRDefault="00EE15EF" w:rsidP="001616A0">
            <w:pPr>
              <w:jc w:val="center"/>
              <w:rPr>
                <w:rFonts w:ascii="Arial" w:hAnsi="Arial" w:cs="Arial"/>
                <w:b/>
                <w:bCs/>
                <w:sz w:val="16"/>
                <w:szCs w:val="16"/>
              </w:rPr>
            </w:pPr>
            <w:r w:rsidRPr="000A5A02">
              <w:rPr>
                <w:rFonts w:ascii="Arial" w:hAnsi="Arial" w:cs="Arial"/>
                <w:b/>
                <w:bCs/>
                <w:sz w:val="16"/>
                <w:szCs w:val="16"/>
              </w:rPr>
              <w:t>roku 2016</w:t>
            </w:r>
          </w:p>
        </w:tc>
        <w:tc>
          <w:tcPr>
            <w:tcW w:w="716" w:type="dxa"/>
            <w:tcBorders>
              <w:top w:val="single" w:sz="4" w:space="0" w:color="auto"/>
              <w:left w:val="nil"/>
              <w:bottom w:val="single" w:sz="8" w:space="0" w:color="auto"/>
              <w:right w:val="single" w:sz="4" w:space="0" w:color="auto"/>
            </w:tcBorders>
            <w:shd w:val="clear" w:color="000000" w:fill="D9D9D9"/>
            <w:vAlign w:val="center"/>
            <w:hideMark/>
          </w:tcPr>
          <w:p w:rsidR="00EE15EF" w:rsidRPr="000A5A02" w:rsidRDefault="00EE15EF" w:rsidP="001616A0">
            <w:pPr>
              <w:jc w:val="center"/>
              <w:rPr>
                <w:rFonts w:ascii="Arial" w:hAnsi="Arial" w:cs="Arial"/>
                <w:b/>
                <w:bCs/>
                <w:sz w:val="16"/>
                <w:szCs w:val="16"/>
              </w:rPr>
            </w:pPr>
            <w:r w:rsidRPr="000A5A02">
              <w:rPr>
                <w:rFonts w:ascii="Arial" w:hAnsi="Arial" w:cs="Arial"/>
                <w:b/>
                <w:bCs/>
                <w:sz w:val="16"/>
                <w:szCs w:val="16"/>
              </w:rPr>
              <w:t>roku 2017</w:t>
            </w:r>
          </w:p>
        </w:tc>
        <w:tc>
          <w:tcPr>
            <w:tcW w:w="716" w:type="dxa"/>
            <w:tcBorders>
              <w:top w:val="single" w:sz="4" w:space="0" w:color="auto"/>
              <w:left w:val="nil"/>
              <w:bottom w:val="single" w:sz="8" w:space="0" w:color="auto"/>
              <w:right w:val="single" w:sz="4" w:space="0" w:color="auto"/>
            </w:tcBorders>
            <w:shd w:val="clear" w:color="000000" w:fill="D9D9D9"/>
            <w:vAlign w:val="center"/>
            <w:hideMark/>
          </w:tcPr>
          <w:p w:rsidR="00EE15EF" w:rsidRPr="000A5A02" w:rsidRDefault="00EE15EF" w:rsidP="001616A0">
            <w:pPr>
              <w:jc w:val="center"/>
              <w:rPr>
                <w:rFonts w:ascii="Arial" w:hAnsi="Arial" w:cs="Arial"/>
                <w:b/>
                <w:bCs/>
                <w:sz w:val="16"/>
                <w:szCs w:val="16"/>
              </w:rPr>
            </w:pPr>
            <w:r w:rsidRPr="000A5A02">
              <w:rPr>
                <w:rFonts w:ascii="Arial" w:hAnsi="Arial" w:cs="Arial"/>
                <w:b/>
                <w:bCs/>
                <w:sz w:val="16"/>
                <w:szCs w:val="16"/>
              </w:rPr>
              <w:t>31. 12. 2016</w:t>
            </w:r>
          </w:p>
        </w:tc>
        <w:tc>
          <w:tcPr>
            <w:tcW w:w="756" w:type="dxa"/>
            <w:tcBorders>
              <w:top w:val="single" w:sz="4" w:space="0" w:color="auto"/>
              <w:left w:val="nil"/>
              <w:bottom w:val="single" w:sz="8" w:space="0" w:color="auto"/>
              <w:right w:val="single" w:sz="4" w:space="0" w:color="auto"/>
            </w:tcBorders>
            <w:shd w:val="clear" w:color="000000" w:fill="D9D9D9"/>
            <w:vAlign w:val="center"/>
            <w:hideMark/>
          </w:tcPr>
          <w:p w:rsidR="00EE15EF" w:rsidRPr="000A5A02" w:rsidRDefault="00EE15EF" w:rsidP="001616A0">
            <w:pPr>
              <w:jc w:val="center"/>
              <w:rPr>
                <w:rFonts w:ascii="Arial" w:hAnsi="Arial" w:cs="Arial"/>
                <w:b/>
                <w:bCs/>
                <w:sz w:val="16"/>
                <w:szCs w:val="16"/>
              </w:rPr>
            </w:pPr>
            <w:r w:rsidRPr="000A5A02">
              <w:rPr>
                <w:rFonts w:ascii="Arial" w:hAnsi="Arial" w:cs="Arial"/>
                <w:b/>
                <w:bCs/>
                <w:sz w:val="16"/>
                <w:szCs w:val="16"/>
              </w:rPr>
              <w:t>31. 12. 2017</w:t>
            </w:r>
          </w:p>
        </w:tc>
        <w:tc>
          <w:tcPr>
            <w:tcW w:w="721" w:type="dxa"/>
            <w:tcBorders>
              <w:top w:val="single" w:sz="4" w:space="0" w:color="auto"/>
              <w:left w:val="nil"/>
              <w:bottom w:val="single" w:sz="8" w:space="0" w:color="auto"/>
              <w:right w:val="single" w:sz="4" w:space="0" w:color="auto"/>
            </w:tcBorders>
            <w:shd w:val="clear" w:color="000000" w:fill="D9D9D9"/>
            <w:vAlign w:val="center"/>
            <w:hideMark/>
          </w:tcPr>
          <w:p w:rsidR="00EE15EF" w:rsidRPr="000A5A02" w:rsidRDefault="00EE15EF" w:rsidP="001616A0">
            <w:pPr>
              <w:jc w:val="center"/>
              <w:rPr>
                <w:rFonts w:ascii="Arial" w:hAnsi="Arial" w:cs="Arial"/>
                <w:b/>
                <w:bCs/>
                <w:sz w:val="16"/>
                <w:szCs w:val="16"/>
              </w:rPr>
            </w:pPr>
            <w:r w:rsidRPr="000A5A02">
              <w:rPr>
                <w:rFonts w:ascii="Arial" w:hAnsi="Arial" w:cs="Arial"/>
                <w:b/>
                <w:bCs/>
                <w:sz w:val="16"/>
                <w:szCs w:val="16"/>
              </w:rPr>
              <w:t>roku 2016</w:t>
            </w:r>
          </w:p>
        </w:tc>
        <w:tc>
          <w:tcPr>
            <w:tcW w:w="727" w:type="dxa"/>
            <w:tcBorders>
              <w:top w:val="single" w:sz="4" w:space="0" w:color="auto"/>
              <w:left w:val="nil"/>
              <w:bottom w:val="single" w:sz="8" w:space="0" w:color="auto"/>
              <w:right w:val="single" w:sz="4" w:space="0" w:color="auto"/>
            </w:tcBorders>
            <w:shd w:val="clear" w:color="000000" w:fill="D9D9D9"/>
            <w:vAlign w:val="center"/>
            <w:hideMark/>
          </w:tcPr>
          <w:p w:rsidR="00EE15EF" w:rsidRPr="000A5A02" w:rsidRDefault="00EE15EF" w:rsidP="001616A0">
            <w:pPr>
              <w:jc w:val="center"/>
              <w:rPr>
                <w:rFonts w:ascii="Arial" w:hAnsi="Arial" w:cs="Arial"/>
                <w:b/>
                <w:bCs/>
                <w:sz w:val="16"/>
                <w:szCs w:val="16"/>
              </w:rPr>
            </w:pPr>
            <w:r w:rsidRPr="000A5A02">
              <w:rPr>
                <w:rFonts w:ascii="Arial" w:hAnsi="Arial" w:cs="Arial"/>
                <w:b/>
                <w:bCs/>
                <w:sz w:val="16"/>
                <w:szCs w:val="16"/>
              </w:rPr>
              <w:t>roku 2017</w:t>
            </w:r>
          </w:p>
        </w:tc>
        <w:tc>
          <w:tcPr>
            <w:tcW w:w="956" w:type="dxa"/>
            <w:tcBorders>
              <w:top w:val="single" w:sz="4" w:space="0" w:color="auto"/>
              <w:left w:val="nil"/>
              <w:bottom w:val="single" w:sz="8" w:space="0" w:color="auto"/>
              <w:right w:val="single" w:sz="4" w:space="0" w:color="auto"/>
            </w:tcBorders>
            <w:shd w:val="clear" w:color="000000" w:fill="D9D9D9"/>
            <w:vAlign w:val="center"/>
            <w:hideMark/>
          </w:tcPr>
          <w:p w:rsidR="00EE15EF" w:rsidRPr="000A5A02" w:rsidRDefault="00EE15EF" w:rsidP="001616A0">
            <w:pPr>
              <w:jc w:val="center"/>
              <w:rPr>
                <w:rFonts w:ascii="Arial" w:hAnsi="Arial" w:cs="Arial"/>
                <w:b/>
                <w:bCs/>
                <w:sz w:val="16"/>
                <w:szCs w:val="16"/>
              </w:rPr>
            </w:pPr>
            <w:r w:rsidRPr="000A5A02">
              <w:rPr>
                <w:rFonts w:ascii="Arial" w:hAnsi="Arial" w:cs="Arial"/>
                <w:b/>
                <w:bCs/>
                <w:sz w:val="16"/>
                <w:szCs w:val="16"/>
              </w:rPr>
              <w:t>2016</w:t>
            </w:r>
          </w:p>
        </w:tc>
        <w:tc>
          <w:tcPr>
            <w:tcW w:w="956" w:type="dxa"/>
            <w:tcBorders>
              <w:top w:val="single" w:sz="4" w:space="0" w:color="auto"/>
              <w:left w:val="nil"/>
              <w:bottom w:val="single" w:sz="8" w:space="0" w:color="auto"/>
              <w:right w:val="double" w:sz="6" w:space="0" w:color="auto"/>
            </w:tcBorders>
            <w:shd w:val="clear" w:color="000000" w:fill="D9D9D9"/>
            <w:vAlign w:val="center"/>
            <w:hideMark/>
          </w:tcPr>
          <w:p w:rsidR="00EE15EF" w:rsidRPr="000A5A02" w:rsidRDefault="00EE15EF" w:rsidP="001616A0">
            <w:pPr>
              <w:jc w:val="center"/>
              <w:rPr>
                <w:rFonts w:ascii="Arial" w:hAnsi="Arial" w:cs="Arial"/>
                <w:b/>
                <w:bCs/>
                <w:sz w:val="16"/>
                <w:szCs w:val="16"/>
              </w:rPr>
            </w:pPr>
            <w:r w:rsidRPr="000A5A02">
              <w:rPr>
                <w:rFonts w:ascii="Arial" w:hAnsi="Arial" w:cs="Arial"/>
                <w:b/>
                <w:bCs/>
                <w:sz w:val="16"/>
                <w:szCs w:val="16"/>
              </w:rPr>
              <w:t>2017</w:t>
            </w:r>
          </w:p>
        </w:tc>
      </w:tr>
      <w:tr w:rsidR="00EE15EF" w:rsidRPr="000A5A02" w:rsidTr="001616A0">
        <w:trPr>
          <w:trHeight w:val="315"/>
        </w:trPr>
        <w:tc>
          <w:tcPr>
            <w:tcW w:w="2991" w:type="dxa"/>
            <w:tcBorders>
              <w:top w:val="nil"/>
              <w:left w:val="double" w:sz="6" w:space="0" w:color="auto"/>
              <w:bottom w:val="single" w:sz="4" w:space="0" w:color="auto"/>
              <w:right w:val="single" w:sz="4" w:space="0" w:color="auto"/>
            </w:tcBorders>
            <w:shd w:val="clear" w:color="auto" w:fill="auto"/>
            <w:vAlign w:val="center"/>
            <w:hideMark/>
          </w:tcPr>
          <w:p w:rsidR="00EE15EF" w:rsidRPr="000A5A02" w:rsidRDefault="00EE15EF" w:rsidP="001616A0">
            <w:pPr>
              <w:rPr>
                <w:rFonts w:ascii="Arial" w:hAnsi="Arial" w:cs="Arial"/>
                <w:b/>
                <w:bCs/>
                <w:sz w:val="18"/>
                <w:szCs w:val="18"/>
              </w:rPr>
            </w:pPr>
            <w:r w:rsidRPr="000A5A02">
              <w:rPr>
                <w:rFonts w:ascii="Arial" w:hAnsi="Arial" w:cs="Arial"/>
                <w:b/>
                <w:bCs/>
                <w:sz w:val="18"/>
                <w:szCs w:val="18"/>
              </w:rPr>
              <w:t xml:space="preserve">Rekvalifikace </w:t>
            </w:r>
            <w:r w:rsidRPr="000A5A02">
              <w:rPr>
                <w:rFonts w:ascii="Arial" w:hAnsi="Arial" w:cs="Arial"/>
                <w:sz w:val="18"/>
                <w:szCs w:val="18"/>
              </w:rPr>
              <w:t xml:space="preserve">(vč. ESF) </w:t>
            </w:r>
            <w:r w:rsidRPr="000A5A02">
              <w:rPr>
                <w:rFonts w:ascii="Arial" w:hAnsi="Arial" w:cs="Arial"/>
                <w:sz w:val="18"/>
                <w:szCs w:val="18"/>
                <w:vertAlign w:val="superscript"/>
              </w:rPr>
              <w:t>1)</w:t>
            </w:r>
          </w:p>
        </w:tc>
        <w:tc>
          <w:tcPr>
            <w:tcW w:w="69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center"/>
              <w:rPr>
                <w:rFonts w:ascii="Arial" w:hAnsi="Arial" w:cs="Arial"/>
                <w:b/>
                <w:bCs/>
                <w:sz w:val="18"/>
                <w:szCs w:val="18"/>
              </w:rPr>
            </w:pPr>
            <w:r w:rsidRPr="000A5A02">
              <w:rPr>
                <w:rFonts w:ascii="Arial" w:hAnsi="Arial" w:cs="Arial"/>
                <w:b/>
                <w:bCs/>
                <w:sz w:val="18"/>
                <w:szCs w:val="18"/>
              </w:rPr>
              <w:t>x</w:t>
            </w:r>
          </w:p>
        </w:tc>
        <w:tc>
          <w:tcPr>
            <w:tcW w:w="724" w:type="dxa"/>
            <w:tcBorders>
              <w:top w:val="nil"/>
              <w:left w:val="nil"/>
              <w:bottom w:val="single" w:sz="4" w:space="0" w:color="auto"/>
              <w:right w:val="nil"/>
            </w:tcBorders>
            <w:shd w:val="clear" w:color="auto" w:fill="auto"/>
            <w:vAlign w:val="center"/>
            <w:hideMark/>
          </w:tcPr>
          <w:p w:rsidR="00EE15EF" w:rsidRPr="000A5A02" w:rsidRDefault="00EE15EF" w:rsidP="001616A0">
            <w:pPr>
              <w:jc w:val="center"/>
              <w:rPr>
                <w:rFonts w:ascii="Arial" w:hAnsi="Arial" w:cs="Arial"/>
                <w:b/>
                <w:bCs/>
                <w:sz w:val="18"/>
                <w:szCs w:val="18"/>
              </w:rPr>
            </w:pPr>
            <w:r w:rsidRPr="000A5A02">
              <w:rPr>
                <w:rFonts w:ascii="Arial" w:hAnsi="Arial" w:cs="Arial"/>
                <w:b/>
                <w:bCs/>
                <w:sz w:val="18"/>
                <w:szCs w:val="18"/>
              </w:rPr>
              <w:t>x</w:t>
            </w:r>
          </w:p>
        </w:tc>
        <w:tc>
          <w:tcPr>
            <w:tcW w:w="696" w:type="dxa"/>
            <w:tcBorders>
              <w:top w:val="nil"/>
              <w:left w:val="single" w:sz="4" w:space="0" w:color="auto"/>
              <w:bottom w:val="single" w:sz="4" w:space="0" w:color="auto"/>
              <w:right w:val="single" w:sz="4" w:space="0" w:color="auto"/>
            </w:tcBorders>
            <w:shd w:val="clear" w:color="auto" w:fill="auto"/>
            <w:vAlign w:val="center"/>
            <w:hideMark/>
          </w:tcPr>
          <w:p w:rsidR="00EE15EF" w:rsidRPr="000A5A02" w:rsidRDefault="00EE15EF" w:rsidP="001616A0">
            <w:pPr>
              <w:jc w:val="center"/>
              <w:rPr>
                <w:rFonts w:ascii="Arial" w:hAnsi="Arial" w:cs="Arial"/>
                <w:b/>
                <w:bCs/>
                <w:sz w:val="18"/>
                <w:szCs w:val="18"/>
              </w:rPr>
            </w:pPr>
            <w:r w:rsidRPr="000A5A02">
              <w:rPr>
                <w:rFonts w:ascii="Arial" w:hAnsi="Arial" w:cs="Arial"/>
                <w:b/>
                <w:bCs/>
                <w:sz w:val="18"/>
                <w:szCs w:val="18"/>
              </w:rPr>
              <w:t>x</w:t>
            </w:r>
          </w:p>
        </w:tc>
        <w:tc>
          <w:tcPr>
            <w:tcW w:w="71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center"/>
              <w:rPr>
                <w:rFonts w:ascii="Arial" w:hAnsi="Arial" w:cs="Arial"/>
                <w:b/>
                <w:bCs/>
                <w:sz w:val="18"/>
                <w:szCs w:val="18"/>
              </w:rPr>
            </w:pPr>
            <w:r w:rsidRPr="000A5A02">
              <w:rPr>
                <w:rFonts w:ascii="Arial" w:hAnsi="Arial" w:cs="Arial"/>
                <w:b/>
                <w:bCs/>
                <w:sz w:val="18"/>
                <w:szCs w:val="18"/>
              </w:rPr>
              <w:t>x</w:t>
            </w:r>
          </w:p>
        </w:tc>
        <w:tc>
          <w:tcPr>
            <w:tcW w:w="71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1 142</w:t>
            </w:r>
          </w:p>
        </w:tc>
        <w:tc>
          <w:tcPr>
            <w:tcW w:w="75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777</w:t>
            </w:r>
          </w:p>
        </w:tc>
        <w:tc>
          <w:tcPr>
            <w:tcW w:w="721" w:type="dxa"/>
            <w:tcBorders>
              <w:top w:val="nil"/>
              <w:left w:val="nil"/>
              <w:bottom w:val="single" w:sz="4"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22 309</w:t>
            </w:r>
          </w:p>
        </w:tc>
        <w:tc>
          <w:tcPr>
            <w:tcW w:w="727" w:type="dxa"/>
            <w:tcBorders>
              <w:top w:val="nil"/>
              <w:left w:val="nil"/>
              <w:bottom w:val="single" w:sz="4"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16 810</w:t>
            </w:r>
          </w:p>
        </w:tc>
        <w:tc>
          <w:tcPr>
            <w:tcW w:w="956" w:type="dxa"/>
            <w:tcBorders>
              <w:top w:val="nil"/>
              <w:left w:val="nil"/>
              <w:bottom w:val="single" w:sz="4"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269 494</w:t>
            </w:r>
          </w:p>
        </w:tc>
        <w:tc>
          <w:tcPr>
            <w:tcW w:w="956" w:type="dxa"/>
            <w:tcBorders>
              <w:top w:val="nil"/>
              <w:left w:val="nil"/>
              <w:bottom w:val="single" w:sz="4" w:space="0" w:color="auto"/>
              <w:right w:val="double" w:sz="6"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174 338</w:t>
            </w:r>
          </w:p>
        </w:tc>
      </w:tr>
      <w:tr w:rsidR="00EE15EF" w:rsidRPr="000A5A02" w:rsidTr="001616A0">
        <w:trPr>
          <w:trHeight w:val="315"/>
        </w:trPr>
        <w:tc>
          <w:tcPr>
            <w:tcW w:w="2991" w:type="dxa"/>
            <w:tcBorders>
              <w:top w:val="nil"/>
              <w:left w:val="double" w:sz="6" w:space="0" w:color="auto"/>
              <w:bottom w:val="single" w:sz="4" w:space="0" w:color="auto"/>
              <w:right w:val="single" w:sz="4" w:space="0" w:color="auto"/>
            </w:tcBorders>
            <w:shd w:val="clear" w:color="auto" w:fill="auto"/>
            <w:vAlign w:val="center"/>
            <w:hideMark/>
          </w:tcPr>
          <w:p w:rsidR="00EE15EF" w:rsidRPr="000A5A02" w:rsidRDefault="00EE15EF" w:rsidP="001616A0">
            <w:pPr>
              <w:rPr>
                <w:rFonts w:ascii="Arial" w:hAnsi="Arial" w:cs="Arial"/>
                <w:b/>
                <w:bCs/>
                <w:sz w:val="18"/>
                <w:szCs w:val="18"/>
              </w:rPr>
            </w:pPr>
            <w:r w:rsidRPr="000A5A02">
              <w:rPr>
                <w:rFonts w:ascii="Arial" w:hAnsi="Arial" w:cs="Arial"/>
                <w:b/>
                <w:bCs/>
                <w:sz w:val="18"/>
                <w:szCs w:val="18"/>
              </w:rPr>
              <w:t>Veřejně prospěšné práce</w:t>
            </w:r>
          </w:p>
        </w:tc>
        <w:tc>
          <w:tcPr>
            <w:tcW w:w="69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14 881</w:t>
            </w:r>
          </w:p>
        </w:tc>
        <w:tc>
          <w:tcPr>
            <w:tcW w:w="724"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14 404</w:t>
            </w:r>
          </w:p>
        </w:tc>
        <w:tc>
          <w:tcPr>
            <w:tcW w:w="69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21 133</w:t>
            </w:r>
          </w:p>
        </w:tc>
        <w:tc>
          <w:tcPr>
            <w:tcW w:w="71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18 247</w:t>
            </w:r>
          </w:p>
        </w:tc>
        <w:tc>
          <w:tcPr>
            <w:tcW w:w="71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12 137</w:t>
            </w:r>
          </w:p>
        </w:tc>
        <w:tc>
          <w:tcPr>
            <w:tcW w:w="75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11 725</w:t>
            </w:r>
          </w:p>
        </w:tc>
        <w:tc>
          <w:tcPr>
            <w:tcW w:w="721"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22 605</w:t>
            </w:r>
          </w:p>
        </w:tc>
        <w:tc>
          <w:tcPr>
            <w:tcW w:w="727"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19 221</w:t>
            </w:r>
          </w:p>
        </w:tc>
        <w:tc>
          <w:tcPr>
            <w:tcW w:w="956" w:type="dxa"/>
            <w:tcBorders>
              <w:top w:val="nil"/>
              <w:left w:val="nil"/>
              <w:bottom w:val="single" w:sz="4"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2 687 116</w:t>
            </w:r>
          </w:p>
        </w:tc>
        <w:tc>
          <w:tcPr>
            <w:tcW w:w="956" w:type="dxa"/>
            <w:tcBorders>
              <w:top w:val="nil"/>
              <w:left w:val="nil"/>
              <w:bottom w:val="single" w:sz="4" w:space="0" w:color="auto"/>
              <w:right w:val="double" w:sz="6"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2 242 218</w:t>
            </w:r>
          </w:p>
        </w:tc>
      </w:tr>
      <w:tr w:rsidR="00EE15EF" w:rsidRPr="000A5A02" w:rsidTr="001616A0">
        <w:trPr>
          <w:trHeight w:val="315"/>
        </w:trPr>
        <w:tc>
          <w:tcPr>
            <w:tcW w:w="2991" w:type="dxa"/>
            <w:tcBorders>
              <w:top w:val="nil"/>
              <w:left w:val="double" w:sz="6" w:space="0" w:color="auto"/>
              <w:bottom w:val="nil"/>
              <w:right w:val="single" w:sz="4" w:space="0" w:color="auto"/>
            </w:tcBorders>
            <w:shd w:val="clear" w:color="auto" w:fill="auto"/>
            <w:vAlign w:val="center"/>
            <w:hideMark/>
          </w:tcPr>
          <w:p w:rsidR="00EE15EF" w:rsidRPr="000A5A02" w:rsidRDefault="00EE15EF" w:rsidP="001616A0">
            <w:pPr>
              <w:rPr>
                <w:rFonts w:ascii="Arial" w:hAnsi="Arial" w:cs="Arial"/>
                <w:sz w:val="18"/>
                <w:szCs w:val="18"/>
              </w:rPr>
            </w:pPr>
            <w:r w:rsidRPr="000A5A02">
              <w:rPr>
                <w:rFonts w:ascii="Arial" w:hAnsi="Arial" w:cs="Arial"/>
                <w:sz w:val="18"/>
                <w:szCs w:val="18"/>
              </w:rPr>
              <w:t xml:space="preserve"> - vytvoření VPP</w:t>
            </w:r>
          </w:p>
        </w:tc>
        <w:tc>
          <w:tcPr>
            <w:tcW w:w="69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4 685</w:t>
            </w:r>
          </w:p>
        </w:tc>
        <w:tc>
          <w:tcPr>
            <w:tcW w:w="724"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8 909</w:t>
            </w:r>
          </w:p>
        </w:tc>
        <w:tc>
          <w:tcPr>
            <w:tcW w:w="69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6 308</w:t>
            </w:r>
          </w:p>
        </w:tc>
        <w:tc>
          <w:tcPr>
            <w:tcW w:w="71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11 742</w:t>
            </w:r>
          </w:p>
        </w:tc>
        <w:tc>
          <w:tcPr>
            <w:tcW w:w="71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3 865</w:t>
            </w:r>
          </w:p>
        </w:tc>
        <w:tc>
          <w:tcPr>
            <w:tcW w:w="75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7 304</w:t>
            </w:r>
          </w:p>
        </w:tc>
        <w:tc>
          <w:tcPr>
            <w:tcW w:w="721"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6 133</w:t>
            </w:r>
          </w:p>
        </w:tc>
        <w:tc>
          <w:tcPr>
            <w:tcW w:w="727"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12 258</w:t>
            </w:r>
          </w:p>
        </w:tc>
        <w:tc>
          <w:tcPr>
            <w:tcW w:w="956"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389 029</w:t>
            </w:r>
          </w:p>
        </w:tc>
        <w:tc>
          <w:tcPr>
            <w:tcW w:w="956" w:type="dxa"/>
            <w:tcBorders>
              <w:top w:val="nil"/>
              <w:left w:val="nil"/>
              <w:bottom w:val="nil"/>
              <w:right w:val="double" w:sz="6"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1 244 001</w:t>
            </w:r>
          </w:p>
        </w:tc>
      </w:tr>
      <w:tr w:rsidR="00EE15EF" w:rsidRPr="000A5A02" w:rsidTr="001616A0">
        <w:trPr>
          <w:trHeight w:val="315"/>
        </w:trPr>
        <w:tc>
          <w:tcPr>
            <w:tcW w:w="2991" w:type="dxa"/>
            <w:tcBorders>
              <w:top w:val="nil"/>
              <w:left w:val="double" w:sz="6" w:space="0" w:color="auto"/>
              <w:bottom w:val="nil"/>
              <w:right w:val="single" w:sz="4" w:space="0" w:color="auto"/>
            </w:tcBorders>
            <w:shd w:val="clear" w:color="auto" w:fill="auto"/>
            <w:vAlign w:val="center"/>
            <w:hideMark/>
          </w:tcPr>
          <w:p w:rsidR="00EE15EF" w:rsidRPr="000A5A02" w:rsidRDefault="00EE15EF" w:rsidP="001616A0">
            <w:pPr>
              <w:rPr>
                <w:rFonts w:ascii="Arial" w:hAnsi="Arial" w:cs="Arial"/>
                <w:sz w:val="18"/>
                <w:szCs w:val="18"/>
              </w:rPr>
            </w:pPr>
            <w:r w:rsidRPr="000A5A02">
              <w:rPr>
                <w:rFonts w:ascii="Arial" w:hAnsi="Arial" w:cs="Arial"/>
                <w:sz w:val="18"/>
                <w:szCs w:val="18"/>
              </w:rPr>
              <w:t xml:space="preserve"> - ESF - VPP NIP</w:t>
            </w:r>
          </w:p>
        </w:tc>
        <w:tc>
          <w:tcPr>
            <w:tcW w:w="69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10 196</w:t>
            </w:r>
          </w:p>
        </w:tc>
        <w:tc>
          <w:tcPr>
            <w:tcW w:w="724"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5 495</w:t>
            </w:r>
          </w:p>
        </w:tc>
        <w:tc>
          <w:tcPr>
            <w:tcW w:w="69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14 825</w:t>
            </w:r>
          </w:p>
        </w:tc>
        <w:tc>
          <w:tcPr>
            <w:tcW w:w="71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6 505</w:t>
            </w:r>
          </w:p>
        </w:tc>
        <w:tc>
          <w:tcPr>
            <w:tcW w:w="71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8 272</w:t>
            </w:r>
          </w:p>
        </w:tc>
        <w:tc>
          <w:tcPr>
            <w:tcW w:w="75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4 421</w:t>
            </w:r>
          </w:p>
        </w:tc>
        <w:tc>
          <w:tcPr>
            <w:tcW w:w="721"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16 472</w:t>
            </w:r>
          </w:p>
        </w:tc>
        <w:tc>
          <w:tcPr>
            <w:tcW w:w="727"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6 963</w:t>
            </w:r>
          </w:p>
        </w:tc>
        <w:tc>
          <w:tcPr>
            <w:tcW w:w="956"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2 298 087</w:t>
            </w:r>
          </w:p>
        </w:tc>
        <w:tc>
          <w:tcPr>
            <w:tcW w:w="956" w:type="dxa"/>
            <w:tcBorders>
              <w:top w:val="nil"/>
              <w:left w:val="nil"/>
              <w:bottom w:val="nil"/>
              <w:right w:val="double" w:sz="6"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998 216</w:t>
            </w:r>
          </w:p>
        </w:tc>
      </w:tr>
      <w:tr w:rsidR="00EE15EF" w:rsidRPr="000A5A02" w:rsidTr="001616A0">
        <w:trPr>
          <w:trHeight w:val="315"/>
        </w:trPr>
        <w:tc>
          <w:tcPr>
            <w:tcW w:w="2991"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EE15EF" w:rsidRPr="000A5A02" w:rsidRDefault="00EE15EF" w:rsidP="001616A0">
            <w:pPr>
              <w:rPr>
                <w:rFonts w:ascii="Arial" w:hAnsi="Arial" w:cs="Arial"/>
                <w:b/>
                <w:bCs/>
                <w:sz w:val="18"/>
                <w:szCs w:val="18"/>
              </w:rPr>
            </w:pPr>
            <w:r w:rsidRPr="000A5A02">
              <w:rPr>
                <w:rFonts w:ascii="Arial" w:hAnsi="Arial" w:cs="Arial"/>
                <w:b/>
                <w:bCs/>
                <w:sz w:val="18"/>
                <w:szCs w:val="18"/>
              </w:rPr>
              <w:t>Společensky účelná pracovní místa</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9 143</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6 497</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24 414</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11 996</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8 614</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6 069</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24 146</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11 898</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3 480 907</w:t>
            </w:r>
          </w:p>
        </w:tc>
        <w:tc>
          <w:tcPr>
            <w:tcW w:w="956" w:type="dxa"/>
            <w:tcBorders>
              <w:top w:val="single" w:sz="4" w:space="0" w:color="auto"/>
              <w:left w:val="nil"/>
              <w:bottom w:val="single" w:sz="4" w:space="0" w:color="auto"/>
              <w:right w:val="double" w:sz="6"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943 165</w:t>
            </w:r>
          </w:p>
        </w:tc>
      </w:tr>
      <w:tr w:rsidR="00EE15EF" w:rsidRPr="000A5A02" w:rsidTr="001616A0">
        <w:trPr>
          <w:trHeight w:val="330"/>
        </w:trPr>
        <w:tc>
          <w:tcPr>
            <w:tcW w:w="2991" w:type="dxa"/>
            <w:tcBorders>
              <w:top w:val="nil"/>
              <w:left w:val="double" w:sz="6" w:space="0" w:color="auto"/>
              <w:bottom w:val="nil"/>
              <w:right w:val="single" w:sz="4" w:space="0" w:color="auto"/>
            </w:tcBorders>
            <w:shd w:val="clear" w:color="auto" w:fill="auto"/>
            <w:vAlign w:val="center"/>
            <w:hideMark/>
          </w:tcPr>
          <w:p w:rsidR="00EE15EF" w:rsidRPr="000A5A02" w:rsidRDefault="00EE15EF" w:rsidP="001616A0">
            <w:pPr>
              <w:rPr>
                <w:rFonts w:ascii="Arial" w:hAnsi="Arial" w:cs="Arial"/>
                <w:sz w:val="18"/>
                <w:szCs w:val="18"/>
              </w:rPr>
            </w:pPr>
            <w:r w:rsidRPr="000A5A02">
              <w:rPr>
                <w:rFonts w:ascii="Arial" w:hAnsi="Arial" w:cs="Arial"/>
                <w:sz w:val="18"/>
                <w:szCs w:val="18"/>
              </w:rPr>
              <w:t xml:space="preserve"> - zřízená u zaměstnavatelů</w:t>
            </w:r>
          </w:p>
        </w:tc>
        <w:tc>
          <w:tcPr>
            <w:tcW w:w="69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106</w:t>
            </w:r>
          </w:p>
        </w:tc>
        <w:tc>
          <w:tcPr>
            <w:tcW w:w="724"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92</w:t>
            </w:r>
          </w:p>
        </w:tc>
        <w:tc>
          <w:tcPr>
            <w:tcW w:w="69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24</w:t>
            </w:r>
          </w:p>
        </w:tc>
        <w:tc>
          <w:tcPr>
            <w:tcW w:w="71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19</w:t>
            </w:r>
          </w:p>
        </w:tc>
        <w:tc>
          <w:tcPr>
            <w:tcW w:w="71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52</w:t>
            </w:r>
          </w:p>
        </w:tc>
        <w:tc>
          <w:tcPr>
            <w:tcW w:w="75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38</w:t>
            </w:r>
          </w:p>
        </w:tc>
        <w:tc>
          <w:tcPr>
            <w:tcW w:w="721"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30</w:t>
            </w:r>
          </w:p>
        </w:tc>
        <w:tc>
          <w:tcPr>
            <w:tcW w:w="727"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17</w:t>
            </w:r>
          </w:p>
        </w:tc>
        <w:tc>
          <w:tcPr>
            <w:tcW w:w="956"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1 910</w:t>
            </w:r>
          </w:p>
        </w:tc>
        <w:tc>
          <w:tcPr>
            <w:tcW w:w="956" w:type="dxa"/>
            <w:tcBorders>
              <w:top w:val="nil"/>
              <w:left w:val="nil"/>
              <w:bottom w:val="nil"/>
              <w:right w:val="double" w:sz="6"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9 639</w:t>
            </w:r>
          </w:p>
        </w:tc>
      </w:tr>
      <w:tr w:rsidR="00EE15EF" w:rsidRPr="000A5A02" w:rsidTr="001616A0">
        <w:trPr>
          <w:trHeight w:val="330"/>
        </w:trPr>
        <w:tc>
          <w:tcPr>
            <w:tcW w:w="2991" w:type="dxa"/>
            <w:tcBorders>
              <w:top w:val="nil"/>
              <w:left w:val="double" w:sz="6" w:space="0" w:color="auto"/>
              <w:bottom w:val="nil"/>
              <w:right w:val="single" w:sz="4" w:space="0" w:color="auto"/>
            </w:tcBorders>
            <w:shd w:val="clear" w:color="auto" w:fill="auto"/>
            <w:vAlign w:val="center"/>
            <w:hideMark/>
          </w:tcPr>
          <w:p w:rsidR="00EE15EF" w:rsidRPr="000A5A02" w:rsidRDefault="00EE15EF" w:rsidP="001616A0">
            <w:pPr>
              <w:rPr>
                <w:rFonts w:ascii="Arial" w:hAnsi="Arial" w:cs="Arial"/>
                <w:sz w:val="18"/>
                <w:szCs w:val="18"/>
              </w:rPr>
            </w:pPr>
            <w:r w:rsidRPr="000A5A02">
              <w:rPr>
                <w:rFonts w:ascii="Arial" w:hAnsi="Arial" w:cs="Arial"/>
                <w:sz w:val="18"/>
                <w:szCs w:val="18"/>
              </w:rPr>
              <w:t xml:space="preserve"> - zřízená u jednotlivců (OSVČ)</w:t>
            </w:r>
          </w:p>
        </w:tc>
        <w:tc>
          <w:tcPr>
            <w:tcW w:w="69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2 217</w:t>
            </w:r>
          </w:p>
        </w:tc>
        <w:tc>
          <w:tcPr>
            <w:tcW w:w="724"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1 687</w:t>
            </w:r>
          </w:p>
        </w:tc>
        <w:tc>
          <w:tcPr>
            <w:tcW w:w="69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1 936</w:t>
            </w:r>
          </w:p>
        </w:tc>
        <w:tc>
          <w:tcPr>
            <w:tcW w:w="71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1 394</w:t>
            </w:r>
          </w:p>
        </w:tc>
        <w:tc>
          <w:tcPr>
            <w:tcW w:w="71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2 217</w:t>
            </w:r>
          </w:p>
        </w:tc>
        <w:tc>
          <w:tcPr>
            <w:tcW w:w="75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1 687</w:t>
            </w:r>
          </w:p>
        </w:tc>
        <w:tc>
          <w:tcPr>
            <w:tcW w:w="721"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1 936</w:t>
            </w:r>
          </w:p>
        </w:tc>
        <w:tc>
          <w:tcPr>
            <w:tcW w:w="727"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1 394</w:t>
            </w:r>
          </w:p>
        </w:tc>
        <w:tc>
          <w:tcPr>
            <w:tcW w:w="956"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99 869</w:t>
            </w:r>
          </w:p>
        </w:tc>
        <w:tc>
          <w:tcPr>
            <w:tcW w:w="956" w:type="dxa"/>
            <w:tcBorders>
              <w:top w:val="nil"/>
              <w:left w:val="nil"/>
              <w:bottom w:val="nil"/>
              <w:right w:val="double" w:sz="6"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74 680</w:t>
            </w:r>
          </w:p>
        </w:tc>
      </w:tr>
      <w:tr w:rsidR="00EE15EF" w:rsidRPr="000A5A02" w:rsidTr="001616A0">
        <w:trPr>
          <w:trHeight w:val="480"/>
        </w:trPr>
        <w:tc>
          <w:tcPr>
            <w:tcW w:w="2991" w:type="dxa"/>
            <w:tcBorders>
              <w:top w:val="nil"/>
              <w:left w:val="double" w:sz="6" w:space="0" w:color="auto"/>
              <w:bottom w:val="nil"/>
              <w:right w:val="single" w:sz="4" w:space="0" w:color="auto"/>
            </w:tcBorders>
            <w:shd w:val="clear" w:color="auto" w:fill="auto"/>
            <w:vAlign w:val="center"/>
            <w:hideMark/>
          </w:tcPr>
          <w:p w:rsidR="00EE15EF" w:rsidRPr="000A5A02" w:rsidRDefault="00EE15EF" w:rsidP="001616A0">
            <w:pPr>
              <w:rPr>
                <w:rFonts w:ascii="Arial" w:hAnsi="Arial" w:cs="Arial"/>
                <w:sz w:val="18"/>
                <w:szCs w:val="18"/>
              </w:rPr>
            </w:pPr>
            <w:r w:rsidRPr="000A5A02">
              <w:rPr>
                <w:rFonts w:ascii="Arial" w:hAnsi="Arial" w:cs="Arial"/>
                <w:sz w:val="18"/>
                <w:szCs w:val="18"/>
              </w:rPr>
              <w:t xml:space="preserve"> - vyhrazená pro konkrétního uchazeče</w:t>
            </w:r>
          </w:p>
        </w:tc>
        <w:tc>
          <w:tcPr>
            <w:tcW w:w="69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2 434</w:t>
            </w:r>
          </w:p>
        </w:tc>
        <w:tc>
          <w:tcPr>
            <w:tcW w:w="724"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1 763</w:t>
            </w:r>
          </w:p>
        </w:tc>
        <w:tc>
          <w:tcPr>
            <w:tcW w:w="69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4 148</w:t>
            </w:r>
          </w:p>
        </w:tc>
        <w:tc>
          <w:tcPr>
            <w:tcW w:w="71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3 603</w:t>
            </w:r>
          </w:p>
        </w:tc>
        <w:tc>
          <w:tcPr>
            <w:tcW w:w="71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2 266</w:t>
            </w:r>
          </w:p>
        </w:tc>
        <w:tc>
          <w:tcPr>
            <w:tcW w:w="75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1 700</w:t>
            </w:r>
          </w:p>
        </w:tc>
        <w:tc>
          <w:tcPr>
            <w:tcW w:w="721"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3 929</w:t>
            </w:r>
          </w:p>
        </w:tc>
        <w:tc>
          <w:tcPr>
            <w:tcW w:w="727"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3 649</w:t>
            </w:r>
          </w:p>
        </w:tc>
        <w:tc>
          <w:tcPr>
            <w:tcW w:w="956"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282 864</w:t>
            </w:r>
          </w:p>
        </w:tc>
        <w:tc>
          <w:tcPr>
            <w:tcW w:w="956" w:type="dxa"/>
            <w:tcBorders>
              <w:top w:val="nil"/>
              <w:left w:val="nil"/>
              <w:bottom w:val="nil"/>
              <w:right w:val="double" w:sz="6"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318 957</w:t>
            </w:r>
          </w:p>
        </w:tc>
      </w:tr>
      <w:tr w:rsidR="00EE15EF" w:rsidRPr="000A5A02" w:rsidTr="001616A0">
        <w:trPr>
          <w:trHeight w:val="315"/>
        </w:trPr>
        <w:tc>
          <w:tcPr>
            <w:tcW w:w="2991" w:type="dxa"/>
            <w:tcBorders>
              <w:top w:val="nil"/>
              <w:left w:val="double" w:sz="6" w:space="0" w:color="auto"/>
              <w:bottom w:val="nil"/>
              <w:right w:val="single" w:sz="4" w:space="0" w:color="auto"/>
            </w:tcBorders>
            <w:shd w:val="clear" w:color="auto" w:fill="auto"/>
            <w:vAlign w:val="center"/>
            <w:hideMark/>
          </w:tcPr>
          <w:p w:rsidR="00EE15EF" w:rsidRPr="000A5A02" w:rsidRDefault="00EE15EF" w:rsidP="001616A0">
            <w:pPr>
              <w:rPr>
                <w:rFonts w:ascii="Arial" w:hAnsi="Arial" w:cs="Arial"/>
                <w:sz w:val="18"/>
                <w:szCs w:val="18"/>
              </w:rPr>
            </w:pPr>
            <w:r w:rsidRPr="000A5A02">
              <w:rPr>
                <w:rFonts w:ascii="Arial" w:hAnsi="Arial" w:cs="Arial"/>
                <w:sz w:val="18"/>
                <w:szCs w:val="18"/>
              </w:rPr>
              <w:t xml:space="preserve"> - ESF - SÚPM NIP</w:t>
            </w:r>
          </w:p>
        </w:tc>
        <w:tc>
          <w:tcPr>
            <w:tcW w:w="69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4 386</w:t>
            </w:r>
          </w:p>
        </w:tc>
        <w:tc>
          <w:tcPr>
            <w:tcW w:w="724"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2 955</w:t>
            </w:r>
          </w:p>
        </w:tc>
        <w:tc>
          <w:tcPr>
            <w:tcW w:w="69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18 306</w:t>
            </w:r>
          </w:p>
        </w:tc>
        <w:tc>
          <w:tcPr>
            <w:tcW w:w="71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6 980</w:t>
            </w:r>
          </w:p>
        </w:tc>
        <w:tc>
          <w:tcPr>
            <w:tcW w:w="71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4 079</w:t>
            </w:r>
          </w:p>
        </w:tc>
        <w:tc>
          <w:tcPr>
            <w:tcW w:w="75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2 644</w:t>
            </w:r>
          </w:p>
        </w:tc>
        <w:tc>
          <w:tcPr>
            <w:tcW w:w="721"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18 251</w:t>
            </w:r>
          </w:p>
        </w:tc>
        <w:tc>
          <w:tcPr>
            <w:tcW w:w="727"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6 838</w:t>
            </w:r>
          </w:p>
        </w:tc>
        <w:tc>
          <w:tcPr>
            <w:tcW w:w="956"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3 096 264</w:t>
            </w:r>
          </w:p>
        </w:tc>
        <w:tc>
          <w:tcPr>
            <w:tcW w:w="956" w:type="dxa"/>
            <w:tcBorders>
              <w:top w:val="nil"/>
              <w:left w:val="nil"/>
              <w:bottom w:val="nil"/>
              <w:right w:val="double" w:sz="6"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539 889</w:t>
            </w:r>
          </w:p>
        </w:tc>
      </w:tr>
      <w:tr w:rsidR="00EE15EF" w:rsidRPr="000A5A02" w:rsidTr="001616A0">
        <w:trPr>
          <w:trHeight w:val="495"/>
        </w:trPr>
        <w:tc>
          <w:tcPr>
            <w:tcW w:w="2991"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EE15EF" w:rsidRPr="000A5A02" w:rsidRDefault="00EE15EF" w:rsidP="001616A0">
            <w:pPr>
              <w:rPr>
                <w:rFonts w:ascii="Arial" w:hAnsi="Arial" w:cs="Arial"/>
                <w:b/>
                <w:bCs/>
                <w:sz w:val="18"/>
                <w:szCs w:val="18"/>
              </w:rPr>
            </w:pPr>
            <w:r w:rsidRPr="000A5A02">
              <w:rPr>
                <w:rFonts w:ascii="Arial" w:hAnsi="Arial" w:cs="Arial"/>
                <w:b/>
                <w:bCs/>
                <w:sz w:val="18"/>
                <w:szCs w:val="18"/>
              </w:rPr>
              <w:t>Zaměstnanost občanů se zdravotním postižením</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2 766</w:t>
            </w:r>
          </w:p>
        </w:tc>
        <w:tc>
          <w:tcPr>
            <w:tcW w:w="724" w:type="dxa"/>
            <w:tcBorders>
              <w:top w:val="single" w:sz="4" w:space="0" w:color="auto"/>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2 385</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838</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604</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1 990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1 946</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1 220</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1 506</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57 994</w:t>
            </w:r>
          </w:p>
        </w:tc>
        <w:tc>
          <w:tcPr>
            <w:tcW w:w="956" w:type="dxa"/>
            <w:tcBorders>
              <w:top w:val="single" w:sz="4" w:space="0" w:color="auto"/>
              <w:left w:val="nil"/>
              <w:bottom w:val="single" w:sz="4" w:space="0" w:color="auto"/>
              <w:right w:val="double" w:sz="6"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44</w:t>
            </w:r>
            <w:r>
              <w:rPr>
                <w:rFonts w:ascii="Arial" w:hAnsi="Arial" w:cs="Arial"/>
                <w:b/>
                <w:bCs/>
                <w:sz w:val="18"/>
                <w:szCs w:val="18"/>
              </w:rPr>
              <w:t> </w:t>
            </w:r>
            <w:r w:rsidRPr="000A5A02">
              <w:rPr>
                <w:rFonts w:ascii="Arial" w:hAnsi="Arial" w:cs="Arial"/>
                <w:b/>
                <w:bCs/>
                <w:sz w:val="18"/>
                <w:szCs w:val="18"/>
              </w:rPr>
              <w:t>946</w:t>
            </w:r>
            <w:r>
              <w:rPr>
                <w:rFonts w:ascii="Arial" w:hAnsi="Arial" w:cs="Arial"/>
                <w:b/>
                <w:bCs/>
                <w:sz w:val="18"/>
                <w:szCs w:val="18"/>
              </w:rPr>
              <w:t xml:space="preserve"> </w:t>
            </w:r>
            <w:r w:rsidRPr="000A5A02">
              <w:rPr>
                <w:rFonts w:ascii="Arial" w:hAnsi="Arial" w:cs="Arial"/>
                <w:bCs/>
                <w:sz w:val="18"/>
                <w:szCs w:val="18"/>
                <w:vertAlign w:val="superscript"/>
              </w:rPr>
              <w:t>5</w:t>
            </w:r>
            <w:r>
              <w:rPr>
                <w:rFonts w:ascii="Arial" w:hAnsi="Arial" w:cs="Arial"/>
                <w:bCs/>
                <w:sz w:val="18"/>
                <w:szCs w:val="18"/>
                <w:vertAlign w:val="superscript"/>
              </w:rPr>
              <w:t>)</w:t>
            </w:r>
          </w:p>
        </w:tc>
      </w:tr>
      <w:tr w:rsidR="00EE15EF" w:rsidRPr="000A5A02" w:rsidTr="001616A0">
        <w:trPr>
          <w:trHeight w:val="330"/>
        </w:trPr>
        <w:tc>
          <w:tcPr>
            <w:tcW w:w="2991" w:type="dxa"/>
            <w:tcBorders>
              <w:top w:val="nil"/>
              <w:left w:val="double" w:sz="6" w:space="0" w:color="auto"/>
              <w:bottom w:val="nil"/>
              <w:right w:val="single" w:sz="4" w:space="0" w:color="auto"/>
            </w:tcBorders>
            <w:shd w:val="clear" w:color="auto" w:fill="auto"/>
            <w:vAlign w:val="center"/>
            <w:hideMark/>
          </w:tcPr>
          <w:p w:rsidR="00EE15EF" w:rsidRPr="000A5A02" w:rsidRDefault="00EE15EF" w:rsidP="001616A0">
            <w:pPr>
              <w:rPr>
                <w:rFonts w:ascii="Arial" w:hAnsi="Arial" w:cs="Arial"/>
                <w:sz w:val="18"/>
                <w:szCs w:val="18"/>
              </w:rPr>
            </w:pPr>
            <w:r w:rsidRPr="000A5A02">
              <w:rPr>
                <w:rFonts w:ascii="Arial" w:hAnsi="Arial" w:cs="Arial"/>
                <w:sz w:val="18"/>
                <w:szCs w:val="18"/>
              </w:rPr>
              <w:t xml:space="preserve"> - zřízení chrán. pracov.  míst </w:t>
            </w:r>
            <w:r w:rsidRPr="000A5A02">
              <w:rPr>
                <w:rFonts w:ascii="Arial" w:hAnsi="Arial" w:cs="Arial"/>
                <w:sz w:val="20"/>
                <w:szCs w:val="20"/>
                <w:vertAlign w:val="superscript"/>
              </w:rPr>
              <w:t>2)</w:t>
            </w:r>
          </w:p>
        </w:tc>
        <w:tc>
          <w:tcPr>
            <w:tcW w:w="69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2 766</w:t>
            </w:r>
          </w:p>
        </w:tc>
        <w:tc>
          <w:tcPr>
            <w:tcW w:w="724"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2 385</w:t>
            </w:r>
          </w:p>
        </w:tc>
        <w:tc>
          <w:tcPr>
            <w:tcW w:w="69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838</w:t>
            </w:r>
          </w:p>
        </w:tc>
        <w:tc>
          <w:tcPr>
            <w:tcW w:w="71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604</w:t>
            </w:r>
          </w:p>
        </w:tc>
        <w:tc>
          <w:tcPr>
            <w:tcW w:w="71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1 803</w:t>
            </w:r>
          </w:p>
        </w:tc>
        <w:tc>
          <w:tcPr>
            <w:tcW w:w="75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1 747</w:t>
            </w:r>
          </w:p>
        </w:tc>
        <w:tc>
          <w:tcPr>
            <w:tcW w:w="721"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899</w:t>
            </w:r>
          </w:p>
        </w:tc>
        <w:tc>
          <w:tcPr>
            <w:tcW w:w="727"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1 187</w:t>
            </w:r>
          </w:p>
        </w:tc>
        <w:tc>
          <w:tcPr>
            <w:tcW w:w="956"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47 867</w:t>
            </w:r>
          </w:p>
        </w:tc>
        <w:tc>
          <w:tcPr>
            <w:tcW w:w="956" w:type="dxa"/>
            <w:tcBorders>
              <w:top w:val="nil"/>
              <w:left w:val="nil"/>
              <w:bottom w:val="nil"/>
              <w:right w:val="double" w:sz="6"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34 408</w:t>
            </w:r>
          </w:p>
        </w:tc>
      </w:tr>
      <w:tr w:rsidR="00EE15EF" w:rsidRPr="000A5A02" w:rsidTr="001616A0">
        <w:trPr>
          <w:trHeight w:val="330"/>
        </w:trPr>
        <w:tc>
          <w:tcPr>
            <w:tcW w:w="2991" w:type="dxa"/>
            <w:tcBorders>
              <w:top w:val="nil"/>
              <w:left w:val="double" w:sz="6" w:space="0" w:color="auto"/>
              <w:bottom w:val="nil"/>
              <w:right w:val="single" w:sz="4" w:space="0" w:color="auto"/>
            </w:tcBorders>
            <w:shd w:val="clear" w:color="auto" w:fill="auto"/>
            <w:vAlign w:val="center"/>
            <w:hideMark/>
          </w:tcPr>
          <w:p w:rsidR="00EE15EF" w:rsidRPr="000A5A02" w:rsidRDefault="00EE15EF" w:rsidP="001616A0">
            <w:pPr>
              <w:rPr>
                <w:rFonts w:ascii="Arial" w:hAnsi="Arial" w:cs="Arial"/>
                <w:sz w:val="18"/>
                <w:szCs w:val="18"/>
              </w:rPr>
            </w:pPr>
            <w:r w:rsidRPr="000A5A02">
              <w:rPr>
                <w:rFonts w:ascii="Arial" w:hAnsi="Arial" w:cs="Arial"/>
                <w:sz w:val="18"/>
                <w:szCs w:val="18"/>
              </w:rPr>
              <w:t xml:space="preserve"> - provoz chrán. pracovních míst </w:t>
            </w:r>
            <w:r w:rsidRPr="000A5A02">
              <w:rPr>
                <w:rFonts w:ascii="Arial" w:hAnsi="Arial" w:cs="Arial"/>
                <w:sz w:val="20"/>
                <w:szCs w:val="20"/>
                <w:vertAlign w:val="superscript"/>
              </w:rPr>
              <w:t>3)</w:t>
            </w:r>
          </w:p>
        </w:tc>
        <w:tc>
          <w:tcPr>
            <w:tcW w:w="696" w:type="dxa"/>
            <w:tcBorders>
              <w:top w:val="nil"/>
              <w:left w:val="nil"/>
              <w:bottom w:val="nil"/>
              <w:right w:val="single" w:sz="4" w:space="0" w:color="auto"/>
            </w:tcBorders>
            <w:shd w:val="clear" w:color="auto" w:fill="auto"/>
            <w:vAlign w:val="center"/>
            <w:hideMark/>
          </w:tcPr>
          <w:p w:rsidR="00EE15EF" w:rsidRPr="000A5A02" w:rsidRDefault="00EE15EF" w:rsidP="001616A0">
            <w:pPr>
              <w:jc w:val="center"/>
              <w:rPr>
                <w:rFonts w:ascii="Arial" w:hAnsi="Arial" w:cs="Arial"/>
                <w:sz w:val="18"/>
                <w:szCs w:val="18"/>
              </w:rPr>
            </w:pPr>
            <w:r w:rsidRPr="000A5A02">
              <w:rPr>
                <w:rFonts w:ascii="Arial" w:hAnsi="Arial" w:cs="Arial"/>
                <w:sz w:val="18"/>
                <w:szCs w:val="18"/>
              </w:rPr>
              <w:t>x</w:t>
            </w:r>
          </w:p>
        </w:tc>
        <w:tc>
          <w:tcPr>
            <w:tcW w:w="724" w:type="dxa"/>
            <w:tcBorders>
              <w:top w:val="nil"/>
              <w:left w:val="nil"/>
              <w:bottom w:val="nil"/>
              <w:right w:val="single" w:sz="4" w:space="0" w:color="auto"/>
            </w:tcBorders>
            <w:shd w:val="clear" w:color="auto" w:fill="auto"/>
            <w:vAlign w:val="center"/>
            <w:hideMark/>
          </w:tcPr>
          <w:p w:rsidR="00EE15EF" w:rsidRPr="000A5A02" w:rsidRDefault="00EE15EF" w:rsidP="001616A0">
            <w:pPr>
              <w:jc w:val="center"/>
              <w:rPr>
                <w:rFonts w:ascii="Arial" w:hAnsi="Arial" w:cs="Arial"/>
                <w:sz w:val="18"/>
                <w:szCs w:val="18"/>
              </w:rPr>
            </w:pPr>
            <w:r w:rsidRPr="000A5A02">
              <w:rPr>
                <w:rFonts w:ascii="Arial" w:hAnsi="Arial" w:cs="Arial"/>
                <w:sz w:val="18"/>
                <w:szCs w:val="18"/>
              </w:rPr>
              <w:t>x</w:t>
            </w:r>
          </w:p>
        </w:tc>
        <w:tc>
          <w:tcPr>
            <w:tcW w:w="696" w:type="dxa"/>
            <w:tcBorders>
              <w:top w:val="nil"/>
              <w:left w:val="nil"/>
              <w:bottom w:val="nil"/>
              <w:right w:val="single" w:sz="4" w:space="0" w:color="auto"/>
            </w:tcBorders>
            <w:shd w:val="clear" w:color="auto" w:fill="auto"/>
            <w:vAlign w:val="center"/>
            <w:hideMark/>
          </w:tcPr>
          <w:p w:rsidR="00EE15EF" w:rsidRPr="000A5A02" w:rsidRDefault="00EE15EF" w:rsidP="001616A0">
            <w:pPr>
              <w:jc w:val="center"/>
              <w:rPr>
                <w:rFonts w:ascii="Arial" w:hAnsi="Arial" w:cs="Arial"/>
                <w:sz w:val="18"/>
                <w:szCs w:val="18"/>
              </w:rPr>
            </w:pPr>
            <w:r w:rsidRPr="000A5A02">
              <w:rPr>
                <w:rFonts w:ascii="Arial" w:hAnsi="Arial" w:cs="Arial"/>
                <w:sz w:val="18"/>
                <w:szCs w:val="18"/>
              </w:rPr>
              <w:t>x</w:t>
            </w:r>
          </w:p>
        </w:tc>
        <w:tc>
          <w:tcPr>
            <w:tcW w:w="716" w:type="dxa"/>
            <w:tcBorders>
              <w:top w:val="nil"/>
              <w:left w:val="nil"/>
              <w:bottom w:val="nil"/>
              <w:right w:val="single" w:sz="4" w:space="0" w:color="auto"/>
            </w:tcBorders>
            <w:shd w:val="clear" w:color="auto" w:fill="auto"/>
            <w:vAlign w:val="center"/>
            <w:hideMark/>
          </w:tcPr>
          <w:p w:rsidR="00EE15EF" w:rsidRPr="000A5A02" w:rsidRDefault="00EE15EF" w:rsidP="001616A0">
            <w:pPr>
              <w:jc w:val="center"/>
              <w:rPr>
                <w:rFonts w:ascii="Arial" w:hAnsi="Arial" w:cs="Arial"/>
                <w:sz w:val="18"/>
                <w:szCs w:val="18"/>
              </w:rPr>
            </w:pPr>
            <w:r w:rsidRPr="000A5A02">
              <w:rPr>
                <w:rFonts w:ascii="Arial" w:hAnsi="Arial" w:cs="Arial"/>
                <w:sz w:val="18"/>
                <w:szCs w:val="18"/>
              </w:rPr>
              <w:t>x</w:t>
            </w:r>
          </w:p>
        </w:tc>
        <w:tc>
          <w:tcPr>
            <w:tcW w:w="71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187</w:t>
            </w:r>
          </w:p>
        </w:tc>
        <w:tc>
          <w:tcPr>
            <w:tcW w:w="756" w:type="dxa"/>
            <w:tcBorders>
              <w:top w:val="nil"/>
              <w:left w:val="nil"/>
              <w:bottom w:val="nil"/>
              <w:right w:val="single" w:sz="4" w:space="0" w:color="auto"/>
            </w:tcBorders>
            <w:shd w:val="clear" w:color="auto" w:fill="auto"/>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199</w:t>
            </w:r>
          </w:p>
        </w:tc>
        <w:tc>
          <w:tcPr>
            <w:tcW w:w="721"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127</w:t>
            </w:r>
          </w:p>
        </w:tc>
        <w:tc>
          <w:tcPr>
            <w:tcW w:w="727"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134</w:t>
            </w:r>
          </w:p>
        </w:tc>
        <w:tc>
          <w:tcPr>
            <w:tcW w:w="956"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3 800</w:t>
            </w:r>
          </w:p>
        </w:tc>
        <w:tc>
          <w:tcPr>
            <w:tcW w:w="956" w:type="dxa"/>
            <w:tcBorders>
              <w:top w:val="nil"/>
              <w:left w:val="nil"/>
              <w:bottom w:val="nil"/>
              <w:right w:val="double" w:sz="6"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4 209</w:t>
            </w:r>
          </w:p>
        </w:tc>
      </w:tr>
      <w:tr w:rsidR="00EE15EF" w:rsidRPr="000A5A02" w:rsidTr="001616A0">
        <w:trPr>
          <w:trHeight w:val="330"/>
        </w:trPr>
        <w:tc>
          <w:tcPr>
            <w:tcW w:w="2991" w:type="dxa"/>
            <w:tcBorders>
              <w:top w:val="nil"/>
              <w:left w:val="double" w:sz="6" w:space="0" w:color="auto"/>
              <w:bottom w:val="single" w:sz="4" w:space="0" w:color="auto"/>
              <w:right w:val="single" w:sz="4" w:space="0" w:color="auto"/>
            </w:tcBorders>
            <w:shd w:val="clear" w:color="auto" w:fill="auto"/>
            <w:vAlign w:val="center"/>
            <w:hideMark/>
          </w:tcPr>
          <w:p w:rsidR="00EE15EF" w:rsidRPr="000A5A02" w:rsidRDefault="00EE15EF" w:rsidP="001616A0">
            <w:pPr>
              <w:rPr>
                <w:rFonts w:ascii="Arial" w:hAnsi="Arial" w:cs="Arial"/>
                <w:sz w:val="18"/>
                <w:szCs w:val="18"/>
              </w:rPr>
            </w:pPr>
            <w:r w:rsidRPr="000A5A02">
              <w:rPr>
                <w:rFonts w:ascii="Arial" w:hAnsi="Arial" w:cs="Arial"/>
                <w:sz w:val="18"/>
                <w:szCs w:val="18"/>
              </w:rPr>
              <w:t xml:space="preserve"> - pracovní rehabilitace</w:t>
            </w:r>
          </w:p>
        </w:tc>
        <w:tc>
          <w:tcPr>
            <w:tcW w:w="69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center"/>
              <w:rPr>
                <w:rFonts w:ascii="Arial" w:hAnsi="Arial" w:cs="Arial"/>
                <w:sz w:val="18"/>
                <w:szCs w:val="18"/>
              </w:rPr>
            </w:pPr>
            <w:r w:rsidRPr="000A5A02">
              <w:rPr>
                <w:rFonts w:ascii="Arial" w:hAnsi="Arial" w:cs="Arial"/>
                <w:sz w:val="18"/>
                <w:szCs w:val="18"/>
              </w:rPr>
              <w:t>x</w:t>
            </w:r>
          </w:p>
        </w:tc>
        <w:tc>
          <w:tcPr>
            <w:tcW w:w="724"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center"/>
              <w:rPr>
                <w:rFonts w:ascii="Arial" w:hAnsi="Arial" w:cs="Arial"/>
                <w:sz w:val="18"/>
                <w:szCs w:val="18"/>
              </w:rPr>
            </w:pPr>
            <w:r w:rsidRPr="000A5A02">
              <w:rPr>
                <w:rFonts w:ascii="Arial" w:hAnsi="Arial" w:cs="Arial"/>
                <w:sz w:val="18"/>
                <w:szCs w:val="18"/>
              </w:rPr>
              <w:t>x</w:t>
            </w:r>
          </w:p>
        </w:tc>
        <w:tc>
          <w:tcPr>
            <w:tcW w:w="69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center"/>
              <w:rPr>
                <w:rFonts w:ascii="Arial" w:hAnsi="Arial" w:cs="Arial"/>
                <w:sz w:val="18"/>
                <w:szCs w:val="18"/>
              </w:rPr>
            </w:pPr>
            <w:r w:rsidRPr="000A5A02">
              <w:rPr>
                <w:rFonts w:ascii="Arial" w:hAnsi="Arial" w:cs="Arial"/>
                <w:sz w:val="18"/>
                <w:szCs w:val="18"/>
              </w:rPr>
              <w:t>x</w:t>
            </w:r>
          </w:p>
        </w:tc>
        <w:tc>
          <w:tcPr>
            <w:tcW w:w="71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center"/>
              <w:rPr>
                <w:rFonts w:ascii="Arial" w:hAnsi="Arial" w:cs="Arial"/>
                <w:sz w:val="18"/>
                <w:szCs w:val="18"/>
              </w:rPr>
            </w:pPr>
            <w:r w:rsidRPr="000A5A02">
              <w:rPr>
                <w:rFonts w:ascii="Arial" w:hAnsi="Arial" w:cs="Arial"/>
                <w:sz w:val="18"/>
                <w:szCs w:val="18"/>
              </w:rPr>
              <w:t>x</w:t>
            </w:r>
          </w:p>
        </w:tc>
        <w:tc>
          <w:tcPr>
            <w:tcW w:w="71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center"/>
              <w:rPr>
                <w:rFonts w:ascii="Arial" w:hAnsi="Arial" w:cs="Arial"/>
                <w:sz w:val="18"/>
                <w:szCs w:val="18"/>
              </w:rPr>
            </w:pPr>
            <w:r w:rsidRPr="000A5A02">
              <w:rPr>
                <w:rFonts w:ascii="Arial" w:hAnsi="Arial" w:cs="Arial"/>
                <w:sz w:val="18"/>
                <w:szCs w:val="18"/>
              </w:rPr>
              <w:t>.</w:t>
            </w:r>
          </w:p>
        </w:tc>
        <w:tc>
          <w:tcPr>
            <w:tcW w:w="75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center"/>
              <w:rPr>
                <w:rFonts w:ascii="Arial" w:hAnsi="Arial" w:cs="Arial"/>
                <w:sz w:val="18"/>
                <w:szCs w:val="18"/>
              </w:rPr>
            </w:pPr>
            <w:r w:rsidRPr="000A5A02">
              <w:rPr>
                <w:rFonts w:ascii="Arial" w:hAnsi="Arial" w:cs="Arial"/>
                <w:sz w:val="18"/>
                <w:szCs w:val="18"/>
              </w:rPr>
              <w:t>.</w:t>
            </w:r>
          </w:p>
        </w:tc>
        <w:tc>
          <w:tcPr>
            <w:tcW w:w="721" w:type="dxa"/>
            <w:tcBorders>
              <w:top w:val="nil"/>
              <w:left w:val="nil"/>
              <w:bottom w:val="single" w:sz="4"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194</w:t>
            </w:r>
          </w:p>
        </w:tc>
        <w:tc>
          <w:tcPr>
            <w:tcW w:w="727" w:type="dxa"/>
            <w:tcBorders>
              <w:top w:val="nil"/>
              <w:left w:val="nil"/>
              <w:bottom w:val="single" w:sz="4"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185</w:t>
            </w:r>
          </w:p>
        </w:tc>
        <w:tc>
          <w:tcPr>
            <w:tcW w:w="956" w:type="dxa"/>
            <w:tcBorders>
              <w:top w:val="nil"/>
              <w:left w:val="nil"/>
              <w:bottom w:val="single" w:sz="4"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6 326</w:t>
            </w:r>
          </w:p>
        </w:tc>
        <w:tc>
          <w:tcPr>
            <w:tcW w:w="956" w:type="dxa"/>
            <w:tcBorders>
              <w:top w:val="nil"/>
              <w:left w:val="nil"/>
              <w:bottom w:val="single" w:sz="4" w:space="0" w:color="auto"/>
              <w:right w:val="double" w:sz="6"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6 317</w:t>
            </w:r>
          </w:p>
        </w:tc>
      </w:tr>
      <w:tr w:rsidR="00EE15EF" w:rsidRPr="000A5A02" w:rsidTr="001616A0">
        <w:trPr>
          <w:trHeight w:val="300"/>
        </w:trPr>
        <w:tc>
          <w:tcPr>
            <w:tcW w:w="2991" w:type="dxa"/>
            <w:tcBorders>
              <w:top w:val="nil"/>
              <w:left w:val="double" w:sz="6" w:space="0" w:color="auto"/>
              <w:bottom w:val="single" w:sz="4" w:space="0" w:color="auto"/>
              <w:right w:val="single" w:sz="4" w:space="0" w:color="auto"/>
            </w:tcBorders>
            <w:shd w:val="clear" w:color="auto" w:fill="auto"/>
            <w:vAlign w:val="center"/>
            <w:hideMark/>
          </w:tcPr>
          <w:p w:rsidR="00EE15EF" w:rsidRPr="000A5A02" w:rsidRDefault="00EE15EF" w:rsidP="001616A0">
            <w:pPr>
              <w:rPr>
                <w:rFonts w:ascii="Arial" w:hAnsi="Arial" w:cs="Arial"/>
                <w:b/>
                <w:bCs/>
                <w:sz w:val="18"/>
                <w:szCs w:val="18"/>
              </w:rPr>
            </w:pPr>
            <w:r w:rsidRPr="000A5A02">
              <w:rPr>
                <w:rFonts w:ascii="Arial" w:hAnsi="Arial" w:cs="Arial"/>
                <w:b/>
                <w:bCs/>
                <w:sz w:val="18"/>
                <w:szCs w:val="18"/>
              </w:rPr>
              <w:t>Cílené programy ESF (RIP)</w:t>
            </w:r>
          </w:p>
        </w:tc>
        <w:tc>
          <w:tcPr>
            <w:tcW w:w="69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2 548</w:t>
            </w:r>
          </w:p>
        </w:tc>
        <w:tc>
          <w:tcPr>
            <w:tcW w:w="724"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4 804</w:t>
            </w:r>
          </w:p>
        </w:tc>
        <w:tc>
          <w:tcPr>
            <w:tcW w:w="69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2 798</w:t>
            </w:r>
          </w:p>
        </w:tc>
        <w:tc>
          <w:tcPr>
            <w:tcW w:w="71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5 781</w:t>
            </w:r>
          </w:p>
        </w:tc>
        <w:tc>
          <w:tcPr>
            <w:tcW w:w="71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2 636</w:t>
            </w:r>
          </w:p>
        </w:tc>
        <w:tc>
          <w:tcPr>
            <w:tcW w:w="756"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4 948</w:t>
            </w:r>
          </w:p>
        </w:tc>
        <w:tc>
          <w:tcPr>
            <w:tcW w:w="721"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3 199</w:t>
            </w:r>
          </w:p>
        </w:tc>
        <w:tc>
          <w:tcPr>
            <w:tcW w:w="727" w:type="dxa"/>
            <w:tcBorders>
              <w:top w:val="nil"/>
              <w:left w:val="nil"/>
              <w:bottom w:val="single" w:sz="4" w:space="0" w:color="auto"/>
              <w:right w:val="single" w:sz="4" w:space="0" w:color="auto"/>
            </w:tcBorders>
            <w:shd w:val="clear" w:color="auto" w:fill="auto"/>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8 794</w:t>
            </w:r>
          </w:p>
        </w:tc>
        <w:tc>
          <w:tcPr>
            <w:tcW w:w="956" w:type="dxa"/>
            <w:tcBorders>
              <w:top w:val="nil"/>
              <w:left w:val="nil"/>
              <w:bottom w:val="single" w:sz="4"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119 812</w:t>
            </w:r>
          </w:p>
        </w:tc>
        <w:tc>
          <w:tcPr>
            <w:tcW w:w="956" w:type="dxa"/>
            <w:tcBorders>
              <w:top w:val="nil"/>
              <w:left w:val="nil"/>
              <w:bottom w:val="single" w:sz="4" w:space="0" w:color="auto"/>
              <w:right w:val="double" w:sz="6"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701 115</w:t>
            </w:r>
          </w:p>
        </w:tc>
      </w:tr>
      <w:tr w:rsidR="00EE15EF" w:rsidRPr="000A5A02" w:rsidTr="001616A0">
        <w:trPr>
          <w:trHeight w:val="300"/>
        </w:trPr>
        <w:tc>
          <w:tcPr>
            <w:tcW w:w="8743" w:type="dxa"/>
            <w:gridSpan w:val="9"/>
            <w:tcBorders>
              <w:top w:val="single" w:sz="4" w:space="0" w:color="auto"/>
              <w:left w:val="double" w:sz="6" w:space="0" w:color="auto"/>
              <w:bottom w:val="single" w:sz="4" w:space="0" w:color="auto"/>
              <w:right w:val="single" w:sz="4" w:space="0" w:color="000000"/>
            </w:tcBorders>
            <w:shd w:val="clear" w:color="auto" w:fill="auto"/>
            <w:vAlign w:val="center"/>
            <w:hideMark/>
          </w:tcPr>
          <w:p w:rsidR="00EE15EF" w:rsidRPr="000A5A02" w:rsidRDefault="00EE15EF" w:rsidP="001616A0">
            <w:pPr>
              <w:rPr>
                <w:rFonts w:ascii="Arial" w:hAnsi="Arial" w:cs="Arial"/>
                <w:b/>
                <w:bCs/>
                <w:sz w:val="18"/>
                <w:szCs w:val="18"/>
              </w:rPr>
            </w:pPr>
            <w:r w:rsidRPr="000A5A02">
              <w:rPr>
                <w:rFonts w:ascii="Arial" w:hAnsi="Arial" w:cs="Arial"/>
                <w:b/>
                <w:bCs/>
                <w:sz w:val="18"/>
                <w:szCs w:val="18"/>
              </w:rPr>
              <w:t>Ostatní podpora zaměstnanosti</w:t>
            </w:r>
          </w:p>
        </w:tc>
        <w:tc>
          <w:tcPr>
            <w:tcW w:w="956" w:type="dxa"/>
            <w:tcBorders>
              <w:top w:val="nil"/>
              <w:left w:val="nil"/>
              <w:bottom w:val="single" w:sz="4"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236 549</w:t>
            </w:r>
          </w:p>
        </w:tc>
        <w:tc>
          <w:tcPr>
            <w:tcW w:w="956" w:type="dxa"/>
            <w:tcBorders>
              <w:top w:val="nil"/>
              <w:left w:val="nil"/>
              <w:bottom w:val="single" w:sz="4" w:space="0" w:color="auto"/>
              <w:right w:val="double" w:sz="6"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561 871</w:t>
            </w:r>
          </w:p>
        </w:tc>
      </w:tr>
      <w:tr w:rsidR="00EE15EF" w:rsidRPr="000A5A02" w:rsidTr="001616A0">
        <w:trPr>
          <w:trHeight w:val="330"/>
        </w:trPr>
        <w:tc>
          <w:tcPr>
            <w:tcW w:w="8743" w:type="dxa"/>
            <w:gridSpan w:val="9"/>
            <w:tcBorders>
              <w:top w:val="single" w:sz="4" w:space="0" w:color="auto"/>
              <w:left w:val="double" w:sz="6" w:space="0" w:color="auto"/>
              <w:bottom w:val="nil"/>
              <w:right w:val="single" w:sz="4" w:space="0" w:color="000000"/>
            </w:tcBorders>
            <w:shd w:val="clear" w:color="auto" w:fill="auto"/>
            <w:vAlign w:val="center"/>
            <w:hideMark/>
          </w:tcPr>
          <w:p w:rsidR="00EE15EF" w:rsidRPr="000A5A02" w:rsidRDefault="00EE15EF" w:rsidP="001616A0">
            <w:pPr>
              <w:rPr>
                <w:rFonts w:ascii="Arial" w:hAnsi="Arial" w:cs="Arial"/>
                <w:sz w:val="18"/>
                <w:szCs w:val="18"/>
              </w:rPr>
            </w:pPr>
            <w:r w:rsidRPr="000A5A02">
              <w:rPr>
                <w:rFonts w:ascii="Arial" w:hAnsi="Arial" w:cs="Arial"/>
                <w:sz w:val="18"/>
                <w:szCs w:val="18"/>
              </w:rPr>
              <w:t xml:space="preserve"> - Investiční pobídky (programy pro podporu tvorby nových pracovních míst)</w:t>
            </w:r>
          </w:p>
        </w:tc>
        <w:tc>
          <w:tcPr>
            <w:tcW w:w="956" w:type="dxa"/>
            <w:tcBorders>
              <w:top w:val="nil"/>
              <w:left w:val="nil"/>
              <w:bottom w:val="nil"/>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42 300</w:t>
            </w:r>
          </w:p>
        </w:tc>
        <w:tc>
          <w:tcPr>
            <w:tcW w:w="956" w:type="dxa"/>
            <w:tcBorders>
              <w:top w:val="nil"/>
              <w:left w:val="nil"/>
              <w:bottom w:val="nil"/>
              <w:right w:val="double" w:sz="6"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59 500</w:t>
            </w:r>
          </w:p>
        </w:tc>
      </w:tr>
      <w:tr w:rsidR="00EE15EF" w:rsidRPr="000A5A02" w:rsidTr="001616A0">
        <w:trPr>
          <w:trHeight w:val="945"/>
        </w:trPr>
        <w:tc>
          <w:tcPr>
            <w:tcW w:w="8743" w:type="dxa"/>
            <w:gridSpan w:val="9"/>
            <w:tcBorders>
              <w:top w:val="nil"/>
              <w:left w:val="double" w:sz="6" w:space="0" w:color="auto"/>
              <w:bottom w:val="single" w:sz="4" w:space="0" w:color="auto"/>
              <w:right w:val="single" w:sz="4" w:space="0" w:color="000000"/>
            </w:tcBorders>
            <w:shd w:val="clear" w:color="auto" w:fill="auto"/>
            <w:vAlign w:val="center"/>
            <w:hideMark/>
          </w:tcPr>
          <w:p w:rsidR="00EE15EF" w:rsidRPr="000A5A02" w:rsidRDefault="00EE15EF" w:rsidP="001616A0">
            <w:pPr>
              <w:rPr>
                <w:rFonts w:ascii="Arial" w:hAnsi="Arial" w:cs="Arial"/>
                <w:sz w:val="18"/>
                <w:szCs w:val="18"/>
              </w:rPr>
            </w:pPr>
            <w:r w:rsidRPr="000A5A02">
              <w:rPr>
                <w:rFonts w:ascii="Arial" w:hAnsi="Arial" w:cs="Arial"/>
                <w:sz w:val="18"/>
                <w:szCs w:val="18"/>
              </w:rPr>
              <w:t xml:space="preserve"> - ESF OP Z ostatní (POVEZ II., Evropské služby zaměstnanosti ČR II. (EURES II.), Efektivní služby zaměstnanosti (EFES), PIPS, Predikce trhu práce, Rozvoj systému podpory zaměstnávání osob se ZP </w:t>
            </w:r>
            <w:r w:rsidRPr="000A5A02">
              <w:rPr>
                <w:rFonts w:ascii="Arial" w:hAnsi="Arial" w:cs="Arial"/>
                <w:sz w:val="18"/>
                <w:szCs w:val="18"/>
              </w:rPr>
              <w:br/>
              <w:t>na volném trhu práce (OZP)) a EU EaSI</w:t>
            </w:r>
          </w:p>
        </w:tc>
        <w:tc>
          <w:tcPr>
            <w:tcW w:w="956" w:type="dxa"/>
            <w:tcBorders>
              <w:top w:val="nil"/>
              <w:left w:val="nil"/>
              <w:bottom w:val="single" w:sz="4"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194 249</w:t>
            </w:r>
          </w:p>
        </w:tc>
        <w:tc>
          <w:tcPr>
            <w:tcW w:w="956" w:type="dxa"/>
            <w:tcBorders>
              <w:top w:val="nil"/>
              <w:left w:val="nil"/>
              <w:bottom w:val="single" w:sz="4" w:space="0" w:color="auto"/>
              <w:right w:val="double" w:sz="6"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502 371</w:t>
            </w:r>
          </w:p>
        </w:tc>
      </w:tr>
      <w:tr w:rsidR="00EE15EF" w:rsidRPr="000A5A02" w:rsidTr="001616A0">
        <w:trPr>
          <w:trHeight w:val="300"/>
        </w:trPr>
        <w:tc>
          <w:tcPr>
            <w:tcW w:w="8743" w:type="dxa"/>
            <w:gridSpan w:val="9"/>
            <w:tcBorders>
              <w:top w:val="single" w:sz="4" w:space="0" w:color="auto"/>
              <w:left w:val="double" w:sz="6" w:space="0" w:color="auto"/>
              <w:bottom w:val="single" w:sz="8" w:space="0" w:color="auto"/>
              <w:right w:val="single" w:sz="4" w:space="0" w:color="000000"/>
            </w:tcBorders>
            <w:shd w:val="clear" w:color="auto" w:fill="auto"/>
            <w:vAlign w:val="center"/>
            <w:hideMark/>
          </w:tcPr>
          <w:p w:rsidR="00EE15EF" w:rsidRPr="000A5A02" w:rsidRDefault="00EE15EF" w:rsidP="001616A0">
            <w:pPr>
              <w:rPr>
                <w:rFonts w:ascii="Arial" w:hAnsi="Arial" w:cs="Arial"/>
                <w:b/>
                <w:bCs/>
                <w:sz w:val="18"/>
                <w:szCs w:val="18"/>
              </w:rPr>
            </w:pPr>
            <w:r w:rsidRPr="000A5A02">
              <w:rPr>
                <w:rFonts w:ascii="Arial" w:hAnsi="Arial" w:cs="Arial"/>
                <w:b/>
                <w:bCs/>
                <w:sz w:val="18"/>
                <w:szCs w:val="18"/>
              </w:rPr>
              <w:t>Ostatní</w:t>
            </w:r>
            <w:r w:rsidRPr="000A5A02">
              <w:rPr>
                <w:rFonts w:ascii="Arial" w:hAnsi="Arial" w:cs="Arial"/>
                <w:sz w:val="18"/>
                <w:szCs w:val="18"/>
              </w:rPr>
              <w:t xml:space="preserve"> </w:t>
            </w:r>
            <w:r w:rsidRPr="000A5A02">
              <w:rPr>
                <w:rFonts w:ascii="Arial" w:hAnsi="Arial" w:cs="Arial"/>
                <w:sz w:val="18"/>
                <w:szCs w:val="18"/>
                <w:vertAlign w:val="superscript"/>
              </w:rPr>
              <w:t>4</w:t>
            </w:r>
            <w:r w:rsidRPr="000A5A02">
              <w:rPr>
                <w:rFonts w:ascii="Arial" w:hAnsi="Arial" w:cs="Arial"/>
                <w:sz w:val="20"/>
                <w:szCs w:val="20"/>
                <w:vertAlign w:val="superscript"/>
              </w:rPr>
              <w:t>)</w:t>
            </w:r>
          </w:p>
        </w:tc>
        <w:tc>
          <w:tcPr>
            <w:tcW w:w="956" w:type="dxa"/>
            <w:tcBorders>
              <w:top w:val="nil"/>
              <w:left w:val="nil"/>
              <w:bottom w:val="single" w:sz="8"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9 004</w:t>
            </w:r>
          </w:p>
        </w:tc>
        <w:tc>
          <w:tcPr>
            <w:tcW w:w="956" w:type="dxa"/>
            <w:tcBorders>
              <w:top w:val="nil"/>
              <w:left w:val="nil"/>
              <w:bottom w:val="single" w:sz="8" w:space="0" w:color="auto"/>
              <w:right w:val="double" w:sz="6" w:space="0" w:color="auto"/>
            </w:tcBorders>
            <w:shd w:val="clear" w:color="auto" w:fill="auto"/>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35 537</w:t>
            </w:r>
          </w:p>
        </w:tc>
      </w:tr>
      <w:tr w:rsidR="00EE15EF" w:rsidRPr="000A5A02" w:rsidTr="001616A0">
        <w:trPr>
          <w:trHeight w:val="300"/>
        </w:trPr>
        <w:tc>
          <w:tcPr>
            <w:tcW w:w="8743" w:type="dxa"/>
            <w:gridSpan w:val="9"/>
            <w:tcBorders>
              <w:top w:val="nil"/>
              <w:left w:val="double" w:sz="6" w:space="0" w:color="auto"/>
              <w:bottom w:val="double" w:sz="6" w:space="0" w:color="auto"/>
              <w:right w:val="single" w:sz="4" w:space="0" w:color="000000"/>
            </w:tcBorders>
            <w:shd w:val="clear" w:color="000000" w:fill="D9D9D9"/>
            <w:noWrap/>
            <w:vAlign w:val="center"/>
            <w:hideMark/>
          </w:tcPr>
          <w:p w:rsidR="00EE15EF" w:rsidRPr="000A5A02" w:rsidRDefault="00EE15EF" w:rsidP="001616A0">
            <w:pPr>
              <w:rPr>
                <w:rFonts w:ascii="Arial" w:hAnsi="Arial" w:cs="Arial"/>
                <w:b/>
                <w:bCs/>
                <w:sz w:val="18"/>
                <w:szCs w:val="18"/>
              </w:rPr>
            </w:pPr>
            <w:r w:rsidRPr="000A5A02">
              <w:rPr>
                <w:rFonts w:ascii="Arial" w:hAnsi="Arial" w:cs="Arial"/>
                <w:b/>
                <w:bCs/>
                <w:sz w:val="18"/>
                <w:szCs w:val="18"/>
              </w:rPr>
              <w:t>Aktivní politika čerpaná na ÚP ČR</w:t>
            </w:r>
          </w:p>
        </w:tc>
        <w:tc>
          <w:tcPr>
            <w:tcW w:w="956" w:type="dxa"/>
            <w:tcBorders>
              <w:top w:val="nil"/>
              <w:left w:val="nil"/>
              <w:bottom w:val="double" w:sz="6" w:space="0" w:color="auto"/>
              <w:right w:val="single" w:sz="4" w:space="0" w:color="auto"/>
            </w:tcBorders>
            <w:shd w:val="clear" w:color="000000" w:fill="D9D9D9"/>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6 860 876</w:t>
            </w:r>
          </w:p>
        </w:tc>
        <w:tc>
          <w:tcPr>
            <w:tcW w:w="956" w:type="dxa"/>
            <w:tcBorders>
              <w:top w:val="nil"/>
              <w:left w:val="nil"/>
              <w:bottom w:val="double" w:sz="6" w:space="0" w:color="auto"/>
              <w:right w:val="double" w:sz="6" w:space="0" w:color="auto"/>
            </w:tcBorders>
            <w:shd w:val="clear" w:color="000000" w:fill="D9D9D9"/>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4 703 189</w:t>
            </w:r>
          </w:p>
        </w:tc>
      </w:tr>
      <w:tr w:rsidR="00EE15EF" w:rsidRPr="000A5A02" w:rsidTr="001616A0">
        <w:trPr>
          <w:trHeight w:val="300"/>
        </w:trPr>
        <w:tc>
          <w:tcPr>
            <w:tcW w:w="8743" w:type="dxa"/>
            <w:gridSpan w:val="9"/>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EE15EF" w:rsidRPr="000A5A02" w:rsidRDefault="00EE15EF" w:rsidP="001616A0">
            <w:pPr>
              <w:rPr>
                <w:rFonts w:ascii="Arial" w:hAnsi="Arial" w:cs="Arial"/>
                <w:sz w:val="18"/>
                <w:szCs w:val="18"/>
              </w:rPr>
            </w:pPr>
            <w:r w:rsidRPr="000A5A02">
              <w:rPr>
                <w:rFonts w:ascii="Arial" w:hAnsi="Arial" w:cs="Arial"/>
                <w:sz w:val="18"/>
                <w:szCs w:val="18"/>
              </w:rPr>
              <w:t xml:space="preserve"> - APZ  ESF</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0</w:t>
            </w:r>
          </w:p>
        </w:tc>
        <w:tc>
          <w:tcPr>
            <w:tcW w:w="956" w:type="dxa"/>
            <w:tcBorders>
              <w:top w:val="single" w:sz="4" w:space="0" w:color="auto"/>
              <w:left w:val="nil"/>
              <w:bottom w:val="single" w:sz="4" w:space="0" w:color="auto"/>
              <w:right w:val="double" w:sz="6"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53 278</w:t>
            </w:r>
          </w:p>
        </w:tc>
      </w:tr>
      <w:tr w:rsidR="00EE15EF" w:rsidRPr="000A5A02" w:rsidTr="001616A0">
        <w:trPr>
          <w:trHeight w:val="300"/>
        </w:trPr>
        <w:tc>
          <w:tcPr>
            <w:tcW w:w="8743" w:type="dxa"/>
            <w:gridSpan w:val="9"/>
            <w:tcBorders>
              <w:top w:val="single" w:sz="4" w:space="0" w:color="auto"/>
              <w:left w:val="double" w:sz="6" w:space="0" w:color="auto"/>
              <w:bottom w:val="single" w:sz="8" w:space="0" w:color="auto"/>
              <w:right w:val="single" w:sz="4" w:space="0" w:color="000000"/>
            </w:tcBorders>
            <w:shd w:val="clear" w:color="auto" w:fill="auto"/>
            <w:noWrap/>
            <w:vAlign w:val="center"/>
            <w:hideMark/>
          </w:tcPr>
          <w:p w:rsidR="00EE15EF" w:rsidRPr="000A5A02" w:rsidRDefault="00EE15EF" w:rsidP="001616A0">
            <w:pPr>
              <w:rPr>
                <w:rFonts w:ascii="Arial" w:hAnsi="Arial" w:cs="Arial"/>
                <w:sz w:val="18"/>
                <w:szCs w:val="18"/>
              </w:rPr>
            </w:pPr>
            <w:r w:rsidRPr="000A5A02">
              <w:rPr>
                <w:rFonts w:ascii="Arial" w:hAnsi="Arial" w:cs="Arial"/>
                <w:sz w:val="18"/>
                <w:szCs w:val="18"/>
              </w:rPr>
              <w:t xml:space="preserve"> - APZ  "národní"</w:t>
            </w:r>
          </w:p>
        </w:tc>
        <w:tc>
          <w:tcPr>
            <w:tcW w:w="956" w:type="dxa"/>
            <w:tcBorders>
              <w:top w:val="nil"/>
              <w:left w:val="nil"/>
              <w:bottom w:val="single" w:sz="8"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5 929</w:t>
            </w:r>
          </w:p>
        </w:tc>
        <w:tc>
          <w:tcPr>
            <w:tcW w:w="956" w:type="dxa"/>
            <w:tcBorders>
              <w:top w:val="nil"/>
              <w:left w:val="nil"/>
              <w:bottom w:val="single" w:sz="8" w:space="0" w:color="auto"/>
              <w:right w:val="double" w:sz="6"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4 175</w:t>
            </w:r>
          </w:p>
        </w:tc>
      </w:tr>
      <w:tr w:rsidR="00EE15EF" w:rsidRPr="000A5A02" w:rsidTr="001616A0">
        <w:trPr>
          <w:trHeight w:val="330"/>
        </w:trPr>
        <w:tc>
          <w:tcPr>
            <w:tcW w:w="8743" w:type="dxa"/>
            <w:gridSpan w:val="9"/>
            <w:tcBorders>
              <w:top w:val="nil"/>
              <w:left w:val="double" w:sz="6" w:space="0" w:color="auto"/>
              <w:bottom w:val="single" w:sz="4" w:space="0" w:color="auto"/>
              <w:right w:val="single" w:sz="4" w:space="0" w:color="000000"/>
            </w:tcBorders>
            <w:shd w:val="clear" w:color="000000" w:fill="D9D9D9"/>
            <w:noWrap/>
            <w:vAlign w:val="center"/>
            <w:hideMark/>
          </w:tcPr>
          <w:p w:rsidR="00EE15EF" w:rsidRPr="000A5A02" w:rsidRDefault="00EE15EF" w:rsidP="001616A0">
            <w:pPr>
              <w:rPr>
                <w:rFonts w:ascii="Arial" w:hAnsi="Arial" w:cs="Arial"/>
                <w:b/>
                <w:bCs/>
                <w:sz w:val="18"/>
                <w:szCs w:val="18"/>
              </w:rPr>
            </w:pPr>
            <w:r w:rsidRPr="000A5A02">
              <w:rPr>
                <w:rFonts w:ascii="Arial" w:hAnsi="Arial" w:cs="Arial"/>
                <w:b/>
                <w:bCs/>
                <w:sz w:val="18"/>
                <w:szCs w:val="18"/>
              </w:rPr>
              <w:t>Aktivní politika čerpaná na MPSV</w:t>
            </w:r>
          </w:p>
        </w:tc>
        <w:tc>
          <w:tcPr>
            <w:tcW w:w="956" w:type="dxa"/>
            <w:tcBorders>
              <w:top w:val="nil"/>
              <w:left w:val="nil"/>
              <w:bottom w:val="nil"/>
              <w:right w:val="single" w:sz="4" w:space="0" w:color="auto"/>
            </w:tcBorders>
            <w:shd w:val="clear" w:color="000000" w:fill="D9D9D9"/>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5 929</w:t>
            </w:r>
          </w:p>
        </w:tc>
        <w:tc>
          <w:tcPr>
            <w:tcW w:w="956" w:type="dxa"/>
            <w:tcBorders>
              <w:top w:val="nil"/>
              <w:left w:val="nil"/>
              <w:bottom w:val="nil"/>
              <w:right w:val="double" w:sz="6" w:space="0" w:color="auto"/>
            </w:tcBorders>
            <w:shd w:val="clear" w:color="000000" w:fill="D9D9D9"/>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57 453</w:t>
            </w:r>
          </w:p>
        </w:tc>
      </w:tr>
      <w:tr w:rsidR="00EE15EF" w:rsidRPr="000A5A02" w:rsidTr="001616A0">
        <w:trPr>
          <w:trHeight w:val="330"/>
        </w:trPr>
        <w:tc>
          <w:tcPr>
            <w:tcW w:w="8743" w:type="dxa"/>
            <w:gridSpan w:val="9"/>
            <w:tcBorders>
              <w:top w:val="double" w:sz="6" w:space="0" w:color="auto"/>
              <w:left w:val="double" w:sz="6" w:space="0" w:color="auto"/>
              <w:bottom w:val="double" w:sz="6" w:space="0" w:color="auto"/>
              <w:right w:val="single" w:sz="4" w:space="0" w:color="000000"/>
            </w:tcBorders>
            <w:shd w:val="clear" w:color="000000" w:fill="BFBFBF"/>
            <w:noWrap/>
            <w:vAlign w:val="center"/>
            <w:hideMark/>
          </w:tcPr>
          <w:p w:rsidR="00EE15EF" w:rsidRPr="000A5A02" w:rsidRDefault="00EE15EF" w:rsidP="001616A0">
            <w:pPr>
              <w:rPr>
                <w:rFonts w:ascii="Arial" w:hAnsi="Arial" w:cs="Arial"/>
                <w:b/>
                <w:bCs/>
                <w:sz w:val="18"/>
                <w:szCs w:val="18"/>
              </w:rPr>
            </w:pPr>
            <w:r w:rsidRPr="000A5A02">
              <w:rPr>
                <w:rFonts w:ascii="Arial" w:hAnsi="Arial" w:cs="Arial"/>
                <w:b/>
                <w:bCs/>
                <w:sz w:val="18"/>
                <w:szCs w:val="18"/>
              </w:rPr>
              <w:t>Aktivní politika zaměstnanosti celkem</w:t>
            </w:r>
          </w:p>
        </w:tc>
        <w:tc>
          <w:tcPr>
            <w:tcW w:w="956" w:type="dxa"/>
            <w:tcBorders>
              <w:top w:val="double" w:sz="6" w:space="0" w:color="auto"/>
              <w:left w:val="nil"/>
              <w:bottom w:val="double" w:sz="6" w:space="0" w:color="auto"/>
              <w:right w:val="single" w:sz="4" w:space="0" w:color="auto"/>
            </w:tcBorders>
            <w:shd w:val="clear" w:color="000000" w:fill="BFBFBF"/>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6 866 805</w:t>
            </w:r>
          </w:p>
        </w:tc>
        <w:tc>
          <w:tcPr>
            <w:tcW w:w="956" w:type="dxa"/>
            <w:tcBorders>
              <w:top w:val="double" w:sz="6" w:space="0" w:color="auto"/>
              <w:left w:val="nil"/>
              <w:bottom w:val="double" w:sz="6" w:space="0" w:color="auto"/>
              <w:right w:val="double" w:sz="6" w:space="0" w:color="auto"/>
            </w:tcBorders>
            <w:shd w:val="clear" w:color="000000" w:fill="BFBFBF"/>
            <w:noWrap/>
            <w:vAlign w:val="center"/>
            <w:hideMark/>
          </w:tcPr>
          <w:p w:rsidR="00EE15EF" w:rsidRPr="000A5A02" w:rsidRDefault="00EE15EF" w:rsidP="001616A0">
            <w:pPr>
              <w:jc w:val="right"/>
              <w:rPr>
                <w:rFonts w:ascii="Arial" w:hAnsi="Arial" w:cs="Arial"/>
                <w:b/>
                <w:bCs/>
                <w:sz w:val="18"/>
                <w:szCs w:val="18"/>
              </w:rPr>
            </w:pPr>
            <w:r w:rsidRPr="000A5A02">
              <w:rPr>
                <w:rFonts w:ascii="Arial" w:hAnsi="Arial" w:cs="Arial"/>
                <w:b/>
                <w:bCs/>
                <w:sz w:val="18"/>
                <w:szCs w:val="18"/>
              </w:rPr>
              <w:t>4 760 642</w:t>
            </w:r>
          </w:p>
        </w:tc>
      </w:tr>
      <w:tr w:rsidR="00EE15EF" w:rsidRPr="000A5A02" w:rsidTr="001616A0">
        <w:trPr>
          <w:trHeight w:val="330"/>
        </w:trPr>
        <w:tc>
          <w:tcPr>
            <w:tcW w:w="8743" w:type="dxa"/>
            <w:gridSpan w:val="9"/>
            <w:tcBorders>
              <w:top w:val="nil"/>
              <w:left w:val="double" w:sz="6" w:space="0" w:color="auto"/>
              <w:bottom w:val="double" w:sz="6" w:space="0" w:color="auto"/>
              <w:right w:val="single" w:sz="4" w:space="0" w:color="000000"/>
            </w:tcBorders>
            <w:shd w:val="clear" w:color="auto" w:fill="auto"/>
            <w:vAlign w:val="center"/>
            <w:hideMark/>
          </w:tcPr>
          <w:p w:rsidR="00EE15EF" w:rsidRPr="000A5A02" w:rsidRDefault="00EE15EF" w:rsidP="001616A0">
            <w:pPr>
              <w:rPr>
                <w:rFonts w:ascii="Arial" w:hAnsi="Arial" w:cs="Arial"/>
                <w:sz w:val="18"/>
                <w:szCs w:val="18"/>
              </w:rPr>
            </w:pPr>
            <w:r w:rsidRPr="000A5A02">
              <w:rPr>
                <w:rFonts w:ascii="Arial" w:hAnsi="Arial" w:cs="Arial"/>
                <w:sz w:val="18"/>
                <w:szCs w:val="18"/>
              </w:rPr>
              <w:t>z  toho:  financování programů ESF celkem</w:t>
            </w:r>
          </w:p>
        </w:tc>
        <w:tc>
          <w:tcPr>
            <w:tcW w:w="956" w:type="dxa"/>
            <w:tcBorders>
              <w:top w:val="nil"/>
              <w:left w:val="nil"/>
              <w:bottom w:val="double" w:sz="6" w:space="0" w:color="auto"/>
              <w:right w:val="single" w:sz="4"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5 860 679</w:t>
            </w:r>
          </w:p>
        </w:tc>
        <w:tc>
          <w:tcPr>
            <w:tcW w:w="956" w:type="dxa"/>
            <w:tcBorders>
              <w:top w:val="nil"/>
              <w:left w:val="nil"/>
              <w:bottom w:val="double" w:sz="6" w:space="0" w:color="auto"/>
              <w:right w:val="double" w:sz="6" w:space="0" w:color="auto"/>
            </w:tcBorders>
            <w:shd w:val="clear" w:color="auto" w:fill="auto"/>
            <w:noWrap/>
            <w:vAlign w:val="center"/>
            <w:hideMark/>
          </w:tcPr>
          <w:p w:rsidR="00EE15EF" w:rsidRPr="000A5A02" w:rsidRDefault="00EE15EF" w:rsidP="001616A0">
            <w:pPr>
              <w:jc w:val="right"/>
              <w:rPr>
                <w:rFonts w:ascii="Arial" w:hAnsi="Arial" w:cs="Arial"/>
                <w:sz w:val="18"/>
                <w:szCs w:val="18"/>
              </w:rPr>
            </w:pPr>
            <w:r w:rsidRPr="000A5A02">
              <w:rPr>
                <w:rFonts w:ascii="Arial" w:hAnsi="Arial" w:cs="Arial"/>
                <w:sz w:val="18"/>
                <w:szCs w:val="18"/>
              </w:rPr>
              <w:t>2 948 024</w:t>
            </w:r>
          </w:p>
        </w:tc>
      </w:tr>
    </w:tbl>
    <w:p w:rsidR="00EE15EF" w:rsidRPr="000A5A02" w:rsidRDefault="00EE15EF" w:rsidP="00EE15EF">
      <w:pPr>
        <w:ind w:left="-851"/>
        <w:jc w:val="both"/>
        <w:rPr>
          <w:rFonts w:ascii="Arial" w:hAnsi="Arial"/>
          <w:i/>
          <w:sz w:val="18"/>
          <w:szCs w:val="18"/>
        </w:rPr>
      </w:pPr>
      <w:r w:rsidRPr="000A5A02">
        <w:rPr>
          <w:rFonts w:ascii="Arial" w:hAnsi="Arial"/>
          <w:i/>
          <w:sz w:val="18"/>
          <w:szCs w:val="18"/>
          <w:vertAlign w:val="superscript"/>
        </w:rPr>
        <w:t>1)</w:t>
      </w:r>
      <w:r w:rsidRPr="000A5A02">
        <w:rPr>
          <w:rFonts w:ascii="Arial" w:hAnsi="Arial"/>
          <w:i/>
          <w:sz w:val="18"/>
          <w:szCs w:val="18"/>
        </w:rPr>
        <w:t xml:space="preserve"> včetně zvolené rekvalifikace a výdaje i vč. rekvalifikací zaměstnanců; finanční prostředky i osoby jsou uvedeny bez RIPů, které obsahuje řádek "Cílené programy ESF - RIP"</w:t>
      </w:r>
    </w:p>
    <w:p w:rsidR="00EE15EF" w:rsidRPr="000A5A02" w:rsidRDefault="00EE15EF" w:rsidP="00EE15EF">
      <w:pPr>
        <w:ind w:left="-851"/>
        <w:jc w:val="both"/>
        <w:rPr>
          <w:rFonts w:ascii="Arial" w:hAnsi="Arial"/>
          <w:i/>
          <w:sz w:val="18"/>
          <w:szCs w:val="18"/>
        </w:rPr>
      </w:pPr>
      <w:r w:rsidRPr="000A5A02">
        <w:rPr>
          <w:rFonts w:ascii="Arial" w:hAnsi="Arial"/>
          <w:i/>
          <w:sz w:val="18"/>
          <w:szCs w:val="18"/>
          <w:vertAlign w:val="superscript"/>
        </w:rPr>
        <w:t>2)</w:t>
      </w:r>
      <w:r w:rsidRPr="000A5A02">
        <w:rPr>
          <w:rFonts w:ascii="Arial" w:hAnsi="Arial"/>
          <w:i/>
          <w:sz w:val="18"/>
          <w:szCs w:val="18"/>
        </w:rPr>
        <w:t xml:space="preserve"> včetně CHPM - SVČ OZP</w:t>
      </w:r>
    </w:p>
    <w:p w:rsidR="00EE15EF" w:rsidRPr="000A5A02" w:rsidRDefault="00EE15EF" w:rsidP="00EE15EF">
      <w:pPr>
        <w:ind w:left="-851"/>
        <w:jc w:val="both"/>
        <w:rPr>
          <w:rFonts w:ascii="Arial" w:hAnsi="Arial"/>
          <w:i/>
          <w:sz w:val="18"/>
          <w:szCs w:val="18"/>
        </w:rPr>
      </w:pPr>
      <w:r w:rsidRPr="000A5A02">
        <w:rPr>
          <w:rFonts w:ascii="Arial" w:hAnsi="Arial"/>
          <w:i/>
          <w:sz w:val="18"/>
          <w:szCs w:val="18"/>
          <w:vertAlign w:val="superscript"/>
        </w:rPr>
        <w:t>3)</w:t>
      </w:r>
      <w:r w:rsidRPr="000A5A02">
        <w:rPr>
          <w:rFonts w:ascii="Arial" w:hAnsi="Arial"/>
          <w:i/>
          <w:sz w:val="18"/>
          <w:szCs w:val="18"/>
        </w:rPr>
        <w:t xml:space="preserve"> počet osob (zaměstnanců, OSVČ)</w:t>
      </w:r>
    </w:p>
    <w:p w:rsidR="00EE15EF" w:rsidRPr="000A5A02" w:rsidRDefault="00EE15EF" w:rsidP="00EE15EF">
      <w:pPr>
        <w:ind w:left="-851"/>
        <w:jc w:val="both"/>
        <w:rPr>
          <w:rFonts w:ascii="Arial" w:hAnsi="Arial"/>
          <w:i/>
          <w:sz w:val="18"/>
          <w:szCs w:val="18"/>
        </w:rPr>
      </w:pPr>
      <w:r w:rsidRPr="000A5A02">
        <w:rPr>
          <w:rFonts w:ascii="Arial" w:hAnsi="Arial"/>
          <w:i/>
          <w:sz w:val="18"/>
          <w:szCs w:val="18"/>
          <w:vertAlign w:val="superscript"/>
        </w:rPr>
        <w:t>4)</w:t>
      </w:r>
      <w:r w:rsidRPr="000A5A02">
        <w:rPr>
          <w:rFonts w:ascii="Arial" w:hAnsi="Arial"/>
          <w:i/>
          <w:sz w:val="18"/>
          <w:szCs w:val="18"/>
        </w:rPr>
        <w:t xml:space="preserve"> položky ostatní zahrnují APZ jinde nespecifikovanou (nákup služeb, ostatní nástroje – příspěvek na zapracování, překlenovací příspěvek, příspěvek na podporu regionální mobility - na dojížďku a přestěhování) a čerpání z</w:t>
      </w:r>
      <w:r w:rsidR="00FB132C">
        <w:rPr>
          <w:rFonts w:ascii="Arial" w:hAnsi="Arial"/>
          <w:i/>
          <w:sz w:val="18"/>
          <w:szCs w:val="18"/>
        </w:rPr>
        <w:t> </w:t>
      </w:r>
      <w:r w:rsidRPr="000A5A02">
        <w:rPr>
          <w:rFonts w:ascii="Arial" w:hAnsi="Arial"/>
          <w:i/>
          <w:sz w:val="18"/>
          <w:szCs w:val="18"/>
        </w:rPr>
        <w:t>mimorozpočtových zdrojů</w:t>
      </w:r>
    </w:p>
    <w:p w:rsidR="00EE15EF" w:rsidRPr="00E73064" w:rsidRDefault="00EE15EF" w:rsidP="00EE15EF">
      <w:pPr>
        <w:ind w:left="-851"/>
        <w:jc w:val="both"/>
        <w:rPr>
          <w:rFonts w:ascii="Arial" w:hAnsi="Arial"/>
          <w:i/>
          <w:sz w:val="18"/>
          <w:szCs w:val="18"/>
        </w:rPr>
      </w:pPr>
      <w:r w:rsidRPr="000A5A02">
        <w:rPr>
          <w:rFonts w:ascii="Arial" w:hAnsi="Arial"/>
          <w:i/>
          <w:sz w:val="18"/>
          <w:szCs w:val="18"/>
          <w:vertAlign w:val="superscript"/>
        </w:rPr>
        <w:t>5)</w:t>
      </w:r>
      <w:r w:rsidRPr="000A5A02">
        <w:rPr>
          <w:rFonts w:ascii="Arial" w:hAnsi="Arial"/>
          <w:i/>
          <w:sz w:val="18"/>
          <w:szCs w:val="18"/>
        </w:rPr>
        <w:t xml:space="preserve"> celkové výdaje v řádku "Zaměstnanost občanů se zdravotním postižením" uvedeny vč. položky "ostatní nezařazeno"</w:t>
      </w:r>
    </w:p>
    <w:p w:rsidR="00EE15EF" w:rsidRDefault="00EE15EF" w:rsidP="00EE15EF">
      <w:pPr>
        <w:jc w:val="center"/>
        <w:rPr>
          <w:rFonts w:ascii="Arial" w:hAnsi="Arial"/>
        </w:rPr>
      </w:pPr>
    </w:p>
    <w:p w:rsidR="00EE15EF" w:rsidRDefault="00EE15EF" w:rsidP="00EE15EF">
      <w:pPr>
        <w:jc w:val="center"/>
        <w:rPr>
          <w:rFonts w:ascii="Arial" w:hAnsi="Arial"/>
        </w:rPr>
      </w:pPr>
    </w:p>
    <w:p w:rsidR="00AD24E2" w:rsidRPr="00721676" w:rsidRDefault="00AD24E2" w:rsidP="00AD24E2">
      <w:pPr>
        <w:spacing w:line="360" w:lineRule="auto"/>
        <w:ind w:firstLine="567"/>
        <w:jc w:val="both"/>
        <w:rPr>
          <w:rFonts w:ascii="Arial" w:hAnsi="Arial" w:cs="Arial"/>
        </w:rPr>
      </w:pPr>
      <w:r w:rsidRPr="00D82F20">
        <w:rPr>
          <w:rFonts w:ascii="Arial" w:hAnsi="Arial"/>
          <w:b/>
        </w:rPr>
        <w:lastRenderedPageBreak/>
        <w:t>V roce 2017</w:t>
      </w:r>
      <w:r w:rsidRPr="00D82F20">
        <w:rPr>
          <w:rFonts w:ascii="Arial" w:hAnsi="Arial"/>
        </w:rPr>
        <w:t xml:space="preserve"> </w:t>
      </w:r>
      <w:r w:rsidRPr="00D82F20">
        <w:rPr>
          <w:rFonts w:ascii="Arial" w:hAnsi="Arial" w:cs="Arial"/>
          <w:b/>
        </w:rPr>
        <w:t>se rekvalifikovalo celkem 18 174 osob</w:t>
      </w:r>
      <w:r w:rsidRPr="00D82F20">
        <w:rPr>
          <w:rFonts w:ascii="Arial" w:hAnsi="Arial" w:cs="Arial"/>
        </w:rPr>
        <w:t xml:space="preserve"> (o 4</w:t>
      </w:r>
      <w:r w:rsidRPr="006A4A3E">
        <w:rPr>
          <w:rFonts w:ascii="Arial" w:hAnsi="Arial" w:cs="Arial"/>
        </w:rPr>
        <w:t xml:space="preserve">,4 tis. méně než </w:t>
      </w:r>
      <w:r w:rsidRPr="00C2783F">
        <w:rPr>
          <w:rFonts w:ascii="Arial" w:hAnsi="Arial" w:cs="Arial"/>
        </w:rPr>
        <w:t xml:space="preserve">v roce 2016). Z toho se v rámci </w:t>
      </w:r>
      <w:r w:rsidRPr="00C2783F">
        <w:rPr>
          <w:rFonts w:ascii="Arial" w:hAnsi="Arial" w:cs="Arial"/>
          <w:b/>
        </w:rPr>
        <w:t>zvolené rekvalifikace (ZR)</w:t>
      </w:r>
      <w:r w:rsidRPr="00C2783F">
        <w:rPr>
          <w:rFonts w:ascii="Arial" w:hAnsi="Arial" w:cs="Arial"/>
        </w:rPr>
        <w:t xml:space="preserve"> v</w:t>
      </w:r>
      <w:r w:rsidRPr="00C2783F">
        <w:rPr>
          <w:rFonts w:ascii="Arial" w:hAnsi="Arial"/>
        </w:rPr>
        <w:t xml:space="preserve"> roce 2017 </w:t>
      </w:r>
      <w:r w:rsidRPr="00C2783F">
        <w:rPr>
          <w:rFonts w:ascii="Arial" w:hAnsi="Arial" w:cs="Arial"/>
        </w:rPr>
        <w:t xml:space="preserve">rekvalifikovalo </w:t>
      </w:r>
      <w:r w:rsidRPr="00B21F46">
        <w:rPr>
          <w:rFonts w:ascii="Arial" w:hAnsi="Arial" w:cs="Arial"/>
          <w:b/>
        </w:rPr>
        <w:t>6 696 osob</w:t>
      </w:r>
      <w:r w:rsidRPr="00B21F46">
        <w:rPr>
          <w:rFonts w:ascii="Arial" w:hAnsi="Arial" w:cs="Arial"/>
        </w:rPr>
        <w:t xml:space="preserve"> </w:t>
      </w:r>
      <w:r w:rsidRPr="00E757A8">
        <w:rPr>
          <w:rFonts w:ascii="Arial" w:hAnsi="Arial" w:cs="Arial"/>
        </w:rPr>
        <w:t xml:space="preserve">(tj. 36,8 % z celkového počtu rekvalifikovaných), což je oproti stejnému období minulého </w:t>
      </w:r>
      <w:r w:rsidRPr="004C0881">
        <w:rPr>
          <w:rFonts w:ascii="Arial" w:hAnsi="Arial" w:cs="Arial"/>
        </w:rPr>
        <w:t>roku o 3,0 tis</w:t>
      </w:r>
      <w:r w:rsidRPr="00721676">
        <w:rPr>
          <w:rFonts w:ascii="Arial" w:hAnsi="Arial" w:cs="Arial"/>
        </w:rPr>
        <w:t>., tj. o 31,0 %, méně. Meziroční pokles účastníků rekvalifikace souvisí se snižováním počtu uchazečů o zaměstnání evidovaných na ÚP ČR.</w:t>
      </w:r>
    </w:p>
    <w:p w:rsidR="00AD24E2" w:rsidRPr="00F11AF2" w:rsidRDefault="00AD24E2" w:rsidP="00AD24E2">
      <w:pPr>
        <w:spacing w:line="360" w:lineRule="auto"/>
        <w:ind w:firstLine="567"/>
        <w:jc w:val="both"/>
        <w:rPr>
          <w:rFonts w:ascii="Arial" w:hAnsi="Arial" w:cs="Arial"/>
        </w:rPr>
      </w:pPr>
      <w:r w:rsidRPr="00B21F46">
        <w:rPr>
          <w:rFonts w:ascii="Arial" w:hAnsi="Arial"/>
        </w:rPr>
        <w:t>V</w:t>
      </w:r>
      <w:r w:rsidRPr="00B21F46">
        <w:rPr>
          <w:rFonts w:ascii="Arial" w:hAnsi="Arial"/>
          <w:b/>
        </w:rPr>
        <w:t> roce 2017</w:t>
      </w:r>
      <w:r w:rsidRPr="00B21F46">
        <w:rPr>
          <w:rFonts w:ascii="Arial" w:hAnsi="Arial"/>
        </w:rPr>
        <w:t xml:space="preserve"> </w:t>
      </w:r>
      <w:r w:rsidRPr="00B21F46">
        <w:rPr>
          <w:rFonts w:ascii="Arial" w:hAnsi="Arial" w:cs="Arial"/>
        </w:rPr>
        <w:t xml:space="preserve">bylo na </w:t>
      </w:r>
      <w:r w:rsidRPr="00B21F46">
        <w:rPr>
          <w:rFonts w:ascii="Arial" w:hAnsi="Arial" w:cs="Arial"/>
          <w:b/>
        </w:rPr>
        <w:t xml:space="preserve">rekvalifikace, vč. zvolených rekvalifikací, vyčerpáno </w:t>
      </w:r>
      <w:r w:rsidRPr="001A03E7">
        <w:rPr>
          <w:rFonts w:ascii="Arial" w:hAnsi="Arial" w:cs="Arial"/>
          <w:b/>
        </w:rPr>
        <w:t>174 338 tis. </w:t>
      </w:r>
      <w:r w:rsidRPr="002A0ADF">
        <w:rPr>
          <w:rFonts w:ascii="Arial" w:hAnsi="Arial" w:cs="Arial"/>
          <w:b/>
        </w:rPr>
        <w:t>Kč</w:t>
      </w:r>
      <w:r w:rsidRPr="002A0ADF">
        <w:rPr>
          <w:rFonts w:ascii="Arial" w:hAnsi="Arial" w:cs="Arial"/>
        </w:rPr>
        <w:t>, tj.</w:t>
      </w:r>
      <w:r w:rsidRPr="002A0ADF">
        <w:rPr>
          <w:rFonts w:ascii="Arial" w:hAnsi="Arial" w:cs="Arial"/>
          <w:b/>
        </w:rPr>
        <w:t> 3,7 %</w:t>
      </w:r>
      <w:r w:rsidRPr="002A0ADF">
        <w:rPr>
          <w:rFonts w:ascii="Arial" w:hAnsi="Arial" w:cs="Arial"/>
        </w:rPr>
        <w:t xml:space="preserve"> všech </w:t>
      </w:r>
      <w:r w:rsidRPr="001A03E7">
        <w:rPr>
          <w:rFonts w:ascii="Arial" w:hAnsi="Arial"/>
        </w:rPr>
        <w:t xml:space="preserve">finančních </w:t>
      </w:r>
      <w:r w:rsidRPr="001A03E7">
        <w:rPr>
          <w:rFonts w:ascii="Arial" w:hAnsi="Arial" w:cs="Arial"/>
        </w:rPr>
        <w:t xml:space="preserve">prostředků </w:t>
      </w:r>
      <w:r w:rsidRPr="001A03E7">
        <w:rPr>
          <w:rFonts w:ascii="Arial" w:hAnsi="Arial"/>
          <w:bCs/>
        </w:rPr>
        <w:t xml:space="preserve">čerpaných </w:t>
      </w:r>
      <w:r w:rsidRPr="001A03E7">
        <w:rPr>
          <w:rFonts w:ascii="Arial" w:hAnsi="Arial" w:cs="Arial"/>
        </w:rPr>
        <w:t>ÚP ČR (</w:t>
      </w:r>
      <w:r w:rsidRPr="0065483F">
        <w:rPr>
          <w:rFonts w:ascii="Arial" w:hAnsi="Arial" w:cs="Arial"/>
          <w:bCs/>
        </w:rPr>
        <w:t>v </w:t>
      </w:r>
      <w:r w:rsidRPr="0065483F">
        <w:rPr>
          <w:rFonts w:ascii="Arial" w:hAnsi="Arial" w:cs="Arial"/>
        </w:rPr>
        <w:t xml:space="preserve">roce 2016 bylo </w:t>
      </w:r>
      <w:r w:rsidRPr="00F11AF2">
        <w:rPr>
          <w:rFonts w:ascii="Arial" w:hAnsi="Arial" w:cs="Arial"/>
        </w:rPr>
        <w:t xml:space="preserve">vyčerpáno 269 494 tis. Kč). </w:t>
      </w:r>
    </w:p>
    <w:p w:rsidR="00AD24E2" w:rsidRPr="00BB65D4" w:rsidRDefault="00AD24E2" w:rsidP="00AD24E2">
      <w:pPr>
        <w:spacing w:line="360" w:lineRule="auto"/>
        <w:ind w:firstLine="567"/>
        <w:jc w:val="both"/>
        <w:rPr>
          <w:rFonts w:ascii="Arial" w:hAnsi="Arial" w:cs="Arial"/>
        </w:rPr>
      </w:pPr>
      <w:r w:rsidRPr="00F11AF2">
        <w:rPr>
          <w:rFonts w:ascii="Arial" w:hAnsi="Arial" w:cs="Arial"/>
        </w:rPr>
        <w:t xml:space="preserve">Nejvíce prostředků z celkového objemu prostředků ÚP ČR vynaložených na rekvalifikace bylo na tento nástroj čerpáno v Moravskoslezském (19,1 %) </w:t>
      </w:r>
      <w:r w:rsidRPr="0071032A">
        <w:rPr>
          <w:rFonts w:ascii="Arial" w:hAnsi="Arial" w:cs="Arial"/>
        </w:rPr>
        <w:t xml:space="preserve">a Zlínském </w:t>
      </w:r>
      <w:r w:rsidRPr="00BB65D4">
        <w:rPr>
          <w:rFonts w:ascii="Arial" w:hAnsi="Arial" w:cs="Arial"/>
        </w:rPr>
        <w:t>kraji (12,7 %).</w:t>
      </w:r>
    </w:p>
    <w:p w:rsidR="00AD24E2" w:rsidRPr="00BB65D4" w:rsidRDefault="00AD24E2" w:rsidP="00AD24E2">
      <w:pPr>
        <w:spacing w:line="360" w:lineRule="auto"/>
        <w:ind w:firstLine="567"/>
        <w:jc w:val="both"/>
        <w:rPr>
          <w:rFonts w:ascii="Arial" w:hAnsi="Arial" w:cs="Arial"/>
        </w:rPr>
      </w:pPr>
      <w:r w:rsidRPr="00BB65D4">
        <w:rPr>
          <w:rFonts w:ascii="Arial" w:hAnsi="Arial" w:cs="Arial"/>
          <w:b/>
        </w:rPr>
        <w:t>Poradenské činnosti</w:t>
      </w:r>
      <w:r w:rsidRPr="00BB65D4">
        <w:rPr>
          <w:rFonts w:ascii="Arial" w:hAnsi="Arial" w:cs="Arial"/>
        </w:rPr>
        <w:t xml:space="preserve"> </w:t>
      </w:r>
      <w:r w:rsidRPr="00BB65D4">
        <w:rPr>
          <w:rFonts w:ascii="Arial" w:hAnsi="Arial" w:cs="Arial"/>
          <w:b/>
        </w:rPr>
        <w:t>(POR)</w:t>
      </w:r>
      <w:r w:rsidRPr="00BB65D4">
        <w:rPr>
          <w:rFonts w:ascii="Arial" w:hAnsi="Arial" w:cs="Arial"/>
        </w:rPr>
        <w:t xml:space="preserve"> byly v </w:t>
      </w:r>
      <w:r w:rsidRPr="00BB65D4">
        <w:rPr>
          <w:rFonts w:ascii="Arial" w:hAnsi="Arial"/>
          <w:b/>
        </w:rPr>
        <w:t xml:space="preserve">roce 2017 </w:t>
      </w:r>
      <w:r w:rsidRPr="00BB65D4">
        <w:rPr>
          <w:rFonts w:ascii="Arial" w:hAnsi="Arial" w:cs="Arial"/>
        </w:rPr>
        <w:t>zabezpečovány jak interně speciálními poradci - zaměstnanci ÚP ČR, tak externě prostřednictvím nákupu poradenských služeb. Externí poradenské služby byly využívány v těch případech, kdy daný typ poradenství nebylo možné zabezpečit ze strany ÚP ČR vlastními zaměstnanci, nebo bylo v případě potřeby nutné zvýšit kapacitu poradenství zabezpečovaného vlastními zaměstnanci ÚP ČR.</w:t>
      </w:r>
    </w:p>
    <w:p w:rsidR="00AD24E2" w:rsidRPr="00B9177D" w:rsidRDefault="00AD24E2" w:rsidP="00AD24E2">
      <w:pPr>
        <w:spacing w:line="360" w:lineRule="auto"/>
        <w:ind w:firstLine="567"/>
        <w:jc w:val="both"/>
        <w:rPr>
          <w:rFonts w:ascii="Arial" w:hAnsi="Arial" w:cs="Arial"/>
        </w:rPr>
      </w:pPr>
      <w:r w:rsidRPr="00512D8B">
        <w:rPr>
          <w:rFonts w:ascii="Arial" w:hAnsi="Arial" w:cs="Arial"/>
          <w:b/>
        </w:rPr>
        <w:t>Interní poradenství</w:t>
      </w:r>
      <w:r w:rsidRPr="00512D8B">
        <w:rPr>
          <w:rFonts w:ascii="Arial" w:hAnsi="Arial" w:cs="Arial"/>
        </w:rPr>
        <w:t xml:space="preserve"> zabezpečované zaměstnanci útvarů poradenství a dalšího vzdělávání ÚP ČR bylo zaměřeno jak na skupinové poradenské aktivity, tak především na individuální poradenství klientům. Tematicky byly poradenské aktivity zaměřeny na poradenství pro volbu povolání, příp. změnu profesní orientace, které zabezpečují především zaměstnanci Informačních a poradenských středisek (IPS), a jsou poskytovány jak žákům a studentům (případně jejich rodičům), tak zároveň i uchazečům o zaměstnání. </w:t>
      </w:r>
      <w:r w:rsidRPr="00512D8B">
        <w:rPr>
          <w:rFonts w:ascii="Arial" w:hAnsi="Arial" w:cs="Arial"/>
          <w:b/>
        </w:rPr>
        <w:t>V rámci poradenství pro volbu povolání bylo</w:t>
      </w:r>
      <w:r w:rsidRPr="00512D8B">
        <w:rPr>
          <w:rFonts w:ascii="Arial" w:hAnsi="Arial" w:cs="Arial"/>
        </w:rPr>
        <w:t xml:space="preserve"> poradci IPS </w:t>
      </w:r>
      <w:r w:rsidRPr="00512D8B">
        <w:rPr>
          <w:rFonts w:ascii="Arial" w:hAnsi="Arial" w:cs="Arial"/>
          <w:b/>
        </w:rPr>
        <w:t xml:space="preserve">zrealizováno </w:t>
      </w:r>
      <w:r w:rsidRPr="00C246E5">
        <w:rPr>
          <w:rFonts w:ascii="Arial" w:hAnsi="Arial" w:cs="Arial"/>
          <w:b/>
        </w:rPr>
        <w:t>celkem</w:t>
      </w:r>
      <w:r w:rsidRPr="00C246E5">
        <w:rPr>
          <w:rFonts w:ascii="Arial" w:hAnsi="Arial" w:cs="Arial"/>
        </w:rPr>
        <w:t xml:space="preserve"> </w:t>
      </w:r>
      <w:r w:rsidRPr="00C246E5">
        <w:rPr>
          <w:rFonts w:ascii="Arial" w:hAnsi="Arial" w:cs="Arial"/>
          <w:b/>
        </w:rPr>
        <w:t>4 534 skupinových akcí pro školy</w:t>
      </w:r>
      <w:r w:rsidRPr="00C246E5">
        <w:rPr>
          <w:rFonts w:ascii="Arial" w:hAnsi="Arial" w:cs="Arial"/>
        </w:rPr>
        <w:t xml:space="preserve">, kterých se zúčastnilo </w:t>
      </w:r>
      <w:r w:rsidRPr="00C246E5">
        <w:rPr>
          <w:rFonts w:ascii="Arial" w:hAnsi="Arial" w:cs="Arial"/>
          <w:b/>
        </w:rPr>
        <w:t>9</w:t>
      </w:r>
      <w:r w:rsidR="005B496B">
        <w:rPr>
          <w:rFonts w:ascii="Arial" w:hAnsi="Arial" w:cs="Arial"/>
          <w:b/>
        </w:rPr>
        <w:t>7</w:t>
      </w:r>
      <w:r w:rsidRPr="00C246E5">
        <w:rPr>
          <w:rFonts w:ascii="Arial" w:hAnsi="Arial" w:cs="Arial"/>
          <w:b/>
        </w:rPr>
        <w:t> 251 žáků, či studentů</w:t>
      </w:r>
      <w:r w:rsidRPr="009718F9">
        <w:rPr>
          <w:rFonts w:ascii="Arial" w:hAnsi="Arial" w:cs="Arial"/>
        </w:rPr>
        <w:t>. Dále bylo IPS v </w:t>
      </w:r>
      <w:r w:rsidRPr="009718F9">
        <w:rPr>
          <w:rFonts w:ascii="Arial" w:hAnsi="Arial"/>
        </w:rPr>
        <w:t>roce 2017</w:t>
      </w:r>
      <w:r w:rsidRPr="009718F9">
        <w:rPr>
          <w:rFonts w:ascii="Arial" w:hAnsi="Arial"/>
          <w:b/>
        </w:rPr>
        <w:t xml:space="preserve"> </w:t>
      </w:r>
      <w:r w:rsidRPr="009718F9">
        <w:rPr>
          <w:rFonts w:ascii="Arial" w:hAnsi="Arial" w:cs="Arial"/>
        </w:rPr>
        <w:t xml:space="preserve">uspořádáno celkem </w:t>
      </w:r>
      <w:r w:rsidRPr="009718F9">
        <w:rPr>
          <w:rFonts w:ascii="Arial" w:hAnsi="Arial" w:cs="Arial"/>
          <w:b/>
        </w:rPr>
        <w:t xml:space="preserve">3 917 akcí </w:t>
      </w:r>
      <w:r w:rsidRPr="00142852">
        <w:rPr>
          <w:rFonts w:ascii="Arial" w:hAnsi="Arial" w:cs="Arial"/>
          <w:b/>
        </w:rPr>
        <w:t>pro 31 </w:t>
      </w:r>
      <w:r w:rsidRPr="00B9177D">
        <w:rPr>
          <w:rFonts w:ascii="Arial" w:hAnsi="Arial" w:cs="Arial"/>
          <w:b/>
        </w:rPr>
        <w:t>641 uchazečů o zaměstnání</w:t>
      </w:r>
      <w:r w:rsidRPr="00B9177D">
        <w:rPr>
          <w:rFonts w:ascii="Arial" w:hAnsi="Arial" w:cs="Arial"/>
        </w:rPr>
        <w:t>.</w:t>
      </w:r>
    </w:p>
    <w:p w:rsidR="00AD24E2" w:rsidRPr="00197FB7" w:rsidRDefault="00AD24E2" w:rsidP="00AD24E2">
      <w:pPr>
        <w:spacing w:line="360" w:lineRule="auto"/>
        <w:ind w:firstLine="567"/>
        <w:jc w:val="both"/>
        <w:rPr>
          <w:rFonts w:ascii="Arial" w:hAnsi="Arial" w:cs="Arial"/>
        </w:rPr>
      </w:pPr>
      <w:r w:rsidRPr="00B9177D">
        <w:rPr>
          <w:rFonts w:ascii="Arial" w:hAnsi="Arial" w:cs="Arial"/>
        </w:rPr>
        <w:t xml:space="preserve">Dále byly v rámci poradenství realizovány </w:t>
      </w:r>
      <w:r w:rsidRPr="00B9177D">
        <w:rPr>
          <w:rFonts w:ascii="Arial" w:hAnsi="Arial" w:cs="Arial"/>
          <w:b/>
        </w:rPr>
        <w:t>skupinové informační schůzky</w:t>
      </w:r>
      <w:r w:rsidRPr="00B9177D">
        <w:rPr>
          <w:rFonts w:ascii="Arial" w:hAnsi="Arial" w:cs="Arial"/>
        </w:rPr>
        <w:t>, zaměřené např. na informování klientů o jejich právech a povinnostech, o nabídce služeb ÚP ČR, o rekvalifikacích a dalších nástrojích APZ, o možnostech vypracování individuálních akčních plánů apod. Skupinových informačních schůzek se v </w:t>
      </w:r>
      <w:r w:rsidRPr="00B9177D">
        <w:rPr>
          <w:rFonts w:ascii="Arial" w:hAnsi="Arial"/>
        </w:rPr>
        <w:t>roce 2017</w:t>
      </w:r>
      <w:r w:rsidRPr="00B9177D">
        <w:rPr>
          <w:rFonts w:ascii="Arial" w:hAnsi="Arial"/>
          <w:b/>
        </w:rPr>
        <w:t xml:space="preserve"> </w:t>
      </w:r>
      <w:r w:rsidRPr="00B9177D">
        <w:rPr>
          <w:rFonts w:ascii="Arial" w:hAnsi="Arial" w:cs="Arial"/>
        </w:rPr>
        <w:t xml:space="preserve">uskutečnilo </w:t>
      </w:r>
      <w:r w:rsidRPr="00B9177D">
        <w:rPr>
          <w:rFonts w:ascii="Arial" w:hAnsi="Arial" w:cs="Arial"/>
          <w:b/>
        </w:rPr>
        <w:t xml:space="preserve">celkem </w:t>
      </w:r>
      <w:r w:rsidRPr="00197FB7">
        <w:rPr>
          <w:rFonts w:ascii="Arial" w:hAnsi="Arial" w:cs="Arial"/>
          <w:b/>
        </w:rPr>
        <w:t>5 381 s účastí 80 526 klientů</w:t>
      </w:r>
      <w:r w:rsidRPr="00197FB7">
        <w:rPr>
          <w:rFonts w:ascii="Arial" w:hAnsi="Arial" w:cs="Arial"/>
        </w:rPr>
        <w:t>.</w:t>
      </w:r>
    </w:p>
    <w:p w:rsidR="00EE15EF" w:rsidRPr="00E77A60" w:rsidRDefault="00EE15EF" w:rsidP="00EE15EF">
      <w:pPr>
        <w:spacing w:line="360" w:lineRule="auto"/>
        <w:ind w:firstLine="567"/>
        <w:jc w:val="both"/>
        <w:rPr>
          <w:rFonts w:ascii="Arial" w:hAnsi="Arial" w:cs="Arial"/>
        </w:rPr>
      </w:pPr>
      <w:r w:rsidRPr="00F06C5D">
        <w:rPr>
          <w:rFonts w:ascii="Arial" w:hAnsi="Arial" w:cs="Arial"/>
          <w:b/>
        </w:rPr>
        <w:lastRenderedPageBreak/>
        <w:t>Individuální poradenství</w:t>
      </w:r>
      <w:r w:rsidRPr="00F06C5D">
        <w:rPr>
          <w:rFonts w:ascii="Arial" w:hAnsi="Arial" w:cs="Arial"/>
        </w:rPr>
        <w:t xml:space="preserve"> bylo v </w:t>
      </w:r>
      <w:r w:rsidRPr="00F06C5D">
        <w:rPr>
          <w:rFonts w:ascii="Arial" w:hAnsi="Arial"/>
        </w:rPr>
        <w:t>roce 2017</w:t>
      </w:r>
      <w:r w:rsidRPr="00F06C5D">
        <w:rPr>
          <w:rFonts w:ascii="Arial" w:hAnsi="Arial"/>
          <w:b/>
        </w:rPr>
        <w:t xml:space="preserve"> </w:t>
      </w:r>
      <w:r w:rsidRPr="00F06C5D">
        <w:rPr>
          <w:rFonts w:ascii="Arial" w:hAnsi="Arial" w:cs="Arial"/>
        </w:rPr>
        <w:t xml:space="preserve">poskytnuto celkem </w:t>
      </w:r>
      <w:r w:rsidRPr="00F06C5D">
        <w:rPr>
          <w:rFonts w:ascii="Arial" w:hAnsi="Arial" w:cs="Arial"/>
          <w:b/>
        </w:rPr>
        <w:t>113 541 </w:t>
      </w:r>
      <w:r w:rsidRPr="00765A2A">
        <w:rPr>
          <w:rFonts w:ascii="Arial" w:hAnsi="Arial" w:cs="Arial"/>
          <w:b/>
        </w:rPr>
        <w:t>klientům</w:t>
      </w:r>
      <w:r w:rsidRPr="00765A2A">
        <w:rPr>
          <w:rFonts w:ascii="Arial" w:hAnsi="Arial" w:cs="Arial"/>
        </w:rPr>
        <w:t xml:space="preserve">. Individuální poradenství zahrnovalo celou škálu poradenských aktivit, především poradenství k volbě povolání, k rekvalifikacím, speciální, psychologické poradenství, poradenství k pracovní rehabilitaci, užití diagnostických nástrojů </w:t>
      </w:r>
      <w:r w:rsidRPr="00E61DF7">
        <w:rPr>
          <w:rFonts w:ascii="Arial" w:hAnsi="Arial" w:cs="Arial"/>
        </w:rPr>
        <w:t xml:space="preserve">apod. </w:t>
      </w:r>
      <w:r w:rsidRPr="00E61DF7">
        <w:rPr>
          <w:rFonts w:ascii="Arial" w:hAnsi="Arial" w:cs="Arial"/>
          <w:b/>
        </w:rPr>
        <w:t>Bilanční diagnostika</w:t>
      </w:r>
      <w:r w:rsidRPr="00E61DF7">
        <w:rPr>
          <w:rFonts w:ascii="Arial" w:hAnsi="Arial" w:cs="Arial"/>
        </w:rPr>
        <w:t xml:space="preserve"> byla interními poradci ÚP ČR poskytnuta celkem </w:t>
      </w:r>
      <w:r w:rsidRPr="00E61DF7">
        <w:rPr>
          <w:rFonts w:ascii="Arial" w:hAnsi="Arial" w:cs="Arial"/>
          <w:b/>
        </w:rPr>
        <w:t>43 klientům</w:t>
      </w:r>
      <w:r w:rsidRPr="00E61DF7">
        <w:rPr>
          <w:rFonts w:ascii="Arial" w:hAnsi="Arial" w:cs="Arial"/>
        </w:rPr>
        <w:t>. V </w:t>
      </w:r>
      <w:r w:rsidRPr="00E61DF7">
        <w:rPr>
          <w:rFonts w:ascii="Arial" w:hAnsi="Arial"/>
        </w:rPr>
        <w:t xml:space="preserve">roce 2017 </w:t>
      </w:r>
      <w:r w:rsidRPr="00E61DF7">
        <w:rPr>
          <w:rFonts w:ascii="Arial" w:hAnsi="Arial" w:cs="Arial"/>
        </w:rPr>
        <w:t xml:space="preserve">bylo v rámci </w:t>
      </w:r>
      <w:r w:rsidRPr="00E61DF7">
        <w:rPr>
          <w:rFonts w:ascii="Arial" w:hAnsi="Arial" w:cs="Arial"/>
          <w:b/>
        </w:rPr>
        <w:t>regionálních individuálních projektů (RIP)</w:t>
      </w:r>
      <w:r w:rsidRPr="00E61DF7">
        <w:rPr>
          <w:rFonts w:ascii="Arial" w:hAnsi="Arial" w:cs="Arial"/>
        </w:rPr>
        <w:t xml:space="preserve"> zrealizováno zaměstnanci útvarů poradenství a dalšího vzdělávání ÚP ČR celkem </w:t>
      </w:r>
      <w:r w:rsidRPr="00130AF9">
        <w:rPr>
          <w:rFonts w:ascii="Arial" w:hAnsi="Arial" w:cs="Arial"/>
          <w:b/>
        </w:rPr>
        <w:t>698 skupinových poradenských aktivit</w:t>
      </w:r>
      <w:r w:rsidRPr="00130AF9">
        <w:rPr>
          <w:rFonts w:ascii="Arial" w:hAnsi="Arial" w:cs="Arial"/>
        </w:rPr>
        <w:t xml:space="preserve">. Těchto aktivit se zúčastnilo celkem </w:t>
      </w:r>
      <w:r w:rsidRPr="00130AF9">
        <w:rPr>
          <w:rFonts w:ascii="Arial" w:hAnsi="Arial" w:cs="Arial"/>
          <w:b/>
        </w:rPr>
        <w:t>5 140 klientů</w:t>
      </w:r>
      <w:r w:rsidRPr="00332AB9">
        <w:rPr>
          <w:rFonts w:ascii="Arial" w:hAnsi="Arial" w:cs="Arial"/>
          <w:b/>
        </w:rPr>
        <w:t>.</w:t>
      </w:r>
      <w:r w:rsidRPr="00332AB9">
        <w:rPr>
          <w:rFonts w:ascii="Arial" w:hAnsi="Arial" w:cs="Arial"/>
        </w:rPr>
        <w:t xml:space="preserve"> </w:t>
      </w:r>
      <w:r w:rsidRPr="00332AB9">
        <w:rPr>
          <w:rFonts w:ascii="Arial" w:hAnsi="Arial" w:cs="Arial"/>
          <w:b/>
        </w:rPr>
        <w:t>Individuální poradenství</w:t>
      </w:r>
      <w:r w:rsidRPr="00332AB9">
        <w:rPr>
          <w:rFonts w:ascii="Arial" w:hAnsi="Arial" w:cs="Arial"/>
        </w:rPr>
        <w:t xml:space="preserve"> bylo v rámci RIP poskytnuto celkem </w:t>
      </w:r>
      <w:r w:rsidRPr="00BB6B8F">
        <w:rPr>
          <w:rFonts w:ascii="Arial" w:hAnsi="Arial" w:cs="Arial"/>
          <w:b/>
        </w:rPr>
        <w:t>8 127 klientům</w:t>
      </w:r>
      <w:r w:rsidRPr="00BB6B8F">
        <w:rPr>
          <w:rFonts w:ascii="Arial" w:hAnsi="Arial" w:cs="Arial"/>
        </w:rPr>
        <w:t xml:space="preserve">. </w:t>
      </w:r>
      <w:r>
        <w:rPr>
          <w:rFonts w:ascii="Arial" w:hAnsi="Arial" w:cs="Arial"/>
        </w:rPr>
        <w:t>Dále bylo zrealizováno 148 poradenských programů pro 1</w:t>
      </w:r>
      <w:r w:rsidR="00AD0D8D">
        <w:rPr>
          <w:rFonts w:ascii="Arial" w:hAnsi="Arial" w:cs="Arial"/>
        </w:rPr>
        <w:t> </w:t>
      </w:r>
      <w:r>
        <w:rPr>
          <w:rFonts w:ascii="Arial" w:hAnsi="Arial" w:cs="Arial"/>
        </w:rPr>
        <w:t>261</w:t>
      </w:r>
      <w:r w:rsidR="00AD0D8D">
        <w:rPr>
          <w:rFonts w:ascii="Arial" w:hAnsi="Arial" w:cs="Arial"/>
        </w:rPr>
        <w:t> </w:t>
      </w:r>
      <w:r w:rsidRPr="009815C1">
        <w:rPr>
          <w:rFonts w:ascii="Arial" w:hAnsi="Arial" w:cs="Arial"/>
        </w:rPr>
        <w:t xml:space="preserve">klientů. ÚP ČR ve sledovaném období rovněž realizoval i </w:t>
      </w:r>
      <w:r w:rsidRPr="009815C1">
        <w:rPr>
          <w:rFonts w:ascii="Arial" w:hAnsi="Arial" w:cs="Arial"/>
          <w:b/>
        </w:rPr>
        <w:t>další akce v celkovém počtu 664</w:t>
      </w:r>
      <w:r w:rsidRPr="009815C1">
        <w:rPr>
          <w:rFonts w:ascii="Arial" w:hAnsi="Arial" w:cs="Arial"/>
        </w:rPr>
        <w:t xml:space="preserve">. Jednalo se především o prezentace IPS na veletrzích, výstavách, burzách práce, </w:t>
      </w:r>
      <w:r w:rsidRPr="00E77A60">
        <w:rPr>
          <w:rFonts w:ascii="Arial" w:hAnsi="Arial" w:cs="Arial"/>
        </w:rPr>
        <w:t>či setkání s výchovnými poradci, rodiči žáků apod.</w:t>
      </w:r>
    </w:p>
    <w:p w:rsidR="00EE15EF" w:rsidRPr="00567DBA" w:rsidRDefault="00EE15EF" w:rsidP="00EE15EF">
      <w:pPr>
        <w:shd w:val="clear" w:color="auto" w:fill="FFFFFF" w:themeFill="background1"/>
        <w:spacing w:line="360" w:lineRule="auto"/>
        <w:ind w:firstLine="567"/>
        <w:jc w:val="both"/>
        <w:rPr>
          <w:rFonts w:ascii="Arial" w:hAnsi="Arial" w:cs="Arial"/>
        </w:rPr>
      </w:pPr>
      <w:r w:rsidRPr="00E77A60">
        <w:rPr>
          <w:rFonts w:ascii="Arial" w:hAnsi="Arial" w:cs="Arial"/>
          <w:b/>
        </w:rPr>
        <w:t>Externí poradenství</w:t>
      </w:r>
      <w:r w:rsidRPr="00E77A60">
        <w:rPr>
          <w:rFonts w:ascii="Arial" w:hAnsi="Arial" w:cs="Arial"/>
        </w:rPr>
        <w:t xml:space="preserve"> bylo v </w:t>
      </w:r>
      <w:r w:rsidRPr="00E77A60">
        <w:rPr>
          <w:rFonts w:ascii="Arial" w:hAnsi="Arial"/>
        </w:rPr>
        <w:t xml:space="preserve">roce 2017 </w:t>
      </w:r>
      <w:r w:rsidRPr="00E77A60">
        <w:rPr>
          <w:rFonts w:ascii="Arial" w:hAnsi="Arial" w:cs="Arial"/>
        </w:rPr>
        <w:t xml:space="preserve">zabezpečováno prostřednictvím odborných zařízení za účelem zjišťování osobnostních a kvalifikačních předpokladů fyzických osob pro volbu povolání, pro zprostředkování vhodného zaměstnání, pro volbu přípravy k práci osob se zdravotním postižením a při výběru vhodných nástrojů aktivní politiky zaměstnanosti. Skupinových poradenských aktivit zabezpečovaných externě se uskutečnilo </w:t>
      </w:r>
      <w:r w:rsidRPr="00E33C71">
        <w:rPr>
          <w:rFonts w:ascii="Arial" w:hAnsi="Arial" w:cs="Arial"/>
          <w:b/>
        </w:rPr>
        <w:t xml:space="preserve">celkem 416 pro 3 549 </w:t>
      </w:r>
      <w:r w:rsidRPr="005E0E4D">
        <w:rPr>
          <w:rFonts w:ascii="Arial" w:hAnsi="Arial" w:cs="Arial"/>
          <w:b/>
        </w:rPr>
        <w:t>klientů</w:t>
      </w:r>
      <w:r w:rsidRPr="005E0E4D">
        <w:rPr>
          <w:rFonts w:ascii="Arial" w:hAnsi="Arial" w:cs="Arial"/>
        </w:rPr>
        <w:t xml:space="preserve">. Individuální poradenství zajišťované prostřednictvím nákupu služeb bylo zrealizováno pro </w:t>
      </w:r>
      <w:r w:rsidRPr="005E0E4D">
        <w:rPr>
          <w:rFonts w:ascii="Arial" w:hAnsi="Arial" w:cs="Arial"/>
          <w:b/>
        </w:rPr>
        <w:t>544 klientů</w:t>
      </w:r>
      <w:r w:rsidRPr="005E0E4D">
        <w:rPr>
          <w:rFonts w:ascii="Arial" w:hAnsi="Arial" w:cs="Arial"/>
        </w:rPr>
        <w:t xml:space="preserve">. </w:t>
      </w:r>
      <w:r>
        <w:rPr>
          <w:rFonts w:ascii="Arial" w:hAnsi="Arial" w:cs="Arial"/>
        </w:rPr>
        <w:t xml:space="preserve">Dále bylo zrealizováno 442 externích poradenských programů </w:t>
      </w:r>
      <w:r w:rsidRPr="00567DBA">
        <w:rPr>
          <w:rFonts w:ascii="Arial" w:hAnsi="Arial" w:cs="Arial"/>
        </w:rPr>
        <w:t xml:space="preserve">pro 4 116 klientů. Bilanční diagnostika byla oproti skupinovému či individuálnímu poradenství zajišťována převážně nákupem služeb, a to celkem pro </w:t>
      </w:r>
      <w:r w:rsidRPr="00567DBA">
        <w:rPr>
          <w:rFonts w:ascii="Arial" w:hAnsi="Arial" w:cs="Arial"/>
          <w:b/>
        </w:rPr>
        <w:t>875 klientů</w:t>
      </w:r>
      <w:r w:rsidRPr="00567DBA">
        <w:rPr>
          <w:rFonts w:ascii="Arial" w:hAnsi="Arial" w:cs="Arial"/>
        </w:rPr>
        <w:t>.</w:t>
      </w:r>
    </w:p>
    <w:p w:rsidR="00EE15EF" w:rsidRPr="00EF39D9" w:rsidRDefault="00EE15EF" w:rsidP="00EE15EF">
      <w:pPr>
        <w:shd w:val="clear" w:color="auto" w:fill="FFFFFF" w:themeFill="background1"/>
        <w:spacing w:line="360" w:lineRule="auto"/>
        <w:ind w:firstLine="567"/>
        <w:jc w:val="both"/>
        <w:rPr>
          <w:rFonts w:ascii="Arial" w:hAnsi="Arial" w:cs="Arial"/>
        </w:rPr>
      </w:pPr>
      <w:r w:rsidRPr="001A2C3D">
        <w:rPr>
          <w:rFonts w:ascii="Arial" w:hAnsi="Arial" w:cs="Arial"/>
        </w:rPr>
        <w:t xml:space="preserve">Významnou součástí skupinových poradenských programů jsou </w:t>
      </w:r>
      <w:r w:rsidRPr="001A2C3D">
        <w:rPr>
          <w:rFonts w:ascii="Arial" w:hAnsi="Arial" w:cs="Arial"/>
          <w:b/>
        </w:rPr>
        <w:t>Job Cluby</w:t>
      </w:r>
      <w:r w:rsidRPr="001A2C3D">
        <w:rPr>
          <w:rFonts w:ascii="Arial" w:hAnsi="Arial" w:cs="Arial"/>
        </w:rPr>
        <w:t>, které představují ucelený aktivizační poradenský program. Těchto programů bylo v </w:t>
      </w:r>
      <w:r w:rsidRPr="001A2C3D">
        <w:rPr>
          <w:rFonts w:ascii="Arial" w:hAnsi="Arial"/>
        </w:rPr>
        <w:t xml:space="preserve">roce 2017 </w:t>
      </w:r>
      <w:r w:rsidRPr="001A2C3D">
        <w:rPr>
          <w:rFonts w:ascii="Arial" w:hAnsi="Arial"/>
          <w:b/>
        </w:rPr>
        <w:t>realizováno 326</w:t>
      </w:r>
      <w:r w:rsidRPr="001A2C3D">
        <w:rPr>
          <w:rFonts w:ascii="Arial" w:hAnsi="Arial" w:cs="Arial"/>
        </w:rPr>
        <w:t xml:space="preserve">. Celkem bylo do programu Job Club zařazeno </w:t>
      </w:r>
      <w:r w:rsidRPr="001A2C3D">
        <w:rPr>
          <w:rFonts w:ascii="Arial" w:hAnsi="Arial" w:cs="Arial"/>
          <w:b/>
        </w:rPr>
        <w:t>3</w:t>
      </w:r>
      <w:r w:rsidR="00AD0D8D">
        <w:rPr>
          <w:rFonts w:ascii="Arial" w:hAnsi="Arial" w:cs="Arial"/>
          <w:b/>
        </w:rPr>
        <w:t> </w:t>
      </w:r>
      <w:r w:rsidRPr="001A2C3D">
        <w:rPr>
          <w:rFonts w:ascii="Arial" w:hAnsi="Arial" w:cs="Arial"/>
          <w:b/>
        </w:rPr>
        <w:t>037</w:t>
      </w:r>
      <w:r w:rsidR="00AD0D8D">
        <w:rPr>
          <w:rFonts w:ascii="Arial" w:hAnsi="Arial" w:cs="Arial"/>
          <w:b/>
        </w:rPr>
        <w:t> </w:t>
      </w:r>
      <w:r w:rsidRPr="00EF39D9">
        <w:rPr>
          <w:rFonts w:ascii="Arial" w:hAnsi="Arial" w:cs="Arial"/>
          <w:b/>
        </w:rPr>
        <w:t>klientů</w:t>
      </w:r>
      <w:r w:rsidRPr="00EF39D9">
        <w:rPr>
          <w:rFonts w:ascii="Arial" w:hAnsi="Arial" w:cs="Arial"/>
        </w:rPr>
        <w:t xml:space="preserve">, </w:t>
      </w:r>
      <w:r w:rsidRPr="00EF39D9">
        <w:rPr>
          <w:rFonts w:ascii="Arial" w:hAnsi="Arial" w:cs="Arial"/>
          <w:b/>
        </w:rPr>
        <w:t>z toho</w:t>
      </w:r>
      <w:r w:rsidRPr="00EF39D9">
        <w:rPr>
          <w:rFonts w:ascii="Arial" w:hAnsi="Arial" w:cs="Arial"/>
        </w:rPr>
        <w:t xml:space="preserve"> bylo </w:t>
      </w:r>
      <w:r w:rsidRPr="00EF39D9">
        <w:rPr>
          <w:rFonts w:ascii="Arial" w:hAnsi="Arial" w:cs="Arial"/>
          <w:b/>
        </w:rPr>
        <w:t>2 574 úspěšných absolventů</w:t>
      </w:r>
      <w:r w:rsidRPr="00EF39D9">
        <w:rPr>
          <w:rFonts w:ascii="Arial" w:hAnsi="Arial" w:cs="Arial"/>
        </w:rPr>
        <w:t>.</w:t>
      </w:r>
    </w:p>
    <w:p w:rsidR="00EE15EF" w:rsidRPr="00EF39D9" w:rsidRDefault="00EE15EF" w:rsidP="00EE15EF">
      <w:pPr>
        <w:shd w:val="clear" w:color="auto" w:fill="FFFFFF" w:themeFill="background1"/>
        <w:spacing w:line="360" w:lineRule="auto"/>
        <w:ind w:firstLine="567"/>
        <w:jc w:val="both"/>
        <w:rPr>
          <w:rFonts w:ascii="Arial" w:hAnsi="Arial" w:cs="Arial"/>
        </w:rPr>
      </w:pPr>
      <w:r w:rsidRPr="00EF39D9">
        <w:rPr>
          <w:rFonts w:ascii="Arial" w:hAnsi="Arial" w:cs="Arial"/>
        </w:rPr>
        <w:t xml:space="preserve">Stejně jako v předchozích obdobích převažovala v </w:t>
      </w:r>
      <w:r w:rsidRPr="00EF39D9">
        <w:rPr>
          <w:rFonts w:ascii="Arial" w:hAnsi="Arial"/>
        </w:rPr>
        <w:t xml:space="preserve">roce 2017 </w:t>
      </w:r>
      <w:r w:rsidRPr="00EF39D9">
        <w:rPr>
          <w:rFonts w:ascii="Arial" w:hAnsi="Arial" w:cs="Arial"/>
        </w:rPr>
        <w:t>interní realizace poradenských aktivit zaměstnanci ÚP ČR nad externě nakupovanými poradenskými činnostmi.</w:t>
      </w:r>
    </w:p>
    <w:p w:rsidR="00EE15EF" w:rsidRDefault="00EE15EF" w:rsidP="00EE15EF">
      <w:pPr>
        <w:tabs>
          <w:tab w:val="left" w:pos="567"/>
        </w:tabs>
        <w:spacing w:line="360" w:lineRule="auto"/>
        <w:ind w:right="-709"/>
        <w:jc w:val="both"/>
        <w:rPr>
          <w:rFonts w:ascii="Arial" w:hAnsi="Arial" w:cs="Arial"/>
          <w:b/>
          <w:bCs/>
        </w:rPr>
      </w:pPr>
    </w:p>
    <w:p w:rsidR="00EE15EF" w:rsidRDefault="00EE15EF" w:rsidP="00EE15EF">
      <w:pPr>
        <w:tabs>
          <w:tab w:val="left" w:pos="567"/>
        </w:tabs>
        <w:spacing w:line="360" w:lineRule="auto"/>
        <w:ind w:right="-709"/>
        <w:jc w:val="both"/>
        <w:rPr>
          <w:rFonts w:ascii="Arial" w:hAnsi="Arial" w:cs="Arial"/>
          <w:b/>
          <w:bCs/>
        </w:rPr>
      </w:pPr>
    </w:p>
    <w:p w:rsidR="00EE15EF" w:rsidRDefault="00EE15EF" w:rsidP="00EE15EF">
      <w:pPr>
        <w:tabs>
          <w:tab w:val="left" w:pos="567"/>
        </w:tabs>
        <w:spacing w:line="360" w:lineRule="auto"/>
        <w:ind w:right="-709"/>
        <w:jc w:val="both"/>
        <w:rPr>
          <w:rFonts w:ascii="Arial" w:hAnsi="Arial" w:cs="Arial"/>
          <w:b/>
          <w:bCs/>
        </w:rPr>
      </w:pPr>
    </w:p>
    <w:p w:rsidR="00EE15EF" w:rsidRPr="00EF39D9" w:rsidRDefault="00EE15EF" w:rsidP="00EE15EF">
      <w:pPr>
        <w:tabs>
          <w:tab w:val="left" w:pos="567"/>
        </w:tabs>
        <w:spacing w:line="360" w:lineRule="auto"/>
        <w:ind w:right="-709"/>
        <w:jc w:val="both"/>
        <w:rPr>
          <w:rFonts w:ascii="Arial" w:hAnsi="Arial" w:cs="Arial"/>
          <w:b/>
          <w:bCs/>
        </w:rPr>
      </w:pPr>
    </w:p>
    <w:p w:rsidR="00EE15EF" w:rsidRPr="00EF39D9" w:rsidRDefault="00EE15EF" w:rsidP="00EE15EF">
      <w:pPr>
        <w:tabs>
          <w:tab w:val="left" w:pos="567"/>
        </w:tabs>
        <w:spacing w:line="360" w:lineRule="auto"/>
        <w:ind w:right="-709"/>
        <w:jc w:val="both"/>
        <w:rPr>
          <w:rFonts w:ascii="Arial" w:hAnsi="Arial" w:cs="Arial"/>
          <w:b/>
          <w:bCs/>
        </w:rPr>
      </w:pPr>
      <w:r w:rsidRPr="00EF39D9">
        <w:rPr>
          <w:rFonts w:ascii="Arial" w:hAnsi="Arial" w:cs="Arial"/>
          <w:b/>
          <w:bCs/>
        </w:rPr>
        <w:lastRenderedPageBreak/>
        <w:t>Veřejně prospěšné práce (VPP)</w:t>
      </w:r>
    </w:p>
    <w:p w:rsidR="00EE15EF" w:rsidRPr="00EF39D9" w:rsidRDefault="00EE15EF" w:rsidP="00EE15EF">
      <w:pPr>
        <w:jc w:val="both"/>
        <w:rPr>
          <w:rFonts w:ascii="Arial" w:hAnsi="Arial" w:cs="Arial"/>
          <w:bCs/>
          <w:sz w:val="16"/>
          <w:szCs w:val="16"/>
        </w:rPr>
      </w:pPr>
    </w:p>
    <w:p w:rsidR="00EE15EF" w:rsidRPr="00EF39D9" w:rsidRDefault="00EE15EF" w:rsidP="00EE15EF">
      <w:pPr>
        <w:jc w:val="both"/>
        <w:rPr>
          <w:bCs/>
          <w:sz w:val="16"/>
          <w:szCs w:val="16"/>
        </w:rPr>
      </w:pPr>
    </w:p>
    <w:p w:rsidR="00EE15EF" w:rsidRPr="008320B3" w:rsidRDefault="00EE15EF" w:rsidP="00EE15EF">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60" w:lineRule="auto"/>
        <w:jc w:val="both"/>
        <w:rPr>
          <w:rFonts w:ascii="Arial" w:hAnsi="Arial" w:cs="Arial"/>
        </w:rPr>
      </w:pPr>
      <w:r w:rsidRPr="008320B3">
        <w:rPr>
          <w:rFonts w:ascii="Arial" w:hAnsi="Arial" w:cs="Arial"/>
          <w:b/>
          <w:bCs/>
        </w:rPr>
        <w:tab/>
      </w:r>
      <w:r w:rsidRPr="008320B3">
        <w:rPr>
          <w:rFonts w:ascii="Arial" w:hAnsi="Arial" w:cs="Arial"/>
          <w:bCs/>
        </w:rPr>
        <w:t>Veřejně prospěšné práce</w:t>
      </w:r>
      <w:r w:rsidRPr="008320B3">
        <w:rPr>
          <w:rFonts w:ascii="Arial" w:hAnsi="Arial" w:cs="Arial"/>
        </w:rPr>
        <w:t xml:space="preserve"> jako časově omezené pracovní příležitosti slouží zejména k aktivaci a získání či zachování pracovních návyků u té skupiny uchazečů o zaměstnání, kde z důvodu příslušnosti k rizikové skupině (nízká kvalifikace, uchazeči starší 55 let, dlouhodobě nezaměstnaní atd. - kritéria se mohou regionálně mírně odlišovat) je vysoké riziko vzni</w:t>
      </w:r>
      <w:r w:rsidR="00AD0D8D">
        <w:rPr>
          <w:rFonts w:ascii="Arial" w:hAnsi="Arial" w:cs="Arial"/>
        </w:rPr>
        <w:t>ku dlouhodobé nezaměstnanosti a </w:t>
      </w:r>
      <w:r w:rsidRPr="008320B3">
        <w:rPr>
          <w:rFonts w:ascii="Arial" w:hAnsi="Arial" w:cs="Arial"/>
        </w:rPr>
        <w:t>ztráty kompetencí rozhodných k získání a</w:t>
      </w:r>
      <w:r w:rsidR="00AD0D8D">
        <w:rPr>
          <w:rFonts w:ascii="Arial" w:hAnsi="Arial" w:cs="Arial"/>
        </w:rPr>
        <w:t xml:space="preserve"> udržení zaměstnání. Jedná se o </w:t>
      </w:r>
      <w:r w:rsidRPr="008320B3">
        <w:rPr>
          <w:rFonts w:ascii="Arial" w:hAnsi="Arial" w:cs="Arial"/>
        </w:rPr>
        <w:t>práce spočívající v údržbě veřejného prostranství, úklidu a údržbě veřejných budov a komunikací nebo obdobných činnoste</w:t>
      </w:r>
      <w:r w:rsidR="00AD0D8D">
        <w:rPr>
          <w:rFonts w:ascii="Arial" w:hAnsi="Arial" w:cs="Arial"/>
        </w:rPr>
        <w:t>ch ve prospěch obcí, státních a </w:t>
      </w:r>
      <w:r w:rsidRPr="008320B3">
        <w:rPr>
          <w:rFonts w:ascii="Arial" w:hAnsi="Arial" w:cs="Arial"/>
        </w:rPr>
        <w:t>obecně prospěšných institucí. S účinností od 1. ledna 2015 došlo k novelizaci § 112 zákona č. 435/2004 Sb., o zaměstnanosti, která prodloužila maximální dobu vytvoření VPP z 12 na 24 měsíců.</w:t>
      </w:r>
    </w:p>
    <w:p w:rsidR="00EE15EF" w:rsidRPr="00CC0D7E" w:rsidRDefault="00EE15EF" w:rsidP="00EE15EF">
      <w:pPr>
        <w:spacing w:line="360" w:lineRule="auto"/>
        <w:ind w:firstLine="567"/>
        <w:jc w:val="both"/>
        <w:rPr>
          <w:rFonts w:ascii="Arial" w:hAnsi="Arial"/>
          <w:bCs/>
        </w:rPr>
      </w:pPr>
      <w:r w:rsidRPr="00481B6A">
        <w:rPr>
          <w:rFonts w:ascii="Arial" w:hAnsi="Arial"/>
          <w:b/>
        </w:rPr>
        <w:t>V roce 2017</w:t>
      </w:r>
      <w:r w:rsidRPr="00481B6A">
        <w:rPr>
          <w:rFonts w:ascii="Arial" w:hAnsi="Arial"/>
        </w:rPr>
        <w:t xml:space="preserve"> </w:t>
      </w:r>
      <w:r w:rsidRPr="00481B6A">
        <w:rPr>
          <w:rFonts w:ascii="Arial" w:hAnsi="Arial"/>
          <w:bCs/>
        </w:rPr>
        <w:t>bylo vytvořeno celkem</w:t>
      </w:r>
      <w:r w:rsidRPr="00481B6A">
        <w:rPr>
          <w:rFonts w:ascii="Arial" w:hAnsi="Arial"/>
          <w:b/>
        </w:rPr>
        <w:t xml:space="preserve"> 18 287 míst na </w:t>
      </w:r>
      <w:r w:rsidRPr="00B811C4">
        <w:rPr>
          <w:rFonts w:ascii="Arial" w:hAnsi="Arial"/>
          <w:b/>
        </w:rPr>
        <w:t xml:space="preserve">VPP </w:t>
      </w:r>
      <w:r w:rsidRPr="00B811C4">
        <w:rPr>
          <w:rFonts w:ascii="Arial" w:hAnsi="Arial"/>
        </w:rPr>
        <w:t>(z toho 6 545 v rámci ESF) a </w:t>
      </w:r>
      <w:r w:rsidRPr="00B811C4">
        <w:rPr>
          <w:rFonts w:ascii="Arial" w:hAnsi="Arial"/>
          <w:bCs/>
        </w:rPr>
        <w:t>na nich</w:t>
      </w:r>
      <w:r w:rsidRPr="00B811C4">
        <w:rPr>
          <w:rFonts w:ascii="Arial" w:hAnsi="Arial"/>
          <w:b/>
        </w:rPr>
        <w:t xml:space="preserve"> </w:t>
      </w:r>
      <w:r w:rsidRPr="00E03BA9">
        <w:rPr>
          <w:rFonts w:ascii="Arial" w:hAnsi="Arial"/>
          <w:b/>
        </w:rPr>
        <w:t xml:space="preserve">umístěno 19 259 uchazečů o zaměstnání, </w:t>
      </w:r>
      <w:r w:rsidRPr="00F24454">
        <w:rPr>
          <w:rFonts w:ascii="Arial" w:hAnsi="Arial"/>
          <w:bCs/>
        </w:rPr>
        <w:t xml:space="preserve">což je o 3,3 tis. méně než ve stejném období minulého roku. </w:t>
      </w:r>
      <w:r w:rsidRPr="00F24454">
        <w:rPr>
          <w:rFonts w:ascii="Arial" w:hAnsi="Arial"/>
          <w:b/>
        </w:rPr>
        <w:t>V roce 2017</w:t>
      </w:r>
      <w:r w:rsidRPr="00F24454">
        <w:rPr>
          <w:rFonts w:ascii="Arial" w:hAnsi="Arial"/>
        </w:rPr>
        <w:t xml:space="preserve"> </w:t>
      </w:r>
      <w:r w:rsidRPr="00481B6A">
        <w:rPr>
          <w:rFonts w:ascii="Arial" w:hAnsi="Arial"/>
          <w:b/>
        </w:rPr>
        <w:t>bylo vynaloženo na VPP ze SR a</w:t>
      </w:r>
      <w:r>
        <w:rPr>
          <w:rFonts w:ascii="Arial" w:hAnsi="Arial"/>
          <w:b/>
        </w:rPr>
        <w:t> </w:t>
      </w:r>
      <w:r w:rsidRPr="00481B6A">
        <w:rPr>
          <w:rFonts w:ascii="Arial" w:hAnsi="Arial"/>
          <w:b/>
        </w:rPr>
        <w:t xml:space="preserve">ESF celkem </w:t>
      </w:r>
      <w:r w:rsidRPr="00FB1B06">
        <w:rPr>
          <w:rFonts w:ascii="Arial" w:hAnsi="Arial"/>
          <w:b/>
        </w:rPr>
        <w:t>2 242</w:t>
      </w:r>
      <w:r w:rsidRPr="00FB1B06">
        <w:rPr>
          <w:rFonts w:ascii="Arial" w:hAnsi="Arial" w:cs="Arial"/>
          <w:b/>
          <w:bCs/>
        </w:rPr>
        <w:t> 218 </w:t>
      </w:r>
      <w:r w:rsidRPr="00FB1B06">
        <w:rPr>
          <w:rFonts w:ascii="Arial" w:hAnsi="Arial"/>
          <w:b/>
        </w:rPr>
        <w:t>tis. </w:t>
      </w:r>
      <w:r w:rsidRPr="00114856">
        <w:rPr>
          <w:rFonts w:ascii="Arial" w:hAnsi="Arial"/>
          <w:b/>
        </w:rPr>
        <w:t xml:space="preserve">Kč </w:t>
      </w:r>
      <w:r w:rsidRPr="00114856">
        <w:rPr>
          <w:rFonts w:ascii="Arial" w:hAnsi="Arial"/>
        </w:rPr>
        <w:t>(z toho 998</w:t>
      </w:r>
      <w:r w:rsidRPr="00114856">
        <w:rPr>
          <w:rFonts w:ascii="Arial" w:hAnsi="Arial" w:cs="Arial"/>
        </w:rPr>
        <w:t> 216</w:t>
      </w:r>
      <w:r w:rsidRPr="00114856">
        <w:rPr>
          <w:rFonts w:ascii="Arial" w:hAnsi="Arial"/>
        </w:rPr>
        <w:t> tis. Kč v rámci prostředků ESF)</w:t>
      </w:r>
      <w:r w:rsidRPr="00114856">
        <w:rPr>
          <w:rFonts w:ascii="Arial" w:hAnsi="Arial"/>
          <w:bCs/>
        </w:rPr>
        <w:t xml:space="preserve">, </w:t>
      </w:r>
      <w:r w:rsidRPr="0017533B">
        <w:rPr>
          <w:rFonts w:ascii="Arial" w:hAnsi="Arial"/>
          <w:bCs/>
        </w:rPr>
        <w:t xml:space="preserve">tj. o 444 898 tis. Kč méně než </w:t>
      </w:r>
      <w:r w:rsidRPr="007F28B8">
        <w:rPr>
          <w:rFonts w:ascii="Arial" w:hAnsi="Arial" w:cs="Arial"/>
          <w:bCs/>
        </w:rPr>
        <w:t>v </w:t>
      </w:r>
      <w:r w:rsidRPr="007F28B8">
        <w:rPr>
          <w:rFonts w:ascii="Arial" w:hAnsi="Arial" w:cs="Arial"/>
        </w:rPr>
        <w:t>roce 2016</w:t>
      </w:r>
      <w:r w:rsidRPr="007D47DC">
        <w:rPr>
          <w:rFonts w:ascii="Arial" w:hAnsi="Arial"/>
          <w:bCs/>
        </w:rPr>
        <w:t xml:space="preserve">. Meziroční pokles výdajů na VPP byl způsoben snížením finančních prostředků vynaložených v rámci projektů ESF, prostředky z národních zdrojů meziročně </w:t>
      </w:r>
      <w:r w:rsidRPr="0064364A">
        <w:rPr>
          <w:rFonts w:ascii="Arial" w:hAnsi="Arial"/>
          <w:bCs/>
        </w:rPr>
        <w:t>vzrostly více než tři</w:t>
      </w:r>
      <w:r w:rsidRPr="00D21A2E">
        <w:rPr>
          <w:rFonts w:ascii="Arial" w:hAnsi="Arial"/>
          <w:bCs/>
        </w:rPr>
        <w:t xml:space="preserve">krát. </w:t>
      </w:r>
      <w:r w:rsidRPr="00D21A2E">
        <w:rPr>
          <w:rFonts w:ascii="Arial" w:hAnsi="Arial"/>
          <w:b/>
          <w:bCs/>
        </w:rPr>
        <w:t>Podíl výdajů</w:t>
      </w:r>
      <w:r w:rsidRPr="00D21A2E">
        <w:rPr>
          <w:rFonts w:ascii="Arial" w:hAnsi="Arial"/>
          <w:bCs/>
        </w:rPr>
        <w:t xml:space="preserve"> na realizaci </w:t>
      </w:r>
      <w:r w:rsidRPr="00312450">
        <w:rPr>
          <w:rFonts w:ascii="Arial" w:hAnsi="Arial"/>
          <w:bCs/>
        </w:rPr>
        <w:t>VPP (</w:t>
      </w:r>
      <w:r w:rsidRPr="00312450">
        <w:rPr>
          <w:rFonts w:ascii="Arial" w:hAnsi="Arial"/>
          <w:b/>
          <w:bCs/>
        </w:rPr>
        <w:t>47,7 %</w:t>
      </w:r>
      <w:r w:rsidRPr="00312450">
        <w:rPr>
          <w:rFonts w:ascii="Arial" w:hAnsi="Arial"/>
          <w:bCs/>
        </w:rPr>
        <w:t xml:space="preserve"> celkových výdajů ÚP ČR) se meziročně zvýšil (</w:t>
      </w:r>
      <w:r w:rsidRPr="00312450">
        <w:rPr>
          <w:rFonts w:ascii="Arial" w:hAnsi="Arial" w:cs="Arial"/>
        </w:rPr>
        <w:t>v </w:t>
      </w:r>
      <w:r w:rsidRPr="00D21A2E">
        <w:rPr>
          <w:rFonts w:ascii="Arial" w:hAnsi="Arial" w:cs="Arial"/>
        </w:rPr>
        <w:t xml:space="preserve">roce 2016 </w:t>
      </w:r>
      <w:r w:rsidRPr="00CC0D7E">
        <w:rPr>
          <w:rFonts w:ascii="Arial" w:hAnsi="Arial"/>
          <w:bCs/>
        </w:rPr>
        <w:t xml:space="preserve">představoval 39,2 %). </w:t>
      </w:r>
    </w:p>
    <w:p w:rsidR="00EE15EF" w:rsidRPr="00DB730F" w:rsidRDefault="00EE15EF" w:rsidP="00EE15EF">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60" w:lineRule="auto"/>
        <w:ind w:firstLine="567"/>
        <w:jc w:val="both"/>
        <w:rPr>
          <w:rFonts w:ascii="Arial" w:hAnsi="Arial"/>
          <w:bCs/>
        </w:rPr>
      </w:pPr>
      <w:r w:rsidRPr="00CC0D7E">
        <w:rPr>
          <w:rFonts w:ascii="Arial" w:hAnsi="Arial"/>
          <w:bCs/>
        </w:rPr>
        <w:t xml:space="preserve">Tento nástroj APZ byl nejvíce využíván </w:t>
      </w:r>
      <w:r w:rsidRPr="00CC0D7E">
        <w:rPr>
          <w:rFonts w:ascii="Arial" w:hAnsi="Arial"/>
        </w:rPr>
        <w:t xml:space="preserve">v Ústeckém (17,7 % finančních </w:t>
      </w:r>
      <w:r w:rsidRPr="00CC0D7E">
        <w:rPr>
          <w:rFonts w:ascii="Arial" w:hAnsi="Arial"/>
          <w:bCs/>
        </w:rPr>
        <w:t xml:space="preserve">prostředků čerpaných ÚP ČR na </w:t>
      </w:r>
      <w:r w:rsidRPr="00DB730F">
        <w:rPr>
          <w:rFonts w:ascii="Arial" w:hAnsi="Arial"/>
          <w:bCs/>
        </w:rPr>
        <w:t>VPP) a Moravskoslezském</w:t>
      </w:r>
      <w:r w:rsidRPr="00DB730F">
        <w:rPr>
          <w:rFonts w:ascii="Arial" w:hAnsi="Arial"/>
        </w:rPr>
        <w:t xml:space="preserve"> kraji </w:t>
      </w:r>
      <w:r w:rsidRPr="00DB730F">
        <w:rPr>
          <w:rFonts w:ascii="Arial" w:hAnsi="Arial"/>
          <w:bCs/>
        </w:rPr>
        <w:t>(15,3 %)</w:t>
      </w:r>
      <w:r w:rsidRPr="00DB730F">
        <w:rPr>
          <w:rFonts w:ascii="Arial" w:hAnsi="Arial"/>
        </w:rPr>
        <w:t>.</w:t>
      </w:r>
    </w:p>
    <w:p w:rsidR="00EE15EF" w:rsidRPr="00E000BD" w:rsidRDefault="00EE15EF" w:rsidP="00EE15EF">
      <w:pPr>
        <w:spacing w:line="360" w:lineRule="auto"/>
        <w:ind w:firstLine="567"/>
        <w:jc w:val="both"/>
        <w:rPr>
          <w:rFonts w:ascii="Arial" w:hAnsi="Arial"/>
          <w:bCs/>
        </w:rPr>
      </w:pPr>
    </w:p>
    <w:p w:rsidR="00EE15EF" w:rsidRPr="00A03FCE" w:rsidRDefault="00EE15EF" w:rsidP="009277A6">
      <w:pPr>
        <w:spacing w:line="360" w:lineRule="auto"/>
        <w:jc w:val="both"/>
        <w:rPr>
          <w:rFonts w:ascii="Arial" w:hAnsi="Arial"/>
          <w:b/>
          <w:bCs/>
        </w:rPr>
      </w:pPr>
      <w:r w:rsidRPr="00A03FCE">
        <w:rPr>
          <w:rFonts w:ascii="Arial" w:hAnsi="Arial"/>
          <w:b/>
          <w:bCs/>
        </w:rPr>
        <w:t>Společensky účelná pracovní místa (SÚPM)</w:t>
      </w:r>
    </w:p>
    <w:p w:rsidR="00EE15EF" w:rsidRPr="00A03FCE" w:rsidRDefault="00EE15EF" w:rsidP="00EE15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rFonts w:ascii="Arial" w:hAnsi="Arial"/>
          <w:bCs/>
          <w:sz w:val="16"/>
          <w:szCs w:val="16"/>
        </w:rPr>
      </w:pPr>
    </w:p>
    <w:p w:rsidR="00EE15EF" w:rsidRPr="00A03FCE" w:rsidRDefault="00EE15EF" w:rsidP="00EE15EF">
      <w:pPr>
        <w:spacing w:line="360" w:lineRule="auto"/>
        <w:ind w:firstLine="567"/>
        <w:jc w:val="both"/>
        <w:rPr>
          <w:rFonts w:ascii="Arial" w:hAnsi="Arial" w:cs="Arial"/>
        </w:rPr>
      </w:pPr>
      <w:r w:rsidRPr="00A03FCE">
        <w:rPr>
          <w:rFonts w:ascii="Arial" w:hAnsi="Arial" w:cs="Arial"/>
        </w:rPr>
        <w:t>Společensky účelnými pracovními místy jsou pracovní místa, která zaměstnavatel zřizuje nebo vyhraz</w:t>
      </w:r>
      <w:r w:rsidR="00A3504F">
        <w:rPr>
          <w:rFonts w:ascii="Arial" w:hAnsi="Arial" w:cs="Arial"/>
        </w:rPr>
        <w:t>uje na základě dohody s ÚP ČR a </w:t>
      </w:r>
      <w:r w:rsidRPr="00A03FCE">
        <w:rPr>
          <w:rFonts w:ascii="Arial" w:hAnsi="Arial" w:cs="Arial"/>
        </w:rPr>
        <w:t xml:space="preserve">obsazuje je uchazeči o zaměstnání. K SÚPM patří též pracovní místo zřízené uchazečem o zaměstnání za účelem výkonu samostatné výdělečné činnosti (SVČ). </w:t>
      </w:r>
    </w:p>
    <w:p w:rsidR="00EE15EF" w:rsidRPr="00A03FCE" w:rsidRDefault="00EE15EF" w:rsidP="00EE15EF">
      <w:pPr>
        <w:spacing w:line="360" w:lineRule="auto"/>
        <w:ind w:firstLine="567"/>
        <w:jc w:val="both"/>
        <w:rPr>
          <w:rFonts w:ascii="Arial" w:hAnsi="Arial" w:cs="Arial"/>
        </w:rPr>
      </w:pPr>
      <w:r w:rsidRPr="00A03FCE">
        <w:rPr>
          <w:rFonts w:ascii="Arial" w:hAnsi="Arial" w:cs="Arial"/>
        </w:rPr>
        <w:t xml:space="preserve">Tato pracovní místa mají umožnit trvalé nebo dlouhodobější zaměstnání uchazečům o zaměstnání, kterým nelze v současné době zajistit pracovní uplatnění jiným způsobem. </w:t>
      </w:r>
    </w:p>
    <w:p w:rsidR="00EE15EF" w:rsidRPr="000E2776" w:rsidRDefault="00EE15EF" w:rsidP="00EE15EF">
      <w:pPr>
        <w:spacing w:line="360" w:lineRule="auto"/>
        <w:ind w:firstLine="567"/>
        <w:jc w:val="both"/>
        <w:rPr>
          <w:rFonts w:ascii="Arial" w:hAnsi="Arial" w:cs="Arial"/>
          <w:bCs/>
        </w:rPr>
      </w:pPr>
      <w:r w:rsidRPr="00FD1537">
        <w:rPr>
          <w:rFonts w:ascii="Arial" w:hAnsi="Arial"/>
          <w:b/>
        </w:rPr>
        <w:lastRenderedPageBreak/>
        <w:t>V roce 2017</w:t>
      </w:r>
      <w:r w:rsidRPr="00FD1537">
        <w:rPr>
          <w:rFonts w:ascii="Arial" w:hAnsi="Arial"/>
        </w:rPr>
        <w:t xml:space="preserve"> </w:t>
      </w:r>
      <w:r w:rsidRPr="00FD1537">
        <w:rPr>
          <w:rFonts w:ascii="Arial" w:hAnsi="Arial" w:cs="Arial"/>
        </w:rPr>
        <w:t xml:space="preserve">ÚP ČR přispěl na zřízení nebo </w:t>
      </w:r>
      <w:r w:rsidRPr="00C82E4F">
        <w:rPr>
          <w:rFonts w:ascii="Arial" w:hAnsi="Arial" w:cs="Arial"/>
        </w:rPr>
        <w:t xml:space="preserve">vyhrazení </w:t>
      </w:r>
      <w:r w:rsidRPr="00C82E4F">
        <w:rPr>
          <w:rFonts w:ascii="Arial" w:hAnsi="Arial" w:cs="Arial"/>
          <w:b/>
        </w:rPr>
        <w:t>17 737 </w:t>
      </w:r>
      <w:r w:rsidRPr="00C82E4F">
        <w:rPr>
          <w:rFonts w:ascii="Arial" w:hAnsi="Arial" w:cs="Arial"/>
          <w:b/>
          <w:bCs/>
        </w:rPr>
        <w:t xml:space="preserve">pracovních </w:t>
      </w:r>
      <w:r w:rsidRPr="00F84338">
        <w:rPr>
          <w:rFonts w:ascii="Arial" w:hAnsi="Arial" w:cs="Arial"/>
          <w:b/>
          <w:bCs/>
        </w:rPr>
        <w:t>míst</w:t>
      </w:r>
      <w:r w:rsidRPr="00F84338">
        <w:rPr>
          <w:rFonts w:ascii="Arial" w:hAnsi="Arial" w:cs="Arial"/>
        </w:rPr>
        <w:t xml:space="preserve"> </w:t>
      </w:r>
      <w:r w:rsidRPr="00345C4D">
        <w:rPr>
          <w:rFonts w:ascii="Arial" w:hAnsi="Arial" w:cs="Arial"/>
        </w:rPr>
        <w:t>(z toho 12 721 v rámci prostředků ESF) a </w:t>
      </w:r>
      <w:r w:rsidRPr="00FD1537">
        <w:rPr>
          <w:rFonts w:ascii="Arial" w:hAnsi="Arial" w:cs="Arial"/>
          <w:b/>
          <w:bCs/>
        </w:rPr>
        <w:t xml:space="preserve">na tato místa </w:t>
      </w:r>
      <w:r w:rsidR="006C3B61">
        <w:rPr>
          <w:rFonts w:ascii="Arial" w:hAnsi="Arial" w:cs="Arial"/>
          <w:b/>
          <w:bCs/>
        </w:rPr>
        <w:t>umístil 17 437 </w:t>
      </w:r>
      <w:r w:rsidRPr="00770506">
        <w:rPr>
          <w:rFonts w:ascii="Arial" w:hAnsi="Arial" w:cs="Arial"/>
          <w:b/>
          <w:bCs/>
        </w:rPr>
        <w:t xml:space="preserve">uchazečů </w:t>
      </w:r>
      <w:r w:rsidRPr="00FD1537">
        <w:rPr>
          <w:rFonts w:ascii="Arial" w:hAnsi="Arial" w:cs="Arial"/>
          <w:b/>
          <w:bCs/>
        </w:rPr>
        <w:t>o zaměstnání</w:t>
      </w:r>
      <w:r w:rsidRPr="00FD1537">
        <w:rPr>
          <w:rFonts w:ascii="Arial" w:hAnsi="Arial" w:cs="Arial"/>
          <w:bCs/>
        </w:rPr>
        <w:t xml:space="preserve">. V meziročním porovnání </w:t>
      </w:r>
      <w:r w:rsidRPr="00C02B71">
        <w:rPr>
          <w:rFonts w:ascii="Arial" w:hAnsi="Arial" w:cs="Arial"/>
          <w:bCs/>
        </w:rPr>
        <w:t>došlo k poklesu umí</w:t>
      </w:r>
      <w:r w:rsidR="006C3B61">
        <w:rPr>
          <w:rFonts w:ascii="Arial" w:hAnsi="Arial" w:cs="Arial"/>
          <w:bCs/>
        </w:rPr>
        <w:t>stěných uchazečů o zaměstnání o </w:t>
      </w:r>
      <w:r w:rsidRPr="00C02B71">
        <w:rPr>
          <w:rFonts w:ascii="Arial" w:hAnsi="Arial" w:cs="Arial"/>
          <w:bCs/>
        </w:rPr>
        <w:t xml:space="preserve">9,3 tis. </w:t>
      </w:r>
      <w:r w:rsidRPr="00C02B71">
        <w:rPr>
          <w:rFonts w:ascii="Arial" w:hAnsi="Arial" w:cs="Arial"/>
        </w:rPr>
        <w:t xml:space="preserve">Na tento nástroj bylo vyčerpáno celkem </w:t>
      </w:r>
      <w:r w:rsidRPr="00B63964">
        <w:rPr>
          <w:rFonts w:ascii="Arial" w:hAnsi="Arial" w:cs="Arial"/>
          <w:b/>
        </w:rPr>
        <w:t>943 165 tis. Kč</w:t>
      </w:r>
      <w:r w:rsidRPr="00B63964">
        <w:rPr>
          <w:rFonts w:ascii="Arial" w:hAnsi="Arial" w:cs="Arial"/>
        </w:rPr>
        <w:t xml:space="preserve"> (z toho 539 889 tis. Kč v rámci </w:t>
      </w:r>
      <w:r w:rsidRPr="009D314A">
        <w:rPr>
          <w:rFonts w:ascii="Arial" w:hAnsi="Arial" w:cs="Arial"/>
        </w:rPr>
        <w:t>ESF (bez RIPů </w:t>
      </w:r>
      <w:r w:rsidRPr="009D314A">
        <w:rPr>
          <w:vertAlign w:val="superscript"/>
        </w:rPr>
        <w:footnoteReference w:id="11"/>
      </w:r>
      <w:r w:rsidRPr="009D314A">
        <w:rPr>
          <w:rFonts w:ascii="Arial" w:hAnsi="Arial" w:cs="Arial"/>
        </w:rPr>
        <w:t>))</w:t>
      </w:r>
      <w:r w:rsidRPr="009D314A">
        <w:rPr>
          <w:rFonts w:ascii="Arial" w:hAnsi="Arial" w:cs="Arial"/>
          <w:bCs/>
        </w:rPr>
        <w:t xml:space="preserve">, </w:t>
      </w:r>
      <w:r w:rsidRPr="00DE06C8">
        <w:rPr>
          <w:rFonts w:ascii="Arial" w:hAnsi="Arial" w:cs="Arial"/>
          <w:bCs/>
        </w:rPr>
        <w:t xml:space="preserve">meziročně o 2 537 742 tis. Kč, tj. o 72,9 % méně. Tento pokles byl ovlivněn </w:t>
      </w:r>
      <w:r w:rsidRPr="00BE40B1">
        <w:rPr>
          <w:rFonts w:ascii="Arial" w:hAnsi="Arial" w:cs="Arial"/>
          <w:bCs/>
        </w:rPr>
        <w:t xml:space="preserve">především snížením prostředků na místa podpořená v rámci národních individuálních projektů a dále na zřízená místa </w:t>
      </w:r>
      <w:r w:rsidR="003A7316">
        <w:rPr>
          <w:rFonts w:ascii="Arial" w:hAnsi="Arial" w:cs="Arial"/>
          <w:bCs/>
        </w:rPr>
        <w:t>pro</w:t>
      </w:r>
      <w:r w:rsidRPr="00BE40B1">
        <w:rPr>
          <w:rFonts w:ascii="Arial" w:hAnsi="Arial" w:cs="Arial"/>
          <w:bCs/>
        </w:rPr>
        <w:t xml:space="preserve"> </w:t>
      </w:r>
      <w:r w:rsidRPr="000E2776">
        <w:rPr>
          <w:rFonts w:ascii="Arial" w:hAnsi="Arial" w:cs="Arial"/>
          <w:bCs/>
        </w:rPr>
        <w:t xml:space="preserve">OSVČ. </w:t>
      </w:r>
    </w:p>
    <w:p w:rsidR="00EE15EF" w:rsidRPr="002119E7" w:rsidRDefault="00EE15EF" w:rsidP="00EE15EF">
      <w:pPr>
        <w:spacing w:line="360" w:lineRule="auto"/>
        <w:ind w:firstLine="567"/>
        <w:jc w:val="both"/>
        <w:rPr>
          <w:rFonts w:ascii="Arial" w:hAnsi="Arial" w:cs="Arial"/>
          <w:bCs/>
        </w:rPr>
      </w:pPr>
      <w:r w:rsidRPr="00F64BEF">
        <w:rPr>
          <w:rFonts w:ascii="Arial" w:hAnsi="Arial" w:cs="Arial"/>
          <w:b/>
          <w:bCs/>
        </w:rPr>
        <w:t>Podíl výdajů</w:t>
      </w:r>
      <w:r w:rsidRPr="00F64BEF">
        <w:rPr>
          <w:rFonts w:ascii="Arial" w:hAnsi="Arial" w:cs="Arial"/>
          <w:bCs/>
        </w:rPr>
        <w:t xml:space="preserve"> na realizaci SÚPM z celkových výdajů ÚP ČR na </w:t>
      </w:r>
      <w:r w:rsidRPr="000122F3">
        <w:rPr>
          <w:rFonts w:ascii="Arial" w:hAnsi="Arial" w:cs="Arial"/>
          <w:bCs/>
        </w:rPr>
        <w:t xml:space="preserve">APZ </w:t>
      </w:r>
      <w:r w:rsidRPr="000122F3">
        <w:rPr>
          <w:rFonts w:ascii="Arial" w:hAnsi="Arial" w:cs="Arial"/>
          <w:b/>
          <w:bCs/>
        </w:rPr>
        <w:t>(20,1 %)</w:t>
      </w:r>
      <w:r w:rsidRPr="000122F3">
        <w:rPr>
          <w:rFonts w:ascii="Arial" w:hAnsi="Arial" w:cs="Arial"/>
          <w:bCs/>
        </w:rPr>
        <w:t xml:space="preserve"> byl podstatně nižší než</w:t>
      </w:r>
      <w:r w:rsidRPr="00F64BEF">
        <w:rPr>
          <w:rFonts w:ascii="Arial" w:hAnsi="Arial" w:cs="Arial"/>
          <w:bCs/>
        </w:rPr>
        <w:t xml:space="preserve"> v</w:t>
      </w:r>
      <w:r>
        <w:rPr>
          <w:rFonts w:ascii="Arial" w:hAnsi="Arial" w:cs="Arial"/>
          <w:bCs/>
        </w:rPr>
        <w:t> </w:t>
      </w:r>
      <w:r w:rsidRPr="00F64BEF">
        <w:rPr>
          <w:rFonts w:ascii="Arial" w:hAnsi="Arial" w:cs="Arial"/>
        </w:rPr>
        <w:t>roce</w:t>
      </w:r>
      <w:r>
        <w:rPr>
          <w:rFonts w:ascii="Arial" w:hAnsi="Arial" w:cs="Arial"/>
        </w:rPr>
        <w:t> </w:t>
      </w:r>
      <w:r w:rsidRPr="00713121">
        <w:rPr>
          <w:rFonts w:ascii="Arial" w:hAnsi="Arial" w:cs="Arial"/>
        </w:rPr>
        <w:t xml:space="preserve">2016 </w:t>
      </w:r>
      <w:r w:rsidRPr="00713121">
        <w:rPr>
          <w:rFonts w:ascii="Arial" w:hAnsi="Arial" w:cs="Arial"/>
          <w:bCs/>
        </w:rPr>
        <w:t xml:space="preserve">(50,7 %). </w:t>
      </w:r>
      <w:r w:rsidRPr="002119E7">
        <w:rPr>
          <w:rFonts w:ascii="Arial" w:hAnsi="Arial" w:cs="Arial"/>
          <w:bCs/>
        </w:rPr>
        <w:t>Pokračoval tak t</w:t>
      </w:r>
      <w:r w:rsidR="006C3B61">
        <w:rPr>
          <w:rFonts w:ascii="Arial" w:hAnsi="Arial" w:cs="Arial"/>
          <w:bCs/>
        </w:rPr>
        <w:t>rend z 1. </w:t>
      </w:r>
      <w:r w:rsidRPr="002119E7">
        <w:rPr>
          <w:rFonts w:ascii="Arial" w:hAnsi="Arial" w:cs="Arial"/>
          <w:bCs/>
        </w:rPr>
        <w:t>pol</w:t>
      </w:r>
      <w:r>
        <w:rPr>
          <w:rFonts w:ascii="Arial" w:hAnsi="Arial" w:cs="Arial"/>
          <w:bCs/>
        </w:rPr>
        <w:t>oletí</w:t>
      </w:r>
      <w:r w:rsidRPr="002119E7">
        <w:rPr>
          <w:rFonts w:ascii="Arial" w:hAnsi="Arial" w:cs="Arial"/>
          <w:bCs/>
        </w:rPr>
        <w:t xml:space="preserve"> loňského roku, kdy v důsledku vysoké poptávky po pracovní síle, zejména v profesích s nižšími kvalifikačními požadavky, jsou zaměstnavatelé ochotni zaměstnávat i osoby, které jsou na trhu p</w:t>
      </w:r>
      <w:r w:rsidR="006C3B61">
        <w:rPr>
          <w:rFonts w:ascii="Arial" w:hAnsi="Arial" w:cs="Arial"/>
          <w:bCs/>
        </w:rPr>
        <w:t>ráce jinak znevýhodněné, a to i </w:t>
      </w:r>
      <w:r w:rsidRPr="002119E7">
        <w:rPr>
          <w:rFonts w:ascii="Arial" w:hAnsi="Arial" w:cs="Arial"/>
          <w:bCs/>
        </w:rPr>
        <w:t>bez finančních příspěvků. Naopak požadavek na rychlý nábor pracovní síly odrazuje zaměstnavatele od vyřizování žádostí o poskytnutí příspěvků, které může proces náboru pracovníků zbrzdit. Naop</w:t>
      </w:r>
      <w:r w:rsidR="006C3B61">
        <w:rPr>
          <w:rFonts w:ascii="Arial" w:hAnsi="Arial" w:cs="Arial"/>
          <w:bCs/>
        </w:rPr>
        <w:t>ak tento trend se neprojevuje u </w:t>
      </w:r>
      <w:r w:rsidRPr="002119E7">
        <w:rPr>
          <w:rFonts w:ascii="Arial" w:hAnsi="Arial" w:cs="Arial"/>
          <w:bCs/>
        </w:rPr>
        <w:t>VPP, které jsou poskytovány zejména do veřejného sektoru a soustředí se na podporu zaměstnanosti nejvíce znevýhodněných osob, kterým se i přes příznivý vývoj na trhu práce nedaří uplatnit se na otevřeném trhu práce. V tomto segmentu není konkurenční tlak na získání vhodné pracovní síly tak citelný a zaměstnavatelé proto nadále projevují zájem o zaměstnávání nejvíce znevýhodněných osob s finančním příspěvkem.</w:t>
      </w:r>
    </w:p>
    <w:p w:rsidR="00EE15EF" w:rsidRPr="00E04C25" w:rsidRDefault="00EE15EF" w:rsidP="00EE15EF">
      <w:pPr>
        <w:spacing w:line="360" w:lineRule="auto"/>
        <w:ind w:firstLine="567"/>
        <w:jc w:val="both"/>
        <w:rPr>
          <w:rFonts w:ascii="Arial" w:hAnsi="Arial" w:cs="Arial"/>
        </w:rPr>
      </w:pPr>
      <w:r w:rsidRPr="00BD309E">
        <w:rPr>
          <w:rFonts w:ascii="Arial" w:hAnsi="Arial" w:cs="Arial"/>
        </w:rPr>
        <w:t>Z regionálního pohledu byl nejvyšší podíl vyčerpaných finančních prostředků na </w:t>
      </w:r>
      <w:r w:rsidRPr="000E2776">
        <w:rPr>
          <w:rFonts w:ascii="Arial" w:hAnsi="Arial" w:cs="Arial"/>
        </w:rPr>
        <w:t>SÚPM v Moravskoslezském (23,1 </w:t>
      </w:r>
      <w:r w:rsidRPr="00A351B8">
        <w:rPr>
          <w:rFonts w:ascii="Arial" w:hAnsi="Arial" w:cs="Arial"/>
        </w:rPr>
        <w:t>%), Olomouckém (12,</w:t>
      </w:r>
      <w:r w:rsidR="006C3B61">
        <w:rPr>
          <w:rFonts w:ascii="Arial" w:hAnsi="Arial" w:cs="Arial"/>
        </w:rPr>
        <w:t>3 %) a </w:t>
      </w:r>
      <w:r w:rsidRPr="00EC1312">
        <w:rPr>
          <w:rFonts w:ascii="Arial" w:hAnsi="Arial" w:cs="Arial"/>
          <w:bCs/>
        </w:rPr>
        <w:t xml:space="preserve">Jihomoravském </w:t>
      </w:r>
      <w:r w:rsidRPr="00E04C25">
        <w:rPr>
          <w:rFonts w:ascii="Arial" w:hAnsi="Arial" w:cs="Arial"/>
          <w:bCs/>
        </w:rPr>
        <w:t xml:space="preserve">(10,2 %) kraji </w:t>
      </w:r>
      <w:r w:rsidRPr="00E04C25">
        <w:rPr>
          <w:rFonts w:ascii="Arial" w:hAnsi="Arial" w:cs="Arial"/>
        </w:rPr>
        <w:t>z objemu prostředků vyčerpaných ÚP ČR na tento nástroj APZ, viz příloha č. 17.</w:t>
      </w:r>
    </w:p>
    <w:p w:rsidR="00EE15EF" w:rsidRDefault="00EE15EF" w:rsidP="00EE15EF">
      <w:pPr>
        <w:spacing w:line="360" w:lineRule="auto"/>
        <w:ind w:firstLine="567"/>
        <w:jc w:val="both"/>
        <w:rPr>
          <w:rFonts w:ascii="Arial" w:hAnsi="Arial"/>
          <w:b/>
          <w:bCs/>
        </w:rPr>
      </w:pPr>
    </w:p>
    <w:p w:rsidR="00EE15EF" w:rsidRPr="003772ED" w:rsidRDefault="00EE15EF" w:rsidP="009277A6">
      <w:pPr>
        <w:spacing w:line="360" w:lineRule="auto"/>
        <w:jc w:val="both"/>
        <w:rPr>
          <w:rFonts w:ascii="Arial" w:hAnsi="Arial" w:cs="Arial"/>
        </w:rPr>
      </w:pPr>
      <w:r w:rsidRPr="003772ED">
        <w:rPr>
          <w:rFonts w:ascii="Arial" w:hAnsi="Arial"/>
          <w:b/>
          <w:bCs/>
        </w:rPr>
        <w:t>Chráněná pracovní místa (CHPM)</w:t>
      </w:r>
    </w:p>
    <w:p w:rsidR="00EE15EF" w:rsidRPr="003772ED" w:rsidRDefault="00EE15EF" w:rsidP="00EE15EF">
      <w:pPr>
        <w:rPr>
          <w:sz w:val="20"/>
          <w:szCs w:val="20"/>
        </w:rPr>
      </w:pPr>
    </w:p>
    <w:p w:rsidR="00EE15EF" w:rsidRPr="001D0427" w:rsidRDefault="00EE15EF" w:rsidP="00EE15EF">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60" w:lineRule="auto"/>
        <w:jc w:val="both"/>
        <w:rPr>
          <w:rFonts w:ascii="Arial" w:hAnsi="Arial" w:cs="Arial"/>
        </w:rPr>
      </w:pPr>
      <w:r w:rsidRPr="003772ED">
        <w:rPr>
          <w:rFonts w:ascii="Arial" w:hAnsi="Arial"/>
          <w:b/>
        </w:rPr>
        <w:tab/>
        <w:t>V roce 2017</w:t>
      </w:r>
      <w:r w:rsidRPr="003772ED">
        <w:rPr>
          <w:rFonts w:ascii="Arial" w:hAnsi="Arial"/>
        </w:rPr>
        <w:t xml:space="preserve"> bylo finančně podpořeno</w:t>
      </w:r>
      <w:r w:rsidRPr="003772ED">
        <w:rPr>
          <w:rFonts w:ascii="Arial" w:hAnsi="Arial"/>
          <w:b/>
        </w:rPr>
        <w:t xml:space="preserve"> zřízení </w:t>
      </w:r>
      <w:r w:rsidRPr="00911B1A">
        <w:rPr>
          <w:rFonts w:ascii="Arial" w:hAnsi="Arial"/>
        </w:rPr>
        <w:t>celkem</w:t>
      </w:r>
      <w:r w:rsidR="006C3B61">
        <w:rPr>
          <w:rFonts w:ascii="Arial" w:hAnsi="Arial"/>
          <w:b/>
        </w:rPr>
        <w:t xml:space="preserve"> 604 </w:t>
      </w:r>
      <w:r w:rsidRPr="00911B1A">
        <w:rPr>
          <w:rFonts w:ascii="Arial" w:hAnsi="Arial"/>
          <w:b/>
        </w:rPr>
        <w:t>nových pracovních míst</w:t>
      </w:r>
      <w:r w:rsidRPr="00911B1A">
        <w:rPr>
          <w:rFonts w:ascii="Arial" w:hAnsi="Arial"/>
        </w:rPr>
        <w:t>,</w:t>
      </w:r>
      <w:r w:rsidRPr="00911B1A">
        <w:rPr>
          <w:rFonts w:ascii="Arial" w:hAnsi="Arial"/>
          <w:b/>
        </w:rPr>
        <w:t xml:space="preserve"> </w:t>
      </w:r>
      <w:r w:rsidRPr="00911B1A">
        <w:rPr>
          <w:rFonts w:ascii="Arial" w:hAnsi="Arial"/>
        </w:rPr>
        <w:t xml:space="preserve">na která </w:t>
      </w:r>
      <w:r w:rsidRPr="00E34000">
        <w:rPr>
          <w:rFonts w:ascii="Arial" w:hAnsi="Arial"/>
        </w:rPr>
        <w:t xml:space="preserve">bylo </w:t>
      </w:r>
      <w:r w:rsidRPr="00E34000">
        <w:rPr>
          <w:rFonts w:ascii="Arial" w:hAnsi="Arial"/>
          <w:b/>
        </w:rPr>
        <w:t xml:space="preserve">umístěno </w:t>
      </w:r>
      <w:r w:rsidRPr="00E34000">
        <w:rPr>
          <w:rFonts w:ascii="Arial" w:hAnsi="Arial"/>
          <w:bCs/>
        </w:rPr>
        <w:t xml:space="preserve">od počátku roku </w:t>
      </w:r>
      <w:r w:rsidRPr="00E34000">
        <w:rPr>
          <w:rFonts w:ascii="Arial" w:hAnsi="Arial"/>
          <w:b/>
          <w:bCs/>
        </w:rPr>
        <w:t>1 187 </w:t>
      </w:r>
      <w:r w:rsidRPr="00E34000">
        <w:rPr>
          <w:rFonts w:ascii="Arial" w:hAnsi="Arial"/>
          <w:b/>
        </w:rPr>
        <w:t xml:space="preserve">osob se zdravotním postižením </w:t>
      </w:r>
      <w:r w:rsidRPr="00E34000">
        <w:rPr>
          <w:rFonts w:ascii="Arial" w:hAnsi="Arial"/>
          <w:bCs/>
        </w:rPr>
        <w:t>(OZP)</w:t>
      </w:r>
      <w:r w:rsidRPr="00E34000">
        <w:rPr>
          <w:rFonts w:ascii="Arial" w:hAnsi="Arial"/>
        </w:rPr>
        <w:t xml:space="preserve">. V těchto počtech jsou zahrnuta i místa pro OZP, které se </w:t>
      </w:r>
      <w:r w:rsidRPr="00E34000">
        <w:rPr>
          <w:rFonts w:ascii="Arial" w:hAnsi="Arial"/>
        </w:rPr>
        <w:lastRenderedPageBreak/>
        <w:t xml:space="preserve">rozhodnou vykonávat samostatnou výdělečnou </w:t>
      </w:r>
      <w:r w:rsidRPr="00431E40">
        <w:rPr>
          <w:rFonts w:ascii="Arial" w:hAnsi="Arial"/>
        </w:rPr>
        <w:t xml:space="preserve">činnost. </w:t>
      </w:r>
      <w:r w:rsidRPr="00431E40">
        <w:rPr>
          <w:rFonts w:ascii="Arial" w:hAnsi="Arial" w:cs="Arial"/>
        </w:rPr>
        <w:t xml:space="preserve">Na zřízení CHPM bylo vynaloženo 34 408 tis. Kč, </w:t>
      </w:r>
      <w:r>
        <w:rPr>
          <w:rFonts w:ascii="Arial" w:hAnsi="Arial" w:cs="Arial"/>
        </w:rPr>
        <w:t>což je o </w:t>
      </w:r>
      <w:r w:rsidRPr="001D0427">
        <w:rPr>
          <w:rFonts w:ascii="Arial" w:hAnsi="Arial" w:cs="Arial"/>
        </w:rPr>
        <w:t>13 460</w:t>
      </w:r>
      <w:r>
        <w:rPr>
          <w:rFonts w:ascii="Arial" w:hAnsi="Arial" w:cs="Arial"/>
        </w:rPr>
        <w:t xml:space="preserve"> tis. </w:t>
      </w:r>
      <w:r w:rsidRPr="001D0427">
        <w:rPr>
          <w:rFonts w:ascii="Arial" w:hAnsi="Arial" w:cs="Arial"/>
        </w:rPr>
        <w:t xml:space="preserve">Kč méně než v roce 2016. </w:t>
      </w:r>
    </w:p>
    <w:p w:rsidR="00EE15EF" w:rsidRPr="007960F2" w:rsidRDefault="00EE15EF" w:rsidP="00EE15EF">
      <w:pPr>
        <w:spacing w:line="360" w:lineRule="auto"/>
        <w:ind w:firstLine="567"/>
        <w:jc w:val="both"/>
        <w:rPr>
          <w:rFonts w:ascii="Arial" w:hAnsi="Arial" w:cs="Arial"/>
        </w:rPr>
      </w:pPr>
      <w:r w:rsidRPr="00305611">
        <w:rPr>
          <w:rFonts w:ascii="Arial" w:hAnsi="Arial" w:cs="Arial"/>
        </w:rPr>
        <w:t xml:space="preserve">Na </w:t>
      </w:r>
      <w:r w:rsidRPr="00305611">
        <w:rPr>
          <w:rFonts w:ascii="Arial" w:hAnsi="Arial" w:cs="Arial"/>
          <w:b/>
        </w:rPr>
        <w:t>částečnou úhradu provozních nákladů CHPM</w:t>
      </w:r>
      <w:r w:rsidRPr="00305611">
        <w:rPr>
          <w:rFonts w:ascii="Arial" w:hAnsi="Arial" w:cs="Arial"/>
        </w:rPr>
        <w:t xml:space="preserve"> (na nichž bylo zaměstnáno </w:t>
      </w:r>
      <w:r w:rsidRPr="003D0A8A">
        <w:rPr>
          <w:rFonts w:ascii="Arial" w:hAnsi="Arial" w:cs="Arial"/>
        </w:rPr>
        <w:t xml:space="preserve">134 OZP) byly vynaloženy finanční prostředky ve </w:t>
      </w:r>
      <w:r w:rsidRPr="004A6446">
        <w:rPr>
          <w:rFonts w:ascii="Arial" w:hAnsi="Arial" w:cs="Arial"/>
        </w:rPr>
        <w:t>výši 4 209 tis</w:t>
      </w:r>
      <w:r w:rsidRPr="007960F2">
        <w:rPr>
          <w:rFonts w:ascii="Arial" w:hAnsi="Arial" w:cs="Arial"/>
        </w:rPr>
        <w:t xml:space="preserve">., což je o 409 tis. Kč více než v roce 2016. </w:t>
      </w:r>
    </w:p>
    <w:p w:rsidR="00EE15EF" w:rsidRPr="00844F8D" w:rsidRDefault="00EE15EF" w:rsidP="00EE15EF">
      <w:pPr>
        <w:spacing w:line="360" w:lineRule="auto"/>
        <w:ind w:firstLine="567"/>
        <w:jc w:val="both"/>
        <w:rPr>
          <w:rFonts w:ascii="Arial" w:hAnsi="Arial" w:cs="Arial"/>
        </w:rPr>
      </w:pPr>
      <w:r w:rsidRPr="00591922">
        <w:rPr>
          <w:rFonts w:ascii="Arial" w:hAnsi="Arial" w:cs="Arial"/>
          <w:b/>
        </w:rPr>
        <w:t xml:space="preserve">Celková částka na zřízení CHPM a na provoz CHPM </w:t>
      </w:r>
      <w:r w:rsidRPr="00B30D5C">
        <w:rPr>
          <w:rFonts w:ascii="Arial" w:hAnsi="Arial" w:cs="Arial"/>
        </w:rPr>
        <w:t xml:space="preserve">činila </w:t>
      </w:r>
      <w:r w:rsidR="00A3504F">
        <w:rPr>
          <w:rFonts w:ascii="Arial" w:hAnsi="Arial" w:cs="Arial"/>
          <w:b/>
        </w:rPr>
        <w:t>38 617 </w:t>
      </w:r>
      <w:r w:rsidRPr="00B30D5C">
        <w:rPr>
          <w:rFonts w:ascii="Arial" w:hAnsi="Arial" w:cs="Arial"/>
          <w:b/>
        </w:rPr>
        <w:t>tis. Kč</w:t>
      </w:r>
      <w:r w:rsidRPr="00B30D5C">
        <w:rPr>
          <w:rFonts w:ascii="Arial" w:hAnsi="Arial" w:cs="Arial"/>
        </w:rPr>
        <w:t xml:space="preserve">, což </w:t>
      </w:r>
      <w:r w:rsidRPr="003A7CFB">
        <w:rPr>
          <w:rFonts w:ascii="Arial" w:hAnsi="Arial" w:cs="Arial"/>
        </w:rPr>
        <w:t>bylo o 13 05</w:t>
      </w:r>
      <w:r>
        <w:rPr>
          <w:rFonts w:ascii="Arial" w:hAnsi="Arial" w:cs="Arial"/>
        </w:rPr>
        <w:t>0</w:t>
      </w:r>
      <w:r w:rsidRPr="003A7CFB">
        <w:rPr>
          <w:rFonts w:ascii="Arial" w:hAnsi="Arial" w:cs="Arial"/>
        </w:rPr>
        <w:t xml:space="preserve"> tis. Kč méně než </w:t>
      </w:r>
      <w:r w:rsidRPr="00105417">
        <w:rPr>
          <w:rFonts w:ascii="Arial" w:hAnsi="Arial" w:cs="Arial"/>
        </w:rPr>
        <w:t>v roce 2016. Jejich</w:t>
      </w:r>
      <w:r w:rsidRPr="00105417">
        <w:rPr>
          <w:rFonts w:ascii="Arial" w:hAnsi="Arial" w:cs="Arial"/>
          <w:b/>
        </w:rPr>
        <w:t xml:space="preserve"> podíl </w:t>
      </w:r>
      <w:r w:rsidRPr="00105417">
        <w:rPr>
          <w:rFonts w:ascii="Arial" w:hAnsi="Arial" w:cs="Arial"/>
        </w:rPr>
        <w:t xml:space="preserve">z celkových výdajů ÚP ČR </w:t>
      </w:r>
      <w:r w:rsidRPr="00844F8D">
        <w:rPr>
          <w:rFonts w:ascii="Arial" w:hAnsi="Arial" w:cs="Arial"/>
        </w:rPr>
        <w:t xml:space="preserve">na APZ </w:t>
      </w:r>
      <w:r w:rsidRPr="00844F8D">
        <w:rPr>
          <w:rFonts w:ascii="Arial" w:hAnsi="Arial" w:cs="Arial"/>
          <w:b/>
        </w:rPr>
        <w:t xml:space="preserve">se </w:t>
      </w:r>
      <w:r w:rsidRPr="00844F8D">
        <w:rPr>
          <w:rFonts w:ascii="Arial" w:hAnsi="Arial" w:cs="Arial"/>
        </w:rPr>
        <w:t xml:space="preserve">meziročně </w:t>
      </w:r>
      <w:r w:rsidRPr="00844F8D">
        <w:rPr>
          <w:rFonts w:ascii="Arial" w:hAnsi="Arial" w:cs="Arial"/>
          <w:b/>
        </w:rPr>
        <w:t xml:space="preserve">nezměnil </w:t>
      </w:r>
      <w:r w:rsidRPr="00844F8D">
        <w:rPr>
          <w:rFonts w:ascii="Arial" w:hAnsi="Arial" w:cs="Arial"/>
        </w:rPr>
        <w:t>a zůstal na úrovni</w:t>
      </w:r>
      <w:r w:rsidRPr="00844F8D">
        <w:rPr>
          <w:rFonts w:ascii="Arial" w:hAnsi="Arial" w:cs="Arial"/>
          <w:b/>
        </w:rPr>
        <w:t xml:space="preserve"> 0,8 %</w:t>
      </w:r>
      <w:r w:rsidRPr="00844F8D">
        <w:rPr>
          <w:rFonts w:ascii="Arial" w:hAnsi="Arial" w:cs="Arial"/>
        </w:rPr>
        <w:t xml:space="preserve">. </w:t>
      </w:r>
    </w:p>
    <w:p w:rsidR="00EE15EF" w:rsidRPr="00EA66C0" w:rsidRDefault="00EE15EF" w:rsidP="00EE15EF">
      <w:pPr>
        <w:spacing w:line="360" w:lineRule="auto"/>
        <w:ind w:firstLine="567"/>
        <w:jc w:val="both"/>
        <w:rPr>
          <w:rFonts w:ascii="Arial" w:hAnsi="Arial" w:cs="Arial"/>
          <w:b/>
        </w:rPr>
      </w:pPr>
      <w:r w:rsidRPr="00844F8D">
        <w:rPr>
          <w:rFonts w:ascii="Arial" w:hAnsi="Arial" w:cs="Arial"/>
        </w:rPr>
        <w:t xml:space="preserve">Další formou podpory osob se zdravotním postižením (OZP) je </w:t>
      </w:r>
      <w:r w:rsidRPr="00844F8D">
        <w:rPr>
          <w:rFonts w:ascii="Arial" w:hAnsi="Arial" w:cs="Arial"/>
          <w:b/>
        </w:rPr>
        <w:t xml:space="preserve">pracovní rehabilitace (PR), </w:t>
      </w:r>
      <w:r w:rsidRPr="00844F8D">
        <w:rPr>
          <w:rFonts w:ascii="Arial" w:hAnsi="Arial" w:cs="Arial"/>
        </w:rPr>
        <w:t>která je uskutečňována na základě individuálního plánu pracovní rehabilitace. Individuální plán pracovní re</w:t>
      </w:r>
      <w:r w:rsidR="006C3B61">
        <w:rPr>
          <w:rFonts w:ascii="Arial" w:hAnsi="Arial" w:cs="Arial"/>
        </w:rPr>
        <w:t>habilitace obsahuje mimo jiné i </w:t>
      </w:r>
      <w:r w:rsidRPr="00844F8D">
        <w:rPr>
          <w:rFonts w:ascii="Arial" w:hAnsi="Arial" w:cs="Arial"/>
        </w:rPr>
        <w:t xml:space="preserve">jednotlivé formy pracovní rehabilitace a je ve své podstatě harmonogramem naplňování dohodnutého postupu vedoucího k pracovnímu uplatnění OZP. </w:t>
      </w:r>
      <w:r w:rsidRPr="00844F8D">
        <w:rPr>
          <w:rFonts w:ascii="Arial" w:hAnsi="Arial"/>
        </w:rPr>
        <w:t xml:space="preserve">V důsledku intenzivní poradenské práce poradců pro pracovní rehabilitaci a koordinátorů zaměstnávání OZP ÚP ČR pokračoval v roce 2017 </w:t>
      </w:r>
      <w:r w:rsidRPr="00844F8D">
        <w:rPr>
          <w:rFonts w:ascii="Arial" w:hAnsi="Arial" w:cs="Arial"/>
        </w:rPr>
        <w:t>trend zvyšuj</w:t>
      </w:r>
      <w:r w:rsidR="006C3B61">
        <w:rPr>
          <w:rFonts w:ascii="Arial" w:hAnsi="Arial" w:cs="Arial"/>
        </w:rPr>
        <w:t>ícího se zájmu o </w:t>
      </w:r>
      <w:r w:rsidRPr="00844F8D">
        <w:rPr>
          <w:rFonts w:ascii="Arial" w:hAnsi="Arial" w:cs="Arial"/>
        </w:rPr>
        <w:t>pracovní rehabilitaci ze strany OZP. ÚP ČR v součinnosti s OZP uzavřel v </w:t>
      </w:r>
      <w:r w:rsidRPr="00844F8D">
        <w:rPr>
          <w:rFonts w:ascii="Arial" w:hAnsi="Arial"/>
        </w:rPr>
        <w:t xml:space="preserve">roce 2017 </w:t>
      </w:r>
      <w:r w:rsidRPr="00844F8D">
        <w:rPr>
          <w:rFonts w:ascii="Arial" w:hAnsi="Arial" w:cs="Arial"/>
        </w:rPr>
        <w:t xml:space="preserve">celkem </w:t>
      </w:r>
      <w:r w:rsidRPr="001135BF">
        <w:rPr>
          <w:rFonts w:ascii="Arial" w:hAnsi="Arial" w:cs="Arial"/>
          <w:b/>
        </w:rPr>
        <w:t>420</w:t>
      </w:r>
      <w:r>
        <w:rPr>
          <w:rFonts w:ascii="Arial" w:hAnsi="Arial" w:cs="Arial"/>
          <w:b/>
        </w:rPr>
        <w:t> </w:t>
      </w:r>
      <w:r w:rsidRPr="001135BF">
        <w:rPr>
          <w:rFonts w:ascii="Arial" w:hAnsi="Arial" w:cs="Arial"/>
          <w:b/>
        </w:rPr>
        <w:t>individuálních plánů pracovní rehabilitace</w:t>
      </w:r>
      <w:r w:rsidRPr="00844F8D">
        <w:rPr>
          <w:rFonts w:ascii="Arial" w:hAnsi="Arial" w:cs="Arial"/>
        </w:rPr>
        <w:t xml:space="preserve"> (v roce</w:t>
      </w:r>
      <w:r w:rsidR="006C3B61">
        <w:rPr>
          <w:rFonts w:ascii="Arial" w:hAnsi="Arial"/>
        </w:rPr>
        <w:t> 2016 jich bylo </w:t>
      </w:r>
      <w:r w:rsidRPr="00844F8D">
        <w:rPr>
          <w:rFonts w:ascii="Arial" w:hAnsi="Arial"/>
        </w:rPr>
        <w:t>325</w:t>
      </w:r>
      <w:r w:rsidRPr="00844F8D">
        <w:rPr>
          <w:rFonts w:ascii="Arial" w:hAnsi="Arial" w:cs="Arial"/>
        </w:rPr>
        <w:t xml:space="preserve">). </w:t>
      </w:r>
      <w:r w:rsidRPr="003C2C83">
        <w:rPr>
          <w:rFonts w:ascii="Arial" w:hAnsi="Arial" w:cs="Arial"/>
        </w:rPr>
        <w:t>Mezi nejčastěji zabezpečované formy pracovní rehabilitace patřila stejně jako v předchozím období pří</w:t>
      </w:r>
      <w:r w:rsidR="006C3B61">
        <w:rPr>
          <w:rFonts w:ascii="Arial" w:hAnsi="Arial" w:cs="Arial"/>
        </w:rPr>
        <w:t>prava k práci (v celkovém počtu </w:t>
      </w:r>
      <w:r w:rsidRPr="003C2C83">
        <w:rPr>
          <w:rFonts w:ascii="Arial" w:hAnsi="Arial" w:cs="Arial"/>
        </w:rPr>
        <w:t xml:space="preserve">185). </w:t>
      </w:r>
      <w:r w:rsidRPr="003C2C83">
        <w:rPr>
          <w:rFonts w:ascii="Arial" w:hAnsi="Arial" w:cs="Arial"/>
          <w:b/>
        </w:rPr>
        <w:t>Rozsah</w:t>
      </w:r>
      <w:r w:rsidRPr="003C2C83">
        <w:rPr>
          <w:rFonts w:ascii="Arial" w:hAnsi="Arial" w:cs="Arial"/>
        </w:rPr>
        <w:t xml:space="preserve"> tohoto způsobu </w:t>
      </w:r>
      <w:r w:rsidRPr="003C2C83">
        <w:rPr>
          <w:rFonts w:ascii="Arial" w:hAnsi="Arial" w:cs="Arial"/>
          <w:b/>
        </w:rPr>
        <w:t>podpory</w:t>
      </w:r>
      <w:r w:rsidRPr="003C2C83">
        <w:rPr>
          <w:rFonts w:ascii="Arial" w:hAnsi="Arial" w:cs="Arial"/>
        </w:rPr>
        <w:t xml:space="preserve"> osob se zdravotním postižením představoval </w:t>
      </w:r>
      <w:r w:rsidRPr="00AE0717">
        <w:rPr>
          <w:rFonts w:ascii="Arial" w:hAnsi="Arial"/>
          <w:b/>
        </w:rPr>
        <w:t>v </w:t>
      </w:r>
      <w:r w:rsidRPr="003C2C83">
        <w:rPr>
          <w:rFonts w:ascii="Arial" w:hAnsi="Arial"/>
          <w:b/>
        </w:rPr>
        <w:t>roce 2017</w:t>
      </w:r>
      <w:r w:rsidRPr="003C2C83">
        <w:rPr>
          <w:rFonts w:ascii="Arial" w:hAnsi="Arial"/>
        </w:rPr>
        <w:t xml:space="preserve"> </w:t>
      </w:r>
      <w:r w:rsidRPr="003C2C83">
        <w:rPr>
          <w:rFonts w:ascii="Arial" w:hAnsi="Arial" w:cs="Arial"/>
        </w:rPr>
        <w:t xml:space="preserve">objem </w:t>
      </w:r>
      <w:r w:rsidRPr="00D85C09">
        <w:rPr>
          <w:rFonts w:ascii="Arial" w:hAnsi="Arial" w:cs="Arial"/>
          <w:b/>
        </w:rPr>
        <w:t>6 317 tis. Kč</w:t>
      </w:r>
      <w:r w:rsidRPr="00D85C09">
        <w:rPr>
          <w:rFonts w:ascii="Arial" w:hAnsi="Arial" w:cs="Arial"/>
        </w:rPr>
        <w:t>,</w:t>
      </w:r>
      <w:r w:rsidRPr="00D85C09">
        <w:rPr>
          <w:rFonts w:ascii="Arial" w:hAnsi="Arial" w:cs="Arial"/>
          <w:b/>
        </w:rPr>
        <w:t xml:space="preserve"> </w:t>
      </w:r>
      <w:r w:rsidRPr="00EA66C0">
        <w:rPr>
          <w:rFonts w:ascii="Arial" w:hAnsi="Arial" w:cs="Arial"/>
        </w:rPr>
        <w:t xml:space="preserve">tj. o 9 tis. Kč méně než v předchozím roce. </w:t>
      </w:r>
    </w:p>
    <w:p w:rsidR="00EE15EF" w:rsidRDefault="00EE15EF" w:rsidP="00EE15EF">
      <w:pPr>
        <w:spacing w:line="360" w:lineRule="auto"/>
        <w:ind w:firstLine="567"/>
        <w:jc w:val="both"/>
        <w:rPr>
          <w:rFonts w:ascii="Arial" w:hAnsi="Arial" w:cs="Arial"/>
        </w:rPr>
      </w:pPr>
      <w:r w:rsidRPr="002919D1">
        <w:rPr>
          <w:rFonts w:ascii="Arial" w:hAnsi="Arial"/>
          <w:b/>
        </w:rPr>
        <w:t>V roce 2017</w:t>
      </w:r>
      <w:r w:rsidRPr="002919D1">
        <w:rPr>
          <w:rFonts w:ascii="Arial" w:hAnsi="Arial"/>
        </w:rPr>
        <w:t xml:space="preserve"> </w:t>
      </w:r>
      <w:r w:rsidRPr="002919D1">
        <w:rPr>
          <w:rFonts w:ascii="Arial" w:hAnsi="Arial" w:cs="Arial"/>
        </w:rPr>
        <w:t xml:space="preserve">bylo dále </w:t>
      </w:r>
      <w:r w:rsidRPr="003E7307">
        <w:rPr>
          <w:rFonts w:ascii="Arial" w:hAnsi="Arial" w:cs="Arial"/>
          <w:b/>
        </w:rPr>
        <w:t>vymezeno 8 251 CHPM</w:t>
      </w:r>
      <w:r>
        <w:rPr>
          <w:rFonts w:ascii="Arial" w:hAnsi="Arial" w:cs="Arial"/>
          <w:b/>
        </w:rPr>
        <w:t xml:space="preserve"> </w:t>
      </w:r>
      <w:r w:rsidR="006C3B61">
        <w:rPr>
          <w:rFonts w:ascii="Arial" w:hAnsi="Arial" w:cs="Arial"/>
        </w:rPr>
        <w:t>(v roce </w:t>
      </w:r>
      <w:r w:rsidRPr="00E629D4">
        <w:rPr>
          <w:rFonts w:ascii="Arial" w:hAnsi="Arial" w:cs="Arial"/>
        </w:rPr>
        <w:t>2016 to bylo</w:t>
      </w:r>
      <w:r w:rsidR="001031C2">
        <w:rPr>
          <w:rFonts w:ascii="Arial" w:hAnsi="Arial" w:cs="Arial"/>
        </w:rPr>
        <w:t xml:space="preserve"> </w:t>
      </w:r>
      <w:r>
        <w:rPr>
          <w:rFonts w:ascii="Arial" w:hAnsi="Arial" w:cs="Arial"/>
        </w:rPr>
        <w:t>9</w:t>
      </w:r>
      <w:r w:rsidR="00945C5B">
        <w:rPr>
          <w:rFonts w:ascii="Arial" w:hAnsi="Arial" w:cs="Arial"/>
        </w:rPr>
        <w:t> </w:t>
      </w:r>
      <w:r>
        <w:rPr>
          <w:rFonts w:ascii="Arial" w:hAnsi="Arial" w:cs="Arial"/>
        </w:rPr>
        <w:t>893</w:t>
      </w:r>
      <w:r w:rsidR="00945C5B">
        <w:rPr>
          <w:rFonts w:ascii="Arial" w:hAnsi="Arial" w:cs="Arial"/>
        </w:rPr>
        <w:t> </w:t>
      </w:r>
      <w:r>
        <w:rPr>
          <w:rFonts w:ascii="Arial" w:hAnsi="Arial" w:cs="Arial"/>
        </w:rPr>
        <w:t>míst)</w:t>
      </w:r>
      <w:r w:rsidRPr="00E629D4">
        <w:rPr>
          <w:rFonts w:ascii="Arial" w:hAnsi="Arial" w:cs="Arial"/>
        </w:rPr>
        <w:t>.</w:t>
      </w:r>
      <w:r w:rsidRPr="003E7307">
        <w:rPr>
          <w:rFonts w:ascii="Arial" w:hAnsi="Arial" w:cs="Arial"/>
        </w:rPr>
        <w:t xml:space="preserve"> Vymezování CHPM bylo realizováno v souvislosti s vazbou chráněných pracovních míst na poskytování příspěvku podle § 78 zákona </w:t>
      </w:r>
      <w:r w:rsidRPr="003E7307">
        <w:rPr>
          <w:rFonts w:ascii="Arial" w:hAnsi="Arial"/>
          <w:bCs/>
        </w:rPr>
        <w:t>č. 435/2004 Sb., o zaměstnanosti, ve znění pozdějších předpisů</w:t>
      </w:r>
      <w:r w:rsidR="006C3B61">
        <w:rPr>
          <w:rFonts w:ascii="Arial" w:hAnsi="Arial" w:cs="Arial"/>
        </w:rPr>
        <w:t>. Příspěvek dle § 78 zákona o </w:t>
      </w:r>
      <w:r w:rsidRPr="003E7307">
        <w:rPr>
          <w:rFonts w:ascii="Arial" w:hAnsi="Arial" w:cs="Arial"/>
        </w:rPr>
        <w:t>zaměstnanosti lze poskytnout pouze na osoby se zdravotním postižením pracující na chráněných pracovních místech.</w:t>
      </w:r>
    </w:p>
    <w:p w:rsidR="00EE15EF" w:rsidRPr="003E7307" w:rsidRDefault="00EE15EF" w:rsidP="00EE15EF">
      <w:pPr>
        <w:spacing w:line="360" w:lineRule="auto"/>
        <w:ind w:firstLine="567"/>
        <w:jc w:val="both"/>
        <w:rPr>
          <w:rFonts w:ascii="Arial" w:hAnsi="Arial" w:cs="Arial"/>
        </w:rPr>
      </w:pPr>
      <w:r w:rsidRPr="00C34227">
        <w:rPr>
          <w:rFonts w:ascii="Arial" w:hAnsi="Arial" w:cs="Arial"/>
        </w:rPr>
        <w:t>Důvodem poklesu počtu vymezovaných a zřizovaných chráněných pracovních míst je novela záko</w:t>
      </w:r>
      <w:r>
        <w:rPr>
          <w:rFonts w:ascii="Arial" w:hAnsi="Arial" w:cs="Arial"/>
        </w:rPr>
        <w:t>na o zaměstnanosti účinná od 1. 1. </w:t>
      </w:r>
      <w:r w:rsidRPr="00C34227">
        <w:rPr>
          <w:rFonts w:ascii="Arial" w:hAnsi="Arial" w:cs="Arial"/>
        </w:rPr>
        <w:t>2018. Předmětná novela nahradila administrativně náročný systém vymezování chráněných pracovních míst systémem uznávání zaměstnavatele za zaměstnavatele na chráněném trhu práce. Benefity poskytované zaměstnavatel</w:t>
      </w:r>
      <w:r>
        <w:rPr>
          <w:rFonts w:ascii="Arial" w:hAnsi="Arial" w:cs="Arial"/>
        </w:rPr>
        <w:t>ům na chráněném trhu práce (tj. </w:t>
      </w:r>
      <w:r w:rsidRPr="00C34227">
        <w:rPr>
          <w:rFonts w:ascii="Arial" w:hAnsi="Arial" w:cs="Arial"/>
        </w:rPr>
        <w:t>možnost poskytování náhradního plnění a čerpání příspěvku na podporu zaměstnávání osob se zd</w:t>
      </w:r>
      <w:r>
        <w:rPr>
          <w:rFonts w:ascii="Arial" w:hAnsi="Arial" w:cs="Arial"/>
        </w:rPr>
        <w:t>ravotním postižením) jsou od 1. </w:t>
      </w:r>
      <w:r w:rsidRPr="00C34227">
        <w:rPr>
          <w:rFonts w:ascii="Arial" w:hAnsi="Arial" w:cs="Arial"/>
        </w:rPr>
        <w:t>1.</w:t>
      </w:r>
      <w:r>
        <w:rPr>
          <w:rFonts w:ascii="Arial" w:hAnsi="Arial" w:cs="Arial"/>
        </w:rPr>
        <w:t> </w:t>
      </w:r>
      <w:r w:rsidRPr="00C34227">
        <w:rPr>
          <w:rFonts w:ascii="Arial" w:hAnsi="Arial" w:cs="Arial"/>
        </w:rPr>
        <w:t xml:space="preserve">2018 podmíněny uznáním zaměstnavatele </w:t>
      </w:r>
      <w:r w:rsidRPr="00C34227">
        <w:rPr>
          <w:rFonts w:ascii="Arial" w:hAnsi="Arial" w:cs="Arial"/>
        </w:rPr>
        <w:lastRenderedPageBreak/>
        <w:t xml:space="preserve">na chráněném trhu práce. Z důvodu očekávané změny systému tedy </w:t>
      </w:r>
      <w:r w:rsidR="00B10F57">
        <w:rPr>
          <w:rFonts w:ascii="Arial" w:hAnsi="Arial" w:cs="Arial"/>
        </w:rPr>
        <w:t>došlo</w:t>
      </w:r>
      <w:r w:rsidRPr="00C34227">
        <w:rPr>
          <w:rFonts w:ascii="Arial" w:hAnsi="Arial" w:cs="Arial"/>
        </w:rPr>
        <w:t xml:space="preserve"> s</w:t>
      </w:r>
      <w:r w:rsidR="003D0662">
        <w:rPr>
          <w:rFonts w:ascii="Arial" w:hAnsi="Arial" w:cs="Arial"/>
        </w:rPr>
        <w:t> </w:t>
      </w:r>
      <w:r w:rsidR="009F3CCB">
        <w:rPr>
          <w:rFonts w:ascii="Arial" w:hAnsi="Arial" w:cs="Arial"/>
        </w:rPr>
        <w:t>blížícím se koncem roku 2017 k </w:t>
      </w:r>
      <w:r w:rsidRPr="00C34227">
        <w:rPr>
          <w:rFonts w:ascii="Arial" w:hAnsi="Arial" w:cs="Arial"/>
        </w:rPr>
        <w:t>úbytku počtu vymezov</w:t>
      </w:r>
      <w:r w:rsidR="009F3CCB">
        <w:rPr>
          <w:rFonts w:ascii="Arial" w:hAnsi="Arial" w:cs="Arial"/>
        </w:rPr>
        <w:t>aných a </w:t>
      </w:r>
      <w:r w:rsidRPr="00C34227">
        <w:rPr>
          <w:rFonts w:ascii="Arial" w:hAnsi="Arial" w:cs="Arial"/>
        </w:rPr>
        <w:t>zřizovaných chráněných pracovních míst.</w:t>
      </w:r>
    </w:p>
    <w:p w:rsidR="00EE15EF" w:rsidRDefault="00EE15EF" w:rsidP="00EE15EF">
      <w:pPr>
        <w:spacing w:line="360" w:lineRule="auto"/>
        <w:ind w:firstLine="567"/>
        <w:jc w:val="both"/>
        <w:rPr>
          <w:rFonts w:ascii="Arial" w:hAnsi="Arial"/>
          <w:b/>
        </w:rPr>
      </w:pPr>
    </w:p>
    <w:p w:rsidR="00EE15EF" w:rsidRPr="00571556" w:rsidRDefault="00EE15EF" w:rsidP="009277A6">
      <w:pPr>
        <w:spacing w:line="360" w:lineRule="auto"/>
        <w:jc w:val="both"/>
        <w:rPr>
          <w:rFonts w:ascii="Arial" w:hAnsi="Arial"/>
          <w:b/>
        </w:rPr>
      </w:pPr>
      <w:r w:rsidRPr="00571556">
        <w:rPr>
          <w:rFonts w:ascii="Arial" w:hAnsi="Arial"/>
          <w:b/>
        </w:rPr>
        <w:t>Méně využívané nástroje APZ</w:t>
      </w:r>
    </w:p>
    <w:p w:rsidR="00EE15EF" w:rsidRPr="00571556" w:rsidRDefault="00EE15EF" w:rsidP="00EE15EF">
      <w:pPr>
        <w:spacing w:line="360" w:lineRule="auto"/>
        <w:ind w:firstLine="708"/>
        <w:jc w:val="both"/>
        <w:rPr>
          <w:rFonts w:ascii="Arial" w:hAnsi="Arial"/>
          <w:sz w:val="18"/>
          <w:szCs w:val="18"/>
        </w:rPr>
      </w:pPr>
    </w:p>
    <w:p w:rsidR="00EE15EF" w:rsidRPr="00571556" w:rsidRDefault="00EE15EF" w:rsidP="00EE15EF">
      <w:pPr>
        <w:spacing w:line="360" w:lineRule="auto"/>
        <w:ind w:firstLine="567"/>
        <w:jc w:val="both"/>
        <w:rPr>
          <w:rFonts w:ascii="Arial" w:hAnsi="Arial" w:cs="Arial"/>
          <w:b/>
          <w:bCs/>
        </w:rPr>
      </w:pPr>
      <w:r w:rsidRPr="00571556">
        <w:rPr>
          <w:rFonts w:ascii="Arial" w:hAnsi="Arial"/>
        </w:rPr>
        <w:t xml:space="preserve">Méně využívanými nástroji aktivní politiky zaměstnanosti jsou </w:t>
      </w:r>
      <w:r w:rsidRPr="00571556">
        <w:rPr>
          <w:rFonts w:ascii="Arial" w:hAnsi="Arial" w:cs="Arial"/>
          <w:b/>
          <w:bCs/>
        </w:rPr>
        <w:t>p</w:t>
      </w:r>
      <w:r w:rsidRPr="00571556">
        <w:rPr>
          <w:rFonts w:ascii="Arial" w:hAnsi="Arial"/>
          <w:b/>
          <w:bCs/>
        </w:rPr>
        <w:t xml:space="preserve">říspěvek na podporu regionální mobility (příspěvek na dojížďku </w:t>
      </w:r>
      <w:r w:rsidRPr="00571556">
        <w:rPr>
          <w:rFonts w:ascii="Arial" w:hAnsi="Arial"/>
          <w:bCs/>
        </w:rPr>
        <w:t>a</w:t>
      </w:r>
      <w:r w:rsidR="009F3CCB">
        <w:rPr>
          <w:rFonts w:ascii="Arial" w:hAnsi="Arial"/>
          <w:b/>
          <w:bCs/>
        </w:rPr>
        <w:t> </w:t>
      </w:r>
      <w:r w:rsidRPr="00571556">
        <w:rPr>
          <w:rFonts w:ascii="Arial" w:hAnsi="Arial"/>
          <w:b/>
          <w:bCs/>
        </w:rPr>
        <w:t>příspěvek na přestěhování), p</w:t>
      </w:r>
      <w:r w:rsidRPr="00571556">
        <w:rPr>
          <w:rFonts w:ascii="Arial" w:hAnsi="Arial" w:cs="Arial"/>
          <w:b/>
          <w:bCs/>
        </w:rPr>
        <w:t>řeklenovací příspěvek,</w:t>
      </w:r>
      <w:r w:rsidRPr="00571556">
        <w:rPr>
          <w:rFonts w:ascii="Arial" w:hAnsi="Arial"/>
          <w:b/>
        </w:rPr>
        <w:t xml:space="preserve"> p</w:t>
      </w:r>
      <w:r w:rsidRPr="00571556">
        <w:rPr>
          <w:rFonts w:ascii="Arial" w:hAnsi="Arial"/>
          <w:b/>
          <w:bCs/>
        </w:rPr>
        <w:t xml:space="preserve">říspěvek na zapracování </w:t>
      </w:r>
      <w:r w:rsidRPr="00571556">
        <w:rPr>
          <w:rFonts w:ascii="Arial" w:hAnsi="Arial"/>
          <w:bCs/>
        </w:rPr>
        <w:t>a </w:t>
      </w:r>
      <w:r w:rsidRPr="00571556">
        <w:rPr>
          <w:rFonts w:ascii="Arial" w:hAnsi="Arial"/>
          <w:b/>
          <w:bCs/>
        </w:rPr>
        <w:t>příspěvek v době částečné nezaměstnanosti</w:t>
      </w:r>
      <w:r w:rsidRPr="00571556">
        <w:rPr>
          <w:rFonts w:ascii="Arial" w:hAnsi="Arial" w:cs="Arial"/>
          <w:b/>
          <w:bCs/>
        </w:rPr>
        <w:t>.</w:t>
      </w:r>
    </w:p>
    <w:p w:rsidR="00EE15EF" w:rsidRPr="00C830B4" w:rsidRDefault="00EE15EF" w:rsidP="00EE15EF">
      <w:pPr>
        <w:numPr>
          <w:ilvl w:val="0"/>
          <w:numId w:val="15"/>
        </w:numPr>
        <w:tabs>
          <w:tab w:val="clear" w:pos="720"/>
          <w:tab w:val="num" w:pos="426"/>
        </w:tabs>
        <w:spacing w:line="360" w:lineRule="auto"/>
        <w:ind w:left="426" w:hanging="284"/>
        <w:jc w:val="both"/>
        <w:rPr>
          <w:rFonts w:ascii="Arial" w:hAnsi="Arial"/>
          <w:b/>
          <w:bCs/>
        </w:rPr>
      </w:pPr>
      <w:r w:rsidRPr="00571556">
        <w:rPr>
          <w:rFonts w:ascii="Arial" w:hAnsi="Arial"/>
          <w:b/>
          <w:bCs/>
        </w:rPr>
        <w:t xml:space="preserve">Příspěvek na podporu regionální mobility </w:t>
      </w:r>
      <w:r w:rsidRPr="00571556">
        <w:rPr>
          <w:rFonts w:ascii="Arial" w:hAnsi="Arial"/>
          <w:bCs/>
        </w:rPr>
        <w:t xml:space="preserve">je realizován </w:t>
      </w:r>
      <w:r w:rsidR="0078281B">
        <w:rPr>
          <w:rFonts w:ascii="Arial" w:hAnsi="Arial"/>
          <w:b/>
          <w:bCs/>
        </w:rPr>
        <w:t>od dubna roku </w:t>
      </w:r>
      <w:r w:rsidRPr="00571556">
        <w:rPr>
          <w:rFonts w:ascii="Arial" w:hAnsi="Arial"/>
          <w:b/>
          <w:bCs/>
        </w:rPr>
        <w:t>2016</w:t>
      </w:r>
      <w:r w:rsidRPr="00571556">
        <w:rPr>
          <w:rFonts w:ascii="Arial" w:hAnsi="Arial"/>
          <w:bCs/>
        </w:rPr>
        <w:t>. Příspěvek byl pilotně ověřovaný podle § 106 zákona č. 435/2004 Sb., o zaměstnanosti</w:t>
      </w:r>
      <w:r>
        <w:rPr>
          <w:rFonts w:ascii="Arial" w:hAnsi="Arial"/>
          <w:bCs/>
        </w:rPr>
        <w:t xml:space="preserve">, ve znění pozdějších předpisů. </w:t>
      </w:r>
      <w:r w:rsidR="009F3CCB">
        <w:rPr>
          <w:rFonts w:ascii="Arial" w:hAnsi="Arial"/>
          <w:b/>
          <w:bCs/>
        </w:rPr>
        <w:t>Od listopadu </w:t>
      </w:r>
      <w:r w:rsidRPr="00571556">
        <w:rPr>
          <w:rFonts w:ascii="Arial" w:hAnsi="Arial"/>
          <w:b/>
          <w:bCs/>
        </w:rPr>
        <w:t xml:space="preserve">2016 </w:t>
      </w:r>
      <w:r w:rsidRPr="00571556">
        <w:rPr>
          <w:rFonts w:ascii="Arial" w:hAnsi="Arial"/>
          <w:bCs/>
        </w:rPr>
        <w:t>bylo poskytování příspěvku rozšířeno na území celé České republiky a současně byl tento nástroj doplněn o příspěvek na přestěhování a skládá se ze dvou vzájemně kombinovatelných příspěvků, a to </w:t>
      </w:r>
      <w:r w:rsidRPr="00571556">
        <w:rPr>
          <w:rFonts w:ascii="Arial" w:hAnsi="Arial"/>
          <w:b/>
          <w:bCs/>
        </w:rPr>
        <w:t>příspěvku na dojížďku</w:t>
      </w:r>
      <w:r w:rsidRPr="00571556">
        <w:rPr>
          <w:rFonts w:ascii="Arial" w:hAnsi="Arial"/>
          <w:bCs/>
        </w:rPr>
        <w:t xml:space="preserve"> a</w:t>
      </w:r>
      <w:r w:rsidR="009F3CCB">
        <w:rPr>
          <w:rFonts w:ascii="Arial" w:hAnsi="Arial"/>
          <w:bCs/>
        </w:rPr>
        <w:t> </w:t>
      </w:r>
      <w:r w:rsidRPr="00571556">
        <w:rPr>
          <w:rFonts w:ascii="Arial" w:hAnsi="Arial"/>
          <w:b/>
          <w:bCs/>
        </w:rPr>
        <w:t>příspěvku na přestěhování</w:t>
      </w:r>
      <w:r w:rsidRPr="00571556">
        <w:rPr>
          <w:rFonts w:ascii="Arial" w:hAnsi="Arial"/>
          <w:bCs/>
        </w:rPr>
        <w:t xml:space="preserve">, který se začal poskytovat </w:t>
      </w:r>
      <w:r w:rsidR="009F3CCB">
        <w:rPr>
          <w:rFonts w:ascii="Arial" w:hAnsi="Arial"/>
          <w:b/>
          <w:bCs/>
        </w:rPr>
        <w:t>od ledna </w:t>
      </w:r>
      <w:r w:rsidRPr="00571556">
        <w:rPr>
          <w:rFonts w:ascii="Arial" w:hAnsi="Arial"/>
          <w:b/>
          <w:bCs/>
        </w:rPr>
        <w:t>2017</w:t>
      </w:r>
      <w:r w:rsidRPr="00571556">
        <w:rPr>
          <w:rFonts w:ascii="Arial" w:hAnsi="Arial"/>
          <w:bCs/>
        </w:rPr>
        <w:t xml:space="preserve">. </w:t>
      </w:r>
      <w:r w:rsidRPr="00973D0A">
        <w:rPr>
          <w:rFonts w:ascii="Arial" w:hAnsi="Arial"/>
          <w:b/>
        </w:rPr>
        <w:t>V roce 2017</w:t>
      </w:r>
      <w:r w:rsidRPr="00973D0A">
        <w:rPr>
          <w:rFonts w:ascii="Arial" w:hAnsi="Arial"/>
        </w:rPr>
        <w:t xml:space="preserve"> </w:t>
      </w:r>
      <w:r w:rsidRPr="00973D0A">
        <w:rPr>
          <w:rFonts w:ascii="Arial" w:hAnsi="Arial"/>
          <w:bCs/>
        </w:rPr>
        <w:t xml:space="preserve">bylo </w:t>
      </w:r>
      <w:r w:rsidRPr="00973D0A">
        <w:rPr>
          <w:rFonts w:ascii="Arial" w:hAnsi="Arial"/>
          <w:b/>
          <w:bCs/>
        </w:rPr>
        <w:t>příspěvkem na</w:t>
      </w:r>
      <w:r w:rsidRPr="00973D0A">
        <w:rPr>
          <w:rFonts w:ascii="Arial" w:hAnsi="Arial"/>
          <w:bCs/>
        </w:rPr>
        <w:t xml:space="preserve"> </w:t>
      </w:r>
      <w:r w:rsidRPr="00973D0A">
        <w:rPr>
          <w:rFonts w:ascii="Arial" w:hAnsi="Arial"/>
          <w:b/>
          <w:bCs/>
        </w:rPr>
        <w:t xml:space="preserve">dojížďku </w:t>
      </w:r>
      <w:r w:rsidRPr="00973D0A">
        <w:rPr>
          <w:rFonts w:ascii="Arial" w:hAnsi="Arial"/>
          <w:bCs/>
        </w:rPr>
        <w:t xml:space="preserve">podpořeno </w:t>
      </w:r>
      <w:r w:rsidRPr="00973D0A">
        <w:rPr>
          <w:rFonts w:ascii="Arial" w:hAnsi="Arial"/>
          <w:b/>
          <w:bCs/>
        </w:rPr>
        <w:t>2 910 osob</w:t>
      </w:r>
      <w:r w:rsidRPr="00973D0A">
        <w:rPr>
          <w:rFonts w:ascii="Arial" w:hAnsi="Arial"/>
          <w:bCs/>
        </w:rPr>
        <w:t xml:space="preserve"> </w:t>
      </w:r>
      <w:r w:rsidRPr="005365EB">
        <w:rPr>
          <w:rFonts w:ascii="Arial" w:hAnsi="Arial"/>
          <w:bCs/>
        </w:rPr>
        <w:t>a </w:t>
      </w:r>
      <w:r w:rsidRPr="005365EB">
        <w:rPr>
          <w:rFonts w:ascii="Arial" w:hAnsi="Arial"/>
          <w:b/>
          <w:bCs/>
        </w:rPr>
        <w:t>vynaloženo 24 815 tis. Kč</w:t>
      </w:r>
      <w:r w:rsidRPr="005365EB">
        <w:rPr>
          <w:rFonts w:ascii="Arial" w:hAnsi="Arial"/>
          <w:bCs/>
        </w:rPr>
        <w:t xml:space="preserve"> (příspěvek je vyplácen za daný měsíc zpětně), </w:t>
      </w:r>
      <w:r w:rsidRPr="00B628EA">
        <w:rPr>
          <w:rFonts w:ascii="Arial" w:hAnsi="Arial"/>
          <w:b/>
          <w:bCs/>
        </w:rPr>
        <w:t>příspěvek na přestěhování</w:t>
      </w:r>
      <w:r w:rsidRPr="00B628EA">
        <w:rPr>
          <w:rFonts w:ascii="Arial" w:hAnsi="Arial"/>
          <w:bCs/>
        </w:rPr>
        <w:t xml:space="preserve"> byl poskytnut </w:t>
      </w:r>
      <w:r w:rsidRPr="00B628EA">
        <w:rPr>
          <w:rFonts w:ascii="Arial" w:hAnsi="Arial"/>
          <w:b/>
          <w:bCs/>
        </w:rPr>
        <w:t xml:space="preserve">100 </w:t>
      </w:r>
      <w:r w:rsidRPr="00C830B4">
        <w:rPr>
          <w:rFonts w:ascii="Arial" w:hAnsi="Arial"/>
          <w:b/>
          <w:bCs/>
        </w:rPr>
        <w:t xml:space="preserve">osobám </w:t>
      </w:r>
      <w:r w:rsidRPr="00C830B4">
        <w:rPr>
          <w:rFonts w:ascii="Arial" w:hAnsi="Arial"/>
          <w:bCs/>
        </w:rPr>
        <w:t xml:space="preserve">(na tento příspěvek bylo </w:t>
      </w:r>
      <w:r w:rsidRPr="00C830B4">
        <w:rPr>
          <w:rFonts w:ascii="Arial" w:hAnsi="Arial"/>
          <w:b/>
          <w:bCs/>
        </w:rPr>
        <w:t>vynaloženo 4 724 tis. Kč</w:t>
      </w:r>
      <w:r w:rsidRPr="00C830B4">
        <w:rPr>
          <w:rFonts w:ascii="Arial" w:hAnsi="Arial"/>
          <w:bCs/>
        </w:rPr>
        <w:t xml:space="preserve">). </w:t>
      </w:r>
    </w:p>
    <w:p w:rsidR="00EE15EF" w:rsidRPr="0088584F" w:rsidRDefault="00EE15EF" w:rsidP="00EE15EF">
      <w:pPr>
        <w:numPr>
          <w:ilvl w:val="0"/>
          <w:numId w:val="15"/>
        </w:numPr>
        <w:tabs>
          <w:tab w:val="num" w:pos="426"/>
        </w:tabs>
        <w:spacing w:line="360" w:lineRule="auto"/>
        <w:ind w:left="426" w:hanging="284"/>
        <w:jc w:val="both"/>
        <w:rPr>
          <w:rFonts w:ascii="Arial" w:hAnsi="Arial"/>
          <w:b/>
          <w:bCs/>
        </w:rPr>
      </w:pPr>
      <w:r w:rsidRPr="00CF5F38">
        <w:rPr>
          <w:rFonts w:ascii="Arial" w:hAnsi="Arial" w:cs="Arial"/>
          <w:b/>
          <w:bCs/>
        </w:rPr>
        <w:t xml:space="preserve">Překlenovací příspěvek (PP) </w:t>
      </w:r>
      <w:r w:rsidRPr="00CF5F38">
        <w:rPr>
          <w:rFonts w:ascii="Arial" w:hAnsi="Arial" w:cs="Arial"/>
          <w:highlight w:val="white"/>
        </w:rPr>
        <w:t xml:space="preserve">může </w:t>
      </w:r>
      <w:r w:rsidRPr="00CF5F38">
        <w:rPr>
          <w:rFonts w:ascii="Arial" w:hAnsi="Arial"/>
        </w:rPr>
        <w:t xml:space="preserve">ÚP ČR </w:t>
      </w:r>
      <w:r w:rsidRPr="00CF5F38">
        <w:rPr>
          <w:rFonts w:ascii="Arial" w:hAnsi="Arial" w:cs="Arial"/>
          <w:highlight w:val="white"/>
        </w:rPr>
        <w:t xml:space="preserve">poskytnout osobě samostatně výdělečně činné, jíž byl ÚP ČR poskytnut příspěvek na zřízení SÚPM za účelem výkonu samostatně výdělečné činnosti (SVČ). </w:t>
      </w:r>
      <w:r w:rsidRPr="00CF5F38">
        <w:rPr>
          <w:rFonts w:ascii="Arial" w:hAnsi="Arial" w:cs="Arial"/>
        </w:rPr>
        <w:t xml:space="preserve">Příspěvek je poskytován jednorázově na dobu max. 5 měsíců ve výši 0,25 násobku průměrné mzdy v národním hospodářství za první až třetí čtvrtletí předcházejícího roku. </w:t>
      </w:r>
      <w:r w:rsidRPr="0073527C">
        <w:rPr>
          <w:rFonts w:ascii="Arial" w:hAnsi="Arial"/>
        </w:rPr>
        <w:t>V roce 2017 bylo na tento</w:t>
      </w:r>
      <w:r w:rsidRPr="0073527C">
        <w:rPr>
          <w:rFonts w:ascii="Arial" w:hAnsi="Arial"/>
          <w:b/>
          <w:bCs/>
        </w:rPr>
        <w:t xml:space="preserve"> </w:t>
      </w:r>
      <w:r w:rsidRPr="0073527C">
        <w:rPr>
          <w:rFonts w:ascii="Arial" w:hAnsi="Arial"/>
        </w:rPr>
        <w:t>příspěvek</w:t>
      </w:r>
      <w:r w:rsidRPr="0073527C">
        <w:rPr>
          <w:rFonts w:ascii="Arial" w:hAnsi="Arial"/>
          <w:b/>
          <w:bCs/>
        </w:rPr>
        <w:t xml:space="preserve"> </w:t>
      </w:r>
      <w:r w:rsidRPr="00740D16">
        <w:rPr>
          <w:rFonts w:ascii="Arial" w:hAnsi="Arial"/>
          <w:b/>
          <w:bCs/>
        </w:rPr>
        <w:t xml:space="preserve">vynaloženo 2 236 tis. Kč </w:t>
      </w:r>
      <w:r w:rsidRPr="00740D16">
        <w:rPr>
          <w:rFonts w:ascii="Arial" w:hAnsi="Arial"/>
          <w:bCs/>
        </w:rPr>
        <w:t xml:space="preserve">a podpořeno </w:t>
      </w:r>
      <w:r w:rsidRPr="0088584F">
        <w:rPr>
          <w:rFonts w:ascii="Arial" w:hAnsi="Arial"/>
          <w:bCs/>
        </w:rPr>
        <w:t>bylo</w:t>
      </w:r>
      <w:r w:rsidR="0078281B" w:rsidRPr="00B012EC">
        <w:rPr>
          <w:rFonts w:ascii="Arial" w:hAnsi="Arial"/>
          <w:bCs/>
        </w:rPr>
        <w:t xml:space="preserve"> </w:t>
      </w:r>
      <w:r w:rsidR="0078281B">
        <w:rPr>
          <w:rFonts w:ascii="Arial" w:hAnsi="Arial"/>
          <w:b/>
          <w:bCs/>
        </w:rPr>
        <w:t>128 </w:t>
      </w:r>
      <w:r w:rsidRPr="0088584F">
        <w:rPr>
          <w:rFonts w:ascii="Arial" w:hAnsi="Arial"/>
          <w:b/>
          <w:bCs/>
        </w:rPr>
        <w:t>osob.</w:t>
      </w:r>
      <w:r w:rsidRPr="0088584F">
        <w:rPr>
          <w:rFonts w:ascii="Arial" w:hAnsi="Arial"/>
          <w:b/>
        </w:rPr>
        <w:t xml:space="preserve"> </w:t>
      </w:r>
    </w:p>
    <w:p w:rsidR="00EE15EF" w:rsidRPr="00F541B8" w:rsidRDefault="00EE15EF" w:rsidP="00EE15EF">
      <w:pPr>
        <w:numPr>
          <w:ilvl w:val="0"/>
          <w:numId w:val="15"/>
        </w:numPr>
        <w:tabs>
          <w:tab w:val="clear" w:pos="720"/>
          <w:tab w:val="num" w:pos="426"/>
        </w:tabs>
        <w:spacing w:line="360" w:lineRule="auto"/>
        <w:ind w:left="426"/>
        <w:jc w:val="both"/>
        <w:rPr>
          <w:rFonts w:ascii="Arial" w:hAnsi="Arial"/>
          <w:bCs/>
        </w:rPr>
      </w:pPr>
      <w:r w:rsidRPr="00D01F77">
        <w:rPr>
          <w:rFonts w:ascii="Arial" w:hAnsi="Arial"/>
          <w:b/>
          <w:bCs/>
        </w:rPr>
        <w:t xml:space="preserve">Příspěvek na zapracování (PZ) </w:t>
      </w:r>
      <w:r w:rsidRPr="00D01F77">
        <w:rPr>
          <w:rFonts w:ascii="Arial" w:hAnsi="Arial"/>
        </w:rPr>
        <w:t>může ÚP ČR poskytnout zaměstnavateli, který přijímá do pracovního poměru uchazeče o zaměstnání, kterému ÚP ČR věnuje zvýšenou péči. Příspěvek lze poskytov</w:t>
      </w:r>
      <w:r w:rsidR="004236C4">
        <w:rPr>
          <w:rFonts w:ascii="Arial" w:hAnsi="Arial"/>
        </w:rPr>
        <w:t>at maximálně po dobu 3 měsíců a </w:t>
      </w:r>
      <w:r w:rsidRPr="00D01F77">
        <w:rPr>
          <w:rFonts w:ascii="Arial" w:hAnsi="Arial"/>
        </w:rPr>
        <w:t xml:space="preserve">může činit nejvýše polovinu minimální mzdy na jednu fyzickou osobu, která zapracovává přijatého uchazeče o zaměstnání. V roce 2017 probíhalo zapracování </w:t>
      </w:r>
      <w:r w:rsidRPr="00D01F77">
        <w:rPr>
          <w:rFonts w:ascii="Arial" w:hAnsi="Arial"/>
          <w:b/>
        </w:rPr>
        <w:t>1 osoby</w:t>
      </w:r>
      <w:r w:rsidRPr="00D82658">
        <w:rPr>
          <w:rFonts w:ascii="Arial" w:hAnsi="Arial"/>
        </w:rPr>
        <w:t xml:space="preserve">, </w:t>
      </w:r>
      <w:r>
        <w:rPr>
          <w:rFonts w:ascii="Arial" w:hAnsi="Arial"/>
          <w:b/>
        </w:rPr>
        <w:t xml:space="preserve">vynaloženo </w:t>
      </w:r>
      <w:r w:rsidRPr="00D82658">
        <w:rPr>
          <w:rFonts w:ascii="Arial" w:hAnsi="Arial"/>
        </w:rPr>
        <w:t xml:space="preserve">bylo </w:t>
      </w:r>
      <w:r>
        <w:rPr>
          <w:rFonts w:ascii="Arial" w:hAnsi="Arial"/>
          <w:b/>
        </w:rPr>
        <w:t>17,0 tis. Kč</w:t>
      </w:r>
      <w:r w:rsidRPr="00F541B8">
        <w:rPr>
          <w:rFonts w:ascii="Arial" w:hAnsi="Arial"/>
          <w:b/>
        </w:rPr>
        <w:t>.</w:t>
      </w:r>
    </w:p>
    <w:p w:rsidR="00EE15EF" w:rsidRPr="00472108" w:rsidRDefault="00EE15EF" w:rsidP="00EE15EF">
      <w:pPr>
        <w:numPr>
          <w:ilvl w:val="0"/>
          <w:numId w:val="15"/>
        </w:numPr>
        <w:tabs>
          <w:tab w:val="num" w:pos="426"/>
        </w:tabs>
        <w:spacing w:line="360" w:lineRule="auto"/>
        <w:ind w:left="426" w:hanging="284"/>
        <w:jc w:val="both"/>
        <w:rPr>
          <w:rFonts w:ascii="Arial" w:hAnsi="Arial"/>
          <w:b/>
          <w:bCs/>
        </w:rPr>
      </w:pPr>
      <w:r w:rsidRPr="00472108">
        <w:rPr>
          <w:rFonts w:ascii="Arial" w:hAnsi="Arial"/>
          <w:b/>
          <w:bCs/>
        </w:rPr>
        <w:lastRenderedPageBreak/>
        <w:t xml:space="preserve">Příspěvek při přechodu na nový podnikatelský program </w:t>
      </w:r>
      <w:r w:rsidRPr="00472108">
        <w:rPr>
          <w:rFonts w:ascii="Arial" w:hAnsi="Arial"/>
          <w:bCs/>
        </w:rPr>
        <w:t xml:space="preserve">slouží k podpoře zaměstnavatelů, kteří z důvodu přechodu na nový podnikatelský program nemohou zabezpečit pro své zaměstnance práci v rozsahu stanovené týdenní pracovní doby. </w:t>
      </w:r>
      <w:r w:rsidRPr="00472108">
        <w:rPr>
          <w:rFonts w:ascii="Arial" w:hAnsi="Arial"/>
        </w:rPr>
        <w:t xml:space="preserve">V roce 2017 na tento druh podpory </w:t>
      </w:r>
      <w:r w:rsidRPr="00472108">
        <w:rPr>
          <w:rFonts w:ascii="Arial" w:hAnsi="Arial"/>
          <w:b/>
        </w:rPr>
        <w:t>nebyly zaměstnavateli čerpány žádné finanční prostředky</w:t>
      </w:r>
      <w:r w:rsidRPr="00472108">
        <w:rPr>
          <w:rFonts w:ascii="Arial" w:hAnsi="Arial"/>
          <w:b/>
          <w:bCs/>
        </w:rPr>
        <w:t>.</w:t>
      </w:r>
    </w:p>
    <w:p w:rsidR="00EE15EF" w:rsidRPr="000D79E9" w:rsidRDefault="00EE15EF" w:rsidP="00EE15EF">
      <w:pPr>
        <w:numPr>
          <w:ilvl w:val="0"/>
          <w:numId w:val="15"/>
        </w:numPr>
        <w:tabs>
          <w:tab w:val="num" w:pos="426"/>
        </w:tabs>
        <w:spacing w:line="360" w:lineRule="auto"/>
        <w:ind w:left="426" w:hanging="284"/>
        <w:jc w:val="both"/>
        <w:rPr>
          <w:rFonts w:ascii="Arial" w:hAnsi="Arial"/>
          <w:b/>
          <w:bCs/>
        </w:rPr>
      </w:pPr>
      <w:r w:rsidRPr="00472108">
        <w:rPr>
          <w:rFonts w:ascii="Arial" w:hAnsi="Arial"/>
          <w:b/>
          <w:bCs/>
        </w:rPr>
        <w:t>Příspěvek v době částečné nezaměstnanosti</w:t>
      </w:r>
      <w:r w:rsidRPr="00472108">
        <w:rPr>
          <w:rFonts w:ascii="Arial" w:hAnsi="Arial"/>
          <w:bCs/>
        </w:rPr>
        <w:t>, který je součástí systému aktivní politiky zaměstnanosti od 1. října 2015</w:t>
      </w:r>
      <w:r w:rsidR="003A7316">
        <w:rPr>
          <w:rFonts w:ascii="Arial" w:hAnsi="Arial"/>
          <w:bCs/>
        </w:rPr>
        <w:t xml:space="preserve">, je </w:t>
      </w:r>
      <w:r w:rsidR="0078281B">
        <w:rPr>
          <w:rFonts w:ascii="Arial" w:hAnsi="Arial"/>
          <w:bCs/>
        </w:rPr>
        <w:t>ukotven v § 115 </w:t>
      </w:r>
      <w:r w:rsidR="007C238A">
        <w:rPr>
          <w:rFonts w:ascii="Arial" w:hAnsi="Arial"/>
          <w:bCs/>
        </w:rPr>
        <w:t>zákona č. 435/2004 Sb., o </w:t>
      </w:r>
      <w:r w:rsidRPr="00472108">
        <w:rPr>
          <w:rFonts w:ascii="Arial" w:hAnsi="Arial"/>
          <w:bCs/>
        </w:rPr>
        <w:t xml:space="preserve">zaměstnanosti, ve znění pozdějších předpisů. Uvedený nástroj je nástrojem preventivním pro případ závažných hospodářských výkyvů či živelných pohrom s výrazně negativním dopadem na trh práce. Jeho realizace je podmíněna vydáním prováděcího nařízení vlády, a to až v době, kdy nastanou skutečnosti </w:t>
      </w:r>
      <w:r w:rsidRPr="000D79E9">
        <w:rPr>
          <w:rFonts w:ascii="Arial" w:hAnsi="Arial"/>
          <w:bCs/>
        </w:rPr>
        <w:t>odůvodňující aktivizaci tohoto opatření.</w:t>
      </w:r>
      <w:r w:rsidR="002B01C3">
        <w:rPr>
          <w:rFonts w:ascii="Arial" w:hAnsi="Arial"/>
          <w:bCs/>
        </w:rPr>
        <w:t xml:space="preserve"> Tento příspěvek nebyl v</w:t>
      </w:r>
      <w:r w:rsidR="004236C4">
        <w:rPr>
          <w:rFonts w:ascii="Arial" w:hAnsi="Arial"/>
          <w:bCs/>
        </w:rPr>
        <w:t> </w:t>
      </w:r>
      <w:r w:rsidR="002B01C3">
        <w:rPr>
          <w:rFonts w:ascii="Arial" w:hAnsi="Arial"/>
          <w:bCs/>
        </w:rPr>
        <w:t>roce</w:t>
      </w:r>
      <w:r w:rsidR="004236C4">
        <w:rPr>
          <w:rFonts w:ascii="Arial" w:hAnsi="Arial"/>
          <w:bCs/>
        </w:rPr>
        <w:t> </w:t>
      </w:r>
      <w:r w:rsidR="002B01C3">
        <w:rPr>
          <w:rFonts w:ascii="Arial" w:hAnsi="Arial"/>
          <w:bCs/>
        </w:rPr>
        <w:t>2017 využit.</w:t>
      </w:r>
    </w:p>
    <w:p w:rsidR="00EE15EF" w:rsidRPr="002B01C3" w:rsidRDefault="00EE15EF" w:rsidP="00EE15EF">
      <w:pPr>
        <w:spacing w:line="360" w:lineRule="auto"/>
        <w:ind w:firstLine="567"/>
        <w:jc w:val="both"/>
        <w:rPr>
          <w:rFonts w:ascii="Arial" w:hAnsi="Arial"/>
          <w:bCs/>
          <w:sz w:val="22"/>
          <w:szCs w:val="22"/>
        </w:rPr>
      </w:pPr>
    </w:p>
    <w:p w:rsidR="00EE15EF" w:rsidRPr="006B76EF" w:rsidRDefault="00EE15EF" w:rsidP="00EE15EF">
      <w:pPr>
        <w:spacing w:line="360" w:lineRule="auto"/>
        <w:ind w:firstLine="567"/>
        <w:jc w:val="both"/>
        <w:rPr>
          <w:rFonts w:ascii="Arial" w:hAnsi="Arial"/>
          <w:bCs/>
        </w:rPr>
      </w:pPr>
      <w:r w:rsidRPr="000D79E9">
        <w:rPr>
          <w:rFonts w:ascii="Arial" w:hAnsi="Arial"/>
          <w:bCs/>
        </w:rPr>
        <w:t xml:space="preserve">Podíl vybraných ohrožených skupin na trhu práce na uchazečích zařazených v rámci jednotlivých nástrojů aktivní politiky zaměstnanosti v roce 2017 zobrazuje </w:t>
      </w:r>
      <w:r w:rsidRPr="006B76EF">
        <w:rPr>
          <w:rFonts w:ascii="Arial" w:hAnsi="Arial"/>
          <w:bCs/>
        </w:rPr>
        <w:t>graf č. 2</w:t>
      </w:r>
      <w:r w:rsidR="006B76EF" w:rsidRPr="006B76EF">
        <w:rPr>
          <w:rFonts w:ascii="Arial" w:hAnsi="Arial"/>
          <w:bCs/>
        </w:rPr>
        <w:t>1</w:t>
      </w:r>
      <w:r w:rsidRPr="006B76EF">
        <w:rPr>
          <w:rFonts w:ascii="Arial" w:hAnsi="Arial"/>
          <w:bCs/>
        </w:rPr>
        <w:t>.</w:t>
      </w:r>
    </w:p>
    <w:p w:rsidR="00EE15EF" w:rsidRPr="006B76EF" w:rsidRDefault="00EE15EF" w:rsidP="006B76EF">
      <w:pPr>
        <w:spacing w:line="360" w:lineRule="auto"/>
        <w:ind w:left="7480" w:firstLine="680"/>
        <w:rPr>
          <w:rFonts w:ascii="Arial" w:hAnsi="Arial"/>
          <w:bCs/>
          <w:sz w:val="20"/>
          <w:szCs w:val="20"/>
        </w:rPr>
      </w:pPr>
      <w:r w:rsidRPr="006B76EF">
        <w:rPr>
          <w:rFonts w:ascii="Arial" w:hAnsi="Arial"/>
          <w:bCs/>
          <w:sz w:val="20"/>
          <w:szCs w:val="20"/>
        </w:rPr>
        <w:t>graf č. 2</w:t>
      </w:r>
      <w:r w:rsidR="006B76EF" w:rsidRPr="006B76EF">
        <w:rPr>
          <w:rFonts w:ascii="Arial" w:hAnsi="Arial"/>
          <w:bCs/>
          <w:sz w:val="20"/>
          <w:szCs w:val="20"/>
        </w:rPr>
        <w:t>1</w:t>
      </w:r>
    </w:p>
    <w:p w:rsidR="00EE15EF" w:rsidRPr="008564E7" w:rsidRDefault="00EE15EF" w:rsidP="00E04C25">
      <w:pPr>
        <w:spacing w:line="360" w:lineRule="auto"/>
        <w:jc w:val="center"/>
        <w:rPr>
          <w:rFonts w:ascii="Arial" w:hAnsi="Arial"/>
          <w:bCs/>
          <w:sz w:val="20"/>
          <w:szCs w:val="20"/>
        </w:rPr>
      </w:pPr>
      <w:r>
        <w:rPr>
          <w:noProof/>
        </w:rPr>
        <w:drawing>
          <wp:inline distT="0" distB="0" distL="0" distR="0">
            <wp:extent cx="5505450" cy="3971925"/>
            <wp:effectExtent l="0" t="0" r="0" b="952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E15EF" w:rsidRPr="008564E7" w:rsidRDefault="00EE15EF" w:rsidP="00EE15EF">
      <w:pPr>
        <w:ind w:firstLine="142"/>
        <w:jc w:val="both"/>
        <w:rPr>
          <w:rFonts w:ascii="Arial" w:hAnsi="Arial"/>
          <w:bCs/>
          <w:i/>
          <w:sz w:val="16"/>
          <w:szCs w:val="16"/>
        </w:rPr>
      </w:pPr>
      <w:r w:rsidRPr="008564E7">
        <w:rPr>
          <w:rFonts w:ascii="Arial" w:hAnsi="Arial"/>
          <w:bCs/>
          <w:i/>
          <w:sz w:val="16"/>
          <w:szCs w:val="16"/>
        </w:rPr>
        <w:t>Pozn.: Uchazeči spadají současně do více skupin, proto je součet podílů u jednotlivých nástrojů APZ vyšší než 100%.</w:t>
      </w:r>
    </w:p>
    <w:p w:rsidR="00EE15EF" w:rsidRPr="004406CB" w:rsidRDefault="00EE15EF" w:rsidP="00EE15EF">
      <w:pPr>
        <w:spacing w:line="360" w:lineRule="auto"/>
        <w:ind w:firstLine="567"/>
        <w:jc w:val="both"/>
        <w:rPr>
          <w:rFonts w:ascii="Arial" w:hAnsi="Arial"/>
          <w:bCs/>
        </w:rPr>
      </w:pPr>
      <w:r w:rsidRPr="00CF4270">
        <w:rPr>
          <w:rFonts w:ascii="Arial" w:hAnsi="Arial"/>
          <w:bCs/>
        </w:rPr>
        <w:lastRenderedPageBreak/>
        <w:t>Z grafu je patrné, že na většinu nástrojů aktivní politiky zaměstnanosti byli v</w:t>
      </w:r>
      <w:r>
        <w:rPr>
          <w:rFonts w:ascii="Arial" w:hAnsi="Arial"/>
          <w:bCs/>
        </w:rPr>
        <w:t> roce </w:t>
      </w:r>
      <w:r w:rsidRPr="00CF4270">
        <w:rPr>
          <w:rFonts w:ascii="Arial" w:hAnsi="Arial"/>
          <w:bCs/>
        </w:rPr>
        <w:t xml:space="preserve">2017 zařazováni převážně uchazeči o zaměstnání evidovaní na ÚP ČR </w:t>
      </w:r>
      <w:r w:rsidRPr="00CF4270">
        <w:rPr>
          <w:rFonts w:ascii="Arial" w:hAnsi="Arial"/>
          <w:b/>
          <w:bCs/>
        </w:rPr>
        <w:t>déle než 5 měsíců</w:t>
      </w:r>
      <w:r w:rsidRPr="00CF4270">
        <w:rPr>
          <w:rFonts w:ascii="Arial" w:hAnsi="Arial"/>
          <w:bCs/>
        </w:rPr>
        <w:t xml:space="preserve">. Nejvyšší podíl této kategorie uchazečů o zaměstnání byl zaznamenán </w:t>
      </w:r>
      <w:r w:rsidRPr="00E91EB9">
        <w:rPr>
          <w:rFonts w:ascii="Arial" w:hAnsi="Arial"/>
          <w:bCs/>
        </w:rPr>
        <w:t>u příspěvku na přestěhování (95,0 </w:t>
      </w:r>
      <w:r w:rsidRPr="0004595A">
        <w:rPr>
          <w:rFonts w:ascii="Arial" w:hAnsi="Arial"/>
          <w:bCs/>
        </w:rPr>
        <w:t xml:space="preserve">%), společensky účelných pracovních míst </w:t>
      </w:r>
      <w:r w:rsidRPr="004406CB">
        <w:rPr>
          <w:rFonts w:ascii="Arial" w:hAnsi="Arial"/>
          <w:bCs/>
        </w:rPr>
        <w:t>(87,2 %), poradenství (87,1 %) a překlenovacího příspěvku (84,4 %).</w:t>
      </w:r>
    </w:p>
    <w:p w:rsidR="00EE15EF" w:rsidRPr="004406CB" w:rsidRDefault="00EE15EF" w:rsidP="00EE15EF">
      <w:pPr>
        <w:spacing w:line="360" w:lineRule="auto"/>
        <w:ind w:firstLine="567"/>
        <w:jc w:val="both"/>
        <w:rPr>
          <w:rFonts w:ascii="Arial" w:hAnsi="Arial"/>
          <w:bCs/>
        </w:rPr>
      </w:pPr>
      <w:r w:rsidRPr="004406CB">
        <w:rPr>
          <w:rFonts w:ascii="Arial" w:hAnsi="Arial"/>
          <w:bCs/>
        </w:rPr>
        <w:t>Podíl</w:t>
      </w:r>
      <w:r w:rsidRPr="004406CB">
        <w:rPr>
          <w:rFonts w:ascii="Arial" w:hAnsi="Arial"/>
          <w:b/>
          <w:bCs/>
        </w:rPr>
        <w:t xml:space="preserve"> osob se zdravotním postižením</w:t>
      </w:r>
      <w:r w:rsidRPr="004406CB">
        <w:rPr>
          <w:rFonts w:ascii="Arial" w:hAnsi="Arial"/>
          <w:bCs/>
        </w:rPr>
        <w:t xml:space="preserve"> byl nejvyšší u nástrojů přímo určených k podpoře zvýšení jejich zaměstnanosti, tj. chráněných pracovních míst, vč. samostatné výdělečné činnosti, a pracovní rehabilitace.</w:t>
      </w:r>
    </w:p>
    <w:p w:rsidR="00EE15EF" w:rsidRPr="0061022A" w:rsidRDefault="00EE15EF" w:rsidP="00EE15EF">
      <w:pPr>
        <w:spacing w:line="360" w:lineRule="auto"/>
        <w:ind w:firstLine="567"/>
        <w:jc w:val="both"/>
        <w:rPr>
          <w:rFonts w:ascii="Arial" w:hAnsi="Arial"/>
          <w:bCs/>
        </w:rPr>
      </w:pPr>
      <w:r w:rsidRPr="004855F1">
        <w:rPr>
          <w:rFonts w:ascii="Arial" w:hAnsi="Arial"/>
          <w:bCs/>
        </w:rPr>
        <w:t xml:space="preserve">Uchazeči o zaměstnání </w:t>
      </w:r>
      <w:r w:rsidRPr="004855F1">
        <w:rPr>
          <w:rFonts w:ascii="Arial" w:hAnsi="Arial"/>
          <w:b/>
          <w:bCs/>
        </w:rPr>
        <w:t>mladší 30 let</w:t>
      </w:r>
      <w:r w:rsidRPr="004855F1">
        <w:rPr>
          <w:rFonts w:ascii="Arial" w:hAnsi="Arial"/>
          <w:bCs/>
        </w:rPr>
        <w:t xml:space="preserve"> byli ve sledovaném období nejvíce zastoupeni mezi uchazeči o zaměstnání zařazenými na nástroje příspěvek na přestěhování (52,0 </w:t>
      </w:r>
      <w:r w:rsidRPr="0061022A">
        <w:rPr>
          <w:rFonts w:ascii="Arial" w:hAnsi="Arial"/>
          <w:bCs/>
        </w:rPr>
        <w:t>%) a společensky účelná pracovní místa (39,3 %).</w:t>
      </w:r>
    </w:p>
    <w:p w:rsidR="00EE15EF" w:rsidRPr="002A6C20" w:rsidRDefault="00EE15EF" w:rsidP="00EE15EF">
      <w:pPr>
        <w:spacing w:line="360" w:lineRule="auto"/>
        <w:ind w:firstLine="567"/>
        <w:jc w:val="both"/>
        <w:rPr>
          <w:rFonts w:ascii="Arial" w:hAnsi="Arial"/>
          <w:bCs/>
        </w:rPr>
      </w:pPr>
      <w:r w:rsidRPr="002A6C20">
        <w:rPr>
          <w:rFonts w:ascii="Arial" w:hAnsi="Arial"/>
          <w:bCs/>
        </w:rPr>
        <w:t xml:space="preserve">Uchazeči o zaměstnání </w:t>
      </w:r>
      <w:r w:rsidRPr="002A6C20">
        <w:rPr>
          <w:rFonts w:ascii="Arial" w:hAnsi="Arial"/>
          <w:b/>
          <w:bCs/>
        </w:rPr>
        <w:t>starší 50 let</w:t>
      </w:r>
      <w:r w:rsidRPr="002A6C20">
        <w:rPr>
          <w:rFonts w:ascii="Arial" w:hAnsi="Arial"/>
          <w:bCs/>
        </w:rPr>
        <w:t xml:space="preserve"> měli vysoké zastoupení mezi osobami umístěnými na veřejně prospěšné práce (43,</w:t>
      </w:r>
      <w:r w:rsidRPr="007B0411">
        <w:rPr>
          <w:rFonts w:ascii="Arial" w:hAnsi="Arial"/>
          <w:bCs/>
        </w:rPr>
        <w:t xml:space="preserve">3 %) a uchazeči podpoření poradenskými </w:t>
      </w:r>
      <w:r w:rsidRPr="00704A96">
        <w:rPr>
          <w:rFonts w:ascii="Arial" w:hAnsi="Arial"/>
          <w:bCs/>
        </w:rPr>
        <w:t xml:space="preserve">aktivitami (31,1 %). Příspěvek </w:t>
      </w:r>
      <w:r w:rsidRPr="002A6C20">
        <w:rPr>
          <w:rFonts w:ascii="Arial" w:hAnsi="Arial"/>
          <w:bCs/>
        </w:rPr>
        <w:t>na zapracování byl poskytnut jedné osobě ve věku nad 50 let (tj. 100,0 %).</w:t>
      </w:r>
    </w:p>
    <w:p w:rsidR="00EE15EF" w:rsidRDefault="00EE15EF" w:rsidP="00EE15EF">
      <w:pPr>
        <w:spacing w:line="360" w:lineRule="auto"/>
        <w:ind w:firstLine="567"/>
        <w:jc w:val="both"/>
        <w:rPr>
          <w:rFonts w:ascii="Arial" w:hAnsi="Arial"/>
          <w:bCs/>
        </w:rPr>
      </w:pPr>
      <w:r w:rsidRPr="004B7D1D">
        <w:rPr>
          <w:rFonts w:ascii="Arial" w:hAnsi="Arial"/>
          <w:b/>
          <w:bCs/>
        </w:rPr>
        <w:t>Ženy</w:t>
      </w:r>
      <w:r w:rsidRPr="004B7D1D">
        <w:rPr>
          <w:rFonts w:ascii="Arial" w:hAnsi="Arial"/>
          <w:bCs/>
        </w:rPr>
        <w:t xml:space="preserve"> převažovaly mezi uchazeči </w:t>
      </w:r>
      <w:r w:rsidRPr="009F25E8">
        <w:rPr>
          <w:rFonts w:ascii="Arial" w:hAnsi="Arial"/>
          <w:bCs/>
        </w:rPr>
        <w:t xml:space="preserve">zařazenými na společensky účelná pracovní </w:t>
      </w:r>
      <w:r w:rsidRPr="006C124D">
        <w:rPr>
          <w:rFonts w:ascii="Arial" w:hAnsi="Arial"/>
          <w:bCs/>
        </w:rPr>
        <w:t>místa (63,9 %)</w:t>
      </w:r>
      <w:r>
        <w:rPr>
          <w:rFonts w:ascii="Arial" w:hAnsi="Arial"/>
          <w:bCs/>
        </w:rPr>
        <w:t>,</w:t>
      </w:r>
      <w:r w:rsidRPr="006C124D">
        <w:rPr>
          <w:rFonts w:ascii="Arial" w:hAnsi="Arial"/>
          <w:bCs/>
        </w:rPr>
        <w:t xml:space="preserve"> podporovanými </w:t>
      </w:r>
      <w:r w:rsidRPr="004B7D1D">
        <w:rPr>
          <w:rFonts w:ascii="Arial" w:hAnsi="Arial"/>
          <w:bCs/>
        </w:rPr>
        <w:t>v </w:t>
      </w:r>
      <w:r w:rsidR="002B01C3">
        <w:rPr>
          <w:rFonts w:ascii="Arial" w:hAnsi="Arial"/>
          <w:bCs/>
        </w:rPr>
        <w:t>rámci poradenství (61,8 %) a </w:t>
      </w:r>
      <w:r w:rsidRPr="003C2ED8">
        <w:rPr>
          <w:rFonts w:ascii="Arial" w:hAnsi="Arial"/>
          <w:bCs/>
        </w:rPr>
        <w:t>překlenovacím příspěvkem (60,9 %).</w:t>
      </w:r>
    </w:p>
    <w:p w:rsidR="00EE15EF" w:rsidRPr="00B2393F" w:rsidRDefault="00EE15EF" w:rsidP="00EE15EF">
      <w:pPr>
        <w:spacing w:line="360" w:lineRule="auto"/>
        <w:ind w:firstLine="567"/>
        <w:jc w:val="both"/>
        <w:rPr>
          <w:rFonts w:ascii="Arial" w:hAnsi="Arial"/>
          <w:bCs/>
        </w:rPr>
      </w:pPr>
      <w:r w:rsidRPr="008564E7">
        <w:rPr>
          <w:rFonts w:ascii="Arial" w:hAnsi="Arial"/>
          <w:bCs/>
        </w:rPr>
        <w:t xml:space="preserve">Co se týká kategorie </w:t>
      </w:r>
      <w:r w:rsidRPr="008564E7">
        <w:rPr>
          <w:rFonts w:ascii="Arial" w:hAnsi="Arial"/>
          <w:b/>
          <w:bCs/>
        </w:rPr>
        <w:t>péče o dítě do 15 let</w:t>
      </w:r>
      <w:r w:rsidRPr="008564E7">
        <w:rPr>
          <w:rFonts w:ascii="Arial" w:hAnsi="Arial"/>
          <w:bCs/>
        </w:rPr>
        <w:t xml:space="preserve">, nejvyšší podíl mezi uchazeči o zaměstnání zařazených na APZ byl </w:t>
      </w:r>
      <w:r w:rsidRPr="0025235B">
        <w:rPr>
          <w:rFonts w:ascii="Arial" w:hAnsi="Arial"/>
          <w:bCs/>
        </w:rPr>
        <w:t>zaznamenán u překlenovacího příspěvku (38,3 </w:t>
      </w:r>
      <w:r w:rsidRPr="003C04C3">
        <w:rPr>
          <w:rFonts w:ascii="Arial" w:hAnsi="Arial"/>
          <w:bCs/>
        </w:rPr>
        <w:t>%), poradenství (26,</w:t>
      </w:r>
      <w:r w:rsidRPr="00B2393F">
        <w:rPr>
          <w:rFonts w:ascii="Arial" w:hAnsi="Arial"/>
          <w:bCs/>
        </w:rPr>
        <w:t>8 %) a SÚPM – samostatné výdělečné činnosti (25,2 %).</w:t>
      </w:r>
    </w:p>
    <w:p w:rsidR="00EE15EF" w:rsidRPr="003C0107" w:rsidRDefault="00EE15EF" w:rsidP="00EE15EF">
      <w:pPr>
        <w:spacing w:line="360" w:lineRule="auto"/>
        <w:ind w:firstLine="567"/>
        <w:jc w:val="both"/>
        <w:rPr>
          <w:rFonts w:ascii="Arial" w:hAnsi="Arial"/>
          <w:bCs/>
        </w:rPr>
      </w:pPr>
      <w:r w:rsidRPr="00E81861">
        <w:rPr>
          <w:rFonts w:ascii="Arial" w:hAnsi="Arial"/>
          <w:bCs/>
        </w:rPr>
        <w:t xml:space="preserve">Kategorie </w:t>
      </w:r>
      <w:r w:rsidRPr="00E81861">
        <w:rPr>
          <w:rFonts w:ascii="Arial" w:hAnsi="Arial"/>
          <w:b/>
          <w:bCs/>
        </w:rPr>
        <w:t>po mateřské a rodičovské dovolené</w:t>
      </w:r>
      <w:r w:rsidRPr="00E81861">
        <w:rPr>
          <w:rFonts w:ascii="Arial" w:hAnsi="Arial"/>
          <w:bCs/>
        </w:rPr>
        <w:t xml:space="preserve"> má podobně jako kategorie péče o dítě do 15 let nejvyšší zastoupení u nástrojů </w:t>
      </w:r>
      <w:r w:rsidRPr="00387EC0">
        <w:rPr>
          <w:rFonts w:ascii="Arial" w:hAnsi="Arial"/>
          <w:bCs/>
        </w:rPr>
        <w:t xml:space="preserve">poradenství (9,2 %) a překlenovací </w:t>
      </w:r>
      <w:r w:rsidRPr="003C0107">
        <w:rPr>
          <w:rFonts w:ascii="Arial" w:hAnsi="Arial"/>
          <w:bCs/>
        </w:rPr>
        <w:t>příspěvek (5,5 %).</w:t>
      </w:r>
    </w:p>
    <w:p w:rsidR="00EE15EF" w:rsidRDefault="00EE15EF" w:rsidP="00EE15EF">
      <w:pPr>
        <w:spacing w:line="360" w:lineRule="auto"/>
        <w:jc w:val="both"/>
        <w:rPr>
          <w:rFonts w:ascii="Arial" w:hAnsi="Arial"/>
          <w:bCs/>
        </w:rPr>
      </w:pPr>
    </w:p>
    <w:p w:rsidR="00EE15EF" w:rsidRDefault="00EE15EF" w:rsidP="00EE15EF">
      <w:pPr>
        <w:spacing w:line="360" w:lineRule="auto"/>
        <w:jc w:val="both"/>
        <w:rPr>
          <w:rFonts w:ascii="Arial" w:hAnsi="Arial"/>
          <w:bCs/>
        </w:rPr>
      </w:pPr>
    </w:p>
    <w:p w:rsidR="00EE15EF" w:rsidRDefault="00EE15EF" w:rsidP="00EE15EF">
      <w:pPr>
        <w:spacing w:line="360" w:lineRule="auto"/>
        <w:jc w:val="both"/>
        <w:rPr>
          <w:rFonts w:ascii="Arial" w:hAnsi="Arial"/>
          <w:bCs/>
        </w:rPr>
      </w:pPr>
    </w:p>
    <w:p w:rsidR="00EE15EF" w:rsidRDefault="00EE15EF" w:rsidP="00EE15EF">
      <w:pPr>
        <w:spacing w:line="360" w:lineRule="auto"/>
        <w:jc w:val="both"/>
        <w:rPr>
          <w:rFonts w:ascii="Arial" w:hAnsi="Arial"/>
          <w:bCs/>
        </w:rPr>
      </w:pPr>
    </w:p>
    <w:p w:rsidR="00EE15EF" w:rsidRDefault="00EE15EF" w:rsidP="00EE15EF">
      <w:pPr>
        <w:spacing w:line="360" w:lineRule="auto"/>
        <w:jc w:val="both"/>
        <w:rPr>
          <w:rFonts w:ascii="Arial" w:hAnsi="Arial"/>
          <w:bCs/>
        </w:rPr>
      </w:pPr>
    </w:p>
    <w:p w:rsidR="00EE15EF" w:rsidRDefault="00EE15EF" w:rsidP="00EE15EF">
      <w:pPr>
        <w:spacing w:line="360" w:lineRule="auto"/>
        <w:jc w:val="both"/>
        <w:rPr>
          <w:rFonts w:ascii="Arial" w:hAnsi="Arial"/>
          <w:bCs/>
        </w:rPr>
      </w:pPr>
    </w:p>
    <w:p w:rsidR="00EE15EF" w:rsidRDefault="00EE15EF" w:rsidP="00EE15EF">
      <w:pPr>
        <w:spacing w:line="360" w:lineRule="auto"/>
        <w:jc w:val="both"/>
        <w:rPr>
          <w:rFonts w:ascii="Arial" w:hAnsi="Arial"/>
          <w:bCs/>
        </w:rPr>
      </w:pPr>
    </w:p>
    <w:p w:rsidR="00EE15EF" w:rsidRDefault="00EE15EF" w:rsidP="00EE15EF">
      <w:pPr>
        <w:spacing w:line="360" w:lineRule="auto"/>
        <w:jc w:val="both"/>
        <w:rPr>
          <w:rFonts w:ascii="Arial" w:hAnsi="Arial"/>
          <w:bCs/>
        </w:rPr>
      </w:pPr>
    </w:p>
    <w:p w:rsidR="00EE15EF" w:rsidRDefault="00EE15EF" w:rsidP="00EE15EF">
      <w:pPr>
        <w:spacing w:line="360" w:lineRule="auto"/>
        <w:jc w:val="both"/>
        <w:rPr>
          <w:rFonts w:ascii="Arial" w:hAnsi="Arial"/>
          <w:bCs/>
        </w:rPr>
      </w:pPr>
    </w:p>
    <w:p w:rsidR="00EE15EF" w:rsidRPr="00306131" w:rsidRDefault="00EE15EF" w:rsidP="00EE15EF">
      <w:pPr>
        <w:spacing w:line="360" w:lineRule="auto"/>
        <w:jc w:val="center"/>
        <w:rPr>
          <w:rFonts w:ascii="Arial" w:hAnsi="Arial"/>
          <w:bCs/>
          <w:i/>
        </w:rPr>
      </w:pPr>
      <w:r>
        <w:rPr>
          <w:rFonts w:ascii="Arial" w:hAnsi="Arial"/>
          <w:b/>
        </w:rPr>
        <w:lastRenderedPageBreak/>
        <w:t>Regionální p</w:t>
      </w:r>
      <w:r w:rsidRPr="00117202">
        <w:rPr>
          <w:rFonts w:ascii="Arial" w:hAnsi="Arial"/>
          <w:b/>
        </w:rPr>
        <w:t>rojekty</w:t>
      </w:r>
      <w:r>
        <w:rPr>
          <w:rFonts w:ascii="Arial" w:hAnsi="Arial"/>
          <w:b/>
        </w:rPr>
        <w:t xml:space="preserve"> přímého přidělení realizované </w:t>
      </w:r>
      <w:r w:rsidRPr="000C21C8">
        <w:rPr>
          <w:rFonts w:ascii="Arial" w:hAnsi="Arial"/>
          <w:b/>
        </w:rPr>
        <w:t>v rámci OPZ</w:t>
      </w:r>
      <w:r>
        <w:rPr>
          <w:rFonts w:ascii="Arial" w:hAnsi="Arial"/>
          <w:b/>
        </w:rPr>
        <w:t xml:space="preserve"> </w:t>
      </w:r>
      <w:r w:rsidRPr="00117202">
        <w:rPr>
          <w:rFonts w:ascii="Arial" w:hAnsi="Arial"/>
          <w:b/>
        </w:rPr>
        <w:t xml:space="preserve">zaměřené na </w:t>
      </w:r>
      <w:r w:rsidRPr="00117202">
        <w:rPr>
          <w:rFonts w:ascii="Arial" w:hAnsi="Arial" w:cs="Arial"/>
          <w:b/>
        </w:rPr>
        <w:t>podporu dlouhodobě evidovaných osob na ÚP ČR</w:t>
      </w:r>
    </w:p>
    <w:p w:rsidR="00EE15EF" w:rsidRPr="00306131" w:rsidRDefault="00EE15EF" w:rsidP="00EE15EF">
      <w:pPr>
        <w:jc w:val="both"/>
        <w:rPr>
          <w:rFonts w:ascii="Arial" w:hAnsi="Arial"/>
        </w:rPr>
      </w:pPr>
    </w:p>
    <w:p w:rsidR="00EE15EF" w:rsidRPr="00AB2B74" w:rsidRDefault="00EE15EF" w:rsidP="00EE15EF">
      <w:pPr>
        <w:spacing w:line="360" w:lineRule="auto"/>
        <w:ind w:firstLine="567"/>
        <w:jc w:val="both"/>
        <w:rPr>
          <w:rFonts w:ascii="Arial" w:hAnsi="Arial" w:cs="Arial"/>
        </w:rPr>
      </w:pPr>
      <w:r w:rsidRPr="001C2EE0">
        <w:rPr>
          <w:rFonts w:ascii="Arial" w:hAnsi="Arial" w:cs="Arial"/>
        </w:rPr>
        <w:t xml:space="preserve">Úřad práce ČR (ÚP ČR) realizuje prostřednictvím svých krajských poboček </w:t>
      </w:r>
      <w:r>
        <w:rPr>
          <w:rFonts w:ascii="Arial" w:hAnsi="Arial" w:cs="Arial"/>
        </w:rPr>
        <w:t>regionální projekty</w:t>
      </w:r>
      <w:r w:rsidRPr="001C2EE0">
        <w:rPr>
          <w:rFonts w:ascii="Arial" w:hAnsi="Arial" w:cs="Arial"/>
        </w:rPr>
        <w:t xml:space="preserve"> přímého přidělení</w:t>
      </w:r>
      <w:r>
        <w:rPr>
          <w:rFonts w:ascii="Arial" w:hAnsi="Arial" w:cs="Arial"/>
        </w:rPr>
        <w:t xml:space="preserve"> (RIP)</w:t>
      </w:r>
      <w:r w:rsidRPr="001C2EE0">
        <w:rPr>
          <w:rFonts w:ascii="Arial" w:hAnsi="Arial" w:cs="Arial"/>
        </w:rPr>
        <w:t xml:space="preserve">, kdy </w:t>
      </w:r>
      <w:r w:rsidRPr="00D45B38">
        <w:rPr>
          <w:rFonts w:ascii="Arial" w:hAnsi="Arial" w:cs="Arial"/>
          <w:b/>
        </w:rPr>
        <w:t>hlavním cílem</w:t>
      </w:r>
      <w:r w:rsidRPr="001C2EE0">
        <w:rPr>
          <w:rFonts w:ascii="Arial" w:hAnsi="Arial" w:cs="Arial"/>
        </w:rPr>
        <w:t xml:space="preserve"> těchto projektů (viz</w:t>
      </w:r>
      <w:r>
        <w:rPr>
          <w:rFonts w:ascii="Arial" w:hAnsi="Arial" w:cs="Arial"/>
        </w:rPr>
        <w:t> </w:t>
      </w:r>
      <w:r w:rsidRPr="001C2EE0">
        <w:rPr>
          <w:rFonts w:ascii="Arial" w:hAnsi="Arial" w:cs="Arial"/>
        </w:rPr>
        <w:t xml:space="preserve">níže) je zvýšit zaměstnanost a zaměstnatelnost dlouhodobě evidovaných osob prostřednictvím komplexní nabídky opatření. Realizace těchto projektů, resp. naplnění </w:t>
      </w:r>
      <w:r w:rsidRPr="00AB2B74">
        <w:rPr>
          <w:rFonts w:ascii="Arial" w:hAnsi="Arial" w:cs="Arial"/>
        </w:rPr>
        <w:t>jejich cílů, je kontrolováno ze strany Generálního ředitelství Úřadu práce (GŘ ÚP ČR).</w:t>
      </w:r>
    </w:p>
    <w:p w:rsidR="00EE15EF" w:rsidRPr="00AB2B74" w:rsidRDefault="00EE15EF" w:rsidP="00EE15EF">
      <w:pPr>
        <w:spacing w:line="360" w:lineRule="auto"/>
        <w:jc w:val="both"/>
        <w:rPr>
          <w:rFonts w:ascii="Arial" w:hAnsi="Arial" w:cs="Arial"/>
        </w:rPr>
      </w:pPr>
    </w:p>
    <w:p w:rsidR="00EE15EF" w:rsidRPr="00AB2B74" w:rsidRDefault="00EE15EF" w:rsidP="00EE15EF">
      <w:pPr>
        <w:spacing w:line="360" w:lineRule="auto"/>
        <w:jc w:val="both"/>
        <w:rPr>
          <w:rFonts w:ascii="Arial" w:hAnsi="Arial" w:cs="Arial"/>
          <w:b/>
        </w:rPr>
      </w:pPr>
      <w:r w:rsidRPr="00AB2B74">
        <w:rPr>
          <w:rFonts w:ascii="Arial" w:hAnsi="Arial" w:cs="Arial"/>
          <w:b/>
        </w:rPr>
        <w:t>Směr - práce ve Středočeském kraji 2</w:t>
      </w:r>
    </w:p>
    <w:p w:rsidR="00EE15EF" w:rsidRPr="00AB2B74" w:rsidRDefault="00EE15EF" w:rsidP="00EE15EF">
      <w:pPr>
        <w:spacing w:line="360" w:lineRule="auto"/>
        <w:jc w:val="both"/>
        <w:rPr>
          <w:rFonts w:ascii="Arial" w:hAnsi="Arial" w:cs="Arial"/>
        </w:rPr>
      </w:pPr>
      <w:r w:rsidRPr="00AB2B74">
        <w:rPr>
          <w:rFonts w:ascii="Arial" w:hAnsi="Arial" w:cs="Arial"/>
        </w:rPr>
        <w:t>Reg. číslo:</w:t>
      </w:r>
      <w:r w:rsidRPr="00AB2B74">
        <w:rPr>
          <w:rFonts w:ascii="Arial" w:hAnsi="Arial" w:cs="Arial"/>
        </w:rPr>
        <w:tab/>
      </w:r>
      <w:r w:rsidRPr="00AB2B74">
        <w:rPr>
          <w:rFonts w:ascii="Arial" w:hAnsi="Arial" w:cs="Arial"/>
        </w:rPr>
        <w:tab/>
        <w:t>CZ.03.1.48/0.0/0.0/15_010/0000015</w:t>
      </w:r>
    </w:p>
    <w:p w:rsidR="00EE15EF" w:rsidRPr="00AB2B74" w:rsidRDefault="002B01C3" w:rsidP="00EE15EF">
      <w:pPr>
        <w:spacing w:line="360" w:lineRule="auto"/>
        <w:jc w:val="both"/>
        <w:rPr>
          <w:rFonts w:ascii="Arial" w:hAnsi="Arial" w:cs="Arial"/>
        </w:rPr>
      </w:pPr>
      <w:r>
        <w:rPr>
          <w:rFonts w:ascii="Arial" w:hAnsi="Arial" w:cs="Arial"/>
        </w:rPr>
        <w:t>Realizace projektu:</w:t>
      </w:r>
      <w:r w:rsidR="00EE15EF" w:rsidRPr="00AB2B74">
        <w:rPr>
          <w:rFonts w:ascii="Arial" w:hAnsi="Arial" w:cs="Arial"/>
        </w:rPr>
        <w:t>1. 1. 2016–31. 12. 2019</w:t>
      </w:r>
    </w:p>
    <w:p w:rsidR="00EE15EF" w:rsidRPr="003A56FB" w:rsidRDefault="00EE15EF" w:rsidP="00EE15EF">
      <w:pPr>
        <w:spacing w:line="360" w:lineRule="auto"/>
        <w:ind w:left="2124" w:hanging="2124"/>
        <w:jc w:val="both"/>
        <w:rPr>
          <w:rFonts w:ascii="Arial" w:hAnsi="Arial" w:cs="Arial"/>
        </w:rPr>
      </w:pPr>
      <w:r w:rsidRPr="00593F89">
        <w:rPr>
          <w:rFonts w:ascii="Arial" w:hAnsi="Arial" w:cs="Arial"/>
        </w:rPr>
        <w:t xml:space="preserve">Cílová skupina:  </w:t>
      </w:r>
      <w:r w:rsidRPr="00593F89">
        <w:rPr>
          <w:rFonts w:ascii="Arial" w:hAnsi="Arial" w:cs="Arial"/>
        </w:rPr>
        <w:tab/>
        <w:t xml:space="preserve">Uchazeči o zaměstnání, kteří jsou vedeni v evidenci ÚP ČR nepřetržitě déle než 5 měsíců s důrazem na osoby s dobou </w:t>
      </w:r>
      <w:r w:rsidRPr="003A56FB">
        <w:rPr>
          <w:rFonts w:ascii="Arial" w:hAnsi="Arial" w:cs="Arial"/>
        </w:rPr>
        <w:t xml:space="preserve">evidence nad 12 měsíců nebo v součtu 12 měsíců v posledních dvou letech. </w:t>
      </w:r>
    </w:p>
    <w:p w:rsidR="00EE15EF" w:rsidRPr="003A56FB" w:rsidRDefault="00EE15EF" w:rsidP="00EE15EF">
      <w:pPr>
        <w:spacing w:line="360" w:lineRule="auto"/>
        <w:ind w:left="2124" w:hanging="2124"/>
        <w:jc w:val="both"/>
        <w:rPr>
          <w:rFonts w:ascii="Arial" w:hAnsi="Arial" w:cs="Arial"/>
        </w:rPr>
      </w:pPr>
      <w:r w:rsidRPr="003A56FB">
        <w:rPr>
          <w:rFonts w:ascii="Arial" w:hAnsi="Arial" w:cs="Arial"/>
        </w:rPr>
        <w:t>Rozpočet projektu:</w:t>
      </w:r>
      <w:r w:rsidRPr="003A56FB">
        <w:rPr>
          <w:rFonts w:ascii="Arial" w:hAnsi="Arial" w:cs="Arial"/>
        </w:rPr>
        <w:tab/>
        <w:t>39 841 581,- Kč</w:t>
      </w:r>
    </w:p>
    <w:p w:rsidR="00EE15EF" w:rsidRPr="00C67F26" w:rsidRDefault="00EE15EF" w:rsidP="00EE15EF">
      <w:pPr>
        <w:spacing w:line="360" w:lineRule="auto"/>
        <w:ind w:left="2124" w:hanging="2124"/>
        <w:jc w:val="both"/>
        <w:rPr>
          <w:rFonts w:ascii="Arial" w:hAnsi="Arial" w:cs="Arial"/>
        </w:rPr>
      </w:pPr>
      <w:r w:rsidRPr="003A56FB">
        <w:rPr>
          <w:rFonts w:ascii="Arial" w:hAnsi="Arial" w:cs="Arial"/>
        </w:rPr>
        <w:t>Popis projektu:</w:t>
      </w:r>
      <w:r w:rsidRPr="003A56FB">
        <w:rPr>
          <w:rFonts w:ascii="Arial" w:hAnsi="Arial" w:cs="Arial"/>
        </w:rPr>
        <w:tab/>
        <w:t xml:space="preserve">Zvýšení flexibility, motivace a získání či prohloubení dovedností formou rekvalifikace, zprostředkování zaměstnání SÚPM, odstranění překážek účasti v projektu poskytnutím přímé podpory, aby se zvýšila zaměstnatelnost účastníka a ten nalezl trvalé </w:t>
      </w:r>
      <w:r w:rsidRPr="00C67F26">
        <w:rPr>
          <w:rFonts w:ascii="Arial" w:hAnsi="Arial" w:cs="Arial"/>
        </w:rPr>
        <w:t>zaměstnání během, nebo krátce po své účasti v projektu.</w:t>
      </w:r>
    </w:p>
    <w:p w:rsidR="00EE15EF" w:rsidRPr="00C67F26" w:rsidRDefault="00EE15EF" w:rsidP="00EE15EF">
      <w:pPr>
        <w:spacing w:line="360" w:lineRule="auto"/>
        <w:ind w:left="2124" w:hanging="2124"/>
        <w:jc w:val="both"/>
        <w:rPr>
          <w:rFonts w:ascii="Arial" w:hAnsi="Arial" w:cs="Arial"/>
          <w:bCs/>
        </w:rPr>
      </w:pPr>
    </w:p>
    <w:p w:rsidR="00EE15EF" w:rsidRPr="00C67F26" w:rsidRDefault="00EE15EF" w:rsidP="00EE15EF">
      <w:pPr>
        <w:spacing w:line="360" w:lineRule="auto"/>
        <w:jc w:val="both"/>
        <w:rPr>
          <w:rFonts w:ascii="Arial" w:hAnsi="Arial" w:cs="Arial"/>
          <w:b/>
        </w:rPr>
      </w:pPr>
      <w:r w:rsidRPr="00C67F26">
        <w:rPr>
          <w:rFonts w:ascii="Arial" w:hAnsi="Arial" w:cs="Arial"/>
          <w:b/>
        </w:rPr>
        <w:t xml:space="preserve">Nová šance na Vysočině </w:t>
      </w:r>
    </w:p>
    <w:p w:rsidR="00EE15EF" w:rsidRPr="00C67F26" w:rsidRDefault="00EE15EF" w:rsidP="00EE15EF">
      <w:pPr>
        <w:spacing w:line="360" w:lineRule="auto"/>
        <w:jc w:val="both"/>
        <w:rPr>
          <w:rFonts w:ascii="Arial" w:hAnsi="Arial" w:cs="Arial"/>
        </w:rPr>
      </w:pPr>
      <w:r w:rsidRPr="00C67F26">
        <w:rPr>
          <w:rFonts w:ascii="Arial" w:hAnsi="Arial" w:cs="Arial"/>
        </w:rPr>
        <w:t>Reg. číslo:</w:t>
      </w:r>
      <w:r w:rsidRPr="00C67F26">
        <w:rPr>
          <w:rFonts w:ascii="Arial" w:hAnsi="Arial" w:cs="Arial"/>
        </w:rPr>
        <w:tab/>
      </w:r>
      <w:r w:rsidRPr="00C67F26">
        <w:rPr>
          <w:rFonts w:ascii="Arial" w:hAnsi="Arial" w:cs="Arial"/>
        </w:rPr>
        <w:tab/>
        <w:t>CZ.03.1.48/0.0/0.0/15_010/0000016</w:t>
      </w:r>
    </w:p>
    <w:p w:rsidR="00EE15EF" w:rsidRPr="00C67F26" w:rsidRDefault="002B01C3" w:rsidP="00EE15EF">
      <w:pPr>
        <w:spacing w:line="360" w:lineRule="auto"/>
        <w:jc w:val="both"/>
        <w:rPr>
          <w:rFonts w:ascii="Arial" w:hAnsi="Arial" w:cs="Arial"/>
        </w:rPr>
      </w:pPr>
      <w:r>
        <w:rPr>
          <w:rFonts w:ascii="Arial" w:hAnsi="Arial" w:cs="Arial"/>
        </w:rPr>
        <w:t>Realizace projektu:</w:t>
      </w:r>
      <w:r w:rsidR="00EE15EF" w:rsidRPr="00C67F26">
        <w:rPr>
          <w:rFonts w:ascii="Arial" w:hAnsi="Arial" w:cs="Arial"/>
        </w:rPr>
        <w:t>1. 12. 2015–31. 12. 2018</w:t>
      </w:r>
    </w:p>
    <w:p w:rsidR="00EE15EF" w:rsidRPr="005A72CD" w:rsidRDefault="00EE15EF" w:rsidP="00EE15EF">
      <w:pPr>
        <w:spacing w:line="360" w:lineRule="auto"/>
        <w:ind w:left="2124" w:hanging="2124"/>
        <w:jc w:val="both"/>
        <w:rPr>
          <w:rFonts w:ascii="Arial" w:hAnsi="Arial" w:cs="Arial"/>
        </w:rPr>
      </w:pPr>
      <w:r w:rsidRPr="00C67F26">
        <w:rPr>
          <w:rFonts w:ascii="Arial" w:hAnsi="Arial" w:cs="Arial"/>
        </w:rPr>
        <w:t xml:space="preserve">Cílová skupina:  </w:t>
      </w:r>
      <w:r w:rsidRPr="00C67F26">
        <w:rPr>
          <w:rFonts w:ascii="Arial" w:hAnsi="Arial" w:cs="Arial"/>
        </w:rPr>
        <w:tab/>
        <w:t xml:space="preserve">Dlouhodobě a opakovaně evidovaní uchazeči o zaměstnání (nad </w:t>
      </w:r>
      <w:r w:rsidRPr="005A72CD">
        <w:rPr>
          <w:rFonts w:ascii="Arial" w:hAnsi="Arial" w:cs="Arial"/>
        </w:rPr>
        <w:t>12 měsíců).</w:t>
      </w:r>
    </w:p>
    <w:p w:rsidR="00EE15EF" w:rsidRPr="005A72CD" w:rsidRDefault="00EE15EF" w:rsidP="00EE15EF">
      <w:pPr>
        <w:spacing w:line="360" w:lineRule="auto"/>
        <w:ind w:left="2124" w:hanging="2124"/>
        <w:jc w:val="both"/>
        <w:rPr>
          <w:rFonts w:ascii="Arial" w:hAnsi="Arial" w:cs="Arial"/>
        </w:rPr>
      </w:pPr>
      <w:r w:rsidRPr="005A72CD">
        <w:rPr>
          <w:rFonts w:ascii="Arial" w:hAnsi="Arial" w:cs="Arial"/>
        </w:rPr>
        <w:t>Rozpočet projektu:</w:t>
      </w:r>
      <w:r w:rsidRPr="005A72CD">
        <w:rPr>
          <w:rFonts w:ascii="Arial" w:hAnsi="Arial" w:cs="Arial"/>
        </w:rPr>
        <w:tab/>
        <w:t>25 987 343,- Kč</w:t>
      </w:r>
    </w:p>
    <w:p w:rsidR="00EE15EF" w:rsidRPr="00981C7A" w:rsidRDefault="00EE15EF" w:rsidP="00EE15EF">
      <w:pPr>
        <w:spacing w:line="360" w:lineRule="auto"/>
        <w:ind w:left="2124" w:hanging="2124"/>
        <w:jc w:val="both"/>
        <w:rPr>
          <w:rFonts w:ascii="Arial" w:hAnsi="Arial" w:cs="Arial"/>
        </w:rPr>
      </w:pPr>
      <w:r w:rsidRPr="005A72CD">
        <w:rPr>
          <w:rFonts w:ascii="Arial" w:hAnsi="Arial" w:cs="Arial"/>
        </w:rPr>
        <w:t>Popis projektu:</w:t>
      </w:r>
      <w:r w:rsidRPr="005A72CD">
        <w:rPr>
          <w:rFonts w:ascii="Arial" w:hAnsi="Arial" w:cs="Arial"/>
        </w:rPr>
        <w:tab/>
        <w:t xml:space="preserve">Problematika dlouhodobě a opakovaně nezaměstnaných v Kraji Vysočina. Mezi klíčové aktivity projektu patří zprostředkování zaměstnání, poradenské a informační činnosti a programy, bilanční a pracovní diagnostika, rekvalifikace, rozvoj základních </w:t>
      </w:r>
      <w:r w:rsidRPr="005A72CD">
        <w:rPr>
          <w:rFonts w:ascii="Arial" w:hAnsi="Arial" w:cs="Arial"/>
        </w:rPr>
        <w:lastRenderedPageBreak/>
        <w:t xml:space="preserve">kompetencí za účelem snazšího uplatnění na trhu práce, podpora aktivit k získání pracovních návyků, doprovodná opatření </w:t>
      </w:r>
      <w:r w:rsidRPr="00981C7A">
        <w:rPr>
          <w:rFonts w:ascii="Arial" w:hAnsi="Arial" w:cs="Arial"/>
        </w:rPr>
        <w:t>umožňující začlenění na trh práce, motivační aktivity.</w:t>
      </w:r>
    </w:p>
    <w:p w:rsidR="00EE15EF" w:rsidRPr="00981C7A" w:rsidRDefault="00EE15EF" w:rsidP="00EE15EF">
      <w:pPr>
        <w:spacing w:line="360" w:lineRule="auto"/>
        <w:ind w:left="2124" w:hanging="2124"/>
        <w:jc w:val="both"/>
        <w:rPr>
          <w:rFonts w:ascii="Arial" w:hAnsi="Arial" w:cs="Arial"/>
        </w:rPr>
      </w:pPr>
    </w:p>
    <w:p w:rsidR="00EE15EF" w:rsidRPr="00981C7A" w:rsidRDefault="00EE15EF" w:rsidP="00EE15EF">
      <w:pPr>
        <w:spacing w:line="360" w:lineRule="auto"/>
        <w:jc w:val="both"/>
        <w:rPr>
          <w:rFonts w:ascii="Arial" w:hAnsi="Arial" w:cs="Arial"/>
          <w:b/>
        </w:rPr>
      </w:pPr>
      <w:r w:rsidRPr="00981C7A">
        <w:rPr>
          <w:rFonts w:ascii="Arial" w:hAnsi="Arial" w:cs="Arial"/>
          <w:b/>
        </w:rPr>
        <w:t>Nová šance ve Zlínském kraji</w:t>
      </w:r>
    </w:p>
    <w:p w:rsidR="00EE15EF" w:rsidRPr="00981C7A" w:rsidRDefault="00EE15EF" w:rsidP="00EE15EF">
      <w:pPr>
        <w:spacing w:line="360" w:lineRule="auto"/>
        <w:jc w:val="both"/>
        <w:rPr>
          <w:rFonts w:ascii="Arial" w:hAnsi="Arial" w:cs="Arial"/>
        </w:rPr>
      </w:pPr>
      <w:r w:rsidRPr="00981C7A">
        <w:rPr>
          <w:rFonts w:ascii="Arial" w:hAnsi="Arial" w:cs="Arial"/>
        </w:rPr>
        <w:t>Reg. číslo:</w:t>
      </w:r>
      <w:r w:rsidRPr="00981C7A">
        <w:rPr>
          <w:rFonts w:ascii="Arial" w:hAnsi="Arial" w:cs="Arial"/>
        </w:rPr>
        <w:tab/>
      </w:r>
      <w:r w:rsidRPr="00981C7A">
        <w:rPr>
          <w:rFonts w:ascii="Arial" w:hAnsi="Arial" w:cs="Arial"/>
        </w:rPr>
        <w:tab/>
        <w:t>CZ.03.1.48/0.0/0.0/15_010/0000023</w:t>
      </w:r>
    </w:p>
    <w:p w:rsidR="00EE15EF" w:rsidRPr="00981C7A" w:rsidRDefault="002B01C3" w:rsidP="00EE15EF">
      <w:pPr>
        <w:spacing w:line="360" w:lineRule="auto"/>
        <w:jc w:val="both"/>
        <w:rPr>
          <w:rFonts w:ascii="Arial" w:hAnsi="Arial" w:cs="Arial"/>
        </w:rPr>
      </w:pPr>
      <w:r>
        <w:rPr>
          <w:rFonts w:ascii="Arial" w:hAnsi="Arial" w:cs="Arial"/>
        </w:rPr>
        <w:t>Realizace projektu:</w:t>
      </w:r>
      <w:r w:rsidR="00EE15EF" w:rsidRPr="00981C7A">
        <w:rPr>
          <w:rFonts w:ascii="Arial" w:hAnsi="Arial" w:cs="Arial"/>
        </w:rPr>
        <w:t>1. 2. 2016–31. 1. 2020</w:t>
      </w:r>
    </w:p>
    <w:p w:rsidR="00EE15EF" w:rsidRPr="00981C7A" w:rsidRDefault="00EE15EF" w:rsidP="00EE15EF">
      <w:pPr>
        <w:spacing w:line="360" w:lineRule="auto"/>
        <w:ind w:left="2124" w:hanging="2124"/>
        <w:jc w:val="both"/>
        <w:rPr>
          <w:rFonts w:ascii="Arial" w:hAnsi="Arial" w:cs="Arial"/>
        </w:rPr>
      </w:pPr>
      <w:r w:rsidRPr="00981C7A">
        <w:rPr>
          <w:rFonts w:ascii="Arial" w:hAnsi="Arial" w:cs="Arial"/>
        </w:rPr>
        <w:t xml:space="preserve">Cílová skupina:  </w:t>
      </w:r>
      <w:r w:rsidRPr="00981C7A">
        <w:rPr>
          <w:rFonts w:ascii="Arial" w:hAnsi="Arial" w:cs="Arial"/>
        </w:rPr>
        <w:tab/>
        <w:t>Uchazeči o zaměstnání v evidenci déle než 5 měsíců, s důrazem na osoby s dobou evidence na ÚP ČR nad 12 měsíců.</w:t>
      </w:r>
    </w:p>
    <w:p w:rsidR="00EE15EF" w:rsidRPr="0061182D" w:rsidRDefault="00EE15EF" w:rsidP="00EE15EF">
      <w:pPr>
        <w:spacing w:line="360" w:lineRule="auto"/>
        <w:ind w:left="2124" w:hanging="2124"/>
        <w:jc w:val="both"/>
        <w:rPr>
          <w:rFonts w:ascii="Arial" w:hAnsi="Arial" w:cs="Arial"/>
        </w:rPr>
      </w:pPr>
      <w:r w:rsidRPr="0061182D">
        <w:rPr>
          <w:rFonts w:ascii="Arial" w:hAnsi="Arial" w:cs="Arial"/>
        </w:rPr>
        <w:t>Rozpočet projektu:</w:t>
      </w:r>
      <w:r w:rsidRPr="0061182D">
        <w:rPr>
          <w:rFonts w:ascii="Arial" w:hAnsi="Arial" w:cs="Arial"/>
        </w:rPr>
        <w:tab/>
        <w:t>63 090 389,- Kč</w:t>
      </w:r>
    </w:p>
    <w:p w:rsidR="00EE15EF" w:rsidRPr="0061182D" w:rsidRDefault="00EE15EF" w:rsidP="00EE15EF">
      <w:pPr>
        <w:spacing w:line="360" w:lineRule="auto"/>
        <w:ind w:left="2124" w:hanging="2124"/>
        <w:jc w:val="both"/>
        <w:rPr>
          <w:rFonts w:ascii="Arial" w:hAnsi="Arial" w:cs="Arial"/>
        </w:rPr>
      </w:pPr>
      <w:r w:rsidRPr="0061182D">
        <w:rPr>
          <w:rFonts w:ascii="Arial" w:hAnsi="Arial" w:cs="Arial"/>
        </w:rPr>
        <w:t>Popis projektu:</w:t>
      </w:r>
      <w:r w:rsidRPr="0061182D">
        <w:rPr>
          <w:rFonts w:ascii="Arial" w:hAnsi="Arial" w:cs="Arial"/>
        </w:rPr>
        <w:tab/>
        <w:t>Prostřednictvím aktivit projektu dojde k získání, obnovení, doplnění nebo rozšíření znalostí a dovedností u cílové skupiny, což bude mít za výsledek zvýšení jejich zaměstnatelnosti. Snahou projektu je znovuzařazení účastníků do pracovního procesu. Mezi klíčové aktivity projektu patří bilanční diagnostika, rekvalifikace, odborná jazyková výuka, práce na zkoušku a SÚPM.</w:t>
      </w:r>
    </w:p>
    <w:p w:rsidR="00EE15EF" w:rsidRPr="0061182D" w:rsidRDefault="00EE15EF" w:rsidP="00EE15EF">
      <w:pPr>
        <w:spacing w:line="360" w:lineRule="auto"/>
        <w:ind w:left="2124" w:hanging="2124"/>
        <w:jc w:val="both"/>
        <w:rPr>
          <w:rFonts w:ascii="Arial" w:hAnsi="Arial" w:cs="Arial"/>
        </w:rPr>
      </w:pPr>
    </w:p>
    <w:p w:rsidR="00EE15EF" w:rsidRPr="0061182D" w:rsidRDefault="00EE15EF" w:rsidP="00EE15EF">
      <w:pPr>
        <w:spacing w:line="360" w:lineRule="auto"/>
        <w:jc w:val="both"/>
        <w:rPr>
          <w:rFonts w:ascii="Arial" w:hAnsi="Arial" w:cs="Arial"/>
          <w:b/>
        </w:rPr>
      </w:pPr>
      <w:r w:rsidRPr="0061182D">
        <w:rPr>
          <w:rFonts w:ascii="Arial" w:hAnsi="Arial" w:cs="Arial"/>
          <w:b/>
        </w:rPr>
        <w:t>Prostupné zaměstnávání v Olomouckém kraji</w:t>
      </w:r>
    </w:p>
    <w:p w:rsidR="00EE15EF" w:rsidRPr="00423E13" w:rsidRDefault="00EE15EF" w:rsidP="00EE15EF">
      <w:pPr>
        <w:spacing w:line="360" w:lineRule="auto"/>
        <w:jc w:val="both"/>
        <w:rPr>
          <w:rFonts w:ascii="Arial" w:hAnsi="Arial" w:cs="Arial"/>
        </w:rPr>
      </w:pPr>
      <w:r w:rsidRPr="00423E13">
        <w:rPr>
          <w:rFonts w:ascii="Arial" w:hAnsi="Arial" w:cs="Arial"/>
        </w:rPr>
        <w:t>Reg. číslo:</w:t>
      </w:r>
      <w:r w:rsidRPr="00423E13">
        <w:rPr>
          <w:rFonts w:ascii="Arial" w:hAnsi="Arial" w:cs="Arial"/>
        </w:rPr>
        <w:tab/>
      </w:r>
      <w:r w:rsidRPr="00423E13">
        <w:rPr>
          <w:rFonts w:ascii="Arial" w:hAnsi="Arial" w:cs="Arial"/>
        </w:rPr>
        <w:tab/>
        <w:t>CZ.03.1.48/0.0/0.0/15_010/0000032</w:t>
      </w:r>
    </w:p>
    <w:p w:rsidR="00EE15EF" w:rsidRPr="00423E13" w:rsidRDefault="002B01C3" w:rsidP="00EE15EF">
      <w:pPr>
        <w:spacing w:line="360" w:lineRule="auto"/>
        <w:jc w:val="both"/>
        <w:rPr>
          <w:rFonts w:ascii="Arial" w:hAnsi="Arial" w:cs="Arial"/>
        </w:rPr>
      </w:pPr>
      <w:r>
        <w:rPr>
          <w:rFonts w:ascii="Arial" w:hAnsi="Arial" w:cs="Arial"/>
        </w:rPr>
        <w:t>Realizace projektu:</w:t>
      </w:r>
      <w:r w:rsidR="00EE15EF" w:rsidRPr="00423E13">
        <w:rPr>
          <w:rFonts w:ascii="Arial" w:hAnsi="Arial" w:cs="Arial"/>
        </w:rPr>
        <w:t>1. 2. 2016–28. 2. 2019</w:t>
      </w:r>
    </w:p>
    <w:p w:rsidR="00EE15EF" w:rsidRPr="00A456E1" w:rsidRDefault="00EE15EF" w:rsidP="00EE15EF">
      <w:pPr>
        <w:spacing w:line="360" w:lineRule="auto"/>
        <w:ind w:left="2124" w:hanging="2124"/>
        <w:jc w:val="both"/>
        <w:rPr>
          <w:rFonts w:ascii="Arial" w:hAnsi="Arial" w:cs="Arial"/>
        </w:rPr>
      </w:pPr>
      <w:r w:rsidRPr="00423E13">
        <w:rPr>
          <w:rFonts w:ascii="Arial" w:hAnsi="Arial" w:cs="Arial"/>
        </w:rPr>
        <w:t xml:space="preserve">Cílová skupina:  </w:t>
      </w:r>
      <w:r w:rsidRPr="00423E13">
        <w:rPr>
          <w:rFonts w:ascii="Arial" w:hAnsi="Arial" w:cs="Arial"/>
        </w:rPr>
        <w:tab/>
        <w:t xml:space="preserve">Uchazeči o zaměstnání, kteří jsou v evidenci ÚP ČR nepřetržitě déle než 12 měsíců nebo byli v evidenci ÚP ČR za poslední tři roky déle než 12 měsíců a současně vykazují alespoň 2 další </w:t>
      </w:r>
      <w:r w:rsidRPr="00A456E1">
        <w:rPr>
          <w:rFonts w:ascii="Arial" w:hAnsi="Arial" w:cs="Arial"/>
        </w:rPr>
        <w:t>znaky sociálního vyloučení.</w:t>
      </w:r>
    </w:p>
    <w:p w:rsidR="00EE15EF" w:rsidRPr="0031449F" w:rsidRDefault="00EE15EF" w:rsidP="00EE15EF">
      <w:pPr>
        <w:spacing w:line="360" w:lineRule="auto"/>
        <w:ind w:left="2124" w:hanging="2124"/>
        <w:jc w:val="both"/>
        <w:rPr>
          <w:rFonts w:ascii="Arial" w:hAnsi="Arial" w:cs="Arial"/>
        </w:rPr>
      </w:pPr>
      <w:r w:rsidRPr="0031449F">
        <w:rPr>
          <w:rFonts w:ascii="Arial" w:hAnsi="Arial" w:cs="Arial"/>
        </w:rPr>
        <w:t>Rozpočet projektu:</w:t>
      </w:r>
      <w:r w:rsidRPr="0031449F">
        <w:rPr>
          <w:rFonts w:ascii="Arial" w:hAnsi="Arial" w:cs="Arial"/>
        </w:rPr>
        <w:tab/>
        <w:t>50 895 388,- Kč</w:t>
      </w:r>
    </w:p>
    <w:p w:rsidR="00EE15EF" w:rsidRPr="0031449F" w:rsidRDefault="00EE15EF" w:rsidP="00EE15EF">
      <w:pPr>
        <w:spacing w:line="360" w:lineRule="auto"/>
        <w:ind w:left="2124" w:hanging="2124"/>
        <w:jc w:val="both"/>
        <w:rPr>
          <w:rFonts w:ascii="Arial" w:hAnsi="Arial" w:cs="Arial"/>
        </w:rPr>
      </w:pPr>
      <w:r w:rsidRPr="0031449F">
        <w:rPr>
          <w:rFonts w:ascii="Arial" w:hAnsi="Arial" w:cs="Arial"/>
        </w:rPr>
        <w:t>Popis projektu:</w:t>
      </w:r>
      <w:r w:rsidRPr="0031449F">
        <w:rPr>
          <w:rFonts w:ascii="Arial" w:hAnsi="Arial" w:cs="Arial"/>
        </w:rPr>
        <w:tab/>
        <w:t>Předmětem projektu je pomoc uchazečům o zaměstnání s dlouhodobou evidencí, kteří vykazují znaky sociálního vyloučení.</w:t>
      </w:r>
    </w:p>
    <w:p w:rsidR="00EE15EF" w:rsidRPr="0031449F" w:rsidRDefault="00EE15EF" w:rsidP="00EE15EF">
      <w:pPr>
        <w:spacing w:line="360" w:lineRule="auto"/>
        <w:jc w:val="both"/>
        <w:rPr>
          <w:rFonts w:ascii="Arial" w:hAnsi="Arial" w:cs="Arial"/>
        </w:rPr>
      </w:pPr>
    </w:p>
    <w:p w:rsidR="00EE15EF" w:rsidRPr="00563865" w:rsidRDefault="00EE15EF" w:rsidP="00EE15EF">
      <w:pPr>
        <w:spacing w:line="360" w:lineRule="auto"/>
        <w:jc w:val="both"/>
        <w:rPr>
          <w:rFonts w:ascii="Arial" w:hAnsi="Arial" w:cs="Arial"/>
          <w:b/>
        </w:rPr>
      </w:pPr>
      <w:r w:rsidRPr="00563865">
        <w:rPr>
          <w:rFonts w:ascii="Arial" w:hAnsi="Arial" w:cs="Arial"/>
          <w:b/>
        </w:rPr>
        <w:t>Práce a život v Jihočeském kraji</w:t>
      </w:r>
    </w:p>
    <w:p w:rsidR="00EE15EF" w:rsidRPr="00563865" w:rsidRDefault="00EE15EF" w:rsidP="00EE15EF">
      <w:pPr>
        <w:spacing w:line="360" w:lineRule="auto"/>
        <w:jc w:val="both"/>
        <w:rPr>
          <w:rFonts w:ascii="Arial" w:hAnsi="Arial" w:cs="Arial"/>
        </w:rPr>
      </w:pPr>
      <w:r w:rsidRPr="00563865">
        <w:rPr>
          <w:rFonts w:ascii="Arial" w:hAnsi="Arial" w:cs="Arial"/>
        </w:rPr>
        <w:t>Reg. číslo:</w:t>
      </w:r>
      <w:r w:rsidRPr="00563865">
        <w:rPr>
          <w:rFonts w:ascii="Arial" w:hAnsi="Arial" w:cs="Arial"/>
        </w:rPr>
        <w:tab/>
      </w:r>
      <w:r w:rsidRPr="00563865">
        <w:rPr>
          <w:rFonts w:ascii="Arial" w:hAnsi="Arial" w:cs="Arial"/>
        </w:rPr>
        <w:tab/>
        <w:t>CZ.03.1.48/0.0/0.0/15_010/0000034</w:t>
      </w:r>
    </w:p>
    <w:p w:rsidR="00EE15EF" w:rsidRPr="00563865" w:rsidRDefault="002B01C3" w:rsidP="00EE15EF">
      <w:pPr>
        <w:spacing w:line="360" w:lineRule="auto"/>
        <w:jc w:val="both"/>
        <w:rPr>
          <w:rFonts w:ascii="Arial" w:hAnsi="Arial" w:cs="Arial"/>
        </w:rPr>
      </w:pPr>
      <w:r>
        <w:rPr>
          <w:rFonts w:ascii="Arial" w:hAnsi="Arial" w:cs="Arial"/>
        </w:rPr>
        <w:t>Realizace projektu:</w:t>
      </w:r>
      <w:r w:rsidR="00EE15EF" w:rsidRPr="00563865">
        <w:rPr>
          <w:rFonts w:ascii="Arial" w:hAnsi="Arial" w:cs="Arial"/>
        </w:rPr>
        <w:t>1. 12. 2015–30. 6. 2020</w:t>
      </w:r>
    </w:p>
    <w:p w:rsidR="00EE15EF" w:rsidRPr="009D4018" w:rsidRDefault="00EE15EF" w:rsidP="00EE15EF">
      <w:pPr>
        <w:spacing w:line="360" w:lineRule="auto"/>
        <w:ind w:left="2124" w:hanging="2124"/>
        <w:jc w:val="both"/>
        <w:rPr>
          <w:rFonts w:ascii="Arial" w:hAnsi="Arial" w:cs="Arial"/>
        </w:rPr>
      </w:pPr>
      <w:r w:rsidRPr="00563865">
        <w:rPr>
          <w:rFonts w:ascii="Arial" w:hAnsi="Arial" w:cs="Arial"/>
        </w:rPr>
        <w:lastRenderedPageBreak/>
        <w:t xml:space="preserve">Cílová skupina:  </w:t>
      </w:r>
      <w:r w:rsidRPr="00563865">
        <w:rPr>
          <w:rFonts w:ascii="Arial" w:hAnsi="Arial" w:cs="Arial"/>
        </w:rPr>
        <w:tab/>
        <w:t xml:space="preserve">Uchazeči o zaměstnání, kteří jsou v evidenci ÚP ČR 12 a více měsíců nepřetržitě a dále také uchazeči, kteří jsou v opakovaných </w:t>
      </w:r>
      <w:r w:rsidRPr="009D4018">
        <w:rPr>
          <w:rFonts w:ascii="Arial" w:hAnsi="Arial" w:cs="Arial"/>
        </w:rPr>
        <w:t>evidencích, z nichž ta aktuální živá evidence je v délce 5 a více měsíců. Zájemci o zaměstnání, původně uchazeči o zaměstnání, kteří plnili aktivity projektu, a v průběhu prostupování aktivitami se jim podařilo získat zaměstnání, ale aktivitu chtějí dokončit.</w:t>
      </w:r>
    </w:p>
    <w:p w:rsidR="00EE15EF" w:rsidRPr="00F36BBD" w:rsidRDefault="00EE15EF" w:rsidP="00EE15EF">
      <w:pPr>
        <w:spacing w:line="360" w:lineRule="auto"/>
        <w:ind w:left="2124" w:hanging="2124"/>
        <w:jc w:val="both"/>
        <w:rPr>
          <w:rFonts w:ascii="Arial" w:hAnsi="Arial" w:cs="Arial"/>
        </w:rPr>
      </w:pPr>
      <w:r w:rsidRPr="00F36BBD">
        <w:rPr>
          <w:rFonts w:ascii="Arial" w:hAnsi="Arial" w:cs="Arial"/>
        </w:rPr>
        <w:t>Rozpočet projektu:</w:t>
      </w:r>
      <w:r w:rsidRPr="00F36BBD">
        <w:rPr>
          <w:rFonts w:ascii="Arial" w:hAnsi="Arial" w:cs="Arial"/>
        </w:rPr>
        <w:tab/>
        <w:t>44 800 776,- Kč</w:t>
      </w:r>
    </w:p>
    <w:p w:rsidR="00EE15EF" w:rsidRPr="00F36BBD" w:rsidRDefault="00EE15EF" w:rsidP="00EE15EF">
      <w:pPr>
        <w:spacing w:line="360" w:lineRule="auto"/>
        <w:ind w:left="2124" w:hanging="2124"/>
        <w:jc w:val="both"/>
        <w:rPr>
          <w:rFonts w:ascii="Arial" w:hAnsi="Arial" w:cs="Arial"/>
        </w:rPr>
      </w:pPr>
      <w:r w:rsidRPr="00F36BBD">
        <w:rPr>
          <w:rFonts w:ascii="Arial" w:hAnsi="Arial" w:cs="Arial"/>
        </w:rPr>
        <w:t>Popis projektu:</w:t>
      </w:r>
      <w:r w:rsidRPr="00F36BBD">
        <w:rPr>
          <w:rFonts w:ascii="Arial" w:hAnsi="Arial" w:cs="Arial"/>
        </w:rPr>
        <w:tab/>
        <w:t>Rozvoj klíčových kompetencí, měkkých dovedností a podpora motivace pro nastartování schopnosti a vůle pokusit se vrátit do pracovního režimu, doplnit či změnit svoji kvalifikaci a vstoupit aktivně na pracovní trh, poradenský program, rekvalifikace, individuální poradenství, umísťování na pracovní místa, podpora zahájení podnikání, doprovodná opatření.</w:t>
      </w:r>
    </w:p>
    <w:p w:rsidR="00EE15EF" w:rsidRPr="00F36BBD" w:rsidRDefault="00EE15EF" w:rsidP="00EE15EF">
      <w:pPr>
        <w:spacing w:line="360" w:lineRule="auto"/>
        <w:jc w:val="both"/>
        <w:rPr>
          <w:rFonts w:ascii="Arial" w:hAnsi="Arial" w:cs="Arial"/>
        </w:rPr>
      </w:pPr>
    </w:p>
    <w:p w:rsidR="00EE15EF" w:rsidRPr="008A2038" w:rsidRDefault="00EE15EF" w:rsidP="00EE15EF">
      <w:pPr>
        <w:spacing w:line="360" w:lineRule="auto"/>
        <w:jc w:val="both"/>
        <w:rPr>
          <w:rFonts w:ascii="Arial" w:hAnsi="Arial" w:cs="Arial"/>
          <w:b/>
        </w:rPr>
      </w:pPr>
      <w:r w:rsidRPr="008A2038">
        <w:rPr>
          <w:rFonts w:ascii="Arial" w:hAnsi="Arial" w:cs="Arial"/>
          <w:b/>
        </w:rPr>
        <w:t>Společně to dokážeme v Ústeckém kraji</w:t>
      </w:r>
    </w:p>
    <w:p w:rsidR="00EE15EF" w:rsidRPr="008A2038" w:rsidRDefault="00EE15EF" w:rsidP="00EE15EF">
      <w:pPr>
        <w:spacing w:line="360" w:lineRule="auto"/>
        <w:jc w:val="both"/>
        <w:rPr>
          <w:rFonts w:ascii="Arial" w:hAnsi="Arial" w:cs="Arial"/>
        </w:rPr>
      </w:pPr>
      <w:r w:rsidRPr="008A2038">
        <w:rPr>
          <w:rFonts w:ascii="Arial" w:hAnsi="Arial" w:cs="Arial"/>
        </w:rPr>
        <w:t>Reg. číslo:</w:t>
      </w:r>
      <w:r w:rsidRPr="008A2038">
        <w:rPr>
          <w:rFonts w:ascii="Arial" w:hAnsi="Arial" w:cs="Arial"/>
        </w:rPr>
        <w:tab/>
      </w:r>
      <w:r w:rsidRPr="008A2038">
        <w:rPr>
          <w:rFonts w:ascii="Arial" w:hAnsi="Arial" w:cs="Arial"/>
        </w:rPr>
        <w:tab/>
        <w:t>CZ.03.1.48/0.0/0.0/15_010/0000040</w:t>
      </w:r>
    </w:p>
    <w:p w:rsidR="00EE15EF" w:rsidRPr="008A2038" w:rsidRDefault="002B01C3" w:rsidP="00EE15EF">
      <w:pPr>
        <w:spacing w:line="360" w:lineRule="auto"/>
        <w:jc w:val="both"/>
        <w:rPr>
          <w:rFonts w:ascii="Arial" w:hAnsi="Arial" w:cs="Arial"/>
        </w:rPr>
      </w:pPr>
      <w:r>
        <w:rPr>
          <w:rFonts w:ascii="Arial" w:hAnsi="Arial" w:cs="Arial"/>
        </w:rPr>
        <w:t>Realizace projektu:</w:t>
      </w:r>
      <w:r w:rsidR="00EE15EF" w:rsidRPr="008A2038">
        <w:rPr>
          <w:rFonts w:ascii="Arial" w:hAnsi="Arial" w:cs="Arial"/>
        </w:rPr>
        <w:t>1. 4. 2016–31. 3. 2019</w:t>
      </w:r>
    </w:p>
    <w:p w:rsidR="00EE15EF" w:rsidRPr="008A2038" w:rsidRDefault="00EE15EF" w:rsidP="00EE15EF">
      <w:pPr>
        <w:spacing w:line="360" w:lineRule="auto"/>
        <w:ind w:left="2124" w:hanging="2124"/>
        <w:jc w:val="both"/>
        <w:rPr>
          <w:rFonts w:ascii="Arial" w:hAnsi="Arial" w:cs="Arial"/>
        </w:rPr>
      </w:pPr>
      <w:r w:rsidRPr="008A2038">
        <w:rPr>
          <w:rFonts w:ascii="Arial" w:hAnsi="Arial" w:cs="Arial"/>
        </w:rPr>
        <w:t xml:space="preserve">Cílová skupina:  </w:t>
      </w:r>
      <w:r w:rsidRPr="008A2038">
        <w:rPr>
          <w:rFonts w:ascii="Arial" w:hAnsi="Arial" w:cs="Arial"/>
        </w:rPr>
        <w:tab/>
        <w:t>Dlouhodobě evidovaní uchazeči o zaměstnání s nízkou kvalifikací, trpící sociálním vyloučením.</w:t>
      </w:r>
    </w:p>
    <w:p w:rsidR="00EE15EF" w:rsidRPr="00E71B76" w:rsidRDefault="00EE15EF" w:rsidP="00EE15EF">
      <w:pPr>
        <w:spacing w:line="360" w:lineRule="auto"/>
        <w:ind w:left="2124" w:hanging="2124"/>
        <w:jc w:val="both"/>
        <w:rPr>
          <w:rFonts w:ascii="Arial" w:hAnsi="Arial" w:cs="Arial"/>
        </w:rPr>
      </w:pPr>
      <w:r w:rsidRPr="00E71B76">
        <w:rPr>
          <w:rFonts w:ascii="Arial" w:hAnsi="Arial" w:cs="Arial"/>
        </w:rPr>
        <w:t>Rozpočet projektu:</w:t>
      </w:r>
      <w:r w:rsidRPr="00E71B76">
        <w:rPr>
          <w:rFonts w:ascii="Arial" w:hAnsi="Arial" w:cs="Arial"/>
        </w:rPr>
        <w:tab/>
        <w:t>153 403 400,- Kč</w:t>
      </w:r>
    </w:p>
    <w:p w:rsidR="00EE15EF" w:rsidRPr="00E71B76" w:rsidRDefault="00EE15EF" w:rsidP="00EE15EF">
      <w:pPr>
        <w:spacing w:line="360" w:lineRule="auto"/>
        <w:ind w:left="2124" w:hanging="2124"/>
        <w:jc w:val="both"/>
        <w:rPr>
          <w:rFonts w:ascii="Arial" w:hAnsi="Arial" w:cs="Arial"/>
        </w:rPr>
      </w:pPr>
      <w:r w:rsidRPr="00E71B76">
        <w:rPr>
          <w:rFonts w:ascii="Arial" w:hAnsi="Arial" w:cs="Arial"/>
        </w:rPr>
        <w:t>Popis projektu:</w:t>
      </w:r>
      <w:r w:rsidRPr="00E71B76">
        <w:rPr>
          <w:rFonts w:ascii="Arial" w:hAnsi="Arial" w:cs="Arial"/>
        </w:rPr>
        <w:tab/>
        <w:t>Projekt je zaměřen na uchazeče o zaměstnání evidované na ÚP ČR, kteří jsou ohrožení sociální exkluzí a bydlí v sociálně vyloučených lokalitách Ústeckého kraje. Tato cílová skupina se významně podílí na celkové nezaměstnanosti v Ústeckém kraji. Projekt těmto osobám nabí</w:t>
      </w:r>
      <w:r w:rsidR="003A7316">
        <w:rPr>
          <w:rFonts w:ascii="Arial" w:hAnsi="Arial" w:cs="Arial"/>
        </w:rPr>
        <w:t>zí</w:t>
      </w:r>
      <w:r w:rsidRPr="00E71B76">
        <w:rPr>
          <w:rFonts w:ascii="Arial" w:hAnsi="Arial" w:cs="Arial"/>
        </w:rPr>
        <w:t xml:space="preserve"> řadu aktivit (zprostředkování zaměstnání, poradenské a motivační aktivity, bilanční a pracovní diagnostika, rekvalifikace).</w:t>
      </w:r>
    </w:p>
    <w:p w:rsidR="00EE15EF" w:rsidRPr="00E71B76" w:rsidRDefault="00EE15EF" w:rsidP="00EE15EF">
      <w:pPr>
        <w:spacing w:line="360" w:lineRule="auto"/>
        <w:jc w:val="both"/>
        <w:rPr>
          <w:rFonts w:ascii="Arial" w:hAnsi="Arial" w:cs="Arial"/>
        </w:rPr>
      </w:pPr>
    </w:p>
    <w:p w:rsidR="00EE15EF" w:rsidRPr="00E71B76" w:rsidRDefault="00EE15EF" w:rsidP="00EE15EF">
      <w:pPr>
        <w:spacing w:line="360" w:lineRule="auto"/>
        <w:jc w:val="both"/>
        <w:rPr>
          <w:rFonts w:ascii="Arial" w:hAnsi="Arial" w:cs="Arial"/>
          <w:b/>
        </w:rPr>
      </w:pPr>
      <w:r w:rsidRPr="00E71B76">
        <w:rPr>
          <w:rFonts w:ascii="Arial" w:hAnsi="Arial" w:cs="Arial"/>
          <w:b/>
        </w:rPr>
        <w:t>Zpět do práce v Libereckém kraji</w:t>
      </w:r>
    </w:p>
    <w:p w:rsidR="00EE15EF" w:rsidRPr="00E71B76" w:rsidRDefault="00EE15EF" w:rsidP="00EE15EF">
      <w:pPr>
        <w:spacing w:line="360" w:lineRule="auto"/>
        <w:jc w:val="both"/>
        <w:rPr>
          <w:rFonts w:ascii="Arial" w:hAnsi="Arial" w:cs="Arial"/>
        </w:rPr>
      </w:pPr>
      <w:r w:rsidRPr="00E71B76">
        <w:rPr>
          <w:rFonts w:ascii="Arial" w:hAnsi="Arial" w:cs="Arial"/>
        </w:rPr>
        <w:t>Reg. číslo:</w:t>
      </w:r>
      <w:r w:rsidRPr="00E71B76">
        <w:rPr>
          <w:rFonts w:ascii="Arial" w:hAnsi="Arial" w:cs="Arial"/>
        </w:rPr>
        <w:tab/>
      </w:r>
      <w:r w:rsidRPr="00E71B76">
        <w:rPr>
          <w:rFonts w:ascii="Arial" w:hAnsi="Arial" w:cs="Arial"/>
        </w:rPr>
        <w:tab/>
        <w:t>CZ.03.1.48/0.0/0.0/15_010/0000045</w:t>
      </w:r>
    </w:p>
    <w:p w:rsidR="00EE15EF" w:rsidRPr="00E71B76" w:rsidRDefault="002B01C3" w:rsidP="00EE15EF">
      <w:pPr>
        <w:spacing w:line="360" w:lineRule="auto"/>
        <w:jc w:val="both"/>
        <w:rPr>
          <w:rFonts w:ascii="Arial" w:hAnsi="Arial" w:cs="Arial"/>
        </w:rPr>
      </w:pPr>
      <w:r>
        <w:rPr>
          <w:rFonts w:ascii="Arial" w:hAnsi="Arial" w:cs="Arial"/>
        </w:rPr>
        <w:t>Realizace projektu:</w:t>
      </w:r>
      <w:r w:rsidR="00EE15EF" w:rsidRPr="00E71B76">
        <w:rPr>
          <w:rFonts w:ascii="Arial" w:hAnsi="Arial" w:cs="Arial"/>
        </w:rPr>
        <w:t>1. 1. 2016–31. 12. 2020</w:t>
      </w:r>
    </w:p>
    <w:p w:rsidR="00EE15EF" w:rsidRPr="00E71B76" w:rsidRDefault="00EE15EF" w:rsidP="00EE15EF">
      <w:pPr>
        <w:spacing w:line="360" w:lineRule="auto"/>
        <w:ind w:left="2124" w:hanging="2124"/>
        <w:jc w:val="both"/>
        <w:rPr>
          <w:rFonts w:ascii="Arial" w:hAnsi="Arial" w:cs="Arial"/>
        </w:rPr>
      </w:pPr>
      <w:r w:rsidRPr="00E71B76">
        <w:rPr>
          <w:rFonts w:ascii="Arial" w:hAnsi="Arial" w:cs="Arial"/>
        </w:rPr>
        <w:t xml:space="preserve">Cílová skupina:  </w:t>
      </w:r>
      <w:r w:rsidRPr="00E71B76">
        <w:rPr>
          <w:rFonts w:ascii="Arial" w:hAnsi="Arial" w:cs="Arial"/>
        </w:rPr>
        <w:tab/>
        <w:t xml:space="preserve">Uchazeči o zaměstnání, kteří jsou v evidenci ÚP ČR déle než 5 měsíců s důrazem na osoby s dobou evidence nad 12 měsíců </w:t>
      </w:r>
      <w:r w:rsidRPr="00E71B76">
        <w:rPr>
          <w:rFonts w:ascii="Arial" w:hAnsi="Arial" w:cs="Arial"/>
        </w:rPr>
        <w:lastRenderedPageBreak/>
        <w:t>nebo v součtu 12 měsíců v posledních dvou letech jako uchazeči o zaměstnání.</w:t>
      </w:r>
    </w:p>
    <w:p w:rsidR="00EE15EF" w:rsidRPr="00E71B76" w:rsidRDefault="00EE15EF" w:rsidP="00EE15EF">
      <w:pPr>
        <w:spacing w:line="360" w:lineRule="auto"/>
        <w:ind w:left="2124" w:hanging="2124"/>
        <w:jc w:val="both"/>
        <w:rPr>
          <w:rFonts w:ascii="Arial" w:hAnsi="Arial" w:cs="Arial"/>
        </w:rPr>
      </w:pPr>
      <w:r w:rsidRPr="00E71B76">
        <w:rPr>
          <w:rFonts w:ascii="Arial" w:hAnsi="Arial" w:cs="Arial"/>
        </w:rPr>
        <w:t>Rozpočet projektu:</w:t>
      </w:r>
      <w:r w:rsidRPr="00E71B76">
        <w:rPr>
          <w:rFonts w:ascii="Arial" w:hAnsi="Arial" w:cs="Arial"/>
        </w:rPr>
        <w:tab/>
        <w:t>22 500 000,- Kč</w:t>
      </w:r>
    </w:p>
    <w:p w:rsidR="00EE15EF" w:rsidRDefault="00EE15EF" w:rsidP="00EE15EF">
      <w:pPr>
        <w:spacing w:line="360" w:lineRule="auto"/>
        <w:ind w:left="2124" w:hanging="2124"/>
        <w:jc w:val="both"/>
        <w:rPr>
          <w:rFonts w:ascii="Arial" w:hAnsi="Arial" w:cs="Arial"/>
        </w:rPr>
      </w:pPr>
      <w:r w:rsidRPr="00A9450A">
        <w:rPr>
          <w:rFonts w:ascii="Arial" w:hAnsi="Arial" w:cs="Arial"/>
        </w:rPr>
        <w:t>Popis projektu:</w:t>
      </w:r>
      <w:r w:rsidRPr="00A9450A">
        <w:rPr>
          <w:rFonts w:ascii="Arial" w:hAnsi="Arial" w:cs="Arial"/>
        </w:rPr>
        <w:tab/>
        <w:t>Komplexní činnost s účastníky projektu zaměřená k jejich návratu na trh práce, např. poradenské aktivity, rekvalifikace, SÚPM, doprovodná opatření.</w:t>
      </w:r>
    </w:p>
    <w:p w:rsidR="00EE15EF" w:rsidRDefault="00EE15EF" w:rsidP="00EE15EF">
      <w:pPr>
        <w:spacing w:line="360" w:lineRule="auto"/>
        <w:ind w:left="2124" w:hanging="2124"/>
        <w:jc w:val="both"/>
        <w:rPr>
          <w:rFonts w:ascii="Arial" w:hAnsi="Arial" w:cs="Arial"/>
        </w:rPr>
      </w:pPr>
    </w:p>
    <w:p w:rsidR="00EE15EF" w:rsidRDefault="00EE15EF" w:rsidP="00EE15EF">
      <w:pPr>
        <w:spacing w:line="360" w:lineRule="auto"/>
        <w:ind w:firstLine="567"/>
        <w:jc w:val="both"/>
        <w:rPr>
          <w:rFonts w:ascii="Arial" w:hAnsi="Arial" w:cs="Arial"/>
        </w:rPr>
      </w:pPr>
      <w:r>
        <w:rPr>
          <w:rFonts w:ascii="Arial" w:hAnsi="Arial" w:cs="Arial"/>
        </w:rPr>
        <w:t>ÚP </w:t>
      </w:r>
      <w:r w:rsidRPr="00D45B38">
        <w:rPr>
          <w:rFonts w:ascii="Arial" w:hAnsi="Arial" w:cs="Arial"/>
        </w:rPr>
        <w:t>ČR</w:t>
      </w:r>
      <w:r>
        <w:rPr>
          <w:rFonts w:ascii="Arial" w:hAnsi="Arial" w:cs="Arial"/>
        </w:rPr>
        <w:t xml:space="preserve"> </w:t>
      </w:r>
      <w:r w:rsidRPr="00D45B38">
        <w:rPr>
          <w:rFonts w:ascii="Arial" w:hAnsi="Arial" w:cs="Arial"/>
        </w:rPr>
        <w:t>realizuje prostřed</w:t>
      </w:r>
      <w:r>
        <w:rPr>
          <w:rFonts w:ascii="Arial" w:hAnsi="Arial" w:cs="Arial"/>
        </w:rPr>
        <w:t xml:space="preserve">nictvím svých krajských poboček i další RIP, kdy </w:t>
      </w:r>
      <w:r w:rsidRPr="0038048C">
        <w:rPr>
          <w:rFonts w:ascii="Arial" w:hAnsi="Arial" w:cs="Arial"/>
          <w:b/>
        </w:rPr>
        <w:t>jedním z cílů</w:t>
      </w:r>
      <w:r>
        <w:rPr>
          <w:rFonts w:ascii="Arial" w:hAnsi="Arial" w:cs="Arial"/>
        </w:rPr>
        <w:t xml:space="preserve"> těchto projektů (viz níže) je zvýšit</w:t>
      </w:r>
      <w:r w:rsidRPr="00D45B38">
        <w:rPr>
          <w:rFonts w:ascii="Arial" w:hAnsi="Arial" w:cs="Arial"/>
        </w:rPr>
        <w:t xml:space="preserve"> zaměstnanost a zaměstnatelnost dlouhodobě evidovaných osob prostřednictvím komplexní nabídky opatření</w:t>
      </w:r>
      <w:r>
        <w:rPr>
          <w:rFonts w:ascii="Arial" w:hAnsi="Arial" w:cs="Arial"/>
        </w:rPr>
        <w:t>, například:</w:t>
      </w:r>
      <w:r w:rsidRPr="00D45B38">
        <w:rPr>
          <w:rFonts w:ascii="Arial" w:hAnsi="Arial" w:cs="Arial"/>
        </w:rPr>
        <w:t xml:space="preserve"> </w:t>
      </w:r>
    </w:p>
    <w:p w:rsidR="00EE15EF" w:rsidRDefault="00EE15EF" w:rsidP="00EE15EF">
      <w:pPr>
        <w:pStyle w:val="Odstavecseseznamem"/>
        <w:ind w:left="0"/>
        <w:jc w:val="both"/>
        <w:rPr>
          <w:rFonts w:ascii="Arial" w:hAnsi="Arial" w:cs="Arial"/>
        </w:rPr>
      </w:pPr>
    </w:p>
    <w:p w:rsidR="00EE15EF" w:rsidRPr="008A5FC3" w:rsidRDefault="00EE15EF" w:rsidP="00EE15EF">
      <w:pPr>
        <w:spacing w:line="360" w:lineRule="auto"/>
        <w:jc w:val="both"/>
        <w:rPr>
          <w:rFonts w:ascii="Arial" w:hAnsi="Arial" w:cs="Arial"/>
          <w:b/>
        </w:rPr>
      </w:pPr>
      <w:r w:rsidRPr="008A5FC3">
        <w:rPr>
          <w:rFonts w:ascii="Arial" w:hAnsi="Arial" w:cs="Arial"/>
          <w:b/>
        </w:rPr>
        <w:t>Zaměstnanost venkova v Jihočeském kraji</w:t>
      </w:r>
      <w:r>
        <w:rPr>
          <w:rFonts w:ascii="Arial" w:hAnsi="Arial" w:cs="Arial"/>
          <w:b/>
        </w:rPr>
        <w:t xml:space="preserve"> (Se sousedy II)</w:t>
      </w:r>
    </w:p>
    <w:p w:rsidR="00EE15EF" w:rsidRDefault="00EE15EF" w:rsidP="00EE15EF">
      <w:pPr>
        <w:spacing w:line="360" w:lineRule="auto"/>
        <w:jc w:val="both"/>
        <w:rPr>
          <w:rFonts w:ascii="Arial" w:hAnsi="Arial" w:cs="Arial"/>
        </w:rPr>
      </w:pPr>
      <w:r w:rsidRPr="008A5FC3">
        <w:rPr>
          <w:rFonts w:ascii="Arial" w:hAnsi="Arial" w:cs="Arial"/>
        </w:rPr>
        <w:t>Reg. číslo:</w:t>
      </w:r>
      <w:r w:rsidRPr="008A5FC3">
        <w:rPr>
          <w:rFonts w:ascii="Arial" w:hAnsi="Arial" w:cs="Arial"/>
        </w:rPr>
        <w:tab/>
      </w:r>
      <w:r w:rsidRPr="008A5FC3">
        <w:rPr>
          <w:rFonts w:ascii="Arial" w:hAnsi="Arial" w:cs="Arial"/>
        </w:rPr>
        <w:tab/>
      </w:r>
      <w:r w:rsidRPr="00857A8A">
        <w:rPr>
          <w:rFonts w:ascii="Arial" w:hAnsi="Arial" w:cs="Arial"/>
        </w:rPr>
        <w:t>CZ.03.1.48/0.0/0.0/15_010/0000033</w:t>
      </w:r>
    </w:p>
    <w:p w:rsidR="00EE15EF" w:rsidRPr="008A5FC3" w:rsidRDefault="002B01C3" w:rsidP="00EE15EF">
      <w:pPr>
        <w:spacing w:line="360" w:lineRule="auto"/>
        <w:jc w:val="both"/>
        <w:rPr>
          <w:rFonts w:ascii="Arial" w:hAnsi="Arial" w:cs="Arial"/>
        </w:rPr>
      </w:pPr>
      <w:r>
        <w:rPr>
          <w:rFonts w:ascii="Arial" w:hAnsi="Arial" w:cs="Arial"/>
        </w:rPr>
        <w:t>Realizace projektu:</w:t>
      </w:r>
      <w:r w:rsidR="00EE15EF">
        <w:rPr>
          <w:rFonts w:ascii="Arial" w:hAnsi="Arial" w:cs="Arial"/>
        </w:rPr>
        <w:t>1. 12. 2015</w:t>
      </w:r>
      <w:r w:rsidR="00EE15EF" w:rsidRPr="008A5FC3">
        <w:rPr>
          <w:rFonts w:ascii="Arial" w:hAnsi="Arial" w:cs="Arial"/>
        </w:rPr>
        <w:t>–31. 5. 2021</w:t>
      </w:r>
    </w:p>
    <w:p w:rsidR="00EE15EF" w:rsidRDefault="00EE15EF" w:rsidP="00EE15EF">
      <w:pPr>
        <w:spacing w:line="360" w:lineRule="auto"/>
        <w:ind w:left="2124" w:hanging="2124"/>
        <w:jc w:val="both"/>
        <w:rPr>
          <w:rFonts w:ascii="Arial" w:hAnsi="Arial" w:cs="Arial"/>
        </w:rPr>
      </w:pPr>
      <w:r w:rsidRPr="008A5FC3">
        <w:rPr>
          <w:rFonts w:ascii="Arial" w:hAnsi="Arial" w:cs="Arial"/>
        </w:rPr>
        <w:t xml:space="preserve">Cílová skupina: </w:t>
      </w:r>
      <w:r>
        <w:rPr>
          <w:rFonts w:ascii="Arial" w:hAnsi="Arial" w:cs="Arial"/>
        </w:rPr>
        <w:tab/>
      </w:r>
      <w:r w:rsidRPr="008A5FC3">
        <w:rPr>
          <w:rFonts w:ascii="Arial" w:hAnsi="Arial" w:cs="Arial"/>
        </w:rPr>
        <w:t>Uchazeči a zájemci o zaměstnání, jejichž společným znakem je</w:t>
      </w:r>
      <w:r w:rsidR="002B01C3">
        <w:rPr>
          <w:rFonts w:ascii="Arial" w:hAnsi="Arial" w:cs="Arial"/>
        </w:rPr>
        <w:t> </w:t>
      </w:r>
      <w:r w:rsidRPr="008A5FC3">
        <w:rPr>
          <w:rFonts w:ascii="Arial" w:hAnsi="Arial" w:cs="Arial"/>
        </w:rPr>
        <w:t>bydliště s obtížnou dopravní obslužností, která je handicapuje na trhu práce a</w:t>
      </w:r>
      <w:r w:rsidR="002B01C3">
        <w:rPr>
          <w:rFonts w:ascii="Arial" w:hAnsi="Arial" w:cs="Arial"/>
        </w:rPr>
        <w:t> </w:t>
      </w:r>
      <w:r w:rsidRPr="008A5FC3">
        <w:rPr>
          <w:rFonts w:ascii="Arial" w:hAnsi="Arial" w:cs="Arial"/>
        </w:rPr>
        <w:t>z</w:t>
      </w:r>
      <w:r w:rsidR="002B01C3">
        <w:rPr>
          <w:rFonts w:ascii="Arial" w:hAnsi="Arial" w:cs="Arial"/>
        </w:rPr>
        <w:t> </w:t>
      </w:r>
      <w:r w:rsidRPr="008A5FC3">
        <w:rPr>
          <w:rFonts w:ascii="Arial" w:hAnsi="Arial" w:cs="Arial"/>
        </w:rPr>
        <w:t>hlediska možností celoživotního vzdělávání, často v kombina</w:t>
      </w:r>
      <w:r w:rsidRPr="00DC0507">
        <w:rPr>
          <w:rFonts w:ascii="Arial" w:hAnsi="Arial" w:cs="Arial"/>
        </w:rPr>
        <w:t>ci s</w:t>
      </w:r>
      <w:r w:rsidR="002B01C3">
        <w:rPr>
          <w:rFonts w:ascii="Arial" w:hAnsi="Arial" w:cs="Arial"/>
        </w:rPr>
        <w:t> </w:t>
      </w:r>
      <w:r w:rsidRPr="00DC0507">
        <w:rPr>
          <w:rFonts w:ascii="Arial" w:hAnsi="Arial" w:cs="Arial"/>
        </w:rPr>
        <w:t>dalšími znevýhodněními:</w:t>
      </w:r>
      <w:r>
        <w:rPr>
          <w:rFonts w:ascii="Arial" w:hAnsi="Arial" w:cs="Arial"/>
        </w:rPr>
        <w:t xml:space="preserve"> </w:t>
      </w:r>
      <w:r w:rsidRPr="008A5FC3">
        <w:rPr>
          <w:rFonts w:ascii="Arial" w:hAnsi="Arial" w:cs="Arial"/>
          <w:b/>
        </w:rPr>
        <w:t>dlouhodobá nezaměstnanost</w:t>
      </w:r>
      <w:r w:rsidRPr="0031436D">
        <w:rPr>
          <w:rFonts w:ascii="Arial" w:hAnsi="Arial" w:cs="Arial"/>
        </w:rPr>
        <w:t>,</w:t>
      </w:r>
      <w:r>
        <w:rPr>
          <w:rFonts w:ascii="Arial" w:hAnsi="Arial" w:cs="Arial"/>
        </w:rPr>
        <w:t xml:space="preserve"> </w:t>
      </w:r>
      <w:r w:rsidR="002B01C3">
        <w:rPr>
          <w:rFonts w:ascii="Arial" w:hAnsi="Arial" w:cs="Arial"/>
        </w:rPr>
        <w:t>péče o </w:t>
      </w:r>
      <w:r w:rsidRPr="00DC0507">
        <w:rPr>
          <w:rFonts w:ascii="Arial" w:hAnsi="Arial" w:cs="Arial"/>
        </w:rPr>
        <w:t xml:space="preserve">závislé osoby, ztráta profesních dovedností, </w:t>
      </w:r>
      <w:r>
        <w:rPr>
          <w:rFonts w:ascii="Arial" w:hAnsi="Arial" w:cs="Arial"/>
        </w:rPr>
        <w:t>nízká motivace a sebehodnocení.</w:t>
      </w:r>
    </w:p>
    <w:p w:rsidR="00EE15EF" w:rsidRPr="00DC0507" w:rsidRDefault="00EE15EF" w:rsidP="00EE15EF">
      <w:pPr>
        <w:spacing w:line="360" w:lineRule="auto"/>
        <w:jc w:val="both"/>
        <w:rPr>
          <w:rFonts w:ascii="Arial" w:hAnsi="Arial" w:cs="Arial"/>
        </w:rPr>
      </w:pPr>
      <w:r>
        <w:rPr>
          <w:rFonts w:ascii="Arial" w:hAnsi="Arial" w:cs="Arial"/>
        </w:rPr>
        <w:t>Rozpočet projektu:</w:t>
      </w:r>
      <w:r>
        <w:rPr>
          <w:rFonts w:ascii="Arial" w:hAnsi="Arial" w:cs="Arial"/>
        </w:rPr>
        <w:tab/>
      </w:r>
      <w:r w:rsidR="002B01C3">
        <w:rPr>
          <w:rFonts w:ascii="Arial" w:hAnsi="Arial" w:cs="Arial"/>
        </w:rPr>
        <w:t>44 </w:t>
      </w:r>
      <w:r w:rsidRPr="00857A8A">
        <w:rPr>
          <w:rFonts w:ascii="Arial" w:hAnsi="Arial" w:cs="Arial"/>
        </w:rPr>
        <w:t>961</w:t>
      </w:r>
      <w:r>
        <w:rPr>
          <w:rFonts w:ascii="Arial" w:hAnsi="Arial" w:cs="Arial"/>
        </w:rPr>
        <w:t> </w:t>
      </w:r>
      <w:r w:rsidRPr="00857A8A">
        <w:rPr>
          <w:rFonts w:ascii="Arial" w:hAnsi="Arial" w:cs="Arial"/>
        </w:rPr>
        <w:t>000</w:t>
      </w:r>
      <w:r>
        <w:rPr>
          <w:rFonts w:ascii="Arial" w:hAnsi="Arial" w:cs="Arial"/>
        </w:rPr>
        <w:t>,-</w:t>
      </w:r>
      <w:r w:rsidRPr="00857A8A">
        <w:rPr>
          <w:rFonts w:ascii="Arial" w:hAnsi="Arial" w:cs="Arial"/>
        </w:rPr>
        <w:t xml:space="preserve"> Kč</w:t>
      </w:r>
    </w:p>
    <w:p w:rsidR="00EE15EF" w:rsidRDefault="00EE15EF" w:rsidP="00EE15EF">
      <w:pPr>
        <w:spacing w:line="360" w:lineRule="auto"/>
        <w:ind w:left="2124" w:hanging="2124"/>
        <w:jc w:val="both"/>
        <w:rPr>
          <w:rFonts w:ascii="Arial" w:hAnsi="Arial" w:cs="Arial"/>
        </w:rPr>
      </w:pPr>
      <w:r>
        <w:rPr>
          <w:rFonts w:ascii="Arial" w:hAnsi="Arial" w:cs="Arial"/>
        </w:rPr>
        <w:t>Popis projektu:</w:t>
      </w:r>
      <w:r>
        <w:rPr>
          <w:rFonts w:ascii="Arial" w:hAnsi="Arial" w:cs="Arial"/>
        </w:rPr>
        <w:tab/>
      </w:r>
      <w:r w:rsidRPr="00857A8A">
        <w:rPr>
          <w:rFonts w:ascii="Arial" w:hAnsi="Arial" w:cs="Arial"/>
        </w:rPr>
        <w:t>Zvýšení zaměstnatelnosti osob ohrožených na trhu práce z</w:t>
      </w:r>
      <w:r w:rsidR="002B01C3">
        <w:rPr>
          <w:rFonts w:ascii="Arial" w:hAnsi="Arial" w:cs="Arial"/>
        </w:rPr>
        <w:t> </w:t>
      </w:r>
      <w:r w:rsidRPr="00857A8A">
        <w:rPr>
          <w:rFonts w:ascii="Arial" w:hAnsi="Arial" w:cs="Arial"/>
        </w:rPr>
        <w:t>důvodu znevýhodnění, která jsou specifická pro venkovské oblasti se zhoršenou infrastrukturou a dopravní obslužností. Zpřístupnit vzdělávání a rekvalifikace lidem z venkova tak, aby i</w:t>
      </w:r>
      <w:r w:rsidR="002B01C3">
        <w:rPr>
          <w:rFonts w:ascii="Arial" w:hAnsi="Arial" w:cs="Arial"/>
        </w:rPr>
        <w:t> </w:t>
      </w:r>
      <w:r w:rsidRPr="00857A8A">
        <w:rPr>
          <w:rFonts w:ascii="Arial" w:hAnsi="Arial" w:cs="Arial"/>
        </w:rPr>
        <w:t>oni se mohli stát osobami, které aktivně hledají a nacházejí pracovní uplatnění. Přispět k vytváření pracovních příležitostí a</w:t>
      </w:r>
      <w:r w:rsidR="002B01C3">
        <w:rPr>
          <w:rFonts w:ascii="Arial" w:hAnsi="Arial" w:cs="Arial"/>
        </w:rPr>
        <w:t> </w:t>
      </w:r>
      <w:r w:rsidRPr="00857A8A">
        <w:rPr>
          <w:rFonts w:ascii="Arial" w:hAnsi="Arial" w:cs="Arial"/>
        </w:rPr>
        <w:t>podporovat pracovní místa vyčleněná na trhu práce pro účastníky projektu.</w:t>
      </w:r>
      <w:r w:rsidRPr="00DC0507">
        <w:rPr>
          <w:rFonts w:ascii="Arial" w:hAnsi="Arial" w:cs="Arial"/>
        </w:rPr>
        <w:t xml:space="preserve"> </w:t>
      </w:r>
    </w:p>
    <w:p w:rsidR="00EE15EF" w:rsidRDefault="00EE15EF" w:rsidP="00EE15EF">
      <w:pPr>
        <w:spacing w:line="360" w:lineRule="auto"/>
        <w:jc w:val="both"/>
        <w:rPr>
          <w:rFonts w:ascii="Arial" w:hAnsi="Arial" w:cs="Arial"/>
        </w:rPr>
      </w:pPr>
    </w:p>
    <w:p w:rsidR="00EE15EF" w:rsidRPr="007E7392" w:rsidRDefault="00EE15EF" w:rsidP="00EE15EF">
      <w:pPr>
        <w:spacing w:line="360" w:lineRule="auto"/>
        <w:jc w:val="both"/>
        <w:rPr>
          <w:rFonts w:ascii="Arial" w:hAnsi="Arial" w:cs="Arial"/>
          <w:b/>
        </w:rPr>
      </w:pPr>
      <w:r w:rsidRPr="007E7392">
        <w:rPr>
          <w:rFonts w:ascii="Arial" w:hAnsi="Arial" w:cs="Arial"/>
          <w:b/>
        </w:rPr>
        <w:t>Příležitost dělá zaměstnance v Moravskoslezském kraji</w:t>
      </w:r>
    </w:p>
    <w:p w:rsidR="00EE15EF" w:rsidRPr="007E7392" w:rsidRDefault="00EE15EF" w:rsidP="00EE15EF">
      <w:pPr>
        <w:spacing w:line="360" w:lineRule="auto"/>
        <w:jc w:val="both"/>
        <w:rPr>
          <w:rFonts w:ascii="Arial" w:hAnsi="Arial" w:cs="Arial"/>
        </w:rPr>
      </w:pPr>
      <w:r w:rsidRPr="007E7392">
        <w:rPr>
          <w:rFonts w:ascii="Arial" w:hAnsi="Arial" w:cs="Arial"/>
        </w:rPr>
        <w:t>Reg. číslo:</w:t>
      </w:r>
      <w:r>
        <w:rPr>
          <w:rFonts w:ascii="Arial" w:hAnsi="Arial" w:cs="Arial"/>
        </w:rPr>
        <w:tab/>
      </w:r>
      <w:r>
        <w:rPr>
          <w:rFonts w:ascii="Arial" w:hAnsi="Arial" w:cs="Arial"/>
        </w:rPr>
        <w:tab/>
      </w:r>
      <w:r w:rsidRPr="0033774C">
        <w:rPr>
          <w:rFonts w:ascii="Arial" w:hAnsi="Arial" w:cs="Arial"/>
        </w:rPr>
        <w:t>CZ.03.1.48/0.0/0.0/15_010/0000027</w:t>
      </w:r>
    </w:p>
    <w:p w:rsidR="00EE15EF" w:rsidRPr="0033774C" w:rsidRDefault="00EE15EF" w:rsidP="00EE15EF">
      <w:pPr>
        <w:spacing w:line="360" w:lineRule="auto"/>
        <w:jc w:val="both"/>
        <w:rPr>
          <w:rFonts w:ascii="Arial" w:hAnsi="Arial" w:cs="Arial"/>
        </w:rPr>
      </w:pPr>
      <w:r w:rsidRPr="0033774C">
        <w:rPr>
          <w:rFonts w:ascii="Arial" w:hAnsi="Arial" w:cs="Arial"/>
        </w:rPr>
        <w:t>Realizace projektu</w:t>
      </w:r>
      <w:r>
        <w:rPr>
          <w:rFonts w:ascii="Arial" w:hAnsi="Arial" w:cs="Arial"/>
        </w:rPr>
        <w:t>: 1. 2. 2016</w:t>
      </w:r>
      <w:r w:rsidRPr="0033774C">
        <w:rPr>
          <w:rFonts w:ascii="Arial" w:hAnsi="Arial" w:cs="Arial"/>
        </w:rPr>
        <w:t>-31. 7. 2019</w:t>
      </w:r>
    </w:p>
    <w:p w:rsidR="00EE15EF" w:rsidRPr="00DC0507" w:rsidRDefault="00EE15EF" w:rsidP="00EE15EF">
      <w:pPr>
        <w:spacing w:line="360" w:lineRule="auto"/>
        <w:ind w:left="2127" w:hanging="2127"/>
        <w:jc w:val="both"/>
        <w:rPr>
          <w:rFonts w:ascii="Arial" w:hAnsi="Arial" w:cs="Arial"/>
        </w:rPr>
      </w:pPr>
      <w:r>
        <w:rPr>
          <w:rFonts w:ascii="Arial" w:hAnsi="Arial" w:cs="Arial"/>
        </w:rPr>
        <w:lastRenderedPageBreak/>
        <w:t>C</w:t>
      </w:r>
      <w:r w:rsidRPr="007E7392">
        <w:rPr>
          <w:rFonts w:ascii="Arial" w:hAnsi="Arial" w:cs="Arial"/>
        </w:rPr>
        <w:t>ílová skupina:</w:t>
      </w:r>
      <w:r>
        <w:rPr>
          <w:rFonts w:ascii="Arial" w:hAnsi="Arial" w:cs="Arial"/>
        </w:rPr>
        <w:tab/>
      </w:r>
      <w:r w:rsidRPr="00DC0507">
        <w:rPr>
          <w:rFonts w:ascii="Arial" w:hAnsi="Arial" w:cs="Arial"/>
        </w:rPr>
        <w:t>Uchazeči a zájemci o zaměstnání, kt</w:t>
      </w:r>
      <w:r>
        <w:rPr>
          <w:rFonts w:ascii="Arial" w:hAnsi="Arial" w:cs="Arial"/>
        </w:rPr>
        <w:t>eří jsou sociálně vyloučeni, či j</w:t>
      </w:r>
      <w:r w:rsidRPr="00DC0507">
        <w:rPr>
          <w:rFonts w:ascii="Arial" w:hAnsi="Arial" w:cs="Arial"/>
        </w:rPr>
        <w:t>im sociální vyloučení hrozí</w:t>
      </w:r>
      <w:r>
        <w:rPr>
          <w:rFonts w:ascii="Arial" w:hAnsi="Arial" w:cs="Arial"/>
        </w:rPr>
        <w:t>, a</w:t>
      </w:r>
      <w:r w:rsidRPr="00DC0507">
        <w:rPr>
          <w:rFonts w:ascii="Arial" w:hAnsi="Arial" w:cs="Arial"/>
        </w:rPr>
        <w:t xml:space="preserve"> splňují minimálně 2 z těchto znaků:</w:t>
      </w:r>
      <w:r>
        <w:rPr>
          <w:rFonts w:ascii="Arial" w:hAnsi="Arial" w:cs="Arial"/>
        </w:rPr>
        <w:t xml:space="preserve"> </w:t>
      </w:r>
      <w:r w:rsidRPr="00DC0507">
        <w:rPr>
          <w:rFonts w:ascii="Arial" w:hAnsi="Arial" w:cs="Arial"/>
        </w:rPr>
        <w:t>bydliště ve vymezené sociálně vyloučené lokalitě,</w:t>
      </w:r>
      <w:r>
        <w:rPr>
          <w:rFonts w:ascii="Arial" w:hAnsi="Arial" w:cs="Arial"/>
        </w:rPr>
        <w:t xml:space="preserve"> </w:t>
      </w:r>
      <w:r w:rsidRPr="00DC0507">
        <w:rPr>
          <w:rFonts w:ascii="Arial" w:hAnsi="Arial" w:cs="Arial"/>
        </w:rPr>
        <w:t>nevhodné bydlení (ubytovna, azylový dům, bez přístřeší atp.),</w:t>
      </w:r>
    </w:p>
    <w:p w:rsidR="00EE15EF" w:rsidRPr="007E1351" w:rsidRDefault="00EE15EF" w:rsidP="00EE15EF">
      <w:pPr>
        <w:spacing w:line="360" w:lineRule="auto"/>
        <w:ind w:left="2124"/>
        <w:jc w:val="both"/>
        <w:rPr>
          <w:rFonts w:ascii="Arial" w:hAnsi="Arial" w:cs="Arial"/>
          <w:b/>
        </w:rPr>
      </w:pPr>
      <w:r w:rsidRPr="0033774C">
        <w:rPr>
          <w:rFonts w:ascii="Arial" w:hAnsi="Arial" w:cs="Arial"/>
          <w:b/>
        </w:rPr>
        <w:t>dlouh</w:t>
      </w:r>
      <w:r>
        <w:rPr>
          <w:rFonts w:ascii="Arial" w:hAnsi="Arial" w:cs="Arial"/>
          <w:b/>
        </w:rPr>
        <w:t>odobá nezaměstnanost (minimálně </w:t>
      </w:r>
      <w:r w:rsidRPr="0033774C">
        <w:rPr>
          <w:rFonts w:ascii="Arial" w:hAnsi="Arial" w:cs="Arial"/>
          <w:b/>
        </w:rPr>
        <w:t>5</w:t>
      </w:r>
      <w:r>
        <w:rPr>
          <w:rFonts w:ascii="Arial" w:hAnsi="Arial" w:cs="Arial"/>
          <w:b/>
        </w:rPr>
        <w:t> </w:t>
      </w:r>
      <w:r w:rsidRPr="0033774C">
        <w:rPr>
          <w:rFonts w:ascii="Arial" w:hAnsi="Arial" w:cs="Arial"/>
          <w:b/>
        </w:rPr>
        <w:t xml:space="preserve">měsíců </w:t>
      </w:r>
      <w:r>
        <w:rPr>
          <w:rFonts w:ascii="Arial" w:hAnsi="Arial" w:cs="Arial"/>
          <w:b/>
        </w:rPr>
        <w:t>v</w:t>
      </w:r>
      <w:r w:rsidR="002B01C3">
        <w:rPr>
          <w:rFonts w:ascii="Arial" w:hAnsi="Arial" w:cs="Arial"/>
          <w:b/>
        </w:rPr>
        <w:t> evidenci ÚP ČR; u </w:t>
      </w:r>
      <w:r>
        <w:rPr>
          <w:rFonts w:ascii="Arial" w:hAnsi="Arial" w:cs="Arial"/>
          <w:b/>
        </w:rPr>
        <w:t>absolventů minimálně </w:t>
      </w:r>
      <w:r w:rsidRPr="0033774C">
        <w:rPr>
          <w:rFonts w:ascii="Arial" w:hAnsi="Arial" w:cs="Arial"/>
          <w:b/>
        </w:rPr>
        <w:t>3</w:t>
      </w:r>
      <w:r>
        <w:rPr>
          <w:rFonts w:ascii="Arial" w:hAnsi="Arial" w:cs="Arial"/>
          <w:b/>
        </w:rPr>
        <w:t> </w:t>
      </w:r>
      <w:r w:rsidRPr="0033774C">
        <w:rPr>
          <w:rFonts w:ascii="Arial" w:hAnsi="Arial" w:cs="Arial"/>
          <w:b/>
        </w:rPr>
        <w:t>měsíce)</w:t>
      </w:r>
      <w:r w:rsidRPr="00A63F4A">
        <w:rPr>
          <w:rFonts w:ascii="Arial" w:hAnsi="Arial" w:cs="Arial"/>
        </w:rPr>
        <w:t xml:space="preserve">, </w:t>
      </w:r>
      <w:r w:rsidRPr="00DC0507">
        <w:rPr>
          <w:rFonts w:ascii="Arial" w:hAnsi="Arial" w:cs="Arial"/>
        </w:rPr>
        <w:t xml:space="preserve">opakované sankční vyřazování z evidence ÚP ČR (min. </w:t>
      </w:r>
      <w:r>
        <w:rPr>
          <w:rFonts w:ascii="Arial" w:hAnsi="Arial" w:cs="Arial"/>
        </w:rPr>
        <w:t>dvakrát</w:t>
      </w:r>
      <w:r w:rsidRPr="00DC0507">
        <w:rPr>
          <w:rFonts w:ascii="Arial" w:hAnsi="Arial" w:cs="Arial"/>
        </w:rPr>
        <w:t xml:space="preserve"> za posledních 5 let),</w:t>
      </w:r>
      <w:r>
        <w:rPr>
          <w:rFonts w:ascii="Arial" w:hAnsi="Arial" w:cs="Arial"/>
          <w:b/>
        </w:rPr>
        <w:t xml:space="preserve"> </w:t>
      </w:r>
      <w:r w:rsidRPr="00DC0507">
        <w:rPr>
          <w:rFonts w:ascii="Arial" w:hAnsi="Arial" w:cs="Arial"/>
        </w:rPr>
        <w:t>chybějící kvalifikace (nejvyšší dosažené základní vzdělání),</w:t>
      </w:r>
      <w:r>
        <w:rPr>
          <w:rFonts w:ascii="Arial" w:hAnsi="Arial" w:cs="Arial"/>
          <w:b/>
        </w:rPr>
        <w:t xml:space="preserve"> </w:t>
      </w:r>
      <w:r w:rsidRPr="00DC0507">
        <w:rPr>
          <w:rFonts w:ascii="Arial" w:hAnsi="Arial" w:cs="Arial"/>
        </w:rPr>
        <w:t>záznam v rejstříku trestů,</w:t>
      </w:r>
      <w:r>
        <w:rPr>
          <w:rFonts w:ascii="Arial" w:hAnsi="Arial" w:cs="Arial"/>
          <w:b/>
        </w:rPr>
        <w:t xml:space="preserve"> </w:t>
      </w:r>
      <w:r w:rsidRPr="00DC0507">
        <w:rPr>
          <w:rFonts w:ascii="Arial" w:hAnsi="Arial" w:cs="Arial"/>
        </w:rPr>
        <w:t>pobírání dávek v</w:t>
      </w:r>
      <w:r w:rsidR="002B01C3">
        <w:rPr>
          <w:rFonts w:ascii="Arial" w:hAnsi="Arial" w:cs="Arial"/>
        </w:rPr>
        <w:t> </w:t>
      </w:r>
      <w:r w:rsidRPr="00DC0507">
        <w:rPr>
          <w:rFonts w:ascii="Arial" w:hAnsi="Arial" w:cs="Arial"/>
        </w:rPr>
        <w:t>hmotné nouzi (i nepřímo jako osoba společně posuzovaná),</w:t>
      </w:r>
      <w:r w:rsidRPr="002B01C3">
        <w:rPr>
          <w:rFonts w:ascii="Arial" w:hAnsi="Arial" w:cs="Arial"/>
        </w:rPr>
        <w:t xml:space="preserve"> </w:t>
      </w:r>
      <w:r w:rsidRPr="00DC0507">
        <w:rPr>
          <w:rFonts w:ascii="Arial" w:hAnsi="Arial" w:cs="Arial"/>
        </w:rPr>
        <w:t>zadluženost (spotřebitelské úvěry, exekuce atp.).</w:t>
      </w:r>
    </w:p>
    <w:p w:rsidR="00EE15EF" w:rsidRDefault="00EE15EF" w:rsidP="00EE15EF">
      <w:pPr>
        <w:spacing w:line="360" w:lineRule="auto"/>
        <w:jc w:val="both"/>
        <w:rPr>
          <w:rFonts w:ascii="Arial" w:hAnsi="Arial" w:cs="Arial"/>
        </w:rPr>
      </w:pPr>
      <w:r>
        <w:rPr>
          <w:rFonts w:ascii="Arial" w:hAnsi="Arial" w:cs="Arial"/>
        </w:rPr>
        <w:t>R</w:t>
      </w:r>
      <w:r w:rsidRPr="0033774C">
        <w:rPr>
          <w:rFonts w:ascii="Arial" w:hAnsi="Arial" w:cs="Arial"/>
        </w:rPr>
        <w:t>ozpočet</w:t>
      </w:r>
      <w:r>
        <w:rPr>
          <w:rFonts w:ascii="Arial" w:hAnsi="Arial" w:cs="Arial"/>
        </w:rPr>
        <w:t xml:space="preserve"> projektu</w:t>
      </w:r>
      <w:r w:rsidRPr="0033774C">
        <w:rPr>
          <w:rFonts w:ascii="Arial" w:hAnsi="Arial" w:cs="Arial"/>
        </w:rPr>
        <w:t>: 81 246</w:t>
      </w:r>
      <w:r>
        <w:rPr>
          <w:rFonts w:ascii="Arial" w:hAnsi="Arial" w:cs="Arial"/>
        </w:rPr>
        <w:t> </w:t>
      </w:r>
      <w:r w:rsidRPr="0033774C">
        <w:rPr>
          <w:rFonts w:ascii="Arial" w:hAnsi="Arial" w:cs="Arial"/>
        </w:rPr>
        <w:t>687</w:t>
      </w:r>
      <w:r>
        <w:rPr>
          <w:rFonts w:ascii="Arial" w:hAnsi="Arial" w:cs="Arial"/>
        </w:rPr>
        <w:t>,-</w:t>
      </w:r>
      <w:r w:rsidRPr="0033774C">
        <w:rPr>
          <w:rFonts w:ascii="Arial" w:hAnsi="Arial" w:cs="Arial"/>
        </w:rPr>
        <w:t xml:space="preserve"> Kč</w:t>
      </w:r>
    </w:p>
    <w:p w:rsidR="00EE15EF" w:rsidRDefault="00EE15EF" w:rsidP="00EE15EF">
      <w:pPr>
        <w:spacing w:line="360" w:lineRule="auto"/>
        <w:ind w:left="2127" w:hanging="2127"/>
        <w:jc w:val="both"/>
        <w:rPr>
          <w:rFonts w:ascii="Arial" w:hAnsi="Arial" w:cs="Arial"/>
        </w:rPr>
      </w:pPr>
      <w:r>
        <w:rPr>
          <w:rFonts w:ascii="Arial" w:hAnsi="Arial" w:cs="Arial"/>
        </w:rPr>
        <w:t>Popis projektu</w:t>
      </w:r>
      <w:r w:rsidRPr="007E7392">
        <w:rPr>
          <w:rFonts w:ascii="Arial" w:hAnsi="Arial" w:cs="Arial"/>
        </w:rPr>
        <w:t>:</w:t>
      </w:r>
      <w:r w:rsidRPr="00DC0507">
        <w:rPr>
          <w:rFonts w:ascii="Arial" w:hAnsi="Arial" w:cs="Arial"/>
        </w:rPr>
        <w:t xml:space="preserve"> </w:t>
      </w:r>
      <w:r>
        <w:rPr>
          <w:rFonts w:ascii="Arial" w:hAnsi="Arial" w:cs="Arial"/>
        </w:rPr>
        <w:tab/>
      </w:r>
      <w:r w:rsidRPr="0033774C">
        <w:rPr>
          <w:rFonts w:ascii="Arial" w:hAnsi="Arial" w:cs="Arial"/>
        </w:rPr>
        <w:t xml:space="preserve">Projekt je zaměřen na komplexní podporu uchazečů nebo zájemců o zaměstnání ze sociálně znevýhodněného prostředí. Úspěšnému začlenění těchto osob na </w:t>
      </w:r>
      <w:r>
        <w:rPr>
          <w:rFonts w:ascii="Arial" w:hAnsi="Arial" w:cs="Arial"/>
        </w:rPr>
        <w:t>trh práce</w:t>
      </w:r>
      <w:r w:rsidRPr="0033774C">
        <w:rPr>
          <w:rFonts w:ascii="Arial" w:hAnsi="Arial" w:cs="Arial"/>
        </w:rPr>
        <w:t xml:space="preserve"> předchází odstranění početnýc</w:t>
      </w:r>
      <w:r w:rsidR="002B01C3">
        <w:rPr>
          <w:rFonts w:ascii="Arial" w:hAnsi="Arial" w:cs="Arial"/>
        </w:rPr>
        <w:t>h bariér, jak pracovních, tak i </w:t>
      </w:r>
      <w:r w:rsidRPr="0033774C">
        <w:rPr>
          <w:rFonts w:ascii="Arial" w:hAnsi="Arial" w:cs="Arial"/>
        </w:rPr>
        <w:t>osobních a</w:t>
      </w:r>
      <w:r>
        <w:rPr>
          <w:rFonts w:ascii="Arial" w:hAnsi="Arial" w:cs="Arial"/>
        </w:rPr>
        <w:t> </w:t>
      </w:r>
      <w:r w:rsidRPr="0033774C">
        <w:rPr>
          <w:rFonts w:ascii="Arial" w:hAnsi="Arial" w:cs="Arial"/>
        </w:rPr>
        <w:t xml:space="preserve">rodinných. </w:t>
      </w:r>
      <w:r>
        <w:rPr>
          <w:rFonts w:ascii="Arial" w:hAnsi="Arial" w:cs="Arial"/>
        </w:rPr>
        <w:t>Mezi aktivity projektu patří d</w:t>
      </w:r>
      <w:r w:rsidRPr="00DC0507">
        <w:rPr>
          <w:rFonts w:ascii="Arial" w:hAnsi="Arial" w:cs="Arial"/>
        </w:rPr>
        <w:t>oprovodn</w:t>
      </w:r>
      <w:r>
        <w:rPr>
          <w:rFonts w:ascii="Arial" w:hAnsi="Arial" w:cs="Arial"/>
        </w:rPr>
        <w:t>á</w:t>
      </w:r>
      <w:r w:rsidRPr="00DC0507">
        <w:rPr>
          <w:rFonts w:ascii="Arial" w:hAnsi="Arial" w:cs="Arial"/>
        </w:rPr>
        <w:t xml:space="preserve"> opatření, skupinové poradenství, rekvalifikace, SÚPM, veřejně prospěšné práce, práce na zkoušku. </w:t>
      </w:r>
    </w:p>
    <w:p w:rsidR="00EE15EF" w:rsidRDefault="00EE15EF" w:rsidP="00EE15EF">
      <w:pPr>
        <w:spacing w:line="360" w:lineRule="auto"/>
        <w:jc w:val="both"/>
        <w:rPr>
          <w:rFonts w:ascii="Arial" w:hAnsi="Arial" w:cs="Arial"/>
        </w:rPr>
      </w:pPr>
    </w:p>
    <w:p w:rsidR="00EE15EF" w:rsidRDefault="00EE15EF" w:rsidP="00EE15EF">
      <w:pPr>
        <w:spacing w:line="360" w:lineRule="auto"/>
        <w:jc w:val="both"/>
        <w:rPr>
          <w:rFonts w:ascii="Arial" w:hAnsi="Arial" w:cs="Arial"/>
          <w:b/>
        </w:rPr>
      </w:pPr>
      <w:r w:rsidRPr="00802E0A">
        <w:rPr>
          <w:rFonts w:ascii="Arial" w:hAnsi="Arial" w:cs="Arial"/>
          <w:b/>
        </w:rPr>
        <w:t>Kudy kam II v Královéhradeckém kraji</w:t>
      </w:r>
    </w:p>
    <w:p w:rsidR="00EE15EF" w:rsidRPr="00802E0A" w:rsidRDefault="00EE15EF" w:rsidP="00EE15EF">
      <w:pPr>
        <w:spacing w:line="360" w:lineRule="auto"/>
        <w:jc w:val="both"/>
        <w:rPr>
          <w:rFonts w:ascii="Arial" w:hAnsi="Arial" w:cs="Arial"/>
        </w:rPr>
      </w:pPr>
      <w:r w:rsidRPr="00802E0A">
        <w:rPr>
          <w:rFonts w:ascii="Arial" w:hAnsi="Arial" w:cs="Arial"/>
        </w:rPr>
        <w:t>Reg. číslo:</w:t>
      </w:r>
      <w:r w:rsidRPr="00802E0A">
        <w:rPr>
          <w:rFonts w:ascii="Arial" w:hAnsi="Arial" w:cs="Arial"/>
        </w:rPr>
        <w:tab/>
      </w:r>
      <w:r>
        <w:rPr>
          <w:rFonts w:ascii="Arial" w:hAnsi="Arial" w:cs="Arial"/>
        </w:rPr>
        <w:tab/>
      </w:r>
      <w:r w:rsidRPr="00802E0A">
        <w:rPr>
          <w:rFonts w:ascii="Arial" w:hAnsi="Arial" w:cs="Arial"/>
        </w:rPr>
        <w:t>CZ.03.1.48/0.0/0.0/15_010/0000020</w:t>
      </w:r>
    </w:p>
    <w:p w:rsidR="00EE15EF" w:rsidRPr="0033774C" w:rsidRDefault="00EE15EF" w:rsidP="00EE15EF">
      <w:pPr>
        <w:spacing w:line="360" w:lineRule="auto"/>
        <w:jc w:val="both"/>
        <w:rPr>
          <w:rFonts w:ascii="Arial" w:hAnsi="Arial" w:cs="Arial"/>
        </w:rPr>
      </w:pPr>
      <w:r>
        <w:rPr>
          <w:rFonts w:ascii="Arial" w:hAnsi="Arial" w:cs="Arial"/>
        </w:rPr>
        <w:t xml:space="preserve">Realizace projektu: </w:t>
      </w:r>
      <w:r w:rsidRPr="0033774C">
        <w:rPr>
          <w:rFonts w:ascii="Arial" w:hAnsi="Arial" w:cs="Arial"/>
        </w:rPr>
        <w:t xml:space="preserve">1. 3. 2016–30. </w:t>
      </w:r>
      <w:r>
        <w:rPr>
          <w:rFonts w:ascii="Arial" w:hAnsi="Arial" w:cs="Arial"/>
        </w:rPr>
        <w:t>4</w:t>
      </w:r>
      <w:r w:rsidRPr="0033774C">
        <w:rPr>
          <w:rFonts w:ascii="Arial" w:hAnsi="Arial" w:cs="Arial"/>
        </w:rPr>
        <w:t>. 20</w:t>
      </w:r>
      <w:r>
        <w:rPr>
          <w:rFonts w:ascii="Arial" w:hAnsi="Arial" w:cs="Arial"/>
        </w:rPr>
        <w:t>21</w:t>
      </w:r>
    </w:p>
    <w:p w:rsidR="00EE15EF" w:rsidRDefault="00EE15EF" w:rsidP="00EE15EF">
      <w:pPr>
        <w:spacing w:line="360" w:lineRule="auto"/>
        <w:ind w:left="2127" w:hanging="2127"/>
        <w:jc w:val="both"/>
        <w:rPr>
          <w:rFonts w:ascii="Arial" w:hAnsi="Arial" w:cs="Arial"/>
        </w:rPr>
      </w:pPr>
      <w:r>
        <w:rPr>
          <w:rFonts w:ascii="Arial" w:hAnsi="Arial" w:cs="Arial"/>
        </w:rPr>
        <w:t>C</w:t>
      </w:r>
      <w:r w:rsidRPr="0033774C">
        <w:rPr>
          <w:rFonts w:ascii="Arial" w:hAnsi="Arial" w:cs="Arial"/>
        </w:rPr>
        <w:t xml:space="preserve">ílová skupina: </w:t>
      </w:r>
      <w:r>
        <w:rPr>
          <w:rFonts w:ascii="Arial" w:hAnsi="Arial" w:cs="Arial"/>
        </w:rPr>
        <w:tab/>
      </w:r>
      <w:r w:rsidRPr="0033774C">
        <w:rPr>
          <w:rFonts w:ascii="Arial" w:hAnsi="Arial" w:cs="Arial"/>
        </w:rPr>
        <w:t>Uchazeči o zaměstnání, především se základním vzděláním a</w:t>
      </w:r>
      <w:r w:rsidR="002D481E">
        <w:rPr>
          <w:rFonts w:ascii="Arial" w:hAnsi="Arial" w:cs="Arial"/>
        </w:rPr>
        <w:t> </w:t>
      </w:r>
      <w:r w:rsidRPr="0033774C">
        <w:rPr>
          <w:rFonts w:ascii="Arial" w:hAnsi="Arial" w:cs="Arial"/>
        </w:rPr>
        <w:t xml:space="preserve">vyučení, </w:t>
      </w:r>
      <w:r w:rsidR="002D481E">
        <w:rPr>
          <w:rFonts w:ascii="Arial" w:hAnsi="Arial" w:cs="Arial"/>
          <w:b/>
        </w:rPr>
        <w:t>evidovaní déle než 5 měsíců, s </w:t>
      </w:r>
      <w:r w:rsidRPr="00802E0A">
        <w:rPr>
          <w:rFonts w:ascii="Arial" w:hAnsi="Arial" w:cs="Arial"/>
          <w:b/>
        </w:rPr>
        <w:t>důrazem na evidované nad 12 měsíců</w:t>
      </w:r>
      <w:r w:rsidRPr="0033774C">
        <w:rPr>
          <w:rFonts w:ascii="Arial" w:hAnsi="Arial" w:cs="Arial"/>
        </w:rPr>
        <w:t>, kteří potřebují zvláštní pomoc. Těmito osobami se rozumí zejména osoby, které se přechodně ocitly v</w:t>
      </w:r>
      <w:r>
        <w:rPr>
          <w:rFonts w:ascii="Arial" w:hAnsi="Arial" w:cs="Arial"/>
        </w:rPr>
        <w:t> </w:t>
      </w:r>
      <w:r w:rsidRPr="0033774C">
        <w:rPr>
          <w:rFonts w:ascii="Arial" w:hAnsi="Arial" w:cs="Arial"/>
        </w:rPr>
        <w:t>mimořádně obtížných poměrech nebo které v nich žijí, po</w:t>
      </w:r>
      <w:r w:rsidR="002D481E">
        <w:rPr>
          <w:rFonts w:ascii="Arial" w:hAnsi="Arial" w:cs="Arial"/>
        </w:rPr>
        <w:t> </w:t>
      </w:r>
      <w:r w:rsidRPr="0033774C">
        <w:rPr>
          <w:rFonts w:ascii="Arial" w:hAnsi="Arial" w:cs="Arial"/>
        </w:rPr>
        <w:t>ukončení výkonu trestu odnětí svobody nebo po propuštění z</w:t>
      </w:r>
      <w:r w:rsidR="002D481E">
        <w:rPr>
          <w:rFonts w:ascii="Arial" w:hAnsi="Arial" w:cs="Arial"/>
        </w:rPr>
        <w:t> </w:t>
      </w:r>
      <w:r w:rsidRPr="0033774C">
        <w:rPr>
          <w:rFonts w:ascii="Arial" w:hAnsi="Arial" w:cs="Arial"/>
        </w:rPr>
        <w:t>výkonu ochranného opatření a osoby ze sociokulturně znevýhodněného prostředí.</w:t>
      </w:r>
    </w:p>
    <w:p w:rsidR="00EE15EF" w:rsidRPr="0033774C" w:rsidRDefault="00EE15EF" w:rsidP="00EE15EF">
      <w:pPr>
        <w:spacing w:line="360" w:lineRule="auto"/>
        <w:jc w:val="both"/>
        <w:rPr>
          <w:rFonts w:ascii="Arial" w:hAnsi="Arial" w:cs="Arial"/>
        </w:rPr>
      </w:pPr>
      <w:r>
        <w:rPr>
          <w:rFonts w:ascii="Arial" w:hAnsi="Arial" w:cs="Arial"/>
        </w:rPr>
        <w:t>Rozpočet projektu</w:t>
      </w:r>
      <w:r w:rsidRPr="00802E0A">
        <w:rPr>
          <w:rFonts w:ascii="Arial" w:hAnsi="Arial" w:cs="Arial"/>
        </w:rPr>
        <w:t xml:space="preserve">: </w:t>
      </w:r>
      <w:r>
        <w:rPr>
          <w:rFonts w:ascii="Arial" w:hAnsi="Arial" w:cs="Arial"/>
        </w:rPr>
        <w:t>42 000</w:t>
      </w:r>
      <w:r w:rsidRPr="00802E0A">
        <w:rPr>
          <w:rFonts w:ascii="Arial" w:hAnsi="Arial" w:cs="Arial"/>
        </w:rPr>
        <w:t xml:space="preserve"> </w:t>
      </w:r>
      <w:r>
        <w:rPr>
          <w:rFonts w:ascii="Arial" w:hAnsi="Arial" w:cs="Arial"/>
        </w:rPr>
        <w:t>000</w:t>
      </w:r>
      <w:r w:rsidRPr="00802E0A">
        <w:rPr>
          <w:rFonts w:ascii="Arial" w:hAnsi="Arial" w:cs="Arial"/>
        </w:rPr>
        <w:t>,- Kč</w:t>
      </w:r>
    </w:p>
    <w:p w:rsidR="00EE15EF" w:rsidRPr="0033774C" w:rsidRDefault="00EE15EF" w:rsidP="00EE15EF">
      <w:pPr>
        <w:spacing w:line="360" w:lineRule="auto"/>
        <w:ind w:left="2127" w:hanging="2127"/>
        <w:jc w:val="both"/>
        <w:rPr>
          <w:rFonts w:ascii="Arial" w:hAnsi="Arial" w:cs="Arial"/>
        </w:rPr>
      </w:pPr>
      <w:r>
        <w:rPr>
          <w:rFonts w:ascii="Arial" w:hAnsi="Arial" w:cs="Arial"/>
        </w:rPr>
        <w:t>Popis projektu</w:t>
      </w:r>
      <w:r w:rsidRPr="0033774C">
        <w:rPr>
          <w:rFonts w:ascii="Arial" w:hAnsi="Arial" w:cs="Arial"/>
        </w:rPr>
        <w:t xml:space="preserve">: </w:t>
      </w:r>
      <w:r>
        <w:rPr>
          <w:rFonts w:ascii="Arial" w:hAnsi="Arial" w:cs="Arial"/>
        </w:rPr>
        <w:tab/>
      </w:r>
      <w:r w:rsidRPr="00802E0A">
        <w:rPr>
          <w:rFonts w:ascii="Arial" w:hAnsi="Arial" w:cs="Arial"/>
        </w:rPr>
        <w:t>Projekt je určen na podpo</w:t>
      </w:r>
      <w:r>
        <w:rPr>
          <w:rFonts w:ascii="Arial" w:hAnsi="Arial" w:cs="Arial"/>
        </w:rPr>
        <w:t>ru osob sociálně vyloučených a</w:t>
      </w:r>
      <w:r w:rsidR="002D481E">
        <w:rPr>
          <w:rFonts w:ascii="Arial" w:hAnsi="Arial" w:cs="Arial"/>
        </w:rPr>
        <w:t> </w:t>
      </w:r>
      <w:r w:rsidRPr="00802E0A">
        <w:rPr>
          <w:rFonts w:ascii="Arial" w:hAnsi="Arial" w:cs="Arial"/>
        </w:rPr>
        <w:t>ohrožených</w:t>
      </w:r>
      <w:r>
        <w:rPr>
          <w:rFonts w:ascii="Arial" w:hAnsi="Arial" w:cs="Arial"/>
        </w:rPr>
        <w:t xml:space="preserve"> sociálním vyloučením</w:t>
      </w:r>
      <w:r w:rsidRPr="00802E0A">
        <w:rPr>
          <w:rFonts w:ascii="Arial" w:hAnsi="Arial" w:cs="Arial"/>
        </w:rPr>
        <w:t xml:space="preserve">. Hlavním cílem projektu je </w:t>
      </w:r>
      <w:r w:rsidRPr="00802E0A">
        <w:rPr>
          <w:rFonts w:ascii="Arial" w:hAnsi="Arial" w:cs="Arial"/>
        </w:rPr>
        <w:lastRenderedPageBreak/>
        <w:t>podpořit opětovný návrat těchto lidí na otevřený trh práce. Projekt je založe</w:t>
      </w:r>
      <w:r w:rsidR="002D481E">
        <w:rPr>
          <w:rFonts w:ascii="Arial" w:hAnsi="Arial" w:cs="Arial"/>
        </w:rPr>
        <w:t>n na obnově režimových návyků a </w:t>
      </w:r>
      <w:r w:rsidRPr="00802E0A">
        <w:rPr>
          <w:rFonts w:ascii="Arial" w:hAnsi="Arial" w:cs="Arial"/>
        </w:rPr>
        <w:t>nácviku pracovních d</w:t>
      </w:r>
      <w:r w:rsidR="002D481E">
        <w:rPr>
          <w:rFonts w:ascii="Arial" w:hAnsi="Arial" w:cs="Arial"/>
        </w:rPr>
        <w:t>ovedností, které jsou spojeny s </w:t>
      </w:r>
      <w:r w:rsidRPr="00802E0A">
        <w:rPr>
          <w:rFonts w:ascii="Arial" w:hAnsi="Arial" w:cs="Arial"/>
        </w:rPr>
        <w:t>obnovením sociálních kontaktů a</w:t>
      </w:r>
      <w:r>
        <w:rPr>
          <w:rFonts w:ascii="Arial" w:hAnsi="Arial" w:cs="Arial"/>
        </w:rPr>
        <w:t> </w:t>
      </w:r>
      <w:r w:rsidRPr="00802E0A">
        <w:rPr>
          <w:rFonts w:ascii="Arial" w:hAnsi="Arial" w:cs="Arial"/>
        </w:rPr>
        <w:t>vazeb. Důraz je kladen na poradenství, individuální přístup a</w:t>
      </w:r>
      <w:r>
        <w:rPr>
          <w:rFonts w:ascii="Arial" w:hAnsi="Arial" w:cs="Arial"/>
        </w:rPr>
        <w:t> </w:t>
      </w:r>
      <w:r w:rsidRPr="00802E0A">
        <w:rPr>
          <w:rFonts w:ascii="Arial" w:hAnsi="Arial" w:cs="Arial"/>
        </w:rPr>
        <w:t>podporu při hledání pracovního uplatnění.</w:t>
      </w:r>
    </w:p>
    <w:p w:rsidR="00EE15EF" w:rsidRPr="0033774C" w:rsidRDefault="00EE15EF" w:rsidP="00EE15EF">
      <w:pPr>
        <w:spacing w:line="360" w:lineRule="auto"/>
        <w:jc w:val="both"/>
        <w:rPr>
          <w:rFonts w:ascii="Arial" w:hAnsi="Arial" w:cs="Arial"/>
        </w:rPr>
      </w:pPr>
    </w:p>
    <w:p w:rsidR="00EE15EF" w:rsidRDefault="00EE15EF" w:rsidP="00EE15EF">
      <w:pPr>
        <w:spacing w:line="360" w:lineRule="auto"/>
        <w:jc w:val="both"/>
        <w:rPr>
          <w:rFonts w:ascii="Arial" w:hAnsi="Arial" w:cs="Arial"/>
          <w:b/>
        </w:rPr>
      </w:pPr>
      <w:r w:rsidRPr="005E3C65">
        <w:rPr>
          <w:rFonts w:ascii="Arial" w:hAnsi="Arial" w:cs="Arial"/>
          <w:b/>
        </w:rPr>
        <w:t>ŽIVOT BEZ BARIÉR v Jihomoravském kraji</w:t>
      </w:r>
    </w:p>
    <w:p w:rsidR="00EE15EF" w:rsidRDefault="00EE15EF" w:rsidP="00EE15EF">
      <w:pPr>
        <w:spacing w:line="360" w:lineRule="auto"/>
        <w:jc w:val="both"/>
        <w:rPr>
          <w:rFonts w:ascii="Arial" w:hAnsi="Arial" w:cs="Arial"/>
        </w:rPr>
      </w:pPr>
      <w:r w:rsidRPr="005E3C65">
        <w:rPr>
          <w:rFonts w:ascii="Arial" w:hAnsi="Arial" w:cs="Arial"/>
        </w:rPr>
        <w:t>Reg. číslo:</w:t>
      </w:r>
      <w:r w:rsidRPr="005E3C65">
        <w:rPr>
          <w:rFonts w:ascii="Arial" w:hAnsi="Arial" w:cs="Arial"/>
        </w:rPr>
        <w:tab/>
      </w:r>
      <w:r>
        <w:rPr>
          <w:rFonts w:ascii="Arial" w:hAnsi="Arial" w:cs="Arial"/>
        </w:rPr>
        <w:tab/>
      </w:r>
      <w:r w:rsidRPr="005E3C65">
        <w:rPr>
          <w:rFonts w:ascii="Arial" w:hAnsi="Arial" w:cs="Arial"/>
        </w:rPr>
        <w:t>CZ.03.1.48/0.0/0.0/15_010/0000037</w:t>
      </w:r>
    </w:p>
    <w:p w:rsidR="00EE15EF" w:rsidRPr="0033774C" w:rsidRDefault="00EE15EF" w:rsidP="00EE15EF">
      <w:pPr>
        <w:spacing w:line="360" w:lineRule="auto"/>
        <w:jc w:val="both"/>
        <w:rPr>
          <w:rFonts w:ascii="Arial" w:hAnsi="Arial" w:cs="Arial"/>
        </w:rPr>
      </w:pPr>
      <w:r>
        <w:rPr>
          <w:rFonts w:ascii="Arial" w:hAnsi="Arial" w:cs="Arial"/>
        </w:rPr>
        <w:t>R</w:t>
      </w:r>
      <w:r w:rsidRPr="0033774C">
        <w:rPr>
          <w:rFonts w:ascii="Arial" w:hAnsi="Arial" w:cs="Arial"/>
        </w:rPr>
        <w:t>ealizace</w:t>
      </w:r>
      <w:r>
        <w:rPr>
          <w:rFonts w:ascii="Arial" w:hAnsi="Arial" w:cs="Arial"/>
        </w:rPr>
        <w:t xml:space="preserve"> projektu</w:t>
      </w:r>
      <w:r w:rsidRPr="0033774C">
        <w:rPr>
          <w:rFonts w:ascii="Arial" w:hAnsi="Arial" w:cs="Arial"/>
        </w:rPr>
        <w:t>: 1. 4. 2016–30. 4. 2020</w:t>
      </w:r>
    </w:p>
    <w:p w:rsidR="00EE15EF" w:rsidRDefault="00EE15EF" w:rsidP="00EE15EF">
      <w:pPr>
        <w:spacing w:line="360" w:lineRule="auto"/>
        <w:ind w:left="2127" w:hanging="2127"/>
        <w:jc w:val="both"/>
        <w:rPr>
          <w:rFonts w:ascii="Arial" w:hAnsi="Arial" w:cs="Arial"/>
        </w:rPr>
      </w:pPr>
      <w:r>
        <w:rPr>
          <w:rFonts w:ascii="Arial" w:hAnsi="Arial" w:cs="Arial"/>
        </w:rPr>
        <w:t>C</w:t>
      </w:r>
      <w:r w:rsidRPr="0033774C">
        <w:rPr>
          <w:rFonts w:ascii="Arial" w:hAnsi="Arial" w:cs="Arial"/>
        </w:rPr>
        <w:t xml:space="preserve">ílová skupina: </w:t>
      </w:r>
      <w:r>
        <w:rPr>
          <w:rFonts w:ascii="Arial" w:hAnsi="Arial" w:cs="Arial"/>
        </w:rPr>
        <w:tab/>
      </w:r>
      <w:r w:rsidR="002D481E">
        <w:rPr>
          <w:rFonts w:ascii="Arial" w:hAnsi="Arial" w:cs="Arial"/>
        </w:rPr>
        <w:t>Uchazeči a zájemci o </w:t>
      </w:r>
      <w:r w:rsidRPr="0033774C">
        <w:rPr>
          <w:rFonts w:ascii="Arial" w:hAnsi="Arial" w:cs="Arial"/>
        </w:rPr>
        <w:t xml:space="preserve">zaměstnání </w:t>
      </w:r>
      <w:r w:rsidRPr="00C06D5F">
        <w:rPr>
          <w:rFonts w:ascii="Arial" w:hAnsi="Arial" w:cs="Arial"/>
          <w:b/>
        </w:rPr>
        <w:t>evidovaní déle než 12</w:t>
      </w:r>
      <w:r w:rsidR="002D481E">
        <w:rPr>
          <w:rFonts w:ascii="Arial" w:hAnsi="Arial" w:cs="Arial"/>
          <w:b/>
        </w:rPr>
        <w:t> </w:t>
      </w:r>
      <w:r w:rsidRPr="00C06D5F">
        <w:rPr>
          <w:rFonts w:ascii="Arial" w:hAnsi="Arial" w:cs="Arial"/>
          <w:b/>
        </w:rPr>
        <w:t>měsíců</w:t>
      </w:r>
      <w:r w:rsidRPr="0033774C">
        <w:rPr>
          <w:rFonts w:ascii="Arial" w:hAnsi="Arial" w:cs="Arial"/>
        </w:rPr>
        <w:t xml:space="preserve"> nebo osoby se zdravotním postižením definovan</w:t>
      </w:r>
      <w:r>
        <w:rPr>
          <w:rFonts w:ascii="Arial" w:hAnsi="Arial" w:cs="Arial"/>
        </w:rPr>
        <w:t>é</w:t>
      </w:r>
      <w:r w:rsidR="002D481E">
        <w:rPr>
          <w:rFonts w:ascii="Arial" w:hAnsi="Arial" w:cs="Arial"/>
        </w:rPr>
        <w:t xml:space="preserve"> zákonem č. </w:t>
      </w:r>
      <w:r w:rsidRPr="0033774C">
        <w:rPr>
          <w:rFonts w:ascii="Arial" w:hAnsi="Arial" w:cs="Arial"/>
        </w:rPr>
        <w:t xml:space="preserve">435/2004, </w:t>
      </w:r>
      <w:r w:rsidR="002D481E">
        <w:rPr>
          <w:rFonts w:ascii="Arial" w:hAnsi="Arial" w:cs="Arial"/>
        </w:rPr>
        <w:t>o </w:t>
      </w:r>
      <w:r>
        <w:rPr>
          <w:rFonts w:ascii="Arial" w:hAnsi="Arial" w:cs="Arial"/>
        </w:rPr>
        <w:t xml:space="preserve">zaměstnanosti, </w:t>
      </w:r>
      <w:r w:rsidR="002D481E">
        <w:rPr>
          <w:rFonts w:ascii="Arial" w:hAnsi="Arial" w:cs="Arial"/>
        </w:rPr>
        <w:t>§ 67 odst. </w:t>
      </w:r>
      <w:r w:rsidRPr="0033774C">
        <w:rPr>
          <w:rFonts w:ascii="Arial" w:hAnsi="Arial" w:cs="Arial"/>
        </w:rPr>
        <w:t>2 bez ohledu na délku evidence.</w:t>
      </w:r>
    </w:p>
    <w:p w:rsidR="00EE15EF" w:rsidRPr="0033774C" w:rsidRDefault="00EE15EF" w:rsidP="00EE15EF">
      <w:pPr>
        <w:spacing w:line="360" w:lineRule="auto"/>
        <w:jc w:val="both"/>
        <w:rPr>
          <w:rFonts w:ascii="Arial" w:hAnsi="Arial" w:cs="Arial"/>
        </w:rPr>
      </w:pPr>
      <w:r>
        <w:rPr>
          <w:rFonts w:ascii="Arial" w:hAnsi="Arial" w:cs="Arial"/>
        </w:rPr>
        <w:t>R</w:t>
      </w:r>
      <w:r w:rsidRPr="00C06D5F">
        <w:rPr>
          <w:rFonts w:ascii="Arial" w:hAnsi="Arial" w:cs="Arial"/>
        </w:rPr>
        <w:t>ozpočet</w:t>
      </w:r>
      <w:r>
        <w:rPr>
          <w:rFonts w:ascii="Arial" w:hAnsi="Arial" w:cs="Arial"/>
        </w:rPr>
        <w:t xml:space="preserve"> projektu</w:t>
      </w:r>
      <w:r w:rsidRPr="00C06D5F">
        <w:rPr>
          <w:rFonts w:ascii="Arial" w:hAnsi="Arial" w:cs="Arial"/>
        </w:rPr>
        <w:t xml:space="preserve">: </w:t>
      </w:r>
      <w:r w:rsidR="002B7918">
        <w:rPr>
          <w:rFonts w:ascii="Arial" w:hAnsi="Arial" w:cs="Arial"/>
        </w:rPr>
        <w:t xml:space="preserve"> </w:t>
      </w:r>
      <w:r w:rsidRPr="00C06D5F">
        <w:rPr>
          <w:rFonts w:ascii="Arial" w:hAnsi="Arial" w:cs="Arial"/>
        </w:rPr>
        <w:t>41 943</w:t>
      </w:r>
      <w:r>
        <w:rPr>
          <w:rFonts w:ascii="Arial" w:hAnsi="Arial" w:cs="Arial"/>
        </w:rPr>
        <w:t> </w:t>
      </w:r>
      <w:r w:rsidRPr="00C06D5F">
        <w:rPr>
          <w:rFonts w:ascii="Arial" w:hAnsi="Arial" w:cs="Arial"/>
        </w:rPr>
        <w:t>000</w:t>
      </w:r>
      <w:r>
        <w:rPr>
          <w:rFonts w:ascii="Arial" w:hAnsi="Arial" w:cs="Arial"/>
        </w:rPr>
        <w:t>,-</w:t>
      </w:r>
      <w:r w:rsidRPr="00C06D5F">
        <w:rPr>
          <w:rFonts w:ascii="Arial" w:hAnsi="Arial" w:cs="Arial"/>
        </w:rPr>
        <w:t xml:space="preserve"> Kč</w:t>
      </w:r>
    </w:p>
    <w:p w:rsidR="00EE15EF" w:rsidRPr="00FF451A" w:rsidRDefault="00EE15EF" w:rsidP="00EE15EF">
      <w:pPr>
        <w:spacing w:line="360" w:lineRule="auto"/>
        <w:ind w:left="2124" w:hanging="2124"/>
        <w:jc w:val="both"/>
        <w:rPr>
          <w:rFonts w:ascii="Arial" w:hAnsi="Arial" w:cs="Arial"/>
        </w:rPr>
      </w:pPr>
      <w:r>
        <w:rPr>
          <w:rFonts w:ascii="Arial" w:hAnsi="Arial" w:cs="Arial"/>
        </w:rPr>
        <w:t>Popis projektu</w:t>
      </w:r>
      <w:r w:rsidRPr="0033774C">
        <w:rPr>
          <w:rFonts w:ascii="Arial" w:hAnsi="Arial" w:cs="Arial"/>
        </w:rPr>
        <w:t xml:space="preserve">: </w:t>
      </w:r>
      <w:r>
        <w:rPr>
          <w:rFonts w:ascii="Arial" w:hAnsi="Arial" w:cs="Arial"/>
        </w:rPr>
        <w:tab/>
        <w:t>C</w:t>
      </w:r>
      <w:r w:rsidRPr="00C06D5F">
        <w:rPr>
          <w:rFonts w:ascii="Arial" w:hAnsi="Arial" w:cs="Arial"/>
        </w:rPr>
        <w:t xml:space="preserve">ílem projektu je zvýšení zaměstnatelnosti a integrace znevýhodněných občanů evidovaných na </w:t>
      </w:r>
      <w:r>
        <w:rPr>
          <w:rFonts w:ascii="Arial" w:hAnsi="Arial" w:cs="Arial"/>
        </w:rPr>
        <w:t>ÚP ČR</w:t>
      </w:r>
      <w:r w:rsidRPr="00C06D5F">
        <w:rPr>
          <w:rFonts w:ascii="Arial" w:hAnsi="Arial" w:cs="Arial"/>
        </w:rPr>
        <w:t xml:space="preserve"> </w:t>
      </w:r>
      <w:r>
        <w:rPr>
          <w:rFonts w:ascii="Arial" w:hAnsi="Arial" w:cs="Arial"/>
        </w:rPr>
        <w:t>v</w:t>
      </w:r>
      <w:r w:rsidR="002D481E">
        <w:rPr>
          <w:rFonts w:ascii="Arial" w:hAnsi="Arial" w:cs="Arial"/>
        </w:rPr>
        <w:t> </w:t>
      </w:r>
      <w:r>
        <w:rPr>
          <w:rFonts w:ascii="Arial" w:hAnsi="Arial" w:cs="Arial"/>
        </w:rPr>
        <w:t>Jihomoravském kraji</w:t>
      </w:r>
      <w:r w:rsidRPr="00C06D5F">
        <w:rPr>
          <w:rFonts w:ascii="Arial" w:hAnsi="Arial" w:cs="Arial"/>
        </w:rPr>
        <w:t xml:space="preserve"> na trh práce prostřednictvím realizace komplexního programu, tj. pomocí poradenských, motivačních </w:t>
      </w:r>
      <w:r w:rsidRPr="00FF451A">
        <w:rPr>
          <w:rFonts w:ascii="Arial" w:hAnsi="Arial" w:cs="Arial"/>
        </w:rPr>
        <w:t>a</w:t>
      </w:r>
      <w:r w:rsidR="002D481E">
        <w:rPr>
          <w:rFonts w:ascii="Arial" w:hAnsi="Arial" w:cs="Arial"/>
        </w:rPr>
        <w:t> </w:t>
      </w:r>
      <w:r w:rsidRPr="00FF451A">
        <w:rPr>
          <w:rFonts w:ascii="Arial" w:hAnsi="Arial" w:cs="Arial"/>
        </w:rPr>
        <w:t>vzdělávacích aktivit.</w:t>
      </w:r>
    </w:p>
    <w:p w:rsidR="00EE15EF" w:rsidRPr="00FF451A" w:rsidRDefault="00EE15EF" w:rsidP="00EE15EF">
      <w:pPr>
        <w:spacing w:line="360" w:lineRule="auto"/>
        <w:jc w:val="both"/>
        <w:rPr>
          <w:rFonts w:ascii="Arial" w:hAnsi="Arial" w:cs="Arial"/>
        </w:rPr>
      </w:pPr>
    </w:p>
    <w:p w:rsidR="00EE15EF" w:rsidRPr="006B76EF" w:rsidRDefault="00EE15EF" w:rsidP="00EE15EF">
      <w:pPr>
        <w:widowControl w:val="0"/>
        <w:tabs>
          <w:tab w:val="left" w:pos="0"/>
          <w:tab w:val="left" w:pos="567"/>
        </w:tabs>
        <w:suppressAutoHyphens/>
        <w:autoSpaceDE w:val="0"/>
        <w:autoSpaceDN w:val="0"/>
        <w:adjustRightInd w:val="0"/>
        <w:spacing w:line="360" w:lineRule="auto"/>
        <w:jc w:val="both"/>
        <w:rPr>
          <w:rFonts w:ascii="Arial" w:hAnsi="Arial" w:cs="Arial"/>
        </w:rPr>
      </w:pPr>
      <w:r w:rsidRPr="00FF451A">
        <w:rPr>
          <w:rFonts w:ascii="Arial" w:hAnsi="Arial"/>
          <w:b/>
        </w:rPr>
        <w:tab/>
        <w:t xml:space="preserve">Informace o dalších opatřeních APZ realizovaných na úrovni MPSV i na ÚP ČR </w:t>
      </w:r>
      <w:r w:rsidRPr="00FF451A">
        <w:rPr>
          <w:rFonts w:ascii="Arial" w:hAnsi="Arial"/>
        </w:rPr>
        <w:t xml:space="preserve">(systém investičních pobídek, další projekty zaměstnanosti podporované Evropským sociálním fondem) </w:t>
      </w:r>
      <w:r w:rsidRPr="00FF451A">
        <w:rPr>
          <w:rFonts w:ascii="Arial" w:hAnsi="Arial"/>
          <w:b/>
        </w:rPr>
        <w:t xml:space="preserve">jsou uvedeny samostatně v následujících </w:t>
      </w:r>
      <w:r w:rsidRPr="006B76EF">
        <w:rPr>
          <w:rFonts w:ascii="Arial" w:hAnsi="Arial"/>
          <w:b/>
        </w:rPr>
        <w:t>kapitolách 4. a 5.</w:t>
      </w:r>
    </w:p>
    <w:p w:rsidR="00EE15EF" w:rsidRDefault="00EE15EF" w:rsidP="00EE15EF"/>
    <w:p w:rsidR="00D1548F" w:rsidRPr="008518FA" w:rsidRDefault="00D1548F" w:rsidP="00EE15EF"/>
    <w:p w:rsidR="00D1548F" w:rsidRPr="00391E6B" w:rsidRDefault="00D1548F" w:rsidP="00D1548F">
      <w:pPr>
        <w:pStyle w:val="Styl3"/>
      </w:pPr>
      <w:bookmarkStart w:id="155" w:name="_Toc433620133"/>
      <w:bookmarkStart w:id="156" w:name="_Toc513198686"/>
      <w:bookmarkStart w:id="157" w:name="_Toc372530199"/>
      <w:bookmarkStart w:id="158" w:name="_Toc416687482"/>
      <w:r w:rsidRPr="00391E6B">
        <w:t>Systém investičních pobídek</w:t>
      </w:r>
      <w:bookmarkEnd w:id="155"/>
      <w:bookmarkEnd w:id="156"/>
    </w:p>
    <w:bookmarkEnd w:id="157"/>
    <w:bookmarkEnd w:id="158"/>
    <w:p w:rsidR="00D1548F" w:rsidRPr="00C56BA5" w:rsidRDefault="00D1548F" w:rsidP="00D1548F">
      <w:pPr>
        <w:jc w:val="both"/>
        <w:rPr>
          <w:rFonts w:ascii="Arial" w:hAnsi="Arial"/>
          <w:lang/>
        </w:rPr>
      </w:pPr>
    </w:p>
    <w:p w:rsidR="00D1548F" w:rsidRPr="00A604BD" w:rsidRDefault="00D1548F" w:rsidP="00D1548F">
      <w:pPr>
        <w:pStyle w:val="Zkladntextodsazen"/>
        <w:ind w:firstLine="567"/>
      </w:pPr>
      <w:r w:rsidRPr="00251E77">
        <w:rPr>
          <w:b/>
        </w:rPr>
        <w:t>Investiční pobídky</w:t>
      </w:r>
      <w:r>
        <w:rPr>
          <w:b/>
          <w:lang w:val="cs-CZ"/>
        </w:rPr>
        <w:t xml:space="preserve"> </w:t>
      </w:r>
      <w:r>
        <w:rPr>
          <w:lang w:val="cs-CZ"/>
        </w:rPr>
        <w:t>jsou jedním z nástrojů aktivní politiky zaměstnanosti a jsou poskytovány zaměstnavatelům Generálním ředitelstvím</w:t>
      </w:r>
      <w:r w:rsidRPr="003C5A12">
        <w:t xml:space="preserve"> </w:t>
      </w:r>
      <w:r>
        <w:t>Ú</w:t>
      </w:r>
      <w:r>
        <w:rPr>
          <w:lang w:val="cs-CZ"/>
        </w:rPr>
        <w:t>řadu práce</w:t>
      </w:r>
      <w:r>
        <w:t xml:space="preserve"> Č</w:t>
      </w:r>
      <w:r>
        <w:rPr>
          <w:lang w:val="cs-CZ"/>
        </w:rPr>
        <w:t>R (dále jen „GŘ ÚP ČR“)</w:t>
      </w:r>
      <w:r w:rsidRPr="00251E77">
        <w:t xml:space="preserve"> </w:t>
      </w:r>
      <w:r>
        <w:t>na základě zákona č. 72/2000</w:t>
      </w:r>
      <w:r>
        <w:rPr>
          <w:lang w:val="cs-CZ"/>
        </w:rPr>
        <w:t> </w:t>
      </w:r>
      <w:r w:rsidRPr="003C5A12">
        <w:t>Sb., o i</w:t>
      </w:r>
      <w:r>
        <w:t>nvestičních pobídkách, v</w:t>
      </w:r>
      <w:r>
        <w:rPr>
          <w:lang w:val="cs-CZ"/>
        </w:rPr>
        <w:t>e</w:t>
      </w:r>
      <w:r w:rsidRPr="003C5A12">
        <w:t xml:space="preserve"> znění</w:t>
      </w:r>
      <w:r>
        <w:rPr>
          <w:lang w:val="cs-CZ"/>
        </w:rPr>
        <w:t xml:space="preserve"> pozdějších předpisů</w:t>
      </w:r>
      <w:r>
        <w:t>, a na základě zákona č.</w:t>
      </w:r>
      <w:r>
        <w:rPr>
          <w:lang w:val="cs-CZ"/>
        </w:rPr>
        <w:t> </w:t>
      </w:r>
      <w:r>
        <w:t>435/2004</w:t>
      </w:r>
      <w:r>
        <w:rPr>
          <w:lang w:val="cs-CZ"/>
        </w:rPr>
        <w:t> </w:t>
      </w:r>
      <w:r w:rsidR="001F1E6A">
        <w:t>Sb., o </w:t>
      </w:r>
      <w:r>
        <w:t>zaměstnanosti, v</w:t>
      </w:r>
      <w:r>
        <w:rPr>
          <w:lang w:val="cs-CZ"/>
        </w:rPr>
        <w:t>e </w:t>
      </w:r>
      <w:r>
        <w:t>znění</w:t>
      </w:r>
      <w:r>
        <w:rPr>
          <w:lang w:val="cs-CZ"/>
        </w:rPr>
        <w:t xml:space="preserve"> pozdějších předpisů. GŘ </w:t>
      </w:r>
      <w:r>
        <w:t>ÚP</w:t>
      </w:r>
      <w:r>
        <w:rPr>
          <w:lang w:val="cs-CZ"/>
        </w:rPr>
        <w:t> </w:t>
      </w:r>
      <w:r>
        <w:t>Č</w:t>
      </w:r>
      <w:r>
        <w:rPr>
          <w:lang w:val="cs-CZ"/>
        </w:rPr>
        <w:t>R poskytuje</w:t>
      </w:r>
      <w:r w:rsidRPr="003C5A12">
        <w:t xml:space="preserve"> dvě formy</w:t>
      </w:r>
      <w:r>
        <w:rPr>
          <w:lang w:val="cs-CZ"/>
        </w:rPr>
        <w:t xml:space="preserve"> investičních</w:t>
      </w:r>
      <w:r w:rsidR="001F1E6A">
        <w:t xml:space="preserve"> pobídek, tj. </w:t>
      </w:r>
      <w:r w:rsidRPr="003C5A12">
        <w:t xml:space="preserve">hmotnou podporu </w:t>
      </w:r>
      <w:r w:rsidRPr="00BE4AC7">
        <w:rPr>
          <w:b/>
          <w:lang w:val="cs-CZ"/>
        </w:rPr>
        <w:t xml:space="preserve">na </w:t>
      </w:r>
      <w:r w:rsidRPr="00251E77">
        <w:rPr>
          <w:b/>
        </w:rPr>
        <w:t>vytváření nových pracovních míst</w:t>
      </w:r>
      <w:r>
        <w:rPr>
          <w:b/>
          <w:lang w:val="cs-CZ"/>
        </w:rPr>
        <w:t xml:space="preserve"> (NPM)</w:t>
      </w:r>
      <w:r w:rsidRPr="003C5A12">
        <w:t xml:space="preserve"> </w:t>
      </w:r>
      <w:r w:rsidRPr="00056A26">
        <w:t>a</w:t>
      </w:r>
      <w:r w:rsidR="001F1E6A">
        <w:t> </w:t>
      </w:r>
      <w:r w:rsidRPr="003C5A12">
        <w:t xml:space="preserve">hmotnou podporu </w:t>
      </w:r>
      <w:r w:rsidRPr="00251E77">
        <w:rPr>
          <w:b/>
        </w:rPr>
        <w:t xml:space="preserve">rekvalifikace nebo školení </w:t>
      </w:r>
      <w:r>
        <w:rPr>
          <w:b/>
          <w:lang w:val="cs-CZ"/>
        </w:rPr>
        <w:t xml:space="preserve">nových </w:t>
      </w:r>
      <w:r w:rsidRPr="00251E77">
        <w:rPr>
          <w:b/>
        </w:rPr>
        <w:t>zaměstnanců</w:t>
      </w:r>
      <w:r>
        <w:rPr>
          <w:b/>
          <w:lang w:val="cs-CZ"/>
        </w:rPr>
        <w:t xml:space="preserve"> (RŠ)</w:t>
      </w:r>
      <w:r>
        <w:t>.</w:t>
      </w:r>
      <w:r w:rsidRPr="00251E77">
        <w:t xml:space="preserve"> </w:t>
      </w:r>
    </w:p>
    <w:p w:rsidR="00D1548F" w:rsidRPr="00A604BD" w:rsidRDefault="00D1548F" w:rsidP="00D1548F">
      <w:pPr>
        <w:pStyle w:val="Zkladntextodsazen"/>
        <w:tabs>
          <w:tab w:val="left" w:pos="567"/>
        </w:tabs>
        <w:ind w:firstLine="0"/>
      </w:pPr>
      <w:r>
        <w:rPr>
          <w:b/>
          <w:bCs/>
          <w:lang w:val="cs-CZ"/>
        </w:rPr>
        <w:lastRenderedPageBreak/>
        <w:tab/>
      </w:r>
      <w:r w:rsidRPr="006029F6">
        <w:rPr>
          <w:bCs/>
        </w:rPr>
        <w:t>V </w:t>
      </w:r>
      <w:r w:rsidRPr="006029F6">
        <w:rPr>
          <w:bCs/>
          <w:lang w:val="cs-CZ"/>
        </w:rPr>
        <w:t>roce </w:t>
      </w:r>
      <w:r w:rsidRPr="006029F6">
        <w:rPr>
          <w:rFonts w:cs="Arial"/>
          <w:bCs/>
        </w:rPr>
        <w:t>201</w:t>
      </w:r>
      <w:r w:rsidRPr="006029F6">
        <w:rPr>
          <w:rFonts w:cs="Arial"/>
          <w:bCs/>
          <w:lang w:val="cs-CZ"/>
        </w:rPr>
        <w:t>7</w:t>
      </w:r>
      <w:r>
        <w:rPr>
          <w:rFonts w:cs="Arial"/>
          <w:bCs/>
          <w:lang w:val="cs-CZ"/>
        </w:rPr>
        <w:t xml:space="preserve"> </w:t>
      </w:r>
      <w:r w:rsidRPr="006029F6">
        <w:rPr>
          <w:rFonts w:cs="Arial"/>
          <w:bCs/>
          <w:lang w:val="cs-CZ"/>
        </w:rPr>
        <w:t>poskytlo GŘ</w:t>
      </w:r>
      <w:r w:rsidRPr="006029F6">
        <w:rPr>
          <w:bCs/>
          <w:lang w:val="cs-CZ"/>
        </w:rPr>
        <w:t xml:space="preserve"> ÚP ČR hmotnou podporu v rámci investičních pobídek </w:t>
      </w:r>
      <w:r>
        <w:rPr>
          <w:bCs/>
          <w:lang w:val="cs-CZ"/>
        </w:rPr>
        <w:t>pěti</w:t>
      </w:r>
      <w:r w:rsidRPr="006029F6">
        <w:rPr>
          <w:bCs/>
          <w:lang w:val="cs-CZ"/>
        </w:rPr>
        <w:t xml:space="preserve"> zaměstnavatelům ve zpracovatelském průmyslu v celkové hodnotě </w:t>
      </w:r>
      <w:r>
        <w:rPr>
          <w:bCs/>
          <w:lang w:val="cs-CZ"/>
        </w:rPr>
        <w:t>59 5</w:t>
      </w:r>
      <w:r w:rsidR="001F1E6A">
        <w:rPr>
          <w:bCs/>
          <w:lang w:val="cs-CZ"/>
        </w:rPr>
        <w:t>00 tis. </w:t>
      </w:r>
      <w:r w:rsidRPr="006029F6">
        <w:rPr>
          <w:bCs/>
          <w:lang w:val="cs-CZ"/>
        </w:rPr>
        <w:t>Kč, to představuje nárůst oproti roku 2016 o </w:t>
      </w:r>
      <w:r w:rsidR="001F1E6A">
        <w:rPr>
          <w:bCs/>
          <w:lang w:val="cs-CZ"/>
        </w:rPr>
        <w:t>17 </w:t>
      </w:r>
      <w:r>
        <w:rPr>
          <w:bCs/>
          <w:lang w:val="cs-CZ"/>
        </w:rPr>
        <w:t>200</w:t>
      </w:r>
      <w:r w:rsidR="001F1E6A">
        <w:rPr>
          <w:bCs/>
          <w:lang w:val="cs-CZ"/>
        </w:rPr>
        <w:t> tis. </w:t>
      </w:r>
      <w:r w:rsidRPr="006029F6">
        <w:rPr>
          <w:bCs/>
          <w:lang w:val="cs-CZ"/>
        </w:rPr>
        <w:t>Kč.</w:t>
      </w:r>
      <w:r w:rsidRPr="001F1E6A">
        <w:rPr>
          <w:bCs/>
          <w:lang w:val="cs-CZ"/>
        </w:rPr>
        <w:t xml:space="preserve"> </w:t>
      </w:r>
      <w:r w:rsidRPr="0023750C">
        <w:rPr>
          <w:bCs/>
          <w:lang w:val="cs-CZ"/>
        </w:rPr>
        <w:t>Svou roli, při poskytování hmotné podpory ze strany GŘ</w:t>
      </w:r>
      <w:r w:rsidR="001F1E6A">
        <w:rPr>
          <w:bCs/>
          <w:lang w:val="cs-CZ"/>
        </w:rPr>
        <w:t> </w:t>
      </w:r>
      <w:r w:rsidRPr="0023750C">
        <w:rPr>
          <w:bCs/>
          <w:lang w:val="cs-CZ"/>
        </w:rPr>
        <w:t>ÚP</w:t>
      </w:r>
      <w:r w:rsidR="001F1E6A">
        <w:rPr>
          <w:bCs/>
          <w:lang w:val="cs-CZ"/>
        </w:rPr>
        <w:t> </w:t>
      </w:r>
      <w:r w:rsidRPr="0023750C">
        <w:rPr>
          <w:bCs/>
          <w:lang w:val="cs-CZ"/>
        </w:rPr>
        <w:t>ČR, hrála ekonomická a personální situace investorů uzavírat příslušné Dohody na vytváření nových pracovních míst v rámci investičních pobídek.</w:t>
      </w:r>
      <w:r w:rsidRPr="00A604BD">
        <w:t xml:space="preserve"> </w:t>
      </w:r>
    </w:p>
    <w:p w:rsidR="00D1548F" w:rsidRPr="006029F6" w:rsidRDefault="00D1548F" w:rsidP="00D1548F">
      <w:pPr>
        <w:pStyle w:val="Zkladntextodsazen"/>
        <w:ind w:firstLine="567"/>
        <w:rPr>
          <w:bCs/>
          <w:lang w:val="cs-CZ"/>
        </w:rPr>
      </w:pPr>
      <w:r>
        <w:t>Na základě</w:t>
      </w:r>
      <w:r w:rsidRPr="00A604BD">
        <w:rPr>
          <w:lang w:val="cs-CZ"/>
        </w:rPr>
        <w:t xml:space="preserve"> </w:t>
      </w:r>
      <w:r w:rsidRPr="00A604BD">
        <w:t>Dohod</w:t>
      </w:r>
      <w:r>
        <w:rPr>
          <w:lang w:val="cs-CZ"/>
        </w:rPr>
        <w:t>y o hmotné podpoře na vytváření nových pracovních míst</w:t>
      </w:r>
      <w:r w:rsidRPr="00A604BD">
        <w:t xml:space="preserve"> v</w:t>
      </w:r>
      <w:r>
        <w:rPr>
          <w:lang w:val="cs-CZ"/>
        </w:rPr>
        <w:t> </w:t>
      </w:r>
      <w:r>
        <w:t xml:space="preserve">rámci </w:t>
      </w:r>
      <w:r>
        <w:rPr>
          <w:lang w:val="cs-CZ"/>
        </w:rPr>
        <w:t>i</w:t>
      </w:r>
      <w:r>
        <w:rPr>
          <w:bCs/>
        </w:rPr>
        <w:t>nvestičn</w:t>
      </w:r>
      <w:r>
        <w:rPr>
          <w:bCs/>
          <w:lang w:val="cs-CZ"/>
        </w:rPr>
        <w:t>í</w:t>
      </w:r>
      <w:r>
        <w:rPr>
          <w:bCs/>
        </w:rPr>
        <w:t>ch</w:t>
      </w:r>
      <w:r>
        <w:rPr>
          <w:lang w:val="cs-CZ"/>
        </w:rPr>
        <w:t xml:space="preserve"> </w:t>
      </w:r>
      <w:r w:rsidRPr="00A604BD">
        <w:t xml:space="preserve">pobídek </w:t>
      </w:r>
      <w:r w:rsidRPr="00A604BD">
        <w:rPr>
          <w:lang w:val="cs-CZ"/>
        </w:rPr>
        <w:t>byla</w:t>
      </w:r>
      <w:r>
        <w:rPr>
          <w:lang w:val="cs-CZ"/>
        </w:rPr>
        <w:t xml:space="preserve"> hmotně podpořena</w:t>
      </w:r>
      <w:r w:rsidRPr="00A604BD">
        <w:rPr>
          <w:lang w:val="cs-CZ"/>
        </w:rPr>
        <w:t xml:space="preserve"> vytvořená </w:t>
      </w:r>
      <w:r w:rsidRPr="006029F6">
        <w:rPr>
          <w:bCs/>
        </w:rPr>
        <w:t>nov</w:t>
      </w:r>
      <w:r w:rsidRPr="006029F6">
        <w:rPr>
          <w:bCs/>
          <w:lang w:val="cs-CZ"/>
        </w:rPr>
        <w:t>á</w:t>
      </w:r>
      <w:r w:rsidRPr="006029F6">
        <w:rPr>
          <w:bCs/>
        </w:rPr>
        <w:t xml:space="preserve"> pracovní míst</w:t>
      </w:r>
      <w:r w:rsidRPr="006029F6">
        <w:rPr>
          <w:bCs/>
          <w:lang w:val="cs-CZ"/>
        </w:rPr>
        <w:t>a</w:t>
      </w:r>
      <w:r w:rsidRPr="006029F6">
        <w:rPr>
          <w:bCs/>
        </w:rPr>
        <w:t xml:space="preserve"> </w:t>
      </w:r>
      <w:r w:rsidRPr="006029F6">
        <w:rPr>
          <w:bCs/>
          <w:lang w:val="cs-CZ"/>
        </w:rPr>
        <w:t xml:space="preserve">pro </w:t>
      </w:r>
      <w:r>
        <w:rPr>
          <w:bCs/>
          <w:lang w:val="cs-CZ"/>
        </w:rPr>
        <w:t>310</w:t>
      </w:r>
      <w:r w:rsidRPr="006029F6">
        <w:rPr>
          <w:bCs/>
          <w:lang w:val="cs-CZ"/>
        </w:rPr>
        <w:t xml:space="preserve"> nových zaměstnanců (oproti roku 2016</w:t>
      </w:r>
      <w:r>
        <w:rPr>
          <w:bCs/>
          <w:lang w:val="cs-CZ"/>
        </w:rPr>
        <w:t xml:space="preserve"> pokles o 86</w:t>
      </w:r>
      <w:r w:rsidRPr="006029F6">
        <w:rPr>
          <w:bCs/>
          <w:lang w:val="cs-CZ"/>
        </w:rPr>
        <w:t xml:space="preserve"> nových zaměstnanců).</w:t>
      </w:r>
    </w:p>
    <w:p w:rsidR="00D1548F" w:rsidRPr="003745F3" w:rsidRDefault="00D1548F" w:rsidP="00D1548F">
      <w:pPr>
        <w:pStyle w:val="Zkladntextodsazen"/>
        <w:ind w:firstLine="567"/>
      </w:pPr>
      <w:r w:rsidRPr="003745F3">
        <w:t>Z hlediska regionálního rozložení této</w:t>
      </w:r>
      <w:r w:rsidRPr="003745F3">
        <w:rPr>
          <w:lang w:val="cs-CZ"/>
        </w:rPr>
        <w:t xml:space="preserve"> hmotné</w:t>
      </w:r>
      <w:r w:rsidRPr="003745F3">
        <w:t xml:space="preserve"> podpory</w:t>
      </w:r>
      <w:r w:rsidRPr="003745F3">
        <w:rPr>
          <w:lang w:val="cs-CZ"/>
        </w:rPr>
        <w:t xml:space="preserve"> v rámci investičních pobídek</w:t>
      </w:r>
      <w:r w:rsidRPr="003745F3">
        <w:t xml:space="preserve"> </w:t>
      </w:r>
      <w:r>
        <w:rPr>
          <w:lang w:val="cs-CZ"/>
        </w:rPr>
        <w:t>byl ve vetší míře</w:t>
      </w:r>
      <w:r w:rsidRPr="003745F3">
        <w:rPr>
          <w:lang w:val="cs-CZ"/>
        </w:rPr>
        <w:t xml:space="preserve"> podpořen </w:t>
      </w:r>
      <w:r w:rsidRPr="003745F3">
        <w:rPr>
          <w:b/>
          <w:lang w:val="cs-CZ"/>
        </w:rPr>
        <w:t>Ústecký kraj</w:t>
      </w:r>
      <w:r w:rsidRPr="001F1E6A">
        <w:rPr>
          <w:lang w:val="cs-CZ"/>
        </w:rPr>
        <w:t xml:space="preserve"> </w:t>
      </w:r>
      <w:r w:rsidR="001F1E6A">
        <w:rPr>
          <w:lang w:val="cs-CZ"/>
        </w:rPr>
        <w:t>(72,3 %) a </w:t>
      </w:r>
      <w:r>
        <w:rPr>
          <w:lang w:val="cs-CZ"/>
        </w:rPr>
        <w:t>v</w:t>
      </w:r>
      <w:r w:rsidR="001F1E6A">
        <w:rPr>
          <w:lang w:val="cs-CZ"/>
        </w:rPr>
        <w:t> </w:t>
      </w:r>
      <w:r>
        <w:rPr>
          <w:lang w:val="cs-CZ"/>
        </w:rPr>
        <w:t>menší</w:t>
      </w:r>
      <w:r w:rsidRPr="003745F3">
        <w:rPr>
          <w:lang w:val="cs-CZ"/>
        </w:rPr>
        <w:t xml:space="preserve"> míře </w:t>
      </w:r>
      <w:r w:rsidRPr="003745F3">
        <w:rPr>
          <w:b/>
          <w:bCs/>
        </w:rPr>
        <w:t>Moravskoslezsk</w:t>
      </w:r>
      <w:r w:rsidRPr="003745F3">
        <w:rPr>
          <w:b/>
          <w:bCs/>
          <w:lang w:val="cs-CZ"/>
        </w:rPr>
        <w:t xml:space="preserve">ý </w:t>
      </w:r>
      <w:r w:rsidRPr="003745F3">
        <w:rPr>
          <w:b/>
          <w:bCs/>
        </w:rPr>
        <w:t xml:space="preserve"> </w:t>
      </w:r>
      <w:r w:rsidRPr="003745F3">
        <w:rPr>
          <w:b/>
          <w:bCs/>
          <w:lang w:val="cs-CZ"/>
        </w:rPr>
        <w:t xml:space="preserve">kraj </w:t>
      </w:r>
      <w:r>
        <w:rPr>
          <w:bCs/>
          <w:lang w:val="cs-CZ"/>
        </w:rPr>
        <w:t xml:space="preserve">(23,5 %) a </w:t>
      </w:r>
      <w:r w:rsidRPr="00CE4D72">
        <w:rPr>
          <w:b/>
          <w:bCs/>
          <w:lang w:val="cs-CZ"/>
        </w:rPr>
        <w:t>Jihomoravský kraj</w:t>
      </w:r>
      <w:r>
        <w:rPr>
          <w:bCs/>
          <w:lang w:val="cs-CZ"/>
        </w:rPr>
        <w:t xml:space="preserve"> (4,2 %).</w:t>
      </w:r>
    </w:p>
    <w:p w:rsidR="00D1548F" w:rsidRPr="003745F3" w:rsidRDefault="00D1548F" w:rsidP="00D1548F">
      <w:pPr>
        <w:spacing w:line="360" w:lineRule="auto"/>
        <w:ind w:firstLine="567"/>
        <w:jc w:val="both"/>
        <w:rPr>
          <w:rFonts w:ascii="Arial" w:hAnsi="Arial" w:cs="Arial"/>
        </w:rPr>
      </w:pPr>
      <w:r>
        <w:rPr>
          <w:rFonts w:ascii="Arial" w:hAnsi="Arial" w:cs="Arial"/>
        </w:rPr>
        <w:t>Podrobnější údaje k uvedenému textu jsou uvedeny v tabulce přílohy č. </w:t>
      </w:r>
      <w:r w:rsidRPr="003745F3">
        <w:rPr>
          <w:rFonts w:ascii="Arial" w:hAnsi="Arial" w:cs="Arial"/>
        </w:rPr>
        <w:t>18 a</w:t>
      </w:r>
      <w:r w:rsidR="001F1E6A">
        <w:rPr>
          <w:rFonts w:ascii="Arial" w:hAnsi="Arial" w:cs="Arial"/>
        </w:rPr>
        <w:t> přílohy č. </w:t>
      </w:r>
      <w:r>
        <w:rPr>
          <w:rFonts w:ascii="Arial" w:hAnsi="Arial" w:cs="Arial"/>
        </w:rPr>
        <w:t>19.</w:t>
      </w:r>
    </w:p>
    <w:p w:rsidR="00D1548F" w:rsidRDefault="00D1548F" w:rsidP="00D1548F">
      <w:pPr>
        <w:pStyle w:val="Nadpis1"/>
        <w:numPr>
          <w:ilvl w:val="0"/>
          <w:numId w:val="0"/>
        </w:numPr>
        <w:ind w:left="1221"/>
      </w:pPr>
    </w:p>
    <w:p w:rsidR="00D1548F" w:rsidRPr="00575CE4" w:rsidRDefault="00D1548F" w:rsidP="00D1548F">
      <w:pPr>
        <w:pStyle w:val="Styl3"/>
      </w:pPr>
      <w:bookmarkStart w:id="159" w:name="_Toc258997903"/>
      <w:bookmarkStart w:id="160" w:name="_Toc372530200"/>
      <w:bookmarkStart w:id="161" w:name="_Toc416687483"/>
      <w:bookmarkStart w:id="162" w:name="_Toc464827494"/>
      <w:bookmarkStart w:id="163" w:name="_Toc513198687"/>
      <w:r w:rsidRPr="00575CE4">
        <w:t>Projekty financované z prostředků Evropského sociálního fondu</w:t>
      </w:r>
      <w:bookmarkEnd w:id="159"/>
      <w:bookmarkEnd w:id="160"/>
      <w:bookmarkEnd w:id="161"/>
      <w:bookmarkEnd w:id="162"/>
      <w:bookmarkEnd w:id="163"/>
      <w:r w:rsidRPr="00575CE4">
        <w:t xml:space="preserve"> </w:t>
      </w:r>
    </w:p>
    <w:p w:rsidR="00D1548F" w:rsidRPr="00575CE4" w:rsidRDefault="00D1548F" w:rsidP="00D1548F">
      <w:pPr>
        <w:pStyle w:val="Styl3"/>
        <w:numPr>
          <w:ilvl w:val="0"/>
          <w:numId w:val="0"/>
        </w:numPr>
        <w:spacing w:line="276" w:lineRule="auto"/>
        <w:ind w:left="900"/>
      </w:pPr>
    </w:p>
    <w:p w:rsidR="00D1548F" w:rsidRPr="00575CE4" w:rsidRDefault="00D1548F" w:rsidP="00D1548F">
      <w:pPr>
        <w:spacing w:line="360" w:lineRule="auto"/>
        <w:ind w:firstLine="567"/>
        <w:jc w:val="both"/>
        <w:rPr>
          <w:rFonts w:ascii="Arial" w:hAnsi="Arial" w:cs="Arial"/>
        </w:rPr>
      </w:pPr>
      <w:r w:rsidRPr="00575CE4">
        <w:rPr>
          <w:rFonts w:ascii="Arial" w:hAnsi="Arial" w:cs="Arial"/>
        </w:rPr>
        <w:t xml:space="preserve">Významným zdrojem finančních prostředků na aktivity služeb zaměstnanosti  je Evropský sociální fond (ESF). </w:t>
      </w:r>
    </w:p>
    <w:p w:rsidR="00D1548F" w:rsidRPr="00575CE4" w:rsidRDefault="00D1548F" w:rsidP="00D1548F">
      <w:pPr>
        <w:spacing w:line="360" w:lineRule="auto"/>
        <w:ind w:firstLine="567"/>
        <w:jc w:val="both"/>
        <w:rPr>
          <w:rFonts w:ascii="Arial" w:hAnsi="Arial" w:cs="Arial"/>
        </w:rPr>
      </w:pPr>
      <w:r w:rsidRPr="00575CE4">
        <w:rPr>
          <w:rFonts w:ascii="Arial" w:hAnsi="Arial" w:cs="Arial"/>
        </w:rPr>
        <w:t xml:space="preserve">V roce 2017 postupovala realizace projektů v rámci </w:t>
      </w:r>
      <w:r w:rsidRPr="00575CE4">
        <w:rPr>
          <w:rFonts w:ascii="Arial" w:hAnsi="Arial" w:cs="Arial"/>
          <w:b/>
        </w:rPr>
        <w:t>Operačního programu Zaměstnanost (OPZ) pro programové období 2014–2020.</w:t>
      </w:r>
      <w:r w:rsidRPr="00575CE4">
        <w:rPr>
          <w:rFonts w:ascii="Arial" w:hAnsi="Arial" w:cs="Arial"/>
          <w:vertAlign w:val="superscript"/>
        </w:rPr>
        <w:footnoteReference w:id="12"/>
      </w:r>
      <w:r w:rsidRPr="00575CE4">
        <w:rPr>
          <w:rFonts w:ascii="Arial" w:hAnsi="Arial" w:cs="Arial"/>
        </w:rPr>
        <w:t xml:space="preserve"> </w:t>
      </w:r>
    </w:p>
    <w:p w:rsidR="00D1548F" w:rsidRPr="00575CE4" w:rsidRDefault="00D1548F" w:rsidP="00D1548F">
      <w:pPr>
        <w:spacing w:line="360" w:lineRule="auto"/>
        <w:ind w:firstLine="567"/>
        <w:jc w:val="both"/>
        <w:rPr>
          <w:rFonts w:ascii="Arial" w:hAnsi="Arial" w:cs="Arial"/>
        </w:rPr>
      </w:pPr>
      <w:r w:rsidRPr="00575CE4">
        <w:rPr>
          <w:rFonts w:ascii="Arial" w:hAnsi="Arial" w:cs="Arial"/>
          <w:iCs/>
        </w:rPr>
        <w:t xml:space="preserve">Tato část si neklade za cíl popsat všechny realizované projekty, její součástí jsou ty, které mají vazbu na prostředky vyčleněné na politiku zaměstnanosti a jejichž cílem je zvýšení zaměstnanosti a zaměstnatelnosti pracovní síly. </w:t>
      </w:r>
      <w:r w:rsidRPr="00575CE4">
        <w:rPr>
          <w:rFonts w:ascii="Arial" w:hAnsi="Arial" w:cs="Arial"/>
        </w:rPr>
        <w:t xml:space="preserve">Oblasti zaměstnanosti se týkají především prioritní osy a investiční priority podrobněji popsané v následujícím textu. </w:t>
      </w:r>
    </w:p>
    <w:p w:rsidR="00D1548F" w:rsidRPr="00575CE4" w:rsidRDefault="00D1548F" w:rsidP="00D1548F">
      <w:pPr>
        <w:spacing w:line="360" w:lineRule="auto"/>
        <w:jc w:val="both"/>
        <w:rPr>
          <w:rFonts w:ascii="Arial" w:hAnsi="Arial" w:cs="Arial"/>
        </w:rPr>
      </w:pPr>
    </w:p>
    <w:p w:rsidR="00D1548F" w:rsidRPr="00D416ED" w:rsidRDefault="00D1548F" w:rsidP="00D1548F">
      <w:pPr>
        <w:numPr>
          <w:ilvl w:val="0"/>
          <w:numId w:val="21"/>
        </w:numPr>
        <w:spacing w:line="360" w:lineRule="auto"/>
        <w:jc w:val="both"/>
        <w:rPr>
          <w:rFonts w:ascii="Arial" w:hAnsi="Arial" w:cs="Arial"/>
          <w:b/>
          <w:iCs/>
        </w:rPr>
      </w:pPr>
      <w:r w:rsidRPr="00575CE4">
        <w:rPr>
          <w:rFonts w:ascii="Arial" w:hAnsi="Arial" w:cs="Arial"/>
          <w:b/>
          <w:iCs/>
        </w:rPr>
        <w:t xml:space="preserve">Prioritní osa 1 OPZ - Podpora zaměstnanosti </w:t>
      </w:r>
      <w:r w:rsidRPr="00D416ED">
        <w:rPr>
          <w:rFonts w:ascii="Arial" w:hAnsi="Arial" w:cs="Arial"/>
          <w:b/>
          <w:iCs/>
        </w:rPr>
        <w:t>a adaptability pracovní síly</w:t>
      </w:r>
    </w:p>
    <w:p w:rsidR="00D1548F" w:rsidRPr="00D416ED" w:rsidRDefault="00D1548F" w:rsidP="00D1548F">
      <w:pPr>
        <w:spacing w:line="360" w:lineRule="auto"/>
        <w:ind w:left="360"/>
        <w:jc w:val="both"/>
        <w:rPr>
          <w:rFonts w:ascii="Arial" w:hAnsi="Arial" w:cs="Arial"/>
          <w:b/>
          <w:iCs/>
        </w:rPr>
      </w:pPr>
    </w:p>
    <w:p w:rsidR="00D1548F" w:rsidRPr="00D416ED" w:rsidRDefault="00D1548F" w:rsidP="00D1548F">
      <w:pPr>
        <w:numPr>
          <w:ilvl w:val="0"/>
          <w:numId w:val="19"/>
        </w:numPr>
        <w:spacing w:line="360" w:lineRule="auto"/>
        <w:contextualSpacing/>
        <w:jc w:val="both"/>
        <w:rPr>
          <w:rFonts w:ascii="Arial" w:hAnsi="Arial" w:cs="Arial"/>
          <w:b/>
        </w:rPr>
      </w:pPr>
      <w:r w:rsidRPr="00D416ED">
        <w:rPr>
          <w:rFonts w:ascii="Arial" w:hAnsi="Arial" w:cs="Arial"/>
          <w:b/>
        </w:rPr>
        <w:t>Investiční priorita 1.1 – Přístup k zaměstnání pro osoby hledající zaměstnání a neaktivní osoby, včetně dlouhodobě nezaměstnaných a osob vzdálených trhu práce, také prostřednictvím místních iniciativ na podporu zaměstnanosti a mobility pracovníků</w:t>
      </w:r>
    </w:p>
    <w:p w:rsidR="00D1548F" w:rsidRPr="00B14335" w:rsidRDefault="00D1548F" w:rsidP="00D1548F">
      <w:pPr>
        <w:spacing w:line="360" w:lineRule="auto"/>
        <w:ind w:firstLine="567"/>
        <w:jc w:val="both"/>
        <w:rPr>
          <w:rFonts w:ascii="Arial" w:hAnsi="Arial"/>
        </w:rPr>
      </w:pPr>
      <w:r w:rsidRPr="00D416ED">
        <w:rPr>
          <w:rFonts w:ascii="Arial" w:hAnsi="Arial"/>
        </w:rPr>
        <w:lastRenderedPageBreak/>
        <w:t xml:space="preserve">V investiční prioritě 1.1 OPZ, která je zaměřena na zvýšení zaměstnanosti, byla </w:t>
      </w:r>
      <w:r w:rsidRPr="00F82173">
        <w:rPr>
          <w:rFonts w:ascii="Arial" w:hAnsi="Arial"/>
        </w:rPr>
        <w:t xml:space="preserve">v roce 2015 vyhlášena výzva 03_15_001, ve které byl předložen pouze jediný projekt </w:t>
      </w:r>
      <w:r w:rsidRPr="00F82173">
        <w:rPr>
          <w:rFonts w:ascii="Arial" w:hAnsi="Arial"/>
          <w:b/>
        </w:rPr>
        <w:t>„Nové pracovní příležitosti (NoPP)“</w:t>
      </w:r>
      <w:r w:rsidRPr="00F82173">
        <w:rPr>
          <w:rFonts w:ascii="Arial" w:hAnsi="Arial"/>
        </w:rPr>
        <w:t>, jehož doba realizace byla od 1. 4. 2015 do 31. 3. 2017 a bylo zde vyčerpáno cca 3,7</w:t>
      </w:r>
      <w:r>
        <w:rPr>
          <w:rFonts w:ascii="Arial" w:hAnsi="Arial"/>
        </w:rPr>
        <w:t> </w:t>
      </w:r>
      <w:r w:rsidRPr="00F82173">
        <w:rPr>
          <w:rFonts w:ascii="Arial" w:hAnsi="Arial"/>
        </w:rPr>
        <w:t>mld</w:t>
      </w:r>
      <w:r>
        <w:rPr>
          <w:rFonts w:ascii="Arial" w:hAnsi="Arial"/>
        </w:rPr>
        <w:t>. </w:t>
      </w:r>
      <w:r w:rsidRPr="00F82173">
        <w:rPr>
          <w:rFonts w:ascii="Arial" w:hAnsi="Arial"/>
        </w:rPr>
        <w:t xml:space="preserve">Kč. Tento projekt navazoval na projekt </w:t>
      </w:r>
      <w:r w:rsidRPr="00BB51CC">
        <w:rPr>
          <w:rFonts w:ascii="Arial" w:hAnsi="Arial"/>
        </w:rPr>
        <w:t xml:space="preserve">„Vzdělávejte se pro růst! – pracovní příležitosti“ realizovaný v OP LZZ a byl zaměřen na realizaci dvou nástrojů aktivní politiky zaměstnanosti, a to </w:t>
      </w:r>
      <w:r w:rsidRPr="00BB51CC">
        <w:rPr>
          <w:rFonts w:ascii="Arial" w:hAnsi="Arial"/>
          <w:b/>
        </w:rPr>
        <w:t>společensky účelných pracovních míst vyhrazených</w:t>
      </w:r>
      <w:r w:rsidRPr="00BB51CC">
        <w:rPr>
          <w:rFonts w:ascii="Arial" w:hAnsi="Arial"/>
        </w:rPr>
        <w:t xml:space="preserve"> a </w:t>
      </w:r>
      <w:r w:rsidRPr="00BB51CC">
        <w:rPr>
          <w:rFonts w:ascii="Arial" w:hAnsi="Arial"/>
          <w:b/>
        </w:rPr>
        <w:t>veřejně prospěšných prací</w:t>
      </w:r>
      <w:r w:rsidRPr="00BB51CC">
        <w:rPr>
          <w:rFonts w:ascii="Arial" w:hAnsi="Arial"/>
        </w:rPr>
        <w:t>. Díky svým flexibilním dohodám byl jedním ze stěžejních nástrojů přesného dočerpání alokace OP LZZ. V</w:t>
      </w:r>
      <w:r>
        <w:rPr>
          <w:rFonts w:ascii="Arial" w:hAnsi="Arial"/>
        </w:rPr>
        <w:t> </w:t>
      </w:r>
      <w:r w:rsidRPr="00BB51CC">
        <w:rPr>
          <w:rFonts w:ascii="Arial" w:hAnsi="Arial"/>
        </w:rPr>
        <w:t xml:space="preserve">rámci </w:t>
      </w:r>
      <w:r w:rsidRPr="00B14335">
        <w:rPr>
          <w:rFonts w:ascii="Arial" w:hAnsi="Arial"/>
        </w:rPr>
        <w:t xml:space="preserve">projektu bylo podpořeno více než 30 tis. osob. </w:t>
      </w:r>
    </w:p>
    <w:p w:rsidR="00D1548F" w:rsidRPr="0063528D" w:rsidRDefault="00D1548F" w:rsidP="00D1548F">
      <w:pPr>
        <w:spacing w:line="360" w:lineRule="auto"/>
        <w:ind w:firstLine="567"/>
        <w:jc w:val="both"/>
        <w:rPr>
          <w:rFonts w:ascii="Arial" w:hAnsi="Arial"/>
        </w:rPr>
      </w:pPr>
      <w:r w:rsidRPr="00B14335">
        <w:rPr>
          <w:rFonts w:ascii="Arial" w:hAnsi="Arial"/>
        </w:rPr>
        <w:t xml:space="preserve">Dále byla v roce 2015 vyhlášena výzva 03_15_121, ve které byly předloženy projekty </w:t>
      </w:r>
      <w:r w:rsidRPr="00B14335">
        <w:rPr>
          <w:rFonts w:ascii="Arial" w:hAnsi="Arial"/>
          <w:b/>
        </w:rPr>
        <w:t>„Nové pracovní příležitosti - veřejně prospěšné práce (NoPP – VPP)“</w:t>
      </w:r>
      <w:r w:rsidRPr="00B14335">
        <w:rPr>
          <w:rFonts w:ascii="Arial" w:hAnsi="Arial"/>
        </w:rPr>
        <w:t xml:space="preserve"> a  </w:t>
      </w:r>
      <w:r w:rsidRPr="00B14335">
        <w:rPr>
          <w:rFonts w:ascii="Arial" w:hAnsi="Arial"/>
          <w:b/>
        </w:rPr>
        <w:t>„Nové pracovní příležitosti – společensky účelná pracovní místa vyhrazená (NoPP – SÚPM</w:t>
      </w:r>
      <w:r w:rsidRPr="007978AE">
        <w:rPr>
          <w:rFonts w:ascii="Arial" w:hAnsi="Arial"/>
          <w:b/>
        </w:rPr>
        <w:t>)“</w:t>
      </w:r>
      <w:r w:rsidRPr="007978AE">
        <w:rPr>
          <w:rFonts w:ascii="Arial" w:hAnsi="Arial"/>
        </w:rPr>
        <w:t xml:space="preserve">. Oba projekty jsou realizovány od 1. 9. 2015 do 31. 12. 2018 a jsou </w:t>
      </w:r>
      <w:r w:rsidRPr="004452CA">
        <w:rPr>
          <w:rFonts w:ascii="Arial" w:hAnsi="Arial"/>
        </w:rPr>
        <w:t xml:space="preserve">zaměřeny na jednotlivé nástroje aktivní politiky zaměstnanosti. Alokace                     na NoPP – VPP byla navýšena na 3,583 mld. Kč a na NoPP – SÚPM činí </w:t>
      </w:r>
      <w:r w:rsidRPr="005F318C">
        <w:rPr>
          <w:rFonts w:ascii="Arial" w:hAnsi="Arial"/>
        </w:rPr>
        <w:t>2,972 mld. Kč</w:t>
      </w:r>
      <w:r w:rsidRPr="00282AE5">
        <w:rPr>
          <w:rFonts w:ascii="Arial" w:hAnsi="Arial"/>
        </w:rPr>
        <w:t xml:space="preserve">. V projektu NoPP – VPP bylo k 31. 12. 2017 vyčerpáno 2,175 mld. Kč </w:t>
      </w:r>
      <w:r w:rsidRPr="00B40F5B">
        <w:rPr>
          <w:rFonts w:ascii="Arial" w:hAnsi="Arial"/>
        </w:rPr>
        <w:t xml:space="preserve">a podpořeno více než 15 540 osob. </w:t>
      </w:r>
      <w:r w:rsidRPr="00891976">
        <w:rPr>
          <w:rFonts w:ascii="Arial" w:hAnsi="Arial"/>
        </w:rPr>
        <w:t xml:space="preserve">V projektu NoPP – SÚPM bylo k  31. 12. 2017 </w:t>
      </w:r>
      <w:r w:rsidRPr="0063528D">
        <w:rPr>
          <w:rFonts w:ascii="Arial" w:hAnsi="Arial"/>
        </w:rPr>
        <w:t>vyčerpáno  1,789 mld. Kč a podpořeno více než 19 400 osob.</w:t>
      </w:r>
    </w:p>
    <w:p w:rsidR="00D1548F" w:rsidRPr="0063528D" w:rsidRDefault="00D1548F" w:rsidP="00D1548F">
      <w:pPr>
        <w:spacing w:line="360" w:lineRule="auto"/>
        <w:ind w:firstLine="567"/>
        <w:jc w:val="both"/>
        <w:rPr>
          <w:rFonts w:ascii="Arial" w:hAnsi="Arial"/>
        </w:rPr>
      </w:pPr>
      <w:r w:rsidRPr="0063528D">
        <w:rPr>
          <w:rFonts w:ascii="Arial" w:hAnsi="Arial"/>
        </w:rPr>
        <w:t>Dále byl v rámci výzvy 03_15_121 schválen v roce 2016 projekt „</w:t>
      </w:r>
      <w:r w:rsidRPr="0063528D">
        <w:rPr>
          <w:rFonts w:ascii="Arial" w:hAnsi="Arial"/>
          <w:b/>
        </w:rPr>
        <w:t>Vzdělávání a dovednosti pro trh práce II</w:t>
      </w:r>
      <w:r w:rsidRPr="0063528D">
        <w:rPr>
          <w:rFonts w:ascii="Arial" w:hAnsi="Arial"/>
        </w:rPr>
        <w:t xml:space="preserve">“, který je zaměřen na </w:t>
      </w:r>
      <w:r w:rsidRPr="0063528D">
        <w:rPr>
          <w:rFonts w:ascii="Arial" w:hAnsi="Arial"/>
          <w:b/>
        </w:rPr>
        <w:t>poradenské činnosti</w:t>
      </w:r>
      <w:r w:rsidRPr="0063528D">
        <w:rPr>
          <w:rFonts w:ascii="Arial" w:hAnsi="Arial"/>
        </w:rPr>
        <w:t xml:space="preserve"> a </w:t>
      </w:r>
      <w:r w:rsidRPr="0063528D">
        <w:rPr>
          <w:rFonts w:ascii="Arial" w:hAnsi="Arial"/>
          <w:b/>
        </w:rPr>
        <w:t>rekvalifikace</w:t>
      </w:r>
      <w:r w:rsidRPr="0063528D">
        <w:rPr>
          <w:rFonts w:ascii="Arial" w:hAnsi="Arial"/>
        </w:rPr>
        <w:t xml:space="preserve"> a který navazuje na projekt „Vzdělávání a dovednosti pro trh práce“ realizovaný v rámci OP LZZ. Doba realizace projektu je od 1. 1. 2016 do 30. 9. 2020 a rozpočet projektu činí 1,050 mld. Kč. Do konce roku 2017 bylo z celkového rozpočtu projektu vyčerpáno celkem 226 mil. Kč a podpořeno 20 218 osob.</w:t>
      </w:r>
    </w:p>
    <w:p w:rsidR="00D1548F" w:rsidRPr="00625FD7" w:rsidRDefault="00D1548F" w:rsidP="00D1548F">
      <w:pPr>
        <w:spacing w:line="360" w:lineRule="auto"/>
        <w:ind w:firstLine="567"/>
        <w:jc w:val="both"/>
        <w:rPr>
          <w:rFonts w:ascii="Arial" w:hAnsi="Arial"/>
        </w:rPr>
      </w:pPr>
      <w:r w:rsidRPr="008175FA">
        <w:rPr>
          <w:rFonts w:ascii="Arial" w:hAnsi="Arial"/>
          <w:color w:val="FF00FF"/>
        </w:rPr>
        <w:t xml:space="preserve"> </w:t>
      </w:r>
      <w:r w:rsidRPr="00205BFA">
        <w:rPr>
          <w:rFonts w:ascii="Arial" w:hAnsi="Arial"/>
        </w:rPr>
        <w:t xml:space="preserve">V roce 2015 byla také vyhlášena výzva 03_15_123, ve které byly v roce 2016 schváleny 4 projekty </w:t>
      </w:r>
      <w:r w:rsidRPr="00C67073">
        <w:rPr>
          <w:rFonts w:ascii="Arial" w:hAnsi="Arial"/>
        </w:rPr>
        <w:t>Fondu dalšího vzdělávání, a to „</w:t>
      </w:r>
      <w:r w:rsidRPr="00C67073">
        <w:rPr>
          <w:rFonts w:ascii="Arial" w:hAnsi="Arial"/>
          <w:b/>
        </w:rPr>
        <w:t>Prohlubování kompetencí pro zvýšení zaměstnatelnosti I</w:t>
      </w:r>
      <w:r w:rsidRPr="00C67073">
        <w:rPr>
          <w:rFonts w:ascii="Arial" w:hAnsi="Arial"/>
        </w:rPr>
        <w:t>“ s rozpočtem ve výši 93</w:t>
      </w:r>
      <w:r>
        <w:rPr>
          <w:rFonts w:ascii="Arial" w:hAnsi="Arial"/>
        </w:rPr>
        <w:t>,</w:t>
      </w:r>
      <w:r w:rsidRPr="00C67073">
        <w:rPr>
          <w:rFonts w:ascii="Arial" w:hAnsi="Arial"/>
        </w:rPr>
        <w:t>5</w:t>
      </w:r>
      <w:r>
        <w:rPr>
          <w:rFonts w:ascii="Arial" w:hAnsi="Arial"/>
        </w:rPr>
        <w:t> mil.</w:t>
      </w:r>
      <w:r w:rsidRPr="00C67073">
        <w:rPr>
          <w:rFonts w:ascii="Arial" w:hAnsi="Arial"/>
        </w:rPr>
        <w:t> Kč, „</w:t>
      </w:r>
      <w:r w:rsidRPr="00C67073">
        <w:rPr>
          <w:rFonts w:ascii="Arial" w:hAnsi="Arial"/>
          <w:b/>
        </w:rPr>
        <w:t>Podpora začleňování cizích státních příslušníku na trh práce</w:t>
      </w:r>
      <w:r w:rsidRPr="00C67073">
        <w:rPr>
          <w:rFonts w:ascii="Arial" w:hAnsi="Arial"/>
        </w:rPr>
        <w:t>“ s rozpočtem ve výši 29</w:t>
      </w:r>
      <w:r>
        <w:rPr>
          <w:rFonts w:ascii="Arial" w:hAnsi="Arial"/>
        </w:rPr>
        <w:t>,6 mil.</w:t>
      </w:r>
      <w:r w:rsidRPr="00C67073">
        <w:rPr>
          <w:rFonts w:ascii="Arial" w:hAnsi="Arial"/>
        </w:rPr>
        <w:t> </w:t>
      </w:r>
      <w:r w:rsidRPr="00A95D01">
        <w:rPr>
          <w:rFonts w:ascii="Arial" w:hAnsi="Arial"/>
        </w:rPr>
        <w:t>Kč, „</w:t>
      </w:r>
      <w:r w:rsidRPr="00A95D01">
        <w:rPr>
          <w:rFonts w:ascii="Arial" w:hAnsi="Arial"/>
          <w:b/>
        </w:rPr>
        <w:t>Vzdělávání praxí pro zvýšení zaměstnatelnosti</w:t>
      </w:r>
      <w:r w:rsidR="001F1E6A">
        <w:rPr>
          <w:rFonts w:ascii="Arial" w:hAnsi="Arial"/>
        </w:rPr>
        <w:t>“ s rozpočtem ve </w:t>
      </w:r>
      <w:r w:rsidRPr="00A95D01">
        <w:rPr>
          <w:rFonts w:ascii="Arial" w:hAnsi="Arial"/>
        </w:rPr>
        <w:t xml:space="preserve">výši 120,7 mil. Kč </w:t>
      </w:r>
      <w:r w:rsidRPr="00275615">
        <w:rPr>
          <w:rFonts w:ascii="Arial" w:hAnsi="Arial"/>
        </w:rPr>
        <w:t>a „</w:t>
      </w:r>
      <w:r w:rsidRPr="00275615">
        <w:rPr>
          <w:rFonts w:ascii="Arial" w:hAnsi="Arial"/>
          <w:b/>
        </w:rPr>
        <w:t>Cesta k uplatnění na trhu práce</w:t>
      </w:r>
      <w:r w:rsidR="001F1E6A">
        <w:rPr>
          <w:rFonts w:ascii="Arial" w:hAnsi="Arial"/>
        </w:rPr>
        <w:t>“ s rozpočtem ve </w:t>
      </w:r>
      <w:r w:rsidRPr="008B754E">
        <w:rPr>
          <w:rFonts w:ascii="Arial" w:hAnsi="Arial"/>
        </w:rPr>
        <w:t>výši 267,3 mil. Kč. V roce 2017 byl dále schválen projekt Fondu dalšího vzdělávání, a to „</w:t>
      </w:r>
      <w:r w:rsidRPr="008B754E">
        <w:rPr>
          <w:rFonts w:ascii="Arial" w:hAnsi="Arial"/>
          <w:b/>
        </w:rPr>
        <w:t>Prohlubování kompetencí pro zvýšení zaměstnatelnosti II</w:t>
      </w:r>
      <w:r w:rsidRPr="008B754E">
        <w:rPr>
          <w:rFonts w:ascii="Arial" w:hAnsi="Arial"/>
        </w:rPr>
        <w:t xml:space="preserve">“ s rozpočtem </w:t>
      </w:r>
      <w:r w:rsidRPr="000C7C67">
        <w:rPr>
          <w:rFonts w:ascii="Arial" w:hAnsi="Arial"/>
        </w:rPr>
        <w:t xml:space="preserve">ve výši 101,2 mil. Kč. Ve výzvě 03_15_123 bylo k 31. 12. 2017 vyčerpáno (dle schválených žádostí o platbu) celkem </w:t>
      </w:r>
      <w:r w:rsidRPr="00625FD7">
        <w:rPr>
          <w:rFonts w:ascii="Arial" w:hAnsi="Arial"/>
        </w:rPr>
        <w:t>119,4</w:t>
      </w:r>
      <w:r>
        <w:rPr>
          <w:rFonts w:ascii="Arial" w:hAnsi="Arial"/>
        </w:rPr>
        <w:t xml:space="preserve"> mil. Kč </w:t>
      </w:r>
      <w:r w:rsidRPr="00625FD7">
        <w:rPr>
          <w:rFonts w:ascii="Arial" w:hAnsi="Arial"/>
        </w:rPr>
        <w:t>a podpořeno 4 525 osob.</w:t>
      </w:r>
    </w:p>
    <w:p w:rsidR="00D1548F" w:rsidRPr="00510728" w:rsidRDefault="00D1548F" w:rsidP="00D1548F">
      <w:pPr>
        <w:spacing w:line="360" w:lineRule="auto"/>
        <w:ind w:firstLine="567"/>
        <w:jc w:val="both"/>
        <w:rPr>
          <w:rFonts w:ascii="Arial" w:hAnsi="Arial"/>
        </w:rPr>
      </w:pPr>
      <w:r w:rsidRPr="00363290">
        <w:rPr>
          <w:rFonts w:ascii="Arial" w:hAnsi="Arial"/>
        </w:rPr>
        <w:lastRenderedPageBreak/>
        <w:t xml:space="preserve">Na základě dobrých zkušeností s realizací </w:t>
      </w:r>
      <w:r w:rsidRPr="00363290">
        <w:rPr>
          <w:rFonts w:ascii="Arial" w:hAnsi="Arial"/>
          <w:b/>
        </w:rPr>
        <w:t>regionálních individuálních projektů</w:t>
      </w:r>
      <w:r w:rsidRPr="00363290">
        <w:rPr>
          <w:rFonts w:ascii="Arial" w:hAnsi="Arial"/>
        </w:rPr>
        <w:t xml:space="preserve"> v OP LZZ byly vyhlášeny výzvy v rámci OPZ, které ÚP ČR, resp. jeho krajským pobočkám, umožňují navázat realizací regionálních projektů i v rámci OPZ. </w:t>
      </w:r>
      <w:r w:rsidRPr="00510728">
        <w:rPr>
          <w:rFonts w:ascii="Arial" w:hAnsi="Arial"/>
        </w:rPr>
        <w:t xml:space="preserve">Jedná se o tyto </w:t>
      </w:r>
      <w:r w:rsidRPr="00510728">
        <w:rPr>
          <w:rFonts w:ascii="Arial" w:hAnsi="Arial"/>
          <w:b/>
        </w:rPr>
        <w:t>výzvy pro ÚP ČR</w:t>
      </w:r>
      <w:r w:rsidRPr="00510728">
        <w:rPr>
          <w:rFonts w:ascii="Arial" w:hAnsi="Arial"/>
        </w:rPr>
        <w:t>.</w:t>
      </w:r>
    </w:p>
    <w:p w:rsidR="00D1548F" w:rsidRDefault="00D1548F" w:rsidP="00D1548F">
      <w:pPr>
        <w:spacing w:line="360" w:lineRule="auto"/>
        <w:ind w:firstLine="567"/>
        <w:jc w:val="both"/>
        <w:rPr>
          <w:rFonts w:ascii="Arial" w:hAnsi="Arial"/>
        </w:rPr>
      </w:pPr>
      <w:r w:rsidRPr="00510728">
        <w:rPr>
          <w:rFonts w:ascii="Arial" w:hAnsi="Arial"/>
        </w:rPr>
        <w:t>- výzva č. 03_15_004 v IP 1.1 (</w:t>
      </w:r>
      <w:r w:rsidRPr="00510728">
        <w:rPr>
          <w:rFonts w:ascii="Arial" w:hAnsi="Arial"/>
          <w:b/>
        </w:rPr>
        <w:t>Záruky pro mladé</w:t>
      </w:r>
      <w:r w:rsidRPr="00510728">
        <w:rPr>
          <w:rFonts w:ascii="Arial" w:hAnsi="Arial"/>
        </w:rPr>
        <w:t xml:space="preserve">), v rámci které je realizováno </w:t>
      </w:r>
      <w:r w:rsidRPr="00510728">
        <w:rPr>
          <w:rFonts w:ascii="Arial" w:hAnsi="Arial"/>
          <w:b/>
        </w:rPr>
        <w:t>11 projektů</w:t>
      </w:r>
      <w:r w:rsidRPr="00510728">
        <w:rPr>
          <w:rFonts w:ascii="Arial" w:hAnsi="Arial"/>
        </w:rPr>
        <w:t xml:space="preserve"> v celkové výši cca 933 mil. Kč p</w:t>
      </w:r>
      <w:r w:rsidR="001F1E6A">
        <w:rPr>
          <w:rFonts w:ascii="Arial" w:hAnsi="Arial"/>
        </w:rPr>
        <w:t>oslední 2 projekty (KrP Ústí n. </w:t>
      </w:r>
      <w:r w:rsidRPr="00510728">
        <w:rPr>
          <w:rFonts w:ascii="Arial" w:hAnsi="Arial"/>
        </w:rPr>
        <w:t>Labem a Karlovy Vary) budou předloženy v roce 2018. Jedná se o projekty, které navazují na úspěšné projekty Odborná praxe pro m</w:t>
      </w:r>
      <w:r>
        <w:rPr>
          <w:rFonts w:ascii="Arial" w:hAnsi="Arial"/>
        </w:rPr>
        <w:t>ladé do 30 let realizované v OP </w:t>
      </w:r>
      <w:r w:rsidRPr="00510728">
        <w:rPr>
          <w:rFonts w:ascii="Arial" w:hAnsi="Arial"/>
        </w:rPr>
        <w:t>LZZ. Původní alokace na tuto výzvu byla 1 mld. Kč, v září 2017 byla schválena změna této výzvy a</w:t>
      </w:r>
      <w:r>
        <w:rPr>
          <w:rFonts w:ascii="Arial" w:hAnsi="Arial"/>
        </w:rPr>
        <w:t> </w:t>
      </w:r>
      <w:r w:rsidR="001F1E6A">
        <w:rPr>
          <w:rFonts w:ascii="Arial" w:hAnsi="Arial"/>
        </w:rPr>
        <w:t>došlo k </w:t>
      </w:r>
      <w:r w:rsidRPr="00510728">
        <w:rPr>
          <w:rFonts w:ascii="Arial" w:hAnsi="Arial"/>
        </w:rPr>
        <w:t>navýšení alokace o</w:t>
      </w:r>
      <w:r w:rsidR="001F1E6A">
        <w:rPr>
          <w:rFonts w:ascii="Arial" w:hAnsi="Arial"/>
        </w:rPr>
        <w:t> 339 mil. Kč na celkových 1,339 </w:t>
      </w:r>
      <w:r w:rsidRPr="00510728">
        <w:rPr>
          <w:rFonts w:ascii="Arial" w:hAnsi="Arial"/>
        </w:rPr>
        <w:t>mld.</w:t>
      </w:r>
      <w:r w:rsidR="001F1E6A">
        <w:rPr>
          <w:rFonts w:ascii="Arial" w:hAnsi="Arial"/>
        </w:rPr>
        <w:t> </w:t>
      </w:r>
      <w:r w:rsidRPr="00510728">
        <w:rPr>
          <w:rFonts w:ascii="Arial" w:hAnsi="Arial"/>
        </w:rPr>
        <w:t>Kč. Plánováno je navýšení většiny rozpo</w:t>
      </w:r>
      <w:r w:rsidR="001F1E6A">
        <w:rPr>
          <w:rFonts w:ascii="Arial" w:hAnsi="Arial"/>
        </w:rPr>
        <w:t>čtů projektů Záruky pro mladé a </w:t>
      </w:r>
      <w:r w:rsidRPr="00510728">
        <w:rPr>
          <w:rFonts w:ascii="Arial" w:hAnsi="Arial"/>
        </w:rPr>
        <w:t>prodloužení realizace těchto projektů až do prosince 2020.</w:t>
      </w:r>
      <w:r>
        <w:rPr>
          <w:rFonts w:ascii="Arial" w:hAnsi="Arial"/>
        </w:rPr>
        <w:t xml:space="preserve"> </w:t>
      </w:r>
      <w:r w:rsidRPr="00F558AA">
        <w:rPr>
          <w:rFonts w:ascii="Arial" w:hAnsi="Arial"/>
        </w:rPr>
        <w:t xml:space="preserve">Hlavním cílem těchto projektů je podpora </w:t>
      </w:r>
      <w:r w:rsidRPr="00F052E0">
        <w:rPr>
          <w:rFonts w:ascii="Arial" w:hAnsi="Arial"/>
        </w:rPr>
        <w:t xml:space="preserve">aktivit k získání pracovních návyků a zkušeností, podporovanými aktivitami </w:t>
      </w:r>
      <w:r w:rsidRPr="00510728">
        <w:rPr>
          <w:rFonts w:ascii="Arial" w:hAnsi="Arial"/>
        </w:rPr>
        <w:t xml:space="preserve">jsou především poradenství, odborné praxe u zaměstnavatelů včetně mentoringu na pracovišti či možnosti </w:t>
      </w:r>
      <w:r w:rsidR="001F1E6A">
        <w:rPr>
          <w:rFonts w:ascii="Arial" w:hAnsi="Arial"/>
        </w:rPr>
        <w:t>absolvovat rekvalifikaci. K 31. </w:t>
      </w:r>
      <w:r w:rsidRPr="00510728">
        <w:rPr>
          <w:rFonts w:ascii="Arial" w:hAnsi="Arial"/>
        </w:rPr>
        <w:t>12. 2017 bylo vyčerpáno (dle schválených žádostí o platbu) cca  214,4 mil. Kč, podpořeno by</w:t>
      </w:r>
      <w:r w:rsidR="001F1E6A">
        <w:rPr>
          <w:rFonts w:ascii="Arial" w:hAnsi="Arial"/>
        </w:rPr>
        <w:t>lo 3 646 </w:t>
      </w:r>
      <w:r w:rsidRPr="00510728">
        <w:rPr>
          <w:rFonts w:ascii="Arial" w:hAnsi="Arial"/>
        </w:rPr>
        <w:t>osob.</w:t>
      </w:r>
      <w:r>
        <w:rPr>
          <w:rFonts w:ascii="Arial" w:hAnsi="Arial"/>
        </w:rPr>
        <w:t xml:space="preserve"> </w:t>
      </w:r>
    </w:p>
    <w:p w:rsidR="00D1548F" w:rsidRPr="00467C26" w:rsidRDefault="00D1548F" w:rsidP="00D1548F">
      <w:pPr>
        <w:spacing w:line="360" w:lineRule="auto"/>
        <w:ind w:firstLine="567"/>
        <w:jc w:val="both"/>
        <w:rPr>
          <w:rFonts w:ascii="Arial" w:hAnsi="Arial" w:cs="Arial"/>
          <w:bCs/>
        </w:rPr>
      </w:pPr>
      <w:r w:rsidRPr="009F3E40">
        <w:rPr>
          <w:rFonts w:ascii="Arial" w:hAnsi="Arial"/>
        </w:rPr>
        <w:t>- výzva č. 03_15_010 v IP 1.1 (</w:t>
      </w:r>
      <w:r w:rsidRPr="009F3E40">
        <w:rPr>
          <w:rFonts w:ascii="Arial" w:hAnsi="Arial"/>
          <w:b/>
        </w:rPr>
        <w:t>regionální individuální projekty</w:t>
      </w:r>
      <w:r w:rsidRPr="009F3E40">
        <w:rPr>
          <w:rFonts w:ascii="Arial" w:hAnsi="Arial"/>
        </w:rPr>
        <w:t>), kde bylo předloženo a schváleno celkem 41 projektů,</w:t>
      </w:r>
      <w:r w:rsidRPr="009F3E40">
        <w:rPr>
          <w:rFonts w:ascii="Arial" w:hAnsi="Arial"/>
          <w:b/>
        </w:rPr>
        <w:t xml:space="preserve"> </w:t>
      </w:r>
      <w:r w:rsidR="001F1E6A">
        <w:rPr>
          <w:rFonts w:ascii="Arial" w:hAnsi="Arial"/>
        </w:rPr>
        <w:t>ke konci roku 2016 však byly 4 </w:t>
      </w:r>
      <w:r w:rsidRPr="009F3E40">
        <w:rPr>
          <w:rFonts w:ascii="Arial" w:hAnsi="Arial"/>
        </w:rPr>
        <w:t>projekty předčasně ukončeny ze strany příjemce, takže v realizaci je</w:t>
      </w:r>
      <w:r w:rsidRPr="009F3E40">
        <w:rPr>
          <w:rFonts w:ascii="Arial" w:hAnsi="Arial"/>
          <w:b/>
        </w:rPr>
        <w:t xml:space="preserve"> 37 projektů </w:t>
      </w:r>
      <w:r w:rsidRPr="009F3E40">
        <w:rPr>
          <w:rFonts w:ascii="Arial" w:hAnsi="Arial"/>
        </w:rPr>
        <w:t xml:space="preserve">v celkové výši cca 1,59 mld. Kč. </w:t>
      </w:r>
      <w:r w:rsidRPr="00BE6412">
        <w:rPr>
          <w:rFonts w:ascii="Arial" w:hAnsi="Arial"/>
        </w:rPr>
        <w:t>Realizace projektů byla</w:t>
      </w:r>
      <w:r w:rsidR="001F1E6A">
        <w:rPr>
          <w:rFonts w:ascii="Arial" w:hAnsi="Arial"/>
        </w:rPr>
        <w:t xml:space="preserve"> zahájena v 1. pololetí 2016. V </w:t>
      </w:r>
      <w:r w:rsidRPr="00BE6412">
        <w:rPr>
          <w:rFonts w:ascii="Arial" w:hAnsi="Arial"/>
        </w:rPr>
        <w:t>září 2017 byla schválena změna této výzvy a došlo</w:t>
      </w:r>
      <w:r w:rsidR="001F1E6A">
        <w:rPr>
          <w:rFonts w:ascii="Arial" w:hAnsi="Arial"/>
        </w:rPr>
        <w:t xml:space="preserve"> k navýšení alokace o cca 1,555 </w:t>
      </w:r>
      <w:r w:rsidRPr="00BE6412">
        <w:rPr>
          <w:rFonts w:ascii="Arial" w:hAnsi="Arial"/>
        </w:rPr>
        <w:t>mld. Kč na cca 3,147 mld. Kč. Plánováno je navýšení většiny rozpočtů projektů, prodloužení r</w:t>
      </w:r>
      <w:r>
        <w:rPr>
          <w:rFonts w:ascii="Arial" w:hAnsi="Arial"/>
        </w:rPr>
        <w:t xml:space="preserve">ealizace těchto projektů až do  června </w:t>
      </w:r>
      <w:r w:rsidR="001F1E6A">
        <w:rPr>
          <w:rFonts w:ascii="Arial" w:hAnsi="Arial"/>
        </w:rPr>
        <w:t>2023 a předložení 4 </w:t>
      </w:r>
      <w:r w:rsidRPr="00BE6412">
        <w:rPr>
          <w:rFonts w:ascii="Arial" w:hAnsi="Arial"/>
        </w:rPr>
        <w:t>nových projektů. Tyto projekty jsou zaměřeny především na</w:t>
      </w:r>
      <w:r w:rsidRPr="00BE6412">
        <w:rPr>
          <w:rFonts w:ascii="Arial" w:hAnsi="Arial" w:cs="Arial"/>
          <w:bCs/>
        </w:rPr>
        <w:t xml:space="preserve"> zvýšení zaměstnanosti podpořených osob, zejména starších, nízkokvalifikovaných, dlouhodobě nezaměstnaných, se zdravotním postižením či jinak znevýhodněných.</w:t>
      </w:r>
      <w:r w:rsidRPr="00BE6412">
        <w:t xml:space="preserve"> </w:t>
      </w:r>
      <w:r w:rsidR="001F1E6A">
        <w:rPr>
          <w:rFonts w:ascii="Arial" w:hAnsi="Arial"/>
        </w:rPr>
        <w:t>K 31. </w:t>
      </w:r>
      <w:r w:rsidRPr="00BE6412">
        <w:rPr>
          <w:rFonts w:ascii="Arial" w:hAnsi="Arial"/>
        </w:rPr>
        <w:t xml:space="preserve">12. 2017 </w:t>
      </w:r>
      <w:r w:rsidRPr="00BE6412">
        <w:rPr>
          <w:rFonts w:ascii="Arial" w:hAnsi="Arial" w:cs="Arial"/>
          <w:bCs/>
        </w:rPr>
        <w:t>bylo vyčerpáno (dle schválených žádostí o platbu) cca 21</w:t>
      </w:r>
      <w:r w:rsidRPr="00467C26">
        <w:rPr>
          <w:rFonts w:ascii="Arial" w:hAnsi="Arial" w:cs="Arial"/>
          <w:bCs/>
        </w:rPr>
        <w:t>0,</w:t>
      </w:r>
      <w:r w:rsidR="001F1E6A">
        <w:rPr>
          <w:rFonts w:ascii="Arial" w:hAnsi="Arial" w:cs="Arial"/>
          <w:bCs/>
        </w:rPr>
        <w:t>6 mil. Kč, podpořeno bylo 6 137 </w:t>
      </w:r>
      <w:r w:rsidRPr="00467C26">
        <w:rPr>
          <w:rFonts w:ascii="Arial" w:hAnsi="Arial" w:cs="Arial"/>
          <w:bCs/>
        </w:rPr>
        <w:t xml:space="preserve">osob. </w:t>
      </w:r>
    </w:p>
    <w:p w:rsidR="00D1548F" w:rsidRPr="00467C26" w:rsidRDefault="00D1548F" w:rsidP="00D1548F">
      <w:pPr>
        <w:spacing w:line="360" w:lineRule="auto"/>
        <w:ind w:firstLine="567"/>
        <w:jc w:val="both"/>
        <w:rPr>
          <w:rFonts w:ascii="Arial" w:hAnsi="Arial"/>
        </w:rPr>
      </w:pPr>
    </w:p>
    <w:p w:rsidR="00D1548F" w:rsidRPr="00FA1235" w:rsidRDefault="00D1548F" w:rsidP="00D1548F">
      <w:pPr>
        <w:spacing w:line="360" w:lineRule="auto"/>
        <w:ind w:firstLine="567"/>
        <w:jc w:val="both"/>
        <w:rPr>
          <w:rFonts w:ascii="Arial" w:hAnsi="Arial"/>
        </w:rPr>
      </w:pPr>
      <w:r w:rsidRPr="00467C26">
        <w:rPr>
          <w:rFonts w:ascii="Arial" w:hAnsi="Arial"/>
        </w:rPr>
        <w:t xml:space="preserve">V roce 2017 pokračovala administrace </w:t>
      </w:r>
      <w:r w:rsidRPr="00467C26">
        <w:rPr>
          <w:rFonts w:ascii="Arial" w:hAnsi="Arial"/>
          <w:b/>
        </w:rPr>
        <w:t xml:space="preserve">soutěžních (otevřených) výzev </w:t>
      </w:r>
      <w:r w:rsidRPr="00467C26">
        <w:rPr>
          <w:rFonts w:ascii="Arial" w:hAnsi="Arial"/>
        </w:rPr>
        <w:t>pro projekty ze strany neziskových, vzdělávacích a poradenských organizací na podporu zaměstnanosti</w:t>
      </w:r>
      <w:r w:rsidRPr="00467C26">
        <w:rPr>
          <w:sz w:val="20"/>
        </w:rPr>
        <w:t xml:space="preserve"> </w:t>
      </w:r>
      <w:r w:rsidRPr="00467C26">
        <w:rPr>
          <w:rFonts w:ascii="Arial" w:hAnsi="Arial"/>
        </w:rPr>
        <w:t xml:space="preserve">zejména </w:t>
      </w:r>
      <w:r w:rsidRPr="00467C26">
        <w:rPr>
          <w:rFonts w:ascii="Arial" w:hAnsi="Arial"/>
          <w:b/>
        </w:rPr>
        <w:t>osob starších, nízkokvalifikovaných, dlouhodobě nezaměstnaných, osob se zdravotním postižením a jinak znevýhodněných</w:t>
      </w:r>
      <w:r w:rsidRPr="00467C26">
        <w:rPr>
          <w:rFonts w:ascii="Arial" w:hAnsi="Arial"/>
        </w:rPr>
        <w:t xml:space="preserve">. Nejčastějšími aktivitami v těchto projektech jsou motivační kurzy, diagnostiky, </w:t>
      </w:r>
      <w:r w:rsidRPr="00467C26">
        <w:rPr>
          <w:rFonts w:ascii="Arial" w:hAnsi="Arial"/>
        </w:rPr>
        <w:lastRenderedPageBreak/>
        <w:t xml:space="preserve">vzdělávací kurzy a rekvalifikace, poradenství, odborné praxe, místa na zkoušku, zprostředkování zaměstnání a podpora pracovních míst, nejčastěji s čerpáním mzdových příspěvků. Realizovány jsou projekty regionálního i nadregionálního charakteru, v části projektů probíhá realizace ve spolupráci s partnerskými organizacemi. Nejčastějšími žadateli a příjemci v soutěžních projektech jsou neziskové organizace (občanská sdružení, obecně prospěšné společnosti, církevní </w:t>
      </w:r>
      <w:r w:rsidRPr="00FA1235">
        <w:rPr>
          <w:rFonts w:ascii="Arial" w:hAnsi="Arial"/>
        </w:rPr>
        <w:t>organizace) a vzdělávací organizace, v menší míře pak školy a obce.</w:t>
      </w:r>
    </w:p>
    <w:p w:rsidR="00D1548F" w:rsidRPr="007532F9" w:rsidRDefault="00D1548F" w:rsidP="00D1548F">
      <w:pPr>
        <w:spacing w:line="360" w:lineRule="auto"/>
        <w:ind w:firstLine="567"/>
        <w:jc w:val="both"/>
        <w:rPr>
          <w:rFonts w:ascii="Arial" w:hAnsi="Arial"/>
        </w:rPr>
      </w:pPr>
      <w:r w:rsidRPr="00FA1235">
        <w:rPr>
          <w:rFonts w:ascii="Arial" w:hAnsi="Arial"/>
        </w:rPr>
        <w:t>Ve výzvě č. 03_15_040 probíhala realizace celkem 61 projektů o objemu 274,5 mil. Kč, ve kterých byly předloženy a z velké části schváleny druhé zprávy o </w:t>
      </w:r>
      <w:r w:rsidRPr="007532F9">
        <w:rPr>
          <w:rFonts w:ascii="Arial" w:hAnsi="Arial"/>
        </w:rPr>
        <w:t>realizaci.</w:t>
      </w:r>
    </w:p>
    <w:p w:rsidR="00D1548F" w:rsidRPr="002D09CA" w:rsidRDefault="00D1548F" w:rsidP="00D1548F">
      <w:pPr>
        <w:spacing w:line="360" w:lineRule="auto"/>
        <w:ind w:firstLine="567"/>
        <w:jc w:val="both"/>
        <w:rPr>
          <w:rFonts w:ascii="Arial" w:hAnsi="Arial"/>
        </w:rPr>
      </w:pPr>
      <w:r w:rsidRPr="007532F9">
        <w:rPr>
          <w:rFonts w:ascii="Arial" w:hAnsi="Arial"/>
          <w:b/>
        </w:rPr>
        <w:t>V březnu 2016</w:t>
      </w:r>
      <w:r w:rsidRPr="007532F9">
        <w:rPr>
          <w:rFonts w:ascii="Arial" w:hAnsi="Arial"/>
        </w:rPr>
        <w:t xml:space="preserve"> byly vyhlášeny i dvě průběžné výzvy k předkládání soutěžních </w:t>
      </w:r>
      <w:r w:rsidRPr="00D138F7">
        <w:rPr>
          <w:rFonts w:ascii="Arial" w:hAnsi="Arial"/>
        </w:rPr>
        <w:t>projektů pro</w:t>
      </w:r>
      <w:r w:rsidRPr="00D138F7">
        <w:rPr>
          <w:rFonts w:ascii="Arial" w:hAnsi="Arial"/>
          <w:b/>
        </w:rPr>
        <w:t xml:space="preserve"> Integrované územní investice </w:t>
      </w:r>
      <w:r w:rsidRPr="0064198E">
        <w:rPr>
          <w:rFonts w:ascii="Arial" w:hAnsi="Arial"/>
        </w:rPr>
        <w:t>(dále jen</w:t>
      </w:r>
      <w:r>
        <w:rPr>
          <w:rFonts w:ascii="Arial" w:hAnsi="Arial"/>
          <w:b/>
        </w:rPr>
        <w:t xml:space="preserve"> „</w:t>
      </w:r>
      <w:r w:rsidRPr="00D138F7">
        <w:rPr>
          <w:rFonts w:ascii="Arial" w:hAnsi="Arial"/>
          <w:b/>
        </w:rPr>
        <w:t>ITI</w:t>
      </w:r>
      <w:r>
        <w:rPr>
          <w:rFonts w:ascii="Arial" w:hAnsi="Arial"/>
          <w:b/>
        </w:rPr>
        <w:t>“</w:t>
      </w:r>
      <w:r w:rsidRPr="00D138F7">
        <w:rPr>
          <w:rFonts w:ascii="Arial" w:hAnsi="Arial"/>
          <w:b/>
        </w:rPr>
        <w:t xml:space="preserve">) </w:t>
      </w:r>
      <w:r w:rsidRPr="00D138F7">
        <w:rPr>
          <w:rFonts w:ascii="Arial" w:hAnsi="Arial"/>
        </w:rPr>
        <w:t xml:space="preserve">a </w:t>
      </w:r>
      <w:r w:rsidRPr="00D138F7">
        <w:rPr>
          <w:rFonts w:ascii="Arial" w:hAnsi="Arial"/>
          <w:b/>
        </w:rPr>
        <w:t xml:space="preserve">Integrovaný plán rozvoje území </w:t>
      </w:r>
      <w:r w:rsidRPr="0064198E">
        <w:rPr>
          <w:rFonts w:ascii="Arial" w:hAnsi="Arial"/>
        </w:rPr>
        <w:t>(dále jen</w:t>
      </w:r>
      <w:r>
        <w:rPr>
          <w:rFonts w:ascii="Arial" w:hAnsi="Arial"/>
          <w:b/>
        </w:rPr>
        <w:t xml:space="preserve"> „</w:t>
      </w:r>
      <w:r w:rsidRPr="00D138F7">
        <w:rPr>
          <w:rFonts w:ascii="Arial" w:hAnsi="Arial"/>
          <w:b/>
        </w:rPr>
        <w:t>IPRÚ</w:t>
      </w:r>
      <w:r>
        <w:rPr>
          <w:rFonts w:ascii="Arial" w:hAnsi="Arial"/>
          <w:b/>
        </w:rPr>
        <w:t>“</w:t>
      </w:r>
      <w:r w:rsidRPr="00D138F7">
        <w:rPr>
          <w:rFonts w:ascii="Arial" w:hAnsi="Arial"/>
          <w:b/>
        </w:rPr>
        <w:t>)</w:t>
      </w:r>
      <w:r w:rsidRPr="00D138F7">
        <w:rPr>
          <w:rFonts w:ascii="Arial" w:hAnsi="Arial"/>
        </w:rPr>
        <w:t xml:space="preserve">. Po téměř celý rok 2016 probíhalo hodnocení integrovaných strategií, na které navázalo připomínkování a následné vyhlašování výzev nositelů, příjem prvních žádostí o podporu nastal až na počátku roku 2017. </w:t>
      </w:r>
      <w:r w:rsidRPr="00835599">
        <w:rPr>
          <w:rFonts w:ascii="Arial" w:hAnsi="Arial"/>
        </w:rPr>
        <w:t>V průběhu roku 2017 pak bylo předloženo celkem 27 žádostí – 15 do výzvy ITI a</w:t>
      </w:r>
      <w:r w:rsidR="003D0662">
        <w:rPr>
          <w:rFonts w:ascii="Arial" w:hAnsi="Arial"/>
        </w:rPr>
        <w:t> </w:t>
      </w:r>
      <w:r w:rsidRPr="00835599">
        <w:rPr>
          <w:rFonts w:ascii="Arial" w:hAnsi="Arial"/>
        </w:rPr>
        <w:t>12 do výzvy IPRÚ. V 15 případech (8x ITI a 7x IPRÚ) se podařilo zdárně absolvovat všechny fáze hodnocení a vydat právní akty v souhrnné výši 152,8 mil. Kč. Většina těchto projektů lokalizovaných na Olomoucko, Ústecko, Ostravsko, Liberecko, Karlovarsko a Mladoboleslavsko již vstoupila do realizace. U</w:t>
      </w:r>
      <w:r w:rsidR="003D0662">
        <w:rPr>
          <w:rFonts w:ascii="Arial" w:hAnsi="Arial"/>
        </w:rPr>
        <w:t> </w:t>
      </w:r>
      <w:r w:rsidRPr="00835599">
        <w:rPr>
          <w:rFonts w:ascii="Arial" w:hAnsi="Arial"/>
        </w:rPr>
        <w:t xml:space="preserve">dalších 6 projektů stále probíhá proces hodnocení a </w:t>
      </w:r>
      <w:r w:rsidRPr="002D09CA">
        <w:rPr>
          <w:rFonts w:ascii="Arial" w:hAnsi="Arial"/>
        </w:rPr>
        <w:t xml:space="preserve">zbylých 5 žádostí bylo staženo ze strany žadatelů. </w:t>
      </w:r>
    </w:p>
    <w:p w:rsidR="00D1548F" w:rsidRPr="00937852" w:rsidRDefault="00D1548F" w:rsidP="00D1548F">
      <w:pPr>
        <w:spacing w:line="360" w:lineRule="auto"/>
        <w:ind w:firstLine="567"/>
        <w:jc w:val="both"/>
        <w:rPr>
          <w:rFonts w:ascii="Arial" w:hAnsi="Arial" w:cs="Arial"/>
        </w:rPr>
      </w:pPr>
      <w:r w:rsidRPr="002D09CA">
        <w:rPr>
          <w:rFonts w:ascii="Arial" w:hAnsi="Arial" w:cs="Arial"/>
        </w:rPr>
        <w:t xml:space="preserve">Ve výzvě č. 03_16_055 pro </w:t>
      </w:r>
      <w:r w:rsidRPr="002D09CA">
        <w:rPr>
          <w:rFonts w:ascii="Arial" w:hAnsi="Arial" w:cs="Arial"/>
          <w:b/>
        </w:rPr>
        <w:t>regionální projekty paktů zaměstnanosti v partnerství s Úřadem práce ČR</w:t>
      </w:r>
      <w:r w:rsidRPr="002D09CA">
        <w:rPr>
          <w:rFonts w:ascii="Arial" w:hAnsi="Arial" w:cs="Arial"/>
        </w:rPr>
        <w:t xml:space="preserve"> za účelem posílení regionální spolupráce místních aktérů na trhu práce při poskytování </w:t>
      </w:r>
      <w:r w:rsidRPr="002D09CA">
        <w:rPr>
          <w:rFonts w:ascii="Arial" w:hAnsi="Arial" w:cs="Arial"/>
          <w:b/>
        </w:rPr>
        <w:t xml:space="preserve">podpory znevýhodněným skupinám uchazečů a zájemců o zaměstnání a neaktivním osobám </w:t>
      </w:r>
      <w:r w:rsidRPr="002D09CA">
        <w:rPr>
          <w:rFonts w:ascii="Arial" w:hAnsi="Arial" w:cs="Arial"/>
        </w:rPr>
        <w:t>probíhala realizace 12 projektů o </w:t>
      </w:r>
      <w:r w:rsidRPr="00937852">
        <w:rPr>
          <w:rFonts w:ascii="Arial" w:hAnsi="Arial" w:cs="Arial"/>
        </w:rPr>
        <w:t xml:space="preserve">objemu 107,3 mil. Kč, projekty zahajovaly realizaci na přelomu roku 2016 a 2017. </w:t>
      </w:r>
    </w:p>
    <w:p w:rsidR="00D1548F" w:rsidRPr="00C4482C" w:rsidRDefault="00D1548F" w:rsidP="00D1548F">
      <w:pPr>
        <w:spacing w:line="360" w:lineRule="auto"/>
        <w:ind w:firstLine="567"/>
        <w:jc w:val="both"/>
        <w:rPr>
          <w:rFonts w:ascii="Arial" w:hAnsi="Arial"/>
        </w:rPr>
      </w:pPr>
      <w:r w:rsidRPr="00937852">
        <w:rPr>
          <w:rFonts w:ascii="Arial" w:hAnsi="Arial"/>
        </w:rPr>
        <w:t xml:space="preserve">Ve výzvě č. 03_16_053 pro projekty </w:t>
      </w:r>
      <w:r w:rsidRPr="00937852">
        <w:rPr>
          <w:rFonts w:ascii="Arial" w:hAnsi="Arial"/>
          <w:b/>
        </w:rPr>
        <w:t>ze strany neziskových organizací a obcí</w:t>
      </w:r>
      <w:r w:rsidRPr="00937852">
        <w:rPr>
          <w:rFonts w:ascii="Arial" w:hAnsi="Arial"/>
        </w:rPr>
        <w:t xml:space="preserve"> na podporu zaměstnanosti </w:t>
      </w:r>
      <w:r w:rsidRPr="00937852">
        <w:rPr>
          <w:rFonts w:ascii="Arial" w:hAnsi="Arial"/>
          <w:b/>
        </w:rPr>
        <w:t>cílových skupin zvláště znevýhodněných na trhu práce</w:t>
      </w:r>
      <w:r w:rsidRPr="00937852">
        <w:rPr>
          <w:rFonts w:ascii="Arial" w:hAnsi="Arial"/>
        </w:rPr>
        <w:t xml:space="preserve"> (osob s kumulacemi hendikepů, imigrantů a azylantů, osob nezaměstnaných déle než 12 měsíců, národnostních menšin, osob opouštějících zařízení institucionální výchovy či výkonu trestu odnětí svobody, osob závislých na návykových látkách) zahájilo v</w:t>
      </w:r>
      <w:r>
        <w:rPr>
          <w:rFonts w:ascii="Arial" w:hAnsi="Arial"/>
        </w:rPr>
        <w:t> </w:t>
      </w:r>
      <w:r w:rsidRPr="00937852">
        <w:rPr>
          <w:rFonts w:ascii="Arial" w:hAnsi="Arial"/>
        </w:rPr>
        <w:t>průběh</w:t>
      </w:r>
      <w:r w:rsidR="001F1E6A">
        <w:rPr>
          <w:rFonts w:ascii="Arial" w:hAnsi="Arial"/>
        </w:rPr>
        <w:t>u 1. pololetí 2017 realizaci 43 </w:t>
      </w:r>
      <w:r w:rsidRPr="00937852">
        <w:rPr>
          <w:rFonts w:ascii="Arial" w:hAnsi="Arial"/>
        </w:rPr>
        <w:t xml:space="preserve">projektů </w:t>
      </w:r>
      <w:r w:rsidRPr="00937852">
        <w:rPr>
          <w:rFonts w:ascii="Arial" w:hAnsi="Arial"/>
        </w:rPr>
        <w:lastRenderedPageBreak/>
        <w:t>(z celkových 45 projektů o objemu 187,3 mil. Kč</w:t>
      </w:r>
      <w:r w:rsidRPr="00C4482C">
        <w:rPr>
          <w:rFonts w:ascii="Arial" w:hAnsi="Arial"/>
        </w:rPr>
        <w:t>). V průběhu 2. pololetí jeden projekt odstoupil od realizace.</w:t>
      </w:r>
    </w:p>
    <w:p w:rsidR="00D1548F" w:rsidRPr="005F0666" w:rsidRDefault="00D1548F" w:rsidP="00D1548F">
      <w:pPr>
        <w:spacing w:line="360" w:lineRule="auto"/>
        <w:ind w:firstLine="567"/>
        <w:jc w:val="both"/>
        <w:rPr>
          <w:rFonts w:ascii="Arial" w:hAnsi="Arial"/>
        </w:rPr>
      </w:pPr>
      <w:r w:rsidRPr="00C4482C">
        <w:rPr>
          <w:rFonts w:ascii="Arial" w:hAnsi="Arial"/>
          <w:b/>
        </w:rPr>
        <w:t>V listopadu 2016</w:t>
      </w:r>
      <w:r w:rsidRPr="00C4482C">
        <w:rPr>
          <w:rFonts w:ascii="Arial" w:hAnsi="Arial"/>
        </w:rPr>
        <w:t xml:space="preserve"> byla vyhlášena další výzva č. 03_16_068. Na základě výsledků předchozích výzev bylo přistoupeno k rozdělení celkové alokace výzvy ve výši 300 mil. Kč do čtyř dílčích alokací dle cílových skupin: A) 50 mil. Kč na skupinu osob tzv. </w:t>
      </w:r>
      <w:r w:rsidRPr="00C4482C">
        <w:rPr>
          <w:rFonts w:ascii="Arial" w:hAnsi="Arial"/>
          <w:b/>
        </w:rPr>
        <w:t xml:space="preserve">NEETS </w:t>
      </w:r>
      <w:r w:rsidRPr="00C4482C">
        <w:rPr>
          <w:rFonts w:ascii="Arial" w:hAnsi="Arial"/>
        </w:rPr>
        <w:t>(osoby mladší 30 le</w:t>
      </w:r>
      <w:r w:rsidR="001F1E6A">
        <w:rPr>
          <w:rFonts w:ascii="Arial" w:hAnsi="Arial"/>
        </w:rPr>
        <w:t>t, kteří nejsou v </w:t>
      </w:r>
      <w:r w:rsidRPr="00C4482C">
        <w:rPr>
          <w:rFonts w:ascii="Arial" w:hAnsi="Arial"/>
        </w:rPr>
        <w:t>zaměstnání, ve vzdělávání nebo v profesní přípravě a s dalšími charakteristikami dle textu výzvy), B) 50 mil. Kč na </w:t>
      </w:r>
      <w:r w:rsidRPr="00C4482C">
        <w:rPr>
          <w:rFonts w:ascii="Arial" w:hAnsi="Arial"/>
          <w:b/>
        </w:rPr>
        <w:t>národnostní menšiny</w:t>
      </w:r>
      <w:r w:rsidRPr="00C4482C">
        <w:rPr>
          <w:rFonts w:ascii="Arial" w:hAnsi="Arial"/>
        </w:rPr>
        <w:t xml:space="preserve">, C) 100 mil. Kč na </w:t>
      </w:r>
      <w:r w:rsidRPr="00C4482C">
        <w:rPr>
          <w:rFonts w:ascii="Arial" w:hAnsi="Arial"/>
          <w:b/>
        </w:rPr>
        <w:t>osoby dlouhodobě nezaměstnané</w:t>
      </w:r>
      <w:r w:rsidRPr="00C4482C">
        <w:rPr>
          <w:rFonts w:ascii="Arial" w:hAnsi="Arial"/>
        </w:rPr>
        <w:t xml:space="preserve"> a D) 100 </w:t>
      </w:r>
      <w:r w:rsidRPr="00E339D5">
        <w:rPr>
          <w:rFonts w:ascii="Arial" w:hAnsi="Arial"/>
        </w:rPr>
        <w:t xml:space="preserve">mil. Kč na </w:t>
      </w:r>
      <w:r w:rsidRPr="00E339D5">
        <w:rPr>
          <w:rFonts w:ascii="Arial" w:hAnsi="Arial"/>
          <w:b/>
        </w:rPr>
        <w:t>osoby s kumulacemi hendikepů</w:t>
      </w:r>
      <w:r w:rsidRPr="00E339D5">
        <w:rPr>
          <w:rFonts w:ascii="Arial" w:hAnsi="Arial"/>
        </w:rPr>
        <w:t>. V rámci výběrového procesu bylo dopor</w:t>
      </w:r>
      <w:r w:rsidR="001F1E6A">
        <w:rPr>
          <w:rFonts w:ascii="Arial" w:hAnsi="Arial"/>
        </w:rPr>
        <w:t>učeno k realizaci 71 projektů v </w:t>
      </w:r>
      <w:r w:rsidRPr="00E339D5">
        <w:rPr>
          <w:rFonts w:ascii="Arial" w:hAnsi="Arial"/>
        </w:rPr>
        <w:t xml:space="preserve">celkové výši 291 mil. Kč. Projekty </w:t>
      </w:r>
      <w:r w:rsidRPr="0026311A">
        <w:rPr>
          <w:rFonts w:ascii="Arial" w:hAnsi="Arial"/>
        </w:rPr>
        <w:t>zahájily</w:t>
      </w:r>
      <w:r w:rsidR="00CA5896" w:rsidRPr="0026311A">
        <w:rPr>
          <w:rFonts w:ascii="Arial" w:hAnsi="Arial"/>
        </w:rPr>
        <w:t xml:space="preserve"> realizaci v průběhu 2. pololetí 2017</w:t>
      </w:r>
      <w:r w:rsidRPr="0026311A">
        <w:rPr>
          <w:rFonts w:ascii="Arial" w:hAnsi="Arial"/>
        </w:rPr>
        <w:t>, jeden</w:t>
      </w:r>
      <w:r w:rsidRPr="005F0666">
        <w:rPr>
          <w:rFonts w:ascii="Arial" w:hAnsi="Arial"/>
        </w:rPr>
        <w:t xml:space="preserve"> projekt do konce roku odstoupil od realizace.</w:t>
      </w:r>
    </w:p>
    <w:p w:rsidR="00D1548F" w:rsidRPr="00031C66" w:rsidRDefault="00D1548F" w:rsidP="00D1548F">
      <w:pPr>
        <w:spacing w:line="360" w:lineRule="auto"/>
        <w:ind w:firstLine="567"/>
        <w:jc w:val="both"/>
        <w:rPr>
          <w:rFonts w:ascii="Arial" w:hAnsi="Arial"/>
        </w:rPr>
      </w:pPr>
      <w:r w:rsidRPr="00D42D40">
        <w:rPr>
          <w:rFonts w:ascii="Arial" w:hAnsi="Arial"/>
        </w:rPr>
        <w:t>V září 2017 byla vyhlášena další výzva č. 03_17_075, ve které byl zopakován princip rozdělení alokace do dílčích alokací. Příjem žádostí bude uzavřen až počátkem roku 2018.</w:t>
      </w:r>
    </w:p>
    <w:p w:rsidR="00D1548F" w:rsidRPr="005F0666" w:rsidRDefault="00D1548F" w:rsidP="00D1548F">
      <w:pPr>
        <w:spacing w:line="360" w:lineRule="auto"/>
        <w:ind w:firstLine="567"/>
        <w:jc w:val="both"/>
        <w:rPr>
          <w:rFonts w:ascii="Arial" w:hAnsi="Arial"/>
        </w:rPr>
      </w:pPr>
    </w:p>
    <w:p w:rsidR="00D1548F" w:rsidRPr="00EA506B" w:rsidRDefault="00D1548F" w:rsidP="00D1548F">
      <w:pPr>
        <w:numPr>
          <w:ilvl w:val="0"/>
          <w:numId w:val="19"/>
        </w:numPr>
        <w:spacing w:line="360" w:lineRule="auto"/>
        <w:contextualSpacing/>
        <w:jc w:val="both"/>
        <w:rPr>
          <w:rFonts w:ascii="Arial" w:hAnsi="Arial" w:cs="Arial"/>
          <w:b/>
        </w:rPr>
      </w:pPr>
      <w:r w:rsidRPr="00EA506B">
        <w:rPr>
          <w:rFonts w:ascii="Arial" w:hAnsi="Arial" w:cs="Arial"/>
          <w:b/>
        </w:rPr>
        <w:t xml:space="preserve">Investiční priorita 1.2 – </w:t>
      </w:r>
      <w:r w:rsidRPr="00EA506B">
        <w:rPr>
          <w:rFonts w:ascii="Arial" w:hAnsi="Arial" w:cs="Arial"/>
          <w:b/>
          <w:bCs/>
        </w:rPr>
        <w:t xml:space="preserve">Rovnost žen a mužů </w:t>
      </w:r>
      <w:r w:rsidR="001F1E6A">
        <w:rPr>
          <w:rFonts w:ascii="Arial" w:hAnsi="Arial" w:cs="Arial"/>
          <w:b/>
        </w:rPr>
        <w:t>ve všech oblastech, a </w:t>
      </w:r>
      <w:r w:rsidRPr="00EA506B">
        <w:rPr>
          <w:rFonts w:ascii="Arial" w:hAnsi="Arial" w:cs="Arial"/>
          <w:b/>
        </w:rPr>
        <w:t>to i pokud jde o přístup k zaměstnání a kariér</w:t>
      </w:r>
      <w:r w:rsidR="001F1E6A">
        <w:rPr>
          <w:rFonts w:ascii="Arial" w:hAnsi="Arial" w:cs="Arial"/>
          <w:b/>
        </w:rPr>
        <w:t>ní postup, sladění pracovního a </w:t>
      </w:r>
      <w:r w:rsidRPr="00EA506B">
        <w:rPr>
          <w:rFonts w:ascii="Arial" w:hAnsi="Arial" w:cs="Arial"/>
          <w:b/>
        </w:rPr>
        <w:t>soukromého života a podpora stejné odměny za stejnou práci</w:t>
      </w:r>
    </w:p>
    <w:p w:rsidR="00D1548F" w:rsidRPr="00A4241B" w:rsidRDefault="00D1548F" w:rsidP="00D1548F">
      <w:pPr>
        <w:spacing w:line="360" w:lineRule="auto"/>
        <w:ind w:firstLine="567"/>
        <w:jc w:val="both"/>
        <w:rPr>
          <w:rFonts w:ascii="Arial" w:hAnsi="Arial"/>
        </w:rPr>
      </w:pPr>
    </w:p>
    <w:p w:rsidR="00D1548F" w:rsidRPr="0000244A" w:rsidRDefault="00D1548F" w:rsidP="00D1548F">
      <w:pPr>
        <w:spacing w:line="360" w:lineRule="auto"/>
        <w:ind w:firstLine="567"/>
        <w:jc w:val="both"/>
        <w:rPr>
          <w:rFonts w:ascii="Arial" w:hAnsi="Arial" w:cs="Arial"/>
        </w:rPr>
      </w:pPr>
      <w:r w:rsidRPr="00A4241B">
        <w:rPr>
          <w:rFonts w:ascii="Arial" w:hAnsi="Arial" w:cs="Arial"/>
        </w:rPr>
        <w:t xml:space="preserve">V rámci oblasti podpory </w:t>
      </w:r>
      <w:r w:rsidRPr="00A4241B">
        <w:rPr>
          <w:rFonts w:ascii="Arial" w:hAnsi="Arial" w:cs="Arial"/>
          <w:b/>
        </w:rPr>
        <w:t xml:space="preserve">1.2 Rovnost žen a mužů </w:t>
      </w:r>
      <w:r w:rsidRPr="00A4241B">
        <w:rPr>
          <w:rFonts w:ascii="Arial" w:hAnsi="Arial" w:cs="Arial"/>
        </w:rPr>
        <w:t xml:space="preserve">bylo od spuštění OPZ do konce roku 2017 vyhlášeno 20 výzev. Specifickým cílem všech výzev vyhlášených v IP 1.2 je </w:t>
      </w:r>
      <w:r w:rsidRPr="00A4241B">
        <w:rPr>
          <w:rFonts w:ascii="Arial" w:hAnsi="Arial" w:cs="Arial"/>
          <w:b/>
        </w:rPr>
        <w:t>snížit rozdíly v postavení žen a mužů na trhu práce</w:t>
      </w:r>
      <w:r w:rsidRPr="00A4241B">
        <w:rPr>
          <w:rFonts w:ascii="Arial" w:hAnsi="Arial" w:cs="Arial"/>
        </w:rPr>
        <w:t>. Ve čtrnácti  výzvách probíhala v roce 2017 realizace projektů. U projektových žádostí předložených ve</w:t>
      </w:r>
      <w:r>
        <w:rPr>
          <w:rFonts w:ascii="Arial" w:hAnsi="Arial" w:cs="Arial"/>
        </w:rPr>
        <w:t> </w:t>
      </w:r>
      <w:r w:rsidRPr="00A4241B">
        <w:rPr>
          <w:rFonts w:ascii="Arial" w:hAnsi="Arial" w:cs="Arial"/>
        </w:rPr>
        <w:t>výzvách vyhlášených v roce 2017 probíhal proces hodnocení</w:t>
      </w:r>
      <w:r w:rsidRPr="0000244A">
        <w:rPr>
          <w:rFonts w:ascii="Arial" w:hAnsi="Arial" w:cs="Arial"/>
        </w:rPr>
        <w:t>.</w:t>
      </w:r>
    </w:p>
    <w:p w:rsidR="00D1548F" w:rsidRPr="0000244A" w:rsidRDefault="00D1548F" w:rsidP="00D1548F">
      <w:pPr>
        <w:spacing w:line="360" w:lineRule="auto"/>
        <w:ind w:firstLine="567"/>
        <w:jc w:val="both"/>
        <w:rPr>
          <w:rFonts w:ascii="Arial" w:hAnsi="Arial" w:cs="Arial"/>
        </w:rPr>
      </w:pPr>
    </w:p>
    <w:p w:rsidR="00D1548F" w:rsidRPr="00F87ED2" w:rsidRDefault="00D1548F" w:rsidP="00D1548F">
      <w:pPr>
        <w:spacing w:line="360" w:lineRule="auto"/>
        <w:ind w:firstLine="567"/>
        <w:jc w:val="both"/>
        <w:rPr>
          <w:rFonts w:ascii="Arial" w:hAnsi="Arial" w:cs="Arial"/>
        </w:rPr>
      </w:pPr>
      <w:r w:rsidRPr="00F87ED2">
        <w:rPr>
          <w:rFonts w:ascii="Arial" w:hAnsi="Arial" w:cs="Arial"/>
        </w:rPr>
        <w:t xml:space="preserve">V procesu </w:t>
      </w:r>
      <w:r w:rsidRPr="00F87ED2">
        <w:rPr>
          <w:rFonts w:ascii="Arial" w:hAnsi="Arial" w:cs="Arial"/>
          <w:b/>
        </w:rPr>
        <w:t>realizace</w:t>
      </w:r>
      <w:r w:rsidRPr="00F87ED2">
        <w:rPr>
          <w:rFonts w:ascii="Arial" w:hAnsi="Arial" w:cs="Arial"/>
        </w:rPr>
        <w:t xml:space="preserve"> byly v </w:t>
      </w:r>
      <w:r w:rsidRPr="00F87ED2">
        <w:rPr>
          <w:rFonts w:ascii="Arial" w:hAnsi="Arial" w:cs="Arial"/>
          <w:b/>
        </w:rPr>
        <w:t>roce 2017</w:t>
      </w:r>
      <w:r w:rsidRPr="00F87ED2">
        <w:rPr>
          <w:rFonts w:ascii="Arial" w:hAnsi="Arial" w:cs="Arial"/>
        </w:rPr>
        <w:t xml:space="preserve"> projekty z následujících výzev:</w:t>
      </w:r>
    </w:p>
    <w:p w:rsidR="00D1548F" w:rsidRPr="00F87ED2" w:rsidRDefault="00D1548F" w:rsidP="00D1548F">
      <w:pPr>
        <w:spacing w:line="360" w:lineRule="auto"/>
        <w:ind w:firstLine="567"/>
        <w:jc w:val="both"/>
        <w:rPr>
          <w:rFonts w:ascii="Arial" w:hAnsi="Arial" w:cs="Arial"/>
          <w:sz w:val="16"/>
          <w:szCs w:val="16"/>
          <w:highlight w:val="yellow"/>
        </w:rPr>
      </w:pPr>
    </w:p>
    <w:p w:rsidR="00D1548F" w:rsidRPr="00F87ED2" w:rsidRDefault="00D1548F" w:rsidP="00D1548F">
      <w:pPr>
        <w:numPr>
          <w:ilvl w:val="0"/>
          <w:numId w:val="23"/>
        </w:numPr>
        <w:spacing w:after="120" w:line="360" w:lineRule="auto"/>
        <w:contextualSpacing/>
        <w:jc w:val="both"/>
        <w:rPr>
          <w:rFonts w:ascii="Arial" w:hAnsi="Arial" w:cs="Arial"/>
          <w:b/>
          <w:i/>
        </w:rPr>
      </w:pPr>
      <w:r w:rsidRPr="00F87ED2">
        <w:rPr>
          <w:rFonts w:ascii="Arial" w:hAnsi="Arial" w:cs="Arial"/>
          <w:b/>
          <w:i/>
        </w:rPr>
        <w:t>Podpora služeb péče o děti 1. stupně základních škol v době mimo školní vyučování mimo hl. m. Prahu (013)</w:t>
      </w:r>
      <w:r w:rsidRPr="00F87ED2">
        <w:rPr>
          <w:rFonts w:ascii="Arial" w:hAnsi="Arial" w:cs="Arial"/>
          <w:i/>
        </w:rPr>
        <w:t xml:space="preserve"> a </w:t>
      </w:r>
      <w:r w:rsidR="001F1E6A">
        <w:rPr>
          <w:rFonts w:ascii="Arial" w:hAnsi="Arial" w:cs="Arial"/>
          <w:b/>
          <w:i/>
        </w:rPr>
        <w:t>Podpora služeb péče o </w:t>
      </w:r>
      <w:r w:rsidRPr="00F87ED2">
        <w:rPr>
          <w:rFonts w:ascii="Arial" w:hAnsi="Arial" w:cs="Arial"/>
          <w:b/>
          <w:i/>
        </w:rPr>
        <w:t>děti 1. stupně základních škol v době mimo školní vyučování v Praze (014)</w:t>
      </w:r>
    </w:p>
    <w:p w:rsidR="00D1548F" w:rsidRPr="00F87ED2" w:rsidRDefault="00D1548F" w:rsidP="00D1548F">
      <w:pPr>
        <w:autoSpaceDE w:val="0"/>
        <w:autoSpaceDN w:val="0"/>
        <w:adjustRightInd w:val="0"/>
        <w:spacing w:line="360" w:lineRule="auto"/>
        <w:ind w:firstLine="567"/>
        <w:jc w:val="both"/>
        <w:rPr>
          <w:rFonts w:ascii="Arial" w:hAnsi="Arial" w:cs="Arial"/>
          <w:lang w:eastAsia="sk-SK"/>
        </w:rPr>
      </w:pPr>
    </w:p>
    <w:p w:rsidR="00D1548F" w:rsidRPr="00F87ED2" w:rsidRDefault="00D1548F" w:rsidP="00D1548F">
      <w:pPr>
        <w:autoSpaceDE w:val="0"/>
        <w:autoSpaceDN w:val="0"/>
        <w:adjustRightInd w:val="0"/>
        <w:spacing w:line="360" w:lineRule="auto"/>
        <w:ind w:firstLine="567"/>
        <w:jc w:val="both"/>
        <w:rPr>
          <w:rFonts w:ascii="Arial" w:hAnsi="Arial" w:cs="Arial"/>
          <w:lang w:eastAsia="sk-SK"/>
        </w:rPr>
      </w:pPr>
      <w:r w:rsidRPr="00F87ED2">
        <w:rPr>
          <w:rFonts w:ascii="Arial" w:hAnsi="Arial" w:cs="Arial"/>
          <w:lang w:eastAsia="sk-SK"/>
        </w:rPr>
        <w:t xml:space="preserve">Výzvy nabídly možnost budování zařízení, která rodičům dětí 1. stupně základní školy umožní </w:t>
      </w:r>
      <w:r w:rsidRPr="00F87ED2">
        <w:rPr>
          <w:rFonts w:ascii="Arial" w:hAnsi="Arial" w:cs="Arial"/>
          <w:b/>
          <w:lang w:eastAsia="sk-SK"/>
        </w:rPr>
        <w:t>sladit pracovní rytmus s péčí o děti</w:t>
      </w:r>
      <w:r w:rsidRPr="00F87ED2">
        <w:rPr>
          <w:rFonts w:ascii="Arial" w:hAnsi="Arial" w:cs="Arial"/>
          <w:lang w:eastAsia="sk-SK"/>
        </w:rPr>
        <w:t xml:space="preserve">. Mezi podporované aktivity patří </w:t>
      </w:r>
      <w:r w:rsidRPr="00F87ED2">
        <w:rPr>
          <w:rFonts w:ascii="Arial" w:hAnsi="Arial" w:cs="Arial"/>
          <w:lang w:eastAsia="sk-SK"/>
        </w:rPr>
        <w:lastRenderedPageBreak/>
        <w:t xml:space="preserve">zakládání a provozování zařízení, která doplňují chybějící kapacitu stávajících institucionálních forem tohoto typu (školní družiny, kluby), s dobou provozu odpovídající potřebám rodičů (oproti současné nabídce družin též v časných ranních hodinách a až do pozdního odpoledne); skupinová doprava do/ze školy zejména ve venkovských či příměstských regionech s komplikovanou dopravní obslužností (školní autobusy); zajištění doprovodu dětí na kroužky a zájmové aktivity a příměstské tábory v době školních prázdnin (tj. nepobytové). </w:t>
      </w:r>
    </w:p>
    <w:p w:rsidR="00D1548F" w:rsidRPr="00CB209A" w:rsidRDefault="00D1548F" w:rsidP="00D1548F">
      <w:pPr>
        <w:spacing w:line="360" w:lineRule="auto"/>
        <w:ind w:firstLine="567"/>
        <w:jc w:val="both"/>
        <w:rPr>
          <w:rFonts w:ascii="Arial" w:hAnsi="Arial" w:cs="Arial"/>
        </w:rPr>
      </w:pPr>
      <w:r w:rsidRPr="00C83326">
        <w:rPr>
          <w:rFonts w:ascii="Arial" w:hAnsi="Arial" w:cs="Arial"/>
        </w:rPr>
        <w:t xml:space="preserve">Do výzvy 013 bylo podáno celkem 475 projektových žádostí. Podpořeno bylo </w:t>
      </w:r>
      <w:r w:rsidRPr="00CB209A">
        <w:rPr>
          <w:rFonts w:ascii="Arial" w:hAnsi="Arial" w:cs="Arial"/>
          <w:b/>
        </w:rPr>
        <w:t>71 projektů</w:t>
      </w:r>
      <w:r w:rsidRPr="00CB209A">
        <w:rPr>
          <w:rFonts w:ascii="Arial" w:hAnsi="Arial" w:cs="Arial"/>
        </w:rPr>
        <w:t>. Finanční objem uz</w:t>
      </w:r>
      <w:r w:rsidR="001F1E6A">
        <w:rPr>
          <w:rFonts w:ascii="Arial" w:hAnsi="Arial" w:cs="Arial"/>
        </w:rPr>
        <w:t>avřených právních aktů činí 179 </w:t>
      </w:r>
      <w:r w:rsidRPr="00CB209A">
        <w:rPr>
          <w:rFonts w:ascii="Arial" w:hAnsi="Arial" w:cs="Arial"/>
        </w:rPr>
        <w:t>895 221 Kč.</w:t>
      </w:r>
    </w:p>
    <w:p w:rsidR="00D1548F" w:rsidRPr="00B946BE" w:rsidRDefault="00D1548F" w:rsidP="00D1548F">
      <w:pPr>
        <w:spacing w:line="360" w:lineRule="auto"/>
        <w:ind w:firstLine="567"/>
        <w:jc w:val="both"/>
        <w:rPr>
          <w:rFonts w:ascii="Arial" w:hAnsi="Arial" w:cs="Arial"/>
        </w:rPr>
      </w:pPr>
      <w:r w:rsidRPr="00CB209A">
        <w:rPr>
          <w:rFonts w:ascii="Arial" w:hAnsi="Arial" w:cs="Arial"/>
        </w:rPr>
        <w:t xml:space="preserve">Do výzvy 014 bylo podáno celkem 54 projektových žádostí. K realizaci bylo doporučeno </w:t>
      </w:r>
      <w:r w:rsidRPr="00CB209A">
        <w:rPr>
          <w:rFonts w:ascii="Arial" w:hAnsi="Arial" w:cs="Arial"/>
          <w:b/>
        </w:rPr>
        <w:t>13 projektů</w:t>
      </w:r>
      <w:r w:rsidRPr="00CE0A67">
        <w:rPr>
          <w:rFonts w:ascii="Arial" w:hAnsi="Arial" w:cs="Arial"/>
        </w:rPr>
        <w:t>. Finanční objem uzavřených právních aktů činí 22 896 595 Kč.</w:t>
      </w:r>
    </w:p>
    <w:p w:rsidR="00D1548F" w:rsidRPr="00B946BE" w:rsidRDefault="00D1548F" w:rsidP="00D1548F">
      <w:pPr>
        <w:spacing w:line="360" w:lineRule="auto"/>
        <w:jc w:val="both"/>
        <w:rPr>
          <w:rFonts w:ascii="Arial" w:hAnsi="Arial" w:cs="Arial"/>
        </w:rPr>
      </w:pPr>
    </w:p>
    <w:p w:rsidR="00D1548F" w:rsidRPr="0052092D" w:rsidRDefault="00D1548F" w:rsidP="00D1548F">
      <w:pPr>
        <w:numPr>
          <w:ilvl w:val="0"/>
          <w:numId w:val="24"/>
        </w:numPr>
        <w:spacing w:line="360" w:lineRule="auto"/>
        <w:contextualSpacing/>
        <w:jc w:val="both"/>
        <w:rPr>
          <w:rFonts w:ascii="Arial" w:hAnsi="Arial" w:cs="Arial"/>
          <w:b/>
          <w:i/>
        </w:rPr>
      </w:pPr>
      <w:r w:rsidRPr="00B946BE">
        <w:rPr>
          <w:rFonts w:ascii="Arial" w:hAnsi="Arial" w:cs="Arial"/>
          <w:b/>
          <w:i/>
        </w:rPr>
        <w:t xml:space="preserve">Podpora vybudování a provozu zařízení péče o děti předškolního věku pro podniky i veřejnost mimo hl. m. Prahu (035) </w:t>
      </w:r>
      <w:r w:rsidRPr="00B946BE">
        <w:rPr>
          <w:rFonts w:ascii="Arial" w:hAnsi="Arial" w:cs="Arial"/>
          <w:i/>
        </w:rPr>
        <w:t>a</w:t>
      </w:r>
      <w:r w:rsidR="00D12C38">
        <w:rPr>
          <w:rFonts w:ascii="Arial" w:hAnsi="Arial" w:cs="Arial"/>
          <w:b/>
          <w:i/>
        </w:rPr>
        <w:t xml:space="preserve"> Podpora vybudování a </w:t>
      </w:r>
      <w:r w:rsidRPr="00B946BE">
        <w:rPr>
          <w:rFonts w:ascii="Arial" w:hAnsi="Arial" w:cs="Arial"/>
          <w:b/>
          <w:i/>
        </w:rPr>
        <w:t xml:space="preserve">provozu zařízení péče o děti předškolního věku pro podniky i veřejnost </w:t>
      </w:r>
      <w:r w:rsidRPr="0052092D">
        <w:rPr>
          <w:rFonts w:ascii="Arial" w:hAnsi="Arial" w:cs="Arial"/>
          <w:b/>
          <w:i/>
        </w:rPr>
        <w:t>v hl. m. Praze (036)</w:t>
      </w:r>
    </w:p>
    <w:p w:rsidR="00D1548F" w:rsidRPr="0052092D" w:rsidRDefault="00D1548F" w:rsidP="00D1548F">
      <w:pPr>
        <w:spacing w:line="360" w:lineRule="auto"/>
        <w:ind w:left="360"/>
        <w:jc w:val="both"/>
        <w:rPr>
          <w:rFonts w:ascii="Arial" w:hAnsi="Arial" w:cs="Arial"/>
          <w:sz w:val="16"/>
          <w:szCs w:val="16"/>
        </w:rPr>
      </w:pPr>
    </w:p>
    <w:p w:rsidR="00D1548F" w:rsidRPr="0052092D" w:rsidRDefault="00D1548F" w:rsidP="00D1548F">
      <w:pPr>
        <w:autoSpaceDE w:val="0"/>
        <w:autoSpaceDN w:val="0"/>
        <w:adjustRightInd w:val="0"/>
        <w:spacing w:line="360" w:lineRule="auto"/>
        <w:ind w:firstLine="567"/>
        <w:jc w:val="both"/>
        <w:rPr>
          <w:rFonts w:ascii="Arial" w:hAnsi="Arial" w:cs="Arial"/>
          <w:bCs/>
        </w:rPr>
      </w:pPr>
      <w:r w:rsidRPr="0052092D">
        <w:rPr>
          <w:rFonts w:ascii="Arial" w:hAnsi="Arial" w:cs="Arial"/>
        </w:rPr>
        <w:t>Výzvy podporují vznik a provoz zařízení p</w:t>
      </w:r>
      <w:r w:rsidR="001F1E6A">
        <w:rPr>
          <w:rFonts w:ascii="Arial" w:hAnsi="Arial" w:cs="Arial"/>
        </w:rPr>
        <w:t xml:space="preserve">oskytujících </w:t>
      </w:r>
      <w:r w:rsidR="001F1E6A" w:rsidRPr="00717787">
        <w:rPr>
          <w:rFonts w:ascii="Arial" w:hAnsi="Arial" w:cs="Arial"/>
        </w:rPr>
        <w:t>pravidelnou péči o </w:t>
      </w:r>
      <w:r w:rsidRPr="00717787">
        <w:rPr>
          <w:rFonts w:ascii="Arial" w:hAnsi="Arial" w:cs="Arial"/>
        </w:rPr>
        <w:t>dítě od</w:t>
      </w:r>
      <w:r w:rsidR="00717787" w:rsidRPr="00717787">
        <w:rPr>
          <w:rFonts w:ascii="Arial" w:hAnsi="Arial" w:cs="Arial"/>
        </w:rPr>
        <w:t xml:space="preserve"> narození, resp. od</w:t>
      </w:r>
      <w:r w:rsidRPr="00717787">
        <w:rPr>
          <w:rFonts w:ascii="Arial" w:hAnsi="Arial" w:cs="Arial"/>
        </w:rPr>
        <w:t xml:space="preserve"> 1 či 3 let věku</w:t>
      </w:r>
      <w:r w:rsidR="00717787" w:rsidRPr="00717787">
        <w:rPr>
          <w:rFonts w:ascii="Arial" w:hAnsi="Arial" w:cs="Arial"/>
        </w:rPr>
        <w:t>,</w:t>
      </w:r>
      <w:r w:rsidRPr="00717787">
        <w:rPr>
          <w:rFonts w:ascii="Arial" w:hAnsi="Arial" w:cs="Arial"/>
        </w:rPr>
        <w:t xml:space="preserve"> do zahájení povinné školní docházky za</w:t>
      </w:r>
      <w:r w:rsidRPr="0052092D">
        <w:rPr>
          <w:rFonts w:ascii="Arial" w:hAnsi="Arial" w:cs="Arial"/>
        </w:rPr>
        <w:t xml:space="preserve"> účelem </w:t>
      </w:r>
      <w:r w:rsidRPr="0052092D">
        <w:rPr>
          <w:rFonts w:ascii="Arial" w:hAnsi="Arial" w:cs="Arial"/>
          <w:b/>
        </w:rPr>
        <w:t>zapojení rodičů do pracovního procesu</w:t>
      </w:r>
      <w:r w:rsidR="001F1E6A">
        <w:rPr>
          <w:rFonts w:ascii="Arial" w:hAnsi="Arial" w:cs="Arial"/>
        </w:rPr>
        <w:t>. Služba hlídání a péče o </w:t>
      </w:r>
      <w:r w:rsidRPr="0052092D">
        <w:rPr>
          <w:rFonts w:ascii="Arial" w:hAnsi="Arial" w:cs="Arial"/>
        </w:rPr>
        <w:t xml:space="preserve">dítě je poskytována v kolektivu dětí mimo domácnost dítěte. Obsahem služby hlídání a péče o dítě je zajištění potřeb dítěte a výchova, rozvoj schopností a kulturních i hygienických návyků dítěte. </w:t>
      </w:r>
      <w:r w:rsidRPr="0052092D">
        <w:rPr>
          <w:rFonts w:ascii="Arial" w:hAnsi="Arial" w:cs="Arial"/>
          <w:bCs/>
        </w:rPr>
        <w:t>Podporována jsou zařízení péče o děti pro zaměstnance i pro veřejnost.</w:t>
      </w:r>
    </w:p>
    <w:p w:rsidR="00D1548F" w:rsidRPr="00F23540" w:rsidRDefault="00D1548F" w:rsidP="00D1548F">
      <w:pPr>
        <w:autoSpaceDE w:val="0"/>
        <w:autoSpaceDN w:val="0"/>
        <w:adjustRightInd w:val="0"/>
        <w:spacing w:line="360" w:lineRule="auto"/>
        <w:ind w:firstLine="567"/>
        <w:jc w:val="both"/>
        <w:rPr>
          <w:rFonts w:ascii="Arial" w:hAnsi="Arial" w:cs="Arial"/>
        </w:rPr>
      </w:pPr>
      <w:r w:rsidRPr="00A326D0">
        <w:rPr>
          <w:rFonts w:ascii="Arial" w:hAnsi="Arial" w:cs="Arial"/>
        </w:rPr>
        <w:t>Ve výzvě 035 bylo celkem podáno 400 žádostí, z toho do realizace vstoupilo  353 </w:t>
      </w:r>
      <w:r w:rsidRPr="00A840E3">
        <w:rPr>
          <w:rFonts w:ascii="Arial" w:hAnsi="Arial" w:cs="Arial"/>
        </w:rPr>
        <w:t>projektů.</w:t>
      </w:r>
      <w:r w:rsidRPr="00A840E3">
        <w:rPr>
          <w:rFonts w:ascii="Arial" w:hAnsi="Arial" w:cs="Arial"/>
          <w:color w:val="FF00FF"/>
        </w:rPr>
        <w:t xml:space="preserve"> </w:t>
      </w:r>
      <w:r w:rsidRPr="00A840E3">
        <w:rPr>
          <w:rFonts w:ascii="Arial" w:hAnsi="Arial" w:cs="Arial"/>
        </w:rPr>
        <w:t xml:space="preserve">Finanční objem uzavřených </w:t>
      </w:r>
      <w:r>
        <w:rPr>
          <w:rFonts w:ascii="Arial" w:hAnsi="Arial" w:cs="Arial"/>
        </w:rPr>
        <w:t>právních aktů činí 1 066 574 411 </w:t>
      </w:r>
      <w:r w:rsidRPr="00A840E3">
        <w:rPr>
          <w:rFonts w:ascii="Arial" w:hAnsi="Arial" w:cs="Arial"/>
        </w:rPr>
        <w:t>Kč.</w:t>
      </w:r>
      <w:r w:rsidRPr="0066216D">
        <w:rPr>
          <w:rFonts w:ascii="Arial" w:hAnsi="Arial" w:cs="Arial"/>
        </w:rPr>
        <w:t xml:space="preserve"> </w:t>
      </w:r>
      <w:r w:rsidRPr="00F23540">
        <w:rPr>
          <w:rFonts w:ascii="Arial" w:hAnsi="Arial" w:cs="Arial"/>
        </w:rPr>
        <w:t xml:space="preserve">Kapacita podpořených zařízení je </w:t>
      </w:r>
      <w:r w:rsidR="00DE03CF">
        <w:rPr>
          <w:rFonts w:ascii="Arial" w:hAnsi="Arial" w:cs="Arial"/>
          <w:b/>
        </w:rPr>
        <w:t>4 829 </w:t>
      </w:r>
      <w:r w:rsidRPr="00F23540">
        <w:rPr>
          <w:rFonts w:ascii="Arial" w:hAnsi="Arial" w:cs="Arial"/>
          <w:b/>
        </w:rPr>
        <w:t>míst</w:t>
      </w:r>
      <w:r w:rsidR="00037B54">
        <w:rPr>
          <w:rFonts w:ascii="Arial" w:hAnsi="Arial" w:cs="Arial"/>
        </w:rPr>
        <w:t>. Bylo podpořeno 193 </w:t>
      </w:r>
      <w:r w:rsidRPr="00F23540">
        <w:rPr>
          <w:rFonts w:ascii="Arial" w:hAnsi="Arial" w:cs="Arial"/>
        </w:rPr>
        <w:t>zcela nových zařízení, 36 transformovaných zařízení a 124 zařízení, která již splňovala hygienické požadavky na provoz. U všech zařízení bude podpořeno 24 měsíců provozu.</w:t>
      </w:r>
    </w:p>
    <w:p w:rsidR="00D1548F" w:rsidRDefault="00D1548F" w:rsidP="00D1548F">
      <w:pPr>
        <w:autoSpaceDE w:val="0"/>
        <w:autoSpaceDN w:val="0"/>
        <w:adjustRightInd w:val="0"/>
        <w:spacing w:line="360" w:lineRule="auto"/>
        <w:ind w:firstLine="567"/>
        <w:jc w:val="both"/>
        <w:rPr>
          <w:rFonts w:ascii="Arial" w:hAnsi="Arial" w:cs="Arial"/>
        </w:rPr>
      </w:pPr>
      <w:r w:rsidRPr="00F23F3C">
        <w:rPr>
          <w:rFonts w:ascii="Arial" w:hAnsi="Arial" w:cs="Arial"/>
        </w:rPr>
        <w:t xml:space="preserve">Ve výzvě 036 bylo celkem podáno 69 </w:t>
      </w:r>
      <w:r w:rsidR="00DE03CF">
        <w:rPr>
          <w:rFonts w:ascii="Arial" w:hAnsi="Arial" w:cs="Arial"/>
        </w:rPr>
        <w:t>žádostí, z </w:t>
      </w:r>
      <w:r w:rsidRPr="00A15791">
        <w:rPr>
          <w:rFonts w:ascii="Arial" w:hAnsi="Arial" w:cs="Arial"/>
        </w:rPr>
        <w:t>toho do realizace vstoupilo 61</w:t>
      </w:r>
      <w:r>
        <w:rPr>
          <w:rFonts w:ascii="Arial" w:hAnsi="Arial" w:cs="Arial"/>
        </w:rPr>
        <w:t> </w:t>
      </w:r>
      <w:r w:rsidRPr="00A15791">
        <w:rPr>
          <w:rFonts w:ascii="Arial" w:hAnsi="Arial" w:cs="Arial"/>
        </w:rPr>
        <w:t>projektů. Finanční objem uz</w:t>
      </w:r>
      <w:r w:rsidR="00DE03CF">
        <w:rPr>
          <w:rFonts w:ascii="Arial" w:hAnsi="Arial" w:cs="Arial"/>
        </w:rPr>
        <w:t>avřených právních aktů činí 194 767 321 </w:t>
      </w:r>
      <w:r w:rsidRPr="00A15791">
        <w:rPr>
          <w:rFonts w:ascii="Arial" w:hAnsi="Arial" w:cs="Arial"/>
        </w:rPr>
        <w:t>Kč</w:t>
      </w:r>
      <w:r w:rsidRPr="00A46714">
        <w:rPr>
          <w:rFonts w:ascii="Arial" w:hAnsi="Arial" w:cs="Arial"/>
        </w:rPr>
        <w:t xml:space="preserve">. Kapacita podpořených zařízení je </w:t>
      </w:r>
      <w:r w:rsidR="00037B54">
        <w:rPr>
          <w:rFonts w:ascii="Arial" w:hAnsi="Arial" w:cs="Arial"/>
          <w:b/>
        </w:rPr>
        <w:t>943 </w:t>
      </w:r>
      <w:r w:rsidRPr="00A46714">
        <w:rPr>
          <w:rFonts w:ascii="Arial" w:hAnsi="Arial" w:cs="Arial"/>
          <w:b/>
        </w:rPr>
        <w:t>míst</w:t>
      </w:r>
      <w:r w:rsidR="00037B54">
        <w:rPr>
          <w:rFonts w:ascii="Arial" w:hAnsi="Arial" w:cs="Arial"/>
        </w:rPr>
        <w:t>. Bylo podpořeno 18 </w:t>
      </w:r>
      <w:r w:rsidRPr="00A46714">
        <w:rPr>
          <w:rFonts w:ascii="Arial" w:hAnsi="Arial" w:cs="Arial"/>
        </w:rPr>
        <w:t xml:space="preserve">zcela nových zařízení, </w:t>
      </w:r>
      <w:r w:rsidRPr="00A46714">
        <w:rPr>
          <w:rFonts w:ascii="Arial" w:hAnsi="Arial" w:cs="Arial"/>
        </w:rPr>
        <w:lastRenderedPageBreak/>
        <w:t xml:space="preserve">14 transformovaných zařízení a 29 zařízení, která již splňovala hygienické požadavky </w:t>
      </w:r>
      <w:r w:rsidRPr="00C04267">
        <w:rPr>
          <w:rFonts w:ascii="Arial" w:hAnsi="Arial" w:cs="Arial"/>
        </w:rPr>
        <w:t>na provoz. U všech zařízení bude podpořeno 24 měsíců provozu.</w:t>
      </w:r>
    </w:p>
    <w:p w:rsidR="00C1461F" w:rsidRDefault="00C1461F" w:rsidP="00D1548F">
      <w:pPr>
        <w:autoSpaceDE w:val="0"/>
        <w:autoSpaceDN w:val="0"/>
        <w:adjustRightInd w:val="0"/>
        <w:spacing w:line="360" w:lineRule="auto"/>
        <w:ind w:firstLine="567"/>
        <w:jc w:val="both"/>
        <w:rPr>
          <w:rFonts w:ascii="Arial" w:hAnsi="Arial" w:cs="Arial"/>
        </w:rPr>
      </w:pPr>
    </w:p>
    <w:p w:rsidR="00D1548F" w:rsidRPr="00C04267" w:rsidRDefault="00D1548F" w:rsidP="00D1548F">
      <w:pPr>
        <w:numPr>
          <w:ilvl w:val="0"/>
          <w:numId w:val="25"/>
        </w:numPr>
        <w:spacing w:line="360" w:lineRule="auto"/>
        <w:contextualSpacing/>
        <w:jc w:val="both"/>
        <w:rPr>
          <w:rFonts w:ascii="Arial" w:hAnsi="Arial" w:cs="Arial"/>
          <w:b/>
          <w:i/>
        </w:rPr>
      </w:pPr>
      <w:r w:rsidRPr="00C04267">
        <w:rPr>
          <w:rFonts w:ascii="Arial" w:hAnsi="Arial" w:cs="Arial"/>
          <w:b/>
          <w:i/>
        </w:rPr>
        <w:t>Systémové projekty na podporu rovnosti žen a mužů (009)</w:t>
      </w:r>
    </w:p>
    <w:p w:rsidR="00D1548F" w:rsidRPr="00C04267" w:rsidRDefault="00D1548F" w:rsidP="00D1548F">
      <w:pPr>
        <w:autoSpaceDE w:val="0"/>
        <w:autoSpaceDN w:val="0"/>
        <w:adjustRightInd w:val="0"/>
        <w:spacing w:line="360" w:lineRule="auto"/>
        <w:ind w:firstLine="567"/>
        <w:jc w:val="both"/>
        <w:rPr>
          <w:rFonts w:ascii="Arial" w:hAnsi="Arial" w:cs="Arial"/>
          <w:sz w:val="16"/>
          <w:szCs w:val="16"/>
        </w:rPr>
      </w:pPr>
    </w:p>
    <w:p w:rsidR="00D1548F" w:rsidRPr="00C04267" w:rsidRDefault="00D1548F" w:rsidP="00D1548F">
      <w:pPr>
        <w:autoSpaceDE w:val="0"/>
        <w:autoSpaceDN w:val="0"/>
        <w:adjustRightInd w:val="0"/>
        <w:spacing w:line="360" w:lineRule="auto"/>
        <w:ind w:firstLine="567"/>
        <w:jc w:val="both"/>
        <w:rPr>
          <w:rFonts w:ascii="Arial" w:hAnsi="Arial" w:cs="Arial"/>
        </w:rPr>
      </w:pPr>
      <w:r w:rsidRPr="00C04267">
        <w:rPr>
          <w:rFonts w:ascii="Arial" w:hAnsi="Arial" w:cs="Arial"/>
        </w:rPr>
        <w:t>Ve výzvě 009 činí finanční objem uzavř</w:t>
      </w:r>
      <w:r w:rsidR="00037B54">
        <w:rPr>
          <w:rFonts w:ascii="Arial" w:hAnsi="Arial" w:cs="Arial"/>
        </w:rPr>
        <w:t>ených právních aktů 334 483 012 </w:t>
      </w:r>
      <w:r w:rsidRPr="00C04267">
        <w:rPr>
          <w:rFonts w:ascii="Arial" w:hAnsi="Arial" w:cs="Arial"/>
        </w:rPr>
        <w:t>Kč. Aktuálně je realizováno následujících 5 projektů.</w:t>
      </w:r>
    </w:p>
    <w:p w:rsidR="00D1548F" w:rsidRPr="00EA39A8" w:rsidRDefault="00D1548F" w:rsidP="00D1548F">
      <w:pPr>
        <w:spacing w:after="120" w:line="360" w:lineRule="auto"/>
        <w:ind w:firstLine="567"/>
        <w:contextualSpacing/>
        <w:jc w:val="both"/>
        <w:rPr>
          <w:rFonts w:ascii="Arial" w:hAnsi="Arial" w:cs="Arial"/>
        </w:rPr>
      </w:pPr>
      <w:r w:rsidRPr="00E90B47">
        <w:rPr>
          <w:rFonts w:ascii="Arial" w:hAnsi="Arial" w:cs="Arial"/>
        </w:rPr>
        <w:t xml:space="preserve">Projekt </w:t>
      </w:r>
      <w:r w:rsidRPr="00E90B47">
        <w:rPr>
          <w:rFonts w:ascii="Arial" w:hAnsi="Arial" w:cs="Arial"/>
          <w:b/>
        </w:rPr>
        <w:t>„Podpora implementace dětských skupin“</w:t>
      </w:r>
      <w:r w:rsidRPr="00E90B47">
        <w:rPr>
          <w:rFonts w:ascii="Arial" w:hAnsi="Arial" w:cs="Arial"/>
        </w:rPr>
        <w:t xml:space="preserve"> je realizovaný MPSV. Projekt byl zahájen 1. 1. 2016, délka realizac</w:t>
      </w:r>
      <w:r w:rsidR="00DB4FE1">
        <w:rPr>
          <w:rFonts w:ascii="Arial" w:hAnsi="Arial" w:cs="Arial"/>
        </w:rPr>
        <w:t>e je 60 měsíců a </w:t>
      </w:r>
      <w:r w:rsidRPr="00E90B47">
        <w:rPr>
          <w:rFonts w:ascii="Arial" w:hAnsi="Arial" w:cs="Arial"/>
        </w:rPr>
        <w:t xml:space="preserve">rozpočet činí </w:t>
      </w:r>
      <w:r w:rsidRPr="008C612C">
        <w:rPr>
          <w:rFonts w:ascii="Arial" w:hAnsi="Arial" w:cs="Arial"/>
        </w:rPr>
        <w:t>95 496 147 Kč</w:t>
      </w:r>
      <w:r w:rsidRPr="00EA39A8">
        <w:rPr>
          <w:rFonts w:ascii="Arial" w:hAnsi="Arial" w:cs="Arial"/>
        </w:rPr>
        <w:t>. V rámci proje</w:t>
      </w:r>
      <w:r w:rsidR="00DE03CF">
        <w:rPr>
          <w:rFonts w:ascii="Arial" w:hAnsi="Arial" w:cs="Arial"/>
        </w:rPr>
        <w:t>ktu bude podpořeno vybudování a </w:t>
      </w:r>
      <w:r w:rsidRPr="00EA39A8">
        <w:rPr>
          <w:rFonts w:ascii="Arial" w:hAnsi="Arial" w:cs="Arial"/>
        </w:rPr>
        <w:t>provoz dětských skupin prostřednictvím posky</w:t>
      </w:r>
      <w:r w:rsidR="00DE03CF">
        <w:rPr>
          <w:rFonts w:ascii="Arial" w:hAnsi="Arial" w:cs="Arial"/>
        </w:rPr>
        <w:t>tnutí komplexního poradenství a </w:t>
      </w:r>
      <w:r w:rsidRPr="00EA39A8">
        <w:rPr>
          <w:rFonts w:ascii="Arial" w:hAnsi="Arial" w:cs="Arial"/>
        </w:rPr>
        <w:t>metodické podpory poskytovatelů dětských skupin s cíl</w:t>
      </w:r>
      <w:r w:rsidR="00DB4FE1">
        <w:rPr>
          <w:rFonts w:ascii="Arial" w:hAnsi="Arial" w:cs="Arial"/>
        </w:rPr>
        <w:t>em vytvořit síť poskytovatelů a </w:t>
      </w:r>
      <w:r w:rsidRPr="00EA39A8">
        <w:rPr>
          <w:rFonts w:ascii="Arial" w:hAnsi="Arial" w:cs="Arial"/>
        </w:rPr>
        <w:t>zvýšit dostupnost služeb péče o děti v dětské skupině a dále vytvoření systému kvality dětských skupin s cílem zvýšit jejich kvalitu.</w:t>
      </w:r>
    </w:p>
    <w:p w:rsidR="00D1548F" w:rsidRPr="009862A9" w:rsidRDefault="00D1548F" w:rsidP="00D1548F">
      <w:pPr>
        <w:spacing w:after="120" w:line="360" w:lineRule="auto"/>
        <w:ind w:firstLine="567"/>
        <w:contextualSpacing/>
        <w:jc w:val="both"/>
        <w:rPr>
          <w:rFonts w:ascii="Arial" w:hAnsi="Arial" w:cs="Arial"/>
        </w:rPr>
      </w:pPr>
      <w:r w:rsidRPr="009862A9">
        <w:rPr>
          <w:rFonts w:ascii="Arial" w:hAnsi="Arial" w:cs="Arial"/>
        </w:rPr>
        <w:t>Projekt „</w:t>
      </w:r>
      <w:r w:rsidRPr="009862A9">
        <w:rPr>
          <w:rFonts w:ascii="Arial" w:hAnsi="Arial" w:cs="Arial"/>
          <w:b/>
        </w:rPr>
        <w:t>Rovnost žen a mužů na trhu práce se zaměřením na (ne)rovné odměňování žen a mužů</w:t>
      </w:r>
      <w:r w:rsidRPr="009862A9">
        <w:rPr>
          <w:rFonts w:ascii="Arial" w:hAnsi="Arial" w:cs="Arial"/>
        </w:rPr>
        <w:t>“ je dalším ze systémových projektů realizovaných MPSV. Hlavním cílem projektu je zahájit proces snižování rozdílu v odměňování žen a mužů v ČR, propojit hlavní aktéry/ky tohoto jevu za účelem změnit současnou neuspokojivou situaci,</w:t>
      </w:r>
      <w:r w:rsidR="00DB4FE1">
        <w:rPr>
          <w:rFonts w:ascii="Arial" w:hAnsi="Arial" w:cs="Arial"/>
        </w:rPr>
        <w:t xml:space="preserve"> zvýšit povědomí o problému a o </w:t>
      </w:r>
      <w:r w:rsidRPr="009862A9">
        <w:rPr>
          <w:rFonts w:ascii="Arial" w:hAnsi="Arial" w:cs="Arial"/>
        </w:rPr>
        <w:t>jeho komplexnosti a navrhnout a v praxi ověřit inovativní nástroje a přístupy k řešení dané problematiky. Zastřešující klíčovou aktivitou projektu bude tvorba strategického dokumentu na vládní úrovni tzv. Akční plán pro snižování rozdílu pro snižování rozdílu v odměňování žen a mužů v ČR. Projekt byl zahájen 1. 1. 2016, délka realizace je 60 měsíců a rozpočet činí 84 900</w:t>
      </w:r>
      <w:r>
        <w:rPr>
          <w:rFonts w:ascii="Arial" w:hAnsi="Arial" w:cs="Arial"/>
        </w:rPr>
        <w:t> </w:t>
      </w:r>
      <w:r w:rsidRPr="009862A9">
        <w:rPr>
          <w:rFonts w:ascii="Arial" w:hAnsi="Arial" w:cs="Arial"/>
        </w:rPr>
        <w:t>109</w:t>
      </w:r>
      <w:r>
        <w:rPr>
          <w:rFonts w:ascii="Arial" w:hAnsi="Arial" w:cs="Arial"/>
        </w:rPr>
        <w:t> </w:t>
      </w:r>
      <w:r w:rsidRPr="009862A9">
        <w:rPr>
          <w:rFonts w:ascii="Arial" w:hAnsi="Arial" w:cs="Arial"/>
        </w:rPr>
        <w:t xml:space="preserve">Kč. </w:t>
      </w:r>
    </w:p>
    <w:p w:rsidR="00D1548F" w:rsidRPr="003B3571" w:rsidRDefault="00D1548F" w:rsidP="00D1548F">
      <w:pPr>
        <w:spacing w:after="120" w:line="360" w:lineRule="auto"/>
        <w:ind w:firstLine="567"/>
        <w:contextualSpacing/>
        <w:jc w:val="both"/>
        <w:rPr>
          <w:rFonts w:ascii="Arial" w:hAnsi="Arial" w:cs="Arial"/>
        </w:rPr>
      </w:pPr>
      <w:r w:rsidRPr="003B3571">
        <w:rPr>
          <w:rFonts w:ascii="Arial" w:hAnsi="Arial" w:cs="Arial"/>
        </w:rPr>
        <w:t>Realizátorem projektu „</w:t>
      </w:r>
      <w:r w:rsidRPr="003B3571">
        <w:rPr>
          <w:rFonts w:ascii="Arial" w:hAnsi="Arial" w:cs="Arial"/>
          <w:b/>
        </w:rPr>
        <w:t>Pod</w:t>
      </w:r>
      <w:r w:rsidR="00DE03CF">
        <w:rPr>
          <w:rFonts w:ascii="Arial" w:hAnsi="Arial" w:cs="Arial"/>
          <w:b/>
        </w:rPr>
        <w:t>pora implementace služby péče o </w:t>
      </w:r>
      <w:r w:rsidRPr="003B3571">
        <w:rPr>
          <w:rFonts w:ascii="Arial" w:hAnsi="Arial" w:cs="Arial"/>
          <w:b/>
        </w:rPr>
        <w:t>děti od šesti měsíců do čtyř let v tzv. mikrojeslích a pilotní ověření služby“</w:t>
      </w:r>
      <w:r w:rsidRPr="003B3571">
        <w:rPr>
          <w:rFonts w:ascii="Arial" w:hAnsi="Arial" w:cs="Arial"/>
        </w:rPr>
        <w:t xml:space="preserve"> je MPSV. Projekt se prostřednictvím podpory mikrojeslí a pilotního ověření nové veřejné služby péče o nejmenší děti v mikrojeslích zaměřuje na zlepšení nabídky cenově dostupných a kvalitních zařízení a služeb péče o děti za účelem zvýšení zaměstnanosti rodičů s malými dětmi, specificky žen, a usnad</w:t>
      </w:r>
      <w:r w:rsidR="00DE03CF">
        <w:rPr>
          <w:rFonts w:ascii="Arial" w:hAnsi="Arial" w:cs="Arial"/>
        </w:rPr>
        <w:t>nění slučitelnosti pracovního a </w:t>
      </w:r>
      <w:r w:rsidRPr="003B3571">
        <w:rPr>
          <w:rFonts w:ascii="Arial" w:hAnsi="Arial" w:cs="Arial"/>
        </w:rPr>
        <w:t xml:space="preserve">soukromého života. Prostřednictvím projektu by rovněž mělo dojít k podpoře vzdělávání za účelem zvýšení kvality a odbornosti pečujících osob. Projekt byl zahájen 1. 1. 2016 s délkou realizace 36 měsíců a </w:t>
      </w:r>
      <w:r>
        <w:rPr>
          <w:rFonts w:ascii="Arial" w:hAnsi="Arial" w:cs="Arial"/>
        </w:rPr>
        <w:t>rozpočet činil 15 640 680 Kč. V </w:t>
      </w:r>
      <w:r w:rsidRPr="003B3571">
        <w:rPr>
          <w:rFonts w:ascii="Arial" w:hAnsi="Arial" w:cs="Arial"/>
        </w:rPr>
        <w:t xml:space="preserve">rámci projektu byla v červenci 2017 rezortní radě předložena žádost o podstatnou změnu projektu </w:t>
      </w:r>
      <w:r w:rsidRPr="003B3571">
        <w:rPr>
          <w:rFonts w:ascii="Arial" w:hAnsi="Arial" w:cs="Arial"/>
        </w:rPr>
        <w:lastRenderedPageBreak/>
        <w:t xml:space="preserve">(prodloužení </w:t>
      </w:r>
      <w:r>
        <w:rPr>
          <w:rFonts w:ascii="Arial" w:hAnsi="Arial" w:cs="Arial"/>
        </w:rPr>
        <w:t xml:space="preserve">projektu o dalších 24 měsíců). </w:t>
      </w:r>
      <w:r w:rsidRPr="003B3571">
        <w:rPr>
          <w:rFonts w:ascii="Arial" w:hAnsi="Arial" w:cs="Arial"/>
        </w:rPr>
        <w:t>Žádost byla schválena dne 4.</w:t>
      </w:r>
      <w:r>
        <w:rPr>
          <w:rFonts w:ascii="Arial" w:hAnsi="Arial" w:cs="Arial"/>
        </w:rPr>
        <w:t> 12. </w:t>
      </w:r>
      <w:r w:rsidRPr="003B3571">
        <w:rPr>
          <w:rFonts w:ascii="Arial" w:hAnsi="Arial" w:cs="Arial"/>
        </w:rPr>
        <w:t>2017, kdy bylo podepsáno Rozhodnutí o změně Podmínek použití podpory z Operačního programu Zaměstnanost s datem ukončení projektu</w:t>
      </w:r>
      <w:r>
        <w:rPr>
          <w:rFonts w:ascii="Arial" w:hAnsi="Arial" w:cs="Arial"/>
        </w:rPr>
        <w:t xml:space="preserve"> nejpozději do 31. 12. </w:t>
      </w:r>
      <w:r w:rsidRPr="003B3571">
        <w:rPr>
          <w:rFonts w:ascii="Arial" w:hAnsi="Arial" w:cs="Arial"/>
        </w:rPr>
        <w:t xml:space="preserve">2020. </w:t>
      </w:r>
      <w:r>
        <w:rPr>
          <w:rFonts w:ascii="Arial" w:hAnsi="Arial" w:cs="Arial"/>
        </w:rPr>
        <w:t>Rozpočet</w:t>
      </w:r>
      <w:r w:rsidRPr="003B3571">
        <w:rPr>
          <w:rFonts w:ascii="Arial" w:hAnsi="Arial" w:cs="Arial"/>
        </w:rPr>
        <w:t xml:space="preserve"> činí 22 845 967 Kč.</w:t>
      </w:r>
    </w:p>
    <w:p w:rsidR="00D1548F" w:rsidRPr="00D52A86" w:rsidRDefault="00D1548F" w:rsidP="00D1548F">
      <w:pPr>
        <w:spacing w:line="360" w:lineRule="auto"/>
        <w:ind w:firstLine="567"/>
        <w:contextualSpacing/>
        <w:jc w:val="both"/>
        <w:rPr>
          <w:rFonts w:ascii="Arial" w:hAnsi="Arial" w:cs="Arial"/>
        </w:rPr>
      </w:pPr>
      <w:r w:rsidRPr="00A541E6">
        <w:rPr>
          <w:rFonts w:ascii="Arial" w:hAnsi="Arial" w:cs="Arial"/>
        </w:rPr>
        <w:t>Projekt „</w:t>
      </w:r>
      <w:r w:rsidRPr="00A541E6">
        <w:rPr>
          <w:rFonts w:ascii="Arial" w:hAnsi="Arial" w:cs="Arial"/>
          <w:b/>
        </w:rPr>
        <w:t>Implementace Vládní str</w:t>
      </w:r>
      <w:r w:rsidR="00DB4FE1">
        <w:rPr>
          <w:rFonts w:ascii="Arial" w:hAnsi="Arial" w:cs="Arial"/>
          <w:b/>
        </w:rPr>
        <w:t>ategie pro rovnost žen a mužů v </w:t>
      </w:r>
      <w:r w:rsidRPr="00A541E6">
        <w:rPr>
          <w:rFonts w:ascii="Arial" w:hAnsi="Arial" w:cs="Arial"/>
          <w:b/>
        </w:rPr>
        <w:t xml:space="preserve">České republice na léta 2014-2020 a související aktivity“ </w:t>
      </w:r>
      <w:r w:rsidRPr="00A541E6">
        <w:rPr>
          <w:rFonts w:ascii="Arial" w:hAnsi="Arial" w:cs="Arial"/>
        </w:rPr>
        <w:t xml:space="preserve">je realizovaný Úřadem vlády ČR. </w:t>
      </w:r>
      <w:r w:rsidRPr="008A19F5">
        <w:rPr>
          <w:rFonts w:ascii="Arial" w:hAnsi="Arial" w:cs="Arial"/>
        </w:rPr>
        <w:t>Projekt je zaměřen na řešení nerovností žen a mužů v ČR</w:t>
      </w:r>
      <w:r w:rsidR="00DB4FE1">
        <w:rPr>
          <w:rFonts w:ascii="Arial" w:hAnsi="Arial" w:cs="Arial"/>
        </w:rPr>
        <w:t>. K </w:t>
      </w:r>
      <w:r w:rsidRPr="00D52A86">
        <w:rPr>
          <w:rFonts w:ascii="Arial" w:hAnsi="Arial" w:cs="Arial"/>
        </w:rPr>
        <w:t>tomu by mělo dojít prostřednictvím systémového nastavení genderové agendy, zejména implementací Vládní strategie pro rovnost žen a mužů v ČR a dalších dokumentů. Projekt by měl zlepšit institucion</w:t>
      </w:r>
      <w:r w:rsidR="00DB4FE1">
        <w:rPr>
          <w:rFonts w:ascii="Arial" w:hAnsi="Arial" w:cs="Arial"/>
        </w:rPr>
        <w:t>ální zabezpečení rovnosti žen a </w:t>
      </w:r>
      <w:r w:rsidRPr="00D52A86">
        <w:rPr>
          <w:rFonts w:ascii="Arial" w:hAnsi="Arial" w:cs="Arial"/>
        </w:rPr>
        <w:t>mužů na úrovni vlády a prosazování gender mainstreamingu například lepším sběrem statistických dat či implementací standardu genderového auditu. Projekt prohloubí gender agendu směrem k EU, OSN a dalším mezinárodním organizacím. Projekt byl zahájen 1. 2. 2016, délka realizace je 59 měsíců a rozpočet činí 43 901 297 Kč.</w:t>
      </w:r>
    </w:p>
    <w:p w:rsidR="00D1548F" w:rsidRPr="006B0BBE" w:rsidRDefault="00D1548F" w:rsidP="00D1548F">
      <w:pPr>
        <w:spacing w:line="360" w:lineRule="auto"/>
        <w:ind w:firstLine="567"/>
        <w:contextualSpacing/>
        <w:jc w:val="both"/>
        <w:rPr>
          <w:rFonts w:ascii="Arial" w:hAnsi="Arial" w:cs="Arial"/>
        </w:rPr>
      </w:pPr>
      <w:r w:rsidRPr="00DE242A">
        <w:rPr>
          <w:rFonts w:ascii="Arial" w:hAnsi="Arial" w:cs="Arial"/>
        </w:rPr>
        <w:t xml:space="preserve">Hlavním cílem projektu </w:t>
      </w:r>
      <w:r w:rsidRPr="00DE242A">
        <w:rPr>
          <w:rFonts w:ascii="Arial" w:hAnsi="Arial" w:cs="Arial"/>
          <w:b/>
        </w:rPr>
        <w:t>„Koordinace opatření na podporu sladění pracovního a rodinného života na úrovni krajů“</w:t>
      </w:r>
      <w:r w:rsidRPr="00DE242A">
        <w:rPr>
          <w:rFonts w:ascii="Arial" w:hAnsi="Arial" w:cs="Arial"/>
        </w:rPr>
        <w:t xml:space="preserve"> je zlepšit koordinaci místních a celostátních politik na  podporu rodin, a tím podpořit či vytvořit na regionální (lokální) úrovni příznivé podmínky pro fungování rodin. Během realizace projektu bude vytvořen základ systémového uchopení rodinné politiky na  krajské, případně obecní úrovni a bude posílena spoluprác</w:t>
      </w:r>
      <w:r w:rsidR="00DE03CF">
        <w:rPr>
          <w:rFonts w:ascii="Arial" w:hAnsi="Arial" w:cs="Arial"/>
        </w:rPr>
        <w:t>e mezi MPSV a kraji či obcemi v </w:t>
      </w:r>
      <w:r w:rsidRPr="00DE242A">
        <w:rPr>
          <w:rFonts w:ascii="Arial" w:hAnsi="Arial" w:cs="Arial"/>
        </w:rPr>
        <w:t>této oblasti. Snahou projektu je zaměřit systematickou pozornost na potřeby rodin při plánování aktivit krajů. Příjemcem je MPSV.</w:t>
      </w:r>
      <w:r w:rsidRPr="008175FA">
        <w:rPr>
          <w:rFonts w:ascii="Arial" w:hAnsi="Arial" w:cs="Arial"/>
          <w:color w:val="FF00FF"/>
        </w:rPr>
        <w:t xml:space="preserve"> </w:t>
      </w:r>
      <w:r w:rsidRPr="00DE242A">
        <w:rPr>
          <w:rFonts w:ascii="Arial" w:hAnsi="Arial" w:cs="Arial"/>
        </w:rPr>
        <w:t>Projekt byl zahájen 1. 1. 2017, délka realizace je 36 měsíců, a to do 31. 12. 2019, schválený rozpočet projektu je 87 339 492 Kč.</w:t>
      </w:r>
    </w:p>
    <w:p w:rsidR="00D1548F" w:rsidRPr="002F56FA" w:rsidRDefault="00D1548F" w:rsidP="00D1548F">
      <w:pPr>
        <w:autoSpaceDE w:val="0"/>
        <w:autoSpaceDN w:val="0"/>
        <w:adjustRightInd w:val="0"/>
        <w:spacing w:line="360" w:lineRule="auto"/>
        <w:jc w:val="both"/>
        <w:rPr>
          <w:rFonts w:ascii="Arial" w:hAnsi="Arial" w:cs="Arial"/>
          <w:sz w:val="16"/>
          <w:szCs w:val="16"/>
        </w:rPr>
      </w:pPr>
    </w:p>
    <w:p w:rsidR="00D1548F" w:rsidRPr="002F56FA" w:rsidRDefault="00D1548F" w:rsidP="00D1548F">
      <w:pPr>
        <w:autoSpaceDE w:val="0"/>
        <w:autoSpaceDN w:val="0"/>
        <w:adjustRightInd w:val="0"/>
        <w:spacing w:line="360" w:lineRule="auto"/>
        <w:jc w:val="both"/>
        <w:rPr>
          <w:rFonts w:ascii="Arial" w:hAnsi="Arial" w:cs="Arial"/>
          <w:sz w:val="16"/>
          <w:szCs w:val="16"/>
        </w:rPr>
      </w:pPr>
    </w:p>
    <w:p w:rsidR="00D1548F" w:rsidRPr="005434F5" w:rsidRDefault="00D1548F" w:rsidP="00D1548F">
      <w:pPr>
        <w:numPr>
          <w:ilvl w:val="0"/>
          <w:numId w:val="26"/>
        </w:numPr>
        <w:spacing w:line="360" w:lineRule="auto"/>
        <w:contextualSpacing/>
        <w:jc w:val="both"/>
        <w:rPr>
          <w:rFonts w:ascii="Arial" w:hAnsi="Arial" w:cs="Arial"/>
          <w:b/>
          <w:i/>
        </w:rPr>
      </w:pPr>
      <w:r w:rsidRPr="002F56FA">
        <w:rPr>
          <w:rFonts w:ascii="Arial" w:hAnsi="Arial" w:cs="Arial"/>
          <w:b/>
          <w:i/>
        </w:rPr>
        <w:t xml:space="preserve">Soutěžní projekty na podporu rovnosti žen a mužů v ČR mimo hl. město Prahu (061) </w:t>
      </w:r>
      <w:r w:rsidRPr="002F56FA">
        <w:rPr>
          <w:rFonts w:ascii="Arial" w:hAnsi="Arial" w:cs="Arial"/>
          <w:i/>
        </w:rPr>
        <w:t>a</w:t>
      </w:r>
      <w:r w:rsidRPr="002F56FA">
        <w:rPr>
          <w:rFonts w:ascii="Arial" w:hAnsi="Arial" w:cs="Arial"/>
          <w:b/>
          <w:i/>
        </w:rPr>
        <w:t xml:space="preserve"> Soutěžní projekty na podporu rovnosti žen a mužů v</w:t>
      </w:r>
      <w:r>
        <w:rPr>
          <w:rFonts w:ascii="Arial" w:hAnsi="Arial" w:cs="Arial"/>
          <w:b/>
          <w:i/>
        </w:rPr>
        <w:t> </w:t>
      </w:r>
      <w:r w:rsidRPr="002F56FA">
        <w:rPr>
          <w:rFonts w:ascii="Arial" w:hAnsi="Arial" w:cs="Arial"/>
          <w:b/>
          <w:i/>
        </w:rPr>
        <w:t>hl</w:t>
      </w:r>
      <w:r w:rsidRPr="005434F5">
        <w:rPr>
          <w:rFonts w:ascii="Arial" w:hAnsi="Arial" w:cs="Arial"/>
          <w:b/>
          <w:i/>
        </w:rPr>
        <w:t>. městě Praze (062)</w:t>
      </w:r>
    </w:p>
    <w:p w:rsidR="00D1548F" w:rsidRPr="005434F5" w:rsidRDefault="00D1548F" w:rsidP="00D1548F">
      <w:pPr>
        <w:spacing w:line="360" w:lineRule="auto"/>
        <w:contextualSpacing/>
        <w:jc w:val="both"/>
        <w:rPr>
          <w:rFonts w:ascii="Arial" w:hAnsi="Arial" w:cs="Arial"/>
          <w:sz w:val="16"/>
          <w:szCs w:val="16"/>
        </w:rPr>
      </w:pPr>
    </w:p>
    <w:p w:rsidR="00D1548F" w:rsidRPr="00910191" w:rsidRDefault="00D1548F" w:rsidP="00D1548F">
      <w:pPr>
        <w:spacing w:line="360" w:lineRule="auto"/>
        <w:ind w:firstLine="567"/>
        <w:jc w:val="both"/>
        <w:rPr>
          <w:rFonts w:ascii="Arial" w:hAnsi="Arial" w:cs="Arial"/>
        </w:rPr>
      </w:pPr>
      <w:r w:rsidRPr="005434F5">
        <w:rPr>
          <w:rFonts w:ascii="Arial" w:hAnsi="Arial" w:cs="Arial"/>
        </w:rPr>
        <w:t xml:space="preserve">Výzvy 061 a 062 podporují </w:t>
      </w:r>
      <w:r w:rsidRPr="005434F5">
        <w:rPr>
          <w:rFonts w:ascii="Arial" w:hAnsi="Arial" w:cs="Arial"/>
          <w:b/>
        </w:rPr>
        <w:t>aktivity v oblastech</w:t>
      </w:r>
      <w:r w:rsidRPr="005434F5">
        <w:rPr>
          <w:rFonts w:ascii="Arial" w:hAnsi="Arial" w:cs="Arial"/>
        </w:rPr>
        <w:t xml:space="preserve">: komplexní podpora vedoucí ke zlepšení postavení na trhu práce žen ve věku 55 a více let, žen ohrožených na trhu práce a osob </w:t>
      </w:r>
      <w:r w:rsidRPr="00910191">
        <w:rPr>
          <w:rFonts w:ascii="Arial" w:hAnsi="Arial" w:cs="Arial"/>
        </w:rPr>
        <w:t xml:space="preserve">pečujících o malé děti či jiné závislé osoby; podpora opatření vedoucích k odstranění projevů diskriminace na trhu práce na základě pohlaví a podpora aktivit vedoucích k vyššímu zapojení mužů do péče o děti a další závislé osoby. </w:t>
      </w:r>
    </w:p>
    <w:p w:rsidR="00D1548F" w:rsidRPr="00910191" w:rsidRDefault="00D1548F" w:rsidP="00D1548F">
      <w:pPr>
        <w:spacing w:line="360" w:lineRule="auto"/>
        <w:ind w:firstLine="567"/>
        <w:jc w:val="both"/>
        <w:rPr>
          <w:rFonts w:ascii="Arial" w:hAnsi="Arial" w:cs="Arial"/>
        </w:rPr>
      </w:pPr>
      <w:r w:rsidRPr="00910191">
        <w:rPr>
          <w:rFonts w:ascii="Arial" w:hAnsi="Arial" w:cs="Arial"/>
        </w:rPr>
        <w:lastRenderedPageBreak/>
        <w:t>Do výzvy 061 bylo podáno celkem 412 projektových žádostí, z toho 106</w:t>
      </w:r>
      <w:r w:rsidR="003D0662">
        <w:rPr>
          <w:rFonts w:ascii="Arial" w:hAnsi="Arial" w:cs="Arial"/>
        </w:rPr>
        <w:t> </w:t>
      </w:r>
      <w:r w:rsidRPr="00910191">
        <w:rPr>
          <w:rFonts w:ascii="Arial" w:hAnsi="Arial" w:cs="Arial"/>
        </w:rPr>
        <w:t>projektů vstoupilo do realizace. Finanční objem uzavřených právních aktů činí 369</w:t>
      </w:r>
      <w:r w:rsidR="003D0662">
        <w:rPr>
          <w:rFonts w:ascii="Arial" w:hAnsi="Arial" w:cs="Arial"/>
        </w:rPr>
        <w:t> </w:t>
      </w:r>
      <w:r w:rsidRPr="00910191">
        <w:rPr>
          <w:rFonts w:ascii="Arial" w:hAnsi="Arial" w:cs="Arial"/>
        </w:rPr>
        <w:t>740</w:t>
      </w:r>
      <w:r w:rsidR="003D0662">
        <w:rPr>
          <w:rFonts w:ascii="Arial" w:hAnsi="Arial" w:cs="Arial"/>
        </w:rPr>
        <w:t> </w:t>
      </w:r>
      <w:r w:rsidRPr="00910191">
        <w:rPr>
          <w:rFonts w:ascii="Arial" w:hAnsi="Arial" w:cs="Arial"/>
        </w:rPr>
        <w:t>765</w:t>
      </w:r>
      <w:r w:rsidRPr="00910191" w:rsidDel="007E79B7">
        <w:rPr>
          <w:rFonts w:ascii="Arial" w:hAnsi="Arial" w:cs="Arial"/>
        </w:rPr>
        <w:t xml:space="preserve"> </w:t>
      </w:r>
      <w:r w:rsidRPr="00910191">
        <w:rPr>
          <w:rFonts w:ascii="Arial" w:hAnsi="Arial" w:cs="Arial"/>
        </w:rPr>
        <w:t xml:space="preserve">Kč. Do výzvy 062 bylo podáno celkem 75 </w:t>
      </w:r>
      <w:r w:rsidR="00197FEC">
        <w:rPr>
          <w:rFonts w:ascii="Arial" w:hAnsi="Arial" w:cs="Arial"/>
        </w:rPr>
        <w:t>projektových žádostí, z toho 12 </w:t>
      </w:r>
      <w:r w:rsidRPr="00910191">
        <w:rPr>
          <w:rFonts w:ascii="Arial" w:hAnsi="Arial" w:cs="Arial"/>
        </w:rPr>
        <w:t>projektů vstoupilo do realizace.</w:t>
      </w:r>
      <w:r w:rsidRPr="00910191">
        <w:t xml:space="preserve"> </w:t>
      </w:r>
      <w:r w:rsidRPr="00910191">
        <w:rPr>
          <w:rFonts w:ascii="Arial" w:hAnsi="Arial" w:cs="Arial"/>
        </w:rPr>
        <w:t>Finanční objem uzavřených právních aktů činí 38</w:t>
      </w:r>
      <w:r w:rsidR="003D0662">
        <w:rPr>
          <w:rFonts w:ascii="Arial" w:hAnsi="Arial" w:cs="Arial"/>
        </w:rPr>
        <w:t> </w:t>
      </w:r>
      <w:r w:rsidRPr="00910191">
        <w:rPr>
          <w:rFonts w:ascii="Arial" w:hAnsi="Arial" w:cs="Arial"/>
        </w:rPr>
        <w:t>354</w:t>
      </w:r>
      <w:r w:rsidR="00DB4FE1">
        <w:rPr>
          <w:rFonts w:ascii="Arial" w:hAnsi="Arial" w:cs="Arial"/>
        </w:rPr>
        <w:t> 023 </w:t>
      </w:r>
      <w:r w:rsidRPr="00910191">
        <w:rPr>
          <w:rFonts w:ascii="Arial" w:hAnsi="Arial" w:cs="Arial"/>
        </w:rPr>
        <w:t xml:space="preserve">Kč. </w:t>
      </w:r>
    </w:p>
    <w:p w:rsidR="00D1548F" w:rsidRPr="00910191" w:rsidRDefault="00D1548F" w:rsidP="00D1548F">
      <w:pPr>
        <w:spacing w:line="360" w:lineRule="auto"/>
        <w:jc w:val="both"/>
        <w:rPr>
          <w:rFonts w:ascii="Arial" w:hAnsi="Arial" w:cs="Arial"/>
        </w:rPr>
      </w:pPr>
    </w:p>
    <w:p w:rsidR="00D1548F" w:rsidRPr="00910191" w:rsidRDefault="00D1548F" w:rsidP="00D1548F">
      <w:pPr>
        <w:numPr>
          <w:ilvl w:val="0"/>
          <w:numId w:val="27"/>
        </w:numPr>
        <w:spacing w:line="360" w:lineRule="auto"/>
        <w:contextualSpacing/>
        <w:jc w:val="both"/>
        <w:rPr>
          <w:rFonts w:ascii="Arial" w:hAnsi="Arial" w:cs="Arial"/>
          <w:i/>
        </w:rPr>
      </w:pPr>
      <w:r w:rsidRPr="00910191">
        <w:rPr>
          <w:rFonts w:ascii="Arial" w:hAnsi="Arial" w:cs="Arial"/>
          <w:b/>
          <w:i/>
        </w:rPr>
        <w:t>Pilotní ověření péče o</w:t>
      </w:r>
      <w:r w:rsidR="00DE03CF">
        <w:rPr>
          <w:rFonts w:ascii="Arial" w:hAnsi="Arial" w:cs="Arial"/>
          <w:b/>
          <w:i/>
        </w:rPr>
        <w:t xml:space="preserve"> nejmenší děti v mikrojeslích v </w:t>
      </w:r>
      <w:r w:rsidRPr="00910191">
        <w:rPr>
          <w:rFonts w:ascii="Arial" w:hAnsi="Arial" w:cs="Arial"/>
          <w:b/>
          <w:i/>
        </w:rPr>
        <w:t xml:space="preserve">ČR (mimo hl. m. Prahu) (126) </w:t>
      </w:r>
      <w:r w:rsidRPr="00910191">
        <w:rPr>
          <w:rFonts w:ascii="Arial" w:hAnsi="Arial" w:cs="Arial"/>
          <w:i/>
        </w:rPr>
        <w:t>a</w:t>
      </w:r>
      <w:r w:rsidRPr="00910191">
        <w:rPr>
          <w:rFonts w:ascii="Arial" w:hAnsi="Arial" w:cs="Arial"/>
          <w:b/>
          <w:i/>
        </w:rPr>
        <w:t xml:space="preserve"> Pilotní ověření péče o nejmenší děti v mikrojeslích v Praze (127)</w:t>
      </w:r>
    </w:p>
    <w:p w:rsidR="00D1548F" w:rsidRPr="00910191" w:rsidRDefault="00D1548F" w:rsidP="00D1548F">
      <w:pPr>
        <w:contextualSpacing/>
        <w:jc w:val="both"/>
        <w:rPr>
          <w:rFonts w:ascii="Arial" w:hAnsi="Arial" w:cs="Arial"/>
          <w:sz w:val="16"/>
          <w:szCs w:val="16"/>
        </w:rPr>
      </w:pPr>
    </w:p>
    <w:p w:rsidR="00D1548F" w:rsidRPr="003F3D1B" w:rsidRDefault="00D1548F" w:rsidP="00D1548F">
      <w:pPr>
        <w:autoSpaceDE w:val="0"/>
        <w:autoSpaceDN w:val="0"/>
        <w:adjustRightInd w:val="0"/>
        <w:spacing w:line="360" w:lineRule="auto"/>
        <w:ind w:firstLine="567"/>
        <w:jc w:val="both"/>
        <w:rPr>
          <w:rFonts w:ascii="Arial" w:hAnsi="Arial" w:cs="Arial"/>
        </w:rPr>
      </w:pPr>
      <w:r w:rsidRPr="00910191">
        <w:rPr>
          <w:rFonts w:ascii="Arial" w:hAnsi="Arial" w:cs="Arial"/>
        </w:rPr>
        <w:t>Výzvy 126 a 127 nabízí možnost bu</w:t>
      </w:r>
      <w:r w:rsidR="00DB4FE1">
        <w:rPr>
          <w:rFonts w:ascii="Arial" w:hAnsi="Arial" w:cs="Arial"/>
        </w:rPr>
        <w:t>dování a provoz mikrojeslí, tj. </w:t>
      </w:r>
      <w:r w:rsidR="00D830BF">
        <w:rPr>
          <w:rFonts w:ascii="Arial" w:hAnsi="Arial" w:cs="Arial"/>
        </w:rPr>
        <w:t>zařízení péče o </w:t>
      </w:r>
      <w:r w:rsidRPr="00910191">
        <w:rPr>
          <w:rFonts w:ascii="Arial" w:hAnsi="Arial" w:cs="Arial"/>
        </w:rPr>
        <w:t xml:space="preserve">děti ve věku od 6 měsíců do 4 let, s kapacitou 4 děti. Mikrojesle umožní rodičům sladit pracovní rytmus s péčí o děti a současně přináší pracovní uplatnění pro pečující osoby v těchto zařízeních. Výzvy podporují aktivity: vybudování a provozování mikrojeslí, vzdělávání </w:t>
      </w:r>
      <w:r w:rsidR="00DB4FE1">
        <w:rPr>
          <w:rFonts w:ascii="Arial" w:hAnsi="Arial" w:cs="Arial"/>
        </w:rPr>
        <w:t>pečující osoby v mikrojeslích a </w:t>
      </w:r>
      <w:r w:rsidRPr="00910191">
        <w:rPr>
          <w:rFonts w:ascii="Arial" w:hAnsi="Arial" w:cs="Arial"/>
        </w:rPr>
        <w:t>spolupráci na pilotním ověření služby mikrojeslí s </w:t>
      </w:r>
      <w:r w:rsidRPr="003F3D1B">
        <w:rPr>
          <w:rFonts w:ascii="Arial" w:hAnsi="Arial" w:cs="Arial"/>
        </w:rPr>
        <w:t>MPSV v projektu „Podpora implementace služby péče o děti od šesti měsíců do</w:t>
      </w:r>
      <w:r w:rsidR="00DB4FE1">
        <w:rPr>
          <w:rFonts w:ascii="Arial" w:hAnsi="Arial" w:cs="Arial"/>
        </w:rPr>
        <w:t xml:space="preserve"> čtyř let v tzv. mikrojeslích a </w:t>
      </w:r>
      <w:r w:rsidRPr="003F3D1B">
        <w:rPr>
          <w:rFonts w:ascii="Arial" w:hAnsi="Arial" w:cs="Arial"/>
        </w:rPr>
        <w:t>pilotní ověření služby“.</w:t>
      </w:r>
    </w:p>
    <w:p w:rsidR="00D1548F" w:rsidRPr="004F5358" w:rsidRDefault="00D1548F" w:rsidP="00D1548F">
      <w:pPr>
        <w:autoSpaceDE w:val="0"/>
        <w:autoSpaceDN w:val="0"/>
        <w:adjustRightInd w:val="0"/>
        <w:spacing w:line="360" w:lineRule="auto"/>
        <w:ind w:firstLine="567"/>
        <w:jc w:val="both"/>
        <w:rPr>
          <w:rFonts w:ascii="Arial" w:hAnsi="Arial" w:cs="Arial"/>
        </w:rPr>
      </w:pPr>
      <w:r w:rsidRPr="003F3D1B">
        <w:rPr>
          <w:rFonts w:ascii="Arial" w:hAnsi="Arial" w:cs="Arial"/>
        </w:rPr>
        <w:t xml:space="preserve">Ve výzvě 126 bylo podáno 105 </w:t>
      </w:r>
      <w:r w:rsidR="00DB4FE1">
        <w:rPr>
          <w:rFonts w:ascii="Arial" w:hAnsi="Arial" w:cs="Arial"/>
        </w:rPr>
        <w:t>projektových žádostí, z toho 64 </w:t>
      </w:r>
      <w:r w:rsidRPr="003F3D1B">
        <w:rPr>
          <w:rFonts w:ascii="Arial" w:hAnsi="Arial" w:cs="Arial"/>
        </w:rPr>
        <w:t>projektů vstoupilo do realizace. Finanční objem uz</w:t>
      </w:r>
      <w:r w:rsidR="00DB4FE1">
        <w:rPr>
          <w:rFonts w:ascii="Arial" w:hAnsi="Arial" w:cs="Arial"/>
        </w:rPr>
        <w:t>avřených právních aktů činí 121 </w:t>
      </w:r>
      <w:r w:rsidRPr="003F3D1B">
        <w:rPr>
          <w:rFonts w:ascii="Arial" w:hAnsi="Arial" w:cs="Arial"/>
        </w:rPr>
        <w:t>666</w:t>
      </w:r>
      <w:r w:rsidR="00DB4FE1">
        <w:rPr>
          <w:rFonts w:ascii="Arial" w:hAnsi="Arial" w:cs="Arial"/>
        </w:rPr>
        <w:t> </w:t>
      </w:r>
      <w:r w:rsidRPr="003F3D1B">
        <w:rPr>
          <w:rFonts w:ascii="Arial" w:hAnsi="Arial" w:cs="Arial"/>
        </w:rPr>
        <w:t>550</w:t>
      </w:r>
      <w:r w:rsidR="00DB4FE1">
        <w:rPr>
          <w:rFonts w:ascii="Arial" w:hAnsi="Arial" w:cs="Arial"/>
        </w:rPr>
        <w:t> </w:t>
      </w:r>
      <w:r w:rsidRPr="003F3D1B">
        <w:rPr>
          <w:rFonts w:ascii="Arial" w:hAnsi="Arial" w:cs="Arial"/>
        </w:rPr>
        <w:t>Kč.</w:t>
      </w:r>
      <w:r w:rsidR="00197FEC">
        <w:rPr>
          <w:rFonts w:ascii="Arial" w:hAnsi="Arial" w:cs="Arial"/>
        </w:rPr>
        <w:t xml:space="preserve"> Ve výzvě 127 bylo předloženo 7 </w:t>
      </w:r>
      <w:r w:rsidRPr="003F3D1B">
        <w:rPr>
          <w:rFonts w:ascii="Arial" w:hAnsi="Arial" w:cs="Arial"/>
        </w:rPr>
        <w:t>projektových žádostí, všech 7</w:t>
      </w:r>
      <w:r w:rsidR="00DB4FE1">
        <w:rPr>
          <w:rFonts w:ascii="Arial" w:hAnsi="Arial" w:cs="Arial"/>
        </w:rPr>
        <w:t> </w:t>
      </w:r>
      <w:r w:rsidRPr="003F3D1B">
        <w:rPr>
          <w:rFonts w:ascii="Arial" w:hAnsi="Arial" w:cs="Arial"/>
        </w:rPr>
        <w:t xml:space="preserve">projektů bylo podpořeno. </w:t>
      </w:r>
      <w:r w:rsidRPr="004F5358">
        <w:rPr>
          <w:rFonts w:ascii="Arial" w:hAnsi="Arial" w:cs="Arial"/>
        </w:rPr>
        <w:t>Finanční objem uzavřených právních aktů činí 13 257</w:t>
      </w:r>
      <w:r w:rsidR="00DB4FE1">
        <w:rPr>
          <w:rFonts w:ascii="Arial" w:hAnsi="Arial" w:cs="Arial"/>
        </w:rPr>
        <w:t> </w:t>
      </w:r>
      <w:r w:rsidRPr="004F5358">
        <w:rPr>
          <w:rFonts w:ascii="Arial" w:hAnsi="Arial" w:cs="Arial"/>
        </w:rPr>
        <w:t>169</w:t>
      </w:r>
      <w:r w:rsidR="00DB4FE1">
        <w:rPr>
          <w:rFonts w:ascii="Arial" w:hAnsi="Arial" w:cs="Arial"/>
        </w:rPr>
        <w:t> </w:t>
      </w:r>
      <w:r w:rsidRPr="004F5358">
        <w:rPr>
          <w:rFonts w:ascii="Arial" w:hAnsi="Arial" w:cs="Arial"/>
        </w:rPr>
        <w:t>Kč.</w:t>
      </w:r>
    </w:p>
    <w:p w:rsidR="00D1548F" w:rsidRPr="004F5358" w:rsidRDefault="00D1548F" w:rsidP="00D1548F">
      <w:pPr>
        <w:autoSpaceDE w:val="0"/>
        <w:autoSpaceDN w:val="0"/>
        <w:adjustRightInd w:val="0"/>
        <w:spacing w:line="360" w:lineRule="auto"/>
        <w:ind w:firstLine="567"/>
        <w:jc w:val="both"/>
        <w:rPr>
          <w:rFonts w:ascii="Arial" w:hAnsi="Arial" w:cs="Arial"/>
        </w:rPr>
      </w:pPr>
    </w:p>
    <w:p w:rsidR="00D1548F" w:rsidRPr="004F5358" w:rsidRDefault="00D1548F" w:rsidP="00D1548F">
      <w:pPr>
        <w:numPr>
          <w:ilvl w:val="0"/>
          <w:numId w:val="28"/>
        </w:numPr>
        <w:spacing w:line="360" w:lineRule="auto"/>
        <w:contextualSpacing/>
        <w:jc w:val="both"/>
        <w:rPr>
          <w:rFonts w:ascii="Arial" w:hAnsi="Arial" w:cs="Arial"/>
          <w:b/>
          <w:i/>
        </w:rPr>
      </w:pPr>
      <w:r w:rsidRPr="004F5358">
        <w:rPr>
          <w:rFonts w:ascii="Arial" w:hAnsi="Arial" w:cs="Arial"/>
          <w:b/>
          <w:i/>
        </w:rPr>
        <w:t>Implementace Vládní str</w:t>
      </w:r>
      <w:r w:rsidR="00197FEC">
        <w:rPr>
          <w:rFonts w:ascii="Arial" w:hAnsi="Arial" w:cs="Arial"/>
          <w:b/>
          <w:i/>
        </w:rPr>
        <w:t>ategie pro rovnost žen a mužů v </w:t>
      </w:r>
      <w:r w:rsidRPr="004F5358">
        <w:rPr>
          <w:rFonts w:ascii="Arial" w:hAnsi="Arial" w:cs="Arial"/>
          <w:b/>
          <w:i/>
        </w:rPr>
        <w:t>Čes</w:t>
      </w:r>
      <w:r w:rsidR="00197FEC">
        <w:rPr>
          <w:rFonts w:ascii="Arial" w:hAnsi="Arial" w:cs="Arial"/>
          <w:b/>
          <w:i/>
        </w:rPr>
        <w:t>ké republice na léta 2014</w:t>
      </w:r>
      <w:r w:rsidRPr="004F5358">
        <w:rPr>
          <w:rFonts w:ascii="Arial" w:hAnsi="Arial" w:cs="Arial"/>
          <w:b/>
          <w:i/>
        </w:rPr>
        <w:t xml:space="preserve">–2020 (méně rozvinuté regiony) (027) </w:t>
      </w:r>
      <w:r w:rsidRPr="004F5358">
        <w:rPr>
          <w:rFonts w:ascii="Arial" w:hAnsi="Arial" w:cs="Arial"/>
          <w:i/>
        </w:rPr>
        <w:t>a</w:t>
      </w:r>
      <w:r w:rsidRPr="004F5358">
        <w:rPr>
          <w:rFonts w:ascii="Arial" w:hAnsi="Arial" w:cs="Arial"/>
          <w:b/>
          <w:i/>
        </w:rPr>
        <w:t> Implementace Vládní str</w:t>
      </w:r>
      <w:r w:rsidR="00197FEC">
        <w:rPr>
          <w:rFonts w:ascii="Arial" w:hAnsi="Arial" w:cs="Arial"/>
          <w:b/>
          <w:i/>
        </w:rPr>
        <w:t>ategie pro rovnost žen a mužů v České republice na léta 2014</w:t>
      </w:r>
      <w:r w:rsidRPr="004F5358">
        <w:rPr>
          <w:rFonts w:ascii="Arial" w:hAnsi="Arial" w:cs="Arial"/>
          <w:b/>
          <w:i/>
        </w:rPr>
        <w:t xml:space="preserve">–2020 Praha (028) </w:t>
      </w:r>
    </w:p>
    <w:p w:rsidR="00D1548F" w:rsidRPr="0000244A" w:rsidRDefault="00D1548F" w:rsidP="00D1548F">
      <w:pPr>
        <w:contextualSpacing/>
        <w:jc w:val="both"/>
        <w:rPr>
          <w:rFonts w:ascii="Arial" w:hAnsi="Arial" w:cs="Arial"/>
          <w:sz w:val="16"/>
          <w:szCs w:val="16"/>
        </w:rPr>
      </w:pPr>
    </w:p>
    <w:p w:rsidR="00D1548F" w:rsidRDefault="00D1548F" w:rsidP="00D1548F">
      <w:pPr>
        <w:spacing w:after="120" w:line="360" w:lineRule="auto"/>
        <w:ind w:firstLine="567"/>
        <w:contextualSpacing/>
        <w:jc w:val="both"/>
        <w:rPr>
          <w:rFonts w:ascii="Arial" w:hAnsi="Arial" w:cs="Arial"/>
        </w:rPr>
      </w:pPr>
      <w:r w:rsidRPr="00DF2EAA">
        <w:rPr>
          <w:rFonts w:ascii="Arial" w:hAnsi="Arial" w:cs="Arial"/>
        </w:rPr>
        <w:t>Výzvy 027 a 028 jsou zaměřeny na podporu orgánů veřejné správy při přijímání opatření vyplývající z Vládní strategie pro rovnost žen a mužů v České republice na léta 2014–2020. Tato opatření mohou být směrována jak na věcnou agendu, kterou má daná instituce v gesci, tak na její vlastní fungování z hlediska personálního a organizačního.</w:t>
      </w:r>
    </w:p>
    <w:p w:rsidR="00D1548F" w:rsidRPr="00EF6977" w:rsidRDefault="00D1548F" w:rsidP="00D1548F">
      <w:pPr>
        <w:spacing w:after="120" w:line="360" w:lineRule="auto"/>
        <w:ind w:firstLine="567"/>
        <w:contextualSpacing/>
        <w:jc w:val="both"/>
        <w:rPr>
          <w:rFonts w:ascii="Arial" w:hAnsi="Arial" w:cs="Arial"/>
        </w:rPr>
      </w:pPr>
      <w:r w:rsidRPr="00EF6977">
        <w:rPr>
          <w:rFonts w:ascii="Arial" w:hAnsi="Arial" w:cs="Arial"/>
        </w:rPr>
        <w:lastRenderedPageBreak/>
        <w:t>Ve výzvě 027 bylo předloženo 31 projektových žádostí, z toho do realizace vstoupilo 13 projektů.</w:t>
      </w:r>
      <w:r w:rsidRPr="00EF6977">
        <w:t xml:space="preserve"> </w:t>
      </w:r>
      <w:r w:rsidRPr="00EF6977">
        <w:rPr>
          <w:rFonts w:ascii="Arial" w:hAnsi="Arial" w:cs="Arial"/>
        </w:rPr>
        <w:t>Finanční objem uzavřených právních aktů činí 48</w:t>
      </w:r>
      <w:r w:rsidR="004753EA">
        <w:rPr>
          <w:rFonts w:ascii="Arial" w:hAnsi="Arial" w:cs="Arial"/>
        </w:rPr>
        <w:t> </w:t>
      </w:r>
      <w:r w:rsidRPr="00EF6977">
        <w:rPr>
          <w:rFonts w:ascii="Arial" w:hAnsi="Arial" w:cs="Arial"/>
        </w:rPr>
        <w:t>740</w:t>
      </w:r>
      <w:r w:rsidR="004753EA">
        <w:rPr>
          <w:rFonts w:ascii="Arial" w:hAnsi="Arial" w:cs="Arial"/>
        </w:rPr>
        <w:t> </w:t>
      </w:r>
      <w:r w:rsidRPr="00EF6977">
        <w:rPr>
          <w:rFonts w:ascii="Arial" w:hAnsi="Arial" w:cs="Arial"/>
        </w:rPr>
        <w:t>000</w:t>
      </w:r>
      <w:r w:rsidR="004753EA">
        <w:rPr>
          <w:rFonts w:ascii="Arial" w:hAnsi="Arial" w:cs="Arial"/>
        </w:rPr>
        <w:t> </w:t>
      </w:r>
      <w:r w:rsidRPr="00EF6977">
        <w:rPr>
          <w:rFonts w:ascii="Arial" w:hAnsi="Arial" w:cs="Arial"/>
        </w:rPr>
        <w:t>Kč. Ve výzvě 028 bylo předloženo 21 projekto</w:t>
      </w:r>
      <w:r w:rsidR="004753EA">
        <w:rPr>
          <w:rFonts w:ascii="Arial" w:hAnsi="Arial" w:cs="Arial"/>
        </w:rPr>
        <w:t>vých žádostí, podpořeno bylo 11 </w:t>
      </w:r>
      <w:r w:rsidRPr="00EF6977">
        <w:rPr>
          <w:rFonts w:ascii="Arial" w:hAnsi="Arial" w:cs="Arial"/>
        </w:rPr>
        <w:t>projektů v celkové výši 60</w:t>
      </w:r>
      <w:r w:rsidR="004753EA">
        <w:rPr>
          <w:rFonts w:ascii="Arial" w:hAnsi="Arial" w:cs="Arial"/>
        </w:rPr>
        <w:t> </w:t>
      </w:r>
      <w:r w:rsidRPr="00EF6977">
        <w:rPr>
          <w:rFonts w:ascii="Arial" w:hAnsi="Arial" w:cs="Arial"/>
        </w:rPr>
        <w:t>328</w:t>
      </w:r>
      <w:r w:rsidR="004753EA">
        <w:rPr>
          <w:rFonts w:ascii="Arial" w:hAnsi="Arial" w:cs="Arial"/>
        </w:rPr>
        <w:t> </w:t>
      </w:r>
      <w:r w:rsidRPr="00EF6977">
        <w:rPr>
          <w:rFonts w:ascii="Arial" w:hAnsi="Arial" w:cs="Arial"/>
        </w:rPr>
        <w:t>506</w:t>
      </w:r>
      <w:r w:rsidR="004753EA">
        <w:rPr>
          <w:rFonts w:ascii="Arial" w:hAnsi="Arial" w:cs="Arial"/>
        </w:rPr>
        <w:t> </w:t>
      </w:r>
      <w:r w:rsidRPr="00EF6977">
        <w:rPr>
          <w:rFonts w:ascii="Arial" w:hAnsi="Arial" w:cs="Arial"/>
        </w:rPr>
        <w:t>Kč.</w:t>
      </w:r>
    </w:p>
    <w:p w:rsidR="00D1548F" w:rsidRPr="00EF6977" w:rsidRDefault="00D1548F" w:rsidP="00D1548F">
      <w:pPr>
        <w:spacing w:after="120" w:line="360" w:lineRule="auto"/>
        <w:ind w:firstLine="567"/>
        <w:contextualSpacing/>
        <w:jc w:val="both"/>
        <w:rPr>
          <w:rFonts w:ascii="Arial" w:hAnsi="Arial" w:cs="Arial"/>
        </w:rPr>
      </w:pPr>
    </w:p>
    <w:p w:rsidR="00D1548F" w:rsidRPr="00AC0379" w:rsidRDefault="00D1548F" w:rsidP="00D1548F">
      <w:pPr>
        <w:numPr>
          <w:ilvl w:val="0"/>
          <w:numId w:val="28"/>
        </w:numPr>
        <w:spacing w:after="120" w:line="360" w:lineRule="auto"/>
        <w:contextualSpacing/>
        <w:jc w:val="both"/>
        <w:rPr>
          <w:rFonts w:ascii="Arial" w:hAnsi="Arial" w:cs="Arial"/>
        </w:rPr>
      </w:pPr>
      <w:r w:rsidRPr="00EF6977">
        <w:rPr>
          <w:rFonts w:ascii="Arial" w:hAnsi="Arial" w:cs="Arial"/>
          <w:b/>
          <w:i/>
        </w:rPr>
        <w:t xml:space="preserve">Realizace genderových auditů u zaměstnavatelů – méně rozvinuté </w:t>
      </w:r>
      <w:r w:rsidRPr="00AC0379">
        <w:rPr>
          <w:rFonts w:ascii="Arial" w:hAnsi="Arial" w:cs="Arial"/>
          <w:b/>
          <w:i/>
        </w:rPr>
        <w:t>regiony (050), Praha (051)</w:t>
      </w:r>
    </w:p>
    <w:p w:rsidR="00D1548F" w:rsidRPr="00AC0379" w:rsidRDefault="00D1548F" w:rsidP="00D1548F">
      <w:pPr>
        <w:spacing w:after="120" w:line="360" w:lineRule="auto"/>
        <w:ind w:left="927"/>
        <w:contextualSpacing/>
        <w:jc w:val="both"/>
        <w:rPr>
          <w:rFonts w:ascii="Arial" w:hAnsi="Arial" w:cs="Arial"/>
          <w:sz w:val="16"/>
          <w:szCs w:val="16"/>
        </w:rPr>
      </w:pPr>
    </w:p>
    <w:p w:rsidR="00D1548F" w:rsidRPr="00C20EE6" w:rsidRDefault="00D1548F" w:rsidP="00D1548F">
      <w:pPr>
        <w:spacing w:after="120" w:line="360" w:lineRule="auto"/>
        <w:ind w:firstLine="567"/>
        <w:contextualSpacing/>
        <w:jc w:val="both"/>
        <w:rPr>
          <w:rFonts w:ascii="Arial" w:hAnsi="Arial" w:cs="Arial"/>
        </w:rPr>
      </w:pPr>
      <w:r w:rsidRPr="00AC0379">
        <w:rPr>
          <w:rFonts w:ascii="Arial" w:hAnsi="Arial" w:cs="Arial"/>
        </w:rPr>
        <w:t>Podporovanou aktivitou výzev 050 a 051 je realizace genderového auditu u zaměstnavatele s alespoň deseti zaměstnanci (myšleno v přepočtu na celé úvazky v okamžiku uzavření smlouvy o provedení auditu). Audit musí odpovídat standardu genderového auditu vydanému Úřadem vlády. Výstupem projektu bude závěrečná zpráva odpovídající požadavkům uvedeného standardu za každý provedený audit v </w:t>
      </w:r>
      <w:r w:rsidRPr="00C20EE6">
        <w:rPr>
          <w:rFonts w:ascii="Arial" w:hAnsi="Arial" w:cs="Arial"/>
        </w:rPr>
        <w:t xml:space="preserve">rámci projektu. </w:t>
      </w:r>
    </w:p>
    <w:p w:rsidR="00D1548F" w:rsidRDefault="00D1548F" w:rsidP="00D1548F">
      <w:pPr>
        <w:spacing w:after="120" w:line="360" w:lineRule="auto"/>
        <w:ind w:firstLine="567"/>
        <w:contextualSpacing/>
        <w:jc w:val="both"/>
        <w:rPr>
          <w:rFonts w:ascii="Arial" w:hAnsi="Arial" w:cs="Arial"/>
        </w:rPr>
      </w:pPr>
      <w:r w:rsidRPr="00C20EE6">
        <w:rPr>
          <w:rFonts w:ascii="Arial" w:hAnsi="Arial" w:cs="Arial"/>
        </w:rPr>
        <w:t>Do výzvy 050 bylo předloženo 23 projektových žádostí, z toho do realizace vstoupilo 22 projektů.</w:t>
      </w:r>
      <w:r w:rsidRPr="00C20EE6">
        <w:t xml:space="preserve"> </w:t>
      </w:r>
      <w:r w:rsidRPr="00C20EE6">
        <w:rPr>
          <w:rFonts w:ascii="Arial" w:hAnsi="Arial" w:cs="Arial"/>
        </w:rPr>
        <w:t>Finanční objem uzavřenýc</w:t>
      </w:r>
      <w:r>
        <w:rPr>
          <w:rFonts w:ascii="Arial" w:hAnsi="Arial" w:cs="Arial"/>
        </w:rPr>
        <w:t>h právních aktů činí 22 800 000 </w:t>
      </w:r>
      <w:r w:rsidRPr="00C20EE6">
        <w:rPr>
          <w:rFonts w:ascii="Arial" w:hAnsi="Arial" w:cs="Arial"/>
        </w:rPr>
        <w:t>Kč. Do výzvy 051 bylo předloženo 5 projektových žádostí,</w:t>
      </w:r>
      <w:r w:rsidRPr="00C20EE6">
        <w:t xml:space="preserve"> </w:t>
      </w:r>
      <w:r w:rsidRPr="00C20EE6">
        <w:rPr>
          <w:rFonts w:ascii="Arial" w:hAnsi="Arial" w:cs="Arial"/>
        </w:rPr>
        <w:t xml:space="preserve">z toho do realizace vstoupilo 5 projektů. Finanční objem </w:t>
      </w:r>
      <w:r w:rsidR="004753EA">
        <w:rPr>
          <w:rFonts w:ascii="Arial" w:hAnsi="Arial" w:cs="Arial"/>
        </w:rPr>
        <w:t>uzavřených právních aktů činí 4 </w:t>
      </w:r>
      <w:r w:rsidRPr="00C20EE6">
        <w:rPr>
          <w:rFonts w:ascii="Arial" w:hAnsi="Arial" w:cs="Arial"/>
        </w:rPr>
        <w:t>762</w:t>
      </w:r>
      <w:r w:rsidR="004753EA">
        <w:rPr>
          <w:rFonts w:ascii="Arial" w:hAnsi="Arial" w:cs="Arial"/>
        </w:rPr>
        <w:t> </w:t>
      </w:r>
      <w:r w:rsidRPr="00C20EE6">
        <w:rPr>
          <w:rFonts w:ascii="Arial" w:hAnsi="Arial" w:cs="Arial"/>
        </w:rPr>
        <w:t>379</w:t>
      </w:r>
      <w:r w:rsidR="004753EA">
        <w:rPr>
          <w:rFonts w:ascii="Arial" w:hAnsi="Arial" w:cs="Arial"/>
        </w:rPr>
        <w:t> </w:t>
      </w:r>
      <w:r w:rsidRPr="00C20EE6">
        <w:rPr>
          <w:rFonts w:ascii="Arial" w:hAnsi="Arial" w:cs="Arial"/>
        </w:rPr>
        <w:t>Kč.</w:t>
      </w:r>
    </w:p>
    <w:p w:rsidR="00FB132C" w:rsidRPr="00FA6A54" w:rsidRDefault="00FB132C" w:rsidP="00D1548F">
      <w:pPr>
        <w:spacing w:after="120" w:line="360" w:lineRule="auto"/>
        <w:ind w:firstLine="567"/>
        <w:contextualSpacing/>
        <w:jc w:val="both"/>
        <w:rPr>
          <w:rFonts w:ascii="Arial" w:hAnsi="Arial" w:cs="Arial"/>
        </w:rPr>
      </w:pPr>
    </w:p>
    <w:p w:rsidR="00D1548F" w:rsidRPr="002A32F0" w:rsidRDefault="00D1548F" w:rsidP="00D1548F">
      <w:pPr>
        <w:numPr>
          <w:ilvl w:val="0"/>
          <w:numId w:val="28"/>
        </w:numPr>
        <w:spacing w:after="120" w:line="360" w:lineRule="auto"/>
        <w:contextualSpacing/>
        <w:jc w:val="both"/>
        <w:rPr>
          <w:rFonts w:ascii="Arial" w:hAnsi="Arial" w:cs="Arial"/>
        </w:rPr>
      </w:pPr>
      <w:r w:rsidRPr="002A32F0">
        <w:rPr>
          <w:rFonts w:ascii="Arial" w:hAnsi="Arial" w:cs="Arial"/>
          <w:b/>
          <w:i/>
        </w:rPr>
        <w:t>Podpora vzniku a provozu dětských skupin pro podniky a</w:t>
      </w:r>
      <w:r w:rsidR="004753EA">
        <w:rPr>
          <w:rFonts w:ascii="Arial" w:hAnsi="Arial" w:cs="Arial"/>
          <w:b/>
          <w:i/>
        </w:rPr>
        <w:t> </w:t>
      </w:r>
      <w:r w:rsidRPr="002A32F0">
        <w:rPr>
          <w:rFonts w:ascii="Arial" w:hAnsi="Arial" w:cs="Arial"/>
          <w:b/>
          <w:i/>
        </w:rPr>
        <w:t>veřejnost mimo hl. m. Prahu (132)</w:t>
      </w:r>
    </w:p>
    <w:p w:rsidR="00D1548F" w:rsidRPr="002A32F0" w:rsidRDefault="00D1548F" w:rsidP="00D1548F">
      <w:pPr>
        <w:spacing w:after="120" w:line="360" w:lineRule="auto"/>
        <w:ind w:left="927"/>
        <w:contextualSpacing/>
        <w:jc w:val="both"/>
        <w:rPr>
          <w:rFonts w:ascii="Arial" w:hAnsi="Arial" w:cs="Arial"/>
          <w:sz w:val="16"/>
          <w:szCs w:val="16"/>
        </w:rPr>
      </w:pPr>
    </w:p>
    <w:p w:rsidR="00D1548F" w:rsidRDefault="00D1548F" w:rsidP="00D1548F">
      <w:pPr>
        <w:spacing w:after="120" w:line="360" w:lineRule="auto"/>
        <w:ind w:firstLine="567"/>
        <w:contextualSpacing/>
        <w:jc w:val="both"/>
        <w:rPr>
          <w:rFonts w:ascii="Arial" w:hAnsi="Arial" w:cs="Arial"/>
        </w:rPr>
      </w:pPr>
      <w:r w:rsidRPr="000A1CA1">
        <w:rPr>
          <w:rFonts w:ascii="Arial" w:hAnsi="Arial" w:cs="Arial"/>
        </w:rPr>
        <w:t>Výzva 132 podporuje vznik a následný provoz dětských skupin za účelem zapojení rodičů do pracovního procesu. Služba hlí</w:t>
      </w:r>
      <w:r w:rsidR="004753EA">
        <w:rPr>
          <w:rFonts w:ascii="Arial" w:hAnsi="Arial" w:cs="Arial"/>
        </w:rPr>
        <w:t>dání a péče o </w:t>
      </w:r>
      <w:r w:rsidRPr="000A1CA1">
        <w:rPr>
          <w:rFonts w:ascii="Arial" w:hAnsi="Arial" w:cs="Arial"/>
        </w:rPr>
        <w:t xml:space="preserve">dítě je poskytována v kolektivu dětí mimo domácnost dítěte. </w:t>
      </w:r>
      <w:r w:rsidR="004753EA">
        <w:rPr>
          <w:rFonts w:ascii="Arial" w:hAnsi="Arial" w:cs="Arial"/>
        </w:rPr>
        <w:t>Obsahem služby hlídání a péče o </w:t>
      </w:r>
      <w:r w:rsidRPr="000A1CA1">
        <w:rPr>
          <w:rFonts w:ascii="Arial" w:hAnsi="Arial" w:cs="Arial"/>
        </w:rPr>
        <w:t>dítě je zajištění potřeb dítěte a výchova, r</w:t>
      </w:r>
      <w:r w:rsidR="004753EA">
        <w:rPr>
          <w:rFonts w:ascii="Arial" w:hAnsi="Arial" w:cs="Arial"/>
        </w:rPr>
        <w:t>ozvoj schopností a kulturních i </w:t>
      </w:r>
      <w:r w:rsidRPr="000A1CA1">
        <w:rPr>
          <w:rFonts w:ascii="Arial" w:hAnsi="Arial" w:cs="Arial"/>
        </w:rPr>
        <w:t>hygienických návyků dítěte</w:t>
      </w:r>
      <w:r w:rsidRPr="004522EB">
        <w:rPr>
          <w:rFonts w:ascii="Arial" w:hAnsi="Arial" w:cs="Arial"/>
        </w:rPr>
        <w:t>. Po</w:t>
      </w:r>
      <w:r w:rsidR="004753EA">
        <w:rPr>
          <w:rFonts w:ascii="Arial" w:hAnsi="Arial" w:cs="Arial"/>
        </w:rPr>
        <w:t>dporována budou zařízení péče o </w:t>
      </w:r>
      <w:r w:rsidRPr="004522EB">
        <w:rPr>
          <w:rFonts w:ascii="Arial" w:hAnsi="Arial" w:cs="Arial"/>
        </w:rPr>
        <w:t>děti pro zam</w:t>
      </w:r>
      <w:r w:rsidR="004753EA">
        <w:rPr>
          <w:rFonts w:ascii="Arial" w:hAnsi="Arial" w:cs="Arial"/>
        </w:rPr>
        <w:t>ěstnance i </w:t>
      </w:r>
      <w:r w:rsidRPr="004522EB">
        <w:rPr>
          <w:rFonts w:ascii="Arial" w:hAnsi="Arial" w:cs="Arial"/>
        </w:rPr>
        <w:t>pro veřejnost.</w:t>
      </w:r>
    </w:p>
    <w:p w:rsidR="00D1548F" w:rsidRPr="00E141E6" w:rsidRDefault="00D1548F" w:rsidP="00D1548F">
      <w:pPr>
        <w:spacing w:after="120" w:line="360" w:lineRule="auto"/>
        <w:ind w:firstLine="567"/>
        <w:contextualSpacing/>
        <w:jc w:val="both"/>
        <w:rPr>
          <w:rFonts w:ascii="Arial" w:hAnsi="Arial" w:cs="Arial"/>
        </w:rPr>
      </w:pPr>
      <w:r w:rsidRPr="00E141E6">
        <w:rPr>
          <w:rFonts w:ascii="Arial" w:hAnsi="Arial" w:cs="Arial"/>
        </w:rPr>
        <w:t>Do výzvy 132 bylo předloženo 341 p</w:t>
      </w:r>
      <w:r w:rsidR="004753EA">
        <w:rPr>
          <w:rFonts w:ascii="Arial" w:hAnsi="Arial" w:cs="Arial"/>
        </w:rPr>
        <w:t>rojektových žádostí, z toho 293 </w:t>
      </w:r>
      <w:r w:rsidRPr="00E141E6">
        <w:rPr>
          <w:rFonts w:ascii="Arial" w:hAnsi="Arial" w:cs="Arial"/>
        </w:rPr>
        <w:t>projektů vstoupilo do realizace. Finanční objem uzavřených právních aktů činí 843</w:t>
      </w:r>
      <w:r w:rsidR="00FB132C">
        <w:rPr>
          <w:rFonts w:ascii="Arial" w:hAnsi="Arial" w:cs="Arial"/>
        </w:rPr>
        <w:t> </w:t>
      </w:r>
      <w:r w:rsidRPr="00E141E6">
        <w:rPr>
          <w:rFonts w:ascii="Arial" w:hAnsi="Arial" w:cs="Arial"/>
        </w:rPr>
        <w:t>053</w:t>
      </w:r>
      <w:r w:rsidR="00FB132C">
        <w:rPr>
          <w:rFonts w:ascii="Arial" w:hAnsi="Arial" w:cs="Arial"/>
        </w:rPr>
        <w:t> </w:t>
      </w:r>
      <w:r w:rsidRPr="00E141E6">
        <w:rPr>
          <w:rFonts w:ascii="Arial" w:hAnsi="Arial" w:cs="Arial"/>
        </w:rPr>
        <w:t>123</w:t>
      </w:r>
      <w:r w:rsidR="00FB132C">
        <w:rPr>
          <w:rFonts w:ascii="Arial" w:hAnsi="Arial" w:cs="Arial"/>
        </w:rPr>
        <w:t> </w:t>
      </w:r>
      <w:r w:rsidRPr="00E141E6">
        <w:rPr>
          <w:rFonts w:ascii="Arial" w:hAnsi="Arial" w:cs="Arial"/>
        </w:rPr>
        <w:t>Kč.</w:t>
      </w:r>
    </w:p>
    <w:p w:rsidR="00D1548F" w:rsidRPr="00E141E6" w:rsidRDefault="00D1548F" w:rsidP="00D1548F">
      <w:pPr>
        <w:spacing w:after="120" w:line="360" w:lineRule="auto"/>
        <w:ind w:firstLine="567"/>
        <w:contextualSpacing/>
        <w:jc w:val="both"/>
        <w:rPr>
          <w:rFonts w:ascii="Arial" w:hAnsi="Arial" w:cs="Arial"/>
        </w:rPr>
      </w:pPr>
    </w:p>
    <w:p w:rsidR="00D1548F" w:rsidRPr="00060C67" w:rsidRDefault="00D1548F" w:rsidP="00D1548F">
      <w:pPr>
        <w:spacing w:after="120" w:line="360" w:lineRule="auto"/>
        <w:ind w:firstLine="567"/>
        <w:contextualSpacing/>
        <w:jc w:val="both"/>
        <w:rPr>
          <w:rFonts w:ascii="Arial" w:hAnsi="Arial" w:cs="Arial"/>
        </w:rPr>
      </w:pPr>
      <w:r w:rsidRPr="00060C67">
        <w:rPr>
          <w:rFonts w:ascii="Arial" w:hAnsi="Arial" w:cs="Arial"/>
        </w:rPr>
        <w:t>V 1. pololetí 2017 byly vyhlášeny následující 4 výzvy.</w:t>
      </w:r>
    </w:p>
    <w:p w:rsidR="00D1548F" w:rsidRPr="00060C67" w:rsidRDefault="00D1548F" w:rsidP="00D1548F">
      <w:pPr>
        <w:pStyle w:val="Odstavecseseznamem"/>
        <w:numPr>
          <w:ilvl w:val="0"/>
          <w:numId w:val="28"/>
        </w:numPr>
        <w:spacing w:after="120" w:line="360" w:lineRule="auto"/>
        <w:contextualSpacing/>
        <w:jc w:val="both"/>
        <w:rPr>
          <w:rFonts w:ascii="Arial" w:hAnsi="Arial" w:cs="Arial"/>
        </w:rPr>
      </w:pPr>
      <w:r w:rsidRPr="00060C67">
        <w:rPr>
          <w:rFonts w:ascii="Arial" w:hAnsi="Arial" w:cs="Arial"/>
          <w:b/>
          <w:i/>
        </w:rPr>
        <w:lastRenderedPageBreak/>
        <w:t>Podpora zaříze</w:t>
      </w:r>
      <w:r w:rsidR="004753EA">
        <w:rPr>
          <w:rFonts w:ascii="Arial" w:hAnsi="Arial" w:cs="Arial"/>
          <w:b/>
          <w:i/>
        </w:rPr>
        <w:t>ní péče o děti na 1. stupni základních škol v </w:t>
      </w:r>
      <w:r w:rsidRPr="00060C67">
        <w:rPr>
          <w:rFonts w:ascii="Arial" w:hAnsi="Arial" w:cs="Arial"/>
          <w:b/>
          <w:i/>
        </w:rPr>
        <w:t>době</w:t>
      </w:r>
      <w:r w:rsidR="004753EA">
        <w:rPr>
          <w:rFonts w:ascii="Arial" w:hAnsi="Arial" w:cs="Arial"/>
          <w:b/>
          <w:i/>
        </w:rPr>
        <w:t xml:space="preserve"> mimo školní vyučování mimo hl. město </w:t>
      </w:r>
      <w:r w:rsidRPr="00060C67">
        <w:rPr>
          <w:rFonts w:ascii="Arial" w:hAnsi="Arial" w:cs="Arial"/>
          <w:b/>
          <w:i/>
        </w:rPr>
        <w:t xml:space="preserve">Prahu (077) </w:t>
      </w:r>
      <w:r w:rsidRPr="00060C67">
        <w:rPr>
          <w:rFonts w:ascii="Arial" w:hAnsi="Arial" w:cs="Arial"/>
          <w:i/>
        </w:rPr>
        <w:t>a</w:t>
      </w:r>
      <w:r w:rsidR="004753EA">
        <w:rPr>
          <w:rFonts w:ascii="Arial" w:hAnsi="Arial" w:cs="Arial"/>
          <w:b/>
          <w:i/>
        </w:rPr>
        <w:t> </w:t>
      </w:r>
      <w:r w:rsidRPr="00060C67">
        <w:rPr>
          <w:rFonts w:ascii="Arial" w:hAnsi="Arial" w:cs="Arial"/>
          <w:b/>
          <w:i/>
        </w:rPr>
        <w:t xml:space="preserve">Podpora zařízení péče </w:t>
      </w:r>
      <w:r w:rsidR="004753EA">
        <w:rPr>
          <w:rFonts w:ascii="Arial" w:hAnsi="Arial" w:cs="Arial"/>
          <w:b/>
          <w:i/>
        </w:rPr>
        <w:t>o děti na 1. stupni základních škol v </w:t>
      </w:r>
      <w:r w:rsidRPr="00060C67">
        <w:rPr>
          <w:rFonts w:ascii="Arial" w:hAnsi="Arial" w:cs="Arial"/>
          <w:b/>
          <w:i/>
        </w:rPr>
        <w:t>době mimo školní vyučování v hl. městě Praze (078)</w:t>
      </w:r>
    </w:p>
    <w:p w:rsidR="00D1548F" w:rsidRPr="00060C67" w:rsidRDefault="00D1548F" w:rsidP="00D1548F">
      <w:pPr>
        <w:spacing w:after="120" w:line="360" w:lineRule="auto"/>
        <w:ind w:firstLine="567"/>
        <w:contextualSpacing/>
        <w:jc w:val="both"/>
        <w:rPr>
          <w:rFonts w:ascii="Arial" w:hAnsi="Arial" w:cs="Arial"/>
        </w:rPr>
      </w:pPr>
      <w:r w:rsidRPr="00060C67">
        <w:rPr>
          <w:rFonts w:ascii="Arial" w:hAnsi="Arial" w:cs="Arial"/>
        </w:rPr>
        <w:t>Výzvy podporují zařízení péče o děti na 1. </w:t>
      </w:r>
      <w:r w:rsidR="004753EA">
        <w:rPr>
          <w:rFonts w:ascii="Arial" w:hAnsi="Arial" w:cs="Arial"/>
        </w:rPr>
        <w:t>stupni základních škol v </w:t>
      </w:r>
      <w:r w:rsidRPr="00060C67">
        <w:rPr>
          <w:rFonts w:ascii="Arial" w:hAnsi="Arial" w:cs="Arial"/>
        </w:rPr>
        <w:t>době mimo školní vyučování, která rodičům dětí 1. stupně základní školy umožní sladit pracovní rytmus s péčí o děti. Podpora v rámci této výzvy je určena pouze pro podporu zařízení péče o děti mimo r</w:t>
      </w:r>
      <w:r w:rsidR="004753EA">
        <w:rPr>
          <w:rFonts w:ascii="Arial" w:hAnsi="Arial" w:cs="Arial"/>
        </w:rPr>
        <w:t>ežim vyhlášky č. 74/2005 Sb., o </w:t>
      </w:r>
      <w:r w:rsidRPr="00060C67">
        <w:rPr>
          <w:rFonts w:ascii="Arial" w:hAnsi="Arial" w:cs="Arial"/>
        </w:rPr>
        <w:t xml:space="preserve">zájmovém vzdělávání. </w:t>
      </w:r>
    </w:p>
    <w:p w:rsidR="00D1548F" w:rsidRPr="005C78CD" w:rsidRDefault="00D1548F" w:rsidP="00D1548F">
      <w:pPr>
        <w:spacing w:after="120" w:line="360" w:lineRule="auto"/>
        <w:ind w:firstLine="567"/>
        <w:contextualSpacing/>
        <w:jc w:val="both"/>
        <w:rPr>
          <w:rFonts w:ascii="Arial" w:hAnsi="Arial" w:cs="Arial"/>
        </w:rPr>
      </w:pPr>
      <w:r w:rsidRPr="00060C67">
        <w:rPr>
          <w:rFonts w:ascii="Arial" w:hAnsi="Arial" w:cs="Arial"/>
        </w:rPr>
        <w:t>Výzvy byly vyhlášeny dne 29. 5. 2017, příjem žádostí byl ukončen 29. 9. 2017.</w:t>
      </w:r>
      <w:r w:rsidRPr="00060C67">
        <w:rPr>
          <w:rFonts w:ascii="Arial" w:hAnsi="Arial" w:cs="Arial"/>
          <w:highlight w:val="yellow"/>
        </w:rPr>
        <w:t xml:space="preserve"> </w:t>
      </w:r>
      <w:r w:rsidRPr="00060C67">
        <w:rPr>
          <w:rFonts w:ascii="Arial" w:hAnsi="Arial" w:cs="Arial"/>
        </w:rPr>
        <w:t>Do výzvy 077 bylo předloženo 212 projektov</w:t>
      </w:r>
      <w:r w:rsidR="004753EA">
        <w:rPr>
          <w:rFonts w:ascii="Arial" w:hAnsi="Arial" w:cs="Arial"/>
        </w:rPr>
        <w:t xml:space="preserve">ých žádostí a do výzvy 078 20. </w:t>
      </w:r>
      <w:r w:rsidRPr="00060C67">
        <w:rPr>
          <w:rFonts w:ascii="Arial" w:hAnsi="Arial" w:cs="Arial"/>
        </w:rPr>
        <w:t xml:space="preserve">Finanční </w:t>
      </w:r>
      <w:r w:rsidR="004753EA">
        <w:rPr>
          <w:rFonts w:ascii="Arial" w:hAnsi="Arial" w:cs="Arial"/>
        </w:rPr>
        <w:t>alokace výzvy 077 je 265 mil. </w:t>
      </w:r>
      <w:r w:rsidRPr="005C78CD">
        <w:rPr>
          <w:rFonts w:ascii="Arial" w:hAnsi="Arial" w:cs="Arial"/>
        </w:rPr>
        <w:t xml:space="preserve">Kč, výzvy 078 činí alokace 35 mil. Kč. </w:t>
      </w:r>
    </w:p>
    <w:p w:rsidR="00D1548F" w:rsidRPr="005C78CD" w:rsidRDefault="00D1548F" w:rsidP="00D1548F">
      <w:pPr>
        <w:spacing w:after="120" w:line="360" w:lineRule="auto"/>
        <w:ind w:firstLine="567"/>
        <w:contextualSpacing/>
        <w:jc w:val="both"/>
        <w:rPr>
          <w:rFonts w:ascii="Arial" w:hAnsi="Arial" w:cs="Arial"/>
        </w:rPr>
      </w:pPr>
    </w:p>
    <w:p w:rsidR="00D1548F" w:rsidRPr="005C78CD" w:rsidRDefault="00D1548F" w:rsidP="00D1548F">
      <w:pPr>
        <w:pStyle w:val="Odstavecseseznamem"/>
        <w:numPr>
          <w:ilvl w:val="0"/>
          <w:numId w:val="28"/>
        </w:numPr>
        <w:spacing w:after="120" w:line="360" w:lineRule="auto"/>
        <w:contextualSpacing/>
        <w:jc w:val="both"/>
        <w:rPr>
          <w:rFonts w:ascii="Arial" w:hAnsi="Arial" w:cs="Arial"/>
          <w:b/>
          <w:i/>
        </w:rPr>
      </w:pPr>
      <w:r w:rsidRPr="005C78CD">
        <w:rPr>
          <w:rFonts w:ascii="Arial" w:hAnsi="Arial" w:cs="Arial"/>
          <w:b/>
          <w:i/>
        </w:rPr>
        <w:t>Implementace doporučení genderového auditu u zaměstnavatelů mimo Prahu (130) a Implementace doporučení genderového auditu u zaměstnavatelů v Praze (131)</w:t>
      </w:r>
    </w:p>
    <w:p w:rsidR="00D1548F" w:rsidRPr="005C78CD" w:rsidRDefault="00D1548F" w:rsidP="00D1548F">
      <w:pPr>
        <w:spacing w:after="120" w:line="360" w:lineRule="auto"/>
        <w:ind w:firstLine="567"/>
        <w:contextualSpacing/>
        <w:jc w:val="both"/>
        <w:rPr>
          <w:rFonts w:ascii="Arial" w:hAnsi="Arial" w:cs="Arial"/>
        </w:rPr>
      </w:pPr>
    </w:p>
    <w:p w:rsidR="00D1548F" w:rsidRPr="005C78CD" w:rsidRDefault="00D1548F" w:rsidP="00D1548F">
      <w:pPr>
        <w:spacing w:after="120" w:line="360" w:lineRule="auto"/>
        <w:ind w:firstLine="567"/>
        <w:contextualSpacing/>
        <w:jc w:val="both"/>
        <w:rPr>
          <w:rFonts w:ascii="Arial" w:hAnsi="Arial" w:cs="Arial"/>
        </w:rPr>
      </w:pPr>
      <w:r w:rsidRPr="005C78CD">
        <w:rPr>
          <w:rFonts w:ascii="Arial" w:hAnsi="Arial" w:cs="Arial"/>
        </w:rPr>
        <w:t>Výzvy podporují aktivity směřující k zavádění opatření vedoucích ke zlepšení podmínek pro uplatňování rovných příležitostí žen a mužů a slaďování pracovního a rodinného života u zaměstnavate</w:t>
      </w:r>
      <w:r w:rsidR="00096EE8">
        <w:rPr>
          <w:rFonts w:ascii="Arial" w:hAnsi="Arial" w:cs="Arial"/>
        </w:rPr>
        <w:t>lů. Zaváděná opatření vychází z </w:t>
      </w:r>
      <w:r w:rsidRPr="005C78CD">
        <w:rPr>
          <w:rFonts w:ascii="Arial" w:hAnsi="Arial" w:cs="Arial"/>
        </w:rPr>
        <w:t>výstupů provedeného genderového auditu (v rámci výzev 50 a 51, nebo vlastního auditu odpovídajícího standardu provedeného v posledních 3 letech).</w:t>
      </w:r>
    </w:p>
    <w:p w:rsidR="00D1548F" w:rsidRDefault="00D1548F" w:rsidP="00D1548F">
      <w:pPr>
        <w:spacing w:after="120" w:line="360" w:lineRule="auto"/>
        <w:ind w:firstLine="567"/>
        <w:contextualSpacing/>
        <w:jc w:val="both"/>
        <w:rPr>
          <w:rFonts w:ascii="Arial" w:hAnsi="Arial" w:cs="Arial"/>
        </w:rPr>
      </w:pPr>
      <w:r w:rsidRPr="00687EC0">
        <w:rPr>
          <w:rFonts w:ascii="Arial" w:hAnsi="Arial" w:cs="Arial"/>
        </w:rPr>
        <w:t>Příjem žádostí o podporu byl zahájen 20. 4. 2017, uk</w:t>
      </w:r>
      <w:r w:rsidR="00096EE8">
        <w:rPr>
          <w:rFonts w:ascii="Arial" w:hAnsi="Arial" w:cs="Arial"/>
        </w:rPr>
        <w:t>ončen bude 21. 12. 2018. V roce </w:t>
      </w:r>
      <w:r w:rsidRPr="00687EC0">
        <w:rPr>
          <w:rFonts w:ascii="Arial" w:hAnsi="Arial" w:cs="Arial"/>
        </w:rPr>
        <w:t>2017 byla do výzvy 130 p</w:t>
      </w:r>
      <w:r w:rsidR="00096EE8">
        <w:rPr>
          <w:rFonts w:ascii="Arial" w:hAnsi="Arial" w:cs="Arial"/>
        </w:rPr>
        <w:t xml:space="preserve">ředložena 1 projektová žádost. </w:t>
      </w:r>
      <w:r w:rsidRPr="00687EC0">
        <w:rPr>
          <w:rFonts w:ascii="Arial" w:hAnsi="Arial" w:cs="Arial"/>
        </w:rPr>
        <w:t>Finanční alokace výzvy 130 činí 180 mil. Kč, u výzvy 131 je finanční alokace 30 mil. Kč.</w:t>
      </w:r>
    </w:p>
    <w:p w:rsidR="00D1548F" w:rsidRDefault="00D1548F" w:rsidP="00D1548F">
      <w:pPr>
        <w:spacing w:after="120" w:line="360" w:lineRule="auto"/>
        <w:ind w:firstLine="567"/>
        <w:contextualSpacing/>
        <w:jc w:val="both"/>
        <w:rPr>
          <w:rFonts w:ascii="Arial" w:hAnsi="Arial" w:cs="Arial"/>
        </w:rPr>
      </w:pPr>
    </w:p>
    <w:p w:rsidR="00D1548F" w:rsidRPr="00B530B7" w:rsidRDefault="00D1548F" w:rsidP="00D1548F">
      <w:pPr>
        <w:spacing w:after="120" w:line="360" w:lineRule="auto"/>
        <w:ind w:firstLine="567"/>
        <w:contextualSpacing/>
        <w:jc w:val="both"/>
        <w:rPr>
          <w:rFonts w:ascii="Arial" w:hAnsi="Arial" w:cs="Arial"/>
        </w:rPr>
      </w:pPr>
      <w:r w:rsidRPr="00B530B7">
        <w:rPr>
          <w:rFonts w:ascii="Arial" w:hAnsi="Arial" w:cs="Arial"/>
        </w:rPr>
        <w:t>Ve 2. pololetí 2017 byly vyhlášeny 2 výzvy:</w:t>
      </w:r>
    </w:p>
    <w:p w:rsidR="00D1548F" w:rsidRPr="00B530B7" w:rsidRDefault="00D1548F" w:rsidP="00D1548F">
      <w:pPr>
        <w:spacing w:after="120" w:line="360" w:lineRule="auto"/>
        <w:ind w:firstLine="567"/>
        <w:contextualSpacing/>
        <w:jc w:val="both"/>
        <w:rPr>
          <w:rFonts w:ascii="Arial" w:hAnsi="Arial" w:cs="Arial"/>
        </w:rPr>
      </w:pPr>
    </w:p>
    <w:p w:rsidR="00D1548F" w:rsidRPr="00B530B7" w:rsidRDefault="00D1548F" w:rsidP="00D1548F">
      <w:pPr>
        <w:pStyle w:val="Odstavecseseznamem"/>
        <w:numPr>
          <w:ilvl w:val="0"/>
          <w:numId w:val="28"/>
        </w:numPr>
        <w:spacing w:after="120" w:line="360" w:lineRule="auto"/>
        <w:contextualSpacing/>
        <w:jc w:val="both"/>
        <w:rPr>
          <w:rFonts w:ascii="Arial" w:hAnsi="Arial" w:cs="Arial"/>
          <w:b/>
          <w:i/>
        </w:rPr>
      </w:pPr>
      <w:r w:rsidRPr="00B530B7">
        <w:rPr>
          <w:rFonts w:ascii="Arial" w:hAnsi="Arial" w:cs="Arial"/>
          <w:b/>
          <w:i/>
        </w:rPr>
        <w:t>Podpora vybudování a provozu dětských skupin pro podniky a</w:t>
      </w:r>
      <w:r w:rsidR="0070252F">
        <w:rPr>
          <w:rFonts w:ascii="Arial" w:hAnsi="Arial" w:cs="Arial"/>
          <w:b/>
          <w:i/>
        </w:rPr>
        <w:t> </w:t>
      </w:r>
      <w:r w:rsidRPr="00B530B7">
        <w:rPr>
          <w:rFonts w:ascii="Arial" w:hAnsi="Arial" w:cs="Arial"/>
          <w:b/>
          <w:i/>
        </w:rPr>
        <w:t>veřejnost mimo hl. m. Pra</w:t>
      </w:r>
      <w:r w:rsidR="00096EE8">
        <w:rPr>
          <w:rFonts w:ascii="Arial" w:hAnsi="Arial" w:cs="Arial"/>
          <w:b/>
          <w:i/>
        </w:rPr>
        <w:t>hu (073) a Podpora vybudování a </w:t>
      </w:r>
      <w:r w:rsidRPr="00B530B7">
        <w:rPr>
          <w:rFonts w:ascii="Arial" w:hAnsi="Arial" w:cs="Arial"/>
          <w:b/>
          <w:i/>
        </w:rPr>
        <w:t>provozu dětských skupin pro podniky a veřejnost v hl. m. Praha (074)</w:t>
      </w:r>
    </w:p>
    <w:p w:rsidR="00D1548F" w:rsidRPr="00B530B7" w:rsidRDefault="00D1548F" w:rsidP="00D1548F">
      <w:pPr>
        <w:spacing w:after="120" w:line="360" w:lineRule="auto"/>
        <w:ind w:firstLine="567"/>
        <w:contextualSpacing/>
        <w:jc w:val="both"/>
        <w:rPr>
          <w:rFonts w:ascii="Arial" w:hAnsi="Arial" w:cs="Arial"/>
        </w:rPr>
      </w:pPr>
    </w:p>
    <w:p w:rsidR="00D1548F" w:rsidRPr="00687EC0" w:rsidRDefault="00D1548F" w:rsidP="00D1548F">
      <w:pPr>
        <w:spacing w:after="120" w:line="360" w:lineRule="auto"/>
        <w:ind w:firstLine="567"/>
        <w:contextualSpacing/>
        <w:jc w:val="both"/>
        <w:rPr>
          <w:rFonts w:ascii="Arial" w:hAnsi="Arial" w:cs="Arial"/>
        </w:rPr>
      </w:pPr>
      <w:r w:rsidRPr="00B530B7">
        <w:rPr>
          <w:rFonts w:ascii="Arial" w:hAnsi="Arial" w:cs="Arial"/>
        </w:rPr>
        <w:lastRenderedPageBreak/>
        <w:t xml:space="preserve">Výzvy 073 a 074 jsou dalšími výzvami podporující vznik a provoz zařízení poskytujících </w:t>
      </w:r>
      <w:r w:rsidRPr="002413D1">
        <w:rPr>
          <w:rFonts w:ascii="Arial" w:hAnsi="Arial" w:cs="Arial"/>
        </w:rPr>
        <w:t>pravidelnou péči o dí</w:t>
      </w:r>
      <w:r w:rsidR="00096EE8" w:rsidRPr="002413D1">
        <w:rPr>
          <w:rFonts w:ascii="Arial" w:hAnsi="Arial" w:cs="Arial"/>
        </w:rPr>
        <w:t>tě od 1 či 3 </w:t>
      </w:r>
      <w:r w:rsidRPr="002413D1">
        <w:rPr>
          <w:rFonts w:ascii="Arial" w:hAnsi="Arial" w:cs="Arial"/>
        </w:rPr>
        <w:t>let věku do zahájení povinné školní docházky za účelem zapojení</w:t>
      </w:r>
      <w:r w:rsidRPr="00B530B7">
        <w:rPr>
          <w:rFonts w:ascii="Arial" w:hAnsi="Arial" w:cs="Arial"/>
        </w:rPr>
        <w:t xml:space="preserve"> rodičů do pracovního procesu. </w:t>
      </w:r>
      <w:r w:rsidR="00096EE8">
        <w:rPr>
          <w:rFonts w:ascii="Arial" w:hAnsi="Arial" w:cs="Arial"/>
        </w:rPr>
        <w:t>Ke dni uzávěrky 23. </w:t>
      </w:r>
      <w:r w:rsidRPr="00B530B7">
        <w:rPr>
          <w:rFonts w:ascii="Arial" w:hAnsi="Arial" w:cs="Arial"/>
        </w:rPr>
        <w:t>11.</w:t>
      </w:r>
      <w:r w:rsidR="00096EE8">
        <w:rPr>
          <w:rFonts w:ascii="Arial" w:hAnsi="Arial" w:cs="Arial"/>
        </w:rPr>
        <w:t> </w:t>
      </w:r>
      <w:r w:rsidRPr="00B530B7">
        <w:rPr>
          <w:rFonts w:ascii="Arial" w:hAnsi="Arial" w:cs="Arial"/>
        </w:rPr>
        <w:t xml:space="preserve">2017 </w:t>
      </w:r>
      <w:r w:rsidR="00096EE8">
        <w:rPr>
          <w:rFonts w:ascii="Arial" w:hAnsi="Arial" w:cs="Arial"/>
        </w:rPr>
        <w:t xml:space="preserve">žadatelé ve výzvě 073 </w:t>
      </w:r>
      <w:r w:rsidR="00FB4ACC" w:rsidRPr="00B530B7">
        <w:rPr>
          <w:rFonts w:ascii="Arial" w:hAnsi="Arial" w:cs="Arial"/>
        </w:rPr>
        <w:t>p</w:t>
      </w:r>
      <w:r w:rsidR="00FB4ACC">
        <w:rPr>
          <w:rFonts w:ascii="Arial" w:hAnsi="Arial" w:cs="Arial"/>
        </w:rPr>
        <w:t xml:space="preserve">ředložili </w:t>
      </w:r>
      <w:r w:rsidRPr="00B530B7">
        <w:rPr>
          <w:rFonts w:ascii="Arial" w:hAnsi="Arial" w:cs="Arial"/>
        </w:rPr>
        <w:t>57</w:t>
      </w:r>
      <w:r w:rsidR="00096EE8">
        <w:rPr>
          <w:rFonts w:ascii="Arial" w:hAnsi="Arial" w:cs="Arial"/>
        </w:rPr>
        <w:t>8 žádostí o </w:t>
      </w:r>
      <w:r w:rsidRPr="00B530B7">
        <w:rPr>
          <w:rFonts w:ascii="Arial" w:hAnsi="Arial" w:cs="Arial"/>
        </w:rPr>
        <w:t>podporu a</w:t>
      </w:r>
      <w:r>
        <w:rPr>
          <w:rFonts w:ascii="Arial" w:hAnsi="Arial" w:cs="Arial"/>
        </w:rPr>
        <w:t> </w:t>
      </w:r>
      <w:r w:rsidRPr="00B530B7">
        <w:rPr>
          <w:rFonts w:ascii="Arial" w:hAnsi="Arial" w:cs="Arial"/>
        </w:rPr>
        <w:t>ve</w:t>
      </w:r>
      <w:r>
        <w:rPr>
          <w:rFonts w:ascii="Arial" w:hAnsi="Arial" w:cs="Arial"/>
        </w:rPr>
        <w:t> </w:t>
      </w:r>
      <w:r w:rsidRPr="00B530B7">
        <w:rPr>
          <w:rFonts w:ascii="Arial" w:hAnsi="Arial" w:cs="Arial"/>
        </w:rPr>
        <w:t>výzvě 074 150</w:t>
      </w:r>
      <w:r w:rsidRPr="00B530B7">
        <w:t xml:space="preserve"> </w:t>
      </w:r>
      <w:r w:rsidR="00096EE8">
        <w:rPr>
          <w:rFonts w:ascii="Arial" w:hAnsi="Arial" w:cs="Arial"/>
        </w:rPr>
        <w:t>žádostí o </w:t>
      </w:r>
      <w:r w:rsidRPr="00B530B7">
        <w:rPr>
          <w:rFonts w:ascii="Arial" w:hAnsi="Arial" w:cs="Arial"/>
        </w:rPr>
        <w:t>podpo</w:t>
      </w:r>
      <w:r>
        <w:rPr>
          <w:rFonts w:ascii="Arial" w:hAnsi="Arial" w:cs="Arial"/>
        </w:rPr>
        <w:t>ru. Celkový součet požadované čá</w:t>
      </w:r>
      <w:r w:rsidRPr="00B530B7">
        <w:rPr>
          <w:rFonts w:ascii="Arial" w:hAnsi="Arial" w:cs="Arial"/>
        </w:rPr>
        <w:t>stky dotace převýšil alokaci obou výzev. Aby bylo možné podpořit alespoň žádo</w:t>
      </w:r>
      <w:r w:rsidR="00096EE8">
        <w:rPr>
          <w:rFonts w:ascii="Arial" w:hAnsi="Arial" w:cs="Arial"/>
        </w:rPr>
        <w:t>sti o </w:t>
      </w:r>
      <w:r>
        <w:rPr>
          <w:rFonts w:ascii="Arial" w:hAnsi="Arial" w:cs="Arial"/>
        </w:rPr>
        <w:t>podporu předložené do 23. </w:t>
      </w:r>
      <w:r w:rsidRPr="00B530B7">
        <w:rPr>
          <w:rFonts w:ascii="Arial" w:hAnsi="Arial" w:cs="Arial"/>
        </w:rPr>
        <w:t>11.</w:t>
      </w:r>
      <w:r>
        <w:rPr>
          <w:rFonts w:ascii="Arial" w:hAnsi="Arial" w:cs="Arial"/>
        </w:rPr>
        <w:t> </w:t>
      </w:r>
      <w:r w:rsidRPr="00B530B7">
        <w:rPr>
          <w:rFonts w:ascii="Arial" w:hAnsi="Arial" w:cs="Arial"/>
        </w:rPr>
        <w:t>2017 z oblasti na podporu provozu dětských skupin dle zákona č.</w:t>
      </w:r>
      <w:r>
        <w:rPr>
          <w:rFonts w:ascii="Arial" w:hAnsi="Arial" w:cs="Arial"/>
        </w:rPr>
        <w:t> </w:t>
      </w:r>
      <w:r w:rsidRPr="00B530B7">
        <w:rPr>
          <w:rFonts w:ascii="Arial" w:hAnsi="Arial" w:cs="Arial"/>
        </w:rPr>
        <w:t>247/2014</w:t>
      </w:r>
      <w:r>
        <w:rPr>
          <w:rFonts w:ascii="Arial" w:hAnsi="Arial" w:cs="Arial"/>
        </w:rPr>
        <w:t> </w:t>
      </w:r>
      <w:r w:rsidRPr="00B530B7">
        <w:rPr>
          <w:rFonts w:ascii="Arial" w:hAnsi="Arial" w:cs="Arial"/>
        </w:rPr>
        <w:t>Sb.</w:t>
      </w:r>
      <w:r w:rsidR="00D01BA5">
        <w:rPr>
          <w:rFonts w:ascii="Arial" w:hAnsi="Arial" w:cs="Arial"/>
        </w:rPr>
        <w:t>, bude alokace výzvy 073 v roce </w:t>
      </w:r>
      <w:r w:rsidRPr="00B530B7">
        <w:rPr>
          <w:rFonts w:ascii="Arial" w:hAnsi="Arial" w:cs="Arial"/>
        </w:rPr>
        <w:t>2018 navýšena na</w:t>
      </w:r>
      <w:r w:rsidR="00096EE8">
        <w:rPr>
          <w:rFonts w:ascii="Arial" w:hAnsi="Arial" w:cs="Arial"/>
        </w:rPr>
        <w:t> </w:t>
      </w:r>
      <w:r w:rsidRPr="00B530B7">
        <w:rPr>
          <w:rFonts w:ascii="Arial" w:hAnsi="Arial" w:cs="Arial"/>
        </w:rPr>
        <w:t>1</w:t>
      </w:r>
      <w:r w:rsidR="00FB132C">
        <w:rPr>
          <w:rFonts w:ascii="Arial" w:hAnsi="Arial" w:cs="Arial"/>
        </w:rPr>
        <w:t> </w:t>
      </w:r>
      <w:r w:rsidRPr="00B530B7">
        <w:rPr>
          <w:rFonts w:ascii="Arial" w:hAnsi="Arial" w:cs="Arial"/>
        </w:rPr>
        <w:t>129</w:t>
      </w:r>
      <w:r w:rsidR="00FB132C">
        <w:rPr>
          <w:rFonts w:ascii="Arial" w:hAnsi="Arial" w:cs="Arial"/>
        </w:rPr>
        <w:t> </w:t>
      </w:r>
      <w:r w:rsidRPr="00B530B7">
        <w:rPr>
          <w:rFonts w:ascii="Arial" w:hAnsi="Arial" w:cs="Arial"/>
        </w:rPr>
        <w:t>844</w:t>
      </w:r>
      <w:r w:rsidR="00FB132C">
        <w:rPr>
          <w:rFonts w:ascii="Arial" w:hAnsi="Arial" w:cs="Arial"/>
        </w:rPr>
        <w:t> </w:t>
      </w:r>
      <w:r w:rsidRPr="00B530B7">
        <w:rPr>
          <w:rFonts w:ascii="Arial" w:hAnsi="Arial" w:cs="Arial"/>
        </w:rPr>
        <w:t>630</w:t>
      </w:r>
      <w:r w:rsidR="00FB132C">
        <w:rPr>
          <w:rFonts w:ascii="Arial" w:hAnsi="Arial" w:cs="Arial"/>
        </w:rPr>
        <w:t> </w:t>
      </w:r>
      <w:r w:rsidR="00096EE8">
        <w:rPr>
          <w:rFonts w:ascii="Arial" w:hAnsi="Arial" w:cs="Arial"/>
        </w:rPr>
        <w:t>Kč a výzvy 074 na 372 </w:t>
      </w:r>
      <w:r w:rsidRPr="00B530B7">
        <w:rPr>
          <w:rFonts w:ascii="Arial" w:hAnsi="Arial" w:cs="Arial"/>
        </w:rPr>
        <w:t>512</w:t>
      </w:r>
      <w:r w:rsidR="00096EE8">
        <w:rPr>
          <w:rFonts w:ascii="Arial" w:hAnsi="Arial" w:cs="Arial"/>
        </w:rPr>
        <w:t> </w:t>
      </w:r>
      <w:r w:rsidRPr="00B530B7">
        <w:rPr>
          <w:rFonts w:ascii="Arial" w:hAnsi="Arial" w:cs="Arial"/>
        </w:rPr>
        <w:t>276</w:t>
      </w:r>
      <w:r w:rsidR="00096EE8">
        <w:rPr>
          <w:rFonts w:ascii="Arial" w:hAnsi="Arial" w:cs="Arial"/>
        </w:rPr>
        <w:t> </w:t>
      </w:r>
      <w:r w:rsidRPr="00B530B7">
        <w:rPr>
          <w:rFonts w:ascii="Arial" w:hAnsi="Arial" w:cs="Arial"/>
        </w:rPr>
        <w:t>Kč.</w:t>
      </w:r>
    </w:p>
    <w:p w:rsidR="00D1548F" w:rsidRPr="00687EC0" w:rsidRDefault="00D1548F" w:rsidP="00D1548F">
      <w:pPr>
        <w:spacing w:after="120" w:line="360" w:lineRule="auto"/>
        <w:ind w:firstLine="567"/>
        <w:contextualSpacing/>
        <w:jc w:val="both"/>
        <w:rPr>
          <w:rFonts w:ascii="Arial" w:hAnsi="Arial" w:cs="Arial"/>
          <w:sz w:val="16"/>
          <w:szCs w:val="16"/>
        </w:rPr>
      </w:pPr>
    </w:p>
    <w:p w:rsidR="00D1548F" w:rsidRPr="00687EC0" w:rsidRDefault="00D1548F" w:rsidP="00D1548F">
      <w:pPr>
        <w:spacing w:after="120" w:line="360" w:lineRule="auto"/>
        <w:ind w:firstLine="567"/>
        <w:contextualSpacing/>
        <w:jc w:val="both"/>
        <w:rPr>
          <w:rFonts w:ascii="Arial" w:hAnsi="Arial" w:cs="Arial"/>
        </w:rPr>
      </w:pPr>
    </w:p>
    <w:p w:rsidR="00D1548F" w:rsidRPr="002D67A5" w:rsidRDefault="00D1548F" w:rsidP="00D1548F">
      <w:pPr>
        <w:numPr>
          <w:ilvl w:val="0"/>
          <w:numId w:val="19"/>
        </w:numPr>
        <w:spacing w:line="360" w:lineRule="auto"/>
        <w:contextualSpacing/>
        <w:jc w:val="both"/>
        <w:rPr>
          <w:rFonts w:ascii="Arial" w:hAnsi="Arial" w:cs="Arial"/>
          <w:b/>
        </w:rPr>
      </w:pPr>
      <w:r w:rsidRPr="00472E2D">
        <w:rPr>
          <w:rFonts w:ascii="Arial" w:hAnsi="Arial" w:cs="Arial"/>
          <w:b/>
        </w:rPr>
        <w:t>Investiční priorita 1.3 - Pomoc pracovníkům, podnikům a podnikatelům p</w:t>
      </w:r>
      <w:r w:rsidRPr="002D67A5">
        <w:rPr>
          <w:rFonts w:ascii="Arial" w:hAnsi="Arial" w:cs="Arial"/>
          <w:b/>
        </w:rPr>
        <w:t>řizpůsobovat se změnám</w:t>
      </w:r>
    </w:p>
    <w:p w:rsidR="00D1548F" w:rsidRPr="002D67A5" w:rsidRDefault="00D1548F" w:rsidP="00D1548F">
      <w:pPr>
        <w:spacing w:line="360" w:lineRule="auto"/>
        <w:ind w:firstLine="567"/>
        <w:jc w:val="both"/>
        <w:rPr>
          <w:rFonts w:ascii="Arial" w:hAnsi="Arial" w:cs="Arial"/>
        </w:rPr>
      </w:pPr>
    </w:p>
    <w:p w:rsidR="00D1548F" w:rsidRPr="002D67A5" w:rsidRDefault="00D1548F" w:rsidP="00D1548F">
      <w:pPr>
        <w:spacing w:line="360" w:lineRule="auto"/>
        <w:ind w:firstLine="567"/>
        <w:jc w:val="both"/>
        <w:rPr>
          <w:rFonts w:ascii="Arial" w:hAnsi="Arial" w:cs="Arial"/>
        </w:rPr>
      </w:pPr>
      <w:r w:rsidRPr="002D67A5">
        <w:rPr>
          <w:rFonts w:ascii="Arial" w:hAnsi="Arial" w:cs="Arial"/>
        </w:rPr>
        <w:t xml:space="preserve">V investiční prioritě 1.3 byly v roce 2017 </w:t>
      </w:r>
      <w:r w:rsidR="0004506C">
        <w:rPr>
          <w:rFonts w:ascii="Arial" w:hAnsi="Arial" w:cs="Arial"/>
        </w:rPr>
        <w:t>realizovány projekty v </w:t>
      </w:r>
      <w:r w:rsidRPr="002D67A5">
        <w:rPr>
          <w:rFonts w:ascii="Arial" w:hAnsi="Arial" w:cs="Arial"/>
        </w:rPr>
        <w:t>sedmi výzvách. Specifickým cílem všech výzev bylo zvýšit odbornou úroveň znalostí, dovedností a kompetencí pracovníků a soulad kvalifikační úrovně pracovní síly s požadavky trhu pr</w:t>
      </w:r>
      <w:r w:rsidR="0004506C">
        <w:rPr>
          <w:rFonts w:ascii="Arial" w:hAnsi="Arial" w:cs="Arial"/>
        </w:rPr>
        <w:t>áce. Druhým specifickým cílem u </w:t>
      </w:r>
      <w:r w:rsidRPr="002D67A5">
        <w:rPr>
          <w:rFonts w:ascii="Arial" w:hAnsi="Arial" w:cs="Arial"/>
        </w:rPr>
        <w:t>většiny výzev bylo zvýšit adaptabilitu starší pracovníků.</w:t>
      </w:r>
    </w:p>
    <w:p w:rsidR="00D1548F" w:rsidRPr="002D67A5" w:rsidRDefault="00D1548F" w:rsidP="00D1548F">
      <w:pPr>
        <w:spacing w:line="360" w:lineRule="auto"/>
        <w:ind w:firstLine="567"/>
        <w:jc w:val="both"/>
        <w:rPr>
          <w:rFonts w:ascii="Arial" w:hAnsi="Arial" w:cs="Arial"/>
        </w:rPr>
      </w:pPr>
      <w:r w:rsidRPr="002D67A5">
        <w:rPr>
          <w:rFonts w:ascii="Arial" w:hAnsi="Arial" w:cs="Arial"/>
        </w:rPr>
        <w:t>V rámci výzvy č. 002 „</w:t>
      </w:r>
      <w:r w:rsidRPr="002D67A5">
        <w:rPr>
          <w:rFonts w:ascii="Arial" w:hAnsi="Arial" w:cs="Arial"/>
          <w:b/>
        </w:rPr>
        <w:t>Budování kapacit sociálních partnerů</w:t>
      </w:r>
      <w:r w:rsidRPr="002D67A5">
        <w:rPr>
          <w:rFonts w:ascii="Arial" w:hAnsi="Arial" w:cs="Arial"/>
        </w:rPr>
        <w:t>“ bylo realizováno celkem 12 projektů. Příjemci byli sociální partneři definováni Radou hospodářské a sociální dohody ČR, organizace zaměstnavatelů (Svaz průmysl</w:t>
      </w:r>
      <w:r w:rsidR="0004506C">
        <w:rPr>
          <w:rFonts w:ascii="Arial" w:hAnsi="Arial" w:cs="Arial"/>
        </w:rPr>
        <w:t>u a dopravy </w:t>
      </w:r>
      <w:r w:rsidRPr="002D67A5">
        <w:rPr>
          <w:rFonts w:ascii="Arial" w:hAnsi="Arial" w:cs="Arial"/>
        </w:rPr>
        <w:t>ČR, K</w:t>
      </w:r>
      <w:r w:rsidR="0004506C">
        <w:rPr>
          <w:rFonts w:ascii="Arial" w:hAnsi="Arial" w:cs="Arial"/>
        </w:rPr>
        <w:t>onfederace zaměstnavatelských a podnikatelských svazů </w:t>
      </w:r>
      <w:r w:rsidRPr="002D67A5">
        <w:rPr>
          <w:rFonts w:ascii="Arial" w:hAnsi="Arial" w:cs="Arial"/>
        </w:rPr>
        <w:t xml:space="preserve">ČR, Českomoravská konfederace odborových svazů, </w:t>
      </w:r>
      <w:r w:rsidR="00096EE8">
        <w:rPr>
          <w:rFonts w:ascii="Arial" w:hAnsi="Arial" w:cs="Arial"/>
        </w:rPr>
        <w:t>Asociace samostatných odborů) a </w:t>
      </w:r>
      <w:r w:rsidRPr="002D67A5">
        <w:rPr>
          <w:rFonts w:ascii="Arial" w:hAnsi="Arial" w:cs="Arial"/>
        </w:rPr>
        <w:t>odborové organizace, které mají uzavřenou kolektivní smlouvu vyššího stupně. Projekty byly zaměřeny na posilování sociálního dialogu, rozvoj spolupráce mezi zaměstnavateli a zaměstnanci, rozvoj a podporu s</w:t>
      </w:r>
      <w:r w:rsidR="00096EE8">
        <w:rPr>
          <w:rFonts w:ascii="Arial" w:hAnsi="Arial" w:cs="Arial"/>
        </w:rPr>
        <w:t>polupráce sociálních partnerů a </w:t>
      </w:r>
      <w:r w:rsidRPr="002D67A5">
        <w:rPr>
          <w:rFonts w:ascii="Arial" w:hAnsi="Arial" w:cs="Arial"/>
        </w:rPr>
        <w:t>dalších relevantních subjektů na řešení dlouhodobých problémů v oblasti rozvoje lidských zdrojů na regionální, odvětvové (se</w:t>
      </w:r>
      <w:r w:rsidR="00096EE8">
        <w:rPr>
          <w:rFonts w:ascii="Arial" w:hAnsi="Arial" w:cs="Arial"/>
        </w:rPr>
        <w:t>ktorové) a národní úrovni, a zvyšování povědomí o </w:t>
      </w:r>
      <w:r w:rsidRPr="002D67A5">
        <w:rPr>
          <w:rFonts w:ascii="Arial" w:hAnsi="Arial" w:cs="Arial"/>
        </w:rPr>
        <w:t>sociálním dialogu na všech jeho úrovních. Celková alokace projektů je 270 478 206 Kč.</w:t>
      </w:r>
    </w:p>
    <w:p w:rsidR="00D1548F" w:rsidRPr="002D67A5" w:rsidRDefault="00D1548F" w:rsidP="00D1548F">
      <w:pPr>
        <w:spacing w:line="360" w:lineRule="auto"/>
        <w:ind w:firstLine="567"/>
        <w:jc w:val="both"/>
        <w:rPr>
          <w:rFonts w:ascii="Arial" w:hAnsi="Arial" w:cs="Arial"/>
        </w:rPr>
      </w:pPr>
      <w:r w:rsidRPr="002D67A5">
        <w:rPr>
          <w:rFonts w:ascii="Arial" w:hAnsi="Arial" w:cs="Arial"/>
        </w:rPr>
        <w:t>V průběhu roku 2017 bylo možné podávat žádosti o finanční příspěvek v rámci projektu „</w:t>
      </w:r>
      <w:r w:rsidRPr="002D67A5">
        <w:rPr>
          <w:rFonts w:ascii="Arial" w:hAnsi="Arial" w:cs="Arial"/>
          <w:b/>
        </w:rPr>
        <w:t>Podpora odborného vzdělávání zaměstnanců II“ (POVEZ II)</w:t>
      </w:r>
      <w:r w:rsidR="00096EE8">
        <w:rPr>
          <w:rFonts w:ascii="Arial" w:hAnsi="Arial" w:cs="Arial"/>
        </w:rPr>
        <w:t xml:space="preserve"> výzvy č. 022 s rozpočtem 3 </w:t>
      </w:r>
      <w:r w:rsidRPr="002D67A5">
        <w:rPr>
          <w:rFonts w:ascii="Arial" w:hAnsi="Arial" w:cs="Arial"/>
        </w:rPr>
        <w:t>499</w:t>
      </w:r>
      <w:r w:rsidR="00096EE8">
        <w:rPr>
          <w:rFonts w:ascii="Arial" w:hAnsi="Arial" w:cs="Arial"/>
        </w:rPr>
        <w:t> </w:t>
      </w:r>
      <w:r w:rsidRPr="002D67A5">
        <w:rPr>
          <w:rFonts w:ascii="Arial" w:hAnsi="Arial" w:cs="Arial"/>
        </w:rPr>
        <w:t>850</w:t>
      </w:r>
      <w:r w:rsidR="00096EE8">
        <w:rPr>
          <w:rFonts w:ascii="Arial" w:hAnsi="Arial" w:cs="Arial"/>
        </w:rPr>
        <w:t> </w:t>
      </w:r>
      <w:r w:rsidRPr="002D67A5">
        <w:rPr>
          <w:rFonts w:ascii="Arial" w:hAnsi="Arial" w:cs="Arial"/>
        </w:rPr>
        <w:t>000</w:t>
      </w:r>
      <w:r w:rsidR="00096EE8">
        <w:rPr>
          <w:rFonts w:ascii="Arial" w:hAnsi="Arial" w:cs="Arial"/>
        </w:rPr>
        <w:t> </w:t>
      </w:r>
      <w:r w:rsidRPr="002D67A5">
        <w:rPr>
          <w:rFonts w:ascii="Arial" w:hAnsi="Arial" w:cs="Arial"/>
        </w:rPr>
        <w:t>Kč, který realizuje Úřad</w:t>
      </w:r>
      <w:r w:rsidR="00096EE8">
        <w:rPr>
          <w:rFonts w:ascii="Arial" w:hAnsi="Arial" w:cs="Arial"/>
        </w:rPr>
        <w:t> </w:t>
      </w:r>
      <w:r w:rsidRPr="002D67A5">
        <w:rPr>
          <w:rFonts w:ascii="Arial" w:hAnsi="Arial" w:cs="Arial"/>
        </w:rPr>
        <w:t>práce</w:t>
      </w:r>
      <w:r w:rsidR="00096EE8">
        <w:rPr>
          <w:rFonts w:ascii="Arial" w:hAnsi="Arial" w:cs="Arial"/>
        </w:rPr>
        <w:t> </w:t>
      </w:r>
      <w:r w:rsidRPr="002D67A5">
        <w:rPr>
          <w:rFonts w:ascii="Arial" w:hAnsi="Arial" w:cs="Arial"/>
        </w:rPr>
        <w:t>ČR.</w:t>
      </w:r>
      <w:r w:rsidR="00096EE8">
        <w:rPr>
          <w:rFonts w:ascii="Arial" w:hAnsi="Arial" w:cs="Arial"/>
        </w:rPr>
        <w:t xml:space="preserve"> Příjem žádostí </w:t>
      </w:r>
      <w:r w:rsidR="00096EE8">
        <w:rPr>
          <w:rFonts w:ascii="Arial" w:hAnsi="Arial" w:cs="Arial"/>
        </w:rPr>
        <w:lastRenderedPageBreak/>
        <w:t>probíhal od 20. </w:t>
      </w:r>
      <w:r w:rsidRPr="002D67A5">
        <w:rPr>
          <w:rFonts w:ascii="Arial" w:hAnsi="Arial" w:cs="Arial"/>
        </w:rPr>
        <w:t>3.</w:t>
      </w:r>
      <w:r w:rsidR="00096EE8">
        <w:rPr>
          <w:rFonts w:ascii="Arial" w:hAnsi="Arial" w:cs="Arial"/>
        </w:rPr>
        <w:t> </w:t>
      </w:r>
      <w:r w:rsidRPr="002D67A5">
        <w:rPr>
          <w:rFonts w:ascii="Arial" w:hAnsi="Arial" w:cs="Arial"/>
        </w:rPr>
        <w:t>2017 do 30.</w:t>
      </w:r>
      <w:r w:rsidR="00096EE8">
        <w:rPr>
          <w:rFonts w:ascii="Arial" w:hAnsi="Arial" w:cs="Arial"/>
        </w:rPr>
        <w:t> </w:t>
      </w:r>
      <w:r w:rsidRPr="002D67A5">
        <w:rPr>
          <w:rFonts w:ascii="Arial" w:hAnsi="Arial" w:cs="Arial"/>
        </w:rPr>
        <w:t>6.</w:t>
      </w:r>
      <w:r w:rsidR="00096EE8">
        <w:rPr>
          <w:rFonts w:ascii="Arial" w:hAnsi="Arial" w:cs="Arial"/>
        </w:rPr>
        <w:t> 2017, a dále od 1. </w:t>
      </w:r>
      <w:r w:rsidRPr="002D67A5">
        <w:rPr>
          <w:rFonts w:ascii="Arial" w:hAnsi="Arial" w:cs="Arial"/>
        </w:rPr>
        <w:t>11.</w:t>
      </w:r>
      <w:r w:rsidR="00096EE8">
        <w:rPr>
          <w:rFonts w:ascii="Arial" w:hAnsi="Arial" w:cs="Arial"/>
        </w:rPr>
        <w:t> </w:t>
      </w:r>
      <w:r w:rsidRPr="002D67A5">
        <w:rPr>
          <w:rFonts w:ascii="Arial" w:hAnsi="Arial" w:cs="Arial"/>
        </w:rPr>
        <w:t>2017. Tento projekt naváza</w:t>
      </w:r>
      <w:r w:rsidR="00096EE8">
        <w:rPr>
          <w:rFonts w:ascii="Arial" w:hAnsi="Arial" w:cs="Arial"/>
        </w:rPr>
        <w:t>l na sérii projektů, jež byly v ČR realizovány od roku 2009 s </w:t>
      </w:r>
      <w:r w:rsidRPr="002D67A5">
        <w:rPr>
          <w:rFonts w:ascii="Arial" w:hAnsi="Arial" w:cs="Arial"/>
        </w:rPr>
        <w:t xml:space="preserve">cílem podpořit odborný rozvoj zaměstnanců. Přímo navázal na projekt "Podpora odborného vzdělávání zaměstnanců", který se osvědčil jako jeden z nástrojů podpory dalšího vzdělávání v ČR a posilování konkurenceschopnosti pracovní síly na českém trhu práce. Cílovou skupinou </w:t>
      </w:r>
      <w:r w:rsidR="00096EE8">
        <w:rPr>
          <w:rFonts w:ascii="Arial" w:hAnsi="Arial" w:cs="Arial"/>
        </w:rPr>
        <w:t>projektu byli zaměstnavatelé ve </w:t>
      </w:r>
      <w:r w:rsidRPr="002D67A5">
        <w:rPr>
          <w:rFonts w:ascii="Arial" w:hAnsi="Arial" w:cs="Arial"/>
        </w:rPr>
        <w:t>smyslu § 7 Zákoníku práce, a</w:t>
      </w:r>
      <w:r w:rsidR="00096EE8">
        <w:rPr>
          <w:rFonts w:ascii="Arial" w:hAnsi="Arial" w:cs="Arial"/>
        </w:rPr>
        <w:t> </w:t>
      </w:r>
      <w:r w:rsidRPr="002D67A5">
        <w:rPr>
          <w:rFonts w:ascii="Arial" w:hAnsi="Arial" w:cs="Arial"/>
        </w:rPr>
        <w:t xml:space="preserve">to prostřednictvím svých zaměstnanců či potenciálně nových zaměstnanců. Cílovou skupinou byly rovněž fyzické osoby – OSVČ a nestátní neziskové organizace. Projekt umožňuje zaměstnavatelům získat příspěvek na vzdělávání zaměstnanců a refundaci </w:t>
      </w:r>
      <w:r w:rsidR="00096EE8">
        <w:rPr>
          <w:rFonts w:ascii="Arial" w:hAnsi="Arial" w:cs="Arial"/>
        </w:rPr>
        <w:t>jejich mezd po dobu školení. Ke </w:t>
      </w:r>
      <w:r w:rsidRPr="002D67A5">
        <w:rPr>
          <w:rFonts w:ascii="Arial" w:hAnsi="Arial" w:cs="Arial"/>
        </w:rPr>
        <w:t>dni 31. 12. 2017 bylo podáno 23</w:t>
      </w:r>
      <w:r w:rsidR="00FB132C">
        <w:rPr>
          <w:rFonts w:ascii="Arial" w:hAnsi="Arial" w:cs="Arial"/>
        </w:rPr>
        <w:t> </w:t>
      </w:r>
      <w:r w:rsidRPr="002D67A5">
        <w:rPr>
          <w:rFonts w:ascii="Arial" w:hAnsi="Arial" w:cs="Arial"/>
        </w:rPr>
        <w:t>762</w:t>
      </w:r>
      <w:r w:rsidR="00FB132C">
        <w:rPr>
          <w:rFonts w:ascii="Arial" w:hAnsi="Arial" w:cs="Arial"/>
        </w:rPr>
        <w:t> </w:t>
      </w:r>
      <w:r w:rsidR="00096EE8">
        <w:rPr>
          <w:rFonts w:ascii="Arial" w:hAnsi="Arial" w:cs="Arial"/>
        </w:rPr>
        <w:t>žádostí v </w:t>
      </w:r>
      <w:r w:rsidRPr="002D67A5">
        <w:rPr>
          <w:rFonts w:ascii="Arial" w:hAnsi="Arial" w:cs="Arial"/>
        </w:rPr>
        <w:t xml:space="preserve">celkové částce 2 969 356 810 Kč. </w:t>
      </w:r>
    </w:p>
    <w:p w:rsidR="00D1548F" w:rsidRPr="002D67A5" w:rsidRDefault="00D1548F" w:rsidP="00D1548F">
      <w:pPr>
        <w:spacing w:line="360" w:lineRule="auto"/>
        <w:ind w:firstLine="567"/>
        <w:jc w:val="both"/>
        <w:rPr>
          <w:rFonts w:ascii="Arial" w:hAnsi="Arial" w:cs="Arial"/>
        </w:rPr>
      </w:pPr>
      <w:r w:rsidRPr="002D67A5">
        <w:rPr>
          <w:rFonts w:ascii="Arial" w:hAnsi="Arial" w:cs="Arial"/>
        </w:rPr>
        <w:t xml:space="preserve">Oprávnění žadatelé měli možnost předkládat své žádosti do </w:t>
      </w:r>
      <w:r w:rsidRPr="002D67A5">
        <w:rPr>
          <w:rFonts w:ascii="Arial" w:hAnsi="Arial" w:cs="Arial"/>
          <w:b/>
        </w:rPr>
        <w:t>výzvy č. 054 pro organizační složky státu a jimi řízené/zřízené příspěvkové organizace</w:t>
      </w:r>
      <w:r w:rsidRPr="002D67A5">
        <w:rPr>
          <w:rFonts w:ascii="Arial" w:hAnsi="Arial" w:cs="Arial"/>
        </w:rPr>
        <w:t>, které mají ve své působnosti podporu některých s</w:t>
      </w:r>
      <w:r w:rsidR="00096EE8">
        <w:rPr>
          <w:rFonts w:ascii="Arial" w:hAnsi="Arial" w:cs="Arial"/>
        </w:rPr>
        <w:t>pecifických oblastí ekonomiky a </w:t>
      </w:r>
      <w:r w:rsidRPr="002D67A5">
        <w:rPr>
          <w:rFonts w:ascii="Arial" w:hAnsi="Arial" w:cs="Arial"/>
        </w:rPr>
        <w:t>zároveň jsou vhodnými subjekty k realizaci projektů dalšího vzdělávání zaměstnanců v příslušných oblastech. Jedná se o průběžnou nesoutěžní výzvu pro předem definovaný okruh oprávněných žadatelů/příjemců. Celková finanční alokace této výzvy je 726 387 000 Kč. V rámci výzvy plánuje předložit Česká centrála cestovního ruchu – CzechTourism projekt s názvem „Vzdělávání v cestovním ruchu“; Národní ústav pro vzdělávání projekt „Implementa</w:t>
      </w:r>
      <w:r w:rsidR="00096EE8">
        <w:rPr>
          <w:rFonts w:ascii="Arial" w:hAnsi="Arial" w:cs="Arial"/>
        </w:rPr>
        <w:t>ce systému mistrovské zkoušky a </w:t>
      </w:r>
      <w:r w:rsidRPr="002D67A5">
        <w:rPr>
          <w:rFonts w:ascii="Arial" w:hAnsi="Arial" w:cs="Arial"/>
        </w:rPr>
        <w:t>mistrovských kvalifikací v ČR“, MPO projekt „Zv</w:t>
      </w:r>
      <w:r w:rsidR="00096EE8">
        <w:rPr>
          <w:rFonts w:ascii="Arial" w:hAnsi="Arial" w:cs="Arial"/>
        </w:rPr>
        <w:t>ýšení odborné úrovně znalostí a </w:t>
      </w:r>
      <w:r w:rsidRPr="002D67A5">
        <w:rPr>
          <w:rFonts w:ascii="Arial" w:hAnsi="Arial" w:cs="Arial"/>
        </w:rPr>
        <w:t>dovedností v</w:t>
      </w:r>
      <w:r>
        <w:rPr>
          <w:rFonts w:ascii="Arial" w:hAnsi="Arial" w:cs="Arial"/>
        </w:rPr>
        <w:t> </w:t>
      </w:r>
      <w:r w:rsidRPr="002D67A5">
        <w:rPr>
          <w:rFonts w:ascii="Arial" w:hAnsi="Arial" w:cs="Arial"/>
        </w:rPr>
        <w:t>sektoru stavebnictví prostředni</w:t>
      </w:r>
      <w:r w:rsidR="00096EE8">
        <w:rPr>
          <w:rFonts w:ascii="Arial" w:hAnsi="Arial" w:cs="Arial"/>
        </w:rPr>
        <w:t>ctvím koncepčního vzdělávání“ a </w:t>
      </w:r>
      <w:r w:rsidRPr="002D67A5">
        <w:rPr>
          <w:rFonts w:ascii="Arial" w:hAnsi="Arial" w:cs="Arial"/>
        </w:rPr>
        <w:t>Česk</w:t>
      </w:r>
      <w:r>
        <w:rPr>
          <w:rFonts w:ascii="Arial" w:hAnsi="Arial" w:cs="Arial"/>
        </w:rPr>
        <w:t>á agentura na podporu obchodu (CzechT</w:t>
      </w:r>
      <w:r w:rsidRPr="002D67A5">
        <w:rPr>
          <w:rFonts w:ascii="Arial" w:hAnsi="Arial" w:cs="Arial"/>
        </w:rPr>
        <w:t>rade</w:t>
      </w:r>
      <w:r>
        <w:rPr>
          <w:rFonts w:ascii="Arial" w:hAnsi="Arial" w:cs="Arial"/>
        </w:rPr>
        <w:t>)</w:t>
      </w:r>
      <w:r w:rsidRPr="002D67A5">
        <w:rPr>
          <w:rFonts w:ascii="Arial" w:hAnsi="Arial" w:cs="Arial"/>
        </w:rPr>
        <w:t xml:space="preserve"> </w:t>
      </w:r>
      <w:r>
        <w:rPr>
          <w:rFonts w:ascii="Arial" w:hAnsi="Arial" w:cs="Arial"/>
        </w:rPr>
        <w:t>projekt „Proexportní akademie (</w:t>
      </w:r>
      <w:r w:rsidRPr="002D67A5">
        <w:rPr>
          <w:rFonts w:ascii="Arial" w:hAnsi="Arial" w:cs="Arial"/>
        </w:rPr>
        <w:t>PROXA</w:t>
      </w:r>
      <w:r>
        <w:rPr>
          <w:rFonts w:ascii="Arial" w:hAnsi="Arial" w:cs="Arial"/>
        </w:rPr>
        <w:t>)</w:t>
      </w:r>
      <w:r w:rsidRPr="002D67A5">
        <w:rPr>
          <w:rFonts w:ascii="Arial" w:hAnsi="Arial" w:cs="Arial"/>
        </w:rPr>
        <w:t>“. Žádný z</w:t>
      </w:r>
      <w:r>
        <w:rPr>
          <w:rFonts w:ascii="Arial" w:hAnsi="Arial" w:cs="Arial"/>
        </w:rPr>
        <w:t> </w:t>
      </w:r>
      <w:r w:rsidRPr="002D67A5">
        <w:rPr>
          <w:rFonts w:ascii="Arial" w:hAnsi="Arial" w:cs="Arial"/>
        </w:rPr>
        <w:t>oprávněných žadatelů zatím projekt nepředložil.</w:t>
      </w:r>
    </w:p>
    <w:p w:rsidR="00D1548F" w:rsidRPr="002D67A5" w:rsidRDefault="00D1548F" w:rsidP="00D1548F">
      <w:pPr>
        <w:spacing w:line="360" w:lineRule="auto"/>
        <w:ind w:firstLine="567"/>
        <w:jc w:val="both"/>
        <w:rPr>
          <w:rFonts w:ascii="Arial" w:hAnsi="Arial" w:cs="Arial"/>
        </w:rPr>
      </w:pPr>
      <w:r w:rsidRPr="002D67A5">
        <w:rPr>
          <w:rFonts w:ascii="Arial" w:hAnsi="Arial" w:cs="Arial"/>
        </w:rPr>
        <w:t>V rámci výzvy č. 044 s názvem „</w:t>
      </w:r>
      <w:r w:rsidRPr="002D67A5">
        <w:rPr>
          <w:rFonts w:ascii="Arial" w:hAnsi="Arial" w:cs="Arial"/>
          <w:b/>
        </w:rPr>
        <w:t>Podpora zaměstnanců ohrožených propouštěním</w:t>
      </w:r>
      <w:r w:rsidRPr="002D67A5">
        <w:rPr>
          <w:rFonts w:ascii="Arial" w:hAnsi="Arial" w:cs="Arial"/>
        </w:rPr>
        <w:t>“ začaly počátkem roku 2017 realizovat své projekty krajské pobočky ÚP ČR v Jihlavě s vyme</w:t>
      </w:r>
      <w:r w:rsidR="00BA059C">
        <w:rPr>
          <w:rFonts w:ascii="Arial" w:hAnsi="Arial" w:cs="Arial"/>
        </w:rPr>
        <w:t>zenou alokací 39,8 </w:t>
      </w:r>
      <w:r w:rsidR="00096EE8">
        <w:rPr>
          <w:rFonts w:ascii="Arial" w:hAnsi="Arial" w:cs="Arial"/>
        </w:rPr>
        <w:t>mil. Kč a v </w:t>
      </w:r>
      <w:r w:rsidRPr="002D67A5">
        <w:rPr>
          <w:rFonts w:ascii="Arial" w:hAnsi="Arial" w:cs="Arial"/>
        </w:rPr>
        <w:t>Ostravě s alokací 47 mil. Kč. Projekty byly zaměřené především na por</w:t>
      </w:r>
      <w:r w:rsidR="00096EE8">
        <w:rPr>
          <w:rFonts w:ascii="Arial" w:hAnsi="Arial" w:cs="Arial"/>
        </w:rPr>
        <w:t>adenské a informační aktivity v </w:t>
      </w:r>
      <w:r w:rsidRPr="002D67A5">
        <w:rPr>
          <w:rFonts w:ascii="Arial" w:hAnsi="Arial" w:cs="Arial"/>
        </w:rPr>
        <w:t>oblasti kariérového poradenství, orientaci na trhu práce pro propouštěné zaměstnance, vzdělávací a rekvalifikační programy pro zaměstnance podniků procházejících restrukturalizací nebo končící svoji činnost, vzdělávací programy pro zaměstnance ohrožené propouštěním a podporu zaměstnáv</w:t>
      </w:r>
      <w:r>
        <w:rPr>
          <w:rFonts w:ascii="Arial" w:hAnsi="Arial" w:cs="Arial"/>
        </w:rPr>
        <w:t xml:space="preserve">ání propouštěných zaměstnanců. </w:t>
      </w:r>
    </w:p>
    <w:p w:rsidR="00D1548F" w:rsidRPr="002D67A5" w:rsidRDefault="00D1548F" w:rsidP="00D1548F">
      <w:pPr>
        <w:spacing w:line="360" w:lineRule="auto"/>
        <w:ind w:firstLine="567"/>
        <w:jc w:val="both"/>
        <w:rPr>
          <w:rFonts w:ascii="Arial" w:hAnsi="Arial" w:cs="Arial"/>
        </w:rPr>
      </w:pPr>
      <w:r w:rsidRPr="002D67A5">
        <w:rPr>
          <w:rFonts w:ascii="Arial" w:hAnsi="Arial" w:cs="Arial"/>
        </w:rPr>
        <w:t xml:space="preserve">V lednu 2017 byl zahájen </w:t>
      </w:r>
      <w:r w:rsidR="00096EE8">
        <w:rPr>
          <w:rFonts w:ascii="Arial" w:hAnsi="Arial" w:cs="Arial"/>
        </w:rPr>
        <w:t>proces vydávání právních aktů v </w:t>
      </w:r>
      <w:r w:rsidRPr="002D67A5">
        <w:rPr>
          <w:rFonts w:ascii="Arial" w:hAnsi="Arial" w:cs="Arial"/>
        </w:rPr>
        <w:t>kolové výzvě č. 043 „</w:t>
      </w:r>
      <w:r w:rsidRPr="002D67A5">
        <w:rPr>
          <w:rFonts w:ascii="Arial" w:hAnsi="Arial" w:cs="Arial"/>
          <w:b/>
          <w:bCs/>
        </w:rPr>
        <w:t>Podnikové vzdělávání zaměstnanců</w:t>
      </w:r>
      <w:r w:rsidRPr="002D67A5">
        <w:rPr>
          <w:rFonts w:ascii="Arial" w:hAnsi="Arial" w:cs="Arial"/>
        </w:rPr>
        <w:t xml:space="preserve">“ se zjednodušeným vykazováním výdajů </w:t>
      </w:r>
      <w:r w:rsidRPr="002D67A5">
        <w:rPr>
          <w:rFonts w:ascii="Arial" w:hAnsi="Arial" w:cs="Arial"/>
        </w:rPr>
        <w:lastRenderedPageBreak/>
        <w:t>formou jednotkových nákladů na vzdělávání. Vzhledem k velkému množství kvalitně připravených žádostí v zásobníku projek</w:t>
      </w:r>
      <w:r w:rsidR="00096EE8">
        <w:rPr>
          <w:rFonts w:ascii="Arial" w:hAnsi="Arial" w:cs="Arial"/>
        </w:rPr>
        <w:t>tů byla v dubnu </w:t>
      </w:r>
      <w:r w:rsidRPr="002D67A5">
        <w:rPr>
          <w:rFonts w:ascii="Arial" w:hAnsi="Arial" w:cs="Arial"/>
        </w:rPr>
        <w:t>2017 navýšena finanční alokace výzvy z původních 1,5 na 2 mld. Kč. V období od ledna do prosince 2017 se podařilo uzavřít 1 238 rozhodnutí o poskytnutí dotace. Ve stejném období příjemci předkládali první a někteří i druhé zprávy o realizaci projektu včetně žádostí o platbu. Schváleny a proplaceny byly výdaje v celkové výši cca 242 mil. Kč.</w:t>
      </w:r>
    </w:p>
    <w:p w:rsidR="00D1548F" w:rsidRPr="002D67A5" w:rsidRDefault="00D1548F" w:rsidP="00D1548F">
      <w:pPr>
        <w:spacing w:line="360" w:lineRule="auto"/>
        <w:ind w:firstLine="567"/>
        <w:jc w:val="both"/>
        <w:rPr>
          <w:rFonts w:ascii="Arial" w:hAnsi="Arial" w:cs="Arial"/>
        </w:rPr>
      </w:pPr>
      <w:r w:rsidRPr="002D67A5">
        <w:rPr>
          <w:rFonts w:ascii="Arial" w:hAnsi="Arial" w:cs="Arial"/>
        </w:rPr>
        <w:t>Druhou výzvou v režimu zjednodušeného vykazování výdajů formou jednotkových nákladů na vzdělávání byla výzva 060 „</w:t>
      </w:r>
      <w:r w:rsidRPr="002D67A5">
        <w:rPr>
          <w:rFonts w:ascii="Arial" w:hAnsi="Arial" w:cs="Arial"/>
          <w:b/>
        </w:rPr>
        <w:t>Vzdělávání – společná cesta k</w:t>
      </w:r>
      <w:r>
        <w:rPr>
          <w:rFonts w:ascii="Arial" w:hAnsi="Arial" w:cs="Arial"/>
          <w:b/>
        </w:rPr>
        <w:t> </w:t>
      </w:r>
      <w:r w:rsidRPr="002D67A5">
        <w:rPr>
          <w:rFonts w:ascii="Arial" w:hAnsi="Arial" w:cs="Arial"/>
          <w:b/>
        </w:rPr>
        <w:t>rozvoji!</w:t>
      </w:r>
      <w:r w:rsidRPr="002D67A5">
        <w:rPr>
          <w:rFonts w:ascii="Arial" w:hAnsi="Arial" w:cs="Arial"/>
        </w:rPr>
        <w:t xml:space="preserve">“. </w:t>
      </w:r>
      <w:r w:rsidR="00C24285">
        <w:rPr>
          <w:rFonts w:ascii="Arial" w:hAnsi="Arial" w:cs="Arial"/>
        </w:rPr>
        <w:t>V této výzvě byla začátkem roku </w:t>
      </w:r>
      <w:r w:rsidRPr="002D67A5">
        <w:rPr>
          <w:rFonts w:ascii="Arial" w:hAnsi="Arial" w:cs="Arial"/>
        </w:rPr>
        <w:t>2017 ukončena fáze hodnocení přijatelnosti a formálních náležitostí podaných žádostí.  Doporučeno k</w:t>
      </w:r>
      <w:r w:rsidR="00C24285">
        <w:rPr>
          <w:rFonts w:ascii="Arial" w:hAnsi="Arial" w:cs="Arial"/>
        </w:rPr>
        <w:t> </w:t>
      </w:r>
      <w:r w:rsidRPr="002D67A5">
        <w:rPr>
          <w:rFonts w:ascii="Arial" w:hAnsi="Arial" w:cs="Arial"/>
        </w:rPr>
        <w:t>financování bylo 75 projektových žádostí a se všemi úspěšnými žadateli byly podepsány právní akty. Od února byly vypláceny první zálohové platby a příjemci, kterými jsou profesní a</w:t>
      </w:r>
      <w:r>
        <w:rPr>
          <w:rFonts w:ascii="Arial" w:hAnsi="Arial" w:cs="Arial"/>
        </w:rPr>
        <w:t> </w:t>
      </w:r>
      <w:r w:rsidRPr="002D67A5">
        <w:rPr>
          <w:rFonts w:ascii="Arial" w:hAnsi="Arial" w:cs="Arial"/>
        </w:rPr>
        <w:t>podnikatelská sdružení a zastřešující organizace nestátní neziskových organizací, tak mohli začít realizovat vzdělávací projekty určené pro zaměstnance svých členských organizací. Většina projektů nejdříve realizovala výběrová řízení. V druhé polovině roku byly pak v některých projektech předkládány již první zprávy o</w:t>
      </w:r>
      <w:r w:rsidR="00C24285">
        <w:rPr>
          <w:rFonts w:ascii="Arial" w:hAnsi="Arial" w:cs="Arial"/>
        </w:rPr>
        <w:t> </w:t>
      </w:r>
      <w:r w:rsidRPr="002D67A5">
        <w:rPr>
          <w:rFonts w:ascii="Arial" w:hAnsi="Arial" w:cs="Arial"/>
        </w:rPr>
        <w:t>realizaci a žá</w:t>
      </w:r>
      <w:r w:rsidR="00C24285">
        <w:rPr>
          <w:rFonts w:ascii="Arial" w:hAnsi="Arial" w:cs="Arial"/>
        </w:rPr>
        <w:t>dosti o </w:t>
      </w:r>
      <w:r>
        <w:rPr>
          <w:rFonts w:ascii="Arial" w:hAnsi="Arial" w:cs="Arial"/>
        </w:rPr>
        <w:t>platbu v celkové výši 1,</w:t>
      </w:r>
      <w:r w:rsidRPr="002D67A5">
        <w:rPr>
          <w:rFonts w:ascii="Arial" w:hAnsi="Arial" w:cs="Arial"/>
        </w:rPr>
        <w:t>8</w:t>
      </w:r>
      <w:r>
        <w:rPr>
          <w:rFonts w:ascii="Arial" w:hAnsi="Arial" w:cs="Arial"/>
        </w:rPr>
        <w:t> mil.</w:t>
      </w:r>
      <w:r w:rsidR="00C24285">
        <w:rPr>
          <w:rFonts w:ascii="Arial" w:hAnsi="Arial" w:cs="Arial"/>
        </w:rPr>
        <w:t> </w:t>
      </w:r>
      <w:r w:rsidRPr="002D67A5">
        <w:rPr>
          <w:rFonts w:ascii="Arial" w:hAnsi="Arial" w:cs="Arial"/>
        </w:rPr>
        <w:t>Kč. Celková finanční a</w:t>
      </w:r>
      <w:r w:rsidR="00C24285">
        <w:rPr>
          <w:rFonts w:ascii="Arial" w:hAnsi="Arial" w:cs="Arial"/>
        </w:rPr>
        <w:t xml:space="preserve">lokace výzvy je 560,5 mil. Kč. </w:t>
      </w:r>
    </w:p>
    <w:p w:rsidR="00D1548F" w:rsidRDefault="00D1548F" w:rsidP="00D1548F">
      <w:pPr>
        <w:spacing w:line="360" w:lineRule="auto"/>
        <w:ind w:firstLine="567"/>
        <w:jc w:val="both"/>
        <w:rPr>
          <w:rFonts w:ascii="Arial" w:hAnsi="Arial" w:cs="Arial"/>
        </w:rPr>
      </w:pPr>
      <w:r w:rsidRPr="002D67A5">
        <w:rPr>
          <w:rFonts w:ascii="Arial" w:hAnsi="Arial" w:cs="Arial"/>
        </w:rPr>
        <w:t xml:space="preserve">V říjnu 2017 byla vyhlášena výzva č. 079 </w:t>
      </w:r>
      <w:r w:rsidRPr="002D67A5">
        <w:rPr>
          <w:rFonts w:ascii="Arial" w:hAnsi="Arial" w:cs="Arial"/>
          <w:b/>
        </w:rPr>
        <w:t>„Age management - chytrá změna v</w:t>
      </w:r>
      <w:r>
        <w:rPr>
          <w:rFonts w:ascii="Arial" w:hAnsi="Arial" w:cs="Arial"/>
          <w:b/>
        </w:rPr>
        <w:t> </w:t>
      </w:r>
      <w:r w:rsidRPr="002D67A5">
        <w:rPr>
          <w:rFonts w:ascii="Arial" w:hAnsi="Arial" w:cs="Arial"/>
          <w:b/>
        </w:rPr>
        <w:t>řízení, příležitost k růstu“</w:t>
      </w:r>
      <w:r w:rsidRPr="002D67A5">
        <w:rPr>
          <w:rFonts w:ascii="Arial" w:hAnsi="Arial" w:cs="Arial"/>
        </w:rPr>
        <w:t>. H</w:t>
      </w:r>
      <w:r w:rsidR="00B526A8">
        <w:rPr>
          <w:rFonts w:ascii="Arial" w:hAnsi="Arial" w:cs="Arial"/>
        </w:rPr>
        <w:t>lavním cílem výzvy je přispět k </w:t>
      </w:r>
      <w:r w:rsidRPr="002D67A5">
        <w:rPr>
          <w:rFonts w:ascii="Arial" w:hAnsi="Arial" w:cs="Arial"/>
        </w:rPr>
        <w:t>podpoře zavádění age</w:t>
      </w:r>
      <w:r>
        <w:rPr>
          <w:rFonts w:ascii="Arial" w:hAnsi="Arial" w:cs="Arial"/>
        </w:rPr>
        <w:t> </w:t>
      </w:r>
      <w:r w:rsidRPr="002D67A5">
        <w:rPr>
          <w:rFonts w:ascii="Arial" w:hAnsi="Arial" w:cs="Arial"/>
        </w:rPr>
        <w:t>managementu a související systémové práce s lidskými zdroji jakožto jednoho z</w:t>
      </w:r>
      <w:r>
        <w:rPr>
          <w:rFonts w:ascii="Arial" w:hAnsi="Arial" w:cs="Arial"/>
        </w:rPr>
        <w:t> </w:t>
      </w:r>
      <w:r w:rsidRPr="002D67A5">
        <w:rPr>
          <w:rFonts w:ascii="Arial" w:hAnsi="Arial" w:cs="Arial"/>
        </w:rPr>
        <w:t>důležitých faktorů konkurenceschopnosti podniků na trhu v</w:t>
      </w:r>
      <w:r w:rsidR="00B526A8">
        <w:rPr>
          <w:rFonts w:ascii="Arial" w:hAnsi="Arial" w:cs="Arial"/>
        </w:rPr>
        <w:t> </w:t>
      </w:r>
      <w:r w:rsidRPr="002D67A5">
        <w:rPr>
          <w:rFonts w:ascii="Arial" w:hAnsi="Arial" w:cs="Arial"/>
        </w:rPr>
        <w:t>kontextu demografického vývoje v ČR a s tím souvisejícího prodlužování pracovního života. Finanční alokace výzvy je 300</w:t>
      </w:r>
      <w:r w:rsidR="00B526A8">
        <w:rPr>
          <w:rFonts w:ascii="Arial" w:hAnsi="Arial" w:cs="Arial"/>
        </w:rPr>
        <w:t> </w:t>
      </w:r>
      <w:r w:rsidRPr="002D67A5">
        <w:rPr>
          <w:rFonts w:ascii="Arial" w:hAnsi="Arial" w:cs="Arial"/>
        </w:rPr>
        <w:t>mil.</w:t>
      </w:r>
      <w:r w:rsidR="00B526A8">
        <w:rPr>
          <w:rFonts w:ascii="Arial" w:hAnsi="Arial" w:cs="Arial"/>
        </w:rPr>
        <w:t> </w:t>
      </w:r>
      <w:r w:rsidRPr="002D67A5">
        <w:rPr>
          <w:rFonts w:ascii="Arial" w:hAnsi="Arial" w:cs="Arial"/>
        </w:rPr>
        <w:t>Kč. Oprávněnými žadateli jsou obchodní korporace, státní podniky a</w:t>
      </w:r>
      <w:r>
        <w:rPr>
          <w:rFonts w:ascii="Arial" w:hAnsi="Arial" w:cs="Arial"/>
        </w:rPr>
        <w:t> </w:t>
      </w:r>
      <w:r w:rsidRPr="002D67A5">
        <w:rPr>
          <w:rFonts w:ascii="Arial" w:hAnsi="Arial" w:cs="Arial"/>
        </w:rPr>
        <w:t>nestátní neziskové organizace. Podporovanými aktivitami v projektech je zpracování strategií a plánů pro zavádění age managementu, preventivní kroky na udržování a</w:t>
      </w:r>
      <w:r>
        <w:rPr>
          <w:rFonts w:ascii="Arial" w:hAnsi="Arial" w:cs="Arial"/>
        </w:rPr>
        <w:t> </w:t>
      </w:r>
      <w:r w:rsidRPr="002D67A5">
        <w:rPr>
          <w:rFonts w:ascii="Arial" w:hAnsi="Arial" w:cs="Arial"/>
        </w:rPr>
        <w:t>posilování pracovní schopnosti zaměstnanců všech generací, motivační poradenství, aktivity zaměřené na generační výměnu, aktivity zaměřené na sdílení dobré praxe, vzdělávací aktivity v oblasti age managementu, a</w:t>
      </w:r>
      <w:r w:rsidR="0070252F">
        <w:rPr>
          <w:rFonts w:ascii="Arial" w:hAnsi="Arial" w:cs="Arial"/>
        </w:rPr>
        <w:t> </w:t>
      </w:r>
      <w:r w:rsidRPr="002D67A5">
        <w:rPr>
          <w:rFonts w:ascii="Arial" w:hAnsi="Arial" w:cs="Arial"/>
        </w:rPr>
        <w:t>další. Povinnou přílohou žádosti o podporu je zpracovaný audit age managementu za subjekt žadatele.</w:t>
      </w:r>
      <w:r w:rsidRPr="00AC4C45">
        <w:rPr>
          <w:rFonts w:ascii="Arial" w:hAnsi="Arial" w:cs="Arial"/>
        </w:rPr>
        <w:t xml:space="preserve"> </w:t>
      </w:r>
    </w:p>
    <w:p w:rsidR="00D1548F" w:rsidRPr="00AC4C45" w:rsidRDefault="00D1548F" w:rsidP="00D1548F">
      <w:pPr>
        <w:spacing w:line="360" w:lineRule="auto"/>
        <w:ind w:firstLine="567"/>
        <w:jc w:val="both"/>
        <w:rPr>
          <w:rFonts w:ascii="Arial" w:hAnsi="Arial" w:cs="Arial"/>
        </w:rPr>
      </w:pPr>
    </w:p>
    <w:p w:rsidR="00D1548F" w:rsidRPr="00791E66" w:rsidRDefault="00D1548F" w:rsidP="00D1548F">
      <w:pPr>
        <w:numPr>
          <w:ilvl w:val="0"/>
          <w:numId w:val="19"/>
        </w:numPr>
        <w:spacing w:line="360" w:lineRule="auto"/>
        <w:contextualSpacing/>
        <w:jc w:val="both"/>
        <w:rPr>
          <w:rFonts w:ascii="Arial" w:hAnsi="Arial" w:cs="Arial"/>
          <w:b/>
        </w:rPr>
      </w:pPr>
      <w:r w:rsidRPr="00791E66">
        <w:rPr>
          <w:rFonts w:ascii="Arial" w:hAnsi="Arial" w:cs="Arial"/>
          <w:b/>
        </w:rPr>
        <w:t xml:space="preserve">Investiční priorita 1.4 – Modernizace institucí </w:t>
      </w:r>
      <w:r w:rsidR="00B526A8">
        <w:rPr>
          <w:rFonts w:ascii="Arial" w:hAnsi="Arial" w:cs="Arial"/>
          <w:b/>
        </w:rPr>
        <w:t>trhu práce, jako jsou veřejné a </w:t>
      </w:r>
      <w:r w:rsidRPr="00791E66">
        <w:rPr>
          <w:rFonts w:ascii="Arial" w:hAnsi="Arial" w:cs="Arial"/>
          <w:b/>
        </w:rPr>
        <w:t>soukr</w:t>
      </w:r>
      <w:r w:rsidR="00B526A8">
        <w:rPr>
          <w:rFonts w:ascii="Arial" w:hAnsi="Arial" w:cs="Arial"/>
          <w:b/>
        </w:rPr>
        <w:t>omé služby zaměstnanosti a </w:t>
      </w:r>
      <w:r w:rsidRPr="00791E66">
        <w:rPr>
          <w:rFonts w:ascii="Arial" w:hAnsi="Arial" w:cs="Arial"/>
          <w:b/>
        </w:rPr>
        <w:t>přispívání k</w:t>
      </w:r>
      <w:r w:rsidR="00B526A8">
        <w:rPr>
          <w:rFonts w:ascii="Arial" w:hAnsi="Arial" w:cs="Arial"/>
          <w:b/>
        </w:rPr>
        <w:t> </w:t>
      </w:r>
      <w:r w:rsidRPr="00791E66">
        <w:rPr>
          <w:rFonts w:ascii="Arial" w:hAnsi="Arial" w:cs="Arial"/>
          <w:b/>
        </w:rPr>
        <w:t xml:space="preserve">adaptaci </w:t>
      </w:r>
      <w:r w:rsidRPr="00791E66">
        <w:rPr>
          <w:rFonts w:ascii="Arial" w:hAnsi="Arial" w:cs="Arial"/>
          <w:b/>
        </w:rPr>
        <w:lastRenderedPageBreak/>
        <w:t>na potřeby trhu práce, včetně prostřednictvím opatření pro zlepšení nadnárodní mobility p</w:t>
      </w:r>
      <w:r w:rsidR="00B526A8">
        <w:rPr>
          <w:rFonts w:ascii="Arial" w:hAnsi="Arial" w:cs="Arial"/>
          <w:b/>
        </w:rPr>
        <w:t>racovníků a programů mobility a </w:t>
      </w:r>
      <w:r w:rsidRPr="00791E66">
        <w:rPr>
          <w:rFonts w:ascii="Arial" w:hAnsi="Arial" w:cs="Arial"/>
          <w:b/>
        </w:rPr>
        <w:t>lepší spolupráce mezi institucemi a</w:t>
      </w:r>
      <w:r>
        <w:rPr>
          <w:rFonts w:ascii="Arial" w:hAnsi="Arial" w:cs="Arial"/>
          <w:b/>
        </w:rPr>
        <w:t> </w:t>
      </w:r>
      <w:r w:rsidRPr="00791E66">
        <w:rPr>
          <w:rFonts w:ascii="Arial" w:hAnsi="Arial" w:cs="Arial"/>
          <w:b/>
        </w:rPr>
        <w:t>příslušnými zúčastněnými stranami</w:t>
      </w:r>
    </w:p>
    <w:p w:rsidR="00D1548F" w:rsidRPr="0094076C" w:rsidRDefault="00D1548F" w:rsidP="00D1548F">
      <w:pPr>
        <w:spacing w:line="360" w:lineRule="auto"/>
        <w:ind w:firstLine="567"/>
        <w:jc w:val="both"/>
        <w:rPr>
          <w:rFonts w:ascii="Arial" w:hAnsi="Arial" w:cs="Arial"/>
        </w:rPr>
      </w:pPr>
    </w:p>
    <w:p w:rsidR="00D1548F" w:rsidRPr="0094076C" w:rsidRDefault="00D1548F" w:rsidP="00D1548F">
      <w:pPr>
        <w:spacing w:line="360" w:lineRule="auto"/>
        <w:ind w:firstLine="567"/>
        <w:jc w:val="both"/>
        <w:rPr>
          <w:rFonts w:ascii="Arial" w:hAnsi="Arial"/>
        </w:rPr>
      </w:pPr>
      <w:r w:rsidRPr="0094076C">
        <w:rPr>
          <w:rFonts w:ascii="Arial" w:hAnsi="Arial"/>
          <w:b/>
        </w:rPr>
        <w:t xml:space="preserve">Investiční priorita 1.4 specifický cíl 1, </w:t>
      </w:r>
      <w:r w:rsidRPr="0094076C">
        <w:rPr>
          <w:rFonts w:ascii="Arial" w:hAnsi="Arial"/>
        </w:rPr>
        <w:t>který je zaměřený na zvýšení kapacity, komplexnosti a kvality služeb poskytovaných institucemi veřejných služeb zaměstnanosti, je realizován prost</w:t>
      </w:r>
      <w:r w:rsidR="00B526A8">
        <w:rPr>
          <w:rFonts w:ascii="Arial" w:hAnsi="Arial"/>
        </w:rPr>
        <w:t>řednictvím dvou výzev. Výzva č. </w:t>
      </w:r>
      <w:r w:rsidRPr="0094076C">
        <w:rPr>
          <w:rFonts w:ascii="Arial" w:hAnsi="Arial"/>
        </w:rPr>
        <w:t xml:space="preserve">03_15_011 byla vyhlášena pro předkládání </w:t>
      </w:r>
      <w:r w:rsidRPr="0094076C">
        <w:rPr>
          <w:rFonts w:ascii="Arial" w:hAnsi="Arial"/>
          <w:b/>
        </w:rPr>
        <w:t>systémových projektů Úřadu práce ČR</w:t>
      </w:r>
      <w:r w:rsidR="00B526A8">
        <w:rPr>
          <w:rFonts w:ascii="Arial" w:hAnsi="Arial"/>
        </w:rPr>
        <w:t>. V září </w:t>
      </w:r>
      <w:r w:rsidRPr="0094076C">
        <w:rPr>
          <w:rFonts w:ascii="Arial" w:hAnsi="Arial"/>
        </w:rPr>
        <w:t>2017 došlo ke snížení alokované částky v této výzvě na 1,875  mld. Kč v rámci realokace (z původních 2,622 mld. Kč) a k prodloužení možné doby ukončení realizace projektů do 30. 6. 2023 v textaci výzvy. V rámci této výzvy jsou realizovány následující projekty.</w:t>
      </w:r>
    </w:p>
    <w:p w:rsidR="00D1548F" w:rsidRPr="003247DF" w:rsidRDefault="00D1548F" w:rsidP="00D1548F">
      <w:pPr>
        <w:numPr>
          <w:ilvl w:val="0"/>
          <w:numId w:val="29"/>
        </w:numPr>
        <w:spacing w:line="360" w:lineRule="auto"/>
        <w:ind w:left="426" w:hanging="426"/>
        <w:contextualSpacing/>
        <w:jc w:val="both"/>
        <w:rPr>
          <w:rFonts w:ascii="Arial" w:hAnsi="Arial"/>
        </w:rPr>
      </w:pPr>
      <w:r w:rsidRPr="0094076C">
        <w:rPr>
          <w:rFonts w:ascii="Arial" w:hAnsi="Arial"/>
        </w:rPr>
        <w:t>„</w:t>
      </w:r>
      <w:r w:rsidRPr="0094076C">
        <w:rPr>
          <w:rFonts w:ascii="Arial" w:hAnsi="Arial"/>
          <w:b/>
        </w:rPr>
        <w:t>Efektivní služby zaměstnanosti</w:t>
      </w:r>
      <w:r w:rsidRPr="0094076C">
        <w:rPr>
          <w:rFonts w:ascii="Arial" w:hAnsi="Arial"/>
        </w:rPr>
        <w:t>“</w:t>
      </w:r>
      <w:r w:rsidRPr="0094076C">
        <w:rPr>
          <w:rFonts w:ascii="Arial" w:hAnsi="Arial"/>
          <w:b/>
        </w:rPr>
        <w:t xml:space="preserve"> (EFES) </w:t>
      </w:r>
      <w:r w:rsidRPr="0094076C">
        <w:rPr>
          <w:rFonts w:ascii="Arial" w:hAnsi="Arial"/>
        </w:rPr>
        <w:t>– cílem projektu je zefektivnění služeb poskytovaných ÚP ČR prostřednictvím zajištění kvalitního zázemí a podmínek zaměstnancům ÚP ČR a zkvalitnění a posílení přenosu informací a služeb směrem ke klientům a pracovníkům ÚP ČR. Projekt je v realizaci od 1. 2. 2016 s plánovaným ukončením k 31. 8. 2020, rozpočet projektu je 898,4 mil. </w:t>
      </w:r>
      <w:r w:rsidRPr="00B03E13">
        <w:rPr>
          <w:rFonts w:ascii="Arial" w:hAnsi="Arial"/>
        </w:rPr>
        <w:t xml:space="preserve">Kč. Do konce roku </w:t>
      </w:r>
      <w:r w:rsidRPr="003247DF">
        <w:rPr>
          <w:rFonts w:ascii="Arial" w:hAnsi="Arial"/>
        </w:rPr>
        <w:t xml:space="preserve">2017 bylo z rozpočtu </w:t>
      </w:r>
      <w:r w:rsidR="00B526A8">
        <w:rPr>
          <w:rFonts w:ascii="Arial" w:hAnsi="Arial"/>
        </w:rPr>
        <w:t>projektu vyčerpáno celkem 114,4 </w:t>
      </w:r>
      <w:r w:rsidRPr="003247DF">
        <w:rPr>
          <w:rFonts w:ascii="Arial" w:hAnsi="Arial"/>
        </w:rPr>
        <w:t>mil.</w:t>
      </w:r>
      <w:r w:rsidR="00B526A8">
        <w:rPr>
          <w:rFonts w:ascii="Arial" w:hAnsi="Arial"/>
        </w:rPr>
        <w:t> </w:t>
      </w:r>
      <w:r w:rsidRPr="003247DF">
        <w:rPr>
          <w:rFonts w:ascii="Arial" w:hAnsi="Arial"/>
        </w:rPr>
        <w:t>Kč.</w:t>
      </w:r>
    </w:p>
    <w:p w:rsidR="00D1548F" w:rsidRPr="008C308C" w:rsidRDefault="00D1548F" w:rsidP="00D1548F">
      <w:pPr>
        <w:numPr>
          <w:ilvl w:val="0"/>
          <w:numId w:val="29"/>
        </w:numPr>
        <w:spacing w:line="360" w:lineRule="auto"/>
        <w:ind w:left="426" w:hanging="426"/>
        <w:contextualSpacing/>
        <w:jc w:val="both"/>
        <w:rPr>
          <w:rFonts w:ascii="Arial" w:hAnsi="Arial"/>
        </w:rPr>
      </w:pPr>
      <w:r w:rsidRPr="003247DF">
        <w:rPr>
          <w:rFonts w:ascii="Arial" w:hAnsi="Arial"/>
        </w:rPr>
        <w:t>„</w:t>
      </w:r>
      <w:r w:rsidRPr="003247DF">
        <w:rPr>
          <w:rFonts w:ascii="Arial" w:hAnsi="Arial"/>
          <w:b/>
        </w:rPr>
        <w:t>Evropské služby zaměstnanosti II</w:t>
      </w:r>
      <w:r w:rsidRPr="003247DF">
        <w:rPr>
          <w:rFonts w:ascii="Arial" w:hAnsi="Arial"/>
        </w:rPr>
        <w:t>“</w:t>
      </w:r>
      <w:r w:rsidRPr="003247DF">
        <w:rPr>
          <w:rFonts w:ascii="Arial" w:hAnsi="Arial"/>
          <w:b/>
        </w:rPr>
        <w:t xml:space="preserve"> (EURES II) </w:t>
      </w:r>
      <w:r w:rsidRPr="003247DF">
        <w:rPr>
          <w:rFonts w:ascii="Arial" w:hAnsi="Arial"/>
        </w:rPr>
        <w:t xml:space="preserve">– záměrem projektu je podpořit mezinárodní evropskou pracovní mobilitu prostřednictvím rozšíření, modernizace a zkvalitnění poskytování služeb EURES v ČR v souvislosti s reformou evropské sítě EURES. Realizace projektu byla </w:t>
      </w:r>
      <w:r w:rsidRPr="00BB7DD2">
        <w:rPr>
          <w:rFonts w:ascii="Arial" w:hAnsi="Arial"/>
        </w:rPr>
        <w:t>zahájena 1. 2. 2016 a</w:t>
      </w:r>
      <w:r w:rsidR="00B526A8">
        <w:rPr>
          <w:rFonts w:ascii="Arial" w:hAnsi="Arial"/>
        </w:rPr>
        <w:t> </w:t>
      </w:r>
      <w:r w:rsidRPr="00BB7DD2">
        <w:rPr>
          <w:rFonts w:ascii="Arial" w:hAnsi="Arial"/>
        </w:rPr>
        <w:t>je plánována do 30. 9. 2020, rozpoč</w:t>
      </w:r>
      <w:r w:rsidR="00B526A8">
        <w:rPr>
          <w:rFonts w:ascii="Arial" w:hAnsi="Arial"/>
        </w:rPr>
        <w:t>et projektu dosahuje výše 251,9 </w:t>
      </w:r>
      <w:r w:rsidRPr="00BB7DD2">
        <w:rPr>
          <w:rFonts w:ascii="Arial" w:hAnsi="Arial"/>
        </w:rPr>
        <w:t>mil.</w:t>
      </w:r>
      <w:r w:rsidR="00B526A8">
        <w:rPr>
          <w:rFonts w:ascii="Arial" w:hAnsi="Arial"/>
        </w:rPr>
        <w:t> </w:t>
      </w:r>
      <w:r w:rsidRPr="00BB7DD2">
        <w:rPr>
          <w:rFonts w:ascii="Arial" w:hAnsi="Arial"/>
        </w:rPr>
        <w:t>Kč. V projektu bylo k  31.</w:t>
      </w:r>
      <w:r w:rsidR="00B526A8">
        <w:rPr>
          <w:rFonts w:ascii="Arial" w:hAnsi="Arial"/>
        </w:rPr>
        <w:t> </w:t>
      </w:r>
      <w:r w:rsidRPr="00BB7DD2">
        <w:rPr>
          <w:rFonts w:ascii="Arial" w:hAnsi="Arial"/>
        </w:rPr>
        <w:t>12.</w:t>
      </w:r>
      <w:r w:rsidR="00B526A8">
        <w:rPr>
          <w:rFonts w:ascii="Arial" w:hAnsi="Arial"/>
        </w:rPr>
        <w:t> </w:t>
      </w:r>
      <w:r w:rsidRPr="008C308C">
        <w:rPr>
          <w:rFonts w:ascii="Arial" w:hAnsi="Arial"/>
        </w:rPr>
        <w:t>2017 vyčerpáno celkem 20</w:t>
      </w:r>
      <w:r w:rsidR="00B526A8">
        <w:rPr>
          <w:rFonts w:ascii="Arial" w:hAnsi="Arial"/>
        </w:rPr>
        <w:t> </w:t>
      </w:r>
      <w:r w:rsidRPr="008C308C">
        <w:rPr>
          <w:rFonts w:ascii="Arial" w:hAnsi="Arial"/>
        </w:rPr>
        <w:t>mil.</w:t>
      </w:r>
      <w:r w:rsidR="00B526A8">
        <w:rPr>
          <w:rFonts w:ascii="Arial" w:hAnsi="Arial"/>
        </w:rPr>
        <w:t> </w:t>
      </w:r>
      <w:r w:rsidRPr="008C308C">
        <w:rPr>
          <w:rFonts w:ascii="Arial" w:hAnsi="Arial"/>
        </w:rPr>
        <w:t>Kč.</w:t>
      </w:r>
    </w:p>
    <w:p w:rsidR="00D1548F" w:rsidRPr="00D235FE" w:rsidRDefault="00D1548F" w:rsidP="00D1548F">
      <w:pPr>
        <w:numPr>
          <w:ilvl w:val="0"/>
          <w:numId w:val="29"/>
        </w:numPr>
        <w:spacing w:line="360" w:lineRule="auto"/>
        <w:ind w:left="426" w:hanging="426"/>
        <w:contextualSpacing/>
        <w:jc w:val="both"/>
        <w:rPr>
          <w:rFonts w:ascii="Arial" w:hAnsi="Arial"/>
        </w:rPr>
      </w:pPr>
      <w:r w:rsidRPr="008C308C">
        <w:rPr>
          <w:rFonts w:ascii="Arial" w:hAnsi="Arial"/>
        </w:rPr>
        <w:t>„</w:t>
      </w:r>
      <w:r w:rsidRPr="008C308C">
        <w:rPr>
          <w:rFonts w:ascii="Arial" w:hAnsi="Arial"/>
          <w:b/>
        </w:rPr>
        <w:t>Podpora informačních a poradenských středisek ÚP ČR“ (PIPS)</w:t>
      </w:r>
      <w:r w:rsidRPr="008C308C">
        <w:rPr>
          <w:rFonts w:ascii="Arial" w:hAnsi="Arial"/>
        </w:rPr>
        <w:t xml:space="preserve"> – projekt je zaměřen na rozvoj, modernizaci a podporu Informačních středisek pro volbu povolání a změnu zaměstnání ("IPS") za účelem zabezpečení standardizovaných služeb v oblasti kariérového poradenství. Na projekt byl uzavřen právní akt s rozpočtem ve výši 383,8 mil. Kč, realizace projektu byla zahájena k 1. 1. 2017 a předpokládaná doba trvání projektu je 60 měsíců</w:t>
      </w:r>
      <w:r w:rsidR="00B526A8">
        <w:rPr>
          <w:rFonts w:ascii="Arial" w:hAnsi="Arial"/>
        </w:rPr>
        <w:t>. V říjnu </w:t>
      </w:r>
      <w:r w:rsidRPr="00164E3B">
        <w:rPr>
          <w:rFonts w:ascii="Arial" w:hAnsi="Arial"/>
        </w:rPr>
        <w:t>2017 byla schválena 1</w:t>
      </w:r>
      <w:r w:rsidR="00B526A8">
        <w:rPr>
          <w:rFonts w:ascii="Arial" w:hAnsi="Arial"/>
        </w:rPr>
        <w:t>. zpráva o </w:t>
      </w:r>
      <w:r w:rsidRPr="00D235FE">
        <w:rPr>
          <w:rFonts w:ascii="Arial" w:hAnsi="Arial"/>
        </w:rPr>
        <w:t>realizaci projektu se žádost</w:t>
      </w:r>
      <w:r w:rsidR="00B526A8">
        <w:rPr>
          <w:rFonts w:ascii="Arial" w:hAnsi="Arial"/>
        </w:rPr>
        <w:t>í o platbu ve výši 7,5 mil. Kč.</w:t>
      </w:r>
      <w:r w:rsidRPr="00D235FE">
        <w:rPr>
          <w:rFonts w:ascii="Arial" w:hAnsi="Arial"/>
        </w:rPr>
        <w:t xml:space="preserve"> </w:t>
      </w:r>
    </w:p>
    <w:p w:rsidR="00D1548F" w:rsidRDefault="00D1548F" w:rsidP="00D1548F">
      <w:pPr>
        <w:pStyle w:val="Odstavecseseznamem"/>
        <w:numPr>
          <w:ilvl w:val="0"/>
          <w:numId w:val="29"/>
        </w:numPr>
        <w:spacing w:line="360" w:lineRule="auto"/>
        <w:ind w:left="426" w:hanging="426"/>
        <w:contextualSpacing/>
        <w:jc w:val="both"/>
        <w:rPr>
          <w:rFonts w:ascii="Arial" w:hAnsi="Arial"/>
        </w:rPr>
      </w:pPr>
      <w:r w:rsidRPr="00D235FE">
        <w:rPr>
          <w:rFonts w:ascii="Arial" w:hAnsi="Arial"/>
          <w:b/>
        </w:rPr>
        <w:t>„Rozvoj systému podpory zaměstnávání osob se zdravotním postižením na volném trhu práce“ (OZP)</w:t>
      </w:r>
      <w:r w:rsidRPr="00D235FE">
        <w:rPr>
          <w:rFonts w:ascii="Arial" w:hAnsi="Arial"/>
        </w:rPr>
        <w:t xml:space="preserve"> – cílem projektu je zabezpečit realizaci </w:t>
      </w:r>
      <w:r w:rsidRPr="00D235FE">
        <w:rPr>
          <w:rFonts w:ascii="Arial" w:hAnsi="Arial"/>
        </w:rPr>
        <w:lastRenderedPageBreak/>
        <w:t>standardizovaných služeb v oblasti poradenství pro OZP a</w:t>
      </w:r>
      <w:r w:rsidR="00B526A8">
        <w:rPr>
          <w:rFonts w:ascii="Arial" w:hAnsi="Arial"/>
        </w:rPr>
        <w:t> </w:t>
      </w:r>
      <w:r w:rsidRPr="00D235FE">
        <w:rPr>
          <w:rFonts w:ascii="Arial" w:hAnsi="Arial"/>
        </w:rPr>
        <w:t>jejich současným či potenciálním zaměstnavatelům. Projekt je zaměřen na rozvoj systému práce s OZP při</w:t>
      </w:r>
      <w:r w:rsidR="00B526A8">
        <w:rPr>
          <w:rFonts w:ascii="Arial" w:hAnsi="Arial"/>
        </w:rPr>
        <w:t xml:space="preserve"> hledání pracovního uplatnění a </w:t>
      </w:r>
      <w:r w:rsidRPr="00D235FE">
        <w:rPr>
          <w:rFonts w:ascii="Arial" w:hAnsi="Arial"/>
        </w:rPr>
        <w:t xml:space="preserve">na podporu zvyšování zaměstnanosti OZP na volném trhu práce prostřednictvím nastavení systému práce s touto ohroženou cílovou skupinou. Fyzická realizace projektu byla zahájena 1. 6. 2017 a předpokládané ukončení projektu je 31. 5. 2021. Na projekt byl uzavřen právní akt s rozpočtem ve výši 241,4 mil. Kč. </w:t>
      </w:r>
    </w:p>
    <w:p w:rsidR="00D1548F" w:rsidRPr="00D85EB2" w:rsidRDefault="00D1548F" w:rsidP="00D1548F">
      <w:pPr>
        <w:pStyle w:val="Odstavecseseznamem"/>
        <w:spacing w:line="360" w:lineRule="auto"/>
        <w:ind w:left="0" w:firstLine="567"/>
        <w:contextualSpacing/>
        <w:jc w:val="both"/>
        <w:rPr>
          <w:rFonts w:ascii="Arial" w:hAnsi="Arial"/>
        </w:rPr>
      </w:pPr>
      <w:r w:rsidRPr="002427E9">
        <w:rPr>
          <w:rFonts w:ascii="Arial" w:hAnsi="Arial"/>
        </w:rPr>
        <w:t xml:space="preserve">Výzva č. 03_15_122 je určena pro předkládání </w:t>
      </w:r>
      <w:r w:rsidRPr="002427E9">
        <w:rPr>
          <w:rFonts w:ascii="Arial" w:hAnsi="Arial"/>
          <w:b/>
        </w:rPr>
        <w:t>systémových projektů MPSV, VÚPSV a SÚIP</w:t>
      </w:r>
      <w:r w:rsidRPr="002427E9">
        <w:rPr>
          <w:rFonts w:ascii="Arial" w:hAnsi="Arial"/>
        </w:rPr>
        <w:t>. V záři 201</w:t>
      </w:r>
      <w:r>
        <w:rPr>
          <w:rFonts w:ascii="Arial" w:hAnsi="Arial"/>
        </w:rPr>
        <w:t xml:space="preserve">7 byla celková alokace výzvy </w:t>
      </w:r>
      <w:r w:rsidRPr="002427E9">
        <w:rPr>
          <w:rFonts w:ascii="Arial" w:hAnsi="Arial"/>
        </w:rPr>
        <w:t>snížena na 597,1</w:t>
      </w:r>
      <w:r>
        <w:rPr>
          <w:rFonts w:ascii="Arial" w:hAnsi="Arial"/>
        </w:rPr>
        <w:t> </w:t>
      </w:r>
      <w:r w:rsidR="00B526A8">
        <w:rPr>
          <w:rFonts w:ascii="Arial" w:hAnsi="Arial"/>
        </w:rPr>
        <w:t>mil. </w:t>
      </w:r>
      <w:r w:rsidRPr="002427E9">
        <w:rPr>
          <w:rFonts w:ascii="Arial" w:hAnsi="Arial"/>
        </w:rPr>
        <w:t>Kč v</w:t>
      </w:r>
      <w:r>
        <w:rPr>
          <w:rFonts w:ascii="Arial" w:hAnsi="Arial"/>
        </w:rPr>
        <w:t> </w:t>
      </w:r>
      <w:r w:rsidRPr="002427E9">
        <w:rPr>
          <w:rFonts w:ascii="Arial" w:hAnsi="Arial"/>
        </w:rPr>
        <w:t>rámci realokace (z původních 1,057 mld. Kč) a doba ukončení realizace projektů byla prodloužena do</w:t>
      </w:r>
      <w:r>
        <w:rPr>
          <w:rFonts w:ascii="Arial" w:hAnsi="Arial"/>
        </w:rPr>
        <w:t xml:space="preserve"> </w:t>
      </w:r>
      <w:r w:rsidR="00B526A8">
        <w:rPr>
          <w:rFonts w:ascii="Arial" w:hAnsi="Arial"/>
        </w:rPr>
        <w:t>30. </w:t>
      </w:r>
      <w:r w:rsidRPr="002427E9">
        <w:rPr>
          <w:rFonts w:ascii="Arial" w:hAnsi="Arial"/>
        </w:rPr>
        <w:t>6.</w:t>
      </w:r>
      <w:r w:rsidR="00B526A8">
        <w:rPr>
          <w:rFonts w:ascii="Arial" w:hAnsi="Arial"/>
        </w:rPr>
        <w:t> </w:t>
      </w:r>
      <w:r w:rsidRPr="002427E9">
        <w:rPr>
          <w:rFonts w:ascii="Arial" w:hAnsi="Arial"/>
        </w:rPr>
        <w:t>2023 v</w:t>
      </w:r>
      <w:r w:rsidR="00B526A8">
        <w:rPr>
          <w:rFonts w:ascii="Arial" w:hAnsi="Arial"/>
        </w:rPr>
        <w:t> </w:t>
      </w:r>
      <w:r w:rsidRPr="002427E9">
        <w:rPr>
          <w:rFonts w:ascii="Arial" w:hAnsi="Arial"/>
        </w:rPr>
        <w:t>textaci výzvy.</w:t>
      </w:r>
      <w:r w:rsidR="00B526A8">
        <w:rPr>
          <w:rFonts w:ascii="Arial" w:hAnsi="Arial"/>
        </w:rPr>
        <w:t xml:space="preserve"> V </w:t>
      </w:r>
      <w:r w:rsidRPr="002427E9">
        <w:rPr>
          <w:rFonts w:ascii="Arial" w:hAnsi="Arial"/>
        </w:rPr>
        <w:t>této výzvě jsou v</w:t>
      </w:r>
      <w:r>
        <w:rPr>
          <w:rFonts w:ascii="Arial" w:hAnsi="Arial"/>
        </w:rPr>
        <w:t> </w:t>
      </w:r>
      <w:r w:rsidRPr="002427E9">
        <w:rPr>
          <w:rFonts w:ascii="Arial" w:hAnsi="Arial"/>
        </w:rPr>
        <w:t xml:space="preserve">současnosti realizovány dva následující </w:t>
      </w:r>
      <w:r>
        <w:rPr>
          <w:rFonts w:ascii="Arial" w:hAnsi="Arial"/>
        </w:rPr>
        <w:t xml:space="preserve">projekty a </w:t>
      </w:r>
      <w:r w:rsidRPr="00D85EB2">
        <w:rPr>
          <w:rFonts w:ascii="Arial" w:hAnsi="Arial"/>
        </w:rPr>
        <w:t>několik dalších plánovaných projektů je ve fázi příprav projektových žádostí</w:t>
      </w:r>
      <w:r>
        <w:rPr>
          <w:rFonts w:ascii="Arial" w:hAnsi="Arial"/>
        </w:rPr>
        <w:t xml:space="preserve"> (viz dále)</w:t>
      </w:r>
      <w:r w:rsidRPr="00D85EB2">
        <w:rPr>
          <w:rFonts w:ascii="Arial" w:hAnsi="Arial"/>
        </w:rPr>
        <w:t>.</w:t>
      </w:r>
    </w:p>
    <w:p w:rsidR="00D1548F" w:rsidRPr="00AE1553" w:rsidRDefault="00D1548F" w:rsidP="00D1548F">
      <w:pPr>
        <w:pStyle w:val="Odstavecseseznamem"/>
        <w:numPr>
          <w:ilvl w:val="0"/>
          <w:numId w:val="36"/>
        </w:numPr>
        <w:autoSpaceDE w:val="0"/>
        <w:autoSpaceDN w:val="0"/>
        <w:adjustRightInd w:val="0"/>
        <w:spacing w:line="360" w:lineRule="auto"/>
        <w:contextualSpacing/>
        <w:jc w:val="both"/>
        <w:rPr>
          <w:rFonts w:ascii="Arial" w:hAnsi="Arial"/>
        </w:rPr>
      </w:pPr>
      <w:r w:rsidRPr="00D85EB2">
        <w:rPr>
          <w:rFonts w:ascii="Arial" w:hAnsi="Arial"/>
          <w:b/>
        </w:rPr>
        <w:t xml:space="preserve"> „Vyhodnocování účinnosti a efektivity realizace APZ“</w:t>
      </w:r>
      <w:r w:rsidRPr="00D85EB2">
        <w:rPr>
          <w:rFonts w:ascii="Arial" w:hAnsi="Arial"/>
        </w:rPr>
        <w:t xml:space="preserve"> </w:t>
      </w:r>
      <w:r w:rsidRPr="00D85EB2">
        <w:t xml:space="preserve">– </w:t>
      </w:r>
      <w:r w:rsidRPr="00D85EB2">
        <w:rPr>
          <w:rFonts w:ascii="Arial" w:hAnsi="Arial" w:cs="Arial"/>
        </w:rPr>
        <w:t xml:space="preserve">hlavním cílem projektu je vypracovat a nastavit komplexní a vnitřně provázaný informační, analytický a monitorovací </w:t>
      </w:r>
      <w:r w:rsidR="00B526A8">
        <w:rPr>
          <w:rFonts w:ascii="Arial" w:hAnsi="Arial" w:cs="Arial"/>
        </w:rPr>
        <w:t>systém vyhodnocování nástrojů a </w:t>
      </w:r>
      <w:r w:rsidRPr="00D85EB2">
        <w:rPr>
          <w:rFonts w:ascii="Arial" w:hAnsi="Arial" w:cs="Arial"/>
        </w:rPr>
        <w:t>opatření aktivní politiky zaměstnanosti pro veřejné služby zaměstnanosti, který postihne především dopady implementace jednotlivých nástrojů a</w:t>
      </w:r>
      <w:r w:rsidR="00B526A8">
        <w:rPr>
          <w:rFonts w:ascii="Arial" w:hAnsi="Arial" w:cs="Arial"/>
        </w:rPr>
        <w:t> </w:t>
      </w:r>
      <w:r w:rsidRPr="00D85EB2">
        <w:rPr>
          <w:rFonts w:ascii="Arial" w:hAnsi="Arial" w:cs="Arial"/>
        </w:rPr>
        <w:t>opatření na zaměstnanost a zaměstnatelnost účastníků APZ. Příjemcem je Výzkumný ústav práce a sociálních věcí. N</w:t>
      </w:r>
      <w:r w:rsidRPr="00D85EB2">
        <w:rPr>
          <w:rFonts w:ascii="Arial" w:hAnsi="Arial"/>
        </w:rPr>
        <w:t>a projekt byl uzavřen právní akt s rozpočtem ve výši 45,3 mil. Kč, realizace projektu byla zahájena k 1. 1. </w:t>
      </w:r>
      <w:r w:rsidRPr="006D6C7F">
        <w:rPr>
          <w:rFonts w:ascii="Arial" w:hAnsi="Arial"/>
        </w:rPr>
        <w:t>2017. V úvodním roce realizace proběhla evaluace cílenos</w:t>
      </w:r>
      <w:r w:rsidR="00B526A8">
        <w:rPr>
          <w:rFonts w:ascii="Arial" w:hAnsi="Arial"/>
        </w:rPr>
        <w:t>ti opatření nástrojů APZ v roce </w:t>
      </w:r>
      <w:r w:rsidRPr="006D6C7F">
        <w:rPr>
          <w:rFonts w:ascii="Arial" w:hAnsi="Arial"/>
        </w:rPr>
        <w:t xml:space="preserve">2014. V srpnu 2017 byla </w:t>
      </w:r>
      <w:r w:rsidR="00B526A8">
        <w:rPr>
          <w:rFonts w:ascii="Arial" w:hAnsi="Arial"/>
        </w:rPr>
        <w:t>schválena 1. </w:t>
      </w:r>
      <w:r w:rsidRPr="00AE1553">
        <w:rPr>
          <w:rFonts w:ascii="Arial" w:hAnsi="Arial"/>
        </w:rPr>
        <w:t xml:space="preserve">zpráva o </w:t>
      </w:r>
      <w:r w:rsidR="00B526A8">
        <w:rPr>
          <w:rFonts w:ascii="Arial" w:hAnsi="Arial"/>
        </w:rPr>
        <w:t>realizaci projektu se žádostí o </w:t>
      </w:r>
      <w:r w:rsidRPr="00AE1553">
        <w:rPr>
          <w:rFonts w:ascii="Arial" w:hAnsi="Arial"/>
        </w:rPr>
        <w:t>platbu ve výši 6 mil. Kč.</w:t>
      </w:r>
    </w:p>
    <w:p w:rsidR="00D1548F" w:rsidRDefault="00D1548F" w:rsidP="00D1548F">
      <w:pPr>
        <w:numPr>
          <w:ilvl w:val="0"/>
          <w:numId w:val="29"/>
        </w:numPr>
        <w:spacing w:line="360" w:lineRule="auto"/>
        <w:ind w:left="426"/>
        <w:contextualSpacing/>
        <w:jc w:val="both"/>
        <w:rPr>
          <w:rFonts w:ascii="Arial" w:hAnsi="Arial"/>
        </w:rPr>
      </w:pPr>
      <w:r w:rsidRPr="00AE1553">
        <w:rPr>
          <w:rFonts w:ascii="Arial" w:hAnsi="Arial"/>
          <w:b/>
        </w:rPr>
        <w:t xml:space="preserve">„Predikce trhu práce“ (Kompas) </w:t>
      </w:r>
      <w:r w:rsidRPr="00AE1553">
        <w:rPr>
          <w:rFonts w:ascii="Arial" w:hAnsi="Arial"/>
        </w:rPr>
        <w:t>– projekt je zaměřen na vytvoření udržitelného systému spolehlivých predikcí a monitoringu trhu práce, který bude propojovat národní a regionální úroveň a jehož výsledky budou reflektovat podstatné dopady technologických trendů na trh práce a specifika regionálního vývoje. Příjemcem projektu je MPSV, projekt byl schválen s rozpočtem 349 mil. Kč. Realizace projektu byla zahájena 1. 1. 2017, plánované ukončení projektu je k 31. 12. 2020.</w:t>
      </w:r>
      <w:r>
        <w:rPr>
          <w:rFonts w:ascii="Arial" w:hAnsi="Arial"/>
        </w:rPr>
        <w:t xml:space="preserve"> </w:t>
      </w:r>
      <w:r w:rsidR="00B526A8">
        <w:rPr>
          <w:rFonts w:ascii="Arial" w:hAnsi="Arial"/>
        </w:rPr>
        <w:t>V říjnu 2017 byla schválena 1. zpráva o </w:t>
      </w:r>
      <w:r w:rsidRPr="00C004FE">
        <w:rPr>
          <w:rFonts w:ascii="Arial" w:hAnsi="Arial"/>
        </w:rPr>
        <w:t>realizaci projektu se žádostí o platbu ve</w:t>
      </w:r>
      <w:r>
        <w:rPr>
          <w:rFonts w:ascii="Arial" w:hAnsi="Arial"/>
        </w:rPr>
        <w:t> </w:t>
      </w:r>
      <w:r w:rsidRPr="00C004FE">
        <w:rPr>
          <w:rFonts w:ascii="Arial" w:hAnsi="Arial"/>
        </w:rPr>
        <w:t>v</w:t>
      </w:r>
      <w:r w:rsidR="00B526A8">
        <w:rPr>
          <w:rFonts w:ascii="Arial" w:hAnsi="Arial"/>
        </w:rPr>
        <w:t>ýši 18 mil. </w:t>
      </w:r>
      <w:r w:rsidRPr="005F7D77">
        <w:rPr>
          <w:rFonts w:ascii="Arial" w:hAnsi="Arial"/>
        </w:rPr>
        <w:t>Kč.</w:t>
      </w:r>
    </w:p>
    <w:p w:rsidR="00D1548F" w:rsidRPr="00F53E07" w:rsidRDefault="00D1548F" w:rsidP="00D1548F">
      <w:pPr>
        <w:spacing w:line="360" w:lineRule="auto"/>
        <w:contextualSpacing/>
        <w:jc w:val="both"/>
        <w:rPr>
          <w:rFonts w:ascii="Arial" w:hAnsi="Arial"/>
        </w:rPr>
      </w:pPr>
      <w:r>
        <w:rPr>
          <w:rFonts w:ascii="Arial" w:hAnsi="Arial"/>
        </w:rPr>
        <w:t>U následujících projektů jsou připravovány projektové záměry</w:t>
      </w:r>
      <w:r w:rsidRPr="00F53E07">
        <w:rPr>
          <w:rFonts w:ascii="Arial" w:hAnsi="Arial"/>
        </w:rPr>
        <w:t>.</w:t>
      </w:r>
    </w:p>
    <w:p w:rsidR="00D1548F" w:rsidRPr="00B46517" w:rsidRDefault="00D1548F" w:rsidP="00D1548F">
      <w:pPr>
        <w:numPr>
          <w:ilvl w:val="0"/>
          <w:numId w:val="29"/>
        </w:numPr>
        <w:spacing w:line="360" w:lineRule="auto"/>
        <w:ind w:left="426"/>
        <w:contextualSpacing/>
        <w:jc w:val="both"/>
        <w:rPr>
          <w:rFonts w:ascii="Arial" w:hAnsi="Arial"/>
        </w:rPr>
      </w:pPr>
      <w:r w:rsidRPr="00445352">
        <w:rPr>
          <w:rFonts w:ascii="Arial" w:hAnsi="Arial" w:cs="Arial"/>
        </w:rPr>
        <w:lastRenderedPageBreak/>
        <w:t>Projektový záměr „</w:t>
      </w:r>
      <w:r w:rsidRPr="00445352">
        <w:rPr>
          <w:rFonts w:ascii="Arial" w:hAnsi="Arial" w:cs="Arial"/>
          <w:b/>
          <w:bCs/>
        </w:rPr>
        <w:t>Mapování budoucích kompetencí jako součást systémových opatření pro vymezení požadavků trhu práce“ (Kompetence</w:t>
      </w:r>
      <w:r w:rsidR="00B526A8">
        <w:rPr>
          <w:rFonts w:ascii="Arial" w:hAnsi="Arial" w:cs="Arial"/>
          <w:b/>
          <w:bCs/>
        </w:rPr>
        <w:t> </w:t>
      </w:r>
      <w:r w:rsidRPr="00445352">
        <w:rPr>
          <w:rFonts w:ascii="Arial" w:hAnsi="Arial" w:cs="Arial"/>
          <w:b/>
          <w:bCs/>
        </w:rPr>
        <w:t>4,0)</w:t>
      </w:r>
      <w:r>
        <w:rPr>
          <w:rFonts w:ascii="Arial" w:hAnsi="Arial" w:cs="Arial"/>
          <w:bCs/>
        </w:rPr>
        <w:t xml:space="preserve"> </w:t>
      </w:r>
      <w:r w:rsidRPr="00445352">
        <w:rPr>
          <w:rFonts w:ascii="Arial" w:hAnsi="Arial" w:cs="Arial"/>
        </w:rPr>
        <w:t xml:space="preserve">byl </w:t>
      </w:r>
      <w:r>
        <w:rPr>
          <w:rFonts w:ascii="Arial" w:hAnsi="Arial" w:cs="Arial"/>
        </w:rPr>
        <w:t>24. 1. </w:t>
      </w:r>
      <w:r w:rsidR="00B526A8">
        <w:rPr>
          <w:rFonts w:ascii="Arial" w:hAnsi="Arial" w:cs="Arial"/>
        </w:rPr>
        <w:t>2018 projednán a </w:t>
      </w:r>
      <w:r>
        <w:rPr>
          <w:rFonts w:ascii="Arial" w:hAnsi="Arial" w:cs="Arial"/>
        </w:rPr>
        <w:t>15. 2. </w:t>
      </w:r>
      <w:r w:rsidRPr="00445352">
        <w:rPr>
          <w:rFonts w:ascii="Arial" w:hAnsi="Arial" w:cs="Arial"/>
        </w:rPr>
        <w:t xml:space="preserve">2018 </w:t>
      </w:r>
      <w:r>
        <w:rPr>
          <w:rFonts w:ascii="Arial" w:hAnsi="Arial" w:cs="Arial"/>
        </w:rPr>
        <w:t>schválen</w:t>
      </w:r>
      <w:r w:rsidRPr="00445352">
        <w:rPr>
          <w:rFonts w:ascii="Arial" w:hAnsi="Arial" w:cs="Arial"/>
        </w:rPr>
        <w:t xml:space="preserve">. </w:t>
      </w:r>
      <w:r w:rsidRPr="00445352">
        <w:rPr>
          <w:rFonts w:ascii="Arial" w:hAnsi="Arial" w:cs="Arial"/>
          <w:bCs/>
        </w:rPr>
        <w:t>Cílem projektu je podpora adaptace institucí trhu práce na změny vyplývající ze</w:t>
      </w:r>
      <w:r w:rsidR="00B526A8">
        <w:rPr>
          <w:rFonts w:ascii="Arial" w:hAnsi="Arial" w:cs="Arial"/>
          <w:bCs/>
        </w:rPr>
        <w:t> </w:t>
      </w:r>
      <w:r w:rsidRPr="00445352">
        <w:rPr>
          <w:rFonts w:ascii="Arial" w:hAnsi="Arial" w:cs="Arial"/>
          <w:bCs/>
        </w:rPr>
        <w:t>4.</w:t>
      </w:r>
      <w:r>
        <w:rPr>
          <w:rFonts w:ascii="Arial" w:hAnsi="Arial" w:cs="Arial"/>
          <w:bCs/>
        </w:rPr>
        <w:t> </w:t>
      </w:r>
      <w:r w:rsidRPr="00445352">
        <w:rPr>
          <w:rFonts w:ascii="Arial" w:hAnsi="Arial" w:cs="Arial"/>
          <w:bCs/>
        </w:rPr>
        <w:t>průmyslové revoluce prostřednictvím včasné identifikace v budoucnosti vyžadovaných kompetencí a</w:t>
      </w:r>
      <w:r>
        <w:rPr>
          <w:rFonts w:ascii="Arial" w:hAnsi="Arial" w:cs="Arial"/>
          <w:bCs/>
        </w:rPr>
        <w:t> </w:t>
      </w:r>
      <w:r w:rsidRPr="00445352">
        <w:rPr>
          <w:rFonts w:ascii="Arial" w:hAnsi="Arial" w:cs="Arial"/>
          <w:bCs/>
        </w:rPr>
        <w:t>podpora s</w:t>
      </w:r>
      <w:r w:rsidR="00B526A8">
        <w:rPr>
          <w:rFonts w:ascii="Arial" w:hAnsi="Arial" w:cs="Arial"/>
          <w:bCs/>
        </w:rPr>
        <w:t>polupráce a partnerství firem a </w:t>
      </w:r>
      <w:r w:rsidRPr="00445352">
        <w:rPr>
          <w:rFonts w:ascii="Arial" w:hAnsi="Arial" w:cs="Arial"/>
          <w:bCs/>
        </w:rPr>
        <w:t>škol pro zajištění vzájemné komplementarity ve vztahu k potřebám pracovního trhu. Plánované zahájení projektu 1.</w:t>
      </w:r>
      <w:r w:rsidR="00FB132C">
        <w:rPr>
          <w:rFonts w:ascii="Arial" w:hAnsi="Arial" w:cs="Arial"/>
          <w:bCs/>
        </w:rPr>
        <w:t> </w:t>
      </w:r>
      <w:r w:rsidRPr="00445352">
        <w:rPr>
          <w:rFonts w:ascii="Arial" w:hAnsi="Arial" w:cs="Arial"/>
          <w:bCs/>
        </w:rPr>
        <w:t>10.</w:t>
      </w:r>
      <w:r w:rsidR="00FB132C">
        <w:rPr>
          <w:rFonts w:ascii="Arial" w:hAnsi="Arial" w:cs="Arial"/>
          <w:bCs/>
        </w:rPr>
        <w:t> </w:t>
      </w:r>
      <w:r w:rsidR="00B526A8">
        <w:rPr>
          <w:rFonts w:ascii="Arial" w:hAnsi="Arial" w:cs="Arial"/>
          <w:bCs/>
        </w:rPr>
        <w:t>2018, doba trvání projektu 48 měsíců, rozpočet projektu 104 </w:t>
      </w:r>
      <w:r w:rsidRPr="00445352">
        <w:rPr>
          <w:rFonts w:ascii="Arial" w:hAnsi="Arial" w:cs="Arial"/>
          <w:bCs/>
        </w:rPr>
        <w:t>mil.</w:t>
      </w:r>
      <w:r>
        <w:rPr>
          <w:rFonts w:ascii="Arial" w:hAnsi="Arial" w:cs="Arial"/>
          <w:bCs/>
        </w:rPr>
        <w:t> </w:t>
      </w:r>
      <w:r w:rsidRPr="00445352">
        <w:rPr>
          <w:rFonts w:ascii="Arial" w:hAnsi="Arial" w:cs="Arial"/>
          <w:bCs/>
        </w:rPr>
        <w:t>Kč.</w:t>
      </w:r>
    </w:p>
    <w:p w:rsidR="00D1548F" w:rsidRPr="00B46517" w:rsidRDefault="00D1548F" w:rsidP="00D1548F">
      <w:pPr>
        <w:numPr>
          <w:ilvl w:val="0"/>
          <w:numId w:val="29"/>
        </w:numPr>
        <w:spacing w:line="360" w:lineRule="auto"/>
        <w:ind w:left="426"/>
        <w:contextualSpacing/>
        <w:jc w:val="both"/>
        <w:rPr>
          <w:rFonts w:ascii="Arial" w:hAnsi="Arial"/>
        </w:rPr>
      </w:pPr>
      <w:r w:rsidRPr="00B46517">
        <w:rPr>
          <w:rFonts w:ascii="Arial" w:hAnsi="Arial" w:cs="Arial"/>
          <w:bCs/>
        </w:rPr>
        <w:t>Projektový záměr „</w:t>
      </w:r>
      <w:r w:rsidRPr="00B46517">
        <w:rPr>
          <w:rFonts w:ascii="Arial" w:hAnsi="Arial" w:cs="Arial"/>
          <w:b/>
          <w:bCs/>
        </w:rPr>
        <w:t>Systémové využití ergodiagnostických center při komplexním posuzování osob se zdravotním postižením“</w:t>
      </w:r>
      <w:r w:rsidRPr="00B46517">
        <w:rPr>
          <w:rFonts w:ascii="Arial" w:hAnsi="Arial" w:cs="Arial"/>
          <w:bCs/>
        </w:rPr>
        <w:t>,</w:t>
      </w:r>
      <w:r w:rsidRPr="00B526A8">
        <w:rPr>
          <w:rFonts w:ascii="Arial" w:hAnsi="Arial" w:cs="Arial"/>
          <w:bCs/>
        </w:rPr>
        <w:t xml:space="preserve"> </w:t>
      </w:r>
      <w:r w:rsidRPr="00B46517">
        <w:rPr>
          <w:rFonts w:ascii="Arial" w:hAnsi="Arial" w:cs="Arial"/>
          <w:bCs/>
        </w:rPr>
        <w:t xml:space="preserve">který byl </w:t>
      </w:r>
      <w:r>
        <w:rPr>
          <w:rFonts w:ascii="Arial" w:hAnsi="Arial" w:cs="Arial"/>
          <w:bCs/>
        </w:rPr>
        <w:t>projednán 6. </w:t>
      </w:r>
      <w:r w:rsidRPr="00B46517">
        <w:rPr>
          <w:rFonts w:ascii="Arial" w:hAnsi="Arial" w:cs="Arial"/>
          <w:bCs/>
        </w:rPr>
        <w:t>12.</w:t>
      </w:r>
      <w:r>
        <w:rPr>
          <w:rFonts w:ascii="Arial" w:hAnsi="Arial" w:cs="Arial"/>
          <w:bCs/>
        </w:rPr>
        <w:t> </w:t>
      </w:r>
      <w:r w:rsidRPr="00B46517">
        <w:rPr>
          <w:rFonts w:ascii="Arial" w:hAnsi="Arial" w:cs="Arial"/>
          <w:bCs/>
        </w:rPr>
        <w:t>2017. Cílem projektu je př</w:t>
      </w:r>
      <w:r w:rsidR="00B526A8">
        <w:rPr>
          <w:rFonts w:ascii="Arial" w:hAnsi="Arial" w:cs="Arial"/>
          <w:bCs/>
        </w:rPr>
        <w:t>ispět k modernizaci institucí a </w:t>
      </w:r>
      <w:r w:rsidRPr="00B46517">
        <w:rPr>
          <w:rFonts w:ascii="Arial" w:hAnsi="Arial" w:cs="Arial"/>
          <w:bCs/>
        </w:rPr>
        <w:t>služeb trhu práce</w:t>
      </w:r>
      <w:r w:rsidR="00B526A8">
        <w:rPr>
          <w:rFonts w:ascii="Arial" w:hAnsi="Arial" w:cs="Arial"/>
          <w:bCs/>
        </w:rPr>
        <w:t xml:space="preserve"> rozvojem synergických efektů z </w:t>
      </w:r>
      <w:r w:rsidRPr="00B46517">
        <w:rPr>
          <w:rFonts w:ascii="Arial" w:hAnsi="Arial" w:cs="Arial"/>
          <w:bCs/>
        </w:rPr>
        <w:t>propojení nástrojů z oblasti zaměstnanosti a nepo</w:t>
      </w:r>
      <w:r w:rsidR="00B526A8">
        <w:rPr>
          <w:rFonts w:ascii="Arial" w:hAnsi="Arial" w:cs="Arial"/>
          <w:bCs/>
        </w:rPr>
        <w:t>jistných sociálních dávek, a to zejména ve </w:t>
      </w:r>
      <w:r w:rsidRPr="00B46517">
        <w:rPr>
          <w:rFonts w:ascii="Arial" w:hAnsi="Arial" w:cs="Arial"/>
          <w:bCs/>
        </w:rPr>
        <w:t xml:space="preserve">vztahu k příspěvku na zvláštní pomůcku, a posílením spolupráce </w:t>
      </w:r>
      <w:r w:rsidRPr="008B3B5D">
        <w:rPr>
          <w:rFonts w:ascii="Arial" w:hAnsi="Arial" w:cs="Arial"/>
          <w:bCs/>
        </w:rPr>
        <w:t>ergodiagnostických center,</w:t>
      </w:r>
      <w:r w:rsidRPr="00B46517">
        <w:rPr>
          <w:rFonts w:ascii="Arial" w:hAnsi="Arial" w:cs="Arial"/>
          <w:bCs/>
        </w:rPr>
        <w:t xml:space="preserve"> Úřadu práce ČR a</w:t>
      </w:r>
      <w:r>
        <w:rPr>
          <w:rFonts w:ascii="Arial" w:hAnsi="Arial" w:cs="Arial"/>
          <w:bCs/>
        </w:rPr>
        <w:t> </w:t>
      </w:r>
      <w:r w:rsidRPr="00B46517">
        <w:rPr>
          <w:rFonts w:ascii="Arial" w:hAnsi="Arial" w:cs="Arial"/>
          <w:bCs/>
        </w:rPr>
        <w:t>dalších zúčastněných stran. Zahájení projektu se plánuje od 1.</w:t>
      </w:r>
      <w:r w:rsidR="00FB132C">
        <w:rPr>
          <w:rFonts w:ascii="Arial" w:hAnsi="Arial" w:cs="Arial"/>
          <w:bCs/>
        </w:rPr>
        <w:t> </w:t>
      </w:r>
      <w:r>
        <w:rPr>
          <w:rFonts w:ascii="Arial" w:hAnsi="Arial" w:cs="Arial"/>
          <w:bCs/>
        </w:rPr>
        <w:t>9.</w:t>
      </w:r>
      <w:r w:rsidR="00FB132C">
        <w:rPr>
          <w:rFonts w:ascii="Arial" w:hAnsi="Arial" w:cs="Arial"/>
          <w:bCs/>
        </w:rPr>
        <w:t> </w:t>
      </w:r>
      <w:r w:rsidR="00B526A8">
        <w:rPr>
          <w:rFonts w:ascii="Arial" w:hAnsi="Arial" w:cs="Arial"/>
          <w:bCs/>
        </w:rPr>
        <w:t>2018, doba trvání projektu 48 </w:t>
      </w:r>
      <w:r>
        <w:rPr>
          <w:rFonts w:ascii="Arial" w:hAnsi="Arial" w:cs="Arial"/>
          <w:bCs/>
        </w:rPr>
        <w:t>měsíců</w:t>
      </w:r>
      <w:r w:rsidRPr="00B46517">
        <w:rPr>
          <w:rFonts w:ascii="Arial" w:hAnsi="Arial" w:cs="Arial"/>
          <w:bCs/>
        </w:rPr>
        <w:t xml:space="preserve">, </w:t>
      </w:r>
      <w:r>
        <w:rPr>
          <w:rFonts w:ascii="Arial" w:hAnsi="Arial" w:cs="Arial"/>
          <w:bCs/>
        </w:rPr>
        <w:t>plánovaný rozpočet projektu 61,</w:t>
      </w:r>
      <w:r w:rsidR="00B526A8">
        <w:rPr>
          <w:rFonts w:ascii="Arial" w:hAnsi="Arial" w:cs="Arial"/>
          <w:bCs/>
        </w:rPr>
        <w:t>5 </w:t>
      </w:r>
      <w:r w:rsidRPr="00B46517">
        <w:rPr>
          <w:rFonts w:ascii="Arial" w:hAnsi="Arial" w:cs="Arial"/>
          <w:bCs/>
        </w:rPr>
        <w:t>mil</w:t>
      </w:r>
      <w:r>
        <w:rPr>
          <w:rFonts w:ascii="Arial" w:hAnsi="Arial" w:cs="Arial"/>
          <w:bCs/>
        </w:rPr>
        <w:t>.</w:t>
      </w:r>
      <w:r w:rsidR="00B526A8">
        <w:rPr>
          <w:rFonts w:ascii="Arial" w:hAnsi="Arial" w:cs="Arial"/>
          <w:bCs/>
        </w:rPr>
        <w:t> </w:t>
      </w:r>
      <w:r w:rsidRPr="00B46517">
        <w:rPr>
          <w:rFonts w:ascii="Arial" w:hAnsi="Arial" w:cs="Arial"/>
          <w:bCs/>
        </w:rPr>
        <w:t>Kč.</w:t>
      </w:r>
    </w:p>
    <w:p w:rsidR="00D1548F" w:rsidRDefault="00D1548F" w:rsidP="00D1548F">
      <w:pPr>
        <w:spacing w:line="360" w:lineRule="auto"/>
        <w:contextualSpacing/>
        <w:jc w:val="both"/>
        <w:rPr>
          <w:rFonts w:ascii="Arial" w:hAnsi="Arial"/>
        </w:rPr>
      </w:pPr>
    </w:p>
    <w:p w:rsidR="00D1548F" w:rsidRPr="005F7D77" w:rsidRDefault="00D1548F" w:rsidP="00D1548F">
      <w:pPr>
        <w:spacing w:line="360" w:lineRule="auto"/>
        <w:ind w:firstLine="567"/>
        <w:jc w:val="both"/>
        <w:rPr>
          <w:rFonts w:ascii="Arial" w:hAnsi="Arial" w:cs="Arial"/>
        </w:rPr>
      </w:pPr>
      <w:r w:rsidRPr="005F7D77">
        <w:rPr>
          <w:rFonts w:ascii="Arial" w:hAnsi="Arial" w:cs="Arial"/>
          <w:b/>
        </w:rPr>
        <w:t>Investiční priorita 1.4 specifický cíl 2</w:t>
      </w:r>
      <w:r w:rsidRPr="005F7D77">
        <w:rPr>
          <w:rFonts w:ascii="Arial" w:hAnsi="Arial" w:cs="Arial"/>
        </w:rPr>
        <w:t xml:space="preserve"> OPZ </w:t>
      </w:r>
      <w:r w:rsidRPr="005F7D77">
        <w:rPr>
          <w:rFonts w:ascii="Arial" w:hAnsi="Arial" w:cs="Arial"/>
          <w:b/>
        </w:rPr>
        <w:t>Zvýšení kvality systému dalšího vzdělávání</w:t>
      </w:r>
      <w:r w:rsidRPr="005F7D77">
        <w:rPr>
          <w:rFonts w:ascii="Arial" w:hAnsi="Arial" w:cs="Arial"/>
        </w:rPr>
        <w:t xml:space="preserve"> se zaměřuje na předkládání systémových nesoutěžních projektů přímého přidělení na </w:t>
      </w:r>
      <w:r w:rsidRPr="005F7D77">
        <w:rPr>
          <w:rFonts w:ascii="Arial" w:hAnsi="Arial" w:cs="Arial"/>
          <w:b/>
        </w:rPr>
        <w:t>rozvoj a zavedení plošných opatření v oblasti dalšího vzdělávání v kompetencích resortů MPSV a MŠMT</w:t>
      </w:r>
      <w:r w:rsidRPr="005F7D77">
        <w:rPr>
          <w:rFonts w:ascii="Arial" w:hAnsi="Arial" w:cs="Arial"/>
        </w:rPr>
        <w:t>. Podporováno je provazování systémů uznávání výsledků neformálního vzdělávání a informálního učení, zavádění prvků kvality do vzdělávacího procesu, zpracování analýz a prognóz kvalifikačních potřeb na trhu práce, realizace systémového kariérového por</w:t>
      </w:r>
      <w:r w:rsidR="00B526A8">
        <w:rPr>
          <w:rFonts w:ascii="Arial" w:hAnsi="Arial" w:cs="Arial"/>
        </w:rPr>
        <w:t>adenství v </w:t>
      </w:r>
      <w:r w:rsidRPr="005F7D77">
        <w:rPr>
          <w:rFonts w:ascii="Arial" w:hAnsi="Arial" w:cs="Arial"/>
        </w:rPr>
        <w:t>celoživotní perspektivě a podpora nástrojů pro párování potřeb trhu práce a nabízené pracovní síly.</w:t>
      </w:r>
    </w:p>
    <w:p w:rsidR="00D1548F" w:rsidRPr="00D31120" w:rsidRDefault="00D1548F" w:rsidP="00D1548F">
      <w:pPr>
        <w:spacing w:line="360" w:lineRule="auto"/>
        <w:ind w:firstLine="567"/>
        <w:jc w:val="both"/>
        <w:rPr>
          <w:rFonts w:ascii="Arial" w:hAnsi="Arial" w:cs="Arial"/>
        </w:rPr>
      </w:pPr>
      <w:r w:rsidRPr="005F7D77">
        <w:rPr>
          <w:rFonts w:ascii="Arial" w:hAnsi="Arial" w:cs="Arial"/>
        </w:rPr>
        <w:t xml:space="preserve">Pro předkládání </w:t>
      </w:r>
      <w:r w:rsidRPr="005F7D77">
        <w:rPr>
          <w:rFonts w:ascii="Arial" w:hAnsi="Arial" w:cs="Arial"/>
          <w:b/>
        </w:rPr>
        <w:t>systémových záměrů na rozvoj dalšího vzdělávání</w:t>
      </w:r>
      <w:r w:rsidRPr="005F7D77">
        <w:rPr>
          <w:rFonts w:ascii="Arial" w:hAnsi="Arial" w:cs="Arial"/>
        </w:rPr>
        <w:t xml:space="preserve"> byla vyhlášena výzva č. 03_15_020. Působí zároveň mezi investiční prioritou (dále</w:t>
      </w:r>
      <w:r w:rsidR="00B526A8">
        <w:rPr>
          <w:rFonts w:ascii="Arial" w:hAnsi="Arial" w:cs="Arial"/>
        </w:rPr>
        <w:t> IP) 1.4.2 OPZ a </w:t>
      </w:r>
      <w:r w:rsidRPr="005F7D77">
        <w:rPr>
          <w:rFonts w:ascii="Arial" w:hAnsi="Arial" w:cs="Arial"/>
        </w:rPr>
        <w:t>IP 3.1.5</w:t>
      </w:r>
      <w:r w:rsidRPr="005F7D77">
        <w:t xml:space="preserve"> </w:t>
      </w:r>
      <w:r w:rsidRPr="005F7D77">
        <w:rPr>
          <w:rFonts w:ascii="Arial" w:hAnsi="Arial" w:cs="Arial"/>
          <w:b/>
        </w:rPr>
        <w:t>Zvýšení kvality vzdělávání a odborné přípravy</w:t>
      </w:r>
      <w:r w:rsidRPr="005F7D77">
        <w:rPr>
          <w:rFonts w:ascii="Arial" w:hAnsi="Arial" w:cs="Arial"/>
        </w:rPr>
        <w:t xml:space="preserve"> včetně posílení jejich relevance pro trh práce </w:t>
      </w:r>
      <w:r w:rsidRPr="005F7D77">
        <w:rPr>
          <w:rFonts w:ascii="Arial" w:hAnsi="Arial" w:cs="Arial"/>
          <w:b/>
        </w:rPr>
        <w:t>Operačního programu Výzkum, vývoj a vzdělávání „komplementarita</w:t>
      </w:r>
      <w:r w:rsidRPr="005F7D77">
        <w:rPr>
          <w:rFonts w:ascii="Arial" w:hAnsi="Arial" w:cs="Arial"/>
        </w:rPr>
        <w:t>“, tedy vzájemná doplňkovost opatření obsažených v</w:t>
      </w:r>
      <w:r>
        <w:rPr>
          <w:rFonts w:ascii="Arial" w:hAnsi="Arial" w:cs="Arial"/>
        </w:rPr>
        <w:t> </w:t>
      </w:r>
      <w:r w:rsidRPr="005F7D77">
        <w:rPr>
          <w:rFonts w:ascii="Arial" w:hAnsi="Arial" w:cs="Arial"/>
        </w:rPr>
        <w:t>předkládaných projektech obou resortů.</w:t>
      </w:r>
      <w:r w:rsidRPr="005F7D77">
        <w:rPr>
          <w:rFonts w:ascii="Arial" w:hAnsi="Arial" w:cs="Arial"/>
          <w:b/>
        </w:rPr>
        <w:t xml:space="preserve"> Cílovou skupinou</w:t>
      </w:r>
      <w:r w:rsidRPr="005F7D77">
        <w:rPr>
          <w:rFonts w:ascii="Arial" w:hAnsi="Arial" w:cs="Arial"/>
        </w:rPr>
        <w:t xml:space="preserve"> jsou </w:t>
      </w:r>
      <w:r w:rsidRPr="005F7D77">
        <w:rPr>
          <w:rFonts w:ascii="Arial" w:hAnsi="Arial" w:cs="Arial"/>
          <w:b/>
        </w:rPr>
        <w:t xml:space="preserve">instituce trhu </w:t>
      </w:r>
      <w:r w:rsidRPr="005F7D77">
        <w:rPr>
          <w:rFonts w:ascii="Arial" w:hAnsi="Arial" w:cs="Arial"/>
          <w:b/>
        </w:rPr>
        <w:lastRenderedPageBreak/>
        <w:t xml:space="preserve">práce a jejich zaměstnanci </w:t>
      </w:r>
      <w:r w:rsidRPr="005F7D77">
        <w:rPr>
          <w:rFonts w:ascii="Arial" w:hAnsi="Arial" w:cs="Arial"/>
        </w:rPr>
        <w:t>(MPSV, Úřad práce ČR, Fond dalšího vzdělávání</w:t>
      </w:r>
      <w:r w:rsidR="00B526A8">
        <w:rPr>
          <w:rFonts w:ascii="Arial" w:hAnsi="Arial" w:cs="Arial"/>
        </w:rPr>
        <w:t>, Státní úřad inspekce práce) a </w:t>
      </w:r>
      <w:r w:rsidRPr="005F7D77">
        <w:rPr>
          <w:rFonts w:ascii="Arial" w:hAnsi="Arial" w:cs="Arial"/>
        </w:rPr>
        <w:t>relevantní aktéři na trhu práce a</w:t>
      </w:r>
      <w:r w:rsidR="00B526A8">
        <w:rPr>
          <w:rFonts w:ascii="Arial" w:hAnsi="Arial" w:cs="Arial"/>
        </w:rPr>
        <w:t> </w:t>
      </w:r>
      <w:r w:rsidRPr="005F7D77">
        <w:rPr>
          <w:rFonts w:ascii="Arial" w:hAnsi="Arial" w:cs="Arial"/>
        </w:rPr>
        <w:t>jejich zaměstnanci.</w:t>
      </w:r>
      <w:r w:rsidRPr="005F7D77">
        <w:rPr>
          <w:rFonts w:ascii="Arial" w:hAnsi="Arial"/>
        </w:rPr>
        <w:t xml:space="preserve"> V</w:t>
      </w:r>
      <w:r>
        <w:rPr>
          <w:rFonts w:ascii="Arial" w:hAnsi="Arial"/>
        </w:rPr>
        <w:t> </w:t>
      </w:r>
      <w:r w:rsidRPr="005F7D77">
        <w:rPr>
          <w:rFonts w:ascii="Arial" w:hAnsi="Arial"/>
        </w:rPr>
        <w:t>září</w:t>
      </w:r>
      <w:r>
        <w:rPr>
          <w:rFonts w:ascii="Arial" w:hAnsi="Arial"/>
        </w:rPr>
        <w:t> </w:t>
      </w:r>
      <w:r w:rsidRPr="005F7D77">
        <w:rPr>
          <w:rFonts w:ascii="Arial" w:hAnsi="Arial"/>
        </w:rPr>
        <w:t>2017 byla schválena změna výzvy, kde d</w:t>
      </w:r>
      <w:r w:rsidR="00B526A8">
        <w:rPr>
          <w:rFonts w:ascii="Arial" w:hAnsi="Arial"/>
        </w:rPr>
        <w:t>ošlo k ponížení alokace o </w:t>
      </w:r>
      <w:r w:rsidRPr="005F7D77">
        <w:rPr>
          <w:rFonts w:ascii="Arial" w:hAnsi="Arial"/>
        </w:rPr>
        <w:t>894,2</w:t>
      </w:r>
      <w:r w:rsidR="00B526A8">
        <w:rPr>
          <w:rFonts w:ascii="Arial" w:hAnsi="Arial"/>
        </w:rPr>
        <w:t> </w:t>
      </w:r>
      <w:r w:rsidRPr="005F7D77">
        <w:rPr>
          <w:rFonts w:ascii="Arial" w:hAnsi="Arial"/>
        </w:rPr>
        <w:t>mil.</w:t>
      </w:r>
      <w:r>
        <w:rPr>
          <w:rFonts w:ascii="Arial" w:hAnsi="Arial"/>
        </w:rPr>
        <w:t> </w:t>
      </w:r>
      <w:r w:rsidRPr="005F7D77">
        <w:rPr>
          <w:rFonts w:ascii="Arial" w:hAnsi="Arial"/>
        </w:rPr>
        <w:t xml:space="preserve">Kč na </w:t>
      </w:r>
      <w:r w:rsidR="00B526A8">
        <w:rPr>
          <w:rFonts w:ascii="Arial" w:hAnsi="Arial"/>
        </w:rPr>
        <w:t>celkových 1,091 </w:t>
      </w:r>
      <w:r w:rsidRPr="00D31120">
        <w:rPr>
          <w:rFonts w:ascii="Arial" w:hAnsi="Arial"/>
        </w:rPr>
        <w:t>mld.</w:t>
      </w:r>
      <w:r w:rsidR="00B526A8">
        <w:rPr>
          <w:rFonts w:ascii="Arial" w:hAnsi="Arial"/>
        </w:rPr>
        <w:t> </w:t>
      </w:r>
      <w:r w:rsidRPr="00D31120">
        <w:rPr>
          <w:rFonts w:ascii="Arial" w:hAnsi="Arial"/>
        </w:rPr>
        <w:t xml:space="preserve">Kč. </w:t>
      </w:r>
      <w:r w:rsidR="00B526A8">
        <w:rPr>
          <w:rFonts w:ascii="Arial" w:hAnsi="Arial" w:cs="Arial"/>
        </w:rPr>
        <w:t>V </w:t>
      </w:r>
      <w:r w:rsidRPr="00D31120">
        <w:rPr>
          <w:rFonts w:ascii="Arial" w:hAnsi="Arial" w:cs="Arial"/>
        </w:rPr>
        <w:t xml:space="preserve">rámci této výzvy jsou realizovány následující projekty. </w:t>
      </w:r>
    </w:p>
    <w:p w:rsidR="00D1548F" w:rsidRPr="00161F20" w:rsidRDefault="00D1548F" w:rsidP="00D1548F">
      <w:pPr>
        <w:numPr>
          <w:ilvl w:val="0"/>
          <w:numId w:val="22"/>
        </w:numPr>
        <w:spacing w:line="360" w:lineRule="auto"/>
        <w:ind w:left="426"/>
        <w:jc w:val="both"/>
        <w:rPr>
          <w:rFonts w:ascii="Arial" w:hAnsi="Arial" w:cs="Arial"/>
        </w:rPr>
      </w:pPr>
      <w:r w:rsidRPr="00D31120">
        <w:rPr>
          <w:rFonts w:ascii="Arial" w:hAnsi="Arial" w:cs="Arial"/>
        </w:rPr>
        <w:t>„</w:t>
      </w:r>
      <w:r w:rsidRPr="00D31120">
        <w:rPr>
          <w:rFonts w:ascii="Arial" w:hAnsi="Arial" w:cs="Arial"/>
          <w:b/>
        </w:rPr>
        <w:t>Rozvoj systémové podpory digitální gramotnosti</w:t>
      </w:r>
      <w:r w:rsidRPr="00D31120">
        <w:rPr>
          <w:rFonts w:ascii="Arial" w:hAnsi="Arial" w:cs="Arial"/>
        </w:rPr>
        <w:t>“ - záměrem projektu je vytvořit pro cílovou skupinu, tj. pro instituce, které se podílejí na naplňování opatření Digitální strategie 2020 a pro aktéry na trhu práce (zaměstnavatelé, sociální partneři a poskytovatelé vzdělávání), systémové prvky podpory, které zvýší efektivitu a dostupnost dalšího vzdělávání v oblasti digitální gramotnosti. Projekt realizuje Fond dalšího vzdělávání s rozpočtem 53,7 mil. Kč a</w:t>
      </w:r>
      <w:r w:rsidR="00B526A8">
        <w:rPr>
          <w:rFonts w:ascii="Arial" w:hAnsi="Arial" w:cs="Arial"/>
        </w:rPr>
        <w:t> </w:t>
      </w:r>
      <w:r w:rsidRPr="00D31120">
        <w:rPr>
          <w:rFonts w:ascii="Arial" w:hAnsi="Arial" w:cs="Arial"/>
        </w:rPr>
        <w:t>období realizace projektu je 1. 9. 2016–31. 8. 2020</w:t>
      </w:r>
      <w:r w:rsidR="00B526A8">
        <w:rPr>
          <w:rFonts w:ascii="Arial" w:hAnsi="Arial" w:cs="Arial"/>
        </w:rPr>
        <w:t>. V roce </w:t>
      </w:r>
      <w:r w:rsidRPr="00881795">
        <w:rPr>
          <w:rFonts w:ascii="Arial" w:hAnsi="Arial" w:cs="Arial"/>
        </w:rPr>
        <w:t xml:space="preserve">2017 byla vytvořena Jednotná platforma Digitální strategie (dále „DigiPortál“, </w:t>
      </w:r>
      <w:hyperlink r:id="rId31" w:history="1">
        <w:r w:rsidRPr="00881795">
          <w:rPr>
            <w:rStyle w:val="Hypertextovodkaz"/>
            <w:rFonts w:ascii="Arial" w:hAnsi="Arial" w:cs="Arial"/>
          </w:rPr>
          <w:t>https://digitalnistrategie.cz</w:t>
        </w:r>
      </w:hyperlink>
      <w:r w:rsidRPr="00881795">
        <w:rPr>
          <w:rFonts w:ascii="Arial" w:hAnsi="Arial" w:cs="Arial"/>
        </w:rPr>
        <w:t>), která představuje cloudové řešení pro gestory a realizátory jednotlivých opatření Str</w:t>
      </w:r>
      <w:r w:rsidR="00B526A8">
        <w:rPr>
          <w:rFonts w:ascii="Arial" w:hAnsi="Arial" w:cs="Arial"/>
        </w:rPr>
        <w:t>ategie digitální gramotnosti. A </w:t>
      </w:r>
      <w:r w:rsidRPr="00881795">
        <w:rPr>
          <w:rFonts w:ascii="Arial" w:hAnsi="Arial" w:cs="Arial"/>
        </w:rPr>
        <w:t>dále byla vytvořena první Zpráva o naplňování Akčního plánu realizace Digitální strategie ČR na období 2015</w:t>
      </w:r>
      <w:r w:rsidRPr="00D31120">
        <w:rPr>
          <w:rFonts w:ascii="Arial" w:hAnsi="Arial" w:cs="Arial"/>
        </w:rPr>
        <w:t>–</w:t>
      </w:r>
      <w:r w:rsidR="00D816E0">
        <w:rPr>
          <w:rFonts w:ascii="Arial" w:hAnsi="Arial" w:cs="Arial"/>
        </w:rPr>
        <w:t>2020 za rok 2016. V roce </w:t>
      </w:r>
      <w:r w:rsidRPr="00881795">
        <w:rPr>
          <w:rFonts w:ascii="Arial" w:hAnsi="Arial" w:cs="Arial"/>
        </w:rPr>
        <w:t xml:space="preserve">2017 byly schváleny dvě </w:t>
      </w:r>
      <w:r w:rsidRPr="00881795">
        <w:rPr>
          <w:rFonts w:ascii="Arial" w:hAnsi="Arial"/>
        </w:rPr>
        <w:t>zprávy o realizaci projektu se žádostmi o platbu v</w:t>
      </w:r>
      <w:r>
        <w:rPr>
          <w:rFonts w:ascii="Arial" w:hAnsi="Arial"/>
        </w:rPr>
        <w:t> </w:t>
      </w:r>
      <w:r w:rsidR="00D816E0">
        <w:rPr>
          <w:rFonts w:ascii="Arial" w:hAnsi="Arial"/>
        </w:rPr>
        <w:t>celkové výši 7,7 mil. </w:t>
      </w:r>
      <w:r w:rsidRPr="00161F20">
        <w:rPr>
          <w:rFonts w:ascii="Arial" w:hAnsi="Arial"/>
        </w:rPr>
        <w:t>Kč.</w:t>
      </w:r>
    </w:p>
    <w:p w:rsidR="00D1548F" w:rsidRPr="003E1760" w:rsidRDefault="00D1548F" w:rsidP="00D1548F">
      <w:pPr>
        <w:numPr>
          <w:ilvl w:val="0"/>
          <w:numId w:val="22"/>
        </w:numPr>
        <w:spacing w:line="360" w:lineRule="auto"/>
        <w:ind w:left="426"/>
        <w:jc w:val="both"/>
        <w:rPr>
          <w:rFonts w:ascii="Arial" w:hAnsi="Arial" w:cs="Arial"/>
        </w:rPr>
      </w:pPr>
      <w:r w:rsidRPr="00161F20">
        <w:rPr>
          <w:rFonts w:ascii="Arial" w:hAnsi="Arial" w:cs="Arial"/>
        </w:rPr>
        <w:t>„</w:t>
      </w:r>
      <w:r w:rsidRPr="00161F20">
        <w:rPr>
          <w:rFonts w:ascii="Arial" w:hAnsi="Arial" w:cs="Arial"/>
          <w:b/>
        </w:rPr>
        <w:t>Technický a informační rozvoj kariérového poradenství jako nástroje dalšího vzdělávání</w:t>
      </w:r>
      <w:r w:rsidRPr="00161F20">
        <w:rPr>
          <w:rFonts w:ascii="Arial" w:hAnsi="Arial" w:cs="Arial"/>
        </w:rPr>
        <w:t>“ - cíle projektu směřují především ke zkvalitnění a usnadnění práce kariérových poradců prostřednictvím vytvoření integrovaného systému JOBHUB, který nabídne všem pracovníkům služeb zaměstnanosti, kariérovým poradcům neveřejné povahy i samotným klientům kariérového poradenství širokou škálu technické, metodické a informační podpory napříč všemi segmenty trhu práce. Realizátorem projektu je Fond dalšího vzdělávání. Rozp</w:t>
      </w:r>
      <w:r w:rsidR="00D816E0">
        <w:rPr>
          <w:rFonts w:ascii="Arial" w:hAnsi="Arial" w:cs="Arial"/>
        </w:rPr>
        <w:t>očet projektu je 39,8 mil. Kč a </w:t>
      </w:r>
      <w:r w:rsidRPr="00161F20">
        <w:rPr>
          <w:rFonts w:ascii="Arial" w:hAnsi="Arial" w:cs="Arial"/>
        </w:rPr>
        <w:t>období realizace projektu je 1. 12. 2016–30. 11. 2019</w:t>
      </w:r>
      <w:r w:rsidR="00D816E0">
        <w:rPr>
          <w:rFonts w:ascii="Arial" w:hAnsi="Arial" w:cs="Arial"/>
        </w:rPr>
        <w:t>. V průběhu roku </w:t>
      </w:r>
      <w:r w:rsidRPr="005F0F06">
        <w:rPr>
          <w:rFonts w:ascii="Arial" w:hAnsi="Arial" w:cs="Arial"/>
        </w:rPr>
        <w:t>2017 probíhala tvorba informačního systému JOBHUB v podobě integrovaného portálu a vstupních analýz pro tento portál, na kterých se podílejí jednotlivý čle</w:t>
      </w:r>
      <w:r w:rsidR="00D816E0">
        <w:rPr>
          <w:rFonts w:ascii="Arial" w:hAnsi="Arial" w:cs="Arial"/>
        </w:rPr>
        <w:t>nové pracovních skupin. Dne 27. </w:t>
      </w:r>
      <w:r w:rsidRPr="005F0F06">
        <w:rPr>
          <w:rFonts w:ascii="Arial" w:hAnsi="Arial" w:cs="Arial"/>
        </w:rPr>
        <w:t>7.</w:t>
      </w:r>
      <w:r w:rsidR="00D816E0">
        <w:rPr>
          <w:rFonts w:ascii="Arial" w:hAnsi="Arial" w:cs="Arial"/>
        </w:rPr>
        <w:t> 2017 byla schválena 1. </w:t>
      </w:r>
      <w:r w:rsidRPr="005F0F06">
        <w:rPr>
          <w:rFonts w:ascii="Arial" w:hAnsi="Arial" w:cs="Arial"/>
        </w:rPr>
        <w:t>z</w:t>
      </w:r>
      <w:r>
        <w:rPr>
          <w:rFonts w:ascii="Arial" w:hAnsi="Arial" w:cs="Arial"/>
        </w:rPr>
        <w:t>práva o </w:t>
      </w:r>
      <w:r w:rsidRPr="003E1760">
        <w:rPr>
          <w:rFonts w:ascii="Arial" w:hAnsi="Arial" w:cs="Arial"/>
        </w:rPr>
        <w:t>realizaci s žá</w:t>
      </w:r>
      <w:r w:rsidR="00D816E0">
        <w:rPr>
          <w:rFonts w:ascii="Arial" w:hAnsi="Arial" w:cs="Arial"/>
        </w:rPr>
        <w:t>dostí o platbu ve výši 2,5 mil. </w:t>
      </w:r>
      <w:r w:rsidRPr="003E1760">
        <w:rPr>
          <w:rFonts w:ascii="Arial" w:hAnsi="Arial" w:cs="Arial"/>
        </w:rPr>
        <w:t>Kč.</w:t>
      </w:r>
    </w:p>
    <w:p w:rsidR="00D1548F" w:rsidRPr="008D5FC1" w:rsidRDefault="00D1548F" w:rsidP="00D1548F">
      <w:pPr>
        <w:numPr>
          <w:ilvl w:val="0"/>
          <w:numId w:val="22"/>
        </w:numPr>
        <w:spacing w:line="360" w:lineRule="auto"/>
        <w:ind w:left="426"/>
        <w:jc w:val="both"/>
        <w:rPr>
          <w:rFonts w:ascii="Arial" w:hAnsi="Arial" w:cs="Arial"/>
        </w:rPr>
      </w:pPr>
      <w:r w:rsidRPr="003E1760">
        <w:rPr>
          <w:rFonts w:ascii="Arial" w:hAnsi="Arial" w:cs="Arial"/>
        </w:rPr>
        <w:t>„</w:t>
      </w:r>
      <w:r w:rsidRPr="003E1760">
        <w:rPr>
          <w:rFonts w:ascii="Arial" w:hAnsi="Arial" w:cs="Arial"/>
          <w:b/>
        </w:rPr>
        <w:t>Vytvoření systému mistrovské zkoušky a mistrovských kvalifikací v ČR</w:t>
      </w:r>
      <w:r w:rsidRPr="003E1760">
        <w:rPr>
          <w:rFonts w:ascii="Arial" w:hAnsi="Arial" w:cs="Arial"/>
        </w:rPr>
        <w:t>“                    - cílem projektu je vytvoření systému mistrovské zkoušky v ČR jako nástroje vzdělávání a uznávání řemeslného mistr</w:t>
      </w:r>
      <w:r w:rsidR="00D816E0">
        <w:rPr>
          <w:rFonts w:ascii="Arial" w:hAnsi="Arial" w:cs="Arial"/>
        </w:rPr>
        <w:t>ovství v jednotlivých oborech a </w:t>
      </w:r>
      <w:r w:rsidRPr="003E1760">
        <w:rPr>
          <w:rFonts w:ascii="Arial" w:hAnsi="Arial" w:cs="Arial"/>
        </w:rPr>
        <w:t>přispět tak ke zlepšení kvality systému dalšího v</w:t>
      </w:r>
      <w:r w:rsidR="00D816E0">
        <w:rPr>
          <w:rFonts w:ascii="Arial" w:hAnsi="Arial" w:cs="Arial"/>
        </w:rPr>
        <w:t>zdělávání v oblasti řemesel i k </w:t>
      </w:r>
      <w:r w:rsidRPr="003E1760">
        <w:rPr>
          <w:rFonts w:ascii="Arial" w:hAnsi="Arial" w:cs="Arial"/>
        </w:rPr>
        <w:t xml:space="preserve">zavádění </w:t>
      </w:r>
      <w:r w:rsidRPr="003E1760">
        <w:rPr>
          <w:rFonts w:ascii="Arial" w:hAnsi="Arial" w:cs="Arial"/>
        </w:rPr>
        <w:lastRenderedPageBreak/>
        <w:t>prvků kvality do samotného vzdělávacího procesu. Realizátorem projektu je Národní ústav pro vzdělávání (NÚV).</w:t>
      </w:r>
      <w:r w:rsidR="00E01CCA">
        <w:rPr>
          <w:rFonts w:ascii="Arial" w:hAnsi="Arial" w:cs="Arial"/>
        </w:rPr>
        <w:t xml:space="preserve"> Po intenzivním jednání o </w:t>
      </w:r>
      <w:r w:rsidRPr="003E1760">
        <w:rPr>
          <w:rFonts w:ascii="Arial" w:hAnsi="Arial" w:cs="Arial"/>
        </w:rPr>
        <w:t xml:space="preserve">finální podobě právního </w:t>
      </w:r>
      <w:r w:rsidR="00D816E0">
        <w:rPr>
          <w:rFonts w:ascii="Arial" w:hAnsi="Arial" w:cs="Arial"/>
        </w:rPr>
        <w:t>aktu se zástupci MŠMT a </w:t>
      </w:r>
      <w:r w:rsidR="00E01CCA">
        <w:rPr>
          <w:rFonts w:ascii="Arial" w:hAnsi="Arial" w:cs="Arial"/>
        </w:rPr>
        <w:t>NÚV došlo k dohodě a </w:t>
      </w:r>
      <w:r w:rsidRPr="003E1760">
        <w:rPr>
          <w:rFonts w:ascii="Arial" w:hAnsi="Arial" w:cs="Arial"/>
        </w:rPr>
        <w:t>vytvoření samostatné Smlouvy o zpracování osobních údajů mezi MPSV a</w:t>
      </w:r>
      <w:r>
        <w:rPr>
          <w:rFonts w:ascii="Arial" w:hAnsi="Arial" w:cs="Arial"/>
        </w:rPr>
        <w:t> </w:t>
      </w:r>
      <w:r w:rsidRPr="003E1760">
        <w:rPr>
          <w:rFonts w:ascii="Arial" w:hAnsi="Arial" w:cs="Arial"/>
        </w:rPr>
        <w:t xml:space="preserve">NÚV. </w:t>
      </w:r>
      <w:r w:rsidR="00E01CCA">
        <w:rPr>
          <w:rFonts w:ascii="Arial" w:hAnsi="Arial" w:cs="Arial"/>
        </w:rPr>
        <w:t>V průběhu roku </w:t>
      </w:r>
      <w:r w:rsidRPr="00670EF2">
        <w:rPr>
          <w:rFonts w:ascii="Arial" w:hAnsi="Arial" w:cs="Arial"/>
        </w:rPr>
        <w:t>2017</w:t>
      </w:r>
      <w:r w:rsidR="00D816E0">
        <w:rPr>
          <w:rFonts w:ascii="Arial" w:hAnsi="Arial" w:cs="Arial"/>
        </w:rPr>
        <w:t xml:space="preserve"> probíhala intenzivní jednání o </w:t>
      </w:r>
      <w:r w:rsidRPr="00670EF2">
        <w:rPr>
          <w:rFonts w:ascii="Arial" w:hAnsi="Arial" w:cs="Arial"/>
        </w:rPr>
        <w:t>finální podobě právního aktu se zástupci MŠMT a NÚV. Dne 30.</w:t>
      </w:r>
      <w:r w:rsidR="00D816E0">
        <w:rPr>
          <w:rFonts w:ascii="Arial" w:hAnsi="Arial" w:cs="Arial"/>
        </w:rPr>
        <w:t> </w:t>
      </w:r>
      <w:r w:rsidRPr="00670EF2">
        <w:rPr>
          <w:rFonts w:ascii="Arial" w:hAnsi="Arial" w:cs="Arial"/>
        </w:rPr>
        <w:t>10.</w:t>
      </w:r>
      <w:r w:rsidR="00D816E0">
        <w:rPr>
          <w:rFonts w:ascii="Arial" w:hAnsi="Arial" w:cs="Arial"/>
        </w:rPr>
        <w:t> </w:t>
      </w:r>
      <w:r w:rsidRPr="00670EF2">
        <w:rPr>
          <w:rFonts w:ascii="Arial" w:hAnsi="Arial" w:cs="Arial"/>
        </w:rPr>
        <w:t xml:space="preserve">2017 byl právní akt podepsán. Období realizace projektu je </w:t>
      </w:r>
      <w:r>
        <w:rPr>
          <w:rFonts w:ascii="Arial" w:hAnsi="Arial" w:cs="Arial"/>
        </w:rPr>
        <w:t xml:space="preserve">od 1. 11. 2017 do </w:t>
      </w:r>
      <w:r w:rsidRPr="00670EF2">
        <w:rPr>
          <w:rFonts w:ascii="Arial" w:hAnsi="Arial" w:cs="Arial"/>
        </w:rPr>
        <w:t>31. 10. 2021</w:t>
      </w:r>
      <w:r>
        <w:rPr>
          <w:rFonts w:ascii="Arial" w:hAnsi="Arial" w:cs="Arial"/>
        </w:rPr>
        <w:t xml:space="preserve">, rozpočet projektu je </w:t>
      </w:r>
      <w:r w:rsidRPr="008D5FC1">
        <w:rPr>
          <w:rFonts w:ascii="Arial" w:hAnsi="Arial" w:cs="Arial"/>
        </w:rPr>
        <w:t xml:space="preserve">109,6 mil. Kč. </w:t>
      </w:r>
    </w:p>
    <w:p w:rsidR="00D1548F" w:rsidRPr="00E17B89" w:rsidRDefault="00D1548F" w:rsidP="00D1548F">
      <w:pPr>
        <w:numPr>
          <w:ilvl w:val="0"/>
          <w:numId w:val="22"/>
        </w:numPr>
        <w:spacing w:line="360" w:lineRule="auto"/>
        <w:ind w:left="426"/>
        <w:jc w:val="both"/>
        <w:rPr>
          <w:rFonts w:ascii="Arial" w:hAnsi="Arial" w:cs="Arial"/>
        </w:rPr>
      </w:pPr>
      <w:r w:rsidRPr="008D5FC1">
        <w:rPr>
          <w:rFonts w:ascii="Arial" w:hAnsi="Arial" w:cs="Arial"/>
        </w:rPr>
        <w:t>„</w:t>
      </w:r>
      <w:r w:rsidRPr="008D5FC1">
        <w:rPr>
          <w:rFonts w:ascii="Arial" w:hAnsi="Arial" w:cs="Arial"/>
          <w:b/>
        </w:rPr>
        <w:t>Zvyšování kvality a efektivit</w:t>
      </w:r>
      <w:r w:rsidR="00D816E0">
        <w:rPr>
          <w:rFonts w:ascii="Arial" w:hAnsi="Arial" w:cs="Arial"/>
          <w:b/>
        </w:rPr>
        <w:t>y systému dalšího vzdělávání ve </w:t>
      </w:r>
      <w:r w:rsidRPr="008D5FC1">
        <w:rPr>
          <w:rFonts w:ascii="Arial" w:hAnsi="Arial" w:cs="Arial"/>
          <w:b/>
        </w:rPr>
        <w:t>spolupráci se zaměstnavateli</w:t>
      </w:r>
      <w:r w:rsidRPr="008D5FC1">
        <w:rPr>
          <w:rFonts w:ascii="Arial" w:hAnsi="Arial" w:cs="Arial"/>
        </w:rPr>
        <w:t>“ – záměrem je přizpůsobení nástrojů dalšího vzdělávání se zaměřen</w:t>
      </w:r>
      <w:r w:rsidR="00D816E0">
        <w:rPr>
          <w:rFonts w:ascii="Arial" w:hAnsi="Arial" w:cs="Arial"/>
        </w:rPr>
        <w:t>ím na rekvalifikace současným a </w:t>
      </w:r>
      <w:r w:rsidRPr="008D5FC1">
        <w:rPr>
          <w:rFonts w:ascii="Arial" w:hAnsi="Arial" w:cs="Arial"/>
        </w:rPr>
        <w:t>budoucím požadavkům trhu práce a těsnější zapojení zaměstnavatelů do procesu zvyšování kvality a efektivity systému dalšího vzdělávání. V důsledku realizace projektu dojde ke kvalitativním změnám v jednom z nástrojů APZ (aktivní politika zaměstnanosti) rekvalifikacích, a to se zaměřením se na jednotlivé moduly tohoto nástroje a rovněž k pilotnímu odzkoušení systému modularizovan</w:t>
      </w:r>
      <w:r w:rsidR="00D816E0">
        <w:rPr>
          <w:rFonts w:ascii="Arial" w:hAnsi="Arial" w:cs="Arial"/>
        </w:rPr>
        <w:t>ých rekvalifikačních programů v </w:t>
      </w:r>
      <w:r w:rsidRPr="008D5FC1">
        <w:rPr>
          <w:rFonts w:ascii="Arial" w:hAnsi="Arial" w:cs="Arial"/>
        </w:rPr>
        <w:t xml:space="preserve">celé ČR. Příjemcem je MPSV, realizace </w:t>
      </w:r>
      <w:r w:rsidRPr="00E2699C">
        <w:rPr>
          <w:rFonts w:ascii="Arial" w:hAnsi="Arial" w:cs="Arial"/>
        </w:rPr>
        <w:t xml:space="preserve">projektu je od 1. 10. 2017 do 31. 12. 2020 a rozpočet projektu je 183,1 mil. Kč. </w:t>
      </w:r>
      <w:r w:rsidR="00D816E0">
        <w:rPr>
          <w:rFonts w:ascii="Arial" w:hAnsi="Arial" w:cs="Arial"/>
        </w:rPr>
        <w:t>Dne 3. </w:t>
      </w:r>
      <w:r w:rsidRPr="00E17B89">
        <w:rPr>
          <w:rFonts w:ascii="Arial" w:hAnsi="Arial" w:cs="Arial"/>
        </w:rPr>
        <w:t>11.</w:t>
      </w:r>
      <w:r w:rsidR="00D816E0">
        <w:rPr>
          <w:rFonts w:ascii="Arial" w:hAnsi="Arial" w:cs="Arial"/>
        </w:rPr>
        <w:t> </w:t>
      </w:r>
      <w:r w:rsidRPr="00E17B89">
        <w:rPr>
          <w:rFonts w:ascii="Arial" w:hAnsi="Arial" w:cs="Arial"/>
        </w:rPr>
        <w:t>2017 byl vydán právní akt. Probíhá příprava zadávací dokumentace k</w:t>
      </w:r>
      <w:r>
        <w:rPr>
          <w:rFonts w:ascii="Arial" w:hAnsi="Arial" w:cs="Arial"/>
        </w:rPr>
        <w:t> veřejné zakázce</w:t>
      </w:r>
      <w:r w:rsidRPr="00E17B89">
        <w:rPr>
          <w:rFonts w:ascii="Arial" w:hAnsi="Arial" w:cs="Arial"/>
        </w:rPr>
        <w:t xml:space="preserve"> „Zvyšování kvality a</w:t>
      </w:r>
      <w:r w:rsidR="00FB132C">
        <w:rPr>
          <w:rFonts w:ascii="Arial" w:hAnsi="Arial" w:cs="Arial"/>
        </w:rPr>
        <w:t> </w:t>
      </w:r>
      <w:r w:rsidRPr="00E17B89">
        <w:rPr>
          <w:rFonts w:ascii="Arial" w:hAnsi="Arial" w:cs="Arial"/>
        </w:rPr>
        <w:t>efektivity systému dalšího vzdělávání“.</w:t>
      </w:r>
    </w:p>
    <w:p w:rsidR="00D1548F" w:rsidRPr="003208B2" w:rsidRDefault="00D1548F" w:rsidP="00D1548F">
      <w:pPr>
        <w:pStyle w:val="Odstavecseseznamem"/>
        <w:numPr>
          <w:ilvl w:val="0"/>
          <w:numId w:val="22"/>
        </w:numPr>
        <w:spacing w:line="360" w:lineRule="auto"/>
        <w:ind w:left="426" w:hanging="284"/>
        <w:jc w:val="both"/>
        <w:rPr>
          <w:rFonts w:ascii="Arial" w:hAnsi="Arial" w:cs="Arial"/>
        </w:rPr>
      </w:pPr>
      <w:r w:rsidRPr="00E2699C">
        <w:rPr>
          <w:rFonts w:ascii="Arial" w:hAnsi="Arial" w:cs="Arial"/>
        </w:rPr>
        <w:t>„</w:t>
      </w:r>
      <w:r w:rsidRPr="00E2699C">
        <w:rPr>
          <w:rFonts w:ascii="Arial" w:hAnsi="Arial" w:cs="Arial"/>
          <w:b/>
        </w:rPr>
        <w:t>Rozvoj systému dalšího vzdělávání zaměstn</w:t>
      </w:r>
      <w:r w:rsidR="00D816E0">
        <w:rPr>
          <w:rFonts w:ascii="Arial" w:hAnsi="Arial" w:cs="Arial"/>
          <w:b/>
        </w:rPr>
        <w:t>avatelů a </w:t>
      </w:r>
      <w:r w:rsidRPr="00E2699C">
        <w:rPr>
          <w:rFonts w:ascii="Arial" w:hAnsi="Arial" w:cs="Arial"/>
          <w:b/>
        </w:rPr>
        <w:t>zaměstnanců v oblasti digitálních kompetencí</w:t>
      </w:r>
      <w:r w:rsidRPr="00E2699C">
        <w:rPr>
          <w:rFonts w:ascii="Arial" w:hAnsi="Arial" w:cs="Arial"/>
        </w:rPr>
        <w:t>“ - cílem projektu je vytvořit systémový nástroj pro podporu rozvoje Digitálních Kompetencí (dále jen „DK“). Projekt vytvoří nástroj Smart Online Systém (dále jen „SOS“) pro podporu dalšího vzdělávání zaměstnavatelů a zaměstnanců v oblasti digitálních kompetencí. Nástroj SOS, který využije pro</w:t>
      </w:r>
      <w:r w:rsidR="00D816E0">
        <w:rPr>
          <w:rFonts w:ascii="Arial" w:hAnsi="Arial" w:cs="Arial"/>
        </w:rPr>
        <w:t>středí DigiPortálu vznikající v </w:t>
      </w:r>
      <w:r w:rsidRPr="00E2699C">
        <w:rPr>
          <w:rFonts w:ascii="Arial" w:hAnsi="Arial" w:cs="Arial"/>
        </w:rPr>
        <w:t xml:space="preserve">projektu Rozvoj systémové podpory digitální gramotnosti, se bude skládat ze 4 součástí: DK – SOS, </w:t>
      </w:r>
      <w:r w:rsidR="00D816E0">
        <w:rPr>
          <w:rFonts w:ascii="Arial" w:hAnsi="Arial" w:cs="Arial"/>
        </w:rPr>
        <w:t xml:space="preserve">        </w:t>
      </w:r>
      <w:r w:rsidRPr="00E2699C">
        <w:rPr>
          <w:rFonts w:ascii="Arial" w:hAnsi="Arial" w:cs="Arial"/>
        </w:rPr>
        <w:t xml:space="preserve">Q – SOS (autoevaluační nástroj), MET – SOS (metodická doporučení), </w:t>
      </w:r>
      <w:r w:rsidR="00D816E0">
        <w:rPr>
          <w:rFonts w:ascii="Arial" w:hAnsi="Arial" w:cs="Arial"/>
        </w:rPr>
        <w:t xml:space="preserve">            </w:t>
      </w:r>
      <w:r w:rsidRPr="00E2699C">
        <w:rPr>
          <w:rFonts w:ascii="Arial" w:hAnsi="Arial" w:cs="Arial"/>
        </w:rPr>
        <w:t xml:space="preserve">EDU – SOS (vzdělávací programy), které představují online nástroje umožňující pružně reagovat na změny v digitálních technologiích a přizpůsobovat se jim. </w:t>
      </w:r>
      <w:r w:rsidRPr="00A92EE7">
        <w:rPr>
          <w:rFonts w:ascii="Arial" w:hAnsi="Arial" w:cs="Arial"/>
        </w:rPr>
        <w:t>Projekt přispěje k adaptaci na potřeby trhu práce v oblasti přenositelných DK, které se v</w:t>
      </w:r>
      <w:r>
        <w:rPr>
          <w:rFonts w:ascii="Arial" w:hAnsi="Arial" w:cs="Arial"/>
        </w:rPr>
        <w:t> </w:t>
      </w:r>
      <w:r w:rsidRPr="00A92EE7">
        <w:rPr>
          <w:rFonts w:ascii="Arial" w:hAnsi="Arial" w:cs="Arial"/>
        </w:rPr>
        <w:t>různých oblastech dynamicky proměňují v přímé vazbě na rozvoj digitálních technologií.</w:t>
      </w:r>
      <w:r w:rsidRPr="00A92EE7">
        <w:t xml:space="preserve"> </w:t>
      </w:r>
      <w:r w:rsidRPr="00A92EE7">
        <w:rPr>
          <w:rFonts w:ascii="Arial" w:hAnsi="Arial" w:cs="Arial"/>
        </w:rPr>
        <w:t xml:space="preserve">Realizátorem projektu je Fond dalšího vzdělávání. Rozpočet projektu </w:t>
      </w:r>
      <w:r w:rsidRPr="003208B2">
        <w:rPr>
          <w:rFonts w:ascii="Arial" w:hAnsi="Arial" w:cs="Arial"/>
        </w:rPr>
        <w:t xml:space="preserve">je 44,981 mil. Kč a období realizace projektu je od 1. 10. 2017 do 31. 3. 2021. </w:t>
      </w:r>
    </w:p>
    <w:p w:rsidR="00D1548F" w:rsidRPr="003208B2" w:rsidRDefault="00D1548F" w:rsidP="00D1548F">
      <w:pPr>
        <w:spacing w:line="360" w:lineRule="auto"/>
        <w:jc w:val="both"/>
        <w:rPr>
          <w:rFonts w:ascii="Arial" w:hAnsi="Arial" w:cs="Arial"/>
          <w:sz w:val="16"/>
          <w:szCs w:val="16"/>
        </w:rPr>
      </w:pPr>
    </w:p>
    <w:p w:rsidR="00D1548F" w:rsidRPr="003208B2" w:rsidRDefault="00D1548F" w:rsidP="00D1548F">
      <w:pPr>
        <w:numPr>
          <w:ilvl w:val="0"/>
          <w:numId w:val="19"/>
        </w:numPr>
        <w:spacing w:line="360" w:lineRule="auto"/>
        <w:jc w:val="both"/>
        <w:rPr>
          <w:rFonts w:ascii="Arial" w:hAnsi="Arial" w:cs="Arial"/>
          <w:iCs/>
        </w:rPr>
      </w:pPr>
      <w:r w:rsidRPr="003208B2">
        <w:rPr>
          <w:rFonts w:ascii="Arial" w:hAnsi="Arial" w:cs="Arial"/>
          <w:b/>
        </w:rPr>
        <w:t>Investiční priorita 1.5 - Trvalé začlenění mladých lidí na trh práce, mimo jiné pomocí „záruky pro mladé lidi”, a to zejména těch, kteří nejsou ve vzdělávání, v zaměstnání nebo v profesní přípravě, včetně těch mladých lidí, kterým hrozí sociální vylou</w:t>
      </w:r>
      <w:r w:rsidR="00D816E0">
        <w:rPr>
          <w:rFonts w:ascii="Arial" w:hAnsi="Arial" w:cs="Arial"/>
          <w:b/>
        </w:rPr>
        <w:t>čení, a </w:t>
      </w:r>
      <w:r w:rsidRPr="003208B2">
        <w:rPr>
          <w:rFonts w:ascii="Arial" w:hAnsi="Arial" w:cs="Arial"/>
          <w:b/>
        </w:rPr>
        <w:t>mladých lidí z marginalizovaných komunit</w:t>
      </w:r>
    </w:p>
    <w:p w:rsidR="00D1548F" w:rsidRPr="003208B2" w:rsidRDefault="00D1548F" w:rsidP="00D1548F">
      <w:pPr>
        <w:spacing w:line="360" w:lineRule="auto"/>
        <w:jc w:val="both"/>
        <w:rPr>
          <w:rFonts w:ascii="Arial" w:hAnsi="Arial" w:cs="Arial"/>
          <w:iCs/>
        </w:rPr>
      </w:pPr>
    </w:p>
    <w:p w:rsidR="00D1548F" w:rsidRPr="003208B2" w:rsidRDefault="00D1548F" w:rsidP="00D1548F">
      <w:pPr>
        <w:spacing w:line="360" w:lineRule="auto"/>
        <w:ind w:firstLine="567"/>
        <w:jc w:val="both"/>
        <w:rPr>
          <w:rFonts w:ascii="Arial" w:hAnsi="Arial" w:cs="Arial"/>
          <w:iCs/>
        </w:rPr>
      </w:pPr>
      <w:r w:rsidRPr="003208B2">
        <w:rPr>
          <w:rFonts w:ascii="Arial" w:hAnsi="Arial" w:cs="Arial"/>
          <w:iCs/>
        </w:rPr>
        <w:t xml:space="preserve">V rámci investiční priority 1.5 </w:t>
      </w:r>
      <w:r>
        <w:rPr>
          <w:rFonts w:ascii="Arial" w:hAnsi="Arial" w:cs="Arial"/>
          <w:iCs/>
        </w:rPr>
        <w:t>(</w:t>
      </w:r>
      <w:r>
        <w:rPr>
          <w:rFonts w:ascii="Arial" w:hAnsi="Arial"/>
        </w:rPr>
        <w:t>IP </w:t>
      </w:r>
      <w:r w:rsidRPr="00281310">
        <w:rPr>
          <w:rFonts w:ascii="Arial" w:hAnsi="Arial"/>
        </w:rPr>
        <w:t>1.5</w:t>
      </w:r>
      <w:r>
        <w:rPr>
          <w:rFonts w:ascii="Arial" w:hAnsi="Arial"/>
        </w:rPr>
        <w:t xml:space="preserve">) </w:t>
      </w:r>
      <w:r w:rsidRPr="003208B2">
        <w:rPr>
          <w:rFonts w:ascii="Arial" w:hAnsi="Arial" w:cs="Arial"/>
          <w:iCs/>
        </w:rPr>
        <w:t xml:space="preserve">jsou vyhlášeny dvě výzvy </w:t>
      </w:r>
      <w:r w:rsidRPr="003208B2">
        <w:rPr>
          <w:rFonts w:ascii="Arial" w:hAnsi="Arial"/>
          <w:b/>
        </w:rPr>
        <w:t>pro Ústecký a Karlovarský kraj</w:t>
      </w:r>
      <w:r w:rsidRPr="00016DE7">
        <w:rPr>
          <w:rFonts w:ascii="Arial" w:hAnsi="Arial" w:cs="Arial"/>
          <w:iCs/>
        </w:rPr>
        <w:t>. V říjnu 2017 byla vyhlášena nová výzva pro Ústecký, Karlovarský a Moravskoslezský kraj.</w:t>
      </w:r>
    </w:p>
    <w:p w:rsidR="00D1548F" w:rsidRPr="000123B1" w:rsidRDefault="00D1548F" w:rsidP="00D1548F">
      <w:pPr>
        <w:spacing w:line="360" w:lineRule="auto"/>
        <w:ind w:firstLine="567"/>
        <w:jc w:val="both"/>
        <w:rPr>
          <w:rFonts w:ascii="Arial" w:hAnsi="Arial"/>
        </w:rPr>
      </w:pPr>
      <w:r w:rsidRPr="000123B1">
        <w:rPr>
          <w:rFonts w:ascii="Arial" w:hAnsi="Arial" w:cs="Arial"/>
          <w:iCs/>
        </w:rPr>
        <w:t>Ve</w:t>
      </w:r>
      <w:r w:rsidRPr="000123B1">
        <w:rPr>
          <w:rFonts w:ascii="Arial" w:hAnsi="Arial"/>
        </w:rPr>
        <w:t xml:space="preserve"> výzvě č. 03_15_003 pro ÚP ČR jsou krajskými pobočkami v Ústí nad Labem a v Karlových Varech realizovány </w:t>
      </w:r>
      <w:r w:rsidRPr="000123B1">
        <w:rPr>
          <w:rFonts w:ascii="Arial" w:hAnsi="Arial"/>
          <w:b/>
        </w:rPr>
        <w:t>2 projekty</w:t>
      </w:r>
      <w:r w:rsidRPr="000123B1">
        <w:rPr>
          <w:rFonts w:ascii="Arial" w:hAnsi="Arial"/>
        </w:rPr>
        <w:t>,</w:t>
      </w:r>
      <w:r w:rsidRPr="000123B1">
        <w:rPr>
          <w:rFonts w:ascii="Arial" w:hAnsi="Arial"/>
          <w:b/>
        </w:rPr>
        <w:t xml:space="preserve"> </w:t>
      </w:r>
      <w:r w:rsidRPr="000123B1">
        <w:rPr>
          <w:rFonts w:ascii="Arial" w:hAnsi="Arial"/>
        </w:rPr>
        <w:t>které byly schváleny v roce 2015, realizace aktivit byla zahájena v 1. pololetí 2016. Projekty jsou zaměřeny na</w:t>
      </w:r>
      <w:r w:rsidRPr="000123B1">
        <w:rPr>
          <w:rFonts w:ascii="Arial" w:hAnsi="Arial" w:cs="Arial"/>
        </w:rPr>
        <w:t xml:space="preserve"> trvalé začlenění mladých lidí na trh práce, mimo jiné také pomocí „</w:t>
      </w:r>
      <w:r w:rsidRPr="000123B1">
        <w:rPr>
          <w:rFonts w:ascii="Arial" w:hAnsi="Arial" w:cs="Arial"/>
          <w:b/>
        </w:rPr>
        <w:t>záruky pro mladé lidi</w:t>
      </w:r>
      <w:r w:rsidRPr="000123B1">
        <w:rPr>
          <w:rFonts w:ascii="Arial" w:hAnsi="Arial" w:cs="Arial"/>
        </w:rPr>
        <w:t>”, a to zejména těch, kteří nejsou ve vzdělávání, v zaměstnání nebo v profesní přípravě, včetně těch mladých lidí, kterým hrozí sociální vyloučení, a mladých lidí z marginalizovaných komunit.</w:t>
      </w:r>
    </w:p>
    <w:p w:rsidR="00D1548F" w:rsidRPr="00281310" w:rsidRDefault="00D1548F" w:rsidP="00D1548F">
      <w:pPr>
        <w:spacing w:line="360" w:lineRule="auto"/>
        <w:ind w:firstLine="567"/>
        <w:jc w:val="both"/>
        <w:rPr>
          <w:rFonts w:ascii="Arial" w:hAnsi="Arial"/>
        </w:rPr>
      </w:pPr>
      <w:r w:rsidRPr="000123B1">
        <w:rPr>
          <w:rFonts w:ascii="Arial" w:hAnsi="Arial"/>
        </w:rPr>
        <w:t xml:space="preserve">Na základě soutěžní (otevřené) výzvy </w:t>
      </w:r>
      <w:r w:rsidR="00D816E0">
        <w:rPr>
          <w:rFonts w:ascii="Arial" w:hAnsi="Arial"/>
        </w:rPr>
        <w:t>č. 03_15_116 byly na konci roku </w:t>
      </w:r>
      <w:r w:rsidRPr="000123B1">
        <w:rPr>
          <w:rFonts w:ascii="Arial" w:hAnsi="Arial"/>
        </w:rPr>
        <w:t xml:space="preserve">2015 předloženy a schváleny </w:t>
      </w:r>
      <w:r w:rsidRPr="000123B1">
        <w:rPr>
          <w:rFonts w:ascii="Arial" w:hAnsi="Arial"/>
          <w:b/>
        </w:rPr>
        <w:t>3 projektové žádosti</w:t>
      </w:r>
      <w:r w:rsidRPr="000123B1">
        <w:rPr>
          <w:rFonts w:ascii="Arial" w:hAnsi="Arial"/>
        </w:rPr>
        <w:t xml:space="preserve"> (dva projekty jsou realizovány v Ústeckém kraji a jeden projekt v Karlovarském kraji). Projekty jsou zaměřeny obdobně jako projekty krajských poboček v Ústí nad Labem a Karlových Varech na mladé lidi mladší 30 let (tj. do 29 let včetně), kteří nejsou v zaměstnání, ve vzdělávání nebo v profesní přípravě, žijící ve způsobilém regionu, kteří jsou nezaměstnaní nebo neaktivní (včetně dlouhodobě nezaměstnaných) nezávisle na tom, zda jsou registrováni na ÚP ČR jako uchazeči o zaměstnání či nikoli. Mezi aktivity realizované v těchto projektech patří: zprostředkování zaměstnání osobám z cílové skupiny, poskytování poradenské činnosti, poskytování rekvalifikací, </w:t>
      </w:r>
      <w:r w:rsidRPr="00281310">
        <w:rPr>
          <w:rFonts w:ascii="Arial" w:hAnsi="Arial"/>
        </w:rPr>
        <w:t>motivační aktivity atp.</w:t>
      </w:r>
    </w:p>
    <w:p w:rsidR="00D1548F" w:rsidRPr="00281310" w:rsidRDefault="00D1548F" w:rsidP="00D1548F">
      <w:pPr>
        <w:spacing w:line="360" w:lineRule="auto"/>
        <w:ind w:firstLine="567"/>
        <w:jc w:val="both"/>
        <w:rPr>
          <w:rFonts w:ascii="Arial" w:hAnsi="Arial"/>
        </w:rPr>
      </w:pPr>
      <w:r w:rsidRPr="00281310">
        <w:rPr>
          <w:rFonts w:ascii="Arial" w:hAnsi="Arial"/>
        </w:rPr>
        <w:t xml:space="preserve">V nově vyhlášené soutěžní (otevřené) výzvě č. 03_18_091 byla na konci roku 2017 předložena 1 projektová žádost na projekt Ústeckého kraje. Pro tuto výzvu jsou oprávněnými žadateli Karlovarský kraj, Ústecký kraj a Moravskoslezský kraj. Výzva je zaměřena na projekty na lidi mladší 30 let (tj. do 29 let včetně), kteří nejsou v zaměstnání, ve vzdělávání nebo v profesní přípravě, žijící ve způsobilém regionu, kteří jsou nezaměstnaní nebo neaktivní (včetně dlouhodobě nezaměstnaných) </w:t>
      </w:r>
      <w:r w:rsidRPr="00281310">
        <w:rPr>
          <w:rFonts w:ascii="Arial" w:hAnsi="Arial"/>
        </w:rPr>
        <w:lastRenderedPageBreak/>
        <w:t>nezávisle na tom, zda jsou registrováni na ÚP ČR jako uchazeči o zaměstnání či</w:t>
      </w:r>
      <w:r w:rsidR="00D816E0">
        <w:rPr>
          <w:rFonts w:ascii="Arial" w:hAnsi="Arial"/>
        </w:rPr>
        <w:t> </w:t>
      </w:r>
      <w:r w:rsidRPr="00281310">
        <w:rPr>
          <w:rFonts w:ascii="Arial" w:hAnsi="Arial"/>
        </w:rPr>
        <w:t>nikoli. Do projektů budou zařazovány přednostně osoby, které nejsou evidovanými uchazeči o zaměstnán</w:t>
      </w:r>
      <w:r w:rsidR="00D816E0">
        <w:rPr>
          <w:rFonts w:ascii="Arial" w:hAnsi="Arial"/>
        </w:rPr>
        <w:t>í, ale jsou cílovou skupinou IP </w:t>
      </w:r>
      <w:r w:rsidRPr="00281310">
        <w:rPr>
          <w:rFonts w:ascii="Arial" w:hAnsi="Arial"/>
        </w:rPr>
        <w:t>1.5.</w:t>
      </w:r>
    </w:p>
    <w:p w:rsidR="00D1548F" w:rsidRPr="00B67773" w:rsidRDefault="00D1548F" w:rsidP="00D1548F">
      <w:pPr>
        <w:spacing w:line="360" w:lineRule="auto"/>
        <w:ind w:firstLine="567"/>
        <w:jc w:val="both"/>
        <w:rPr>
          <w:rFonts w:ascii="Arial" w:hAnsi="Arial"/>
        </w:rPr>
      </w:pPr>
      <w:r w:rsidRPr="00281310">
        <w:rPr>
          <w:rFonts w:ascii="Arial" w:hAnsi="Arial"/>
        </w:rPr>
        <w:t xml:space="preserve">Do konce roku 2017 probíhala realizace všech pěti podpořených projektů, pokrok v realizaci projektů je </w:t>
      </w:r>
      <w:r w:rsidRPr="00D92DF8">
        <w:rPr>
          <w:rFonts w:ascii="Arial" w:hAnsi="Arial"/>
        </w:rPr>
        <w:t>však menší než očekávaný. V případě výzvy 03_15_116 bylo důvodem posunu zahájení realizace projektových aktivit pozdější předložení žádostí a</w:t>
      </w:r>
      <w:r>
        <w:rPr>
          <w:rFonts w:ascii="Arial" w:hAnsi="Arial"/>
        </w:rPr>
        <w:t> </w:t>
      </w:r>
      <w:r w:rsidRPr="00D92DF8">
        <w:rPr>
          <w:rFonts w:ascii="Arial" w:hAnsi="Arial"/>
        </w:rPr>
        <w:t>delší proces jejich věcného hodnocení. V případě výzvy 03_15_003 bylo pozdější zahájení realizace aktivit způsobeno nedostatečným zajištěním personálních kapacit projektových týmů ÚP ČR kvůli nutnosti realizovat výběrová řízení dle Zákona o státní službě</w:t>
      </w:r>
      <w:r w:rsidRPr="00B67773">
        <w:rPr>
          <w:rFonts w:ascii="Arial" w:hAnsi="Arial"/>
        </w:rPr>
        <w:t xml:space="preserve">. </w:t>
      </w:r>
    </w:p>
    <w:p w:rsidR="00D1548F" w:rsidRPr="0000244A" w:rsidRDefault="00D1548F" w:rsidP="00D1548F">
      <w:pPr>
        <w:spacing w:line="360" w:lineRule="auto"/>
        <w:ind w:firstLine="567"/>
        <w:jc w:val="both"/>
        <w:rPr>
          <w:rFonts w:ascii="Arial" w:hAnsi="Arial"/>
        </w:rPr>
      </w:pPr>
      <w:r w:rsidRPr="00B67773">
        <w:rPr>
          <w:rFonts w:ascii="Arial" w:hAnsi="Arial"/>
        </w:rPr>
        <w:t xml:space="preserve">Realizaci projektů dále komplikuje situace na trhu práce, která prošla od roku 2012 zásadní změnou. Míra nezaměstnanosti mládeže v regionu NUTS II Severozápad poklesla a příjemci nyní obtížně získávají cílovou skupinu a bojují s naplněním výsledkových </w:t>
      </w:r>
      <w:r w:rsidRPr="00A30638">
        <w:rPr>
          <w:rFonts w:ascii="Arial" w:hAnsi="Arial"/>
        </w:rPr>
        <w:t xml:space="preserve">indikátorů. Na základě intenzivní komunikace a jednání s příjemci byly přijaty a schváleny změny napříč všemi projekty realizovanými v obou </w:t>
      </w:r>
      <w:r w:rsidRPr="00F8705F">
        <w:rPr>
          <w:rFonts w:ascii="Arial" w:hAnsi="Arial"/>
        </w:rPr>
        <w:t>výzvách. V případě výzvy č. 03_15_116 se jednalo o posílení propagačních aktivit projektů, změny v klíčových aktivitách odborného a rekvalifikačního vzdělávání, úpravy realizačních týmů v podobě zintenziv</w:t>
      </w:r>
      <w:r w:rsidR="00D816E0">
        <w:rPr>
          <w:rFonts w:ascii="Arial" w:hAnsi="Arial"/>
        </w:rPr>
        <w:t>nění jejich terénních prací a o </w:t>
      </w:r>
      <w:r w:rsidRPr="00F8705F">
        <w:rPr>
          <w:rFonts w:ascii="Arial" w:hAnsi="Arial"/>
        </w:rPr>
        <w:t>úpravy rozpočtů v souvislosti s </w:t>
      </w:r>
      <w:r w:rsidRPr="003D545B">
        <w:rPr>
          <w:rFonts w:ascii="Arial" w:hAnsi="Arial"/>
        </w:rPr>
        <w:t>navýšením počtu členů realizačních týmů a zavedením nových aktivit v klíčových aktivitách. U výzvy č. 03_15_003 došlo taktéž k posílení propagačních aktivit projektů a dále ke změnám směrnic GŘ ÚP, rozšíření doprovodných opatření u klíčových aktivit Stáže do zahraničí a Návrat do vzdělávání a zavedení dalších forem doprovodných opatření.</w:t>
      </w:r>
      <w:r>
        <w:rPr>
          <w:rFonts w:ascii="Arial" w:hAnsi="Arial"/>
        </w:rPr>
        <w:t xml:space="preserve"> </w:t>
      </w:r>
      <w:r w:rsidRPr="003D545B">
        <w:rPr>
          <w:rFonts w:ascii="Arial" w:hAnsi="Arial"/>
        </w:rPr>
        <w:t xml:space="preserve">Oba realizované projekty byly v roce 2017 prodlouženy o dva měsíce do 31. 12. 2018. K 31. 12. 2017 bylo </w:t>
      </w:r>
      <w:r w:rsidRPr="003D545B">
        <w:rPr>
          <w:rFonts w:ascii="Arial" w:hAnsi="Arial"/>
          <w:bCs/>
        </w:rPr>
        <w:t>podpořeno 3 520 osob, objem schválených žádostí o platbu</w:t>
      </w:r>
      <w:r w:rsidR="00D816E0">
        <w:rPr>
          <w:rFonts w:ascii="Arial" w:hAnsi="Arial"/>
          <w:bCs/>
        </w:rPr>
        <w:t xml:space="preserve"> v roce </w:t>
      </w:r>
      <w:r w:rsidRPr="003D545B">
        <w:rPr>
          <w:rFonts w:ascii="Arial" w:hAnsi="Arial"/>
          <w:bCs/>
        </w:rPr>
        <w:t>2017 činil 243,2</w:t>
      </w:r>
      <w:r w:rsidR="00FB132C">
        <w:rPr>
          <w:rFonts w:ascii="Arial" w:hAnsi="Arial"/>
          <w:bCs/>
        </w:rPr>
        <w:t> </w:t>
      </w:r>
      <w:r>
        <w:rPr>
          <w:rFonts w:ascii="Arial" w:hAnsi="Arial"/>
          <w:bCs/>
        </w:rPr>
        <w:t>mil. </w:t>
      </w:r>
      <w:r w:rsidRPr="003D545B">
        <w:rPr>
          <w:rFonts w:ascii="Arial" w:hAnsi="Arial"/>
          <w:bCs/>
        </w:rPr>
        <w:t xml:space="preserve">Kč, což představuje 30 % alokace na </w:t>
      </w:r>
      <w:r w:rsidRPr="0000244A">
        <w:rPr>
          <w:rFonts w:ascii="Arial" w:hAnsi="Arial"/>
          <w:bCs/>
        </w:rPr>
        <w:t>specifický cíl.</w:t>
      </w:r>
    </w:p>
    <w:p w:rsidR="00D1548F" w:rsidRDefault="00D1548F" w:rsidP="00D1548F">
      <w:pPr>
        <w:spacing w:line="360" w:lineRule="auto"/>
        <w:ind w:firstLine="567"/>
        <w:jc w:val="both"/>
        <w:rPr>
          <w:rFonts w:ascii="Arial" w:hAnsi="Arial" w:cs="Arial"/>
          <w:iCs/>
          <w:sz w:val="18"/>
          <w:szCs w:val="18"/>
        </w:rPr>
      </w:pPr>
    </w:p>
    <w:p w:rsidR="00D1548F" w:rsidRPr="0000244A" w:rsidRDefault="00D1548F" w:rsidP="00D1548F">
      <w:pPr>
        <w:spacing w:line="360" w:lineRule="auto"/>
        <w:ind w:firstLine="567"/>
        <w:jc w:val="both"/>
        <w:rPr>
          <w:rFonts w:ascii="Arial" w:hAnsi="Arial" w:cs="Arial"/>
          <w:iCs/>
          <w:sz w:val="18"/>
          <w:szCs w:val="18"/>
        </w:rPr>
      </w:pPr>
    </w:p>
    <w:p w:rsidR="00D1548F" w:rsidRPr="003147E8" w:rsidRDefault="00D1548F" w:rsidP="00D1548F">
      <w:pPr>
        <w:numPr>
          <w:ilvl w:val="0"/>
          <w:numId w:val="20"/>
        </w:numPr>
        <w:spacing w:line="360" w:lineRule="auto"/>
        <w:jc w:val="both"/>
        <w:rPr>
          <w:rFonts w:ascii="Arial" w:hAnsi="Arial" w:cs="Arial"/>
          <w:b/>
          <w:iCs/>
        </w:rPr>
      </w:pPr>
      <w:r w:rsidRPr="003147E8">
        <w:rPr>
          <w:rFonts w:ascii="Arial" w:hAnsi="Arial" w:cs="Arial"/>
          <w:b/>
          <w:iCs/>
        </w:rPr>
        <w:t>Prioritní osa 2 OPZ – Sociální začleňování a boj s chudobou</w:t>
      </w:r>
    </w:p>
    <w:p w:rsidR="00D1548F" w:rsidRPr="003147E8" w:rsidRDefault="00D1548F" w:rsidP="00D1548F">
      <w:pPr>
        <w:spacing w:line="360" w:lineRule="auto"/>
        <w:ind w:firstLine="567"/>
        <w:jc w:val="both"/>
        <w:rPr>
          <w:rFonts w:ascii="Arial" w:hAnsi="Arial"/>
        </w:rPr>
      </w:pPr>
    </w:p>
    <w:p w:rsidR="00D1548F" w:rsidRPr="003147E8" w:rsidRDefault="00D1548F" w:rsidP="00D1548F">
      <w:pPr>
        <w:spacing w:line="360" w:lineRule="auto"/>
        <w:ind w:firstLine="567"/>
        <w:jc w:val="both"/>
        <w:rPr>
          <w:rFonts w:ascii="Arial" w:hAnsi="Arial" w:cs="Arial"/>
          <w:iCs/>
        </w:rPr>
      </w:pPr>
      <w:r w:rsidRPr="003147E8">
        <w:rPr>
          <w:rFonts w:ascii="Arial" w:hAnsi="Arial"/>
        </w:rPr>
        <w:t xml:space="preserve">V prioritní ose 2 OPZ byla od 27. 8. 2015 do 29. 6. 2018 </w:t>
      </w:r>
      <w:r w:rsidRPr="003147E8">
        <w:rPr>
          <w:rFonts w:ascii="Arial" w:hAnsi="Arial" w:cs="Arial"/>
          <w:iCs/>
        </w:rPr>
        <w:t>vyhlášena průběžná uzavřená výzva č. 03_15_016 „Výzva pro systémové projekty realizované MPSV                 – sociální podnikání“</w:t>
      </w:r>
      <w:r w:rsidRPr="00D816E0">
        <w:rPr>
          <w:rFonts w:ascii="Arial" w:hAnsi="Arial" w:cs="Arial"/>
          <w:iCs/>
        </w:rPr>
        <w:t xml:space="preserve"> </w:t>
      </w:r>
      <w:r w:rsidR="00D816E0">
        <w:rPr>
          <w:rFonts w:ascii="Arial" w:hAnsi="Arial" w:cs="Arial"/>
          <w:iCs/>
        </w:rPr>
        <w:t>s celkovou alokací 25 </w:t>
      </w:r>
      <w:r w:rsidRPr="003147E8">
        <w:rPr>
          <w:rFonts w:ascii="Arial" w:hAnsi="Arial" w:cs="Arial"/>
          <w:iCs/>
        </w:rPr>
        <w:t>mil.</w:t>
      </w:r>
      <w:r w:rsidR="00D816E0">
        <w:rPr>
          <w:rFonts w:ascii="Arial" w:hAnsi="Arial" w:cs="Arial"/>
          <w:iCs/>
        </w:rPr>
        <w:t> </w:t>
      </w:r>
      <w:r w:rsidRPr="003147E8">
        <w:rPr>
          <w:rFonts w:ascii="Arial" w:hAnsi="Arial" w:cs="Arial"/>
          <w:iCs/>
        </w:rPr>
        <w:t>Kč.</w:t>
      </w:r>
    </w:p>
    <w:p w:rsidR="00D1548F" w:rsidRPr="003147E8" w:rsidRDefault="00D1548F" w:rsidP="00D1548F">
      <w:pPr>
        <w:spacing w:line="360" w:lineRule="auto"/>
        <w:ind w:firstLine="567"/>
        <w:jc w:val="both"/>
        <w:rPr>
          <w:rFonts w:ascii="Arial" w:hAnsi="Arial" w:cs="Arial"/>
          <w:iCs/>
        </w:rPr>
      </w:pPr>
      <w:r w:rsidRPr="003147E8">
        <w:rPr>
          <w:rFonts w:ascii="Arial" w:hAnsi="Arial" w:cs="Arial"/>
          <w:iCs/>
        </w:rPr>
        <w:lastRenderedPageBreak/>
        <w:t>V rámci této výzvy je realizován projekt „</w:t>
      </w:r>
      <w:r w:rsidRPr="003147E8">
        <w:rPr>
          <w:rFonts w:ascii="Arial" w:hAnsi="Arial" w:cs="Arial"/>
          <w:b/>
          <w:iCs/>
        </w:rPr>
        <w:t>Podpora sociálního podnikání v ČR pokračuje</w:t>
      </w:r>
      <w:r w:rsidRPr="003147E8">
        <w:rPr>
          <w:rFonts w:ascii="Arial" w:hAnsi="Arial" w:cs="Arial"/>
          <w:iCs/>
        </w:rPr>
        <w:t>“. Účelem podpory je poskytování poradenských služeb v segmentu sociálního podnikání včetně zprostředkování stáží, realizace mezinárodní spolupráce v oblasti sociálního podnikání, mainstreamingové aktivity v oblasti sociálního podnikání. Datum zahájení projektu 1. 12. 2016, datum ukončení projektu 30. 11. 2021. Na realizaci p</w:t>
      </w:r>
      <w:r w:rsidR="00D816E0">
        <w:rPr>
          <w:rFonts w:ascii="Arial" w:hAnsi="Arial" w:cs="Arial"/>
          <w:iCs/>
        </w:rPr>
        <w:t>rojektu byl schválen rozpočet v </w:t>
      </w:r>
      <w:r w:rsidRPr="003147E8">
        <w:rPr>
          <w:rFonts w:ascii="Arial" w:hAnsi="Arial" w:cs="Arial"/>
          <w:iCs/>
        </w:rPr>
        <w:t>celkové výši 20 218 944 Kč.</w:t>
      </w:r>
    </w:p>
    <w:p w:rsidR="00D1548F" w:rsidRPr="003147E8" w:rsidRDefault="00D1548F" w:rsidP="00D1548F">
      <w:pPr>
        <w:spacing w:line="360" w:lineRule="auto"/>
        <w:ind w:firstLine="567"/>
        <w:jc w:val="both"/>
        <w:rPr>
          <w:rFonts w:ascii="Arial" w:hAnsi="Arial" w:cs="Arial"/>
          <w:iCs/>
        </w:rPr>
      </w:pPr>
    </w:p>
    <w:p w:rsidR="00D1548F" w:rsidRPr="003147E8" w:rsidRDefault="00D1548F" w:rsidP="00D1548F">
      <w:pPr>
        <w:numPr>
          <w:ilvl w:val="0"/>
          <w:numId w:val="20"/>
        </w:numPr>
        <w:spacing w:line="360" w:lineRule="auto"/>
        <w:jc w:val="both"/>
        <w:rPr>
          <w:rFonts w:ascii="Arial" w:hAnsi="Arial" w:cs="Arial"/>
          <w:b/>
          <w:iCs/>
        </w:rPr>
      </w:pPr>
      <w:r w:rsidRPr="003147E8">
        <w:rPr>
          <w:rFonts w:ascii="Arial" w:hAnsi="Arial" w:cs="Arial"/>
          <w:b/>
          <w:iCs/>
        </w:rPr>
        <w:t>Prioritní osa 3 OPZ – Sociální inovace a mezinárodní spolupráce</w:t>
      </w:r>
    </w:p>
    <w:p w:rsidR="00D1548F" w:rsidRPr="003147E8" w:rsidRDefault="00D1548F" w:rsidP="00D1548F">
      <w:pPr>
        <w:spacing w:line="360" w:lineRule="auto"/>
        <w:ind w:firstLine="567"/>
        <w:jc w:val="both"/>
        <w:rPr>
          <w:rFonts w:ascii="Arial" w:hAnsi="Arial" w:cs="Arial"/>
          <w:iCs/>
        </w:rPr>
      </w:pPr>
    </w:p>
    <w:p w:rsidR="00D1548F" w:rsidRPr="005871A5" w:rsidRDefault="00D1548F" w:rsidP="00D1548F">
      <w:pPr>
        <w:spacing w:line="360" w:lineRule="auto"/>
        <w:ind w:firstLine="567"/>
        <w:jc w:val="both"/>
        <w:rPr>
          <w:rFonts w:ascii="Arial" w:hAnsi="Arial" w:cs="Arial"/>
          <w:iCs/>
        </w:rPr>
      </w:pPr>
      <w:r w:rsidRPr="0084553C">
        <w:rPr>
          <w:rFonts w:ascii="Arial" w:hAnsi="Arial" w:cs="Arial"/>
          <w:iCs/>
        </w:rPr>
        <w:t xml:space="preserve">V prioritní ose 3 OPZ jsou ve výzvách na podporu sociálních inovací realizovány z části projekty </w:t>
      </w:r>
      <w:r w:rsidRPr="00E9601F">
        <w:rPr>
          <w:rFonts w:ascii="Arial" w:hAnsi="Arial" w:cs="Arial"/>
          <w:iCs/>
        </w:rPr>
        <w:t xml:space="preserve">vztahující se k tématu zaměstnanosti. Příkladem je třeba projekt </w:t>
      </w:r>
      <w:r w:rsidRPr="00461B26">
        <w:rPr>
          <w:rFonts w:ascii="Arial" w:hAnsi="Arial" w:cs="Arial"/>
          <w:b/>
          <w:iCs/>
        </w:rPr>
        <w:t>BEC2</w:t>
      </w:r>
      <w:r>
        <w:rPr>
          <w:rFonts w:ascii="Arial" w:hAnsi="Arial" w:cs="Arial"/>
          <w:b/>
          <w:iCs/>
        </w:rPr>
        <w:t xml:space="preserve"> </w:t>
      </w:r>
      <w:r w:rsidRPr="005D335E">
        <w:rPr>
          <w:rFonts w:ascii="Arial" w:hAnsi="Arial" w:cs="Arial"/>
          <w:iCs/>
        </w:rPr>
        <w:t>(Business and Employment Co-operative),</w:t>
      </w:r>
      <w:r w:rsidRPr="00E9601F">
        <w:rPr>
          <w:rFonts w:ascii="Arial" w:hAnsi="Arial" w:cs="Arial"/>
          <w:iCs/>
        </w:rPr>
        <w:t xml:space="preserve"> jehož cílem je zavedení modelu podnikatelsko-zaměstnaneckého družstva pro nezaměstnané osoby (vychází ze</w:t>
      </w:r>
      <w:r>
        <w:rPr>
          <w:rFonts w:ascii="Arial" w:hAnsi="Arial" w:cs="Arial"/>
          <w:iCs/>
        </w:rPr>
        <w:t> </w:t>
      </w:r>
      <w:r w:rsidRPr="00E9601F">
        <w:rPr>
          <w:rFonts w:ascii="Arial" w:hAnsi="Arial" w:cs="Arial"/>
          <w:iCs/>
        </w:rPr>
        <w:t>zahraniční práce tzv. Business and Employment Co-operatives a předchozího pilotního projektu) jako nástroje aktivní politiky zaměstnanosti lokálního rozvoje. Projekt umožňuje začínajícím podnikatelům z</w:t>
      </w:r>
      <w:r w:rsidR="00FB132C">
        <w:rPr>
          <w:rFonts w:ascii="Arial" w:hAnsi="Arial" w:cs="Arial"/>
          <w:iCs/>
        </w:rPr>
        <w:t> </w:t>
      </w:r>
      <w:r w:rsidRPr="00E9601F">
        <w:rPr>
          <w:rFonts w:ascii="Arial" w:hAnsi="Arial" w:cs="Arial"/>
          <w:iCs/>
        </w:rPr>
        <w:t>řad nezaměstnaných a</w:t>
      </w:r>
      <w:r w:rsidR="003D0662">
        <w:rPr>
          <w:rFonts w:ascii="Arial" w:hAnsi="Arial" w:cs="Arial"/>
          <w:iCs/>
        </w:rPr>
        <w:t> </w:t>
      </w:r>
      <w:r w:rsidRPr="00E9601F">
        <w:rPr>
          <w:rFonts w:ascii="Arial" w:hAnsi="Arial" w:cs="Arial"/>
          <w:iCs/>
        </w:rPr>
        <w:t>znevýhodněných sociálních skupin (zaměstnancům družstva) experimentovat s</w:t>
      </w:r>
      <w:r w:rsidR="003D0662">
        <w:rPr>
          <w:rFonts w:ascii="Arial" w:hAnsi="Arial" w:cs="Arial"/>
          <w:iCs/>
        </w:rPr>
        <w:t> </w:t>
      </w:r>
      <w:r w:rsidRPr="00E9601F">
        <w:rPr>
          <w:rFonts w:ascii="Arial" w:hAnsi="Arial" w:cs="Arial"/>
          <w:iCs/>
        </w:rPr>
        <w:t>jejich podnikatelským nápadem a využívat při tom sdíleného zázemí a odborné podpory. Vede skupinu osob k získání podnikatelských kompetencí a</w:t>
      </w:r>
      <w:r>
        <w:rPr>
          <w:rFonts w:ascii="Arial" w:hAnsi="Arial" w:cs="Arial"/>
          <w:iCs/>
        </w:rPr>
        <w:t> </w:t>
      </w:r>
      <w:r w:rsidRPr="00E9601F">
        <w:rPr>
          <w:rFonts w:ascii="Arial" w:hAnsi="Arial" w:cs="Arial"/>
          <w:iCs/>
        </w:rPr>
        <w:t>k</w:t>
      </w:r>
      <w:r>
        <w:rPr>
          <w:rFonts w:ascii="Arial" w:hAnsi="Arial" w:cs="Arial"/>
          <w:iCs/>
        </w:rPr>
        <w:t> </w:t>
      </w:r>
      <w:r w:rsidRPr="00E9601F">
        <w:rPr>
          <w:rFonts w:ascii="Arial" w:hAnsi="Arial" w:cs="Arial"/>
          <w:iCs/>
        </w:rPr>
        <w:t>tomu, aby nesli společnou odpovědnost za svá rozhodnutí. Motivuje je ke</w:t>
      </w:r>
      <w:r>
        <w:rPr>
          <w:rFonts w:ascii="Arial" w:hAnsi="Arial" w:cs="Arial"/>
          <w:iCs/>
        </w:rPr>
        <w:t> </w:t>
      </w:r>
      <w:r w:rsidRPr="00E9601F">
        <w:rPr>
          <w:rFonts w:ascii="Arial" w:hAnsi="Arial" w:cs="Arial"/>
          <w:iCs/>
        </w:rPr>
        <w:t>společnému participativnímu prospěchu a tím nepřímo i ke stabilizaci a</w:t>
      </w:r>
      <w:r>
        <w:rPr>
          <w:rFonts w:ascii="Arial" w:hAnsi="Arial" w:cs="Arial"/>
          <w:iCs/>
        </w:rPr>
        <w:t> </w:t>
      </w:r>
      <w:r w:rsidRPr="00E9601F">
        <w:rPr>
          <w:rFonts w:ascii="Arial" w:hAnsi="Arial" w:cs="Arial"/>
          <w:iCs/>
        </w:rPr>
        <w:t>dlouhodobému rozvoji jejich vlastních firem.</w:t>
      </w:r>
      <w:r w:rsidRPr="005871A5">
        <w:rPr>
          <w:rFonts w:ascii="Arial" w:hAnsi="Arial" w:cs="Arial"/>
          <w:iCs/>
        </w:rPr>
        <w:t xml:space="preserve"> </w:t>
      </w:r>
    </w:p>
    <w:p w:rsidR="00D1548F" w:rsidRPr="007E206A" w:rsidRDefault="00D1548F" w:rsidP="00D1548F">
      <w:pPr>
        <w:spacing w:line="360" w:lineRule="auto"/>
        <w:ind w:firstLine="567"/>
        <w:jc w:val="both"/>
        <w:rPr>
          <w:rFonts w:ascii="Arial" w:hAnsi="Arial" w:cs="Arial"/>
        </w:rPr>
      </w:pPr>
      <w:r w:rsidRPr="009C5CA7">
        <w:rPr>
          <w:rFonts w:ascii="Arial" w:hAnsi="Arial" w:cs="Arial"/>
          <w:iCs/>
        </w:rPr>
        <w:t>V prioritní ose 3 OPZ byla od 3. 8. 2015 do 30. 10. 2015 vyhlášena výzva č. 32 „</w:t>
      </w:r>
      <w:r w:rsidRPr="009C5CA7">
        <w:rPr>
          <w:rFonts w:ascii="Arial" w:hAnsi="Arial" w:cs="Arial"/>
          <w:b/>
          <w:iCs/>
        </w:rPr>
        <w:t>Mezinárodní mobilita pro znevýhodněnou mládež</w:t>
      </w:r>
      <w:r w:rsidR="00D816E0">
        <w:rPr>
          <w:rFonts w:ascii="Arial" w:hAnsi="Arial" w:cs="Arial"/>
          <w:iCs/>
        </w:rPr>
        <w:t>“ s </w:t>
      </w:r>
      <w:r w:rsidRPr="009C5CA7">
        <w:rPr>
          <w:rFonts w:ascii="Arial" w:hAnsi="Arial" w:cs="Arial"/>
          <w:iCs/>
        </w:rPr>
        <w:t xml:space="preserve">celkovou alokací 120 mil. Kč. Podporovanou aktivitou výzvy je mezinárodní mobilita pro znevýhodněnou mládež, která zahrnuje vzdělávací a motivační aktivity, zahraniční stáže pro cílovou skupinu, poradenství a intenzivní následnou podporu cílové skupiny pro vstup na trh práce nebo do dalšího vzdělávání či odborné přípravy po jejím návratu do České </w:t>
      </w:r>
      <w:r w:rsidRPr="000557AB">
        <w:rPr>
          <w:rFonts w:ascii="Arial" w:hAnsi="Arial" w:cs="Arial"/>
          <w:iCs/>
        </w:rPr>
        <w:t>republiky. V</w:t>
      </w:r>
      <w:r>
        <w:rPr>
          <w:rFonts w:ascii="Arial" w:hAnsi="Arial" w:cs="Arial"/>
          <w:iCs/>
        </w:rPr>
        <w:t> </w:t>
      </w:r>
      <w:r w:rsidRPr="000557AB">
        <w:rPr>
          <w:rFonts w:ascii="Arial" w:hAnsi="Arial" w:cs="Arial"/>
        </w:rPr>
        <w:t xml:space="preserve">1. pololetí </w:t>
      </w:r>
      <w:r w:rsidRPr="000557AB">
        <w:rPr>
          <w:rFonts w:ascii="Arial" w:hAnsi="Arial" w:cs="Arial"/>
          <w:iCs/>
        </w:rPr>
        <w:t>2016 byly uzavřeny právn</w:t>
      </w:r>
      <w:r w:rsidR="00D816E0">
        <w:rPr>
          <w:rFonts w:ascii="Arial" w:hAnsi="Arial" w:cs="Arial"/>
          <w:iCs/>
        </w:rPr>
        <w:t>í akty u 18 projektů určených k </w:t>
      </w:r>
      <w:r w:rsidRPr="000557AB">
        <w:rPr>
          <w:rFonts w:ascii="Arial" w:hAnsi="Arial" w:cs="Arial"/>
          <w:iCs/>
        </w:rPr>
        <w:t xml:space="preserve">realizaci. </w:t>
      </w:r>
      <w:r w:rsidR="00D816E0">
        <w:rPr>
          <w:rFonts w:ascii="Arial" w:hAnsi="Arial" w:cs="Arial"/>
        </w:rPr>
        <w:t>Realizaci zahájilo 17 z nich, 1 </w:t>
      </w:r>
      <w:r w:rsidRPr="000557AB">
        <w:rPr>
          <w:rFonts w:ascii="Arial" w:hAnsi="Arial" w:cs="Arial"/>
        </w:rPr>
        <w:t>z</w:t>
      </w:r>
      <w:r w:rsidR="00D816E0">
        <w:rPr>
          <w:rFonts w:ascii="Arial" w:hAnsi="Arial" w:cs="Arial"/>
        </w:rPr>
        <w:t> </w:t>
      </w:r>
      <w:r w:rsidRPr="000557AB">
        <w:rPr>
          <w:rFonts w:ascii="Arial" w:hAnsi="Arial" w:cs="Arial"/>
        </w:rPr>
        <w:t xml:space="preserve">podpořených projektů od realizace </w:t>
      </w:r>
      <w:r w:rsidRPr="006B6220">
        <w:rPr>
          <w:rFonts w:ascii="Arial" w:hAnsi="Arial" w:cs="Arial"/>
        </w:rPr>
        <w:t>odstoup</w:t>
      </w:r>
      <w:r w:rsidR="00D816E0">
        <w:rPr>
          <w:rFonts w:ascii="Arial" w:hAnsi="Arial" w:cs="Arial"/>
        </w:rPr>
        <w:t>il. Ke konci roku </w:t>
      </w:r>
      <w:r w:rsidRPr="006B6220">
        <w:rPr>
          <w:rFonts w:ascii="Arial" w:hAnsi="Arial" w:cs="Arial"/>
        </w:rPr>
        <w:t>2017 předčasně ukončil realizaci 1</w:t>
      </w:r>
      <w:r w:rsidR="0070252F">
        <w:rPr>
          <w:rFonts w:ascii="Arial" w:hAnsi="Arial" w:cs="Arial"/>
        </w:rPr>
        <w:t> </w:t>
      </w:r>
      <w:r w:rsidR="00D816E0">
        <w:rPr>
          <w:rFonts w:ascii="Arial" w:hAnsi="Arial" w:cs="Arial"/>
        </w:rPr>
        <w:t>projekt. Ve 2. polovině roku </w:t>
      </w:r>
      <w:r w:rsidRPr="00D84A17">
        <w:rPr>
          <w:rFonts w:ascii="Arial" w:hAnsi="Arial" w:cs="Arial"/>
        </w:rPr>
        <w:t>2016 probíhal v</w:t>
      </w:r>
      <w:r>
        <w:rPr>
          <w:rFonts w:ascii="Arial" w:hAnsi="Arial" w:cs="Arial"/>
        </w:rPr>
        <w:t> </w:t>
      </w:r>
      <w:r w:rsidRPr="00D84A17">
        <w:rPr>
          <w:rFonts w:ascii="Arial" w:hAnsi="Arial" w:cs="Arial"/>
        </w:rPr>
        <w:t>projektech nábor cílové skupiny a</w:t>
      </w:r>
      <w:r w:rsidR="0070252F">
        <w:rPr>
          <w:rFonts w:ascii="Arial" w:hAnsi="Arial" w:cs="Arial"/>
        </w:rPr>
        <w:t> </w:t>
      </w:r>
      <w:r w:rsidRPr="00D84A17">
        <w:rPr>
          <w:rFonts w:ascii="Arial" w:hAnsi="Arial" w:cs="Arial"/>
        </w:rPr>
        <w:t>realizovaly se převážně aktivity směřující k</w:t>
      </w:r>
      <w:r>
        <w:rPr>
          <w:rFonts w:ascii="Arial" w:hAnsi="Arial" w:cs="Arial"/>
        </w:rPr>
        <w:t> </w:t>
      </w:r>
      <w:r w:rsidRPr="00D84A17">
        <w:rPr>
          <w:rFonts w:ascii="Arial" w:hAnsi="Arial" w:cs="Arial"/>
        </w:rPr>
        <w:t xml:space="preserve">přípravě cílové skupiny na zahraniční </w:t>
      </w:r>
      <w:r w:rsidRPr="00D84A17">
        <w:rPr>
          <w:rFonts w:ascii="Arial" w:hAnsi="Arial" w:cs="Arial"/>
        </w:rPr>
        <w:lastRenderedPageBreak/>
        <w:t>stáž</w:t>
      </w:r>
      <w:r>
        <w:rPr>
          <w:rFonts w:ascii="Arial" w:hAnsi="Arial" w:cs="Arial"/>
        </w:rPr>
        <w:t>e a aktivity spojené s věcným i </w:t>
      </w:r>
      <w:r w:rsidRPr="00D84A17">
        <w:rPr>
          <w:rFonts w:ascii="Arial" w:hAnsi="Arial" w:cs="Arial"/>
        </w:rPr>
        <w:t>organizačním z</w:t>
      </w:r>
      <w:r w:rsidR="00D816E0">
        <w:rPr>
          <w:rFonts w:ascii="Arial" w:hAnsi="Arial" w:cs="Arial"/>
        </w:rPr>
        <w:t>ajištěním stáží. Od 1. pololetí </w:t>
      </w:r>
      <w:r w:rsidRPr="00D84A17">
        <w:rPr>
          <w:rFonts w:ascii="Arial" w:hAnsi="Arial" w:cs="Arial"/>
        </w:rPr>
        <w:t>2017 už probíhaly samotné zahraniční stáže a tři podpořené projekty úspěšně ukončily realizaci dle naplánovaného harmonogramu. Byla zahájena evaluace výzvy, proběhla první kola dotazníkových šetření a první kolo fokusních skupin s účastníky a</w:t>
      </w:r>
      <w:r w:rsidR="003D0662">
        <w:rPr>
          <w:rFonts w:ascii="Arial" w:hAnsi="Arial" w:cs="Arial"/>
        </w:rPr>
        <w:t> </w:t>
      </w:r>
      <w:r w:rsidRPr="00D84A17">
        <w:rPr>
          <w:rFonts w:ascii="Arial" w:hAnsi="Arial" w:cs="Arial"/>
        </w:rPr>
        <w:t>příjemci. Dle dosavadních ověřených výsledků lze očekávat, že budou překročeny hodnoty nastavených indikátorů (429 podpořených osob, 308 úspěšných absolventů zahraniční stáže). Ukončené projekty vykazují v závěrečných zprávách o</w:t>
      </w:r>
      <w:r w:rsidR="00D816E0">
        <w:rPr>
          <w:rFonts w:ascii="Arial" w:hAnsi="Arial" w:cs="Arial"/>
        </w:rPr>
        <w:t> </w:t>
      </w:r>
      <w:r w:rsidRPr="007E206A">
        <w:rPr>
          <w:rFonts w:ascii="Arial" w:hAnsi="Arial" w:cs="Arial"/>
        </w:rPr>
        <w:t>realizaci i</w:t>
      </w:r>
      <w:r w:rsidR="0070252F">
        <w:rPr>
          <w:rFonts w:ascii="Arial" w:hAnsi="Arial" w:cs="Arial"/>
        </w:rPr>
        <w:t> </w:t>
      </w:r>
      <w:r w:rsidRPr="007E206A">
        <w:rPr>
          <w:rFonts w:ascii="Arial" w:hAnsi="Arial" w:cs="Arial"/>
        </w:rPr>
        <w:t>nadprůměrnou úspěšnost při zaměstnávání účastníků po jejich účasti v projektových aktivitách, která není sledována v rámci povinných indikátorů. Ze tří již ukončených projektů jsou k dispozici následující data:</w:t>
      </w:r>
      <w:r w:rsidR="003F5464">
        <w:rPr>
          <w:rFonts w:ascii="Arial" w:hAnsi="Arial" w:cs="Arial"/>
        </w:rPr>
        <w:t xml:space="preserve"> 73 </w:t>
      </w:r>
      <w:r w:rsidR="00D816E0">
        <w:rPr>
          <w:rFonts w:ascii="Arial" w:hAnsi="Arial" w:cs="Arial"/>
        </w:rPr>
        <w:t>podpořených osob (plánováno </w:t>
      </w:r>
      <w:r w:rsidRPr="007E206A">
        <w:rPr>
          <w:rFonts w:ascii="Arial" w:hAnsi="Arial" w:cs="Arial"/>
        </w:rPr>
        <w:t>70), 45</w:t>
      </w:r>
      <w:r w:rsidR="00FB132C">
        <w:rPr>
          <w:rFonts w:ascii="Arial" w:hAnsi="Arial" w:cs="Arial"/>
        </w:rPr>
        <w:t> </w:t>
      </w:r>
      <w:r w:rsidRPr="007E206A">
        <w:rPr>
          <w:rFonts w:ascii="Arial" w:hAnsi="Arial" w:cs="Arial"/>
        </w:rPr>
        <w:t>účastníků, kteří získali kvalifikaci a ú</w:t>
      </w:r>
      <w:r w:rsidR="00D816E0">
        <w:rPr>
          <w:rFonts w:ascii="Arial" w:hAnsi="Arial" w:cs="Arial"/>
        </w:rPr>
        <w:t>spěšně ukončili stáž (plánováno </w:t>
      </w:r>
      <w:r w:rsidRPr="007E206A">
        <w:rPr>
          <w:rFonts w:ascii="Arial" w:hAnsi="Arial" w:cs="Arial"/>
        </w:rPr>
        <w:t>39), 34</w:t>
      </w:r>
      <w:r w:rsidR="00FB132C">
        <w:rPr>
          <w:rFonts w:ascii="Arial" w:hAnsi="Arial" w:cs="Arial"/>
        </w:rPr>
        <w:t> </w:t>
      </w:r>
      <w:r w:rsidRPr="007E206A">
        <w:rPr>
          <w:rFonts w:ascii="Arial" w:hAnsi="Arial" w:cs="Arial"/>
        </w:rPr>
        <w:t>účastníků našlo zaměstnání v ČR, 3 znovu nastoupili do škol</w:t>
      </w:r>
      <w:r w:rsidR="003F5464">
        <w:rPr>
          <w:rFonts w:ascii="Arial" w:hAnsi="Arial" w:cs="Arial"/>
        </w:rPr>
        <w:t>y, aby si dokončili vzdělání, 2 </w:t>
      </w:r>
      <w:r w:rsidRPr="007E206A">
        <w:rPr>
          <w:rFonts w:ascii="Arial" w:hAnsi="Arial" w:cs="Arial"/>
        </w:rPr>
        <w:t>účastníci našli zaměstnaní v zahraničí.</w:t>
      </w:r>
    </w:p>
    <w:p w:rsidR="00440AD8" w:rsidRPr="006108B9" w:rsidRDefault="00BC71FC" w:rsidP="00BF03B8">
      <w:pPr>
        <w:pStyle w:val="Nadpis1"/>
      </w:pPr>
      <w:r>
        <w:br w:type="column"/>
      </w:r>
      <w:bookmarkStart w:id="164" w:name="_Toc513198688"/>
      <w:r w:rsidR="00440AD8" w:rsidRPr="006108B9">
        <w:lastRenderedPageBreak/>
        <w:t>Mezinárodní srovnání zaměstnanosti a nezaměstnanosti</w:t>
      </w:r>
      <w:bookmarkEnd w:id="127"/>
      <w:bookmarkEnd w:id="164"/>
    </w:p>
    <w:p w:rsidR="00440AD8" w:rsidRPr="00B7677F" w:rsidRDefault="00440AD8" w:rsidP="00440AD8"/>
    <w:p w:rsidR="00EE15EF" w:rsidRPr="00F36F55" w:rsidRDefault="00EE15EF" w:rsidP="00EE15EF">
      <w:pPr>
        <w:widowControl w:val="0"/>
        <w:autoSpaceDE w:val="0"/>
        <w:autoSpaceDN w:val="0"/>
        <w:adjustRightInd w:val="0"/>
        <w:spacing w:line="360" w:lineRule="auto"/>
        <w:ind w:firstLine="567"/>
        <w:jc w:val="both"/>
        <w:rPr>
          <w:rFonts w:ascii="Arial" w:hAnsi="Arial" w:cs="Arial"/>
        </w:rPr>
      </w:pPr>
      <w:r w:rsidRPr="00F36F55">
        <w:rPr>
          <w:rFonts w:ascii="Arial" w:hAnsi="Arial" w:cs="Arial"/>
        </w:rPr>
        <w:t xml:space="preserve">V této části jsou shrnuty poslední dostupné </w:t>
      </w:r>
      <w:r w:rsidRPr="00F36F55">
        <w:rPr>
          <w:rFonts w:ascii="Arial" w:hAnsi="Arial" w:cs="Arial"/>
          <w:b/>
        </w:rPr>
        <w:t>vybrané ukazatele trhu práce</w:t>
      </w:r>
      <w:r w:rsidRPr="00F36F55">
        <w:rPr>
          <w:rFonts w:ascii="Arial" w:hAnsi="Arial" w:cs="Arial"/>
        </w:rPr>
        <w:t xml:space="preserve"> podle EUROSTATu (Statistický úřad Evropské unie)</w:t>
      </w:r>
      <w:r w:rsidRPr="00F36F55">
        <w:rPr>
          <w:rFonts w:ascii="Arial" w:hAnsi="Arial" w:cs="Arial"/>
          <w:vertAlign w:val="superscript"/>
        </w:rPr>
        <w:footnoteReference w:id="13"/>
      </w:r>
      <w:r w:rsidRPr="00F36F55">
        <w:rPr>
          <w:rFonts w:ascii="Arial" w:hAnsi="Arial" w:cs="Arial"/>
        </w:rPr>
        <w:t xml:space="preserve">, viz přílohy č. 21, 22 a 23. V materiálu jsou použita data aktuální k termínu jeho </w:t>
      </w:r>
      <w:r w:rsidRPr="00E04C25">
        <w:rPr>
          <w:rFonts w:ascii="Arial" w:hAnsi="Arial" w:cs="Arial"/>
        </w:rPr>
        <w:t>zpracování.</w:t>
      </w:r>
      <w:r w:rsidRPr="00F36F55">
        <w:rPr>
          <w:rFonts w:ascii="Arial" w:hAnsi="Arial" w:cs="Arial"/>
        </w:rPr>
        <w:t xml:space="preserve"> </w:t>
      </w:r>
    </w:p>
    <w:p w:rsidR="00EE15EF" w:rsidRPr="006B76EF" w:rsidRDefault="00EE15EF" w:rsidP="00EE15EF">
      <w:pPr>
        <w:spacing w:line="360" w:lineRule="auto"/>
        <w:ind w:firstLine="567"/>
        <w:jc w:val="both"/>
        <w:rPr>
          <w:rFonts w:ascii="Arial" w:hAnsi="Arial" w:cs="Arial"/>
        </w:rPr>
      </w:pPr>
      <w:r w:rsidRPr="002D7CC5">
        <w:rPr>
          <w:rFonts w:ascii="Arial" w:hAnsi="Arial" w:cs="Arial"/>
        </w:rPr>
        <w:t>Celková</w:t>
      </w:r>
      <w:r w:rsidRPr="002D7CC5">
        <w:rPr>
          <w:rFonts w:ascii="Arial" w:hAnsi="Arial" w:cs="Arial"/>
          <w:b/>
        </w:rPr>
        <w:t xml:space="preserve"> míra zaměstnanosti</w:t>
      </w:r>
      <w:r w:rsidRPr="002D7CC5">
        <w:rPr>
          <w:rFonts w:ascii="Arial" w:hAnsi="Arial" w:cs="Arial"/>
        </w:rPr>
        <w:t xml:space="preserve"> (MZ) </w:t>
      </w:r>
      <w:r w:rsidRPr="002D7CC5">
        <w:rPr>
          <w:rFonts w:ascii="Arial" w:hAnsi="Arial" w:cs="Arial"/>
          <w:b/>
        </w:rPr>
        <w:t>osob ve věku 20–64 let</w:t>
      </w:r>
      <w:r w:rsidRPr="002D7CC5">
        <w:rPr>
          <w:rFonts w:ascii="Arial" w:hAnsi="Arial" w:cs="Arial"/>
        </w:rPr>
        <w:t xml:space="preserve"> v </w:t>
      </w:r>
      <w:r w:rsidRPr="002D7CC5">
        <w:rPr>
          <w:rFonts w:ascii="Arial" w:hAnsi="Arial" w:cs="Arial"/>
          <w:b/>
        </w:rPr>
        <w:t>EU 28</w:t>
      </w:r>
      <w:r w:rsidRPr="002D7CC5">
        <w:rPr>
          <w:rFonts w:ascii="Arial" w:hAnsi="Arial" w:cs="Arial"/>
        </w:rPr>
        <w:t xml:space="preserve"> </w:t>
      </w:r>
      <w:r w:rsidRPr="003A617A">
        <w:rPr>
          <w:rFonts w:ascii="Arial" w:hAnsi="Arial" w:cs="Arial"/>
        </w:rPr>
        <w:t>v předešlých třech letech začala opět meziročně růst, v </w:t>
      </w:r>
      <w:r w:rsidRPr="002D7CC5">
        <w:rPr>
          <w:rFonts w:ascii="Arial" w:hAnsi="Arial" w:cs="Arial"/>
        </w:rPr>
        <w:t xml:space="preserve">roce 2016 dosáhla hodnoty </w:t>
      </w:r>
      <w:r w:rsidRPr="003A617A">
        <w:rPr>
          <w:rFonts w:ascii="Arial" w:hAnsi="Arial" w:cs="Arial"/>
        </w:rPr>
        <w:t>71,0 %, v </w:t>
      </w:r>
      <w:r w:rsidRPr="002D7CC5">
        <w:rPr>
          <w:rFonts w:ascii="Arial" w:hAnsi="Arial" w:cs="Arial"/>
          <w:b/>
        </w:rPr>
        <w:t xml:space="preserve">1. - 3. čtvrtletí 2017 </w:t>
      </w:r>
      <w:r w:rsidRPr="002D7CC5">
        <w:rPr>
          <w:rFonts w:ascii="Arial" w:hAnsi="Arial" w:cs="Arial"/>
        </w:rPr>
        <w:t xml:space="preserve">hodnota </w:t>
      </w:r>
      <w:r w:rsidRPr="003A617A">
        <w:rPr>
          <w:rFonts w:ascii="Arial" w:hAnsi="Arial" w:cs="Arial"/>
        </w:rPr>
        <w:t>MZ vzrostla na</w:t>
      </w:r>
      <w:r w:rsidRPr="003A617A">
        <w:rPr>
          <w:rFonts w:ascii="Arial" w:hAnsi="Arial" w:cs="Arial"/>
          <w:b/>
        </w:rPr>
        <w:t xml:space="preserve"> 72</w:t>
      </w:r>
      <w:r w:rsidRPr="00967EA1">
        <w:rPr>
          <w:rFonts w:ascii="Arial" w:hAnsi="Arial" w:cs="Arial"/>
          <w:b/>
        </w:rPr>
        <w:t>,1 %</w:t>
      </w:r>
      <w:r w:rsidRPr="00967EA1">
        <w:rPr>
          <w:rFonts w:ascii="Arial" w:hAnsi="Arial" w:cs="Arial"/>
        </w:rPr>
        <w:t>. V </w:t>
      </w:r>
      <w:r w:rsidRPr="00967EA1">
        <w:rPr>
          <w:rFonts w:ascii="Arial" w:hAnsi="Arial" w:cs="Arial"/>
          <w:b/>
        </w:rPr>
        <w:t>ČR</w:t>
      </w:r>
      <w:r w:rsidRPr="00967EA1">
        <w:rPr>
          <w:rFonts w:ascii="Arial" w:hAnsi="Arial" w:cs="Arial"/>
        </w:rPr>
        <w:t xml:space="preserve"> míra zaměstnanosti nepřetržitě roste již od roku 2011, v roce 2016 hodnota tohoto ukazatele meziročně vzrostla o 1,9 p. b. na 76,7 %, </w:t>
      </w:r>
      <w:r w:rsidRPr="003A617A">
        <w:rPr>
          <w:rFonts w:ascii="Arial" w:hAnsi="Arial" w:cs="Arial"/>
        </w:rPr>
        <w:t>v </w:t>
      </w:r>
      <w:r w:rsidRPr="002D7CC5">
        <w:rPr>
          <w:rFonts w:ascii="Arial" w:hAnsi="Arial" w:cs="Arial"/>
          <w:b/>
        </w:rPr>
        <w:t>1. - 3. čtvrtletí </w:t>
      </w:r>
      <w:r w:rsidRPr="00D82805">
        <w:rPr>
          <w:rFonts w:ascii="Arial" w:hAnsi="Arial" w:cs="Arial"/>
          <w:b/>
        </w:rPr>
        <w:t>2017</w:t>
      </w:r>
      <w:r w:rsidRPr="003F5464">
        <w:rPr>
          <w:rFonts w:ascii="Arial" w:hAnsi="Arial" w:cs="Arial"/>
        </w:rPr>
        <w:t xml:space="preserve"> </w:t>
      </w:r>
      <w:r w:rsidRPr="00D82805">
        <w:rPr>
          <w:rFonts w:ascii="Arial" w:hAnsi="Arial" w:cs="Arial"/>
        </w:rPr>
        <w:t xml:space="preserve">byla naměřena hodnota </w:t>
      </w:r>
      <w:r w:rsidRPr="00D82805">
        <w:rPr>
          <w:rFonts w:ascii="Arial" w:hAnsi="Arial" w:cs="Arial"/>
          <w:b/>
        </w:rPr>
        <w:t>78,3 %</w:t>
      </w:r>
      <w:r w:rsidRPr="00D82805">
        <w:rPr>
          <w:rFonts w:ascii="Arial" w:hAnsi="Arial" w:cs="Arial"/>
        </w:rPr>
        <w:t xml:space="preserve">. Míra </w:t>
      </w:r>
      <w:r w:rsidRPr="00967EA1">
        <w:rPr>
          <w:rFonts w:ascii="Arial" w:hAnsi="Arial" w:cs="Arial"/>
        </w:rPr>
        <w:t xml:space="preserve">zaměstnanosti v ČR roste rychlejším tempem než míra zaměstnanosti v EU 28 a tempo růstu se postupně navyšuje. </w:t>
      </w:r>
      <w:r w:rsidRPr="00687EC0">
        <w:rPr>
          <w:rFonts w:ascii="Arial" w:hAnsi="Arial" w:cs="Arial"/>
        </w:rPr>
        <w:t xml:space="preserve">V rámci </w:t>
      </w:r>
      <w:r w:rsidRPr="00687EC0">
        <w:rPr>
          <w:rFonts w:ascii="Arial" w:hAnsi="Arial" w:cs="Arial"/>
          <w:b/>
        </w:rPr>
        <w:t>Strategie Evropa 2020</w:t>
      </w:r>
      <w:r w:rsidRPr="00687EC0">
        <w:rPr>
          <w:rFonts w:ascii="Arial" w:hAnsi="Arial" w:cs="Arial"/>
        </w:rPr>
        <w:t xml:space="preserve"> je stanoven národní cíl ČR dosáhnout do roku 2020 zvýšení celkové míry zaměstnanosti ve věkové skupině 20–64 let na </w:t>
      </w:r>
      <w:r w:rsidRPr="00687EC0">
        <w:rPr>
          <w:rFonts w:ascii="Arial" w:hAnsi="Arial" w:cs="Arial"/>
          <w:b/>
        </w:rPr>
        <w:t>75 %</w:t>
      </w:r>
      <w:r w:rsidRPr="00687EC0">
        <w:rPr>
          <w:rFonts w:ascii="Arial" w:hAnsi="Arial" w:cs="Arial"/>
        </w:rPr>
        <w:t>. Lze předpokládat, že tento cíl bude splněn. Česká republika zaujímá 4. nejvyšší míru zaměstnanosti v</w:t>
      </w:r>
      <w:r w:rsidR="0070252F">
        <w:rPr>
          <w:rFonts w:ascii="Arial" w:hAnsi="Arial" w:cs="Arial"/>
        </w:rPr>
        <w:t> </w:t>
      </w:r>
      <w:r w:rsidRPr="00687EC0">
        <w:rPr>
          <w:rFonts w:ascii="Arial" w:hAnsi="Arial" w:cs="Arial"/>
        </w:rPr>
        <w:t xml:space="preserve">rámci EU 28. Nejvyšší míru zaměstnanosti </w:t>
      </w:r>
      <w:r w:rsidR="003F5464">
        <w:rPr>
          <w:rFonts w:ascii="Arial" w:hAnsi="Arial" w:cs="Arial"/>
        </w:rPr>
        <w:t>v </w:t>
      </w:r>
      <w:r>
        <w:rPr>
          <w:rFonts w:ascii="Arial" w:hAnsi="Arial" w:cs="Arial"/>
        </w:rPr>
        <w:t>1. </w:t>
      </w:r>
      <w:r w:rsidRPr="00687EC0">
        <w:rPr>
          <w:rFonts w:ascii="Arial" w:hAnsi="Arial" w:cs="Arial"/>
        </w:rPr>
        <w:t>-</w:t>
      </w:r>
      <w:r>
        <w:rPr>
          <w:rFonts w:ascii="Arial" w:hAnsi="Arial" w:cs="Arial"/>
        </w:rPr>
        <w:t> </w:t>
      </w:r>
      <w:r w:rsidRPr="00687EC0">
        <w:rPr>
          <w:rFonts w:ascii="Arial" w:hAnsi="Arial" w:cs="Arial"/>
        </w:rPr>
        <w:t>3.</w:t>
      </w:r>
      <w:r>
        <w:rPr>
          <w:rFonts w:ascii="Arial" w:hAnsi="Arial" w:cs="Arial"/>
        </w:rPr>
        <w:t> </w:t>
      </w:r>
      <w:r w:rsidR="003F5464">
        <w:rPr>
          <w:rFonts w:ascii="Arial" w:hAnsi="Arial" w:cs="Arial"/>
        </w:rPr>
        <w:t>čtvrtletí </w:t>
      </w:r>
      <w:r w:rsidRPr="00687EC0">
        <w:rPr>
          <w:rFonts w:ascii="Arial" w:hAnsi="Arial" w:cs="Arial"/>
        </w:rPr>
        <w:t xml:space="preserve">2017 </w:t>
      </w:r>
      <w:r w:rsidRPr="003D79C2">
        <w:rPr>
          <w:rFonts w:ascii="Arial" w:hAnsi="Arial" w:cs="Arial"/>
        </w:rPr>
        <w:t>naměřili ve Švédsku (81,9 %) a</w:t>
      </w:r>
      <w:r>
        <w:rPr>
          <w:rFonts w:ascii="Arial" w:hAnsi="Arial" w:cs="Arial"/>
        </w:rPr>
        <w:t> </w:t>
      </w:r>
      <w:r w:rsidRPr="003D79C2">
        <w:rPr>
          <w:rFonts w:ascii="Arial" w:hAnsi="Arial" w:cs="Arial"/>
        </w:rPr>
        <w:t>Německu (79,0 %), nejnižší v </w:t>
      </w:r>
      <w:r w:rsidRPr="00B142D8">
        <w:rPr>
          <w:rFonts w:ascii="Arial" w:hAnsi="Arial" w:cs="Arial"/>
        </w:rPr>
        <w:t xml:space="preserve">Řecku (57,8 %), </w:t>
      </w:r>
      <w:r w:rsidR="003F5464">
        <w:rPr>
          <w:rFonts w:ascii="Arial" w:hAnsi="Arial" w:cs="Arial"/>
        </w:rPr>
        <w:t>viz graf č. </w:t>
      </w:r>
      <w:r w:rsidRPr="006B76EF">
        <w:rPr>
          <w:rFonts w:ascii="Arial" w:hAnsi="Arial" w:cs="Arial"/>
        </w:rPr>
        <w:t>2</w:t>
      </w:r>
      <w:r w:rsidR="006B76EF">
        <w:rPr>
          <w:rFonts w:ascii="Arial" w:hAnsi="Arial" w:cs="Arial"/>
        </w:rPr>
        <w:t>2</w:t>
      </w:r>
      <w:r w:rsidRPr="006B76EF">
        <w:rPr>
          <w:rFonts w:ascii="Arial" w:hAnsi="Arial" w:cs="Arial"/>
        </w:rPr>
        <w:t xml:space="preserve">. </w:t>
      </w:r>
    </w:p>
    <w:p w:rsidR="00EE15EF" w:rsidRPr="006B76EF" w:rsidRDefault="00EE15EF" w:rsidP="00EE15EF">
      <w:pPr>
        <w:spacing w:line="360" w:lineRule="auto"/>
        <w:ind w:left="5440" w:firstLine="680"/>
        <w:jc w:val="center"/>
        <w:rPr>
          <w:rFonts w:ascii="Arial" w:hAnsi="Arial" w:cs="Arial"/>
          <w:sz w:val="20"/>
          <w:szCs w:val="20"/>
        </w:rPr>
      </w:pPr>
      <w:r w:rsidRPr="006B76EF">
        <w:rPr>
          <w:rFonts w:ascii="Arial" w:hAnsi="Arial" w:cs="Arial"/>
          <w:sz w:val="20"/>
          <w:szCs w:val="20"/>
        </w:rPr>
        <w:t>graf č. 2</w:t>
      </w:r>
      <w:r w:rsidR="006B76EF" w:rsidRPr="006B76EF">
        <w:rPr>
          <w:rFonts w:ascii="Arial" w:hAnsi="Arial" w:cs="Arial"/>
          <w:sz w:val="20"/>
          <w:szCs w:val="20"/>
        </w:rPr>
        <w:t>2</w:t>
      </w:r>
      <w:r w:rsidRPr="006B76EF">
        <w:rPr>
          <w:rFonts w:ascii="Arial" w:hAnsi="Arial" w:cs="Arial"/>
          <w:sz w:val="20"/>
          <w:szCs w:val="20"/>
        </w:rPr>
        <w:t xml:space="preserve"> </w:t>
      </w:r>
    </w:p>
    <w:p w:rsidR="00EE15EF" w:rsidRPr="00F010F9" w:rsidRDefault="00EE15EF" w:rsidP="00EE15EF">
      <w:pPr>
        <w:spacing w:line="360" w:lineRule="auto"/>
        <w:jc w:val="center"/>
        <w:rPr>
          <w:rFonts w:ascii="Arial" w:hAnsi="Arial" w:cs="Arial"/>
        </w:rPr>
      </w:pPr>
      <w:r>
        <w:rPr>
          <w:noProof/>
        </w:rPr>
        <w:drawing>
          <wp:inline distT="0" distB="0" distL="0" distR="0">
            <wp:extent cx="4810125" cy="2743200"/>
            <wp:effectExtent l="0" t="0" r="9525"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E15EF" w:rsidRPr="003C2578" w:rsidRDefault="00EE15EF" w:rsidP="003F5464">
      <w:pPr>
        <w:spacing w:line="360" w:lineRule="auto"/>
        <w:ind w:firstLine="567"/>
        <w:jc w:val="both"/>
        <w:rPr>
          <w:rFonts w:ascii="Arial" w:hAnsi="Arial" w:cs="Arial"/>
        </w:rPr>
      </w:pPr>
      <w:r w:rsidRPr="00615CCA">
        <w:rPr>
          <w:rFonts w:ascii="Arial" w:hAnsi="Arial" w:cs="Arial"/>
        </w:rPr>
        <w:t>Trendy ve vývoji</w:t>
      </w:r>
      <w:r w:rsidRPr="00615CCA">
        <w:rPr>
          <w:rFonts w:ascii="Arial" w:hAnsi="Arial" w:cs="Arial"/>
          <w:b/>
        </w:rPr>
        <w:t xml:space="preserve"> míry zaměstnanosti žen</w:t>
      </w:r>
      <w:r w:rsidRPr="00615CCA">
        <w:rPr>
          <w:rFonts w:ascii="Arial" w:hAnsi="Arial" w:cs="Arial"/>
        </w:rPr>
        <w:t xml:space="preserve"> </w:t>
      </w:r>
      <w:r w:rsidRPr="00615CCA">
        <w:rPr>
          <w:rFonts w:ascii="Arial" w:hAnsi="Arial" w:cs="Arial"/>
          <w:b/>
        </w:rPr>
        <w:t xml:space="preserve">ve věku 20–64 let </w:t>
      </w:r>
      <w:r w:rsidRPr="00615CCA">
        <w:rPr>
          <w:rFonts w:ascii="Arial" w:hAnsi="Arial" w:cs="Arial"/>
        </w:rPr>
        <w:t>v </w:t>
      </w:r>
      <w:r w:rsidRPr="00615CCA">
        <w:rPr>
          <w:rFonts w:ascii="Arial" w:hAnsi="Arial" w:cs="Arial"/>
          <w:b/>
        </w:rPr>
        <w:t>EU 28</w:t>
      </w:r>
      <w:r w:rsidR="003F5464">
        <w:rPr>
          <w:rFonts w:ascii="Arial" w:hAnsi="Arial" w:cs="Arial"/>
        </w:rPr>
        <w:t xml:space="preserve"> i </w:t>
      </w:r>
      <w:r w:rsidRPr="00615CCA">
        <w:rPr>
          <w:rFonts w:ascii="Arial" w:hAnsi="Arial" w:cs="Arial"/>
        </w:rPr>
        <w:t>v </w:t>
      </w:r>
      <w:r w:rsidRPr="00615CCA">
        <w:rPr>
          <w:rFonts w:ascii="Arial" w:hAnsi="Arial" w:cs="Arial"/>
          <w:b/>
        </w:rPr>
        <w:t>ČR</w:t>
      </w:r>
      <w:r w:rsidRPr="00615CCA">
        <w:rPr>
          <w:rFonts w:ascii="Arial" w:hAnsi="Arial" w:cs="Arial"/>
        </w:rPr>
        <w:t xml:space="preserve"> v posledních letech odpovídají trendům ve vývoji celkové míry zaměstnanosti. Míra </w:t>
      </w:r>
      <w:r w:rsidRPr="00615CCA">
        <w:rPr>
          <w:rFonts w:ascii="Arial" w:hAnsi="Arial" w:cs="Arial"/>
        </w:rPr>
        <w:lastRenderedPageBreak/>
        <w:t>zaměstnanosti žen ve věku 20</w:t>
      </w:r>
      <w:r w:rsidRPr="00687EC0">
        <w:rPr>
          <w:rFonts w:ascii="Arial" w:hAnsi="Arial" w:cs="Arial"/>
        </w:rPr>
        <w:t>–</w:t>
      </w:r>
      <w:r w:rsidRPr="00615CCA">
        <w:rPr>
          <w:rFonts w:ascii="Arial" w:hAnsi="Arial" w:cs="Arial"/>
        </w:rPr>
        <w:t>64 let v </w:t>
      </w:r>
      <w:r w:rsidRPr="00615CCA">
        <w:rPr>
          <w:rFonts w:ascii="Arial" w:hAnsi="Arial" w:cs="Arial"/>
          <w:b/>
        </w:rPr>
        <w:t>EU 28</w:t>
      </w:r>
      <w:r w:rsidRPr="00615CCA">
        <w:rPr>
          <w:rFonts w:ascii="Arial" w:hAnsi="Arial" w:cs="Arial"/>
        </w:rPr>
        <w:t xml:space="preserve"> v </w:t>
      </w:r>
      <w:r w:rsidRPr="00832942">
        <w:rPr>
          <w:rFonts w:ascii="Arial" w:hAnsi="Arial" w:cs="Arial"/>
        </w:rPr>
        <w:t xml:space="preserve">roce 2016 meziročně rostla rychlejším </w:t>
      </w:r>
      <w:r w:rsidRPr="001C3059">
        <w:rPr>
          <w:rFonts w:ascii="Arial" w:hAnsi="Arial" w:cs="Arial"/>
        </w:rPr>
        <w:t>tempem než v roce 2015, a to o 1,0 p. b. na 65,3 %, v </w:t>
      </w:r>
      <w:r w:rsidRPr="001C3059">
        <w:rPr>
          <w:rFonts w:ascii="Arial" w:hAnsi="Arial" w:cs="Arial"/>
          <w:b/>
        </w:rPr>
        <w:t xml:space="preserve">1. - 3. čtvrtletí 2017 </w:t>
      </w:r>
      <w:r w:rsidRPr="001C3059">
        <w:rPr>
          <w:rFonts w:ascii="Arial" w:hAnsi="Arial" w:cs="Arial"/>
        </w:rPr>
        <w:t xml:space="preserve">vzrostla na </w:t>
      </w:r>
      <w:r w:rsidRPr="001C3059">
        <w:rPr>
          <w:rFonts w:ascii="Arial" w:hAnsi="Arial" w:cs="Arial"/>
          <w:b/>
        </w:rPr>
        <w:t>66,3 </w:t>
      </w:r>
      <w:r w:rsidRPr="00996F4B">
        <w:rPr>
          <w:rFonts w:ascii="Arial" w:hAnsi="Arial" w:cs="Arial"/>
          <w:b/>
        </w:rPr>
        <w:t>%</w:t>
      </w:r>
      <w:r w:rsidRPr="00996F4B">
        <w:rPr>
          <w:rFonts w:ascii="Arial" w:hAnsi="Arial" w:cs="Arial"/>
        </w:rPr>
        <w:t>. V </w:t>
      </w:r>
      <w:r w:rsidRPr="00996F4B">
        <w:rPr>
          <w:rFonts w:ascii="Arial" w:hAnsi="Arial" w:cs="Arial"/>
          <w:b/>
        </w:rPr>
        <w:t>ČR</w:t>
      </w:r>
      <w:r w:rsidRPr="00996F4B">
        <w:rPr>
          <w:rFonts w:ascii="Arial" w:hAnsi="Arial" w:cs="Arial"/>
        </w:rPr>
        <w:t xml:space="preserve"> hodnota tohoto ukazatele ve sledovaném období rostla rychleji než celkový průměr v EU 28, v roce 2016 meziročně </w:t>
      </w:r>
      <w:r w:rsidRPr="00C25E28">
        <w:rPr>
          <w:rFonts w:ascii="Arial" w:hAnsi="Arial" w:cs="Arial"/>
        </w:rPr>
        <w:t>vzrostla o 2,2 p. b. na 68,6 % a v </w:t>
      </w:r>
      <w:r w:rsidRPr="00C25E28">
        <w:rPr>
          <w:rFonts w:ascii="Arial" w:hAnsi="Arial" w:cs="Arial"/>
          <w:b/>
        </w:rPr>
        <w:t xml:space="preserve">1. - 3. čtvrtletí 2017 </w:t>
      </w:r>
      <w:r w:rsidRPr="00C25E28">
        <w:rPr>
          <w:rFonts w:ascii="Arial" w:hAnsi="Arial" w:cs="Arial"/>
        </w:rPr>
        <w:t xml:space="preserve">byla naměřena míra zaměstnanosti </w:t>
      </w:r>
      <w:r w:rsidRPr="00572088">
        <w:rPr>
          <w:rFonts w:ascii="Arial" w:hAnsi="Arial" w:cs="Arial"/>
        </w:rPr>
        <w:t xml:space="preserve">žen </w:t>
      </w:r>
      <w:r w:rsidRPr="00572088">
        <w:rPr>
          <w:rFonts w:ascii="Arial" w:hAnsi="Arial" w:cs="Arial"/>
          <w:b/>
        </w:rPr>
        <w:t>70,2 %</w:t>
      </w:r>
      <w:r w:rsidRPr="00572088">
        <w:rPr>
          <w:rFonts w:ascii="Arial" w:hAnsi="Arial" w:cs="Arial"/>
        </w:rPr>
        <w:t>,</w:t>
      </w:r>
      <w:r w:rsidRPr="003F5464">
        <w:rPr>
          <w:rFonts w:ascii="Arial" w:hAnsi="Arial" w:cs="Arial"/>
        </w:rPr>
        <w:t xml:space="preserve"> </w:t>
      </w:r>
      <w:r w:rsidRPr="00572088">
        <w:rPr>
          <w:rFonts w:ascii="Arial" w:hAnsi="Arial" w:cs="Arial"/>
        </w:rPr>
        <w:t>což byla</w:t>
      </w:r>
      <w:r w:rsidRPr="003F5464">
        <w:rPr>
          <w:rFonts w:ascii="Arial" w:hAnsi="Arial" w:cs="Arial"/>
        </w:rPr>
        <w:t xml:space="preserve"> </w:t>
      </w:r>
      <w:r w:rsidRPr="00681429">
        <w:rPr>
          <w:rFonts w:ascii="Arial" w:hAnsi="Arial" w:cs="Arial"/>
        </w:rPr>
        <w:t>11. nejvyšší hodnota v porovnání s ostatními členskými státy EU 28</w:t>
      </w:r>
      <w:r w:rsidRPr="00AB5966">
        <w:rPr>
          <w:rFonts w:ascii="Arial" w:hAnsi="Arial" w:cs="Arial"/>
        </w:rPr>
        <w:t xml:space="preserve">. V rámci </w:t>
      </w:r>
      <w:r w:rsidRPr="00AB5966">
        <w:rPr>
          <w:rFonts w:ascii="Arial" w:hAnsi="Arial" w:cs="Arial"/>
          <w:b/>
        </w:rPr>
        <w:t>Strategie Evropa 2020</w:t>
      </w:r>
      <w:r w:rsidRPr="00AB5966">
        <w:rPr>
          <w:rFonts w:ascii="Arial" w:hAnsi="Arial" w:cs="Arial"/>
        </w:rPr>
        <w:t xml:space="preserve"> je stanoven národní c</w:t>
      </w:r>
      <w:r w:rsidR="003F5464">
        <w:rPr>
          <w:rFonts w:ascii="Arial" w:hAnsi="Arial" w:cs="Arial"/>
        </w:rPr>
        <w:t>íl ČR míry zaměstnanosti žen ve </w:t>
      </w:r>
      <w:r w:rsidRPr="00AB5966">
        <w:rPr>
          <w:rFonts w:ascii="Arial" w:hAnsi="Arial" w:cs="Arial"/>
        </w:rPr>
        <w:t xml:space="preserve">věku 20–64 let na </w:t>
      </w:r>
      <w:r w:rsidRPr="00AB5966">
        <w:rPr>
          <w:rFonts w:ascii="Arial" w:hAnsi="Arial" w:cs="Arial"/>
          <w:b/>
        </w:rPr>
        <w:t>65 %</w:t>
      </w:r>
      <w:r w:rsidRPr="00AB5966">
        <w:rPr>
          <w:rFonts w:ascii="Arial" w:hAnsi="Arial" w:cs="Arial"/>
        </w:rPr>
        <w:t>, který se s největší pravděpodobností podaří splnit. V EU 28 patří mezi státy s </w:t>
      </w:r>
      <w:r w:rsidRPr="00AB5966">
        <w:rPr>
          <w:rFonts w:ascii="Arial" w:hAnsi="Arial" w:cs="Arial"/>
          <w:b/>
        </w:rPr>
        <w:t>nejvyšší mírou zaměstnaností žen</w:t>
      </w:r>
      <w:r w:rsidRPr="00D66023">
        <w:rPr>
          <w:rFonts w:ascii="Arial" w:hAnsi="Arial" w:cs="Arial"/>
        </w:rPr>
        <w:t xml:space="preserve"> Švédsko (79,9 %), nejnižší míra zaměstnanosti žen byla </w:t>
      </w:r>
      <w:r w:rsidRPr="003C2578">
        <w:rPr>
          <w:rFonts w:ascii="Arial" w:hAnsi="Arial" w:cs="Arial"/>
        </w:rPr>
        <w:t xml:space="preserve">zaznamenána v Řecku (48,2 %). </w:t>
      </w:r>
    </w:p>
    <w:p w:rsidR="00EE15EF" w:rsidRPr="006B76EF" w:rsidRDefault="00EE15EF" w:rsidP="00EE15EF">
      <w:pPr>
        <w:spacing w:line="360" w:lineRule="auto"/>
        <w:ind w:left="6120" w:firstLine="680"/>
        <w:jc w:val="center"/>
        <w:rPr>
          <w:rFonts w:ascii="Arial" w:hAnsi="Arial" w:cs="Arial"/>
          <w:sz w:val="20"/>
          <w:szCs w:val="20"/>
        </w:rPr>
      </w:pPr>
      <w:r w:rsidRPr="006B76EF">
        <w:rPr>
          <w:rFonts w:ascii="Arial" w:hAnsi="Arial" w:cs="Arial"/>
          <w:sz w:val="20"/>
          <w:szCs w:val="20"/>
        </w:rPr>
        <w:t>graf č. 2</w:t>
      </w:r>
      <w:r w:rsidR="006B76EF" w:rsidRPr="006B76EF">
        <w:rPr>
          <w:rFonts w:ascii="Arial" w:hAnsi="Arial" w:cs="Arial"/>
          <w:sz w:val="20"/>
          <w:szCs w:val="20"/>
        </w:rPr>
        <w:t>3</w:t>
      </w:r>
    </w:p>
    <w:p w:rsidR="00EE15EF" w:rsidRPr="00F010F9" w:rsidRDefault="00EE15EF" w:rsidP="00EE15EF">
      <w:pPr>
        <w:spacing w:line="360" w:lineRule="auto"/>
        <w:jc w:val="center"/>
      </w:pPr>
      <w:r w:rsidRPr="004464F8">
        <w:rPr>
          <w:rFonts w:ascii="Arial" w:hAnsi="Arial" w:cs="Arial"/>
          <w:b/>
        </w:rPr>
        <w:t>Srovnání vývoje míry zaměstnanosti v EU 28 a ČR</w:t>
      </w:r>
      <w:r>
        <w:rPr>
          <w:noProof/>
        </w:rPr>
        <w:drawing>
          <wp:inline distT="0" distB="0" distL="0" distR="0">
            <wp:extent cx="2609849" cy="2024063"/>
            <wp:effectExtent l="0" t="0" r="635" b="1460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F36F55">
        <w:rPr>
          <w:noProof/>
          <w:color w:val="FF00FF"/>
        </w:rPr>
        <w:t xml:space="preserve"> </w:t>
      </w:r>
      <w:r>
        <w:rPr>
          <w:noProof/>
        </w:rPr>
        <w:drawing>
          <wp:inline distT="0" distB="0" distL="0" distR="0">
            <wp:extent cx="2609849" cy="2024063"/>
            <wp:effectExtent l="0" t="0" r="635" b="1460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E15EF" w:rsidRPr="00F010F9" w:rsidRDefault="00EE15EF" w:rsidP="00EE15EF">
      <w:pPr>
        <w:spacing w:line="360" w:lineRule="auto"/>
        <w:jc w:val="center"/>
      </w:pPr>
      <w:r w:rsidRPr="00F010F9">
        <w:rPr>
          <w:noProof/>
        </w:rPr>
        <w:drawing>
          <wp:inline distT="0" distB="0" distL="0" distR="0">
            <wp:extent cx="2609849" cy="2024063"/>
            <wp:effectExtent l="0" t="0" r="635" b="1460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F010F9">
        <w:t xml:space="preserve"> </w:t>
      </w:r>
      <w:r w:rsidRPr="00F010F9">
        <w:rPr>
          <w:noProof/>
        </w:rPr>
        <w:drawing>
          <wp:inline distT="0" distB="0" distL="0" distR="0">
            <wp:extent cx="2609849" cy="2024063"/>
            <wp:effectExtent l="0" t="0" r="635" b="1460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E15EF" w:rsidRPr="006B0C45" w:rsidRDefault="00EE15EF" w:rsidP="00EE15EF">
      <w:pPr>
        <w:spacing w:line="360" w:lineRule="auto"/>
        <w:ind w:firstLine="567"/>
        <w:jc w:val="both"/>
        <w:rPr>
          <w:rFonts w:ascii="Arial" w:hAnsi="Arial" w:cs="Arial"/>
        </w:rPr>
      </w:pPr>
    </w:p>
    <w:p w:rsidR="00EE15EF" w:rsidRPr="008D7100" w:rsidRDefault="00EE15EF" w:rsidP="00EE15EF">
      <w:pPr>
        <w:spacing w:line="360" w:lineRule="auto"/>
        <w:ind w:firstLine="567"/>
        <w:jc w:val="both"/>
        <w:rPr>
          <w:rFonts w:ascii="Arial" w:hAnsi="Arial" w:cs="Arial"/>
        </w:rPr>
      </w:pPr>
      <w:r>
        <w:rPr>
          <w:rFonts w:ascii="Arial" w:hAnsi="Arial" w:cs="Arial"/>
        </w:rPr>
        <w:t>V roce 2016 byla v</w:t>
      </w:r>
      <w:r w:rsidRPr="00491E68">
        <w:rPr>
          <w:rFonts w:ascii="Arial" w:hAnsi="Arial" w:cs="Arial"/>
          <w:b/>
        </w:rPr>
        <w:t> České republice míra zaměstnanosti</w:t>
      </w:r>
      <w:r w:rsidRPr="00491E68">
        <w:rPr>
          <w:rFonts w:ascii="Arial" w:hAnsi="Arial" w:cs="Arial"/>
        </w:rPr>
        <w:t xml:space="preserve"> </w:t>
      </w:r>
      <w:r w:rsidRPr="00491E68">
        <w:rPr>
          <w:rFonts w:ascii="Arial" w:hAnsi="Arial" w:cs="Arial"/>
          <w:b/>
        </w:rPr>
        <w:t xml:space="preserve">žen </w:t>
      </w:r>
      <w:r w:rsidR="003F5464">
        <w:rPr>
          <w:rFonts w:ascii="Arial" w:hAnsi="Arial" w:cs="Arial"/>
          <w:b/>
        </w:rPr>
        <w:t>ve </w:t>
      </w:r>
      <w:r w:rsidRPr="006B0C45">
        <w:rPr>
          <w:rFonts w:ascii="Arial" w:hAnsi="Arial" w:cs="Arial"/>
          <w:b/>
        </w:rPr>
        <w:t xml:space="preserve">věku </w:t>
      </w:r>
      <w:r w:rsidR="00FB132C">
        <w:rPr>
          <w:rFonts w:ascii="Arial" w:hAnsi="Arial" w:cs="Arial"/>
          <w:b/>
        </w:rPr>
        <w:t xml:space="preserve">       </w:t>
      </w:r>
      <w:r w:rsidRPr="006B0C45">
        <w:rPr>
          <w:rFonts w:ascii="Arial" w:hAnsi="Arial" w:cs="Arial"/>
          <w:b/>
        </w:rPr>
        <w:t>15</w:t>
      </w:r>
      <w:r w:rsidRPr="00D95BA8">
        <w:rPr>
          <w:rFonts w:ascii="Arial" w:hAnsi="Arial" w:cs="Arial"/>
          <w:b/>
        </w:rPr>
        <w:t>–</w:t>
      </w:r>
      <w:r w:rsidRPr="006B0C45">
        <w:rPr>
          <w:rFonts w:ascii="Arial" w:hAnsi="Arial" w:cs="Arial"/>
          <w:b/>
        </w:rPr>
        <w:t>64</w:t>
      </w:r>
      <w:r w:rsidR="00FB132C">
        <w:rPr>
          <w:rFonts w:ascii="Arial" w:hAnsi="Arial" w:cs="Arial"/>
          <w:b/>
        </w:rPr>
        <w:t> </w:t>
      </w:r>
      <w:r w:rsidRPr="006B0C45">
        <w:rPr>
          <w:rFonts w:ascii="Arial" w:hAnsi="Arial" w:cs="Arial"/>
          <w:b/>
        </w:rPr>
        <w:t>let</w:t>
      </w:r>
      <w:r w:rsidRPr="006B0C45">
        <w:rPr>
          <w:rFonts w:ascii="Arial" w:hAnsi="Arial" w:cs="Arial"/>
        </w:rPr>
        <w:t xml:space="preserve"> </w:t>
      </w:r>
      <w:r w:rsidRPr="00491E68">
        <w:rPr>
          <w:rFonts w:ascii="Arial" w:hAnsi="Arial" w:cs="Arial"/>
          <w:b/>
        </w:rPr>
        <w:t xml:space="preserve">s dětmi v předškolním věku, tj. do 6 </w:t>
      </w:r>
      <w:r w:rsidRPr="005C2826">
        <w:rPr>
          <w:rFonts w:ascii="Arial" w:hAnsi="Arial" w:cs="Arial"/>
          <w:b/>
        </w:rPr>
        <w:t>let (</w:t>
      </w:r>
      <w:r w:rsidRPr="00CC715C">
        <w:rPr>
          <w:rFonts w:ascii="Arial" w:hAnsi="Arial" w:cs="Arial"/>
          <w:b/>
        </w:rPr>
        <w:t>45,2 %)</w:t>
      </w:r>
      <w:r w:rsidRPr="00CC715C">
        <w:rPr>
          <w:rFonts w:ascii="Arial" w:hAnsi="Arial" w:cs="Arial"/>
        </w:rPr>
        <w:t xml:space="preserve">, značně nižší než </w:t>
      </w:r>
      <w:r w:rsidRPr="00CC715C">
        <w:rPr>
          <w:rFonts w:ascii="Arial" w:hAnsi="Arial" w:cs="Arial"/>
          <w:b/>
        </w:rPr>
        <w:t>míra zaměstnanosti žen bez dětí (70,6 %)</w:t>
      </w:r>
      <w:r w:rsidRPr="00CC715C">
        <w:rPr>
          <w:rFonts w:ascii="Arial" w:hAnsi="Arial" w:cs="Arial"/>
        </w:rPr>
        <w:t>.</w:t>
      </w:r>
      <w:r w:rsidRPr="00CC715C">
        <w:rPr>
          <w:rFonts w:ascii="Arial" w:hAnsi="Arial" w:cs="Arial"/>
          <w:b/>
        </w:rPr>
        <w:t xml:space="preserve"> </w:t>
      </w:r>
      <w:r w:rsidRPr="00CC715C">
        <w:rPr>
          <w:rFonts w:ascii="Arial" w:hAnsi="Arial" w:cs="Arial"/>
        </w:rPr>
        <w:t>V </w:t>
      </w:r>
      <w:r w:rsidRPr="00CC715C">
        <w:rPr>
          <w:rFonts w:ascii="Arial" w:hAnsi="Arial" w:cs="Arial"/>
          <w:b/>
        </w:rPr>
        <w:t>EU 28</w:t>
      </w:r>
      <w:r w:rsidRPr="00CC715C">
        <w:rPr>
          <w:rFonts w:ascii="Arial" w:hAnsi="Arial" w:cs="Arial"/>
        </w:rPr>
        <w:t xml:space="preserve"> není rozdíl tak výrazný, </w:t>
      </w:r>
      <w:r w:rsidRPr="00CC715C">
        <w:rPr>
          <w:rFonts w:ascii="Arial" w:hAnsi="Arial" w:cs="Arial"/>
          <w:b/>
        </w:rPr>
        <w:t>míra zaměstnanosti</w:t>
      </w:r>
      <w:r w:rsidRPr="00CC715C">
        <w:rPr>
          <w:rFonts w:ascii="Arial" w:hAnsi="Arial" w:cs="Arial"/>
        </w:rPr>
        <w:t xml:space="preserve"> </w:t>
      </w:r>
      <w:r w:rsidRPr="00CC715C">
        <w:rPr>
          <w:rFonts w:ascii="Arial" w:hAnsi="Arial" w:cs="Arial"/>
          <w:b/>
        </w:rPr>
        <w:t>žen s dětmi v předškolním věku</w:t>
      </w:r>
      <w:r w:rsidRPr="00CC715C">
        <w:rPr>
          <w:rFonts w:ascii="Arial" w:hAnsi="Arial" w:cs="Arial"/>
        </w:rPr>
        <w:t xml:space="preserve"> </w:t>
      </w:r>
      <w:r w:rsidRPr="00992219">
        <w:rPr>
          <w:rFonts w:ascii="Arial" w:hAnsi="Arial" w:cs="Arial"/>
        </w:rPr>
        <w:t>činila</w:t>
      </w:r>
      <w:r w:rsidRPr="00992219">
        <w:rPr>
          <w:rFonts w:ascii="Arial" w:hAnsi="Arial" w:cs="Arial"/>
          <w:b/>
        </w:rPr>
        <w:t xml:space="preserve"> 61,4 %</w:t>
      </w:r>
      <w:r w:rsidRPr="00992219">
        <w:rPr>
          <w:rFonts w:ascii="Arial" w:hAnsi="Arial" w:cs="Arial"/>
        </w:rPr>
        <w:t xml:space="preserve"> a </w:t>
      </w:r>
      <w:r w:rsidRPr="00992219">
        <w:rPr>
          <w:rFonts w:ascii="Arial" w:hAnsi="Arial" w:cs="Arial"/>
          <w:b/>
        </w:rPr>
        <w:t xml:space="preserve">žen bez </w:t>
      </w:r>
      <w:r w:rsidRPr="008D7100">
        <w:rPr>
          <w:rFonts w:ascii="Arial" w:hAnsi="Arial" w:cs="Arial"/>
          <w:b/>
        </w:rPr>
        <w:t>dětí</w:t>
      </w:r>
      <w:r w:rsidRPr="008D7100">
        <w:rPr>
          <w:rFonts w:ascii="Arial" w:hAnsi="Arial" w:cs="Arial"/>
        </w:rPr>
        <w:t xml:space="preserve"> </w:t>
      </w:r>
      <w:r w:rsidRPr="008D7100">
        <w:rPr>
          <w:rFonts w:ascii="Arial" w:hAnsi="Arial" w:cs="Arial"/>
          <w:b/>
        </w:rPr>
        <w:t>65,0 %</w:t>
      </w:r>
      <w:r w:rsidRPr="008D7100">
        <w:rPr>
          <w:rFonts w:ascii="Arial" w:hAnsi="Arial" w:cs="Arial"/>
        </w:rPr>
        <w:t>.</w:t>
      </w:r>
    </w:p>
    <w:p w:rsidR="00EE15EF" w:rsidRPr="008F1C5E" w:rsidRDefault="00EE15EF" w:rsidP="00EE15EF">
      <w:pPr>
        <w:spacing w:line="360" w:lineRule="auto"/>
        <w:ind w:firstLine="567"/>
        <w:jc w:val="both"/>
        <w:rPr>
          <w:rFonts w:ascii="Arial" w:hAnsi="Arial" w:cs="Arial"/>
        </w:rPr>
      </w:pPr>
      <w:r w:rsidRPr="00D95BA8">
        <w:rPr>
          <w:rFonts w:ascii="Arial" w:hAnsi="Arial" w:cs="Arial"/>
        </w:rPr>
        <w:lastRenderedPageBreak/>
        <w:t xml:space="preserve">Trend </w:t>
      </w:r>
      <w:r w:rsidRPr="00D95BA8">
        <w:rPr>
          <w:rFonts w:ascii="Arial" w:hAnsi="Arial" w:cs="Arial"/>
          <w:b/>
        </w:rPr>
        <w:t>míry zaměstnanosti</w:t>
      </w:r>
      <w:r w:rsidRPr="00D95BA8">
        <w:rPr>
          <w:rFonts w:ascii="Arial" w:hAnsi="Arial" w:cs="Arial"/>
        </w:rPr>
        <w:t xml:space="preserve"> </w:t>
      </w:r>
      <w:r w:rsidRPr="00D95BA8">
        <w:rPr>
          <w:rFonts w:ascii="Arial" w:hAnsi="Arial" w:cs="Arial"/>
          <w:b/>
        </w:rPr>
        <w:t>mužů</w:t>
      </w:r>
      <w:r w:rsidRPr="00D95BA8">
        <w:rPr>
          <w:rFonts w:ascii="Arial" w:hAnsi="Arial" w:cs="Arial"/>
        </w:rPr>
        <w:t xml:space="preserve"> </w:t>
      </w:r>
      <w:r w:rsidRPr="00D95BA8">
        <w:rPr>
          <w:rFonts w:ascii="Arial" w:hAnsi="Arial" w:cs="Arial"/>
          <w:b/>
        </w:rPr>
        <w:t xml:space="preserve">ve věku 20–64 let </w:t>
      </w:r>
      <w:r w:rsidRPr="00D95BA8">
        <w:rPr>
          <w:rFonts w:ascii="Arial" w:hAnsi="Arial" w:cs="Arial"/>
        </w:rPr>
        <w:t xml:space="preserve">byl v EU 28 i ČR v období 2011 až 2013 rozdílný, zatímco v EU 28 míra zaměstnanosti mužů klesala, v ČR naopak plynule </w:t>
      </w:r>
      <w:r w:rsidRPr="00523626">
        <w:rPr>
          <w:rFonts w:ascii="Arial" w:hAnsi="Arial" w:cs="Arial"/>
        </w:rPr>
        <w:t xml:space="preserve">rostla. V následujících letech míra zaměstnanosti mužů v EU 28 pozvolna rostla, v ČR rostla podstatně </w:t>
      </w:r>
      <w:r w:rsidRPr="009C0ACC">
        <w:rPr>
          <w:rFonts w:ascii="Arial" w:hAnsi="Arial" w:cs="Arial"/>
        </w:rPr>
        <w:t xml:space="preserve">rychleji. V roce 2016 vzrostla v EU 28 na 76,8 %, v ČR </w:t>
      </w:r>
      <w:r w:rsidRPr="0018515E">
        <w:rPr>
          <w:rFonts w:ascii="Arial" w:hAnsi="Arial" w:cs="Arial"/>
        </w:rPr>
        <w:t>na 84,</w:t>
      </w:r>
      <w:r w:rsidRPr="00F068D6">
        <w:rPr>
          <w:rFonts w:ascii="Arial" w:hAnsi="Arial" w:cs="Arial"/>
        </w:rPr>
        <w:t>6 %. V </w:t>
      </w:r>
      <w:r w:rsidRPr="00F068D6">
        <w:rPr>
          <w:rFonts w:ascii="Arial" w:hAnsi="Arial" w:cs="Arial"/>
          <w:b/>
        </w:rPr>
        <w:t>1. - </w:t>
      </w:r>
      <w:r w:rsidRPr="002D7CC5">
        <w:rPr>
          <w:rFonts w:ascii="Arial" w:hAnsi="Arial" w:cs="Arial"/>
          <w:b/>
        </w:rPr>
        <w:t>3. čtvrtletí </w:t>
      </w:r>
      <w:r w:rsidRPr="00F068D6">
        <w:rPr>
          <w:rFonts w:ascii="Arial" w:hAnsi="Arial" w:cs="Arial"/>
          <w:b/>
        </w:rPr>
        <w:t xml:space="preserve">2017 </w:t>
      </w:r>
      <w:r w:rsidRPr="00F068D6">
        <w:rPr>
          <w:rFonts w:ascii="Arial" w:hAnsi="Arial" w:cs="Arial"/>
        </w:rPr>
        <w:t>v</w:t>
      </w:r>
      <w:r w:rsidRPr="00F068D6">
        <w:rPr>
          <w:rFonts w:ascii="Arial" w:hAnsi="Arial" w:cs="Arial"/>
          <w:b/>
        </w:rPr>
        <w:t> EU 28 vzrostla</w:t>
      </w:r>
      <w:r w:rsidRPr="00F068D6">
        <w:rPr>
          <w:rFonts w:ascii="Arial" w:hAnsi="Arial" w:cs="Arial"/>
        </w:rPr>
        <w:t xml:space="preserve"> míra zaměstnanosti mužů na</w:t>
      </w:r>
      <w:r w:rsidRPr="00F068D6">
        <w:rPr>
          <w:rFonts w:ascii="Arial" w:hAnsi="Arial" w:cs="Arial"/>
          <w:b/>
        </w:rPr>
        <w:t xml:space="preserve"> 77,9 </w:t>
      </w:r>
      <w:r w:rsidRPr="00635B85">
        <w:rPr>
          <w:rFonts w:ascii="Arial" w:hAnsi="Arial" w:cs="Arial"/>
          <w:b/>
        </w:rPr>
        <w:t>%</w:t>
      </w:r>
      <w:r w:rsidRPr="00635B85">
        <w:rPr>
          <w:rFonts w:ascii="Arial" w:hAnsi="Arial" w:cs="Arial"/>
        </w:rPr>
        <w:t>, v</w:t>
      </w:r>
      <w:r w:rsidRPr="00635B85">
        <w:rPr>
          <w:rFonts w:ascii="Arial" w:hAnsi="Arial" w:cs="Arial"/>
          <w:b/>
        </w:rPr>
        <w:t> ČR se</w:t>
      </w:r>
      <w:r w:rsidRPr="00635B85">
        <w:rPr>
          <w:rFonts w:ascii="Arial" w:hAnsi="Arial" w:cs="Arial"/>
        </w:rPr>
        <w:t xml:space="preserve"> </w:t>
      </w:r>
      <w:r w:rsidRPr="00635B85">
        <w:rPr>
          <w:rFonts w:ascii="Arial" w:hAnsi="Arial" w:cs="Arial"/>
          <w:b/>
        </w:rPr>
        <w:t>zvýšila</w:t>
      </w:r>
      <w:r w:rsidRPr="00635B85">
        <w:rPr>
          <w:rFonts w:ascii="Arial" w:hAnsi="Arial" w:cs="Arial"/>
        </w:rPr>
        <w:t xml:space="preserve"> </w:t>
      </w:r>
      <w:r w:rsidRPr="00635B85">
        <w:rPr>
          <w:rFonts w:ascii="Arial" w:hAnsi="Arial" w:cs="Arial"/>
          <w:b/>
        </w:rPr>
        <w:t>na 86,1 </w:t>
      </w:r>
      <w:r w:rsidRPr="00A8103E">
        <w:rPr>
          <w:rFonts w:ascii="Arial" w:hAnsi="Arial" w:cs="Arial"/>
          <w:b/>
        </w:rPr>
        <w:t xml:space="preserve">% </w:t>
      </w:r>
      <w:r w:rsidRPr="00A8103E">
        <w:rPr>
          <w:rFonts w:ascii="Arial" w:hAnsi="Arial" w:cs="Arial"/>
        </w:rPr>
        <w:t>a dosahovala</w:t>
      </w:r>
      <w:r w:rsidRPr="00A8103E">
        <w:rPr>
          <w:rFonts w:ascii="Arial" w:hAnsi="Arial" w:cs="Arial"/>
          <w:b/>
        </w:rPr>
        <w:t xml:space="preserve"> nejvyšší hodnoty v rámci EU 28</w:t>
      </w:r>
      <w:r w:rsidRPr="00A8103E">
        <w:rPr>
          <w:rFonts w:ascii="Arial" w:hAnsi="Arial" w:cs="Arial"/>
        </w:rPr>
        <w:t>.</w:t>
      </w:r>
    </w:p>
    <w:p w:rsidR="00EE15EF" w:rsidRPr="008E609B" w:rsidRDefault="00EE15EF" w:rsidP="00EE15EF">
      <w:pPr>
        <w:spacing w:line="360" w:lineRule="auto"/>
        <w:ind w:firstLine="567"/>
        <w:jc w:val="both"/>
        <w:rPr>
          <w:rFonts w:ascii="Arial" w:hAnsi="Arial" w:cs="Arial"/>
        </w:rPr>
      </w:pPr>
      <w:r w:rsidRPr="008F1C5E">
        <w:rPr>
          <w:rFonts w:ascii="Arial" w:hAnsi="Arial" w:cs="Arial"/>
          <w:b/>
        </w:rPr>
        <w:t>Míra zaměstnanosti</w:t>
      </w:r>
      <w:r w:rsidRPr="008F1C5E">
        <w:rPr>
          <w:rFonts w:ascii="Arial" w:hAnsi="Arial" w:cs="Arial"/>
        </w:rPr>
        <w:t xml:space="preserve"> </w:t>
      </w:r>
      <w:r w:rsidRPr="008F1C5E">
        <w:rPr>
          <w:rFonts w:ascii="Arial" w:hAnsi="Arial" w:cs="Arial"/>
          <w:b/>
        </w:rPr>
        <w:t>osob ve věku 55</w:t>
      </w:r>
      <w:r w:rsidRPr="00D95BA8">
        <w:rPr>
          <w:rFonts w:ascii="Arial" w:hAnsi="Arial" w:cs="Arial"/>
          <w:b/>
        </w:rPr>
        <w:t>–</w:t>
      </w:r>
      <w:r w:rsidRPr="008F1C5E">
        <w:rPr>
          <w:rFonts w:ascii="Arial" w:hAnsi="Arial" w:cs="Arial"/>
          <w:b/>
        </w:rPr>
        <w:t>64 let</w:t>
      </w:r>
      <w:r w:rsidR="003F5464">
        <w:rPr>
          <w:rFonts w:ascii="Arial" w:hAnsi="Arial" w:cs="Arial"/>
        </w:rPr>
        <w:t xml:space="preserve"> v EU 28 i v ČR od roku </w:t>
      </w:r>
      <w:r w:rsidRPr="008F1C5E">
        <w:rPr>
          <w:rFonts w:ascii="Arial" w:hAnsi="Arial" w:cs="Arial"/>
        </w:rPr>
        <w:t>2011 plynule roste, přičemž tempo růstu hodnoty tohoto ukazatele je v ČR vyšší než průměr za EU 28</w:t>
      </w:r>
      <w:r w:rsidRPr="00442A55">
        <w:rPr>
          <w:rFonts w:ascii="Arial" w:hAnsi="Arial" w:cs="Arial"/>
        </w:rPr>
        <w:t xml:space="preserve">. </w:t>
      </w:r>
      <w:r w:rsidRPr="00442A55">
        <w:rPr>
          <w:rFonts w:ascii="Arial" w:hAnsi="Arial" w:cs="Arial"/>
          <w:b/>
        </w:rPr>
        <w:t>V EU 28</w:t>
      </w:r>
      <w:r w:rsidRPr="00442A55">
        <w:rPr>
          <w:rFonts w:ascii="Arial" w:hAnsi="Arial" w:cs="Arial"/>
        </w:rPr>
        <w:t xml:space="preserve"> v </w:t>
      </w:r>
      <w:r w:rsidRPr="00442A55">
        <w:rPr>
          <w:rFonts w:ascii="Arial" w:hAnsi="Arial" w:cs="Arial"/>
          <w:b/>
        </w:rPr>
        <w:t xml:space="preserve">1. - 3. čtvrtletí 2017 </w:t>
      </w:r>
      <w:r w:rsidRPr="00442A55">
        <w:rPr>
          <w:rFonts w:ascii="Arial" w:hAnsi="Arial" w:cs="Arial"/>
        </w:rPr>
        <w:t xml:space="preserve">činila </w:t>
      </w:r>
      <w:r w:rsidRPr="00442A55">
        <w:rPr>
          <w:rFonts w:ascii="Arial" w:hAnsi="Arial" w:cs="Arial"/>
          <w:b/>
        </w:rPr>
        <w:t>56,9 %</w:t>
      </w:r>
      <w:r w:rsidRPr="00442A55">
        <w:rPr>
          <w:rFonts w:ascii="Arial" w:hAnsi="Arial" w:cs="Arial"/>
        </w:rPr>
        <w:t xml:space="preserve">. Míra zaměstnanosti starších osob </w:t>
      </w:r>
      <w:r w:rsidRPr="00442A55">
        <w:rPr>
          <w:rFonts w:ascii="Arial" w:hAnsi="Arial" w:cs="Arial"/>
          <w:b/>
        </w:rPr>
        <w:t>v ČR</w:t>
      </w:r>
      <w:r w:rsidRPr="00442A55">
        <w:rPr>
          <w:rFonts w:ascii="Arial" w:hAnsi="Arial" w:cs="Arial"/>
        </w:rPr>
        <w:t xml:space="preserve"> je dlouhodobě vyšší než průměr za EU 28, </w:t>
      </w:r>
      <w:r>
        <w:rPr>
          <w:rFonts w:ascii="Arial" w:hAnsi="Arial" w:cs="Arial"/>
        </w:rPr>
        <w:t>v 1. </w:t>
      </w:r>
      <w:r w:rsidRPr="00442A55">
        <w:rPr>
          <w:rFonts w:ascii="Arial" w:hAnsi="Arial" w:cs="Arial"/>
        </w:rPr>
        <w:t>-</w:t>
      </w:r>
      <w:r>
        <w:rPr>
          <w:rFonts w:ascii="Arial" w:hAnsi="Arial" w:cs="Arial"/>
        </w:rPr>
        <w:t> </w:t>
      </w:r>
      <w:r w:rsidRPr="00442A55">
        <w:rPr>
          <w:rFonts w:ascii="Arial" w:hAnsi="Arial" w:cs="Arial"/>
        </w:rPr>
        <w:t>3.</w:t>
      </w:r>
      <w:r>
        <w:rPr>
          <w:rFonts w:ascii="Arial" w:hAnsi="Arial" w:cs="Arial"/>
        </w:rPr>
        <w:t> </w:t>
      </w:r>
      <w:r w:rsidRPr="00442A55">
        <w:rPr>
          <w:rFonts w:ascii="Arial" w:hAnsi="Arial" w:cs="Arial"/>
        </w:rPr>
        <w:t>čtvrtletí</w:t>
      </w:r>
      <w:r>
        <w:rPr>
          <w:rFonts w:ascii="Arial" w:hAnsi="Arial" w:cs="Arial"/>
        </w:rPr>
        <w:t> </w:t>
      </w:r>
      <w:r w:rsidRPr="00442A55">
        <w:rPr>
          <w:rFonts w:ascii="Arial" w:hAnsi="Arial" w:cs="Arial"/>
        </w:rPr>
        <w:t xml:space="preserve">2017 dosáhla </w:t>
      </w:r>
      <w:r w:rsidRPr="00F975BF">
        <w:rPr>
          <w:rFonts w:ascii="Arial" w:hAnsi="Arial" w:cs="Arial"/>
        </w:rPr>
        <w:t xml:space="preserve">hodnoty </w:t>
      </w:r>
      <w:r w:rsidRPr="00F975BF">
        <w:rPr>
          <w:rFonts w:ascii="Arial" w:hAnsi="Arial" w:cs="Arial"/>
          <w:b/>
        </w:rPr>
        <w:t>61,7 %</w:t>
      </w:r>
      <w:r w:rsidRPr="00F975BF">
        <w:rPr>
          <w:rFonts w:ascii="Arial" w:hAnsi="Arial" w:cs="Arial"/>
        </w:rPr>
        <w:t xml:space="preserve">, což </w:t>
      </w:r>
      <w:r w:rsidRPr="003D11E7">
        <w:rPr>
          <w:rFonts w:ascii="Arial" w:hAnsi="Arial" w:cs="Arial"/>
        </w:rPr>
        <w:t xml:space="preserve">byla 9. nejvyšší míra zaměstnanosti starších osob v rámci EU 28. V rámci </w:t>
      </w:r>
      <w:r w:rsidRPr="003D11E7">
        <w:rPr>
          <w:rFonts w:ascii="Arial" w:hAnsi="Arial" w:cs="Arial"/>
          <w:b/>
        </w:rPr>
        <w:t>Strategie Evropa 2020</w:t>
      </w:r>
      <w:r w:rsidRPr="003D11E7">
        <w:rPr>
          <w:rFonts w:ascii="Arial" w:hAnsi="Arial" w:cs="Arial"/>
        </w:rPr>
        <w:t xml:space="preserve"> je stanoven národní cíl ČR zvýšení míry zaměstnanosti </w:t>
      </w:r>
      <w:r>
        <w:rPr>
          <w:rFonts w:ascii="Arial" w:hAnsi="Arial" w:cs="Arial"/>
        </w:rPr>
        <w:t>osob</w:t>
      </w:r>
      <w:r w:rsidRPr="003D11E7">
        <w:rPr>
          <w:rFonts w:ascii="Arial" w:hAnsi="Arial" w:cs="Arial"/>
        </w:rPr>
        <w:t xml:space="preserve"> ve věku</w:t>
      </w:r>
      <w:r>
        <w:rPr>
          <w:rFonts w:ascii="Arial" w:hAnsi="Arial" w:cs="Arial"/>
        </w:rPr>
        <w:t xml:space="preserve"> </w:t>
      </w:r>
      <w:r w:rsidRPr="003D11E7">
        <w:rPr>
          <w:rFonts w:ascii="Arial" w:hAnsi="Arial" w:cs="Arial"/>
        </w:rPr>
        <w:t xml:space="preserve">55–64 let na </w:t>
      </w:r>
      <w:r w:rsidRPr="003D11E7">
        <w:rPr>
          <w:rFonts w:ascii="Arial" w:hAnsi="Arial" w:cs="Arial"/>
          <w:b/>
        </w:rPr>
        <w:t>55 %</w:t>
      </w:r>
      <w:r w:rsidRPr="003D11E7">
        <w:rPr>
          <w:rFonts w:ascii="Arial" w:hAnsi="Arial" w:cs="Arial"/>
        </w:rPr>
        <w:t xml:space="preserve">. </w:t>
      </w:r>
      <w:r w:rsidRPr="003D11E7">
        <w:rPr>
          <w:rFonts w:ascii="Arial" w:hAnsi="Arial" w:cs="Arial"/>
          <w:b/>
        </w:rPr>
        <w:t>Nejvyšší míra zaměstnanosti starších osob</w:t>
      </w:r>
      <w:r w:rsidRPr="003D11E7">
        <w:rPr>
          <w:rFonts w:ascii="Arial" w:hAnsi="Arial" w:cs="Arial"/>
        </w:rPr>
        <w:t xml:space="preserve"> byla </w:t>
      </w:r>
      <w:r>
        <w:rPr>
          <w:rFonts w:ascii="Arial" w:hAnsi="Arial" w:cs="Arial"/>
        </w:rPr>
        <w:t>v 1. </w:t>
      </w:r>
      <w:r w:rsidRPr="00442A55">
        <w:rPr>
          <w:rFonts w:ascii="Arial" w:hAnsi="Arial" w:cs="Arial"/>
        </w:rPr>
        <w:t>-</w:t>
      </w:r>
      <w:r>
        <w:rPr>
          <w:rFonts w:ascii="Arial" w:hAnsi="Arial" w:cs="Arial"/>
        </w:rPr>
        <w:t> </w:t>
      </w:r>
      <w:r w:rsidRPr="00442A55">
        <w:rPr>
          <w:rFonts w:ascii="Arial" w:hAnsi="Arial" w:cs="Arial"/>
        </w:rPr>
        <w:t>3.</w:t>
      </w:r>
      <w:r>
        <w:rPr>
          <w:rFonts w:ascii="Arial" w:hAnsi="Arial" w:cs="Arial"/>
        </w:rPr>
        <w:t> </w:t>
      </w:r>
      <w:r w:rsidRPr="00442A55">
        <w:rPr>
          <w:rFonts w:ascii="Arial" w:hAnsi="Arial" w:cs="Arial"/>
        </w:rPr>
        <w:t>čtvrtletí</w:t>
      </w:r>
      <w:r>
        <w:rPr>
          <w:rFonts w:ascii="Arial" w:hAnsi="Arial" w:cs="Arial"/>
        </w:rPr>
        <w:t> </w:t>
      </w:r>
      <w:r w:rsidRPr="003D11E7">
        <w:rPr>
          <w:rFonts w:ascii="Arial" w:hAnsi="Arial" w:cs="Arial"/>
        </w:rPr>
        <w:t xml:space="preserve">2017 naměřena ve Švédsku (76,4 %), </w:t>
      </w:r>
      <w:r w:rsidRPr="008E609B">
        <w:rPr>
          <w:rFonts w:ascii="Arial" w:hAnsi="Arial" w:cs="Arial"/>
        </w:rPr>
        <w:t>nejnižší v Řecku (38,0 %).</w:t>
      </w:r>
    </w:p>
    <w:p w:rsidR="00EE15EF" w:rsidRPr="005F2CE2" w:rsidRDefault="00EE15EF" w:rsidP="00EE15EF">
      <w:pPr>
        <w:widowControl w:val="0"/>
        <w:autoSpaceDE w:val="0"/>
        <w:autoSpaceDN w:val="0"/>
        <w:adjustRightInd w:val="0"/>
        <w:spacing w:line="360" w:lineRule="auto"/>
        <w:ind w:firstLine="567"/>
        <w:jc w:val="both"/>
        <w:rPr>
          <w:rFonts w:ascii="Arial" w:hAnsi="Arial" w:cs="Arial"/>
        </w:rPr>
      </w:pPr>
      <w:r w:rsidRPr="0056552E">
        <w:rPr>
          <w:rFonts w:ascii="Arial" w:hAnsi="Arial" w:cs="Arial"/>
          <w:b/>
        </w:rPr>
        <w:t>Pracovní úvazky na dobu určitou</w:t>
      </w:r>
      <w:r w:rsidRPr="0056552E">
        <w:rPr>
          <w:rFonts w:ascii="Arial" w:hAnsi="Arial" w:cs="Arial"/>
        </w:rPr>
        <w:t xml:space="preserve"> v roce 2016 </w:t>
      </w:r>
      <w:r w:rsidRPr="0056552E">
        <w:rPr>
          <w:rFonts w:ascii="Arial" w:hAnsi="Arial" w:cs="Arial"/>
          <w:b/>
        </w:rPr>
        <w:t>v EU 28</w:t>
      </w:r>
      <w:r w:rsidRPr="0056552E">
        <w:rPr>
          <w:rFonts w:ascii="Arial" w:hAnsi="Arial" w:cs="Arial"/>
        </w:rPr>
        <w:t xml:space="preserve"> </w:t>
      </w:r>
      <w:r w:rsidRPr="0033762D">
        <w:rPr>
          <w:rFonts w:ascii="Arial" w:hAnsi="Arial" w:cs="Arial"/>
        </w:rPr>
        <w:t>mělo 14,2 % zaměstnaných, v </w:t>
      </w:r>
      <w:r>
        <w:rPr>
          <w:rFonts w:ascii="Arial" w:hAnsi="Arial" w:cs="Arial"/>
          <w:b/>
        </w:rPr>
        <w:t>roce</w:t>
      </w:r>
      <w:r w:rsidRPr="002D7CC5">
        <w:rPr>
          <w:rFonts w:ascii="Arial" w:hAnsi="Arial" w:cs="Arial"/>
          <w:b/>
        </w:rPr>
        <w:t> </w:t>
      </w:r>
      <w:r w:rsidRPr="00D82805">
        <w:rPr>
          <w:rFonts w:ascii="Arial" w:hAnsi="Arial" w:cs="Arial"/>
          <w:b/>
        </w:rPr>
        <w:t>2017</w:t>
      </w:r>
      <w:r w:rsidRPr="00D41E8F">
        <w:rPr>
          <w:rStyle w:val="Znakapoznpodarou"/>
          <w:rFonts w:ascii="Arial" w:hAnsi="Arial" w:cs="Arial"/>
        </w:rPr>
        <w:footnoteReference w:id="14"/>
      </w:r>
      <w:r w:rsidRPr="00D82805">
        <w:rPr>
          <w:rFonts w:ascii="Arial" w:hAnsi="Arial" w:cs="Arial"/>
          <w:b/>
        </w:rPr>
        <w:t xml:space="preserve"> </w:t>
      </w:r>
      <w:r w:rsidRPr="00FB65A1">
        <w:rPr>
          <w:rFonts w:ascii="Arial" w:hAnsi="Arial" w:cs="Arial"/>
        </w:rPr>
        <w:t xml:space="preserve">podíl nepatrně vzrostl na </w:t>
      </w:r>
      <w:r w:rsidRPr="00FB65A1">
        <w:rPr>
          <w:rFonts w:ascii="Arial" w:hAnsi="Arial" w:cs="Arial"/>
          <w:b/>
        </w:rPr>
        <w:t>14,4 %</w:t>
      </w:r>
      <w:r w:rsidRPr="00FB65A1">
        <w:rPr>
          <w:rFonts w:ascii="Arial" w:hAnsi="Arial" w:cs="Arial"/>
        </w:rPr>
        <w:t xml:space="preserve">. </w:t>
      </w:r>
      <w:r w:rsidRPr="00FB65A1">
        <w:rPr>
          <w:rFonts w:ascii="Arial" w:hAnsi="Arial" w:cs="Arial"/>
          <w:b/>
        </w:rPr>
        <w:t>V ČR</w:t>
      </w:r>
      <w:r w:rsidRPr="00FB65A1">
        <w:rPr>
          <w:rFonts w:ascii="Arial" w:hAnsi="Arial" w:cs="Arial"/>
        </w:rPr>
        <w:t xml:space="preserve"> je podíl osob s pracovními úvazky na dobu určitou dlouhodobě podprůměrný, jejich podíl v</w:t>
      </w:r>
      <w:r w:rsidR="003F5464">
        <w:rPr>
          <w:rFonts w:ascii="Arial" w:hAnsi="Arial" w:cs="Arial"/>
        </w:rPr>
        <w:t> </w:t>
      </w:r>
      <w:r w:rsidRPr="00FB65A1">
        <w:rPr>
          <w:rFonts w:ascii="Arial" w:hAnsi="Arial" w:cs="Arial"/>
        </w:rPr>
        <w:t>roce</w:t>
      </w:r>
      <w:r w:rsidR="003F5464">
        <w:rPr>
          <w:rFonts w:ascii="Arial" w:hAnsi="Arial" w:cs="Arial"/>
        </w:rPr>
        <w:t> </w:t>
      </w:r>
      <w:r w:rsidRPr="00FB65A1">
        <w:rPr>
          <w:rFonts w:ascii="Arial" w:hAnsi="Arial" w:cs="Arial"/>
        </w:rPr>
        <w:t xml:space="preserve">2016 činil 10,2 %, </w:t>
      </w:r>
      <w:r w:rsidRPr="0033762D">
        <w:rPr>
          <w:rFonts w:ascii="Arial" w:hAnsi="Arial" w:cs="Arial"/>
        </w:rPr>
        <w:t>v </w:t>
      </w:r>
      <w:r w:rsidRPr="00EC53BD">
        <w:rPr>
          <w:rFonts w:ascii="Arial" w:hAnsi="Arial" w:cs="Arial"/>
        </w:rPr>
        <w:t>roce 2017</w:t>
      </w:r>
      <w:r w:rsidR="003F5464" w:rsidRPr="003F5464">
        <w:rPr>
          <w:rFonts w:ascii="Arial" w:hAnsi="Arial" w:cs="Arial"/>
          <w:vertAlign w:val="superscript"/>
        </w:rPr>
        <w:t>14</w:t>
      </w:r>
      <w:r w:rsidRPr="003F5464">
        <w:rPr>
          <w:rFonts w:ascii="Arial" w:hAnsi="Arial" w:cs="Arial"/>
        </w:rPr>
        <w:t xml:space="preserve"> </w:t>
      </w:r>
      <w:r w:rsidRPr="00EC53BD">
        <w:rPr>
          <w:rFonts w:ascii="Arial" w:hAnsi="Arial" w:cs="Arial"/>
        </w:rPr>
        <w:t xml:space="preserve">se snížil na </w:t>
      </w:r>
      <w:r w:rsidRPr="00EC53BD">
        <w:rPr>
          <w:rFonts w:ascii="Arial" w:hAnsi="Arial" w:cs="Arial"/>
          <w:b/>
        </w:rPr>
        <w:t>10,0 </w:t>
      </w:r>
      <w:r w:rsidRPr="005F2CE2">
        <w:rPr>
          <w:rFonts w:ascii="Arial" w:hAnsi="Arial" w:cs="Arial"/>
          <w:b/>
        </w:rPr>
        <w:t>%</w:t>
      </w:r>
      <w:r w:rsidRPr="005F2CE2">
        <w:rPr>
          <w:rFonts w:ascii="Arial" w:hAnsi="Arial" w:cs="Arial"/>
        </w:rPr>
        <w:t xml:space="preserve">. Největší podíl v rámci EU 28 byl naměřen ve Španělsku a Polsku, nejnižší v Litvě a Rumunsku. </w:t>
      </w:r>
    </w:p>
    <w:p w:rsidR="00EE15EF" w:rsidRPr="00F010F9" w:rsidRDefault="00EE15EF" w:rsidP="00EE15EF">
      <w:pPr>
        <w:spacing w:line="360" w:lineRule="auto"/>
        <w:ind w:firstLine="567"/>
        <w:jc w:val="both"/>
        <w:rPr>
          <w:rFonts w:ascii="Arial" w:hAnsi="Arial" w:cs="Arial"/>
        </w:rPr>
      </w:pPr>
      <w:r w:rsidRPr="007A066E">
        <w:rPr>
          <w:rFonts w:ascii="Arial" w:hAnsi="Arial" w:cs="Arial"/>
          <w:bCs/>
        </w:rPr>
        <w:t xml:space="preserve">Ještě výraznější je rozdíl mezi průměrem EU 28 a ČR v podílu pracujících </w:t>
      </w:r>
      <w:r w:rsidRPr="007A066E">
        <w:rPr>
          <w:rFonts w:ascii="Arial" w:hAnsi="Arial" w:cs="Arial"/>
          <w:b/>
          <w:bCs/>
        </w:rPr>
        <w:t>na kratší pracovní dobu</w:t>
      </w:r>
      <w:r w:rsidRPr="007A066E">
        <w:rPr>
          <w:rFonts w:ascii="Arial" w:hAnsi="Arial" w:cs="Arial"/>
          <w:bCs/>
        </w:rPr>
        <w:t>. Tato forma</w:t>
      </w:r>
      <w:r w:rsidRPr="007A066E">
        <w:rPr>
          <w:rFonts w:ascii="Arial" w:hAnsi="Arial" w:cs="Arial"/>
          <w:b/>
          <w:bCs/>
        </w:rPr>
        <w:t xml:space="preserve"> </w:t>
      </w:r>
      <w:r w:rsidRPr="007A066E">
        <w:rPr>
          <w:rFonts w:ascii="Arial" w:hAnsi="Arial" w:cs="Arial"/>
          <w:bCs/>
        </w:rPr>
        <w:t>pracovního úvazku v </w:t>
      </w:r>
      <w:r w:rsidRPr="007A066E">
        <w:rPr>
          <w:rFonts w:ascii="Arial" w:hAnsi="Arial" w:cs="Arial"/>
          <w:b/>
          <w:bCs/>
        </w:rPr>
        <w:t>EU </w:t>
      </w:r>
      <w:r w:rsidRPr="000D789B">
        <w:rPr>
          <w:rFonts w:ascii="Arial" w:hAnsi="Arial" w:cs="Arial"/>
          <w:b/>
          <w:bCs/>
        </w:rPr>
        <w:t>28</w:t>
      </w:r>
      <w:r w:rsidRPr="000D789B">
        <w:rPr>
          <w:rFonts w:ascii="Arial" w:hAnsi="Arial" w:cs="Arial"/>
        </w:rPr>
        <w:t xml:space="preserve"> v posledních letech (2013</w:t>
      </w:r>
      <w:r w:rsidRPr="00AB5966">
        <w:rPr>
          <w:rFonts w:ascii="Arial" w:hAnsi="Arial" w:cs="Arial"/>
        </w:rPr>
        <w:t>–</w:t>
      </w:r>
      <w:r w:rsidRPr="000D789B">
        <w:rPr>
          <w:rFonts w:ascii="Arial" w:hAnsi="Arial" w:cs="Arial"/>
        </w:rPr>
        <w:t xml:space="preserve">2016) stagnovala na úrovni 20,3 %, </w:t>
      </w:r>
      <w:r w:rsidRPr="0033762D">
        <w:rPr>
          <w:rFonts w:ascii="Arial" w:hAnsi="Arial" w:cs="Arial"/>
        </w:rPr>
        <w:t>v </w:t>
      </w:r>
      <w:r>
        <w:rPr>
          <w:rFonts w:ascii="Arial" w:hAnsi="Arial" w:cs="Arial"/>
          <w:b/>
        </w:rPr>
        <w:t>roce</w:t>
      </w:r>
      <w:r w:rsidRPr="002D7CC5">
        <w:rPr>
          <w:rFonts w:ascii="Arial" w:hAnsi="Arial" w:cs="Arial"/>
          <w:b/>
        </w:rPr>
        <w:t> </w:t>
      </w:r>
      <w:r w:rsidRPr="007A1E52">
        <w:rPr>
          <w:rFonts w:ascii="Arial" w:hAnsi="Arial" w:cs="Arial"/>
          <w:b/>
        </w:rPr>
        <w:t>2017</w:t>
      </w:r>
      <w:r w:rsidR="00FB132C">
        <w:rPr>
          <w:rStyle w:val="Znakapoznpodarou"/>
          <w:rFonts w:ascii="Arial" w:hAnsi="Arial" w:cs="Arial"/>
        </w:rPr>
        <w:t>14</w:t>
      </w:r>
      <w:r w:rsidRPr="003F5464">
        <w:rPr>
          <w:rFonts w:ascii="Arial" w:hAnsi="Arial" w:cs="Arial"/>
        </w:rPr>
        <w:t xml:space="preserve"> </w:t>
      </w:r>
      <w:r w:rsidRPr="007A1E52">
        <w:rPr>
          <w:rFonts w:ascii="Arial" w:hAnsi="Arial" w:cs="Arial"/>
        </w:rPr>
        <w:t xml:space="preserve">dosáhla hodnoty </w:t>
      </w:r>
      <w:r w:rsidRPr="007A1E52">
        <w:rPr>
          <w:rFonts w:ascii="Arial" w:hAnsi="Arial" w:cs="Arial"/>
          <w:b/>
        </w:rPr>
        <w:t>20,2 %</w:t>
      </w:r>
      <w:r w:rsidRPr="007A1E52">
        <w:rPr>
          <w:rFonts w:ascii="Arial" w:hAnsi="Arial" w:cs="Arial"/>
        </w:rPr>
        <w:t xml:space="preserve"> (ženy </w:t>
      </w:r>
      <w:r w:rsidRPr="00922D3C">
        <w:rPr>
          <w:rFonts w:ascii="Arial" w:hAnsi="Arial" w:cs="Arial"/>
        </w:rPr>
        <w:t>32,3 % a </w:t>
      </w:r>
      <w:r w:rsidRPr="001631F3">
        <w:rPr>
          <w:rFonts w:ascii="Arial" w:hAnsi="Arial" w:cs="Arial"/>
        </w:rPr>
        <w:t>muži 9,8 </w:t>
      </w:r>
      <w:r w:rsidRPr="003C6CCD">
        <w:rPr>
          <w:rFonts w:ascii="Arial" w:hAnsi="Arial" w:cs="Arial"/>
        </w:rPr>
        <w:t xml:space="preserve">%). </w:t>
      </w:r>
      <w:r w:rsidRPr="003C6CCD">
        <w:rPr>
          <w:rFonts w:ascii="Arial" w:hAnsi="Arial" w:cs="Arial"/>
          <w:b/>
        </w:rPr>
        <w:t>V ČR</w:t>
      </w:r>
      <w:r w:rsidRPr="003C6CCD">
        <w:rPr>
          <w:rFonts w:ascii="Arial" w:hAnsi="Arial" w:cs="Arial"/>
        </w:rPr>
        <w:t xml:space="preserve"> ten</w:t>
      </w:r>
      <w:r w:rsidR="003F5464">
        <w:rPr>
          <w:rFonts w:ascii="Arial" w:hAnsi="Arial" w:cs="Arial"/>
        </w:rPr>
        <w:t>to ukazatel po nárůstu v letech </w:t>
      </w:r>
      <w:r w:rsidRPr="00F31F3A">
        <w:rPr>
          <w:rFonts w:ascii="Arial" w:hAnsi="Arial" w:cs="Arial"/>
        </w:rPr>
        <w:t>2012 (5,7 %) a</w:t>
      </w:r>
      <w:r>
        <w:rPr>
          <w:rFonts w:ascii="Arial" w:hAnsi="Arial" w:cs="Arial"/>
        </w:rPr>
        <w:t> </w:t>
      </w:r>
      <w:r w:rsidRPr="003C6CCD">
        <w:rPr>
          <w:rFonts w:ascii="Arial" w:hAnsi="Arial" w:cs="Arial"/>
        </w:rPr>
        <w:t xml:space="preserve">2013 </w:t>
      </w:r>
      <w:r w:rsidR="003F5464">
        <w:rPr>
          <w:rFonts w:ascii="Arial" w:hAnsi="Arial" w:cs="Arial"/>
        </w:rPr>
        <w:t>(6,5 %), v roce 2014 i </w:t>
      </w:r>
      <w:r w:rsidRPr="00F31F3A">
        <w:rPr>
          <w:rFonts w:ascii="Arial" w:hAnsi="Arial" w:cs="Arial"/>
        </w:rPr>
        <w:t xml:space="preserve">2015 poklesl </w:t>
      </w:r>
      <w:r w:rsidRPr="00291778">
        <w:rPr>
          <w:rFonts w:ascii="Arial" w:hAnsi="Arial" w:cs="Arial"/>
        </w:rPr>
        <w:t>na 6,2 %, resp. 6,1 %. V r</w:t>
      </w:r>
      <w:r w:rsidRPr="00C81952">
        <w:rPr>
          <w:rFonts w:ascii="Arial" w:hAnsi="Arial" w:cs="Arial"/>
        </w:rPr>
        <w:t>oce 2016 se hodnota tohoto</w:t>
      </w:r>
      <w:r w:rsidR="003F5464">
        <w:rPr>
          <w:rFonts w:ascii="Arial" w:hAnsi="Arial" w:cs="Arial"/>
        </w:rPr>
        <w:t xml:space="preserve"> ukazatele zvýšila nad úroveň z </w:t>
      </w:r>
      <w:r w:rsidRPr="00C81952">
        <w:rPr>
          <w:rFonts w:ascii="Arial" w:hAnsi="Arial" w:cs="Arial"/>
        </w:rPr>
        <w:t xml:space="preserve">roku 2013 (6,6 %). </w:t>
      </w:r>
      <w:r w:rsidRPr="00B655BB">
        <w:rPr>
          <w:rFonts w:ascii="Arial" w:hAnsi="Arial" w:cs="Arial"/>
        </w:rPr>
        <w:t>V r</w:t>
      </w:r>
      <w:r w:rsidRPr="00EC53BD">
        <w:rPr>
          <w:rFonts w:ascii="Arial" w:hAnsi="Arial" w:cs="Arial"/>
        </w:rPr>
        <w:t>oce </w:t>
      </w:r>
      <w:r w:rsidRPr="00291778">
        <w:rPr>
          <w:rFonts w:ascii="Arial" w:hAnsi="Arial" w:cs="Arial"/>
        </w:rPr>
        <w:t>2017</w:t>
      </w:r>
      <w:r w:rsidR="00FB132C">
        <w:rPr>
          <w:rStyle w:val="Znakapoznpodarou"/>
          <w:rFonts w:ascii="Arial" w:hAnsi="Arial" w:cs="Arial"/>
        </w:rPr>
        <w:t>14</w:t>
      </w:r>
      <w:r w:rsidRPr="00386A8F">
        <w:rPr>
          <w:rFonts w:ascii="Arial" w:hAnsi="Arial" w:cs="Arial"/>
        </w:rPr>
        <w:t xml:space="preserve"> </w:t>
      </w:r>
      <w:r w:rsidRPr="00291778">
        <w:rPr>
          <w:rFonts w:ascii="Arial" w:hAnsi="Arial" w:cs="Arial"/>
        </w:rPr>
        <w:t xml:space="preserve">byl </w:t>
      </w:r>
      <w:r w:rsidRPr="002471A0">
        <w:rPr>
          <w:rFonts w:ascii="Arial" w:hAnsi="Arial" w:cs="Arial"/>
        </w:rPr>
        <w:t xml:space="preserve">zaznamenán nárůst na </w:t>
      </w:r>
      <w:r w:rsidRPr="002471A0">
        <w:rPr>
          <w:rFonts w:ascii="Arial" w:hAnsi="Arial" w:cs="Arial"/>
          <w:b/>
        </w:rPr>
        <w:t>7,2 </w:t>
      </w:r>
      <w:r w:rsidRPr="002C4B55">
        <w:rPr>
          <w:rFonts w:ascii="Arial" w:hAnsi="Arial" w:cs="Arial"/>
          <w:b/>
        </w:rPr>
        <w:t>%</w:t>
      </w:r>
      <w:r w:rsidRPr="002C4B55">
        <w:rPr>
          <w:rFonts w:ascii="Arial" w:hAnsi="Arial" w:cs="Arial"/>
        </w:rPr>
        <w:t xml:space="preserve"> (ženy 12,1 % a </w:t>
      </w:r>
      <w:r w:rsidRPr="00CE5718">
        <w:rPr>
          <w:rFonts w:ascii="Arial" w:hAnsi="Arial" w:cs="Arial"/>
        </w:rPr>
        <w:t>muži 3,4 %)</w:t>
      </w:r>
      <w:r w:rsidRPr="00291778">
        <w:rPr>
          <w:rFonts w:ascii="Arial" w:hAnsi="Arial" w:cs="Arial"/>
        </w:rPr>
        <w:t xml:space="preserve">. </w:t>
      </w:r>
      <w:r w:rsidRPr="00386A8F">
        <w:rPr>
          <w:rFonts w:ascii="Arial" w:hAnsi="Arial" w:cs="Arial"/>
        </w:rPr>
        <w:t xml:space="preserve">ČR má  společně s Polskem 5. nejnižší podíl kratší pracovní doby v rámci EU 28, nižší podíl </w:t>
      </w:r>
      <w:r w:rsidRPr="008135DA">
        <w:rPr>
          <w:rFonts w:ascii="Arial" w:hAnsi="Arial" w:cs="Arial"/>
        </w:rPr>
        <w:t>vykázalo Slovensko, Chorvatsko, Maďarsko a Bulharsko</w:t>
      </w:r>
      <w:r w:rsidRPr="00AB4D87">
        <w:rPr>
          <w:rFonts w:ascii="Arial" w:hAnsi="Arial" w:cs="Arial"/>
        </w:rPr>
        <w:t>. Podíl vyšší než 28 % dosahují v Nizozemsku a Rakousku</w:t>
      </w:r>
      <w:r w:rsidRPr="000B6C3E">
        <w:rPr>
          <w:rFonts w:ascii="Arial" w:hAnsi="Arial" w:cs="Arial"/>
        </w:rPr>
        <w:t xml:space="preserve">. V Nizozemsku tvoří podíl kratších úvazků 50,6 %, což </w:t>
      </w:r>
      <w:r w:rsidRPr="001B03AA">
        <w:rPr>
          <w:rFonts w:ascii="Arial" w:hAnsi="Arial" w:cs="Arial"/>
        </w:rPr>
        <w:t>je 2,5 krát více než průměr EU </w:t>
      </w:r>
      <w:r w:rsidRPr="00F010F9">
        <w:rPr>
          <w:rFonts w:ascii="Arial" w:hAnsi="Arial" w:cs="Arial"/>
        </w:rPr>
        <w:t xml:space="preserve">28, u žen dokonce 76,0 %. </w:t>
      </w:r>
    </w:p>
    <w:p w:rsidR="00EE15EF" w:rsidRPr="006B76EF" w:rsidRDefault="006B76EF" w:rsidP="00EE15EF">
      <w:pPr>
        <w:spacing w:line="360" w:lineRule="auto"/>
        <w:ind w:left="6120" w:firstLine="680"/>
        <w:jc w:val="center"/>
        <w:rPr>
          <w:rFonts w:ascii="Arial" w:hAnsi="Arial" w:cs="Arial"/>
          <w:sz w:val="20"/>
          <w:szCs w:val="20"/>
        </w:rPr>
      </w:pPr>
      <w:r>
        <w:rPr>
          <w:rFonts w:ascii="Arial" w:hAnsi="Arial" w:cs="Arial"/>
          <w:color w:val="FF00FF"/>
          <w:sz w:val="20"/>
          <w:szCs w:val="20"/>
        </w:rPr>
        <w:br w:type="column"/>
      </w:r>
      <w:r w:rsidR="00EE15EF" w:rsidRPr="006B76EF">
        <w:rPr>
          <w:rFonts w:ascii="Arial" w:hAnsi="Arial" w:cs="Arial"/>
          <w:sz w:val="20"/>
          <w:szCs w:val="20"/>
        </w:rPr>
        <w:lastRenderedPageBreak/>
        <w:t>graf č. 2</w:t>
      </w:r>
      <w:r w:rsidRPr="006B76EF">
        <w:rPr>
          <w:rFonts w:ascii="Arial" w:hAnsi="Arial" w:cs="Arial"/>
          <w:sz w:val="20"/>
          <w:szCs w:val="20"/>
        </w:rPr>
        <w:t>4</w:t>
      </w:r>
    </w:p>
    <w:p w:rsidR="00EE15EF" w:rsidRPr="00A00284" w:rsidRDefault="00EE15EF" w:rsidP="00EE15EF">
      <w:pPr>
        <w:spacing w:line="360" w:lineRule="auto"/>
        <w:jc w:val="center"/>
        <w:rPr>
          <w:rFonts w:ascii="Arial" w:hAnsi="Arial" w:cs="Arial"/>
          <w:b/>
        </w:rPr>
      </w:pPr>
      <w:r w:rsidRPr="00A00284">
        <w:rPr>
          <w:rFonts w:ascii="Arial" w:hAnsi="Arial" w:cs="Arial"/>
          <w:b/>
        </w:rPr>
        <w:t>Srovnání kratší pracovní doby v EU 28 a ČR</w:t>
      </w:r>
    </w:p>
    <w:p w:rsidR="00EE15EF" w:rsidRPr="00C41A11" w:rsidRDefault="00EE15EF" w:rsidP="00EE15EF">
      <w:pPr>
        <w:spacing w:line="360" w:lineRule="auto"/>
        <w:jc w:val="center"/>
      </w:pPr>
      <w:r w:rsidRPr="00F36F55">
        <w:rPr>
          <w:noProof/>
          <w:color w:val="FF00FF"/>
        </w:rPr>
        <w:t xml:space="preserve"> </w:t>
      </w:r>
      <w:r>
        <w:rPr>
          <w:noProof/>
        </w:rPr>
        <w:drawing>
          <wp:inline distT="0" distB="0" distL="0" distR="0">
            <wp:extent cx="2495549" cy="2024063"/>
            <wp:effectExtent l="0" t="0" r="635" b="1460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F36F55">
        <w:rPr>
          <w:noProof/>
          <w:color w:val="FF00FF"/>
        </w:rPr>
        <w:t xml:space="preserve"> </w:t>
      </w:r>
      <w:r>
        <w:rPr>
          <w:noProof/>
        </w:rPr>
        <w:drawing>
          <wp:inline distT="0" distB="0" distL="0" distR="0">
            <wp:extent cx="2609849" cy="2024063"/>
            <wp:effectExtent l="0" t="0" r="635" b="1460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E15EF" w:rsidRPr="00C41A11" w:rsidRDefault="00EE15EF" w:rsidP="00EE15EF">
      <w:pPr>
        <w:spacing w:line="360" w:lineRule="auto"/>
        <w:ind w:firstLine="567"/>
        <w:jc w:val="both"/>
        <w:rPr>
          <w:rFonts w:ascii="Arial" w:hAnsi="Arial" w:cs="Arial"/>
          <w:i/>
          <w:sz w:val="16"/>
          <w:szCs w:val="16"/>
        </w:rPr>
      </w:pPr>
      <w:r w:rsidRPr="00C41A11">
        <w:rPr>
          <w:rFonts w:ascii="Arial" w:hAnsi="Arial" w:cs="Arial"/>
          <w:i/>
          <w:sz w:val="16"/>
          <w:szCs w:val="16"/>
        </w:rPr>
        <w:t>*) průměr hodnot za 1. - 4. čtvrtletí 2017</w:t>
      </w:r>
    </w:p>
    <w:p w:rsidR="00EE15EF" w:rsidRPr="00C41A11" w:rsidRDefault="00EE15EF" w:rsidP="00EE15EF">
      <w:pPr>
        <w:spacing w:line="360" w:lineRule="auto"/>
        <w:ind w:firstLine="567"/>
        <w:jc w:val="both"/>
        <w:rPr>
          <w:rFonts w:ascii="Arial" w:hAnsi="Arial" w:cs="Arial"/>
          <w:b/>
          <w:bCs/>
          <w:sz w:val="16"/>
          <w:szCs w:val="16"/>
        </w:rPr>
      </w:pPr>
    </w:p>
    <w:p w:rsidR="00EE15EF" w:rsidRPr="00463BA9" w:rsidRDefault="00EE15EF" w:rsidP="00EE15EF">
      <w:pPr>
        <w:spacing w:line="360" w:lineRule="auto"/>
        <w:ind w:firstLine="567"/>
        <w:jc w:val="both"/>
        <w:rPr>
          <w:rFonts w:ascii="Arial" w:hAnsi="Arial" w:cs="Arial"/>
        </w:rPr>
      </w:pPr>
      <w:r w:rsidRPr="00C41A11">
        <w:rPr>
          <w:rFonts w:ascii="Arial" w:hAnsi="Arial" w:cs="Arial"/>
          <w:b/>
          <w:bCs/>
        </w:rPr>
        <w:t xml:space="preserve">Míra nezaměstnanosti </w:t>
      </w:r>
      <w:r w:rsidRPr="00C41A11">
        <w:rPr>
          <w:rFonts w:ascii="Arial" w:hAnsi="Arial" w:cs="Arial"/>
          <w:bCs/>
        </w:rPr>
        <w:t>(MN)</w:t>
      </w:r>
      <w:r w:rsidRPr="00C41A11">
        <w:rPr>
          <w:rFonts w:ascii="Arial" w:hAnsi="Arial" w:cs="Arial"/>
          <w:b/>
          <w:bCs/>
        </w:rPr>
        <w:t xml:space="preserve"> v ČR </w:t>
      </w:r>
      <w:r w:rsidRPr="00916F0D">
        <w:rPr>
          <w:rFonts w:ascii="Arial" w:hAnsi="Arial" w:cs="Arial"/>
          <w:bCs/>
        </w:rPr>
        <w:t xml:space="preserve">je </w:t>
      </w:r>
      <w:r w:rsidRPr="001C4CD7">
        <w:rPr>
          <w:rFonts w:ascii="Arial" w:hAnsi="Arial" w:cs="Arial"/>
          <w:bCs/>
        </w:rPr>
        <w:t xml:space="preserve">v porovnání </w:t>
      </w:r>
      <w:r>
        <w:rPr>
          <w:rFonts w:ascii="Arial" w:hAnsi="Arial" w:cs="Arial"/>
          <w:bCs/>
        </w:rPr>
        <w:t>ostatními zeměmi</w:t>
      </w:r>
      <w:r w:rsidRPr="001C4CD7">
        <w:rPr>
          <w:rFonts w:ascii="Arial" w:hAnsi="Arial" w:cs="Arial"/>
          <w:bCs/>
        </w:rPr>
        <w:t xml:space="preserve"> EU 28</w:t>
      </w:r>
      <w:r>
        <w:rPr>
          <w:rFonts w:ascii="Arial" w:hAnsi="Arial" w:cs="Arial"/>
          <w:b/>
          <w:bCs/>
        </w:rPr>
        <w:t xml:space="preserve"> </w:t>
      </w:r>
      <w:r w:rsidRPr="00C41A11">
        <w:rPr>
          <w:rFonts w:ascii="Arial" w:hAnsi="Arial" w:cs="Arial"/>
          <w:b/>
          <w:bCs/>
        </w:rPr>
        <w:t xml:space="preserve">dlouhodobě </w:t>
      </w:r>
      <w:r w:rsidRPr="0093347E">
        <w:rPr>
          <w:rFonts w:ascii="Arial" w:hAnsi="Arial" w:cs="Arial"/>
          <w:b/>
          <w:bCs/>
        </w:rPr>
        <w:t>podprůměrná</w:t>
      </w:r>
      <w:r w:rsidRPr="0093347E">
        <w:rPr>
          <w:rFonts w:ascii="Arial" w:hAnsi="Arial" w:cs="Arial"/>
          <w:bCs/>
        </w:rPr>
        <w:t xml:space="preserve">, v posledních letech navíc vykazuje pozitivnější tendenci ve vývoji oproti MN EU 28. Zatímco míra nezaměstnanosti </w:t>
      </w:r>
      <w:r w:rsidRPr="0093347E">
        <w:rPr>
          <w:rFonts w:ascii="Arial" w:hAnsi="Arial" w:cs="Arial"/>
          <w:b/>
          <w:bCs/>
        </w:rPr>
        <w:t>EU 28</w:t>
      </w:r>
      <w:r w:rsidR="003F5464">
        <w:rPr>
          <w:rFonts w:ascii="Arial" w:hAnsi="Arial" w:cs="Arial"/>
          <w:bCs/>
        </w:rPr>
        <w:t xml:space="preserve"> v roce 2016 meziročně klesla o </w:t>
      </w:r>
      <w:r w:rsidRPr="0093347E">
        <w:rPr>
          <w:rFonts w:ascii="Arial" w:hAnsi="Arial" w:cs="Arial"/>
          <w:bCs/>
        </w:rPr>
        <w:t>0,8 p. b. na 8,6 % a </w:t>
      </w:r>
      <w:r w:rsidRPr="0093347E">
        <w:rPr>
          <w:rFonts w:ascii="Arial" w:hAnsi="Arial" w:cs="Arial"/>
        </w:rPr>
        <w:t>v </w:t>
      </w:r>
      <w:r w:rsidRPr="0093347E">
        <w:rPr>
          <w:rFonts w:ascii="Arial" w:hAnsi="Arial" w:cs="Arial"/>
          <w:b/>
        </w:rPr>
        <w:t>roce 2017 n</w:t>
      </w:r>
      <w:r w:rsidRPr="00192D19">
        <w:rPr>
          <w:rFonts w:ascii="Arial" w:hAnsi="Arial" w:cs="Arial"/>
          <w:b/>
        </w:rPr>
        <w:t>a 7,6 %</w:t>
      </w:r>
      <w:r w:rsidRPr="00192D19">
        <w:rPr>
          <w:rFonts w:ascii="Arial" w:hAnsi="Arial" w:cs="Arial"/>
          <w:bCs/>
        </w:rPr>
        <w:t xml:space="preserve">, </w:t>
      </w:r>
      <w:r w:rsidRPr="00192D19">
        <w:rPr>
          <w:rFonts w:ascii="Arial" w:hAnsi="Arial" w:cs="Arial"/>
          <w:b/>
          <w:bCs/>
        </w:rPr>
        <w:t>v ČR</w:t>
      </w:r>
      <w:r w:rsidRPr="00192D19">
        <w:rPr>
          <w:rFonts w:ascii="Arial" w:hAnsi="Arial" w:cs="Arial"/>
          <w:bCs/>
        </w:rPr>
        <w:t xml:space="preserve"> klesala míra nezaměstnanosti v důsledku příznivého ekono</w:t>
      </w:r>
      <w:r w:rsidR="003F5464">
        <w:rPr>
          <w:rFonts w:ascii="Arial" w:hAnsi="Arial" w:cs="Arial"/>
          <w:bCs/>
        </w:rPr>
        <w:t>mického vývoje rychleji. V roce </w:t>
      </w:r>
      <w:r w:rsidRPr="00192D19">
        <w:rPr>
          <w:rFonts w:ascii="Arial" w:hAnsi="Arial" w:cs="Arial"/>
          <w:bCs/>
        </w:rPr>
        <w:t>2016 se hodnota tohoto ukazatele snížila o 1,1 p. b.</w:t>
      </w:r>
      <w:r w:rsidRPr="003F5464">
        <w:rPr>
          <w:rFonts w:ascii="Arial" w:hAnsi="Arial" w:cs="Arial"/>
          <w:bCs/>
        </w:rPr>
        <w:t xml:space="preserve"> </w:t>
      </w:r>
      <w:r w:rsidRPr="00192D19">
        <w:rPr>
          <w:rFonts w:ascii="Arial" w:hAnsi="Arial" w:cs="Arial"/>
          <w:bCs/>
        </w:rPr>
        <w:t xml:space="preserve">na 4,0 %, </w:t>
      </w:r>
      <w:r w:rsidRPr="00192D19">
        <w:rPr>
          <w:rFonts w:ascii="Arial" w:hAnsi="Arial" w:cs="Arial"/>
        </w:rPr>
        <w:t>v </w:t>
      </w:r>
      <w:r w:rsidRPr="00192D19">
        <w:rPr>
          <w:rFonts w:ascii="Arial" w:hAnsi="Arial" w:cs="Arial"/>
          <w:b/>
        </w:rPr>
        <w:t xml:space="preserve">roce 2017 </w:t>
      </w:r>
      <w:r w:rsidRPr="00192D19">
        <w:rPr>
          <w:rFonts w:ascii="Arial" w:hAnsi="Arial" w:cs="Arial"/>
        </w:rPr>
        <w:t>klesla na</w:t>
      </w:r>
      <w:r w:rsidRPr="003F5464">
        <w:rPr>
          <w:rFonts w:ascii="Arial" w:hAnsi="Arial" w:cs="Arial"/>
        </w:rPr>
        <w:t xml:space="preserve"> </w:t>
      </w:r>
      <w:r w:rsidRPr="00192D19">
        <w:rPr>
          <w:rFonts w:ascii="Arial" w:hAnsi="Arial" w:cs="Arial"/>
          <w:b/>
        </w:rPr>
        <w:t>2,9 %</w:t>
      </w:r>
      <w:r w:rsidRPr="00192D19">
        <w:rPr>
          <w:rFonts w:ascii="Arial" w:hAnsi="Arial" w:cs="Arial"/>
        </w:rPr>
        <w:t>,</w:t>
      </w:r>
      <w:r w:rsidRPr="003F5464">
        <w:rPr>
          <w:rFonts w:ascii="Arial" w:hAnsi="Arial" w:cs="Arial"/>
        </w:rPr>
        <w:t xml:space="preserve"> </w:t>
      </w:r>
      <w:r w:rsidRPr="00192D19">
        <w:rPr>
          <w:rFonts w:ascii="Arial" w:hAnsi="Arial" w:cs="Arial"/>
          <w:bCs/>
        </w:rPr>
        <w:t xml:space="preserve">což </w:t>
      </w:r>
      <w:r w:rsidRPr="0056552E">
        <w:rPr>
          <w:rFonts w:ascii="Arial" w:hAnsi="Arial" w:cs="Arial"/>
          <w:bCs/>
        </w:rPr>
        <w:t xml:space="preserve">byla </w:t>
      </w:r>
      <w:r w:rsidRPr="0056552E">
        <w:rPr>
          <w:rFonts w:ascii="Arial" w:hAnsi="Arial" w:cs="Arial"/>
          <w:b/>
          <w:bCs/>
        </w:rPr>
        <w:t>nejnižší hodnota</w:t>
      </w:r>
      <w:r w:rsidRPr="0056552E">
        <w:rPr>
          <w:rFonts w:ascii="Arial" w:hAnsi="Arial" w:cs="Arial"/>
          <w:bCs/>
        </w:rPr>
        <w:t xml:space="preserve"> </w:t>
      </w:r>
      <w:r w:rsidRPr="0056552E">
        <w:rPr>
          <w:rFonts w:ascii="Arial" w:hAnsi="Arial" w:cs="Arial"/>
          <w:b/>
          <w:bCs/>
        </w:rPr>
        <w:t>v rámci EU 28</w:t>
      </w:r>
      <w:r w:rsidRPr="0056552E">
        <w:rPr>
          <w:rFonts w:ascii="Arial" w:hAnsi="Arial" w:cs="Arial"/>
          <w:bCs/>
        </w:rPr>
        <w:t xml:space="preserve">. Naopak nejvyšší MN </w:t>
      </w:r>
      <w:r w:rsidRPr="00992ACD">
        <w:rPr>
          <w:rFonts w:ascii="Arial" w:hAnsi="Arial" w:cs="Arial"/>
          <w:bCs/>
        </w:rPr>
        <w:t xml:space="preserve">byla tradičně v </w:t>
      </w:r>
      <w:r w:rsidRPr="00992ACD">
        <w:rPr>
          <w:rFonts w:ascii="Arial" w:hAnsi="Arial" w:cs="Arial"/>
        </w:rPr>
        <w:t>Řecku a </w:t>
      </w:r>
      <w:r w:rsidRPr="00463BA9">
        <w:rPr>
          <w:rFonts w:ascii="Arial" w:hAnsi="Arial" w:cs="Arial"/>
        </w:rPr>
        <w:t>Španělsku (nad 17,0 %).</w:t>
      </w:r>
    </w:p>
    <w:p w:rsidR="00EE15EF" w:rsidRPr="007F4D31" w:rsidRDefault="00EE15EF" w:rsidP="00EE15EF">
      <w:pPr>
        <w:spacing w:line="360" w:lineRule="auto"/>
        <w:ind w:firstLine="567"/>
        <w:jc w:val="both"/>
        <w:rPr>
          <w:rFonts w:ascii="Arial" w:hAnsi="Arial" w:cs="Arial"/>
          <w:sz w:val="16"/>
          <w:szCs w:val="16"/>
        </w:rPr>
      </w:pPr>
    </w:p>
    <w:p w:rsidR="00EE15EF" w:rsidRPr="006B76EF" w:rsidRDefault="00EE15EF" w:rsidP="00EE15EF">
      <w:pPr>
        <w:ind w:left="6120" w:firstLine="680"/>
        <w:jc w:val="center"/>
        <w:rPr>
          <w:rFonts w:ascii="Arial" w:hAnsi="Arial" w:cs="Arial"/>
          <w:sz w:val="20"/>
          <w:szCs w:val="20"/>
        </w:rPr>
      </w:pPr>
      <w:r w:rsidRPr="006B76EF">
        <w:rPr>
          <w:rFonts w:ascii="Arial" w:hAnsi="Arial" w:cs="Arial"/>
          <w:sz w:val="20"/>
          <w:szCs w:val="20"/>
        </w:rPr>
        <w:t>graf č. 2</w:t>
      </w:r>
      <w:r w:rsidR="006B76EF" w:rsidRPr="006B76EF">
        <w:rPr>
          <w:rFonts w:ascii="Arial" w:hAnsi="Arial" w:cs="Arial"/>
          <w:sz w:val="20"/>
          <w:szCs w:val="20"/>
        </w:rPr>
        <w:t>5</w:t>
      </w:r>
    </w:p>
    <w:p w:rsidR="00EE15EF" w:rsidRPr="007F4D31" w:rsidRDefault="00EE15EF" w:rsidP="00EE15EF">
      <w:pPr>
        <w:spacing w:line="360" w:lineRule="auto"/>
        <w:jc w:val="center"/>
        <w:rPr>
          <w:rFonts w:ascii="Arial" w:hAnsi="Arial" w:cs="Arial"/>
          <w:bCs/>
        </w:rPr>
      </w:pPr>
      <w:r>
        <w:rPr>
          <w:noProof/>
        </w:rPr>
        <w:drawing>
          <wp:inline distT="0" distB="0" distL="0" distR="0">
            <wp:extent cx="4810125" cy="2743200"/>
            <wp:effectExtent l="0" t="0" r="9525" b="1905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E15EF" w:rsidRPr="00AC11DA" w:rsidRDefault="00EE15EF" w:rsidP="00EE15EF">
      <w:pPr>
        <w:spacing w:line="360" w:lineRule="auto"/>
        <w:ind w:firstLine="709"/>
        <w:jc w:val="both"/>
        <w:rPr>
          <w:rFonts w:ascii="Arial" w:hAnsi="Arial" w:cs="Arial"/>
          <w:i/>
          <w:sz w:val="16"/>
          <w:szCs w:val="16"/>
        </w:rPr>
      </w:pPr>
      <w:r w:rsidRPr="00AC11DA">
        <w:rPr>
          <w:rFonts w:ascii="Arial" w:hAnsi="Arial" w:cs="Arial"/>
          <w:i/>
          <w:sz w:val="16"/>
          <w:szCs w:val="16"/>
        </w:rPr>
        <w:t>Pozn.: V době zpracování analýzy nebyla známá míra nezaměstnanosti Itálie</w:t>
      </w:r>
      <w:r>
        <w:rPr>
          <w:rFonts w:ascii="Arial" w:hAnsi="Arial" w:cs="Arial"/>
          <w:i/>
          <w:sz w:val="16"/>
          <w:szCs w:val="16"/>
        </w:rPr>
        <w:t>.</w:t>
      </w:r>
    </w:p>
    <w:p w:rsidR="00EE15EF" w:rsidRDefault="00EE15EF" w:rsidP="00EE15EF">
      <w:pPr>
        <w:spacing w:line="360" w:lineRule="auto"/>
        <w:ind w:firstLine="567"/>
        <w:jc w:val="both"/>
        <w:rPr>
          <w:rFonts w:ascii="Arial" w:hAnsi="Arial" w:cs="Arial"/>
        </w:rPr>
      </w:pPr>
      <w:r w:rsidRPr="00A079B9">
        <w:rPr>
          <w:rFonts w:ascii="Arial" w:hAnsi="Arial" w:cs="Arial"/>
          <w:b/>
        </w:rPr>
        <w:lastRenderedPageBreak/>
        <w:t>Míra nezaměstnanosti mužů a žen</w:t>
      </w:r>
      <w:r>
        <w:rPr>
          <w:rFonts w:ascii="Arial" w:hAnsi="Arial" w:cs="Arial"/>
        </w:rPr>
        <w:t xml:space="preserve"> v </w:t>
      </w:r>
      <w:r w:rsidRPr="00A079B9">
        <w:rPr>
          <w:rFonts w:ascii="Arial" w:hAnsi="Arial" w:cs="Arial"/>
          <w:b/>
        </w:rPr>
        <w:t>EU 28</w:t>
      </w:r>
      <w:r>
        <w:rPr>
          <w:rFonts w:ascii="Arial" w:hAnsi="Arial" w:cs="Arial"/>
        </w:rPr>
        <w:t xml:space="preserve"> se dlouhodobě pohybuje na podobné úrovni, naopak </w:t>
      </w:r>
      <w:r w:rsidRPr="00A079B9">
        <w:rPr>
          <w:rFonts w:ascii="Arial" w:hAnsi="Arial" w:cs="Arial"/>
        </w:rPr>
        <w:t>v </w:t>
      </w:r>
      <w:r w:rsidRPr="00A079B9">
        <w:rPr>
          <w:rFonts w:ascii="Arial" w:hAnsi="Arial" w:cs="Arial"/>
          <w:b/>
        </w:rPr>
        <w:t>ČR</w:t>
      </w:r>
      <w:r>
        <w:rPr>
          <w:rFonts w:ascii="Arial" w:hAnsi="Arial" w:cs="Arial"/>
        </w:rPr>
        <w:t xml:space="preserve"> osahuje míra nezaměstnanosti mužů podstatně nižší úrovně než míra nezaměstnanosti žen.</w:t>
      </w:r>
    </w:p>
    <w:p w:rsidR="00EE15EF" w:rsidRPr="00797A5A" w:rsidRDefault="00EE15EF" w:rsidP="00EE15EF">
      <w:pPr>
        <w:spacing w:line="360" w:lineRule="auto"/>
        <w:ind w:firstLine="567"/>
        <w:jc w:val="both"/>
        <w:rPr>
          <w:rFonts w:ascii="Arial" w:hAnsi="Arial" w:cs="Arial"/>
        </w:rPr>
      </w:pPr>
      <w:r w:rsidRPr="005C4D80">
        <w:rPr>
          <w:rFonts w:ascii="Arial" w:hAnsi="Arial" w:cs="Arial"/>
        </w:rPr>
        <w:t>Tendence ve vývoji </w:t>
      </w:r>
      <w:r w:rsidRPr="005C4D80">
        <w:rPr>
          <w:rFonts w:ascii="Arial" w:hAnsi="Arial" w:cs="Arial"/>
          <w:b/>
        </w:rPr>
        <w:t>míry nezaměstnanosti žen</w:t>
      </w:r>
      <w:r w:rsidRPr="005C4D80">
        <w:rPr>
          <w:rFonts w:ascii="Arial" w:hAnsi="Arial" w:cs="Arial"/>
        </w:rPr>
        <w:t xml:space="preserve"> v EU 28 i ČR </w:t>
      </w:r>
      <w:r>
        <w:rPr>
          <w:rFonts w:ascii="Arial" w:hAnsi="Arial" w:cs="Arial"/>
        </w:rPr>
        <w:t>odpovídá</w:t>
      </w:r>
      <w:r w:rsidRPr="005C4D80">
        <w:rPr>
          <w:rFonts w:ascii="Arial" w:hAnsi="Arial" w:cs="Arial"/>
        </w:rPr>
        <w:t xml:space="preserve"> vývoji celkové míry nezaměstnanosti</w:t>
      </w:r>
      <w:r w:rsidRPr="00797A5A">
        <w:rPr>
          <w:rFonts w:ascii="Arial" w:hAnsi="Arial" w:cs="Arial"/>
        </w:rPr>
        <w:t xml:space="preserve">. V roce 2016 pokračoval </w:t>
      </w:r>
      <w:r w:rsidRPr="00797A5A">
        <w:rPr>
          <w:rFonts w:ascii="Arial" w:hAnsi="Arial" w:cs="Arial"/>
          <w:b/>
        </w:rPr>
        <w:t>pokles</w:t>
      </w:r>
      <w:r w:rsidRPr="00797A5A">
        <w:rPr>
          <w:rFonts w:ascii="Arial" w:hAnsi="Arial" w:cs="Arial"/>
        </w:rPr>
        <w:t xml:space="preserve"> v </w:t>
      </w:r>
      <w:r w:rsidRPr="00797A5A">
        <w:rPr>
          <w:rFonts w:ascii="Arial" w:hAnsi="Arial" w:cs="Arial"/>
          <w:b/>
        </w:rPr>
        <w:t xml:space="preserve">EU 28 </w:t>
      </w:r>
      <w:r w:rsidRPr="00797A5A">
        <w:rPr>
          <w:rFonts w:ascii="Arial" w:hAnsi="Arial" w:cs="Arial"/>
        </w:rPr>
        <w:t>(z 9,5 % na 8,8 %) i v </w:t>
      </w:r>
      <w:r w:rsidRPr="003828C8">
        <w:rPr>
          <w:rFonts w:ascii="Arial" w:hAnsi="Arial" w:cs="Arial"/>
          <w:b/>
        </w:rPr>
        <w:t>ČR</w:t>
      </w:r>
      <w:r w:rsidRPr="003828C8">
        <w:rPr>
          <w:rFonts w:ascii="Arial" w:hAnsi="Arial" w:cs="Arial"/>
        </w:rPr>
        <w:t xml:space="preserve"> (z 6,1 % na 4,7 %), v </w:t>
      </w:r>
      <w:r w:rsidRPr="003828C8">
        <w:rPr>
          <w:rFonts w:ascii="Arial" w:hAnsi="Arial" w:cs="Arial"/>
          <w:b/>
        </w:rPr>
        <w:t>roce </w:t>
      </w:r>
      <w:r w:rsidRPr="0028434A">
        <w:rPr>
          <w:rFonts w:ascii="Arial" w:hAnsi="Arial" w:cs="Arial"/>
          <w:b/>
        </w:rPr>
        <w:t xml:space="preserve">2017 </w:t>
      </w:r>
      <w:r w:rsidRPr="0028434A">
        <w:rPr>
          <w:rFonts w:ascii="Arial" w:hAnsi="Arial" w:cs="Arial"/>
        </w:rPr>
        <w:t>MN žen v </w:t>
      </w:r>
      <w:r w:rsidRPr="0028434A">
        <w:rPr>
          <w:rFonts w:ascii="Arial" w:hAnsi="Arial" w:cs="Arial"/>
          <w:b/>
        </w:rPr>
        <w:t>EU 28</w:t>
      </w:r>
      <w:r w:rsidRPr="0028434A">
        <w:rPr>
          <w:rFonts w:ascii="Arial" w:hAnsi="Arial" w:cs="Arial"/>
        </w:rPr>
        <w:t xml:space="preserve"> </w:t>
      </w:r>
      <w:r w:rsidRPr="00513AB7">
        <w:rPr>
          <w:rFonts w:ascii="Arial" w:hAnsi="Arial" w:cs="Arial"/>
        </w:rPr>
        <w:t xml:space="preserve">představovala </w:t>
      </w:r>
      <w:r w:rsidRPr="00513AB7">
        <w:rPr>
          <w:rFonts w:ascii="Arial" w:hAnsi="Arial" w:cs="Arial"/>
          <w:b/>
        </w:rPr>
        <w:t>7,9 %</w:t>
      </w:r>
      <w:r w:rsidRPr="00513AB7">
        <w:rPr>
          <w:rFonts w:ascii="Arial" w:hAnsi="Arial" w:cs="Arial"/>
        </w:rPr>
        <w:t>, v </w:t>
      </w:r>
      <w:r w:rsidRPr="00513AB7">
        <w:rPr>
          <w:rFonts w:ascii="Arial" w:hAnsi="Arial" w:cs="Arial"/>
          <w:b/>
        </w:rPr>
        <w:t>ČR</w:t>
      </w:r>
      <w:r w:rsidRPr="00513AB7">
        <w:rPr>
          <w:rFonts w:ascii="Arial" w:hAnsi="Arial" w:cs="Arial"/>
        </w:rPr>
        <w:t xml:space="preserve"> meziročně poklesla na </w:t>
      </w:r>
      <w:r w:rsidRPr="00513AB7">
        <w:rPr>
          <w:rFonts w:ascii="Arial" w:hAnsi="Arial" w:cs="Arial"/>
          <w:b/>
        </w:rPr>
        <w:t>3,6 %</w:t>
      </w:r>
      <w:r w:rsidRPr="00513AB7">
        <w:rPr>
          <w:rFonts w:ascii="Arial" w:hAnsi="Arial" w:cs="Arial"/>
        </w:rPr>
        <w:t xml:space="preserve">. Česká </w:t>
      </w:r>
      <w:r w:rsidRPr="008A7E9B">
        <w:rPr>
          <w:rFonts w:ascii="Arial" w:hAnsi="Arial" w:cs="Arial"/>
        </w:rPr>
        <w:t xml:space="preserve">republika tak v rámci EU 28 zaujímá </w:t>
      </w:r>
      <w:r w:rsidRPr="00797A5A">
        <w:rPr>
          <w:rFonts w:ascii="Arial" w:hAnsi="Arial" w:cs="Arial"/>
        </w:rPr>
        <w:t xml:space="preserve">2. nejnižší míru nezaměstnanosti žen. </w:t>
      </w:r>
    </w:p>
    <w:p w:rsidR="00EE15EF" w:rsidRPr="006C1FA1" w:rsidRDefault="00EE15EF" w:rsidP="00EE15EF">
      <w:pPr>
        <w:spacing w:line="360" w:lineRule="auto"/>
        <w:ind w:firstLine="567"/>
        <w:jc w:val="both"/>
        <w:rPr>
          <w:rFonts w:ascii="Arial" w:hAnsi="Arial" w:cs="Arial"/>
        </w:rPr>
      </w:pPr>
      <w:r w:rsidRPr="00F42126">
        <w:rPr>
          <w:rFonts w:ascii="Arial" w:hAnsi="Arial" w:cs="Arial"/>
          <w:b/>
        </w:rPr>
        <w:t xml:space="preserve">Míra nezaměstnanosti mužů v ČR </w:t>
      </w:r>
      <w:r w:rsidRPr="00F42126">
        <w:rPr>
          <w:rFonts w:ascii="Arial" w:hAnsi="Arial" w:cs="Arial"/>
        </w:rPr>
        <w:t xml:space="preserve">je </w:t>
      </w:r>
      <w:r w:rsidRPr="004019E2">
        <w:rPr>
          <w:rFonts w:ascii="Arial" w:hAnsi="Arial" w:cs="Arial"/>
          <w:b/>
        </w:rPr>
        <w:t>výrazně nižší než v EU 28</w:t>
      </w:r>
      <w:r w:rsidR="003F5464">
        <w:rPr>
          <w:rFonts w:ascii="Arial" w:hAnsi="Arial" w:cs="Arial"/>
        </w:rPr>
        <w:t>. V roce </w:t>
      </w:r>
      <w:r w:rsidRPr="00721362">
        <w:rPr>
          <w:rFonts w:ascii="Arial" w:hAnsi="Arial" w:cs="Arial"/>
        </w:rPr>
        <w:t xml:space="preserve">2016 meziročně klesla MN </w:t>
      </w:r>
      <w:r>
        <w:rPr>
          <w:rFonts w:ascii="Arial" w:hAnsi="Arial" w:cs="Arial"/>
        </w:rPr>
        <w:t xml:space="preserve">mužů </w:t>
      </w:r>
      <w:r w:rsidRPr="00721362">
        <w:rPr>
          <w:rFonts w:ascii="Arial" w:hAnsi="Arial" w:cs="Arial"/>
        </w:rPr>
        <w:t>v EU </w:t>
      </w:r>
      <w:r w:rsidRPr="004019E2">
        <w:rPr>
          <w:rFonts w:ascii="Arial" w:hAnsi="Arial" w:cs="Arial"/>
        </w:rPr>
        <w:t>28 na </w:t>
      </w:r>
      <w:r w:rsidRPr="004019E2">
        <w:rPr>
          <w:rFonts w:ascii="Arial" w:hAnsi="Arial" w:cs="Arial"/>
          <w:b/>
        </w:rPr>
        <w:t>8,4 %</w:t>
      </w:r>
      <w:r w:rsidRPr="004019E2">
        <w:rPr>
          <w:rFonts w:ascii="Arial" w:hAnsi="Arial" w:cs="Arial"/>
        </w:rPr>
        <w:t>,</w:t>
      </w:r>
      <w:r w:rsidRPr="004019E2">
        <w:rPr>
          <w:rFonts w:ascii="Arial" w:hAnsi="Arial" w:cs="Arial"/>
          <w:b/>
        </w:rPr>
        <w:t> v ČR</w:t>
      </w:r>
      <w:r w:rsidRPr="004019E2">
        <w:rPr>
          <w:rFonts w:ascii="Arial" w:hAnsi="Arial" w:cs="Arial"/>
        </w:rPr>
        <w:t xml:space="preserve"> se </w:t>
      </w:r>
      <w:r w:rsidRPr="0090775A">
        <w:rPr>
          <w:rFonts w:ascii="Arial" w:hAnsi="Arial" w:cs="Arial"/>
        </w:rPr>
        <w:t xml:space="preserve">snížila na </w:t>
      </w:r>
      <w:r w:rsidRPr="0090775A">
        <w:rPr>
          <w:rFonts w:ascii="Arial" w:hAnsi="Arial" w:cs="Arial"/>
          <w:b/>
        </w:rPr>
        <w:t>3,4 %</w:t>
      </w:r>
      <w:r w:rsidRPr="0090775A">
        <w:rPr>
          <w:rFonts w:ascii="Arial" w:hAnsi="Arial" w:cs="Arial"/>
          <w:bCs/>
        </w:rPr>
        <w:t xml:space="preserve">. </w:t>
      </w:r>
      <w:r w:rsidRPr="0090775A">
        <w:rPr>
          <w:rFonts w:ascii="Arial" w:hAnsi="Arial" w:cs="Arial"/>
        </w:rPr>
        <w:t>V </w:t>
      </w:r>
      <w:r>
        <w:rPr>
          <w:rFonts w:ascii="Arial" w:hAnsi="Arial" w:cs="Arial"/>
          <w:b/>
        </w:rPr>
        <w:t>roce</w:t>
      </w:r>
      <w:r w:rsidRPr="002D7CC5">
        <w:rPr>
          <w:rFonts w:ascii="Arial" w:hAnsi="Arial" w:cs="Arial"/>
          <w:b/>
        </w:rPr>
        <w:t> </w:t>
      </w:r>
      <w:r w:rsidRPr="00D82805">
        <w:rPr>
          <w:rFonts w:ascii="Arial" w:hAnsi="Arial" w:cs="Arial"/>
          <w:b/>
        </w:rPr>
        <w:t>2017</w:t>
      </w:r>
      <w:r w:rsidRPr="003F5464">
        <w:rPr>
          <w:rFonts w:ascii="Arial" w:hAnsi="Arial" w:cs="Arial"/>
        </w:rPr>
        <w:t xml:space="preserve"> </w:t>
      </w:r>
      <w:r w:rsidRPr="0090775A">
        <w:rPr>
          <w:rFonts w:ascii="Arial" w:hAnsi="Arial" w:cs="Arial"/>
        </w:rPr>
        <w:t>dosáhla v </w:t>
      </w:r>
      <w:r w:rsidRPr="0090775A">
        <w:rPr>
          <w:rFonts w:ascii="Arial" w:hAnsi="Arial" w:cs="Arial"/>
          <w:b/>
        </w:rPr>
        <w:t>EU 28</w:t>
      </w:r>
      <w:r w:rsidRPr="0090775A">
        <w:rPr>
          <w:rFonts w:ascii="Arial" w:hAnsi="Arial" w:cs="Arial"/>
        </w:rPr>
        <w:t xml:space="preserve"> </w:t>
      </w:r>
      <w:r w:rsidRPr="00E570F7">
        <w:rPr>
          <w:rFonts w:ascii="Arial" w:hAnsi="Arial" w:cs="Arial"/>
        </w:rPr>
        <w:t xml:space="preserve">hodnoty </w:t>
      </w:r>
      <w:r w:rsidRPr="00E570F7">
        <w:rPr>
          <w:rFonts w:ascii="Arial" w:hAnsi="Arial" w:cs="Arial"/>
          <w:b/>
        </w:rPr>
        <w:t>7,4 %</w:t>
      </w:r>
      <w:r w:rsidRPr="00E570F7">
        <w:rPr>
          <w:rFonts w:ascii="Arial" w:hAnsi="Arial" w:cs="Arial"/>
        </w:rPr>
        <w:t>, v </w:t>
      </w:r>
      <w:r w:rsidRPr="00E570F7">
        <w:rPr>
          <w:rFonts w:ascii="Arial" w:hAnsi="Arial" w:cs="Arial"/>
          <w:b/>
        </w:rPr>
        <w:t>ČR</w:t>
      </w:r>
      <w:r w:rsidRPr="00E570F7">
        <w:rPr>
          <w:rFonts w:ascii="Arial" w:hAnsi="Arial" w:cs="Arial"/>
        </w:rPr>
        <w:t xml:space="preserve"> </w:t>
      </w:r>
      <w:r w:rsidRPr="00E62D46">
        <w:rPr>
          <w:rFonts w:ascii="Arial" w:hAnsi="Arial" w:cs="Arial"/>
        </w:rPr>
        <w:t xml:space="preserve">se snížila na </w:t>
      </w:r>
      <w:r w:rsidRPr="00E62D46">
        <w:rPr>
          <w:rFonts w:ascii="Arial" w:hAnsi="Arial" w:cs="Arial"/>
          <w:b/>
        </w:rPr>
        <w:t>2,3 </w:t>
      </w:r>
      <w:r w:rsidRPr="006C1FA1">
        <w:rPr>
          <w:rFonts w:ascii="Arial" w:hAnsi="Arial" w:cs="Arial"/>
          <w:b/>
        </w:rPr>
        <w:t>%</w:t>
      </w:r>
      <w:r w:rsidR="003F5464">
        <w:rPr>
          <w:rFonts w:ascii="Arial" w:hAnsi="Arial" w:cs="Arial"/>
        </w:rPr>
        <w:t xml:space="preserve"> a </w:t>
      </w:r>
      <w:r w:rsidRPr="006C1FA1">
        <w:rPr>
          <w:rFonts w:ascii="Arial" w:hAnsi="Arial" w:cs="Arial"/>
        </w:rPr>
        <w:t xml:space="preserve">stejně jako v předchozích třech letech byla </w:t>
      </w:r>
      <w:r w:rsidRPr="006C1FA1">
        <w:rPr>
          <w:rFonts w:ascii="Arial" w:hAnsi="Arial" w:cs="Arial"/>
          <w:b/>
        </w:rPr>
        <w:t>nejnižší v rámci EU 28.</w:t>
      </w:r>
    </w:p>
    <w:p w:rsidR="00EE15EF" w:rsidRPr="00D678F0" w:rsidRDefault="00EE15EF" w:rsidP="00EE15EF">
      <w:pPr>
        <w:spacing w:line="360" w:lineRule="auto"/>
        <w:ind w:firstLine="567"/>
        <w:jc w:val="both"/>
        <w:rPr>
          <w:rFonts w:ascii="Arial" w:hAnsi="Arial" w:cs="Arial"/>
        </w:rPr>
      </w:pPr>
      <w:r w:rsidRPr="00E1066D">
        <w:rPr>
          <w:rFonts w:ascii="Arial" w:hAnsi="Arial" w:cs="Arial"/>
          <w:b/>
          <w:bCs/>
        </w:rPr>
        <w:t>Míra nezaměstnanosti mladých ve věku do 25 let</w:t>
      </w:r>
      <w:r w:rsidRPr="00E1066D">
        <w:rPr>
          <w:rFonts w:ascii="Arial" w:hAnsi="Arial" w:cs="Arial"/>
        </w:rPr>
        <w:t xml:space="preserve"> (vztaženo k pracovní síle ve</w:t>
      </w:r>
      <w:r>
        <w:rPr>
          <w:rFonts w:ascii="Arial" w:hAnsi="Arial" w:cs="Arial"/>
        </w:rPr>
        <w:t> </w:t>
      </w:r>
      <w:r w:rsidRPr="00E1066D">
        <w:rPr>
          <w:rFonts w:ascii="Arial" w:hAnsi="Arial" w:cs="Arial"/>
        </w:rPr>
        <w:t xml:space="preserve">stejném věku) v roce </w:t>
      </w:r>
      <w:r w:rsidRPr="00E52FED">
        <w:rPr>
          <w:rFonts w:ascii="Arial" w:hAnsi="Arial" w:cs="Arial"/>
        </w:rPr>
        <w:t>2016 meziročně klesla v </w:t>
      </w:r>
      <w:r w:rsidRPr="00E52FED">
        <w:rPr>
          <w:rFonts w:ascii="Arial" w:hAnsi="Arial" w:cs="Arial"/>
          <w:b/>
        </w:rPr>
        <w:t>EU 28</w:t>
      </w:r>
      <w:r w:rsidRPr="00E52FED">
        <w:rPr>
          <w:rFonts w:ascii="Arial" w:hAnsi="Arial" w:cs="Arial"/>
        </w:rPr>
        <w:t xml:space="preserve"> na 18,7 %</w:t>
      </w:r>
      <w:r w:rsidRPr="00A42FF5">
        <w:rPr>
          <w:rFonts w:ascii="Arial" w:hAnsi="Arial" w:cs="Arial"/>
        </w:rPr>
        <w:t xml:space="preserve">, </w:t>
      </w:r>
      <w:r w:rsidRPr="00E52FED">
        <w:rPr>
          <w:rFonts w:ascii="Arial" w:hAnsi="Arial" w:cs="Arial"/>
        </w:rPr>
        <w:t>v </w:t>
      </w:r>
      <w:r>
        <w:rPr>
          <w:rFonts w:ascii="Arial" w:hAnsi="Arial" w:cs="Arial"/>
          <w:b/>
        </w:rPr>
        <w:t>roce</w:t>
      </w:r>
      <w:r w:rsidRPr="002D7CC5">
        <w:rPr>
          <w:rFonts w:ascii="Arial" w:hAnsi="Arial" w:cs="Arial"/>
          <w:b/>
        </w:rPr>
        <w:t> </w:t>
      </w:r>
      <w:r w:rsidRPr="00D82805">
        <w:rPr>
          <w:rFonts w:ascii="Arial" w:hAnsi="Arial" w:cs="Arial"/>
          <w:b/>
        </w:rPr>
        <w:t>2017</w:t>
      </w:r>
      <w:r w:rsidRPr="003F5464">
        <w:rPr>
          <w:rFonts w:ascii="Arial" w:hAnsi="Arial" w:cs="Arial"/>
        </w:rPr>
        <w:t xml:space="preserve"> </w:t>
      </w:r>
      <w:r w:rsidRPr="00E52FED">
        <w:rPr>
          <w:rFonts w:ascii="Arial" w:hAnsi="Arial" w:cs="Arial"/>
        </w:rPr>
        <w:t xml:space="preserve">se snížila na </w:t>
      </w:r>
      <w:r w:rsidRPr="00E52FED">
        <w:rPr>
          <w:rFonts w:ascii="Arial" w:hAnsi="Arial" w:cs="Arial"/>
          <w:b/>
        </w:rPr>
        <w:t>16,8 %</w:t>
      </w:r>
      <w:r w:rsidRPr="00E52FED">
        <w:rPr>
          <w:rFonts w:ascii="Arial" w:hAnsi="Arial" w:cs="Arial"/>
        </w:rPr>
        <w:t>.</w:t>
      </w:r>
      <w:r w:rsidRPr="00E52FED">
        <w:rPr>
          <w:rFonts w:ascii="Arial" w:hAnsi="Arial" w:cs="Arial"/>
          <w:b/>
        </w:rPr>
        <w:t xml:space="preserve"> </w:t>
      </w:r>
      <w:r w:rsidRPr="00E52FED">
        <w:rPr>
          <w:rFonts w:ascii="Arial" w:hAnsi="Arial" w:cs="Arial"/>
        </w:rPr>
        <w:t>V </w:t>
      </w:r>
      <w:r w:rsidRPr="00E52FED">
        <w:rPr>
          <w:rFonts w:ascii="Arial" w:hAnsi="Arial" w:cs="Arial"/>
          <w:b/>
        </w:rPr>
        <w:t>ČR</w:t>
      </w:r>
      <w:r w:rsidRPr="00E52FED">
        <w:rPr>
          <w:rFonts w:ascii="Arial" w:hAnsi="Arial" w:cs="Arial"/>
        </w:rPr>
        <w:t xml:space="preserve"> je míra nezaměstnanosti mladých dlouhodobě podprůměrná, přičemž dynamika poklesu je v posledních letech větší než tempo poklesu evropského průměru. V roce 2016 pokračoval meziroční pokles na 10,5 %, </w:t>
      </w:r>
      <w:r w:rsidRPr="003A617A">
        <w:rPr>
          <w:rFonts w:ascii="Arial" w:hAnsi="Arial" w:cs="Arial"/>
        </w:rPr>
        <w:t>v </w:t>
      </w:r>
      <w:r w:rsidRPr="00E1066D">
        <w:rPr>
          <w:rFonts w:ascii="Arial" w:hAnsi="Arial" w:cs="Arial"/>
        </w:rPr>
        <w:t>roce </w:t>
      </w:r>
      <w:r w:rsidRPr="00BA34A6">
        <w:rPr>
          <w:rFonts w:ascii="Arial" w:hAnsi="Arial" w:cs="Arial"/>
        </w:rPr>
        <w:t>2017</w:t>
      </w:r>
      <w:r w:rsidRPr="00BA34A6">
        <w:rPr>
          <w:rFonts w:ascii="Arial" w:hAnsi="Arial" w:cs="Arial"/>
          <w:b/>
        </w:rPr>
        <w:t xml:space="preserve"> </w:t>
      </w:r>
      <w:r w:rsidRPr="00BA34A6">
        <w:rPr>
          <w:rFonts w:ascii="Arial" w:hAnsi="Arial" w:cs="Arial"/>
        </w:rPr>
        <w:t xml:space="preserve">se míra nezaměstnanosti mladých snížila na </w:t>
      </w:r>
      <w:r w:rsidRPr="00BA34A6">
        <w:rPr>
          <w:rFonts w:ascii="Arial" w:hAnsi="Arial" w:cs="Arial"/>
          <w:b/>
        </w:rPr>
        <w:t>7,9 </w:t>
      </w:r>
      <w:r w:rsidRPr="008A7A30">
        <w:rPr>
          <w:rFonts w:ascii="Arial" w:hAnsi="Arial" w:cs="Arial"/>
          <w:b/>
        </w:rPr>
        <w:t>%</w:t>
      </w:r>
      <w:r w:rsidRPr="008A7A30">
        <w:rPr>
          <w:rFonts w:ascii="Arial" w:hAnsi="Arial" w:cs="Arial"/>
        </w:rPr>
        <w:t xml:space="preserve">. ČR vykázala 2. nejnižší míru nezaměstnanosti mladých do 25 let v rámci zemí EU 28, stejně jako ve stejném období předchozího roku. Nejnižší míru nezaměstnanosti mladých vykázalo Německo (6,8 %), naopak k zemím s nejvyšší hodnotou MN mladých v rámci EU 28 </w:t>
      </w:r>
      <w:r w:rsidRPr="00EE00C0">
        <w:rPr>
          <w:rFonts w:ascii="Arial" w:hAnsi="Arial" w:cs="Arial"/>
        </w:rPr>
        <w:t>patří Řecko (43,7 %) a </w:t>
      </w:r>
      <w:r w:rsidRPr="00A754B3">
        <w:rPr>
          <w:rFonts w:ascii="Arial" w:hAnsi="Arial" w:cs="Arial"/>
        </w:rPr>
        <w:t>Španělsko (38,6 %). V </w:t>
      </w:r>
      <w:r w:rsidRPr="002B25B1">
        <w:rPr>
          <w:rFonts w:ascii="Arial" w:hAnsi="Arial" w:cs="Arial"/>
        </w:rPr>
        <w:t xml:space="preserve">rámci </w:t>
      </w:r>
      <w:r w:rsidRPr="002B25B1">
        <w:rPr>
          <w:rFonts w:ascii="Arial" w:hAnsi="Arial" w:cs="Arial"/>
          <w:b/>
        </w:rPr>
        <w:t>Strategie Evropa 2020</w:t>
      </w:r>
      <w:r w:rsidRPr="002B25B1">
        <w:rPr>
          <w:rFonts w:ascii="Arial" w:hAnsi="Arial" w:cs="Arial"/>
        </w:rPr>
        <w:t xml:space="preserve"> je stanoven národní cíl ČR snížit míru nezamě</w:t>
      </w:r>
      <w:r w:rsidR="00FB132C">
        <w:rPr>
          <w:rFonts w:ascii="Arial" w:hAnsi="Arial" w:cs="Arial"/>
        </w:rPr>
        <w:t>stnanosti u mladých osob ve věku </w:t>
      </w:r>
      <w:r w:rsidRPr="002B25B1">
        <w:rPr>
          <w:rFonts w:ascii="Arial" w:hAnsi="Arial" w:cs="Arial"/>
        </w:rPr>
        <w:t>15</w:t>
      </w:r>
      <w:r w:rsidRPr="003D11E7">
        <w:rPr>
          <w:rFonts w:ascii="Arial" w:hAnsi="Arial" w:cs="Arial"/>
        </w:rPr>
        <w:t>–</w:t>
      </w:r>
      <w:r w:rsidRPr="00D678F0">
        <w:rPr>
          <w:rFonts w:ascii="Arial" w:hAnsi="Arial" w:cs="Arial"/>
        </w:rPr>
        <w:t>24 let o třetinu oproti roku 2010, tj. na </w:t>
      </w:r>
      <w:r w:rsidRPr="00D678F0">
        <w:rPr>
          <w:rFonts w:ascii="Arial" w:hAnsi="Arial" w:cs="Arial"/>
          <w:b/>
        </w:rPr>
        <w:t>12,2 %</w:t>
      </w:r>
      <w:r w:rsidRPr="00D678F0">
        <w:rPr>
          <w:rFonts w:ascii="Arial" w:hAnsi="Arial" w:cs="Arial"/>
        </w:rPr>
        <w:t>. Tento cíl je průběžně plněn.</w:t>
      </w:r>
    </w:p>
    <w:p w:rsidR="00EE15EF" w:rsidRPr="00E744A3" w:rsidRDefault="00EE15EF" w:rsidP="00EE15EF">
      <w:pPr>
        <w:spacing w:line="360" w:lineRule="auto"/>
        <w:ind w:firstLine="567"/>
        <w:jc w:val="both"/>
        <w:rPr>
          <w:rFonts w:ascii="Arial" w:hAnsi="Arial" w:cs="Arial"/>
        </w:rPr>
      </w:pPr>
      <w:r w:rsidRPr="00D678F0">
        <w:rPr>
          <w:rFonts w:ascii="Arial" w:hAnsi="Arial" w:cs="Arial"/>
        </w:rPr>
        <w:t>Pokud jde o</w:t>
      </w:r>
      <w:r w:rsidRPr="00D678F0">
        <w:rPr>
          <w:rFonts w:ascii="Arial" w:hAnsi="Arial" w:cs="Arial"/>
          <w:b/>
        </w:rPr>
        <w:t xml:space="preserve"> míru nezaměstnanosti osob s nízkou kvalifikací</w:t>
      </w:r>
      <w:r w:rsidRPr="00D678F0">
        <w:rPr>
          <w:rFonts w:ascii="Arial" w:hAnsi="Arial" w:cs="Arial"/>
        </w:rPr>
        <w:t xml:space="preserve"> (stupeň ISCED 0</w:t>
      </w:r>
      <w:r w:rsidRPr="003D11E7">
        <w:rPr>
          <w:rFonts w:ascii="Arial" w:hAnsi="Arial" w:cs="Arial"/>
        </w:rPr>
        <w:t>–</w:t>
      </w:r>
      <w:r w:rsidRPr="00D678F0">
        <w:rPr>
          <w:rFonts w:ascii="Arial" w:hAnsi="Arial" w:cs="Arial"/>
        </w:rPr>
        <w:t xml:space="preserve">2 mezinárodní klasifikace vzdělání), je národním cílem ČR v rámci </w:t>
      </w:r>
      <w:r w:rsidRPr="00D678F0">
        <w:rPr>
          <w:rFonts w:ascii="Arial" w:hAnsi="Arial" w:cs="Arial"/>
          <w:b/>
        </w:rPr>
        <w:t>Strategie</w:t>
      </w:r>
      <w:r w:rsidRPr="00D678F0">
        <w:rPr>
          <w:rFonts w:ascii="Arial" w:hAnsi="Arial" w:cs="Arial"/>
        </w:rPr>
        <w:t xml:space="preserve"> </w:t>
      </w:r>
      <w:r w:rsidRPr="00D678F0">
        <w:rPr>
          <w:rFonts w:ascii="Arial" w:hAnsi="Arial" w:cs="Arial"/>
          <w:b/>
        </w:rPr>
        <w:t>Evropa 2020</w:t>
      </w:r>
      <w:r w:rsidRPr="00D678F0">
        <w:rPr>
          <w:rFonts w:ascii="Arial" w:hAnsi="Arial" w:cs="Arial"/>
        </w:rPr>
        <w:t xml:space="preserve"> její snížení do roku 2020 o jednu čtvrtinu, tj. </w:t>
      </w:r>
      <w:r w:rsidRPr="00D678F0">
        <w:rPr>
          <w:rFonts w:ascii="Arial" w:hAnsi="Arial" w:cs="Arial"/>
          <w:b/>
        </w:rPr>
        <w:t>na cca 18,8 </w:t>
      </w:r>
      <w:r w:rsidRPr="00813360">
        <w:rPr>
          <w:rFonts w:ascii="Arial" w:hAnsi="Arial" w:cs="Arial"/>
          <w:b/>
        </w:rPr>
        <w:t>%</w:t>
      </w:r>
      <w:r w:rsidRPr="00813360">
        <w:rPr>
          <w:rFonts w:ascii="Arial" w:hAnsi="Arial" w:cs="Arial"/>
        </w:rPr>
        <w:t>. V předchozích letech patřila nezaměstnanost osob s nízkou kvalifikací v </w:t>
      </w:r>
      <w:r w:rsidRPr="00813360">
        <w:rPr>
          <w:rFonts w:ascii="Arial" w:hAnsi="Arial" w:cs="Arial"/>
          <w:b/>
        </w:rPr>
        <w:t>ČR</w:t>
      </w:r>
      <w:r w:rsidRPr="00813360">
        <w:rPr>
          <w:rFonts w:ascii="Arial" w:hAnsi="Arial" w:cs="Arial"/>
        </w:rPr>
        <w:t xml:space="preserve"> na rozdíl od celkové míry nezaměstnanosti a míry nezaměstnanosti mladých k nejvyšším v EU 28, v roce 2016 činila 20,5 % (7. nejvyšší v rámci EU 28). V </w:t>
      </w:r>
      <w:r>
        <w:rPr>
          <w:rFonts w:ascii="Arial" w:hAnsi="Arial" w:cs="Arial"/>
          <w:b/>
        </w:rPr>
        <w:t>roce</w:t>
      </w:r>
      <w:r w:rsidRPr="002D7CC5">
        <w:rPr>
          <w:rFonts w:ascii="Arial" w:hAnsi="Arial" w:cs="Arial"/>
          <w:b/>
        </w:rPr>
        <w:t> </w:t>
      </w:r>
      <w:r w:rsidRPr="0087074C">
        <w:rPr>
          <w:rFonts w:ascii="Arial" w:hAnsi="Arial" w:cs="Arial"/>
          <w:b/>
        </w:rPr>
        <w:t>2017</w:t>
      </w:r>
      <w:r w:rsidRPr="0087074C">
        <w:rPr>
          <w:rStyle w:val="Znakapoznpodarou"/>
          <w:rFonts w:ascii="Arial" w:hAnsi="Arial" w:cs="Arial"/>
        </w:rPr>
        <w:footnoteReference w:id="15"/>
      </w:r>
      <w:r w:rsidRPr="0087074C">
        <w:rPr>
          <w:rFonts w:ascii="Arial" w:hAnsi="Arial" w:cs="Arial"/>
          <w:b/>
        </w:rPr>
        <w:t xml:space="preserve"> </w:t>
      </w:r>
      <w:r w:rsidRPr="0087074C">
        <w:rPr>
          <w:rFonts w:ascii="Arial" w:hAnsi="Arial" w:cs="Arial"/>
        </w:rPr>
        <w:t xml:space="preserve">se hodnota tohoto ukazatele výrazně meziročně </w:t>
      </w:r>
      <w:r w:rsidRPr="005E7B9E">
        <w:rPr>
          <w:rFonts w:ascii="Arial" w:hAnsi="Arial" w:cs="Arial"/>
        </w:rPr>
        <w:t xml:space="preserve">snížila </w:t>
      </w:r>
      <w:r w:rsidRPr="005E7B9E">
        <w:rPr>
          <w:rFonts w:ascii="Arial" w:hAnsi="Arial" w:cs="Arial"/>
          <w:b/>
        </w:rPr>
        <w:t>o 7,4 p. b. na</w:t>
      </w:r>
      <w:r w:rsidRPr="005E7B9E">
        <w:rPr>
          <w:rFonts w:ascii="Arial" w:hAnsi="Arial" w:cs="Arial"/>
        </w:rPr>
        <w:t xml:space="preserve"> </w:t>
      </w:r>
      <w:r w:rsidRPr="0087074C">
        <w:rPr>
          <w:rFonts w:ascii="Arial" w:hAnsi="Arial" w:cs="Arial"/>
          <w:b/>
        </w:rPr>
        <w:t>13,1 </w:t>
      </w:r>
      <w:r w:rsidRPr="005E7B9E">
        <w:rPr>
          <w:rFonts w:ascii="Arial" w:hAnsi="Arial" w:cs="Arial"/>
          <w:b/>
        </w:rPr>
        <w:t xml:space="preserve">%, což byl </w:t>
      </w:r>
      <w:r w:rsidRPr="005E7B9E">
        <w:rPr>
          <w:rFonts w:ascii="Arial" w:hAnsi="Arial" w:cs="Arial"/>
          <w:b/>
        </w:rPr>
        <w:lastRenderedPageBreak/>
        <w:t>nej</w:t>
      </w:r>
      <w:r>
        <w:rPr>
          <w:rFonts w:ascii="Arial" w:hAnsi="Arial" w:cs="Arial"/>
          <w:b/>
        </w:rPr>
        <w:t>vyšší pokles v rámci EU 28</w:t>
      </w:r>
      <w:r w:rsidRPr="005E7B9E">
        <w:rPr>
          <w:rFonts w:ascii="Arial" w:hAnsi="Arial" w:cs="Arial"/>
        </w:rPr>
        <w:t xml:space="preserve">. </w:t>
      </w:r>
      <w:r w:rsidRPr="005E7B9E">
        <w:rPr>
          <w:rFonts w:ascii="Arial" w:hAnsi="Arial" w:cs="Arial"/>
          <w:b/>
        </w:rPr>
        <w:t>ČR</w:t>
      </w:r>
      <w:r w:rsidRPr="005E7B9E">
        <w:rPr>
          <w:rFonts w:ascii="Arial" w:hAnsi="Arial" w:cs="Arial"/>
        </w:rPr>
        <w:t xml:space="preserve"> </w:t>
      </w:r>
      <w:r>
        <w:rPr>
          <w:rFonts w:ascii="Arial" w:hAnsi="Arial" w:cs="Arial"/>
        </w:rPr>
        <w:t xml:space="preserve">tak vykázala </w:t>
      </w:r>
      <w:r w:rsidRPr="005E7B9E">
        <w:rPr>
          <w:rFonts w:ascii="Arial" w:hAnsi="Arial" w:cs="Arial"/>
          <w:b/>
        </w:rPr>
        <w:t>podprůměrnou míru nezaměstnanosti osob s nízkou kvalifikací</w:t>
      </w:r>
      <w:r w:rsidRPr="005E7B9E">
        <w:rPr>
          <w:rFonts w:ascii="Arial" w:hAnsi="Arial" w:cs="Arial"/>
        </w:rPr>
        <w:t xml:space="preserve"> </w:t>
      </w:r>
      <w:r>
        <w:rPr>
          <w:rFonts w:ascii="Arial" w:hAnsi="Arial" w:cs="Arial"/>
        </w:rPr>
        <w:t>(</w:t>
      </w:r>
      <w:r w:rsidRPr="005E7B9E">
        <w:rPr>
          <w:rFonts w:ascii="Arial" w:hAnsi="Arial" w:cs="Arial"/>
        </w:rPr>
        <w:t>zaujímala až 14. místo</w:t>
      </w:r>
      <w:r w:rsidR="003F5464">
        <w:rPr>
          <w:rFonts w:ascii="Arial" w:hAnsi="Arial" w:cs="Arial"/>
        </w:rPr>
        <w:t>) a </w:t>
      </w:r>
      <w:r>
        <w:rPr>
          <w:rFonts w:ascii="Arial" w:hAnsi="Arial" w:cs="Arial"/>
        </w:rPr>
        <w:t xml:space="preserve">současně také </w:t>
      </w:r>
      <w:r w:rsidRPr="005E7B9E">
        <w:rPr>
          <w:rFonts w:ascii="Arial" w:hAnsi="Arial" w:cs="Arial"/>
          <w:b/>
        </w:rPr>
        <w:t>průběžně splnila stanovený národní cíl</w:t>
      </w:r>
      <w:r>
        <w:rPr>
          <w:rFonts w:ascii="Arial" w:hAnsi="Arial" w:cs="Arial"/>
        </w:rPr>
        <w:t xml:space="preserve"> v rámci</w:t>
      </w:r>
      <w:r w:rsidRPr="005E7B9E">
        <w:t xml:space="preserve"> </w:t>
      </w:r>
      <w:r w:rsidR="003F5464">
        <w:rPr>
          <w:rFonts w:ascii="Arial" w:hAnsi="Arial" w:cs="Arial"/>
        </w:rPr>
        <w:t>Strategie Evropa </w:t>
      </w:r>
      <w:r w:rsidRPr="005B1EF6">
        <w:rPr>
          <w:rFonts w:ascii="Arial" w:hAnsi="Arial" w:cs="Arial"/>
        </w:rPr>
        <w:t>2020. V </w:t>
      </w:r>
      <w:r w:rsidRPr="005B1EF6">
        <w:rPr>
          <w:rFonts w:ascii="Arial" w:hAnsi="Arial" w:cs="Arial"/>
          <w:b/>
        </w:rPr>
        <w:t>EU 28</w:t>
      </w:r>
      <w:r w:rsidRPr="005B1EF6">
        <w:rPr>
          <w:rFonts w:ascii="Arial" w:hAnsi="Arial" w:cs="Arial"/>
        </w:rPr>
        <w:t xml:space="preserve"> se v roce </w:t>
      </w:r>
      <w:r w:rsidRPr="003F5464">
        <w:rPr>
          <w:rFonts w:ascii="Arial" w:hAnsi="Arial" w:cs="Arial"/>
        </w:rPr>
        <w:t>2016 snížila na</w:t>
      </w:r>
      <w:r w:rsidRPr="005B1EF6">
        <w:rPr>
          <w:rFonts w:ascii="Arial" w:hAnsi="Arial" w:cs="Arial"/>
          <w:b/>
        </w:rPr>
        <w:t xml:space="preserve"> </w:t>
      </w:r>
      <w:r w:rsidRPr="005B1EF6">
        <w:rPr>
          <w:rFonts w:ascii="Arial" w:hAnsi="Arial" w:cs="Arial"/>
        </w:rPr>
        <w:t>16,1 %, v </w:t>
      </w:r>
      <w:r w:rsidRPr="005B1EF6">
        <w:rPr>
          <w:rFonts w:ascii="Arial" w:hAnsi="Arial" w:cs="Arial"/>
          <w:b/>
        </w:rPr>
        <w:t>roce </w:t>
      </w:r>
      <w:r w:rsidRPr="0087074C">
        <w:rPr>
          <w:rFonts w:ascii="Arial" w:hAnsi="Arial" w:cs="Arial"/>
          <w:b/>
        </w:rPr>
        <w:t>2017</w:t>
      </w:r>
      <w:r w:rsidRPr="005B1EF6">
        <w:rPr>
          <w:rStyle w:val="Znakapoznpodarou"/>
          <w:rFonts w:ascii="Arial" w:hAnsi="Arial" w:cs="Arial"/>
        </w:rPr>
        <w:footnoteReference w:id="16"/>
      </w:r>
      <w:r w:rsidRPr="005B1EF6">
        <w:rPr>
          <w:rFonts w:ascii="Arial" w:hAnsi="Arial" w:cs="Arial"/>
          <w:b/>
        </w:rPr>
        <w:t xml:space="preserve"> </w:t>
      </w:r>
      <w:r w:rsidRPr="005B1EF6">
        <w:rPr>
          <w:rFonts w:ascii="Arial" w:hAnsi="Arial" w:cs="Arial"/>
        </w:rPr>
        <w:t>se meziročně snížila o</w:t>
      </w:r>
      <w:r>
        <w:rPr>
          <w:rFonts w:ascii="Arial" w:hAnsi="Arial" w:cs="Arial"/>
        </w:rPr>
        <w:t> </w:t>
      </w:r>
      <w:r w:rsidRPr="005B1EF6">
        <w:rPr>
          <w:rFonts w:ascii="Arial" w:hAnsi="Arial" w:cs="Arial"/>
        </w:rPr>
        <w:t xml:space="preserve">1,3 p. b. na </w:t>
      </w:r>
      <w:r w:rsidRPr="005B1EF6">
        <w:rPr>
          <w:rFonts w:ascii="Arial" w:hAnsi="Arial" w:cs="Arial"/>
          <w:b/>
        </w:rPr>
        <w:t>14,8 %</w:t>
      </w:r>
      <w:r w:rsidRPr="005B1EF6">
        <w:rPr>
          <w:rFonts w:ascii="Arial" w:hAnsi="Arial" w:cs="Arial"/>
        </w:rPr>
        <w:t xml:space="preserve">. MN osob s nízkou kvalifikací byla </w:t>
      </w:r>
      <w:r w:rsidRPr="00060070">
        <w:rPr>
          <w:rFonts w:ascii="Arial" w:hAnsi="Arial" w:cs="Arial"/>
        </w:rPr>
        <w:t>nejvyšší na Slovensku (29,8 %) a ve </w:t>
      </w:r>
      <w:r w:rsidRPr="00C544E0">
        <w:rPr>
          <w:rFonts w:ascii="Arial" w:hAnsi="Arial" w:cs="Arial"/>
        </w:rPr>
        <w:t xml:space="preserve">Španělsku (25,0 %). Nejpříznivější situace </w:t>
      </w:r>
      <w:r w:rsidRPr="00E744A3">
        <w:rPr>
          <w:rFonts w:ascii="Arial" w:hAnsi="Arial" w:cs="Arial"/>
        </w:rPr>
        <w:t>byla na Maltě a</w:t>
      </w:r>
      <w:r w:rsidR="006B76EF">
        <w:rPr>
          <w:rFonts w:ascii="Arial" w:hAnsi="Arial" w:cs="Arial"/>
        </w:rPr>
        <w:t> </w:t>
      </w:r>
      <w:r w:rsidRPr="00E744A3">
        <w:rPr>
          <w:rFonts w:ascii="Arial" w:hAnsi="Arial" w:cs="Arial"/>
        </w:rPr>
        <w:t xml:space="preserve">v Rumunsku, kde byl tento ukazatel pod úrovní 7,0 %. </w:t>
      </w:r>
    </w:p>
    <w:p w:rsidR="00EE15EF" w:rsidRPr="00954407" w:rsidRDefault="00EE15EF" w:rsidP="00EE15EF">
      <w:pPr>
        <w:spacing w:line="360" w:lineRule="auto"/>
        <w:ind w:firstLine="567"/>
        <w:jc w:val="both"/>
        <w:rPr>
          <w:rFonts w:ascii="Arial" w:hAnsi="Arial" w:cs="Arial"/>
          <w:sz w:val="18"/>
          <w:szCs w:val="18"/>
        </w:rPr>
      </w:pPr>
    </w:p>
    <w:p w:rsidR="00EE15EF" w:rsidRPr="006B76EF" w:rsidRDefault="00EE15EF" w:rsidP="00EE15EF">
      <w:pPr>
        <w:ind w:left="6800" w:firstLine="680"/>
        <w:jc w:val="center"/>
        <w:rPr>
          <w:rFonts w:ascii="Arial" w:hAnsi="Arial" w:cs="Arial"/>
          <w:sz w:val="20"/>
          <w:szCs w:val="20"/>
        </w:rPr>
      </w:pPr>
      <w:r w:rsidRPr="006B76EF">
        <w:rPr>
          <w:rFonts w:ascii="Arial" w:hAnsi="Arial" w:cs="Arial"/>
          <w:sz w:val="20"/>
          <w:szCs w:val="20"/>
        </w:rPr>
        <w:t>graf č. 2</w:t>
      </w:r>
      <w:r w:rsidR="006B76EF" w:rsidRPr="006B76EF">
        <w:rPr>
          <w:rFonts w:ascii="Arial" w:hAnsi="Arial" w:cs="Arial"/>
          <w:sz w:val="20"/>
          <w:szCs w:val="20"/>
        </w:rPr>
        <w:t>6</w:t>
      </w:r>
    </w:p>
    <w:p w:rsidR="00EE15EF" w:rsidRPr="00C47ED4" w:rsidRDefault="00EE15EF" w:rsidP="00EE15EF">
      <w:pPr>
        <w:spacing w:line="360" w:lineRule="auto"/>
        <w:jc w:val="center"/>
      </w:pPr>
      <w:r w:rsidRPr="001E2572">
        <w:rPr>
          <w:rFonts w:ascii="Arial" w:hAnsi="Arial" w:cs="Arial"/>
          <w:b/>
        </w:rPr>
        <w:t>Srovnání míry nezaměstnanosti v EU 28 a ČR</w:t>
      </w:r>
      <w:r w:rsidRPr="001E2572">
        <w:rPr>
          <w:noProof/>
        </w:rPr>
        <w:t xml:space="preserve"> </w:t>
      </w:r>
      <w:r>
        <w:rPr>
          <w:noProof/>
        </w:rPr>
        <w:drawing>
          <wp:inline distT="0" distB="0" distL="0" distR="0">
            <wp:extent cx="2609849" cy="2024063"/>
            <wp:effectExtent l="0" t="0" r="635" b="1460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F36F55">
        <w:rPr>
          <w:noProof/>
          <w:color w:val="FF00FF"/>
        </w:rPr>
        <w:t xml:space="preserve"> </w:t>
      </w:r>
      <w:r>
        <w:rPr>
          <w:noProof/>
        </w:rPr>
        <w:drawing>
          <wp:inline distT="0" distB="0" distL="0" distR="0">
            <wp:extent cx="2609849" cy="2024063"/>
            <wp:effectExtent l="0" t="0" r="635" b="1460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E15EF" w:rsidRPr="00C47ED4" w:rsidRDefault="00EE15EF" w:rsidP="00EE15EF">
      <w:pPr>
        <w:spacing w:line="360" w:lineRule="auto"/>
        <w:jc w:val="center"/>
      </w:pPr>
      <w:r w:rsidRPr="00C47ED4">
        <w:rPr>
          <w:noProof/>
        </w:rPr>
        <w:drawing>
          <wp:inline distT="0" distB="0" distL="0" distR="0">
            <wp:extent cx="2609849" cy="2024063"/>
            <wp:effectExtent l="0" t="0" r="635" b="1460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C47ED4">
        <w:rPr>
          <w:noProof/>
        </w:rPr>
        <w:t xml:space="preserve"> </w:t>
      </w:r>
      <w:r w:rsidRPr="00C47ED4">
        <w:rPr>
          <w:noProof/>
        </w:rPr>
        <w:drawing>
          <wp:inline distT="0" distB="0" distL="0" distR="0">
            <wp:extent cx="2609849" cy="2024063"/>
            <wp:effectExtent l="0" t="0" r="635" b="1460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E15EF" w:rsidRPr="00536C1A" w:rsidRDefault="00EE15EF" w:rsidP="00EE15EF">
      <w:pPr>
        <w:spacing w:line="360" w:lineRule="auto"/>
        <w:ind w:firstLine="567"/>
        <w:jc w:val="both"/>
        <w:rPr>
          <w:rFonts w:ascii="Arial" w:hAnsi="Arial" w:cs="Arial"/>
          <w:i/>
          <w:sz w:val="16"/>
          <w:szCs w:val="16"/>
        </w:rPr>
      </w:pPr>
      <w:r w:rsidRPr="00536C1A">
        <w:rPr>
          <w:rFonts w:ascii="Arial" w:hAnsi="Arial" w:cs="Arial"/>
          <w:i/>
          <w:sz w:val="16"/>
          <w:szCs w:val="16"/>
        </w:rPr>
        <w:t xml:space="preserve">*) průměr </w:t>
      </w:r>
      <w:r>
        <w:rPr>
          <w:rFonts w:ascii="Arial" w:hAnsi="Arial" w:cs="Arial"/>
          <w:i/>
          <w:sz w:val="16"/>
          <w:szCs w:val="16"/>
        </w:rPr>
        <w:t xml:space="preserve">hodnot </w:t>
      </w:r>
      <w:r w:rsidRPr="00536C1A">
        <w:rPr>
          <w:rFonts w:ascii="Arial" w:hAnsi="Arial" w:cs="Arial"/>
          <w:i/>
          <w:sz w:val="16"/>
          <w:szCs w:val="16"/>
        </w:rPr>
        <w:t>za 1.</w:t>
      </w:r>
      <w:r>
        <w:rPr>
          <w:rFonts w:ascii="Arial" w:hAnsi="Arial" w:cs="Arial"/>
          <w:i/>
          <w:sz w:val="16"/>
          <w:szCs w:val="16"/>
        </w:rPr>
        <w:t> </w:t>
      </w:r>
      <w:r w:rsidRPr="00536C1A">
        <w:rPr>
          <w:rFonts w:ascii="Arial" w:hAnsi="Arial" w:cs="Arial"/>
          <w:i/>
          <w:sz w:val="16"/>
          <w:szCs w:val="16"/>
        </w:rPr>
        <w:t>-</w:t>
      </w:r>
      <w:r>
        <w:rPr>
          <w:rFonts w:ascii="Arial" w:hAnsi="Arial" w:cs="Arial"/>
          <w:i/>
          <w:sz w:val="16"/>
          <w:szCs w:val="16"/>
        </w:rPr>
        <w:t> </w:t>
      </w:r>
      <w:r w:rsidRPr="00536C1A">
        <w:rPr>
          <w:rFonts w:ascii="Arial" w:hAnsi="Arial" w:cs="Arial"/>
          <w:i/>
          <w:sz w:val="16"/>
          <w:szCs w:val="16"/>
        </w:rPr>
        <w:t>4. čtvrtletí 2017</w:t>
      </w:r>
    </w:p>
    <w:p w:rsidR="00EE15EF" w:rsidRPr="00EE0B0C" w:rsidRDefault="00EE15EF" w:rsidP="00EE15EF">
      <w:pPr>
        <w:widowControl w:val="0"/>
        <w:autoSpaceDE w:val="0"/>
        <w:autoSpaceDN w:val="0"/>
        <w:adjustRightInd w:val="0"/>
        <w:spacing w:line="360" w:lineRule="auto"/>
        <w:ind w:firstLine="567"/>
        <w:jc w:val="both"/>
        <w:rPr>
          <w:rFonts w:ascii="Arial" w:hAnsi="Arial" w:cs="Arial"/>
          <w:b/>
        </w:rPr>
      </w:pPr>
    </w:p>
    <w:p w:rsidR="00EE15EF" w:rsidRPr="005E7D7E" w:rsidRDefault="00EE15EF" w:rsidP="00EE15EF">
      <w:pPr>
        <w:widowControl w:val="0"/>
        <w:autoSpaceDE w:val="0"/>
        <w:autoSpaceDN w:val="0"/>
        <w:adjustRightInd w:val="0"/>
        <w:spacing w:line="360" w:lineRule="auto"/>
        <w:ind w:firstLine="567"/>
        <w:jc w:val="both"/>
        <w:rPr>
          <w:rFonts w:ascii="Arial" w:hAnsi="Arial" w:cs="Arial"/>
          <w:bCs/>
        </w:rPr>
      </w:pPr>
      <w:r w:rsidRPr="00EE0B0C">
        <w:rPr>
          <w:rFonts w:ascii="Arial" w:hAnsi="Arial" w:cs="Arial"/>
          <w:b/>
        </w:rPr>
        <w:t>Míra</w:t>
      </w:r>
      <w:r w:rsidRPr="00EE0B0C">
        <w:rPr>
          <w:rFonts w:ascii="Arial" w:hAnsi="Arial" w:cs="Arial"/>
        </w:rPr>
        <w:t xml:space="preserve"> </w:t>
      </w:r>
      <w:r w:rsidRPr="00EE0B0C">
        <w:rPr>
          <w:rFonts w:ascii="Arial" w:hAnsi="Arial" w:cs="Arial"/>
          <w:b/>
          <w:bCs/>
        </w:rPr>
        <w:t>dlouhodobé nezaměstnanosti</w:t>
      </w:r>
      <w:r w:rsidRPr="00EE0B0C">
        <w:rPr>
          <w:rFonts w:ascii="Arial" w:hAnsi="Arial" w:cs="Arial"/>
        </w:rPr>
        <w:t xml:space="preserve"> (podíl nezaměstnaných déle než 12 měsíců na pracovní síle</w:t>
      </w:r>
      <w:r w:rsidRPr="00EF688A">
        <w:rPr>
          <w:rFonts w:ascii="Arial" w:hAnsi="Arial" w:cs="Arial"/>
        </w:rPr>
        <w:t>) po dlouhodobém nárůstu v období 2009</w:t>
      </w:r>
      <w:r w:rsidRPr="003D11E7">
        <w:rPr>
          <w:rFonts w:ascii="Arial" w:hAnsi="Arial" w:cs="Arial"/>
        </w:rPr>
        <w:t>–</w:t>
      </w:r>
      <w:r w:rsidRPr="00EF688A">
        <w:rPr>
          <w:rFonts w:ascii="Arial" w:hAnsi="Arial" w:cs="Arial"/>
        </w:rPr>
        <w:t>2013 začala v </w:t>
      </w:r>
      <w:r w:rsidRPr="00EF688A">
        <w:rPr>
          <w:rFonts w:ascii="Arial" w:hAnsi="Arial" w:cs="Arial"/>
          <w:b/>
        </w:rPr>
        <w:t>EU 28</w:t>
      </w:r>
      <w:r w:rsidRPr="00EF688A">
        <w:rPr>
          <w:rFonts w:ascii="Arial" w:hAnsi="Arial" w:cs="Arial"/>
        </w:rPr>
        <w:t xml:space="preserve"> postupně klesat. V roce 2016 byla zaznamenána </w:t>
      </w:r>
      <w:r w:rsidR="003F5464">
        <w:rPr>
          <w:rFonts w:ascii="Arial" w:hAnsi="Arial" w:cs="Arial"/>
        </w:rPr>
        <w:t>hodnota </w:t>
      </w:r>
      <w:r w:rsidRPr="004D4B1A">
        <w:rPr>
          <w:rFonts w:ascii="Arial" w:hAnsi="Arial" w:cs="Arial"/>
        </w:rPr>
        <w:t xml:space="preserve">4,0 %. </w:t>
      </w:r>
      <w:r w:rsidR="006B76EF">
        <w:rPr>
          <w:rFonts w:ascii="Arial" w:hAnsi="Arial" w:cs="Arial"/>
        </w:rPr>
        <w:t xml:space="preserve">          </w:t>
      </w:r>
      <w:r>
        <w:rPr>
          <w:rFonts w:ascii="Arial" w:hAnsi="Arial" w:cs="Arial"/>
        </w:rPr>
        <w:t>V</w:t>
      </w:r>
      <w:r w:rsidRPr="003A617A">
        <w:rPr>
          <w:rFonts w:ascii="Arial" w:hAnsi="Arial" w:cs="Arial"/>
        </w:rPr>
        <w:t> </w:t>
      </w:r>
      <w:r w:rsidRPr="002D7CC5">
        <w:rPr>
          <w:rFonts w:ascii="Arial" w:hAnsi="Arial" w:cs="Arial"/>
          <w:b/>
        </w:rPr>
        <w:t>1. - 3. čtvrtletí </w:t>
      </w:r>
      <w:r w:rsidRPr="00177CD2">
        <w:rPr>
          <w:rFonts w:ascii="Arial" w:hAnsi="Arial" w:cs="Arial"/>
          <w:b/>
        </w:rPr>
        <w:t xml:space="preserve">2017 </w:t>
      </w:r>
      <w:r w:rsidRPr="00177CD2">
        <w:rPr>
          <w:rFonts w:ascii="Arial" w:hAnsi="Arial" w:cs="Arial"/>
        </w:rPr>
        <w:t xml:space="preserve">se </w:t>
      </w:r>
      <w:r w:rsidRPr="00177CD2">
        <w:rPr>
          <w:rFonts w:ascii="Arial" w:hAnsi="Arial" w:cs="Arial"/>
          <w:bCs/>
        </w:rPr>
        <w:t xml:space="preserve">míra dlouhodobé nezaměstnanosti </w:t>
      </w:r>
      <w:r w:rsidRPr="00177CD2">
        <w:rPr>
          <w:rFonts w:ascii="Arial" w:hAnsi="Arial" w:cs="Arial"/>
        </w:rPr>
        <w:t xml:space="preserve">snížila na </w:t>
      </w:r>
      <w:r w:rsidRPr="00177CD2">
        <w:rPr>
          <w:rFonts w:ascii="Arial" w:hAnsi="Arial" w:cs="Arial"/>
          <w:b/>
        </w:rPr>
        <w:t>3,5 </w:t>
      </w:r>
      <w:r w:rsidRPr="00744D5B">
        <w:rPr>
          <w:rFonts w:ascii="Arial" w:hAnsi="Arial" w:cs="Arial"/>
          <w:b/>
        </w:rPr>
        <w:t>%</w:t>
      </w:r>
      <w:r w:rsidRPr="00744D5B">
        <w:rPr>
          <w:rFonts w:ascii="Arial" w:hAnsi="Arial" w:cs="Arial"/>
        </w:rPr>
        <w:t xml:space="preserve">. </w:t>
      </w:r>
      <w:r w:rsidRPr="00744D5B">
        <w:rPr>
          <w:rFonts w:ascii="Arial" w:hAnsi="Arial" w:cs="Arial"/>
          <w:b/>
        </w:rPr>
        <w:t>Česká republika</w:t>
      </w:r>
      <w:r w:rsidRPr="00744D5B">
        <w:rPr>
          <w:rFonts w:ascii="Arial" w:hAnsi="Arial" w:cs="Arial"/>
        </w:rPr>
        <w:t xml:space="preserve"> patří k zemím s nejnižší mírou dlo</w:t>
      </w:r>
      <w:r w:rsidR="003F5464">
        <w:rPr>
          <w:rFonts w:ascii="Arial" w:hAnsi="Arial" w:cs="Arial"/>
        </w:rPr>
        <w:t>uhodobé nezaměstnanosti, v roce </w:t>
      </w:r>
      <w:r w:rsidRPr="00744D5B">
        <w:rPr>
          <w:rFonts w:ascii="Arial" w:hAnsi="Arial" w:cs="Arial"/>
        </w:rPr>
        <w:t xml:space="preserve">2016 </w:t>
      </w:r>
      <w:r w:rsidRPr="00744D5B">
        <w:rPr>
          <w:rFonts w:ascii="Arial" w:hAnsi="Arial" w:cs="Arial"/>
        </w:rPr>
        <w:lastRenderedPageBreak/>
        <w:t xml:space="preserve">zaznamenala 3. nejnižší hodnotu </w:t>
      </w:r>
      <w:r w:rsidRPr="004A34FF">
        <w:rPr>
          <w:rFonts w:ascii="Arial" w:hAnsi="Arial" w:cs="Arial"/>
        </w:rPr>
        <w:t xml:space="preserve">spolu s Německem, tj. 1,7 %, </w:t>
      </w:r>
      <w:r w:rsidRPr="003A617A">
        <w:rPr>
          <w:rFonts w:ascii="Arial" w:hAnsi="Arial" w:cs="Arial"/>
        </w:rPr>
        <w:t>v </w:t>
      </w:r>
      <w:r w:rsidRPr="00EE0B0C">
        <w:rPr>
          <w:rFonts w:ascii="Arial" w:hAnsi="Arial" w:cs="Arial"/>
        </w:rPr>
        <w:t>1. - 3. čtvrtletí 2017</w:t>
      </w:r>
      <w:r w:rsidRPr="003F5464">
        <w:rPr>
          <w:rFonts w:ascii="Arial" w:hAnsi="Arial" w:cs="Arial"/>
        </w:rPr>
        <w:t xml:space="preserve"> </w:t>
      </w:r>
      <w:r w:rsidRPr="0080192B">
        <w:rPr>
          <w:rFonts w:ascii="Arial" w:hAnsi="Arial" w:cs="Arial"/>
        </w:rPr>
        <w:t>klesla na</w:t>
      </w:r>
      <w:r w:rsidRPr="0080192B">
        <w:rPr>
          <w:rFonts w:ascii="Arial" w:hAnsi="Arial" w:cs="Arial"/>
          <w:b/>
        </w:rPr>
        <w:t xml:space="preserve"> 1,1 </w:t>
      </w:r>
      <w:r w:rsidRPr="00B66223">
        <w:rPr>
          <w:rFonts w:ascii="Arial" w:hAnsi="Arial" w:cs="Arial"/>
          <w:b/>
        </w:rPr>
        <w:t>%</w:t>
      </w:r>
      <w:r w:rsidRPr="00B66223">
        <w:rPr>
          <w:rFonts w:ascii="Arial" w:hAnsi="Arial" w:cs="Arial"/>
        </w:rPr>
        <w:t xml:space="preserve">, </w:t>
      </w:r>
      <w:r w:rsidRPr="00B66223">
        <w:rPr>
          <w:rFonts w:ascii="Arial" w:hAnsi="Arial" w:cs="Arial"/>
          <w:b/>
        </w:rPr>
        <w:t>což byla nejnižší hodnota v EU </w:t>
      </w:r>
      <w:r w:rsidRPr="005E7D7E">
        <w:rPr>
          <w:rFonts w:ascii="Arial" w:hAnsi="Arial" w:cs="Arial"/>
          <w:b/>
        </w:rPr>
        <w:t>28</w:t>
      </w:r>
      <w:r w:rsidRPr="005E7D7E">
        <w:rPr>
          <w:rFonts w:ascii="Arial" w:hAnsi="Arial" w:cs="Arial"/>
        </w:rPr>
        <w:t>.</w:t>
      </w:r>
      <w:r w:rsidRPr="005E7D7E">
        <w:rPr>
          <w:rFonts w:ascii="Arial" w:hAnsi="Arial" w:cs="Arial"/>
          <w:bCs/>
        </w:rPr>
        <w:t xml:space="preserve"> Nejvyšší dlouhodobá nezaměstnanost byla naměřena v Řecku (15,8 %).</w:t>
      </w:r>
    </w:p>
    <w:p w:rsidR="00EE15EF" w:rsidRPr="00160938" w:rsidRDefault="00EE15EF" w:rsidP="00EE15EF">
      <w:pPr>
        <w:widowControl w:val="0"/>
        <w:autoSpaceDE w:val="0"/>
        <w:autoSpaceDN w:val="0"/>
        <w:adjustRightInd w:val="0"/>
        <w:spacing w:line="360" w:lineRule="auto"/>
        <w:ind w:firstLine="567"/>
        <w:jc w:val="both"/>
        <w:rPr>
          <w:rFonts w:ascii="Arial" w:hAnsi="Arial" w:cs="Arial"/>
        </w:rPr>
      </w:pPr>
      <w:r w:rsidRPr="00EE0B0C">
        <w:rPr>
          <w:rFonts w:ascii="Arial" w:hAnsi="Arial" w:cs="Arial"/>
        </w:rPr>
        <w:t xml:space="preserve">Ukazatel </w:t>
      </w:r>
      <w:r w:rsidRPr="00EE0B0C">
        <w:rPr>
          <w:rFonts w:ascii="Arial" w:hAnsi="Arial" w:cs="Arial"/>
          <w:b/>
        </w:rPr>
        <w:t xml:space="preserve">míry volných míst </w:t>
      </w:r>
      <w:r w:rsidRPr="00EE0B0C">
        <w:rPr>
          <w:rFonts w:ascii="Arial" w:hAnsi="Arial" w:cs="Arial"/>
        </w:rPr>
        <w:t>(procentní podíl volných míst k součtu volných a obsazených míst</w:t>
      </w:r>
      <w:r w:rsidRPr="00A50AEE">
        <w:rPr>
          <w:rFonts w:ascii="Arial" w:hAnsi="Arial" w:cs="Arial"/>
        </w:rPr>
        <w:t xml:space="preserve">) dosáhl v roce 2016 v </w:t>
      </w:r>
      <w:r w:rsidRPr="00A50AEE">
        <w:rPr>
          <w:rFonts w:ascii="Arial" w:hAnsi="Arial" w:cs="Arial"/>
          <w:b/>
        </w:rPr>
        <w:t>EU 28</w:t>
      </w:r>
      <w:r w:rsidRPr="00A50AEE">
        <w:rPr>
          <w:rFonts w:ascii="Arial" w:hAnsi="Arial" w:cs="Arial"/>
        </w:rPr>
        <w:t xml:space="preserve"> hodnoty 1,8 % (průměr EU 28 vykazuje EUROSTAT pouze bez zahrnutí primárního sektoru), v </w:t>
      </w:r>
      <w:r>
        <w:rPr>
          <w:rFonts w:ascii="Arial" w:hAnsi="Arial" w:cs="Arial"/>
          <w:b/>
        </w:rPr>
        <w:t>roce</w:t>
      </w:r>
      <w:r w:rsidRPr="002D7CC5">
        <w:rPr>
          <w:rFonts w:ascii="Arial" w:hAnsi="Arial" w:cs="Arial"/>
          <w:b/>
        </w:rPr>
        <w:t> </w:t>
      </w:r>
      <w:r w:rsidRPr="00D82805">
        <w:rPr>
          <w:rFonts w:ascii="Arial" w:hAnsi="Arial" w:cs="Arial"/>
          <w:b/>
        </w:rPr>
        <w:t xml:space="preserve">2017 </w:t>
      </w:r>
      <w:r w:rsidRPr="00E575EE">
        <w:rPr>
          <w:rFonts w:ascii="Arial" w:hAnsi="Arial" w:cs="Arial"/>
        </w:rPr>
        <w:t xml:space="preserve">se míra volných pracovních míst v EU 28 zvýšila </w:t>
      </w:r>
      <w:r w:rsidRPr="00CA6E78">
        <w:rPr>
          <w:rFonts w:ascii="Arial" w:hAnsi="Arial" w:cs="Arial"/>
        </w:rPr>
        <w:t xml:space="preserve">na </w:t>
      </w:r>
      <w:r w:rsidRPr="00CA6E78">
        <w:rPr>
          <w:rFonts w:ascii="Arial" w:hAnsi="Arial" w:cs="Arial"/>
          <w:b/>
        </w:rPr>
        <w:t>2,0 %</w:t>
      </w:r>
      <w:r w:rsidRPr="00CA6E78">
        <w:rPr>
          <w:rFonts w:ascii="Arial" w:hAnsi="Arial" w:cs="Arial"/>
        </w:rPr>
        <w:t xml:space="preserve">. Míra volných míst </w:t>
      </w:r>
      <w:r w:rsidRPr="00CA6E78">
        <w:rPr>
          <w:rFonts w:ascii="Arial" w:hAnsi="Arial" w:cs="Arial"/>
          <w:b/>
        </w:rPr>
        <w:t>v ČR</w:t>
      </w:r>
      <w:r w:rsidRPr="00CA6E78">
        <w:rPr>
          <w:rFonts w:ascii="Arial" w:hAnsi="Arial" w:cs="Arial"/>
        </w:rPr>
        <w:t xml:space="preserve"> v roce 2016</w:t>
      </w:r>
      <w:r w:rsidRPr="00CA6E78">
        <w:rPr>
          <w:rFonts w:ascii="Arial" w:hAnsi="Arial" w:cs="Arial"/>
          <w:b/>
        </w:rPr>
        <w:t xml:space="preserve"> </w:t>
      </w:r>
      <w:r w:rsidRPr="00CA6E78">
        <w:rPr>
          <w:rFonts w:ascii="Arial" w:hAnsi="Arial" w:cs="Arial"/>
        </w:rPr>
        <w:t xml:space="preserve">dosáhla hodnoty 2,9 %, </w:t>
      </w:r>
      <w:r w:rsidRPr="003A617A">
        <w:rPr>
          <w:rFonts w:ascii="Arial" w:hAnsi="Arial" w:cs="Arial"/>
        </w:rPr>
        <w:t>v </w:t>
      </w:r>
      <w:r>
        <w:rPr>
          <w:rFonts w:ascii="Arial" w:hAnsi="Arial" w:cs="Arial"/>
        </w:rPr>
        <w:t>roce</w:t>
      </w:r>
      <w:r w:rsidRPr="00EE0B0C">
        <w:rPr>
          <w:rFonts w:ascii="Arial" w:hAnsi="Arial" w:cs="Arial"/>
        </w:rPr>
        <w:t> </w:t>
      </w:r>
      <w:r w:rsidRPr="003F5464">
        <w:rPr>
          <w:rFonts w:ascii="Arial" w:hAnsi="Arial" w:cs="Arial"/>
        </w:rPr>
        <w:t xml:space="preserve">2017 vzrostla na </w:t>
      </w:r>
      <w:r w:rsidRPr="00C36F58">
        <w:rPr>
          <w:rFonts w:ascii="Arial" w:hAnsi="Arial" w:cs="Arial"/>
          <w:b/>
        </w:rPr>
        <w:t>3,9 %</w:t>
      </w:r>
      <w:r w:rsidRPr="00C36F58">
        <w:rPr>
          <w:rFonts w:ascii="Arial" w:hAnsi="Arial" w:cs="Arial"/>
        </w:rPr>
        <w:t xml:space="preserve">, což je nejvíce z jednotlivých zemí, které data pro tuto statistiku poskytují. Nejnižší </w:t>
      </w:r>
      <w:r w:rsidRPr="0072378D">
        <w:rPr>
          <w:rFonts w:ascii="Arial" w:hAnsi="Arial" w:cs="Arial"/>
        </w:rPr>
        <w:t xml:space="preserve">hodnotu zaznamenalo Bulharsko a </w:t>
      </w:r>
      <w:r w:rsidRPr="00160938">
        <w:rPr>
          <w:rFonts w:ascii="Arial" w:hAnsi="Arial" w:cs="Arial"/>
        </w:rPr>
        <w:t>Portugalsko (shodně 0,9 %).</w:t>
      </w:r>
    </w:p>
    <w:p w:rsidR="00EE15EF" w:rsidRPr="00160938" w:rsidRDefault="00EE15EF" w:rsidP="00EE15EF">
      <w:pPr>
        <w:spacing w:line="360" w:lineRule="auto"/>
        <w:ind w:firstLine="567"/>
        <w:jc w:val="both"/>
        <w:rPr>
          <w:rFonts w:ascii="Arial" w:hAnsi="Arial" w:cs="Arial"/>
        </w:rPr>
      </w:pPr>
      <w:r w:rsidRPr="00160938">
        <w:rPr>
          <w:rFonts w:ascii="Arial" w:hAnsi="Arial" w:cs="Arial"/>
        </w:rPr>
        <w:t xml:space="preserve">Z výše uvedeného vyplývá, že </w:t>
      </w:r>
      <w:r w:rsidRPr="00160938">
        <w:rPr>
          <w:rFonts w:ascii="Arial" w:hAnsi="Arial" w:cs="Arial"/>
          <w:b/>
        </w:rPr>
        <w:t>ČR vykazuje vyšší hodnoty než průměr EU 28 u míry zaměstnanosti všech kategorií sle</w:t>
      </w:r>
      <w:r w:rsidR="003F5464">
        <w:rPr>
          <w:rFonts w:ascii="Arial" w:hAnsi="Arial" w:cs="Arial"/>
          <w:b/>
        </w:rPr>
        <w:t>dovaných ve Strategii Evropa </w:t>
      </w:r>
      <w:r w:rsidRPr="00160938">
        <w:rPr>
          <w:rFonts w:ascii="Arial" w:hAnsi="Arial" w:cs="Arial"/>
          <w:b/>
        </w:rPr>
        <w:t>2020</w:t>
      </w:r>
      <w:r w:rsidRPr="00160938">
        <w:rPr>
          <w:rFonts w:ascii="Arial" w:hAnsi="Arial" w:cs="Arial"/>
        </w:rPr>
        <w:t xml:space="preserve"> a </w:t>
      </w:r>
      <w:r w:rsidRPr="00160938">
        <w:rPr>
          <w:rFonts w:ascii="Arial" w:hAnsi="Arial" w:cs="Arial"/>
          <w:b/>
        </w:rPr>
        <w:t>zaostává ve využívání kratší pracovní doby</w:t>
      </w:r>
      <w:r w:rsidRPr="00160938">
        <w:rPr>
          <w:rFonts w:ascii="Arial" w:hAnsi="Arial" w:cs="Arial"/>
        </w:rPr>
        <w:t>.</w:t>
      </w:r>
    </w:p>
    <w:p w:rsidR="00EE15EF" w:rsidRPr="00EE0B0C" w:rsidRDefault="00EE15EF" w:rsidP="00EE15EF">
      <w:pPr>
        <w:spacing w:line="360" w:lineRule="auto"/>
        <w:ind w:firstLine="567"/>
        <w:jc w:val="both"/>
        <w:rPr>
          <w:rFonts w:ascii="Arial" w:hAnsi="Arial" w:cs="Arial"/>
        </w:rPr>
      </w:pPr>
      <w:r w:rsidRPr="00EE0B0C">
        <w:rPr>
          <w:rFonts w:ascii="Arial" w:hAnsi="Arial" w:cs="Arial"/>
          <w:b/>
        </w:rPr>
        <w:t>Celková míra nezaměstnanosti, míra nezaměstnanosti mladých a dlouhodobě nezaměstnaných je pod průměrem EU 28</w:t>
      </w:r>
      <w:r w:rsidRPr="00EE0B0C">
        <w:rPr>
          <w:rFonts w:ascii="Arial" w:hAnsi="Arial" w:cs="Arial"/>
        </w:rPr>
        <w:t xml:space="preserve">, </w:t>
      </w:r>
      <w:r w:rsidRPr="00EE0B0C">
        <w:rPr>
          <w:rFonts w:ascii="Arial" w:hAnsi="Arial" w:cs="Arial"/>
          <w:b/>
        </w:rPr>
        <w:t>míra nezaměstnanosti osob s nízkou kvalifikací</w:t>
      </w:r>
      <w:r w:rsidRPr="00EE0B0C">
        <w:rPr>
          <w:rFonts w:ascii="Arial" w:hAnsi="Arial" w:cs="Arial"/>
        </w:rPr>
        <w:t xml:space="preserve"> byla dlouhodobě nadprůměrná, v roce 2017 se výrazně snížila a </w:t>
      </w:r>
      <w:r w:rsidRPr="00EE0B0C">
        <w:rPr>
          <w:rFonts w:ascii="Arial" w:hAnsi="Arial" w:cs="Arial"/>
          <w:b/>
        </w:rPr>
        <w:t>klesla pod průměr EU 28</w:t>
      </w:r>
      <w:r w:rsidRPr="00EE0B0C">
        <w:rPr>
          <w:rFonts w:ascii="Arial" w:hAnsi="Arial" w:cs="Arial"/>
        </w:rPr>
        <w:t>.</w:t>
      </w:r>
    </w:p>
    <w:p w:rsidR="00EE15EF" w:rsidRPr="00702BFB" w:rsidRDefault="00EE15EF" w:rsidP="00EE15EF">
      <w:pPr>
        <w:widowControl w:val="0"/>
        <w:autoSpaceDE w:val="0"/>
        <w:autoSpaceDN w:val="0"/>
        <w:adjustRightInd w:val="0"/>
        <w:spacing w:line="360" w:lineRule="auto"/>
        <w:ind w:firstLine="567"/>
        <w:jc w:val="both"/>
        <w:rPr>
          <w:rFonts w:ascii="Arial" w:hAnsi="Arial" w:cs="Arial"/>
        </w:rPr>
      </w:pPr>
    </w:p>
    <w:p w:rsidR="00440AD8" w:rsidRPr="001857A6" w:rsidRDefault="00440AD8" w:rsidP="00440AD8">
      <w:pPr>
        <w:spacing w:line="360" w:lineRule="auto"/>
        <w:ind w:firstLine="567"/>
        <w:jc w:val="both"/>
        <w:rPr>
          <w:rFonts w:ascii="Arial" w:hAnsi="Arial" w:cs="Arial"/>
        </w:rPr>
      </w:pPr>
    </w:p>
    <w:p w:rsidR="00440AD8" w:rsidRPr="007746FE" w:rsidRDefault="00440AD8" w:rsidP="00BF03B8">
      <w:pPr>
        <w:pStyle w:val="Nadpis1"/>
        <w:rPr>
          <w:szCs w:val="20"/>
        </w:rPr>
      </w:pPr>
      <w:r>
        <w:rPr>
          <w:color w:val="FF0000"/>
        </w:rPr>
        <w:br w:type="column"/>
      </w:r>
      <w:bookmarkStart w:id="165" w:name="_Toc464827496"/>
      <w:bookmarkStart w:id="166" w:name="_Toc513198689"/>
      <w:r w:rsidRPr="007746FE">
        <w:lastRenderedPageBreak/>
        <w:t>Očekávání ve vývoji zaměstnanosti a nezaměstnanosti</w:t>
      </w:r>
      <w:bookmarkEnd w:id="165"/>
      <w:bookmarkEnd w:id="166"/>
      <w:r w:rsidR="00B06E8D">
        <w:t xml:space="preserve"> </w:t>
      </w:r>
    </w:p>
    <w:p w:rsidR="00440AD8" w:rsidRPr="007746FE" w:rsidRDefault="00440AD8" w:rsidP="00440AD8">
      <w:pPr>
        <w:tabs>
          <w:tab w:val="left" w:pos="426"/>
        </w:tabs>
        <w:ind w:left="1581"/>
        <w:outlineLvl w:val="0"/>
        <w:rPr>
          <w:rFonts w:ascii="Arial" w:hAnsi="Arial" w:cs="Arial"/>
          <w:b/>
          <w:bCs/>
          <w:spacing w:val="-3"/>
          <w:kern w:val="32"/>
          <w:sz w:val="28"/>
          <w:szCs w:val="32"/>
        </w:rPr>
      </w:pPr>
    </w:p>
    <w:p w:rsidR="00B83160" w:rsidRPr="00B06E8D" w:rsidRDefault="00B83160" w:rsidP="00B83160">
      <w:pPr>
        <w:spacing w:line="360" w:lineRule="auto"/>
        <w:ind w:firstLine="567"/>
        <w:jc w:val="both"/>
        <w:rPr>
          <w:rFonts w:ascii="Arial" w:hAnsi="Arial" w:cs="Arial"/>
        </w:rPr>
      </w:pPr>
      <w:r>
        <w:rPr>
          <w:rFonts w:ascii="Arial" w:hAnsi="Arial" w:cs="Arial"/>
        </w:rPr>
        <w:t>Pozitivní ekonomický vývoj zaznamenaný od roku</w:t>
      </w:r>
      <w:r w:rsidRPr="00D72FE9">
        <w:rPr>
          <w:rFonts w:ascii="Arial" w:hAnsi="Arial" w:cs="Arial"/>
        </w:rPr>
        <w:t xml:space="preserve"> 2014 </w:t>
      </w:r>
      <w:r w:rsidR="00B06E8D">
        <w:rPr>
          <w:rFonts w:ascii="Arial" w:hAnsi="Arial" w:cs="Arial"/>
        </w:rPr>
        <w:t>vyvrcholil v roce </w:t>
      </w:r>
      <w:r>
        <w:rPr>
          <w:rFonts w:ascii="Arial" w:hAnsi="Arial" w:cs="Arial"/>
        </w:rPr>
        <w:t>2015 meziročním nárůstem HDP o</w:t>
      </w:r>
      <w:r w:rsidRPr="00D72FE9">
        <w:rPr>
          <w:rFonts w:ascii="Arial" w:hAnsi="Arial" w:cs="Arial"/>
        </w:rPr>
        <w:t> 5,3 %. V roce 2016 temp</w:t>
      </w:r>
      <w:r>
        <w:rPr>
          <w:rFonts w:ascii="Arial" w:hAnsi="Arial" w:cs="Arial"/>
        </w:rPr>
        <w:t>o růstu HDP zpomalilo na</w:t>
      </w:r>
      <w:r w:rsidR="003F5464">
        <w:rPr>
          <w:rFonts w:ascii="Arial" w:hAnsi="Arial" w:cs="Arial"/>
        </w:rPr>
        <w:t> </w:t>
      </w:r>
      <w:r>
        <w:rPr>
          <w:rFonts w:ascii="Arial" w:hAnsi="Arial" w:cs="Arial"/>
        </w:rPr>
        <w:t>2,6 %, v</w:t>
      </w:r>
      <w:r w:rsidRPr="00D72FE9">
        <w:rPr>
          <w:rFonts w:ascii="Arial" w:hAnsi="Arial" w:cs="Arial"/>
        </w:rPr>
        <w:t xml:space="preserve"> roce 2017 </w:t>
      </w:r>
      <w:r>
        <w:rPr>
          <w:rFonts w:ascii="Arial" w:hAnsi="Arial" w:cs="Arial"/>
        </w:rPr>
        <w:t xml:space="preserve">opět </w:t>
      </w:r>
      <w:r w:rsidRPr="00D72FE9">
        <w:rPr>
          <w:rFonts w:ascii="Arial" w:hAnsi="Arial" w:cs="Arial"/>
        </w:rPr>
        <w:t>zrychlil</w:t>
      </w:r>
      <w:r>
        <w:rPr>
          <w:rFonts w:ascii="Arial" w:hAnsi="Arial" w:cs="Arial"/>
        </w:rPr>
        <w:t>o</w:t>
      </w:r>
      <w:r w:rsidRPr="00D72FE9">
        <w:rPr>
          <w:rFonts w:ascii="Arial" w:hAnsi="Arial" w:cs="Arial"/>
        </w:rPr>
        <w:t xml:space="preserve"> na </w:t>
      </w:r>
      <w:r>
        <w:rPr>
          <w:rFonts w:ascii="Arial" w:hAnsi="Arial" w:cs="Arial"/>
        </w:rPr>
        <w:t>4,4 </w:t>
      </w:r>
      <w:r w:rsidRPr="00444888">
        <w:rPr>
          <w:rFonts w:ascii="Arial" w:hAnsi="Arial" w:cs="Arial"/>
        </w:rPr>
        <w:t>%</w:t>
      </w:r>
      <w:r>
        <w:rPr>
          <w:rFonts w:ascii="Arial" w:hAnsi="Arial" w:cs="Arial"/>
        </w:rPr>
        <w:t>. Souběžně</w:t>
      </w:r>
      <w:r w:rsidR="00B06E8D">
        <w:rPr>
          <w:rFonts w:ascii="Arial" w:hAnsi="Arial" w:cs="Arial"/>
        </w:rPr>
        <w:t xml:space="preserve"> s růstem ekonomiky byl od</w:t>
      </w:r>
      <w:r w:rsidR="003F5464">
        <w:rPr>
          <w:rFonts w:ascii="Arial" w:hAnsi="Arial" w:cs="Arial"/>
        </w:rPr>
        <w:t> </w:t>
      </w:r>
      <w:r w:rsidR="00B06E8D">
        <w:rPr>
          <w:rFonts w:ascii="Arial" w:hAnsi="Arial" w:cs="Arial"/>
        </w:rPr>
        <w:t>roku </w:t>
      </w:r>
      <w:r>
        <w:rPr>
          <w:rFonts w:ascii="Arial" w:hAnsi="Arial" w:cs="Arial"/>
        </w:rPr>
        <w:t xml:space="preserve">2014 patrný i růst zaměstnanosti, </w:t>
      </w:r>
      <w:r w:rsidRPr="009F6A56">
        <w:rPr>
          <w:rFonts w:ascii="Arial" w:hAnsi="Arial" w:cs="Arial"/>
        </w:rPr>
        <w:t xml:space="preserve">který v roce </w:t>
      </w:r>
      <w:r w:rsidR="003F5464">
        <w:rPr>
          <w:rFonts w:ascii="Arial" w:hAnsi="Arial" w:cs="Arial"/>
        </w:rPr>
        <w:t>2016 dosáhl nejvyšší hodnoty od </w:t>
      </w:r>
      <w:r w:rsidRPr="009F6A56">
        <w:rPr>
          <w:rFonts w:ascii="Arial" w:hAnsi="Arial" w:cs="Arial"/>
        </w:rPr>
        <w:t>začátku ekonomické a finanční krize. Její nárůst činil 1,9 %, stejně jako v</w:t>
      </w:r>
      <w:r w:rsidR="003F5464">
        <w:rPr>
          <w:rFonts w:ascii="Arial" w:hAnsi="Arial" w:cs="Arial"/>
        </w:rPr>
        <w:t> předkrizovém roce </w:t>
      </w:r>
      <w:r w:rsidRPr="009F6A56">
        <w:rPr>
          <w:rFonts w:ascii="Arial" w:hAnsi="Arial" w:cs="Arial"/>
        </w:rPr>
        <w:t>2007</w:t>
      </w:r>
      <w:r w:rsidR="00B06E8D">
        <w:rPr>
          <w:rFonts w:ascii="Arial" w:hAnsi="Arial" w:cs="Arial"/>
        </w:rPr>
        <w:t xml:space="preserve">. </w:t>
      </w:r>
    </w:p>
    <w:p w:rsidR="00B83160" w:rsidRPr="00AA32D3" w:rsidRDefault="00B83160" w:rsidP="00B83160">
      <w:pPr>
        <w:spacing w:line="360" w:lineRule="auto"/>
        <w:ind w:firstLine="567"/>
        <w:jc w:val="both"/>
        <w:rPr>
          <w:rFonts w:ascii="Arial" w:hAnsi="Arial" w:cs="Arial"/>
          <w:b/>
        </w:rPr>
      </w:pPr>
      <w:r w:rsidRPr="009F6A56">
        <w:rPr>
          <w:rFonts w:ascii="Arial" w:hAnsi="Arial" w:cs="Arial"/>
        </w:rPr>
        <w:t xml:space="preserve">I přes pozitivní vývoj ekonomiky se bariérou pro významnější růst zaměstnanosti stává nedostatek vhodné volné pracovní síly. Nesoulad poptávky zaměstnavatelů po pracovnících a nabídky práce se již projevil ve </w:t>
      </w:r>
      <w:r w:rsidRPr="009F6A56">
        <w:rPr>
          <w:rFonts w:ascii="Arial" w:hAnsi="Arial" w:cs="Arial"/>
          <w:b/>
        </w:rPr>
        <w:t>zpomalení nárůstu zaměstnanosti</w:t>
      </w:r>
      <w:r w:rsidRPr="009F6A56">
        <w:rPr>
          <w:rFonts w:ascii="Arial" w:hAnsi="Arial" w:cs="Arial"/>
        </w:rPr>
        <w:t xml:space="preserve">, který </w:t>
      </w:r>
      <w:r w:rsidRPr="009F6A56">
        <w:rPr>
          <w:rFonts w:ascii="Arial" w:hAnsi="Arial" w:cs="Arial"/>
          <w:b/>
        </w:rPr>
        <w:t>v roce 2017 klesl na 1,6 %</w:t>
      </w:r>
      <w:r w:rsidRPr="003F5464">
        <w:rPr>
          <w:rFonts w:ascii="Arial" w:hAnsi="Arial" w:cs="Arial"/>
        </w:rPr>
        <w:t xml:space="preserve"> </w:t>
      </w:r>
      <w:r w:rsidR="003F5464">
        <w:rPr>
          <w:rFonts w:ascii="Arial" w:hAnsi="Arial" w:cs="Arial"/>
        </w:rPr>
        <w:t>a </w:t>
      </w:r>
      <w:r w:rsidRPr="009F6A56">
        <w:rPr>
          <w:rFonts w:ascii="Arial" w:hAnsi="Arial" w:cs="Arial"/>
        </w:rPr>
        <w:t>očekává se, že</w:t>
      </w:r>
      <w:r w:rsidRPr="003F5464">
        <w:rPr>
          <w:rFonts w:ascii="Arial" w:hAnsi="Arial" w:cs="Arial"/>
        </w:rPr>
        <w:t xml:space="preserve"> </w:t>
      </w:r>
      <w:r w:rsidRPr="009F6A56">
        <w:rPr>
          <w:rFonts w:ascii="Arial" w:hAnsi="Arial" w:cs="Arial"/>
          <w:b/>
        </w:rPr>
        <w:t>bude pokračovat i v dalším období.</w:t>
      </w:r>
      <w:r w:rsidRPr="00AA32D3">
        <w:rPr>
          <w:rFonts w:ascii="Arial" w:hAnsi="Arial" w:cs="Arial"/>
          <w:b/>
        </w:rPr>
        <w:t xml:space="preserve"> </w:t>
      </w:r>
    </w:p>
    <w:p w:rsidR="00B83160" w:rsidRPr="009A08AD" w:rsidRDefault="003F5464" w:rsidP="00B83160">
      <w:pPr>
        <w:spacing w:line="360" w:lineRule="auto"/>
        <w:ind w:firstLine="567"/>
        <w:jc w:val="both"/>
        <w:rPr>
          <w:rFonts w:ascii="Arial" w:hAnsi="Arial" w:cs="Arial"/>
        </w:rPr>
      </w:pPr>
      <w:r>
        <w:rPr>
          <w:rFonts w:ascii="Arial" w:hAnsi="Arial" w:cs="Arial"/>
        </w:rPr>
        <w:t>Základní informace o </w:t>
      </w:r>
      <w:r w:rsidR="00B83160" w:rsidRPr="009A08AD">
        <w:rPr>
          <w:rFonts w:ascii="Arial" w:hAnsi="Arial" w:cs="Arial"/>
        </w:rPr>
        <w:t xml:space="preserve">dalším vývoji </w:t>
      </w:r>
      <w:r w:rsidR="00B83160">
        <w:rPr>
          <w:rFonts w:ascii="Arial" w:hAnsi="Arial" w:cs="Arial"/>
        </w:rPr>
        <w:t>zaměstnanosti</w:t>
      </w:r>
      <w:r w:rsidR="00B83160" w:rsidRPr="009A08AD">
        <w:rPr>
          <w:rFonts w:ascii="Arial" w:hAnsi="Arial" w:cs="Arial"/>
        </w:rPr>
        <w:t xml:space="preserve"> podle VŠPS za</w:t>
      </w:r>
      <w:r>
        <w:rPr>
          <w:rFonts w:ascii="Arial" w:hAnsi="Arial" w:cs="Arial"/>
        </w:rPr>
        <w:t> </w:t>
      </w:r>
      <w:r w:rsidR="00B83160" w:rsidRPr="009A08AD">
        <w:rPr>
          <w:rFonts w:ascii="Arial" w:hAnsi="Arial" w:cs="Arial"/>
        </w:rPr>
        <w:t>1. čtvrtletí 201</w:t>
      </w:r>
      <w:r w:rsidR="00B83160">
        <w:rPr>
          <w:rFonts w:ascii="Arial" w:hAnsi="Arial" w:cs="Arial"/>
        </w:rPr>
        <w:t>8</w:t>
      </w:r>
      <w:r w:rsidR="00B83160" w:rsidRPr="009A08AD">
        <w:rPr>
          <w:rFonts w:ascii="Arial" w:hAnsi="Arial" w:cs="Arial"/>
        </w:rPr>
        <w:t xml:space="preserve"> zveřejní ČSÚ formou Rychlé </w:t>
      </w:r>
      <w:r w:rsidR="00B06E8D">
        <w:rPr>
          <w:rFonts w:ascii="Arial" w:hAnsi="Arial" w:cs="Arial"/>
        </w:rPr>
        <w:t>informace počátkem května </w:t>
      </w:r>
      <w:r w:rsidR="00B83160" w:rsidRPr="000512A2">
        <w:rPr>
          <w:rFonts w:ascii="Arial" w:hAnsi="Arial" w:cs="Arial"/>
        </w:rPr>
        <w:t>2018</w:t>
      </w:r>
      <w:r w:rsidR="00B83160" w:rsidRPr="009A08AD">
        <w:rPr>
          <w:rFonts w:ascii="Arial" w:hAnsi="Arial" w:cs="Arial"/>
        </w:rPr>
        <w:t xml:space="preserve"> (publikace s podrobnými výsledky bude zveřejněna až </w:t>
      </w:r>
      <w:r>
        <w:rPr>
          <w:rFonts w:ascii="Arial" w:hAnsi="Arial" w:cs="Arial"/>
        </w:rPr>
        <w:t>počátkem července </w:t>
      </w:r>
      <w:r w:rsidR="00B83160" w:rsidRPr="0068246F">
        <w:rPr>
          <w:rFonts w:ascii="Arial" w:hAnsi="Arial" w:cs="Arial"/>
        </w:rPr>
        <w:t>2018).</w:t>
      </w:r>
    </w:p>
    <w:p w:rsidR="00B83160" w:rsidRPr="00F11CB6" w:rsidRDefault="00B83160" w:rsidP="00B83160">
      <w:pPr>
        <w:spacing w:line="360" w:lineRule="auto"/>
        <w:ind w:firstLine="567"/>
        <w:jc w:val="both"/>
        <w:rPr>
          <w:rFonts w:ascii="Arial" w:hAnsi="Arial" w:cs="Arial"/>
        </w:rPr>
      </w:pPr>
      <w:r w:rsidRPr="00795C45">
        <w:rPr>
          <w:rFonts w:ascii="Arial" w:hAnsi="Arial" w:cs="Arial"/>
        </w:rPr>
        <w:t xml:space="preserve">Další vývoj na trhu práce </w:t>
      </w:r>
      <w:r w:rsidRPr="00CF54DF">
        <w:rPr>
          <w:rFonts w:ascii="Arial" w:hAnsi="Arial" w:cs="Arial"/>
        </w:rPr>
        <w:t>lze zatím pozorovat</w:t>
      </w:r>
      <w:r>
        <w:rPr>
          <w:rFonts w:ascii="Arial" w:hAnsi="Arial" w:cs="Arial"/>
        </w:rPr>
        <w:t xml:space="preserve"> </w:t>
      </w:r>
      <w:r w:rsidRPr="00795C45">
        <w:rPr>
          <w:rFonts w:ascii="Arial" w:hAnsi="Arial" w:cs="Arial"/>
        </w:rPr>
        <w:t xml:space="preserve">pouze </w:t>
      </w:r>
      <w:r>
        <w:rPr>
          <w:rFonts w:ascii="Arial" w:hAnsi="Arial" w:cs="Arial"/>
        </w:rPr>
        <w:t xml:space="preserve">z </w:t>
      </w:r>
      <w:r w:rsidRPr="00795C45">
        <w:rPr>
          <w:rFonts w:ascii="Arial" w:hAnsi="Arial" w:cs="Arial"/>
        </w:rPr>
        <w:t>výsledk</w:t>
      </w:r>
      <w:r>
        <w:rPr>
          <w:rFonts w:ascii="Arial" w:hAnsi="Arial" w:cs="Arial"/>
        </w:rPr>
        <w:t>ů</w:t>
      </w:r>
      <w:r w:rsidRPr="00795C45">
        <w:rPr>
          <w:rFonts w:ascii="Arial" w:hAnsi="Arial" w:cs="Arial"/>
        </w:rPr>
        <w:t xml:space="preserve"> z odvětvových statistik, </w:t>
      </w:r>
      <w:r>
        <w:rPr>
          <w:rFonts w:ascii="Arial" w:hAnsi="Arial" w:cs="Arial"/>
        </w:rPr>
        <w:t>které jsou pozitivní. P</w:t>
      </w:r>
      <w:r w:rsidRPr="00795C45">
        <w:rPr>
          <w:rFonts w:ascii="Arial" w:hAnsi="Arial" w:cs="Arial"/>
        </w:rPr>
        <w:t xml:space="preserve">odle </w:t>
      </w:r>
      <w:r w:rsidRPr="00FE3608">
        <w:rPr>
          <w:rFonts w:ascii="Arial" w:hAnsi="Arial" w:cs="Arial"/>
        </w:rPr>
        <w:t xml:space="preserve">nich meziročně </w:t>
      </w:r>
      <w:r w:rsidRPr="00FE3608">
        <w:rPr>
          <w:rFonts w:ascii="Arial" w:hAnsi="Arial" w:cs="Arial"/>
          <w:b/>
        </w:rPr>
        <w:t>vzrostl</w:t>
      </w:r>
      <w:r w:rsidRPr="00FE3608">
        <w:rPr>
          <w:rFonts w:ascii="Arial" w:hAnsi="Arial" w:cs="Arial"/>
        </w:rPr>
        <w:t xml:space="preserve"> </w:t>
      </w:r>
      <w:r w:rsidRPr="00FE3608">
        <w:rPr>
          <w:rFonts w:ascii="Arial" w:hAnsi="Arial" w:cs="Arial"/>
          <w:b/>
        </w:rPr>
        <w:t xml:space="preserve">průměrný </w:t>
      </w:r>
      <w:r w:rsidRPr="00795C45">
        <w:rPr>
          <w:rFonts w:ascii="Arial" w:hAnsi="Arial" w:cs="Arial"/>
          <w:b/>
        </w:rPr>
        <w:t>evidenční počet zaměstnanců</w:t>
      </w:r>
      <w:r w:rsidRPr="00795C45">
        <w:rPr>
          <w:rFonts w:ascii="Arial" w:hAnsi="Arial" w:cs="Arial"/>
        </w:rPr>
        <w:t xml:space="preserve"> v podnicích s 50</w:t>
      </w:r>
      <w:r w:rsidR="003F5464">
        <w:rPr>
          <w:rFonts w:ascii="Arial" w:hAnsi="Arial" w:cs="Arial"/>
        </w:rPr>
        <w:t xml:space="preserve"> a </w:t>
      </w:r>
      <w:r w:rsidRPr="00795C45">
        <w:rPr>
          <w:rFonts w:ascii="Arial" w:hAnsi="Arial" w:cs="Arial"/>
        </w:rPr>
        <w:t xml:space="preserve">více zaměstnanci </w:t>
      </w:r>
      <w:r w:rsidR="003F5464">
        <w:rPr>
          <w:rFonts w:ascii="Arial" w:hAnsi="Arial" w:cs="Arial"/>
          <w:b/>
        </w:rPr>
        <w:t>v </w:t>
      </w:r>
      <w:r w:rsidRPr="00795C45">
        <w:rPr>
          <w:rFonts w:ascii="Arial" w:hAnsi="Arial" w:cs="Arial"/>
          <w:b/>
        </w:rPr>
        <w:t xml:space="preserve">průmyslu v lednu </w:t>
      </w:r>
      <w:r w:rsidRPr="007E017D">
        <w:rPr>
          <w:rFonts w:ascii="Arial" w:hAnsi="Arial" w:cs="Arial"/>
          <w:b/>
        </w:rPr>
        <w:t xml:space="preserve">2018 o 2,1 %, </w:t>
      </w:r>
      <w:r w:rsidRPr="00C82419">
        <w:rPr>
          <w:rFonts w:ascii="Arial" w:hAnsi="Arial" w:cs="Arial"/>
          <w:b/>
        </w:rPr>
        <w:t xml:space="preserve">v únoru </w:t>
      </w:r>
      <w:r w:rsidRPr="00FE3608">
        <w:rPr>
          <w:rFonts w:ascii="Arial" w:hAnsi="Arial" w:cs="Arial"/>
          <w:b/>
        </w:rPr>
        <w:t>2018 o 2,0 %</w:t>
      </w:r>
      <w:r>
        <w:rPr>
          <w:rFonts w:ascii="Arial" w:hAnsi="Arial" w:cs="Arial"/>
          <w:b/>
        </w:rPr>
        <w:t xml:space="preserve">. </w:t>
      </w:r>
      <w:r w:rsidR="00B06E8D">
        <w:rPr>
          <w:rFonts w:ascii="Arial" w:hAnsi="Arial" w:cs="Arial"/>
        </w:rPr>
        <w:t>Průmyslová produkce v lednu </w:t>
      </w:r>
      <w:r w:rsidRPr="00AA32D3">
        <w:rPr>
          <w:rFonts w:ascii="Arial" w:hAnsi="Arial" w:cs="Arial"/>
        </w:rPr>
        <w:t>2018 meziročně reálně vzrostla o 5,5 %</w:t>
      </w:r>
      <w:r w:rsidR="00B06E8D">
        <w:rPr>
          <w:rFonts w:ascii="Arial" w:hAnsi="Arial" w:cs="Arial"/>
        </w:rPr>
        <w:t>, v únoru 2018 o 2,7 %. Tržby z </w:t>
      </w:r>
      <w:r w:rsidRPr="00AA32D3">
        <w:rPr>
          <w:rFonts w:ascii="Arial" w:hAnsi="Arial" w:cs="Arial"/>
        </w:rPr>
        <w:t>průmyslové činnosti v běžných cenách v lednu meziročně vzrostly o 4,8 %, v únoru o 1,1 %.</w:t>
      </w:r>
      <w:r w:rsidRPr="00F11CB6">
        <w:rPr>
          <w:rFonts w:ascii="Arial" w:hAnsi="Arial" w:cs="Arial"/>
        </w:rPr>
        <w:t xml:space="preserve"> </w:t>
      </w:r>
    </w:p>
    <w:p w:rsidR="00B83160" w:rsidRPr="00AA32D3" w:rsidRDefault="00B83160" w:rsidP="00B83160">
      <w:pPr>
        <w:spacing w:line="360" w:lineRule="auto"/>
        <w:ind w:firstLine="567"/>
        <w:jc w:val="both"/>
        <w:rPr>
          <w:rFonts w:ascii="Arial" w:hAnsi="Arial" w:cs="Arial"/>
        </w:rPr>
      </w:pPr>
      <w:r w:rsidRPr="00C82419">
        <w:rPr>
          <w:rFonts w:ascii="Arial" w:hAnsi="Arial" w:cs="Arial"/>
        </w:rPr>
        <w:t xml:space="preserve">Ve </w:t>
      </w:r>
      <w:r w:rsidRPr="0040431F">
        <w:rPr>
          <w:rFonts w:ascii="Arial" w:hAnsi="Arial" w:cs="Arial"/>
          <w:b/>
        </w:rPr>
        <w:t>stavebnictví</w:t>
      </w:r>
      <w:r w:rsidRPr="0040431F">
        <w:rPr>
          <w:rFonts w:ascii="Arial" w:hAnsi="Arial" w:cs="Arial"/>
        </w:rPr>
        <w:t xml:space="preserve"> byl </w:t>
      </w:r>
      <w:r w:rsidR="003F5464">
        <w:rPr>
          <w:rFonts w:ascii="Arial" w:hAnsi="Arial" w:cs="Arial"/>
          <w:b/>
        </w:rPr>
        <w:t>v lednu </w:t>
      </w:r>
      <w:r w:rsidRPr="0040431F">
        <w:rPr>
          <w:rFonts w:ascii="Arial" w:hAnsi="Arial" w:cs="Arial"/>
          <w:b/>
        </w:rPr>
        <w:t xml:space="preserve">2018 </w:t>
      </w:r>
      <w:r w:rsidRPr="0040431F">
        <w:rPr>
          <w:rFonts w:ascii="Arial" w:hAnsi="Arial" w:cs="Arial"/>
        </w:rPr>
        <w:t xml:space="preserve">zaznamenán </w:t>
      </w:r>
      <w:r w:rsidRPr="0040431F">
        <w:rPr>
          <w:rFonts w:ascii="Arial" w:hAnsi="Arial" w:cs="Arial"/>
          <w:b/>
        </w:rPr>
        <w:t>meziroční nárůst počtu zaměstnanců o 0,2 %, v</w:t>
      </w:r>
      <w:r w:rsidR="003F5464">
        <w:rPr>
          <w:rFonts w:ascii="Arial" w:hAnsi="Arial" w:cs="Arial"/>
          <w:b/>
        </w:rPr>
        <w:t> únoru </w:t>
      </w:r>
      <w:r w:rsidRPr="00B6706C">
        <w:rPr>
          <w:rFonts w:ascii="Arial" w:hAnsi="Arial" w:cs="Arial"/>
          <w:b/>
        </w:rPr>
        <w:t>2018 o 0,4 %</w:t>
      </w:r>
      <w:r w:rsidRPr="00B6706C">
        <w:rPr>
          <w:rFonts w:ascii="Arial" w:hAnsi="Arial" w:cs="Arial"/>
        </w:rPr>
        <w:t xml:space="preserve">. </w:t>
      </w:r>
      <w:r w:rsidRPr="00AA32D3">
        <w:rPr>
          <w:rFonts w:ascii="Arial" w:hAnsi="Arial" w:cs="Arial"/>
        </w:rPr>
        <w:t xml:space="preserve">Stavební produkce se meziročně zvýšila v lednu o 33,6 %, v únoru o 9,4 %. </w:t>
      </w:r>
    </w:p>
    <w:p w:rsidR="00D1548F" w:rsidRDefault="00B83160" w:rsidP="00B83160">
      <w:pPr>
        <w:spacing w:line="360" w:lineRule="auto"/>
        <w:ind w:firstLine="567"/>
        <w:jc w:val="both"/>
        <w:rPr>
          <w:rFonts w:ascii="Arial" w:hAnsi="Arial" w:cs="Arial"/>
        </w:rPr>
      </w:pPr>
      <w:r w:rsidRPr="002B0B0B">
        <w:rPr>
          <w:rFonts w:ascii="Arial" w:hAnsi="Arial" w:cs="Arial"/>
        </w:rPr>
        <w:t xml:space="preserve">Podle doposud zveřejněných predikcí makroekonomických indikátorů </w:t>
      </w:r>
      <w:r>
        <w:rPr>
          <w:rFonts w:ascii="Arial" w:hAnsi="Arial" w:cs="Arial"/>
        </w:rPr>
        <w:t>v </w:t>
      </w:r>
      <w:r w:rsidRPr="002B0B0B">
        <w:rPr>
          <w:rFonts w:ascii="Arial" w:hAnsi="Arial" w:cs="Arial"/>
        </w:rPr>
        <w:t>„</w:t>
      </w:r>
      <w:r>
        <w:rPr>
          <w:rFonts w:ascii="Arial" w:hAnsi="Arial" w:cs="Arial"/>
        </w:rPr>
        <w:t>Makroekonomické</w:t>
      </w:r>
      <w:r w:rsidRPr="002B0B0B">
        <w:rPr>
          <w:rFonts w:ascii="Arial" w:hAnsi="Arial" w:cs="Arial"/>
        </w:rPr>
        <w:t xml:space="preserve"> predikc</w:t>
      </w:r>
      <w:r>
        <w:rPr>
          <w:rFonts w:ascii="Arial" w:hAnsi="Arial" w:cs="Arial"/>
        </w:rPr>
        <w:t>i</w:t>
      </w:r>
      <w:r w:rsidRPr="002B0B0B">
        <w:rPr>
          <w:rFonts w:ascii="Arial" w:hAnsi="Arial" w:cs="Arial"/>
        </w:rPr>
        <w:t xml:space="preserve"> ČR</w:t>
      </w:r>
      <w:r>
        <w:rPr>
          <w:rFonts w:ascii="Arial" w:hAnsi="Arial" w:cs="Arial"/>
        </w:rPr>
        <w:t>,</w:t>
      </w:r>
      <w:r w:rsidR="00B06E8D">
        <w:rPr>
          <w:rFonts w:ascii="Arial" w:hAnsi="Arial" w:cs="Arial"/>
        </w:rPr>
        <w:t xml:space="preserve"> duben </w:t>
      </w:r>
      <w:r w:rsidRPr="002B0B0B">
        <w:rPr>
          <w:rFonts w:ascii="Arial" w:hAnsi="Arial" w:cs="Arial"/>
        </w:rPr>
        <w:t xml:space="preserve">2018“ </w:t>
      </w:r>
      <w:r w:rsidRPr="00920570">
        <w:rPr>
          <w:rFonts w:ascii="Arial" w:hAnsi="Arial" w:cs="Arial"/>
        </w:rPr>
        <w:t>Ministerstva financí ČR</w:t>
      </w:r>
      <w:r w:rsidRPr="002B0B0B">
        <w:rPr>
          <w:rFonts w:ascii="Arial" w:hAnsi="Arial" w:cs="Arial"/>
        </w:rPr>
        <w:t xml:space="preserve"> (MF ČR) </w:t>
      </w:r>
      <w:r w:rsidRPr="00DB030D">
        <w:rPr>
          <w:rFonts w:ascii="Arial" w:hAnsi="Arial" w:cs="Arial"/>
        </w:rPr>
        <w:t>a </w:t>
      </w:r>
      <w:r>
        <w:rPr>
          <w:rFonts w:ascii="Arial" w:hAnsi="Arial" w:cs="Arial"/>
        </w:rPr>
        <w:t xml:space="preserve">ve </w:t>
      </w:r>
      <w:r w:rsidRPr="00DB030D">
        <w:rPr>
          <w:rFonts w:ascii="Arial" w:hAnsi="Arial" w:cs="Arial"/>
        </w:rPr>
        <w:t>„Zpráv</w:t>
      </w:r>
      <w:r>
        <w:rPr>
          <w:rFonts w:ascii="Arial" w:hAnsi="Arial" w:cs="Arial"/>
        </w:rPr>
        <w:t>ě</w:t>
      </w:r>
      <w:r w:rsidR="00B06E8D">
        <w:rPr>
          <w:rFonts w:ascii="Arial" w:hAnsi="Arial" w:cs="Arial"/>
        </w:rPr>
        <w:t> </w:t>
      </w:r>
      <w:r w:rsidRPr="00DB030D">
        <w:rPr>
          <w:rFonts w:ascii="Arial" w:hAnsi="Arial" w:cs="Arial"/>
        </w:rPr>
        <w:t>o</w:t>
      </w:r>
      <w:r w:rsidR="00B06E8D">
        <w:rPr>
          <w:rFonts w:ascii="Arial" w:hAnsi="Arial" w:cs="Arial"/>
        </w:rPr>
        <w:t> inflaci </w:t>
      </w:r>
      <w:r w:rsidRPr="00DB030D">
        <w:rPr>
          <w:rFonts w:ascii="Arial" w:hAnsi="Arial" w:cs="Arial"/>
        </w:rPr>
        <w:t xml:space="preserve">I/2018“ </w:t>
      </w:r>
      <w:r w:rsidRPr="00920570">
        <w:rPr>
          <w:rFonts w:ascii="Arial" w:hAnsi="Arial" w:cs="Arial"/>
        </w:rPr>
        <w:t>České národní banky (</w:t>
      </w:r>
      <w:r w:rsidRPr="00DB030D">
        <w:rPr>
          <w:rFonts w:ascii="Arial" w:hAnsi="Arial" w:cs="Arial"/>
        </w:rPr>
        <w:t xml:space="preserve">ČNB) </w:t>
      </w:r>
      <w:r>
        <w:rPr>
          <w:rFonts w:ascii="Arial" w:hAnsi="Arial" w:cs="Arial"/>
        </w:rPr>
        <w:t xml:space="preserve">tyto instituce předpokládají pokračování pozitivního vývoje ekonomiky. </w:t>
      </w:r>
      <w:r w:rsidRPr="00A52E61">
        <w:rPr>
          <w:rFonts w:ascii="Arial" w:hAnsi="Arial" w:cs="Arial"/>
        </w:rPr>
        <w:t xml:space="preserve">MF ČR předvídá </w:t>
      </w:r>
      <w:r w:rsidR="003F5464">
        <w:rPr>
          <w:rFonts w:ascii="Arial" w:hAnsi="Arial" w:cs="Arial"/>
          <w:b/>
        </w:rPr>
        <w:t>v roce </w:t>
      </w:r>
      <w:r w:rsidRPr="00A52E61">
        <w:rPr>
          <w:rFonts w:ascii="Arial" w:hAnsi="Arial" w:cs="Arial"/>
          <w:b/>
        </w:rPr>
        <w:t xml:space="preserve">2018 </w:t>
      </w:r>
      <w:r w:rsidRPr="00A52E61">
        <w:rPr>
          <w:rFonts w:ascii="Arial" w:hAnsi="Arial" w:cs="Arial"/>
        </w:rPr>
        <w:t xml:space="preserve">růst </w:t>
      </w:r>
      <w:r w:rsidRPr="00904EE2">
        <w:rPr>
          <w:rFonts w:ascii="Arial" w:hAnsi="Arial" w:cs="Arial"/>
        </w:rPr>
        <w:t xml:space="preserve">HDP </w:t>
      </w:r>
      <w:r w:rsidRPr="00904EE2">
        <w:rPr>
          <w:rFonts w:ascii="Arial" w:hAnsi="Arial" w:cs="Arial"/>
          <w:b/>
        </w:rPr>
        <w:t>3,6 %</w:t>
      </w:r>
      <w:r w:rsidRPr="00980F18">
        <w:rPr>
          <w:rFonts w:ascii="Arial" w:hAnsi="Arial" w:cs="Arial"/>
        </w:rPr>
        <w:t>,</w:t>
      </w:r>
      <w:r w:rsidRPr="00904EE2">
        <w:rPr>
          <w:rFonts w:ascii="Arial" w:hAnsi="Arial" w:cs="Arial"/>
          <w:b/>
        </w:rPr>
        <w:t xml:space="preserve"> v roce 2019</w:t>
      </w:r>
      <w:r w:rsidRPr="00904EE2">
        <w:rPr>
          <w:rFonts w:ascii="Arial" w:hAnsi="Arial" w:cs="Arial"/>
        </w:rPr>
        <w:t xml:space="preserve"> o</w:t>
      </w:r>
      <w:r w:rsidR="00B06E8D">
        <w:rPr>
          <w:rFonts w:ascii="Arial" w:hAnsi="Arial" w:cs="Arial"/>
        </w:rPr>
        <w:t> </w:t>
      </w:r>
      <w:r w:rsidRPr="00904EE2">
        <w:rPr>
          <w:rFonts w:ascii="Arial" w:hAnsi="Arial" w:cs="Arial"/>
          <w:b/>
        </w:rPr>
        <w:t>3,3 </w:t>
      </w:r>
      <w:r w:rsidRPr="00881231">
        <w:rPr>
          <w:rFonts w:ascii="Arial" w:hAnsi="Arial" w:cs="Arial"/>
          <w:b/>
        </w:rPr>
        <w:t>%</w:t>
      </w:r>
      <w:r>
        <w:rPr>
          <w:rFonts w:ascii="Arial" w:hAnsi="Arial" w:cs="Arial"/>
          <w:b/>
        </w:rPr>
        <w:t>,</w:t>
      </w:r>
      <w:r w:rsidRPr="00881231">
        <w:rPr>
          <w:rFonts w:ascii="Arial" w:hAnsi="Arial" w:cs="Arial"/>
        </w:rPr>
        <w:t xml:space="preserve"> </w:t>
      </w:r>
      <w:r w:rsidRPr="00F328B1">
        <w:rPr>
          <w:rFonts w:ascii="Arial" w:hAnsi="Arial" w:cs="Arial"/>
        </w:rPr>
        <w:t xml:space="preserve">ČNB </w:t>
      </w:r>
      <w:r w:rsidRPr="007B7D17">
        <w:rPr>
          <w:rFonts w:ascii="Arial" w:hAnsi="Arial" w:cs="Arial"/>
          <w:b/>
        </w:rPr>
        <w:t>v roce 2018</w:t>
      </w:r>
      <w:r w:rsidRPr="007B7D17">
        <w:rPr>
          <w:rFonts w:ascii="Arial" w:hAnsi="Arial" w:cs="Arial"/>
        </w:rPr>
        <w:t xml:space="preserve"> </w:t>
      </w:r>
      <w:r w:rsidRPr="00F328B1">
        <w:rPr>
          <w:rFonts w:ascii="Arial" w:hAnsi="Arial" w:cs="Arial"/>
        </w:rPr>
        <w:t>růst HDP </w:t>
      </w:r>
      <w:r>
        <w:rPr>
          <w:rFonts w:ascii="Arial" w:hAnsi="Arial" w:cs="Arial"/>
        </w:rPr>
        <w:t>o</w:t>
      </w:r>
      <w:r w:rsidRPr="00F328B1">
        <w:rPr>
          <w:rFonts w:ascii="Arial" w:hAnsi="Arial" w:cs="Arial"/>
        </w:rPr>
        <w:t> </w:t>
      </w:r>
      <w:r w:rsidRPr="00F328B1">
        <w:rPr>
          <w:rFonts w:ascii="Arial" w:hAnsi="Arial" w:cs="Arial"/>
          <w:b/>
        </w:rPr>
        <w:t>3,6 %</w:t>
      </w:r>
      <w:r w:rsidRPr="00F328B1">
        <w:rPr>
          <w:rFonts w:ascii="Arial" w:hAnsi="Arial" w:cs="Arial"/>
        </w:rPr>
        <w:t xml:space="preserve">, </w:t>
      </w:r>
      <w:r w:rsidRPr="00F328B1">
        <w:rPr>
          <w:rFonts w:ascii="Arial" w:hAnsi="Arial" w:cs="Arial"/>
          <w:b/>
        </w:rPr>
        <w:t>v roce 2019</w:t>
      </w:r>
      <w:r w:rsidRPr="00F328B1">
        <w:rPr>
          <w:rFonts w:ascii="Arial" w:hAnsi="Arial" w:cs="Arial"/>
        </w:rPr>
        <w:t xml:space="preserve"> </w:t>
      </w:r>
      <w:r w:rsidRPr="006462F3">
        <w:rPr>
          <w:rFonts w:ascii="Arial" w:hAnsi="Arial" w:cs="Arial"/>
          <w:b/>
        </w:rPr>
        <w:t>o 3,2 %</w:t>
      </w:r>
      <w:r>
        <w:rPr>
          <w:rFonts w:ascii="Arial" w:hAnsi="Arial" w:cs="Arial"/>
        </w:rPr>
        <w:t>.</w:t>
      </w:r>
      <w:r w:rsidRPr="00F328B1">
        <w:rPr>
          <w:rFonts w:ascii="Arial" w:hAnsi="Arial" w:cs="Arial"/>
        </w:rPr>
        <w:t xml:space="preserve"> </w:t>
      </w:r>
      <w:r w:rsidRPr="00881231">
        <w:rPr>
          <w:rFonts w:ascii="Arial" w:hAnsi="Arial" w:cs="Arial"/>
          <w:b/>
        </w:rPr>
        <w:t>MPSV</w:t>
      </w:r>
      <w:r w:rsidRPr="00881231">
        <w:rPr>
          <w:rFonts w:ascii="Arial" w:hAnsi="Arial" w:cs="Arial"/>
        </w:rPr>
        <w:t xml:space="preserve"> odhaduje </w:t>
      </w:r>
      <w:r w:rsidRPr="00881231">
        <w:rPr>
          <w:rFonts w:ascii="Arial" w:hAnsi="Arial" w:cs="Arial"/>
          <w:b/>
        </w:rPr>
        <w:t>v roce 2018</w:t>
      </w:r>
      <w:r w:rsidRPr="00881231">
        <w:rPr>
          <w:rFonts w:ascii="Arial" w:hAnsi="Arial" w:cs="Arial"/>
        </w:rPr>
        <w:t xml:space="preserve"> meziroční nárůst HDP v intervalu od </w:t>
      </w:r>
      <w:r w:rsidRPr="00AF2A7B">
        <w:rPr>
          <w:rFonts w:ascii="Arial" w:hAnsi="Arial" w:cs="Arial"/>
          <w:b/>
        </w:rPr>
        <w:t>2,8 % do 3,6 %</w:t>
      </w:r>
      <w:r>
        <w:rPr>
          <w:rFonts w:ascii="Arial" w:hAnsi="Arial" w:cs="Arial"/>
          <w:b/>
        </w:rPr>
        <w:t xml:space="preserve"> a </w:t>
      </w:r>
      <w:r w:rsidRPr="00881231">
        <w:rPr>
          <w:rFonts w:ascii="Arial" w:hAnsi="Arial" w:cs="Arial"/>
        </w:rPr>
        <w:t>v</w:t>
      </w:r>
      <w:r w:rsidRPr="00881231">
        <w:rPr>
          <w:rFonts w:ascii="Arial" w:hAnsi="Arial" w:cs="Arial"/>
          <w:b/>
        </w:rPr>
        <w:t> roce 2019</w:t>
      </w:r>
      <w:r w:rsidRPr="00881231">
        <w:rPr>
          <w:rFonts w:ascii="Arial" w:hAnsi="Arial" w:cs="Arial"/>
        </w:rPr>
        <w:t xml:space="preserve"> v intervalu </w:t>
      </w:r>
      <w:r w:rsidRPr="001A23D2">
        <w:rPr>
          <w:rFonts w:ascii="Arial" w:hAnsi="Arial" w:cs="Arial"/>
        </w:rPr>
        <w:t xml:space="preserve">od </w:t>
      </w:r>
      <w:r w:rsidRPr="00AF2A7B">
        <w:rPr>
          <w:rFonts w:ascii="Arial" w:hAnsi="Arial" w:cs="Arial"/>
          <w:b/>
        </w:rPr>
        <w:t>2,0 % do 3,0 %</w:t>
      </w:r>
      <w:r w:rsidRPr="00AF2A7B">
        <w:rPr>
          <w:rFonts w:ascii="Arial" w:hAnsi="Arial" w:cs="Arial"/>
        </w:rPr>
        <w:t>.</w:t>
      </w:r>
    </w:p>
    <w:p w:rsidR="00B83160" w:rsidRPr="00AB433A" w:rsidRDefault="00B83160" w:rsidP="00B83160">
      <w:pPr>
        <w:spacing w:line="360" w:lineRule="auto"/>
        <w:ind w:firstLine="567"/>
        <w:jc w:val="both"/>
        <w:rPr>
          <w:rFonts w:ascii="Arial" w:hAnsi="Arial" w:cs="Arial"/>
          <w:bCs/>
        </w:rPr>
      </w:pPr>
      <w:r w:rsidRPr="00DE77DE">
        <w:rPr>
          <w:rFonts w:ascii="Arial" w:hAnsi="Arial" w:cs="Arial"/>
          <w:b/>
          <w:bCs/>
        </w:rPr>
        <w:lastRenderedPageBreak/>
        <w:t>MF ČR</w:t>
      </w:r>
      <w:r w:rsidRPr="00DE77DE">
        <w:rPr>
          <w:rFonts w:ascii="Arial" w:hAnsi="Arial" w:cs="Arial"/>
          <w:bCs/>
        </w:rPr>
        <w:t xml:space="preserve"> očekává v roce 2018 </w:t>
      </w:r>
      <w:r>
        <w:rPr>
          <w:rFonts w:ascii="Arial" w:hAnsi="Arial" w:cs="Arial"/>
          <w:bCs/>
        </w:rPr>
        <w:t xml:space="preserve">další </w:t>
      </w:r>
      <w:r w:rsidRPr="002A39BE">
        <w:rPr>
          <w:rFonts w:ascii="Arial" w:hAnsi="Arial" w:cs="Arial"/>
          <w:b/>
          <w:bCs/>
        </w:rPr>
        <w:t xml:space="preserve">zpomalení </w:t>
      </w:r>
      <w:r>
        <w:rPr>
          <w:rFonts w:ascii="Arial" w:hAnsi="Arial" w:cs="Arial"/>
          <w:b/>
          <w:bCs/>
        </w:rPr>
        <w:t xml:space="preserve">růstu zaměstnanosti </w:t>
      </w:r>
      <w:r w:rsidRPr="0082547C">
        <w:rPr>
          <w:rFonts w:ascii="Arial" w:hAnsi="Arial" w:cs="Arial"/>
          <w:b/>
          <w:bCs/>
        </w:rPr>
        <w:t>na 0,7 %</w:t>
      </w:r>
      <w:r w:rsidRPr="00DE77DE">
        <w:rPr>
          <w:rFonts w:ascii="Arial" w:hAnsi="Arial" w:cs="Arial"/>
          <w:bCs/>
        </w:rPr>
        <w:t xml:space="preserve"> a</w:t>
      </w:r>
      <w:r>
        <w:rPr>
          <w:rFonts w:ascii="Arial" w:hAnsi="Arial" w:cs="Arial"/>
          <w:bCs/>
        </w:rPr>
        <w:t> </w:t>
      </w:r>
      <w:r w:rsidRPr="00DE77DE">
        <w:rPr>
          <w:rFonts w:ascii="Arial" w:hAnsi="Arial" w:cs="Arial"/>
          <w:bCs/>
        </w:rPr>
        <w:t>v roce 201</w:t>
      </w:r>
      <w:r>
        <w:rPr>
          <w:rFonts w:ascii="Arial" w:hAnsi="Arial" w:cs="Arial"/>
          <w:bCs/>
        </w:rPr>
        <w:t>9</w:t>
      </w:r>
      <w:r w:rsidRPr="00DE77DE">
        <w:rPr>
          <w:rFonts w:ascii="Arial" w:hAnsi="Arial" w:cs="Arial"/>
          <w:bCs/>
        </w:rPr>
        <w:t xml:space="preserve"> </w:t>
      </w:r>
      <w:r>
        <w:rPr>
          <w:rFonts w:ascii="Arial" w:hAnsi="Arial" w:cs="Arial"/>
          <w:bCs/>
        </w:rPr>
        <w:t>na </w:t>
      </w:r>
      <w:r w:rsidRPr="00DE77DE">
        <w:rPr>
          <w:rFonts w:ascii="Arial" w:hAnsi="Arial" w:cs="Arial"/>
          <w:bCs/>
        </w:rPr>
        <w:t>0,</w:t>
      </w:r>
      <w:r w:rsidRPr="00B66754">
        <w:rPr>
          <w:rFonts w:ascii="Arial" w:hAnsi="Arial" w:cs="Arial"/>
          <w:bCs/>
        </w:rPr>
        <w:t xml:space="preserve">2 %. </w:t>
      </w:r>
      <w:r w:rsidRPr="00B66754">
        <w:rPr>
          <w:rFonts w:ascii="Arial" w:hAnsi="Arial"/>
          <w:b/>
          <w:bCs/>
        </w:rPr>
        <w:t>ČNB</w:t>
      </w:r>
      <w:r w:rsidRPr="00B66754">
        <w:rPr>
          <w:rFonts w:ascii="Arial" w:hAnsi="Arial"/>
        </w:rPr>
        <w:t xml:space="preserve"> ve své predikci</w:t>
      </w:r>
      <w:r w:rsidRPr="00B66754">
        <w:rPr>
          <w:rStyle w:val="Znakapoznpodarou"/>
          <w:rFonts w:ascii="Arial" w:hAnsi="Arial"/>
        </w:rPr>
        <w:footnoteReference w:id="17"/>
      </w:r>
      <w:r w:rsidRPr="00B66754">
        <w:rPr>
          <w:rFonts w:ascii="Arial" w:hAnsi="Arial"/>
        </w:rPr>
        <w:t xml:space="preserve"> předpokládá </w:t>
      </w:r>
      <w:r w:rsidR="00B06E8D">
        <w:rPr>
          <w:rFonts w:ascii="Arial" w:hAnsi="Arial"/>
          <w:b/>
        </w:rPr>
        <w:t>v roce </w:t>
      </w:r>
      <w:r w:rsidRPr="0082547C">
        <w:rPr>
          <w:rFonts w:ascii="Arial" w:hAnsi="Arial"/>
          <w:b/>
        </w:rPr>
        <w:t>2018</w:t>
      </w:r>
      <w:r w:rsidRPr="00B66754">
        <w:rPr>
          <w:rFonts w:ascii="Arial" w:hAnsi="Arial"/>
        </w:rPr>
        <w:t xml:space="preserve"> růst zaměstnanosti </w:t>
      </w:r>
      <w:r w:rsidR="00B06E8D">
        <w:rPr>
          <w:rFonts w:ascii="Arial" w:hAnsi="Arial"/>
          <w:b/>
        </w:rPr>
        <w:t>o </w:t>
      </w:r>
      <w:r w:rsidRPr="0082547C">
        <w:rPr>
          <w:rFonts w:ascii="Arial" w:hAnsi="Arial"/>
          <w:b/>
        </w:rPr>
        <w:t>1,0 %</w:t>
      </w:r>
      <w:r w:rsidRPr="00B66754">
        <w:rPr>
          <w:rFonts w:ascii="Arial" w:hAnsi="Arial"/>
        </w:rPr>
        <w:t xml:space="preserve">, v roce 2019 </w:t>
      </w:r>
      <w:r w:rsidRPr="006F6B0E">
        <w:rPr>
          <w:rFonts w:ascii="Arial" w:hAnsi="Arial"/>
        </w:rPr>
        <w:t>nárůst o 0,</w:t>
      </w:r>
      <w:r w:rsidRPr="00AB433A">
        <w:rPr>
          <w:rFonts w:ascii="Arial" w:hAnsi="Arial"/>
        </w:rPr>
        <w:t xml:space="preserve">4 %. </w:t>
      </w:r>
      <w:r w:rsidRPr="00AB433A">
        <w:rPr>
          <w:rFonts w:ascii="Arial" w:hAnsi="Arial" w:cs="Arial"/>
          <w:b/>
          <w:bCs/>
        </w:rPr>
        <w:t>MPSV</w:t>
      </w:r>
      <w:r w:rsidRPr="00AB433A">
        <w:rPr>
          <w:rFonts w:ascii="Arial" w:hAnsi="Arial" w:cs="Arial"/>
          <w:bCs/>
        </w:rPr>
        <w:t xml:space="preserve"> odhaduje </w:t>
      </w:r>
      <w:r w:rsidR="00B06E8D">
        <w:rPr>
          <w:rFonts w:ascii="Arial" w:hAnsi="Arial" w:cs="Arial"/>
          <w:b/>
          <w:bCs/>
        </w:rPr>
        <w:t>v roce </w:t>
      </w:r>
      <w:r w:rsidRPr="0082547C">
        <w:rPr>
          <w:rFonts w:ascii="Arial" w:hAnsi="Arial" w:cs="Arial"/>
          <w:b/>
          <w:bCs/>
        </w:rPr>
        <w:t>2018</w:t>
      </w:r>
      <w:r w:rsidRPr="00AB433A">
        <w:rPr>
          <w:rFonts w:ascii="Arial" w:hAnsi="Arial" w:cs="Arial"/>
          <w:bCs/>
        </w:rPr>
        <w:t xml:space="preserve"> nárůst zaměstnanosti </w:t>
      </w:r>
      <w:r w:rsidRPr="0082547C">
        <w:rPr>
          <w:rFonts w:ascii="Arial" w:hAnsi="Arial" w:cs="Arial"/>
          <w:b/>
          <w:bCs/>
        </w:rPr>
        <w:t>o 0,5 %</w:t>
      </w:r>
      <w:r w:rsidRPr="00AB433A">
        <w:rPr>
          <w:rFonts w:ascii="Arial" w:hAnsi="Arial" w:cs="Arial"/>
          <w:bCs/>
        </w:rPr>
        <w:t xml:space="preserve"> a  v roce 2019 o 0,</w:t>
      </w:r>
      <w:r>
        <w:rPr>
          <w:rFonts w:ascii="Arial" w:hAnsi="Arial" w:cs="Arial"/>
          <w:bCs/>
        </w:rPr>
        <w:t>2</w:t>
      </w:r>
      <w:r w:rsidRPr="00AB433A">
        <w:rPr>
          <w:rFonts w:ascii="Arial" w:hAnsi="Arial" w:cs="Arial"/>
          <w:bCs/>
        </w:rPr>
        <w:t> %.</w:t>
      </w:r>
    </w:p>
    <w:p w:rsidR="00B83160" w:rsidRPr="00D27097" w:rsidRDefault="00B83160" w:rsidP="00B83160">
      <w:pPr>
        <w:spacing w:line="360" w:lineRule="auto"/>
        <w:ind w:firstLine="567"/>
        <w:jc w:val="both"/>
        <w:rPr>
          <w:rFonts w:ascii="Arial" w:hAnsi="Arial" w:cs="Arial"/>
        </w:rPr>
      </w:pPr>
      <w:r w:rsidRPr="00C07ADB">
        <w:rPr>
          <w:rFonts w:ascii="Arial" w:hAnsi="Arial" w:cs="Arial"/>
        </w:rPr>
        <w:t>Nedostatek pracovníků se odráží v</w:t>
      </w:r>
      <w:r>
        <w:rPr>
          <w:rFonts w:ascii="Arial" w:hAnsi="Arial" w:cs="Arial"/>
          <w:b/>
        </w:rPr>
        <w:t xml:space="preserve"> p</w:t>
      </w:r>
      <w:r w:rsidRPr="00000A19">
        <w:rPr>
          <w:rFonts w:ascii="Arial" w:hAnsi="Arial" w:cs="Arial"/>
          <w:b/>
        </w:rPr>
        <w:t>očt</w:t>
      </w:r>
      <w:r>
        <w:rPr>
          <w:rFonts w:ascii="Arial" w:hAnsi="Arial" w:cs="Arial"/>
          <w:b/>
        </w:rPr>
        <w:t>ech</w:t>
      </w:r>
      <w:r w:rsidRPr="00000A19">
        <w:rPr>
          <w:rFonts w:ascii="Arial" w:hAnsi="Arial" w:cs="Arial"/>
          <w:b/>
        </w:rPr>
        <w:t xml:space="preserve"> volných pracovních míst</w:t>
      </w:r>
      <w:r>
        <w:rPr>
          <w:rFonts w:ascii="Arial" w:hAnsi="Arial" w:cs="Arial"/>
        </w:rPr>
        <w:t xml:space="preserve"> nahlášených </w:t>
      </w:r>
      <w:r w:rsidR="006E2781">
        <w:rPr>
          <w:rFonts w:ascii="Arial" w:hAnsi="Arial" w:cs="Arial"/>
        </w:rPr>
        <w:t>zaměstnavateli na pracoviště ÚP </w:t>
      </w:r>
      <w:r>
        <w:rPr>
          <w:rFonts w:ascii="Arial" w:hAnsi="Arial" w:cs="Arial"/>
        </w:rPr>
        <w:t xml:space="preserve">ČR. </w:t>
      </w:r>
      <w:r w:rsidR="006E2781">
        <w:rPr>
          <w:rFonts w:ascii="Arial" w:hAnsi="Arial" w:cs="Arial"/>
        </w:rPr>
        <w:t>V roce </w:t>
      </w:r>
      <w:r w:rsidRPr="00D27097">
        <w:rPr>
          <w:rFonts w:ascii="Arial" w:hAnsi="Arial" w:cs="Arial"/>
        </w:rPr>
        <w:t>2017 dosáhl jejich průměrný počet 178,2 ti</w:t>
      </w:r>
      <w:r w:rsidR="00B06E8D">
        <w:rPr>
          <w:rFonts w:ascii="Arial" w:hAnsi="Arial" w:cs="Arial"/>
        </w:rPr>
        <w:t>s., o 50,3 tis. více než v roce </w:t>
      </w:r>
      <w:r w:rsidRPr="00D27097">
        <w:rPr>
          <w:rFonts w:ascii="Arial" w:hAnsi="Arial" w:cs="Arial"/>
        </w:rPr>
        <w:t>2016. Plynulý nár</w:t>
      </w:r>
      <w:r w:rsidR="00B06E8D">
        <w:rPr>
          <w:rFonts w:ascii="Arial" w:hAnsi="Arial" w:cs="Arial"/>
        </w:rPr>
        <w:t>ůst pokračoval i v 1. čtvrtletí </w:t>
      </w:r>
      <w:r w:rsidRPr="00D27097">
        <w:rPr>
          <w:rFonts w:ascii="Arial" w:hAnsi="Arial" w:cs="Arial"/>
        </w:rPr>
        <w:t>2018, v</w:t>
      </w:r>
      <w:r w:rsidR="00B06E8D">
        <w:rPr>
          <w:rFonts w:ascii="Arial" w:hAnsi="Arial" w:cs="Arial"/>
        </w:rPr>
        <w:t> </w:t>
      </w:r>
      <w:r w:rsidRPr="00D27097">
        <w:rPr>
          <w:rFonts w:ascii="Arial" w:hAnsi="Arial" w:cs="Arial"/>
        </w:rPr>
        <w:t xml:space="preserve">lednu jich bylo hlášeno 230,7 tis., v únoru 239,3 tis. </w:t>
      </w:r>
      <w:r w:rsidR="00B06E8D">
        <w:rPr>
          <w:rFonts w:ascii="Arial" w:hAnsi="Arial" w:cs="Arial"/>
        </w:rPr>
        <w:t>a </w:t>
      </w:r>
      <w:r w:rsidRPr="00D27097">
        <w:rPr>
          <w:rFonts w:ascii="Arial" w:hAnsi="Arial" w:cs="Arial"/>
        </w:rPr>
        <w:t xml:space="preserve">v březnu 253,5 tis., v průměru </w:t>
      </w:r>
      <w:r w:rsidR="00B06E8D">
        <w:rPr>
          <w:rFonts w:ascii="Arial" w:hAnsi="Arial" w:cs="Arial"/>
        </w:rPr>
        <w:t>v 1. čtvrtletí </w:t>
      </w:r>
      <w:r>
        <w:rPr>
          <w:rFonts w:ascii="Arial" w:hAnsi="Arial" w:cs="Arial"/>
        </w:rPr>
        <w:t xml:space="preserve">2018 </w:t>
      </w:r>
      <w:r w:rsidRPr="00D27097">
        <w:rPr>
          <w:rFonts w:ascii="Arial" w:hAnsi="Arial" w:cs="Arial"/>
        </w:rPr>
        <w:t xml:space="preserve">o cca 95 tis. meziročně více. </w:t>
      </w:r>
    </w:p>
    <w:p w:rsidR="00B83160" w:rsidRPr="009F6A56" w:rsidRDefault="00B83160" w:rsidP="00B83160">
      <w:pPr>
        <w:spacing w:line="360" w:lineRule="auto"/>
        <w:ind w:firstLine="567"/>
        <w:jc w:val="both"/>
        <w:rPr>
          <w:rFonts w:ascii="Arial" w:hAnsi="Arial" w:cs="Arial"/>
        </w:rPr>
      </w:pPr>
      <w:r w:rsidRPr="009F6A56">
        <w:rPr>
          <w:rFonts w:ascii="Arial" w:hAnsi="Arial" w:cs="Arial"/>
        </w:rPr>
        <w:t>Významná část nově vytvářených pracovních míst jsou pracovní pozice vyžadující nízké vzdělání, což neodpovídá vzdělanostní struktuře pracovní síly a zároveň se jedná o pozice, které ve střednědobém výhledu mohou být ohrože</w:t>
      </w:r>
      <w:r w:rsidR="002E24AC">
        <w:rPr>
          <w:rFonts w:ascii="Arial" w:hAnsi="Arial" w:cs="Arial"/>
        </w:rPr>
        <w:t>ny zánikem v důsledku dopadů 4. </w:t>
      </w:r>
      <w:r w:rsidRPr="009F6A56">
        <w:rPr>
          <w:rFonts w:ascii="Arial" w:hAnsi="Arial" w:cs="Arial"/>
        </w:rPr>
        <w:t>průmyslové revoluce (digitalizace, automatizace, robotizace). Na straně druhé je v některých profesích s požadavky na střední až vyšší kvalifikaci sledován nárůst podílu dlouhodobě neobsazených pracovních míst, a to i při relativním dostatku volné pracovní síly s touto kvalifikací. Tento kvalifikační nesoulad na trhu práce se při všeobecném nedostatku pracovní síly může stát limitujícím faktorem dalšího rozvoje trhu práce a české ekonomiky.</w:t>
      </w:r>
    </w:p>
    <w:p w:rsidR="00B83160" w:rsidRPr="001B054A" w:rsidRDefault="00B83160" w:rsidP="00B83160">
      <w:pPr>
        <w:spacing w:line="360" w:lineRule="auto"/>
        <w:ind w:firstLine="567"/>
        <w:jc w:val="both"/>
        <w:rPr>
          <w:rFonts w:ascii="Arial" w:hAnsi="Arial" w:cs="Arial"/>
        </w:rPr>
      </w:pPr>
      <w:r w:rsidRPr="00D27097">
        <w:rPr>
          <w:rFonts w:ascii="Arial" w:hAnsi="Arial" w:cs="Arial"/>
        </w:rPr>
        <w:t xml:space="preserve">Počet evidovaných </w:t>
      </w:r>
      <w:r w:rsidRPr="00D27097">
        <w:rPr>
          <w:rFonts w:ascii="Arial" w:hAnsi="Arial" w:cs="Arial"/>
          <w:b/>
        </w:rPr>
        <w:t>uchazečů o zaměstnání</w:t>
      </w:r>
      <w:r w:rsidRPr="00D27097">
        <w:rPr>
          <w:rFonts w:ascii="Arial" w:hAnsi="Arial" w:cs="Arial"/>
        </w:rPr>
        <w:t xml:space="preserve"> dosáhl v roce 2017 průměrné hodnoty 317,6 tis., což bylo o 88,3 tis. méně než v předchozím roce. Počty </w:t>
      </w:r>
      <w:r w:rsidRPr="006046B8">
        <w:rPr>
          <w:rFonts w:ascii="Arial" w:hAnsi="Arial" w:cs="Arial"/>
        </w:rPr>
        <w:t xml:space="preserve">uchazečů o zaměstnání </w:t>
      </w:r>
      <w:r>
        <w:rPr>
          <w:rFonts w:ascii="Arial" w:hAnsi="Arial" w:cs="Arial"/>
        </w:rPr>
        <w:t xml:space="preserve">po obvyklém nárůstu </w:t>
      </w:r>
      <w:r w:rsidRPr="006046B8">
        <w:rPr>
          <w:rFonts w:ascii="Arial" w:hAnsi="Arial" w:cs="Arial"/>
        </w:rPr>
        <w:t>v lednu</w:t>
      </w:r>
      <w:r w:rsidR="004C0E28">
        <w:rPr>
          <w:rFonts w:ascii="Arial" w:hAnsi="Arial" w:cs="Arial"/>
        </w:rPr>
        <w:t> </w:t>
      </w:r>
      <w:r w:rsidRPr="006046B8">
        <w:rPr>
          <w:rFonts w:ascii="Arial" w:hAnsi="Arial" w:cs="Arial"/>
        </w:rPr>
        <w:t xml:space="preserve">2018 </w:t>
      </w:r>
      <w:r w:rsidRPr="00C00387">
        <w:rPr>
          <w:rFonts w:ascii="Arial" w:hAnsi="Arial" w:cs="Arial"/>
        </w:rPr>
        <w:t>(</w:t>
      </w:r>
      <w:r w:rsidR="004C0E28">
        <w:rPr>
          <w:rFonts w:ascii="Arial" w:hAnsi="Arial" w:cs="Arial"/>
        </w:rPr>
        <w:t>na </w:t>
      </w:r>
      <w:r w:rsidRPr="00C00387">
        <w:rPr>
          <w:rFonts w:ascii="Arial" w:hAnsi="Arial" w:cs="Arial"/>
        </w:rPr>
        <w:t>289,2 tis.)</w:t>
      </w:r>
      <w:r>
        <w:rPr>
          <w:rFonts w:ascii="Arial" w:hAnsi="Arial" w:cs="Arial"/>
        </w:rPr>
        <w:t xml:space="preserve"> poklesly v </w:t>
      </w:r>
      <w:r w:rsidRPr="00C00387">
        <w:rPr>
          <w:rFonts w:ascii="Arial" w:hAnsi="Arial" w:cs="Arial"/>
        </w:rPr>
        <w:t>únoru </w:t>
      </w:r>
      <w:r w:rsidRPr="00486D28">
        <w:rPr>
          <w:rFonts w:ascii="Arial" w:hAnsi="Arial" w:cs="Arial"/>
        </w:rPr>
        <w:t xml:space="preserve">2018 </w:t>
      </w:r>
      <w:r>
        <w:rPr>
          <w:rFonts w:ascii="Arial" w:hAnsi="Arial" w:cs="Arial"/>
        </w:rPr>
        <w:t xml:space="preserve">na </w:t>
      </w:r>
      <w:r w:rsidRPr="00486D28">
        <w:rPr>
          <w:rFonts w:ascii="Arial" w:hAnsi="Arial" w:cs="Arial"/>
        </w:rPr>
        <w:t>280,9 tis. a </w:t>
      </w:r>
      <w:r w:rsidRPr="0020098E">
        <w:rPr>
          <w:rFonts w:ascii="Arial" w:hAnsi="Arial" w:cs="Arial"/>
        </w:rPr>
        <w:t>březnu </w:t>
      </w:r>
      <w:r w:rsidRPr="00EF6121">
        <w:rPr>
          <w:rFonts w:ascii="Arial" w:hAnsi="Arial" w:cs="Arial"/>
        </w:rPr>
        <w:t xml:space="preserve">2018 </w:t>
      </w:r>
      <w:r>
        <w:rPr>
          <w:rFonts w:ascii="Arial" w:hAnsi="Arial" w:cs="Arial"/>
        </w:rPr>
        <w:t xml:space="preserve">na </w:t>
      </w:r>
      <w:r w:rsidRPr="00EF6121">
        <w:rPr>
          <w:rFonts w:ascii="Arial" w:hAnsi="Arial" w:cs="Arial"/>
        </w:rPr>
        <w:t>263,6 </w:t>
      </w:r>
      <w:r w:rsidRPr="009F6F2A">
        <w:rPr>
          <w:rFonts w:ascii="Arial" w:hAnsi="Arial" w:cs="Arial"/>
        </w:rPr>
        <w:t xml:space="preserve">tis. </w:t>
      </w:r>
      <w:r>
        <w:rPr>
          <w:rFonts w:ascii="Arial" w:hAnsi="Arial" w:cs="Arial"/>
        </w:rPr>
        <w:t>P</w:t>
      </w:r>
      <w:r w:rsidRPr="0090055D">
        <w:rPr>
          <w:rFonts w:ascii="Arial" w:hAnsi="Arial" w:cs="Arial"/>
        </w:rPr>
        <w:t>růměrný počet uchazečů o </w:t>
      </w:r>
      <w:r w:rsidRPr="00C167A0">
        <w:rPr>
          <w:rFonts w:ascii="Arial" w:hAnsi="Arial" w:cs="Arial"/>
        </w:rPr>
        <w:t xml:space="preserve">zaměstnání </w:t>
      </w:r>
      <w:r>
        <w:rPr>
          <w:rFonts w:ascii="Arial" w:hAnsi="Arial" w:cs="Arial"/>
        </w:rPr>
        <w:t>se v </w:t>
      </w:r>
      <w:r w:rsidRPr="0090055D">
        <w:rPr>
          <w:rFonts w:ascii="Arial" w:hAnsi="Arial" w:cs="Arial"/>
        </w:rPr>
        <w:t>1. čtvrtletí 201</w:t>
      </w:r>
      <w:r>
        <w:rPr>
          <w:rFonts w:ascii="Arial" w:hAnsi="Arial" w:cs="Arial"/>
        </w:rPr>
        <w:t>8</w:t>
      </w:r>
      <w:r w:rsidRPr="0090055D">
        <w:rPr>
          <w:rFonts w:ascii="Arial" w:hAnsi="Arial" w:cs="Arial"/>
        </w:rPr>
        <w:t xml:space="preserve"> </w:t>
      </w:r>
      <w:r w:rsidRPr="00C167A0">
        <w:rPr>
          <w:rFonts w:ascii="Arial" w:hAnsi="Arial" w:cs="Arial"/>
        </w:rPr>
        <w:t>meziročně snížil o 98,7 tis.</w:t>
      </w:r>
      <w:r>
        <w:rPr>
          <w:rFonts w:ascii="Arial" w:hAnsi="Arial" w:cs="Arial"/>
        </w:rPr>
        <w:t xml:space="preserve"> </w:t>
      </w:r>
    </w:p>
    <w:p w:rsidR="00B83160" w:rsidRDefault="00B83160" w:rsidP="00B83160">
      <w:pPr>
        <w:spacing w:line="360" w:lineRule="auto"/>
        <w:ind w:firstLine="567"/>
        <w:jc w:val="both"/>
        <w:rPr>
          <w:rFonts w:ascii="Arial" w:hAnsi="Arial" w:cs="Arial"/>
        </w:rPr>
      </w:pPr>
      <w:r w:rsidRPr="00891167">
        <w:rPr>
          <w:rFonts w:ascii="Arial" w:hAnsi="Arial" w:cs="Arial"/>
          <w:b/>
        </w:rPr>
        <w:t>Na jedno volné místo</w:t>
      </w:r>
      <w:r w:rsidRPr="00891167">
        <w:rPr>
          <w:rFonts w:ascii="Arial" w:hAnsi="Arial" w:cs="Arial"/>
        </w:rPr>
        <w:t xml:space="preserve"> připadlo v </w:t>
      </w:r>
      <w:r w:rsidRPr="00A842F9">
        <w:rPr>
          <w:rFonts w:ascii="Arial" w:hAnsi="Arial" w:cs="Arial"/>
        </w:rPr>
        <w:t>lednu 1,3</w:t>
      </w:r>
      <w:r>
        <w:rPr>
          <w:rFonts w:ascii="Arial" w:hAnsi="Arial" w:cs="Arial"/>
        </w:rPr>
        <w:t xml:space="preserve"> a</w:t>
      </w:r>
      <w:r w:rsidR="003F5464">
        <w:rPr>
          <w:rFonts w:ascii="Arial" w:hAnsi="Arial" w:cs="Arial"/>
        </w:rPr>
        <w:t> </w:t>
      </w:r>
      <w:r w:rsidRPr="005E22BF">
        <w:rPr>
          <w:rFonts w:ascii="Arial" w:hAnsi="Arial" w:cs="Arial"/>
        </w:rPr>
        <w:t>v ú</w:t>
      </w:r>
      <w:r w:rsidRPr="00A842F9">
        <w:rPr>
          <w:rFonts w:ascii="Arial" w:hAnsi="Arial" w:cs="Arial"/>
        </w:rPr>
        <w:t>noru 1,2</w:t>
      </w:r>
      <w:r w:rsidR="003F5464">
        <w:rPr>
          <w:rFonts w:ascii="Arial" w:hAnsi="Arial" w:cs="Arial"/>
        </w:rPr>
        <w:t> </w:t>
      </w:r>
      <w:r w:rsidRPr="00A842F9">
        <w:rPr>
          <w:rFonts w:ascii="Arial" w:hAnsi="Arial" w:cs="Arial"/>
        </w:rPr>
        <w:t>uchazeč</w:t>
      </w:r>
      <w:r>
        <w:rPr>
          <w:rFonts w:ascii="Arial" w:hAnsi="Arial" w:cs="Arial"/>
        </w:rPr>
        <w:t>e</w:t>
      </w:r>
      <w:r w:rsidRPr="00A842F9">
        <w:rPr>
          <w:rFonts w:ascii="Arial" w:hAnsi="Arial" w:cs="Arial"/>
        </w:rPr>
        <w:t xml:space="preserve"> o </w:t>
      </w:r>
      <w:r w:rsidRPr="005E22BF">
        <w:rPr>
          <w:rFonts w:ascii="Arial" w:hAnsi="Arial" w:cs="Arial"/>
        </w:rPr>
        <w:t>zaměstnání</w:t>
      </w:r>
      <w:r>
        <w:rPr>
          <w:rFonts w:ascii="Arial" w:hAnsi="Arial" w:cs="Arial"/>
        </w:rPr>
        <w:t>. V </w:t>
      </w:r>
      <w:r w:rsidRPr="00A842F9">
        <w:rPr>
          <w:rFonts w:ascii="Arial" w:hAnsi="Arial" w:cs="Arial"/>
        </w:rPr>
        <w:t xml:space="preserve">březnu </w:t>
      </w:r>
      <w:r>
        <w:rPr>
          <w:rFonts w:ascii="Arial" w:hAnsi="Arial" w:cs="Arial"/>
        </w:rPr>
        <w:t>byl počet uchazečů o zaměstnání a volných pracovních míst téměř stejný, poče</w:t>
      </w:r>
      <w:r w:rsidR="003F5464">
        <w:rPr>
          <w:rFonts w:ascii="Arial" w:hAnsi="Arial" w:cs="Arial"/>
        </w:rPr>
        <w:t>t tzv. dosažitelných uchazečů o </w:t>
      </w:r>
      <w:r>
        <w:rPr>
          <w:rFonts w:ascii="Arial" w:hAnsi="Arial" w:cs="Arial"/>
        </w:rPr>
        <w:t>zaměstnání (240,8</w:t>
      </w:r>
      <w:r w:rsidR="00B06E8D">
        <w:rPr>
          <w:rFonts w:ascii="Arial" w:hAnsi="Arial" w:cs="Arial"/>
        </w:rPr>
        <w:t> </w:t>
      </w:r>
      <w:r>
        <w:rPr>
          <w:rFonts w:ascii="Arial" w:hAnsi="Arial" w:cs="Arial"/>
        </w:rPr>
        <w:t xml:space="preserve">tis.) byl dokonce nižší než počet nahlášených volných pracovních míst. </w:t>
      </w:r>
    </w:p>
    <w:p w:rsidR="00B83160" w:rsidRDefault="00B83160" w:rsidP="00B83160">
      <w:pPr>
        <w:spacing w:line="360" w:lineRule="auto"/>
        <w:ind w:firstLine="567"/>
        <w:jc w:val="both"/>
        <w:rPr>
          <w:rFonts w:ascii="Arial" w:hAnsi="Arial" w:cs="Arial"/>
        </w:rPr>
      </w:pPr>
      <w:r w:rsidRPr="00741082">
        <w:rPr>
          <w:rFonts w:ascii="Arial" w:hAnsi="Arial" w:cs="Arial"/>
          <w:b/>
        </w:rPr>
        <w:t>Podíl nezaměstnaných osob na obyvatelstvu</w:t>
      </w:r>
      <w:r w:rsidRPr="00741082">
        <w:rPr>
          <w:rFonts w:ascii="Arial" w:hAnsi="Arial" w:cs="Arial"/>
        </w:rPr>
        <w:t xml:space="preserve"> dosáhl v roce 2017 průměrné </w:t>
      </w:r>
      <w:r w:rsidRPr="00C90829">
        <w:rPr>
          <w:rFonts w:ascii="Arial" w:hAnsi="Arial" w:cs="Arial"/>
        </w:rPr>
        <w:t>hodnoty 4,3 %. V </w:t>
      </w:r>
      <w:r w:rsidRPr="00741082">
        <w:rPr>
          <w:rFonts w:ascii="Arial" w:hAnsi="Arial" w:cs="Arial"/>
        </w:rPr>
        <w:t xml:space="preserve">lednu 2018 byla hodnota tohoto ukazatele na </w:t>
      </w:r>
      <w:r w:rsidRPr="00AC76E0">
        <w:rPr>
          <w:rFonts w:ascii="Arial" w:hAnsi="Arial" w:cs="Arial"/>
        </w:rPr>
        <w:t xml:space="preserve">úrovni 3,9 %, </w:t>
      </w:r>
      <w:r w:rsidRPr="00741082">
        <w:rPr>
          <w:rFonts w:ascii="Arial" w:hAnsi="Arial" w:cs="Arial"/>
        </w:rPr>
        <w:t>v </w:t>
      </w:r>
      <w:r w:rsidR="003F5464">
        <w:rPr>
          <w:rFonts w:ascii="Arial" w:hAnsi="Arial" w:cs="Arial"/>
        </w:rPr>
        <w:t>únoru 2018 klesla na 3,7 % a v březnu </w:t>
      </w:r>
      <w:r w:rsidRPr="009A056B">
        <w:rPr>
          <w:rFonts w:ascii="Arial" w:hAnsi="Arial" w:cs="Arial"/>
        </w:rPr>
        <w:t xml:space="preserve">2018 na 3,5 %. </w:t>
      </w:r>
      <w:r>
        <w:rPr>
          <w:rFonts w:ascii="Arial" w:hAnsi="Arial" w:cs="Arial"/>
        </w:rPr>
        <w:t xml:space="preserve">Proti jeho dalšímu snižování bude působit rozpor mezi profesemi poptávanými zaměstnavateli a profesní strukturou uchazečů o zaměstnání. Dalším faktorem je růst podílu uchazečů </w:t>
      </w:r>
      <w:r>
        <w:rPr>
          <w:rFonts w:ascii="Arial" w:hAnsi="Arial" w:cs="Arial"/>
        </w:rPr>
        <w:lastRenderedPageBreak/>
        <w:t>o</w:t>
      </w:r>
      <w:r w:rsidR="003F5464">
        <w:rPr>
          <w:rFonts w:ascii="Arial" w:hAnsi="Arial" w:cs="Arial"/>
        </w:rPr>
        <w:t> </w:t>
      </w:r>
      <w:r>
        <w:rPr>
          <w:rFonts w:ascii="Arial" w:hAnsi="Arial" w:cs="Arial"/>
        </w:rPr>
        <w:t xml:space="preserve">zaměstnání, kteří jsou pro uplatnění na trhu práce znevýhodněni z důvodu věku, zdravotního stavu nebo kvalifikace. </w:t>
      </w:r>
    </w:p>
    <w:p w:rsidR="00B83160" w:rsidRPr="0082547C" w:rsidRDefault="00B83160" w:rsidP="00B83160">
      <w:pPr>
        <w:spacing w:line="360" w:lineRule="auto"/>
        <w:ind w:firstLine="567"/>
        <w:jc w:val="both"/>
        <w:rPr>
          <w:rFonts w:ascii="Arial" w:hAnsi="Arial" w:cs="Arial"/>
        </w:rPr>
      </w:pPr>
      <w:r>
        <w:rPr>
          <w:rFonts w:ascii="Arial" w:hAnsi="Arial" w:cs="Arial"/>
        </w:rPr>
        <w:t>V</w:t>
      </w:r>
      <w:r w:rsidRPr="009A056B">
        <w:rPr>
          <w:rFonts w:ascii="Arial" w:hAnsi="Arial" w:cs="Arial"/>
        </w:rPr>
        <w:t> dalším období</w:t>
      </w:r>
      <w:r>
        <w:rPr>
          <w:rFonts w:ascii="Arial" w:hAnsi="Arial" w:cs="Arial"/>
        </w:rPr>
        <w:t xml:space="preserve"> proto o</w:t>
      </w:r>
      <w:r w:rsidRPr="009A056B">
        <w:rPr>
          <w:rFonts w:ascii="Arial" w:hAnsi="Arial" w:cs="Arial"/>
        </w:rPr>
        <w:t xml:space="preserve">čekáváme </w:t>
      </w:r>
      <w:r w:rsidRPr="00D27097">
        <w:rPr>
          <w:rFonts w:ascii="Arial" w:hAnsi="Arial" w:cs="Arial"/>
          <w:b/>
        </w:rPr>
        <w:t>zpomalení tempa</w:t>
      </w:r>
      <w:r w:rsidRPr="009A056B">
        <w:rPr>
          <w:rFonts w:ascii="Arial" w:hAnsi="Arial" w:cs="Arial"/>
        </w:rPr>
        <w:t xml:space="preserve"> </w:t>
      </w:r>
      <w:r w:rsidRPr="00D27097">
        <w:rPr>
          <w:rFonts w:ascii="Arial" w:hAnsi="Arial" w:cs="Arial"/>
          <w:b/>
        </w:rPr>
        <w:t>poklesu podílu nezaměstnaných osob na obyvatelstvu</w:t>
      </w:r>
      <w:r w:rsidRPr="009A056B">
        <w:rPr>
          <w:rFonts w:ascii="Arial" w:hAnsi="Arial" w:cs="Arial"/>
        </w:rPr>
        <w:t xml:space="preserve"> </w:t>
      </w:r>
      <w:r w:rsidRPr="003346FC">
        <w:rPr>
          <w:rFonts w:ascii="Arial" w:hAnsi="Arial" w:cs="Arial"/>
          <w:b/>
        </w:rPr>
        <w:t>v roce 2018</w:t>
      </w:r>
      <w:r w:rsidRPr="003346FC">
        <w:rPr>
          <w:rFonts w:ascii="Arial" w:hAnsi="Arial" w:cs="Arial"/>
        </w:rPr>
        <w:t xml:space="preserve"> </w:t>
      </w:r>
      <w:r>
        <w:rPr>
          <w:rFonts w:ascii="Arial" w:hAnsi="Arial" w:cs="Arial"/>
        </w:rPr>
        <w:t xml:space="preserve">na </w:t>
      </w:r>
      <w:r w:rsidRPr="006C5E4C">
        <w:rPr>
          <w:rFonts w:ascii="Arial" w:hAnsi="Arial" w:cs="Arial"/>
          <w:b/>
        </w:rPr>
        <w:t>3,</w:t>
      </w:r>
      <w:r>
        <w:rPr>
          <w:rFonts w:ascii="Arial" w:hAnsi="Arial" w:cs="Arial"/>
          <w:b/>
        </w:rPr>
        <w:t>4</w:t>
      </w:r>
      <w:r w:rsidRPr="006C5E4C">
        <w:rPr>
          <w:rFonts w:ascii="Arial" w:hAnsi="Arial" w:cs="Arial"/>
          <w:b/>
        </w:rPr>
        <w:t>-</w:t>
      </w:r>
      <w:r>
        <w:rPr>
          <w:rFonts w:ascii="Arial" w:hAnsi="Arial" w:cs="Arial"/>
          <w:b/>
        </w:rPr>
        <w:t>3</w:t>
      </w:r>
      <w:r w:rsidRPr="006C5E4C">
        <w:rPr>
          <w:rFonts w:ascii="Arial" w:hAnsi="Arial" w:cs="Arial"/>
          <w:b/>
        </w:rPr>
        <w:t>,</w:t>
      </w:r>
      <w:r>
        <w:rPr>
          <w:rFonts w:ascii="Arial" w:hAnsi="Arial" w:cs="Arial"/>
          <w:b/>
        </w:rPr>
        <w:t>8</w:t>
      </w:r>
      <w:r w:rsidR="00B06E8D">
        <w:rPr>
          <w:rFonts w:ascii="Arial" w:hAnsi="Arial" w:cs="Arial"/>
          <w:b/>
        </w:rPr>
        <w:t> </w:t>
      </w:r>
      <w:r w:rsidRPr="006C5E4C">
        <w:rPr>
          <w:rFonts w:ascii="Arial" w:hAnsi="Arial" w:cs="Arial"/>
          <w:b/>
        </w:rPr>
        <w:t>%</w:t>
      </w:r>
      <w:r w:rsidRPr="006C5E4C">
        <w:rPr>
          <w:rFonts w:ascii="Arial" w:hAnsi="Arial" w:cs="Arial"/>
        </w:rPr>
        <w:t xml:space="preserve">, </w:t>
      </w:r>
      <w:r w:rsidRPr="0082547C">
        <w:rPr>
          <w:rFonts w:ascii="Arial" w:hAnsi="Arial" w:cs="Arial"/>
        </w:rPr>
        <w:t>v roce 2019 se nezaměstnanost bude pohybovat ve stejném intervalu</w:t>
      </w:r>
      <w:r w:rsidRPr="005D17F2">
        <w:rPr>
          <w:rFonts w:ascii="Arial" w:hAnsi="Arial" w:cs="Arial"/>
        </w:rPr>
        <w:t>.</w:t>
      </w:r>
      <w:r w:rsidRPr="006C5E4C">
        <w:rPr>
          <w:rFonts w:ascii="Arial" w:hAnsi="Arial" w:cs="Arial"/>
        </w:rPr>
        <w:t xml:space="preserve"> </w:t>
      </w:r>
      <w:r w:rsidRPr="003346FC">
        <w:rPr>
          <w:rFonts w:ascii="Arial" w:hAnsi="Arial" w:cs="Arial"/>
          <w:b/>
        </w:rPr>
        <w:t xml:space="preserve">ČNB </w:t>
      </w:r>
      <w:r w:rsidRPr="003346FC">
        <w:rPr>
          <w:rFonts w:ascii="Arial" w:hAnsi="Arial" w:cs="Arial"/>
        </w:rPr>
        <w:t xml:space="preserve">odhaduje hodnotu tohoto </w:t>
      </w:r>
      <w:r w:rsidRPr="008D2FF5">
        <w:rPr>
          <w:rFonts w:ascii="Arial" w:hAnsi="Arial" w:cs="Arial"/>
        </w:rPr>
        <w:t>ukazatele</w:t>
      </w:r>
      <w:r w:rsidRPr="008D2FF5">
        <w:rPr>
          <w:rFonts w:ascii="Arial" w:hAnsi="Arial" w:cs="Arial"/>
          <w:b/>
        </w:rPr>
        <w:t xml:space="preserve"> </w:t>
      </w:r>
      <w:r>
        <w:rPr>
          <w:rFonts w:ascii="Arial" w:hAnsi="Arial" w:cs="Arial"/>
          <w:b/>
        </w:rPr>
        <w:t>v</w:t>
      </w:r>
      <w:r w:rsidRPr="003346FC">
        <w:rPr>
          <w:rFonts w:ascii="Arial" w:hAnsi="Arial" w:cs="Arial"/>
          <w:b/>
        </w:rPr>
        <w:t xml:space="preserve"> roce 2018 </w:t>
      </w:r>
      <w:r w:rsidRPr="0082547C">
        <w:rPr>
          <w:rFonts w:ascii="Arial" w:hAnsi="Arial" w:cs="Arial"/>
        </w:rPr>
        <w:t>na úrovni</w:t>
      </w:r>
      <w:r>
        <w:rPr>
          <w:rFonts w:ascii="Arial" w:hAnsi="Arial" w:cs="Arial"/>
          <w:b/>
        </w:rPr>
        <w:t xml:space="preserve"> </w:t>
      </w:r>
      <w:r w:rsidRPr="008D2FF5">
        <w:rPr>
          <w:rFonts w:ascii="Arial" w:hAnsi="Arial" w:cs="Arial"/>
          <w:b/>
        </w:rPr>
        <w:t>3</w:t>
      </w:r>
      <w:r w:rsidRPr="00112DCD">
        <w:rPr>
          <w:rFonts w:ascii="Arial" w:hAnsi="Arial" w:cs="Arial"/>
          <w:b/>
        </w:rPr>
        <w:t>,4 %</w:t>
      </w:r>
      <w:r>
        <w:rPr>
          <w:rFonts w:ascii="Arial" w:hAnsi="Arial" w:cs="Arial"/>
          <w:b/>
        </w:rPr>
        <w:t xml:space="preserve"> </w:t>
      </w:r>
      <w:r w:rsidRPr="0082547C">
        <w:rPr>
          <w:rFonts w:ascii="Arial" w:hAnsi="Arial" w:cs="Arial"/>
        </w:rPr>
        <w:t xml:space="preserve">a v roce 2019 pokles na 3,3 %, </w:t>
      </w:r>
      <w:r w:rsidRPr="00112DCD">
        <w:rPr>
          <w:rFonts w:ascii="Arial" w:hAnsi="Arial" w:cs="Arial"/>
          <w:b/>
        </w:rPr>
        <w:t xml:space="preserve">MF ČR </w:t>
      </w:r>
      <w:r>
        <w:rPr>
          <w:rFonts w:ascii="Arial" w:hAnsi="Arial" w:cs="Arial"/>
          <w:b/>
        </w:rPr>
        <w:t xml:space="preserve">v roce 2018 </w:t>
      </w:r>
      <w:r w:rsidRPr="00D27097">
        <w:rPr>
          <w:rFonts w:ascii="Arial" w:hAnsi="Arial" w:cs="Arial"/>
        </w:rPr>
        <w:t xml:space="preserve">předpokládá </w:t>
      </w:r>
      <w:r>
        <w:rPr>
          <w:rFonts w:ascii="Arial" w:hAnsi="Arial" w:cs="Arial"/>
        </w:rPr>
        <w:t xml:space="preserve">jeho </w:t>
      </w:r>
      <w:r>
        <w:rPr>
          <w:rFonts w:ascii="Arial" w:hAnsi="Arial" w:cs="Arial"/>
          <w:b/>
        </w:rPr>
        <w:t xml:space="preserve">pokles na </w:t>
      </w:r>
      <w:r w:rsidRPr="00112DCD">
        <w:rPr>
          <w:rFonts w:ascii="Arial" w:hAnsi="Arial" w:cs="Arial"/>
          <w:b/>
        </w:rPr>
        <w:t>3,</w:t>
      </w:r>
      <w:r>
        <w:rPr>
          <w:rFonts w:ascii="Arial" w:hAnsi="Arial" w:cs="Arial"/>
          <w:b/>
        </w:rPr>
        <w:t>4</w:t>
      </w:r>
      <w:r w:rsidRPr="00112DCD">
        <w:rPr>
          <w:rFonts w:ascii="Arial" w:hAnsi="Arial" w:cs="Arial"/>
          <w:b/>
        </w:rPr>
        <w:t> %</w:t>
      </w:r>
      <w:r w:rsidRPr="00B06E8D">
        <w:rPr>
          <w:rFonts w:ascii="Arial" w:hAnsi="Arial" w:cs="Arial"/>
        </w:rPr>
        <w:t xml:space="preserve"> </w:t>
      </w:r>
      <w:r w:rsidRPr="00B56381">
        <w:rPr>
          <w:rFonts w:ascii="Arial" w:hAnsi="Arial" w:cs="Arial"/>
        </w:rPr>
        <w:t xml:space="preserve">a </w:t>
      </w:r>
      <w:r w:rsidRPr="0082547C">
        <w:rPr>
          <w:rFonts w:ascii="Arial" w:hAnsi="Arial" w:cs="Arial"/>
        </w:rPr>
        <w:t xml:space="preserve">v roce 2019 očekává </w:t>
      </w:r>
      <w:r>
        <w:rPr>
          <w:rFonts w:ascii="Arial" w:hAnsi="Arial" w:cs="Arial"/>
        </w:rPr>
        <w:t xml:space="preserve">další </w:t>
      </w:r>
      <w:r w:rsidRPr="0082547C">
        <w:rPr>
          <w:rFonts w:ascii="Arial" w:hAnsi="Arial" w:cs="Arial"/>
        </w:rPr>
        <w:t xml:space="preserve">pokles na 3,0 %. </w:t>
      </w:r>
    </w:p>
    <w:p w:rsidR="00EE15EF" w:rsidRPr="00112DCD" w:rsidRDefault="00EE15EF" w:rsidP="00EE15EF"/>
    <w:p w:rsidR="00440AD8" w:rsidRDefault="00440AD8" w:rsidP="00440AD8"/>
    <w:p w:rsidR="003C5F2F" w:rsidRPr="0067681C" w:rsidRDefault="00440AD8" w:rsidP="003C5F2F">
      <w:pPr>
        <w:pStyle w:val="Zhlav"/>
        <w:tabs>
          <w:tab w:val="clear" w:pos="4536"/>
          <w:tab w:val="clear" w:pos="9072"/>
          <w:tab w:val="left" w:pos="0"/>
          <w:tab w:val="left" w:pos="72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rFonts w:ascii="Arial" w:hAnsi="Arial" w:cs="Arial"/>
          <w:b/>
          <w:sz w:val="28"/>
          <w:szCs w:val="28"/>
        </w:rPr>
      </w:pPr>
      <w:r>
        <w:rPr>
          <w:b/>
          <w:bCs/>
          <w:color w:val="FF0000"/>
        </w:rPr>
        <w:br w:type="column"/>
      </w:r>
      <w:r w:rsidR="003C5F2F" w:rsidRPr="0067681C">
        <w:rPr>
          <w:rFonts w:ascii="Arial" w:hAnsi="Arial" w:cs="Arial"/>
          <w:b/>
          <w:sz w:val="28"/>
          <w:szCs w:val="28"/>
        </w:rPr>
        <w:lastRenderedPageBreak/>
        <w:t>Metodické poznámky</w:t>
      </w:r>
    </w:p>
    <w:p w:rsidR="003C5F2F" w:rsidRPr="0067681C" w:rsidRDefault="003C5F2F" w:rsidP="003C5F2F">
      <w:pPr>
        <w:rPr>
          <w:rFonts w:ascii="Arial" w:hAnsi="Arial" w:cs="Arial"/>
          <w:b/>
        </w:rPr>
      </w:pPr>
      <w:r w:rsidRPr="0067681C">
        <w:rPr>
          <w:rFonts w:ascii="Arial" w:hAnsi="Arial" w:cs="Arial"/>
          <w:b/>
        </w:rPr>
        <w:t>Zaměstnanost</w:t>
      </w:r>
    </w:p>
    <w:p w:rsidR="003C5F2F" w:rsidRPr="00013E2E" w:rsidRDefault="003C5F2F" w:rsidP="003C5F2F">
      <w:pPr>
        <w:pStyle w:val="Zkladntextodsazen"/>
        <w:spacing w:line="240" w:lineRule="auto"/>
        <w:rPr>
          <w:rFonts w:cs="Arial"/>
          <w:sz w:val="16"/>
          <w:szCs w:val="16"/>
          <w:lang w:val="cs-CZ"/>
        </w:rPr>
      </w:pPr>
    </w:p>
    <w:p w:rsidR="003C5F2F" w:rsidRPr="00526A74" w:rsidRDefault="003C5F2F" w:rsidP="003C5F2F">
      <w:pPr>
        <w:pStyle w:val="Zkladntextodsazen"/>
        <w:spacing w:line="240" w:lineRule="auto"/>
        <w:rPr>
          <w:rFonts w:cs="Arial"/>
        </w:rPr>
      </w:pPr>
      <w:r w:rsidRPr="00526A74">
        <w:rPr>
          <w:rFonts w:cs="Arial"/>
        </w:rPr>
        <w:t>MPSV pro hodnocení vývoje na trhu práce využívá pro oblast zaměstnanosti údaje ČSÚ především z Výběrových šetření pracovních sil (VŠPS).</w:t>
      </w:r>
    </w:p>
    <w:p w:rsidR="003C5F2F" w:rsidRPr="00526A74" w:rsidRDefault="003C5F2F" w:rsidP="003C5F2F">
      <w:pPr>
        <w:pStyle w:val="Zkladntextodsazen"/>
        <w:spacing w:line="240" w:lineRule="auto"/>
        <w:rPr>
          <w:rFonts w:cs="Arial"/>
        </w:rPr>
      </w:pPr>
    </w:p>
    <w:p w:rsidR="003C5F2F" w:rsidRPr="00526A74" w:rsidRDefault="003C5F2F" w:rsidP="003C5F2F">
      <w:pPr>
        <w:rPr>
          <w:rFonts w:ascii="Arial" w:hAnsi="Arial" w:cs="Arial"/>
          <w:u w:val="single"/>
        </w:rPr>
      </w:pPr>
      <w:r w:rsidRPr="00526A74">
        <w:rPr>
          <w:rFonts w:ascii="Arial" w:hAnsi="Arial" w:cs="Arial"/>
          <w:u w:val="single"/>
        </w:rPr>
        <w:t>Výběrové šetření pracovních sil (VŠPS)</w:t>
      </w:r>
    </w:p>
    <w:p w:rsidR="003C5F2F" w:rsidRPr="00526A74" w:rsidRDefault="003C5F2F" w:rsidP="003C5F2F">
      <w:pPr>
        <w:pStyle w:val="Normlnweb"/>
        <w:ind w:firstLine="708"/>
        <w:jc w:val="both"/>
        <w:rPr>
          <w:rFonts w:ascii="Arial" w:hAnsi="Arial" w:cs="Arial"/>
        </w:rPr>
      </w:pPr>
      <w:r w:rsidRPr="00526A74">
        <w:rPr>
          <w:rFonts w:ascii="Arial" w:hAnsi="Arial" w:cs="Arial"/>
          <w:szCs w:val="20"/>
        </w:rPr>
        <w:t>Předmětem šetření ve VŠPS jsou domácnosti bydlící v náhodně vybraných bytech. Šetření podléhají všechny osoby obvykle bydlící ve vybraném bytě, přičemž není rozhodující a není ani sledováno, mají-li zde pobyt trvalý, přechodný, dlouhodobý nebo nehlášený. U osob mladších než 15 let se sledují základní údaje týkající se vztahu k osobě v čele domácnosti, věku, pohlaví, národnosti a státní příslušnosti. Za osoby starší 15 let se vyplňují další otázky, které popisují jejich uplatnění na trhu práce. Šetření se nevztahuje na osoby bydlící dlouhodobě v hromadných ubytovacích zařízeních. Z toho důvodu jsou údaje za určité skupiny obyvatelstva, zejména za cizí státní příslušníky žijící a pracující na území republiky, k dispozici v omezené míře. Podle doporučení EUROSTATu lze údaje za tyto osoby získat buď z administrativních zdrojů, nebo zvláštním šetřením organizovaným zásadně mimo rámec VŠPS.</w:t>
      </w:r>
      <w:r w:rsidRPr="00526A74">
        <w:rPr>
          <w:rFonts w:ascii="Arial" w:hAnsi="Arial" w:cs="Arial"/>
        </w:rPr>
        <w:t xml:space="preserve"> </w:t>
      </w:r>
    </w:p>
    <w:p w:rsidR="003C5F2F" w:rsidRPr="00526A74" w:rsidRDefault="003C5F2F" w:rsidP="003C5F2F">
      <w:pPr>
        <w:pStyle w:val="Normlnweb"/>
        <w:ind w:firstLine="708"/>
        <w:jc w:val="both"/>
        <w:rPr>
          <w:rFonts w:ascii="Arial" w:hAnsi="Arial" w:cs="Arial"/>
        </w:rPr>
      </w:pPr>
      <w:r w:rsidRPr="00526A74">
        <w:rPr>
          <w:rFonts w:ascii="Arial" w:hAnsi="Arial" w:cs="Arial"/>
          <w:b/>
          <w:szCs w:val="20"/>
        </w:rPr>
        <w:t>Zaměstnaní</w:t>
      </w:r>
      <w:r w:rsidRPr="00526A74">
        <w:rPr>
          <w:rFonts w:ascii="Arial" w:hAnsi="Arial" w:cs="Arial"/>
          <w:szCs w:val="20"/>
        </w:rPr>
        <w:t xml:space="preserve"> jsou všichni ve věku 15 a více let, kteří během referenčního týdne příslušeli do kategorie placení zaměstnaní nebo zaměstnaní ve vlastním podniku. Pro účely zjišťování je pojem práce interpretován jako práce </w:t>
      </w:r>
      <w:r w:rsidRPr="00526A74">
        <w:rPr>
          <w:rFonts w:ascii="Arial" w:hAnsi="Arial" w:cs="Arial"/>
          <w:b/>
          <w:szCs w:val="20"/>
        </w:rPr>
        <w:t>alespoň po</w:t>
      </w:r>
      <w:r>
        <w:rPr>
          <w:rFonts w:ascii="Arial" w:hAnsi="Arial" w:cs="Arial"/>
          <w:b/>
          <w:szCs w:val="20"/>
        </w:rPr>
        <w:t> </w:t>
      </w:r>
      <w:r w:rsidRPr="00526A74">
        <w:rPr>
          <w:rFonts w:ascii="Arial" w:hAnsi="Arial" w:cs="Arial"/>
          <w:b/>
          <w:szCs w:val="20"/>
        </w:rPr>
        <w:t>dobu jedné hodiny</w:t>
      </w:r>
      <w:r w:rsidRPr="00526A74">
        <w:rPr>
          <w:rFonts w:ascii="Arial" w:hAnsi="Arial" w:cs="Arial"/>
          <w:szCs w:val="20"/>
        </w:rPr>
        <w:t xml:space="preserve"> v referenčním týdnu. Za zaměstnané jsou považováni i </w:t>
      </w:r>
      <w:r w:rsidRPr="00526A74">
        <w:rPr>
          <w:rFonts w:ascii="Arial" w:hAnsi="Arial" w:cs="Arial"/>
          <w:b/>
          <w:szCs w:val="20"/>
        </w:rPr>
        <w:t>učni</w:t>
      </w:r>
      <w:r w:rsidRPr="00526A74">
        <w:rPr>
          <w:rFonts w:ascii="Arial" w:hAnsi="Arial" w:cs="Arial"/>
          <w:szCs w:val="20"/>
        </w:rPr>
        <w:t xml:space="preserve">, kteří dostávají mzdu, plat nebo odměnu podle stejného principu jako jiné osoby. Obdobně </w:t>
      </w:r>
      <w:r w:rsidRPr="00526A74">
        <w:rPr>
          <w:rFonts w:ascii="Arial" w:hAnsi="Arial" w:cs="Arial"/>
          <w:b/>
          <w:szCs w:val="20"/>
        </w:rPr>
        <w:t>studenti</w:t>
      </w:r>
      <w:r w:rsidRPr="00526A74">
        <w:rPr>
          <w:rFonts w:ascii="Arial" w:hAnsi="Arial" w:cs="Arial"/>
          <w:szCs w:val="20"/>
        </w:rPr>
        <w:t xml:space="preserve">, osoby </w:t>
      </w:r>
      <w:r w:rsidRPr="00526A74">
        <w:rPr>
          <w:rFonts w:ascii="Arial" w:hAnsi="Arial" w:cs="Arial"/>
          <w:b/>
          <w:szCs w:val="20"/>
        </w:rPr>
        <w:t>pobírající důchod</w:t>
      </w:r>
      <w:r w:rsidRPr="00526A74">
        <w:rPr>
          <w:rFonts w:ascii="Arial" w:hAnsi="Arial" w:cs="Arial"/>
          <w:szCs w:val="20"/>
        </w:rPr>
        <w:t xml:space="preserve">, osoby v domácnosti a další osoby zabývající se především mimoekonomickými aktivitami, </w:t>
      </w:r>
      <w:r w:rsidRPr="00526A74">
        <w:rPr>
          <w:rFonts w:ascii="Arial" w:hAnsi="Arial" w:cs="Arial"/>
          <w:b/>
          <w:szCs w:val="20"/>
        </w:rPr>
        <w:t>kteří</w:t>
      </w:r>
      <w:r w:rsidRPr="00526A74">
        <w:rPr>
          <w:rFonts w:ascii="Arial" w:hAnsi="Arial" w:cs="Arial"/>
          <w:szCs w:val="20"/>
        </w:rPr>
        <w:t xml:space="preserve"> však v referenčním období </w:t>
      </w:r>
      <w:r w:rsidRPr="00526A74">
        <w:rPr>
          <w:rFonts w:ascii="Arial" w:hAnsi="Arial" w:cs="Arial"/>
          <w:b/>
          <w:szCs w:val="20"/>
        </w:rPr>
        <w:t>byli navíc v zaměstnání, jsou</w:t>
      </w:r>
      <w:r w:rsidRPr="00526A74">
        <w:rPr>
          <w:rFonts w:ascii="Arial" w:hAnsi="Arial" w:cs="Arial"/>
          <w:szCs w:val="20"/>
        </w:rPr>
        <w:t xml:space="preserve"> také </w:t>
      </w:r>
      <w:r w:rsidRPr="00526A74">
        <w:rPr>
          <w:rFonts w:ascii="Arial" w:hAnsi="Arial" w:cs="Arial"/>
          <w:b/>
          <w:szCs w:val="20"/>
        </w:rPr>
        <w:t>považováni za zaměstnané</w:t>
      </w:r>
      <w:r w:rsidRPr="00526A74">
        <w:rPr>
          <w:rFonts w:ascii="Arial" w:hAnsi="Arial" w:cs="Arial"/>
          <w:szCs w:val="20"/>
        </w:rPr>
        <w:t>. Do skupiny zaměstnaných naopak nejsou automaticky zahrnovány osoby na rodičovské dovolené, jejichž postavení má podle metodiky Mezinárodní organizace práce (ILO) odlišný charakter.</w:t>
      </w:r>
      <w:r w:rsidRPr="00526A74">
        <w:rPr>
          <w:rFonts w:ascii="Arial" w:hAnsi="Arial" w:cs="Arial"/>
        </w:rPr>
        <w:t xml:space="preserve"> </w:t>
      </w:r>
    </w:p>
    <w:p w:rsidR="003C5F2F" w:rsidRPr="00526A74" w:rsidRDefault="003C5F2F" w:rsidP="003C5F2F">
      <w:pPr>
        <w:pStyle w:val="Nadpis3"/>
      </w:pPr>
    </w:p>
    <w:p w:rsidR="003C5F2F" w:rsidRPr="00526A74" w:rsidRDefault="003C5F2F" w:rsidP="003C5F2F">
      <w:pPr>
        <w:rPr>
          <w:rFonts w:ascii="Arial" w:hAnsi="Arial" w:cs="Arial"/>
          <w:b/>
        </w:rPr>
      </w:pPr>
      <w:r w:rsidRPr="00526A74">
        <w:rPr>
          <w:rFonts w:ascii="Arial" w:hAnsi="Arial" w:cs="Arial"/>
          <w:b/>
        </w:rPr>
        <w:t>Nezaměstnanost</w:t>
      </w:r>
    </w:p>
    <w:p w:rsidR="003C5F2F" w:rsidRPr="00013E2E" w:rsidRDefault="003C5F2F" w:rsidP="003C5F2F">
      <w:pPr>
        <w:pStyle w:val="Zkladntextodsazen"/>
        <w:spacing w:line="240" w:lineRule="auto"/>
        <w:rPr>
          <w:rFonts w:cs="Arial"/>
          <w:sz w:val="16"/>
          <w:szCs w:val="16"/>
          <w:lang w:val="cs-CZ"/>
        </w:rPr>
      </w:pPr>
    </w:p>
    <w:p w:rsidR="003C5F2F" w:rsidRPr="00526A74" w:rsidRDefault="003C5F2F" w:rsidP="003C5F2F">
      <w:pPr>
        <w:pStyle w:val="Zkladntextodsazen"/>
        <w:spacing w:line="240" w:lineRule="auto"/>
        <w:rPr>
          <w:rFonts w:cs="Arial"/>
        </w:rPr>
      </w:pPr>
      <w:r w:rsidRPr="00526A74">
        <w:rPr>
          <w:rFonts w:cs="Arial"/>
        </w:rPr>
        <w:t>Pro nezaměstnanost MPSV využívá údaje ČSÚ z VŠPS a statistiky MPSV z administrativních dat úřadů práce.</w:t>
      </w:r>
    </w:p>
    <w:p w:rsidR="003C5F2F" w:rsidRPr="00526A74" w:rsidRDefault="003C5F2F" w:rsidP="003C5F2F">
      <w:pPr>
        <w:pStyle w:val="Zkladntextodsazen"/>
        <w:spacing w:line="240" w:lineRule="auto"/>
      </w:pPr>
      <w:r w:rsidRPr="00526A74">
        <w:t>Rozdíly v metodě zjišťování údajů o počtu registrovaných uchazečů o zaměstnání po linii úřadů práce a zjišťování počtu nezaměstnaných podle výsledků VŠPS:</w:t>
      </w:r>
    </w:p>
    <w:p w:rsidR="003C5F2F" w:rsidRPr="00526A74" w:rsidRDefault="003C5F2F" w:rsidP="003C5F2F">
      <w:pPr>
        <w:pStyle w:val="Zkladntext3"/>
        <w:spacing w:line="240" w:lineRule="auto"/>
        <w:rPr>
          <w:u w:val="single"/>
        </w:rPr>
      </w:pPr>
      <w:r w:rsidRPr="00526A74">
        <w:rPr>
          <w:u w:val="single"/>
        </w:rPr>
        <w:t>Velikost souboru</w:t>
      </w:r>
    </w:p>
    <w:p w:rsidR="003C5F2F" w:rsidRPr="00526A74" w:rsidRDefault="003C5F2F" w:rsidP="003C5F2F">
      <w:pPr>
        <w:numPr>
          <w:ilvl w:val="0"/>
          <w:numId w:val="4"/>
        </w:numPr>
        <w:tabs>
          <w:tab w:val="clear" w:pos="720"/>
          <w:tab w:val="num" w:pos="426"/>
          <w:tab w:val="num" w:pos="1080"/>
        </w:tabs>
        <w:ind w:left="426" w:hanging="426"/>
        <w:jc w:val="both"/>
        <w:rPr>
          <w:rFonts w:ascii="Arial" w:hAnsi="Arial" w:cs="Arial"/>
        </w:rPr>
      </w:pPr>
      <w:r w:rsidRPr="00526A74">
        <w:rPr>
          <w:rFonts w:ascii="Arial" w:hAnsi="Arial" w:cs="Arial"/>
        </w:rPr>
        <w:t>MPSV - úplná evidence registrovaných uchazečů o zaměstnání.</w:t>
      </w:r>
    </w:p>
    <w:p w:rsidR="003C5F2F" w:rsidRPr="00485D29" w:rsidRDefault="003C5F2F" w:rsidP="003C5F2F">
      <w:pPr>
        <w:numPr>
          <w:ilvl w:val="0"/>
          <w:numId w:val="4"/>
        </w:numPr>
        <w:tabs>
          <w:tab w:val="clear" w:pos="720"/>
          <w:tab w:val="num" w:pos="426"/>
          <w:tab w:val="num" w:pos="1080"/>
        </w:tabs>
        <w:ind w:left="426" w:hanging="426"/>
        <w:jc w:val="both"/>
        <w:rPr>
          <w:rFonts w:ascii="Arial" w:hAnsi="Arial" w:cs="Arial"/>
          <w:u w:val="single"/>
        </w:rPr>
      </w:pPr>
      <w:r w:rsidRPr="00485D29">
        <w:rPr>
          <w:rFonts w:ascii="Arial" w:hAnsi="Arial" w:cs="Arial"/>
        </w:rPr>
        <w:t xml:space="preserve">ČSÚ VŠPS - výběrový </w:t>
      </w:r>
      <w:r w:rsidRPr="00CB777E">
        <w:rPr>
          <w:rFonts w:ascii="Arial" w:hAnsi="Arial" w:cs="Arial"/>
        </w:rPr>
        <w:t>soubor (ve </w:t>
      </w:r>
      <w:r w:rsidR="00CB777E" w:rsidRPr="00CB777E">
        <w:rPr>
          <w:rFonts w:ascii="Arial" w:hAnsi="Arial" w:cs="Arial"/>
        </w:rPr>
        <w:t>4</w:t>
      </w:r>
      <w:r w:rsidRPr="00CB777E">
        <w:rPr>
          <w:rFonts w:ascii="Arial" w:hAnsi="Arial" w:cs="Arial"/>
        </w:rPr>
        <w:t xml:space="preserve">. čtvrtletí roku 2017 necelých 0,6 % všech trvale obydlených bytů v ČR, v nichž </w:t>
      </w:r>
      <w:r w:rsidR="00CB777E" w:rsidRPr="00CB777E">
        <w:rPr>
          <w:rFonts w:ascii="Arial" w:hAnsi="Arial" w:cs="Arial"/>
        </w:rPr>
        <w:t>bylo více než 45</w:t>
      </w:r>
      <w:r w:rsidR="00CB777E" w:rsidRPr="00CB777E">
        <w:rPr>
          <w:rFonts w:ascii="Arial" w:hAnsi="Arial" w:cs="Arial"/>
          <w:bCs/>
        </w:rPr>
        <w:t xml:space="preserve"> tis. </w:t>
      </w:r>
      <w:r w:rsidRPr="00CB777E">
        <w:rPr>
          <w:rFonts w:ascii="Arial" w:hAnsi="Arial" w:cs="Arial"/>
          <w:bCs/>
        </w:rPr>
        <w:t>respondentů</w:t>
      </w:r>
      <w:r w:rsidRPr="00FB295C">
        <w:rPr>
          <w:rFonts w:ascii="Arial" w:hAnsi="Arial" w:cs="Arial"/>
          <w:bCs/>
        </w:rPr>
        <w:t xml:space="preserve"> všech věkových skupin, z</w:t>
      </w:r>
      <w:r w:rsidRPr="00FB295C">
        <w:rPr>
          <w:rFonts w:ascii="Arial" w:hAnsi="Arial" w:cs="Arial"/>
        </w:rPr>
        <w:t> nich je necelých 46</w:t>
      </w:r>
      <w:r w:rsidRPr="00FB295C">
        <w:rPr>
          <w:rFonts w:ascii="Arial" w:hAnsi="Arial" w:cs="Arial"/>
          <w:bCs/>
        </w:rPr>
        <w:t> tis. respondentů ve věku 15 a více let</w:t>
      </w:r>
      <w:r w:rsidRPr="00FB295C">
        <w:rPr>
          <w:rFonts w:ascii="Arial" w:hAnsi="Arial" w:cs="Arial"/>
        </w:rPr>
        <w:t>.</w:t>
      </w:r>
      <w:r w:rsidRPr="00FB295C">
        <w:rPr>
          <w:rFonts w:ascii="Arial" w:hAnsi="Arial" w:cs="Arial"/>
          <w:bCs/>
        </w:rPr>
        <w:t>)</w:t>
      </w:r>
      <w:r w:rsidRPr="00FB295C">
        <w:rPr>
          <w:rFonts w:ascii="Arial" w:hAnsi="Arial" w:cs="Arial"/>
        </w:rPr>
        <w:t xml:space="preserve">. </w:t>
      </w:r>
      <w:r w:rsidRPr="00022580">
        <w:rPr>
          <w:rFonts w:ascii="Arial" w:hAnsi="Arial" w:cs="Arial"/>
        </w:rPr>
        <w:t>Všechny údaje z vý</w:t>
      </w:r>
      <w:r w:rsidRPr="00526A74">
        <w:rPr>
          <w:rFonts w:ascii="Arial" w:hAnsi="Arial" w:cs="Arial"/>
        </w:rPr>
        <w:t xml:space="preserve">běrového souboru jsou převáženy na věkovou strukturu obyvatelstva podle demografické projekce středních čtvrtletních stavů pro výběrové šetření pracovních sil. </w:t>
      </w:r>
    </w:p>
    <w:p w:rsidR="003C5F2F" w:rsidRPr="00013E2E" w:rsidRDefault="003C5F2F" w:rsidP="003C5F2F">
      <w:pPr>
        <w:tabs>
          <w:tab w:val="num" w:pos="1080"/>
        </w:tabs>
        <w:jc w:val="both"/>
        <w:rPr>
          <w:rFonts w:ascii="Arial" w:hAnsi="Arial" w:cs="Arial"/>
          <w:sz w:val="16"/>
          <w:szCs w:val="16"/>
        </w:rPr>
      </w:pPr>
    </w:p>
    <w:p w:rsidR="003C5F2F" w:rsidRPr="00526A74" w:rsidRDefault="003C5F2F" w:rsidP="003C5F2F">
      <w:pPr>
        <w:pStyle w:val="Zkladntext3"/>
        <w:spacing w:line="240" w:lineRule="auto"/>
        <w:rPr>
          <w:u w:val="single"/>
        </w:rPr>
      </w:pPr>
      <w:r w:rsidRPr="00526A74">
        <w:rPr>
          <w:u w:val="single"/>
        </w:rPr>
        <w:t>Způsob zjišťování</w:t>
      </w:r>
    </w:p>
    <w:p w:rsidR="003C5F2F" w:rsidRPr="00526A74" w:rsidRDefault="003C5F2F" w:rsidP="003C5F2F">
      <w:pPr>
        <w:numPr>
          <w:ilvl w:val="0"/>
          <w:numId w:val="7"/>
        </w:numPr>
        <w:tabs>
          <w:tab w:val="clear" w:pos="720"/>
          <w:tab w:val="num" w:pos="426"/>
          <w:tab w:val="num" w:pos="1786"/>
        </w:tabs>
        <w:ind w:left="426" w:hanging="426"/>
        <w:jc w:val="both"/>
        <w:rPr>
          <w:rFonts w:ascii="Arial" w:hAnsi="Arial" w:cs="Arial"/>
        </w:rPr>
      </w:pPr>
      <w:r w:rsidRPr="00526A74">
        <w:rPr>
          <w:rFonts w:ascii="Arial" w:hAnsi="Arial" w:cs="Arial"/>
        </w:rPr>
        <w:t xml:space="preserve">MPSV - podmínky registrace a vyřazování uchazečů o zaměstnání jsou spolu s definicí uchazeče o zaměstnání stanoveny zákonem o zaměstnanosti. </w:t>
      </w:r>
      <w:r w:rsidRPr="00526A74">
        <w:rPr>
          <w:rFonts w:ascii="Arial" w:hAnsi="Arial" w:cs="Arial"/>
        </w:rPr>
        <w:lastRenderedPageBreak/>
        <w:t>O zprostředkování se občan uchází u krajské pobočky Úřadu práce, v jejímž správním obvodu má bydliště.</w:t>
      </w:r>
    </w:p>
    <w:p w:rsidR="003C5F2F" w:rsidRDefault="003C5F2F" w:rsidP="003C5F2F">
      <w:pPr>
        <w:numPr>
          <w:ilvl w:val="0"/>
          <w:numId w:val="7"/>
        </w:numPr>
        <w:tabs>
          <w:tab w:val="clear" w:pos="720"/>
          <w:tab w:val="num" w:pos="426"/>
          <w:tab w:val="num" w:pos="1786"/>
        </w:tabs>
        <w:ind w:left="426" w:hanging="426"/>
        <w:jc w:val="both"/>
        <w:rPr>
          <w:rFonts w:ascii="Arial" w:hAnsi="Arial" w:cs="Arial"/>
        </w:rPr>
      </w:pPr>
      <w:r w:rsidRPr="00526A74">
        <w:rPr>
          <w:rFonts w:ascii="Arial" w:hAnsi="Arial" w:cs="Arial"/>
        </w:rPr>
        <w:t>ČSÚ VŠPS - dobrovolné anonymní zjišťování za osoby obvykle bydlící (nikoliv trvale bydlící) ve vybraných bytech. Shodně s metodikou EUROSTATu nejsou zjišťovány údaje za osoby bydlící mimo byty, tedy ani za osoby bydlící v hromadných ubytovacích zařízeních.</w:t>
      </w:r>
    </w:p>
    <w:p w:rsidR="003C5F2F" w:rsidRPr="00013E2E" w:rsidRDefault="003C5F2F" w:rsidP="003C5F2F">
      <w:pPr>
        <w:tabs>
          <w:tab w:val="num" w:pos="1786"/>
        </w:tabs>
        <w:ind w:left="426"/>
        <w:jc w:val="both"/>
        <w:rPr>
          <w:rFonts w:ascii="Arial" w:hAnsi="Arial" w:cs="Arial"/>
          <w:sz w:val="16"/>
          <w:szCs w:val="16"/>
        </w:rPr>
      </w:pPr>
    </w:p>
    <w:p w:rsidR="003C5F2F" w:rsidRPr="00526A74" w:rsidRDefault="003C5F2F" w:rsidP="003C5F2F">
      <w:pPr>
        <w:rPr>
          <w:rFonts w:ascii="Arial" w:hAnsi="Arial" w:cs="Arial"/>
          <w:u w:val="single"/>
        </w:rPr>
      </w:pPr>
      <w:r w:rsidRPr="00526A74">
        <w:rPr>
          <w:rFonts w:ascii="Arial" w:hAnsi="Arial" w:cs="Arial"/>
          <w:u w:val="single"/>
        </w:rPr>
        <w:t>Obsah ukazatelů</w:t>
      </w:r>
    </w:p>
    <w:p w:rsidR="003C5F2F" w:rsidRPr="00526A74" w:rsidRDefault="003C5F2F" w:rsidP="003C5F2F">
      <w:pPr>
        <w:numPr>
          <w:ilvl w:val="0"/>
          <w:numId w:val="8"/>
        </w:numPr>
        <w:tabs>
          <w:tab w:val="clear" w:pos="720"/>
          <w:tab w:val="num" w:pos="426"/>
        </w:tabs>
        <w:ind w:left="426" w:hanging="426"/>
        <w:jc w:val="both"/>
        <w:rPr>
          <w:rFonts w:ascii="Arial" w:hAnsi="Arial" w:cs="Arial"/>
        </w:rPr>
      </w:pPr>
      <w:r w:rsidRPr="00526A74">
        <w:rPr>
          <w:rFonts w:ascii="Arial" w:hAnsi="Arial" w:cs="Arial"/>
        </w:rPr>
        <w:t xml:space="preserve">MPSV - uchazeč o zaměstnání je podrobně vymezen zákonem o zaměstnanosti. </w:t>
      </w:r>
    </w:p>
    <w:p w:rsidR="003C5F2F" w:rsidRPr="00526A74" w:rsidRDefault="003C5F2F" w:rsidP="003C5F2F">
      <w:pPr>
        <w:ind w:left="426"/>
        <w:jc w:val="both"/>
        <w:rPr>
          <w:rFonts w:ascii="Arial" w:hAnsi="Arial" w:cs="Arial"/>
        </w:rPr>
      </w:pPr>
      <w:r w:rsidRPr="00526A74">
        <w:rPr>
          <w:rFonts w:ascii="Arial" w:hAnsi="Arial" w:cs="Arial"/>
          <w:b/>
          <w:bCs/>
        </w:rPr>
        <w:t>Uchazečem o zaměstnání</w:t>
      </w:r>
      <w:r w:rsidRPr="00526A74">
        <w:rPr>
          <w:rFonts w:ascii="Arial" w:hAnsi="Arial" w:cs="Arial"/>
        </w:rPr>
        <w:t xml:space="preserve"> může být (pokud zákon nestanoví jinak) pouze fyzická osoba s trvalým bydlištěm na území ČR, která osobně požádá o zprostředkování vhodného zaměstnání krajskou pobočku Úřadu práce ČR a které nebrání v zařazení do této evidence překážky uvedené v ustanovení § 25</w:t>
      </w:r>
      <w:r>
        <w:rPr>
          <w:rFonts w:ascii="Arial" w:hAnsi="Arial" w:cs="Arial"/>
        </w:rPr>
        <w:t> </w:t>
      </w:r>
      <w:r w:rsidRPr="00526A74">
        <w:rPr>
          <w:rFonts w:ascii="Arial" w:hAnsi="Arial" w:cs="Arial"/>
        </w:rPr>
        <w:t>zákona o zaměstnanosti, např. není v pracovním nebo obdobném vztahu nebo nevykonává samostatnou výdělečnou činnost. Z evidence uchazečů o zaměstnání je uchazeč o zaměstnání vyřazen,</w:t>
      </w:r>
      <w:r w:rsidRPr="00526A74" w:rsidDel="00EB126F">
        <w:rPr>
          <w:rFonts w:ascii="Arial" w:hAnsi="Arial" w:cs="Arial"/>
        </w:rPr>
        <w:t xml:space="preserve"> </w:t>
      </w:r>
      <w:r w:rsidRPr="00526A74">
        <w:rPr>
          <w:rFonts w:ascii="Arial" w:hAnsi="Arial" w:cs="Arial"/>
        </w:rPr>
        <w:t>mimo jiné, jestliže bez vážných důvodů odmítne nastoupit do vhodného zaměstnání nebo úmyslně maří součinnost s krajskou pobočkou Úřadu práce ČR při zprostředkování zaměstnání. Evidence na Úřadu práce ČR je ukončena např. nástupem do</w:t>
      </w:r>
      <w:r>
        <w:rPr>
          <w:rFonts w:ascii="Arial" w:hAnsi="Arial" w:cs="Arial"/>
        </w:rPr>
        <w:t> </w:t>
      </w:r>
      <w:r w:rsidRPr="00526A74">
        <w:rPr>
          <w:rFonts w:ascii="Arial" w:hAnsi="Arial" w:cs="Arial"/>
        </w:rPr>
        <w:t>zaměstnání nebo na základě vlastní žádosti uchazeče o zaměstnání. Zákon nevylučuje, aby uchazeči o zaměstnání byli např. oso</w:t>
      </w:r>
      <w:r>
        <w:rPr>
          <w:rFonts w:ascii="Arial" w:hAnsi="Arial" w:cs="Arial"/>
        </w:rPr>
        <w:t xml:space="preserve">by dočasně práce neschopné, na </w:t>
      </w:r>
      <w:r w:rsidRPr="00526A74">
        <w:rPr>
          <w:rFonts w:ascii="Arial" w:hAnsi="Arial" w:cs="Arial"/>
        </w:rPr>
        <w:t>rodičovské dovolené, nebo ti, jimž byl přiznán starobní důchod. Zařazení a vedení v evidenci uchazečů o zaměstnání nebrání ani výkon činnosti na základě pracovního nebo služebního poměru nebo výkon činnosti na základě dohody o provedení práce nebo dohody o pracovní činnosti, pokud měsíční výdělek nebo odměna nepřesáhne polovinu minimální mzdy (tzv. nekolidující zaměstnání), nesmí však být překážkou</w:t>
      </w:r>
      <w:r>
        <w:rPr>
          <w:rFonts w:ascii="Arial" w:hAnsi="Arial" w:cs="Arial"/>
        </w:rPr>
        <w:t xml:space="preserve"> pro poskytování součinnosti ÚP </w:t>
      </w:r>
      <w:r w:rsidRPr="00526A74">
        <w:rPr>
          <w:rFonts w:ascii="Arial" w:hAnsi="Arial" w:cs="Arial"/>
        </w:rPr>
        <w:t>ČR při zprostředkování vhodného zaměstnání a pro přijetí nabídky vhodného zaměstnání. Uchazečem o zaměstnání může být i fyzická osoba soustavně se připravující na budoucí povolání, pokud získala v rozhodném období zaměstnáním nebo jinou výdělečnou činností dobu důchodového pojištění v délce alespoň 12 měsíců.</w:t>
      </w:r>
    </w:p>
    <w:p w:rsidR="003C5F2F" w:rsidRPr="00526A74" w:rsidRDefault="003C5F2F" w:rsidP="003C5F2F">
      <w:pPr>
        <w:numPr>
          <w:ilvl w:val="0"/>
          <w:numId w:val="8"/>
        </w:numPr>
        <w:tabs>
          <w:tab w:val="clear" w:pos="720"/>
          <w:tab w:val="num" w:pos="426"/>
        </w:tabs>
        <w:ind w:left="426" w:hanging="426"/>
        <w:jc w:val="both"/>
        <w:rPr>
          <w:rFonts w:ascii="Arial" w:hAnsi="Arial" w:cs="Arial"/>
        </w:rPr>
      </w:pPr>
      <w:r w:rsidRPr="00526A74">
        <w:rPr>
          <w:rFonts w:ascii="Arial" w:hAnsi="Arial" w:cs="Arial"/>
        </w:rPr>
        <w:t xml:space="preserve">MPSV ve snaze maximálně přiblížit metodiku registrované nezaměstnanosti metodice ILO zavedlo ukazatel tzv. </w:t>
      </w:r>
      <w:r w:rsidRPr="00526A74">
        <w:rPr>
          <w:rFonts w:ascii="Arial" w:hAnsi="Arial" w:cs="Arial"/>
          <w:b/>
          <w:bCs/>
        </w:rPr>
        <w:t>dosažitelní uchazeči o zaměstnání</w:t>
      </w:r>
      <w:r w:rsidRPr="00526A74">
        <w:rPr>
          <w:rFonts w:ascii="Arial" w:hAnsi="Arial" w:cs="Arial"/>
        </w:rPr>
        <w:t>. Jedná se o uchazeče o zaměstnání, kteří mohou bezprostředně nastoupit do</w:t>
      </w:r>
      <w:r>
        <w:rPr>
          <w:rFonts w:ascii="Arial" w:hAnsi="Arial" w:cs="Arial"/>
        </w:rPr>
        <w:t> </w:t>
      </w:r>
      <w:r w:rsidRPr="00526A74">
        <w:rPr>
          <w:rFonts w:ascii="Arial" w:hAnsi="Arial" w:cs="Arial"/>
        </w:rPr>
        <w:t xml:space="preserve">zaměstnání při nabídce </w:t>
      </w:r>
      <w:r>
        <w:rPr>
          <w:rFonts w:ascii="Arial" w:hAnsi="Arial" w:cs="Arial"/>
        </w:rPr>
        <w:t>vhodného pracovního místa, tj. </w:t>
      </w:r>
      <w:r w:rsidRPr="00526A74">
        <w:rPr>
          <w:rFonts w:ascii="Arial" w:hAnsi="Arial" w:cs="Arial"/>
        </w:rPr>
        <w:t xml:space="preserve">evidovaní nezaměstnaní, kteří nemají žádnou objektivní překážku pro přijetí zaměstnání. Za dosažitelné se nepovažují uchazeči o zaměstnání ve vazbě, v pracovní neschopnosti, uchazeči o zaměstnání zařazeni na rekvalifikační kurzy nebo vykonávající krátkodobé zaměstnání, a dále uchazeči o zaměstnání, kteří pobírají peněžitou pomoc v mateřství nebo kterým je poskytována podpora v nezaměstnanosti po dobu mateřské dovolené.  </w:t>
      </w:r>
    </w:p>
    <w:p w:rsidR="003C5F2F" w:rsidRPr="00526A74" w:rsidRDefault="003C5F2F" w:rsidP="003C5F2F">
      <w:pPr>
        <w:numPr>
          <w:ilvl w:val="0"/>
          <w:numId w:val="8"/>
        </w:numPr>
        <w:tabs>
          <w:tab w:val="clear" w:pos="720"/>
          <w:tab w:val="num" w:pos="426"/>
        </w:tabs>
        <w:ind w:left="426" w:hanging="426"/>
        <w:jc w:val="both"/>
        <w:rPr>
          <w:rFonts w:ascii="Arial" w:hAnsi="Arial" w:cs="Arial"/>
          <w:szCs w:val="32"/>
        </w:rPr>
      </w:pPr>
      <w:r w:rsidRPr="00526A74">
        <w:rPr>
          <w:rFonts w:ascii="Arial" w:hAnsi="Arial" w:cs="Arial"/>
        </w:rPr>
        <w:t>ČSÚ VŠPS - n</w:t>
      </w:r>
      <w:r w:rsidRPr="00526A74">
        <w:rPr>
          <w:rFonts w:ascii="Arial" w:hAnsi="Arial" w:cs="Arial"/>
          <w:szCs w:val="32"/>
        </w:rPr>
        <w:t xml:space="preserve">ezaměstnaní jsou podle metodiky ILO a metodiky EUROSTATu všichni </w:t>
      </w:r>
      <w:r w:rsidRPr="00526A74">
        <w:rPr>
          <w:rFonts w:ascii="Arial" w:hAnsi="Arial" w:cs="Arial"/>
          <w:szCs w:val="20"/>
        </w:rPr>
        <w:t>ve věku 15 a více let</w:t>
      </w:r>
      <w:r w:rsidRPr="00526A74">
        <w:rPr>
          <w:rFonts w:ascii="Arial" w:hAnsi="Arial" w:cs="Arial"/>
          <w:szCs w:val="32"/>
        </w:rPr>
        <w:t>, kteří ve sledovaném období (referenčním týdnu) souběžně splňovali tři nutné podmínky:</w:t>
      </w:r>
      <w:r w:rsidRPr="00526A74">
        <w:rPr>
          <w:rFonts w:ascii="Arial" w:hAnsi="Arial" w:cs="Arial"/>
          <w:szCs w:val="32"/>
        </w:rPr>
        <w:tab/>
      </w:r>
    </w:p>
    <w:p w:rsidR="003C5F2F" w:rsidRPr="00526A74" w:rsidRDefault="003C5F2F" w:rsidP="003C5F2F">
      <w:pPr>
        <w:tabs>
          <w:tab w:val="num" w:pos="720"/>
        </w:tabs>
        <w:ind w:left="720" w:hanging="900"/>
        <w:jc w:val="both"/>
        <w:rPr>
          <w:rFonts w:ascii="Arial" w:hAnsi="Arial" w:cs="Arial"/>
          <w:szCs w:val="32"/>
        </w:rPr>
      </w:pPr>
      <w:r w:rsidRPr="00526A74">
        <w:rPr>
          <w:rFonts w:ascii="Arial" w:hAnsi="Arial" w:cs="Arial"/>
          <w:szCs w:val="32"/>
        </w:rPr>
        <w:tab/>
        <w:t>-  nebyli zaměstnaní,</w:t>
      </w:r>
    </w:p>
    <w:p w:rsidR="003C5F2F" w:rsidRPr="00526A74" w:rsidRDefault="003C5F2F" w:rsidP="003C5F2F">
      <w:pPr>
        <w:tabs>
          <w:tab w:val="num" w:pos="720"/>
        </w:tabs>
        <w:ind w:left="720" w:hanging="900"/>
        <w:jc w:val="both"/>
        <w:rPr>
          <w:rFonts w:ascii="Arial" w:hAnsi="Arial" w:cs="Arial"/>
        </w:rPr>
      </w:pPr>
      <w:r w:rsidRPr="00526A74">
        <w:rPr>
          <w:rFonts w:ascii="Arial" w:hAnsi="Arial" w:cs="Arial"/>
        </w:rPr>
        <w:tab/>
        <w:t>-  hledali aktivně práci,</w:t>
      </w:r>
    </w:p>
    <w:p w:rsidR="003C5F2F" w:rsidRPr="00526A74" w:rsidRDefault="003C5F2F" w:rsidP="003C5F2F">
      <w:pPr>
        <w:tabs>
          <w:tab w:val="num" w:pos="720"/>
        </w:tabs>
        <w:ind w:left="720" w:hanging="900"/>
        <w:jc w:val="both"/>
        <w:rPr>
          <w:rFonts w:ascii="Arial" w:hAnsi="Arial" w:cs="Arial"/>
        </w:rPr>
      </w:pPr>
      <w:r w:rsidRPr="00526A74">
        <w:rPr>
          <w:rFonts w:ascii="Arial" w:hAnsi="Arial" w:cs="Arial"/>
        </w:rPr>
        <w:tab/>
        <w:t>- byli připraveni k</w:t>
      </w:r>
      <w:r>
        <w:rPr>
          <w:rFonts w:ascii="Arial" w:hAnsi="Arial" w:cs="Arial"/>
        </w:rPr>
        <w:t> nástupu do práce, tj. </w:t>
      </w:r>
      <w:r w:rsidRPr="00526A74">
        <w:rPr>
          <w:rFonts w:ascii="Arial" w:hAnsi="Arial" w:cs="Arial"/>
        </w:rPr>
        <w:t>během referenčního období byli k dispozici okamžitě nebo nejpozději do 14 dnů pro výkon placeného zaměstnání nebo zaměstnání ve vlastním podniku.</w:t>
      </w:r>
    </w:p>
    <w:p w:rsidR="003C5F2F" w:rsidRPr="00526A74" w:rsidRDefault="003C5F2F" w:rsidP="003C5F2F">
      <w:pPr>
        <w:tabs>
          <w:tab w:val="num" w:pos="0"/>
        </w:tabs>
        <w:ind w:firstLine="720"/>
        <w:jc w:val="both"/>
        <w:rPr>
          <w:rFonts w:ascii="Arial" w:hAnsi="Arial" w:cs="Arial"/>
          <w:szCs w:val="32"/>
        </w:rPr>
      </w:pPr>
      <w:r w:rsidRPr="00526A74">
        <w:rPr>
          <w:rFonts w:ascii="Arial" w:hAnsi="Arial" w:cs="Arial"/>
          <w:b/>
          <w:bCs/>
          <w:szCs w:val="32"/>
        </w:rPr>
        <w:lastRenderedPageBreak/>
        <w:t>Pokud osoby nesplňují alespoň jednu ze tří uvedených podmínek, jsou klasifikovány jako zaměstnané nebo ekonomicky neaktivní</w:t>
      </w:r>
      <w:r w:rsidRPr="00526A74">
        <w:rPr>
          <w:rFonts w:ascii="Arial" w:hAnsi="Arial" w:cs="Arial"/>
          <w:szCs w:val="32"/>
        </w:rPr>
        <w:t>. Jedinou výjimkou je skupina osob, které práci nehledají, protože ji našly a jsou schopny nástupu nejpozději do 3 měsíců. Tyto osoby jsou podle definice EUROSTATu zařazeny rovněž mezi nezaměstnané.</w:t>
      </w:r>
    </w:p>
    <w:p w:rsidR="003C5F2F" w:rsidRPr="00CB777E" w:rsidRDefault="003C5F2F" w:rsidP="003C5F2F">
      <w:pPr>
        <w:tabs>
          <w:tab w:val="num" w:pos="0"/>
        </w:tabs>
        <w:ind w:firstLine="720"/>
        <w:jc w:val="both"/>
        <w:rPr>
          <w:rFonts w:ascii="Arial" w:hAnsi="Arial" w:cs="Arial"/>
          <w:szCs w:val="16"/>
        </w:rPr>
      </w:pPr>
      <w:r w:rsidRPr="00526A74">
        <w:rPr>
          <w:rFonts w:ascii="Arial" w:hAnsi="Arial" w:cs="Arial"/>
        </w:rPr>
        <w:t xml:space="preserve">Jestliže do konce roku 1997 převyšoval počet nezaměstnaných vymezených podle mezinárodní definice počet registrovaných uchazečů o zaměstnání na úřadech a od roku 2000 do 3. čtvrtletí roku 2001 byl rozdíl mezi oběma ukazateli minimální, tak od 4. čtvrtletí 2001 počet registrovaných uchazečů o zaměstnání na úřadech práce výrazně převyšoval počet nezaměstnaných zjišťovaných ve výběrovém šetření </w:t>
      </w:r>
      <w:r w:rsidRPr="00CB777E">
        <w:rPr>
          <w:rFonts w:ascii="Arial" w:hAnsi="Arial" w:cs="Arial"/>
        </w:rPr>
        <w:t>statistiky podle ILO.</w:t>
      </w:r>
    </w:p>
    <w:p w:rsidR="003C5F2F" w:rsidRPr="00CB777E" w:rsidRDefault="003C5F2F" w:rsidP="003C5F2F">
      <w:pPr>
        <w:ind w:firstLine="708"/>
        <w:jc w:val="both"/>
        <w:rPr>
          <w:rFonts w:ascii="Arial" w:hAnsi="Arial" w:cs="Arial"/>
          <w:sz w:val="20"/>
          <w:szCs w:val="20"/>
        </w:rPr>
      </w:pPr>
      <w:r w:rsidRPr="00CB777E">
        <w:rPr>
          <w:rFonts w:ascii="Arial" w:hAnsi="Arial" w:cs="Arial"/>
        </w:rPr>
        <w:t xml:space="preserve">Ve </w:t>
      </w:r>
      <w:r w:rsidR="00CB777E" w:rsidRPr="00CB777E">
        <w:rPr>
          <w:rFonts w:ascii="Arial" w:hAnsi="Arial" w:cs="Arial"/>
        </w:rPr>
        <w:t>4</w:t>
      </w:r>
      <w:r w:rsidRPr="00CB777E">
        <w:rPr>
          <w:rFonts w:ascii="Arial" w:hAnsi="Arial" w:cs="Arial"/>
        </w:rPr>
        <w:t xml:space="preserve">. čtvrtletí 2017 činil průměrný počet registrovaných uchazečů o zaměstnání podle skutečné evidence na ÚP ČR </w:t>
      </w:r>
      <w:r w:rsidR="00CB777E" w:rsidRPr="00CB777E">
        <w:rPr>
          <w:rFonts w:ascii="Arial" w:hAnsi="Arial" w:cs="Arial"/>
        </w:rPr>
        <w:t>273</w:t>
      </w:r>
      <w:r w:rsidRPr="00CB777E">
        <w:rPr>
          <w:rFonts w:ascii="Arial" w:hAnsi="Arial" w:cs="Arial"/>
        </w:rPr>
        <w:t>,</w:t>
      </w:r>
      <w:r w:rsidR="00CB777E" w:rsidRPr="00CB777E">
        <w:rPr>
          <w:rFonts w:ascii="Arial" w:hAnsi="Arial" w:cs="Arial"/>
        </w:rPr>
        <w:t>1</w:t>
      </w:r>
      <w:r w:rsidRPr="00CB777E">
        <w:rPr>
          <w:rFonts w:ascii="Arial" w:hAnsi="Arial" w:cs="Arial"/>
        </w:rPr>
        <w:t xml:space="preserve"> tis. osob, z toho </w:t>
      </w:r>
      <w:r w:rsidR="00CB777E" w:rsidRPr="00CB777E">
        <w:rPr>
          <w:rFonts w:ascii="Arial" w:hAnsi="Arial" w:cs="Arial"/>
        </w:rPr>
        <w:t>250</w:t>
      </w:r>
      <w:r w:rsidRPr="00CB777E">
        <w:rPr>
          <w:rFonts w:ascii="Arial" w:hAnsi="Arial" w:cs="Arial"/>
        </w:rPr>
        <w:t>,</w:t>
      </w:r>
      <w:r w:rsidR="00CB777E" w:rsidRPr="00CB777E">
        <w:rPr>
          <w:rFonts w:ascii="Arial" w:hAnsi="Arial" w:cs="Arial"/>
        </w:rPr>
        <w:t>7</w:t>
      </w:r>
      <w:r w:rsidRPr="00CB777E">
        <w:rPr>
          <w:rFonts w:ascii="Arial" w:hAnsi="Arial" w:cs="Arial"/>
        </w:rPr>
        <w:t> tis. dosažitelných uchazečů o zaměstnání ve věku 15–64 let, srovnatelný ukazatel zjištěný výběrovým šetřením (počet nezaměstnaných dle VŠPS 1</w:t>
      </w:r>
      <w:r w:rsidR="00CB777E" w:rsidRPr="00CB777E">
        <w:rPr>
          <w:rFonts w:ascii="Arial" w:hAnsi="Arial" w:cs="Arial"/>
        </w:rPr>
        <w:t>2</w:t>
      </w:r>
      <w:r w:rsidRPr="00CB777E">
        <w:rPr>
          <w:rFonts w:ascii="Arial" w:hAnsi="Arial" w:cs="Arial"/>
        </w:rPr>
        <w:t>8,</w:t>
      </w:r>
      <w:r w:rsidR="00CB777E" w:rsidRPr="00CB777E">
        <w:rPr>
          <w:rFonts w:ascii="Arial" w:hAnsi="Arial" w:cs="Arial"/>
        </w:rPr>
        <w:t>7</w:t>
      </w:r>
      <w:r w:rsidRPr="00CB777E">
        <w:rPr>
          <w:rFonts w:ascii="Arial" w:hAnsi="Arial" w:cs="Arial"/>
        </w:rPr>
        <w:t> tis.) se tedy lišil o 1</w:t>
      </w:r>
      <w:r w:rsidR="00CB777E" w:rsidRPr="00CB777E">
        <w:rPr>
          <w:rFonts w:ascii="Arial" w:hAnsi="Arial" w:cs="Arial"/>
        </w:rPr>
        <w:t>44</w:t>
      </w:r>
      <w:r w:rsidRPr="00CB777E">
        <w:rPr>
          <w:rFonts w:ascii="Arial" w:hAnsi="Arial" w:cs="Arial"/>
        </w:rPr>
        <w:t>,</w:t>
      </w:r>
      <w:r w:rsidR="00CB777E" w:rsidRPr="00CB777E">
        <w:rPr>
          <w:rFonts w:ascii="Arial" w:hAnsi="Arial" w:cs="Arial"/>
        </w:rPr>
        <w:t>4</w:t>
      </w:r>
      <w:r w:rsidRPr="00CB777E">
        <w:rPr>
          <w:rFonts w:ascii="Arial" w:hAnsi="Arial" w:cs="Arial"/>
        </w:rPr>
        <w:t xml:space="preserve"> tis. resp. o 1</w:t>
      </w:r>
      <w:r w:rsidR="00CB777E" w:rsidRPr="00CB777E">
        <w:rPr>
          <w:rFonts w:ascii="Arial" w:hAnsi="Arial" w:cs="Arial"/>
        </w:rPr>
        <w:t>22</w:t>
      </w:r>
      <w:r w:rsidRPr="00CB777E">
        <w:rPr>
          <w:rFonts w:ascii="Arial" w:hAnsi="Arial" w:cs="Arial"/>
        </w:rPr>
        <w:t>,</w:t>
      </w:r>
      <w:r w:rsidR="00CB777E" w:rsidRPr="00CB777E">
        <w:rPr>
          <w:rFonts w:ascii="Arial" w:hAnsi="Arial" w:cs="Arial"/>
        </w:rPr>
        <w:t>0</w:t>
      </w:r>
      <w:r w:rsidRPr="00CB777E">
        <w:rPr>
          <w:rFonts w:ascii="Arial" w:hAnsi="Arial" w:cs="Arial"/>
        </w:rPr>
        <w:t xml:space="preserve"> tis. </w:t>
      </w:r>
    </w:p>
    <w:p w:rsidR="003C5F2F" w:rsidRPr="006D3C46" w:rsidRDefault="003C5F2F" w:rsidP="003C5F2F">
      <w:pPr>
        <w:pStyle w:val="Zkladntextodsazen2"/>
        <w:spacing w:line="240" w:lineRule="auto"/>
        <w:rPr>
          <w:rFonts w:cs="Arial"/>
          <w:i w:val="0"/>
        </w:rPr>
      </w:pPr>
      <w:r w:rsidRPr="00CB777E">
        <w:rPr>
          <w:rFonts w:cs="Arial"/>
          <w:i w:val="0"/>
        </w:rPr>
        <w:t>Rozdíly jsou jednak v jiném způsobu zjišťování po obou liniích, odlišném metodickém vymezení registrovaných uchazečů o zaměstnání a nezaměstnaných podle mezinárodní definice ILO a </w:t>
      </w:r>
      <w:r w:rsidRPr="00526A74">
        <w:rPr>
          <w:rFonts w:cs="Arial"/>
          <w:i w:val="0"/>
        </w:rPr>
        <w:t xml:space="preserve">v tzv. nevýběrové chybě, která je průvodním znakem prakticky všech statistických zjišťování u domácností. Je nutné zdůraznit diferenci mezi pojmem registrovaný uchazeč o zaměstnání a nezaměstnaným podle mezinárodní definice ILO. Zatímco registrovaný uchazeč o zaměstnání je vždy definován národní legislativou, nezaměstnaný podle definice ILO je vymezen jasnými kritérii, která umožňují mezinárodní srovnatelnost výše zjištěných výsledků šetření. </w:t>
      </w:r>
      <w:r w:rsidRPr="00CB777E">
        <w:rPr>
          <w:rFonts w:cs="Arial"/>
          <w:i w:val="0"/>
        </w:rPr>
        <w:t>Vazba mezi oběma ukazateli není bezprostřední. Na jedné straně se vyskytují případy nezaměstnaných, kteří si nehledají práci prostřednictvím úřadů práce (ve </w:t>
      </w:r>
      <w:r w:rsidR="00CB777E" w:rsidRPr="00CB777E">
        <w:rPr>
          <w:rFonts w:cs="Arial"/>
          <w:i w:val="0"/>
        </w:rPr>
        <w:t>4</w:t>
      </w:r>
      <w:r w:rsidRPr="00CB777E">
        <w:rPr>
          <w:rFonts w:cs="Arial"/>
          <w:i w:val="0"/>
        </w:rPr>
        <w:t xml:space="preserve">. čtvrtletí 2017 to bylo </w:t>
      </w:r>
      <w:r w:rsidR="00CB777E" w:rsidRPr="00CB777E">
        <w:rPr>
          <w:rFonts w:cs="Arial"/>
          <w:i w:val="0"/>
        </w:rPr>
        <w:t>24</w:t>
      </w:r>
      <w:r w:rsidRPr="00CB777E">
        <w:rPr>
          <w:rFonts w:cs="Arial"/>
          <w:i w:val="0"/>
        </w:rPr>
        <w:t>,</w:t>
      </w:r>
      <w:r w:rsidR="00CB777E" w:rsidRPr="00CB777E">
        <w:rPr>
          <w:rFonts w:cs="Arial"/>
          <w:i w:val="0"/>
        </w:rPr>
        <w:t>1</w:t>
      </w:r>
      <w:r w:rsidRPr="00CB777E">
        <w:rPr>
          <w:rFonts w:cs="Arial"/>
          <w:i w:val="0"/>
        </w:rPr>
        <w:t xml:space="preserve"> tis. osob) a na druhé straně značná část registrovaných uchazečů o zaměstnání nesplňuje podmínky </w:t>
      </w:r>
      <w:r w:rsidRPr="00DD1CAC">
        <w:rPr>
          <w:rFonts w:cs="Arial"/>
          <w:i w:val="0"/>
        </w:rPr>
        <w:t>dané mezinárodní definicí</w:t>
      </w:r>
      <w:r>
        <w:rPr>
          <w:rFonts w:cs="Arial"/>
          <w:i w:val="0"/>
        </w:rPr>
        <w:t xml:space="preserve"> pro </w:t>
      </w:r>
      <w:r w:rsidRPr="006D3C46">
        <w:rPr>
          <w:rFonts w:cs="Arial"/>
          <w:i w:val="0"/>
        </w:rPr>
        <w:t>nezaměstnanost</w:t>
      </w:r>
      <w:r>
        <w:rPr>
          <w:rFonts w:cs="Arial"/>
          <w:i w:val="0"/>
        </w:rPr>
        <w:t xml:space="preserve"> </w:t>
      </w:r>
      <w:r w:rsidRPr="00FB295C">
        <w:rPr>
          <w:rFonts w:cs="Arial"/>
          <w:i w:val="0"/>
        </w:rPr>
        <w:t>(např. uchazeči o zaměstnání s tzv. nekolidujícím zaměstnáním jsou v rámci VŠPS považování za zaměstnané, uchazeči z řad studentů soustavně se připravujících na budoucí povolání jsou v případě VŠPS ekonomicky neaktivní).</w:t>
      </w:r>
      <w:r w:rsidRPr="006D3C46">
        <w:rPr>
          <w:rFonts w:cs="Arial"/>
          <w:i w:val="0"/>
        </w:rPr>
        <w:t xml:space="preserve"> </w:t>
      </w:r>
    </w:p>
    <w:p w:rsidR="003C5F2F" w:rsidRPr="00526A74" w:rsidRDefault="003C5F2F" w:rsidP="003C5F2F">
      <w:pPr>
        <w:ind w:firstLine="708"/>
        <w:jc w:val="both"/>
        <w:rPr>
          <w:rFonts w:ascii="Arial" w:hAnsi="Arial" w:cs="Arial"/>
        </w:rPr>
      </w:pPr>
      <w:r w:rsidRPr="00FC16E9">
        <w:rPr>
          <w:rFonts w:ascii="Arial" w:hAnsi="Arial" w:cs="Arial"/>
        </w:rPr>
        <w:t>Zásadní diference mezi oběma zdroji je v absolutní hodnotě počtu registrovaných uchazečů o zaměstnání a počtu nezaměstnaných. Projevuje</w:t>
      </w:r>
      <w:r w:rsidRPr="00526A74">
        <w:rPr>
          <w:rFonts w:ascii="Arial" w:hAnsi="Arial" w:cs="Arial"/>
        </w:rPr>
        <w:t xml:space="preserve"> se několik faktorů:</w:t>
      </w:r>
    </w:p>
    <w:p w:rsidR="003C5F2F" w:rsidRPr="00526A74" w:rsidRDefault="003C5F2F" w:rsidP="003C5F2F">
      <w:pPr>
        <w:numPr>
          <w:ilvl w:val="0"/>
          <w:numId w:val="6"/>
        </w:numPr>
        <w:tabs>
          <w:tab w:val="clear" w:pos="720"/>
          <w:tab w:val="num" w:pos="426"/>
        </w:tabs>
        <w:ind w:left="426" w:hanging="426"/>
        <w:jc w:val="both"/>
        <w:rPr>
          <w:rFonts w:ascii="Arial" w:hAnsi="Arial" w:cs="Arial"/>
        </w:rPr>
      </w:pPr>
      <w:r w:rsidRPr="00526A74">
        <w:rPr>
          <w:rFonts w:ascii="Arial" w:hAnsi="Arial" w:cs="Arial"/>
        </w:rPr>
        <w:t xml:space="preserve">Od roku 2002 byl plně </w:t>
      </w:r>
      <w:r w:rsidRPr="00526A74">
        <w:rPr>
          <w:rFonts w:ascii="Arial" w:hAnsi="Arial" w:cs="Arial"/>
          <w:b/>
          <w:bCs/>
        </w:rPr>
        <w:t>harmonizován dotazník VŠPS se standardem EUROSTATu včetně pořadí otázek</w:t>
      </w:r>
      <w:r w:rsidRPr="00526A74">
        <w:rPr>
          <w:rFonts w:ascii="Arial" w:hAnsi="Arial" w:cs="Arial"/>
        </w:rPr>
        <w:t xml:space="preserve"> kladených respondentovi. Prioritou je dotaz na </w:t>
      </w:r>
      <w:r w:rsidRPr="00526A74">
        <w:rPr>
          <w:rFonts w:ascii="Arial" w:hAnsi="Arial" w:cs="Arial"/>
          <w:b/>
          <w:bCs/>
        </w:rPr>
        <w:t>ekonomickou aktivitu respondentů v referenčním týdnu</w:t>
      </w:r>
      <w:r w:rsidRPr="00526A74">
        <w:rPr>
          <w:rFonts w:ascii="Arial" w:hAnsi="Arial" w:cs="Arial"/>
        </w:rPr>
        <w:t xml:space="preserve">. Jestliže respondent uvedl, že v tomto týdnu </w:t>
      </w:r>
      <w:r w:rsidRPr="00526A74">
        <w:rPr>
          <w:rFonts w:ascii="Arial" w:hAnsi="Arial" w:cs="Arial"/>
          <w:b/>
          <w:bCs/>
        </w:rPr>
        <w:t>pracoval alespoň 1 hodinu, je striktně podle metodiky ILO klasifikován jako osoba v zaměstnání</w:t>
      </w:r>
      <w:r w:rsidRPr="00526A74">
        <w:rPr>
          <w:rFonts w:ascii="Arial" w:hAnsi="Arial" w:cs="Arial"/>
        </w:rPr>
        <w:t xml:space="preserve">. Teprve poté následuje otázka o registraci na úřadu práce. ČSÚ nemá možnost vzhledem k nutnosti dodržení anonymity a dobrovolnosti účasti ve výběrovém šetření porovnávat zjištěné údaje s jinými zdroji, např. s evidencí ÚP ČR. </w:t>
      </w:r>
    </w:p>
    <w:p w:rsidR="003C5F2F" w:rsidRPr="00526A74" w:rsidRDefault="003C5F2F" w:rsidP="003C5F2F">
      <w:pPr>
        <w:numPr>
          <w:ilvl w:val="0"/>
          <w:numId w:val="6"/>
        </w:numPr>
        <w:tabs>
          <w:tab w:val="clear" w:pos="720"/>
          <w:tab w:val="num" w:pos="426"/>
        </w:tabs>
        <w:ind w:left="426" w:hanging="426"/>
        <w:jc w:val="both"/>
        <w:rPr>
          <w:rFonts w:ascii="Arial" w:hAnsi="Arial" w:cs="Arial"/>
        </w:rPr>
      </w:pPr>
      <w:r w:rsidRPr="00526A74">
        <w:rPr>
          <w:rFonts w:ascii="Arial" w:hAnsi="Arial" w:cs="Arial"/>
          <w:szCs w:val="20"/>
        </w:rPr>
        <w:t xml:space="preserve">Relativně vyšší </w:t>
      </w:r>
      <w:r w:rsidRPr="00526A74">
        <w:rPr>
          <w:rFonts w:ascii="Arial" w:hAnsi="Arial" w:cs="Arial"/>
          <w:b/>
          <w:bCs/>
          <w:szCs w:val="20"/>
        </w:rPr>
        <w:t xml:space="preserve">míra neodpovědí </w:t>
      </w:r>
      <w:r w:rsidRPr="00526A74">
        <w:rPr>
          <w:rFonts w:ascii="Arial" w:hAnsi="Arial" w:cs="Arial"/>
          <w:szCs w:val="20"/>
        </w:rPr>
        <w:t>je způsobena vysokým podílem prázdných bytů ve výběrovém souboru a hlavně kategorickým odmítnutím spolupráce. Na</w:t>
      </w:r>
      <w:r>
        <w:rPr>
          <w:rFonts w:ascii="Arial" w:hAnsi="Arial" w:cs="Arial"/>
          <w:szCs w:val="20"/>
        </w:rPr>
        <w:t> </w:t>
      </w:r>
      <w:r w:rsidRPr="00526A74">
        <w:rPr>
          <w:rFonts w:ascii="Arial" w:hAnsi="Arial" w:cs="Arial"/>
          <w:szCs w:val="20"/>
        </w:rPr>
        <w:t xml:space="preserve">základě struktury odmítnutých odpovědí při opakovaných návštěvách je třeba předpokládat, že sociální skladba domácností, které nechtěly spolupracovat, se částečně liší od sociální struktury vyšetřených domácností a je v nich nadprůměrně zastoupena skupina nezaměstnaných, kteří odmítají komunikovat v rámci výběrového šetření. </w:t>
      </w:r>
    </w:p>
    <w:p w:rsidR="003C5F2F" w:rsidRPr="00CB777E" w:rsidRDefault="003C5F2F" w:rsidP="003C5F2F">
      <w:pPr>
        <w:ind w:firstLine="567"/>
        <w:jc w:val="both"/>
        <w:rPr>
          <w:rFonts w:ascii="Arial" w:hAnsi="Arial" w:cs="Arial"/>
        </w:rPr>
      </w:pPr>
      <w:r w:rsidRPr="00526A74">
        <w:rPr>
          <w:rFonts w:ascii="Arial" w:hAnsi="Arial" w:cs="Arial"/>
        </w:rPr>
        <w:lastRenderedPageBreak/>
        <w:t xml:space="preserve">Rozdíly údajů o nezaměstnanosti mezi oběma zdroji jsou obvyklé. Z porovnání s členskými a ostatními kandidátskými zeměmi EU vyplývá, že diference mezi obecnou mírou nezaměstnanosti z VŠPS a registrovanou mírou nezaměstnanosti v ČR je nižší než ve většině těchto zemí. Rozdíl mezi obecnou mírou nezaměstnanosti a mírou registrované nezaměstnanosti je v řadě zemí značný a lze z toho usuzovat, že oboustranné statistické odchýlení je důsledkem především odlišností v legislativě a míře aktivní politiky zaměstnanosti a dalších oblastí sociální </w:t>
      </w:r>
      <w:r w:rsidRPr="00CB777E">
        <w:rPr>
          <w:rFonts w:ascii="Arial" w:hAnsi="Arial" w:cs="Arial"/>
        </w:rPr>
        <w:t>politiky jednotlivých zemí. Přitom je třeba poznamenat, že řada členských zemí EU obě míry nezaměstnanosti oficiálně nepublikuje.</w:t>
      </w:r>
    </w:p>
    <w:p w:rsidR="00CB777E" w:rsidRPr="00CB777E" w:rsidRDefault="003C5F2F" w:rsidP="003C5F2F">
      <w:pPr>
        <w:ind w:firstLine="567"/>
        <w:jc w:val="both"/>
        <w:rPr>
          <w:rFonts w:ascii="Arial" w:hAnsi="Arial" w:cs="Arial"/>
        </w:rPr>
      </w:pPr>
      <w:r w:rsidRPr="00CB777E">
        <w:rPr>
          <w:rFonts w:ascii="Arial" w:hAnsi="Arial" w:cs="Arial"/>
        </w:rPr>
        <w:tab/>
      </w:r>
      <w:r w:rsidR="00CB777E" w:rsidRPr="00CB777E">
        <w:rPr>
          <w:rFonts w:ascii="Arial" w:hAnsi="Arial" w:cs="Arial"/>
        </w:rPr>
        <w:t xml:space="preserve">V rámci výběrového šetření jsou zjišťovány údaje i za </w:t>
      </w:r>
      <w:r w:rsidR="00CB777E" w:rsidRPr="00CB777E">
        <w:rPr>
          <w:rFonts w:ascii="Arial" w:hAnsi="Arial" w:cs="Arial"/>
          <w:b/>
          <w:bCs/>
        </w:rPr>
        <w:t>osoby, které nepracují, aktivně práci nehledají, a nesplňují tak podmínky ILO pro nezaměstnané</w:t>
      </w:r>
      <w:r w:rsidR="00CB777E" w:rsidRPr="00CB777E">
        <w:rPr>
          <w:rFonts w:ascii="Arial" w:hAnsi="Arial" w:cs="Arial"/>
        </w:rPr>
        <w:t>, ale přitom uvádějí, že by chtěly pracovat. Ve 4. čtvrtletí roku 2017 činil jejich počet 119,1 tis. osob, tj. o 8,0 tis. méně než ve stejném období roku 2016. Většina osob, které by chtěly pracovat, však nemůže ihned nastoupit do případného zaměstnání</w:t>
      </w:r>
      <w:r w:rsidR="00CB777E" w:rsidRPr="00CB777E">
        <w:rPr>
          <w:rFonts w:ascii="Arial" w:hAnsi="Arial" w:cs="Arial"/>
          <w:color w:val="333333"/>
        </w:rPr>
        <w:t>. Nejpozději do 14 dnů je totiž schopno nastoupit jen 34,2 tis. osob.</w:t>
      </w:r>
      <w:r w:rsidR="00CB777E" w:rsidRPr="00CB777E">
        <w:rPr>
          <w:rFonts w:ascii="Arial" w:hAnsi="Arial" w:cs="Arial"/>
        </w:rPr>
        <w:t xml:space="preserve"> </w:t>
      </w:r>
    </w:p>
    <w:p w:rsidR="003C5F2F" w:rsidRPr="00526A74" w:rsidRDefault="003C5F2F" w:rsidP="003C5F2F">
      <w:pPr>
        <w:ind w:firstLine="567"/>
        <w:jc w:val="both"/>
        <w:rPr>
          <w:rFonts w:ascii="Arial" w:hAnsi="Arial" w:cs="Arial"/>
        </w:rPr>
      </w:pPr>
      <w:r w:rsidRPr="00100442">
        <w:rPr>
          <w:rFonts w:ascii="Arial" w:hAnsi="Arial" w:cs="Arial"/>
        </w:rPr>
        <w:t>Základem pro rozhodování v oblasti nezaměstnanosti je zásadně úplná evidence úřadů práce. Výběrové šetření pracovních sil, které je pro členské země EU závazné, tyto administrativní údaje doplňuje a poskytuje mezinárodně srovnatelné ukazatele v požadovaném rozsahu a frekvenci.</w:t>
      </w:r>
    </w:p>
    <w:p w:rsidR="003C5F2F" w:rsidRPr="00526A74" w:rsidRDefault="003C5F2F" w:rsidP="003C5F2F">
      <w:pPr>
        <w:pStyle w:val="Textpoznpodarou"/>
        <w:ind w:firstLine="567"/>
        <w:jc w:val="both"/>
        <w:rPr>
          <w:rFonts w:ascii="Arial" w:hAnsi="Arial" w:cs="Arial"/>
          <w:sz w:val="24"/>
          <w:szCs w:val="24"/>
        </w:rPr>
      </w:pPr>
      <w:r w:rsidRPr="00526A74">
        <w:rPr>
          <w:rFonts w:ascii="Arial" w:hAnsi="Arial" w:cs="Arial"/>
          <w:bCs/>
          <w:sz w:val="24"/>
          <w:szCs w:val="24"/>
        </w:rPr>
        <w:t>Od července 2004 do prosince 2012 počítalo MPSV míru registrované nezaměstnanosti</w:t>
      </w:r>
      <w:r w:rsidRPr="00526A74">
        <w:rPr>
          <w:rFonts w:ascii="Arial" w:hAnsi="Arial" w:cs="Arial"/>
          <w:b/>
          <w:bCs/>
          <w:sz w:val="24"/>
          <w:szCs w:val="24"/>
        </w:rPr>
        <w:t xml:space="preserve"> </w:t>
      </w:r>
      <w:r w:rsidRPr="00526A74">
        <w:rPr>
          <w:rFonts w:ascii="Arial" w:hAnsi="Arial" w:cs="Arial"/>
          <w:bCs/>
          <w:sz w:val="24"/>
          <w:szCs w:val="24"/>
        </w:rPr>
        <w:t xml:space="preserve">jako podíl </w:t>
      </w:r>
      <w:r w:rsidRPr="00526A74">
        <w:rPr>
          <w:rFonts w:ascii="Arial" w:hAnsi="Arial" w:cs="Arial"/>
          <w:sz w:val="24"/>
          <w:szCs w:val="24"/>
        </w:rPr>
        <w:t>dosažitelných uchazečů o zaměstnání evidovaných na ÚP ČR k pracovní síle, tj. součtu počtu zaměstnaných v národním hospodářství s jediným nebo hlavním zaměstnáním podle výsledků výběrových šetření pracovních sil – VŠPS, počtu pracujících cizinců ze třetích zemí s platným povolením k zaměstnávání, zaměstnaných občanů EU registrovaných ÚP ČR a cizinců s platným živnostenským oprávněním, registrovaných dosažitelných neumístěných uchazečů o zaměstnání (občanů ČR a občanů EU</w:t>
      </w:r>
      <w:r>
        <w:rPr>
          <w:rFonts w:ascii="Arial" w:hAnsi="Arial" w:cs="Arial"/>
          <w:sz w:val="24"/>
          <w:szCs w:val="24"/>
        </w:rPr>
        <w:t xml:space="preserve"> </w:t>
      </w:r>
      <w:r w:rsidRPr="00526A74">
        <w:rPr>
          <w:rFonts w:ascii="Arial" w:hAnsi="Arial" w:cs="Arial"/>
          <w:sz w:val="24"/>
          <w:szCs w:val="24"/>
        </w:rPr>
        <w:t xml:space="preserve">(EHP)), vedených úřady práce. </w:t>
      </w:r>
    </w:p>
    <w:p w:rsidR="003C5F2F" w:rsidRPr="00526A74" w:rsidRDefault="003C5F2F" w:rsidP="003C5F2F">
      <w:pPr>
        <w:pStyle w:val="Textpoznpodarou"/>
        <w:spacing w:after="200"/>
        <w:ind w:firstLine="567"/>
        <w:jc w:val="both"/>
        <w:rPr>
          <w:rFonts w:ascii="Arial" w:hAnsi="Arial" w:cs="Arial"/>
          <w:b/>
          <w:sz w:val="24"/>
          <w:szCs w:val="24"/>
        </w:rPr>
      </w:pPr>
      <w:r w:rsidRPr="00526A74">
        <w:rPr>
          <w:rFonts w:ascii="Arial" w:hAnsi="Arial" w:cs="Arial"/>
          <w:sz w:val="24"/>
          <w:szCs w:val="24"/>
        </w:rPr>
        <w:t xml:space="preserve">Srovnávání nebo záměna obecné míry nezaměstnanosti ČSÚ a míry registrované nezaměstnanosti MPSV a jejich nesprávná interpretace, pracovní síla pro výpočet míry registrované nezaměstnanosti tvořená kombinací údajů z více zdrojů, patřily mezi důvody pro </w:t>
      </w:r>
      <w:r>
        <w:rPr>
          <w:rFonts w:ascii="Arial" w:hAnsi="Arial" w:cs="Arial"/>
          <w:sz w:val="24"/>
          <w:szCs w:val="24"/>
        </w:rPr>
        <w:t>zavedení</w:t>
      </w:r>
      <w:r w:rsidRPr="00526A74">
        <w:rPr>
          <w:rFonts w:ascii="Arial" w:hAnsi="Arial" w:cs="Arial"/>
          <w:sz w:val="24"/>
          <w:szCs w:val="24"/>
        </w:rPr>
        <w:t xml:space="preserve"> </w:t>
      </w:r>
      <w:r w:rsidRPr="00526A74">
        <w:rPr>
          <w:rFonts w:ascii="Arial" w:hAnsi="Arial" w:cs="Arial"/>
          <w:b/>
          <w:sz w:val="24"/>
          <w:szCs w:val="24"/>
        </w:rPr>
        <w:t>nového relativního ukazatele registrované nezaměstnanosti, podílu nezaměstnaných osob, který srovnává počty dosažitelných uchazečů k obyvatelstvu ve věku 15–64 let.</w:t>
      </w:r>
    </w:p>
    <w:p w:rsidR="003C5F2F" w:rsidRPr="00526A74" w:rsidRDefault="003C5F2F" w:rsidP="003C5F2F">
      <w:pPr>
        <w:pStyle w:val="Textpoznpodarou"/>
        <w:jc w:val="both"/>
        <w:rPr>
          <w:rFonts w:ascii="Arial" w:hAnsi="Arial" w:cs="Arial"/>
          <w:bCs/>
          <w:sz w:val="24"/>
          <w:szCs w:val="24"/>
        </w:rPr>
      </w:pPr>
      <w:r w:rsidRPr="00526A74">
        <w:rPr>
          <w:rFonts w:ascii="Arial" w:hAnsi="Arial" w:cs="Arial"/>
          <w:b/>
          <w:bCs/>
          <w:sz w:val="24"/>
          <w:szCs w:val="24"/>
        </w:rPr>
        <w:t xml:space="preserve">Definice výpočtu podílu nezaměstnaných osob: </w:t>
      </w:r>
    </w:p>
    <w:p w:rsidR="003C5F2F" w:rsidRPr="00526A74" w:rsidRDefault="003C5F2F" w:rsidP="003C5F2F">
      <w:pPr>
        <w:ind w:firstLine="708"/>
        <w:jc w:val="both"/>
        <w:rPr>
          <w:rFonts w:ascii="Arial" w:hAnsi="Arial" w:cs="Arial"/>
          <w:b/>
        </w:rPr>
      </w:pPr>
      <w:r w:rsidRPr="00526A74">
        <w:rPr>
          <w:rFonts w:ascii="Arial" w:hAnsi="Arial" w:cs="Arial"/>
        </w:rPr>
        <w:tab/>
      </w:r>
      <w:r w:rsidRPr="00526A74">
        <w:rPr>
          <w:rFonts w:ascii="Arial" w:hAnsi="Arial" w:cs="Arial"/>
        </w:rPr>
        <w:tab/>
      </w:r>
      <w:r w:rsidRPr="00526A74">
        <w:rPr>
          <w:rFonts w:ascii="Arial" w:hAnsi="Arial" w:cs="Arial"/>
        </w:rPr>
        <w:tab/>
      </w:r>
      <w:r w:rsidRPr="00526A74">
        <w:rPr>
          <w:rFonts w:ascii="Arial" w:hAnsi="Arial" w:cs="Arial"/>
        </w:rPr>
        <w:tab/>
      </w:r>
      <w:r w:rsidRPr="00526A74">
        <w:rPr>
          <w:rFonts w:ascii="Arial" w:hAnsi="Arial" w:cs="Arial"/>
        </w:rPr>
        <w:tab/>
      </w:r>
      <w:r w:rsidRPr="00526A74">
        <w:rPr>
          <w:rFonts w:ascii="Arial" w:hAnsi="Arial" w:cs="Arial"/>
        </w:rPr>
        <w:tab/>
      </w:r>
      <w:r w:rsidRPr="00526A74">
        <w:rPr>
          <w:rFonts w:ascii="Arial" w:hAnsi="Arial" w:cs="Arial"/>
        </w:rPr>
        <w:tab/>
      </w:r>
      <w:r w:rsidRPr="00526A74">
        <w:rPr>
          <w:rFonts w:ascii="Arial" w:hAnsi="Arial" w:cs="Arial"/>
        </w:rPr>
        <w:tab/>
      </w:r>
      <w:r w:rsidRPr="00526A74">
        <w:rPr>
          <w:rFonts w:ascii="Arial" w:hAnsi="Arial" w:cs="Arial"/>
          <w:b/>
        </w:rPr>
        <w:t>UoZ</w:t>
      </w:r>
      <w:r w:rsidRPr="00526A74">
        <w:rPr>
          <w:rFonts w:ascii="Arial" w:hAnsi="Arial" w:cs="Arial"/>
          <w:b/>
          <w:vertAlign w:val="subscript"/>
        </w:rPr>
        <w:t>15-64 let</w:t>
      </w:r>
    </w:p>
    <w:p w:rsidR="003C5F2F" w:rsidRDefault="003C5F2F" w:rsidP="003C5F2F">
      <w:pPr>
        <w:jc w:val="both"/>
        <w:rPr>
          <w:rFonts w:ascii="Arial" w:hAnsi="Arial" w:cs="Arial"/>
          <w:b/>
          <w:vertAlign w:val="subscript"/>
        </w:rPr>
      </w:pPr>
      <w:r w:rsidRPr="00526A74">
        <w:rPr>
          <w:rFonts w:ascii="Arial" w:hAnsi="Arial" w:cs="Arial"/>
          <w:b/>
          <w:sz w:val="22"/>
          <w:szCs w:val="22"/>
        </w:rPr>
        <w:t xml:space="preserve">Podíl nezaměstnaných osob </w:t>
      </w:r>
      <w:r>
        <w:rPr>
          <w:rFonts w:ascii="Arial" w:hAnsi="Arial" w:cs="Arial"/>
          <w:b/>
          <w:sz w:val="22"/>
          <w:szCs w:val="22"/>
        </w:rPr>
        <w:t>(ve věku 15</w:t>
      </w:r>
      <w:r w:rsidRPr="00526A74">
        <w:rPr>
          <w:rFonts w:ascii="Arial" w:hAnsi="Arial" w:cs="Arial"/>
          <w:b/>
          <w:sz w:val="22"/>
          <w:szCs w:val="22"/>
        </w:rPr>
        <w:t>–64 let</w:t>
      </w:r>
      <w:r>
        <w:rPr>
          <w:rFonts w:ascii="Arial" w:hAnsi="Arial" w:cs="Arial"/>
          <w:b/>
          <w:sz w:val="22"/>
          <w:szCs w:val="22"/>
        </w:rPr>
        <w:t>)</w:t>
      </w:r>
      <w:r w:rsidRPr="00526A74">
        <w:rPr>
          <w:rFonts w:ascii="Arial" w:hAnsi="Arial" w:cs="Arial"/>
          <w:b/>
        </w:rPr>
        <w:t xml:space="preserve">  =   ------------------------------------</w:t>
      </w:r>
      <w:r w:rsidRPr="00526A74">
        <w:rPr>
          <w:rFonts w:ascii="Arial" w:hAnsi="Arial" w:cs="Arial"/>
          <w:b/>
        </w:rPr>
        <w:tab/>
      </w:r>
      <w:r w:rsidRPr="00526A74">
        <w:rPr>
          <w:rFonts w:ascii="Arial" w:hAnsi="Arial" w:cs="Arial"/>
          <w:b/>
        </w:rPr>
        <w:tab/>
      </w:r>
      <w:r w:rsidRPr="00526A74">
        <w:rPr>
          <w:rFonts w:ascii="Arial" w:hAnsi="Arial" w:cs="Arial"/>
          <w:b/>
        </w:rPr>
        <w:tab/>
      </w:r>
      <w:r w:rsidRPr="00526A74">
        <w:rPr>
          <w:rFonts w:ascii="Arial" w:hAnsi="Arial" w:cs="Arial"/>
          <w:b/>
        </w:rPr>
        <w:tab/>
      </w:r>
      <w:r w:rsidRPr="00526A74">
        <w:rPr>
          <w:rFonts w:ascii="Arial" w:hAnsi="Arial" w:cs="Arial"/>
          <w:b/>
        </w:rPr>
        <w:tab/>
      </w:r>
      <w:r w:rsidRPr="00526A74">
        <w:rPr>
          <w:rFonts w:ascii="Arial" w:hAnsi="Arial" w:cs="Arial"/>
          <w:b/>
        </w:rPr>
        <w:tab/>
      </w:r>
      <w:r w:rsidRPr="00526A74">
        <w:rPr>
          <w:rFonts w:ascii="Arial" w:hAnsi="Arial" w:cs="Arial"/>
          <w:b/>
        </w:rPr>
        <w:tab/>
      </w:r>
      <w:r w:rsidRPr="00526A74">
        <w:rPr>
          <w:rFonts w:ascii="Arial" w:hAnsi="Arial" w:cs="Arial"/>
          <w:b/>
        </w:rPr>
        <w:tab/>
      </w:r>
      <w:r w:rsidRPr="00526A74">
        <w:rPr>
          <w:rFonts w:ascii="Arial" w:hAnsi="Arial" w:cs="Arial"/>
          <w:b/>
        </w:rPr>
        <w:tab/>
      </w:r>
      <w:r w:rsidRPr="00526A74">
        <w:rPr>
          <w:rFonts w:ascii="Arial" w:hAnsi="Arial" w:cs="Arial"/>
          <w:b/>
        </w:rPr>
        <w:tab/>
        <w:t>P</w:t>
      </w:r>
      <w:r w:rsidRPr="00526A74">
        <w:rPr>
          <w:rFonts w:ascii="Arial" w:hAnsi="Arial" w:cs="Arial"/>
          <w:b/>
          <w:vertAlign w:val="subscript"/>
        </w:rPr>
        <w:t>15–64 let</w:t>
      </w:r>
    </w:p>
    <w:p w:rsidR="003C5F2F" w:rsidRPr="00A02155" w:rsidRDefault="003C5F2F" w:rsidP="003C5F2F">
      <w:pPr>
        <w:jc w:val="both"/>
        <w:rPr>
          <w:rFonts w:ascii="Arial" w:hAnsi="Arial" w:cs="Arial"/>
          <w:b/>
          <w:sz w:val="16"/>
          <w:szCs w:val="16"/>
          <w:vertAlign w:val="subscript"/>
        </w:rPr>
      </w:pPr>
    </w:p>
    <w:p w:rsidR="003C5F2F" w:rsidRPr="00A02155" w:rsidRDefault="003C5F2F" w:rsidP="003C5F2F">
      <w:pPr>
        <w:jc w:val="both"/>
        <w:rPr>
          <w:rFonts w:ascii="Arial" w:hAnsi="Arial" w:cs="Arial"/>
          <w:sz w:val="22"/>
          <w:szCs w:val="22"/>
        </w:rPr>
      </w:pPr>
      <w:r w:rsidRPr="00A02155">
        <w:rPr>
          <w:rFonts w:ascii="Arial" w:hAnsi="Arial" w:cs="Arial"/>
          <w:sz w:val="22"/>
          <w:szCs w:val="22"/>
        </w:rPr>
        <w:t>UoZ</w:t>
      </w:r>
      <w:r w:rsidRPr="00A02155">
        <w:rPr>
          <w:rFonts w:ascii="Arial" w:hAnsi="Arial" w:cs="Arial"/>
          <w:sz w:val="22"/>
          <w:szCs w:val="22"/>
          <w:vertAlign w:val="subscript"/>
        </w:rPr>
        <w:t>15-64 let</w:t>
      </w:r>
      <w:r w:rsidRPr="00A02155">
        <w:rPr>
          <w:rFonts w:ascii="Arial" w:hAnsi="Arial" w:cs="Arial"/>
          <w:sz w:val="22"/>
          <w:szCs w:val="22"/>
        </w:rPr>
        <w:t xml:space="preserve"> – počet dosažitelných uchazečů o zaměstnání ve věku 15 - 64 let</w:t>
      </w:r>
    </w:p>
    <w:p w:rsidR="003C5F2F" w:rsidRPr="00A02155" w:rsidRDefault="003C5F2F" w:rsidP="003C5F2F">
      <w:pPr>
        <w:jc w:val="both"/>
        <w:rPr>
          <w:rFonts w:ascii="Arial" w:hAnsi="Arial" w:cs="Arial"/>
          <w:sz w:val="22"/>
          <w:szCs w:val="22"/>
        </w:rPr>
      </w:pPr>
      <w:r w:rsidRPr="00A02155">
        <w:rPr>
          <w:rFonts w:ascii="Arial" w:hAnsi="Arial" w:cs="Arial"/>
          <w:sz w:val="22"/>
          <w:szCs w:val="22"/>
        </w:rPr>
        <w:t>P</w:t>
      </w:r>
      <w:r w:rsidRPr="00A02155">
        <w:rPr>
          <w:rFonts w:ascii="Arial" w:hAnsi="Arial" w:cs="Arial"/>
          <w:sz w:val="22"/>
          <w:szCs w:val="22"/>
          <w:vertAlign w:val="subscript"/>
        </w:rPr>
        <w:t>15-64 let</w:t>
      </w:r>
      <w:r w:rsidRPr="00A02155">
        <w:rPr>
          <w:rFonts w:ascii="Arial" w:hAnsi="Arial" w:cs="Arial"/>
          <w:sz w:val="22"/>
          <w:szCs w:val="22"/>
        </w:rPr>
        <w:t xml:space="preserve"> – počet obyvatel ve věku 15-64 let</w:t>
      </w:r>
    </w:p>
    <w:p w:rsidR="003C5F2F" w:rsidRPr="00A02155" w:rsidRDefault="003C5F2F" w:rsidP="003C5F2F">
      <w:pPr>
        <w:ind w:firstLine="708"/>
        <w:jc w:val="both"/>
        <w:rPr>
          <w:rFonts w:ascii="Arial" w:hAnsi="Arial" w:cs="Arial"/>
          <w:sz w:val="16"/>
          <w:szCs w:val="16"/>
        </w:rPr>
      </w:pPr>
    </w:p>
    <w:p w:rsidR="003C5F2F" w:rsidRPr="00526A74" w:rsidRDefault="003C5F2F" w:rsidP="003C5F2F">
      <w:pPr>
        <w:widowControl w:val="0"/>
        <w:ind w:firstLine="708"/>
        <w:jc w:val="both"/>
        <w:rPr>
          <w:rFonts w:ascii="Arial" w:hAnsi="Arial" w:cs="Arial"/>
        </w:rPr>
      </w:pPr>
      <w:r w:rsidRPr="00526A74">
        <w:rPr>
          <w:rFonts w:ascii="Arial" w:hAnsi="Arial" w:cs="Arial"/>
        </w:rPr>
        <w:t>Změna</w:t>
      </w:r>
      <w:r>
        <w:rPr>
          <w:rFonts w:ascii="Arial" w:hAnsi="Arial" w:cs="Arial"/>
        </w:rPr>
        <w:t>, která vstoupila v platnost počínaje lednem 2013,</w:t>
      </w:r>
      <w:r w:rsidRPr="00526A74">
        <w:rPr>
          <w:rFonts w:ascii="Arial" w:hAnsi="Arial" w:cs="Arial"/>
        </w:rPr>
        <w:t xml:space="preserve"> se týká pouze ukazatele míry registrované nezaměstnanosti. </w:t>
      </w:r>
      <w:r w:rsidRPr="00526A74">
        <w:rPr>
          <w:rFonts w:ascii="Arial" w:hAnsi="Arial" w:cs="Arial"/>
          <w:b/>
        </w:rPr>
        <w:t>MPSV i nadále jako doposud vykazuje celkové počty uchazečů o zaměstnání a počty dosažitelných uchazečů</w:t>
      </w:r>
      <w:r w:rsidRPr="00526A74">
        <w:rPr>
          <w:rFonts w:ascii="Arial" w:hAnsi="Arial" w:cs="Arial"/>
        </w:rPr>
        <w:t xml:space="preserve">. Vzhledem k tomu, že nový ukazatel má kvůli odlišné definici jinou úroveň a je s původním ukazatelem registrované nezaměstnanosti i obecné míry nezaměstnanosti nesrovnatelný, pro sledování jejího vývoje byla do úrovně okresů zpětně dopočtena časová řada (viz </w:t>
      </w:r>
      <w:hyperlink r:id="rId44" w:history="1">
        <w:r w:rsidRPr="00526A74">
          <w:rPr>
            <w:rStyle w:val="Hypertextovodkaz"/>
            <w:rFonts w:ascii="Arial" w:hAnsi="Arial" w:cs="Arial"/>
          </w:rPr>
          <w:t>http://portal.mpsv.cz/sz/stat/nz/casove_rady</w:t>
        </w:r>
      </w:hyperlink>
      <w:r w:rsidRPr="00526A74">
        <w:rPr>
          <w:rFonts w:ascii="Arial" w:hAnsi="Arial" w:cs="Arial"/>
        </w:rPr>
        <w:t xml:space="preserve">). </w:t>
      </w:r>
    </w:p>
    <w:p w:rsidR="003C5F2F" w:rsidRDefault="003C5F2F" w:rsidP="003C5F2F">
      <w:r>
        <w:br w:type="page"/>
      </w:r>
    </w:p>
    <w:tbl>
      <w:tblPr>
        <w:tblW w:w="9582" w:type="dxa"/>
        <w:tblInd w:w="55" w:type="dxa"/>
        <w:tblCellMar>
          <w:left w:w="70" w:type="dxa"/>
          <w:right w:w="70" w:type="dxa"/>
        </w:tblCellMar>
        <w:tblLook w:val="04A0"/>
      </w:tblPr>
      <w:tblGrid>
        <w:gridCol w:w="1433"/>
        <w:gridCol w:w="594"/>
        <w:gridCol w:w="5566"/>
        <w:gridCol w:w="1710"/>
        <w:gridCol w:w="279"/>
      </w:tblGrid>
      <w:tr w:rsidR="003C5F2F" w:rsidRPr="00526A74" w:rsidTr="00AA1448">
        <w:trPr>
          <w:gridAfter w:val="1"/>
          <w:wAfter w:w="279" w:type="dxa"/>
          <w:trHeight w:val="255"/>
        </w:trPr>
        <w:tc>
          <w:tcPr>
            <w:tcW w:w="9303" w:type="dxa"/>
            <w:gridSpan w:val="4"/>
            <w:tcBorders>
              <w:top w:val="nil"/>
              <w:left w:val="nil"/>
              <w:bottom w:val="nil"/>
              <w:right w:val="nil"/>
            </w:tcBorders>
            <w:shd w:val="clear" w:color="auto" w:fill="auto"/>
            <w:noWrap/>
            <w:vAlign w:val="bottom"/>
          </w:tcPr>
          <w:p w:rsidR="003C5F2F" w:rsidRPr="00D56DA0" w:rsidRDefault="003C5F2F" w:rsidP="00AA1448">
            <w:pPr>
              <w:rPr>
                <w:rFonts w:ascii="Arial" w:hAnsi="Arial"/>
                <w:b/>
                <w:bCs/>
                <w:sz w:val="22"/>
                <w:szCs w:val="22"/>
              </w:rPr>
            </w:pPr>
            <w:r w:rsidRPr="00526A74">
              <w:rPr>
                <w:rFonts w:ascii="Arial" w:hAnsi="Arial"/>
                <w:b/>
                <w:bCs/>
                <w:sz w:val="22"/>
                <w:szCs w:val="22"/>
              </w:rPr>
              <w:lastRenderedPageBreak/>
              <w:t>Seznam použitých zkratek:</w:t>
            </w:r>
          </w:p>
        </w:tc>
      </w:tr>
      <w:tr w:rsidR="003C22E4" w:rsidTr="003C22E4">
        <w:trPr>
          <w:trHeight w:val="113"/>
        </w:trPr>
        <w:tc>
          <w:tcPr>
            <w:tcW w:w="2027" w:type="dxa"/>
            <w:gridSpan w:val="2"/>
            <w:tcBorders>
              <w:top w:val="nil"/>
              <w:left w:val="nil"/>
              <w:bottom w:val="nil"/>
              <w:right w:val="nil"/>
            </w:tcBorders>
            <w:shd w:val="clear" w:color="auto" w:fill="auto"/>
            <w:noWrap/>
            <w:vAlign w:val="center"/>
          </w:tcPr>
          <w:p w:rsidR="003C22E4" w:rsidRDefault="003C22E4" w:rsidP="00AA1448">
            <w:pPr>
              <w:rPr>
                <w:rFonts w:ascii="Arial" w:hAnsi="Arial" w:cs="Arial"/>
                <w:color w:val="000000"/>
                <w:sz w:val="18"/>
                <w:szCs w:val="18"/>
              </w:rPr>
            </w:pPr>
          </w:p>
        </w:tc>
        <w:tc>
          <w:tcPr>
            <w:tcW w:w="7555" w:type="dxa"/>
            <w:gridSpan w:val="3"/>
            <w:tcBorders>
              <w:top w:val="nil"/>
              <w:left w:val="nil"/>
              <w:bottom w:val="nil"/>
              <w:right w:val="nil"/>
            </w:tcBorders>
            <w:shd w:val="clear" w:color="auto" w:fill="auto"/>
            <w:noWrap/>
            <w:vAlign w:val="center"/>
          </w:tcPr>
          <w:p w:rsidR="003C22E4" w:rsidRDefault="003C22E4" w:rsidP="00AA1448">
            <w:pPr>
              <w:rPr>
                <w:rFonts w:ascii="Arial" w:hAnsi="Arial" w:cs="Arial"/>
                <w:color w:val="000000"/>
                <w:sz w:val="18"/>
                <w:szCs w:val="18"/>
              </w:rPr>
            </w:pP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APZ</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 xml:space="preserve">aktivní politika zaměstnanosti </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CZ-ISCO</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Klasifikace zaměstnání</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CZ-NACE</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Odvětvová klasifikace ekonomických činností</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ČNB</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Česká národní banka</w:t>
            </w:r>
          </w:p>
        </w:tc>
      </w:tr>
      <w:tr w:rsidR="003C5F2F" w:rsidRPr="004359D7" w:rsidTr="00AA1448">
        <w:trPr>
          <w:trHeight w:val="255"/>
        </w:trPr>
        <w:tc>
          <w:tcPr>
            <w:tcW w:w="2027" w:type="dxa"/>
            <w:gridSpan w:val="2"/>
            <w:tcBorders>
              <w:top w:val="nil"/>
              <w:left w:val="nil"/>
              <w:bottom w:val="nil"/>
              <w:right w:val="nil"/>
            </w:tcBorders>
            <w:shd w:val="clear" w:color="auto" w:fill="auto"/>
            <w:noWrap/>
            <w:vAlign w:val="center"/>
          </w:tcPr>
          <w:p w:rsidR="003C5F2F" w:rsidRPr="004359D7" w:rsidRDefault="003C5F2F" w:rsidP="00AA1448">
            <w:pPr>
              <w:rPr>
                <w:rFonts w:ascii="Arial" w:hAnsi="Arial" w:cs="Arial"/>
                <w:sz w:val="18"/>
                <w:szCs w:val="18"/>
              </w:rPr>
            </w:pPr>
            <w:r w:rsidRPr="004359D7">
              <w:rPr>
                <w:rFonts w:ascii="Arial" w:hAnsi="Arial" w:cs="Arial"/>
                <w:sz w:val="18"/>
                <w:szCs w:val="18"/>
              </w:rPr>
              <w:t>ČSSZ</w:t>
            </w:r>
          </w:p>
        </w:tc>
        <w:tc>
          <w:tcPr>
            <w:tcW w:w="7555" w:type="dxa"/>
            <w:gridSpan w:val="3"/>
            <w:tcBorders>
              <w:top w:val="nil"/>
              <w:left w:val="nil"/>
              <w:bottom w:val="nil"/>
              <w:right w:val="nil"/>
            </w:tcBorders>
            <w:shd w:val="clear" w:color="auto" w:fill="auto"/>
            <w:noWrap/>
            <w:vAlign w:val="center"/>
          </w:tcPr>
          <w:p w:rsidR="003C5F2F" w:rsidRPr="004359D7" w:rsidRDefault="003C5F2F" w:rsidP="00AA1448">
            <w:pPr>
              <w:rPr>
                <w:rFonts w:ascii="Arial" w:hAnsi="Arial" w:cs="Arial"/>
                <w:sz w:val="18"/>
                <w:szCs w:val="18"/>
              </w:rPr>
            </w:pPr>
            <w:r w:rsidRPr="004359D7">
              <w:rPr>
                <w:rFonts w:ascii="Arial" w:hAnsi="Arial" w:cs="Arial"/>
                <w:sz w:val="18"/>
                <w:szCs w:val="18"/>
              </w:rPr>
              <w:t>Česká správa sociálního zabezpečení</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ČSÚ</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Český statistický úřad</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EAO</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ekonomicky aktivní obyvatelstvo</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EHP</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Evropský hospodářský prostor</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ESF</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Evropský sociální fond</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EU 28</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Evropská unie (28 zemí)</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EUROSTAT</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Statistický úřad Evropského společenství</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GP</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grantový projekt</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GŘ ÚP ČR</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Generální ředitelství Úřadu práce České republiky</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HDP</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hrubý domácí produkt</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CHPM</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chráněné pracovní místo</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ILO</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Mezinárodní organizace práce</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IPS</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informačně poradenské středisko</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LFS</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Labour Force Survey (VŠPS – Výběrové šetření pracovních sil)</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MEA</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míra ekonomické aktivity</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MF ČR</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Ministerstvo financí České republiky</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MN</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míra nezaměstnanosti</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MO</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Ministerstvo obrany</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MPO</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Ministerstvo průmyslu a obchodu</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MPSV</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Ministerstvo práce a sociálních věcí</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MV</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Ministerstvo vnitra</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MZ</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míra zaměstnanosti</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NH</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národní hospodářství</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NIP</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národní individuální projekt</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NUTS3</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Nomenklatura územních statistických jednotek, úroveň kraj</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NÚV</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Národní ústav pro vzdělávání</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OP LZZ, OP Z</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Operační program Lidské zdroje a zaměstnanost, Operační program Zaměstnanost</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OSVČ</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osoba samostatně výdělečně činná</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OZP</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osoba se zdravotním postižením</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p. b.</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procentní bod</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PMS</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Probačně mediační služba</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PNO</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podíl nezaměstnaných osob</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PvN</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podpora v nezaměstnanosti</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RIP</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regionální individuální projekt</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jc w:val="both"/>
              <w:rPr>
                <w:rFonts w:ascii="Arial" w:hAnsi="Arial" w:cs="Arial"/>
                <w:color w:val="000000"/>
                <w:sz w:val="18"/>
                <w:szCs w:val="18"/>
              </w:rPr>
            </w:pPr>
            <w:r>
              <w:rPr>
                <w:rFonts w:ascii="Arial" w:hAnsi="Arial" w:cs="Arial"/>
                <w:color w:val="000000"/>
                <w:sz w:val="18"/>
                <w:szCs w:val="18"/>
              </w:rPr>
              <w:t>RHSD</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Rada hospodářské a sociální dohody</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jc w:val="both"/>
              <w:rPr>
                <w:rFonts w:ascii="Arial" w:hAnsi="Arial" w:cs="Arial"/>
                <w:color w:val="000000"/>
                <w:sz w:val="18"/>
                <w:szCs w:val="18"/>
              </w:rPr>
            </w:pPr>
            <w:r>
              <w:rPr>
                <w:rFonts w:ascii="Arial" w:hAnsi="Arial" w:cs="Arial"/>
                <w:color w:val="000000"/>
                <w:sz w:val="18"/>
                <w:szCs w:val="18"/>
              </w:rPr>
              <w:t>SIP</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systémový individuální projekt/systém investičních pobídek</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SPNO</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specifický podíl nezaměstnaných osob</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SPZ</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státní politika zaměstnanosti</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jc w:val="both"/>
              <w:rPr>
                <w:rFonts w:ascii="Arial" w:hAnsi="Arial" w:cs="Arial"/>
                <w:color w:val="000000"/>
                <w:sz w:val="18"/>
                <w:szCs w:val="18"/>
              </w:rPr>
            </w:pPr>
            <w:r>
              <w:rPr>
                <w:rFonts w:ascii="Arial" w:hAnsi="Arial" w:cs="Arial"/>
                <w:color w:val="000000"/>
                <w:sz w:val="18"/>
                <w:szCs w:val="18"/>
              </w:rPr>
              <w:t>SR</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státní rozpočet</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jc w:val="both"/>
              <w:rPr>
                <w:rFonts w:ascii="Arial" w:hAnsi="Arial" w:cs="Arial"/>
                <w:color w:val="000000"/>
                <w:sz w:val="18"/>
                <w:szCs w:val="18"/>
              </w:rPr>
            </w:pPr>
            <w:r>
              <w:rPr>
                <w:rFonts w:ascii="Arial" w:hAnsi="Arial" w:cs="Arial"/>
                <w:color w:val="000000"/>
                <w:sz w:val="18"/>
                <w:szCs w:val="18"/>
              </w:rPr>
              <w:t>SÚIP</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Státní úřad inspekce práce</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jc w:val="both"/>
              <w:rPr>
                <w:rFonts w:ascii="Arial" w:hAnsi="Arial" w:cs="Arial"/>
                <w:color w:val="000000"/>
                <w:sz w:val="18"/>
                <w:szCs w:val="18"/>
              </w:rPr>
            </w:pPr>
            <w:r>
              <w:rPr>
                <w:rFonts w:ascii="Arial" w:hAnsi="Arial" w:cs="Arial"/>
                <w:color w:val="000000"/>
                <w:sz w:val="18"/>
                <w:szCs w:val="18"/>
              </w:rPr>
              <w:t>SÚPM</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společensky účelná pracovní místa</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jc w:val="both"/>
              <w:rPr>
                <w:rFonts w:ascii="Arial" w:hAnsi="Arial" w:cs="Arial"/>
                <w:color w:val="000000"/>
                <w:sz w:val="18"/>
                <w:szCs w:val="18"/>
              </w:rPr>
            </w:pPr>
            <w:r>
              <w:rPr>
                <w:rFonts w:ascii="Arial" w:hAnsi="Arial" w:cs="Arial"/>
                <w:color w:val="000000"/>
                <w:sz w:val="18"/>
                <w:szCs w:val="18"/>
              </w:rPr>
              <w:t>SVČ</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samostatná výdělečná činnost</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 xml:space="preserve">ÚP ČR </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Úřad práce České republiky</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VOŠ</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vyšší odborné vzdělání</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VPM</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volné pracovní místo</w:t>
            </w:r>
          </w:p>
        </w:tc>
      </w:tr>
      <w:tr w:rsidR="003C5F2F" w:rsidTr="00AA1448">
        <w:trPr>
          <w:trHeight w:val="255"/>
        </w:trPr>
        <w:tc>
          <w:tcPr>
            <w:tcW w:w="2027" w:type="dxa"/>
            <w:gridSpan w:val="2"/>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VPP</w:t>
            </w:r>
          </w:p>
        </w:tc>
        <w:tc>
          <w:tcPr>
            <w:tcW w:w="7555" w:type="dxa"/>
            <w:gridSpan w:val="3"/>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veřejně prospěšné práce</w:t>
            </w:r>
          </w:p>
        </w:tc>
      </w:tr>
      <w:tr w:rsidR="003C5F2F" w:rsidTr="00AA1448">
        <w:trPr>
          <w:gridAfter w:val="2"/>
          <w:wAfter w:w="1989" w:type="dxa"/>
          <w:trHeight w:val="255"/>
        </w:trPr>
        <w:tc>
          <w:tcPr>
            <w:tcW w:w="1433" w:type="dxa"/>
            <w:tcBorders>
              <w:top w:val="nil"/>
              <w:left w:val="nil"/>
              <w:bottom w:val="nil"/>
              <w:right w:val="nil"/>
            </w:tcBorders>
            <w:shd w:val="clear" w:color="auto" w:fill="auto"/>
            <w:noWrap/>
            <w:vAlign w:val="center"/>
            <w:hideMark/>
          </w:tcPr>
          <w:p w:rsidR="003C5F2F" w:rsidRDefault="003C5F2F" w:rsidP="00AA1448">
            <w:pPr>
              <w:rPr>
                <w:rFonts w:ascii="Arial" w:hAnsi="Arial" w:cs="Arial"/>
                <w:color w:val="000000"/>
                <w:sz w:val="18"/>
                <w:szCs w:val="18"/>
              </w:rPr>
            </w:pPr>
            <w:r>
              <w:rPr>
                <w:rFonts w:ascii="Arial" w:hAnsi="Arial" w:cs="Arial"/>
                <w:color w:val="000000"/>
                <w:sz w:val="18"/>
                <w:szCs w:val="18"/>
              </w:rPr>
              <w:t>VŠPS</w:t>
            </w:r>
          </w:p>
        </w:tc>
        <w:tc>
          <w:tcPr>
            <w:tcW w:w="6160" w:type="dxa"/>
            <w:gridSpan w:val="2"/>
            <w:tcBorders>
              <w:top w:val="nil"/>
              <w:left w:val="nil"/>
              <w:bottom w:val="nil"/>
              <w:right w:val="nil"/>
            </w:tcBorders>
            <w:shd w:val="clear" w:color="auto" w:fill="auto"/>
            <w:noWrap/>
            <w:vAlign w:val="center"/>
            <w:hideMark/>
          </w:tcPr>
          <w:p w:rsidR="003C5F2F" w:rsidRDefault="003C5F2F" w:rsidP="00AA1448">
            <w:pPr>
              <w:ind w:left="497"/>
              <w:rPr>
                <w:rFonts w:ascii="Arial" w:hAnsi="Arial" w:cs="Arial"/>
                <w:color w:val="000000"/>
                <w:sz w:val="18"/>
                <w:szCs w:val="18"/>
              </w:rPr>
            </w:pPr>
            <w:r>
              <w:rPr>
                <w:rFonts w:ascii="Arial" w:hAnsi="Arial" w:cs="Arial"/>
                <w:color w:val="000000"/>
                <w:sz w:val="18"/>
                <w:szCs w:val="18"/>
              </w:rPr>
              <w:t xml:space="preserve">  Výběrové šetření pracovních sil</w:t>
            </w:r>
          </w:p>
        </w:tc>
      </w:tr>
      <w:tr w:rsidR="003C5F2F" w:rsidTr="00AA1448">
        <w:trPr>
          <w:gridAfter w:val="2"/>
          <w:wAfter w:w="1989" w:type="dxa"/>
          <w:trHeight w:val="255"/>
        </w:trPr>
        <w:tc>
          <w:tcPr>
            <w:tcW w:w="1433" w:type="dxa"/>
            <w:tcBorders>
              <w:top w:val="nil"/>
              <w:left w:val="nil"/>
              <w:bottom w:val="nil"/>
              <w:right w:val="nil"/>
            </w:tcBorders>
            <w:shd w:val="clear" w:color="auto" w:fill="auto"/>
            <w:noWrap/>
            <w:vAlign w:val="center"/>
          </w:tcPr>
          <w:p w:rsidR="003C5F2F" w:rsidRDefault="003C5F2F" w:rsidP="00AA1448">
            <w:pPr>
              <w:rPr>
                <w:rFonts w:ascii="Arial" w:hAnsi="Arial" w:cs="Arial"/>
                <w:color w:val="000000"/>
                <w:sz w:val="18"/>
                <w:szCs w:val="18"/>
              </w:rPr>
            </w:pPr>
            <w:r>
              <w:rPr>
                <w:rFonts w:ascii="Arial" w:hAnsi="Arial" w:cs="Arial"/>
                <w:color w:val="000000"/>
                <w:sz w:val="18"/>
                <w:szCs w:val="18"/>
              </w:rPr>
              <w:t>VÚPSV</w:t>
            </w:r>
          </w:p>
        </w:tc>
        <w:tc>
          <w:tcPr>
            <w:tcW w:w="6160" w:type="dxa"/>
            <w:gridSpan w:val="2"/>
            <w:tcBorders>
              <w:top w:val="nil"/>
              <w:left w:val="nil"/>
              <w:bottom w:val="nil"/>
              <w:right w:val="nil"/>
            </w:tcBorders>
            <w:shd w:val="clear" w:color="auto" w:fill="auto"/>
            <w:noWrap/>
            <w:vAlign w:val="center"/>
          </w:tcPr>
          <w:p w:rsidR="003C5F2F" w:rsidRDefault="003C5F2F" w:rsidP="00AA1448">
            <w:pPr>
              <w:ind w:left="497"/>
              <w:rPr>
                <w:rFonts w:ascii="Arial" w:hAnsi="Arial" w:cs="Arial"/>
                <w:color w:val="000000"/>
                <w:sz w:val="18"/>
                <w:szCs w:val="18"/>
              </w:rPr>
            </w:pPr>
            <w:r>
              <w:rPr>
                <w:rFonts w:ascii="Arial" w:hAnsi="Arial" w:cs="Arial"/>
                <w:color w:val="000000"/>
                <w:sz w:val="18"/>
                <w:szCs w:val="18"/>
              </w:rPr>
              <w:t xml:space="preserve">  Výzkumný ústav práce a sociálních věcí</w:t>
            </w:r>
          </w:p>
        </w:tc>
      </w:tr>
    </w:tbl>
    <w:p w:rsidR="00DD196C" w:rsidRPr="00D141D5" w:rsidRDefault="00DD196C" w:rsidP="003C5F2F">
      <w:pPr>
        <w:pStyle w:val="Zhlav"/>
        <w:tabs>
          <w:tab w:val="clear" w:pos="4536"/>
          <w:tab w:val="clear" w:pos="9072"/>
          <w:tab w:val="left" w:pos="0"/>
          <w:tab w:val="left" w:pos="72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pacing w:line="360" w:lineRule="auto"/>
        <w:jc w:val="center"/>
        <w:rPr>
          <w:b/>
          <w:bCs/>
          <w:color w:val="FF0000"/>
        </w:rPr>
      </w:pPr>
    </w:p>
    <w:sectPr w:rsidR="00DD196C" w:rsidRPr="00D141D5" w:rsidSect="004E5445">
      <w:footerReference w:type="default" r:id="rId45"/>
      <w:footerReference w:type="first" r:id="rId46"/>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055" w:rsidRDefault="005A1055">
      <w:r>
        <w:separator/>
      </w:r>
    </w:p>
  </w:endnote>
  <w:endnote w:type="continuationSeparator" w:id="0">
    <w:p w:rsidR="005A1055" w:rsidRDefault="005A10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164447"/>
      <w:docPartObj>
        <w:docPartGallery w:val="Page Numbers (Bottom of Page)"/>
        <w:docPartUnique/>
      </w:docPartObj>
    </w:sdtPr>
    <w:sdtContent>
      <w:p w:rsidR="00534F57" w:rsidRDefault="005E39E1">
        <w:pPr>
          <w:pStyle w:val="Zpat"/>
          <w:jc w:val="center"/>
        </w:pPr>
        <w:r>
          <w:fldChar w:fldCharType="begin"/>
        </w:r>
        <w:r w:rsidR="00534F57">
          <w:instrText>PAGE   \* MERGEFORMAT</w:instrText>
        </w:r>
        <w:r>
          <w:fldChar w:fldCharType="separate"/>
        </w:r>
        <w:r w:rsidR="00C4356A" w:rsidRPr="00C4356A">
          <w:rPr>
            <w:noProof/>
            <w:lang w:val="cs-CZ"/>
          </w:rPr>
          <w:t>106</w:t>
        </w:r>
        <w:r>
          <w:fldChar w:fldCharType="end"/>
        </w:r>
      </w:p>
    </w:sdtContent>
  </w:sdt>
  <w:p w:rsidR="00534F57" w:rsidRDefault="00534F57">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F57" w:rsidRDefault="00534F57">
    <w:pPr>
      <w:pStyle w:val="Zpat"/>
      <w:jc w:val="center"/>
    </w:pPr>
  </w:p>
  <w:p w:rsidR="00534F57" w:rsidRDefault="00534F5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055" w:rsidRDefault="005A1055">
      <w:r>
        <w:separator/>
      </w:r>
    </w:p>
  </w:footnote>
  <w:footnote w:type="continuationSeparator" w:id="0">
    <w:p w:rsidR="005A1055" w:rsidRDefault="005A1055">
      <w:r>
        <w:continuationSeparator/>
      </w:r>
    </w:p>
  </w:footnote>
  <w:footnote w:id="1">
    <w:p w:rsidR="00534F57" w:rsidRPr="00F675C4" w:rsidRDefault="00534F57" w:rsidP="00762875">
      <w:pPr>
        <w:pStyle w:val="Textpoznpodarou"/>
        <w:jc w:val="both"/>
        <w:rPr>
          <w:rFonts w:ascii="Arial" w:hAnsi="Arial" w:cs="Arial"/>
          <w:i/>
          <w:sz w:val="16"/>
          <w:szCs w:val="16"/>
        </w:rPr>
      </w:pPr>
      <w:r w:rsidRPr="00F675C4">
        <w:rPr>
          <w:rStyle w:val="Znakapoznpodarou"/>
          <w:i/>
          <w:sz w:val="16"/>
          <w:szCs w:val="16"/>
        </w:rPr>
        <w:footnoteRef/>
      </w:r>
      <w:r w:rsidRPr="00F675C4">
        <w:rPr>
          <w:rFonts w:ascii="Arial" w:hAnsi="Arial" w:cs="Arial"/>
          <w:i/>
          <w:sz w:val="16"/>
          <w:szCs w:val="16"/>
        </w:rPr>
        <w:t xml:space="preserve">  Některé údaje nemusí odpovídat hodnotám obdobných ukazatelů z jiných statistických zdrojů. Např. údaje o ekonomicky neaktivních přesně nekorespondují s údaji podle statistiky MŠMT, resp. MPSV – ČSSZ zejména proto, že žáci, studenti nebo důchodci, kteří v referenčním týdnu splňovali kritérium pro zařazení mezi osoby v zaměstnání nebo nezaměstnané, nejsou vykazováni jako ekonomicky neaktivní (viz Metodické poznámky).</w:t>
      </w:r>
    </w:p>
    <w:p w:rsidR="00534F57" w:rsidRPr="00F675C4" w:rsidRDefault="00534F57" w:rsidP="00762875">
      <w:pPr>
        <w:pStyle w:val="Textpoznpodarou"/>
        <w:jc w:val="both"/>
        <w:rPr>
          <w:rFonts w:ascii="Arial" w:hAnsi="Arial" w:cs="Arial"/>
          <w:i/>
          <w:sz w:val="16"/>
          <w:szCs w:val="16"/>
        </w:rPr>
      </w:pPr>
      <w:r w:rsidRPr="00F675C4">
        <w:rPr>
          <w:rFonts w:ascii="Arial" w:hAnsi="Arial" w:cs="Arial"/>
          <w:i/>
          <w:sz w:val="16"/>
          <w:szCs w:val="16"/>
        </w:rPr>
        <w:t>Poznámka:  Případné odchylky součtu osob v jednotlivých kategoriích od celkového počtu souvisejí se zaokrouhlováním hodnot na jedno desetinné místo.</w:t>
      </w:r>
    </w:p>
  </w:footnote>
  <w:footnote w:id="2">
    <w:p w:rsidR="00534F57" w:rsidRPr="00F675C4" w:rsidRDefault="00534F57" w:rsidP="00372E07">
      <w:pPr>
        <w:pStyle w:val="Textpoznpodarou"/>
        <w:rPr>
          <w:rFonts w:ascii="Arial" w:hAnsi="Arial" w:cs="Arial"/>
          <w:sz w:val="16"/>
          <w:szCs w:val="16"/>
        </w:rPr>
      </w:pPr>
      <w:r w:rsidRPr="00F675C4">
        <w:rPr>
          <w:rStyle w:val="Znakapoznpodarou"/>
          <w:i/>
          <w:iCs/>
          <w:sz w:val="16"/>
          <w:szCs w:val="16"/>
        </w:rPr>
        <w:footnoteRef/>
      </w:r>
      <w:r w:rsidRPr="00F675C4">
        <w:rPr>
          <w:rFonts w:ascii="Arial" w:hAnsi="Arial" w:cs="Arial"/>
          <w:i/>
          <w:iCs/>
          <w:sz w:val="16"/>
          <w:szCs w:val="16"/>
        </w:rPr>
        <w:t xml:space="preserve"> Podrobnější údaje o struktuře zaměstnaných mužů a žen jsou v přílo</w:t>
      </w:r>
      <w:r>
        <w:rPr>
          <w:rFonts w:ascii="Arial" w:hAnsi="Arial" w:cs="Arial"/>
          <w:i/>
          <w:iCs/>
          <w:sz w:val="16"/>
          <w:szCs w:val="16"/>
        </w:rPr>
        <w:t>hách</w:t>
      </w:r>
      <w:r w:rsidRPr="00F675C4">
        <w:rPr>
          <w:rFonts w:ascii="Arial" w:hAnsi="Arial" w:cs="Arial"/>
          <w:i/>
          <w:iCs/>
          <w:sz w:val="16"/>
          <w:szCs w:val="16"/>
        </w:rPr>
        <w:t xml:space="preserve"> č. 4</w:t>
      </w:r>
      <w:r>
        <w:rPr>
          <w:rFonts w:ascii="Arial" w:hAnsi="Arial" w:cs="Arial"/>
          <w:i/>
          <w:iCs/>
          <w:sz w:val="16"/>
          <w:szCs w:val="16"/>
        </w:rPr>
        <w:t>a, b, c.</w:t>
      </w:r>
    </w:p>
  </w:footnote>
  <w:footnote w:id="3">
    <w:p w:rsidR="00534F57" w:rsidRPr="00E73332" w:rsidRDefault="00534F57" w:rsidP="00E73332">
      <w:pPr>
        <w:pStyle w:val="Nadpis1"/>
        <w:numPr>
          <w:ilvl w:val="0"/>
          <w:numId w:val="0"/>
        </w:numPr>
        <w:jc w:val="both"/>
        <w:rPr>
          <w:sz w:val="16"/>
          <w:szCs w:val="16"/>
        </w:rPr>
      </w:pPr>
      <w:r w:rsidRPr="00F11552">
        <w:rPr>
          <w:rStyle w:val="Znakapoznpodarou"/>
          <w:b w:val="0"/>
          <w:i/>
          <w:sz w:val="18"/>
          <w:szCs w:val="18"/>
        </w:rPr>
        <w:footnoteRef/>
      </w:r>
      <w:r w:rsidRPr="00F11552">
        <w:t xml:space="preserve"> </w:t>
      </w:r>
      <w:r w:rsidRPr="00E73332">
        <w:rPr>
          <w:b w:val="0"/>
          <w:i/>
          <w:sz w:val="16"/>
          <w:szCs w:val="16"/>
        </w:rPr>
        <w:t>Zákonem č. 217/2009 Sb., kterým se mění zákon č. 182/2006 Sb., o úpadku a způsobech jeho řešení (insolvenční zákon), ve znění pozdějších předpisů, byl novelizován zákon č. 118/2000 Sb. novou úpravou rozhodného období (výhodnější pro zaměstnance), za které zaměstnanci mohli uplatnit mzdové nároky a zároveň mohli dodatečně uplatnit mzdové nároky za 2. pololetí 2008, které v roce 2008 nemohli uplatnit z důvodu tehdy platného znění zákona č. 118/2000 Sb.</w:t>
      </w:r>
    </w:p>
    <w:p w:rsidR="00534F57" w:rsidRDefault="00534F57" w:rsidP="00BC19AE">
      <w:pPr>
        <w:pStyle w:val="Textpoznpodarou"/>
      </w:pPr>
    </w:p>
  </w:footnote>
  <w:footnote w:id="4">
    <w:p w:rsidR="00534F57" w:rsidRPr="00F675C4" w:rsidRDefault="00534F57" w:rsidP="00973AD8">
      <w:pPr>
        <w:pStyle w:val="Textpoznpodarou"/>
        <w:jc w:val="both"/>
        <w:rPr>
          <w:rFonts w:ascii="Arial" w:hAnsi="Arial" w:cs="Arial"/>
          <w:i/>
          <w:sz w:val="16"/>
          <w:szCs w:val="16"/>
        </w:rPr>
      </w:pPr>
      <w:r>
        <w:rPr>
          <w:rStyle w:val="Znakapoznpodarou"/>
        </w:rPr>
        <w:footnoteRef/>
      </w:r>
      <w:r>
        <w:t xml:space="preserve"> </w:t>
      </w:r>
      <w:r w:rsidRPr="00F675C4">
        <w:rPr>
          <w:rFonts w:ascii="Arial" w:hAnsi="Arial" w:cs="Arial"/>
          <w:b/>
          <w:i/>
          <w:sz w:val="16"/>
          <w:szCs w:val="16"/>
        </w:rPr>
        <w:t xml:space="preserve">Podíl nezaměstnaných osob, </w:t>
      </w:r>
      <w:r w:rsidRPr="00F675C4">
        <w:rPr>
          <w:rFonts w:ascii="Arial" w:hAnsi="Arial" w:cs="Arial"/>
          <w:i/>
          <w:sz w:val="16"/>
          <w:szCs w:val="16"/>
        </w:rPr>
        <w:t>tj. počet dosažitelných uchazečů o zaměstnání ve věku 15 – 64 let k obyvatelstvu stejného věku, počínaje lednem 2013 nahradil míru registrované nezaměstnanosti, viz Metodické poznámky; důvody změny ukazatele a</w:t>
      </w:r>
      <w:r>
        <w:rPr>
          <w:rFonts w:ascii="Arial" w:hAnsi="Arial" w:cs="Arial"/>
          <w:i/>
          <w:sz w:val="16"/>
          <w:szCs w:val="16"/>
        </w:rPr>
        <w:t> </w:t>
      </w:r>
      <w:r w:rsidRPr="00F675C4">
        <w:rPr>
          <w:rFonts w:ascii="Arial" w:hAnsi="Arial" w:cs="Arial"/>
          <w:i/>
          <w:sz w:val="16"/>
          <w:szCs w:val="16"/>
        </w:rPr>
        <w:t xml:space="preserve">zpětně spočtená časová řada od roku 2005 je na adrese </w:t>
      </w:r>
      <w:hyperlink r:id="rId1" w:history="1">
        <w:r w:rsidRPr="00F675C4">
          <w:rPr>
            <w:rStyle w:val="Hypertextovodkaz"/>
            <w:rFonts w:ascii="Arial" w:hAnsi="Arial" w:cs="Arial"/>
            <w:i/>
            <w:sz w:val="16"/>
            <w:szCs w:val="16"/>
          </w:rPr>
          <w:t>http://portal.mpsv.cz/sz/stat/nz/zmena_metodiky</w:t>
        </w:r>
      </w:hyperlink>
      <w:r w:rsidRPr="00F675C4">
        <w:rPr>
          <w:rFonts w:ascii="Arial" w:hAnsi="Arial" w:cs="Arial"/>
          <w:i/>
          <w:sz w:val="16"/>
          <w:szCs w:val="16"/>
        </w:rPr>
        <w:t xml:space="preserve"> </w:t>
      </w:r>
    </w:p>
  </w:footnote>
  <w:footnote w:id="5">
    <w:p w:rsidR="00534F57" w:rsidRPr="00F675C4" w:rsidRDefault="00534F57" w:rsidP="00D7632D">
      <w:pPr>
        <w:pStyle w:val="Textpoznpodarou"/>
        <w:jc w:val="both"/>
        <w:rPr>
          <w:rFonts w:ascii="Arial" w:hAnsi="Arial" w:cs="Arial"/>
          <w:sz w:val="16"/>
          <w:szCs w:val="16"/>
        </w:rPr>
      </w:pPr>
      <w:r>
        <w:rPr>
          <w:rStyle w:val="Znakapoznpodarou"/>
        </w:rPr>
        <w:footnoteRef/>
      </w:r>
      <w:r>
        <w:t xml:space="preserve"> </w:t>
      </w:r>
      <w:r w:rsidRPr="00F675C4">
        <w:rPr>
          <w:rFonts w:ascii="Arial" w:hAnsi="Arial" w:cs="Arial"/>
          <w:bCs/>
          <w:i/>
          <w:sz w:val="16"/>
          <w:szCs w:val="16"/>
        </w:rPr>
        <w:t>např. odmítnutí nástupu vhodného zaměstnání, dohodnuté rekvalifikace, neposkytnutí součinnosti při vypracování individuálního akčního plánu, jeho neplnění, odmítnutí podrobit se vyšetření zdravotního stavu, maření součinnosti s krajskou pobočkou ÚP ČR (§30 (2),§31 zákona o zaměstnanosti).</w:t>
      </w:r>
    </w:p>
  </w:footnote>
  <w:footnote w:id="6">
    <w:p w:rsidR="00534F57" w:rsidRPr="00F675C4" w:rsidRDefault="00534F57" w:rsidP="00D7632D">
      <w:pPr>
        <w:pStyle w:val="Textpoznpodarou"/>
        <w:jc w:val="both"/>
        <w:rPr>
          <w:rFonts w:ascii="Arial" w:hAnsi="Arial" w:cs="Arial"/>
          <w:i/>
          <w:iCs/>
          <w:sz w:val="16"/>
          <w:szCs w:val="16"/>
        </w:rPr>
      </w:pPr>
      <w:r w:rsidRPr="007B5FF9">
        <w:rPr>
          <w:rStyle w:val="Znakapoznpodarou"/>
        </w:rPr>
        <w:footnoteRef/>
      </w:r>
      <w:r w:rsidRPr="00F675C4">
        <w:rPr>
          <w:rFonts w:ascii="Arial" w:hAnsi="Arial" w:cs="Arial"/>
          <w:i/>
          <w:sz w:val="16"/>
          <w:szCs w:val="16"/>
        </w:rPr>
        <w:t xml:space="preserve"> </w:t>
      </w:r>
      <w:r w:rsidRPr="00F675C4">
        <w:rPr>
          <w:rFonts w:ascii="Arial" w:hAnsi="Arial" w:cs="Arial"/>
          <w:i/>
          <w:iCs/>
          <w:sz w:val="16"/>
          <w:szCs w:val="16"/>
        </w:rPr>
        <w:t>tj. uchazeči o zaměstnání, kteří písemně požádali o ukončení evidence na ÚP ČR (např. z důvodu nástupu na rodičovskou dovolenou nebo odchodu do důchodu), vyřazení z důvodu nástupu na soustavnou přípravu na povolání, vykonávající nelegální práci, ve vazbě po dobu delší než 6 měsíců nebo nastoupili výkon trestu odnětí svobody, stali se plně invalidními podle § 39 odst. 1 písm. a) zákona č. 155/1995 Sb., o důchodovém pojištění, písemně požádali o ukončení evidence na ÚP ČR, změnili trvalé bydliště, dále přirozený úbytek, apod.</w:t>
      </w:r>
    </w:p>
  </w:footnote>
  <w:footnote w:id="7">
    <w:p w:rsidR="00534F57" w:rsidRPr="0046460A" w:rsidRDefault="00534F57" w:rsidP="00115440">
      <w:pPr>
        <w:jc w:val="both"/>
        <w:rPr>
          <w:rFonts w:ascii="Arial" w:hAnsi="Arial" w:cs="Arial"/>
          <w:i/>
          <w:sz w:val="16"/>
          <w:szCs w:val="16"/>
        </w:rPr>
      </w:pPr>
      <w:r w:rsidRPr="003507D5">
        <w:rPr>
          <w:rStyle w:val="Znakapoznpodarou"/>
          <w:sz w:val="20"/>
          <w:szCs w:val="20"/>
        </w:rPr>
        <w:footnoteRef/>
      </w:r>
      <w:r w:rsidRPr="003507D5">
        <w:rPr>
          <w:sz w:val="20"/>
          <w:szCs w:val="20"/>
        </w:rPr>
        <w:t xml:space="preserve"> </w:t>
      </w:r>
      <w:r>
        <w:rPr>
          <w:sz w:val="20"/>
          <w:szCs w:val="20"/>
        </w:rPr>
        <w:t>z</w:t>
      </w:r>
      <w:r w:rsidRPr="0046460A">
        <w:rPr>
          <w:rFonts w:ascii="Arial" w:hAnsi="Arial" w:cs="Arial"/>
          <w:i/>
          <w:sz w:val="16"/>
          <w:szCs w:val="16"/>
        </w:rPr>
        <w:t>av</w:t>
      </w:r>
      <w:r>
        <w:rPr>
          <w:rFonts w:ascii="Arial" w:hAnsi="Arial" w:cs="Arial"/>
          <w:i/>
          <w:sz w:val="16"/>
          <w:szCs w:val="16"/>
        </w:rPr>
        <w:t xml:space="preserve">edení </w:t>
      </w:r>
      <w:r w:rsidRPr="0046460A">
        <w:rPr>
          <w:rFonts w:ascii="Arial" w:hAnsi="Arial" w:cs="Arial"/>
          <w:i/>
          <w:sz w:val="16"/>
          <w:szCs w:val="16"/>
        </w:rPr>
        <w:t>institut</w:t>
      </w:r>
      <w:r>
        <w:rPr>
          <w:rFonts w:ascii="Arial" w:hAnsi="Arial" w:cs="Arial"/>
          <w:i/>
          <w:sz w:val="16"/>
          <w:szCs w:val="16"/>
        </w:rPr>
        <w:t>u</w:t>
      </w:r>
      <w:r w:rsidRPr="0046460A">
        <w:rPr>
          <w:rFonts w:ascii="Arial" w:hAnsi="Arial" w:cs="Arial"/>
          <w:i/>
          <w:sz w:val="16"/>
          <w:szCs w:val="16"/>
        </w:rPr>
        <w:t xml:space="preserve"> peněžité kauce jako jedn</w:t>
      </w:r>
      <w:r>
        <w:rPr>
          <w:rFonts w:ascii="Arial" w:hAnsi="Arial" w:cs="Arial"/>
          <w:i/>
          <w:sz w:val="16"/>
          <w:szCs w:val="16"/>
        </w:rPr>
        <w:t>é</w:t>
      </w:r>
      <w:r w:rsidRPr="0046460A">
        <w:rPr>
          <w:rFonts w:ascii="Arial" w:hAnsi="Arial" w:cs="Arial"/>
          <w:i/>
          <w:sz w:val="16"/>
          <w:szCs w:val="16"/>
        </w:rPr>
        <w:t xml:space="preserve"> z podmínek udělení povolení ke zprostředkování zaměstnání právnické či fyzické osobě žádající o povolení ke zprostředkování zaměstnání podle § 14 odst. 1 písm. </w:t>
      </w:r>
      <w:r>
        <w:rPr>
          <w:rFonts w:ascii="Arial" w:hAnsi="Arial" w:cs="Arial"/>
          <w:i/>
          <w:sz w:val="16"/>
          <w:szCs w:val="16"/>
        </w:rPr>
        <w:t>b</w:t>
      </w:r>
      <w:r w:rsidRPr="0046460A">
        <w:rPr>
          <w:rFonts w:ascii="Arial" w:hAnsi="Arial" w:cs="Arial"/>
          <w:i/>
          <w:sz w:val="16"/>
          <w:szCs w:val="16"/>
        </w:rPr>
        <w:t>) zákona o</w:t>
      </w:r>
      <w:r>
        <w:rPr>
          <w:rFonts w:ascii="Arial" w:hAnsi="Arial" w:cs="Arial"/>
          <w:i/>
          <w:sz w:val="16"/>
          <w:szCs w:val="16"/>
        </w:rPr>
        <w:t> </w:t>
      </w:r>
      <w:r w:rsidRPr="0046460A">
        <w:rPr>
          <w:rFonts w:ascii="Arial" w:hAnsi="Arial" w:cs="Arial"/>
          <w:i/>
          <w:sz w:val="16"/>
          <w:szCs w:val="16"/>
        </w:rPr>
        <w:t>zaměstnanosti (cílem je zajištění záruky úspěšné existence agentury práce a eliminace účelové</w:t>
      </w:r>
      <w:r>
        <w:rPr>
          <w:rFonts w:ascii="Arial" w:hAnsi="Arial" w:cs="Arial"/>
          <w:i/>
          <w:sz w:val="16"/>
          <w:szCs w:val="16"/>
        </w:rPr>
        <w:t>ho</w:t>
      </w:r>
      <w:r w:rsidRPr="0046460A">
        <w:rPr>
          <w:rFonts w:ascii="Arial" w:hAnsi="Arial" w:cs="Arial"/>
          <w:i/>
          <w:sz w:val="16"/>
          <w:szCs w:val="16"/>
        </w:rPr>
        <w:t xml:space="preserve"> zakládání agentur práce za účelem obcházení právních předpisů v oblasti zdravotního pojištění a sociálního zabezpečení), nové ustanovení § 307b</w:t>
      </w:r>
      <w:r>
        <w:rPr>
          <w:rFonts w:ascii="Arial" w:hAnsi="Arial" w:cs="Arial"/>
          <w:i/>
          <w:sz w:val="16"/>
          <w:szCs w:val="16"/>
        </w:rPr>
        <w:t xml:space="preserve"> do zákoníku práce</w:t>
      </w:r>
      <w:r w:rsidRPr="0046460A">
        <w:rPr>
          <w:rFonts w:ascii="Arial" w:hAnsi="Arial" w:cs="Arial"/>
          <w:i/>
          <w:sz w:val="16"/>
          <w:szCs w:val="16"/>
        </w:rPr>
        <w:t>, jehož cílem je zlepšení postavení agenturních zaměstnanců v důsledku zamezení zneužívání řetězení pracovněprávních vztahů agenturního zaměstnance při přidělení k témuž uživatel, a také oprávnění generálního ředitele ÚP ČR zřídit komisi pro udělování povolení ke zprostředkování zaměstnání jako poradní orgán k posouzení žádosti o povolení ke zprostředkování zaměstnání.</w:t>
      </w:r>
    </w:p>
  </w:footnote>
  <w:footnote w:id="8">
    <w:p w:rsidR="00534F57" w:rsidRPr="00224EA8" w:rsidRDefault="00534F57" w:rsidP="00115440">
      <w:pPr>
        <w:tabs>
          <w:tab w:val="left" w:pos="567"/>
        </w:tabs>
        <w:spacing w:line="276" w:lineRule="auto"/>
        <w:jc w:val="both"/>
        <w:rPr>
          <w:rFonts w:ascii="Arial" w:hAnsi="Arial" w:cs="Arial"/>
          <w:b/>
          <w:sz w:val="22"/>
          <w:szCs w:val="22"/>
        </w:rPr>
      </w:pPr>
      <w:r>
        <w:rPr>
          <w:rStyle w:val="Znakapoznpodarou"/>
        </w:rPr>
        <w:footnoteRef/>
      </w:r>
      <w:r>
        <w:t xml:space="preserve"> </w:t>
      </w:r>
      <w:r>
        <w:rPr>
          <w:rFonts w:ascii="Arial" w:hAnsi="Arial" w:cs="Arial"/>
          <w:b/>
          <w:i/>
          <w:sz w:val="16"/>
          <w:szCs w:val="16"/>
        </w:rPr>
        <w:t>Podíl nezaměstnaných osob</w:t>
      </w:r>
      <w:r w:rsidRPr="003C6488">
        <w:rPr>
          <w:rFonts w:ascii="Arial" w:hAnsi="Arial" w:cs="Arial"/>
          <w:i/>
          <w:sz w:val="16"/>
          <w:szCs w:val="16"/>
        </w:rPr>
        <w:t xml:space="preserve"> vztažený k obyvatelstvu lépe koresponduje s absolutními počty uchazečů o</w:t>
      </w:r>
      <w:r>
        <w:rPr>
          <w:rFonts w:ascii="Arial" w:hAnsi="Arial" w:cs="Arial"/>
          <w:i/>
          <w:sz w:val="16"/>
          <w:szCs w:val="16"/>
        </w:rPr>
        <w:t> </w:t>
      </w:r>
      <w:r w:rsidRPr="003C6488">
        <w:rPr>
          <w:rFonts w:ascii="Arial" w:hAnsi="Arial" w:cs="Arial"/>
          <w:i/>
          <w:sz w:val="16"/>
          <w:szCs w:val="16"/>
        </w:rPr>
        <w:t>zaměstnání, resp. jejich podíly na celkovém počtu uchazečů.</w:t>
      </w:r>
      <w:r w:rsidRPr="003C6488">
        <w:rPr>
          <w:rFonts w:ascii="Arial" w:hAnsi="Arial" w:cs="Arial"/>
          <w:b/>
          <w:sz w:val="16"/>
          <w:szCs w:val="16"/>
        </w:rPr>
        <w:t xml:space="preserve"> </w:t>
      </w:r>
      <w:r w:rsidRPr="003C6488">
        <w:rPr>
          <w:rFonts w:ascii="Arial" w:hAnsi="Arial" w:cs="Arial"/>
          <w:b/>
          <w:i/>
          <w:sz w:val="16"/>
          <w:szCs w:val="16"/>
        </w:rPr>
        <w:t>Původně</w:t>
      </w:r>
      <w:r w:rsidRPr="003C6488">
        <w:rPr>
          <w:rFonts w:ascii="Arial" w:hAnsi="Arial" w:cs="Arial"/>
          <w:i/>
          <w:sz w:val="16"/>
          <w:szCs w:val="16"/>
        </w:rPr>
        <w:t xml:space="preserve"> vykazované </w:t>
      </w:r>
      <w:r w:rsidRPr="003C6488">
        <w:rPr>
          <w:rFonts w:ascii="Arial" w:hAnsi="Arial" w:cs="Arial"/>
          <w:b/>
          <w:i/>
          <w:sz w:val="16"/>
          <w:szCs w:val="16"/>
        </w:rPr>
        <w:t>specifické míry nezaměstnanosti</w:t>
      </w:r>
      <w:r w:rsidRPr="003C6488">
        <w:rPr>
          <w:rFonts w:ascii="Arial" w:hAnsi="Arial" w:cs="Arial"/>
          <w:i/>
          <w:sz w:val="16"/>
          <w:szCs w:val="16"/>
        </w:rPr>
        <w:t xml:space="preserve"> poměřované k ekonomicky aktivnímu obyvatelstvu (pracovní síle) z příslušné věkové kategorie vykazovaly vysoce nadprůměrnou hodnotu tohoto ukazatele u mladších věkových kategorií (z důvodu nízkého počtu ekonomicky aktivních mladých lidí), naopak mírně snižovaly jeho hodnotu u uchazečů o zaměstnání vyšších věkových kategorií (vzhledem k jejich vysoké ekonomické aktivitě).</w:t>
      </w:r>
      <w:r w:rsidRPr="00224EA8">
        <w:rPr>
          <w:rFonts w:ascii="Arial" w:hAnsi="Arial" w:cs="Arial"/>
          <w:i/>
          <w:sz w:val="22"/>
          <w:szCs w:val="22"/>
        </w:rPr>
        <w:t xml:space="preserve"> </w:t>
      </w:r>
    </w:p>
    <w:p w:rsidR="00534F57" w:rsidRDefault="00534F57" w:rsidP="00115440">
      <w:pPr>
        <w:pStyle w:val="Textpoznpodarou"/>
      </w:pPr>
    </w:p>
  </w:footnote>
  <w:footnote w:id="9">
    <w:p w:rsidR="00534F57" w:rsidRPr="00B5138C" w:rsidRDefault="00534F57" w:rsidP="00DA25C6">
      <w:pPr>
        <w:pStyle w:val="Textpoznpodarou"/>
        <w:jc w:val="both"/>
        <w:rPr>
          <w:rFonts w:ascii="Arial" w:hAnsi="Arial" w:cs="Arial"/>
          <w:i/>
          <w:sz w:val="16"/>
          <w:szCs w:val="16"/>
        </w:rPr>
      </w:pPr>
      <w:r w:rsidRPr="00C350D4">
        <w:rPr>
          <w:rStyle w:val="Znakapoznpodarou"/>
        </w:rPr>
        <w:footnoteRef/>
      </w:r>
      <w:r w:rsidRPr="00C350D4">
        <w:t xml:space="preserve"> </w:t>
      </w:r>
      <w:r w:rsidRPr="00B5138C">
        <w:rPr>
          <w:rFonts w:ascii="Arial" w:hAnsi="Arial" w:cs="Arial"/>
          <w:i/>
          <w:sz w:val="16"/>
          <w:szCs w:val="16"/>
        </w:rPr>
        <w:t>Podrobné analýzy o uplatnění absolventů škol na trhu práce, o n</w:t>
      </w:r>
      <w:r w:rsidRPr="00B5138C">
        <w:rPr>
          <w:rFonts w:ascii="Arial" w:hAnsi="Arial" w:cs="Arial"/>
          <w:bCs/>
          <w:i/>
          <w:sz w:val="16"/>
          <w:szCs w:val="16"/>
        </w:rPr>
        <w:t>abídkách volných pracovních míst pro absolventy škol a</w:t>
      </w:r>
      <w:r>
        <w:rPr>
          <w:rFonts w:ascii="Arial" w:hAnsi="Arial" w:cs="Arial"/>
          <w:bCs/>
          <w:i/>
          <w:sz w:val="16"/>
          <w:szCs w:val="16"/>
        </w:rPr>
        <w:t> </w:t>
      </w:r>
      <w:r w:rsidRPr="00B5138C">
        <w:rPr>
          <w:rFonts w:ascii="Arial" w:hAnsi="Arial" w:cs="Arial"/>
          <w:bCs/>
          <w:i/>
          <w:sz w:val="16"/>
          <w:szCs w:val="16"/>
        </w:rPr>
        <w:t>mladistvé a další provádí Národní ústav pro vzdělávání</w:t>
      </w:r>
      <w:r>
        <w:rPr>
          <w:rFonts w:ascii="Arial" w:hAnsi="Arial" w:cs="Arial"/>
          <w:bCs/>
          <w:i/>
          <w:sz w:val="16"/>
          <w:szCs w:val="16"/>
        </w:rPr>
        <w:t xml:space="preserve"> (NUV)</w:t>
      </w:r>
      <w:r w:rsidRPr="00B5138C">
        <w:rPr>
          <w:rFonts w:ascii="Arial" w:hAnsi="Arial" w:cs="Arial"/>
          <w:bCs/>
          <w:i/>
          <w:sz w:val="16"/>
          <w:szCs w:val="16"/>
        </w:rPr>
        <w:t xml:space="preserve"> </w:t>
      </w:r>
      <w:r>
        <w:rPr>
          <w:rFonts w:ascii="Arial" w:hAnsi="Arial" w:cs="Arial"/>
          <w:bCs/>
          <w:i/>
          <w:sz w:val="16"/>
          <w:szCs w:val="16"/>
        </w:rPr>
        <w:t xml:space="preserve">a zveřejňuje </w:t>
      </w:r>
      <w:r w:rsidRPr="00B5138C">
        <w:rPr>
          <w:rFonts w:ascii="Arial" w:hAnsi="Arial" w:cs="Arial"/>
          <w:bCs/>
          <w:i/>
          <w:sz w:val="16"/>
          <w:szCs w:val="16"/>
        </w:rPr>
        <w:t>na sv</w:t>
      </w:r>
      <w:r>
        <w:rPr>
          <w:rFonts w:ascii="Arial" w:hAnsi="Arial" w:cs="Arial"/>
          <w:bCs/>
          <w:i/>
          <w:sz w:val="16"/>
          <w:szCs w:val="16"/>
        </w:rPr>
        <w:t>é</w:t>
      </w:r>
      <w:r w:rsidRPr="00B5138C">
        <w:rPr>
          <w:rFonts w:ascii="Arial" w:hAnsi="Arial" w:cs="Arial"/>
          <w:bCs/>
          <w:i/>
          <w:sz w:val="16"/>
          <w:szCs w:val="16"/>
        </w:rPr>
        <w:t xml:space="preserve"> strán</w:t>
      </w:r>
      <w:r>
        <w:rPr>
          <w:rFonts w:ascii="Arial" w:hAnsi="Arial" w:cs="Arial"/>
          <w:bCs/>
          <w:i/>
          <w:sz w:val="16"/>
          <w:szCs w:val="16"/>
        </w:rPr>
        <w:t xml:space="preserve">ce </w:t>
      </w:r>
      <w:hyperlink r:id="rId2" w:history="1">
        <w:r w:rsidRPr="00B5138C">
          <w:rPr>
            <w:rStyle w:val="Hypertextovodkaz"/>
            <w:rFonts w:ascii="Arial" w:hAnsi="Arial" w:cs="Arial"/>
            <w:bCs/>
            <w:i/>
            <w:sz w:val="16"/>
            <w:szCs w:val="16"/>
          </w:rPr>
          <w:t>www.infoabsolvent.cz</w:t>
        </w:r>
      </w:hyperlink>
      <w:r w:rsidRPr="00B5138C">
        <w:rPr>
          <w:rFonts w:ascii="Arial" w:hAnsi="Arial" w:cs="Arial"/>
          <w:bCs/>
          <w:i/>
          <w:sz w:val="16"/>
          <w:szCs w:val="16"/>
        </w:rPr>
        <w:t xml:space="preserve"> </w:t>
      </w:r>
    </w:p>
  </w:footnote>
  <w:footnote w:id="10">
    <w:p w:rsidR="00534F57" w:rsidRDefault="00534F57" w:rsidP="00EE15EF">
      <w:pPr>
        <w:pStyle w:val="Textpoznpodarou"/>
      </w:pPr>
      <w:r>
        <w:rPr>
          <w:rStyle w:val="Znakapoznpodarou"/>
        </w:rPr>
        <w:footnoteRef/>
      </w:r>
      <w:r>
        <w:t xml:space="preserve"> Definice pravidla viz odkaz </w:t>
      </w:r>
      <w:hyperlink r:id="rId3" w:history="1">
        <w:r w:rsidRPr="001F7FC3">
          <w:rPr>
            <w:rStyle w:val="Hypertextovodkaz"/>
          </w:rPr>
          <w:t>http://www.strukturalni-fondy.cz/cs/Informace-a-dokumenty/slovnik-pojmu/P/Pravidlo-N-3</w:t>
        </w:r>
      </w:hyperlink>
    </w:p>
  </w:footnote>
  <w:footnote w:id="11">
    <w:p w:rsidR="00534F57" w:rsidRPr="00C87A53" w:rsidRDefault="00534F57" w:rsidP="00EE15EF">
      <w:pPr>
        <w:pStyle w:val="Textpoznpodarou"/>
        <w:jc w:val="both"/>
        <w:rPr>
          <w:rFonts w:ascii="Arial" w:hAnsi="Arial" w:cs="Arial"/>
          <w:i/>
          <w:sz w:val="16"/>
          <w:szCs w:val="16"/>
        </w:rPr>
      </w:pPr>
      <w:r w:rsidRPr="002259D3">
        <w:rPr>
          <w:rStyle w:val="Znakapoznpodarou"/>
        </w:rPr>
        <w:footnoteRef/>
      </w:r>
      <w:r w:rsidRPr="002259D3">
        <w:rPr>
          <w:rFonts w:ascii="Arial" w:hAnsi="Arial" w:cs="Arial"/>
        </w:rPr>
        <w:t xml:space="preserve"> </w:t>
      </w:r>
      <w:r w:rsidRPr="00C87A53">
        <w:rPr>
          <w:rFonts w:ascii="Arial" w:hAnsi="Arial" w:cs="Arial"/>
          <w:i/>
          <w:sz w:val="16"/>
          <w:szCs w:val="16"/>
        </w:rPr>
        <w:t xml:space="preserve">Výdaje na regionální individuální projekty (RIPy) se podle jednotlivých nástrojů APZ nesledují. </w:t>
      </w:r>
    </w:p>
  </w:footnote>
  <w:footnote w:id="12">
    <w:p w:rsidR="00534F57" w:rsidRPr="00005701" w:rsidRDefault="00534F57" w:rsidP="00D1548F">
      <w:pPr>
        <w:pStyle w:val="Textpoznpodarou"/>
        <w:rPr>
          <w:rFonts w:ascii="Arial" w:hAnsi="Arial" w:cs="Arial"/>
          <w:i/>
        </w:rPr>
      </w:pPr>
      <w:r>
        <w:rPr>
          <w:rStyle w:val="Znakapoznpodarou"/>
        </w:rPr>
        <w:footnoteRef/>
      </w:r>
      <w:r>
        <w:t xml:space="preserve"> </w:t>
      </w:r>
      <w:r w:rsidRPr="00005701">
        <w:rPr>
          <w:rFonts w:ascii="Arial" w:hAnsi="Arial" w:cs="Arial"/>
          <w:i/>
        </w:rPr>
        <w:t xml:space="preserve">Podrobné informace o </w:t>
      </w:r>
      <w:r w:rsidRPr="00005701">
        <w:rPr>
          <w:rFonts w:ascii="Arial" w:hAnsi="Arial" w:cs="Arial"/>
          <w:b/>
          <w:i/>
        </w:rPr>
        <w:t>OP Zaměstnanost</w:t>
      </w:r>
      <w:r w:rsidRPr="00005701">
        <w:rPr>
          <w:rFonts w:ascii="Arial" w:hAnsi="Arial" w:cs="Arial"/>
          <w:i/>
        </w:rPr>
        <w:t xml:space="preserve"> viz odkaz </w:t>
      </w:r>
      <w:hyperlink r:id="rId4" w:history="1">
        <w:r w:rsidRPr="00005701">
          <w:rPr>
            <w:rStyle w:val="Hypertextovodkaz"/>
            <w:rFonts w:ascii="Arial" w:hAnsi="Arial" w:cs="Arial"/>
            <w:i/>
          </w:rPr>
          <w:t>https://www.esfcr.cz/detail-clanku/-/asset_publisher/BBFAoaudKGfE/content/op-zamestnanost-2014-2020</w:t>
        </w:r>
      </w:hyperlink>
      <w:r w:rsidRPr="00005701">
        <w:rPr>
          <w:rFonts w:ascii="Arial" w:hAnsi="Arial" w:cs="Arial"/>
          <w:i/>
        </w:rPr>
        <w:t>.</w:t>
      </w:r>
    </w:p>
  </w:footnote>
  <w:footnote w:id="13">
    <w:p w:rsidR="00534F57" w:rsidRDefault="00534F57" w:rsidP="00EE15EF">
      <w:pPr>
        <w:pStyle w:val="Textpoznpodarou"/>
        <w:jc w:val="both"/>
        <w:rPr>
          <w:rFonts w:ascii="Arial" w:hAnsi="Arial" w:cs="Arial"/>
          <w:i/>
        </w:rPr>
      </w:pPr>
      <w:r>
        <w:rPr>
          <w:rStyle w:val="Znakapoznpodarou"/>
          <w:rFonts w:ascii="Arial" w:hAnsi="Arial" w:cs="Arial"/>
          <w:i/>
          <w:sz w:val="18"/>
          <w:szCs w:val="18"/>
        </w:rPr>
        <w:footnoteRef/>
      </w:r>
      <w:r>
        <w:rPr>
          <w:rFonts w:ascii="Arial" w:hAnsi="Arial" w:cs="Arial"/>
          <w:i/>
          <w:sz w:val="18"/>
          <w:szCs w:val="18"/>
        </w:rPr>
        <w:t xml:space="preserve"> Údaje EUROSTATu ze sekce Obyvatelstvo a sociální podmínky – převážně se jedná o data zpracovaná na základě primárních dat z LFSS jednotlivých členských zemí (Labour Force Sample Survey), viz </w:t>
      </w:r>
      <w:hyperlink r:id="rId5" w:history="1">
        <w:r w:rsidRPr="00D60E9D">
          <w:rPr>
            <w:rStyle w:val="Hypertextovodkaz"/>
            <w:rFonts w:ascii="Arial" w:hAnsi="Arial" w:cs="Arial"/>
            <w:i/>
            <w:sz w:val="18"/>
            <w:szCs w:val="18"/>
          </w:rPr>
          <w:t>http://ec.europa.eu/eurostat/data/database</w:t>
        </w:r>
      </w:hyperlink>
      <w:r w:rsidRPr="00D60E9D">
        <w:rPr>
          <w:rFonts w:ascii="Arial" w:hAnsi="Arial" w:cs="Arial"/>
          <w:i/>
          <w:sz w:val="18"/>
          <w:szCs w:val="18"/>
        </w:rPr>
        <w:t>.</w:t>
      </w:r>
    </w:p>
    <w:p w:rsidR="00534F57" w:rsidRDefault="00534F57" w:rsidP="00EE15EF">
      <w:pPr>
        <w:pStyle w:val="Textpoznpodarou"/>
        <w:jc w:val="both"/>
        <w:rPr>
          <w:rFonts w:ascii="Arial" w:hAnsi="Arial" w:cs="Arial"/>
          <w:i/>
          <w:sz w:val="18"/>
          <w:szCs w:val="18"/>
        </w:rPr>
      </w:pPr>
      <w:r>
        <w:rPr>
          <w:rFonts w:ascii="Arial" w:hAnsi="Arial" w:cs="Arial"/>
          <w:i/>
          <w:sz w:val="18"/>
          <w:szCs w:val="18"/>
        </w:rPr>
        <w:t>Ukazatele zpracovává EUROSTAT na základě primárních dat z LFS jednotlivých členských států EU tak, aby zabezpečovaly mezinárodní srovnání mezi jednotlivými členskými státy. Údaje za ČR v této části se proto mohou lišit od údajů z VŠPS ČSÚ použitých v analýze.</w:t>
      </w:r>
    </w:p>
  </w:footnote>
  <w:footnote w:id="14">
    <w:p w:rsidR="00534F57" w:rsidRPr="00D41E8F" w:rsidRDefault="00534F57" w:rsidP="00EE15EF">
      <w:pPr>
        <w:pStyle w:val="Textpoznpodarou"/>
        <w:rPr>
          <w:sz w:val="18"/>
          <w:szCs w:val="18"/>
        </w:rPr>
      </w:pPr>
      <w:r>
        <w:rPr>
          <w:rStyle w:val="Znakapoznpodarou"/>
        </w:rPr>
        <w:footnoteRef/>
      </w:r>
      <w:r>
        <w:t xml:space="preserve"> </w:t>
      </w:r>
      <w:r w:rsidRPr="008972B9">
        <w:rPr>
          <w:rFonts w:ascii="Arial" w:hAnsi="Arial" w:cs="Arial"/>
          <w:i/>
          <w:sz w:val="18"/>
          <w:szCs w:val="18"/>
        </w:rPr>
        <w:t>průměr h</w:t>
      </w:r>
      <w:r w:rsidRPr="00D41E8F">
        <w:rPr>
          <w:rFonts w:ascii="Arial" w:hAnsi="Arial" w:cs="Arial"/>
          <w:i/>
          <w:sz w:val="18"/>
          <w:szCs w:val="18"/>
        </w:rPr>
        <w:t>odnot za 1. - 4. čtvrtletí 2017</w:t>
      </w:r>
    </w:p>
  </w:footnote>
  <w:footnote w:id="15">
    <w:p w:rsidR="00534F57" w:rsidRPr="00813360" w:rsidRDefault="00534F57" w:rsidP="00EE15EF">
      <w:pPr>
        <w:pStyle w:val="Textpoznpodarou"/>
        <w:rPr>
          <w:rFonts w:ascii="Arial" w:hAnsi="Arial" w:cs="Arial"/>
          <w:i/>
          <w:sz w:val="18"/>
          <w:szCs w:val="18"/>
        </w:rPr>
      </w:pPr>
      <w:r w:rsidRPr="00813360">
        <w:rPr>
          <w:rStyle w:val="Znakapoznpodarou"/>
          <w:rFonts w:ascii="Arial" w:hAnsi="Arial" w:cs="Arial"/>
          <w:i/>
          <w:sz w:val="18"/>
          <w:szCs w:val="18"/>
        </w:rPr>
        <w:footnoteRef/>
      </w:r>
      <w:r w:rsidRPr="00813360">
        <w:rPr>
          <w:rFonts w:ascii="Arial" w:hAnsi="Arial" w:cs="Arial"/>
          <w:i/>
          <w:sz w:val="18"/>
          <w:szCs w:val="18"/>
        </w:rPr>
        <w:t xml:space="preserve"> </w:t>
      </w:r>
      <w:r>
        <w:rPr>
          <w:rFonts w:ascii="Arial" w:hAnsi="Arial" w:cs="Arial"/>
          <w:i/>
          <w:sz w:val="18"/>
          <w:szCs w:val="18"/>
        </w:rPr>
        <w:t>p</w:t>
      </w:r>
      <w:r w:rsidRPr="00813360">
        <w:rPr>
          <w:rFonts w:ascii="Arial" w:hAnsi="Arial" w:cs="Arial"/>
          <w:i/>
          <w:sz w:val="18"/>
          <w:szCs w:val="18"/>
        </w:rPr>
        <w:t>růměr na 1. - 4. čtvrtletí 2017</w:t>
      </w:r>
    </w:p>
  </w:footnote>
  <w:footnote w:id="16">
    <w:p w:rsidR="00534F57" w:rsidRPr="00813360" w:rsidRDefault="00534F57" w:rsidP="00EE15EF">
      <w:pPr>
        <w:pStyle w:val="Textpoznpodarou"/>
        <w:rPr>
          <w:rFonts w:ascii="Arial" w:hAnsi="Arial" w:cs="Arial"/>
          <w:i/>
          <w:sz w:val="18"/>
          <w:szCs w:val="18"/>
        </w:rPr>
      </w:pPr>
      <w:r w:rsidRPr="00813360">
        <w:rPr>
          <w:rStyle w:val="Znakapoznpodarou"/>
          <w:rFonts w:ascii="Arial" w:hAnsi="Arial" w:cs="Arial"/>
          <w:i/>
          <w:sz w:val="18"/>
          <w:szCs w:val="18"/>
        </w:rPr>
        <w:footnoteRef/>
      </w:r>
      <w:r w:rsidRPr="00813360">
        <w:rPr>
          <w:rFonts w:ascii="Arial" w:hAnsi="Arial" w:cs="Arial"/>
          <w:i/>
          <w:sz w:val="18"/>
          <w:szCs w:val="18"/>
        </w:rPr>
        <w:t xml:space="preserve"> </w:t>
      </w:r>
      <w:r>
        <w:rPr>
          <w:rFonts w:ascii="Arial" w:hAnsi="Arial" w:cs="Arial"/>
          <w:i/>
          <w:sz w:val="18"/>
          <w:szCs w:val="18"/>
        </w:rPr>
        <w:t>p</w:t>
      </w:r>
      <w:r w:rsidRPr="00813360">
        <w:rPr>
          <w:rFonts w:ascii="Arial" w:hAnsi="Arial" w:cs="Arial"/>
          <w:i/>
          <w:sz w:val="18"/>
          <w:szCs w:val="18"/>
        </w:rPr>
        <w:t>růměr na 1. - 4. čtvrtletí 2017</w:t>
      </w:r>
    </w:p>
  </w:footnote>
  <w:footnote w:id="17">
    <w:p w:rsidR="00534F57" w:rsidRPr="000321D8" w:rsidRDefault="00534F57" w:rsidP="00B83160">
      <w:pPr>
        <w:pStyle w:val="Textpoznpodarou"/>
        <w:jc w:val="both"/>
        <w:rPr>
          <w:rFonts w:ascii="Arial" w:hAnsi="Arial" w:cs="Arial"/>
          <w:sz w:val="18"/>
          <w:szCs w:val="18"/>
        </w:rPr>
      </w:pPr>
      <w:r w:rsidRPr="000321D8">
        <w:rPr>
          <w:rStyle w:val="Znakapoznpodarou"/>
        </w:rPr>
        <w:footnoteRef/>
      </w:r>
      <w:r w:rsidRPr="000321D8">
        <w:t xml:space="preserve"> </w:t>
      </w:r>
      <w:r w:rsidRPr="000321D8">
        <w:rPr>
          <w:rFonts w:ascii="Arial" w:hAnsi="Arial" w:cs="Arial"/>
          <w:i/>
          <w:sz w:val="18"/>
          <w:szCs w:val="18"/>
        </w:rPr>
        <w:t>V materiálu „Zpráva o inflaci I/2018“ ČNB uvádí hodnoty za jednotlivá čtvrtletí let 2018 a 2019, predikce růstu zaměstnanosti ČNB na roky 2018 a 2019 je odhadnuta na základě průměru čtvrtletí daného roku.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9A1"/>
    <w:multiLevelType w:val="hybridMultilevel"/>
    <w:tmpl w:val="F0442302"/>
    <w:lvl w:ilvl="0" w:tplc="A8705578">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nsid w:val="01E728B9"/>
    <w:multiLevelType w:val="hybridMultilevel"/>
    <w:tmpl w:val="033C755C"/>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
    <w:nsid w:val="06812E42"/>
    <w:multiLevelType w:val="hybridMultilevel"/>
    <w:tmpl w:val="B75CDEF8"/>
    <w:lvl w:ilvl="0" w:tplc="A8705578">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nsid w:val="0ACF4F65"/>
    <w:multiLevelType w:val="hybridMultilevel"/>
    <w:tmpl w:val="48FA3630"/>
    <w:lvl w:ilvl="0" w:tplc="A870557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2C6743"/>
    <w:multiLevelType w:val="hybridMultilevel"/>
    <w:tmpl w:val="9A32D8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88F4BF7"/>
    <w:multiLevelType w:val="hybridMultilevel"/>
    <w:tmpl w:val="291CA5DA"/>
    <w:lvl w:ilvl="0" w:tplc="313C0FAA">
      <w:start w:val="1"/>
      <w:numFmt w:val="upperRoman"/>
      <w:lvlText w:val="%1."/>
      <w:lvlJc w:val="left"/>
      <w:pPr>
        <w:tabs>
          <w:tab w:val="num" w:pos="1117"/>
        </w:tabs>
        <w:ind w:left="737"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20080FBC"/>
    <w:multiLevelType w:val="multilevel"/>
    <w:tmpl w:val="FB6C1808"/>
    <w:lvl w:ilvl="0">
      <w:start w:val="1"/>
      <w:numFmt w:val="decimal"/>
      <w:pStyle w:val="Nadpis5"/>
      <w:lvlText w:val="%1."/>
      <w:lvlJc w:val="left"/>
      <w:pPr>
        <w:tabs>
          <w:tab w:val="num" w:pos="1788"/>
        </w:tabs>
        <w:ind w:left="1788" w:hanging="360"/>
      </w:pPr>
    </w:lvl>
    <w:lvl w:ilvl="1">
      <w:start w:val="1"/>
      <w:numFmt w:val="decimal"/>
      <w:lvlText w:val="%2."/>
      <w:lvlJc w:val="left"/>
      <w:pPr>
        <w:tabs>
          <w:tab w:val="num" w:pos="1788"/>
        </w:tabs>
        <w:ind w:left="1428"/>
      </w:pPr>
    </w:lvl>
    <w:lvl w:ilvl="2">
      <w:start w:val="1"/>
      <w:numFmt w:val="decimal"/>
      <w:lvlText w:val="%3."/>
      <w:lvlJc w:val="left"/>
      <w:pPr>
        <w:tabs>
          <w:tab w:val="num" w:pos="2508"/>
        </w:tabs>
        <w:ind w:left="2148"/>
      </w:pPr>
    </w:lvl>
    <w:lvl w:ilvl="3">
      <w:start w:val="1"/>
      <w:numFmt w:val="lowerLetter"/>
      <w:lvlText w:val="%4)"/>
      <w:lvlJc w:val="left"/>
      <w:pPr>
        <w:tabs>
          <w:tab w:val="num" w:pos="3228"/>
        </w:tabs>
        <w:ind w:left="2868"/>
      </w:pPr>
    </w:lvl>
    <w:lvl w:ilvl="4">
      <w:start w:val="1"/>
      <w:numFmt w:val="decimal"/>
      <w:lvlText w:val="(%5)"/>
      <w:lvlJc w:val="left"/>
      <w:pPr>
        <w:tabs>
          <w:tab w:val="num" w:pos="3948"/>
        </w:tabs>
        <w:ind w:left="3588"/>
      </w:pPr>
    </w:lvl>
    <w:lvl w:ilvl="5">
      <w:start w:val="1"/>
      <w:numFmt w:val="lowerLetter"/>
      <w:pStyle w:val="Nadpis6"/>
      <w:lvlText w:val="(%6)"/>
      <w:lvlJc w:val="left"/>
      <w:pPr>
        <w:tabs>
          <w:tab w:val="num" w:pos="4668"/>
        </w:tabs>
        <w:ind w:left="4308"/>
      </w:pPr>
    </w:lvl>
    <w:lvl w:ilvl="6">
      <w:start w:val="1"/>
      <w:numFmt w:val="lowerRoman"/>
      <w:pStyle w:val="Nadpis7"/>
      <w:lvlText w:val="(%7)"/>
      <w:lvlJc w:val="left"/>
      <w:pPr>
        <w:tabs>
          <w:tab w:val="num" w:pos="5388"/>
        </w:tabs>
        <w:ind w:left="5028"/>
      </w:pPr>
    </w:lvl>
    <w:lvl w:ilvl="7">
      <w:start w:val="1"/>
      <w:numFmt w:val="lowerLetter"/>
      <w:pStyle w:val="Nadpis8"/>
      <w:lvlText w:val="(%8)"/>
      <w:lvlJc w:val="left"/>
      <w:pPr>
        <w:tabs>
          <w:tab w:val="num" w:pos="6108"/>
        </w:tabs>
        <w:ind w:left="5748"/>
      </w:pPr>
    </w:lvl>
    <w:lvl w:ilvl="8">
      <w:start w:val="1"/>
      <w:numFmt w:val="lowerRoman"/>
      <w:pStyle w:val="Nadpis9"/>
      <w:lvlText w:val="(%9)"/>
      <w:lvlJc w:val="left"/>
      <w:pPr>
        <w:tabs>
          <w:tab w:val="num" w:pos="6828"/>
        </w:tabs>
        <w:ind w:left="6468"/>
      </w:pPr>
    </w:lvl>
  </w:abstractNum>
  <w:abstractNum w:abstractNumId="7">
    <w:nsid w:val="21CD74F9"/>
    <w:multiLevelType w:val="hybridMultilevel"/>
    <w:tmpl w:val="50F429BA"/>
    <w:lvl w:ilvl="0" w:tplc="04050001">
      <w:start w:val="1"/>
      <w:numFmt w:val="bullet"/>
      <w:lvlText w:val=""/>
      <w:lvlJc w:val="left"/>
      <w:pPr>
        <w:tabs>
          <w:tab w:val="num" w:pos="720"/>
        </w:tabs>
        <w:ind w:left="720" w:hanging="360"/>
      </w:pPr>
      <w:rPr>
        <w:rFonts w:ascii="Symbol" w:hAnsi="Symbol" w:hint="default"/>
      </w:rPr>
    </w:lvl>
    <w:lvl w:ilvl="1" w:tplc="4FD28200">
      <w:numFmt w:val="bullet"/>
      <w:lvlText w:val="-"/>
      <w:lvlJc w:val="left"/>
      <w:pPr>
        <w:tabs>
          <w:tab w:val="num" w:pos="1785"/>
        </w:tabs>
        <w:ind w:left="1785" w:hanging="705"/>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67B01ED"/>
    <w:multiLevelType w:val="hybridMultilevel"/>
    <w:tmpl w:val="B236587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9893794"/>
    <w:multiLevelType w:val="hybridMultilevel"/>
    <w:tmpl w:val="ABE4BBA4"/>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2EA944FD"/>
    <w:multiLevelType w:val="hybridMultilevel"/>
    <w:tmpl w:val="B18A776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0CA6169"/>
    <w:multiLevelType w:val="hybridMultilevel"/>
    <w:tmpl w:val="8A16D33A"/>
    <w:lvl w:ilvl="0" w:tplc="2716C234">
      <w:numFmt w:val="bullet"/>
      <w:lvlText w:val="-"/>
      <w:lvlJc w:val="left"/>
      <w:pPr>
        <w:ind w:left="426" w:hanging="360"/>
      </w:pPr>
      <w:rPr>
        <w:rFonts w:ascii="Arial" w:eastAsia="Times New Roman" w:hAnsi="Arial" w:cs="Arial" w:hint="default"/>
      </w:rPr>
    </w:lvl>
    <w:lvl w:ilvl="1" w:tplc="04050003" w:tentative="1">
      <w:start w:val="1"/>
      <w:numFmt w:val="bullet"/>
      <w:lvlText w:val="o"/>
      <w:lvlJc w:val="left"/>
      <w:pPr>
        <w:ind w:left="1146" w:hanging="360"/>
      </w:pPr>
      <w:rPr>
        <w:rFonts w:ascii="Courier New" w:hAnsi="Courier New" w:cs="Courier New" w:hint="default"/>
      </w:rPr>
    </w:lvl>
    <w:lvl w:ilvl="2" w:tplc="04050005" w:tentative="1">
      <w:start w:val="1"/>
      <w:numFmt w:val="bullet"/>
      <w:lvlText w:val=""/>
      <w:lvlJc w:val="left"/>
      <w:pPr>
        <w:ind w:left="1866" w:hanging="360"/>
      </w:pPr>
      <w:rPr>
        <w:rFonts w:ascii="Wingdings" w:hAnsi="Wingdings" w:hint="default"/>
      </w:rPr>
    </w:lvl>
    <w:lvl w:ilvl="3" w:tplc="04050001" w:tentative="1">
      <w:start w:val="1"/>
      <w:numFmt w:val="bullet"/>
      <w:lvlText w:val=""/>
      <w:lvlJc w:val="left"/>
      <w:pPr>
        <w:ind w:left="2586" w:hanging="360"/>
      </w:pPr>
      <w:rPr>
        <w:rFonts w:ascii="Symbol" w:hAnsi="Symbol" w:hint="default"/>
      </w:rPr>
    </w:lvl>
    <w:lvl w:ilvl="4" w:tplc="04050003" w:tentative="1">
      <w:start w:val="1"/>
      <w:numFmt w:val="bullet"/>
      <w:lvlText w:val="o"/>
      <w:lvlJc w:val="left"/>
      <w:pPr>
        <w:ind w:left="3306" w:hanging="360"/>
      </w:pPr>
      <w:rPr>
        <w:rFonts w:ascii="Courier New" w:hAnsi="Courier New" w:cs="Courier New" w:hint="default"/>
      </w:rPr>
    </w:lvl>
    <w:lvl w:ilvl="5" w:tplc="04050005" w:tentative="1">
      <w:start w:val="1"/>
      <w:numFmt w:val="bullet"/>
      <w:lvlText w:val=""/>
      <w:lvlJc w:val="left"/>
      <w:pPr>
        <w:ind w:left="4026" w:hanging="360"/>
      </w:pPr>
      <w:rPr>
        <w:rFonts w:ascii="Wingdings" w:hAnsi="Wingdings" w:hint="default"/>
      </w:rPr>
    </w:lvl>
    <w:lvl w:ilvl="6" w:tplc="04050001" w:tentative="1">
      <w:start w:val="1"/>
      <w:numFmt w:val="bullet"/>
      <w:lvlText w:val=""/>
      <w:lvlJc w:val="left"/>
      <w:pPr>
        <w:ind w:left="4746" w:hanging="360"/>
      </w:pPr>
      <w:rPr>
        <w:rFonts w:ascii="Symbol" w:hAnsi="Symbol" w:hint="default"/>
      </w:rPr>
    </w:lvl>
    <w:lvl w:ilvl="7" w:tplc="04050003" w:tentative="1">
      <w:start w:val="1"/>
      <w:numFmt w:val="bullet"/>
      <w:lvlText w:val="o"/>
      <w:lvlJc w:val="left"/>
      <w:pPr>
        <w:ind w:left="5466" w:hanging="360"/>
      </w:pPr>
      <w:rPr>
        <w:rFonts w:ascii="Courier New" w:hAnsi="Courier New" w:cs="Courier New" w:hint="default"/>
      </w:rPr>
    </w:lvl>
    <w:lvl w:ilvl="8" w:tplc="04050005" w:tentative="1">
      <w:start w:val="1"/>
      <w:numFmt w:val="bullet"/>
      <w:lvlText w:val=""/>
      <w:lvlJc w:val="left"/>
      <w:pPr>
        <w:ind w:left="6186" w:hanging="360"/>
      </w:pPr>
      <w:rPr>
        <w:rFonts w:ascii="Wingdings" w:hAnsi="Wingdings" w:hint="default"/>
      </w:rPr>
    </w:lvl>
  </w:abstractNum>
  <w:abstractNum w:abstractNumId="12">
    <w:nsid w:val="352930B5"/>
    <w:multiLevelType w:val="hybridMultilevel"/>
    <w:tmpl w:val="34E6C974"/>
    <w:lvl w:ilvl="0" w:tplc="2716C2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4A5247"/>
    <w:multiLevelType w:val="hybridMultilevel"/>
    <w:tmpl w:val="6E646C7C"/>
    <w:lvl w:ilvl="0" w:tplc="A8705578">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4">
    <w:nsid w:val="380C6B99"/>
    <w:multiLevelType w:val="hybridMultilevel"/>
    <w:tmpl w:val="49FA6CDE"/>
    <w:lvl w:ilvl="0" w:tplc="A8705578">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nsid w:val="38277770"/>
    <w:multiLevelType w:val="hybridMultilevel"/>
    <w:tmpl w:val="C8726442"/>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3ADA0867"/>
    <w:multiLevelType w:val="hybridMultilevel"/>
    <w:tmpl w:val="30D4AF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DD84D93"/>
    <w:multiLevelType w:val="hybridMultilevel"/>
    <w:tmpl w:val="1F86BEAA"/>
    <w:lvl w:ilvl="0" w:tplc="EFAE99B2">
      <w:start w:val="1"/>
      <w:numFmt w:val="decimal"/>
      <w:pStyle w:val="Styl3"/>
      <w:lvlText w:val="%1."/>
      <w:lvlJc w:val="left"/>
      <w:pPr>
        <w:tabs>
          <w:tab w:val="num" w:pos="900"/>
        </w:tabs>
        <w:ind w:left="900" w:hanging="360"/>
      </w:pPr>
      <w:rPr>
        <w:b/>
      </w:rPr>
    </w:lvl>
    <w:lvl w:ilvl="1" w:tplc="04050019">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45C4BB1"/>
    <w:multiLevelType w:val="hybridMultilevel"/>
    <w:tmpl w:val="C53AEB58"/>
    <w:lvl w:ilvl="0" w:tplc="0540DCE4">
      <w:start w:val="1"/>
      <w:numFmt w:val="upperRoman"/>
      <w:lvlText w:val="%1."/>
      <w:lvlJc w:val="left"/>
      <w:pPr>
        <w:tabs>
          <w:tab w:val="num" w:pos="1117"/>
        </w:tabs>
        <w:ind w:left="737" w:hanging="340"/>
      </w:pPr>
      <w:rPr>
        <w:rFonts w:hint="default"/>
      </w:rPr>
    </w:lvl>
    <w:lvl w:ilvl="1" w:tplc="04050003">
      <w:start w:val="1"/>
      <w:numFmt w:val="bullet"/>
      <w:lvlText w:val=""/>
      <w:lvlJc w:val="left"/>
      <w:pPr>
        <w:tabs>
          <w:tab w:val="num" w:pos="1440"/>
        </w:tabs>
        <w:ind w:left="1440" w:hanging="360"/>
      </w:pPr>
      <w:rPr>
        <w:rFonts w:ascii="Symbol" w:hAnsi="Symbol" w:hint="default"/>
      </w:rPr>
    </w:lvl>
    <w:lvl w:ilvl="2" w:tplc="17D47CB8">
      <w:start w:val="9"/>
      <w:numFmt w:val="bullet"/>
      <w:lvlText w:val="-"/>
      <w:lvlJc w:val="left"/>
      <w:pPr>
        <w:ind w:left="2340" w:hanging="360"/>
      </w:pPr>
      <w:rPr>
        <w:rFonts w:ascii="Arial" w:eastAsia="Times New Roman" w:hAnsi="Arial" w:cs="Arial"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nsid w:val="46155AD3"/>
    <w:multiLevelType w:val="hybridMultilevel"/>
    <w:tmpl w:val="4F027EA6"/>
    <w:lvl w:ilvl="0" w:tplc="04050005">
      <w:start w:val="1"/>
      <w:numFmt w:val="bullet"/>
      <w:lvlText w:val=""/>
      <w:lvlJc w:val="left"/>
      <w:pPr>
        <w:tabs>
          <w:tab w:val="num" w:pos="720"/>
        </w:tabs>
        <w:ind w:left="720" w:hanging="360"/>
      </w:pPr>
      <w:rPr>
        <w:rFonts w:ascii="Wingdings" w:hAnsi="Wingding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B26426F"/>
    <w:multiLevelType w:val="hybridMultilevel"/>
    <w:tmpl w:val="AB58DCC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1">
    <w:nsid w:val="5048312D"/>
    <w:multiLevelType w:val="hybridMultilevel"/>
    <w:tmpl w:val="D0DC0876"/>
    <w:lvl w:ilvl="0" w:tplc="49A48980">
      <w:start w:val="1"/>
      <w:numFmt w:val="decimal"/>
      <w:lvlText w:val="%1."/>
      <w:lvlJc w:val="left"/>
      <w:pPr>
        <w:tabs>
          <w:tab w:val="num" w:pos="2868"/>
        </w:tabs>
        <w:ind w:left="2868" w:hanging="360"/>
      </w:pPr>
      <w:rPr>
        <w:rFonts w:hint="default"/>
      </w:rPr>
    </w:lvl>
    <w:lvl w:ilvl="1" w:tplc="C4DEF6A4" w:tentative="1">
      <w:start w:val="1"/>
      <w:numFmt w:val="lowerLetter"/>
      <w:lvlText w:val="%2."/>
      <w:lvlJc w:val="left"/>
      <w:pPr>
        <w:tabs>
          <w:tab w:val="num" w:pos="2508"/>
        </w:tabs>
        <w:ind w:left="2508" w:hanging="360"/>
      </w:pPr>
    </w:lvl>
    <w:lvl w:ilvl="2" w:tplc="0405001B" w:tentative="1">
      <w:start w:val="1"/>
      <w:numFmt w:val="lowerRoman"/>
      <w:lvlText w:val="%3."/>
      <w:lvlJc w:val="right"/>
      <w:pPr>
        <w:tabs>
          <w:tab w:val="num" w:pos="3228"/>
        </w:tabs>
        <w:ind w:left="3228" w:hanging="180"/>
      </w:pPr>
    </w:lvl>
    <w:lvl w:ilvl="3" w:tplc="0405000F" w:tentative="1">
      <w:start w:val="1"/>
      <w:numFmt w:val="decimal"/>
      <w:lvlText w:val="%4."/>
      <w:lvlJc w:val="left"/>
      <w:pPr>
        <w:tabs>
          <w:tab w:val="num" w:pos="3948"/>
        </w:tabs>
        <w:ind w:left="3948" w:hanging="360"/>
      </w:pPr>
    </w:lvl>
    <w:lvl w:ilvl="4" w:tplc="04050019" w:tentative="1">
      <w:start w:val="1"/>
      <w:numFmt w:val="lowerLetter"/>
      <w:lvlText w:val="%5."/>
      <w:lvlJc w:val="left"/>
      <w:pPr>
        <w:tabs>
          <w:tab w:val="num" w:pos="4668"/>
        </w:tabs>
        <w:ind w:left="4668" w:hanging="360"/>
      </w:pPr>
    </w:lvl>
    <w:lvl w:ilvl="5" w:tplc="0405001B" w:tentative="1">
      <w:start w:val="1"/>
      <w:numFmt w:val="lowerRoman"/>
      <w:lvlText w:val="%6."/>
      <w:lvlJc w:val="right"/>
      <w:pPr>
        <w:tabs>
          <w:tab w:val="num" w:pos="5388"/>
        </w:tabs>
        <w:ind w:left="5388" w:hanging="180"/>
      </w:pPr>
    </w:lvl>
    <w:lvl w:ilvl="6" w:tplc="0405000F" w:tentative="1">
      <w:start w:val="1"/>
      <w:numFmt w:val="decimal"/>
      <w:lvlText w:val="%7."/>
      <w:lvlJc w:val="left"/>
      <w:pPr>
        <w:tabs>
          <w:tab w:val="num" w:pos="6108"/>
        </w:tabs>
        <w:ind w:left="6108" w:hanging="360"/>
      </w:pPr>
    </w:lvl>
    <w:lvl w:ilvl="7" w:tplc="04050019" w:tentative="1">
      <w:start w:val="1"/>
      <w:numFmt w:val="lowerLetter"/>
      <w:lvlText w:val="%8."/>
      <w:lvlJc w:val="left"/>
      <w:pPr>
        <w:tabs>
          <w:tab w:val="num" w:pos="6828"/>
        </w:tabs>
        <w:ind w:left="6828" w:hanging="360"/>
      </w:pPr>
    </w:lvl>
    <w:lvl w:ilvl="8" w:tplc="0405001B" w:tentative="1">
      <w:start w:val="1"/>
      <w:numFmt w:val="lowerRoman"/>
      <w:lvlText w:val="%9."/>
      <w:lvlJc w:val="right"/>
      <w:pPr>
        <w:tabs>
          <w:tab w:val="num" w:pos="7548"/>
        </w:tabs>
        <w:ind w:left="7548" w:hanging="180"/>
      </w:pPr>
    </w:lvl>
  </w:abstractNum>
  <w:abstractNum w:abstractNumId="22">
    <w:nsid w:val="505355D4"/>
    <w:multiLevelType w:val="hybridMultilevel"/>
    <w:tmpl w:val="876467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5126705B"/>
    <w:multiLevelType w:val="hybridMultilevel"/>
    <w:tmpl w:val="3348C7E2"/>
    <w:lvl w:ilvl="0" w:tplc="C4DEF6A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5DE63E3"/>
    <w:multiLevelType w:val="hybridMultilevel"/>
    <w:tmpl w:val="9BC68F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A5A6507"/>
    <w:multiLevelType w:val="hybridMultilevel"/>
    <w:tmpl w:val="2C284374"/>
    <w:lvl w:ilvl="0" w:tplc="A8705578">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6">
    <w:nsid w:val="63CC51C7"/>
    <w:multiLevelType w:val="hybridMultilevel"/>
    <w:tmpl w:val="14763540"/>
    <w:lvl w:ilvl="0" w:tplc="68D89ABA">
      <w:start w:val="1"/>
      <w:numFmt w:val="bullet"/>
      <w:pStyle w:val="Styl5"/>
      <w:lvlText w:val=""/>
      <w:lvlJc w:val="left"/>
      <w:pPr>
        <w:tabs>
          <w:tab w:val="num" w:pos="2160"/>
        </w:tabs>
        <w:ind w:left="2160" w:hanging="360"/>
      </w:pPr>
      <w:rPr>
        <w:rFonts w:ascii="Symbol" w:hAnsi="Symbol" w:hint="default"/>
        <w:color w:val="auto"/>
      </w:rPr>
    </w:lvl>
    <w:lvl w:ilvl="1" w:tplc="04050003">
      <w:start w:val="1"/>
      <w:numFmt w:val="bullet"/>
      <w:lvlText w:val=""/>
      <w:lvlJc w:val="left"/>
      <w:pPr>
        <w:tabs>
          <w:tab w:val="num" w:pos="2160"/>
        </w:tabs>
        <w:ind w:left="2160" w:hanging="360"/>
      </w:pPr>
      <w:rPr>
        <w:rFonts w:ascii="Symbol" w:hAnsi="Symbol" w:hint="default"/>
        <w:color w:val="auto"/>
      </w:rPr>
    </w:lvl>
    <w:lvl w:ilvl="2" w:tplc="04050005" w:tentative="1">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7">
    <w:nsid w:val="66EF2C16"/>
    <w:multiLevelType w:val="hybridMultilevel"/>
    <w:tmpl w:val="71A8D53C"/>
    <w:lvl w:ilvl="0" w:tplc="04050001">
      <w:start w:val="1"/>
      <w:numFmt w:val="decimal"/>
      <w:lvlText w:val="%1."/>
      <w:lvlJc w:val="left"/>
      <w:pPr>
        <w:tabs>
          <w:tab w:val="num" w:pos="720"/>
        </w:tabs>
        <w:ind w:left="720" w:hanging="360"/>
      </w:pPr>
    </w:lvl>
    <w:lvl w:ilvl="1" w:tplc="04050003">
      <w:start w:val="1"/>
      <w:numFmt w:val="decimal"/>
      <w:lvlText w:val="%2."/>
      <w:lvlJc w:val="left"/>
      <w:pPr>
        <w:tabs>
          <w:tab w:val="num" w:pos="720"/>
        </w:tabs>
        <w:ind w:left="72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7532373"/>
    <w:multiLevelType w:val="hybridMultilevel"/>
    <w:tmpl w:val="D74CFC02"/>
    <w:lvl w:ilvl="0" w:tplc="7A86D6DE">
      <w:start w:val="1"/>
      <w:numFmt w:val="decimal"/>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9">
    <w:nsid w:val="6CC50823"/>
    <w:multiLevelType w:val="hybridMultilevel"/>
    <w:tmpl w:val="B16AD7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E1C78AF"/>
    <w:multiLevelType w:val="hybridMultilevel"/>
    <w:tmpl w:val="35FA2222"/>
    <w:lvl w:ilvl="0" w:tplc="A8705578">
      <w:numFmt w:val="bullet"/>
      <w:lvlText w:val="-"/>
      <w:lvlJc w:val="left"/>
      <w:pPr>
        <w:ind w:left="927" w:hanging="360"/>
      </w:pPr>
      <w:rPr>
        <w:rFonts w:ascii="Arial" w:eastAsia="Times New Roman" w:hAnsi="Arial" w:cs="Aria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1">
    <w:nsid w:val="6EB57189"/>
    <w:multiLevelType w:val="hybridMultilevel"/>
    <w:tmpl w:val="D0421C14"/>
    <w:lvl w:ilvl="0" w:tplc="04DCE9D2">
      <w:start w:val="1"/>
      <w:numFmt w:val="decimal"/>
      <w:pStyle w:val="Styl2"/>
      <w:lvlText w:val="%1."/>
      <w:lvlJc w:val="left"/>
      <w:pPr>
        <w:tabs>
          <w:tab w:val="num" w:pos="360"/>
        </w:tabs>
        <w:ind w:left="360" w:hanging="360"/>
      </w:pPr>
      <w:rPr>
        <w:rFonts w:hint="default"/>
      </w:rPr>
    </w:lvl>
    <w:lvl w:ilvl="1" w:tplc="C4DEF6A4"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6252DBE"/>
    <w:multiLevelType w:val="hybridMultilevel"/>
    <w:tmpl w:val="F8F0ACA4"/>
    <w:lvl w:ilvl="0" w:tplc="04050001">
      <w:start w:val="1"/>
      <w:numFmt w:val="bullet"/>
      <w:lvlText w:val=""/>
      <w:lvlJc w:val="left"/>
      <w:pPr>
        <w:tabs>
          <w:tab w:val="num" w:pos="1117"/>
        </w:tabs>
        <w:ind w:left="737" w:hanging="340"/>
      </w:pPr>
      <w:rPr>
        <w:rFonts w:ascii="Symbol" w:hAnsi="Symbol" w:hint="default"/>
      </w:rPr>
    </w:lvl>
    <w:lvl w:ilvl="1" w:tplc="04050003">
      <w:start w:val="1"/>
      <w:numFmt w:val="bullet"/>
      <w:lvlText w:val=""/>
      <w:lvlJc w:val="left"/>
      <w:pPr>
        <w:tabs>
          <w:tab w:val="num" w:pos="1440"/>
        </w:tabs>
        <w:ind w:left="1440" w:hanging="360"/>
      </w:pPr>
      <w:rPr>
        <w:rFonts w:ascii="Symbol" w:hAnsi="Symbo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3">
    <w:nsid w:val="78F21C6D"/>
    <w:multiLevelType w:val="hybridMultilevel"/>
    <w:tmpl w:val="AE7E8C36"/>
    <w:lvl w:ilvl="0" w:tplc="74F433E8">
      <w:start w:val="1"/>
      <w:numFmt w:val="upperRoman"/>
      <w:pStyle w:val="Nadpis1"/>
      <w:lvlText w:val="%1."/>
      <w:lvlJc w:val="right"/>
      <w:pPr>
        <w:ind w:left="1221" w:hanging="360"/>
      </w:pPr>
      <w:rPr>
        <w:b/>
      </w:rPr>
    </w:lvl>
    <w:lvl w:ilvl="1" w:tplc="04050019">
      <w:start w:val="1"/>
      <w:numFmt w:val="lowerLetter"/>
      <w:lvlText w:val="%2."/>
      <w:lvlJc w:val="left"/>
      <w:pPr>
        <w:ind w:left="1941" w:hanging="360"/>
      </w:pPr>
    </w:lvl>
    <w:lvl w:ilvl="2" w:tplc="0405001B" w:tentative="1">
      <w:start w:val="1"/>
      <w:numFmt w:val="lowerRoman"/>
      <w:lvlText w:val="%3."/>
      <w:lvlJc w:val="right"/>
      <w:pPr>
        <w:ind w:left="2661" w:hanging="180"/>
      </w:pPr>
    </w:lvl>
    <w:lvl w:ilvl="3" w:tplc="0405000F" w:tentative="1">
      <w:start w:val="1"/>
      <w:numFmt w:val="decimal"/>
      <w:lvlText w:val="%4."/>
      <w:lvlJc w:val="left"/>
      <w:pPr>
        <w:ind w:left="3381" w:hanging="360"/>
      </w:pPr>
    </w:lvl>
    <w:lvl w:ilvl="4" w:tplc="04050019" w:tentative="1">
      <w:start w:val="1"/>
      <w:numFmt w:val="lowerLetter"/>
      <w:lvlText w:val="%5."/>
      <w:lvlJc w:val="left"/>
      <w:pPr>
        <w:ind w:left="4101" w:hanging="360"/>
      </w:pPr>
    </w:lvl>
    <w:lvl w:ilvl="5" w:tplc="0405001B" w:tentative="1">
      <w:start w:val="1"/>
      <w:numFmt w:val="lowerRoman"/>
      <w:lvlText w:val="%6."/>
      <w:lvlJc w:val="right"/>
      <w:pPr>
        <w:ind w:left="4821" w:hanging="180"/>
      </w:pPr>
    </w:lvl>
    <w:lvl w:ilvl="6" w:tplc="0405000F" w:tentative="1">
      <w:start w:val="1"/>
      <w:numFmt w:val="decimal"/>
      <w:lvlText w:val="%7."/>
      <w:lvlJc w:val="left"/>
      <w:pPr>
        <w:ind w:left="5541" w:hanging="360"/>
      </w:pPr>
    </w:lvl>
    <w:lvl w:ilvl="7" w:tplc="04050019" w:tentative="1">
      <w:start w:val="1"/>
      <w:numFmt w:val="lowerLetter"/>
      <w:lvlText w:val="%8."/>
      <w:lvlJc w:val="left"/>
      <w:pPr>
        <w:ind w:left="6261" w:hanging="360"/>
      </w:pPr>
    </w:lvl>
    <w:lvl w:ilvl="8" w:tplc="0405001B" w:tentative="1">
      <w:start w:val="1"/>
      <w:numFmt w:val="lowerRoman"/>
      <w:lvlText w:val="%9."/>
      <w:lvlJc w:val="right"/>
      <w:pPr>
        <w:ind w:left="6981" w:hanging="180"/>
      </w:pPr>
    </w:lvl>
  </w:abstractNum>
  <w:abstractNum w:abstractNumId="34">
    <w:nsid w:val="79046065"/>
    <w:multiLevelType w:val="hybridMultilevel"/>
    <w:tmpl w:val="67628B74"/>
    <w:lvl w:ilvl="0" w:tplc="762A8EBE">
      <w:start w:val="1"/>
      <w:numFmt w:val="decimal"/>
      <w:lvlText w:val="%1."/>
      <w:lvlJc w:val="left"/>
      <w:pPr>
        <w:ind w:left="1581" w:hanging="360"/>
      </w:pPr>
    </w:lvl>
    <w:lvl w:ilvl="1" w:tplc="04050019" w:tentative="1">
      <w:start w:val="1"/>
      <w:numFmt w:val="lowerLetter"/>
      <w:lvlText w:val="%2."/>
      <w:lvlJc w:val="left"/>
      <w:pPr>
        <w:ind w:left="2301" w:hanging="360"/>
      </w:pPr>
    </w:lvl>
    <w:lvl w:ilvl="2" w:tplc="0405001B" w:tentative="1">
      <w:start w:val="1"/>
      <w:numFmt w:val="lowerRoman"/>
      <w:lvlText w:val="%3."/>
      <w:lvlJc w:val="right"/>
      <w:pPr>
        <w:ind w:left="3021" w:hanging="180"/>
      </w:pPr>
    </w:lvl>
    <w:lvl w:ilvl="3" w:tplc="0405000F" w:tentative="1">
      <w:start w:val="1"/>
      <w:numFmt w:val="decimal"/>
      <w:lvlText w:val="%4."/>
      <w:lvlJc w:val="left"/>
      <w:pPr>
        <w:ind w:left="3741" w:hanging="360"/>
      </w:pPr>
    </w:lvl>
    <w:lvl w:ilvl="4" w:tplc="04050019" w:tentative="1">
      <w:start w:val="1"/>
      <w:numFmt w:val="lowerLetter"/>
      <w:lvlText w:val="%5."/>
      <w:lvlJc w:val="left"/>
      <w:pPr>
        <w:ind w:left="4461" w:hanging="360"/>
      </w:pPr>
    </w:lvl>
    <w:lvl w:ilvl="5" w:tplc="0405001B" w:tentative="1">
      <w:start w:val="1"/>
      <w:numFmt w:val="lowerRoman"/>
      <w:lvlText w:val="%6."/>
      <w:lvlJc w:val="right"/>
      <w:pPr>
        <w:ind w:left="5181" w:hanging="180"/>
      </w:pPr>
    </w:lvl>
    <w:lvl w:ilvl="6" w:tplc="0405000F" w:tentative="1">
      <w:start w:val="1"/>
      <w:numFmt w:val="decimal"/>
      <w:lvlText w:val="%7."/>
      <w:lvlJc w:val="left"/>
      <w:pPr>
        <w:ind w:left="5901" w:hanging="360"/>
      </w:pPr>
    </w:lvl>
    <w:lvl w:ilvl="7" w:tplc="04050019" w:tentative="1">
      <w:start w:val="1"/>
      <w:numFmt w:val="lowerLetter"/>
      <w:lvlText w:val="%8."/>
      <w:lvlJc w:val="left"/>
      <w:pPr>
        <w:ind w:left="6621" w:hanging="360"/>
      </w:pPr>
    </w:lvl>
    <w:lvl w:ilvl="8" w:tplc="0405001B" w:tentative="1">
      <w:start w:val="1"/>
      <w:numFmt w:val="lowerRoman"/>
      <w:lvlText w:val="%9."/>
      <w:lvlJc w:val="right"/>
      <w:pPr>
        <w:ind w:left="7341" w:hanging="180"/>
      </w:pPr>
    </w:lvl>
  </w:abstractNum>
  <w:abstractNum w:abstractNumId="35">
    <w:nsid w:val="7D3D6AB9"/>
    <w:multiLevelType w:val="hybridMultilevel"/>
    <w:tmpl w:val="BA9A3324"/>
    <w:lvl w:ilvl="0" w:tplc="0405000F">
      <w:start w:val="1"/>
      <w:numFmt w:val="decimal"/>
      <w:pStyle w:val="Styl1"/>
      <w:lvlText w:val="%1."/>
      <w:lvlJc w:val="left"/>
      <w:pPr>
        <w:tabs>
          <w:tab w:val="num" w:pos="900"/>
        </w:tabs>
        <w:ind w:left="881" w:hanging="341"/>
      </w:pPr>
      <w:rPr>
        <w:rFonts w:hint="default"/>
        <w:b/>
        <w:i w:val="0"/>
        <w:sz w:val="26"/>
      </w:rPr>
    </w:lvl>
    <w:lvl w:ilvl="1" w:tplc="0405000F" w:tentative="1">
      <w:start w:val="1"/>
      <w:numFmt w:val="lowerLetter"/>
      <w:lvlText w:val="%2."/>
      <w:lvlJc w:val="left"/>
      <w:pPr>
        <w:tabs>
          <w:tab w:val="num" w:pos="2703"/>
        </w:tabs>
        <w:ind w:left="2703" w:hanging="360"/>
      </w:pPr>
    </w:lvl>
    <w:lvl w:ilvl="2" w:tplc="04050005" w:tentative="1">
      <w:start w:val="1"/>
      <w:numFmt w:val="lowerRoman"/>
      <w:lvlText w:val="%3."/>
      <w:lvlJc w:val="right"/>
      <w:pPr>
        <w:tabs>
          <w:tab w:val="num" w:pos="3423"/>
        </w:tabs>
        <w:ind w:left="3423" w:hanging="180"/>
      </w:pPr>
    </w:lvl>
    <w:lvl w:ilvl="3" w:tplc="04050001" w:tentative="1">
      <w:start w:val="1"/>
      <w:numFmt w:val="decimal"/>
      <w:lvlText w:val="%4."/>
      <w:lvlJc w:val="left"/>
      <w:pPr>
        <w:tabs>
          <w:tab w:val="num" w:pos="4143"/>
        </w:tabs>
        <w:ind w:left="4143" w:hanging="360"/>
      </w:pPr>
    </w:lvl>
    <w:lvl w:ilvl="4" w:tplc="04050003" w:tentative="1">
      <w:start w:val="1"/>
      <w:numFmt w:val="lowerLetter"/>
      <w:lvlText w:val="%5."/>
      <w:lvlJc w:val="left"/>
      <w:pPr>
        <w:tabs>
          <w:tab w:val="num" w:pos="4863"/>
        </w:tabs>
        <w:ind w:left="4863" w:hanging="360"/>
      </w:pPr>
    </w:lvl>
    <w:lvl w:ilvl="5" w:tplc="04050005" w:tentative="1">
      <w:start w:val="1"/>
      <w:numFmt w:val="lowerRoman"/>
      <w:lvlText w:val="%6."/>
      <w:lvlJc w:val="right"/>
      <w:pPr>
        <w:tabs>
          <w:tab w:val="num" w:pos="5583"/>
        </w:tabs>
        <w:ind w:left="5583" w:hanging="180"/>
      </w:pPr>
    </w:lvl>
    <w:lvl w:ilvl="6" w:tplc="04050001" w:tentative="1">
      <w:start w:val="1"/>
      <w:numFmt w:val="decimal"/>
      <w:lvlText w:val="%7."/>
      <w:lvlJc w:val="left"/>
      <w:pPr>
        <w:tabs>
          <w:tab w:val="num" w:pos="6303"/>
        </w:tabs>
        <w:ind w:left="6303" w:hanging="360"/>
      </w:pPr>
    </w:lvl>
    <w:lvl w:ilvl="7" w:tplc="04050003" w:tentative="1">
      <w:start w:val="1"/>
      <w:numFmt w:val="lowerLetter"/>
      <w:lvlText w:val="%8."/>
      <w:lvlJc w:val="left"/>
      <w:pPr>
        <w:tabs>
          <w:tab w:val="num" w:pos="7023"/>
        </w:tabs>
        <w:ind w:left="7023" w:hanging="360"/>
      </w:pPr>
    </w:lvl>
    <w:lvl w:ilvl="8" w:tplc="04050005" w:tentative="1">
      <w:start w:val="1"/>
      <w:numFmt w:val="lowerRoman"/>
      <w:lvlText w:val="%9."/>
      <w:lvlJc w:val="right"/>
      <w:pPr>
        <w:tabs>
          <w:tab w:val="num" w:pos="7743"/>
        </w:tabs>
        <w:ind w:left="7743" w:hanging="180"/>
      </w:pPr>
    </w:lvl>
  </w:abstractNum>
  <w:num w:numId="1">
    <w:abstractNumId w:val="17"/>
  </w:num>
  <w:num w:numId="2">
    <w:abstractNumId w:val="18"/>
  </w:num>
  <w:num w:numId="3">
    <w:abstractNumId w:val="26"/>
  </w:num>
  <w:num w:numId="4">
    <w:abstractNumId w:val="4"/>
  </w:num>
  <w:num w:numId="5">
    <w:abstractNumId w:val="6"/>
  </w:num>
  <w:num w:numId="6">
    <w:abstractNumId w:val="27"/>
  </w:num>
  <w:num w:numId="7">
    <w:abstractNumId w:val="7"/>
  </w:num>
  <w:num w:numId="8">
    <w:abstractNumId w:val="23"/>
  </w:num>
  <w:num w:numId="9">
    <w:abstractNumId w:val="35"/>
  </w:num>
  <w:num w:numId="10">
    <w:abstractNumId w:val="31"/>
  </w:num>
  <w:num w:numId="11">
    <w:abstractNumId w:val="21"/>
  </w:num>
  <w:num w:numId="12">
    <w:abstractNumId w:val="33"/>
  </w:num>
  <w:num w:numId="13">
    <w:abstractNumId w:val="10"/>
  </w:num>
  <w:num w:numId="14">
    <w:abstractNumId w:val="24"/>
  </w:num>
  <w:num w:numId="15">
    <w:abstractNumId w:val="19"/>
  </w:num>
  <w:num w:numId="16">
    <w:abstractNumId w:val="32"/>
  </w:num>
  <w:num w:numId="17">
    <w:abstractNumId w:val="29"/>
  </w:num>
  <w:num w:numId="18">
    <w:abstractNumId w:val="8"/>
  </w:num>
  <w:num w:numId="19">
    <w:abstractNumId w:val="16"/>
  </w:num>
  <w:num w:numId="20">
    <w:abstractNumId w:val="9"/>
  </w:num>
  <w:num w:numId="21">
    <w:abstractNumId w:val="15"/>
  </w:num>
  <w:num w:numId="22">
    <w:abstractNumId w:val="3"/>
  </w:num>
  <w:num w:numId="23">
    <w:abstractNumId w:val="14"/>
  </w:num>
  <w:num w:numId="24">
    <w:abstractNumId w:val="13"/>
  </w:num>
  <w:num w:numId="25">
    <w:abstractNumId w:val="2"/>
  </w:num>
  <w:num w:numId="26">
    <w:abstractNumId w:val="30"/>
  </w:num>
  <w:num w:numId="27">
    <w:abstractNumId w:val="25"/>
  </w:num>
  <w:num w:numId="28">
    <w:abstractNumId w:val="0"/>
  </w:num>
  <w:num w:numId="29">
    <w:abstractNumId w:val="12"/>
  </w:num>
  <w:num w:numId="30">
    <w:abstractNumId w:val="1"/>
  </w:num>
  <w:num w:numId="31">
    <w:abstractNumId w:val="20"/>
  </w:num>
  <w:num w:numId="32">
    <w:abstractNumId w:val="33"/>
    <w:lvlOverride w:ilvl="0">
      <w:startOverride w:val="1"/>
    </w:lvlOverride>
  </w:num>
  <w:num w:numId="33">
    <w:abstractNumId w:val="22"/>
  </w:num>
  <w:num w:numId="34">
    <w:abstractNumId w:val="34"/>
  </w:num>
  <w:num w:numId="35">
    <w:abstractNumId w:val="5"/>
  </w:num>
  <w:num w:numId="36">
    <w:abstractNumId w:val="11"/>
  </w:num>
  <w:num w:numId="37">
    <w:abstractNumId w:val="28"/>
  </w:num>
  <w:num w:numId="38">
    <w:abstractNumId w:val="17"/>
  </w:num>
  <w:num w:numId="39">
    <w:abstractNumId w:val="3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680"/>
  <w:hyphenationZone w:val="425"/>
  <w:noPunctuationKerning/>
  <w:characterSpacingControl w:val="doNotCompress"/>
  <w:hdrShapeDefaults>
    <o:shapedefaults v:ext="edit" spidmax="231426"/>
  </w:hdrShapeDefaults>
  <w:footnotePr>
    <w:footnote w:id="-1"/>
    <w:footnote w:id="0"/>
  </w:footnotePr>
  <w:endnotePr>
    <w:endnote w:id="-1"/>
    <w:endnote w:id="0"/>
  </w:endnotePr>
  <w:compat/>
  <w:rsids>
    <w:rsidRoot w:val="00B73670"/>
    <w:rsid w:val="000015BD"/>
    <w:rsid w:val="0000166F"/>
    <w:rsid w:val="0000183B"/>
    <w:rsid w:val="00003225"/>
    <w:rsid w:val="0000484C"/>
    <w:rsid w:val="00004934"/>
    <w:rsid w:val="000054CA"/>
    <w:rsid w:val="000055C0"/>
    <w:rsid w:val="00007434"/>
    <w:rsid w:val="000108A5"/>
    <w:rsid w:val="00010E98"/>
    <w:rsid w:val="00010EDD"/>
    <w:rsid w:val="0001194B"/>
    <w:rsid w:val="00011A38"/>
    <w:rsid w:val="00011FBD"/>
    <w:rsid w:val="00012053"/>
    <w:rsid w:val="00012774"/>
    <w:rsid w:val="00012C08"/>
    <w:rsid w:val="00013DAE"/>
    <w:rsid w:val="00014F6D"/>
    <w:rsid w:val="000158CC"/>
    <w:rsid w:val="00015C12"/>
    <w:rsid w:val="00016286"/>
    <w:rsid w:val="00016849"/>
    <w:rsid w:val="00016927"/>
    <w:rsid w:val="0001696E"/>
    <w:rsid w:val="000177EE"/>
    <w:rsid w:val="00017BFA"/>
    <w:rsid w:val="00017D78"/>
    <w:rsid w:val="0002009D"/>
    <w:rsid w:val="00020451"/>
    <w:rsid w:val="00020674"/>
    <w:rsid w:val="00020935"/>
    <w:rsid w:val="0002111D"/>
    <w:rsid w:val="0002176C"/>
    <w:rsid w:val="000225FA"/>
    <w:rsid w:val="00023305"/>
    <w:rsid w:val="0002412F"/>
    <w:rsid w:val="00024349"/>
    <w:rsid w:val="00024B34"/>
    <w:rsid w:val="0002509E"/>
    <w:rsid w:val="000252B9"/>
    <w:rsid w:val="000254B4"/>
    <w:rsid w:val="000254DE"/>
    <w:rsid w:val="00025C33"/>
    <w:rsid w:val="0002624B"/>
    <w:rsid w:val="00026833"/>
    <w:rsid w:val="00027C6F"/>
    <w:rsid w:val="000308AB"/>
    <w:rsid w:val="00030C18"/>
    <w:rsid w:val="00030E19"/>
    <w:rsid w:val="00030EF6"/>
    <w:rsid w:val="00030F83"/>
    <w:rsid w:val="0003143E"/>
    <w:rsid w:val="0003149B"/>
    <w:rsid w:val="000342AC"/>
    <w:rsid w:val="000343E6"/>
    <w:rsid w:val="0003503C"/>
    <w:rsid w:val="000358F5"/>
    <w:rsid w:val="00036028"/>
    <w:rsid w:val="00036055"/>
    <w:rsid w:val="00037057"/>
    <w:rsid w:val="000371BB"/>
    <w:rsid w:val="000373FD"/>
    <w:rsid w:val="00037B54"/>
    <w:rsid w:val="00037C89"/>
    <w:rsid w:val="00037CB9"/>
    <w:rsid w:val="00037EB3"/>
    <w:rsid w:val="00040773"/>
    <w:rsid w:val="00041B9D"/>
    <w:rsid w:val="00041D3B"/>
    <w:rsid w:val="00041FC2"/>
    <w:rsid w:val="0004239B"/>
    <w:rsid w:val="000425F5"/>
    <w:rsid w:val="000431EB"/>
    <w:rsid w:val="000434D5"/>
    <w:rsid w:val="000445F1"/>
    <w:rsid w:val="00044C52"/>
    <w:rsid w:val="0004506C"/>
    <w:rsid w:val="00046D87"/>
    <w:rsid w:val="00046EF3"/>
    <w:rsid w:val="000470EC"/>
    <w:rsid w:val="000475DA"/>
    <w:rsid w:val="00047CA1"/>
    <w:rsid w:val="000512AB"/>
    <w:rsid w:val="00051A22"/>
    <w:rsid w:val="00051A82"/>
    <w:rsid w:val="00052555"/>
    <w:rsid w:val="0005324D"/>
    <w:rsid w:val="0005350A"/>
    <w:rsid w:val="00053B5F"/>
    <w:rsid w:val="00054756"/>
    <w:rsid w:val="00054D06"/>
    <w:rsid w:val="00055104"/>
    <w:rsid w:val="000556FD"/>
    <w:rsid w:val="00055E2B"/>
    <w:rsid w:val="000568D4"/>
    <w:rsid w:val="00057AB2"/>
    <w:rsid w:val="00057DDC"/>
    <w:rsid w:val="00060407"/>
    <w:rsid w:val="000605C3"/>
    <w:rsid w:val="00060D02"/>
    <w:rsid w:val="0006156C"/>
    <w:rsid w:val="00061732"/>
    <w:rsid w:val="000622BC"/>
    <w:rsid w:val="000629DA"/>
    <w:rsid w:val="000641A6"/>
    <w:rsid w:val="0006696F"/>
    <w:rsid w:val="00066C82"/>
    <w:rsid w:val="00067468"/>
    <w:rsid w:val="00067507"/>
    <w:rsid w:val="00067D9B"/>
    <w:rsid w:val="000708C2"/>
    <w:rsid w:val="00070A54"/>
    <w:rsid w:val="00070CB5"/>
    <w:rsid w:val="000711C3"/>
    <w:rsid w:val="00071293"/>
    <w:rsid w:val="000714E2"/>
    <w:rsid w:val="0007182A"/>
    <w:rsid w:val="0007284A"/>
    <w:rsid w:val="000742F2"/>
    <w:rsid w:val="00074EC2"/>
    <w:rsid w:val="00074FAB"/>
    <w:rsid w:val="000750F7"/>
    <w:rsid w:val="00075152"/>
    <w:rsid w:val="00075225"/>
    <w:rsid w:val="00075665"/>
    <w:rsid w:val="00075CD9"/>
    <w:rsid w:val="00076011"/>
    <w:rsid w:val="00076661"/>
    <w:rsid w:val="000772AA"/>
    <w:rsid w:val="00077EF1"/>
    <w:rsid w:val="000811E9"/>
    <w:rsid w:val="000834D2"/>
    <w:rsid w:val="00083CF5"/>
    <w:rsid w:val="0008424D"/>
    <w:rsid w:val="00084903"/>
    <w:rsid w:val="00085005"/>
    <w:rsid w:val="0008519F"/>
    <w:rsid w:val="000857E9"/>
    <w:rsid w:val="00085B16"/>
    <w:rsid w:val="0008636D"/>
    <w:rsid w:val="00086B2A"/>
    <w:rsid w:val="00087C6E"/>
    <w:rsid w:val="00090086"/>
    <w:rsid w:val="00090C8B"/>
    <w:rsid w:val="000920AE"/>
    <w:rsid w:val="00092117"/>
    <w:rsid w:val="0009241C"/>
    <w:rsid w:val="000928CD"/>
    <w:rsid w:val="00093368"/>
    <w:rsid w:val="000937F3"/>
    <w:rsid w:val="0009450C"/>
    <w:rsid w:val="000949C8"/>
    <w:rsid w:val="000949D3"/>
    <w:rsid w:val="000954EF"/>
    <w:rsid w:val="000957C9"/>
    <w:rsid w:val="00095B01"/>
    <w:rsid w:val="00095DEB"/>
    <w:rsid w:val="00096C1D"/>
    <w:rsid w:val="00096EE8"/>
    <w:rsid w:val="000A0459"/>
    <w:rsid w:val="000A0566"/>
    <w:rsid w:val="000A0603"/>
    <w:rsid w:val="000A0EBE"/>
    <w:rsid w:val="000A0F43"/>
    <w:rsid w:val="000A19A2"/>
    <w:rsid w:val="000A20CD"/>
    <w:rsid w:val="000A2FB8"/>
    <w:rsid w:val="000A372F"/>
    <w:rsid w:val="000A4166"/>
    <w:rsid w:val="000A596B"/>
    <w:rsid w:val="000A6569"/>
    <w:rsid w:val="000A7662"/>
    <w:rsid w:val="000A7C47"/>
    <w:rsid w:val="000B043E"/>
    <w:rsid w:val="000B2376"/>
    <w:rsid w:val="000B283D"/>
    <w:rsid w:val="000B3A19"/>
    <w:rsid w:val="000B3D4A"/>
    <w:rsid w:val="000B4A80"/>
    <w:rsid w:val="000B51F9"/>
    <w:rsid w:val="000B5449"/>
    <w:rsid w:val="000B6086"/>
    <w:rsid w:val="000B6FAA"/>
    <w:rsid w:val="000B7C59"/>
    <w:rsid w:val="000C12E8"/>
    <w:rsid w:val="000C192F"/>
    <w:rsid w:val="000C3CC4"/>
    <w:rsid w:val="000C4C80"/>
    <w:rsid w:val="000C6486"/>
    <w:rsid w:val="000C6498"/>
    <w:rsid w:val="000C6E5E"/>
    <w:rsid w:val="000C7753"/>
    <w:rsid w:val="000C78B7"/>
    <w:rsid w:val="000C7F3C"/>
    <w:rsid w:val="000D004A"/>
    <w:rsid w:val="000D0714"/>
    <w:rsid w:val="000D0B54"/>
    <w:rsid w:val="000D0C24"/>
    <w:rsid w:val="000D20F8"/>
    <w:rsid w:val="000D3797"/>
    <w:rsid w:val="000D3AAE"/>
    <w:rsid w:val="000D3E38"/>
    <w:rsid w:val="000D3E3A"/>
    <w:rsid w:val="000D4460"/>
    <w:rsid w:val="000D4B4C"/>
    <w:rsid w:val="000D4E7C"/>
    <w:rsid w:val="000D4E98"/>
    <w:rsid w:val="000D5738"/>
    <w:rsid w:val="000D5F18"/>
    <w:rsid w:val="000D61F6"/>
    <w:rsid w:val="000D6373"/>
    <w:rsid w:val="000D6450"/>
    <w:rsid w:val="000D6991"/>
    <w:rsid w:val="000D75E0"/>
    <w:rsid w:val="000D765B"/>
    <w:rsid w:val="000D7868"/>
    <w:rsid w:val="000D7FF0"/>
    <w:rsid w:val="000E15A2"/>
    <w:rsid w:val="000E1701"/>
    <w:rsid w:val="000E1CB4"/>
    <w:rsid w:val="000E28D4"/>
    <w:rsid w:val="000E2DD8"/>
    <w:rsid w:val="000E3188"/>
    <w:rsid w:val="000E3BFF"/>
    <w:rsid w:val="000E4216"/>
    <w:rsid w:val="000E5484"/>
    <w:rsid w:val="000E5C35"/>
    <w:rsid w:val="000E6497"/>
    <w:rsid w:val="000E7274"/>
    <w:rsid w:val="000F035E"/>
    <w:rsid w:val="000F0592"/>
    <w:rsid w:val="000F12D6"/>
    <w:rsid w:val="000F13B9"/>
    <w:rsid w:val="000F2994"/>
    <w:rsid w:val="000F368C"/>
    <w:rsid w:val="000F3792"/>
    <w:rsid w:val="000F3AEE"/>
    <w:rsid w:val="000F3E66"/>
    <w:rsid w:val="000F470E"/>
    <w:rsid w:val="000F52CE"/>
    <w:rsid w:val="000F6297"/>
    <w:rsid w:val="000F684F"/>
    <w:rsid w:val="000F6CC3"/>
    <w:rsid w:val="000F6E2B"/>
    <w:rsid w:val="000F6EAB"/>
    <w:rsid w:val="000F740F"/>
    <w:rsid w:val="000F75FB"/>
    <w:rsid w:val="000F76A9"/>
    <w:rsid w:val="000F7883"/>
    <w:rsid w:val="000F7EC8"/>
    <w:rsid w:val="00100442"/>
    <w:rsid w:val="001004EA"/>
    <w:rsid w:val="00100552"/>
    <w:rsid w:val="00100D48"/>
    <w:rsid w:val="00100D86"/>
    <w:rsid w:val="0010157E"/>
    <w:rsid w:val="00101AA5"/>
    <w:rsid w:val="00101AA8"/>
    <w:rsid w:val="00101CE7"/>
    <w:rsid w:val="00102436"/>
    <w:rsid w:val="00102521"/>
    <w:rsid w:val="001031C2"/>
    <w:rsid w:val="0010398E"/>
    <w:rsid w:val="00103E3B"/>
    <w:rsid w:val="00104126"/>
    <w:rsid w:val="001042AA"/>
    <w:rsid w:val="00104B3B"/>
    <w:rsid w:val="00106211"/>
    <w:rsid w:val="0010635D"/>
    <w:rsid w:val="00107610"/>
    <w:rsid w:val="0011070E"/>
    <w:rsid w:val="00110753"/>
    <w:rsid w:val="001108AE"/>
    <w:rsid w:val="001111EB"/>
    <w:rsid w:val="00111455"/>
    <w:rsid w:val="00112D43"/>
    <w:rsid w:val="00113212"/>
    <w:rsid w:val="001133FE"/>
    <w:rsid w:val="00113631"/>
    <w:rsid w:val="001149AC"/>
    <w:rsid w:val="00114D1E"/>
    <w:rsid w:val="00115440"/>
    <w:rsid w:val="001167E0"/>
    <w:rsid w:val="00116CE2"/>
    <w:rsid w:val="0011731F"/>
    <w:rsid w:val="00117DAA"/>
    <w:rsid w:val="001202B0"/>
    <w:rsid w:val="00120D59"/>
    <w:rsid w:val="00121125"/>
    <w:rsid w:val="001222EB"/>
    <w:rsid w:val="001240BA"/>
    <w:rsid w:val="00126486"/>
    <w:rsid w:val="00126523"/>
    <w:rsid w:val="00126AD7"/>
    <w:rsid w:val="00127262"/>
    <w:rsid w:val="001277C5"/>
    <w:rsid w:val="00130F61"/>
    <w:rsid w:val="00131619"/>
    <w:rsid w:val="001324E6"/>
    <w:rsid w:val="001332C1"/>
    <w:rsid w:val="00133417"/>
    <w:rsid w:val="00134E8E"/>
    <w:rsid w:val="0013517D"/>
    <w:rsid w:val="00135679"/>
    <w:rsid w:val="00135D93"/>
    <w:rsid w:val="00135F05"/>
    <w:rsid w:val="00136754"/>
    <w:rsid w:val="001367CF"/>
    <w:rsid w:val="00137743"/>
    <w:rsid w:val="00137CE1"/>
    <w:rsid w:val="001407A1"/>
    <w:rsid w:val="00141A12"/>
    <w:rsid w:val="001423E1"/>
    <w:rsid w:val="001429ED"/>
    <w:rsid w:val="001433DF"/>
    <w:rsid w:val="001442D7"/>
    <w:rsid w:val="00145A9B"/>
    <w:rsid w:val="00146859"/>
    <w:rsid w:val="00147AF7"/>
    <w:rsid w:val="001500D1"/>
    <w:rsid w:val="00150BA9"/>
    <w:rsid w:val="00150DE7"/>
    <w:rsid w:val="001517D1"/>
    <w:rsid w:val="00151D98"/>
    <w:rsid w:val="00152154"/>
    <w:rsid w:val="001525C4"/>
    <w:rsid w:val="001546F7"/>
    <w:rsid w:val="001556D0"/>
    <w:rsid w:val="00155D56"/>
    <w:rsid w:val="00156357"/>
    <w:rsid w:val="00156BB4"/>
    <w:rsid w:val="00156C55"/>
    <w:rsid w:val="001570ED"/>
    <w:rsid w:val="00157936"/>
    <w:rsid w:val="0015793D"/>
    <w:rsid w:val="0016012F"/>
    <w:rsid w:val="00161446"/>
    <w:rsid w:val="00161513"/>
    <w:rsid w:val="001616A0"/>
    <w:rsid w:val="00161CFF"/>
    <w:rsid w:val="00162967"/>
    <w:rsid w:val="00162F14"/>
    <w:rsid w:val="001631A4"/>
    <w:rsid w:val="00164508"/>
    <w:rsid w:val="00164610"/>
    <w:rsid w:val="00164F84"/>
    <w:rsid w:val="00164FB6"/>
    <w:rsid w:val="0016604B"/>
    <w:rsid w:val="001664B7"/>
    <w:rsid w:val="00166AA1"/>
    <w:rsid w:val="00166EF4"/>
    <w:rsid w:val="001676D1"/>
    <w:rsid w:val="00167B83"/>
    <w:rsid w:val="0017039B"/>
    <w:rsid w:val="00170807"/>
    <w:rsid w:val="001714E9"/>
    <w:rsid w:val="00171DD4"/>
    <w:rsid w:val="00171F54"/>
    <w:rsid w:val="00172725"/>
    <w:rsid w:val="00175300"/>
    <w:rsid w:val="00176107"/>
    <w:rsid w:val="00177359"/>
    <w:rsid w:val="00177595"/>
    <w:rsid w:val="00177D0C"/>
    <w:rsid w:val="00177D36"/>
    <w:rsid w:val="00181333"/>
    <w:rsid w:val="00182039"/>
    <w:rsid w:val="0018232F"/>
    <w:rsid w:val="0018243A"/>
    <w:rsid w:val="001826B5"/>
    <w:rsid w:val="001829AB"/>
    <w:rsid w:val="001838AE"/>
    <w:rsid w:val="0018482E"/>
    <w:rsid w:val="0018499E"/>
    <w:rsid w:val="00184E53"/>
    <w:rsid w:val="00185AC8"/>
    <w:rsid w:val="001865A7"/>
    <w:rsid w:val="00187BFA"/>
    <w:rsid w:val="00187E5B"/>
    <w:rsid w:val="00187F30"/>
    <w:rsid w:val="00192428"/>
    <w:rsid w:val="00192F7F"/>
    <w:rsid w:val="0019337B"/>
    <w:rsid w:val="00193982"/>
    <w:rsid w:val="00195CC8"/>
    <w:rsid w:val="00195F23"/>
    <w:rsid w:val="00197618"/>
    <w:rsid w:val="00197756"/>
    <w:rsid w:val="00197DF1"/>
    <w:rsid w:val="00197FEC"/>
    <w:rsid w:val="001A08E3"/>
    <w:rsid w:val="001A098D"/>
    <w:rsid w:val="001A0DAE"/>
    <w:rsid w:val="001A18F0"/>
    <w:rsid w:val="001A223B"/>
    <w:rsid w:val="001A2EF4"/>
    <w:rsid w:val="001A308F"/>
    <w:rsid w:val="001A3918"/>
    <w:rsid w:val="001A3FCA"/>
    <w:rsid w:val="001A41A2"/>
    <w:rsid w:val="001A54AA"/>
    <w:rsid w:val="001A5C5E"/>
    <w:rsid w:val="001A63C9"/>
    <w:rsid w:val="001A7B35"/>
    <w:rsid w:val="001A7B37"/>
    <w:rsid w:val="001B1558"/>
    <w:rsid w:val="001B23D7"/>
    <w:rsid w:val="001B4809"/>
    <w:rsid w:val="001B48C2"/>
    <w:rsid w:val="001B4C5E"/>
    <w:rsid w:val="001B6650"/>
    <w:rsid w:val="001B6AD7"/>
    <w:rsid w:val="001C0321"/>
    <w:rsid w:val="001C0331"/>
    <w:rsid w:val="001C054F"/>
    <w:rsid w:val="001C08FB"/>
    <w:rsid w:val="001C09EE"/>
    <w:rsid w:val="001C1778"/>
    <w:rsid w:val="001C2812"/>
    <w:rsid w:val="001C3565"/>
    <w:rsid w:val="001C35E0"/>
    <w:rsid w:val="001C459B"/>
    <w:rsid w:val="001C4FE2"/>
    <w:rsid w:val="001C57D3"/>
    <w:rsid w:val="001C5C3C"/>
    <w:rsid w:val="001C6145"/>
    <w:rsid w:val="001C643B"/>
    <w:rsid w:val="001C6674"/>
    <w:rsid w:val="001C6F2A"/>
    <w:rsid w:val="001C6F49"/>
    <w:rsid w:val="001C7E59"/>
    <w:rsid w:val="001D092E"/>
    <w:rsid w:val="001D0E47"/>
    <w:rsid w:val="001D14FF"/>
    <w:rsid w:val="001D15E2"/>
    <w:rsid w:val="001D3D52"/>
    <w:rsid w:val="001D4116"/>
    <w:rsid w:val="001D4364"/>
    <w:rsid w:val="001D45A0"/>
    <w:rsid w:val="001D6BB2"/>
    <w:rsid w:val="001E0815"/>
    <w:rsid w:val="001E0A2A"/>
    <w:rsid w:val="001E18C2"/>
    <w:rsid w:val="001E1FA4"/>
    <w:rsid w:val="001E3115"/>
    <w:rsid w:val="001E397A"/>
    <w:rsid w:val="001E50AA"/>
    <w:rsid w:val="001E5310"/>
    <w:rsid w:val="001E574F"/>
    <w:rsid w:val="001E5FBB"/>
    <w:rsid w:val="001E6054"/>
    <w:rsid w:val="001E6631"/>
    <w:rsid w:val="001E6B23"/>
    <w:rsid w:val="001E6D85"/>
    <w:rsid w:val="001E73E6"/>
    <w:rsid w:val="001E743D"/>
    <w:rsid w:val="001F0390"/>
    <w:rsid w:val="001F053A"/>
    <w:rsid w:val="001F15A0"/>
    <w:rsid w:val="001F1E6A"/>
    <w:rsid w:val="001F2245"/>
    <w:rsid w:val="001F310E"/>
    <w:rsid w:val="001F3453"/>
    <w:rsid w:val="001F38AC"/>
    <w:rsid w:val="001F38D3"/>
    <w:rsid w:val="001F5251"/>
    <w:rsid w:val="001F55D7"/>
    <w:rsid w:val="001F5B61"/>
    <w:rsid w:val="001F5CC7"/>
    <w:rsid w:val="001F6607"/>
    <w:rsid w:val="001F6EB3"/>
    <w:rsid w:val="001F6EDB"/>
    <w:rsid w:val="001F77DB"/>
    <w:rsid w:val="00200C02"/>
    <w:rsid w:val="00200C98"/>
    <w:rsid w:val="00203018"/>
    <w:rsid w:val="0020384B"/>
    <w:rsid w:val="002044C0"/>
    <w:rsid w:val="0020529D"/>
    <w:rsid w:val="002059FC"/>
    <w:rsid w:val="00205AE2"/>
    <w:rsid w:val="00206623"/>
    <w:rsid w:val="00206990"/>
    <w:rsid w:val="00206B91"/>
    <w:rsid w:val="00207D91"/>
    <w:rsid w:val="002105BF"/>
    <w:rsid w:val="002107F1"/>
    <w:rsid w:val="002110DB"/>
    <w:rsid w:val="002111C3"/>
    <w:rsid w:val="002115B2"/>
    <w:rsid w:val="00211B7C"/>
    <w:rsid w:val="0021216D"/>
    <w:rsid w:val="0021268B"/>
    <w:rsid w:val="0021302E"/>
    <w:rsid w:val="00213A57"/>
    <w:rsid w:val="0021465E"/>
    <w:rsid w:val="002151AD"/>
    <w:rsid w:val="002151D3"/>
    <w:rsid w:val="0021552D"/>
    <w:rsid w:val="002160D1"/>
    <w:rsid w:val="00217815"/>
    <w:rsid w:val="00220FE2"/>
    <w:rsid w:val="00221AFD"/>
    <w:rsid w:val="002237E8"/>
    <w:rsid w:val="00223D30"/>
    <w:rsid w:val="002241F5"/>
    <w:rsid w:val="0022441C"/>
    <w:rsid w:val="002247DE"/>
    <w:rsid w:val="00224955"/>
    <w:rsid w:val="00224ACC"/>
    <w:rsid w:val="00225221"/>
    <w:rsid w:val="002302C8"/>
    <w:rsid w:val="0023066A"/>
    <w:rsid w:val="00230B82"/>
    <w:rsid w:val="00230BBC"/>
    <w:rsid w:val="00231485"/>
    <w:rsid w:val="00231CAC"/>
    <w:rsid w:val="00233AD9"/>
    <w:rsid w:val="00233CBD"/>
    <w:rsid w:val="00233D4F"/>
    <w:rsid w:val="00234C6D"/>
    <w:rsid w:val="0023552D"/>
    <w:rsid w:val="002367EE"/>
    <w:rsid w:val="00237A66"/>
    <w:rsid w:val="00237E2B"/>
    <w:rsid w:val="00241045"/>
    <w:rsid w:val="002411AA"/>
    <w:rsid w:val="002413D1"/>
    <w:rsid w:val="00241F1A"/>
    <w:rsid w:val="00242317"/>
    <w:rsid w:val="00243275"/>
    <w:rsid w:val="00243523"/>
    <w:rsid w:val="002436BA"/>
    <w:rsid w:val="002438CF"/>
    <w:rsid w:val="00243CA1"/>
    <w:rsid w:val="00243DB8"/>
    <w:rsid w:val="002441CD"/>
    <w:rsid w:val="00244981"/>
    <w:rsid w:val="00245018"/>
    <w:rsid w:val="002457A1"/>
    <w:rsid w:val="00245A23"/>
    <w:rsid w:val="00245ABE"/>
    <w:rsid w:val="002464F5"/>
    <w:rsid w:val="0025090F"/>
    <w:rsid w:val="0025135C"/>
    <w:rsid w:val="00251B9D"/>
    <w:rsid w:val="00251E77"/>
    <w:rsid w:val="002524F1"/>
    <w:rsid w:val="00253380"/>
    <w:rsid w:val="002534E8"/>
    <w:rsid w:val="00255571"/>
    <w:rsid w:val="0025592D"/>
    <w:rsid w:val="00255FA2"/>
    <w:rsid w:val="00256114"/>
    <w:rsid w:val="00256D25"/>
    <w:rsid w:val="00257585"/>
    <w:rsid w:val="002577F6"/>
    <w:rsid w:val="00257A8C"/>
    <w:rsid w:val="00257B11"/>
    <w:rsid w:val="00260206"/>
    <w:rsid w:val="002606DE"/>
    <w:rsid w:val="0026311A"/>
    <w:rsid w:val="002631F8"/>
    <w:rsid w:val="00264507"/>
    <w:rsid w:val="00265238"/>
    <w:rsid w:val="00265BE6"/>
    <w:rsid w:val="002674CE"/>
    <w:rsid w:val="00270AC4"/>
    <w:rsid w:val="00270E25"/>
    <w:rsid w:val="00271085"/>
    <w:rsid w:val="00272040"/>
    <w:rsid w:val="00272269"/>
    <w:rsid w:val="00272495"/>
    <w:rsid w:val="0027318B"/>
    <w:rsid w:val="00273691"/>
    <w:rsid w:val="00273A50"/>
    <w:rsid w:val="00274267"/>
    <w:rsid w:val="00275122"/>
    <w:rsid w:val="00276AA4"/>
    <w:rsid w:val="00277C10"/>
    <w:rsid w:val="00277FB1"/>
    <w:rsid w:val="00280402"/>
    <w:rsid w:val="00281093"/>
    <w:rsid w:val="00281674"/>
    <w:rsid w:val="0028259B"/>
    <w:rsid w:val="00282BA8"/>
    <w:rsid w:val="0028367C"/>
    <w:rsid w:val="00283B89"/>
    <w:rsid w:val="00284537"/>
    <w:rsid w:val="00284911"/>
    <w:rsid w:val="00284915"/>
    <w:rsid w:val="002850F6"/>
    <w:rsid w:val="00285615"/>
    <w:rsid w:val="00285E18"/>
    <w:rsid w:val="00285F0D"/>
    <w:rsid w:val="00285F55"/>
    <w:rsid w:val="00287D30"/>
    <w:rsid w:val="00287DDC"/>
    <w:rsid w:val="00287E45"/>
    <w:rsid w:val="002905F0"/>
    <w:rsid w:val="0029073E"/>
    <w:rsid w:val="002907B7"/>
    <w:rsid w:val="00290837"/>
    <w:rsid w:val="0029154D"/>
    <w:rsid w:val="002918D8"/>
    <w:rsid w:val="002936B7"/>
    <w:rsid w:val="002936BE"/>
    <w:rsid w:val="00293A81"/>
    <w:rsid w:val="0029404B"/>
    <w:rsid w:val="002943CF"/>
    <w:rsid w:val="00294989"/>
    <w:rsid w:val="00294A9F"/>
    <w:rsid w:val="002955DE"/>
    <w:rsid w:val="00295D8D"/>
    <w:rsid w:val="00295FFF"/>
    <w:rsid w:val="002965BD"/>
    <w:rsid w:val="002970C1"/>
    <w:rsid w:val="00297CFF"/>
    <w:rsid w:val="002A072E"/>
    <w:rsid w:val="002A087B"/>
    <w:rsid w:val="002A12CB"/>
    <w:rsid w:val="002A1610"/>
    <w:rsid w:val="002A1EFB"/>
    <w:rsid w:val="002A202B"/>
    <w:rsid w:val="002A24FE"/>
    <w:rsid w:val="002A256A"/>
    <w:rsid w:val="002A3186"/>
    <w:rsid w:val="002A33A2"/>
    <w:rsid w:val="002A3F88"/>
    <w:rsid w:val="002A4015"/>
    <w:rsid w:val="002A46C2"/>
    <w:rsid w:val="002A5228"/>
    <w:rsid w:val="002A6CBB"/>
    <w:rsid w:val="002A6D79"/>
    <w:rsid w:val="002A7F04"/>
    <w:rsid w:val="002B01C3"/>
    <w:rsid w:val="002B03E1"/>
    <w:rsid w:val="002B1D18"/>
    <w:rsid w:val="002B24A3"/>
    <w:rsid w:val="002B2BE0"/>
    <w:rsid w:val="002B3A64"/>
    <w:rsid w:val="002B4B1D"/>
    <w:rsid w:val="002B4CB7"/>
    <w:rsid w:val="002B5AF7"/>
    <w:rsid w:val="002B6252"/>
    <w:rsid w:val="002B6713"/>
    <w:rsid w:val="002B6870"/>
    <w:rsid w:val="002B6E54"/>
    <w:rsid w:val="002B7918"/>
    <w:rsid w:val="002B7BAA"/>
    <w:rsid w:val="002C021C"/>
    <w:rsid w:val="002C1693"/>
    <w:rsid w:val="002C16B4"/>
    <w:rsid w:val="002C17EE"/>
    <w:rsid w:val="002C1D45"/>
    <w:rsid w:val="002C23C3"/>
    <w:rsid w:val="002C2C12"/>
    <w:rsid w:val="002C2E5E"/>
    <w:rsid w:val="002C37E2"/>
    <w:rsid w:val="002C3BB1"/>
    <w:rsid w:val="002C44AD"/>
    <w:rsid w:val="002C47CF"/>
    <w:rsid w:val="002C4F25"/>
    <w:rsid w:val="002C558A"/>
    <w:rsid w:val="002C55FF"/>
    <w:rsid w:val="002C5977"/>
    <w:rsid w:val="002C5EC9"/>
    <w:rsid w:val="002C5F01"/>
    <w:rsid w:val="002C6FBE"/>
    <w:rsid w:val="002C72BC"/>
    <w:rsid w:val="002C7FA4"/>
    <w:rsid w:val="002D00D0"/>
    <w:rsid w:val="002D080E"/>
    <w:rsid w:val="002D0821"/>
    <w:rsid w:val="002D18F5"/>
    <w:rsid w:val="002D2710"/>
    <w:rsid w:val="002D2CCC"/>
    <w:rsid w:val="002D3ADB"/>
    <w:rsid w:val="002D3E64"/>
    <w:rsid w:val="002D481E"/>
    <w:rsid w:val="002D52BF"/>
    <w:rsid w:val="002D5575"/>
    <w:rsid w:val="002D5C6B"/>
    <w:rsid w:val="002D5F15"/>
    <w:rsid w:val="002D650E"/>
    <w:rsid w:val="002D6F60"/>
    <w:rsid w:val="002D70A5"/>
    <w:rsid w:val="002D75B8"/>
    <w:rsid w:val="002E0C20"/>
    <w:rsid w:val="002E0C74"/>
    <w:rsid w:val="002E0FA1"/>
    <w:rsid w:val="002E1378"/>
    <w:rsid w:val="002E1A06"/>
    <w:rsid w:val="002E1E39"/>
    <w:rsid w:val="002E233B"/>
    <w:rsid w:val="002E242D"/>
    <w:rsid w:val="002E24AC"/>
    <w:rsid w:val="002E3628"/>
    <w:rsid w:val="002E4112"/>
    <w:rsid w:val="002E5504"/>
    <w:rsid w:val="002E63CF"/>
    <w:rsid w:val="002E70C3"/>
    <w:rsid w:val="002E7649"/>
    <w:rsid w:val="002E79C6"/>
    <w:rsid w:val="002F0F93"/>
    <w:rsid w:val="002F18B0"/>
    <w:rsid w:val="002F3DD0"/>
    <w:rsid w:val="002F4195"/>
    <w:rsid w:val="002F46D2"/>
    <w:rsid w:val="002F5109"/>
    <w:rsid w:val="002F51DE"/>
    <w:rsid w:val="002F557E"/>
    <w:rsid w:val="002F567F"/>
    <w:rsid w:val="002F5FF5"/>
    <w:rsid w:val="002F6718"/>
    <w:rsid w:val="002F6720"/>
    <w:rsid w:val="002F6ADD"/>
    <w:rsid w:val="002F7359"/>
    <w:rsid w:val="002F7883"/>
    <w:rsid w:val="002F7B16"/>
    <w:rsid w:val="002F7F01"/>
    <w:rsid w:val="00300A3F"/>
    <w:rsid w:val="00300C0C"/>
    <w:rsid w:val="00300FBD"/>
    <w:rsid w:val="00301001"/>
    <w:rsid w:val="0030178E"/>
    <w:rsid w:val="00302460"/>
    <w:rsid w:val="003029F5"/>
    <w:rsid w:val="00302ADA"/>
    <w:rsid w:val="0030362E"/>
    <w:rsid w:val="00304042"/>
    <w:rsid w:val="00304111"/>
    <w:rsid w:val="00304119"/>
    <w:rsid w:val="00305992"/>
    <w:rsid w:val="00306190"/>
    <w:rsid w:val="00306EEB"/>
    <w:rsid w:val="00307170"/>
    <w:rsid w:val="00307505"/>
    <w:rsid w:val="0031061C"/>
    <w:rsid w:val="00310BFB"/>
    <w:rsid w:val="00311849"/>
    <w:rsid w:val="003120B0"/>
    <w:rsid w:val="00312800"/>
    <w:rsid w:val="00312A57"/>
    <w:rsid w:val="0031333A"/>
    <w:rsid w:val="0031340D"/>
    <w:rsid w:val="00313969"/>
    <w:rsid w:val="00313F9A"/>
    <w:rsid w:val="00313FA8"/>
    <w:rsid w:val="00314A14"/>
    <w:rsid w:val="00314B89"/>
    <w:rsid w:val="00314E76"/>
    <w:rsid w:val="003161A6"/>
    <w:rsid w:val="00316234"/>
    <w:rsid w:val="003166A2"/>
    <w:rsid w:val="0031706D"/>
    <w:rsid w:val="003174A4"/>
    <w:rsid w:val="0032014A"/>
    <w:rsid w:val="00321E86"/>
    <w:rsid w:val="00322651"/>
    <w:rsid w:val="00323047"/>
    <w:rsid w:val="00323811"/>
    <w:rsid w:val="003255E6"/>
    <w:rsid w:val="00326201"/>
    <w:rsid w:val="003265E6"/>
    <w:rsid w:val="00326E00"/>
    <w:rsid w:val="003274B4"/>
    <w:rsid w:val="0033097F"/>
    <w:rsid w:val="003313AB"/>
    <w:rsid w:val="00331500"/>
    <w:rsid w:val="00331A43"/>
    <w:rsid w:val="00332506"/>
    <w:rsid w:val="00333E41"/>
    <w:rsid w:val="003340E0"/>
    <w:rsid w:val="00335726"/>
    <w:rsid w:val="003357A1"/>
    <w:rsid w:val="003358C2"/>
    <w:rsid w:val="00335DA7"/>
    <w:rsid w:val="00336381"/>
    <w:rsid w:val="00336401"/>
    <w:rsid w:val="00337993"/>
    <w:rsid w:val="00337C5A"/>
    <w:rsid w:val="00340B86"/>
    <w:rsid w:val="00340EF4"/>
    <w:rsid w:val="0034138E"/>
    <w:rsid w:val="003420A5"/>
    <w:rsid w:val="00342121"/>
    <w:rsid w:val="00342405"/>
    <w:rsid w:val="00343749"/>
    <w:rsid w:val="00346BB5"/>
    <w:rsid w:val="00347217"/>
    <w:rsid w:val="0034745A"/>
    <w:rsid w:val="003504FC"/>
    <w:rsid w:val="0035052F"/>
    <w:rsid w:val="003507D5"/>
    <w:rsid w:val="00350AAC"/>
    <w:rsid w:val="00351B46"/>
    <w:rsid w:val="00351DD9"/>
    <w:rsid w:val="003526C7"/>
    <w:rsid w:val="0035273B"/>
    <w:rsid w:val="00352ADD"/>
    <w:rsid w:val="00352FA0"/>
    <w:rsid w:val="003531EE"/>
    <w:rsid w:val="00353EC6"/>
    <w:rsid w:val="003543DC"/>
    <w:rsid w:val="00354659"/>
    <w:rsid w:val="00354AED"/>
    <w:rsid w:val="00356138"/>
    <w:rsid w:val="003567B4"/>
    <w:rsid w:val="003579D9"/>
    <w:rsid w:val="003611D5"/>
    <w:rsid w:val="003624A7"/>
    <w:rsid w:val="0036275C"/>
    <w:rsid w:val="00362994"/>
    <w:rsid w:val="00362EDB"/>
    <w:rsid w:val="003630D4"/>
    <w:rsid w:val="00364405"/>
    <w:rsid w:val="003644CA"/>
    <w:rsid w:val="00364BDF"/>
    <w:rsid w:val="00364FF5"/>
    <w:rsid w:val="003653C1"/>
    <w:rsid w:val="003654E9"/>
    <w:rsid w:val="00365B47"/>
    <w:rsid w:val="0036634F"/>
    <w:rsid w:val="00366535"/>
    <w:rsid w:val="00366839"/>
    <w:rsid w:val="00366E54"/>
    <w:rsid w:val="00366F62"/>
    <w:rsid w:val="003675B0"/>
    <w:rsid w:val="0036787D"/>
    <w:rsid w:val="0037005F"/>
    <w:rsid w:val="003707D5"/>
    <w:rsid w:val="003710DE"/>
    <w:rsid w:val="0037169F"/>
    <w:rsid w:val="00371F12"/>
    <w:rsid w:val="00372E07"/>
    <w:rsid w:val="00373558"/>
    <w:rsid w:val="00373DAB"/>
    <w:rsid w:val="00373E99"/>
    <w:rsid w:val="0037476A"/>
    <w:rsid w:val="00374FB5"/>
    <w:rsid w:val="00375331"/>
    <w:rsid w:val="00376B5F"/>
    <w:rsid w:val="00376E69"/>
    <w:rsid w:val="003774B0"/>
    <w:rsid w:val="003778B8"/>
    <w:rsid w:val="003801A3"/>
    <w:rsid w:val="00380380"/>
    <w:rsid w:val="00380389"/>
    <w:rsid w:val="003821A9"/>
    <w:rsid w:val="003823E6"/>
    <w:rsid w:val="00382A64"/>
    <w:rsid w:val="00383B4E"/>
    <w:rsid w:val="00384504"/>
    <w:rsid w:val="003858AF"/>
    <w:rsid w:val="00386B5B"/>
    <w:rsid w:val="003877E0"/>
    <w:rsid w:val="00387A63"/>
    <w:rsid w:val="00387A91"/>
    <w:rsid w:val="00387FF4"/>
    <w:rsid w:val="00390053"/>
    <w:rsid w:val="00390351"/>
    <w:rsid w:val="003904D5"/>
    <w:rsid w:val="00390C0E"/>
    <w:rsid w:val="00390F3F"/>
    <w:rsid w:val="00391E6B"/>
    <w:rsid w:val="00392086"/>
    <w:rsid w:val="003925F1"/>
    <w:rsid w:val="0039395B"/>
    <w:rsid w:val="003939F9"/>
    <w:rsid w:val="00393DCB"/>
    <w:rsid w:val="003943EE"/>
    <w:rsid w:val="0039478E"/>
    <w:rsid w:val="00395F04"/>
    <w:rsid w:val="00396409"/>
    <w:rsid w:val="00396416"/>
    <w:rsid w:val="00396569"/>
    <w:rsid w:val="00397028"/>
    <w:rsid w:val="003A0076"/>
    <w:rsid w:val="003A00CF"/>
    <w:rsid w:val="003A0B6E"/>
    <w:rsid w:val="003A178C"/>
    <w:rsid w:val="003A1D3A"/>
    <w:rsid w:val="003A2B30"/>
    <w:rsid w:val="003A2C30"/>
    <w:rsid w:val="003A2D77"/>
    <w:rsid w:val="003A2F9E"/>
    <w:rsid w:val="003A4FCD"/>
    <w:rsid w:val="003A61B5"/>
    <w:rsid w:val="003A6CBB"/>
    <w:rsid w:val="003A7087"/>
    <w:rsid w:val="003A7316"/>
    <w:rsid w:val="003A7719"/>
    <w:rsid w:val="003B067C"/>
    <w:rsid w:val="003B1A34"/>
    <w:rsid w:val="003B2151"/>
    <w:rsid w:val="003B2AA3"/>
    <w:rsid w:val="003B2F17"/>
    <w:rsid w:val="003B2F86"/>
    <w:rsid w:val="003B6154"/>
    <w:rsid w:val="003B6E38"/>
    <w:rsid w:val="003B7871"/>
    <w:rsid w:val="003C0590"/>
    <w:rsid w:val="003C0B5A"/>
    <w:rsid w:val="003C1434"/>
    <w:rsid w:val="003C1C7A"/>
    <w:rsid w:val="003C22E4"/>
    <w:rsid w:val="003C22FB"/>
    <w:rsid w:val="003C2D5F"/>
    <w:rsid w:val="003C3643"/>
    <w:rsid w:val="003C3E53"/>
    <w:rsid w:val="003C450C"/>
    <w:rsid w:val="003C52A4"/>
    <w:rsid w:val="003C546A"/>
    <w:rsid w:val="003C5495"/>
    <w:rsid w:val="003C5F2F"/>
    <w:rsid w:val="003C627F"/>
    <w:rsid w:val="003C7099"/>
    <w:rsid w:val="003C70D0"/>
    <w:rsid w:val="003D04E9"/>
    <w:rsid w:val="003D0662"/>
    <w:rsid w:val="003D066F"/>
    <w:rsid w:val="003D0A85"/>
    <w:rsid w:val="003D0B92"/>
    <w:rsid w:val="003D1033"/>
    <w:rsid w:val="003D1199"/>
    <w:rsid w:val="003D128A"/>
    <w:rsid w:val="003D270F"/>
    <w:rsid w:val="003D3943"/>
    <w:rsid w:val="003D3A3F"/>
    <w:rsid w:val="003D3DAE"/>
    <w:rsid w:val="003D403C"/>
    <w:rsid w:val="003D4344"/>
    <w:rsid w:val="003D504F"/>
    <w:rsid w:val="003D617B"/>
    <w:rsid w:val="003D6272"/>
    <w:rsid w:val="003D69D4"/>
    <w:rsid w:val="003D6CCA"/>
    <w:rsid w:val="003D6F01"/>
    <w:rsid w:val="003D7026"/>
    <w:rsid w:val="003E0573"/>
    <w:rsid w:val="003E101F"/>
    <w:rsid w:val="003E1068"/>
    <w:rsid w:val="003E139E"/>
    <w:rsid w:val="003E1A28"/>
    <w:rsid w:val="003E2045"/>
    <w:rsid w:val="003E21B0"/>
    <w:rsid w:val="003E29D8"/>
    <w:rsid w:val="003E43D7"/>
    <w:rsid w:val="003E6242"/>
    <w:rsid w:val="003E67A5"/>
    <w:rsid w:val="003E6A91"/>
    <w:rsid w:val="003E6E54"/>
    <w:rsid w:val="003E73B2"/>
    <w:rsid w:val="003F00F9"/>
    <w:rsid w:val="003F0D4E"/>
    <w:rsid w:val="003F15A6"/>
    <w:rsid w:val="003F1812"/>
    <w:rsid w:val="003F215B"/>
    <w:rsid w:val="003F259A"/>
    <w:rsid w:val="003F2C0E"/>
    <w:rsid w:val="003F2EBD"/>
    <w:rsid w:val="003F31C4"/>
    <w:rsid w:val="003F4003"/>
    <w:rsid w:val="003F5464"/>
    <w:rsid w:val="003F5F1D"/>
    <w:rsid w:val="003F6158"/>
    <w:rsid w:val="003F6408"/>
    <w:rsid w:val="003F71A0"/>
    <w:rsid w:val="00400BFE"/>
    <w:rsid w:val="00401D75"/>
    <w:rsid w:val="00402E07"/>
    <w:rsid w:val="004030B0"/>
    <w:rsid w:val="0040410F"/>
    <w:rsid w:val="00404167"/>
    <w:rsid w:val="00404900"/>
    <w:rsid w:val="0040500B"/>
    <w:rsid w:val="00405555"/>
    <w:rsid w:val="004065A5"/>
    <w:rsid w:val="00410252"/>
    <w:rsid w:val="00410935"/>
    <w:rsid w:val="00411001"/>
    <w:rsid w:val="004112D2"/>
    <w:rsid w:val="00411832"/>
    <w:rsid w:val="00411AC1"/>
    <w:rsid w:val="00412391"/>
    <w:rsid w:val="00413152"/>
    <w:rsid w:val="00414182"/>
    <w:rsid w:val="00415D1E"/>
    <w:rsid w:val="0041622D"/>
    <w:rsid w:val="00417987"/>
    <w:rsid w:val="00417DD3"/>
    <w:rsid w:val="00421FA8"/>
    <w:rsid w:val="004236C4"/>
    <w:rsid w:val="00423A83"/>
    <w:rsid w:val="00423A92"/>
    <w:rsid w:val="00423FB9"/>
    <w:rsid w:val="0042436E"/>
    <w:rsid w:val="00424605"/>
    <w:rsid w:val="004246D1"/>
    <w:rsid w:val="00425043"/>
    <w:rsid w:val="00426BA7"/>
    <w:rsid w:val="00427FB7"/>
    <w:rsid w:val="004300D6"/>
    <w:rsid w:val="004308F2"/>
    <w:rsid w:val="00430937"/>
    <w:rsid w:val="00430CAD"/>
    <w:rsid w:val="00431210"/>
    <w:rsid w:val="00431796"/>
    <w:rsid w:val="00432177"/>
    <w:rsid w:val="0043255D"/>
    <w:rsid w:val="00432785"/>
    <w:rsid w:val="0043288F"/>
    <w:rsid w:val="00432EF6"/>
    <w:rsid w:val="00433ADC"/>
    <w:rsid w:val="00433EAA"/>
    <w:rsid w:val="00434A0A"/>
    <w:rsid w:val="00434FF0"/>
    <w:rsid w:val="004359D7"/>
    <w:rsid w:val="00435A64"/>
    <w:rsid w:val="00435E9E"/>
    <w:rsid w:val="00436620"/>
    <w:rsid w:val="00436871"/>
    <w:rsid w:val="00436C32"/>
    <w:rsid w:val="00440464"/>
    <w:rsid w:val="00440979"/>
    <w:rsid w:val="00440AD8"/>
    <w:rsid w:val="00440BDC"/>
    <w:rsid w:val="004412ED"/>
    <w:rsid w:val="00441AE7"/>
    <w:rsid w:val="00441FB9"/>
    <w:rsid w:val="00442555"/>
    <w:rsid w:val="00443DC7"/>
    <w:rsid w:val="00443FCC"/>
    <w:rsid w:val="0044414B"/>
    <w:rsid w:val="0044419A"/>
    <w:rsid w:val="00444AC0"/>
    <w:rsid w:val="00444CF4"/>
    <w:rsid w:val="00444F03"/>
    <w:rsid w:val="00445017"/>
    <w:rsid w:val="00445EED"/>
    <w:rsid w:val="00446224"/>
    <w:rsid w:val="004470A2"/>
    <w:rsid w:val="0044775C"/>
    <w:rsid w:val="00450F39"/>
    <w:rsid w:val="00451CE6"/>
    <w:rsid w:val="00452746"/>
    <w:rsid w:val="00453100"/>
    <w:rsid w:val="00453874"/>
    <w:rsid w:val="00453CA8"/>
    <w:rsid w:val="00454248"/>
    <w:rsid w:val="004542D9"/>
    <w:rsid w:val="00454D21"/>
    <w:rsid w:val="00454D8E"/>
    <w:rsid w:val="00455FF6"/>
    <w:rsid w:val="0045770C"/>
    <w:rsid w:val="00457821"/>
    <w:rsid w:val="00457931"/>
    <w:rsid w:val="00457B4A"/>
    <w:rsid w:val="00460241"/>
    <w:rsid w:val="00460890"/>
    <w:rsid w:val="00462EC2"/>
    <w:rsid w:val="00463695"/>
    <w:rsid w:val="0046460A"/>
    <w:rsid w:val="0046526A"/>
    <w:rsid w:val="004659FF"/>
    <w:rsid w:val="00466B9D"/>
    <w:rsid w:val="00466E88"/>
    <w:rsid w:val="004673E3"/>
    <w:rsid w:val="00467479"/>
    <w:rsid w:val="0046788B"/>
    <w:rsid w:val="004678B4"/>
    <w:rsid w:val="00467CEC"/>
    <w:rsid w:val="00470D24"/>
    <w:rsid w:val="00471961"/>
    <w:rsid w:val="00471A8C"/>
    <w:rsid w:val="00471E7B"/>
    <w:rsid w:val="00473898"/>
    <w:rsid w:val="0047397E"/>
    <w:rsid w:val="00473F71"/>
    <w:rsid w:val="004740DB"/>
    <w:rsid w:val="004741A8"/>
    <w:rsid w:val="00474FD1"/>
    <w:rsid w:val="004753EA"/>
    <w:rsid w:val="004754A8"/>
    <w:rsid w:val="0047573C"/>
    <w:rsid w:val="00475C55"/>
    <w:rsid w:val="0047667C"/>
    <w:rsid w:val="004806E9"/>
    <w:rsid w:val="00480ABA"/>
    <w:rsid w:val="00480B68"/>
    <w:rsid w:val="00480BAB"/>
    <w:rsid w:val="00481387"/>
    <w:rsid w:val="004829B6"/>
    <w:rsid w:val="00483DE9"/>
    <w:rsid w:val="004841A7"/>
    <w:rsid w:val="004844ED"/>
    <w:rsid w:val="00484A15"/>
    <w:rsid w:val="00484F19"/>
    <w:rsid w:val="004870C3"/>
    <w:rsid w:val="004876D3"/>
    <w:rsid w:val="004879BC"/>
    <w:rsid w:val="00487B22"/>
    <w:rsid w:val="00487F03"/>
    <w:rsid w:val="0049014B"/>
    <w:rsid w:val="004904FF"/>
    <w:rsid w:val="00490E4D"/>
    <w:rsid w:val="00490F35"/>
    <w:rsid w:val="004922AC"/>
    <w:rsid w:val="00492AB2"/>
    <w:rsid w:val="00493108"/>
    <w:rsid w:val="004939CA"/>
    <w:rsid w:val="004945EE"/>
    <w:rsid w:val="00494EA7"/>
    <w:rsid w:val="0049698E"/>
    <w:rsid w:val="00496CBF"/>
    <w:rsid w:val="00496D93"/>
    <w:rsid w:val="00497F3A"/>
    <w:rsid w:val="004A05AE"/>
    <w:rsid w:val="004A0906"/>
    <w:rsid w:val="004A1066"/>
    <w:rsid w:val="004A10ED"/>
    <w:rsid w:val="004A144D"/>
    <w:rsid w:val="004A151B"/>
    <w:rsid w:val="004A18C4"/>
    <w:rsid w:val="004A21C2"/>
    <w:rsid w:val="004A348A"/>
    <w:rsid w:val="004A34B4"/>
    <w:rsid w:val="004A35A0"/>
    <w:rsid w:val="004A43B4"/>
    <w:rsid w:val="004A4765"/>
    <w:rsid w:val="004A4DD5"/>
    <w:rsid w:val="004A4EF6"/>
    <w:rsid w:val="004A55EF"/>
    <w:rsid w:val="004A60C6"/>
    <w:rsid w:val="004A73AF"/>
    <w:rsid w:val="004A751E"/>
    <w:rsid w:val="004A7AD6"/>
    <w:rsid w:val="004B153E"/>
    <w:rsid w:val="004B17D3"/>
    <w:rsid w:val="004B187F"/>
    <w:rsid w:val="004B1D4C"/>
    <w:rsid w:val="004B2591"/>
    <w:rsid w:val="004B282B"/>
    <w:rsid w:val="004B29DF"/>
    <w:rsid w:val="004B2AA2"/>
    <w:rsid w:val="004B2EEB"/>
    <w:rsid w:val="004B32A1"/>
    <w:rsid w:val="004B3AF1"/>
    <w:rsid w:val="004B3FB2"/>
    <w:rsid w:val="004B4524"/>
    <w:rsid w:val="004B4F90"/>
    <w:rsid w:val="004B65B6"/>
    <w:rsid w:val="004B65BB"/>
    <w:rsid w:val="004B69A4"/>
    <w:rsid w:val="004B7717"/>
    <w:rsid w:val="004C0385"/>
    <w:rsid w:val="004C048A"/>
    <w:rsid w:val="004C0CCA"/>
    <w:rsid w:val="004C0D3B"/>
    <w:rsid w:val="004C0E28"/>
    <w:rsid w:val="004C1EAF"/>
    <w:rsid w:val="004C3069"/>
    <w:rsid w:val="004C36F5"/>
    <w:rsid w:val="004C3B7E"/>
    <w:rsid w:val="004C3D55"/>
    <w:rsid w:val="004C474B"/>
    <w:rsid w:val="004C562E"/>
    <w:rsid w:val="004C66E0"/>
    <w:rsid w:val="004C671D"/>
    <w:rsid w:val="004C6B32"/>
    <w:rsid w:val="004D017A"/>
    <w:rsid w:val="004D21E7"/>
    <w:rsid w:val="004D2D66"/>
    <w:rsid w:val="004D3298"/>
    <w:rsid w:val="004D3E37"/>
    <w:rsid w:val="004D4E4A"/>
    <w:rsid w:val="004D53DD"/>
    <w:rsid w:val="004D61E6"/>
    <w:rsid w:val="004D6FD9"/>
    <w:rsid w:val="004D7CBC"/>
    <w:rsid w:val="004E07AE"/>
    <w:rsid w:val="004E07CF"/>
    <w:rsid w:val="004E13F6"/>
    <w:rsid w:val="004E179B"/>
    <w:rsid w:val="004E25EB"/>
    <w:rsid w:val="004E3AA9"/>
    <w:rsid w:val="004E3BAC"/>
    <w:rsid w:val="004E3F3A"/>
    <w:rsid w:val="004E40EA"/>
    <w:rsid w:val="004E4D7B"/>
    <w:rsid w:val="004E5445"/>
    <w:rsid w:val="004E54F0"/>
    <w:rsid w:val="004E5B29"/>
    <w:rsid w:val="004E5E61"/>
    <w:rsid w:val="004E66C8"/>
    <w:rsid w:val="004E6785"/>
    <w:rsid w:val="004E682F"/>
    <w:rsid w:val="004E7AD7"/>
    <w:rsid w:val="004F08B3"/>
    <w:rsid w:val="004F176A"/>
    <w:rsid w:val="004F23DA"/>
    <w:rsid w:val="004F2A3D"/>
    <w:rsid w:val="004F40E3"/>
    <w:rsid w:val="004F49B8"/>
    <w:rsid w:val="004F523E"/>
    <w:rsid w:val="004F525C"/>
    <w:rsid w:val="004F5CF0"/>
    <w:rsid w:val="004F6583"/>
    <w:rsid w:val="004F6685"/>
    <w:rsid w:val="004F6B33"/>
    <w:rsid w:val="004F6BC0"/>
    <w:rsid w:val="004F7079"/>
    <w:rsid w:val="00500079"/>
    <w:rsid w:val="0050074D"/>
    <w:rsid w:val="00500794"/>
    <w:rsid w:val="00500B8A"/>
    <w:rsid w:val="0050263E"/>
    <w:rsid w:val="0050298B"/>
    <w:rsid w:val="0050387D"/>
    <w:rsid w:val="00504CE8"/>
    <w:rsid w:val="0050554D"/>
    <w:rsid w:val="00505F44"/>
    <w:rsid w:val="00506B05"/>
    <w:rsid w:val="00507637"/>
    <w:rsid w:val="0050781B"/>
    <w:rsid w:val="00507C7D"/>
    <w:rsid w:val="00507CE0"/>
    <w:rsid w:val="00510BC5"/>
    <w:rsid w:val="00510DC0"/>
    <w:rsid w:val="0051253C"/>
    <w:rsid w:val="0051310B"/>
    <w:rsid w:val="00513139"/>
    <w:rsid w:val="00514B87"/>
    <w:rsid w:val="00514D18"/>
    <w:rsid w:val="00514E08"/>
    <w:rsid w:val="005159D7"/>
    <w:rsid w:val="00516E7B"/>
    <w:rsid w:val="00517714"/>
    <w:rsid w:val="0052005E"/>
    <w:rsid w:val="00520272"/>
    <w:rsid w:val="005210CE"/>
    <w:rsid w:val="00521106"/>
    <w:rsid w:val="005211E1"/>
    <w:rsid w:val="0052273D"/>
    <w:rsid w:val="00522B31"/>
    <w:rsid w:val="00523055"/>
    <w:rsid w:val="00523B41"/>
    <w:rsid w:val="00523D14"/>
    <w:rsid w:val="00524047"/>
    <w:rsid w:val="005253C1"/>
    <w:rsid w:val="00525657"/>
    <w:rsid w:val="005257C9"/>
    <w:rsid w:val="00525BA3"/>
    <w:rsid w:val="00525C41"/>
    <w:rsid w:val="005273F1"/>
    <w:rsid w:val="00527784"/>
    <w:rsid w:val="00527A3B"/>
    <w:rsid w:val="00527DAF"/>
    <w:rsid w:val="00527E57"/>
    <w:rsid w:val="0053026C"/>
    <w:rsid w:val="00530648"/>
    <w:rsid w:val="00530786"/>
    <w:rsid w:val="00531B66"/>
    <w:rsid w:val="005322EC"/>
    <w:rsid w:val="00534747"/>
    <w:rsid w:val="0053482E"/>
    <w:rsid w:val="00534F57"/>
    <w:rsid w:val="00535EF5"/>
    <w:rsid w:val="00536B64"/>
    <w:rsid w:val="00537E99"/>
    <w:rsid w:val="00537EFB"/>
    <w:rsid w:val="00541937"/>
    <w:rsid w:val="005427F0"/>
    <w:rsid w:val="00543A95"/>
    <w:rsid w:val="00546F25"/>
    <w:rsid w:val="005470EB"/>
    <w:rsid w:val="005504B2"/>
    <w:rsid w:val="00550A6B"/>
    <w:rsid w:val="00550CFF"/>
    <w:rsid w:val="00551778"/>
    <w:rsid w:val="005517D3"/>
    <w:rsid w:val="005528E2"/>
    <w:rsid w:val="00553DF0"/>
    <w:rsid w:val="00553EC3"/>
    <w:rsid w:val="0055459B"/>
    <w:rsid w:val="00554FFA"/>
    <w:rsid w:val="00555446"/>
    <w:rsid w:val="0055563C"/>
    <w:rsid w:val="00555991"/>
    <w:rsid w:val="00556218"/>
    <w:rsid w:val="00557144"/>
    <w:rsid w:val="00560483"/>
    <w:rsid w:val="00560836"/>
    <w:rsid w:val="00560B53"/>
    <w:rsid w:val="00561081"/>
    <w:rsid w:val="0056130A"/>
    <w:rsid w:val="0056171C"/>
    <w:rsid w:val="00562AB5"/>
    <w:rsid w:val="00564AD0"/>
    <w:rsid w:val="005651F0"/>
    <w:rsid w:val="00565377"/>
    <w:rsid w:val="005656CF"/>
    <w:rsid w:val="0056580B"/>
    <w:rsid w:val="00565BEC"/>
    <w:rsid w:val="00565CB5"/>
    <w:rsid w:val="00565DB2"/>
    <w:rsid w:val="00566879"/>
    <w:rsid w:val="00570635"/>
    <w:rsid w:val="00571550"/>
    <w:rsid w:val="00571A41"/>
    <w:rsid w:val="00571DA9"/>
    <w:rsid w:val="005723A4"/>
    <w:rsid w:val="00572967"/>
    <w:rsid w:val="00573911"/>
    <w:rsid w:val="00573E4D"/>
    <w:rsid w:val="0057733F"/>
    <w:rsid w:val="0057786A"/>
    <w:rsid w:val="005810F2"/>
    <w:rsid w:val="00582045"/>
    <w:rsid w:val="0058326E"/>
    <w:rsid w:val="0058359B"/>
    <w:rsid w:val="005839E7"/>
    <w:rsid w:val="00584309"/>
    <w:rsid w:val="00584483"/>
    <w:rsid w:val="00584F52"/>
    <w:rsid w:val="005850C0"/>
    <w:rsid w:val="00586BB3"/>
    <w:rsid w:val="005875AA"/>
    <w:rsid w:val="0058766D"/>
    <w:rsid w:val="00587C85"/>
    <w:rsid w:val="00587EA6"/>
    <w:rsid w:val="00590247"/>
    <w:rsid w:val="005903FB"/>
    <w:rsid w:val="00590E54"/>
    <w:rsid w:val="00590EA1"/>
    <w:rsid w:val="0059101E"/>
    <w:rsid w:val="00591C89"/>
    <w:rsid w:val="00592001"/>
    <w:rsid w:val="00592A39"/>
    <w:rsid w:val="00592F14"/>
    <w:rsid w:val="0059330A"/>
    <w:rsid w:val="005939A2"/>
    <w:rsid w:val="00593D93"/>
    <w:rsid w:val="00593FD5"/>
    <w:rsid w:val="0059463E"/>
    <w:rsid w:val="00594CEC"/>
    <w:rsid w:val="00594EEC"/>
    <w:rsid w:val="0059657F"/>
    <w:rsid w:val="00596A26"/>
    <w:rsid w:val="0059745F"/>
    <w:rsid w:val="005A0449"/>
    <w:rsid w:val="005A06EB"/>
    <w:rsid w:val="005A0886"/>
    <w:rsid w:val="005A08C1"/>
    <w:rsid w:val="005A1055"/>
    <w:rsid w:val="005A12B0"/>
    <w:rsid w:val="005A1724"/>
    <w:rsid w:val="005A18A0"/>
    <w:rsid w:val="005A3ACF"/>
    <w:rsid w:val="005A47BE"/>
    <w:rsid w:val="005A48B5"/>
    <w:rsid w:val="005A572B"/>
    <w:rsid w:val="005A5959"/>
    <w:rsid w:val="005A64E5"/>
    <w:rsid w:val="005A7A9D"/>
    <w:rsid w:val="005A7B44"/>
    <w:rsid w:val="005B0CF1"/>
    <w:rsid w:val="005B146E"/>
    <w:rsid w:val="005B1528"/>
    <w:rsid w:val="005B16FD"/>
    <w:rsid w:val="005B3CD5"/>
    <w:rsid w:val="005B496B"/>
    <w:rsid w:val="005B4D13"/>
    <w:rsid w:val="005B4E1F"/>
    <w:rsid w:val="005B5185"/>
    <w:rsid w:val="005B51EC"/>
    <w:rsid w:val="005B53CB"/>
    <w:rsid w:val="005B5802"/>
    <w:rsid w:val="005B63DD"/>
    <w:rsid w:val="005B6913"/>
    <w:rsid w:val="005B7AD9"/>
    <w:rsid w:val="005C13B4"/>
    <w:rsid w:val="005C1525"/>
    <w:rsid w:val="005C3409"/>
    <w:rsid w:val="005C36E5"/>
    <w:rsid w:val="005C4FFD"/>
    <w:rsid w:val="005C5F46"/>
    <w:rsid w:val="005C65E2"/>
    <w:rsid w:val="005C6668"/>
    <w:rsid w:val="005C6A77"/>
    <w:rsid w:val="005C7160"/>
    <w:rsid w:val="005C76E7"/>
    <w:rsid w:val="005D0623"/>
    <w:rsid w:val="005D081E"/>
    <w:rsid w:val="005D1028"/>
    <w:rsid w:val="005D1494"/>
    <w:rsid w:val="005D1D28"/>
    <w:rsid w:val="005D2804"/>
    <w:rsid w:val="005D2903"/>
    <w:rsid w:val="005D3051"/>
    <w:rsid w:val="005D32D7"/>
    <w:rsid w:val="005D3384"/>
    <w:rsid w:val="005D3B94"/>
    <w:rsid w:val="005D49B6"/>
    <w:rsid w:val="005D4C1E"/>
    <w:rsid w:val="005D4D3F"/>
    <w:rsid w:val="005D52C3"/>
    <w:rsid w:val="005D5407"/>
    <w:rsid w:val="005D5C58"/>
    <w:rsid w:val="005D6097"/>
    <w:rsid w:val="005D7276"/>
    <w:rsid w:val="005D7F36"/>
    <w:rsid w:val="005E0CB5"/>
    <w:rsid w:val="005E0D35"/>
    <w:rsid w:val="005E13BE"/>
    <w:rsid w:val="005E14DE"/>
    <w:rsid w:val="005E172C"/>
    <w:rsid w:val="005E27B8"/>
    <w:rsid w:val="005E2B48"/>
    <w:rsid w:val="005E39E1"/>
    <w:rsid w:val="005E3C5D"/>
    <w:rsid w:val="005E43E7"/>
    <w:rsid w:val="005E4556"/>
    <w:rsid w:val="005E4E51"/>
    <w:rsid w:val="005E51EB"/>
    <w:rsid w:val="005E62C7"/>
    <w:rsid w:val="005E6EE7"/>
    <w:rsid w:val="005F063B"/>
    <w:rsid w:val="005F0B87"/>
    <w:rsid w:val="005F0F3F"/>
    <w:rsid w:val="005F1654"/>
    <w:rsid w:val="005F1C3F"/>
    <w:rsid w:val="005F3213"/>
    <w:rsid w:val="005F347F"/>
    <w:rsid w:val="005F3F54"/>
    <w:rsid w:val="005F413A"/>
    <w:rsid w:val="005F54BD"/>
    <w:rsid w:val="005F572A"/>
    <w:rsid w:val="005F5795"/>
    <w:rsid w:val="005F5ED8"/>
    <w:rsid w:val="005F76FE"/>
    <w:rsid w:val="005F79EF"/>
    <w:rsid w:val="006001AE"/>
    <w:rsid w:val="006002FC"/>
    <w:rsid w:val="00600DCD"/>
    <w:rsid w:val="00602173"/>
    <w:rsid w:val="006022DC"/>
    <w:rsid w:val="006027E8"/>
    <w:rsid w:val="00605A00"/>
    <w:rsid w:val="00605C0F"/>
    <w:rsid w:val="00605D4C"/>
    <w:rsid w:val="00605E87"/>
    <w:rsid w:val="00605E91"/>
    <w:rsid w:val="00606446"/>
    <w:rsid w:val="00606E4E"/>
    <w:rsid w:val="006074EE"/>
    <w:rsid w:val="00610337"/>
    <w:rsid w:val="0061060D"/>
    <w:rsid w:val="00610DE8"/>
    <w:rsid w:val="006119E7"/>
    <w:rsid w:val="00612941"/>
    <w:rsid w:val="00613267"/>
    <w:rsid w:val="00613480"/>
    <w:rsid w:val="0061400C"/>
    <w:rsid w:val="00614ABA"/>
    <w:rsid w:val="00614F36"/>
    <w:rsid w:val="00615F06"/>
    <w:rsid w:val="00616AC3"/>
    <w:rsid w:val="00617353"/>
    <w:rsid w:val="00617D4C"/>
    <w:rsid w:val="00621A43"/>
    <w:rsid w:val="00621E61"/>
    <w:rsid w:val="0062256D"/>
    <w:rsid w:val="00622FD7"/>
    <w:rsid w:val="00624FDB"/>
    <w:rsid w:val="00626A68"/>
    <w:rsid w:val="00626D3E"/>
    <w:rsid w:val="006277FF"/>
    <w:rsid w:val="00630440"/>
    <w:rsid w:val="006305AE"/>
    <w:rsid w:val="006306FD"/>
    <w:rsid w:val="00630744"/>
    <w:rsid w:val="00630A69"/>
    <w:rsid w:val="00630BB0"/>
    <w:rsid w:val="00631A00"/>
    <w:rsid w:val="00631FF6"/>
    <w:rsid w:val="006320A7"/>
    <w:rsid w:val="006333F1"/>
    <w:rsid w:val="00633903"/>
    <w:rsid w:val="00633F95"/>
    <w:rsid w:val="006353DB"/>
    <w:rsid w:val="006357EF"/>
    <w:rsid w:val="00637377"/>
    <w:rsid w:val="00637446"/>
    <w:rsid w:val="0063764A"/>
    <w:rsid w:val="006378E4"/>
    <w:rsid w:val="0063797C"/>
    <w:rsid w:val="00637CBA"/>
    <w:rsid w:val="00640AC7"/>
    <w:rsid w:val="006414F8"/>
    <w:rsid w:val="0064194E"/>
    <w:rsid w:val="00642049"/>
    <w:rsid w:val="006424E7"/>
    <w:rsid w:val="00642850"/>
    <w:rsid w:val="00642898"/>
    <w:rsid w:val="00643A45"/>
    <w:rsid w:val="00643A72"/>
    <w:rsid w:val="00643C32"/>
    <w:rsid w:val="0064487C"/>
    <w:rsid w:val="00644A8A"/>
    <w:rsid w:val="006460DD"/>
    <w:rsid w:val="00646CFF"/>
    <w:rsid w:val="0064738E"/>
    <w:rsid w:val="00651883"/>
    <w:rsid w:val="006518F4"/>
    <w:rsid w:val="006519FA"/>
    <w:rsid w:val="00651C1F"/>
    <w:rsid w:val="00651CCF"/>
    <w:rsid w:val="0065220F"/>
    <w:rsid w:val="00652753"/>
    <w:rsid w:val="00652EE4"/>
    <w:rsid w:val="00653838"/>
    <w:rsid w:val="006545F1"/>
    <w:rsid w:val="00654D22"/>
    <w:rsid w:val="00655900"/>
    <w:rsid w:val="00656364"/>
    <w:rsid w:val="0065665A"/>
    <w:rsid w:val="00656912"/>
    <w:rsid w:val="00656D90"/>
    <w:rsid w:val="00656FD8"/>
    <w:rsid w:val="006570E2"/>
    <w:rsid w:val="00657A53"/>
    <w:rsid w:val="006603D8"/>
    <w:rsid w:val="00660C69"/>
    <w:rsid w:val="00661AB6"/>
    <w:rsid w:val="0066293A"/>
    <w:rsid w:val="00662A51"/>
    <w:rsid w:val="00662CD1"/>
    <w:rsid w:val="00663241"/>
    <w:rsid w:val="00663354"/>
    <w:rsid w:val="00663BB7"/>
    <w:rsid w:val="00663FF4"/>
    <w:rsid w:val="00665BCC"/>
    <w:rsid w:val="00666973"/>
    <w:rsid w:val="00667635"/>
    <w:rsid w:val="00667D4C"/>
    <w:rsid w:val="00667E67"/>
    <w:rsid w:val="006703D6"/>
    <w:rsid w:val="00670862"/>
    <w:rsid w:val="00671283"/>
    <w:rsid w:val="00671522"/>
    <w:rsid w:val="00671634"/>
    <w:rsid w:val="00671C10"/>
    <w:rsid w:val="00671D43"/>
    <w:rsid w:val="00672505"/>
    <w:rsid w:val="00672750"/>
    <w:rsid w:val="006736BC"/>
    <w:rsid w:val="00673814"/>
    <w:rsid w:val="00673F42"/>
    <w:rsid w:val="006740AC"/>
    <w:rsid w:val="006741C8"/>
    <w:rsid w:val="006744E9"/>
    <w:rsid w:val="00674B82"/>
    <w:rsid w:val="00674EDC"/>
    <w:rsid w:val="0067537D"/>
    <w:rsid w:val="006754AA"/>
    <w:rsid w:val="00675CCD"/>
    <w:rsid w:val="006778DB"/>
    <w:rsid w:val="00677A1B"/>
    <w:rsid w:val="00680CA0"/>
    <w:rsid w:val="00680F05"/>
    <w:rsid w:val="00681479"/>
    <w:rsid w:val="006817CE"/>
    <w:rsid w:val="00682231"/>
    <w:rsid w:val="0068297C"/>
    <w:rsid w:val="00682C79"/>
    <w:rsid w:val="006832D4"/>
    <w:rsid w:val="0068372C"/>
    <w:rsid w:val="00684B54"/>
    <w:rsid w:val="00685350"/>
    <w:rsid w:val="00685619"/>
    <w:rsid w:val="00685F14"/>
    <w:rsid w:val="00685FEB"/>
    <w:rsid w:val="006870BA"/>
    <w:rsid w:val="00687C98"/>
    <w:rsid w:val="00687D48"/>
    <w:rsid w:val="006907F6"/>
    <w:rsid w:val="00690919"/>
    <w:rsid w:val="00692A8A"/>
    <w:rsid w:val="0069310B"/>
    <w:rsid w:val="00693585"/>
    <w:rsid w:val="006944B2"/>
    <w:rsid w:val="00694D19"/>
    <w:rsid w:val="00695C1F"/>
    <w:rsid w:val="00695D3F"/>
    <w:rsid w:val="00696052"/>
    <w:rsid w:val="00696DDB"/>
    <w:rsid w:val="0069782A"/>
    <w:rsid w:val="006A262A"/>
    <w:rsid w:val="006A2AAF"/>
    <w:rsid w:val="006A2D72"/>
    <w:rsid w:val="006A4449"/>
    <w:rsid w:val="006A46D3"/>
    <w:rsid w:val="006A4BBA"/>
    <w:rsid w:val="006A4D9C"/>
    <w:rsid w:val="006A5292"/>
    <w:rsid w:val="006A6AF1"/>
    <w:rsid w:val="006A6B75"/>
    <w:rsid w:val="006A6E3D"/>
    <w:rsid w:val="006A7127"/>
    <w:rsid w:val="006A789A"/>
    <w:rsid w:val="006B25D7"/>
    <w:rsid w:val="006B2A4F"/>
    <w:rsid w:val="006B3202"/>
    <w:rsid w:val="006B4178"/>
    <w:rsid w:val="006B5A33"/>
    <w:rsid w:val="006B60B7"/>
    <w:rsid w:val="006B6367"/>
    <w:rsid w:val="006B76EF"/>
    <w:rsid w:val="006B79C7"/>
    <w:rsid w:val="006B7AE5"/>
    <w:rsid w:val="006B7C35"/>
    <w:rsid w:val="006B7E4B"/>
    <w:rsid w:val="006C06CE"/>
    <w:rsid w:val="006C0814"/>
    <w:rsid w:val="006C0931"/>
    <w:rsid w:val="006C0BB5"/>
    <w:rsid w:val="006C35E7"/>
    <w:rsid w:val="006C3A39"/>
    <w:rsid w:val="006C3AF7"/>
    <w:rsid w:val="006C3B61"/>
    <w:rsid w:val="006C4098"/>
    <w:rsid w:val="006C4CA9"/>
    <w:rsid w:val="006C508E"/>
    <w:rsid w:val="006C6293"/>
    <w:rsid w:val="006C6727"/>
    <w:rsid w:val="006D15E6"/>
    <w:rsid w:val="006D1CDF"/>
    <w:rsid w:val="006D38C4"/>
    <w:rsid w:val="006D3B3D"/>
    <w:rsid w:val="006D3DC7"/>
    <w:rsid w:val="006D41BB"/>
    <w:rsid w:val="006D42B6"/>
    <w:rsid w:val="006D4963"/>
    <w:rsid w:val="006D4E22"/>
    <w:rsid w:val="006D5003"/>
    <w:rsid w:val="006D5548"/>
    <w:rsid w:val="006D55BE"/>
    <w:rsid w:val="006D5C00"/>
    <w:rsid w:val="006D5DF3"/>
    <w:rsid w:val="006D6C4C"/>
    <w:rsid w:val="006D6FC9"/>
    <w:rsid w:val="006E00B7"/>
    <w:rsid w:val="006E087E"/>
    <w:rsid w:val="006E098F"/>
    <w:rsid w:val="006E0AF7"/>
    <w:rsid w:val="006E19C8"/>
    <w:rsid w:val="006E19E9"/>
    <w:rsid w:val="006E2781"/>
    <w:rsid w:val="006E29A3"/>
    <w:rsid w:val="006E2B10"/>
    <w:rsid w:val="006E2D78"/>
    <w:rsid w:val="006E372F"/>
    <w:rsid w:val="006E4F26"/>
    <w:rsid w:val="006E50D8"/>
    <w:rsid w:val="006E56A2"/>
    <w:rsid w:val="006E615E"/>
    <w:rsid w:val="006E6C75"/>
    <w:rsid w:val="006E71CF"/>
    <w:rsid w:val="006E7241"/>
    <w:rsid w:val="006E7930"/>
    <w:rsid w:val="006F007B"/>
    <w:rsid w:val="006F07AF"/>
    <w:rsid w:val="006F0815"/>
    <w:rsid w:val="006F0A44"/>
    <w:rsid w:val="006F156C"/>
    <w:rsid w:val="006F196E"/>
    <w:rsid w:val="006F1E71"/>
    <w:rsid w:val="006F26A8"/>
    <w:rsid w:val="006F337E"/>
    <w:rsid w:val="006F5ED1"/>
    <w:rsid w:val="006F7622"/>
    <w:rsid w:val="006F7BEB"/>
    <w:rsid w:val="0070080E"/>
    <w:rsid w:val="00700A40"/>
    <w:rsid w:val="00700BA0"/>
    <w:rsid w:val="00701773"/>
    <w:rsid w:val="00701933"/>
    <w:rsid w:val="0070252F"/>
    <w:rsid w:val="00702623"/>
    <w:rsid w:val="00702F60"/>
    <w:rsid w:val="00704058"/>
    <w:rsid w:val="00704519"/>
    <w:rsid w:val="007048E1"/>
    <w:rsid w:val="00705EF9"/>
    <w:rsid w:val="0070609D"/>
    <w:rsid w:val="007106F4"/>
    <w:rsid w:val="00710EAF"/>
    <w:rsid w:val="00710EE3"/>
    <w:rsid w:val="0071263A"/>
    <w:rsid w:val="00712B00"/>
    <w:rsid w:val="0071301A"/>
    <w:rsid w:val="00714AB1"/>
    <w:rsid w:val="0071510C"/>
    <w:rsid w:val="00715965"/>
    <w:rsid w:val="0071614F"/>
    <w:rsid w:val="00716DA2"/>
    <w:rsid w:val="00717664"/>
    <w:rsid w:val="00717787"/>
    <w:rsid w:val="007211FC"/>
    <w:rsid w:val="007215D9"/>
    <w:rsid w:val="00721758"/>
    <w:rsid w:val="00722B3D"/>
    <w:rsid w:val="00722FD3"/>
    <w:rsid w:val="00724F5F"/>
    <w:rsid w:val="007252B3"/>
    <w:rsid w:val="00725E3C"/>
    <w:rsid w:val="007268BA"/>
    <w:rsid w:val="007305AD"/>
    <w:rsid w:val="00730A55"/>
    <w:rsid w:val="00730AC8"/>
    <w:rsid w:val="0073150F"/>
    <w:rsid w:val="007326BD"/>
    <w:rsid w:val="007339C3"/>
    <w:rsid w:val="00733E45"/>
    <w:rsid w:val="007342BE"/>
    <w:rsid w:val="007353B6"/>
    <w:rsid w:val="007369C7"/>
    <w:rsid w:val="007370C1"/>
    <w:rsid w:val="0074074B"/>
    <w:rsid w:val="007409CE"/>
    <w:rsid w:val="00741133"/>
    <w:rsid w:val="00741136"/>
    <w:rsid w:val="007425D3"/>
    <w:rsid w:val="00742A51"/>
    <w:rsid w:val="00742D5F"/>
    <w:rsid w:val="00742DBD"/>
    <w:rsid w:val="00742F16"/>
    <w:rsid w:val="0074308C"/>
    <w:rsid w:val="00744232"/>
    <w:rsid w:val="00745268"/>
    <w:rsid w:val="007454F7"/>
    <w:rsid w:val="00746DC1"/>
    <w:rsid w:val="00746E95"/>
    <w:rsid w:val="00747B54"/>
    <w:rsid w:val="00752317"/>
    <w:rsid w:val="00752908"/>
    <w:rsid w:val="007550F7"/>
    <w:rsid w:val="007563B3"/>
    <w:rsid w:val="00757383"/>
    <w:rsid w:val="007574D7"/>
    <w:rsid w:val="0075763B"/>
    <w:rsid w:val="00757E2D"/>
    <w:rsid w:val="00760564"/>
    <w:rsid w:val="00760E7D"/>
    <w:rsid w:val="0076147A"/>
    <w:rsid w:val="00761DB2"/>
    <w:rsid w:val="007620B1"/>
    <w:rsid w:val="00762551"/>
    <w:rsid w:val="00762696"/>
    <w:rsid w:val="00762875"/>
    <w:rsid w:val="00763657"/>
    <w:rsid w:val="007639FE"/>
    <w:rsid w:val="00763D0C"/>
    <w:rsid w:val="00765450"/>
    <w:rsid w:val="0076614F"/>
    <w:rsid w:val="00766194"/>
    <w:rsid w:val="007662A7"/>
    <w:rsid w:val="00766827"/>
    <w:rsid w:val="0076783C"/>
    <w:rsid w:val="00767F7D"/>
    <w:rsid w:val="00771714"/>
    <w:rsid w:val="00771ABA"/>
    <w:rsid w:val="00771E3E"/>
    <w:rsid w:val="007727A6"/>
    <w:rsid w:val="00772CEE"/>
    <w:rsid w:val="00772F5A"/>
    <w:rsid w:val="0077379B"/>
    <w:rsid w:val="00773A2D"/>
    <w:rsid w:val="00774459"/>
    <w:rsid w:val="007744C4"/>
    <w:rsid w:val="007754C8"/>
    <w:rsid w:val="00775A6F"/>
    <w:rsid w:val="00775B4E"/>
    <w:rsid w:val="00775FF7"/>
    <w:rsid w:val="00776B6A"/>
    <w:rsid w:val="00777393"/>
    <w:rsid w:val="00777A00"/>
    <w:rsid w:val="00777ABB"/>
    <w:rsid w:val="00777F6F"/>
    <w:rsid w:val="0078255F"/>
    <w:rsid w:val="0078281B"/>
    <w:rsid w:val="007832BE"/>
    <w:rsid w:val="0078368B"/>
    <w:rsid w:val="0078390F"/>
    <w:rsid w:val="00783B37"/>
    <w:rsid w:val="00783BFD"/>
    <w:rsid w:val="00783CA5"/>
    <w:rsid w:val="0078422E"/>
    <w:rsid w:val="0078432D"/>
    <w:rsid w:val="007851D6"/>
    <w:rsid w:val="007855C3"/>
    <w:rsid w:val="007855F4"/>
    <w:rsid w:val="00785A43"/>
    <w:rsid w:val="007870CD"/>
    <w:rsid w:val="00787689"/>
    <w:rsid w:val="00790AC3"/>
    <w:rsid w:val="007923D1"/>
    <w:rsid w:val="007931B6"/>
    <w:rsid w:val="00793611"/>
    <w:rsid w:val="00793896"/>
    <w:rsid w:val="00793B7F"/>
    <w:rsid w:val="007942BE"/>
    <w:rsid w:val="0079457E"/>
    <w:rsid w:val="00794B3F"/>
    <w:rsid w:val="00794C23"/>
    <w:rsid w:val="007953A8"/>
    <w:rsid w:val="007956BC"/>
    <w:rsid w:val="00796317"/>
    <w:rsid w:val="007965AE"/>
    <w:rsid w:val="007965C6"/>
    <w:rsid w:val="007969B0"/>
    <w:rsid w:val="0079778C"/>
    <w:rsid w:val="007A0928"/>
    <w:rsid w:val="007A108F"/>
    <w:rsid w:val="007A1551"/>
    <w:rsid w:val="007A22C3"/>
    <w:rsid w:val="007A2926"/>
    <w:rsid w:val="007A36F8"/>
    <w:rsid w:val="007A3807"/>
    <w:rsid w:val="007A40EF"/>
    <w:rsid w:val="007A49EF"/>
    <w:rsid w:val="007A4BF6"/>
    <w:rsid w:val="007A532C"/>
    <w:rsid w:val="007A53D0"/>
    <w:rsid w:val="007A5C9F"/>
    <w:rsid w:val="007A6707"/>
    <w:rsid w:val="007A708C"/>
    <w:rsid w:val="007A7C09"/>
    <w:rsid w:val="007B0251"/>
    <w:rsid w:val="007B0EB5"/>
    <w:rsid w:val="007B254B"/>
    <w:rsid w:val="007B3F2B"/>
    <w:rsid w:val="007B4EE0"/>
    <w:rsid w:val="007B5406"/>
    <w:rsid w:val="007B54F2"/>
    <w:rsid w:val="007B5FF9"/>
    <w:rsid w:val="007B661B"/>
    <w:rsid w:val="007B69DA"/>
    <w:rsid w:val="007B76E1"/>
    <w:rsid w:val="007C130E"/>
    <w:rsid w:val="007C238A"/>
    <w:rsid w:val="007C26DE"/>
    <w:rsid w:val="007C4DBA"/>
    <w:rsid w:val="007C5053"/>
    <w:rsid w:val="007C550A"/>
    <w:rsid w:val="007C57C0"/>
    <w:rsid w:val="007C5CD5"/>
    <w:rsid w:val="007C6033"/>
    <w:rsid w:val="007D0BEE"/>
    <w:rsid w:val="007D21BC"/>
    <w:rsid w:val="007D245C"/>
    <w:rsid w:val="007D272F"/>
    <w:rsid w:val="007D2CD2"/>
    <w:rsid w:val="007D2E88"/>
    <w:rsid w:val="007D3506"/>
    <w:rsid w:val="007D3533"/>
    <w:rsid w:val="007D35E3"/>
    <w:rsid w:val="007D5117"/>
    <w:rsid w:val="007D58C3"/>
    <w:rsid w:val="007D5EF1"/>
    <w:rsid w:val="007D65C5"/>
    <w:rsid w:val="007D6A41"/>
    <w:rsid w:val="007D6B5D"/>
    <w:rsid w:val="007D7B21"/>
    <w:rsid w:val="007D7DEA"/>
    <w:rsid w:val="007E0C40"/>
    <w:rsid w:val="007E146E"/>
    <w:rsid w:val="007E147B"/>
    <w:rsid w:val="007E1495"/>
    <w:rsid w:val="007E14BE"/>
    <w:rsid w:val="007E14D3"/>
    <w:rsid w:val="007E17B5"/>
    <w:rsid w:val="007E1B61"/>
    <w:rsid w:val="007E2297"/>
    <w:rsid w:val="007E26C8"/>
    <w:rsid w:val="007E2A89"/>
    <w:rsid w:val="007E2FA1"/>
    <w:rsid w:val="007E374F"/>
    <w:rsid w:val="007E378F"/>
    <w:rsid w:val="007E38BE"/>
    <w:rsid w:val="007E4000"/>
    <w:rsid w:val="007E462E"/>
    <w:rsid w:val="007E4807"/>
    <w:rsid w:val="007E4933"/>
    <w:rsid w:val="007E4ADB"/>
    <w:rsid w:val="007E512D"/>
    <w:rsid w:val="007E5BD9"/>
    <w:rsid w:val="007E6837"/>
    <w:rsid w:val="007E6886"/>
    <w:rsid w:val="007E6FDD"/>
    <w:rsid w:val="007E721B"/>
    <w:rsid w:val="007F10B8"/>
    <w:rsid w:val="007F298C"/>
    <w:rsid w:val="007F2B0C"/>
    <w:rsid w:val="007F3737"/>
    <w:rsid w:val="007F3AE3"/>
    <w:rsid w:val="007F4395"/>
    <w:rsid w:val="007F462E"/>
    <w:rsid w:val="007F4740"/>
    <w:rsid w:val="007F49BB"/>
    <w:rsid w:val="007F4BBD"/>
    <w:rsid w:val="007F518C"/>
    <w:rsid w:val="007F561A"/>
    <w:rsid w:val="007F5972"/>
    <w:rsid w:val="007F599E"/>
    <w:rsid w:val="007F5EBC"/>
    <w:rsid w:val="007F6CC6"/>
    <w:rsid w:val="007F7E93"/>
    <w:rsid w:val="008007F3"/>
    <w:rsid w:val="008011CE"/>
    <w:rsid w:val="00801C3D"/>
    <w:rsid w:val="0080237A"/>
    <w:rsid w:val="0080255D"/>
    <w:rsid w:val="00802A28"/>
    <w:rsid w:val="00802FF6"/>
    <w:rsid w:val="008054EE"/>
    <w:rsid w:val="008056C0"/>
    <w:rsid w:val="008063FD"/>
    <w:rsid w:val="0080647D"/>
    <w:rsid w:val="00810BAC"/>
    <w:rsid w:val="008118C3"/>
    <w:rsid w:val="00811E0B"/>
    <w:rsid w:val="00812156"/>
    <w:rsid w:val="00812C7A"/>
    <w:rsid w:val="0081369A"/>
    <w:rsid w:val="00813763"/>
    <w:rsid w:val="00814BD6"/>
    <w:rsid w:val="00815716"/>
    <w:rsid w:val="0081593F"/>
    <w:rsid w:val="00815F36"/>
    <w:rsid w:val="00815FF2"/>
    <w:rsid w:val="00816329"/>
    <w:rsid w:val="00816E88"/>
    <w:rsid w:val="0081766B"/>
    <w:rsid w:val="008177DC"/>
    <w:rsid w:val="00820D7E"/>
    <w:rsid w:val="00821E39"/>
    <w:rsid w:val="00821F51"/>
    <w:rsid w:val="008221FF"/>
    <w:rsid w:val="0082266F"/>
    <w:rsid w:val="008232E5"/>
    <w:rsid w:val="00823348"/>
    <w:rsid w:val="00823955"/>
    <w:rsid w:val="00825682"/>
    <w:rsid w:val="00825E1E"/>
    <w:rsid w:val="0082668E"/>
    <w:rsid w:val="00826775"/>
    <w:rsid w:val="00827DD0"/>
    <w:rsid w:val="0083006B"/>
    <w:rsid w:val="008309B5"/>
    <w:rsid w:val="00832630"/>
    <w:rsid w:val="008334AA"/>
    <w:rsid w:val="00835065"/>
    <w:rsid w:val="008358B7"/>
    <w:rsid w:val="00835D77"/>
    <w:rsid w:val="00835E5E"/>
    <w:rsid w:val="0083646B"/>
    <w:rsid w:val="0083650B"/>
    <w:rsid w:val="00836A65"/>
    <w:rsid w:val="008401BF"/>
    <w:rsid w:val="0084080B"/>
    <w:rsid w:val="00841481"/>
    <w:rsid w:val="00841D43"/>
    <w:rsid w:val="00842B72"/>
    <w:rsid w:val="00842E8B"/>
    <w:rsid w:val="00842FFF"/>
    <w:rsid w:val="0084374C"/>
    <w:rsid w:val="00843811"/>
    <w:rsid w:val="008463B7"/>
    <w:rsid w:val="008472FD"/>
    <w:rsid w:val="00850011"/>
    <w:rsid w:val="00850586"/>
    <w:rsid w:val="00851375"/>
    <w:rsid w:val="0085174C"/>
    <w:rsid w:val="00851C34"/>
    <w:rsid w:val="00852A65"/>
    <w:rsid w:val="008546A0"/>
    <w:rsid w:val="00854735"/>
    <w:rsid w:val="00854E53"/>
    <w:rsid w:val="0085688F"/>
    <w:rsid w:val="00856CBA"/>
    <w:rsid w:val="00860DB1"/>
    <w:rsid w:val="00860FC7"/>
    <w:rsid w:val="008620C9"/>
    <w:rsid w:val="0086289B"/>
    <w:rsid w:val="00862CD4"/>
    <w:rsid w:val="00862F56"/>
    <w:rsid w:val="0086393C"/>
    <w:rsid w:val="00863BCF"/>
    <w:rsid w:val="00863C8E"/>
    <w:rsid w:val="00864312"/>
    <w:rsid w:val="00864562"/>
    <w:rsid w:val="008645A3"/>
    <w:rsid w:val="008645E8"/>
    <w:rsid w:val="00864ABB"/>
    <w:rsid w:val="00865252"/>
    <w:rsid w:val="008658FE"/>
    <w:rsid w:val="00865AAC"/>
    <w:rsid w:val="0086600C"/>
    <w:rsid w:val="00866489"/>
    <w:rsid w:val="008666C5"/>
    <w:rsid w:val="008673D7"/>
    <w:rsid w:val="00867DBB"/>
    <w:rsid w:val="0087003A"/>
    <w:rsid w:val="00870AD3"/>
    <w:rsid w:val="00871719"/>
    <w:rsid w:val="00871E35"/>
    <w:rsid w:val="00871F73"/>
    <w:rsid w:val="00872FE1"/>
    <w:rsid w:val="00873AE4"/>
    <w:rsid w:val="00873B46"/>
    <w:rsid w:val="00873F54"/>
    <w:rsid w:val="00874302"/>
    <w:rsid w:val="0087442F"/>
    <w:rsid w:val="00874EB6"/>
    <w:rsid w:val="008751AE"/>
    <w:rsid w:val="00877B13"/>
    <w:rsid w:val="00877D96"/>
    <w:rsid w:val="00877F37"/>
    <w:rsid w:val="008801CF"/>
    <w:rsid w:val="008801FD"/>
    <w:rsid w:val="0088052E"/>
    <w:rsid w:val="00880F06"/>
    <w:rsid w:val="008810C7"/>
    <w:rsid w:val="00881D52"/>
    <w:rsid w:val="008823CD"/>
    <w:rsid w:val="00882D8A"/>
    <w:rsid w:val="008830BA"/>
    <w:rsid w:val="008834E1"/>
    <w:rsid w:val="00884172"/>
    <w:rsid w:val="00884BFF"/>
    <w:rsid w:val="00886B23"/>
    <w:rsid w:val="00886CA5"/>
    <w:rsid w:val="00886D0F"/>
    <w:rsid w:val="0088734A"/>
    <w:rsid w:val="00887DEA"/>
    <w:rsid w:val="00887FD3"/>
    <w:rsid w:val="00891AEC"/>
    <w:rsid w:val="00893116"/>
    <w:rsid w:val="00894178"/>
    <w:rsid w:val="008948CE"/>
    <w:rsid w:val="00894A77"/>
    <w:rsid w:val="00894B33"/>
    <w:rsid w:val="008950B8"/>
    <w:rsid w:val="00896148"/>
    <w:rsid w:val="00896B9D"/>
    <w:rsid w:val="008973F2"/>
    <w:rsid w:val="00897912"/>
    <w:rsid w:val="008A1536"/>
    <w:rsid w:val="008A161A"/>
    <w:rsid w:val="008A177D"/>
    <w:rsid w:val="008A2337"/>
    <w:rsid w:val="008A2D83"/>
    <w:rsid w:val="008A379E"/>
    <w:rsid w:val="008A39AC"/>
    <w:rsid w:val="008A5932"/>
    <w:rsid w:val="008A753F"/>
    <w:rsid w:val="008A75DE"/>
    <w:rsid w:val="008B03AE"/>
    <w:rsid w:val="008B0819"/>
    <w:rsid w:val="008B08BC"/>
    <w:rsid w:val="008B1534"/>
    <w:rsid w:val="008B18B2"/>
    <w:rsid w:val="008B3440"/>
    <w:rsid w:val="008B3828"/>
    <w:rsid w:val="008B40E5"/>
    <w:rsid w:val="008B5071"/>
    <w:rsid w:val="008B64D8"/>
    <w:rsid w:val="008B6892"/>
    <w:rsid w:val="008B7124"/>
    <w:rsid w:val="008C01AA"/>
    <w:rsid w:val="008C0EEE"/>
    <w:rsid w:val="008C145C"/>
    <w:rsid w:val="008C2C11"/>
    <w:rsid w:val="008C49A6"/>
    <w:rsid w:val="008C503C"/>
    <w:rsid w:val="008C572C"/>
    <w:rsid w:val="008C60CB"/>
    <w:rsid w:val="008C656E"/>
    <w:rsid w:val="008C6706"/>
    <w:rsid w:val="008C6942"/>
    <w:rsid w:val="008C731E"/>
    <w:rsid w:val="008C7392"/>
    <w:rsid w:val="008D0AC4"/>
    <w:rsid w:val="008D17B5"/>
    <w:rsid w:val="008D19F3"/>
    <w:rsid w:val="008D2184"/>
    <w:rsid w:val="008D2E90"/>
    <w:rsid w:val="008D4439"/>
    <w:rsid w:val="008D6DAA"/>
    <w:rsid w:val="008D76B6"/>
    <w:rsid w:val="008D77B7"/>
    <w:rsid w:val="008E09A6"/>
    <w:rsid w:val="008E170B"/>
    <w:rsid w:val="008E1BA1"/>
    <w:rsid w:val="008E1E67"/>
    <w:rsid w:val="008E2305"/>
    <w:rsid w:val="008E2823"/>
    <w:rsid w:val="008E288D"/>
    <w:rsid w:val="008E2FD5"/>
    <w:rsid w:val="008E3055"/>
    <w:rsid w:val="008E3343"/>
    <w:rsid w:val="008E4E2E"/>
    <w:rsid w:val="008E4E9C"/>
    <w:rsid w:val="008E65D2"/>
    <w:rsid w:val="008E688F"/>
    <w:rsid w:val="008E6C9E"/>
    <w:rsid w:val="008E70F3"/>
    <w:rsid w:val="008E7B40"/>
    <w:rsid w:val="008E7B77"/>
    <w:rsid w:val="008F008D"/>
    <w:rsid w:val="008F02EB"/>
    <w:rsid w:val="008F08D9"/>
    <w:rsid w:val="008F08EA"/>
    <w:rsid w:val="008F0992"/>
    <w:rsid w:val="008F1250"/>
    <w:rsid w:val="008F173E"/>
    <w:rsid w:val="008F235E"/>
    <w:rsid w:val="008F26C6"/>
    <w:rsid w:val="008F2BB6"/>
    <w:rsid w:val="008F307A"/>
    <w:rsid w:val="008F3AD0"/>
    <w:rsid w:val="008F3B55"/>
    <w:rsid w:val="008F435A"/>
    <w:rsid w:val="008F61B7"/>
    <w:rsid w:val="008F6979"/>
    <w:rsid w:val="008F6B1B"/>
    <w:rsid w:val="009003D6"/>
    <w:rsid w:val="00900400"/>
    <w:rsid w:val="009005EC"/>
    <w:rsid w:val="009007C8"/>
    <w:rsid w:val="00901122"/>
    <w:rsid w:val="009020A4"/>
    <w:rsid w:val="0090356F"/>
    <w:rsid w:val="00904691"/>
    <w:rsid w:val="0090533D"/>
    <w:rsid w:val="0090542D"/>
    <w:rsid w:val="0090576B"/>
    <w:rsid w:val="00905B61"/>
    <w:rsid w:val="0090669B"/>
    <w:rsid w:val="0090694F"/>
    <w:rsid w:val="0090698A"/>
    <w:rsid w:val="009069B7"/>
    <w:rsid w:val="00906F0D"/>
    <w:rsid w:val="00907587"/>
    <w:rsid w:val="00907EC0"/>
    <w:rsid w:val="009102E0"/>
    <w:rsid w:val="009108B2"/>
    <w:rsid w:val="00910FBF"/>
    <w:rsid w:val="00911235"/>
    <w:rsid w:val="0091170E"/>
    <w:rsid w:val="00911EB4"/>
    <w:rsid w:val="00911ED8"/>
    <w:rsid w:val="00912502"/>
    <w:rsid w:val="00912E10"/>
    <w:rsid w:val="0091352D"/>
    <w:rsid w:val="00913CC0"/>
    <w:rsid w:val="00914589"/>
    <w:rsid w:val="00914B32"/>
    <w:rsid w:val="00914E47"/>
    <w:rsid w:val="00915AA3"/>
    <w:rsid w:val="009162A3"/>
    <w:rsid w:val="00916B4B"/>
    <w:rsid w:val="00917093"/>
    <w:rsid w:val="00917254"/>
    <w:rsid w:val="009206D2"/>
    <w:rsid w:val="0092095D"/>
    <w:rsid w:val="009209FB"/>
    <w:rsid w:val="0092286B"/>
    <w:rsid w:val="00923EA9"/>
    <w:rsid w:val="00924555"/>
    <w:rsid w:val="009245EE"/>
    <w:rsid w:val="00924AF8"/>
    <w:rsid w:val="0092587F"/>
    <w:rsid w:val="00925963"/>
    <w:rsid w:val="00926217"/>
    <w:rsid w:val="009273D7"/>
    <w:rsid w:val="009277A6"/>
    <w:rsid w:val="009302FA"/>
    <w:rsid w:val="009308B4"/>
    <w:rsid w:val="00931331"/>
    <w:rsid w:val="009313B1"/>
    <w:rsid w:val="00932208"/>
    <w:rsid w:val="00932353"/>
    <w:rsid w:val="00932385"/>
    <w:rsid w:val="009324BB"/>
    <w:rsid w:val="00932628"/>
    <w:rsid w:val="009329ED"/>
    <w:rsid w:val="00932B55"/>
    <w:rsid w:val="00932FE1"/>
    <w:rsid w:val="009352D0"/>
    <w:rsid w:val="009357F0"/>
    <w:rsid w:val="00935A36"/>
    <w:rsid w:val="00937899"/>
    <w:rsid w:val="00937D2E"/>
    <w:rsid w:val="00940111"/>
    <w:rsid w:val="0094087A"/>
    <w:rsid w:val="00940AB3"/>
    <w:rsid w:val="00941795"/>
    <w:rsid w:val="00941BFC"/>
    <w:rsid w:val="009425D2"/>
    <w:rsid w:val="009431BF"/>
    <w:rsid w:val="0094351D"/>
    <w:rsid w:val="00943AEB"/>
    <w:rsid w:val="00943F40"/>
    <w:rsid w:val="00945C5B"/>
    <w:rsid w:val="00945D8D"/>
    <w:rsid w:val="009462CB"/>
    <w:rsid w:val="00946994"/>
    <w:rsid w:val="00946C4E"/>
    <w:rsid w:val="0094728C"/>
    <w:rsid w:val="00947432"/>
    <w:rsid w:val="00947EB2"/>
    <w:rsid w:val="009501ED"/>
    <w:rsid w:val="00950F99"/>
    <w:rsid w:val="009515CF"/>
    <w:rsid w:val="00951755"/>
    <w:rsid w:val="00952E5E"/>
    <w:rsid w:val="009535E5"/>
    <w:rsid w:val="00953CBB"/>
    <w:rsid w:val="00956285"/>
    <w:rsid w:val="00956B3D"/>
    <w:rsid w:val="009578DF"/>
    <w:rsid w:val="00960444"/>
    <w:rsid w:val="0096080F"/>
    <w:rsid w:val="00960B15"/>
    <w:rsid w:val="00961E2D"/>
    <w:rsid w:val="0096221A"/>
    <w:rsid w:val="00962309"/>
    <w:rsid w:val="009627F6"/>
    <w:rsid w:val="00962A90"/>
    <w:rsid w:val="00962DC2"/>
    <w:rsid w:val="00962E2B"/>
    <w:rsid w:val="00962F7E"/>
    <w:rsid w:val="009632AA"/>
    <w:rsid w:val="00963F2E"/>
    <w:rsid w:val="009642F7"/>
    <w:rsid w:val="0096463C"/>
    <w:rsid w:val="00964BFA"/>
    <w:rsid w:val="00964D37"/>
    <w:rsid w:val="009650A5"/>
    <w:rsid w:val="009656C5"/>
    <w:rsid w:val="00965922"/>
    <w:rsid w:val="0096774F"/>
    <w:rsid w:val="00967A38"/>
    <w:rsid w:val="00967A82"/>
    <w:rsid w:val="00967AC5"/>
    <w:rsid w:val="00970E03"/>
    <w:rsid w:val="00970EF1"/>
    <w:rsid w:val="00971342"/>
    <w:rsid w:val="0097135C"/>
    <w:rsid w:val="00971502"/>
    <w:rsid w:val="0097219D"/>
    <w:rsid w:val="009725A1"/>
    <w:rsid w:val="00972EA8"/>
    <w:rsid w:val="00973AD8"/>
    <w:rsid w:val="00973FF4"/>
    <w:rsid w:val="00974E0B"/>
    <w:rsid w:val="009753E9"/>
    <w:rsid w:val="0097595F"/>
    <w:rsid w:val="009764F1"/>
    <w:rsid w:val="00976F19"/>
    <w:rsid w:val="00976F7F"/>
    <w:rsid w:val="00977204"/>
    <w:rsid w:val="00977229"/>
    <w:rsid w:val="0097792C"/>
    <w:rsid w:val="009779C7"/>
    <w:rsid w:val="00977C73"/>
    <w:rsid w:val="00977C94"/>
    <w:rsid w:val="00980604"/>
    <w:rsid w:val="00980F29"/>
    <w:rsid w:val="00981749"/>
    <w:rsid w:val="00981AB8"/>
    <w:rsid w:val="00981C17"/>
    <w:rsid w:val="00981E8C"/>
    <w:rsid w:val="00983053"/>
    <w:rsid w:val="00983319"/>
    <w:rsid w:val="00983BA9"/>
    <w:rsid w:val="0098410D"/>
    <w:rsid w:val="0098489B"/>
    <w:rsid w:val="009850C9"/>
    <w:rsid w:val="009853BD"/>
    <w:rsid w:val="00985A29"/>
    <w:rsid w:val="0098605B"/>
    <w:rsid w:val="009860CA"/>
    <w:rsid w:val="009862C2"/>
    <w:rsid w:val="009866C9"/>
    <w:rsid w:val="00986E40"/>
    <w:rsid w:val="0098720C"/>
    <w:rsid w:val="00987D6B"/>
    <w:rsid w:val="00991440"/>
    <w:rsid w:val="00991633"/>
    <w:rsid w:val="009918C5"/>
    <w:rsid w:val="00991C5C"/>
    <w:rsid w:val="00991E7A"/>
    <w:rsid w:val="0099212A"/>
    <w:rsid w:val="009924B8"/>
    <w:rsid w:val="00993082"/>
    <w:rsid w:val="009935AC"/>
    <w:rsid w:val="009936DF"/>
    <w:rsid w:val="00994ABB"/>
    <w:rsid w:val="00994FB6"/>
    <w:rsid w:val="00995682"/>
    <w:rsid w:val="009957D8"/>
    <w:rsid w:val="00995AE3"/>
    <w:rsid w:val="00995B3F"/>
    <w:rsid w:val="00995C40"/>
    <w:rsid w:val="00995C58"/>
    <w:rsid w:val="00995CB9"/>
    <w:rsid w:val="009964F7"/>
    <w:rsid w:val="009965AA"/>
    <w:rsid w:val="00996C7F"/>
    <w:rsid w:val="009976FD"/>
    <w:rsid w:val="009A01D7"/>
    <w:rsid w:val="009A060F"/>
    <w:rsid w:val="009A08E6"/>
    <w:rsid w:val="009A0D36"/>
    <w:rsid w:val="009A0E74"/>
    <w:rsid w:val="009A10D0"/>
    <w:rsid w:val="009A28D2"/>
    <w:rsid w:val="009A2E50"/>
    <w:rsid w:val="009A2FF1"/>
    <w:rsid w:val="009A33BC"/>
    <w:rsid w:val="009A356A"/>
    <w:rsid w:val="009A3B9F"/>
    <w:rsid w:val="009A3CEF"/>
    <w:rsid w:val="009A42FD"/>
    <w:rsid w:val="009A62F3"/>
    <w:rsid w:val="009A6AA1"/>
    <w:rsid w:val="009A76FC"/>
    <w:rsid w:val="009B035B"/>
    <w:rsid w:val="009B049B"/>
    <w:rsid w:val="009B0D99"/>
    <w:rsid w:val="009B255D"/>
    <w:rsid w:val="009B2CFE"/>
    <w:rsid w:val="009B3957"/>
    <w:rsid w:val="009B44F5"/>
    <w:rsid w:val="009B4675"/>
    <w:rsid w:val="009B47EA"/>
    <w:rsid w:val="009B49B1"/>
    <w:rsid w:val="009B4D70"/>
    <w:rsid w:val="009B510A"/>
    <w:rsid w:val="009B536B"/>
    <w:rsid w:val="009B551F"/>
    <w:rsid w:val="009B5606"/>
    <w:rsid w:val="009B61D3"/>
    <w:rsid w:val="009B630B"/>
    <w:rsid w:val="009B701B"/>
    <w:rsid w:val="009B74A8"/>
    <w:rsid w:val="009B7F59"/>
    <w:rsid w:val="009C001C"/>
    <w:rsid w:val="009C032B"/>
    <w:rsid w:val="009C08EA"/>
    <w:rsid w:val="009C0DCA"/>
    <w:rsid w:val="009C3D0F"/>
    <w:rsid w:val="009C5EB3"/>
    <w:rsid w:val="009C63D8"/>
    <w:rsid w:val="009C70EE"/>
    <w:rsid w:val="009C739B"/>
    <w:rsid w:val="009C74D6"/>
    <w:rsid w:val="009C7BD1"/>
    <w:rsid w:val="009D0F79"/>
    <w:rsid w:val="009D1946"/>
    <w:rsid w:val="009D19B2"/>
    <w:rsid w:val="009D1C25"/>
    <w:rsid w:val="009D21B3"/>
    <w:rsid w:val="009D28B8"/>
    <w:rsid w:val="009D297E"/>
    <w:rsid w:val="009D3AF8"/>
    <w:rsid w:val="009D3D2D"/>
    <w:rsid w:val="009D3EF1"/>
    <w:rsid w:val="009D4120"/>
    <w:rsid w:val="009D415B"/>
    <w:rsid w:val="009D461A"/>
    <w:rsid w:val="009D50D1"/>
    <w:rsid w:val="009D5182"/>
    <w:rsid w:val="009D541D"/>
    <w:rsid w:val="009D657F"/>
    <w:rsid w:val="009D6661"/>
    <w:rsid w:val="009D6B6C"/>
    <w:rsid w:val="009D6EA1"/>
    <w:rsid w:val="009E0DF2"/>
    <w:rsid w:val="009E1409"/>
    <w:rsid w:val="009E1F31"/>
    <w:rsid w:val="009E2072"/>
    <w:rsid w:val="009E23A1"/>
    <w:rsid w:val="009E3122"/>
    <w:rsid w:val="009E3174"/>
    <w:rsid w:val="009E36BE"/>
    <w:rsid w:val="009E3ED1"/>
    <w:rsid w:val="009E4A3E"/>
    <w:rsid w:val="009E4DB9"/>
    <w:rsid w:val="009E4F0A"/>
    <w:rsid w:val="009E4FB2"/>
    <w:rsid w:val="009E577F"/>
    <w:rsid w:val="009E6502"/>
    <w:rsid w:val="009E664E"/>
    <w:rsid w:val="009E6700"/>
    <w:rsid w:val="009E74BA"/>
    <w:rsid w:val="009E78E8"/>
    <w:rsid w:val="009E7A70"/>
    <w:rsid w:val="009F0347"/>
    <w:rsid w:val="009F1051"/>
    <w:rsid w:val="009F1B3F"/>
    <w:rsid w:val="009F28A5"/>
    <w:rsid w:val="009F3CCB"/>
    <w:rsid w:val="009F4175"/>
    <w:rsid w:val="009F4BEC"/>
    <w:rsid w:val="009F55A0"/>
    <w:rsid w:val="009F5BBA"/>
    <w:rsid w:val="009F5FFA"/>
    <w:rsid w:val="009F61A7"/>
    <w:rsid w:val="009F6699"/>
    <w:rsid w:val="009F7FE1"/>
    <w:rsid w:val="00A00AA4"/>
    <w:rsid w:val="00A0114E"/>
    <w:rsid w:val="00A01A00"/>
    <w:rsid w:val="00A02AE4"/>
    <w:rsid w:val="00A033B7"/>
    <w:rsid w:val="00A03FE9"/>
    <w:rsid w:val="00A04124"/>
    <w:rsid w:val="00A04678"/>
    <w:rsid w:val="00A05ED0"/>
    <w:rsid w:val="00A06510"/>
    <w:rsid w:val="00A0770B"/>
    <w:rsid w:val="00A10988"/>
    <w:rsid w:val="00A10A41"/>
    <w:rsid w:val="00A10BC2"/>
    <w:rsid w:val="00A11BF1"/>
    <w:rsid w:val="00A11E70"/>
    <w:rsid w:val="00A1242B"/>
    <w:rsid w:val="00A12770"/>
    <w:rsid w:val="00A12E50"/>
    <w:rsid w:val="00A143E2"/>
    <w:rsid w:val="00A14EFD"/>
    <w:rsid w:val="00A15879"/>
    <w:rsid w:val="00A17046"/>
    <w:rsid w:val="00A170E8"/>
    <w:rsid w:val="00A174C1"/>
    <w:rsid w:val="00A2019C"/>
    <w:rsid w:val="00A2042F"/>
    <w:rsid w:val="00A20AB0"/>
    <w:rsid w:val="00A20E9B"/>
    <w:rsid w:val="00A21473"/>
    <w:rsid w:val="00A22047"/>
    <w:rsid w:val="00A22778"/>
    <w:rsid w:val="00A22B69"/>
    <w:rsid w:val="00A23F2A"/>
    <w:rsid w:val="00A23F76"/>
    <w:rsid w:val="00A24A16"/>
    <w:rsid w:val="00A24F85"/>
    <w:rsid w:val="00A25075"/>
    <w:rsid w:val="00A2532B"/>
    <w:rsid w:val="00A259CA"/>
    <w:rsid w:val="00A275B7"/>
    <w:rsid w:val="00A27A6F"/>
    <w:rsid w:val="00A3007B"/>
    <w:rsid w:val="00A3056A"/>
    <w:rsid w:val="00A305B1"/>
    <w:rsid w:val="00A30B65"/>
    <w:rsid w:val="00A30DA2"/>
    <w:rsid w:val="00A32B2F"/>
    <w:rsid w:val="00A33CFE"/>
    <w:rsid w:val="00A33F76"/>
    <w:rsid w:val="00A34325"/>
    <w:rsid w:val="00A34EFC"/>
    <w:rsid w:val="00A3504F"/>
    <w:rsid w:val="00A352A9"/>
    <w:rsid w:val="00A35446"/>
    <w:rsid w:val="00A35454"/>
    <w:rsid w:val="00A35AFD"/>
    <w:rsid w:val="00A36024"/>
    <w:rsid w:val="00A366A0"/>
    <w:rsid w:val="00A36E10"/>
    <w:rsid w:val="00A373FF"/>
    <w:rsid w:val="00A375FC"/>
    <w:rsid w:val="00A37CD7"/>
    <w:rsid w:val="00A40429"/>
    <w:rsid w:val="00A4098B"/>
    <w:rsid w:val="00A40A42"/>
    <w:rsid w:val="00A4288E"/>
    <w:rsid w:val="00A4289A"/>
    <w:rsid w:val="00A4292B"/>
    <w:rsid w:val="00A42CAE"/>
    <w:rsid w:val="00A43980"/>
    <w:rsid w:val="00A43CD2"/>
    <w:rsid w:val="00A45529"/>
    <w:rsid w:val="00A45C62"/>
    <w:rsid w:val="00A45DC2"/>
    <w:rsid w:val="00A4600A"/>
    <w:rsid w:val="00A47A30"/>
    <w:rsid w:val="00A47EC6"/>
    <w:rsid w:val="00A50686"/>
    <w:rsid w:val="00A527B0"/>
    <w:rsid w:val="00A53227"/>
    <w:rsid w:val="00A53EF7"/>
    <w:rsid w:val="00A544D5"/>
    <w:rsid w:val="00A554FD"/>
    <w:rsid w:val="00A55557"/>
    <w:rsid w:val="00A55934"/>
    <w:rsid w:val="00A57445"/>
    <w:rsid w:val="00A5756B"/>
    <w:rsid w:val="00A57E98"/>
    <w:rsid w:val="00A60F1F"/>
    <w:rsid w:val="00A61316"/>
    <w:rsid w:val="00A61CC4"/>
    <w:rsid w:val="00A624AA"/>
    <w:rsid w:val="00A62901"/>
    <w:rsid w:val="00A630FE"/>
    <w:rsid w:val="00A6357F"/>
    <w:rsid w:val="00A63881"/>
    <w:rsid w:val="00A63E11"/>
    <w:rsid w:val="00A64C19"/>
    <w:rsid w:val="00A64C9F"/>
    <w:rsid w:val="00A64ED0"/>
    <w:rsid w:val="00A65DDA"/>
    <w:rsid w:val="00A65E7D"/>
    <w:rsid w:val="00A7026E"/>
    <w:rsid w:val="00A703BC"/>
    <w:rsid w:val="00A704AE"/>
    <w:rsid w:val="00A706AB"/>
    <w:rsid w:val="00A70C24"/>
    <w:rsid w:val="00A70CDE"/>
    <w:rsid w:val="00A70F2E"/>
    <w:rsid w:val="00A72505"/>
    <w:rsid w:val="00A7276C"/>
    <w:rsid w:val="00A735F1"/>
    <w:rsid w:val="00A74971"/>
    <w:rsid w:val="00A74FA8"/>
    <w:rsid w:val="00A7560F"/>
    <w:rsid w:val="00A757D8"/>
    <w:rsid w:val="00A75972"/>
    <w:rsid w:val="00A7599D"/>
    <w:rsid w:val="00A76B5B"/>
    <w:rsid w:val="00A77F1E"/>
    <w:rsid w:val="00A804FD"/>
    <w:rsid w:val="00A805F8"/>
    <w:rsid w:val="00A80989"/>
    <w:rsid w:val="00A813E3"/>
    <w:rsid w:val="00A81D0C"/>
    <w:rsid w:val="00A8345E"/>
    <w:rsid w:val="00A83609"/>
    <w:rsid w:val="00A83A48"/>
    <w:rsid w:val="00A84CCB"/>
    <w:rsid w:val="00A84CD7"/>
    <w:rsid w:val="00A856DA"/>
    <w:rsid w:val="00A85935"/>
    <w:rsid w:val="00A85FCF"/>
    <w:rsid w:val="00A86D8E"/>
    <w:rsid w:val="00A878F6"/>
    <w:rsid w:val="00A87E70"/>
    <w:rsid w:val="00A9023D"/>
    <w:rsid w:val="00A90487"/>
    <w:rsid w:val="00A90D08"/>
    <w:rsid w:val="00A9123D"/>
    <w:rsid w:val="00A914BD"/>
    <w:rsid w:val="00A91B86"/>
    <w:rsid w:val="00A91E34"/>
    <w:rsid w:val="00A921EF"/>
    <w:rsid w:val="00A9278C"/>
    <w:rsid w:val="00A93198"/>
    <w:rsid w:val="00A932B9"/>
    <w:rsid w:val="00A93444"/>
    <w:rsid w:val="00A937C8"/>
    <w:rsid w:val="00A93F7C"/>
    <w:rsid w:val="00A9430B"/>
    <w:rsid w:val="00A94ED1"/>
    <w:rsid w:val="00A95534"/>
    <w:rsid w:val="00A971C7"/>
    <w:rsid w:val="00A971F8"/>
    <w:rsid w:val="00A97A24"/>
    <w:rsid w:val="00A97E09"/>
    <w:rsid w:val="00AA00EB"/>
    <w:rsid w:val="00AA03D6"/>
    <w:rsid w:val="00AA06AD"/>
    <w:rsid w:val="00AA1448"/>
    <w:rsid w:val="00AA1CE1"/>
    <w:rsid w:val="00AA1E58"/>
    <w:rsid w:val="00AA2458"/>
    <w:rsid w:val="00AA2D1E"/>
    <w:rsid w:val="00AA305A"/>
    <w:rsid w:val="00AA48F5"/>
    <w:rsid w:val="00AA5446"/>
    <w:rsid w:val="00AA580B"/>
    <w:rsid w:val="00AA6F98"/>
    <w:rsid w:val="00AA70A6"/>
    <w:rsid w:val="00AA7BA8"/>
    <w:rsid w:val="00AB11EA"/>
    <w:rsid w:val="00AB31A4"/>
    <w:rsid w:val="00AB379C"/>
    <w:rsid w:val="00AB4FF4"/>
    <w:rsid w:val="00AB59C6"/>
    <w:rsid w:val="00AB5A22"/>
    <w:rsid w:val="00AB5D25"/>
    <w:rsid w:val="00AB5DA1"/>
    <w:rsid w:val="00AB5EC7"/>
    <w:rsid w:val="00AB66E9"/>
    <w:rsid w:val="00AC03DA"/>
    <w:rsid w:val="00AC043D"/>
    <w:rsid w:val="00AC0848"/>
    <w:rsid w:val="00AC1001"/>
    <w:rsid w:val="00AC1110"/>
    <w:rsid w:val="00AC1E7D"/>
    <w:rsid w:val="00AC21CC"/>
    <w:rsid w:val="00AC25ED"/>
    <w:rsid w:val="00AC272F"/>
    <w:rsid w:val="00AC2922"/>
    <w:rsid w:val="00AC3069"/>
    <w:rsid w:val="00AC3656"/>
    <w:rsid w:val="00AC3C02"/>
    <w:rsid w:val="00AC4C74"/>
    <w:rsid w:val="00AC5913"/>
    <w:rsid w:val="00AC6C16"/>
    <w:rsid w:val="00AC6DBF"/>
    <w:rsid w:val="00AC7C91"/>
    <w:rsid w:val="00AC7E76"/>
    <w:rsid w:val="00AD0B32"/>
    <w:rsid w:val="00AD0BBD"/>
    <w:rsid w:val="00AD0D8D"/>
    <w:rsid w:val="00AD16B1"/>
    <w:rsid w:val="00AD18B4"/>
    <w:rsid w:val="00AD24E2"/>
    <w:rsid w:val="00AD2965"/>
    <w:rsid w:val="00AD2B20"/>
    <w:rsid w:val="00AD396D"/>
    <w:rsid w:val="00AD3E3A"/>
    <w:rsid w:val="00AD3EE2"/>
    <w:rsid w:val="00AD4141"/>
    <w:rsid w:val="00AD47B9"/>
    <w:rsid w:val="00AD4800"/>
    <w:rsid w:val="00AD5340"/>
    <w:rsid w:val="00AD5972"/>
    <w:rsid w:val="00AD5EE2"/>
    <w:rsid w:val="00AD6406"/>
    <w:rsid w:val="00AD6556"/>
    <w:rsid w:val="00AD705E"/>
    <w:rsid w:val="00AD72E1"/>
    <w:rsid w:val="00AD7AB9"/>
    <w:rsid w:val="00AE04A2"/>
    <w:rsid w:val="00AE10A5"/>
    <w:rsid w:val="00AE1D83"/>
    <w:rsid w:val="00AE2087"/>
    <w:rsid w:val="00AE2AB1"/>
    <w:rsid w:val="00AE3A39"/>
    <w:rsid w:val="00AE4253"/>
    <w:rsid w:val="00AE42D5"/>
    <w:rsid w:val="00AE4E02"/>
    <w:rsid w:val="00AE4E5C"/>
    <w:rsid w:val="00AE6400"/>
    <w:rsid w:val="00AE6437"/>
    <w:rsid w:val="00AE65A5"/>
    <w:rsid w:val="00AE68F8"/>
    <w:rsid w:val="00AE7720"/>
    <w:rsid w:val="00AF01BC"/>
    <w:rsid w:val="00AF1DF3"/>
    <w:rsid w:val="00AF28E3"/>
    <w:rsid w:val="00AF42BF"/>
    <w:rsid w:val="00AF4DAF"/>
    <w:rsid w:val="00AF516C"/>
    <w:rsid w:val="00AF533D"/>
    <w:rsid w:val="00AF5E77"/>
    <w:rsid w:val="00AF5F29"/>
    <w:rsid w:val="00AF5FD1"/>
    <w:rsid w:val="00AF6B93"/>
    <w:rsid w:val="00AF6E1E"/>
    <w:rsid w:val="00AF7405"/>
    <w:rsid w:val="00AF79C5"/>
    <w:rsid w:val="00B008FD"/>
    <w:rsid w:val="00B00B7E"/>
    <w:rsid w:val="00B012EC"/>
    <w:rsid w:val="00B01856"/>
    <w:rsid w:val="00B01ABB"/>
    <w:rsid w:val="00B0291B"/>
    <w:rsid w:val="00B03196"/>
    <w:rsid w:val="00B038C8"/>
    <w:rsid w:val="00B0422E"/>
    <w:rsid w:val="00B04B58"/>
    <w:rsid w:val="00B05019"/>
    <w:rsid w:val="00B05282"/>
    <w:rsid w:val="00B0573F"/>
    <w:rsid w:val="00B05784"/>
    <w:rsid w:val="00B065BE"/>
    <w:rsid w:val="00B06E8D"/>
    <w:rsid w:val="00B073EE"/>
    <w:rsid w:val="00B07EC9"/>
    <w:rsid w:val="00B07F38"/>
    <w:rsid w:val="00B10226"/>
    <w:rsid w:val="00B102EF"/>
    <w:rsid w:val="00B109F9"/>
    <w:rsid w:val="00B10F57"/>
    <w:rsid w:val="00B11265"/>
    <w:rsid w:val="00B122D6"/>
    <w:rsid w:val="00B12982"/>
    <w:rsid w:val="00B14794"/>
    <w:rsid w:val="00B14885"/>
    <w:rsid w:val="00B14B11"/>
    <w:rsid w:val="00B153F5"/>
    <w:rsid w:val="00B16349"/>
    <w:rsid w:val="00B169BE"/>
    <w:rsid w:val="00B16AD7"/>
    <w:rsid w:val="00B20134"/>
    <w:rsid w:val="00B20CF5"/>
    <w:rsid w:val="00B2121B"/>
    <w:rsid w:val="00B2150B"/>
    <w:rsid w:val="00B21BDD"/>
    <w:rsid w:val="00B21DEB"/>
    <w:rsid w:val="00B22073"/>
    <w:rsid w:val="00B221E9"/>
    <w:rsid w:val="00B225B4"/>
    <w:rsid w:val="00B22B8B"/>
    <w:rsid w:val="00B249FE"/>
    <w:rsid w:val="00B25800"/>
    <w:rsid w:val="00B26312"/>
    <w:rsid w:val="00B26B6E"/>
    <w:rsid w:val="00B26FAF"/>
    <w:rsid w:val="00B317E2"/>
    <w:rsid w:val="00B31A40"/>
    <w:rsid w:val="00B3281D"/>
    <w:rsid w:val="00B34B8C"/>
    <w:rsid w:val="00B35CA7"/>
    <w:rsid w:val="00B37141"/>
    <w:rsid w:val="00B37F4D"/>
    <w:rsid w:val="00B40347"/>
    <w:rsid w:val="00B40F30"/>
    <w:rsid w:val="00B42508"/>
    <w:rsid w:val="00B428EB"/>
    <w:rsid w:val="00B42C1B"/>
    <w:rsid w:val="00B4305F"/>
    <w:rsid w:val="00B438B3"/>
    <w:rsid w:val="00B4423D"/>
    <w:rsid w:val="00B44671"/>
    <w:rsid w:val="00B462CB"/>
    <w:rsid w:val="00B46572"/>
    <w:rsid w:val="00B46648"/>
    <w:rsid w:val="00B4711F"/>
    <w:rsid w:val="00B47232"/>
    <w:rsid w:val="00B47812"/>
    <w:rsid w:val="00B4789E"/>
    <w:rsid w:val="00B47DC5"/>
    <w:rsid w:val="00B47E71"/>
    <w:rsid w:val="00B508A4"/>
    <w:rsid w:val="00B5138C"/>
    <w:rsid w:val="00B514DB"/>
    <w:rsid w:val="00B5196C"/>
    <w:rsid w:val="00B52230"/>
    <w:rsid w:val="00B526A8"/>
    <w:rsid w:val="00B52F53"/>
    <w:rsid w:val="00B536D3"/>
    <w:rsid w:val="00B536DA"/>
    <w:rsid w:val="00B5371F"/>
    <w:rsid w:val="00B53E43"/>
    <w:rsid w:val="00B5408F"/>
    <w:rsid w:val="00B54704"/>
    <w:rsid w:val="00B54F2D"/>
    <w:rsid w:val="00B56381"/>
    <w:rsid w:val="00B56421"/>
    <w:rsid w:val="00B56548"/>
    <w:rsid w:val="00B56635"/>
    <w:rsid w:val="00B572BA"/>
    <w:rsid w:val="00B601CF"/>
    <w:rsid w:val="00B60618"/>
    <w:rsid w:val="00B60ADC"/>
    <w:rsid w:val="00B612C0"/>
    <w:rsid w:val="00B61AC2"/>
    <w:rsid w:val="00B62442"/>
    <w:rsid w:val="00B6310A"/>
    <w:rsid w:val="00B64315"/>
    <w:rsid w:val="00B65A8B"/>
    <w:rsid w:val="00B66899"/>
    <w:rsid w:val="00B668E3"/>
    <w:rsid w:val="00B66EB4"/>
    <w:rsid w:val="00B672FD"/>
    <w:rsid w:val="00B67BA7"/>
    <w:rsid w:val="00B7087B"/>
    <w:rsid w:val="00B70A95"/>
    <w:rsid w:val="00B71A3C"/>
    <w:rsid w:val="00B71CB2"/>
    <w:rsid w:val="00B7270C"/>
    <w:rsid w:val="00B73021"/>
    <w:rsid w:val="00B733C9"/>
    <w:rsid w:val="00B73670"/>
    <w:rsid w:val="00B74285"/>
    <w:rsid w:val="00B749B8"/>
    <w:rsid w:val="00B7515A"/>
    <w:rsid w:val="00B755B6"/>
    <w:rsid w:val="00B75A1B"/>
    <w:rsid w:val="00B75D05"/>
    <w:rsid w:val="00B75F92"/>
    <w:rsid w:val="00B7626E"/>
    <w:rsid w:val="00B762EA"/>
    <w:rsid w:val="00B77B07"/>
    <w:rsid w:val="00B80375"/>
    <w:rsid w:val="00B80396"/>
    <w:rsid w:val="00B80685"/>
    <w:rsid w:val="00B80A55"/>
    <w:rsid w:val="00B80BBD"/>
    <w:rsid w:val="00B80ECA"/>
    <w:rsid w:val="00B814FF"/>
    <w:rsid w:val="00B815B2"/>
    <w:rsid w:val="00B81C77"/>
    <w:rsid w:val="00B83160"/>
    <w:rsid w:val="00B83B1E"/>
    <w:rsid w:val="00B84840"/>
    <w:rsid w:val="00B84D49"/>
    <w:rsid w:val="00B84E12"/>
    <w:rsid w:val="00B85949"/>
    <w:rsid w:val="00B85A2B"/>
    <w:rsid w:val="00B85D1C"/>
    <w:rsid w:val="00B861B4"/>
    <w:rsid w:val="00B87227"/>
    <w:rsid w:val="00B87300"/>
    <w:rsid w:val="00B87FEF"/>
    <w:rsid w:val="00B906E8"/>
    <w:rsid w:val="00B90927"/>
    <w:rsid w:val="00B909DF"/>
    <w:rsid w:val="00B9225D"/>
    <w:rsid w:val="00B92812"/>
    <w:rsid w:val="00B928DF"/>
    <w:rsid w:val="00B93432"/>
    <w:rsid w:val="00B934B7"/>
    <w:rsid w:val="00B93B23"/>
    <w:rsid w:val="00B940D9"/>
    <w:rsid w:val="00B94148"/>
    <w:rsid w:val="00B946F3"/>
    <w:rsid w:val="00B94F2D"/>
    <w:rsid w:val="00B95D4F"/>
    <w:rsid w:val="00B961BE"/>
    <w:rsid w:val="00B9705B"/>
    <w:rsid w:val="00BA059C"/>
    <w:rsid w:val="00BA122A"/>
    <w:rsid w:val="00BA1B01"/>
    <w:rsid w:val="00BA23CB"/>
    <w:rsid w:val="00BA2CE8"/>
    <w:rsid w:val="00BA401B"/>
    <w:rsid w:val="00BA41C9"/>
    <w:rsid w:val="00BA47D6"/>
    <w:rsid w:val="00BA51E4"/>
    <w:rsid w:val="00BA549F"/>
    <w:rsid w:val="00BA6129"/>
    <w:rsid w:val="00BA66F1"/>
    <w:rsid w:val="00BA6A97"/>
    <w:rsid w:val="00BA7D31"/>
    <w:rsid w:val="00BB0B0B"/>
    <w:rsid w:val="00BB0CE0"/>
    <w:rsid w:val="00BB0EF6"/>
    <w:rsid w:val="00BB2364"/>
    <w:rsid w:val="00BB3A98"/>
    <w:rsid w:val="00BB3E80"/>
    <w:rsid w:val="00BB3E9B"/>
    <w:rsid w:val="00BB3FE6"/>
    <w:rsid w:val="00BB5E31"/>
    <w:rsid w:val="00BB6796"/>
    <w:rsid w:val="00BB7451"/>
    <w:rsid w:val="00BB7768"/>
    <w:rsid w:val="00BB78B6"/>
    <w:rsid w:val="00BB7AD8"/>
    <w:rsid w:val="00BC02BE"/>
    <w:rsid w:val="00BC04CD"/>
    <w:rsid w:val="00BC19AE"/>
    <w:rsid w:val="00BC243E"/>
    <w:rsid w:val="00BC2CBF"/>
    <w:rsid w:val="00BC2F86"/>
    <w:rsid w:val="00BC3139"/>
    <w:rsid w:val="00BC323B"/>
    <w:rsid w:val="00BC3654"/>
    <w:rsid w:val="00BC44EF"/>
    <w:rsid w:val="00BC612A"/>
    <w:rsid w:val="00BC6704"/>
    <w:rsid w:val="00BC71FC"/>
    <w:rsid w:val="00BD0612"/>
    <w:rsid w:val="00BD0B3A"/>
    <w:rsid w:val="00BD1315"/>
    <w:rsid w:val="00BD155E"/>
    <w:rsid w:val="00BD1654"/>
    <w:rsid w:val="00BD23B4"/>
    <w:rsid w:val="00BD2A3B"/>
    <w:rsid w:val="00BD2B8B"/>
    <w:rsid w:val="00BD2D66"/>
    <w:rsid w:val="00BD333D"/>
    <w:rsid w:val="00BD33C0"/>
    <w:rsid w:val="00BD3B0C"/>
    <w:rsid w:val="00BD3EEB"/>
    <w:rsid w:val="00BD594D"/>
    <w:rsid w:val="00BD5B47"/>
    <w:rsid w:val="00BD692F"/>
    <w:rsid w:val="00BD6D1F"/>
    <w:rsid w:val="00BD6DFD"/>
    <w:rsid w:val="00BD77F8"/>
    <w:rsid w:val="00BD79E5"/>
    <w:rsid w:val="00BD7C0E"/>
    <w:rsid w:val="00BD7C38"/>
    <w:rsid w:val="00BE0F20"/>
    <w:rsid w:val="00BE1333"/>
    <w:rsid w:val="00BE1388"/>
    <w:rsid w:val="00BE1517"/>
    <w:rsid w:val="00BE2474"/>
    <w:rsid w:val="00BE262D"/>
    <w:rsid w:val="00BE3099"/>
    <w:rsid w:val="00BE35EA"/>
    <w:rsid w:val="00BE4484"/>
    <w:rsid w:val="00BE4E6C"/>
    <w:rsid w:val="00BE669C"/>
    <w:rsid w:val="00BE767B"/>
    <w:rsid w:val="00BE7A9A"/>
    <w:rsid w:val="00BE7E39"/>
    <w:rsid w:val="00BE7F00"/>
    <w:rsid w:val="00BF0355"/>
    <w:rsid w:val="00BF03B8"/>
    <w:rsid w:val="00BF0551"/>
    <w:rsid w:val="00BF0C2B"/>
    <w:rsid w:val="00BF1227"/>
    <w:rsid w:val="00BF154F"/>
    <w:rsid w:val="00BF1947"/>
    <w:rsid w:val="00BF2113"/>
    <w:rsid w:val="00BF288A"/>
    <w:rsid w:val="00BF2EC8"/>
    <w:rsid w:val="00BF353D"/>
    <w:rsid w:val="00BF369D"/>
    <w:rsid w:val="00BF56B2"/>
    <w:rsid w:val="00BF5731"/>
    <w:rsid w:val="00BF5F4A"/>
    <w:rsid w:val="00BF6293"/>
    <w:rsid w:val="00BF6354"/>
    <w:rsid w:val="00BF641C"/>
    <w:rsid w:val="00BF7A18"/>
    <w:rsid w:val="00BF7BFF"/>
    <w:rsid w:val="00C000D7"/>
    <w:rsid w:val="00C0028E"/>
    <w:rsid w:val="00C01C6F"/>
    <w:rsid w:val="00C0431A"/>
    <w:rsid w:val="00C05426"/>
    <w:rsid w:val="00C061BA"/>
    <w:rsid w:val="00C062E1"/>
    <w:rsid w:val="00C06E17"/>
    <w:rsid w:val="00C10EFD"/>
    <w:rsid w:val="00C1131F"/>
    <w:rsid w:val="00C11B8A"/>
    <w:rsid w:val="00C128CA"/>
    <w:rsid w:val="00C12983"/>
    <w:rsid w:val="00C129D1"/>
    <w:rsid w:val="00C13AA9"/>
    <w:rsid w:val="00C13B0A"/>
    <w:rsid w:val="00C14442"/>
    <w:rsid w:val="00C1461F"/>
    <w:rsid w:val="00C147EB"/>
    <w:rsid w:val="00C14BE2"/>
    <w:rsid w:val="00C15EFF"/>
    <w:rsid w:val="00C161E7"/>
    <w:rsid w:val="00C16397"/>
    <w:rsid w:val="00C16A22"/>
    <w:rsid w:val="00C17A4D"/>
    <w:rsid w:val="00C17DDF"/>
    <w:rsid w:val="00C2004E"/>
    <w:rsid w:val="00C205F6"/>
    <w:rsid w:val="00C21CD2"/>
    <w:rsid w:val="00C2357B"/>
    <w:rsid w:val="00C24285"/>
    <w:rsid w:val="00C244C5"/>
    <w:rsid w:val="00C245DB"/>
    <w:rsid w:val="00C24AC0"/>
    <w:rsid w:val="00C256CA"/>
    <w:rsid w:val="00C264E7"/>
    <w:rsid w:val="00C27AB6"/>
    <w:rsid w:val="00C30355"/>
    <w:rsid w:val="00C30B7B"/>
    <w:rsid w:val="00C3113B"/>
    <w:rsid w:val="00C31239"/>
    <w:rsid w:val="00C3172F"/>
    <w:rsid w:val="00C31EAB"/>
    <w:rsid w:val="00C326A7"/>
    <w:rsid w:val="00C3352D"/>
    <w:rsid w:val="00C3373C"/>
    <w:rsid w:val="00C33C99"/>
    <w:rsid w:val="00C33DBC"/>
    <w:rsid w:val="00C350D4"/>
    <w:rsid w:val="00C3550B"/>
    <w:rsid w:val="00C35CB5"/>
    <w:rsid w:val="00C35FF4"/>
    <w:rsid w:val="00C3632D"/>
    <w:rsid w:val="00C37734"/>
    <w:rsid w:val="00C37EF6"/>
    <w:rsid w:val="00C40B07"/>
    <w:rsid w:val="00C40FDC"/>
    <w:rsid w:val="00C4173A"/>
    <w:rsid w:val="00C422FF"/>
    <w:rsid w:val="00C427AA"/>
    <w:rsid w:val="00C4356A"/>
    <w:rsid w:val="00C45583"/>
    <w:rsid w:val="00C4658B"/>
    <w:rsid w:val="00C4707D"/>
    <w:rsid w:val="00C472BB"/>
    <w:rsid w:val="00C47FC6"/>
    <w:rsid w:val="00C50E9A"/>
    <w:rsid w:val="00C514E9"/>
    <w:rsid w:val="00C51BA9"/>
    <w:rsid w:val="00C51F90"/>
    <w:rsid w:val="00C5206F"/>
    <w:rsid w:val="00C521DC"/>
    <w:rsid w:val="00C54521"/>
    <w:rsid w:val="00C54F4E"/>
    <w:rsid w:val="00C55FE8"/>
    <w:rsid w:val="00C56678"/>
    <w:rsid w:val="00C56C7B"/>
    <w:rsid w:val="00C56DCD"/>
    <w:rsid w:val="00C57189"/>
    <w:rsid w:val="00C575D9"/>
    <w:rsid w:val="00C57B8E"/>
    <w:rsid w:val="00C57E19"/>
    <w:rsid w:val="00C60FF6"/>
    <w:rsid w:val="00C611E5"/>
    <w:rsid w:val="00C615DE"/>
    <w:rsid w:val="00C63144"/>
    <w:rsid w:val="00C63D40"/>
    <w:rsid w:val="00C64688"/>
    <w:rsid w:val="00C64761"/>
    <w:rsid w:val="00C64C76"/>
    <w:rsid w:val="00C64E42"/>
    <w:rsid w:val="00C650F1"/>
    <w:rsid w:val="00C653CC"/>
    <w:rsid w:val="00C661A6"/>
    <w:rsid w:val="00C66CBE"/>
    <w:rsid w:val="00C66EAA"/>
    <w:rsid w:val="00C67517"/>
    <w:rsid w:val="00C678A3"/>
    <w:rsid w:val="00C6793D"/>
    <w:rsid w:val="00C71165"/>
    <w:rsid w:val="00C71788"/>
    <w:rsid w:val="00C71A20"/>
    <w:rsid w:val="00C730E4"/>
    <w:rsid w:val="00C73472"/>
    <w:rsid w:val="00C745D3"/>
    <w:rsid w:val="00C75220"/>
    <w:rsid w:val="00C7597F"/>
    <w:rsid w:val="00C76ED6"/>
    <w:rsid w:val="00C771B6"/>
    <w:rsid w:val="00C801DE"/>
    <w:rsid w:val="00C8189B"/>
    <w:rsid w:val="00C81EB8"/>
    <w:rsid w:val="00C82374"/>
    <w:rsid w:val="00C8328A"/>
    <w:rsid w:val="00C8350F"/>
    <w:rsid w:val="00C83923"/>
    <w:rsid w:val="00C83A26"/>
    <w:rsid w:val="00C8404B"/>
    <w:rsid w:val="00C84726"/>
    <w:rsid w:val="00C856BE"/>
    <w:rsid w:val="00C8667F"/>
    <w:rsid w:val="00C878D3"/>
    <w:rsid w:val="00C87A09"/>
    <w:rsid w:val="00C87FB7"/>
    <w:rsid w:val="00C904A8"/>
    <w:rsid w:val="00C90EC8"/>
    <w:rsid w:val="00C91E9D"/>
    <w:rsid w:val="00C91FD2"/>
    <w:rsid w:val="00C92264"/>
    <w:rsid w:val="00C93531"/>
    <w:rsid w:val="00C93B1B"/>
    <w:rsid w:val="00C94275"/>
    <w:rsid w:val="00C95683"/>
    <w:rsid w:val="00C95DBB"/>
    <w:rsid w:val="00C9620A"/>
    <w:rsid w:val="00C96AE4"/>
    <w:rsid w:val="00CA0370"/>
    <w:rsid w:val="00CA041D"/>
    <w:rsid w:val="00CA0859"/>
    <w:rsid w:val="00CA0888"/>
    <w:rsid w:val="00CA1544"/>
    <w:rsid w:val="00CA17D2"/>
    <w:rsid w:val="00CA197A"/>
    <w:rsid w:val="00CA1BAA"/>
    <w:rsid w:val="00CA38D4"/>
    <w:rsid w:val="00CA3FF3"/>
    <w:rsid w:val="00CA45E0"/>
    <w:rsid w:val="00CA4D06"/>
    <w:rsid w:val="00CA4D0D"/>
    <w:rsid w:val="00CA5274"/>
    <w:rsid w:val="00CA561A"/>
    <w:rsid w:val="00CA574F"/>
    <w:rsid w:val="00CA5896"/>
    <w:rsid w:val="00CA6934"/>
    <w:rsid w:val="00CA6BBC"/>
    <w:rsid w:val="00CA6D96"/>
    <w:rsid w:val="00CA728E"/>
    <w:rsid w:val="00CA7317"/>
    <w:rsid w:val="00CA7682"/>
    <w:rsid w:val="00CB0369"/>
    <w:rsid w:val="00CB0926"/>
    <w:rsid w:val="00CB0B1F"/>
    <w:rsid w:val="00CB1B19"/>
    <w:rsid w:val="00CB1BBF"/>
    <w:rsid w:val="00CB1C6B"/>
    <w:rsid w:val="00CB1FD8"/>
    <w:rsid w:val="00CB2F1D"/>
    <w:rsid w:val="00CB32DD"/>
    <w:rsid w:val="00CB3D3E"/>
    <w:rsid w:val="00CB44FE"/>
    <w:rsid w:val="00CB4731"/>
    <w:rsid w:val="00CB4C70"/>
    <w:rsid w:val="00CB777E"/>
    <w:rsid w:val="00CB7E39"/>
    <w:rsid w:val="00CC00D5"/>
    <w:rsid w:val="00CC0C9A"/>
    <w:rsid w:val="00CC12D9"/>
    <w:rsid w:val="00CC196B"/>
    <w:rsid w:val="00CC1CCE"/>
    <w:rsid w:val="00CC286F"/>
    <w:rsid w:val="00CC2BA2"/>
    <w:rsid w:val="00CC3360"/>
    <w:rsid w:val="00CC3FD8"/>
    <w:rsid w:val="00CC40DF"/>
    <w:rsid w:val="00CC435F"/>
    <w:rsid w:val="00CC4822"/>
    <w:rsid w:val="00CC4D1F"/>
    <w:rsid w:val="00CC5573"/>
    <w:rsid w:val="00CC58BA"/>
    <w:rsid w:val="00CC6BC5"/>
    <w:rsid w:val="00CC7847"/>
    <w:rsid w:val="00CD10BB"/>
    <w:rsid w:val="00CD1AAA"/>
    <w:rsid w:val="00CD1AB0"/>
    <w:rsid w:val="00CD1EF9"/>
    <w:rsid w:val="00CD24BB"/>
    <w:rsid w:val="00CD2690"/>
    <w:rsid w:val="00CD28EF"/>
    <w:rsid w:val="00CD2CD9"/>
    <w:rsid w:val="00CD2FF0"/>
    <w:rsid w:val="00CD38EC"/>
    <w:rsid w:val="00CD3964"/>
    <w:rsid w:val="00CD3992"/>
    <w:rsid w:val="00CD40E9"/>
    <w:rsid w:val="00CD59C0"/>
    <w:rsid w:val="00CD67F7"/>
    <w:rsid w:val="00CD6B66"/>
    <w:rsid w:val="00CD6C8E"/>
    <w:rsid w:val="00CD7DF1"/>
    <w:rsid w:val="00CE051E"/>
    <w:rsid w:val="00CE0BE8"/>
    <w:rsid w:val="00CE0E51"/>
    <w:rsid w:val="00CE2EC3"/>
    <w:rsid w:val="00CE3D07"/>
    <w:rsid w:val="00CE409C"/>
    <w:rsid w:val="00CE4817"/>
    <w:rsid w:val="00CE50CB"/>
    <w:rsid w:val="00CE56F6"/>
    <w:rsid w:val="00CE5DDC"/>
    <w:rsid w:val="00CE63D6"/>
    <w:rsid w:val="00CE658B"/>
    <w:rsid w:val="00CE66E2"/>
    <w:rsid w:val="00CE7CBB"/>
    <w:rsid w:val="00CF020C"/>
    <w:rsid w:val="00CF0845"/>
    <w:rsid w:val="00CF14E3"/>
    <w:rsid w:val="00CF181F"/>
    <w:rsid w:val="00CF2057"/>
    <w:rsid w:val="00CF3328"/>
    <w:rsid w:val="00CF383E"/>
    <w:rsid w:val="00CF52BB"/>
    <w:rsid w:val="00CF544F"/>
    <w:rsid w:val="00CF54DF"/>
    <w:rsid w:val="00CF5BD7"/>
    <w:rsid w:val="00CF647D"/>
    <w:rsid w:val="00CF65EA"/>
    <w:rsid w:val="00CF6B5B"/>
    <w:rsid w:val="00CF772B"/>
    <w:rsid w:val="00CF7889"/>
    <w:rsid w:val="00CF7A55"/>
    <w:rsid w:val="00CF7AED"/>
    <w:rsid w:val="00D00D93"/>
    <w:rsid w:val="00D01BA5"/>
    <w:rsid w:val="00D02200"/>
    <w:rsid w:val="00D046EC"/>
    <w:rsid w:val="00D047DC"/>
    <w:rsid w:val="00D054E5"/>
    <w:rsid w:val="00D05C9B"/>
    <w:rsid w:val="00D0623D"/>
    <w:rsid w:val="00D0787C"/>
    <w:rsid w:val="00D07BE2"/>
    <w:rsid w:val="00D07FEC"/>
    <w:rsid w:val="00D112B8"/>
    <w:rsid w:val="00D129A3"/>
    <w:rsid w:val="00D12C38"/>
    <w:rsid w:val="00D12ED5"/>
    <w:rsid w:val="00D131B7"/>
    <w:rsid w:val="00D141D5"/>
    <w:rsid w:val="00D1425B"/>
    <w:rsid w:val="00D146A8"/>
    <w:rsid w:val="00D1548F"/>
    <w:rsid w:val="00D15A4E"/>
    <w:rsid w:val="00D15B60"/>
    <w:rsid w:val="00D162B9"/>
    <w:rsid w:val="00D163A5"/>
    <w:rsid w:val="00D16E34"/>
    <w:rsid w:val="00D1747A"/>
    <w:rsid w:val="00D2000F"/>
    <w:rsid w:val="00D20823"/>
    <w:rsid w:val="00D20986"/>
    <w:rsid w:val="00D2123A"/>
    <w:rsid w:val="00D21254"/>
    <w:rsid w:val="00D21E58"/>
    <w:rsid w:val="00D220A2"/>
    <w:rsid w:val="00D23445"/>
    <w:rsid w:val="00D2560B"/>
    <w:rsid w:val="00D25AA5"/>
    <w:rsid w:val="00D26421"/>
    <w:rsid w:val="00D265DB"/>
    <w:rsid w:val="00D26991"/>
    <w:rsid w:val="00D30183"/>
    <w:rsid w:val="00D303A3"/>
    <w:rsid w:val="00D319BF"/>
    <w:rsid w:val="00D31CC6"/>
    <w:rsid w:val="00D32634"/>
    <w:rsid w:val="00D32E95"/>
    <w:rsid w:val="00D339BE"/>
    <w:rsid w:val="00D34278"/>
    <w:rsid w:val="00D342F8"/>
    <w:rsid w:val="00D3457E"/>
    <w:rsid w:val="00D35627"/>
    <w:rsid w:val="00D366FD"/>
    <w:rsid w:val="00D37F66"/>
    <w:rsid w:val="00D408E5"/>
    <w:rsid w:val="00D40DFA"/>
    <w:rsid w:val="00D40FE6"/>
    <w:rsid w:val="00D4120E"/>
    <w:rsid w:val="00D41E9A"/>
    <w:rsid w:val="00D439C8"/>
    <w:rsid w:val="00D43E10"/>
    <w:rsid w:val="00D44462"/>
    <w:rsid w:val="00D44DC8"/>
    <w:rsid w:val="00D451BA"/>
    <w:rsid w:val="00D45547"/>
    <w:rsid w:val="00D45D3D"/>
    <w:rsid w:val="00D45E5E"/>
    <w:rsid w:val="00D4618F"/>
    <w:rsid w:val="00D46AB5"/>
    <w:rsid w:val="00D46F30"/>
    <w:rsid w:val="00D4778F"/>
    <w:rsid w:val="00D5037B"/>
    <w:rsid w:val="00D51B14"/>
    <w:rsid w:val="00D520D5"/>
    <w:rsid w:val="00D52110"/>
    <w:rsid w:val="00D521B7"/>
    <w:rsid w:val="00D52236"/>
    <w:rsid w:val="00D522C8"/>
    <w:rsid w:val="00D52356"/>
    <w:rsid w:val="00D52D91"/>
    <w:rsid w:val="00D52FA8"/>
    <w:rsid w:val="00D53195"/>
    <w:rsid w:val="00D5349F"/>
    <w:rsid w:val="00D538F2"/>
    <w:rsid w:val="00D53A3B"/>
    <w:rsid w:val="00D53E9E"/>
    <w:rsid w:val="00D5409F"/>
    <w:rsid w:val="00D54CA4"/>
    <w:rsid w:val="00D55377"/>
    <w:rsid w:val="00D5572E"/>
    <w:rsid w:val="00D55B92"/>
    <w:rsid w:val="00D55C35"/>
    <w:rsid w:val="00D5687C"/>
    <w:rsid w:val="00D56BB0"/>
    <w:rsid w:val="00D570FF"/>
    <w:rsid w:val="00D57147"/>
    <w:rsid w:val="00D57528"/>
    <w:rsid w:val="00D60E9D"/>
    <w:rsid w:val="00D60F9E"/>
    <w:rsid w:val="00D6158E"/>
    <w:rsid w:val="00D619E6"/>
    <w:rsid w:val="00D61D57"/>
    <w:rsid w:val="00D6283A"/>
    <w:rsid w:val="00D62EC1"/>
    <w:rsid w:val="00D632F2"/>
    <w:rsid w:val="00D65502"/>
    <w:rsid w:val="00D65939"/>
    <w:rsid w:val="00D65ACE"/>
    <w:rsid w:val="00D65C87"/>
    <w:rsid w:val="00D65E35"/>
    <w:rsid w:val="00D66852"/>
    <w:rsid w:val="00D678D0"/>
    <w:rsid w:val="00D70DCF"/>
    <w:rsid w:val="00D7176B"/>
    <w:rsid w:val="00D727B6"/>
    <w:rsid w:val="00D72D4F"/>
    <w:rsid w:val="00D73593"/>
    <w:rsid w:val="00D752B4"/>
    <w:rsid w:val="00D75DE4"/>
    <w:rsid w:val="00D76175"/>
    <w:rsid w:val="00D7632D"/>
    <w:rsid w:val="00D766B1"/>
    <w:rsid w:val="00D768AC"/>
    <w:rsid w:val="00D7789D"/>
    <w:rsid w:val="00D8060A"/>
    <w:rsid w:val="00D80708"/>
    <w:rsid w:val="00D8087D"/>
    <w:rsid w:val="00D80C49"/>
    <w:rsid w:val="00D80E1F"/>
    <w:rsid w:val="00D81493"/>
    <w:rsid w:val="00D816C2"/>
    <w:rsid w:val="00D816E0"/>
    <w:rsid w:val="00D81942"/>
    <w:rsid w:val="00D81BAD"/>
    <w:rsid w:val="00D830BF"/>
    <w:rsid w:val="00D8353B"/>
    <w:rsid w:val="00D83874"/>
    <w:rsid w:val="00D83A0B"/>
    <w:rsid w:val="00D84BE3"/>
    <w:rsid w:val="00D84F8F"/>
    <w:rsid w:val="00D85F00"/>
    <w:rsid w:val="00D8690C"/>
    <w:rsid w:val="00D86AE5"/>
    <w:rsid w:val="00D86C96"/>
    <w:rsid w:val="00D87429"/>
    <w:rsid w:val="00D90434"/>
    <w:rsid w:val="00D91827"/>
    <w:rsid w:val="00D9193A"/>
    <w:rsid w:val="00D91E7A"/>
    <w:rsid w:val="00D920BD"/>
    <w:rsid w:val="00D92515"/>
    <w:rsid w:val="00D92D53"/>
    <w:rsid w:val="00D92E55"/>
    <w:rsid w:val="00D92FDA"/>
    <w:rsid w:val="00D932CD"/>
    <w:rsid w:val="00D940C7"/>
    <w:rsid w:val="00D95AED"/>
    <w:rsid w:val="00D97578"/>
    <w:rsid w:val="00D97BC2"/>
    <w:rsid w:val="00D97D43"/>
    <w:rsid w:val="00DA0474"/>
    <w:rsid w:val="00DA0F40"/>
    <w:rsid w:val="00DA10B6"/>
    <w:rsid w:val="00DA25C6"/>
    <w:rsid w:val="00DA2F9A"/>
    <w:rsid w:val="00DA31F0"/>
    <w:rsid w:val="00DA3366"/>
    <w:rsid w:val="00DA42DC"/>
    <w:rsid w:val="00DA4415"/>
    <w:rsid w:val="00DA4E61"/>
    <w:rsid w:val="00DA57B6"/>
    <w:rsid w:val="00DA5BA0"/>
    <w:rsid w:val="00DA6153"/>
    <w:rsid w:val="00DB06BD"/>
    <w:rsid w:val="00DB0BB7"/>
    <w:rsid w:val="00DB1663"/>
    <w:rsid w:val="00DB1A00"/>
    <w:rsid w:val="00DB1F59"/>
    <w:rsid w:val="00DB303A"/>
    <w:rsid w:val="00DB36A5"/>
    <w:rsid w:val="00DB3E46"/>
    <w:rsid w:val="00DB4365"/>
    <w:rsid w:val="00DB4FE1"/>
    <w:rsid w:val="00DB5FC3"/>
    <w:rsid w:val="00DB60F4"/>
    <w:rsid w:val="00DB6FF2"/>
    <w:rsid w:val="00DB72E8"/>
    <w:rsid w:val="00DC0160"/>
    <w:rsid w:val="00DC0657"/>
    <w:rsid w:val="00DC167B"/>
    <w:rsid w:val="00DC2C38"/>
    <w:rsid w:val="00DC40F3"/>
    <w:rsid w:val="00DC4969"/>
    <w:rsid w:val="00DC597B"/>
    <w:rsid w:val="00DC5DA1"/>
    <w:rsid w:val="00DC6145"/>
    <w:rsid w:val="00DC643B"/>
    <w:rsid w:val="00DC6D2A"/>
    <w:rsid w:val="00DC738C"/>
    <w:rsid w:val="00DC73B4"/>
    <w:rsid w:val="00DD046B"/>
    <w:rsid w:val="00DD196C"/>
    <w:rsid w:val="00DD30B0"/>
    <w:rsid w:val="00DD51EB"/>
    <w:rsid w:val="00DD529D"/>
    <w:rsid w:val="00DD6AAB"/>
    <w:rsid w:val="00DD6EDE"/>
    <w:rsid w:val="00DD75E2"/>
    <w:rsid w:val="00DD7700"/>
    <w:rsid w:val="00DD7A02"/>
    <w:rsid w:val="00DE03CF"/>
    <w:rsid w:val="00DE0752"/>
    <w:rsid w:val="00DE0A23"/>
    <w:rsid w:val="00DE20B3"/>
    <w:rsid w:val="00DE323C"/>
    <w:rsid w:val="00DE449C"/>
    <w:rsid w:val="00DE49B9"/>
    <w:rsid w:val="00DE49E3"/>
    <w:rsid w:val="00DE4CEA"/>
    <w:rsid w:val="00DE54EC"/>
    <w:rsid w:val="00DE5FAD"/>
    <w:rsid w:val="00DE6390"/>
    <w:rsid w:val="00DE71BE"/>
    <w:rsid w:val="00DE7A45"/>
    <w:rsid w:val="00DE7D7C"/>
    <w:rsid w:val="00DF036C"/>
    <w:rsid w:val="00DF09DD"/>
    <w:rsid w:val="00DF1002"/>
    <w:rsid w:val="00DF16E8"/>
    <w:rsid w:val="00DF2710"/>
    <w:rsid w:val="00DF2888"/>
    <w:rsid w:val="00DF2CF4"/>
    <w:rsid w:val="00DF3C71"/>
    <w:rsid w:val="00DF4DEF"/>
    <w:rsid w:val="00DF6277"/>
    <w:rsid w:val="00DF64C5"/>
    <w:rsid w:val="00DF74D5"/>
    <w:rsid w:val="00E0054B"/>
    <w:rsid w:val="00E00A81"/>
    <w:rsid w:val="00E00B25"/>
    <w:rsid w:val="00E00DFC"/>
    <w:rsid w:val="00E01CCA"/>
    <w:rsid w:val="00E04087"/>
    <w:rsid w:val="00E04469"/>
    <w:rsid w:val="00E04C25"/>
    <w:rsid w:val="00E04EC2"/>
    <w:rsid w:val="00E05348"/>
    <w:rsid w:val="00E06447"/>
    <w:rsid w:val="00E064F4"/>
    <w:rsid w:val="00E07F9A"/>
    <w:rsid w:val="00E1018D"/>
    <w:rsid w:val="00E11227"/>
    <w:rsid w:val="00E1260E"/>
    <w:rsid w:val="00E12C2C"/>
    <w:rsid w:val="00E13866"/>
    <w:rsid w:val="00E13AA6"/>
    <w:rsid w:val="00E13CA1"/>
    <w:rsid w:val="00E15080"/>
    <w:rsid w:val="00E15462"/>
    <w:rsid w:val="00E157C9"/>
    <w:rsid w:val="00E15A07"/>
    <w:rsid w:val="00E15A62"/>
    <w:rsid w:val="00E15A69"/>
    <w:rsid w:val="00E165A1"/>
    <w:rsid w:val="00E16C62"/>
    <w:rsid w:val="00E17AA5"/>
    <w:rsid w:val="00E211EB"/>
    <w:rsid w:val="00E21A31"/>
    <w:rsid w:val="00E22209"/>
    <w:rsid w:val="00E22BB6"/>
    <w:rsid w:val="00E22DC6"/>
    <w:rsid w:val="00E23EFC"/>
    <w:rsid w:val="00E24C5F"/>
    <w:rsid w:val="00E251E7"/>
    <w:rsid w:val="00E2596B"/>
    <w:rsid w:val="00E2625C"/>
    <w:rsid w:val="00E26602"/>
    <w:rsid w:val="00E26820"/>
    <w:rsid w:val="00E26878"/>
    <w:rsid w:val="00E26893"/>
    <w:rsid w:val="00E26993"/>
    <w:rsid w:val="00E275B0"/>
    <w:rsid w:val="00E2774C"/>
    <w:rsid w:val="00E302B3"/>
    <w:rsid w:val="00E30E51"/>
    <w:rsid w:val="00E316CA"/>
    <w:rsid w:val="00E32891"/>
    <w:rsid w:val="00E32D6F"/>
    <w:rsid w:val="00E3429E"/>
    <w:rsid w:val="00E34C24"/>
    <w:rsid w:val="00E352E6"/>
    <w:rsid w:val="00E359A4"/>
    <w:rsid w:val="00E3617D"/>
    <w:rsid w:val="00E3619C"/>
    <w:rsid w:val="00E36590"/>
    <w:rsid w:val="00E369AF"/>
    <w:rsid w:val="00E36C9F"/>
    <w:rsid w:val="00E37B3F"/>
    <w:rsid w:val="00E403FE"/>
    <w:rsid w:val="00E40B7F"/>
    <w:rsid w:val="00E412EC"/>
    <w:rsid w:val="00E419F1"/>
    <w:rsid w:val="00E426DE"/>
    <w:rsid w:val="00E42717"/>
    <w:rsid w:val="00E42FAB"/>
    <w:rsid w:val="00E432F5"/>
    <w:rsid w:val="00E436E3"/>
    <w:rsid w:val="00E43A67"/>
    <w:rsid w:val="00E441AD"/>
    <w:rsid w:val="00E45402"/>
    <w:rsid w:val="00E46329"/>
    <w:rsid w:val="00E47433"/>
    <w:rsid w:val="00E47C0B"/>
    <w:rsid w:val="00E50989"/>
    <w:rsid w:val="00E5106F"/>
    <w:rsid w:val="00E513BC"/>
    <w:rsid w:val="00E52164"/>
    <w:rsid w:val="00E52DCA"/>
    <w:rsid w:val="00E53346"/>
    <w:rsid w:val="00E53D61"/>
    <w:rsid w:val="00E54CB1"/>
    <w:rsid w:val="00E565CF"/>
    <w:rsid w:val="00E57381"/>
    <w:rsid w:val="00E57BB5"/>
    <w:rsid w:val="00E57E19"/>
    <w:rsid w:val="00E6082C"/>
    <w:rsid w:val="00E60844"/>
    <w:rsid w:val="00E60B3C"/>
    <w:rsid w:val="00E61C93"/>
    <w:rsid w:val="00E62240"/>
    <w:rsid w:val="00E62651"/>
    <w:rsid w:val="00E63B0C"/>
    <w:rsid w:val="00E64242"/>
    <w:rsid w:val="00E67220"/>
    <w:rsid w:val="00E67822"/>
    <w:rsid w:val="00E67C0B"/>
    <w:rsid w:val="00E71062"/>
    <w:rsid w:val="00E71401"/>
    <w:rsid w:val="00E722F4"/>
    <w:rsid w:val="00E72762"/>
    <w:rsid w:val="00E72ABA"/>
    <w:rsid w:val="00E72D8E"/>
    <w:rsid w:val="00E73332"/>
    <w:rsid w:val="00E73686"/>
    <w:rsid w:val="00E73E36"/>
    <w:rsid w:val="00E73F9A"/>
    <w:rsid w:val="00E74A46"/>
    <w:rsid w:val="00E7503C"/>
    <w:rsid w:val="00E7533B"/>
    <w:rsid w:val="00E75E43"/>
    <w:rsid w:val="00E760E8"/>
    <w:rsid w:val="00E7766D"/>
    <w:rsid w:val="00E77BB1"/>
    <w:rsid w:val="00E77BEF"/>
    <w:rsid w:val="00E801FC"/>
    <w:rsid w:val="00E80648"/>
    <w:rsid w:val="00E80BAA"/>
    <w:rsid w:val="00E80E20"/>
    <w:rsid w:val="00E81C98"/>
    <w:rsid w:val="00E82112"/>
    <w:rsid w:val="00E821EF"/>
    <w:rsid w:val="00E82D77"/>
    <w:rsid w:val="00E83912"/>
    <w:rsid w:val="00E83E01"/>
    <w:rsid w:val="00E84AA1"/>
    <w:rsid w:val="00E86129"/>
    <w:rsid w:val="00E8664D"/>
    <w:rsid w:val="00E86C5C"/>
    <w:rsid w:val="00E871EE"/>
    <w:rsid w:val="00E87252"/>
    <w:rsid w:val="00E87307"/>
    <w:rsid w:val="00E8751A"/>
    <w:rsid w:val="00E87564"/>
    <w:rsid w:val="00E90358"/>
    <w:rsid w:val="00E90B78"/>
    <w:rsid w:val="00E9102D"/>
    <w:rsid w:val="00E9126A"/>
    <w:rsid w:val="00E917D3"/>
    <w:rsid w:val="00E918E2"/>
    <w:rsid w:val="00E91E69"/>
    <w:rsid w:val="00E93ACA"/>
    <w:rsid w:val="00E9506F"/>
    <w:rsid w:val="00E95138"/>
    <w:rsid w:val="00E95197"/>
    <w:rsid w:val="00E957C3"/>
    <w:rsid w:val="00E958FD"/>
    <w:rsid w:val="00E95C68"/>
    <w:rsid w:val="00E969FE"/>
    <w:rsid w:val="00E96F55"/>
    <w:rsid w:val="00EA02A8"/>
    <w:rsid w:val="00EA07F3"/>
    <w:rsid w:val="00EA11E0"/>
    <w:rsid w:val="00EA2242"/>
    <w:rsid w:val="00EA26E9"/>
    <w:rsid w:val="00EA2E9B"/>
    <w:rsid w:val="00EA33A7"/>
    <w:rsid w:val="00EA446D"/>
    <w:rsid w:val="00EA4E17"/>
    <w:rsid w:val="00EA60D5"/>
    <w:rsid w:val="00EA634B"/>
    <w:rsid w:val="00EA6AAB"/>
    <w:rsid w:val="00EA6E0B"/>
    <w:rsid w:val="00EA7135"/>
    <w:rsid w:val="00EB239B"/>
    <w:rsid w:val="00EB24F4"/>
    <w:rsid w:val="00EB33A6"/>
    <w:rsid w:val="00EB35B8"/>
    <w:rsid w:val="00EB5577"/>
    <w:rsid w:val="00EB594F"/>
    <w:rsid w:val="00EB60C3"/>
    <w:rsid w:val="00EB6184"/>
    <w:rsid w:val="00EB61F6"/>
    <w:rsid w:val="00EB6220"/>
    <w:rsid w:val="00EB6609"/>
    <w:rsid w:val="00EB68DA"/>
    <w:rsid w:val="00EC00A6"/>
    <w:rsid w:val="00EC07BE"/>
    <w:rsid w:val="00EC0E01"/>
    <w:rsid w:val="00EC2AD7"/>
    <w:rsid w:val="00EC2ED0"/>
    <w:rsid w:val="00EC32EA"/>
    <w:rsid w:val="00EC38C1"/>
    <w:rsid w:val="00EC3ECD"/>
    <w:rsid w:val="00EC41DA"/>
    <w:rsid w:val="00EC45B3"/>
    <w:rsid w:val="00EC56F9"/>
    <w:rsid w:val="00EC5DC0"/>
    <w:rsid w:val="00EC5E28"/>
    <w:rsid w:val="00EC65D0"/>
    <w:rsid w:val="00EC6727"/>
    <w:rsid w:val="00EC69C5"/>
    <w:rsid w:val="00EC6E01"/>
    <w:rsid w:val="00EC6E6C"/>
    <w:rsid w:val="00EC746A"/>
    <w:rsid w:val="00EC74A5"/>
    <w:rsid w:val="00EC7833"/>
    <w:rsid w:val="00EC7DE2"/>
    <w:rsid w:val="00ED07CC"/>
    <w:rsid w:val="00ED2019"/>
    <w:rsid w:val="00ED2325"/>
    <w:rsid w:val="00ED291B"/>
    <w:rsid w:val="00ED2E55"/>
    <w:rsid w:val="00ED3965"/>
    <w:rsid w:val="00ED3E1C"/>
    <w:rsid w:val="00ED412E"/>
    <w:rsid w:val="00ED4155"/>
    <w:rsid w:val="00ED4456"/>
    <w:rsid w:val="00ED46F4"/>
    <w:rsid w:val="00ED4897"/>
    <w:rsid w:val="00ED5151"/>
    <w:rsid w:val="00ED5983"/>
    <w:rsid w:val="00ED5CA5"/>
    <w:rsid w:val="00ED6DD3"/>
    <w:rsid w:val="00ED7B0E"/>
    <w:rsid w:val="00ED7CF5"/>
    <w:rsid w:val="00EE027D"/>
    <w:rsid w:val="00EE042A"/>
    <w:rsid w:val="00EE0CCF"/>
    <w:rsid w:val="00EE119D"/>
    <w:rsid w:val="00EE15EF"/>
    <w:rsid w:val="00EE1C78"/>
    <w:rsid w:val="00EE1D67"/>
    <w:rsid w:val="00EE1E49"/>
    <w:rsid w:val="00EE29FE"/>
    <w:rsid w:val="00EE2ED5"/>
    <w:rsid w:val="00EE30EE"/>
    <w:rsid w:val="00EE3383"/>
    <w:rsid w:val="00EE379C"/>
    <w:rsid w:val="00EE3A6A"/>
    <w:rsid w:val="00EE3B12"/>
    <w:rsid w:val="00EE3E2F"/>
    <w:rsid w:val="00EE433E"/>
    <w:rsid w:val="00EE5BC8"/>
    <w:rsid w:val="00EE5C38"/>
    <w:rsid w:val="00EE5D64"/>
    <w:rsid w:val="00EE6AAA"/>
    <w:rsid w:val="00EE7EE9"/>
    <w:rsid w:val="00EF03B0"/>
    <w:rsid w:val="00EF1594"/>
    <w:rsid w:val="00EF18BA"/>
    <w:rsid w:val="00EF1EBA"/>
    <w:rsid w:val="00EF2EEE"/>
    <w:rsid w:val="00EF3053"/>
    <w:rsid w:val="00EF43AE"/>
    <w:rsid w:val="00EF4A49"/>
    <w:rsid w:val="00EF5264"/>
    <w:rsid w:val="00EF557C"/>
    <w:rsid w:val="00EF5BD8"/>
    <w:rsid w:val="00EF60F3"/>
    <w:rsid w:val="00EF63F7"/>
    <w:rsid w:val="00EF653D"/>
    <w:rsid w:val="00EF6A9D"/>
    <w:rsid w:val="00EF6F3A"/>
    <w:rsid w:val="00EF7385"/>
    <w:rsid w:val="00EF7EB1"/>
    <w:rsid w:val="00F007C1"/>
    <w:rsid w:val="00F00ACA"/>
    <w:rsid w:val="00F0223A"/>
    <w:rsid w:val="00F02344"/>
    <w:rsid w:val="00F0262F"/>
    <w:rsid w:val="00F02E71"/>
    <w:rsid w:val="00F0451C"/>
    <w:rsid w:val="00F054CB"/>
    <w:rsid w:val="00F05BC4"/>
    <w:rsid w:val="00F05C5A"/>
    <w:rsid w:val="00F05E7F"/>
    <w:rsid w:val="00F06ECA"/>
    <w:rsid w:val="00F073B1"/>
    <w:rsid w:val="00F07FE0"/>
    <w:rsid w:val="00F102A1"/>
    <w:rsid w:val="00F11557"/>
    <w:rsid w:val="00F1198D"/>
    <w:rsid w:val="00F11C72"/>
    <w:rsid w:val="00F1263B"/>
    <w:rsid w:val="00F1301C"/>
    <w:rsid w:val="00F13371"/>
    <w:rsid w:val="00F13F8E"/>
    <w:rsid w:val="00F1445E"/>
    <w:rsid w:val="00F14F19"/>
    <w:rsid w:val="00F155D7"/>
    <w:rsid w:val="00F15D69"/>
    <w:rsid w:val="00F2062C"/>
    <w:rsid w:val="00F2149C"/>
    <w:rsid w:val="00F22D35"/>
    <w:rsid w:val="00F23730"/>
    <w:rsid w:val="00F246E2"/>
    <w:rsid w:val="00F24718"/>
    <w:rsid w:val="00F258B4"/>
    <w:rsid w:val="00F266D1"/>
    <w:rsid w:val="00F26BF7"/>
    <w:rsid w:val="00F26EA4"/>
    <w:rsid w:val="00F2780C"/>
    <w:rsid w:val="00F3044C"/>
    <w:rsid w:val="00F317A3"/>
    <w:rsid w:val="00F31A67"/>
    <w:rsid w:val="00F32B3A"/>
    <w:rsid w:val="00F32C4A"/>
    <w:rsid w:val="00F33B98"/>
    <w:rsid w:val="00F343E2"/>
    <w:rsid w:val="00F345D4"/>
    <w:rsid w:val="00F3477E"/>
    <w:rsid w:val="00F3489F"/>
    <w:rsid w:val="00F349AC"/>
    <w:rsid w:val="00F350B4"/>
    <w:rsid w:val="00F35B7C"/>
    <w:rsid w:val="00F35FD1"/>
    <w:rsid w:val="00F3615A"/>
    <w:rsid w:val="00F3676B"/>
    <w:rsid w:val="00F36C37"/>
    <w:rsid w:val="00F3769D"/>
    <w:rsid w:val="00F37F6D"/>
    <w:rsid w:val="00F410BD"/>
    <w:rsid w:val="00F41512"/>
    <w:rsid w:val="00F42583"/>
    <w:rsid w:val="00F42F99"/>
    <w:rsid w:val="00F44017"/>
    <w:rsid w:val="00F44C2F"/>
    <w:rsid w:val="00F45080"/>
    <w:rsid w:val="00F4624D"/>
    <w:rsid w:val="00F464A3"/>
    <w:rsid w:val="00F46C46"/>
    <w:rsid w:val="00F47E7B"/>
    <w:rsid w:val="00F506C9"/>
    <w:rsid w:val="00F50A95"/>
    <w:rsid w:val="00F512B1"/>
    <w:rsid w:val="00F51F17"/>
    <w:rsid w:val="00F52672"/>
    <w:rsid w:val="00F538DE"/>
    <w:rsid w:val="00F53D6A"/>
    <w:rsid w:val="00F53FB1"/>
    <w:rsid w:val="00F541D8"/>
    <w:rsid w:val="00F54249"/>
    <w:rsid w:val="00F5497F"/>
    <w:rsid w:val="00F54A0F"/>
    <w:rsid w:val="00F5527F"/>
    <w:rsid w:val="00F556D4"/>
    <w:rsid w:val="00F55EF6"/>
    <w:rsid w:val="00F562B9"/>
    <w:rsid w:val="00F56646"/>
    <w:rsid w:val="00F56854"/>
    <w:rsid w:val="00F579AA"/>
    <w:rsid w:val="00F620C0"/>
    <w:rsid w:val="00F623D4"/>
    <w:rsid w:val="00F62D49"/>
    <w:rsid w:val="00F6473C"/>
    <w:rsid w:val="00F651A1"/>
    <w:rsid w:val="00F66569"/>
    <w:rsid w:val="00F675C4"/>
    <w:rsid w:val="00F67A66"/>
    <w:rsid w:val="00F67FEB"/>
    <w:rsid w:val="00F72104"/>
    <w:rsid w:val="00F7232F"/>
    <w:rsid w:val="00F72439"/>
    <w:rsid w:val="00F734A9"/>
    <w:rsid w:val="00F7370D"/>
    <w:rsid w:val="00F73ABC"/>
    <w:rsid w:val="00F74116"/>
    <w:rsid w:val="00F753EE"/>
    <w:rsid w:val="00F75EA9"/>
    <w:rsid w:val="00F764F4"/>
    <w:rsid w:val="00F76D86"/>
    <w:rsid w:val="00F770C9"/>
    <w:rsid w:val="00F81358"/>
    <w:rsid w:val="00F817C0"/>
    <w:rsid w:val="00F8180E"/>
    <w:rsid w:val="00F81C91"/>
    <w:rsid w:val="00F8279C"/>
    <w:rsid w:val="00F82A0F"/>
    <w:rsid w:val="00F832F0"/>
    <w:rsid w:val="00F83E99"/>
    <w:rsid w:val="00F840AB"/>
    <w:rsid w:val="00F8472C"/>
    <w:rsid w:val="00F84787"/>
    <w:rsid w:val="00F8583D"/>
    <w:rsid w:val="00F859B1"/>
    <w:rsid w:val="00F86640"/>
    <w:rsid w:val="00F867EC"/>
    <w:rsid w:val="00F86A5E"/>
    <w:rsid w:val="00F86B71"/>
    <w:rsid w:val="00F90202"/>
    <w:rsid w:val="00F90465"/>
    <w:rsid w:val="00F90E90"/>
    <w:rsid w:val="00F91407"/>
    <w:rsid w:val="00F91495"/>
    <w:rsid w:val="00F91F96"/>
    <w:rsid w:val="00F9278D"/>
    <w:rsid w:val="00F92A1B"/>
    <w:rsid w:val="00F92F99"/>
    <w:rsid w:val="00F93635"/>
    <w:rsid w:val="00F93E50"/>
    <w:rsid w:val="00F94588"/>
    <w:rsid w:val="00F959BF"/>
    <w:rsid w:val="00F966CC"/>
    <w:rsid w:val="00F97704"/>
    <w:rsid w:val="00F97A6F"/>
    <w:rsid w:val="00F97F39"/>
    <w:rsid w:val="00F97F9A"/>
    <w:rsid w:val="00FA0FFD"/>
    <w:rsid w:val="00FA1352"/>
    <w:rsid w:val="00FA2086"/>
    <w:rsid w:val="00FA21E8"/>
    <w:rsid w:val="00FA2781"/>
    <w:rsid w:val="00FA2B08"/>
    <w:rsid w:val="00FA2DF9"/>
    <w:rsid w:val="00FA5464"/>
    <w:rsid w:val="00FA5490"/>
    <w:rsid w:val="00FA6D4B"/>
    <w:rsid w:val="00FA7595"/>
    <w:rsid w:val="00FA79FD"/>
    <w:rsid w:val="00FB03DB"/>
    <w:rsid w:val="00FB06FD"/>
    <w:rsid w:val="00FB0A08"/>
    <w:rsid w:val="00FB132C"/>
    <w:rsid w:val="00FB2F0C"/>
    <w:rsid w:val="00FB3225"/>
    <w:rsid w:val="00FB40FA"/>
    <w:rsid w:val="00FB4A39"/>
    <w:rsid w:val="00FB4ACC"/>
    <w:rsid w:val="00FB4F7A"/>
    <w:rsid w:val="00FB5381"/>
    <w:rsid w:val="00FB5964"/>
    <w:rsid w:val="00FB5BD2"/>
    <w:rsid w:val="00FB5D65"/>
    <w:rsid w:val="00FB6CE0"/>
    <w:rsid w:val="00FB6F1D"/>
    <w:rsid w:val="00FB701C"/>
    <w:rsid w:val="00FC02E7"/>
    <w:rsid w:val="00FC04B8"/>
    <w:rsid w:val="00FC12AA"/>
    <w:rsid w:val="00FC16E9"/>
    <w:rsid w:val="00FC1A4F"/>
    <w:rsid w:val="00FC1C04"/>
    <w:rsid w:val="00FC34B6"/>
    <w:rsid w:val="00FC3C24"/>
    <w:rsid w:val="00FC4875"/>
    <w:rsid w:val="00FC50C4"/>
    <w:rsid w:val="00FC6917"/>
    <w:rsid w:val="00FC71B8"/>
    <w:rsid w:val="00FC7777"/>
    <w:rsid w:val="00FC7830"/>
    <w:rsid w:val="00FD0000"/>
    <w:rsid w:val="00FD0AA4"/>
    <w:rsid w:val="00FD109F"/>
    <w:rsid w:val="00FD1B66"/>
    <w:rsid w:val="00FD30A9"/>
    <w:rsid w:val="00FD563C"/>
    <w:rsid w:val="00FD5AE5"/>
    <w:rsid w:val="00FD770B"/>
    <w:rsid w:val="00FE18F3"/>
    <w:rsid w:val="00FE1C01"/>
    <w:rsid w:val="00FE2376"/>
    <w:rsid w:val="00FE2750"/>
    <w:rsid w:val="00FE2A71"/>
    <w:rsid w:val="00FE2CD8"/>
    <w:rsid w:val="00FE4CEA"/>
    <w:rsid w:val="00FE4D75"/>
    <w:rsid w:val="00FE563F"/>
    <w:rsid w:val="00FF03C1"/>
    <w:rsid w:val="00FF0509"/>
    <w:rsid w:val="00FF0B80"/>
    <w:rsid w:val="00FF1775"/>
    <w:rsid w:val="00FF1E62"/>
    <w:rsid w:val="00FF22E7"/>
    <w:rsid w:val="00FF23B2"/>
    <w:rsid w:val="00FF2A66"/>
    <w:rsid w:val="00FF2AEE"/>
    <w:rsid w:val="00FF3510"/>
    <w:rsid w:val="00FF3ED9"/>
    <w:rsid w:val="00FF3FE8"/>
    <w:rsid w:val="00FF474A"/>
    <w:rsid w:val="00FF47A9"/>
    <w:rsid w:val="00FF6669"/>
    <w:rsid w:val="00FF6942"/>
    <w:rsid w:val="00FF72EA"/>
    <w:rsid w:val="00FF79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1F59"/>
    <w:rPr>
      <w:sz w:val="24"/>
      <w:szCs w:val="24"/>
    </w:rPr>
  </w:style>
  <w:style w:type="paragraph" w:styleId="Nadpis1">
    <w:name w:val="heading 1"/>
    <w:basedOn w:val="Normln"/>
    <w:link w:val="Nadpis1Char"/>
    <w:autoRedefine/>
    <w:qFormat/>
    <w:rsid w:val="00BF03B8"/>
    <w:pPr>
      <w:numPr>
        <w:numId w:val="12"/>
      </w:numPr>
      <w:tabs>
        <w:tab w:val="left" w:pos="426"/>
        <w:tab w:val="left" w:pos="709"/>
      </w:tabs>
      <w:outlineLvl w:val="0"/>
    </w:pPr>
    <w:rPr>
      <w:rFonts w:ascii="Arial" w:hAnsi="Arial" w:cs="Arial"/>
      <w:b/>
      <w:bCs/>
      <w:spacing w:val="-3"/>
      <w:kern w:val="32"/>
      <w:sz w:val="28"/>
      <w:szCs w:val="32"/>
    </w:rPr>
  </w:style>
  <w:style w:type="paragraph" w:styleId="Nadpis2">
    <w:name w:val="heading 2"/>
    <w:basedOn w:val="Normln"/>
    <w:next w:val="Normln"/>
    <w:link w:val="Nadpis2Char"/>
    <w:autoRedefine/>
    <w:qFormat/>
    <w:rsid w:val="00E37B3F"/>
    <w:pPr>
      <w:keepNext/>
      <w:tabs>
        <w:tab w:val="center" w:pos="720"/>
      </w:tabs>
      <w:spacing w:before="240" w:after="60"/>
      <w:ind w:left="1428" w:hanging="360"/>
      <w:outlineLvl w:val="1"/>
    </w:pPr>
    <w:rPr>
      <w:rFonts w:ascii="Arial" w:hAnsi="Arial" w:cs="Arial"/>
      <w:b/>
      <w:bCs/>
      <w:color w:val="000000"/>
      <w:sz w:val="26"/>
      <w:szCs w:val="26"/>
    </w:rPr>
  </w:style>
  <w:style w:type="paragraph" w:styleId="Nadpis3">
    <w:name w:val="heading 3"/>
    <w:basedOn w:val="Normln"/>
    <w:next w:val="Normln"/>
    <w:link w:val="Nadpis3Char"/>
    <w:qFormat/>
    <w:rsid w:val="00B73670"/>
    <w:pPr>
      <w:keepNext/>
      <w:tabs>
        <w:tab w:val="center" w:pos="720"/>
      </w:tabs>
      <w:ind w:firstLine="374"/>
      <w:jc w:val="center"/>
      <w:outlineLvl w:val="2"/>
    </w:pPr>
    <w:rPr>
      <w:rFonts w:ascii="Arial" w:hAnsi="Arial" w:cs="Arial"/>
      <w:b/>
      <w:bCs/>
    </w:rPr>
  </w:style>
  <w:style w:type="paragraph" w:styleId="Nadpis4">
    <w:name w:val="heading 4"/>
    <w:basedOn w:val="Normln"/>
    <w:next w:val="Normln"/>
    <w:link w:val="Nadpis4Char"/>
    <w:qFormat/>
    <w:rsid w:val="00B73670"/>
    <w:pPr>
      <w:keepNext/>
      <w:outlineLvl w:val="3"/>
    </w:pPr>
    <w:rPr>
      <w:rFonts w:ascii="Arial Narrow" w:hAnsi="Arial Narrow" w:cs="Arial"/>
      <w:b/>
      <w:bCs/>
      <w:color w:val="000000"/>
      <w:sz w:val="20"/>
      <w:szCs w:val="20"/>
    </w:rPr>
  </w:style>
  <w:style w:type="paragraph" w:styleId="Nadpis5">
    <w:name w:val="heading 5"/>
    <w:basedOn w:val="Normln"/>
    <w:next w:val="Normln"/>
    <w:link w:val="Nadpis5Char"/>
    <w:autoRedefine/>
    <w:qFormat/>
    <w:rsid w:val="00E37B3F"/>
    <w:pPr>
      <w:numPr>
        <w:numId w:val="5"/>
      </w:numPr>
      <w:tabs>
        <w:tab w:val="clear" w:pos="1788"/>
        <w:tab w:val="left" w:pos="0"/>
        <w:tab w:val="num" w:pos="1607"/>
        <w:tab w:val="center" w:pos="1644"/>
      </w:tabs>
      <w:spacing w:before="240" w:after="60"/>
      <w:ind w:left="1588" w:hanging="341"/>
      <w:outlineLvl w:val="4"/>
    </w:pPr>
    <w:rPr>
      <w:rFonts w:ascii="Arial" w:hAnsi="Arial"/>
      <w:b/>
      <w:bCs/>
      <w:iCs/>
      <w:sz w:val="26"/>
      <w:szCs w:val="26"/>
    </w:rPr>
  </w:style>
  <w:style w:type="paragraph" w:styleId="Nadpis6">
    <w:name w:val="heading 6"/>
    <w:basedOn w:val="Normln"/>
    <w:next w:val="Normln"/>
    <w:link w:val="Nadpis6Char"/>
    <w:qFormat/>
    <w:rsid w:val="00E37B3F"/>
    <w:pPr>
      <w:numPr>
        <w:ilvl w:val="5"/>
        <w:numId w:val="5"/>
      </w:numPr>
      <w:tabs>
        <w:tab w:val="clear" w:pos="4668"/>
        <w:tab w:val="num" w:pos="4244"/>
      </w:tabs>
      <w:spacing w:before="240" w:after="60"/>
      <w:ind w:left="3884"/>
      <w:outlineLvl w:val="5"/>
    </w:pPr>
    <w:rPr>
      <w:b/>
      <w:bCs/>
      <w:sz w:val="22"/>
      <w:szCs w:val="22"/>
    </w:rPr>
  </w:style>
  <w:style w:type="paragraph" w:styleId="Nadpis7">
    <w:name w:val="heading 7"/>
    <w:basedOn w:val="Normln"/>
    <w:next w:val="Normln"/>
    <w:link w:val="Nadpis7Char"/>
    <w:qFormat/>
    <w:rsid w:val="00E37B3F"/>
    <w:pPr>
      <w:numPr>
        <w:ilvl w:val="6"/>
        <w:numId w:val="5"/>
      </w:numPr>
      <w:tabs>
        <w:tab w:val="clear" w:pos="5388"/>
        <w:tab w:val="num" w:pos="4964"/>
      </w:tabs>
      <w:spacing w:before="240" w:after="60"/>
      <w:ind w:left="4604"/>
      <w:outlineLvl w:val="6"/>
    </w:pPr>
  </w:style>
  <w:style w:type="paragraph" w:styleId="Nadpis8">
    <w:name w:val="heading 8"/>
    <w:basedOn w:val="Normln"/>
    <w:next w:val="Normln"/>
    <w:link w:val="Nadpis8Char"/>
    <w:qFormat/>
    <w:rsid w:val="00E37B3F"/>
    <w:pPr>
      <w:numPr>
        <w:ilvl w:val="7"/>
        <w:numId w:val="5"/>
      </w:numPr>
      <w:tabs>
        <w:tab w:val="clear" w:pos="6108"/>
        <w:tab w:val="num" w:pos="5684"/>
      </w:tabs>
      <w:spacing w:before="240" w:after="60"/>
      <w:ind w:left="5324"/>
      <w:outlineLvl w:val="7"/>
    </w:pPr>
    <w:rPr>
      <w:i/>
      <w:iCs/>
    </w:rPr>
  </w:style>
  <w:style w:type="paragraph" w:styleId="Nadpis9">
    <w:name w:val="heading 9"/>
    <w:basedOn w:val="Normln"/>
    <w:next w:val="Normln"/>
    <w:link w:val="Nadpis9Char"/>
    <w:qFormat/>
    <w:rsid w:val="00E37B3F"/>
    <w:pPr>
      <w:numPr>
        <w:ilvl w:val="8"/>
        <w:numId w:val="5"/>
      </w:numPr>
      <w:tabs>
        <w:tab w:val="clear" w:pos="6828"/>
        <w:tab w:val="num" w:pos="6404"/>
      </w:tabs>
      <w:spacing w:before="240" w:after="60"/>
      <w:ind w:left="6044"/>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3">
    <w:name w:val="Styl3"/>
    <w:basedOn w:val="Normln"/>
    <w:autoRedefine/>
    <w:rsid w:val="007305AD"/>
    <w:pPr>
      <w:keepNext/>
      <w:numPr>
        <w:numId w:val="1"/>
      </w:numPr>
      <w:outlineLvl w:val="1"/>
    </w:pPr>
    <w:rPr>
      <w:rFonts w:ascii="Arial" w:hAnsi="Arial" w:cs="Arial"/>
      <w:b/>
      <w:bCs/>
      <w:sz w:val="26"/>
      <w:szCs w:val="26"/>
    </w:rPr>
  </w:style>
  <w:style w:type="paragraph" w:styleId="Textpoznpodarou">
    <w:name w:val="footnote text"/>
    <w:aliases w:val="Schriftart: 9 pt,Schriftart: 10 pt,Schriftart: 8 pt"/>
    <w:basedOn w:val="Normln"/>
    <w:link w:val="TextpoznpodarouChar"/>
    <w:semiHidden/>
    <w:rsid w:val="00B73670"/>
    <w:rPr>
      <w:sz w:val="20"/>
      <w:szCs w:val="20"/>
    </w:rPr>
  </w:style>
  <w:style w:type="paragraph" w:styleId="Zhlav">
    <w:name w:val="header"/>
    <w:basedOn w:val="Normln"/>
    <w:link w:val="ZhlavChar"/>
    <w:uiPriority w:val="99"/>
    <w:rsid w:val="00B73670"/>
    <w:pPr>
      <w:widowControl w:val="0"/>
      <w:tabs>
        <w:tab w:val="center" w:pos="4536"/>
        <w:tab w:val="right" w:pos="9072"/>
      </w:tabs>
      <w:overflowPunct w:val="0"/>
      <w:autoSpaceDE w:val="0"/>
      <w:autoSpaceDN w:val="0"/>
      <w:adjustRightInd w:val="0"/>
    </w:pPr>
    <w:rPr>
      <w:sz w:val="20"/>
      <w:szCs w:val="20"/>
    </w:rPr>
  </w:style>
  <w:style w:type="paragraph" w:styleId="Zkladntext">
    <w:name w:val="Body Text"/>
    <w:aliases w:val="Standard paragraph"/>
    <w:basedOn w:val="Normln"/>
    <w:link w:val="ZkladntextChar"/>
    <w:rsid w:val="00B73670"/>
    <w:pPr>
      <w:jc w:val="both"/>
    </w:pPr>
    <w:rPr>
      <w:rFonts w:ascii="Arial" w:hAnsi="Arial"/>
      <w:color w:val="000000"/>
      <w:lang/>
    </w:rPr>
  </w:style>
  <w:style w:type="paragraph" w:styleId="Zkladntextodsazen">
    <w:name w:val="Body Text Indent"/>
    <w:basedOn w:val="Normln"/>
    <w:link w:val="ZkladntextodsazenChar"/>
    <w:rsid w:val="00B73670"/>
    <w:pPr>
      <w:spacing w:line="360" w:lineRule="auto"/>
      <w:ind w:firstLine="709"/>
      <w:jc w:val="both"/>
    </w:pPr>
    <w:rPr>
      <w:rFonts w:ascii="Arial" w:hAnsi="Arial"/>
      <w:lang/>
    </w:rPr>
  </w:style>
  <w:style w:type="paragraph" w:customStyle="1" w:styleId="xl36">
    <w:name w:val="xl36"/>
    <w:basedOn w:val="Normln"/>
    <w:rsid w:val="00B73670"/>
    <w:pPr>
      <w:spacing w:before="100" w:beforeAutospacing="1" w:after="100" w:afterAutospacing="1"/>
      <w:jc w:val="right"/>
    </w:pPr>
    <w:rPr>
      <w:rFonts w:eastAsia="Arial Unicode MS"/>
    </w:rPr>
  </w:style>
  <w:style w:type="paragraph" w:styleId="Zkladntext2">
    <w:name w:val="Body Text 2"/>
    <w:basedOn w:val="Normln"/>
    <w:link w:val="Zkladntext2Char"/>
    <w:rsid w:val="00B73670"/>
    <w:pPr>
      <w:jc w:val="center"/>
    </w:pPr>
    <w:rPr>
      <w:rFonts w:ascii="Arial" w:hAnsi="Arial" w:cs="Arial"/>
      <w:b/>
      <w:bCs/>
      <w:sz w:val="20"/>
      <w:szCs w:val="22"/>
    </w:rPr>
  </w:style>
  <w:style w:type="paragraph" w:styleId="Zkladntext3">
    <w:name w:val="Body Text 3"/>
    <w:basedOn w:val="Normln"/>
    <w:link w:val="Zkladntext3Char"/>
    <w:rsid w:val="00B73670"/>
    <w:pPr>
      <w:spacing w:line="360" w:lineRule="auto"/>
      <w:jc w:val="both"/>
    </w:pPr>
    <w:rPr>
      <w:rFonts w:ascii="Arial" w:hAnsi="Arial" w:cs="Arial"/>
    </w:rPr>
  </w:style>
  <w:style w:type="paragraph" w:customStyle="1" w:styleId="Textbodu">
    <w:name w:val="Text bodu"/>
    <w:basedOn w:val="Normln"/>
    <w:rsid w:val="00B73670"/>
    <w:pPr>
      <w:jc w:val="both"/>
      <w:outlineLvl w:val="8"/>
    </w:pPr>
    <w:rPr>
      <w:szCs w:val="20"/>
    </w:rPr>
  </w:style>
  <w:style w:type="paragraph" w:customStyle="1" w:styleId="Prosttext1">
    <w:name w:val="Prostý text1"/>
    <w:basedOn w:val="Normln"/>
    <w:rsid w:val="00B73670"/>
    <w:pPr>
      <w:overflowPunct w:val="0"/>
      <w:autoSpaceDE w:val="0"/>
      <w:autoSpaceDN w:val="0"/>
      <w:adjustRightInd w:val="0"/>
      <w:textAlignment w:val="baseline"/>
    </w:pPr>
    <w:rPr>
      <w:rFonts w:ascii="Courier New" w:hAnsi="Courier New"/>
      <w:sz w:val="20"/>
      <w:szCs w:val="20"/>
    </w:rPr>
  </w:style>
  <w:style w:type="paragraph" w:customStyle="1" w:styleId="Styl4">
    <w:name w:val="Styl4"/>
    <w:basedOn w:val="Normln"/>
    <w:rsid w:val="00B73670"/>
    <w:pPr>
      <w:keepNext/>
      <w:tabs>
        <w:tab w:val="num" w:pos="720"/>
      </w:tabs>
      <w:spacing w:before="120" w:after="60"/>
      <w:ind w:left="720" w:hanging="360"/>
      <w:outlineLvl w:val="1"/>
    </w:pPr>
    <w:rPr>
      <w:rFonts w:ascii="Arial" w:hAnsi="Arial" w:cs="Arial"/>
      <w:b/>
      <w:bCs/>
      <w:sz w:val="26"/>
      <w:szCs w:val="26"/>
    </w:rPr>
  </w:style>
  <w:style w:type="paragraph" w:styleId="Textbubliny">
    <w:name w:val="Balloon Text"/>
    <w:basedOn w:val="Normln"/>
    <w:link w:val="TextbublinyChar"/>
    <w:uiPriority w:val="99"/>
    <w:rsid w:val="00B73670"/>
    <w:rPr>
      <w:rFonts w:ascii="Tahoma" w:hAnsi="Tahoma" w:cs="Tahoma"/>
      <w:sz w:val="16"/>
      <w:szCs w:val="16"/>
    </w:rPr>
  </w:style>
  <w:style w:type="paragraph" w:styleId="Textkomente">
    <w:name w:val="annotation text"/>
    <w:basedOn w:val="Normln"/>
    <w:link w:val="TextkomenteChar"/>
    <w:semiHidden/>
    <w:rsid w:val="00B52230"/>
    <w:rPr>
      <w:sz w:val="20"/>
      <w:szCs w:val="20"/>
    </w:rPr>
  </w:style>
  <w:style w:type="paragraph" w:styleId="Pedmtkomente">
    <w:name w:val="annotation subject"/>
    <w:basedOn w:val="Textkomente"/>
    <w:next w:val="Textkomente"/>
    <w:link w:val="PedmtkomenteChar"/>
    <w:semiHidden/>
    <w:rsid w:val="00B52230"/>
    <w:rPr>
      <w:b/>
      <w:bCs/>
    </w:rPr>
  </w:style>
  <w:style w:type="character" w:styleId="Hypertextovodkaz">
    <w:name w:val="Hyperlink"/>
    <w:uiPriority w:val="99"/>
    <w:rsid w:val="00E05348"/>
    <w:rPr>
      <w:color w:val="0000FF"/>
      <w:u w:val="single"/>
    </w:rPr>
  </w:style>
  <w:style w:type="paragraph" w:styleId="Zpat">
    <w:name w:val="footer"/>
    <w:basedOn w:val="Normln"/>
    <w:link w:val="ZpatChar"/>
    <w:uiPriority w:val="99"/>
    <w:rsid w:val="00F62D49"/>
    <w:pPr>
      <w:tabs>
        <w:tab w:val="center" w:pos="4536"/>
        <w:tab w:val="right" w:pos="9072"/>
      </w:tabs>
    </w:pPr>
    <w:rPr>
      <w:lang/>
    </w:rPr>
  </w:style>
  <w:style w:type="paragraph" w:customStyle="1" w:styleId="Default">
    <w:name w:val="Default"/>
    <w:rsid w:val="00F62D49"/>
    <w:pPr>
      <w:autoSpaceDE w:val="0"/>
      <w:autoSpaceDN w:val="0"/>
      <w:adjustRightInd w:val="0"/>
    </w:pPr>
    <w:rPr>
      <w:rFonts w:ascii="Arial,Bold" w:hAnsi="Arial,Bold"/>
      <w:lang w:val="sk-SK" w:eastAsia="sk-SK"/>
    </w:rPr>
  </w:style>
  <w:style w:type="character" w:customStyle="1" w:styleId="Styl12b">
    <w:name w:val="Styl 12 b."/>
    <w:semiHidden/>
    <w:rsid w:val="00F62D49"/>
    <w:rPr>
      <w:smallCaps/>
      <w:sz w:val="24"/>
    </w:rPr>
  </w:style>
  <w:style w:type="paragraph" w:customStyle="1" w:styleId="Nadpis3a">
    <w:name w:val="Nadpis3a"/>
    <w:basedOn w:val="Normln"/>
    <w:semiHidden/>
    <w:rsid w:val="00F62D49"/>
    <w:pPr>
      <w:keepNext/>
      <w:tabs>
        <w:tab w:val="left" w:pos="900"/>
        <w:tab w:val="left" w:pos="3576"/>
      </w:tabs>
      <w:overflowPunct w:val="0"/>
      <w:autoSpaceDE w:val="0"/>
      <w:autoSpaceDN w:val="0"/>
      <w:adjustRightInd w:val="0"/>
      <w:spacing w:before="240" w:after="60"/>
      <w:ind w:left="3576" w:hanging="360"/>
      <w:textAlignment w:val="baseline"/>
    </w:pPr>
    <w:rPr>
      <w:b/>
      <w:szCs w:val="20"/>
    </w:rPr>
  </w:style>
  <w:style w:type="paragraph" w:customStyle="1" w:styleId="normln0">
    <w:name w:val="normální"/>
    <w:basedOn w:val="Normln"/>
    <w:link w:val="normlnChar"/>
    <w:rsid w:val="00F62D49"/>
    <w:pPr>
      <w:jc w:val="both"/>
    </w:pPr>
  </w:style>
  <w:style w:type="character" w:styleId="Znakapoznpodarou">
    <w:name w:val="footnote reference"/>
    <w:semiHidden/>
    <w:rsid w:val="003531EE"/>
    <w:rPr>
      <w:vertAlign w:val="superscript"/>
    </w:rPr>
  </w:style>
  <w:style w:type="paragraph" w:styleId="Zkladntextodsazen3">
    <w:name w:val="Body Text Indent 3"/>
    <w:basedOn w:val="Normln"/>
    <w:link w:val="Zkladntextodsazen3Char"/>
    <w:rsid w:val="00E37B3F"/>
    <w:pPr>
      <w:spacing w:after="120"/>
      <w:ind w:left="283"/>
    </w:pPr>
    <w:rPr>
      <w:sz w:val="16"/>
      <w:szCs w:val="16"/>
      <w:lang/>
    </w:rPr>
  </w:style>
  <w:style w:type="paragraph" w:customStyle="1" w:styleId="Styl1">
    <w:name w:val="Styl1"/>
    <w:basedOn w:val="Styl2"/>
    <w:rsid w:val="00E37B3F"/>
    <w:pPr>
      <w:numPr>
        <w:numId w:val="9"/>
      </w:numPr>
      <w:tabs>
        <w:tab w:val="left" w:pos="1259"/>
      </w:tabs>
    </w:pPr>
    <w:rPr>
      <w:iCs/>
      <w:color w:val="auto"/>
      <w:szCs w:val="28"/>
    </w:rPr>
  </w:style>
  <w:style w:type="paragraph" w:customStyle="1" w:styleId="Styl2">
    <w:name w:val="Styl2"/>
    <w:basedOn w:val="Nadpis2"/>
    <w:rsid w:val="00E37B3F"/>
    <w:pPr>
      <w:numPr>
        <w:numId w:val="10"/>
      </w:numPr>
      <w:tabs>
        <w:tab w:val="left" w:pos="720"/>
      </w:tabs>
      <w:spacing w:before="120"/>
      <w:ind w:left="714" w:hanging="357"/>
    </w:pPr>
  </w:style>
  <w:style w:type="paragraph" w:styleId="Rejstk1">
    <w:name w:val="index 1"/>
    <w:basedOn w:val="Normln"/>
    <w:next w:val="Normln"/>
    <w:autoRedefine/>
    <w:semiHidden/>
    <w:rsid w:val="00E37B3F"/>
    <w:pPr>
      <w:ind w:left="240" w:hanging="240"/>
    </w:pPr>
  </w:style>
  <w:style w:type="paragraph" w:styleId="Hlavikarejstku">
    <w:name w:val="index heading"/>
    <w:basedOn w:val="Normln"/>
    <w:next w:val="Rejstk1"/>
    <w:semiHidden/>
    <w:rsid w:val="00E37B3F"/>
  </w:style>
  <w:style w:type="paragraph" w:customStyle="1" w:styleId="xl53">
    <w:name w:val="xl53"/>
    <w:basedOn w:val="Normln"/>
    <w:rsid w:val="00E37B3F"/>
    <w:pPr>
      <w:pBdr>
        <w:bottom w:val="single" w:sz="4" w:space="0" w:color="auto"/>
        <w:right w:val="single" w:sz="4" w:space="0" w:color="auto"/>
      </w:pBdr>
      <w:spacing w:before="100" w:beforeAutospacing="1" w:after="100" w:afterAutospacing="1"/>
      <w:jc w:val="center"/>
      <w:textAlignment w:val="center"/>
    </w:pPr>
  </w:style>
  <w:style w:type="paragraph" w:styleId="Zkladntextodsazen2">
    <w:name w:val="Body Text Indent 2"/>
    <w:basedOn w:val="Normln"/>
    <w:link w:val="Zkladntextodsazen2Char"/>
    <w:rsid w:val="00E37B3F"/>
    <w:pPr>
      <w:spacing w:line="360" w:lineRule="auto"/>
      <w:ind w:firstLine="708"/>
      <w:jc w:val="both"/>
    </w:pPr>
    <w:rPr>
      <w:rFonts w:ascii="Arial" w:hAnsi="Arial"/>
      <w:i/>
    </w:rPr>
  </w:style>
  <w:style w:type="paragraph" w:customStyle="1" w:styleId="xl24">
    <w:name w:val="xl24"/>
    <w:basedOn w:val="Normln"/>
    <w:rsid w:val="00E37B3F"/>
    <w:pPr>
      <w:pBdr>
        <w:left w:val="single" w:sz="4" w:space="0" w:color="auto"/>
      </w:pBdr>
      <w:spacing w:before="100" w:beforeAutospacing="1" w:after="100" w:afterAutospacing="1"/>
      <w:jc w:val="center"/>
    </w:pPr>
    <w:rPr>
      <w:rFonts w:ascii="Arial Narrow" w:eastAsia="Arial Unicode MS" w:hAnsi="Arial Narrow" w:cs="Arial Unicode MS"/>
      <w:b/>
      <w:bCs/>
      <w:color w:val="000000"/>
    </w:rPr>
  </w:style>
  <w:style w:type="paragraph" w:customStyle="1" w:styleId="xl25">
    <w:name w:val="xl25"/>
    <w:basedOn w:val="Normln"/>
    <w:rsid w:val="00E37B3F"/>
    <w:pPr>
      <w:spacing w:before="100" w:beforeAutospacing="1" w:after="100" w:afterAutospacing="1"/>
      <w:jc w:val="center"/>
    </w:pPr>
    <w:rPr>
      <w:rFonts w:ascii="Arial Narrow" w:eastAsia="Arial Unicode MS" w:hAnsi="Arial Narrow" w:cs="Arial Unicode MS"/>
      <w:b/>
      <w:bCs/>
      <w:color w:val="000000"/>
    </w:rPr>
  </w:style>
  <w:style w:type="paragraph" w:customStyle="1" w:styleId="xl26">
    <w:name w:val="xl26"/>
    <w:basedOn w:val="Normln"/>
    <w:rsid w:val="00E37B3F"/>
    <w:pPr>
      <w:pBdr>
        <w:right w:val="single" w:sz="4" w:space="0" w:color="auto"/>
      </w:pBdr>
      <w:spacing w:before="100" w:beforeAutospacing="1" w:after="100" w:afterAutospacing="1"/>
      <w:jc w:val="center"/>
    </w:pPr>
    <w:rPr>
      <w:rFonts w:ascii="Arial Narrow" w:eastAsia="Arial Unicode MS" w:hAnsi="Arial Narrow" w:cs="Arial Unicode MS"/>
      <w:b/>
      <w:bCs/>
      <w:color w:val="000000"/>
    </w:rPr>
  </w:style>
  <w:style w:type="paragraph" w:customStyle="1" w:styleId="xl27">
    <w:name w:val="xl27"/>
    <w:basedOn w:val="Normln"/>
    <w:rsid w:val="00E37B3F"/>
    <w:pPr>
      <w:pBdr>
        <w:left w:val="single" w:sz="4" w:space="0" w:color="auto"/>
        <w:right w:val="double" w:sz="6" w:space="0" w:color="auto"/>
      </w:pBdr>
      <w:spacing w:before="100" w:beforeAutospacing="1" w:after="100" w:afterAutospacing="1"/>
      <w:jc w:val="center"/>
    </w:pPr>
    <w:rPr>
      <w:rFonts w:ascii="Arial Narrow" w:eastAsia="Arial Unicode MS" w:hAnsi="Arial Narrow" w:cs="Arial Unicode MS"/>
      <w:b/>
      <w:bCs/>
      <w:color w:val="000000"/>
    </w:rPr>
  </w:style>
  <w:style w:type="paragraph" w:customStyle="1" w:styleId="xl28">
    <w:name w:val="xl28"/>
    <w:basedOn w:val="Normln"/>
    <w:rsid w:val="00E37B3F"/>
    <w:pPr>
      <w:pBdr>
        <w:top w:val="single" w:sz="4" w:space="0" w:color="auto"/>
        <w:left w:val="single" w:sz="4"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29">
    <w:name w:val="xl29"/>
    <w:basedOn w:val="Normln"/>
    <w:rsid w:val="00E37B3F"/>
    <w:pPr>
      <w:pBdr>
        <w:top w:val="single" w:sz="4"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30">
    <w:name w:val="xl30"/>
    <w:basedOn w:val="Normln"/>
    <w:rsid w:val="00E37B3F"/>
    <w:pPr>
      <w:pBdr>
        <w:top w:val="single" w:sz="4" w:space="0" w:color="auto"/>
        <w:right w:val="single" w:sz="4"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31">
    <w:name w:val="xl31"/>
    <w:basedOn w:val="Normln"/>
    <w:rsid w:val="00E37B3F"/>
    <w:pPr>
      <w:pBdr>
        <w:top w:val="single" w:sz="4" w:space="0" w:color="auto"/>
        <w:left w:val="single" w:sz="4" w:space="0" w:color="auto"/>
        <w:right w:val="double" w:sz="6"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32">
    <w:name w:val="xl32"/>
    <w:basedOn w:val="Normln"/>
    <w:rsid w:val="00E37B3F"/>
    <w:pPr>
      <w:pBdr>
        <w:left w:val="single" w:sz="4"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33">
    <w:name w:val="xl33"/>
    <w:basedOn w:val="Normln"/>
    <w:rsid w:val="00E37B3F"/>
    <w:pPr>
      <w:spacing w:before="100" w:beforeAutospacing="1" w:after="100" w:afterAutospacing="1"/>
      <w:jc w:val="right"/>
    </w:pPr>
    <w:rPr>
      <w:rFonts w:ascii="Arial Narrow" w:eastAsia="Arial Unicode MS" w:hAnsi="Arial Narrow" w:cs="Arial Unicode MS"/>
      <w:color w:val="000000"/>
    </w:rPr>
  </w:style>
  <w:style w:type="paragraph" w:customStyle="1" w:styleId="xl34">
    <w:name w:val="xl34"/>
    <w:basedOn w:val="Normln"/>
    <w:rsid w:val="00E37B3F"/>
    <w:pPr>
      <w:pBdr>
        <w:right w:val="single" w:sz="4"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35">
    <w:name w:val="xl35"/>
    <w:basedOn w:val="Normln"/>
    <w:rsid w:val="00E37B3F"/>
    <w:pPr>
      <w:pBdr>
        <w:left w:val="single" w:sz="4" w:space="0" w:color="auto"/>
        <w:right w:val="double" w:sz="6"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37">
    <w:name w:val="xl37"/>
    <w:basedOn w:val="Normln"/>
    <w:rsid w:val="00E37B3F"/>
    <w:pPr>
      <w:pBdr>
        <w:right w:val="double" w:sz="6"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38">
    <w:name w:val="xl38"/>
    <w:basedOn w:val="Normln"/>
    <w:rsid w:val="00E37B3F"/>
    <w:pPr>
      <w:shd w:val="clear" w:color="auto" w:fill="FFFFFF"/>
      <w:spacing w:before="100" w:beforeAutospacing="1" w:after="100" w:afterAutospacing="1"/>
      <w:jc w:val="right"/>
    </w:pPr>
    <w:rPr>
      <w:rFonts w:ascii="Arial Narrow" w:eastAsia="Arial Unicode MS" w:hAnsi="Arial Narrow" w:cs="Arial Unicode MS"/>
    </w:rPr>
  </w:style>
  <w:style w:type="paragraph" w:customStyle="1" w:styleId="xl39">
    <w:name w:val="xl39"/>
    <w:basedOn w:val="Normln"/>
    <w:rsid w:val="00E37B3F"/>
    <w:pPr>
      <w:pBdr>
        <w:left w:val="single" w:sz="4" w:space="0" w:color="auto"/>
        <w:bottom w:val="double" w:sz="6"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40">
    <w:name w:val="xl40"/>
    <w:basedOn w:val="Normln"/>
    <w:rsid w:val="00E37B3F"/>
    <w:pPr>
      <w:pBdr>
        <w:bottom w:val="double" w:sz="6"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41">
    <w:name w:val="xl41"/>
    <w:basedOn w:val="Normln"/>
    <w:rsid w:val="00E37B3F"/>
    <w:pPr>
      <w:pBdr>
        <w:bottom w:val="double" w:sz="6" w:space="0" w:color="auto"/>
        <w:right w:val="single" w:sz="4"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42">
    <w:name w:val="xl42"/>
    <w:basedOn w:val="Normln"/>
    <w:rsid w:val="00E37B3F"/>
    <w:pPr>
      <w:pBdr>
        <w:bottom w:val="double" w:sz="6" w:space="0" w:color="auto"/>
        <w:right w:val="double" w:sz="6"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43">
    <w:name w:val="xl43"/>
    <w:basedOn w:val="Normln"/>
    <w:rsid w:val="00E37B3F"/>
    <w:pPr>
      <w:pBdr>
        <w:top w:val="double" w:sz="6" w:space="0" w:color="auto"/>
        <w:left w:val="single" w:sz="4" w:space="0" w:color="auto"/>
      </w:pBdr>
      <w:spacing w:before="100" w:beforeAutospacing="1" w:after="100" w:afterAutospacing="1"/>
      <w:jc w:val="center"/>
    </w:pPr>
    <w:rPr>
      <w:rFonts w:ascii="Arial Narrow" w:eastAsia="Arial Unicode MS" w:hAnsi="Arial Narrow" w:cs="Arial Unicode MS"/>
      <w:b/>
      <w:bCs/>
      <w:color w:val="000000"/>
    </w:rPr>
  </w:style>
  <w:style w:type="paragraph" w:customStyle="1" w:styleId="xl44">
    <w:name w:val="xl44"/>
    <w:basedOn w:val="Normln"/>
    <w:rsid w:val="00E37B3F"/>
    <w:pPr>
      <w:pBdr>
        <w:top w:val="double" w:sz="6" w:space="0" w:color="auto"/>
      </w:pBdr>
      <w:spacing w:before="100" w:beforeAutospacing="1" w:after="100" w:afterAutospacing="1"/>
      <w:jc w:val="center"/>
    </w:pPr>
    <w:rPr>
      <w:rFonts w:ascii="Arial Narrow" w:eastAsia="Arial Unicode MS" w:hAnsi="Arial Narrow" w:cs="Arial Unicode MS"/>
      <w:b/>
      <w:bCs/>
      <w:color w:val="000000"/>
    </w:rPr>
  </w:style>
  <w:style w:type="paragraph" w:customStyle="1" w:styleId="xl45">
    <w:name w:val="xl45"/>
    <w:basedOn w:val="Normln"/>
    <w:rsid w:val="00E37B3F"/>
    <w:pPr>
      <w:pBdr>
        <w:top w:val="double" w:sz="6"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rPr>
  </w:style>
  <w:style w:type="paragraph" w:customStyle="1" w:styleId="xl46">
    <w:name w:val="xl46"/>
    <w:basedOn w:val="Normln"/>
    <w:rsid w:val="00E37B3F"/>
    <w:pPr>
      <w:pBdr>
        <w:top w:val="double" w:sz="6" w:space="0" w:color="auto"/>
        <w:right w:val="single" w:sz="4" w:space="0" w:color="000000"/>
      </w:pBdr>
      <w:spacing w:before="100" w:beforeAutospacing="1" w:after="100" w:afterAutospacing="1"/>
      <w:jc w:val="center"/>
    </w:pPr>
    <w:rPr>
      <w:rFonts w:ascii="Arial Narrow" w:eastAsia="Arial Unicode MS" w:hAnsi="Arial Narrow" w:cs="Arial Unicode MS"/>
      <w:b/>
      <w:bCs/>
      <w:color w:val="000000"/>
    </w:rPr>
  </w:style>
  <w:style w:type="paragraph" w:customStyle="1" w:styleId="xl47">
    <w:name w:val="xl47"/>
    <w:basedOn w:val="Normln"/>
    <w:rsid w:val="00E37B3F"/>
    <w:pPr>
      <w:pBdr>
        <w:top w:val="double" w:sz="6" w:space="0" w:color="auto"/>
        <w:left w:val="single" w:sz="4" w:space="0" w:color="000000"/>
      </w:pBdr>
      <w:spacing w:before="100" w:beforeAutospacing="1" w:after="100" w:afterAutospacing="1"/>
      <w:jc w:val="center"/>
    </w:pPr>
    <w:rPr>
      <w:rFonts w:ascii="Arial Narrow" w:eastAsia="Arial Unicode MS" w:hAnsi="Arial Narrow" w:cs="Arial Unicode MS"/>
      <w:b/>
      <w:bCs/>
      <w:color w:val="000000"/>
    </w:rPr>
  </w:style>
  <w:style w:type="paragraph" w:customStyle="1" w:styleId="xl48">
    <w:name w:val="xl48"/>
    <w:basedOn w:val="Normln"/>
    <w:rsid w:val="00E37B3F"/>
    <w:pPr>
      <w:pBdr>
        <w:top w:val="single" w:sz="4" w:space="0" w:color="auto"/>
        <w:left w:val="double" w:sz="6" w:space="0" w:color="auto"/>
      </w:pBdr>
      <w:spacing w:before="100" w:beforeAutospacing="1" w:after="100" w:afterAutospacing="1"/>
    </w:pPr>
    <w:rPr>
      <w:rFonts w:ascii="Arial Narrow" w:eastAsia="Arial Unicode MS" w:hAnsi="Arial Narrow" w:cs="Arial Unicode MS"/>
      <w:color w:val="000000"/>
    </w:rPr>
  </w:style>
  <w:style w:type="paragraph" w:customStyle="1" w:styleId="xl49">
    <w:name w:val="xl49"/>
    <w:basedOn w:val="Normln"/>
    <w:rsid w:val="00E37B3F"/>
    <w:pPr>
      <w:spacing w:before="100" w:beforeAutospacing="1" w:after="100" w:afterAutospacing="1"/>
    </w:pPr>
    <w:rPr>
      <w:rFonts w:ascii="Arial Narrow" w:eastAsia="Arial Unicode MS" w:hAnsi="Arial Narrow" w:cs="Arial Unicode MS"/>
      <w:color w:val="000000"/>
    </w:rPr>
  </w:style>
  <w:style w:type="paragraph" w:customStyle="1" w:styleId="xl50">
    <w:name w:val="xl50"/>
    <w:basedOn w:val="Normln"/>
    <w:rsid w:val="00E37B3F"/>
    <w:pPr>
      <w:pBdr>
        <w:left w:val="double" w:sz="6" w:space="0" w:color="auto"/>
      </w:pBdr>
      <w:spacing w:before="100" w:beforeAutospacing="1" w:after="100" w:afterAutospacing="1"/>
    </w:pPr>
    <w:rPr>
      <w:rFonts w:ascii="Arial Narrow" w:eastAsia="Arial Unicode MS" w:hAnsi="Arial Narrow" w:cs="Arial Unicode MS"/>
      <w:color w:val="000000"/>
    </w:rPr>
  </w:style>
  <w:style w:type="paragraph" w:customStyle="1" w:styleId="xl51">
    <w:name w:val="xl51"/>
    <w:basedOn w:val="Normln"/>
    <w:rsid w:val="00E37B3F"/>
    <w:pPr>
      <w:pBdr>
        <w:bottom w:val="double" w:sz="6" w:space="0" w:color="auto"/>
      </w:pBdr>
      <w:spacing w:before="100" w:beforeAutospacing="1" w:after="100" w:afterAutospacing="1"/>
    </w:pPr>
    <w:rPr>
      <w:rFonts w:ascii="Arial Narrow" w:eastAsia="Arial Unicode MS" w:hAnsi="Arial Narrow" w:cs="Arial Unicode MS"/>
      <w:color w:val="000000"/>
    </w:rPr>
  </w:style>
  <w:style w:type="paragraph" w:customStyle="1" w:styleId="xl52">
    <w:name w:val="xl52"/>
    <w:basedOn w:val="Normln"/>
    <w:rsid w:val="00E37B3F"/>
    <w:pPr>
      <w:pBdr>
        <w:left w:val="double" w:sz="6" w:space="0" w:color="auto"/>
        <w:bottom w:val="single" w:sz="4" w:space="0" w:color="auto"/>
      </w:pBdr>
      <w:spacing w:before="100" w:beforeAutospacing="1" w:after="100" w:afterAutospacing="1"/>
    </w:pPr>
    <w:rPr>
      <w:rFonts w:ascii="Arial Narrow" w:eastAsia="Arial Unicode MS" w:hAnsi="Arial Narrow" w:cs="Arial Unicode MS"/>
      <w:color w:val="000000"/>
    </w:rPr>
  </w:style>
  <w:style w:type="character" w:styleId="slostrnky">
    <w:name w:val="page number"/>
    <w:basedOn w:val="Standardnpsmoodstavce"/>
    <w:rsid w:val="00E37B3F"/>
  </w:style>
  <w:style w:type="paragraph" w:customStyle="1" w:styleId="Normlnweb1">
    <w:name w:val="Normální (web)1"/>
    <w:basedOn w:val="Normln"/>
    <w:rsid w:val="00E37B3F"/>
    <w:pPr>
      <w:spacing w:before="100" w:after="100"/>
    </w:pPr>
    <w:rPr>
      <w:szCs w:val="20"/>
    </w:rPr>
  </w:style>
  <w:style w:type="paragraph" w:styleId="Normlnweb">
    <w:name w:val="Normal (Web)"/>
    <w:basedOn w:val="Normln"/>
    <w:link w:val="NormlnwebChar"/>
    <w:rsid w:val="00E37B3F"/>
  </w:style>
  <w:style w:type="paragraph" w:styleId="Nzev">
    <w:name w:val="Title"/>
    <w:basedOn w:val="Normln"/>
    <w:link w:val="NzevChar"/>
    <w:qFormat/>
    <w:rsid w:val="00E37B3F"/>
    <w:pPr>
      <w:overflowPunct w:val="0"/>
      <w:autoSpaceDE w:val="0"/>
      <w:autoSpaceDN w:val="0"/>
      <w:adjustRightInd w:val="0"/>
      <w:jc w:val="center"/>
      <w:textAlignment w:val="baseline"/>
    </w:pPr>
    <w:rPr>
      <w:b/>
      <w:szCs w:val="20"/>
    </w:rPr>
  </w:style>
  <w:style w:type="character" w:customStyle="1" w:styleId="text5">
    <w:name w:val="text5"/>
    <w:rsid w:val="00E37B3F"/>
    <w:rPr>
      <w:b w:val="0"/>
      <w:bCs w:val="0"/>
      <w:color w:val="000000"/>
      <w:sz w:val="18"/>
      <w:szCs w:val="18"/>
    </w:rPr>
  </w:style>
  <w:style w:type="paragraph" w:customStyle="1" w:styleId="Styl5">
    <w:name w:val="Styl5"/>
    <w:basedOn w:val="Nadpis2"/>
    <w:rsid w:val="00E37B3F"/>
    <w:pPr>
      <w:numPr>
        <w:numId w:val="3"/>
      </w:numPr>
      <w:spacing w:before="120" w:line="360" w:lineRule="auto"/>
      <w:ind w:left="714" w:hanging="357"/>
    </w:pPr>
  </w:style>
  <w:style w:type="character" w:styleId="Sledovanodkaz">
    <w:name w:val="FollowedHyperlink"/>
    <w:rsid w:val="00E37B3F"/>
    <w:rPr>
      <w:color w:val="800080"/>
      <w:u w:val="single"/>
    </w:rPr>
  </w:style>
  <w:style w:type="character" w:styleId="Siln">
    <w:name w:val="Strong"/>
    <w:qFormat/>
    <w:rsid w:val="00E37B3F"/>
    <w:rPr>
      <w:b/>
      <w:bCs/>
    </w:rPr>
  </w:style>
  <w:style w:type="paragraph" w:customStyle="1" w:styleId="Zkladntext21">
    <w:name w:val="Základní text 21"/>
    <w:basedOn w:val="Normln"/>
    <w:rsid w:val="00E37B3F"/>
    <w:pPr>
      <w:widowControl w:val="0"/>
      <w:tabs>
        <w:tab w:val="left" w:pos="-720"/>
      </w:tabs>
      <w:suppressAutoHyphens/>
      <w:overflowPunct w:val="0"/>
      <w:autoSpaceDE w:val="0"/>
      <w:autoSpaceDN w:val="0"/>
      <w:adjustRightInd w:val="0"/>
      <w:spacing w:line="360" w:lineRule="auto"/>
      <w:jc w:val="both"/>
      <w:textAlignment w:val="baseline"/>
    </w:pPr>
    <w:rPr>
      <w:rFonts w:ascii="Arial" w:hAnsi="Arial"/>
      <w:szCs w:val="20"/>
    </w:rPr>
  </w:style>
  <w:style w:type="character" w:customStyle="1" w:styleId="okbasic21">
    <w:name w:val="okbasic21"/>
    <w:rsid w:val="00E37B3F"/>
    <w:rPr>
      <w:rFonts w:ascii="Arial" w:hAnsi="Arial" w:cs="Arial" w:hint="default"/>
      <w:color w:val="000000"/>
      <w:sz w:val="24"/>
      <w:szCs w:val="24"/>
    </w:rPr>
  </w:style>
  <w:style w:type="paragraph" w:styleId="Obsah1">
    <w:name w:val="toc 1"/>
    <w:basedOn w:val="Normln"/>
    <w:next w:val="Normln"/>
    <w:autoRedefine/>
    <w:uiPriority w:val="39"/>
    <w:rsid w:val="0015793D"/>
    <w:pPr>
      <w:tabs>
        <w:tab w:val="left" w:pos="0"/>
        <w:tab w:val="left" w:pos="709"/>
        <w:tab w:val="right" w:leader="dot" w:pos="9062"/>
      </w:tabs>
      <w:spacing w:line="360" w:lineRule="auto"/>
      <w:jc w:val="right"/>
    </w:pPr>
    <w:rPr>
      <w:rFonts w:ascii="Arial" w:hAnsi="Arial" w:cs="Arial"/>
      <w:b/>
      <w:bCs/>
      <w:noProof/>
      <w:color w:val="000000" w:themeColor="text1"/>
      <w:sz w:val="28"/>
      <w:szCs w:val="28"/>
    </w:rPr>
  </w:style>
  <w:style w:type="paragraph" w:styleId="Obsah2">
    <w:name w:val="toc 2"/>
    <w:basedOn w:val="Normln"/>
    <w:next w:val="Normln"/>
    <w:autoRedefine/>
    <w:uiPriority w:val="39"/>
    <w:rsid w:val="000F13B9"/>
    <w:pPr>
      <w:tabs>
        <w:tab w:val="left" w:pos="720"/>
        <w:tab w:val="right" w:leader="dot" w:pos="9062"/>
      </w:tabs>
      <w:spacing w:line="360" w:lineRule="auto"/>
      <w:ind w:left="709" w:hanging="469"/>
    </w:pPr>
    <w:rPr>
      <w:rFonts w:ascii="Arial" w:hAnsi="Arial" w:cs="Arial"/>
      <w:smallCaps/>
      <w:noProof/>
    </w:rPr>
  </w:style>
  <w:style w:type="paragraph" w:styleId="Obsah3">
    <w:name w:val="toc 3"/>
    <w:basedOn w:val="Normln"/>
    <w:next w:val="Normln"/>
    <w:autoRedefine/>
    <w:rsid w:val="00404167"/>
    <w:pPr>
      <w:ind w:left="480"/>
    </w:pPr>
    <w:rPr>
      <w:rFonts w:ascii="Calibri" w:hAnsi="Calibri"/>
      <w:i/>
      <w:iCs/>
      <w:sz w:val="20"/>
      <w:szCs w:val="20"/>
    </w:rPr>
  </w:style>
  <w:style w:type="paragraph" w:styleId="Titulek">
    <w:name w:val="caption"/>
    <w:basedOn w:val="Normln"/>
    <w:next w:val="Normln"/>
    <w:qFormat/>
    <w:rsid w:val="002A7F04"/>
    <w:pPr>
      <w:tabs>
        <w:tab w:val="left" w:pos="720"/>
      </w:tabs>
      <w:jc w:val="center"/>
    </w:pPr>
    <w:rPr>
      <w:rFonts w:ascii="Arial" w:hAnsi="Arial" w:cs="Arial"/>
      <w:b/>
      <w:bCs/>
    </w:rPr>
  </w:style>
  <w:style w:type="paragraph" w:styleId="Seznamsodrkami">
    <w:name w:val="List Bullet"/>
    <w:basedOn w:val="Normln"/>
    <w:autoRedefine/>
    <w:rsid w:val="008F435A"/>
    <w:pPr>
      <w:widowControl w:val="0"/>
      <w:suppressAutoHyphens/>
      <w:spacing w:after="120"/>
      <w:jc w:val="both"/>
    </w:pPr>
    <w:rPr>
      <w:rFonts w:ascii="Arial" w:hAnsi="Arial" w:cs="Arial"/>
      <w:iCs/>
      <w:noProof/>
      <w:sz w:val="18"/>
      <w:szCs w:val="18"/>
    </w:rPr>
  </w:style>
  <w:style w:type="character" w:styleId="Odkaznakoment">
    <w:name w:val="annotation reference"/>
    <w:semiHidden/>
    <w:rsid w:val="00860DB1"/>
    <w:rPr>
      <w:sz w:val="16"/>
      <w:szCs w:val="16"/>
    </w:rPr>
  </w:style>
  <w:style w:type="paragraph" w:styleId="Rozvrendokumentu">
    <w:name w:val="Document Map"/>
    <w:basedOn w:val="Normln"/>
    <w:link w:val="RozvrendokumentuChar"/>
    <w:semiHidden/>
    <w:rsid w:val="00BF6354"/>
    <w:pPr>
      <w:shd w:val="clear" w:color="auto" w:fill="000080"/>
    </w:pPr>
    <w:rPr>
      <w:rFonts w:ascii="Tahoma" w:hAnsi="Tahoma" w:cs="Tahoma"/>
      <w:sz w:val="20"/>
      <w:szCs w:val="20"/>
    </w:rPr>
  </w:style>
  <w:style w:type="character" w:customStyle="1" w:styleId="NormlnwebChar">
    <w:name w:val="Normální (web) Char"/>
    <w:link w:val="Normlnweb"/>
    <w:rsid w:val="00DA57B6"/>
    <w:rPr>
      <w:sz w:val="24"/>
      <w:szCs w:val="24"/>
      <w:lang w:val="cs-CZ" w:eastAsia="cs-CZ" w:bidi="ar-SA"/>
    </w:rPr>
  </w:style>
  <w:style w:type="character" w:customStyle="1" w:styleId="style-mailovzprvy18">
    <w:name w:val="style-mailovzprvy18"/>
    <w:semiHidden/>
    <w:rsid w:val="005F76FE"/>
    <w:rPr>
      <w:rFonts w:ascii="Arial" w:hAnsi="Arial" w:cs="Arial" w:hint="default"/>
      <w:color w:val="993366"/>
    </w:rPr>
  </w:style>
  <w:style w:type="character" w:customStyle="1" w:styleId="stylzprvyelektronickpoty21">
    <w:name w:val="stylzprvyelektronickpoty21"/>
    <w:semiHidden/>
    <w:rsid w:val="00DC6145"/>
    <w:rPr>
      <w:rFonts w:ascii="Arial" w:hAnsi="Arial" w:cs="Arial"/>
      <w:color w:val="993366"/>
      <w:sz w:val="20"/>
    </w:rPr>
  </w:style>
  <w:style w:type="character" w:customStyle="1" w:styleId="normlnChar">
    <w:name w:val="normální Char"/>
    <w:link w:val="normln0"/>
    <w:rsid w:val="00651CCF"/>
    <w:rPr>
      <w:sz w:val="24"/>
      <w:szCs w:val="24"/>
      <w:lang w:val="cs-CZ" w:eastAsia="cs-CZ" w:bidi="ar-SA"/>
    </w:rPr>
  </w:style>
  <w:style w:type="paragraph" w:customStyle="1" w:styleId="Dvousloupcov">
    <w:name w:val="Dvousloupcový"/>
    <w:basedOn w:val="Normln"/>
    <w:rsid w:val="00652753"/>
    <w:pPr>
      <w:spacing w:after="120" w:line="264" w:lineRule="auto"/>
      <w:jc w:val="both"/>
    </w:pPr>
    <w:rPr>
      <w:rFonts w:ascii="Calibri" w:hAnsi="Calibri"/>
      <w:sz w:val="19"/>
    </w:rPr>
  </w:style>
  <w:style w:type="character" w:customStyle="1" w:styleId="TextpoznpodarouChar">
    <w:name w:val="Text pozn. pod čarou Char"/>
    <w:aliases w:val="Schriftart: 9 pt Char,Schriftart: 10 pt Char,Schriftart: 8 pt Char"/>
    <w:basedOn w:val="Standardnpsmoodstavce"/>
    <w:link w:val="Textpoznpodarou"/>
    <w:semiHidden/>
    <w:locked/>
    <w:rsid w:val="000D6450"/>
  </w:style>
  <w:style w:type="paragraph" w:customStyle="1" w:styleId="Zkladntext214">
    <w:name w:val="Základní text 214"/>
    <w:basedOn w:val="Normln"/>
    <w:rsid w:val="000D6450"/>
    <w:pPr>
      <w:widowControl w:val="0"/>
      <w:tabs>
        <w:tab w:val="left" w:pos="-720"/>
      </w:tabs>
      <w:suppressAutoHyphens/>
      <w:overflowPunct w:val="0"/>
      <w:autoSpaceDE w:val="0"/>
      <w:autoSpaceDN w:val="0"/>
      <w:adjustRightInd w:val="0"/>
      <w:spacing w:line="360" w:lineRule="auto"/>
      <w:jc w:val="both"/>
      <w:textAlignment w:val="baseline"/>
    </w:pPr>
    <w:rPr>
      <w:rFonts w:ascii="Arial" w:eastAsia="Calibri" w:hAnsi="Arial"/>
      <w:szCs w:val="20"/>
    </w:rPr>
  </w:style>
  <w:style w:type="character" w:customStyle="1" w:styleId="ZhlavChar">
    <w:name w:val="Záhlaví Char"/>
    <w:basedOn w:val="Standardnpsmoodstavce"/>
    <w:link w:val="Zhlav"/>
    <w:uiPriority w:val="99"/>
    <w:locked/>
    <w:rsid w:val="000D6450"/>
  </w:style>
  <w:style w:type="paragraph" w:customStyle="1" w:styleId="Normlnweb14">
    <w:name w:val="Normální (web)14"/>
    <w:basedOn w:val="Normln"/>
    <w:rsid w:val="000D6450"/>
    <w:pPr>
      <w:spacing w:before="100" w:after="100"/>
    </w:pPr>
    <w:rPr>
      <w:rFonts w:eastAsia="Calibri"/>
      <w:szCs w:val="20"/>
    </w:rPr>
  </w:style>
  <w:style w:type="paragraph" w:customStyle="1" w:styleId="Texttabulky">
    <w:name w:val="Text tabulky"/>
    <w:rsid w:val="000D6450"/>
    <w:rPr>
      <w:rFonts w:eastAsia="Calibri"/>
      <w:color w:val="000000"/>
      <w:sz w:val="24"/>
    </w:rPr>
  </w:style>
  <w:style w:type="character" w:customStyle="1" w:styleId="ZpatChar">
    <w:name w:val="Zápatí Char"/>
    <w:link w:val="Zpat"/>
    <w:uiPriority w:val="99"/>
    <w:rsid w:val="00AB379C"/>
    <w:rPr>
      <w:sz w:val="24"/>
      <w:szCs w:val="24"/>
    </w:rPr>
  </w:style>
  <w:style w:type="paragraph" w:styleId="Odstavecseseznamem">
    <w:name w:val="List Paragraph"/>
    <w:basedOn w:val="Normln"/>
    <w:uiPriority w:val="34"/>
    <w:qFormat/>
    <w:rsid w:val="009779C7"/>
    <w:pPr>
      <w:ind w:left="708"/>
    </w:pPr>
  </w:style>
  <w:style w:type="character" w:customStyle="1" w:styleId="Zkladntextodsazen3Char">
    <w:name w:val="Základní text odsazený 3 Char"/>
    <w:link w:val="Zkladntextodsazen3"/>
    <w:rsid w:val="00C6793D"/>
    <w:rPr>
      <w:sz w:val="16"/>
      <w:szCs w:val="16"/>
    </w:rPr>
  </w:style>
  <w:style w:type="character" w:customStyle="1" w:styleId="ZkladntextodsazenChar">
    <w:name w:val="Základní text odsazený Char"/>
    <w:link w:val="Zkladntextodsazen"/>
    <w:rsid w:val="00C6793D"/>
    <w:rPr>
      <w:rFonts w:ascii="Arial" w:hAnsi="Arial"/>
      <w:sz w:val="24"/>
      <w:szCs w:val="24"/>
    </w:rPr>
  </w:style>
  <w:style w:type="character" w:customStyle="1" w:styleId="ZkladntextChar">
    <w:name w:val="Základní text Char"/>
    <w:aliases w:val="Standard paragraph Char"/>
    <w:link w:val="Zkladntext"/>
    <w:rsid w:val="00C6793D"/>
    <w:rPr>
      <w:rFonts w:ascii="Arial" w:hAnsi="Arial" w:cs="Arial"/>
      <w:color w:val="000000"/>
      <w:sz w:val="24"/>
      <w:szCs w:val="24"/>
    </w:rPr>
  </w:style>
  <w:style w:type="character" w:customStyle="1" w:styleId="CharChar3">
    <w:name w:val="Char Char3"/>
    <w:rsid w:val="00D046EC"/>
    <w:rPr>
      <w:sz w:val="24"/>
      <w:szCs w:val="24"/>
    </w:rPr>
  </w:style>
  <w:style w:type="paragraph" w:styleId="Obsah4">
    <w:name w:val="toc 4"/>
    <w:basedOn w:val="Normln"/>
    <w:next w:val="Normln"/>
    <w:autoRedefine/>
    <w:rsid w:val="0000183B"/>
    <w:pPr>
      <w:ind w:left="720"/>
    </w:pPr>
    <w:rPr>
      <w:rFonts w:ascii="Calibri" w:hAnsi="Calibri"/>
      <w:sz w:val="18"/>
      <w:szCs w:val="18"/>
    </w:rPr>
  </w:style>
  <w:style w:type="paragraph" w:styleId="Obsah5">
    <w:name w:val="toc 5"/>
    <w:basedOn w:val="Normln"/>
    <w:next w:val="Normln"/>
    <w:autoRedefine/>
    <w:rsid w:val="0000183B"/>
    <w:pPr>
      <w:ind w:left="960"/>
    </w:pPr>
    <w:rPr>
      <w:rFonts w:ascii="Calibri" w:hAnsi="Calibri"/>
      <w:sz w:val="18"/>
      <w:szCs w:val="18"/>
    </w:rPr>
  </w:style>
  <w:style w:type="paragraph" w:styleId="Obsah6">
    <w:name w:val="toc 6"/>
    <w:basedOn w:val="Normln"/>
    <w:next w:val="Normln"/>
    <w:autoRedefine/>
    <w:rsid w:val="0000183B"/>
    <w:pPr>
      <w:ind w:left="1200"/>
    </w:pPr>
    <w:rPr>
      <w:rFonts w:ascii="Calibri" w:hAnsi="Calibri"/>
      <w:sz w:val="18"/>
      <w:szCs w:val="18"/>
    </w:rPr>
  </w:style>
  <w:style w:type="paragraph" w:styleId="Obsah7">
    <w:name w:val="toc 7"/>
    <w:basedOn w:val="Normln"/>
    <w:next w:val="Normln"/>
    <w:autoRedefine/>
    <w:rsid w:val="0000183B"/>
    <w:pPr>
      <w:ind w:left="1440"/>
    </w:pPr>
    <w:rPr>
      <w:rFonts w:ascii="Calibri" w:hAnsi="Calibri"/>
      <w:sz w:val="18"/>
      <w:szCs w:val="18"/>
    </w:rPr>
  </w:style>
  <w:style w:type="paragraph" w:styleId="Obsah8">
    <w:name w:val="toc 8"/>
    <w:basedOn w:val="Normln"/>
    <w:next w:val="Normln"/>
    <w:autoRedefine/>
    <w:rsid w:val="0000183B"/>
    <w:pPr>
      <w:ind w:left="1680"/>
    </w:pPr>
    <w:rPr>
      <w:rFonts w:ascii="Calibri" w:hAnsi="Calibri"/>
      <w:sz w:val="18"/>
      <w:szCs w:val="18"/>
    </w:rPr>
  </w:style>
  <w:style w:type="paragraph" w:styleId="Obsah9">
    <w:name w:val="toc 9"/>
    <w:basedOn w:val="Normln"/>
    <w:next w:val="Normln"/>
    <w:autoRedefine/>
    <w:rsid w:val="0000183B"/>
    <w:pPr>
      <w:ind w:left="1920"/>
    </w:pPr>
    <w:rPr>
      <w:rFonts w:ascii="Calibri" w:hAnsi="Calibri"/>
      <w:sz w:val="18"/>
      <w:szCs w:val="18"/>
    </w:rPr>
  </w:style>
  <w:style w:type="character" w:customStyle="1" w:styleId="style-mailovzprvy21">
    <w:name w:val="style-mailovzprvy21"/>
    <w:semiHidden/>
    <w:rsid w:val="00913CC0"/>
    <w:rPr>
      <w:rFonts w:ascii="Arial" w:hAnsi="Arial" w:cs="Arial" w:hint="default"/>
      <w:color w:val="993366"/>
    </w:rPr>
  </w:style>
  <w:style w:type="character" w:customStyle="1" w:styleId="prochazkovae">
    <w:name w:val="prochazkovae"/>
    <w:semiHidden/>
    <w:rsid w:val="00E82112"/>
    <w:rPr>
      <w:rFonts w:ascii="Arial" w:hAnsi="Arial" w:cs="Arial"/>
      <w:color w:val="000080"/>
      <w:sz w:val="20"/>
      <w:szCs w:val="20"/>
    </w:rPr>
  </w:style>
  <w:style w:type="character" w:styleId="slodku">
    <w:name w:val="line number"/>
    <w:basedOn w:val="Standardnpsmoodstavce"/>
    <w:rsid w:val="00584309"/>
  </w:style>
  <w:style w:type="character" w:customStyle="1" w:styleId="NormalWebChar">
    <w:name w:val="Normal (Web) Char"/>
    <w:locked/>
    <w:rsid w:val="009B2CFE"/>
    <w:rPr>
      <w:rFonts w:ascii="Times New Roman" w:hAnsi="Times New Roman" w:cs="Times New Roman"/>
      <w:sz w:val="24"/>
      <w:szCs w:val="24"/>
      <w:lang w:eastAsia="cs-CZ"/>
    </w:rPr>
  </w:style>
  <w:style w:type="character" w:customStyle="1" w:styleId="HeaderChar">
    <w:name w:val="Header Char"/>
    <w:locked/>
    <w:rsid w:val="009B2CFE"/>
    <w:rPr>
      <w:rFonts w:ascii="Times New Roman" w:hAnsi="Times New Roman" w:cs="Times New Roman"/>
      <w:sz w:val="20"/>
      <w:szCs w:val="20"/>
      <w:lang w:eastAsia="cs-CZ"/>
    </w:rPr>
  </w:style>
  <w:style w:type="paragraph" w:customStyle="1" w:styleId="Normlnweb11">
    <w:name w:val="Normální (web)11"/>
    <w:basedOn w:val="Normln"/>
    <w:rsid w:val="009B2CFE"/>
    <w:pPr>
      <w:spacing w:before="100" w:after="100"/>
    </w:pPr>
    <w:rPr>
      <w:szCs w:val="20"/>
    </w:rPr>
  </w:style>
  <w:style w:type="character" w:customStyle="1" w:styleId="Nadpis1Char">
    <w:name w:val="Nadpis 1 Char"/>
    <w:link w:val="Nadpis1"/>
    <w:rsid w:val="00BF03B8"/>
    <w:rPr>
      <w:rFonts w:ascii="Arial" w:hAnsi="Arial" w:cs="Arial"/>
      <w:b/>
      <w:bCs/>
      <w:spacing w:val="-3"/>
      <w:kern w:val="32"/>
      <w:sz w:val="28"/>
      <w:szCs w:val="32"/>
    </w:rPr>
  </w:style>
  <w:style w:type="character" w:customStyle="1" w:styleId="Nadpis2Char">
    <w:name w:val="Nadpis 2 Char"/>
    <w:link w:val="Nadpis2"/>
    <w:rsid w:val="009D6B6C"/>
    <w:rPr>
      <w:rFonts w:ascii="Arial" w:hAnsi="Arial" w:cs="Arial"/>
      <w:b/>
      <w:bCs/>
      <w:color w:val="000000"/>
      <w:sz w:val="26"/>
      <w:szCs w:val="26"/>
    </w:rPr>
  </w:style>
  <w:style w:type="character" w:customStyle="1" w:styleId="Nadpis3Char">
    <w:name w:val="Nadpis 3 Char"/>
    <w:link w:val="Nadpis3"/>
    <w:rsid w:val="009D6B6C"/>
    <w:rPr>
      <w:rFonts w:ascii="Arial" w:hAnsi="Arial" w:cs="Arial"/>
      <w:b/>
      <w:bCs/>
      <w:sz w:val="24"/>
      <w:szCs w:val="24"/>
    </w:rPr>
  </w:style>
  <w:style w:type="character" w:customStyle="1" w:styleId="Nadpis4Char">
    <w:name w:val="Nadpis 4 Char"/>
    <w:link w:val="Nadpis4"/>
    <w:rsid w:val="009D6B6C"/>
    <w:rPr>
      <w:rFonts w:ascii="Arial Narrow" w:hAnsi="Arial Narrow" w:cs="Arial"/>
      <w:b/>
      <w:bCs/>
      <w:color w:val="000000"/>
    </w:rPr>
  </w:style>
  <w:style w:type="character" w:customStyle="1" w:styleId="Nadpis5Char">
    <w:name w:val="Nadpis 5 Char"/>
    <w:link w:val="Nadpis5"/>
    <w:rsid w:val="009D6B6C"/>
    <w:rPr>
      <w:rFonts w:ascii="Arial" w:hAnsi="Arial"/>
      <w:b/>
      <w:bCs/>
      <w:iCs/>
      <w:sz w:val="26"/>
      <w:szCs w:val="26"/>
    </w:rPr>
  </w:style>
  <w:style w:type="character" w:customStyle="1" w:styleId="Nadpis6Char">
    <w:name w:val="Nadpis 6 Char"/>
    <w:link w:val="Nadpis6"/>
    <w:rsid w:val="009D6B6C"/>
    <w:rPr>
      <w:b/>
      <w:bCs/>
      <w:sz w:val="22"/>
      <w:szCs w:val="22"/>
    </w:rPr>
  </w:style>
  <w:style w:type="character" w:customStyle="1" w:styleId="Nadpis7Char">
    <w:name w:val="Nadpis 7 Char"/>
    <w:link w:val="Nadpis7"/>
    <w:rsid w:val="009D6B6C"/>
    <w:rPr>
      <w:sz w:val="24"/>
      <w:szCs w:val="24"/>
    </w:rPr>
  </w:style>
  <w:style w:type="character" w:customStyle="1" w:styleId="Nadpis8Char">
    <w:name w:val="Nadpis 8 Char"/>
    <w:link w:val="Nadpis8"/>
    <w:rsid w:val="009D6B6C"/>
    <w:rPr>
      <w:i/>
      <w:iCs/>
      <w:sz w:val="24"/>
      <w:szCs w:val="24"/>
    </w:rPr>
  </w:style>
  <w:style w:type="character" w:customStyle="1" w:styleId="Nadpis9Char">
    <w:name w:val="Nadpis 9 Char"/>
    <w:link w:val="Nadpis9"/>
    <w:rsid w:val="009D6B6C"/>
    <w:rPr>
      <w:rFonts w:ascii="Arial" w:hAnsi="Arial"/>
      <w:sz w:val="22"/>
      <w:szCs w:val="22"/>
    </w:rPr>
  </w:style>
  <w:style w:type="character" w:customStyle="1" w:styleId="Zkladntext2Char">
    <w:name w:val="Základní text 2 Char"/>
    <w:link w:val="Zkladntext2"/>
    <w:rsid w:val="009D6B6C"/>
    <w:rPr>
      <w:rFonts w:ascii="Arial" w:hAnsi="Arial" w:cs="Arial"/>
      <w:b/>
      <w:bCs/>
      <w:szCs w:val="22"/>
    </w:rPr>
  </w:style>
  <w:style w:type="character" w:customStyle="1" w:styleId="Zkladntext3Char">
    <w:name w:val="Základní text 3 Char"/>
    <w:link w:val="Zkladntext3"/>
    <w:rsid w:val="009D6B6C"/>
    <w:rPr>
      <w:rFonts w:ascii="Arial" w:hAnsi="Arial" w:cs="Arial"/>
      <w:sz w:val="24"/>
      <w:szCs w:val="24"/>
    </w:rPr>
  </w:style>
  <w:style w:type="paragraph" w:customStyle="1" w:styleId="Prosttext13">
    <w:name w:val="Prostý text13"/>
    <w:basedOn w:val="Normln"/>
    <w:rsid w:val="009D6B6C"/>
    <w:pPr>
      <w:overflowPunct w:val="0"/>
      <w:autoSpaceDE w:val="0"/>
      <w:autoSpaceDN w:val="0"/>
      <w:adjustRightInd w:val="0"/>
      <w:textAlignment w:val="baseline"/>
    </w:pPr>
    <w:rPr>
      <w:rFonts w:ascii="Courier New" w:hAnsi="Courier New"/>
      <w:sz w:val="20"/>
      <w:szCs w:val="20"/>
    </w:rPr>
  </w:style>
  <w:style w:type="character" w:customStyle="1" w:styleId="TextbublinyChar">
    <w:name w:val="Text bubliny Char"/>
    <w:link w:val="Textbubliny"/>
    <w:uiPriority w:val="99"/>
    <w:rsid w:val="009D6B6C"/>
    <w:rPr>
      <w:rFonts w:ascii="Tahoma" w:hAnsi="Tahoma" w:cs="Tahoma"/>
      <w:sz w:val="16"/>
      <w:szCs w:val="16"/>
    </w:rPr>
  </w:style>
  <w:style w:type="character" w:customStyle="1" w:styleId="TextkomenteChar">
    <w:name w:val="Text komentáře Char"/>
    <w:link w:val="Textkomente"/>
    <w:semiHidden/>
    <w:rsid w:val="009D6B6C"/>
  </w:style>
  <w:style w:type="character" w:customStyle="1" w:styleId="PedmtkomenteChar">
    <w:name w:val="Předmět komentáře Char"/>
    <w:link w:val="Pedmtkomente"/>
    <w:semiHidden/>
    <w:rsid w:val="009D6B6C"/>
    <w:rPr>
      <w:b/>
      <w:bCs/>
    </w:rPr>
  </w:style>
  <w:style w:type="character" w:customStyle="1" w:styleId="Zkladntextodsazen2Char">
    <w:name w:val="Základní text odsazený 2 Char"/>
    <w:link w:val="Zkladntextodsazen2"/>
    <w:rsid w:val="009D6B6C"/>
    <w:rPr>
      <w:rFonts w:ascii="Arial" w:hAnsi="Arial"/>
      <w:i/>
      <w:sz w:val="24"/>
      <w:szCs w:val="24"/>
    </w:rPr>
  </w:style>
  <w:style w:type="character" w:customStyle="1" w:styleId="NzevChar">
    <w:name w:val="Název Char"/>
    <w:link w:val="Nzev"/>
    <w:rsid w:val="009D6B6C"/>
    <w:rPr>
      <w:b/>
      <w:sz w:val="24"/>
    </w:rPr>
  </w:style>
  <w:style w:type="character" w:customStyle="1" w:styleId="RozvrendokumentuChar">
    <w:name w:val="Rozvržení dokumentu Char"/>
    <w:link w:val="Rozvrendokumentu"/>
    <w:semiHidden/>
    <w:rsid w:val="009D6B6C"/>
    <w:rPr>
      <w:rFonts w:ascii="Tahoma" w:hAnsi="Tahoma" w:cs="Tahoma"/>
      <w:shd w:val="clear" w:color="auto" w:fill="000080"/>
    </w:rPr>
  </w:style>
  <w:style w:type="character" w:customStyle="1" w:styleId="CharChar33">
    <w:name w:val="Char Char33"/>
    <w:rsid w:val="009D6B6C"/>
    <w:rPr>
      <w:sz w:val="24"/>
      <w:szCs w:val="24"/>
    </w:rPr>
  </w:style>
  <w:style w:type="character" w:customStyle="1" w:styleId="TextpoznpodarouChar1">
    <w:name w:val="Text pozn. pod čarou Char1"/>
    <w:aliases w:val="Schriftart: 9 pt Char1,Schriftart: 10 pt Char1,Schriftart: 8 pt Char1"/>
    <w:semiHidden/>
    <w:rsid w:val="009B0D99"/>
  </w:style>
  <w:style w:type="character" w:customStyle="1" w:styleId="ZkladntextChar1">
    <w:name w:val="Základní text Char1"/>
    <w:aliases w:val="Standard paragraph Char1"/>
    <w:semiHidden/>
    <w:rsid w:val="009B0D99"/>
    <w:rPr>
      <w:sz w:val="24"/>
      <w:szCs w:val="24"/>
    </w:rPr>
  </w:style>
  <w:style w:type="paragraph" w:customStyle="1" w:styleId="Zkladntext211">
    <w:name w:val="Základní text 211"/>
    <w:basedOn w:val="Normln"/>
    <w:rsid w:val="000A372F"/>
    <w:pPr>
      <w:widowControl w:val="0"/>
      <w:tabs>
        <w:tab w:val="left" w:pos="-720"/>
      </w:tabs>
      <w:suppressAutoHyphens/>
      <w:overflowPunct w:val="0"/>
      <w:autoSpaceDE w:val="0"/>
      <w:autoSpaceDN w:val="0"/>
      <w:adjustRightInd w:val="0"/>
      <w:spacing w:line="360" w:lineRule="auto"/>
      <w:jc w:val="both"/>
      <w:textAlignment w:val="baseline"/>
    </w:pPr>
    <w:rPr>
      <w:rFonts w:ascii="Arial" w:eastAsia="Calibri" w:hAnsi="Arial"/>
      <w:szCs w:val="20"/>
    </w:rPr>
  </w:style>
  <w:style w:type="paragraph" w:customStyle="1" w:styleId="Zkladntext212">
    <w:name w:val="Základní text 212"/>
    <w:basedOn w:val="Normln"/>
    <w:rsid w:val="00B672FD"/>
    <w:pPr>
      <w:widowControl w:val="0"/>
      <w:tabs>
        <w:tab w:val="left" w:pos="-720"/>
      </w:tabs>
      <w:suppressAutoHyphens/>
      <w:overflowPunct w:val="0"/>
      <w:autoSpaceDE w:val="0"/>
      <w:autoSpaceDN w:val="0"/>
      <w:adjustRightInd w:val="0"/>
      <w:spacing w:line="360" w:lineRule="auto"/>
      <w:jc w:val="both"/>
      <w:textAlignment w:val="baseline"/>
    </w:pPr>
    <w:rPr>
      <w:rFonts w:ascii="Arial" w:eastAsia="Calibri" w:hAnsi="Arial"/>
      <w:szCs w:val="20"/>
    </w:rPr>
  </w:style>
  <w:style w:type="paragraph" w:customStyle="1" w:styleId="Normlnweb12">
    <w:name w:val="Normální (web)12"/>
    <w:basedOn w:val="Normln"/>
    <w:rsid w:val="00B672FD"/>
    <w:pPr>
      <w:spacing w:before="100" w:after="100"/>
    </w:pPr>
    <w:rPr>
      <w:rFonts w:eastAsia="Calibri"/>
      <w:szCs w:val="20"/>
    </w:rPr>
  </w:style>
  <w:style w:type="paragraph" w:customStyle="1" w:styleId="Prosttext11">
    <w:name w:val="Prostý text11"/>
    <w:basedOn w:val="Normln"/>
    <w:rsid w:val="00B672FD"/>
    <w:pPr>
      <w:overflowPunct w:val="0"/>
      <w:autoSpaceDE w:val="0"/>
      <w:autoSpaceDN w:val="0"/>
      <w:adjustRightInd w:val="0"/>
      <w:textAlignment w:val="baseline"/>
    </w:pPr>
    <w:rPr>
      <w:rFonts w:ascii="Courier New" w:hAnsi="Courier New"/>
      <w:sz w:val="20"/>
      <w:szCs w:val="20"/>
    </w:rPr>
  </w:style>
  <w:style w:type="character" w:customStyle="1" w:styleId="CharChar31">
    <w:name w:val="Char Char31"/>
    <w:rsid w:val="00B672FD"/>
    <w:rPr>
      <w:sz w:val="24"/>
      <w:szCs w:val="24"/>
    </w:rPr>
  </w:style>
  <w:style w:type="paragraph" w:styleId="Seznam">
    <w:name w:val="List"/>
    <w:basedOn w:val="Normln"/>
    <w:uiPriority w:val="99"/>
    <w:unhideWhenUsed/>
    <w:rsid w:val="00B672FD"/>
    <w:pPr>
      <w:ind w:left="283" w:hanging="283"/>
    </w:pPr>
    <w:rPr>
      <w:rFonts w:eastAsiaTheme="minorHAnsi"/>
    </w:rPr>
  </w:style>
  <w:style w:type="table" w:styleId="Mkatabulky">
    <w:name w:val="Table Grid"/>
    <w:basedOn w:val="Normlntabulka"/>
    <w:rsid w:val="007A49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l-perex">
    <w:name w:val="call-perex"/>
    <w:basedOn w:val="Normln"/>
    <w:rsid w:val="000F684F"/>
    <w:pPr>
      <w:spacing w:before="100" w:beforeAutospacing="1" w:after="100" w:afterAutospacing="1"/>
    </w:pPr>
    <w:rPr>
      <w:rFonts w:ascii="Arial" w:hAnsi="Arial"/>
      <w:sz w:val="22"/>
      <w:szCs w:val="20"/>
    </w:rPr>
  </w:style>
  <w:style w:type="character" w:customStyle="1" w:styleId="hword">
    <w:name w:val="h_word"/>
    <w:basedOn w:val="Standardnpsmoodstavce"/>
    <w:rsid w:val="00A703BC"/>
  </w:style>
  <w:style w:type="paragraph" w:customStyle="1" w:styleId="Zkladntext213">
    <w:name w:val="Základní text 213"/>
    <w:basedOn w:val="Normln"/>
    <w:rsid w:val="00115440"/>
    <w:pPr>
      <w:widowControl w:val="0"/>
      <w:tabs>
        <w:tab w:val="left" w:pos="-720"/>
      </w:tabs>
      <w:suppressAutoHyphens/>
      <w:overflowPunct w:val="0"/>
      <w:autoSpaceDE w:val="0"/>
      <w:autoSpaceDN w:val="0"/>
      <w:adjustRightInd w:val="0"/>
      <w:spacing w:line="360" w:lineRule="auto"/>
      <w:jc w:val="both"/>
      <w:textAlignment w:val="baseline"/>
    </w:pPr>
    <w:rPr>
      <w:rFonts w:ascii="Arial" w:eastAsia="Calibri" w:hAnsi="Arial"/>
      <w:szCs w:val="20"/>
    </w:rPr>
  </w:style>
  <w:style w:type="paragraph" w:customStyle="1" w:styleId="Normlnweb13">
    <w:name w:val="Normální (web)13"/>
    <w:basedOn w:val="Normln"/>
    <w:rsid w:val="00115440"/>
    <w:pPr>
      <w:spacing w:before="100" w:after="100"/>
    </w:pPr>
    <w:rPr>
      <w:rFonts w:eastAsia="Calibri"/>
      <w:szCs w:val="20"/>
    </w:rPr>
  </w:style>
  <w:style w:type="paragraph" w:customStyle="1" w:styleId="Prosttext12">
    <w:name w:val="Prostý text12"/>
    <w:basedOn w:val="Normln"/>
    <w:rsid w:val="00115440"/>
    <w:pPr>
      <w:overflowPunct w:val="0"/>
      <w:autoSpaceDE w:val="0"/>
      <w:autoSpaceDN w:val="0"/>
      <w:adjustRightInd w:val="0"/>
      <w:textAlignment w:val="baseline"/>
    </w:pPr>
    <w:rPr>
      <w:rFonts w:ascii="Courier New" w:hAnsi="Courier New"/>
      <w:sz w:val="20"/>
      <w:szCs w:val="20"/>
    </w:rPr>
  </w:style>
  <w:style w:type="character" w:customStyle="1" w:styleId="CharChar32">
    <w:name w:val="Char Char32"/>
    <w:rsid w:val="00115440"/>
    <w:rPr>
      <w:sz w:val="24"/>
      <w:szCs w:val="24"/>
    </w:rPr>
  </w:style>
  <w:style w:type="numbering" w:customStyle="1" w:styleId="Bezseznamu1">
    <w:name w:val="Bez seznamu1"/>
    <w:next w:val="Bezseznamu"/>
    <w:uiPriority w:val="99"/>
    <w:semiHidden/>
    <w:unhideWhenUsed/>
    <w:rsid w:val="00EE15EF"/>
  </w:style>
  <w:style w:type="character" w:customStyle="1" w:styleId="esf-dictionary-word1">
    <w:name w:val="esf-dictionary-word1"/>
    <w:basedOn w:val="Standardnpsmoodstavce"/>
    <w:rsid w:val="00EE1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1F59"/>
    <w:rPr>
      <w:sz w:val="24"/>
      <w:szCs w:val="24"/>
    </w:rPr>
  </w:style>
  <w:style w:type="paragraph" w:styleId="Nadpis1">
    <w:name w:val="heading 1"/>
    <w:basedOn w:val="Normln"/>
    <w:link w:val="Nadpis1Char"/>
    <w:autoRedefine/>
    <w:qFormat/>
    <w:rsid w:val="00BF03B8"/>
    <w:pPr>
      <w:numPr>
        <w:numId w:val="12"/>
      </w:numPr>
      <w:tabs>
        <w:tab w:val="left" w:pos="426"/>
        <w:tab w:val="left" w:pos="709"/>
      </w:tabs>
      <w:outlineLvl w:val="0"/>
    </w:pPr>
    <w:rPr>
      <w:rFonts w:ascii="Arial" w:hAnsi="Arial" w:cs="Arial"/>
      <w:b/>
      <w:bCs/>
      <w:spacing w:val="-3"/>
      <w:kern w:val="32"/>
      <w:sz w:val="28"/>
      <w:szCs w:val="32"/>
    </w:rPr>
  </w:style>
  <w:style w:type="paragraph" w:styleId="Nadpis2">
    <w:name w:val="heading 2"/>
    <w:basedOn w:val="Normln"/>
    <w:next w:val="Normln"/>
    <w:link w:val="Nadpis2Char"/>
    <w:autoRedefine/>
    <w:qFormat/>
    <w:rsid w:val="00E37B3F"/>
    <w:pPr>
      <w:keepNext/>
      <w:tabs>
        <w:tab w:val="center" w:pos="720"/>
      </w:tabs>
      <w:spacing w:before="240" w:after="60"/>
      <w:ind w:left="1428" w:hanging="360"/>
      <w:outlineLvl w:val="1"/>
    </w:pPr>
    <w:rPr>
      <w:rFonts w:ascii="Arial" w:hAnsi="Arial" w:cs="Arial"/>
      <w:b/>
      <w:bCs/>
      <w:color w:val="000000"/>
      <w:sz w:val="26"/>
      <w:szCs w:val="26"/>
    </w:rPr>
  </w:style>
  <w:style w:type="paragraph" w:styleId="Nadpis3">
    <w:name w:val="heading 3"/>
    <w:basedOn w:val="Normln"/>
    <w:next w:val="Normln"/>
    <w:link w:val="Nadpis3Char"/>
    <w:qFormat/>
    <w:rsid w:val="00B73670"/>
    <w:pPr>
      <w:keepNext/>
      <w:tabs>
        <w:tab w:val="center" w:pos="720"/>
      </w:tabs>
      <w:ind w:firstLine="374"/>
      <w:jc w:val="center"/>
      <w:outlineLvl w:val="2"/>
    </w:pPr>
    <w:rPr>
      <w:rFonts w:ascii="Arial" w:hAnsi="Arial" w:cs="Arial"/>
      <w:b/>
      <w:bCs/>
    </w:rPr>
  </w:style>
  <w:style w:type="paragraph" w:styleId="Nadpis4">
    <w:name w:val="heading 4"/>
    <w:basedOn w:val="Normln"/>
    <w:next w:val="Normln"/>
    <w:link w:val="Nadpis4Char"/>
    <w:qFormat/>
    <w:rsid w:val="00B73670"/>
    <w:pPr>
      <w:keepNext/>
      <w:outlineLvl w:val="3"/>
    </w:pPr>
    <w:rPr>
      <w:rFonts w:ascii="Arial Narrow" w:hAnsi="Arial Narrow" w:cs="Arial"/>
      <w:b/>
      <w:bCs/>
      <w:color w:val="000000"/>
      <w:sz w:val="20"/>
      <w:szCs w:val="20"/>
    </w:rPr>
  </w:style>
  <w:style w:type="paragraph" w:styleId="Nadpis5">
    <w:name w:val="heading 5"/>
    <w:basedOn w:val="Normln"/>
    <w:next w:val="Normln"/>
    <w:link w:val="Nadpis5Char"/>
    <w:autoRedefine/>
    <w:qFormat/>
    <w:rsid w:val="00E37B3F"/>
    <w:pPr>
      <w:numPr>
        <w:numId w:val="5"/>
      </w:numPr>
      <w:tabs>
        <w:tab w:val="clear" w:pos="1788"/>
        <w:tab w:val="left" w:pos="0"/>
        <w:tab w:val="num" w:pos="1607"/>
        <w:tab w:val="center" w:pos="1644"/>
      </w:tabs>
      <w:spacing w:before="240" w:after="60"/>
      <w:ind w:left="1588" w:hanging="341"/>
      <w:outlineLvl w:val="4"/>
    </w:pPr>
    <w:rPr>
      <w:rFonts w:ascii="Arial" w:hAnsi="Arial"/>
      <w:b/>
      <w:bCs/>
      <w:iCs/>
      <w:sz w:val="26"/>
      <w:szCs w:val="26"/>
    </w:rPr>
  </w:style>
  <w:style w:type="paragraph" w:styleId="Nadpis6">
    <w:name w:val="heading 6"/>
    <w:basedOn w:val="Normln"/>
    <w:next w:val="Normln"/>
    <w:link w:val="Nadpis6Char"/>
    <w:qFormat/>
    <w:rsid w:val="00E37B3F"/>
    <w:pPr>
      <w:numPr>
        <w:ilvl w:val="5"/>
        <w:numId w:val="5"/>
      </w:numPr>
      <w:tabs>
        <w:tab w:val="clear" w:pos="4668"/>
        <w:tab w:val="num" w:pos="4244"/>
      </w:tabs>
      <w:spacing w:before="240" w:after="60"/>
      <w:ind w:left="3884"/>
      <w:outlineLvl w:val="5"/>
    </w:pPr>
    <w:rPr>
      <w:b/>
      <w:bCs/>
      <w:sz w:val="22"/>
      <w:szCs w:val="22"/>
    </w:rPr>
  </w:style>
  <w:style w:type="paragraph" w:styleId="Nadpis7">
    <w:name w:val="heading 7"/>
    <w:basedOn w:val="Normln"/>
    <w:next w:val="Normln"/>
    <w:link w:val="Nadpis7Char"/>
    <w:qFormat/>
    <w:rsid w:val="00E37B3F"/>
    <w:pPr>
      <w:numPr>
        <w:ilvl w:val="6"/>
        <w:numId w:val="5"/>
      </w:numPr>
      <w:tabs>
        <w:tab w:val="clear" w:pos="5388"/>
        <w:tab w:val="num" w:pos="4964"/>
      </w:tabs>
      <w:spacing w:before="240" w:after="60"/>
      <w:ind w:left="4604"/>
      <w:outlineLvl w:val="6"/>
    </w:pPr>
  </w:style>
  <w:style w:type="paragraph" w:styleId="Nadpis8">
    <w:name w:val="heading 8"/>
    <w:basedOn w:val="Normln"/>
    <w:next w:val="Normln"/>
    <w:link w:val="Nadpis8Char"/>
    <w:qFormat/>
    <w:rsid w:val="00E37B3F"/>
    <w:pPr>
      <w:numPr>
        <w:ilvl w:val="7"/>
        <w:numId w:val="5"/>
      </w:numPr>
      <w:tabs>
        <w:tab w:val="clear" w:pos="6108"/>
        <w:tab w:val="num" w:pos="5684"/>
      </w:tabs>
      <w:spacing w:before="240" w:after="60"/>
      <w:ind w:left="5324"/>
      <w:outlineLvl w:val="7"/>
    </w:pPr>
    <w:rPr>
      <w:i/>
      <w:iCs/>
    </w:rPr>
  </w:style>
  <w:style w:type="paragraph" w:styleId="Nadpis9">
    <w:name w:val="heading 9"/>
    <w:basedOn w:val="Normln"/>
    <w:next w:val="Normln"/>
    <w:link w:val="Nadpis9Char"/>
    <w:qFormat/>
    <w:rsid w:val="00E37B3F"/>
    <w:pPr>
      <w:numPr>
        <w:ilvl w:val="8"/>
        <w:numId w:val="5"/>
      </w:numPr>
      <w:tabs>
        <w:tab w:val="clear" w:pos="6828"/>
        <w:tab w:val="num" w:pos="6404"/>
      </w:tabs>
      <w:spacing w:before="240" w:after="60"/>
      <w:ind w:left="6044"/>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3">
    <w:name w:val="Styl3"/>
    <w:basedOn w:val="Normln"/>
    <w:autoRedefine/>
    <w:rsid w:val="007305AD"/>
    <w:pPr>
      <w:keepNext/>
      <w:numPr>
        <w:numId w:val="1"/>
      </w:numPr>
      <w:outlineLvl w:val="1"/>
    </w:pPr>
    <w:rPr>
      <w:rFonts w:ascii="Arial" w:hAnsi="Arial" w:cs="Arial"/>
      <w:b/>
      <w:bCs/>
      <w:sz w:val="26"/>
      <w:szCs w:val="26"/>
    </w:rPr>
  </w:style>
  <w:style w:type="paragraph" w:styleId="Textpoznpodarou">
    <w:name w:val="footnote text"/>
    <w:aliases w:val="Schriftart: 9 pt,Schriftart: 10 pt,Schriftart: 8 pt"/>
    <w:basedOn w:val="Normln"/>
    <w:link w:val="TextpoznpodarouChar"/>
    <w:semiHidden/>
    <w:rsid w:val="00B73670"/>
    <w:rPr>
      <w:sz w:val="20"/>
      <w:szCs w:val="20"/>
    </w:rPr>
  </w:style>
  <w:style w:type="paragraph" w:styleId="Zhlav">
    <w:name w:val="header"/>
    <w:basedOn w:val="Normln"/>
    <w:link w:val="ZhlavChar"/>
    <w:uiPriority w:val="99"/>
    <w:rsid w:val="00B73670"/>
    <w:pPr>
      <w:widowControl w:val="0"/>
      <w:tabs>
        <w:tab w:val="center" w:pos="4536"/>
        <w:tab w:val="right" w:pos="9072"/>
      </w:tabs>
      <w:overflowPunct w:val="0"/>
      <w:autoSpaceDE w:val="0"/>
      <w:autoSpaceDN w:val="0"/>
      <w:adjustRightInd w:val="0"/>
    </w:pPr>
    <w:rPr>
      <w:sz w:val="20"/>
      <w:szCs w:val="20"/>
    </w:rPr>
  </w:style>
  <w:style w:type="paragraph" w:styleId="Zkladntext">
    <w:name w:val="Body Text"/>
    <w:aliases w:val="Standard paragraph"/>
    <w:basedOn w:val="Normln"/>
    <w:link w:val="ZkladntextChar"/>
    <w:rsid w:val="00B73670"/>
    <w:pPr>
      <w:jc w:val="both"/>
    </w:pPr>
    <w:rPr>
      <w:rFonts w:ascii="Arial" w:hAnsi="Arial"/>
      <w:color w:val="000000"/>
      <w:lang w:val="x-none" w:eastAsia="x-none"/>
    </w:rPr>
  </w:style>
  <w:style w:type="paragraph" w:styleId="Zkladntextodsazen">
    <w:name w:val="Body Text Indent"/>
    <w:basedOn w:val="Normln"/>
    <w:link w:val="ZkladntextodsazenChar"/>
    <w:rsid w:val="00B73670"/>
    <w:pPr>
      <w:spacing w:line="360" w:lineRule="auto"/>
      <w:ind w:firstLine="709"/>
      <w:jc w:val="both"/>
    </w:pPr>
    <w:rPr>
      <w:rFonts w:ascii="Arial" w:hAnsi="Arial"/>
      <w:lang w:val="x-none" w:eastAsia="x-none"/>
    </w:rPr>
  </w:style>
  <w:style w:type="paragraph" w:customStyle="1" w:styleId="xl36">
    <w:name w:val="xl36"/>
    <w:basedOn w:val="Normln"/>
    <w:rsid w:val="00B73670"/>
    <w:pPr>
      <w:spacing w:before="100" w:beforeAutospacing="1" w:after="100" w:afterAutospacing="1"/>
      <w:jc w:val="right"/>
    </w:pPr>
    <w:rPr>
      <w:rFonts w:eastAsia="Arial Unicode MS"/>
    </w:rPr>
  </w:style>
  <w:style w:type="paragraph" w:styleId="Zkladntext2">
    <w:name w:val="Body Text 2"/>
    <w:basedOn w:val="Normln"/>
    <w:link w:val="Zkladntext2Char"/>
    <w:rsid w:val="00B73670"/>
    <w:pPr>
      <w:jc w:val="center"/>
    </w:pPr>
    <w:rPr>
      <w:rFonts w:ascii="Arial" w:hAnsi="Arial" w:cs="Arial"/>
      <w:b/>
      <w:bCs/>
      <w:sz w:val="20"/>
      <w:szCs w:val="22"/>
    </w:rPr>
  </w:style>
  <w:style w:type="paragraph" w:styleId="Zkladntext3">
    <w:name w:val="Body Text 3"/>
    <w:basedOn w:val="Normln"/>
    <w:link w:val="Zkladntext3Char"/>
    <w:rsid w:val="00B73670"/>
    <w:pPr>
      <w:spacing w:line="360" w:lineRule="auto"/>
      <w:jc w:val="both"/>
    </w:pPr>
    <w:rPr>
      <w:rFonts w:ascii="Arial" w:hAnsi="Arial" w:cs="Arial"/>
    </w:rPr>
  </w:style>
  <w:style w:type="paragraph" w:customStyle="1" w:styleId="Textbodu">
    <w:name w:val="Text bodu"/>
    <w:basedOn w:val="Normln"/>
    <w:rsid w:val="00B73670"/>
    <w:pPr>
      <w:jc w:val="both"/>
      <w:outlineLvl w:val="8"/>
    </w:pPr>
    <w:rPr>
      <w:szCs w:val="20"/>
    </w:rPr>
  </w:style>
  <w:style w:type="paragraph" w:customStyle="1" w:styleId="Prosttext1">
    <w:name w:val="Prostý text1"/>
    <w:basedOn w:val="Normln"/>
    <w:rsid w:val="00B73670"/>
    <w:pPr>
      <w:overflowPunct w:val="0"/>
      <w:autoSpaceDE w:val="0"/>
      <w:autoSpaceDN w:val="0"/>
      <w:adjustRightInd w:val="0"/>
      <w:textAlignment w:val="baseline"/>
    </w:pPr>
    <w:rPr>
      <w:rFonts w:ascii="Courier New" w:hAnsi="Courier New"/>
      <w:sz w:val="20"/>
      <w:szCs w:val="20"/>
    </w:rPr>
  </w:style>
  <w:style w:type="paragraph" w:customStyle="1" w:styleId="Styl4">
    <w:name w:val="Styl4"/>
    <w:basedOn w:val="Normln"/>
    <w:rsid w:val="00B73670"/>
    <w:pPr>
      <w:keepNext/>
      <w:tabs>
        <w:tab w:val="num" w:pos="720"/>
      </w:tabs>
      <w:spacing w:before="120" w:after="60"/>
      <w:ind w:left="720" w:hanging="360"/>
      <w:outlineLvl w:val="1"/>
    </w:pPr>
    <w:rPr>
      <w:rFonts w:ascii="Arial" w:hAnsi="Arial" w:cs="Arial"/>
      <w:b/>
      <w:bCs/>
      <w:sz w:val="26"/>
      <w:szCs w:val="26"/>
    </w:rPr>
  </w:style>
  <w:style w:type="paragraph" w:styleId="Textbubliny">
    <w:name w:val="Balloon Text"/>
    <w:basedOn w:val="Normln"/>
    <w:link w:val="TextbublinyChar"/>
    <w:uiPriority w:val="99"/>
    <w:rsid w:val="00B73670"/>
    <w:rPr>
      <w:rFonts w:ascii="Tahoma" w:hAnsi="Tahoma" w:cs="Tahoma"/>
      <w:sz w:val="16"/>
      <w:szCs w:val="16"/>
    </w:rPr>
  </w:style>
  <w:style w:type="paragraph" w:styleId="Textkomente">
    <w:name w:val="annotation text"/>
    <w:basedOn w:val="Normln"/>
    <w:link w:val="TextkomenteChar"/>
    <w:semiHidden/>
    <w:rsid w:val="00B52230"/>
    <w:rPr>
      <w:sz w:val="20"/>
      <w:szCs w:val="20"/>
    </w:rPr>
  </w:style>
  <w:style w:type="paragraph" w:styleId="Pedmtkomente">
    <w:name w:val="annotation subject"/>
    <w:basedOn w:val="Textkomente"/>
    <w:next w:val="Textkomente"/>
    <w:link w:val="PedmtkomenteChar"/>
    <w:semiHidden/>
    <w:rsid w:val="00B52230"/>
    <w:rPr>
      <w:b/>
      <w:bCs/>
    </w:rPr>
  </w:style>
  <w:style w:type="character" w:styleId="Hypertextovodkaz">
    <w:name w:val="Hyperlink"/>
    <w:uiPriority w:val="99"/>
    <w:rsid w:val="00E05348"/>
    <w:rPr>
      <w:color w:val="0000FF"/>
      <w:u w:val="single"/>
    </w:rPr>
  </w:style>
  <w:style w:type="paragraph" w:styleId="Zpat">
    <w:name w:val="footer"/>
    <w:basedOn w:val="Normln"/>
    <w:link w:val="ZpatChar"/>
    <w:uiPriority w:val="99"/>
    <w:rsid w:val="00F62D49"/>
    <w:pPr>
      <w:tabs>
        <w:tab w:val="center" w:pos="4536"/>
        <w:tab w:val="right" w:pos="9072"/>
      </w:tabs>
    </w:pPr>
    <w:rPr>
      <w:lang w:val="x-none" w:eastAsia="x-none"/>
    </w:rPr>
  </w:style>
  <w:style w:type="paragraph" w:customStyle="1" w:styleId="Default">
    <w:name w:val="Default"/>
    <w:rsid w:val="00F62D49"/>
    <w:pPr>
      <w:autoSpaceDE w:val="0"/>
      <w:autoSpaceDN w:val="0"/>
      <w:adjustRightInd w:val="0"/>
    </w:pPr>
    <w:rPr>
      <w:rFonts w:ascii="Arial,Bold" w:hAnsi="Arial,Bold"/>
      <w:lang w:val="sk-SK" w:eastAsia="sk-SK"/>
    </w:rPr>
  </w:style>
  <w:style w:type="character" w:customStyle="1" w:styleId="Styl12b">
    <w:name w:val="Styl 12 b."/>
    <w:semiHidden/>
    <w:rsid w:val="00F62D49"/>
    <w:rPr>
      <w:smallCaps/>
      <w:sz w:val="24"/>
    </w:rPr>
  </w:style>
  <w:style w:type="paragraph" w:customStyle="1" w:styleId="Nadpis3a">
    <w:name w:val="Nadpis3a"/>
    <w:basedOn w:val="Normln"/>
    <w:semiHidden/>
    <w:rsid w:val="00F62D49"/>
    <w:pPr>
      <w:keepNext/>
      <w:tabs>
        <w:tab w:val="left" w:pos="900"/>
        <w:tab w:val="left" w:pos="3576"/>
      </w:tabs>
      <w:overflowPunct w:val="0"/>
      <w:autoSpaceDE w:val="0"/>
      <w:autoSpaceDN w:val="0"/>
      <w:adjustRightInd w:val="0"/>
      <w:spacing w:before="240" w:after="60"/>
      <w:ind w:left="3576" w:hanging="360"/>
      <w:textAlignment w:val="baseline"/>
    </w:pPr>
    <w:rPr>
      <w:b/>
      <w:szCs w:val="20"/>
    </w:rPr>
  </w:style>
  <w:style w:type="paragraph" w:customStyle="1" w:styleId="normln0">
    <w:name w:val="normální"/>
    <w:basedOn w:val="Normln"/>
    <w:link w:val="normlnChar"/>
    <w:rsid w:val="00F62D49"/>
    <w:pPr>
      <w:jc w:val="both"/>
    </w:pPr>
  </w:style>
  <w:style w:type="character" w:styleId="Znakapoznpodarou">
    <w:name w:val="footnote reference"/>
    <w:semiHidden/>
    <w:rsid w:val="003531EE"/>
    <w:rPr>
      <w:vertAlign w:val="superscript"/>
    </w:rPr>
  </w:style>
  <w:style w:type="paragraph" w:styleId="Zkladntextodsazen3">
    <w:name w:val="Body Text Indent 3"/>
    <w:basedOn w:val="Normln"/>
    <w:link w:val="Zkladntextodsazen3Char"/>
    <w:rsid w:val="00E37B3F"/>
    <w:pPr>
      <w:spacing w:after="120"/>
      <w:ind w:left="283"/>
    </w:pPr>
    <w:rPr>
      <w:sz w:val="16"/>
      <w:szCs w:val="16"/>
      <w:lang w:val="x-none" w:eastAsia="x-none"/>
    </w:rPr>
  </w:style>
  <w:style w:type="paragraph" w:customStyle="1" w:styleId="Styl1">
    <w:name w:val="Styl1"/>
    <w:basedOn w:val="Styl2"/>
    <w:rsid w:val="00E37B3F"/>
    <w:pPr>
      <w:numPr>
        <w:numId w:val="9"/>
      </w:numPr>
      <w:tabs>
        <w:tab w:val="left" w:pos="1259"/>
      </w:tabs>
    </w:pPr>
    <w:rPr>
      <w:iCs/>
      <w:color w:val="auto"/>
      <w:szCs w:val="28"/>
    </w:rPr>
  </w:style>
  <w:style w:type="paragraph" w:customStyle="1" w:styleId="Styl2">
    <w:name w:val="Styl2"/>
    <w:basedOn w:val="Nadpis2"/>
    <w:rsid w:val="00E37B3F"/>
    <w:pPr>
      <w:numPr>
        <w:numId w:val="10"/>
      </w:numPr>
      <w:tabs>
        <w:tab w:val="left" w:pos="720"/>
      </w:tabs>
      <w:spacing w:before="120"/>
      <w:ind w:left="714" w:hanging="357"/>
    </w:pPr>
  </w:style>
  <w:style w:type="paragraph" w:styleId="Rejstk1">
    <w:name w:val="index 1"/>
    <w:basedOn w:val="Normln"/>
    <w:next w:val="Normln"/>
    <w:autoRedefine/>
    <w:semiHidden/>
    <w:rsid w:val="00E37B3F"/>
    <w:pPr>
      <w:ind w:left="240" w:hanging="240"/>
    </w:pPr>
  </w:style>
  <w:style w:type="paragraph" w:styleId="Hlavikarejstku">
    <w:name w:val="index heading"/>
    <w:basedOn w:val="Normln"/>
    <w:next w:val="Rejstk1"/>
    <w:semiHidden/>
    <w:rsid w:val="00E37B3F"/>
  </w:style>
  <w:style w:type="paragraph" w:customStyle="1" w:styleId="xl53">
    <w:name w:val="xl53"/>
    <w:basedOn w:val="Normln"/>
    <w:rsid w:val="00E37B3F"/>
    <w:pPr>
      <w:pBdr>
        <w:bottom w:val="single" w:sz="4" w:space="0" w:color="auto"/>
        <w:right w:val="single" w:sz="4" w:space="0" w:color="auto"/>
      </w:pBdr>
      <w:spacing w:before="100" w:beforeAutospacing="1" w:after="100" w:afterAutospacing="1"/>
      <w:jc w:val="center"/>
      <w:textAlignment w:val="center"/>
    </w:pPr>
  </w:style>
  <w:style w:type="paragraph" w:styleId="Zkladntextodsazen2">
    <w:name w:val="Body Text Indent 2"/>
    <w:basedOn w:val="Normln"/>
    <w:link w:val="Zkladntextodsazen2Char"/>
    <w:rsid w:val="00E37B3F"/>
    <w:pPr>
      <w:spacing w:line="360" w:lineRule="auto"/>
      <w:ind w:firstLine="708"/>
      <w:jc w:val="both"/>
    </w:pPr>
    <w:rPr>
      <w:rFonts w:ascii="Arial" w:hAnsi="Arial"/>
      <w:i/>
    </w:rPr>
  </w:style>
  <w:style w:type="paragraph" w:customStyle="1" w:styleId="xl24">
    <w:name w:val="xl24"/>
    <w:basedOn w:val="Normln"/>
    <w:rsid w:val="00E37B3F"/>
    <w:pPr>
      <w:pBdr>
        <w:left w:val="single" w:sz="4" w:space="0" w:color="auto"/>
      </w:pBdr>
      <w:spacing w:before="100" w:beforeAutospacing="1" w:after="100" w:afterAutospacing="1"/>
      <w:jc w:val="center"/>
    </w:pPr>
    <w:rPr>
      <w:rFonts w:ascii="Arial Narrow" w:eastAsia="Arial Unicode MS" w:hAnsi="Arial Narrow" w:cs="Arial Unicode MS"/>
      <w:b/>
      <w:bCs/>
      <w:color w:val="000000"/>
    </w:rPr>
  </w:style>
  <w:style w:type="paragraph" w:customStyle="1" w:styleId="xl25">
    <w:name w:val="xl25"/>
    <w:basedOn w:val="Normln"/>
    <w:rsid w:val="00E37B3F"/>
    <w:pPr>
      <w:spacing w:before="100" w:beforeAutospacing="1" w:after="100" w:afterAutospacing="1"/>
      <w:jc w:val="center"/>
    </w:pPr>
    <w:rPr>
      <w:rFonts w:ascii="Arial Narrow" w:eastAsia="Arial Unicode MS" w:hAnsi="Arial Narrow" w:cs="Arial Unicode MS"/>
      <w:b/>
      <w:bCs/>
      <w:color w:val="000000"/>
    </w:rPr>
  </w:style>
  <w:style w:type="paragraph" w:customStyle="1" w:styleId="xl26">
    <w:name w:val="xl26"/>
    <w:basedOn w:val="Normln"/>
    <w:rsid w:val="00E37B3F"/>
    <w:pPr>
      <w:pBdr>
        <w:right w:val="single" w:sz="4" w:space="0" w:color="auto"/>
      </w:pBdr>
      <w:spacing w:before="100" w:beforeAutospacing="1" w:after="100" w:afterAutospacing="1"/>
      <w:jc w:val="center"/>
    </w:pPr>
    <w:rPr>
      <w:rFonts w:ascii="Arial Narrow" w:eastAsia="Arial Unicode MS" w:hAnsi="Arial Narrow" w:cs="Arial Unicode MS"/>
      <w:b/>
      <w:bCs/>
      <w:color w:val="000000"/>
    </w:rPr>
  </w:style>
  <w:style w:type="paragraph" w:customStyle="1" w:styleId="xl27">
    <w:name w:val="xl27"/>
    <w:basedOn w:val="Normln"/>
    <w:rsid w:val="00E37B3F"/>
    <w:pPr>
      <w:pBdr>
        <w:left w:val="single" w:sz="4" w:space="0" w:color="auto"/>
        <w:right w:val="double" w:sz="6" w:space="0" w:color="auto"/>
      </w:pBdr>
      <w:spacing w:before="100" w:beforeAutospacing="1" w:after="100" w:afterAutospacing="1"/>
      <w:jc w:val="center"/>
    </w:pPr>
    <w:rPr>
      <w:rFonts w:ascii="Arial Narrow" w:eastAsia="Arial Unicode MS" w:hAnsi="Arial Narrow" w:cs="Arial Unicode MS"/>
      <w:b/>
      <w:bCs/>
      <w:color w:val="000000"/>
    </w:rPr>
  </w:style>
  <w:style w:type="paragraph" w:customStyle="1" w:styleId="xl28">
    <w:name w:val="xl28"/>
    <w:basedOn w:val="Normln"/>
    <w:rsid w:val="00E37B3F"/>
    <w:pPr>
      <w:pBdr>
        <w:top w:val="single" w:sz="4" w:space="0" w:color="auto"/>
        <w:left w:val="single" w:sz="4"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29">
    <w:name w:val="xl29"/>
    <w:basedOn w:val="Normln"/>
    <w:rsid w:val="00E37B3F"/>
    <w:pPr>
      <w:pBdr>
        <w:top w:val="single" w:sz="4"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30">
    <w:name w:val="xl30"/>
    <w:basedOn w:val="Normln"/>
    <w:rsid w:val="00E37B3F"/>
    <w:pPr>
      <w:pBdr>
        <w:top w:val="single" w:sz="4" w:space="0" w:color="auto"/>
        <w:right w:val="single" w:sz="4"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31">
    <w:name w:val="xl31"/>
    <w:basedOn w:val="Normln"/>
    <w:rsid w:val="00E37B3F"/>
    <w:pPr>
      <w:pBdr>
        <w:top w:val="single" w:sz="4" w:space="0" w:color="auto"/>
        <w:left w:val="single" w:sz="4" w:space="0" w:color="auto"/>
        <w:right w:val="double" w:sz="6"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32">
    <w:name w:val="xl32"/>
    <w:basedOn w:val="Normln"/>
    <w:rsid w:val="00E37B3F"/>
    <w:pPr>
      <w:pBdr>
        <w:left w:val="single" w:sz="4"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33">
    <w:name w:val="xl33"/>
    <w:basedOn w:val="Normln"/>
    <w:rsid w:val="00E37B3F"/>
    <w:pPr>
      <w:spacing w:before="100" w:beforeAutospacing="1" w:after="100" w:afterAutospacing="1"/>
      <w:jc w:val="right"/>
    </w:pPr>
    <w:rPr>
      <w:rFonts w:ascii="Arial Narrow" w:eastAsia="Arial Unicode MS" w:hAnsi="Arial Narrow" w:cs="Arial Unicode MS"/>
      <w:color w:val="000000"/>
    </w:rPr>
  </w:style>
  <w:style w:type="paragraph" w:customStyle="1" w:styleId="xl34">
    <w:name w:val="xl34"/>
    <w:basedOn w:val="Normln"/>
    <w:rsid w:val="00E37B3F"/>
    <w:pPr>
      <w:pBdr>
        <w:right w:val="single" w:sz="4"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35">
    <w:name w:val="xl35"/>
    <w:basedOn w:val="Normln"/>
    <w:rsid w:val="00E37B3F"/>
    <w:pPr>
      <w:pBdr>
        <w:left w:val="single" w:sz="4" w:space="0" w:color="auto"/>
        <w:right w:val="double" w:sz="6"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37">
    <w:name w:val="xl37"/>
    <w:basedOn w:val="Normln"/>
    <w:rsid w:val="00E37B3F"/>
    <w:pPr>
      <w:pBdr>
        <w:right w:val="double" w:sz="6"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38">
    <w:name w:val="xl38"/>
    <w:basedOn w:val="Normln"/>
    <w:rsid w:val="00E37B3F"/>
    <w:pPr>
      <w:shd w:val="clear" w:color="auto" w:fill="FFFFFF"/>
      <w:spacing w:before="100" w:beforeAutospacing="1" w:after="100" w:afterAutospacing="1"/>
      <w:jc w:val="right"/>
    </w:pPr>
    <w:rPr>
      <w:rFonts w:ascii="Arial Narrow" w:eastAsia="Arial Unicode MS" w:hAnsi="Arial Narrow" w:cs="Arial Unicode MS"/>
    </w:rPr>
  </w:style>
  <w:style w:type="paragraph" w:customStyle="1" w:styleId="xl39">
    <w:name w:val="xl39"/>
    <w:basedOn w:val="Normln"/>
    <w:rsid w:val="00E37B3F"/>
    <w:pPr>
      <w:pBdr>
        <w:left w:val="single" w:sz="4" w:space="0" w:color="auto"/>
        <w:bottom w:val="double" w:sz="6"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40">
    <w:name w:val="xl40"/>
    <w:basedOn w:val="Normln"/>
    <w:rsid w:val="00E37B3F"/>
    <w:pPr>
      <w:pBdr>
        <w:bottom w:val="double" w:sz="6"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41">
    <w:name w:val="xl41"/>
    <w:basedOn w:val="Normln"/>
    <w:rsid w:val="00E37B3F"/>
    <w:pPr>
      <w:pBdr>
        <w:bottom w:val="double" w:sz="6" w:space="0" w:color="auto"/>
        <w:right w:val="single" w:sz="4"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42">
    <w:name w:val="xl42"/>
    <w:basedOn w:val="Normln"/>
    <w:rsid w:val="00E37B3F"/>
    <w:pPr>
      <w:pBdr>
        <w:bottom w:val="double" w:sz="6" w:space="0" w:color="auto"/>
        <w:right w:val="double" w:sz="6" w:space="0" w:color="auto"/>
      </w:pBdr>
      <w:spacing w:before="100" w:beforeAutospacing="1" w:after="100" w:afterAutospacing="1"/>
      <w:jc w:val="right"/>
    </w:pPr>
    <w:rPr>
      <w:rFonts w:ascii="Arial Narrow" w:eastAsia="Arial Unicode MS" w:hAnsi="Arial Narrow" w:cs="Arial Unicode MS"/>
      <w:color w:val="000000"/>
    </w:rPr>
  </w:style>
  <w:style w:type="paragraph" w:customStyle="1" w:styleId="xl43">
    <w:name w:val="xl43"/>
    <w:basedOn w:val="Normln"/>
    <w:rsid w:val="00E37B3F"/>
    <w:pPr>
      <w:pBdr>
        <w:top w:val="double" w:sz="6" w:space="0" w:color="auto"/>
        <w:left w:val="single" w:sz="4" w:space="0" w:color="auto"/>
      </w:pBdr>
      <w:spacing w:before="100" w:beforeAutospacing="1" w:after="100" w:afterAutospacing="1"/>
      <w:jc w:val="center"/>
    </w:pPr>
    <w:rPr>
      <w:rFonts w:ascii="Arial Narrow" w:eastAsia="Arial Unicode MS" w:hAnsi="Arial Narrow" w:cs="Arial Unicode MS"/>
      <w:b/>
      <w:bCs/>
      <w:color w:val="000000"/>
    </w:rPr>
  </w:style>
  <w:style w:type="paragraph" w:customStyle="1" w:styleId="xl44">
    <w:name w:val="xl44"/>
    <w:basedOn w:val="Normln"/>
    <w:rsid w:val="00E37B3F"/>
    <w:pPr>
      <w:pBdr>
        <w:top w:val="double" w:sz="6" w:space="0" w:color="auto"/>
      </w:pBdr>
      <w:spacing w:before="100" w:beforeAutospacing="1" w:after="100" w:afterAutospacing="1"/>
      <w:jc w:val="center"/>
    </w:pPr>
    <w:rPr>
      <w:rFonts w:ascii="Arial Narrow" w:eastAsia="Arial Unicode MS" w:hAnsi="Arial Narrow" w:cs="Arial Unicode MS"/>
      <w:b/>
      <w:bCs/>
      <w:color w:val="000000"/>
    </w:rPr>
  </w:style>
  <w:style w:type="paragraph" w:customStyle="1" w:styleId="xl45">
    <w:name w:val="xl45"/>
    <w:basedOn w:val="Normln"/>
    <w:rsid w:val="00E37B3F"/>
    <w:pPr>
      <w:pBdr>
        <w:top w:val="double" w:sz="6"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rPr>
  </w:style>
  <w:style w:type="paragraph" w:customStyle="1" w:styleId="xl46">
    <w:name w:val="xl46"/>
    <w:basedOn w:val="Normln"/>
    <w:rsid w:val="00E37B3F"/>
    <w:pPr>
      <w:pBdr>
        <w:top w:val="double" w:sz="6" w:space="0" w:color="auto"/>
        <w:right w:val="single" w:sz="4" w:space="0" w:color="000000"/>
      </w:pBdr>
      <w:spacing w:before="100" w:beforeAutospacing="1" w:after="100" w:afterAutospacing="1"/>
      <w:jc w:val="center"/>
    </w:pPr>
    <w:rPr>
      <w:rFonts w:ascii="Arial Narrow" w:eastAsia="Arial Unicode MS" w:hAnsi="Arial Narrow" w:cs="Arial Unicode MS"/>
      <w:b/>
      <w:bCs/>
      <w:color w:val="000000"/>
    </w:rPr>
  </w:style>
  <w:style w:type="paragraph" w:customStyle="1" w:styleId="xl47">
    <w:name w:val="xl47"/>
    <w:basedOn w:val="Normln"/>
    <w:rsid w:val="00E37B3F"/>
    <w:pPr>
      <w:pBdr>
        <w:top w:val="double" w:sz="6" w:space="0" w:color="auto"/>
        <w:left w:val="single" w:sz="4" w:space="0" w:color="000000"/>
      </w:pBdr>
      <w:spacing w:before="100" w:beforeAutospacing="1" w:after="100" w:afterAutospacing="1"/>
      <w:jc w:val="center"/>
    </w:pPr>
    <w:rPr>
      <w:rFonts w:ascii="Arial Narrow" w:eastAsia="Arial Unicode MS" w:hAnsi="Arial Narrow" w:cs="Arial Unicode MS"/>
      <w:b/>
      <w:bCs/>
      <w:color w:val="000000"/>
    </w:rPr>
  </w:style>
  <w:style w:type="paragraph" w:customStyle="1" w:styleId="xl48">
    <w:name w:val="xl48"/>
    <w:basedOn w:val="Normln"/>
    <w:rsid w:val="00E37B3F"/>
    <w:pPr>
      <w:pBdr>
        <w:top w:val="single" w:sz="4" w:space="0" w:color="auto"/>
        <w:left w:val="double" w:sz="6" w:space="0" w:color="auto"/>
      </w:pBdr>
      <w:spacing w:before="100" w:beforeAutospacing="1" w:after="100" w:afterAutospacing="1"/>
    </w:pPr>
    <w:rPr>
      <w:rFonts w:ascii="Arial Narrow" w:eastAsia="Arial Unicode MS" w:hAnsi="Arial Narrow" w:cs="Arial Unicode MS"/>
      <w:color w:val="000000"/>
    </w:rPr>
  </w:style>
  <w:style w:type="paragraph" w:customStyle="1" w:styleId="xl49">
    <w:name w:val="xl49"/>
    <w:basedOn w:val="Normln"/>
    <w:rsid w:val="00E37B3F"/>
    <w:pPr>
      <w:spacing w:before="100" w:beforeAutospacing="1" w:after="100" w:afterAutospacing="1"/>
    </w:pPr>
    <w:rPr>
      <w:rFonts w:ascii="Arial Narrow" w:eastAsia="Arial Unicode MS" w:hAnsi="Arial Narrow" w:cs="Arial Unicode MS"/>
      <w:color w:val="000000"/>
    </w:rPr>
  </w:style>
  <w:style w:type="paragraph" w:customStyle="1" w:styleId="xl50">
    <w:name w:val="xl50"/>
    <w:basedOn w:val="Normln"/>
    <w:rsid w:val="00E37B3F"/>
    <w:pPr>
      <w:pBdr>
        <w:left w:val="double" w:sz="6" w:space="0" w:color="auto"/>
      </w:pBdr>
      <w:spacing w:before="100" w:beforeAutospacing="1" w:after="100" w:afterAutospacing="1"/>
    </w:pPr>
    <w:rPr>
      <w:rFonts w:ascii="Arial Narrow" w:eastAsia="Arial Unicode MS" w:hAnsi="Arial Narrow" w:cs="Arial Unicode MS"/>
      <w:color w:val="000000"/>
    </w:rPr>
  </w:style>
  <w:style w:type="paragraph" w:customStyle="1" w:styleId="xl51">
    <w:name w:val="xl51"/>
    <w:basedOn w:val="Normln"/>
    <w:rsid w:val="00E37B3F"/>
    <w:pPr>
      <w:pBdr>
        <w:bottom w:val="double" w:sz="6" w:space="0" w:color="auto"/>
      </w:pBdr>
      <w:spacing w:before="100" w:beforeAutospacing="1" w:after="100" w:afterAutospacing="1"/>
    </w:pPr>
    <w:rPr>
      <w:rFonts w:ascii="Arial Narrow" w:eastAsia="Arial Unicode MS" w:hAnsi="Arial Narrow" w:cs="Arial Unicode MS"/>
      <w:color w:val="000000"/>
    </w:rPr>
  </w:style>
  <w:style w:type="paragraph" w:customStyle="1" w:styleId="xl52">
    <w:name w:val="xl52"/>
    <w:basedOn w:val="Normln"/>
    <w:rsid w:val="00E37B3F"/>
    <w:pPr>
      <w:pBdr>
        <w:left w:val="double" w:sz="6" w:space="0" w:color="auto"/>
        <w:bottom w:val="single" w:sz="4" w:space="0" w:color="auto"/>
      </w:pBdr>
      <w:spacing w:before="100" w:beforeAutospacing="1" w:after="100" w:afterAutospacing="1"/>
    </w:pPr>
    <w:rPr>
      <w:rFonts w:ascii="Arial Narrow" w:eastAsia="Arial Unicode MS" w:hAnsi="Arial Narrow" w:cs="Arial Unicode MS"/>
      <w:color w:val="000000"/>
    </w:rPr>
  </w:style>
  <w:style w:type="character" w:styleId="slostrnky">
    <w:name w:val="page number"/>
    <w:basedOn w:val="Standardnpsmoodstavce"/>
    <w:rsid w:val="00E37B3F"/>
  </w:style>
  <w:style w:type="paragraph" w:customStyle="1" w:styleId="Normlnweb1">
    <w:name w:val="Normální (web)1"/>
    <w:basedOn w:val="Normln"/>
    <w:rsid w:val="00E37B3F"/>
    <w:pPr>
      <w:spacing w:before="100" w:after="100"/>
    </w:pPr>
    <w:rPr>
      <w:szCs w:val="20"/>
    </w:rPr>
  </w:style>
  <w:style w:type="paragraph" w:styleId="Normlnweb">
    <w:name w:val="Normal (Web)"/>
    <w:basedOn w:val="Normln"/>
    <w:link w:val="NormlnwebChar"/>
    <w:rsid w:val="00E37B3F"/>
  </w:style>
  <w:style w:type="paragraph" w:styleId="Nzev">
    <w:name w:val="Title"/>
    <w:basedOn w:val="Normln"/>
    <w:link w:val="NzevChar"/>
    <w:qFormat/>
    <w:rsid w:val="00E37B3F"/>
    <w:pPr>
      <w:overflowPunct w:val="0"/>
      <w:autoSpaceDE w:val="0"/>
      <w:autoSpaceDN w:val="0"/>
      <w:adjustRightInd w:val="0"/>
      <w:jc w:val="center"/>
      <w:textAlignment w:val="baseline"/>
    </w:pPr>
    <w:rPr>
      <w:b/>
      <w:szCs w:val="20"/>
    </w:rPr>
  </w:style>
  <w:style w:type="character" w:customStyle="1" w:styleId="text5">
    <w:name w:val="text5"/>
    <w:rsid w:val="00E37B3F"/>
    <w:rPr>
      <w:b w:val="0"/>
      <w:bCs w:val="0"/>
      <w:color w:val="000000"/>
      <w:sz w:val="18"/>
      <w:szCs w:val="18"/>
    </w:rPr>
  </w:style>
  <w:style w:type="paragraph" w:customStyle="1" w:styleId="Styl5">
    <w:name w:val="Styl5"/>
    <w:basedOn w:val="Nadpis2"/>
    <w:rsid w:val="00E37B3F"/>
    <w:pPr>
      <w:numPr>
        <w:numId w:val="3"/>
      </w:numPr>
      <w:spacing w:before="120" w:line="360" w:lineRule="auto"/>
      <w:ind w:left="714" w:hanging="357"/>
    </w:pPr>
  </w:style>
  <w:style w:type="character" w:styleId="Sledovanodkaz">
    <w:name w:val="FollowedHyperlink"/>
    <w:rsid w:val="00E37B3F"/>
    <w:rPr>
      <w:color w:val="800080"/>
      <w:u w:val="single"/>
    </w:rPr>
  </w:style>
  <w:style w:type="character" w:styleId="Siln">
    <w:name w:val="Strong"/>
    <w:qFormat/>
    <w:rsid w:val="00E37B3F"/>
    <w:rPr>
      <w:b/>
      <w:bCs/>
    </w:rPr>
  </w:style>
  <w:style w:type="paragraph" w:customStyle="1" w:styleId="Zkladntext21">
    <w:name w:val="Základní text 21"/>
    <w:basedOn w:val="Normln"/>
    <w:rsid w:val="00E37B3F"/>
    <w:pPr>
      <w:widowControl w:val="0"/>
      <w:tabs>
        <w:tab w:val="left" w:pos="-720"/>
      </w:tabs>
      <w:suppressAutoHyphens/>
      <w:overflowPunct w:val="0"/>
      <w:autoSpaceDE w:val="0"/>
      <w:autoSpaceDN w:val="0"/>
      <w:adjustRightInd w:val="0"/>
      <w:spacing w:line="360" w:lineRule="auto"/>
      <w:jc w:val="both"/>
      <w:textAlignment w:val="baseline"/>
    </w:pPr>
    <w:rPr>
      <w:rFonts w:ascii="Arial" w:hAnsi="Arial"/>
      <w:szCs w:val="20"/>
    </w:rPr>
  </w:style>
  <w:style w:type="character" w:customStyle="1" w:styleId="okbasic21">
    <w:name w:val="okbasic21"/>
    <w:rsid w:val="00E37B3F"/>
    <w:rPr>
      <w:rFonts w:ascii="Arial" w:hAnsi="Arial" w:cs="Arial" w:hint="default"/>
      <w:color w:val="000000"/>
      <w:sz w:val="24"/>
      <w:szCs w:val="24"/>
    </w:rPr>
  </w:style>
  <w:style w:type="paragraph" w:styleId="Obsah1">
    <w:name w:val="toc 1"/>
    <w:basedOn w:val="Normln"/>
    <w:next w:val="Normln"/>
    <w:autoRedefine/>
    <w:uiPriority w:val="39"/>
    <w:rsid w:val="0015793D"/>
    <w:pPr>
      <w:tabs>
        <w:tab w:val="left" w:pos="0"/>
        <w:tab w:val="left" w:pos="709"/>
        <w:tab w:val="right" w:leader="dot" w:pos="9062"/>
      </w:tabs>
      <w:spacing w:line="360" w:lineRule="auto"/>
      <w:jc w:val="right"/>
    </w:pPr>
    <w:rPr>
      <w:rFonts w:ascii="Arial" w:hAnsi="Arial" w:cs="Arial"/>
      <w:b/>
      <w:bCs/>
      <w:noProof/>
      <w:color w:val="000000" w:themeColor="text1"/>
      <w:sz w:val="28"/>
      <w:szCs w:val="28"/>
    </w:rPr>
  </w:style>
  <w:style w:type="paragraph" w:styleId="Obsah2">
    <w:name w:val="toc 2"/>
    <w:basedOn w:val="Normln"/>
    <w:next w:val="Normln"/>
    <w:autoRedefine/>
    <w:uiPriority w:val="39"/>
    <w:rsid w:val="000F13B9"/>
    <w:pPr>
      <w:tabs>
        <w:tab w:val="left" w:pos="720"/>
        <w:tab w:val="right" w:leader="dot" w:pos="9062"/>
      </w:tabs>
      <w:spacing w:line="360" w:lineRule="auto"/>
      <w:ind w:left="709" w:hanging="469"/>
    </w:pPr>
    <w:rPr>
      <w:rFonts w:ascii="Arial" w:hAnsi="Arial" w:cs="Arial"/>
      <w:smallCaps/>
      <w:noProof/>
    </w:rPr>
  </w:style>
  <w:style w:type="paragraph" w:styleId="Obsah3">
    <w:name w:val="toc 3"/>
    <w:basedOn w:val="Normln"/>
    <w:next w:val="Normln"/>
    <w:autoRedefine/>
    <w:rsid w:val="00404167"/>
    <w:pPr>
      <w:ind w:left="480"/>
    </w:pPr>
    <w:rPr>
      <w:rFonts w:ascii="Calibri" w:hAnsi="Calibri"/>
      <w:i/>
      <w:iCs/>
      <w:sz w:val="20"/>
      <w:szCs w:val="20"/>
    </w:rPr>
  </w:style>
  <w:style w:type="paragraph" w:styleId="Titulek">
    <w:name w:val="caption"/>
    <w:basedOn w:val="Normln"/>
    <w:next w:val="Normln"/>
    <w:qFormat/>
    <w:rsid w:val="002A7F04"/>
    <w:pPr>
      <w:tabs>
        <w:tab w:val="left" w:pos="720"/>
      </w:tabs>
      <w:jc w:val="center"/>
    </w:pPr>
    <w:rPr>
      <w:rFonts w:ascii="Arial" w:hAnsi="Arial" w:cs="Arial"/>
      <w:b/>
      <w:bCs/>
    </w:rPr>
  </w:style>
  <w:style w:type="paragraph" w:styleId="Seznamsodrkami">
    <w:name w:val="List Bullet"/>
    <w:basedOn w:val="Normln"/>
    <w:autoRedefine/>
    <w:rsid w:val="008F435A"/>
    <w:pPr>
      <w:widowControl w:val="0"/>
      <w:suppressAutoHyphens/>
      <w:spacing w:after="120"/>
      <w:jc w:val="both"/>
    </w:pPr>
    <w:rPr>
      <w:rFonts w:ascii="Arial" w:hAnsi="Arial" w:cs="Arial"/>
      <w:iCs/>
      <w:noProof/>
      <w:sz w:val="18"/>
      <w:szCs w:val="18"/>
    </w:rPr>
  </w:style>
  <w:style w:type="character" w:styleId="Odkaznakoment">
    <w:name w:val="annotation reference"/>
    <w:semiHidden/>
    <w:rsid w:val="00860DB1"/>
    <w:rPr>
      <w:sz w:val="16"/>
      <w:szCs w:val="16"/>
    </w:rPr>
  </w:style>
  <w:style w:type="paragraph" w:styleId="Rozloendokumentu">
    <w:name w:val="Document Map"/>
    <w:basedOn w:val="Normln"/>
    <w:link w:val="RozloendokumentuChar"/>
    <w:semiHidden/>
    <w:rsid w:val="00BF6354"/>
    <w:pPr>
      <w:shd w:val="clear" w:color="auto" w:fill="000080"/>
    </w:pPr>
    <w:rPr>
      <w:rFonts w:ascii="Tahoma" w:hAnsi="Tahoma" w:cs="Tahoma"/>
      <w:sz w:val="20"/>
      <w:szCs w:val="20"/>
    </w:rPr>
  </w:style>
  <w:style w:type="character" w:customStyle="1" w:styleId="NormlnwebChar">
    <w:name w:val="Normální (web) Char"/>
    <w:link w:val="Normlnweb"/>
    <w:rsid w:val="00DA57B6"/>
    <w:rPr>
      <w:sz w:val="24"/>
      <w:szCs w:val="24"/>
      <w:lang w:val="cs-CZ" w:eastAsia="cs-CZ" w:bidi="ar-SA"/>
    </w:rPr>
  </w:style>
  <w:style w:type="character" w:customStyle="1" w:styleId="style-mailovzprvy18">
    <w:name w:val="style-mailovzprvy18"/>
    <w:semiHidden/>
    <w:rsid w:val="005F76FE"/>
    <w:rPr>
      <w:rFonts w:ascii="Arial" w:hAnsi="Arial" w:cs="Arial" w:hint="default"/>
      <w:color w:val="993366"/>
    </w:rPr>
  </w:style>
  <w:style w:type="character" w:customStyle="1" w:styleId="stylzprvyelektronickpoty21">
    <w:name w:val="stylzprvyelektronickpoty21"/>
    <w:semiHidden/>
    <w:rsid w:val="00DC6145"/>
    <w:rPr>
      <w:rFonts w:ascii="Arial" w:hAnsi="Arial" w:cs="Arial"/>
      <w:color w:val="993366"/>
      <w:sz w:val="20"/>
    </w:rPr>
  </w:style>
  <w:style w:type="character" w:customStyle="1" w:styleId="normlnChar">
    <w:name w:val="normální Char"/>
    <w:link w:val="normln0"/>
    <w:rsid w:val="00651CCF"/>
    <w:rPr>
      <w:sz w:val="24"/>
      <w:szCs w:val="24"/>
      <w:lang w:val="cs-CZ" w:eastAsia="cs-CZ" w:bidi="ar-SA"/>
    </w:rPr>
  </w:style>
  <w:style w:type="paragraph" w:customStyle="1" w:styleId="Dvousloupcov">
    <w:name w:val="Dvousloupcový"/>
    <w:basedOn w:val="Normln"/>
    <w:rsid w:val="00652753"/>
    <w:pPr>
      <w:spacing w:after="120" w:line="264" w:lineRule="auto"/>
      <w:jc w:val="both"/>
    </w:pPr>
    <w:rPr>
      <w:rFonts w:ascii="Calibri" w:hAnsi="Calibri"/>
      <w:sz w:val="19"/>
    </w:rPr>
  </w:style>
  <w:style w:type="character" w:customStyle="1" w:styleId="TextpoznpodarouChar">
    <w:name w:val="Text pozn. pod čarou Char"/>
    <w:aliases w:val="Schriftart: 9 pt Char,Schriftart: 10 pt Char,Schriftart: 8 pt Char"/>
    <w:basedOn w:val="Standardnpsmoodstavce"/>
    <w:link w:val="Textpoznpodarou"/>
    <w:semiHidden/>
    <w:locked/>
    <w:rsid w:val="000D6450"/>
  </w:style>
  <w:style w:type="paragraph" w:customStyle="1" w:styleId="Zkladntext214">
    <w:name w:val="Základní text 214"/>
    <w:basedOn w:val="Normln"/>
    <w:rsid w:val="000D6450"/>
    <w:pPr>
      <w:widowControl w:val="0"/>
      <w:tabs>
        <w:tab w:val="left" w:pos="-720"/>
      </w:tabs>
      <w:suppressAutoHyphens/>
      <w:overflowPunct w:val="0"/>
      <w:autoSpaceDE w:val="0"/>
      <w:autoSpaceDN w:val="0"/>
      <w:adjustRightInd w:val="0"/>
      <w:spacing w:line="360" w:lineRule="auto"/>
      <w:jc w:val="both"/>
      <w:textAlignment w:val="baseline"/>
    </w:pPr>
    <w:rPr>
      <w:rFonts w:ascii="Arial" w:eastAsia="Calibri" w:hAnsi="Arial"/>
      <w:szCs w:val="20"/>
    </w:rPr>
  </w:style>
  <w:style w:type="character" w:customStyle="1" w:styleId="ZhlavChar">
    <w:name w:val="Záhlaví Char"/>
    <w:basedOn w:val="Standardnpsmoodstavce"/>
    <w:link w:val="Zhlav"/>
    <w:uiPriority w:val="99"/>
    <w:locked/>
    <w:rsid w:val="000D6450"/>
  </w:style>
  <w:style w:type="paragraph" w:customStyle="1" w:styleId="Normlnweb14">
    <w:name w:val="Normální (web)14"/>
    <w:basedOn w:val="Normln"/>
    <w:rsid w:val="000D6450"/>
    <w:pPr>
      <w:spacing w:before="100" w:after="100"/>
    </w:pPr>
    <w:rPr>
      <w:rFonts w:eastAsia="Calibri"/>
      <w:szCs w:val="20"/>
    </w:rPr>
  </w:style>
  <w:style w:type="paragraph" w:customStyle="1" w:styleId="Texttabulky">
    <w:name w:val="Text tabulky"/>
    <w:rsid w:val="000D6450"/>
    <w:rPr>
      <w:rFonts w:eastAsia="Calibri"/>
      <w:color w:val="000000"/>
      <w:sz w:val="24"/>
    </w:rPr>
  </w:style>
  <w:style w:type="character" w:customStyle="1" w:styleId="ZpatChar">
    <w:name w:val="Zápatí Char"/>
    <w:link w:val="Zpat"/>
    <w:uiPriority w:val="99"/>
    <w:rsid w:val="00AB379C"/>
    <w:rPr>
      <w:sz w:val="24"/>
      <w:szCs w:val="24"/>
    </w:rPr>
  </w:style>
  <w:style w:type="paragraph" w:styleId="Odstavecseseznamem">
    <w:name w:val="List Paragraph"/>
    <w:basedOn w:val="Normln"/>
    <w:uiPriority w:val="34"/>
    <w:qFormat/>
    <w:rsid w:val="009779C7"/>
    <w:pPr>
      <w:ind w:left="708"/>
    </w:pPr>
  </w:style>
  <w:style w:type="character" w:customStyle="1" w:styleId="Zkladntextodsazen3Char">
    <w:name w:val="Základní text odsazený 3 Char"/>
    <w:link w:val="Zkladntextodsazen3"/>
    <w:rsid w:val="00C6793D"/>
    <w:rPr>
      <w:sz w:val="16"/>
      <w:szCs w:val="16"/>
    </w:rPr>
  </w:style>
  <w:style w:type="character" w:customStyle="1" w:styleId="ZkladntextodsazenChar">
    <w:name w:val="Základní text odsazený Char"/>
    <w:link w:val="Zkladntextodsazen"/>
    <w:rsid w:val="00C6793D"/>
    <w:rPr>
      <w:rFonts w:ascii="Arial" w:hAnsi="Arial"/>
      <w:sz w:val="24"/>
      <w:szCs w:val="24"/>
    </w:rPr>
  </w:style>
  <w:style w:type="character" w:customStyle="1" w:styleId="ZkladntextChar">
    <w:name w:val="Základní text Char"/>
    <w:aliases w:val="Standard paragraph Char"/>
    <w:link w:val="Zkladntext"/>
    <w:rsid w:val="00C6793D"/>
    <w:rPr>
      <w:rFonts w:ascii="Arial" w:hAnsi="Arial" w:cs="Arial"/>
      <w:color w:val="000000"/>
      <w:sz w:val="24"/>
      <w:szCs w:val="24"/>
    </w:rPr>
  </w:style>
  <w:style w:type="character" w:customStyle="1" w:styleId="CharChar3">
    <w:name w:val="Char Char3"/>
    <w:rsid w:val="00D046EC"/>
    <w:rPr>
      <w:sz w:val="24"/>
      <w:szCs w:val="24"/>
    </w:rPr>
  </w:style>
  <w:style w:type="paragraph" w:styleId="Obsah4">
    <w:name w:val="toc 4"/>
    <w:basedOn w:val="Normln"/>
    <w:next w:val="Normln"/>
    <w:autoRedefine/>
    <w:rsid w:val="0000183B"/>
    <w:pPr>
      <w:ind w:left="720"/>
    </w:pPr>
    <w:rPr>
      <w:rFonts w:ascii="Calibri" w:hAnsi="Calibri"/>
      <w:sz w:val="18"/>
      <w:szCs w:val="18"/>
    </w:rPr>
  </w:style>
  <w:style w:type="paragraph" w:styleId="Obsah5">
    <w:name w:val="toc 5"/>
    <w:basedOn w:val="Normln"/>
    <w:next w:val="Normln"/>
    <w:autoRedefine/>
    <w:rsid w:val="0000183B"/>
    <w:pPr>
      <w:ind w:left="960"/>
    </w:pPr>
    <w:rPr>
      <w:rFonts w:ascii="Calibri" w:hAnsi="Calibri"/>
      <w:sz w:val="18"/>
      <w:szCs w:val="18"/>
    </w:rPr>
  </w:style>
  <w:style w:type="paragraph" w:styleId="Obsah6">
    <w:name w:val="toc 6"/>
    <w:basedOn w:val="Normln"/>
    <w:next w:val="Normln"/>
    <w:autoRedefine/>
    <w:rsid w:val="0000183B"/>
    <w:pPr>
      <w:ind w:left="1200"/>
    </w:pPr>
    <w:rPr>
      <w:rFonts w:ascii="Calibri" w:hAnsi="Calibri"/>
      <w:sz w:val="18"/>
      <w:szCs w:val="18"/>
    </w:rPr>
  </w:style>
  <w:style w:type="paragraph" w:styleId="Obsah7">
    <w:name w:val="toc 7"/>
    <w:basedOn w:val="Normln"/>
    <w:next w:val="Normln"/>
    <w:autoRedefine/>
    <w:rsid w:val="0000183B"/>
    <w:pPr>
      <w:ind w:left="1440"/>
    </w:pPr>
    <w:rPr>
      <w:rFonts w:ascii="Calibri" w:hAnsi="Calibri"/>
      <w:sz w:val="18"/>
      <w:szCs w:val="18"/>
    </w:rPr>
  </w:style>
  <w:style w:type="paragraph" w:styleId="Obsah8">
    <w:name w:val="toc 8"/>
    <w:basedOn w:val="Normln"/>
    <w:next w:val="Normln"/>
    <w:autoRedefine/>
    <w:rsid w:val="0000183B"/>
    <w:pPr>
      <w:ind w:left="1680"/>
    </w:pPr>
    <w:rPr>
      <w:rFonts w:ascii="Calibri" w:hAnsi="Calibri"/>
      <w:sz w:val="18"/>
      <w:szCs w:val="18"/>
    </w:rPr>
  </w:style>
  <w:style w:type="paragraph" w:styleId="Obsah9">
    <w:name w:val="toc 9"/>
    <w:basedOn w:val="Normln"/>
    <w:next w:val="Normln"/>
    <w:autoRedefine/>
    <w:rsid w:val="0000183B"/>
    <w:pPr>
      <w:ind w:left="1920"/>
    </w:pPr>
    <w:rPr>
      <w:rFonts w:ascii="Calibri" w:hAnsi="Calibri"/>
      <w:sz w:val="18"/>
      <w:szCs w:val="18"/>
    </w:rPr>
  </w:style>
  <w:style w:type="character" w:customStyle="1" w:styleId="style-mailovzprvy21">
    <w:name w:val="style-mailovzprvy21"/>
    <w:semiHidden/>
    <w:rsid w:val="00913CC0"/>
    <w:rPr>
      <w:rFonts w:ascii="Arial" w:hAnsi="Arial" w:cs="Arial" w:hint="default"/>
      <w:color w:val="993366"/>
    </w:rPr>
  </w:style>
  <w:style w:type="character" w:customStyle="1" w:styleId="prochazkovae">
    <w:name w:val="prochazkovae"/>
    <w:semiHidden/>
    <w:rsid w:val="00E82112"/>
    <w:rPr>
      <w:rFonts w:ascii="Arial" w:hAnsi="Arial" w:cs="Arial"/>
      <w:color w:val="000080"/>
      <w:sz w:val="20"/>
      <w:szCs w:val="20"/>
    </w:rPr>
  </w:style>
  <w:style w:type="character" w:styleId="slodku">
    <w:name w:val="line number"/>
    <w:basedOn w:val="Standardnpsmoodstavce"/>
    <w:rsid w:val="00584309"/>
  </w:style>
  <w:style w:type="character" w:customStyle="1" w:styleId="NormalWebChar">
    <w:name w:val="Normal (Web) Char"/>
    <w:locked/>
    <w:rsid w:val="009B2CFE"/>
    <w:rPr>
      <w:rFonts w:ascii="Times New Roman" w:hAnsi="Times New Roman" w:cs="Times New Roman"/>
      <w:sz w:val="24"/>
      <w:szCs w:val="24"/>
      <w:lang w:val="x-none" w:eastAsia="cs-CZ"/>
    </w:rPr>
  </w:style>
  <w:style w:type="character" w:customStyle="1" w:styleId="HeaderChar">
    <w:name w:val="Header Char"/>
    <w:locked/>
    <w:rsid w:val="009B2CFE"/>
    <w:rPr>
      <w:rFonts w:ascii="Times New Roman" w:hAnsi="Times New Roman" w:cs="Times New Roman"/>
      <w:sz w:val="20"/>
      <w:szCs w:val="20"/>
      <w:lang w:val="x-none" w:eastAsia="cs-CZ"/>
    </w:rPr>
  </w:style>
  <w:style w:type="paragraph" w:customStyle="1" w:styleId="Normlnweb11">
    <w:name w:val="Normální (web)11"/>
    <w:basedOn w:val="Normln"/>
    <w:rsid w:val="009B2CFE"/>
    <w:pPr>
      <w:spacing w:before="100" w:after="100"/>
    </w:pPr>
    <w:rPr>
      <w:szCs w:val="20"/>
    </w:rPr>
  </w:style>
  <w:style w:type="character" w:customStyle="1" w:styleId="Nadpis1Char">
    <w:name w:val="Nadpis 1 Char"/>
    <w:link w:val="Nadpis1"/>
    <w:rsid w:val="00BF03B8"/>
    <w:rPr>
      <w:rFonts w:ascii="Arial" w:hAnsi="Arial" w:cs="Arial"/>
      <w:b/>
      <w:bCs/>
      <w:spacing w:val="-3"/>
      <w:kern w:val="32"/>
      <w:sz w:val="28"/>
      <w:szCs w:val="32"/>
    </w:rPr>
  </w:style>
  <w:style w:type="character" w:customStyle="1" w:styleId="Nadpis2Char">
    <w:name w:val="Nadpis 2 Char"/>
    <w:link w:val="Nadpis2"/>
    <w:rsid w:val="009D6B6C"/>
    <w:rPr>
      <w:rFonts w:ascii="Arial" w:hAnsi="Arial" w:cs="Arial"/>
      <w:b/>
      <w:bCs/>
      <w:color w:val="000000"/>
      <w:sz w:val="26"/>
      <w:szCs w:val="26"/>
    </w:rPr>
  </w:style>
  <w:style w:type="character" w:customStyle="1" w:styleId="Nadpis3Char">
    <w:name w:val="Nadpis 3 Char"/>
    <w:link w:val="Nadpis3"/>
    <w:rsid w:val="009D6B6C"/>
    <w:rPr>
      <w:rFonts w:ascii="Arial" w:hAnsi="Arial" w:cs="Arial"/>
      <w:b/>
      <w:bCs/>
      <w:sz w:val="24"/>
      <w:szCs w:val="24"/>
    </w:rPr>
  </w:style>
  <w:style w:type="character" w:customStyle="1" w:styleId="Nadpis4Char">
    <w:name w:val="Nadpis 4 Char"/>
    <w:link w:val="Nadpis4"/>
    <w:rsid w:val="009D6B6C"/>
    <w:rPr>
      <w:rFonts w:ascii="Arial Narrow" w:hAnsi="Arial Narrow" w:cs="Arial"/>
      <w:b/>
      <w:bCs/>
      <w:color w:val="000000"/>
    </w:rPr>
  </w:style>
  <w:style w:type="character" w:customStyle="1" w:styleId="Nadpis5Char">
    <w:name w:val="Nadpis 5 Char"/>
    <w:link w:val="Nadpis5"/>
    <w:rsid w:val="009D6B6C"/>
    <w:rPr>
      <w:rFonts w:ascii="Arial" w:hAnsi="Arial"/>
      <w:b/>
      <w:bCs/>
      <w:iCs/>
      <w:sz w:val="26"/>
      <w:szCs w:val="26"/>
    </w:rPr>
  </w:style>
  <w:style w:type="character" w:customStyle="1" w:styleId="Nadpis6Char">
    <w:name w:val="Nadpis 6 Char"/>
    <w:link w:val="Nadpis6"/>
    <w:rsid w:val="009D6B6C"/>
    <w:rPr>
      <w:b/>
      <w:bCs/>
      <w:sz w:val="22"/>
      <w:szCs w:val="22"/>
    </w:rPr>
  </w:style>
  <w:style w:type="character" w:customStyle="1" w:styleId="Nadpis7Char">
    <w:name w:val="Nadpis 7 Char"/>
    <w:link w:val="Nadpis7"/>
    <w:rsid w:val="009D6B6C"/>
    <w:rPr>
      <w:sz w:val="24"/>
      <w:szCs w:val="24"/>
    </w:rPr>
  </w:style>
  <w:style w:type="character" w:customStyle="1" w:styleId="Nadpis8Char">
    <w:name w:val="Nadpis 8 Char"/>
    <w:link w:val="Nadpis8"/>
    <w:rsid w:val="009D6B6C"/>
    <w:rPr>
      <w:i/>
      <w:iCs/>
      <w:sz w:val="24"/>
      <w:szCs w:val="24"/>
    </w:rPr>
  </w:style>
  <w:style w:type="character" w:customStyle="1" w:styleId="Nadpis9Char">
    <w:name w:val="Nadpis 9 Char"/>
    <w:link w:val="Nadpis9"/>
    <w:rsid w:val="009D6B6C"/>
    <w:rPr>
      <w:rFonts w:ascii="Arial" w:hAnsi="Arial"/>
      <w:sz w:val="22"/>
      <w:szCs w:val="22"/>
    </w:rPr>
  </w:style>
  <w:style w:type="character" w:customStyle="1" w:styleId="Zkladntext2Char">
    <w:name w:val="Základní text 2 Char"/>
    <w:link w:val="Zkladntext2"/>
    <w:rsid w:val="009D6B6C"/>
    <w:rPr>
      <w:rFonts w:ascii="Arial" w:hAnsi="Arial" w:cs="Arial"/>
      <w:b/>
      <w:bCs/>
      <w:szCs w:val="22"/>
    </w:rPr>
  </w:style>
  <w:style w:type="character" w:customStyle="1" w:styleId="Zkladntext3Char">
    <w:name w:val="Základní text 3 Char"/>
    <w:link w:val="Zkladntext3"/>
    <w:rsid w:val="009D6B6C"/>
    <w:rPr>
      <w:rFonts w:ascii="Arial" w:hAnsi="Arial" w:cs="Arial"/>
      <w:sz w:val="24"/>
      <w:szCs w:val="24"/>
    </w:rPr>
  </w:style>
  <w:style w:type="paragraph" w:customStyle="1" w:styleId="Prosttext13">
    <w:name w:val="Prostý text13"/>
    <w:basedOn w:val="Normln"/>
    <w:rsid w:val="009D6B6C"/>
    <w:pPr>
      <w:overflowPunct w:val="0"/>
      <w:autoSpaceDE w:val="0"/>
      <w:autoSpaceDN w:val="0"/>
      <w:adjustRightInd w:val="0"/>
      <w:textAlignment w:val="baseline"/>
    </w:pPr>
    <w:rPr>
      <w:rFonts w:ascii="Courier New" w:hAnsi="Courier New"/>
      <w:sz w:val="20"/>
      <w:szCs w:val="20"/>
    </w:rPr>
  </w:style>
  <w:style w:type="character" w:customStyle="1" w:styleId="TextbublinyChar">
    <w:name w:val="Text bubliny Char"/>
    <w:link w:val="Textbubliny"/>
    <w:uiPriority w:val="99"/>
    <w:rsid w:val="009D6B6C"/>
    <w:rPr>
      <w:rFonts w:ascii="Tahoma" w:hAnsi="Tahoma" w:cs="Tahoma"/>
      <w:sz w:val="16"/>
      <w:szCs w:val="16"/>
    </w:rPr>
  </w:style>
  <w:style w:type="character" w:customStyle="1" w:styleId="TextkomenteChar">
    <w:name w:val="Text komentáře Char"/>
    <w:link w:val="Textkomente"/>
    <w:semiHidden/>
    <w:rsid w:val="009D6B6C"/>
  </w:style>
  <w:style w:type="character" w:customStyle="1" w:styleId="PedmtkomenteChar">
    <w:name w:val="Předmět komentáře Char"/>
    <w:link w:val="Pedmtkomente"/>
    <w:semiHidden/>
    <w:rsid w:val="009D6B6C"/>
    <w:rPr>
      <w:b/>
      <w:bCs/>
    </w:rPr>
  </w:style>
  <w:style w:type="character" w:customStyle="1" w:styleId="Zkladntextodsazen2Char">
    <w:name w:val="Základní text odsazený 2 Char"/>
    <w:link w:val="Zkladntextodsazen2"/>
    <w:rsid w:val="009D6B6C"/>
    <w:rPr>
      <w:rFonts w:ascii="Arial" w:hAnsi="Arial"/>
      <w:i/>
      <w:sz w:val="24"/>
      <w:szCs w:val="24"/>
    </w:rPr>
  </w:style>
  <w:style w:type="character" w:customStyle="1" w:styleId="NzevChar">
    <w:name w:val="Název Char"/>
    <w:link w:val="Nzev"/>
    <w:rsid w:val="009D6B6C"/>
    <w:rPr>
      <w:b/>
      <w:sz w:val="24"/>
    </w:rPr>
  </w:style>
  <w:style w:type="character" w:customStyle="1" w:styleId="RozloendokumentuChar">
    <w:name w:val="Rozložení dokumentu Char"/>
    <w:link w:val="Rozloendokumentu"/>
    <w:semiHidden/>
    <w:rsid w:val="009D6B6C"/>
    <w:rPr>
      <w:rFonts w:ascii="Tahoma" w:hAnsi="Tahoma" w:cs="Tahoma"/>
      <w:shd w:val="clear" w:color="auto" w:fill="000080"/>
    </w:rPr>
  </w:style>
  <w:style w:type="character" w:customStyle="1" w:styleId="CharChar33">
    <w:name w:val="Char Char33"/>
    <w:rsid w:val="009D6B6C"/>
    <w:rPr>
      <w:sz w:val="24"/>
      <w:szCs w:val="24"/>
    </w:rPr>
  </w:style>
  <w:style w:type="character" w:customStyle="1" w:styleId="TextpoznpodarouChar1">
    <w:name w:val="Text pozn. pod čarou Char1"/>
    <w:aliases w:val="Schriftart: 9 pt Char1,Schriftart: 10 pt Char1,Schriftart: 8 pt Char1"/>
    <w:semiHidden/>
    <w:rsid w:val="009B0D99"/>
  </w:style>
  <w:style w:type="character" w:customStyle="1" w:styleId="ZkladntextChar1">
    <w:name w:val="Základní text Char1"/>
    <w:aliases w:val="Standard paragraph Char1"/>
    <w:semiHidden/>
    <w:rsid w:val="009B0D99"/>
    <w:rPr>
      <w:sz w:val="24"/>
      <w:szCs w:val="24"/>
    </w:rPr>
  </w:style>
  <w:style w:type="paragraph" w:customStyle="1" w:styleId="Zkladntext211">
    <w:name w:val="Základní text 211"/>
    <w:basedOn w:val="Normln"/>
    <w:rsid w:val="000A372F"/>
    <w:pPr>
      <w:widowControl w:val="0"/>
      <w:tabs>
        <w:tab w:val="left" w:pos="-720"/>
      </w:tabs>
      <w:suppressAutoHyphens/>
      <w:overflowPunct w:val="0"/>
      <w:autoSpaceDE w:val="0"/>
      <w:autoSpaceDN w:val="0"/>
      <w:adjustRightInd w:val="0"/>
      <w:spacing w:line="360" w:lineRule="auto"/>
      <w:jc w:val="both"/>
      <w:textAlignment w:val="baseline"/>
    </w:pPr>
    <w:rPr>
      <w:rFonts w:ascii="Arial" w:eastAsia="Calibri" w:hAnsi="Arial"/>
      <w:szCs w:val="20"/>
    </w:rPr>
  </w:style>
  <w:style w:type="paragraph" w:customStyle="1" w:styleId="Zkladntext212">
    <w:name w:val="Základní text 212"/>
    <w:basedOn w:val="Normln"/>
    <w:rsid w:val="00B672FD"/>
    <w:pPr>
      <w:widowControl w:val="0"/>
      <w:tabs>
        <w:tab w:val="left" w:pos="-720"/>
      </w:tabs>
      <w:suppressAutoHyphens/>
      <w:overflowPunct w:val="0"/>
      <w:autoSpaceDE w:val="0"/>
      <w:autoSpaceDN w:val="0"/>
      <w:adjustRightInd w:val="0"/>
      <w:spacing w:line="360" w:lineRule="auto"/>
      <w:jc w:val="both"/>
      <w:textAlignment w:val="baseline"/>
    </w:pPr>
    <w:rPr>
      <w:rFonts w:ascii="Arial" w:eastAsia="Calibri" w:hAnsi="Arial"/>
      <w:szCs w:val="20"/>
    </w:rPr>
  </w:style>
  <w:style w:type="paragraph" w:customStyle="1" w:styleId="Normlnweb12">
    <w:name w:val="Normální (web)12"/>
    <w:basedOn w:val="Normln"/>
    <w:rsid w:val="00B672FD"/>
    <w:pPr>
      <w:spacing w:before="100" w:after="100"/>
    </w:pPr>
    <w:rPr>
      <w:rFonts w:eastAsia="Calibri"/>
      <w:szCs w:val="20"/>
    </w:rPr>
  </w:style>
  <w:style w:type="paragraph" w:customStyle="1" w:styleId="Prosttext11">
    <w:name w:val="Prostý text11"/>
    <w:basedOn w:val="Normln"/>
    <w:rsid w:val="00B672FD"/>
    <w:pPr>
      <w:overflowPunct w:val="0"/>
      <w:autoSpaceDE w:val="0"/>
      <w:autoSpaceDN w:val="0"/>
      <w:adjustRightInd w:val="0"/>
      <w:textAlignment w:val="baseline"/>
    </w:pPr>
    <w:rPr>
      <w:rFonts w:ascii="Courier New" w:hAnsi="Courier New"/>
      <w:sz w:val="20"/>
      <w:szCs w:val="20"/>
    </w:rPr>
  </w:style>
  <w:style w:type="character" w:customStyle="1" w:styleId="CharChar31">
    <w:name w:val="Char Char31"/>
    <w:rsid w:val="00B672FD"/>
    <w:rPr>
      <w:sz w:val="24"/>
      <w:szCs w:val="24"/>
    </w:rPr>
  </w:style>
  <w:style w:type="paragraph" w:styleId="Seznam">
    <w:name w:val="List"/>
    <w:basedOn w:val="Normln"/>
    <w:uiPriority w:val="99"/>
    <w:unhideWhenUsed/>
    <w:rsid w:val="00B672FD"/>
    <w:pPr>
      <w:ind w:left="283" w:hanging="283"/>
    </w:pPr>
    <w:rPr>
      <w:rFonts w:eastAsiaTheme="minorHAnsi"/>
    </w:rPr>
  </w:style>
  <w:style w:type="table" w:styleId="Mkatabulky">
    <w:name w:val="Table Grid"/>
    <w:basedOn w:val="Normlntabulka"/>
    <w:rsid w:val="007A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perex">
    <w:name w:val="call-perex"/>
    <w:basedOn w:val="Normln"/>
    <w:rsid w:val="000F684F"/>
    <w:pPr>
      <w:spacing w:before="100" w:beforeAutospacing="1" w:after="100" w:afterAutospacing="1"/>
    </w:pPr>
    <w:rPr>
      <w:rFonts w:ascii="Arial" w:hAnsi="Arial"/>
      <w:sz w:val="22"/>
      <w:szCs w:val="20"/>
    </w:rPr>
  </w:style>
  <w:style w:type="character" w:customStyle="1" w:styleId="hword">
    <w:name w:val="h_word"/>
    <w:basedOn w:val="Standardnpsmoodstavce"/>
    <w:rsid w:val="00A703BC"/>
  </w:style>
  <w:style w:type="paragraph" w:customStyle="1" w:styleId="Zkladntext213">
    <w:name w:val="Základní text 213"/>
    <w:basedOn w:val="Normln"/>
    <w:rsid w:val="00115440"/>
    <w:pPr>
      <w:widowControl w:val="0"/>
      <w:tabs>
        <w:tab w:val="left" w:pos="-720"/>
      </w:tabs>
      <w:suppressAutoHyphens/>
      <w:overflowPunct w:val="0"/>
      <w:autoSpaceDE w:val="0"/>
      <w:autoSpaceDN w:val="0"/>
      <w:adjustRightInd w:val="0"/>
      <w:spacing w:line="360" w:lineRule="auto"/>
      <w:jc w:val="both"/>
      <w:textAlignment w:val="baseline"/>
    </w:pPr>
    <w:rPr>
      <w:rFonts w:ascii="Arial" w:eastAsia="Calibri" w:hAnsi="Arial"/>
      <w:szCs w:val="20"/>
    </w:rPr>
  </w:style>
  <w:style w:type="paragraph" w:customStyle="1" w:styleId="Normlnweb13">
    <w:name w:val="Normální (web)13"/>
    <w:basedOn w:val="Normln"/>
    <w:rsid w:val="00115440"/>
    <w:pPr>
      <w:spacing w:before="100" w:after="100"/>
    </w:pPr>
    <w:rPr>
      <w:rFonts w:eastAsia="Calibri"/>
      <w:szCs w:val="20"/>
    </w:rPr>
  </w:style>
  <w:style w:type="paragraph" w:customStyle="1" w:styleId="Prosttext12">
    <w:name w:val="Prostý text12"/>
    <w:basedOn w:val="Normln"/>
    <w:rsid w:val="00115440"/>
    <w:pPr>
      <w:overflowPunct w:val="0"/>
      <w:autoSpaceDE w:val="0"/>
      <w:autoSpaceDN w:val="0"/>
      <w:adjustRightInd w:val="0"/>
      <w:textAlignment w:val="baseline"/>
    </w:pPr>
    <w:rPr>
      <w:rFonts w:ascii="Courier New" w:hAnsi="Courier New"/>
      <w:sz w:val="20"/>
      <w:szCs w:val="20"/>
    </w:rPr>
  </w:style>
  <w:style w:type="character" w:customStyle="1" w:styleId="CharChar32">
    <w:name w:val="Char Char32"/>
    <w:rsid w:val="00115440"/>
    <w:rPr>
      <w:sz w:val="24"/>
      <w:szCs w:val="24"/>
    </w:rPr>
  </w:style>
  <w:style w:type="numbering" w:customStyle="1" w:styleId="Bezseznamu1">
    <w:name w:val="Bez seznamu1"/>
    <w:next w:val="Bezseznamu"/>
    <w:uiPriority w:val="99"/>
    <w:semiHidden/>
    <w:unhideWhenUsed/>
    <w:rsid w:val="00EE15EF"/>
  </w:style>
  <w:style w:type="character" w:customStyle="1" w:styleId="esf-dictionary-word1">
    <w:name w:val="esf-dictionary-word1"/>
    <w:basedOn w:val="Standardnpsmoodstavce"/>
    <w:rsid w:val="00EE15EF"/>
  </w:style>
</w:styles>
</file>

<file path=word/webSettings.xml><?xml version="1.0" encoding="utf-8"?>
<w:webSettings xmlns:r="http://schemas.openxmlformats.org/officeDocument/2006/relationships" xmlns:w="http://schemas.openxmlformats.org/wordprocessingml/2006/main">
  <w:divs>
    <w:div w:id="7145318">
      <w:bodyDiv w:val="1"/>
      <w:marLeft w:val="0"/>
      <w:marRight w:val="0"/>
      <w:marTop w:val="0"/>
      <w:marBottom w:val="0"/>
      <w:divBdr>
        <w:top w:val="none" w:sz="0" w:space="0" w:color="auto"/>
        <w:left w:val="none" w:sz="0" w:space="0" w:color="auto"/>
        <w:bottom w:val="none" w:sz="0" w:space="0" w:color="auto"/>
        <w:right w:val="none" w:sz="0" w:space="0" w:color="auto"/>
      </w:divBdr>
    </w:div>
    <w:div w:id="9532101">
      <w:bodyDiv w:val="1"/>
      <w:marLeft w:val="0"/>
      <w:marRight w:val="0"/>
      <w:marTop w:val="0"/>
      <w:marBottom w:val="0"/>
      <w:divBdr>
        <w:top w:val="none" w:sz="0" w:space="0" w:color="auto"/>
        <w:left w:val="none" w:sz="0" w:space="0" w:color="auto"/>
        <w:bottom w:val="none" w:sz="0" w:space="0" w:color="auto"/>
        <w:right w:val="none" w:sz="0" w:space="0" w:color="auto"/>
      </w:divBdr>
    </w:div>
    <w:div w:id="27683126">
      <w:bodyDiv w:val="1"/>
      <w:marLeft w:val="0"/>
      <w:marRight w:val="0"/>
      <w:marTop w:val="0"/>
      <w:marBottom w:val="0"/>
      <w:divBdr>
        <w:top w:val="none" w:sz="0" w:space="0" w:color="auto"/>
        <w:left w:val="none" w:sz="0" w:space="0" w:color="auto"/>
        <w:bottom w:val="none" w:sz="0" w:space="0" w:color="auto"/>
        <w:right w:val="none" w:sz="0" w:space="0" w:color="auto"/>
      </w:divBdr>
    </w:div>
    <w:div w:id="36590492">
      <w:bodyDiv w:val="1"/>
      <w:marLeft w:val="0"/>
      <w:marRight w:val="0"/>
      <w:marTop w:val="0"/>
      <w:marBottom w:val="0"/>
      <w:divBdr>
        <w:top w:val="none" w:sz="0" w:space="0" w:color="auto"/>
        <w:left w:val="none" w:sz="0" w:space="0" w:color="auto"/>
        <w:bottom w:val="none" w:sz="0" w:space="0" w:color="auto"/>
        <w:right w:val="none" w:sz="0" w:space="0" w:color="auto"/>
      </w:divBdr>
    </w:div>
    <w:div w:id="43255139">
      <w:bodyDiv w:val="1"/>
      <w:marLeft w:val="0"/>
      <w:marRight w:val="0"/>
      <w:marTop w:val="0"/>
      <w:marBottom w:val="0"/>
      <w:divBdr>
        <w:top w:val="none" w:sz="0" w:space="0" w:color="auto"/>
        <w:left w:val="none" w:sz="0" w:space="0" w:color="auto"/>
        <w:bottom w:val="none" w:sz="0" w:space="0" w:color="auto"/>
        <w:right w:val="none" w:sz="0" w:space="0" w:color="auto"/>
      </w:divBdr>
    </w:div>
    <w:div w:id="44958426">
      <w:bodyDiv w:val="1"/>
      <w:marLeft w:val="0"/>
      <w:marRight w:val="0"/>
      <w:marTop w:val="0"/>
      <w:marBottom w:val="0"/>
      <w:divBdr>
        <w:top w:val="none" w:sz="0" w:space="0" w:color="auto"/>
        <w:left w:val="none" w:sz="0" w:space="0" w:color="auto"/>
        <w:bottom w:val="none" w:sz="0" w:space="0" w:color="auto"/>
        <w:right w:val="none" w:sz="0" w:space="0" w:color="auto"/>
      </w:divBdr>
    </w:div>
    <w:div w:id="48457690">
      <w:bodyDiv w:val="1"/>
      <w:marLeft w:val="0"/>
      <w:marRight w:val="0"/>
      <w:marTop w:val="0"/>
      <w:marBottom w:val="0"/>
      <w:divBdr>
        <w:top w:val="none" w:sz="0" w:space="0" w:color="auto"/>
        <w:left w:val="none" w:sz="0" w:space="0" w:color="auto"/>
        <w:bottom w:val="none" w:sz="0" w:space="0" w:color="auto"/>
        <w:right w:val="none" w:sz="0" w:space="0" w:color="auto"/>
      </w:divBdr>
    </w:div>
    <w:div w:id="157155969">
      <w:bodyDiv w:val="1"/>
      <w:marLeft w:val="0"/>
      <w:marRight w:val="0"/>
      <w:marTop w:val="0"/>
      <w:marBottom w:val="0"/>
      <w:divBdr>
        <w:top w:val="none" w:sz="0" w:space="0" w:color="auto"/>
        <w:left w:val="none" w:sz="0" w:space="0" w:color="auto"/>
        <w:bottom w:val="none" w:sz="0" w:space="0" w:color="auto"/>
        <w:right w:val="none" w:sz="0" w:space="0" w:color="auto"/>
      </w:divBdr>
    </w:div>
    <w:div w:id="170144360">
      <w:bodyDiv w:val="1"/>
      <w:marLeft w:val="0"/>
      <w:marRight w:val="0"/>
      <w:marTop w:val="0"/>
      <w:marBottom w:val="0"/>
      <w:divBdr>
        <w:top w:val="none" w:sz="0" w:space="0" w:color="auto"/>
        <w:left w:val="none" w:sz="0" w:space="0" w:color="auto"/>
        <w:bottom w:val="none" w:sz="0" w:space="0" w:color="auto"/>
        <w:right w:val="none" w:sz="0" w:space="0" w:color="auto"/>
      </w:divBdr>
    </w:div>
    <w:div w:id="174998698">
      <w:bodyDiv w:val="1"/>
      <w:marLeft w:val="0"/>
      <w:marRight w:val="0"/>
      <w:marTop w:val="0"/>
      <w:marBottom w:val="0"/>
      <w:divBdr>
        <w:top w:val="none" w:sz="0" w:space="0" w:color="auto"/>
        <w:left w:val="none" w:sz="0" w:space="0" w:color="auto"/>
        <w:bottom w:val="none" w:sz="0" w:space="0" w:color="auto"/>
        <w:right w:val="none" w:sz="0" w:space="0" w:color="auto"/>
      </w:divBdr>
    </w:div>
    <w:div w:id="175731194">
      <w:bodyDiv w:val="1"/>
      <w:marLeft w:val="0"/>
      <w:marRight w:val="0"/>
      <w:marTop w:val="0"/>
      <w:marBottom w:val="0"/>
      <w:divBdr>
        <w:top w:val="none" w:sz="0" w:space="0" w:color="auto"/>
        <w:left w:val="none" w:sz="0" w:space="0" w:color="auto"/>
        <w:bottom w:val="none" w:sz="0" w:space="0" w:color="auto"/>
        <w:right w:val="none" w:sz="0" w:space="0" w:color="auto"/>
      </w:divBdr>
    </w:div>
    <w:div w:id="191117408">
      <w:bodyDiv w:val="1"/>
      <w:marLeft w:val="0"/>
      <w:marRight w:val="0"/>
      <w:marTop w:val="0"/>
      <w:marBottom w:val="0"/>
      <w:divBdr>
        <w:top w:val="none" w:sz="0" w:space="0" w:color="auto"/>
        <w:left w:val="none" w:sz="0" w:space="0" w:color="auto"/>
        <w:bottom w:val="none" w:sz="0" w:space="0" w:color="auto"/>
        <w:right w:val="none" w:sz="0" w:space="0" w:color="auto"/>
      </w:divBdr>
    </w:div>
    <w:div w:id="228079437">
      <w:bodyDiv w:val="1"/>
      <w:marLeft w:val="0"/>
      <w:marRight w:val="0"/>
      <w:marTop w:val="0"/>
      <w:marBottom w:val="0"/>
      <w:divBdr>
        <w:top w:val="none" w:sz="0" w:space="0" w:color="auto"/>
        <w:left w:val="none" w:sz="0" w:space="0" w:color="auto"/>
        <w:bottom w:val="none" w:sz="0" w:space="0" w:color="auto"/>
        <w:right w:val="none" w:sz="0" w:space="0" w:color="auto"/>
      </w:divBdr>
    </w:div>
    <w:div w:id="238826402">
      <w:bodyDiv w:val="1"/>
      <w:marLeft w:val="0"/>
      <w:marRight w:val="0"/>
      <w:marTop w:val="0"/>
      <w:marBottom w:val="0"/>
      <w:divBdr>
        <w:top w:val="none" w:sz="0" w:space="0" w:color="auto"/>
        <w:left w:val="none" w:sz="0" w:space="0" w:color="auto"/>
        <w:bottom w:val="none" w:sz="0" w:space="0" w:color="auto"/>
        <w:right w:val="none" w:sz="0" w:space="0" w:color="auto"/>
      </w:divBdr>
    </w:div>
    <w:div w:id="250166148">
      <w:bodyDiv w:val="1"/>
      <w:marLeft w:val="0"/>
      <w:marRight w:val="0"/>
      <w:marTop w:val="0"/>
      <w:marBottom w:val="0"/>
      <w:divBdr>
        <w:top w:val="none" w:sz="0" w:space="0" w:color="auto"/>
        <w:left w:val="none" w:sz="0" w:space="0" w:color="auto"/>
        <w:bottom w:val="none" w:sz="0" w:space="0" w:color="auto"/>
        <w:right w:val="none" w:sz="0" w:space="0" w:color="auto"/>
      </w:divBdr>
    </w:div>
    <w:div w:id="330762409">
      <w:bodyDiv w:val="1"/>
      <w:marLeft w:val="0"/>
      <w:marRight w:val="0"/>
      <w:marTop w:val="0"/>
      <w:marBottom w:val="0"/>
      <w:divBdr>
        <w:top w:val="none" w:sz="0" w:space="0" w:color="auto"/>
        <w:left w:val="none" w:sz="0" w:space="0" w:color="auto"/>
        <w:bottom w:val="none" w:sz="0" w:space="0" w:color="auto"/>
        <w:right w:val="none" w:sz="0" w:space="0" w:color="auto"/>
      </w:divBdr>
    </w:div>
    <w:div w:id="331303670">
      <w:bodyDiv w:val="1"/>
      <w:marLeft w:val="0"/>
      <w:marRight w:val="0"/>
      <w:marTop w:val="0"/>
      <w:marBottom w:val="0"/>
      <w:divBdr>
        <w:top w:val="none" w:sz="0" w:space="0" w:color="auto"/>
        <w:left w:val="none" w:sz="0" w:space="0" w:color="auto"/>
        <w:bottom w:val="none" w:sz="0" w:space="0" w:color="auto"/>
        <w:right w:val="none" w:sz="0" w:space="0" w:color="auto"/>
      </w:divBdr>
    </w:div>
    <w:div w:id="355472355">
      <w:bodyDiv w:val="1"/>
      <w:marLeft w:val="0"/>
      <w:marRight w:val="0"/>
      <w:marTop w:val="0"/>
      <w:marBottom w:val="0"/>
      <w:divBdr>
        <w:top w:val="none" w:sz="0" w:space="0" w:color="auto"/>
        <w:left w:val="none" w:sz="0" w:space="0" w:color="auto"/>
        <w:bottom w:val="none" w:sz="0" w:space="0" w:color="auto"/>
        <w:right w:val="none" w:sz="0" w:space="0" w:color="auto"/>
      </w:divBdr>
    </w:div>
    <w:div w:id="369305315">
      <w:bodyDiv w:val="1"/>
      <w:marLeft w:val="0"/>
      <w:marRight w:val="0"/>
      <w:marTop w:val="0"/>
      <w:marBottom w:val="0"/>
      <w:divBdr>
        <w:top w:val="none" w:sz="0" w:space="0" w:color="auto"/>
        <w:left w:val="none" w:sz="0" w:space="0" w:color="auto"/>
        <w:bottom w:val="none" w:sz="0" w:space="0" w:color="auto"/>
        <w:right w:val="none" w:sz="0" w:space="0" w:color="auto"/>
      </w:divBdr>
    </w:div>
    <w:div w:id="400253902">
      <w:bodyDiv w:val="1"/>
      <w:marLeft w:val="0"/>
      <w:marRight w:val="0"/>
      <w:marTop w:val="0"/>
      <w:marBottom w:val="0"/>
      <w:divBdr>
        <w:top w:val="none" w:sz="0" w:space="0" w:color="auto"/>
        <w:left w:val="none" w:sz="0" w:space="0" w:color="auto"/>
        <w:bottom w:val="none" w:sz="0" w:space="0" w:color="auto"/>
        <w:right w:val="none" w:sz="0" w:space="0" w:color="auto"/>
      </w:divBdr>
    </w:div>
    <w:div w:id="412624173">
      <w:bodyDiv w:val="1"/>
      <w:marLeft w:val="0"/>
      <w:marRight w:val="0"/>
      <w:marTop w:val="0"/>
      <w:marBottom w:val="0"/>
      <w:divBdr>
        <w:top w:val="none" w:sz="0" w:space="0" w:color="auto"/>
        <w:left w:val="none" w:sz="0" w:space="0" w:color="auto"/>
        <w:bottom w:val="none" w:sz="0" w:space="0" w:color="auto"/>
        <w:right w:val="none" w:sz="0" w:space="0" w:color="auto"/>
      </w:divBdr>
    </w:div>
    <w:div w:id="426388645">
      <w:bodyDiv w:val="1"/>
      <w:marLeft w:val="0"/>
      <w:marRight w:val="0"/>
      <w:marTop w:val="0"/>
      <w:marBottom w:val="0"/>
      <w:divBdr>
        <w:top w:val="none" w:sz="0" w:space="0" w:color="auto"/>
        <w:left w:val="none" w:sz="0" w:space="0" w:color="auto"/>
        <w:bottom w:val="none" w:sz="0" w:space="0" w:color="auto"/>
        <w:right w:val="none" w:sz="0" w:space="0" w:color="auto"/>
      </w:divBdr>
    </w:div>
    <w:div w:id="426579929">
      <w:bodyDiv w:val="1"/>
      <w:marLeft w:val="0"/>
      <w:marRight w:val="0"/>
      <w:marTop w:val="0"/>
      <w:marBottom w:val="0"/>
      <w:divBdr>
        <w:top w:val="none" w:sz="0" w:space="0" w:color="auto"/>
        <w:left w:val="none" w:sz="0" w:space="0" w:color="auto"/>
        <w:bottom w:val="none" w:sz="0" w:space="0" w:color="auto"/>
        <w:right w:val="none" w:sz="0" w:space="0" w:color="auto"/>
      </w:divBdr>
    </w:div>
    <w:div w:id="427114712">
      <w:bodyDiv w:val="1"/>
      <w:marLeft w:val="0"/>
      <w:marRight w:val="0"/>
      <w:marTop w:val="0"/>
      <w:marBottom w:val="0"/>
      <w:divBdr>
        <w:top w:val="none" w:sz="0" w:space="0" w:color="auto"/>
        <w:left w:val="none" w:sz="0" w:space="0" w:color="auto"/>
        <w:bottom w:val="none" w:sz="0" w:space="0" w:color="auto"/>
        <w:right w:val="none" w:sz="0" w:space="0" w:color="auto"/>
      </w:divBdr>
    </w:div>
    <w:div w:id="482502684">
      <w:bodyDiv w:val="1"/>
      <w:marLeft w:val="0"/>
      <w:marRight w:val="0"/>
      <w:marTop w:val="0"/>
      <w:marBottom w:val="0"/>
      <w:divBdr>
        <w:top w:val="none" w:sz="0" w:space="0" w:color="auto"/>
        <w:left w:val="none" w:sz="0" w:space="0" w:color="auto"/>
        <w:bottom w:val="none" w:sz="0" w:space="0" w:color="auto"/>
        <w:right w:val="none" w:sz="0" w:space="0" w:color="auto"/>
      </w:divBdr>
    </w:div>
    <w:div w:id="488912100">
      <w:bodyDiv w:val="1"/>
      <w:marLeft w:val="0"/>
      <w:marRight w:val="0"/>
      <w:marTop w:val="0"/>
      <w:marBottom w:val="0"/>
      <w:divBdr>
        <w:top w:val="none" w:sz="0" w:space="0" w:color="auto"/>
        <w:left w:val="none" w:sz="0" w:space="0" w:color="auto"/>
        <w:bottom w:val="none" w:sz="0" w:space="0" w:color="auto"/>
        <w:right w:val="none" w:sz="0" w:space="0" w:color="auto"/>
      </w:divBdr>
    </w:div>
    <w:div w:id="494877116">
      <w:bodyDiv w:val="1"/>
      <w:marLeft w:val="0"/>
      <w:marRight w:val="0"/>
      <w:marTop w:val="0"/>
      <w:marBottom w:val="0"/>
      <w:divBdr>
        <w:top w:val="none" w:sz="0" w:space="0" w:color="auto"/>
        <w:left w:val="none" w:sz="0" w:space="0" w:color="auto"/>
        <w:bottom w:val="none" w:sz="0" w:space="0" w:color="auto"/>
        <w:right w:val="none" w:sz="0" w:space="0" w:color="auto"/>
      </w:divBdr>
    </w:div>
    <w:div w:id="509681397">
      <w:bodyDiv w:val="1"/>
      <w:marLeft w:val="0"/>
      <w:marRight w:val="0"/>
      <w:marTop w:val="0"/>
      <w:marBottom w:val="0"/>
      <w:divBdr>
        <w:top w:val="none" w:sz="0" w:space="0" w:color="auto"/>
        <w:left w:val="none" w:sz="0" w:space="0" w:color="auto"/>
        <w:bottom w:val="none" w:sz="0" w:space="0" w:color="auto"/>
        <w:right w:val="none" w:sz="0" w:space="0" w:color="auto"/>
      </w:divBdr>
    </w:div>
    <w:div w:id="513156151">
      <w:bodyDiv w:val="1"/>
      <w:marLeft w:val="0"/>
      <w:marRight w:val="0"/>
      <w:marTop w:val="0"/>
      <w:marBottom w:val="0"/>
      <w:divBdr>
        <w:top w:val="none" w:sz="0" w:space="0" w:color="auto"/>
        <w:left w:val="none" w:sz="0" w:space="0" w:color="auto"/>
        <w:bottom w:val="none" w:sz="0" w:space="0" w:color="auto"/>
        <w:right w:val="none" w:sz="0" w:space="0" w:color="auto"/>
      </w:divBdr>
    </w:div>
    <w:div w:id="514810385">
      <w:bodyDiv w:val="1"/>
      <w:marLeft w:val="0"/>
      <w:marRight w:val="0"/>
      <w:marTop w:val="0"/>
      <w:marBottom w:val="0"/>
      <w:divBdr>
        <w:top w:val="none" w:sz="0" w:space="0" w:color="auto"/>
        <w:left w:val="none" w:sz="0" w:space="0" w:color="auto"/>
        <w:bottom w:val="none" w:sz="0" w:space="0" w:color="auto"/>
        <w:right w:val="none" w:sz="0" w:space="0" w:color="auto"/>
      </w:divBdr>
    </w:div>
    <w:div w:id="518278578">
      <w:bodyDiv w:val="1"/>
      <w:marLeft w:val="0"/>
      <w:marRight w:val="0"/>
      <w:marTop w:val="0"/>
      <w:marBottom w:val="0"/>
      <w:divBdr>
        <w:top w:val="none" w:sz="0" w:space="0" w:color="auto"/>
        <w:left w:val="none" w:sz="0" w:space="0" w:color="auto"/>
        <w:bottom w:val="none" w:sz="0" w:space="0" w:color="auto"/>
        <w:right w:val="none" w:sz="0" w:space="0" w:color="auto"/>
      </w:divBdr>
    </w:div>
    <w:div w:id="528570131">
      <w:bodyDiv w:val="1"/>
      <w:marLeft w:val="0"/>
      <w:marRight w:val="0"/>
      <w:marTop w:val="0"/>
      <w:marBottom w:val="0"/>
      <w:divBdr>
        <w:top w:val="none" w:sz="0" w:space="0" w:color="auto"/>
        <w:left w:val="none" w:sz="0" w:space="0" w:color="auto"/>
        <w:bottom w:val="none" w:sz="0" w:space="0" w:color="auto"/>
        <w:right w:val="none" w:sz="0" w:space="0" w:color="auto"/>
      </w:divBdr>
    </w:div>
    <w:div w:id="566767518">
      <w:bodyDiv w:val="1"/>
      <w:marLeft w:val="0"/>
      <w:marRight w:val="0"/>
      <w:marTop w:val="0"/>
      <w:marBottom w:val="0"/>
      <w:divBdr>
        <w:top w:val="none" w:sz="0" w:space="0" w:color="auto"/>
        <w:left w:val="none" w:sz="0" w:space="0" w:color="auto"/>
        <w:bottom w:val="none" w:sz="0" w:space="0" w:color="auto"/>
        <w:right w:val="none" w:sz="0" w:space="0" w:color="auto"/>
      </w:divBdr>
    </w:div>
    <w:div w:id="574827386">
      <w:bodyDiv w:val="1"/>
      <w:marLeft w:val="0"/>
      <w:marRight w:val="0"/>
      <w:marTop w:val="0"/>
      <w:marBottom w:val="0"/>
      <w:divBdr>
        <w:top w:val="none" w:sz="0" w:space="0" w:color="auto"/>
        <w:left w:val="none" w:sz="0" w:space="0" w:color="auto"/>
        <w:bottom w:val="none" w:sz="0" w:space="0" w:color="auto"/>
        <w:right w:val="none" w:sz="0" w:space="0" w:color="auto"/>
      </w:divBdr>
    </w:div>
    <w:div w:id="599458096">
      <w:bodyDiv w:val="1"/>
      <w:marLeft w:val="0"/>
      <w:marRight w:val="0"/>
      <w:marTop w:val="0"/>
      <w:marBottom w:val="0"/>
      <w:divBdr>
        <w:top w:val="none" w:sz="0" w:space="0" w:color="auto"/>
        <w:left w:val="none" w:sz="0" w:space="0" w:color="auto"/>
        <w:bottom w:val="none" w:sz="0" w:space="0" w:color="auto"/>
        <w:right w:val="none" w:sz="0" w:space="0" w:color="auto"/>
      </w:divBdr>
    </w:div>
    <w:div w:id="615020601">
      <w:bodyDiv w:val="1"/>
      <w:marLeft w:val="0"/>
      <w:marRight w:val="0"/>
      <w:marTop w:val="0"/>
      <w:marBottom w:val="0"/>
      <w:divBdr>
        <w:top w:val="none" w:sz="0" w:space="0" w:color="auto"/>
        <w:left w:val="none" w:sz="0" w:space="0" w:color="auto"/>
        <w:bottom w:val="none" w:sz="0" w:space="0" w:color="auto"/>
        <w:right w:val="none" w:sz="0" w:space="0" w:color="auto"/>
      </w:divBdr>
    </w:div>
    <w:div w:id="623772096">
      <w:bodyDiv w:val="1"/>
      <w:marLeft w:val="0"/>
      <w:marRight w:val="0"/>
      <w:marTop w:val="0"/>
      <w:marBottom w:val="0"/>
      <w:divBdr>
        <w:top w:val="none" w:sz="0" w:space="0" w:color="auto"/>
        <w:left w:val="none" w:sz="0" w:space="0" w:color="auto"/>
        <w:bottom w:val="none" w:sz="0" w:space="0" w:color="auto"/>
        <w:right w:val="none" w:sz="0" w:space="0" w:color="auto"/>
      </w:divBdr>
    </w:div>
    <w:div w:id="645163619">
      <w:bodyDiv w:val="1"/>
      <w:marLeft w:val="0"/>
      <w:marRight w:val="0"/>
      <w:marTop w:val="0"/>
      <w:marBottom w:val="0"/>
      <w:divBdr>
        <w:top w:val="none" w:sz="0" w:space="0" w:color="auto"/>
        <w:left w:val="none" w:sz="0" w:space="0" w:color="auto"/>
        <w:bottom w:val="none" w:sz="0" w:space="0" w:color="auto"/>
        <w:right w:val="none" w:sz="0" w:space="0" w:color="auto"/>
      </w:divBdr>
    </w:div>
    <w:div w:id="662438279">
      <w:bodyDiv w:val="1"/>
      <w:marLeft w:val="0"/>
      <w:marRight w:val="0"/>
      <w:marTop w:val="0"/>
      <w:marBottom w:val="0"/>
      <w:divBdr>
        <w:top w:val="none" w:sz="0" w:space="0" w:color="auto"/>
        <w:left w:val="none" w:sz="0" w:space="0" w:color="auto"/>
        <w:bottom w:val="none" w:sz="0" w:space="0" w:color="auto"/>
        <w:right w:val="none" w:sz="0" w:space="0" w:color="auto"/>
      </w:divBdr>
    </w:div>
    <w:div w:id="667054308">
      <w:bodyDiv w:val="1"/>
      <w:marLeft w:val="0"/>
      <w:marRight w:val="0"/>
      <w:marTop w:val="0"/>
      <w:marBottom w:val="0"/>
      <w:divBdr>
        <w:top w:val="none" w:sz="0" w:space="0" w:color="auto"/>
        <w:left w:val="none" w:sz="0" w:space="0" w:color="auto"/>
        <w:bottom w:val="none" w:sz="0" w:space="0" w:color="auto"/>
        <w:right w:val="none" w:sz="0" w:space="0" w:color="auto"/>
      </w:divBdr>
    </w:div>
    <w:div w:id="699209918">
      <w:bodyDiv w:val="1"/>
      <w:marLeft w:val="0"/>
      <w:marRight w:val="0"/>
      <w:marTop w:val="0"/>
      <w:marBottom w:val="0"/>
      <w:divBdr>
        <w:top w:val="none" w:sz="0" w:space="0" w:color="auto"/>
        <w:left w:val="none" w:sz="0" w:space="0" w:color="auto"/>
        <w:bottom w:val="none" w:sz="0" w:space="0" w:color="auto"/>
        <w:right w:val="none" w:sz="0" w:space="0" w:color="auto"/>
      </w:divBdr>
    </w:div>
    <w:div w:id="750547864">
      <w:bodyDiv w:val="1"/>
      <w:marLeft w:val="0"/>
      <w:marRight w:val="0"/>
      <w:marTop w:val="0"/>
      <w:marBottom w:val="0"/>
      <w:divBdr>
        <w:top w:val="none" w:sz="0" w:space="0" w:color="auto"/>
        <w:left w:val="none" w:sz="0" w:space="0" w:color="auto"/>
        <w:bottom w:val="none" w:sz="0" w:space="0" w:color="auto"/>
        <w:right w:val="none" w:sz="0" w:space="0" w:color="auto"/>
      </w:divBdr>
    </w:div>
    <w:div w:id="767504756">
      <w:bodyDiv w:val="1"/>
      <w:marLeft w:val="0"/>
      <w:marRight w:val="0"/>
      <w:marTop w:val="0"/>
      <w:marBottom w:val="0"/>
      <w:divBdr>
        <w:top w:val="none" w:sz="0" w:space="0" w:color="auto"/>
        <w:left w:val="none" w:sz="0" w:space="0" w:color="auto"/>
        <w:bottom w:val="none" w:sz="0" w:space="0" w:color="auto"/>
        <w:right w:val="none" w:sz="0" w:space="0" w:color="auto"/>
      </w:divBdr>
    </w:div>
    <w:div w:id="784736744">
      <w:bodyDiv w:val="1"/>
      <w:marLeft w:val="0"/>
      <w:marRight w:val="0"/>
      <w:marTop w:val="0"/>
      <w:marBottom w:val="0"/>
      <w:divBdr>
        <w:top w:val="none" w:sz="0" w:space="0" w:color="auto"/>
        <w:left w:val="none" w:sz="0" w:space="0" w:color="auto"/>
        <w:bottom w:val="none" w:sz="0" w:space="0" w:color="auto"/>
        <w:right w:val="none" w:sz="0" w:space="0" w:color="auto"/>
      </w:divBdr>
    </w:div>
    <w:div w:id="815953562">
      <w:bodyDiv w:val="1"/>
      <w:marLeft w:val="0"/>
      <w:marRight w:val="0"/>
      <w:marTop w:val="0"/>
      <w:marBottom w:val="0"/>
      <w:divBdr>
        <w:top w:val="none" w:sz="0" w:space="0" w:color="auto"/>
        <w:left w:val="none" w:sz="0" w:space="0" w:color="auto"/>
        <w:bottom w:val="none" w:sz="0" w:space="0" w:color="auto"/>
        <w:right w:val="none" w:sz="0" w:space="0" w:color="auto"/>
      </w:divBdr>
    </w:div>
    <w:div w:id="818424102">
      <w:bodyDiv w:val="1"/>
      <w:marLeft w:val="0"/>
      <w:marRight w:val="0"/>
      <w:marTop w:val="0"/>
      <w:marBottom w:val="0"/>
      <w:divBdr>
        <w:top w:val="none" w:sz="0" w:space="0" w:color="auto"/>
        <w:left w:val="none" w:sz="0" w:space="0" w:color="auto"/>
        <w:bottom w:val="none" w:sz="0" w:space="0" w:color="auto"/>
        <w:right w:val="none" w:sz="0" w:space="0" w:color="auto"/>
      </w:divBdr>
    </w:div>
    <w:div w:id="850069895">
      <w:bodyDiv w:val="1"/>
      <w:marLeft w:val="0"/>
      <w:marRight w:val="0"/>
      <w:marTop w:val="0"/>
      <w:marBottom w:val="0"/>
      <w:divBdr>
        <w:top w:val="none" w:sz="0" w:space="0" w:color="auto"/>
        <w:left w:val="none" w:sz="0" w:space="0" w:color="auto"/>
        <w:bottom w:val="none" w:sz="0" w:space="0" w:color="auto"/>
        <w:right w:val="none" w:sz="0" w:space="0" w:color="auto"/>
      </w:divBdr>
    </w:div>
    <w:div w:id="858815935">
      <w:bodyDiv w:val="1"/>
      <w:marLeft w:val="0"/>
      <w:marRight w:val="0"/>
      <w:marTop w:val="0"/>
      <w:marBottom w:val="0"/>
      <w:divBdr>
        <w:top w:val="none" w:sz="0" w:space="0" w:color="auto"/>
        <w:left w:val="none" w:sz="0" w:space="0" w:color="auto"/>
        <w:bottom w:val="none" w:sz="0" w:space="0" w:color="auto"/>
        <w:right w:val="none" w:sz="0" w:space="0" w:color="auto"/>
      </w:divBdr>
    </w:div>
    <w:div w:id="871721137">
      <w:bodyDiv w:val="1"/>
      <w:marLeft w:val="0"/>
      <w:marRight w:val="0"/>
      <w:marTop w:val="0"/>
      <w:marBottom w:val="0"/>
      <w:divBdr>
        <w:top w:val="none" w:sz="0" w:space="0" w:color="auto"/>
        <w:left w:val="none" w:sz="0" w:space="0" w:color="auto"/>
        <w:bottom w:val="none" w:sz="0" w:space="0" w:color="auto"/>
        <w:right w:val="none" w:sz="0" w:space="0" w:color="auto"/>
      </w:divBdr>
    </w:div>
    <w:div w:id="871842878">
      <w:bodyDiv w:val="1"/>
      <w:marLeft w:val="0"/>
      <w:marRight w:val="0"/>
      <w:marTop w:val="0"/>
      <w:marBottom w:val="0"/>
      <w:divBdr>
        <w:top w:val="none" w:sz="0" w:space="0" w:color="auto"/>
        <w:left w:val="none" w:sz="0" w:space="0" w:color="auto"/>
        <w:bottom w:val="none" w:sz="0" w:space="0" w:color="auto"/>
        <w:right w:val="none" w:sz="0" w:space="0" w:color="auto"/>
      </w:divBdr>
    </w:div>
    <w:div w:id="895316620">
      <w:bodyDiv w:val="1"/>
      <w:marLeft w:val="0"/>
      <w:marRight w:val="0"/>
      <w:marTop w:val="0"/>
      <w:marBottom w:val="0"/>
      <w:divBdr>
        <w:top w:val="none" w:sz="0" w:space="0" w:color="auto"/>
        <w:left w:val="none" w:sz="0" w:space="0" w:color="auto"/>
        <w:bottom w:val="none" w:sz="0" w:space="0" w:color="auto"/>
        <w:right w:val="none" w:sz="0" w:space="0" w:color="auto"/>
      </w:divBdr>
    </w:div>
    <w:div w:id="910384817">
      <w:bodyDiv w:val="1"/>
      <w:marLeft w:val="0"/>
      <w:marRight w:val="0"/>
      <w:marTop w:val="0"/>
      <w:marBottom w:val="0"/>
      <w:divBdr>
        <w:top w:val="none" w:sz="0" w:space="0" w:color="auto"/>
        <w:left w:val="none" w:sz="0" w:space="0" w:color="auto"/>
        <w:bottom w:val="none" w:sz="0" w:space="0" w:color="auto"/>
        <w:right w:val="none" w:sz="0" w:space="0" w:color="auto"/>
      </w:divBdr>
    </w:div>
    <w:div w:id="911893446">
      <w:bodyDiv w:val="1"/>
      <w:marLeft w:val="0"/>
      <w:marRight w:val="0"/>
      <w:marTop w:val="0"/>
      <w:marBottom w:val="0"/>
      <w:divBdr>
        <w:top w:val="none" w:sz="0" w:space="0" w:color="auto"/>
        <w:left w:val="none" w:sz="0" w:space="0" w:color="auto"/>
        <w:bottom w:val="none" w:sz="0" w:space="0" w:color="auto"/>
        <w:right w:val="none" w:sz="0" w:space="0" w:color="auto"/>
      </w:divBdr>
    </w:div>
    <w:div w:id="915434250">
      <w:bodyDiv w:val="1"/>
      <w:marLeft w:val="0"/>
      <w:marRight w:val="0"/>
      <w:marTop w:val="0"/>
      <w:marBottom w:val="0"/>
      <w:divBdr>
        <w:top w:val="none" w:sz="0" w:space="0" w:color="auto"/>
        <w:left w:val="none" w:sz="0" w:space="0" w:color="auto"/>
        <w:bottom w:val="none" w:sz="0" w:space="0" w:color="auto"/>
        <w:right w:val="none" w:sz="0" w:space="0" w:color="auto"/>
      </w:divBdr>
    </w:div>
    <w:div w:id="931470948">
      <w:bodyDiv w:val="1"/>
      <w:marLeft w:val="0"/>
      <w:marRight w:val="0"/>
      <w:marTop w:val="0"/>
      <w:marBottom w:val="0"/>
      <w:divBdr>
        <w:top w:val="none" w:sz="0" w:space="0" w:color="auto"/>
        <w:left w:val="none" w:sz="0" w:space="0" w:color="auto"/>
        <w:bottom w:val="none" w:sz="0" w:space="0" w:color="auto"/>
        <w:right w:val="none" w:sz="0" w:space="0" w:color="auto"/>
      </w:divBdr>
    </w:div>
    <w:div w:id="933627663">
      <w:bodyDiv w:val="1"/>
      <w:marLeft w:val="0"/>
      <w:marRight w:val="0"/>
      <w:marTop w:val="0"/>
      <w:marBottom w:val="0"/>
      <w:divBdr>
        <w:top w:val="none" w:sz="0" w:space="0" w:color="auto"/>
        <w:left w:val="none" w:sz="0" w:space="0" w:color="auto"/>
        <w:bottom w:val="none" w:sz="0" w:space="0" w:color="auto"/>
        <w:right w:val="none" w:sz="0" w:space="0" w:color="auto"/>
      </w:divBdr>
    </w:div>
    <w:div w:id="963730631">
      <w:bodyDiv w:val="1"/>
      <w:marLeft w:val="0"/>
      <w:marRight w:val="0"/>
      <w:marTop w:val="0"/>
      <w:marBottom w:val="0"/>
      <w:divBdr>
        <w:top w:val="none" w:sz="0" w:space="0" w:color="auto"/>
        <w:left w:val="none" w:sz="0" w:space="0" w:color="auto"/>
        <w:bottom w:val="none" w:sz="0" w:space="0" w:color="auto"/>
        <w:right w:val="none" w:sz="0" w:space="0" w:color="auto"/>
      </w:divBdr>
    </w:div>
    <w:div w:id="979991946">
      <w:bodyDiv w:val="1"/>
      <w:marLeft w:val="0"/>
      <w:marRight w:val="0"/>
      <w:marTop w:val="0"/>
      <w:marBottom w:val="0"/>
      <w:divBdr>
        <w:top w:val="none" w:sz="0" w:space="0" w:color="auto"/>
        <w:left w:val="none" w:sz="0" w:space="0" w:color="auto"/>
        <w:bottom w:val="none" w:sz="0" w:space="0" w:color="auto"/>
        <w:right w:val="none" w:sz="0" w:space="0" w:color="auto"/>
      </w:divBdr>
    </w:div>
    <w:div w:id="982736296">
      <w:bodyDiv w:val="1"/>
      <w:marLeft w:val="0"/>
      <w:marRight w:val="0"/>
      <w:marTop w:val="0"/>
      <w:marBottom w:val="0"/>
      <w:divBdr>
        <w:top w:val="none" w:sz="0" w:space="0" w:color="auto"/>
        <w:left w:val="none" w:sz="0" w:space="0" w:color="auto"/>
        <w:bottom w:val="none" w:sz="0" w:space="0" w:color="auto"/>
        <w:right w:val="none" w:sz="0" w:space="0" w:color="auto"/>
      </w:divBdr>
    </w:div>
    <w:div w:id="998188609">
      <w:bodyDiv w:val="1"/>
      <w:marLeft w:val="0"/>
      <w:marRight w:val="0"/>
      <w:marTop w:val="0"/>
      <w:marBottom w:val="0"/>
      <w:divBdr>
        <w:top w:val="none" w:sz="0" w:space="0" w:color="auto"/>
        <w:left w:val="none" w:sz="0" w:space="0" w:color="auto"/>
        <w:bottom w:val="none" w:sz="0" w:space="0" w:color="auto"/>
        <w:right w:val="none" w:sz="0" w:space="0" w:color="auto"/>
      </w:divBdr>
    </w:div>
    <w:div w:id="1019545583">
      <w:bodyDiv w:val="1"/>
      <w:marLeft w:val="0"/>
      <w:marRight w:val="0"/>
      <w:marTop w:val="0"/>
      <w:marBottom w:val="0"/>
      <w:divBdr>
        <w:top w:val="none" w:sz="0" w:space="0" w:color="auto"/>
        <w:left w:val="none" w:sz="0" w:space="0" w:color="auto"/>
        <w:bottom w:val="none" w:sz="0" w:space="0" w:color="auto"/>
        <w:right w:val="none" w:sz="0" w:space="0" w:color="auto"/>
      </w:divBdr>
    </w:div>
    <w:div w:id="1024330859">
      <w:bodyDiv w:val="1"/>
      <w:marLeft w:val="0"/>
      <w:marRight w:val="0"/>
      <w:marTop w:val="0"/>
      <w:marBottom w:val="0"/>
      <w:divBdr>
        <w:top w:val="none" w:sz="0" w:space="0" w:color="auto"/>
        <w:left w:val="none" w:sz="0" w:space="0" w:color="auto"/>
        <w:bottom w:val="none" w:sz="0" w:space="0" w:color="auto"/>
        <w:right w:val="none" w:sz="0" w:space="0" w:color="auto"/>
      </w:divBdr>
    </w:div>
    <w:div w:id="1030447238">
      <w:bodyDiv w:val="1"/>
      <w:marLeft w:val="0"/>
      <w:marRight w:val="0"/>
      <w:marTop w:val="0"/>
      <w:marBottom w:val="0"/>
      <w:divBdr>
        <w:top w:val="none" w:sz="0" w:space="0" w:color="auto"/>
        <w:left w:val="none" w:sz="0" w:space="0" w:color="auto"/>
        <w:bottom w:val="none" w:sz="0" w:space="0" w:color="auto"/>
        <w:right w:val="none" w:sz="0" w:space="0" w:color="auto"/>
      </w:divBdr>
    </w:div>
    <w:div w:id="1038968138">
      <w:bodyDiv w:val="1"/>
      <w:marLeft w:val="0"/>
      <w:marRight w:val="0"/>
      <w:marTop w:val="0"/>
      <w:marBottom w:val="0"/>
      <w:divBdr>
        <w:top w:val="none" w:sz="0" w:space="0" w:color="auto"/>
        <w:left w:val="none" w:sz="0" w:space="0" w:color="auto"/>
        <w:bottom w:val="none" w:sz="0" w:space="0" w:color="auto"/>
        <w:right w:val="none" w:sz="0" w:space="0" w:color="auto"/>
      </w:divBdr>
    </w:div>
    <w:div w:id="1039892126">
      <w:bodyDiv w:val="1"/>
      <w:marLeft w:val="0"/>
      <w:marRight w:val="0"/>
      <w:marTop w:val="0"/>
      <w:marBottom w:val="0"/>
      <w:divBdr>
        <w:top w:val="none" w:sz="0" w:space="0" w:color="auto"/>
        <w:left w:val="none" w:sz="0" w:space="0" w:color="auto"/>
        <w:bottom w:val="none" w:sz="0" w:space="0" w:color="auto"/>
        <w:right w:val="none" w:sz="0" w:space="0" w:color="auto"/>
      </w:divBdr>
    </w:div>
    <w:div w:id="1046179572">
      <w:bodyDiv w:val="1"/>
      <w:marLeft w:val="0"/>
      <w:marRight w:val="0"/>
      <w:marTop w:val="0"/>
      <w:marBottom w:val="0"/>
      <w:divBdr>
        <w:top w:val="none" w:sz="0" w:space="0" w:color="auto"/>
        <w:left w:val="none" w:sz="0" w:space="0" w:color="auto"/>
        <w:bottom w:val="none" w:sz="0" w:space="0" w:color="auto"/>
        <w:right w:val="none" w:sz="0" w:space="0" w:color="auto"/>
      </w:divBdr>
    </w:div>
    <w:div w:id="1075128383">
      <w:bodyDiv w:val="1"/>
      <w:marLeft w:val="0"/>
      <w:marRight w:val="0"/>
      <w:marTop w:val="0"/>
      <w:marBottom w:val="0"/>
      <w:divBdr>
        <w:top w:val="none" w:sz="0" w:space="0" w:color="auto"/>
        <w:left w:val="none" w:sz="0" w:space="0" w:color="auto"/>
        <w:bottom w:val="none" w:sz="0" w:space="0" w:color="auto"/>
        <w:right w:val="none" w:sz="0" w:space="0" w:color="auto"/>
      </w:divBdr>
    </w:div>
    <w:div w:id="1091701602">
      <w:bodyDiv w:val="1"/>
      <w:marLeft w:val="0"/>
      <w:marRight w:val="0"/>
      <w:marTop w:val="0"/>
      <w:marBottom w:val="0"/>
      <w:divBdr>
        <w:top w:val="none" w:sz="0" w:space="0" w:color="auto"/>
        <w:left w:val="none" w:sz="0" w:space="0" w:color="auto"/>
        <w:bottom w:val="none" w:sz="0" w:space="0" w:color="auto"/>
        <w:right w:val="none" w:sz="0" w:space="0" w:color="auto"/>
      </w:divBdr>
    </w:div>
    <w:div w:id="1151871439">
      <w:bodyDiv w:val="1"/>
      <w:marLeft w:val="0"/>
      <w:marRight w:val="0"/>
      <w:marTop w:val="0"/>
      <w:marBottom w:val="0"/>
      <w:divBdr>
        <w:top w:val="none" w:sz="0" w:space="0" w:color="auto"/>
        <w:left w:val="none" w:sz="0" w:space="0" w:color="auto"/>
        <w:bottom w:val="none" w:sz="0" w:space="0" w:color="auto"/>
        <w:right w:val="none" w:sz="0" w:space="0" w:color="auto"/>
      </w:divBdr>
    </w:div>
    <w:div w:id="1171027251">
      <w:bodyDiv w:val="1"/>
      <w:marLeft w:val="0"/>
      <w:marRight w:val="0"/>
      <w:marTop w:val="0"/>
      <w:marBottom w:val="0"/>
      <w:divBdr>
        <w:top w:val="none" w:sz="0" w:space="0" w:color="auto"/>
        <w:left w:val="none" w:sz="0" w:space="0" w:color="auto"/>
        <w:bottom w:val="none" w:sz="0" w:space="0" w:color="auto"/>
        <w:right w:val="none" w:sz="0" w:space="0" w:color="auto"/>
      </w:divBdr>
    </w:div>
    <w:div w:id="1208638287">
      <w:bodyDiv w:val="1"/>
      <w:marLeft w:val="0"/>
      <w:marRight w:val="0"/>
      <w:marTop w:val="0"/>
      <w:marBottom w:val="0"/>
      <w:divBdr>
        <w:top w:val="none" w:sz="0" w:space="0" w:color="auto"/>
        <w:left w:val="none" w:sz="0" w:space="0" w:color="auto"/>
        <w:bottom w:val="none" w:sz="0" w:space="0" w:color="auto"/>
        <w:right w:val="none" w:sz="0" w:space="0" w:color="auto"/>
      </w:divBdr>
    </w:div>
    <w:div w:id="1248424181">
      <w:bodyDiv w:val="1"/>
      <w:marLeft w:val="0"/>
      <w:marRight w:val="0"/>
      <w:marTop w:val="0"/>
      <w:marBottom w:val="0"/>
      <w:divBdr>
        <w:top w:val="none" w:sz="0" w:space="0" w:color="auto"/>
        <w:left w:val="none" w:sz="0" w:space="0" w:color="auto"/>
        <w:bottom w:val="none" w:sz="0" w:space="0" w:color="auto"/>
        <w:right w:val="none" w:sz="0" w:space="0" w:color="auto"/>
      </w:divBdr>
    </w:div>
    <w:div w:id="1288974110">
      <w:bodyDiv w:val="1"/>
      <w:marLeft w:val="0"/>
      <w:marRight w:val="0"/>
      <w:marTop w:val="0"/>
      <w:marBottom w:val="0"/>
      <w:divBdr>
        <w:top w:val="none" w:sz="0" w:space="0" w:color="auto"/>
        <w:left w:val="none" w:sz="0" w:space="0" w:color="auto"/>
        <w:bottom w:val="none" w:sz="0" w:space="0" w:color="auto"/>
        <w:right w:val="none" w:sz="0" w:space="0" w:color="auto"/>
      </w:divBdr>
    </w:div>
    <w:div w:id="1295909780">
      <w:bodyDiv w:val="1"/>
      <w:marLeft w:val="0"/>
      <w:marRight w:val="0"/>
      <w:marTop w:val="0"/>
      <w:marBottom w:val="0"/>
      <w:divBdr>
        <w:top w:val="none" w:sz="0" w:space="0" w:color="auto"/>
        <w:left w:val="none" w:sz="0" w:space="0" w:color="auto"/>
        <w:bottom w:val="none" w:sz="0" w:space="0" w:color="auto"/>
        <w:right w:val="none" w:sz="0" w:space="0" w:color="auto"/>
      </w:divBdr>
    </w:div>
    <w:div w:id="1310793220">
      <w:bodyDiv w:val="1"/>
      <w:marLeft w:val="0"/>
      <w:marRight w:val="0"/>
      <w:marTop w:val="0"/>
      <w:marBottom w:val="0"/>
      <w:divBdr>
        <w:top w:val="none" w:sz="0" w:space="0" w:color="auto"/>
        <w:left w:val="none" w:sz="0" w:space="0" w:color="auto"/>
        <w:bottom w:val="none" w:sz="0" w:space="0" w:color="auto"/>
        <w:right w:val="none" w:sz="0" w:space="0" w:color="auto"/>
      </w:divBdr>
    </w:div>
    <w:div w:id="1320888190">
      <w:bodyDiv w:val="1"/>
      <w:marLeft w:val="0"/>
      <w:marRight w:val="0"/>
      <w:marTop w:val="0"/>
      <w:marBottom w:val="0"/>
      <w:divBdr>
        <w:top w:val="none" w:sz="0" w:space="0" w:color="auto"/>
        <w:left w:val="none" w:sz="0" w:space="0" w:color="auto"/>
        <w:bottom w:val="none" w:sz="0" w:space="0" w:color="auto"/>
        <w:right w:val="none" w:sz="0" w:space="0" w:color="auto"/>
      </w:divBdr>
    </w:div>
    <w:div w:id="1340890951">
      <w:bodyDiv w:val="1"/>
      <w:marLeft w:val="0"/>
      <w:marRight w:val="0"/>
      <w:marTop w:val="0"/>
      <w:marBottom w:val="0"/>
      <w:divBdr>
        <w:top w:val="none" w:sz="0" w:space="0" w:color="auto"/>
        <w:left w:val="none" w:sz="0" w:space="0" w:color="auto"/>
        <w:bottom w:val="none" w:sz="0" w:space="0" w:color="auto"/>
        <w:right w:val="none" w:sz="0" w:space="0" w:color="auto"/>
      </w:divBdr>
    </w:div>
    <w:div w:id="1364868033">
      <w:bodyDiv w:val="1"/>
      <w:marLeft w:val="0"/>
      <w:marRight w:val="0"/>
      <w:marTop w:val="0"/>
      <w:marBottom w:val="0"/>
      <w:divBdr>
        <w:top w:val="none" w:sz="0" w:space="0" w:color="auto"/>
        <w:left w:val="none" w:sz="0" w:space="0" w:color="auto"/>
        <w:bottom w:val="none" w:sz="0" w:space="0" w:color="auto"/>
        <w:right w:val="none" w:sz="0" w:space="0" w:color="auto"/>
      </w:divBdr>
    </w:div>
    <w:div w:id="1382360485">
      <w:bodyDiv w:val="1"/>
      <w:marLeft w:val="0"/>
      <w:marRight w:val="0"/>
      <w:marTop w:val="0"/>
      <w:marBottom w:val="0"/>
      <w:divBdr>
        <w:top w:val="none" w:sz="0" w:space="0" w:color="auto"/>
        <w:left w:val="none" w:sz="0" w:space="0" w:color="auto"/>
        <w:bottom w:val="none" w:sz="0" w:space="0" w:color="auto"/>
        <w:right w:val="none" w:sz="0" w:space="0" w:color="auto"/>
      </w:divBdr>
    </w:div>
    <w:div w:id="1395465757">
      <w:bodyDiv w:val="1"/>
      <w:marLeft w:val="0"/>
      <w:marRight w:val="0"/>
      <w:marTop w:val="0"/>
      <w:marBottom w:val="0"/>
      <w:divBdr>
        <w:top w:val="none" w:sz="0" w:space="0" w:color="auto"/>
        <w:left w:val="none" w:sz="0" w:space="0" w:color="auto"/>
        <w:bottom w:val="none" w:sz="0" w:space="0" w:color="auto"/>
        <w:right w:val="none" w:sz="0" w:space="0" w:color="auto"/>
      </w:divBdr>
    </w:div>
    <w:div w:id="1399749260">
      <w:bodyDiv w:val="1"/>
      <w:marLeft w:val="0"/>
      <w:marRight w:val="0"/>
      <w:marTop w:val="0"/>
      <w:marBottom w:val="0"/>
      <w:divBdr>
        <w:top w:val="none" w:sz="0" w:space="0" w:color="auto"/>
        <w:left w:val="none" w:sz="0" w:space="0" w:color="auto"/>
        <w:bottom w:val="none" w:sz="0" w:space="0" w:color="auto"/>
        <w:right w:val="none" w:sz="0" w:space="0" w:color="auto"/>
      </w:divBdr>
    </w:div>
    <w:div w:id="1400640059">
      <w:bodyDiv w:val="1"/>
      <w:marLeft w:val="0"/>
      <w:marRight w:val="0"/>
      <w:marTop w:val="0"/>
      <w:marBottom w:val="0"/>
      <w:divBdr>
        <w:top w:val="none" w:sz="0" w:space="0" w:color="auto"/>
        <w:left w:val="none" w:sz="0" w:space="0" w:color="auto"/>
        <w:bottom w:val="none" w:sz="0" w:space="0" w:color="auto"/>
        <w:right w:val="none" w:sz="0" w:space="0" w:color="auto"/>
      </w:divBdr>
    </w:div>
    <w:div w:id="1402287452">
      <w:bodyDiv w:val="1"/>
      <w:marLeft w:val="0"/>
      <w:marRight w:val="0"/>
      <w:marTop w:val="0"/>
      <w:marBottom w:val="0"/>
      <w:divBdr>
        <w:top w:val="none" w:sz="0" w:space="0" w:color="auto"/>
        <w:left w:val="none" w:sz="0" w:space="0" w:color="auto"/>
        <w:bottom w:val="none" w:sz="0" w:space="0" w:color="auto"/>
        <w:right w:val="none" w:sz="0" w:space="0" w:color="auto"/>
      </w:divBdr>
    </w:div>
    <w:div w:id="1409842746">
      <w:bodyDiv w:val="1"/>
      <w:marLeft w:val="0"/>
      <w:marRight w:val="0"/>
      <w:marTop w:val="0"/>
      <w:marBottom w:val="0"/>
      <w:divBdr>
        <w:top w:val="none" w:sz="0" w:space="0" w:color="auto"/>
        <w:left w:val="none" w:sz="0" w:space="0" w:color="auto"/>
        <w:bottom w:val="none" w:sz="0" w:space="0" w:color="auto"/>
        <w:right w:val="none" w:sz="0" w:space="0" w:color="auto"/>
      </w:divBdr>
    </w:div>
    <w:div w:id="1421412959">
      <w:bodyDiv w:val="1"/>
      <w:marLeft w:val="0"/>
      <w:marRight w:val="0"/>
      <w:marTop w:val="0"/>
      <w:marBottom w:val="0"/>
      <w:divBdr>
        <w:top w:val="none" w:sz="0" w:space="0" w:color="auto"/>
        <w:left w:val="none" w:sz="0" w:space="0" w:color="auto"/>
        <w:bottom w:val="none" w:sz="0" w:space="0" w:color="auto"/>
        <w:right w:val="none" w:sz="0" w:space="0" w:color="auto"/>
      </w:divBdr>
    </w:div>
    <w:div w:id="1443263172">
      <w:bodyDiv w:val="1"/>
      <w:marLeft w:val="0"/>
      <w:marRight w:val="0"/>
      <w:marTop w:val="0"/>
      <w:marBottom w:val="0"/>
      <w:divBdr>
        <w:top w:val="none" w:sz="0" w:space="0" w:color="auto"/>
        <w:left w:val="none" w:sz="0" w:space="0" w:color="auto"/>
        <w:bottom w:val="none" w:sz="0" w:space="0" w:color="auto"/>
        <w:right w:val="none" w:sz="0" w:space="0" w:color="auto"/>
      </w:divBdr>
    </w:div>
    <w:div w:id="1458766116">
      <w:bodyDiv w:val="1"/>
      <w:marLeft w:val="0"/>
      <w:marRight w:val="0"/>
      <w:marTop w:val="0"/>
      <w:marBottom w:val="0"/>
      <w:divBdr>
        <w:top w:val="none" w:sz="0" w:space="0" w:color="auto"/>
        <w:left w:val="none" w:sz="0" w:space="0" w:color="auto"/>
        <w:bottom w:val="none" w:sz="0" w:space="0" w:color="auto"/>
        <w:right w:val="none" w:sz="0" w:space="0" w:color="auto"/>
      </w:divBdr>
    </w:div>
    <w:div w:id="1460876543">
      <w:bodyDiv w:val="1"/>
      <w:marLeft w:val="0"/>
      <w:marRight w:val="0"/>
      <w:marTop w:val="0"/>
      <w:marBottom w:val="0"/>
      <w:divBdr>
        <w:top w:val="none" w:sz="0" w:space="0" w:color="auto"/>
        <w:left w:val="none" w:sz="0" w:space="0" w:color="auto"/>
        <w:bottom w:val="none" w:sz="0" w:space="0" w:color="auto"/>
        <w:right w:val="none" w:sz="0" w:space="0" w:color="auto"/>
      </w:divBdr>
    </w:div>
    <w:div w:id="1465735582">
      <w:bodyDiv w:val="1"/>
      <w:marLeft w:val="0"/>
      <w:marRight w:val="0"/>
      <w:marTop w:val="0"/>
      <w:marBottom w:val="0"/>
      <w:divBdr>
        <w:top w:val="none" w:sz="0" w:space="0" w:color="auto"/>
        <w:left w:val="none" w:sz="0" w:space="0" w:color="auto"/>
        <w:bottom w:val="none" w:sz="0" w:space="0" w:color="auto"/>
        <w:right w:val="none" w:sz="0" w:space="0" w:color="auto"/>
      </w:divBdr>
    </w:div>
    <w:div w:id="1497182239">
      <w:bodyDiv w:val="1"/>
      <w:marLeft w:val="0"/>
      <w:marRight w:val="0"/>
      <w:marTop w:val="0"/>
      <w:marBottom w:val="0"/>
      <w:divBdr>
        <w:top w:val="none" w:sz="0" w:space="0" w:color="auto"/>
        <w:left w:val="none" w:sz="0" w:space="0" w:color="auto"/>
        <w:bottom w:val="none" w:sz="0" w:space="0" w:color="auto"/>
        <w:right w:val="none" w:sz="0" w:space="0" w:color="auto"/>
      </w:divBdr>
    </w:div>
    <w:div w:id="1506819437">
      <w:bodyDiv w:val="1"/>
      <w:marLeft w:val="0"/>
      <w:marRight w:val="0"/>
      <w:marTop w:val="0"/>
      <w:marBottom w:val="0"/>
      <w:divBdr>
        <w:top w:val="none" w:sz="0" w:space="0" w:color="auto"/>
        <w:left w:val="none" w:sz="0" w:space="0" w:color="auto"/>
        <w:bottom w:val="none" w:sz="0" w:space="0" w:color="auto"/>
        <w:right w:val="none" w:sz="0" w:space="0" w:color="auto"/>
      </w:divBdr>
    </w:div>
    <w:div w:id="1535188432">
      <w:bodyDiv w:val="1"/>
      <w:marLeft w:val="0"/>
      <w:marRight w:val="0"/>
      <w:marTop w:val="0"/>
      <w:marBottom w:val="0"/>
      <w:divBdr>
        <w:top w:val="none" w:sz="0" w:space="0" w:color="auto"/>
        <w:left w:val="none" w:sz="0" w:space="0" w:color="auto"/>
        <w:bottom w:val="none" w:sz="0" w:space="0" w:color="auto"/>
        <w:right w:val="none" w:sz="0" w:space="0" w:color="auto"/>
      </w:divBdr>
    </w:div>
    <w:div w:id="1535533258">
      <w:bodyDiv w:val="1"/>
      <w:marLeft w:val="0"/>
      <w:marRight w:val="0"/>
      <w:marTop w:val="0"/>
      <w:marBottom w:val="0"/>
      <w:divBdr>
        <w:top w:val="none" w:sz="0" w:space="0" w:color="auto"/>
        <w:left w:val="none" w:sz="0" w:space="0" w:color="auto"/>
        <w:bottom w:val="none" w:sz="0" w:space="0" w:color="auto"/>
        <w:right w:val="none" w:sz="0" w:space="0" w:color="auto"/>
      </w:divBdr>
    </w:div>
    <w:div w:id="1535967699">
      <w:bodyDiv w:val="1"/>
      <w:marLeft w:val="0"/>
      <w:marRight w:val="0"/>
      <w:marTop w:val="0"/>
      <w:marBottom w:val="0"/>
      <w:divBdr>
        <w:top w:val="none" w:sz="0" w:space="0" w:color="auto"/>
        <w:left w:val="none" w:sz="0" w:space="0" w:color="auto"/>
        <w:bottom w:val="none" w:sz="0" w:space="0" w:color="auto"/>
        <w:right w:val="none" w:sz="0" w:space="0" w:color="auto"/>
      </w:divBdr>
    </w:div>
    <w:div w:id="1538930297">
      <w:bodyDiv w:val="1"/>
      <w:marLeft w:val="0"/>
      <w:marRight w:val="0"/>
      <w:marTop w:val="0"/>
      <w:marBottom w:val="0"/>
      <w:divBdr>
        <w:top w:val="none" w:sz="0" w:space="0" w:color="auto"/>
        <w:left w:val="none" w:sz="0" w:space="0" w:color="auto"/>
        <w:bottom w:val="none" w:sz="0" w:space="0" w:color="auto"/>
        <w:right w:val="none" w:sz="0" w:space="0" w:color="auto"/>
      </w:divBdr>
    </w:div>
    <w:div w:id="1571387469">
      <w:bodyDiv w:val="1"/>
      <w:marLeft w:val="0"/>
      <w:marRight w:val="0"/>
      <w:marTop w:val="0"/>
      <w:marBottom w:val="0"/>
      <w:divBdr>
        <w:top w:val="none" w:sz="0" w:space="0" w:color="auto"/>
        <w:left w:val="none" w:sz="0" w:space="0" w:color="auto"/>
        <w:bottom w:val="none" w:sz="0" w:space="0" w:color="auto"/>
        <w:right w:val="none" w:sz="0" w:space="0" w:color="auto"/>
      </w:divBdr>
    </w:div>
    <w:div w:id="1585528067">
      <w:bodyDiv w:val="1"/>
      <w:marLeft w:val="0"/>
      <w:marRight w:val="0"/>
      <w:marTop w:val="0"/>
      <w:marBottom w:val="0"/>
      <w:divBdr>
        <w:top w:val="none" w:sz="0" w:space="0" w:color="auto"/>
        <w:left w:val="none" w:sz="0" w:space="0" w:color="auto"/>
        <w:bottom w:val="none" w:sz="0" w:space="0" w:color="auto"/>
        <w:right w:val="none" w:sz="0" w:space="0" w:color="auto"/>
      </w:divBdr>
    </w:div>
    <w:div w:id="1592856556">
      <w:bodyDiv w:val="1"/>
      <w:marLeft w:val="0"/>
      <w:marRight w:val="0"/>
      <w:marTop w:val="0"/>
      <w:marBottom w:val="0"/>
      <w:divBdr>
        <w:top w:val="none" w:sz="0" w:space="0" w:color="auto"/>
        <w:left w:val="none" w:sz="0" w:space="0" w:color="auto"/>
        <w:bottom w:val="none" w:sz="0" w:space="0" w:color="auto"/>
        <w:right w:val="none" w:sz="0" w:space="0" w:color="auto"/>
      </w:divBdr>
    </w:div>
    <w:div w:id="1596791366">
      <w:bodyDiv w:val="1"/>
      <w:marLeft w:val="0"/>
      <w:marRight w:val="0"/>
      <w:marTop w:val="0"/>
      <w:marBottom w:val="0"/>
      <w:divBdr>
        <w:top w:val="none" w:sz="0" w:space="0" w:color="auto"/>
        <w:left w:val="none" w:sz="0" w:space="0" w:color="auto"/>
        <w:bottom w:val="none" w:sz="0" w:space="0" w:color="auto"/>
        <w:right w:val="none" w:sz="0" w:space="0" w:color="auto"/>
      </w:divBdr>
    </w:div>
    <w:div w:id="1597252884">
      <w:bodyDiv w:val="1"/>
      <w:marLeft w:val="0"/>
      <w:marRight w:val="0"/>
      <w:marTop w:val="0"/>
      <w:marBottom w:val="0"/>
      <w:divBdr>
        <w:top w:val="none" w:sz="0" w:space="0" w:color="auto"/>
        <w:left w:val="none" w:sz="0" w:space="0" w:color="auto"/>
        <w:bottom w:val="none" w:sz="0" w:space="0" w:color="auto"/>
        <w:right w:val="none" w:sz="0" w:space="0" w:color="auto"/>
      </w:divBdr>
    </w:div>
    <w:div w:id="1608656244">
      <w:bodyDiv w:val="1"/>
      <w:marLeft w:val="0"/>
      <w:marRight w:val="0"/>
      <w:marTop w:val="0"/>
      <w:marBottom w:val="0"/>
      <w:divBdr>
        <w:top w:val="none" w:sz="0" w:space="0" w:color="auto"/>
        <w:left w:val="none" w:sz="0" w:space="0" w:color="auto"/>
        <w:bottom w:val="none" w:sz="0" w:space="0" w:color="auto"/>
        <w:right w:val="none" w:sz="0" w:space="0" w:color="auto"/>
      </w:divBdr>
    </w:div>
    <w:div w:id="1610895911">
      <w:bodyDiv w:val="1"/>
      <w:marLeft w:val="0"/>
      <w:marRight w:val="0"/>
      <w:marTop w:val="0"/>
      <w:marBottom w:val="0"/>
      <w:divBdr>
        <w:top w:val="none" w:sz="0" w:space="0" w:color="auto"/>
        <w:left w:val="none" w:sz="0" w:space="0" w:color="auto"/>
        <w:bottom w:val="none" w:sz="0" w:space="0" w:color="auto"/>
        <w:right w:val="none" w:sz="0" w:space="0" w:color="auto"/>
      </w:divBdr>
    </w:div>
    <w:div w:id="1643071333">
      <w:bodyDiv w:val="1"/>
      <w:marLeft w:val="0"/>
      <w:marRight w:val="0"/>
      <w:marTop w:val="0"/>
      <w:marBottom w:val="0"/>
      <w:divBdr>
        <w:top w:val="none" w:sz="0" w:space="0" w:color="auto"/>
        <w:left w:val="none" w:sz="0" w:space="0" w:color="auto"/>
        <w:bottom w:val="none" w:sz="0" w:space="0" w:color="auto"/>
        <w:right w:val="none" w:sz="0" w:space="0" w:color="auto"/>
      </w:divBdr>
    </w:div>
    <w:div w:id="1662152714">
      <w:bodyDiv w:val="1"/>
      <w:marLeft w:val="0"/>
      <w:marRight w:val="0"/>
      <w:marTop w:val="0"/>
      <w:marBottom w:val="0"/>
      <w:divBdr>
        <w:top w:val="none" w:sz="0" w:space="0" w:color="auto"/>
        <w:left w:val="none" w:sz="0" w:space="0" w:color="auto"/>
        <w:bottom w:val="none" w:sz="0" w:space="0" w:color="auto"/>
        <w:right w:val="none" w:sz="0" w:space="0" w:color="auto"/>
      </w:divBdr>
    </w:div>
    <w:div w:id="1682006909">
      <w:bodyDiv w:val="1"/>
      <w:marLeft w:val="0"/>
      <w:marRight w:val="0"/>
      <w:marTop w:val="0"/>
      <w:marBottom w:val="0"/>
      <w:divBdr>
        <w:top w:val="none" w:sz="0" w:space="0" w:color="auto"/>
        <w:left w:val="none" w:sz="0" w:space="0" w:color="auto"/>
        <w:bottom w:val="none" w:sz="0" w:space="0" w:color="auto"/>
        <w:right w:val="none" w:sz="0" w:space="0" w:color="auto"/>
      </w:divBdr>
    </w:div>
    <w:div w:id="1725059625">
      <w:bodyDiv w:val="1"/>
      <w:marLeft w:val="0"/>
      <w:marRight w:val="0"/>
      <w:marTop w:val="0"/>
      <w:marBottom w:val="0"/>
      <w:divBdr>
        <w:top w:val="none" w:sz="0" w:space="0" w:color="auto"/>
        <w:left w:val="none" w:sz="0" w:space="0" w:color="auto"/>
        <w:bottom w:val="none" w:sz="0" w:space="0" w:color="auto"/>
        <w:right w:val="none" w:sz="0" w:space="0" w:color="auto"/>
      </w:divBdr>
    </w:div>
    <w:div w:id="1767576917">
      <w:bodyDiv w:val="1"/>
      <w:marLeft w:val="0"/>
      <w:marRight w:val="0"/>
      <w:marTop w:val="0"/>
      <w:marBottom w:val="0"/>
      <w:divBdr>
        <w:top w:val="none" w:sz="0" w:space="0" w:color="auto"/>
        <w:left w:val="none" w:sz="0" w:space="0" w:color="auto"/>
        <w:bottom w:val="none" w:sz="0" w:space="0" w:color="auto"/>
        <w:right w:val="none" w:sz="0" w:space="0" w:color="auto"/>
      </w:divBdr>
    </w:div>
    <w:div w:id="1811557570">
      <w:bodyDiv w:val="1"/>
      <w:marLeft w:val="0"/>
      <w:marRight w:val="0"/>
      <w:marTop w:val="0"/>
      <w:marBottom w:val="0"/>
      <w:divBdr>
        <w:top w:val="none" w:sz="0" w:space="0" w:color="auto"/>
        <w:left w:val="none" w:sz="0" w:space="0" w:color="auto"/>
        <w:bottom w:val="none" w:sz="0" w:space="0" w:color="auto"/>
        <w:right w:val="none" w:sz="0" w:space="0" w:color="auto"/>
      </w:divBdr>
    </w:div>
    <w:div w:id="1824269651">
      <w:bodyDiv w:val="1"/>
      <w:marLeft w:val="0"/>
      <w:marRight w:val="0"/>
      <w:marTop w:val="0"/>
      <w:marBottom w:val="0"/>
      <w:divBdr>
        <w:top w:val="none" w:sz="0" w:space="0" w:color="auto"/>
        <w:left w:val="none" w:sz="0" w:space="0" w:color="auto"/>
        <w:bottom w:val="none" w:sz="0" w:space="0" w:color="auto"/>
        <w:right w:val="none" w:sz="0" w:space="0" w:color="auto"/>
      </w:divBdr>
    </w:div>
    <w:div w:id="1863588113">
      <w:bodyDiv w:val="1"/>
      <w:marLeft w:val="0"/>
      <w:marRight w:val="0"/>
      <w:marTop w:val="0"/>
      <w:marBottom w:val="0"/>
      <w:divBdr>
        <w:top w:val="none" w:sz="0" w:space="0" w:color="auto"/>
        <w:left w:val="none" w:sz="0" w:space="0" w:color="auto"/>
        <w:bottom w:val="none" w:sz="0" w:space="0" w:color="auto"/>
        <w:right w:val="none" w:sz="0" w:space="0" w:color="auto"/>
      </w:divBdr>
    </w:div>
    <w:div w:id="1872569553">
      <w:bodyDiv w:val="1"/>
      <w:marLeft w:val="0"/>
      <w:marRight w:val="0"/>
      <w:marTop w:val="0"/>
      <w:marBottom w:val="0"/>
      <w:divBdr>
        <w:top w:val="none" w:sz="0" w:space="0" w:color="auto"/>
        <w:left w:val="none" w:sz="0" w:space="0" w:color="auto"/>
        <w:bottom w:val="none" w:sz="0" w:space="0" w:color="auto"/>
        <w:right w:val="none" w:sz="0" w:space="0" w:color="auto"/>
      </w:divBdr>
    </w:div>
    <w:div w:id="1923948837">
      <w:bodyDiv w:val="1"/>
      <w:marLeft w:val="0"/>
      <w:marRight w:val="0"/>
      <w:marTop w:val="0"/>
      <w:marBottom w:val="0"/>
      <w:divBdr>
        <w:top w:val="none" w:sz="0" w:space="0" w:color="auto"/>
        <w:left w:val="none" w:sz="0" w:space="0" w:color="auto"/>
        <w:bottom w:val="none" w:sz="0" w:space="0" w:color="auto"/>
        <w:right w:val="none" w:sz="0" w:space="0" w:color="auto"/>
      </w:divBdr>
    </w:div>
    <w:div w:id="1927692141">
      <w:bodyDiv w:val="1"/>
      <w:marLeft w:val="0"/>
      <w:marRight w:val="0"/>
      <w:marTop w:val="0"/>
      <w:marBottom w:val="0"/>
      <w:divBdr>
        <w:top w:val="none" w:sz="0" w:space="0" w:color="auto"/>
        <w:left w:val="none" w:sz="0" w:space="0" w:color="auto"/>
        <w:bottom w:val="none" w:sz="0" w:space="0" w:color="auto"/>
        <w:right w:val="none" w:sz="0" w:space="0" w:color="auto"/>
      </w:divBdr>
    </w:div>
    <w:div w:id="1944993101">
      <w:bodyDiv w:val="1"/>
      <w:marLeft w:val="0"/>
      <w:marRight w:val="0"/>
      <w:marTop w:val="0"/>
      <w:marBottom w:val="0"/>
      <w:divBdr>
        <w:top w:val="none" w:sz="0" w:space="0" w:color="auto"/>
        <w:left w:val="none" w:sz="0" w:space="0" w:color="auto"/>
        <w:bottom w:val="none" w:sz="0" w:space="0" w:color="auto"/>
        <w:right w:val="none" w:sz="0" w:space="0" w:color="auto"/>
      </w:divBdr>
    </w:div>
    <w:div w:id="1947761931">
      <w:bodyDiv w:val="1"/>
      <w:marLeft w:val="0"/>
      <w:marRight w:val="0"/>
      <w:marTop w:val="0"/>
      <w:marBottom w:val="0"/>
      <w:divBdr>
        <w:top w:val="none" w:sz="0" w:space="0" w:color="auto"/>
        <w:left w:val="none" w:sz="0" w:space="0" w:color="auto"/>
        <w:bottom w:val="none" w:sz="0" w:space="0" w:color="auto"/>
        <w:right w:val="none" w:sz="0" w:space="0" w:color="auto"/>
      </w:divBdr>
    </w:div>
    <w:div w:id="1952975834">
      <w:bodyDiv w:val="1"/>
      <w:marLeft w:val="0"/>
      <w:marRight w:val="0"/>
      <w:marTop w:val="0"/>
      <w:marBottom w:val="0"/>
      <w:divBdr>
        <w:top w:val="none" w:sz="0" w:space="0" w:color="auto"/>
        <w:left w:val="none" w:sz="0" w:space="0" w:color="auto"/>
        <w:bottom w:val="none" w:sz="0" w:space="0" w:color="auto"/>
        <w:right w:val="none" w:sz="0" w:space="0" w:color="auto"/>
      </w:divBdr>
    </w:div>
    <w:div w:id="1991055871">
      <w:bodyDiv w:val="1"/>
      <w:marLeft w:val="0"/>
      <w:marRight w:val="0"/>
      <w:marTop w:val="0"/>
      <w:marBottom w:val="0"/>
      <w:divBdr>
        <w:top w:val="none" w:sz="0" w:space="0" w:color="auto"/>
        <w:left w:val="none" w:sz="0" w:space="0" w:color="auto"/>
        <w:bottom w:val="none" w:sz="0" w:space="0" w:color="auto"/>
        <w:right w:val="none" w:sz="0" w:space="0" w:color="auto"/>
      </w:divBdr>
    </w:div>
    <w:div w:id="1991250630">
      <w:bodyDiv w:val="1"/>
      <w:marLeft w:val="0"/>
      <w:marRight w:val="0"/>
      <w:marTop w:val="0"/>
      <w:marBottom w:val="0"/>
      <w:divBdr>
        <w:top w:val="none" w:sz="0" w:space="0" w:color="auto"/>
        <w:left w:val="none" w:sz="0" w:space="0" w:color="auto"/>
        <w:bottom w:val="none" w:sz="0" w:space="0" w:color="auto"/>
        <w:right w:val="none" w:sz="0" w:space="0" w:color="auto"/>
      </w:divBdr>
    </w:div>
    <w:div w:id="2000767992">
      <w:bodyDiv w:val="1"/>
      <w:marLeft w:val="0"/>
      <w:marRight w:val="0"/>
      <w:marTop w:val="0"/>
      <w:marBottom w:val="0"/>
      <w:divBdr>
        <w:top w:val="none" w:sz="0" w:space="0" w:color="auto"/>
        <w:left w:val="none" w:sz="0" w:space="0" w:color="auto"/>
        <w:bottom w:val="none" w:sz="0" w:space="0" w:color="auto"/>
        <w:right w:val="none" w:sz="0" w:space="0" w:color="auto"/>
      </w:divBdr>
    </w:div>
    <w:div w:id="2013140393">
      <w:bodyDiv w:val="1"/>
      <w:marLeft w:val="0"/>
      <w:marRight w:val="0"/>
      <w:marTop w:val="0"/>
      <w:marBottom w:val="0"/>
      <w:divBdr>
        <w:top w:val="none" w:sz="0" w:space="0" w:color="auto"/>
        <w:left w:val="none" w:sz="0" w:space="0" w:color="auto"/>
        <w:bottom w:val="none" w:sz="0" w:space="0" w:color="auto"/>
        <w:right w:val="none" w:sz="0" w:space="0" w:color="auto"/>
      </w:divBdr>
    </w:div>
    <w:div w:id="2038659472">
      <w:bodyDiv w:val="1"/>
      <w:marLeft w:val="0"/>
      <w:marRight w:val="0"/>
      <w:marTop w:val="0"/>
      <w:marBottom w:val="0"/>
      <w:divBdr>
        <w:top w:val="none" w:sz="0" w:space="0" w:color="auto"/>
        <w:left w:val="none" w:sz="0" w:space="0" w:color="auto"/>
        <w:bottom w:val="none" w:sz="0" w:space="0" w:color="auto"/>
        <w:right w:val="none" w:sz="0" w:space="0" w:color="auto"/>
      </w:divBdr>
    </w:div>
    <w:div w:id="2039381936">
      <w:bodyDiv w:val="1"/>
      <w:marLeft w:val="0"/>
      <w:marRight w:val="0"/>
      <w:marTop w:val="0"/>
      <w:marBottom w:val="0"/>
      <w:divBdr>
        <w:top w:val="none" w:sz="0" w:space="0" w:color="auto"/>
        <w:left w:val="none" w:sz="0" w:space="0" w:color="auto"/>
        <w:bottom w:val="none" w:sz="0" w:space="0" w:color="auto"/>
        <w:right w:val="none" w:sz="0" w:space="0" w:color="auto"/>
      </w:divBdr>
    </w:div>
    <w:div w:id="2087530961">
      <w:bodyDiv w:val="1"/>
      <w:marLeft w:val="0"/>
      <w:marRight w:val="0"/>
      <w:marTop w:val="0"/>
      <w:marBottom w:val="0"/>
      <w:divBdr>
        <w:top w:val="none" w:sz="0" w:space="0" w:color="auto"/>
        <w:left w:val="none" w:sz="0" w:space="0" w:color="auto"/>
        <w:bottom w:val="none" w:sz="0" w:space="0" w:color="auto"/>
        <w:right w:val="none" w:sz="0" w:space="0" w:color="auto"/>
      </w:divBdr>
    </w:div>
    <w:div w:id="2108768477">
      <w:bodyDiv w:val="1"/>
      <w:marLeft w:val="0"/>
      <w:marRight w:val="0"/>
      <w:marTop w:val="0"/>
      <w:marBottom w:val="0"/>
      <w:divBdr>
        <w:top w:val="none" w:sz="0" w:space="0" w:color="auto"/>
        <w:left w:val="none" w:sz="0" w:space="0" w:color="auto"/>
        <w:bottom w:val="none" w:sz="0" w:space="0" w:color="auto"/>
        <w:right w:val="none" w:sz="0" w:space="0" w:color="auto"/>
      </w:divBdr>
    </w:div>
    <w:div w:id="2119448300">
      <w:bodyDiv w:val="1"/>
      <w:marLeft w:val="0"/>
      <w:marRight w:val="0"/>
      <w:marTop w:val="0"/>
      <w:marBottom w:val="0"/>
      <w:divBdr>
        <w:top w:val="none" w:sz="0" w:space="0" w:color="auto"/>
        <w:left w:val="none" w:sz="0" w:space="0" w:color="auto"/>
        <w:bottom w:val="none" w:sz="0" w:space="0" w:color="auto"/>
        <w:right w:val="none" w:sz="0" w:space="0" w:color="auto"/>
      </w:divBdr>
    </w:div>
    <w:div w:id="21391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yperlink" Target="aspi://module='ASPI'&amp;link='435/2004%20Sb.%252314'&amp;ucin-k-dni='30.12.9999'" TargetMode="External"/><Relationship Id="rId26" Type="http://schemas.openxmlformats.org/officeDocument/2006/relationships/chart" Target="charts/chart17.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6.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5.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6.xml"/><Relationship Id="rId49"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hyperlink" Target="aspi://module='ASPI'&amp;link='435/2004%20Sb.%2523'&amp;ucin-k-dni='30.12.9999'" TargetMode="External"/><Relationship Id="rId31" Type="http://schemas.openxmlformats.org/officeDocument/2006/relationships/hyperlink" Target="https://digitalnistrategie.cz" TargetMode="External"/><Relationship Id="rId44" Type="http://schemas.openxmlformats.org/officeDocument/2006/relationships/hyperlink" Target="http://portal.mpsv.cz/sz/stat/nz/casove_rady"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theme" Target="theme/theme1.xml"/><Relationship Id="rId8"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www.strukturalni-fondy.cz/cs/Informace-a-dokumenty/slovnik-pojmu/P/Pravidlo-N-3" TargetMode="External"/><Relationship Id="rId2" Type="http://schemas.openxmlformats.org/officeDocument/2006/relationships/hyperlink" Target="http://www.infoabsolvent.cz" TargetMode="External"/><Relationship Id="rId1" Type="http://schemas.openxmlformats.org/officeDocument/2006/relationships/hyperlink" Target="http://portal.mpsv.cz/sz/stat/nz/zmena_metodiky" TargetMode="External"/><Relationship Id="rId5" Type="http://schemas.openxmlformats.org/officeDocument/2006/relationships/hyperlink" Target="http://ec.europa.eu/eurostat/data/database" TargetMode="External"/><Relationship Id="rId4" Type="http://schemas.openxmlformats.org/officeDocument/2006/relationships/hyperlink" Target="https://www.esfcr.cz/detail-clanku/-/asset_publisher/BBFAoaudKGfE/content/op-zamestnanost-2014-20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s-mpa-cls3-spo1.mpsvnet.mpsv.cz\spoldisk\SD_o410\o401\ProchazkovaE\Anal&#253;za%20ZAM&#282;STNANOSTpodkl%20&#268;S&#218;\2017\A_tab_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d.mpsv.cz\UPGR\spoldisk\sd_123\45\STATISTIKY\VYROVRAD\UCHAZ.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ad.mpsv.cz\UPGR\spoldisk\sd_123\45\STATISTIKY\VYROVRAD\UCHAZ.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ad.mpsv.cz\UPGR\spoldisk\sd_123\45\STATISTIKY\VYROVRAD\UCHAZ.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mpa-cls3-spo1.mpsvnet.mpsv.cz\spoldisk\SD_o410\o401\Archiv\ProchazkovaE\Anal&#253;zy%20zam%20nezam_podklady\2017\tabulky_nezam_201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ad.mpsv.cz\UPGR\spoldisk\sd_123\45\STATISTIKY\casove%20rady\Qstatistika\QCASRAok2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ad.mpsv.cz\UPGR\spoldisk\sd_123\45\STATISTIKY\VYROVRAD\UCHAZ.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ad.mpsv.cz\UPGR\spoldisk\sd_123\45\STATISTIKY\VYROVRAD\UCHAZ.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ad.mpsv.cz\UPGR\spoldisk\sd_123\45\STATISTIKY\casove%20rady\Qstatistika\QCASRAok28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mpa-cls3-spo1.mpsvnet.mpsv.cz\spoldisk\SD_o410\o401\Archiv\ProchazkovaE\Anal&#253;zy%20zam%20nezam_podklady\2017\tabulky_nezam_201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ad.mpsv.cz\UPGR\spoldisk\sd_123\45\STATISTIKY\VYROVRAD\UCHAZ.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mpsv.cz\UPGR\spoldisk\sd_123\45\STATISTIKY\VYROVRAD\UCHAZ.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mpa-cls3-spo1.mpsvnet.mpsv.cz\spoldisk\SD_o410\o401\Archiv\ProchazkovaE\Anal&#253;zy%20zam%20nezam_podklady\2017\tabulky_nezam_201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ad.mpsv.cz\UPGR\spoldisk\sd_123\45\STATISTIKY\APZ5\2017\APZ%205_1217_cerven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mpa-cls3-spo1.mpsvnet.mpsv.cz\spoldisk\SD_o410\o401\SebestovaL\ANAL&#221;ZA%20ZAM&#282;STNANOSTI%20A%20NEZAM&#282;STNANOSTI\Anal&#253;za_2017\tabulka_grafy_p&#345;&#237;lohy\MZ%20celkem%2020-64_pr&#367;m&#283;r%201-3q_2017_graf.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mpa-cls3-spo1.mpsvnet.mpsv.cz\spoldisk\SD_o410\o401\SebestovaL\ANAL&#221;ZA%20ZAM&#282;STNANOSTI%20A%20NEZAM&#282;STNANOSTI\Anal&#253;za_2017\tabulka_grafy_p&#345;&#237;lohy\grafy%20mezin&#225;r%20srovn&#225;n&#237;_2017.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mpa-cls3-spo1.mpsvnet.mpsv.cz\spoldisk\SD_o410\o401\SebestovaL\ANAL&#221;ZA%20ZAM&#282;STNANOSTI%20A%20NEZAM&#282;STNANOSTI\Anal&#253;za_2017\tabulka_grafy_p&#345;&#237;lohy\grafy%20mezin&#225;r%20srovn&#225;n&#237;_201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mpa-cls3-spo1.mpsvnet.mpsv.cz\spoldisk\SD_o410\o401\SebestovaL\ANAL&#221;ZA%20ZAM&#282;STNANOSTI%20A%20NEZAM&#282;STNANOSTI\Anal&#253;za_2017\tabulka_grafy_p&#345;&#237;lohy\grafy%20mezin&#225;r%20srovn&#225;n&#237;_2017.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s-mpa-cls3-spo1.mpsvnet.mpsv.cz\spoldisk\SD_o410\o401\SebestovaL\ANAL&#221;ZA%20ZAM&#282;STNANOSTI%20A%20NEZAM&#282;STNANOSTI\Anal&#253;za_2017\tabulka_grafy_p&#345;&#237;lohy\grafy%20mezin&#225;r%20srovn&#225;n&#237;_2017.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s-mpa-cls3-spo1.mpsvnet.mpsv.cz\spoldisk\SD_o410\o401\SebestovaL\ANAL&#221;ZA%20ZAM&#282;STNANOSTI%20A%20NEZAM&#282;STNANOSTI\Anal&#253;za_2017\tabulka_grafy_p&#345;&#237;lohy\grafy%20mezin&#225;r%20srovn&#225;n&#237;_2017.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s-mpa-cls3-spo1.mpsvnet.mpsv.cz\spoldisk\SD_o410\o401\SebestovaL\ANAL&#221;ZA%20ZAM&#282;STNANOSTI%20A%20NEZAM&#282;STNANOSTI\Anal&#253;za_2017\tabulka_grafy_p&#345;&#237;lohy\grafy%20mezin&#225;r%20srovn&#225;n&#237;_2017.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s-mpa-cls3-spo1.mpsvnet.mpsv.cz\spoldisk\SD_o410\o401\SebestovaL\ANAL&#221;ZA%20ZAM&#282;STNANOSTI%20A%20NEZAM&#282;STNANOSTI\Anal&#253;za_2017\tabulka_grafy_p&#345;&#237;lohy\MN%20celkem_2017_gra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mpsv.cz\UPGR\spoldisk\sd_123\45\STATISTIKY\VYROVRAD\UCHAZ.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s-mpa-cls3-spo1.mpsvnet.mpsv.cz\spoldisk\SD_o410\o401\SebestovaL\ANAL&#221;ZA%20ZAM&#282;STNANOSTI%20A%20NEZAM&#282;STNANOSTI\Anal&#253;za_2017\tabulka_grafy_p&#345;&#237;lohy\grafy%20mezin&#225;r%20srovn&#225;n&#237;_2017.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mpa-cls3-spo1.mpsvnet.mpsv.cz\spoldisk\SD_o410\o401\SebestovaL\ANAL&#221;ZA%20ZAM&#282;STNANOSTI%20A%20NEZAM&#282;STNANOSTI\Anal&#253;za_2017\tabulka_grafy_p&#345;&#237;lohy\grafy%20mezin&#225;r%20srovn&#225;n&#237;_2017.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s-mpa-cls3-spo1.mpsvnet.mpsv.cz\spoldisk\SD_o410\o401\SebestovaL\ANAL&#221;ZA%20ZAM&#282;STNANOSTI%20A%20NEZAM&#282;STNANOSTI\Anal&#253;za_2017\tabulka_grafy_p&#345;&#237;lohy\grafy%20mezin&#225;r%20srovn&#225;n&#237;_2017.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s-mpa-cls3-spo1.mpsvnet.mpsv.cz\spoldisk\SD_o410\o401\SebestovaL\ANAL&#221;ZA%20ZAM&#282;STNANOSTI%20A%20NEZAM&#282;STNANOSTI\Anal&#253;za_2017\tabulka_grafy_p&#345;&#237;lohy\grafy%20mezin&#225;r%20srovn&#225;n&#237;_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mpa-cls3-spo1.mpsvnet.mpsv.cz\spoldisk\SD_o410\o401\Archiv\ProchazkovaE\Anal&#253;zy%20zam%20nezam_podklady\2017\tabulky_nezam_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d.mpsv.cz\UPGR\spoldisk\sd_123\45\STATISTIKY\VYROVRAD\UCHAZ.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mpa-cls3-spo1.mpsvnet.mpsv.cz\spoldisk\SD_o410\o401\Archiv\ProchazkovaE\Anal&#253;zy%20zam%20nezam_podklady\2017\tabulky_nezam_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d.mpsv.cz\UPGR\spoldisk\sd_123\45\STATISTIKY\casove%20rady\Qstatistika\QCASRAok28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d.mpsv.cz\UPGR\spoldisk\sd_123\45\STATISTIKY\casove%20rady\Qstatistika\QCASRAok28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d.mpsv.cz\UPGR\spoldisk\sd_123\45\STATISTIKY\casove%20rady\Qstatistika\QCASRAok2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400"/>
              <a:t>Vývoj zaměstnanosti v letech 2011 až 2017 </a:t>
            </a:r>
          </a:p>
          <a:p>
            <a:pPr>
              <a:defRPr/>
            </a:pPr>
            <a:r>
              <a:rPr lang="cs-CZ" sz="1200"/>
              <a:t>(po čtvrtletích)</a:t>
            </a:r>
          </a:p>
        </c:rich>
      </c:tx>
    </c:title>
    <c:plotArea>
      <c:layout>
        <c:manualLayout>
          <c:layoutTarget val="inner"/>
          <c:xMode val="edge"/>
          <c:yMode val="edge"/>
          <c:x val="0.10503315934778817"/>
          <c:y val="0.18477242173996544"/>
          <c:w val="0.86441140562454022"/>
          <c:h val="0.65544139299660742"/>
        </c:manualLayout>
      </c:layout>
      <c:barChart>
        <c:barDir val="col"/>
        <c:grouping val="clustered"/>
        <c:ser>
          <c:idx val="2"/>
          <c:order val="0"/>
          <c:tx>
            <c:strRef>
              <c:f>'graf zam'!$O$4:$R$4</c:f>
              <c:strCache>
                <c:ptCount val="1"/>
                <c:pt idx="0">
                  <c:v>2011</c:v>
                </c:pt>
              </c:strCache>
            </c:strRef>
          </c:tx>
          <c:val>
            <c:numRef>
              <c:f>'graf zam'!$O$6:$R$6</c:f>
              <c:numCache>
                <c:formatCode>0.0</c:formatCode>
                <c:ptCount val="4"/>
                <c:pt idx="0">
                  <c:v>4832.430576669999</c:v>
                </c:pt>
                <c:pt idx="1">
                  <c:v>4876.35575633999</c:v>
                </c:pt>
                <c:pt idx="2">
                  <c:v>4895.3439920600122</c:v>
                </c:pt>
                <c:pt idx="3">
                  <c:v>4885.4948283498625</c:v>
                </c:pt>
              </c:numCache>
            </c:numRef>
          </c:val>
          <c:extLst xmlns:c16r2="http://schemas.microsoft.com/office/drawing/2015/06/chart">
            <c:ext xmlns:c16="http://schemas.microsoft.com/office/drawing/2014/chart" uri="{C3380CC4-5D6E-409C-BE32-E72D297353CC}">
              <c16:uniqueId val="{00000000-C769-4B56-AC7D-141A35925A38}"/>
            </c:ext>
          </c:extLst>
        </c:ser>
        <c:ser>
          <c:idx val="0"/>
          <c:order val="1"/>
          <c:tx>
            <c:strRef>
              <c:f>'graf zam'!$S$4:$V$4</c:f>
              <c:strCache>
                <c:ptCount val="1"/>
                <c:pt idx="0">
                  <c:v>2012</c:v>
                </c:pt>
              </c:strCache>
            </c:strRef>
          </c:tx>
          <c:cat>
            <c:strRef>
              <c:f>'graf zam'!$O$5:$R$5</c:f>
              <c:strCache>
                <c:ptCount val="4"/>
                <c:pt idx="0">
                  <c:v>I.</c:v>
                </c:pt>
                <c:pt idx="1">
                  <c:v>II.</c:v>
                </c:pt>
                <c:pt idx="2">
                  <c:v>III.</c:v>
                </c:pt>
                <c:pt idx="3">
                  <c:v>IV.</c:v>
                </c:pt>
              </c:strCache>
            </c:strRef>
          </c:cat>
          <c:val>
            <c:numRef>
              <c:f>'graf zam'!$S$6:$V$6</c:f>
              <c:numCache>
                <c:formatCode>0.0</c:formatCode>
                <c:ptCount val="4"/>
                <c:pt idx="0">
                  <c:v>4834.8931548502451</c:v>
                </c:pt>
                <c:pt idx="1">
                  <c:v>4888.1341918299731</c:v>
                </c:pt>
                <c:pt idx="2">
                  <c:v>4920.5506415498303</c:v>
                </c:pt>
                <c:pt idx="3">
                  <c:v>4916.635230179998</c:v>
                </c:pt>
              </c:numCache>
            </c:numRef>
          </c:val>
          <c:extLst xmlns:c16r2="http://schemas.microsoft.com/office/drawing/2015/06/chart">
            <c:ext xmlns:c16="http://schemas.microsoft.com/office/drawing/2014/chart" uri="{C3380CC4-5D6E-409C-BE32-E72D297353CC}">
              <c16:uniqueId val="{00000001-C769-4B56-AC7D-141A35925A38}"/>
            </c:ext>
          </c:extLst>
        </c:ser>
        <c:ser>
          <c:idx val="1"/>
          <c:order val="2"/>
          <c:tx>
            <c:strRef>
              <c:f>'graf zam'!$W$4:$Z$4</c:f>
              <c:strCache>
                <c:ptCount val="1"/>
                <c:pt idx="0">
                  <c:v>2013</c:v>
                </c:pt>
              </c:strCache>
            </c:strRef>
          </c:tx>
          <c:cat>
            <c:strRef>
              <c:f>'graf zam'!$O$5:$R$5</c:f>
              <c:strCache>
                <c:ptCount val="4"/>
                <c:pt idx="0">
                  <c:v>I.</c:v>
                </c:pt>
                <c:pt idx="1">
                  <c:v>II.</c:v>
                </c:pt>
                <c:pt idx="2">
                  <c:v>III.</c:v>
                </c:pt>
                <c:pt idx="3">
                  <c:v>IV.</c:v>
                </c:pt>
              </c:strCache>
            </c:strRef>
          </c:cat>
          <c:val>
            <c:numRef>
              <c:f>'graf zam'!$W$6:$Z$6</c:f>
              <c:numCache>
                <c:formatCode>0.0</c:formatCode>
                <c:ptCount val="4"/>
                <c:pt idx="0">
                  <c:v>4884.0248671300005</c:v>
                </c:pt>
                <c:pt idx="1">
                  <c:v>4952.9907776499995</c:v>
                </c:pt>
                <c:pt idx="2" formatCode="#,##0.0">
                  <c:v>4953.6064886700105</c:v>
                </c:pt>
                <c:pt idx="3" formatCode="#,##0.0">
                  <c:v>4957.7129322000064</c:v>
                </c:pt>
              </c:numCache>
            </c:numRef>
          </c:val>
          <c:extLst xmlns:c16r2="http://schemas.microsoft.com/office/drawing/2015/06/chart">
            <c:ext xmlns:c16="http://schemas.microsoft.com/office/drawing/2014/chart" uri="{C3380CC4-5D6E-409C-BE32-E72D297353CC}">
              <c16:uniqueId val="{00000002-C769-4B56-AC7D-141A35925A38}"/>
            </c:ext>
          </c:extLst>
        </c:ser>
        <c:ser>
          <c:idx val="3"/>
          <c:order val="3"/>
          <c:tx>
            <c:v>2014</c:v>
          </c:tx>
          <c:val>
            <c:numRef>
              <c:f>'graf zam'!$AA$6:$AD$6</c:f>
              <c:numCache>
                <c:formatCode>0.0</c:formatCode>
                <c:ptCount val="4"/>
                <c:pt idx="0">
                  <c:v>4922.9629811100031</c:v>
                </c:pt>
                <c:pt idx="1">
                  <c:v>4962.2189309900095</c:v>
                </c:pt>
                <c:pt idx="2">
                  <c:v>4994.9471731897602</c:v>
                </c:pt>
                <c:pt idx="3">
                  <c:v>5017.0506121802</c:v>
                </c:pt>
              </c:numCache>
            </c:numRef>
          </c:val>
          <c:extLst xmlns:c16r2="http://schemas.microsoft.com/office/drawing/2015/06/chart">
            <c:ext xmlns:c16="http://schemas.microsoft.com/office/drawing/2014/chart" uri="{C3380CC4-5D6E-409C-BE32-E72D297353CC}">
              <c16:uniqueId val="{00000003-C769-4B56-AC7D-141A35925A38}"/>
            </c:ext>
          </c:extLst>
        </c:ser>
        <c:ser>
          <c:idx val="4"/>
          <c:order val="4"/>
          <c:tx>
            <c:v>2015</c:v>
          </c:tx>
          <c:val>
            <c:numRef>
              <c:f>'graf zam'!$AE$6:$AH$6</c:f>
              <c:numCache>
                <c:formatCode>0.0</c:formatCode>
                <c:ptCount val="4"/>
                <c:pt idx="0">
                  <c:v>4987.1414730899023</c:v>
                </c:pt>
                <c:pt idx="1">
                  <c:v>5044.2846460798619</c:v>
                </c:pt>
                <c:pt idx="2">
                  <c:v>5060.3</c:v>
                </c:pt>
                <c:pt idx="3">
                  <c:v>5075.8842172900004</c:v>
                </c:pt>
              </c:numCache>
            </c:numRef>
          </c:val>
          <c:extLst xmlns:c16r2="http://schemas.microsoft.com/office/drawing/2015/06/chart">
            <c:ext xmlns:c16="http://schemas.microsoft.com/office/drawing/2014/chart" uri="{C3380CC4-5D6E-409C-BE32-E72D297353CC}">
              <c16:uniqueId val="{00000004-C769-4B56-AC7D-141A35925A38}"/>
            </c:ext>
          </c:extLst>
        </c:ser>
        <c:ser>
          <c:idx val="5"/>
          <c:order val="5"/>
          <c:tx>
            <c:v>2016</c:v>
          </c:tx>
          <c:dLbls>
            <c:dLbl>
              <c:idx val="0"/>
              <c:layout>
                <c:manualLayout>
                  <c:x val="-1.3223140495867777E-2"/>
                  <c:y val="0"/>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C769-4B56-AC7D-141A35925A38}"/>
                </c:ext>
              </c:extLst>
            </c:dLbl>
            <c:dLbl>
              <c:idx val="1"/>
              <c:layout>
                <c:manualLayout>
                  <c:x val="-2.1395631331207567E-2"/>
                  <c:y val="1.4381494996052327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C769-4B56-AC7D-141A35925A38}"/>
                </c:ext>
              </c:extLst>
            </c:dLbl>
            <c:dLbl>
              <c:idx val="2"/>
              <c:layout>
                <c:manualLayout>
                  <c:x val="-1.6895978280492722E-2"/>
                  <c:y val="2.1248319569809888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C769-4B56-AC7D-141A35925A38}"/>
                </c:ext>
              </c:extLst>
            </c:dLbl>
            <c:dLbl>
              <c:idx val="3"/>
              <c:layout>
                <c:manualLayout>
                  <c:x val="-2.1652805795969739E-2"/>
                  <c:y val="7.2987218061157004E-3"/>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8-C769-4B56-AC7D-141A35925A38}"/>
                </c:ext>
              </c:extLst>
            </c:dLbl>
            <c:spPr>
              <a:noFill/>
              <a:ln>
                <a:noFill/>
              </a:ln>
              <a:effectLst/>
            </c:spPr>
            <c:txPr>
              <a:bodyPr/>
              <a:lstStyle/>
              <a:p>
                <a:pPr>
                  <a:defRPr sz="800" b="0"/>
                </a:pPr>
                <a:endParaRPr lang="cs-CZ"/>
              </a:p>
            </c:txPr>
            <c:showVal val="1"/>
            <c:extLst xmlns:c16r2="http://schemas.microsoft.com/office/drawing/2015/06/chart">
              <c:ext xmlns:c15="http://schemas.microsoft.com/office/drawing/2012/chart" uri="{CE6537A1-D6FC-4f65-9D91-7224C49458BB}">
                <c15:showLeaderLines val="0"/>
              </c:ext>
            </c:extLst>
          </c:dLbls>
          <c:val>
            <c:numRef>
              <c:f>'graf zam'!$AI$6:$AL$6</c:f>
              <c:numCache>
                <c:formatCode>0.0</c:formatCode>
                <c:ptCount val="4"/>
                <c:pt idx="0">
                  <c:v>5086.6709545599961</c:v>
                </c:pt>
                <c:pt idx="1">
                  <c:v>5128.4930033999999</c:v>
                </c:pt>
                <c:pt idx="2">
                  <c:v>5151.7121750000024</c:v>
                </c:pt>
                <c:pt idx="3">
                  <c:v>5187.4355657000006</c:v>
                </c:pt>
              </c:numCache>
            </c:numRef>
          </c:val>
          <c:extLst xmlns:c16r2="http://schemas.microsoft.com/office/drawing/2015/06/chart">
            <c:ext xmlns:c16="http://schemas.microsoft.com/office/drawing/2014/chart" uri="{C3380CC4-5D6E-409C-BE32-E72D297353CC}">
              <c16:uniqueId val="{00000009-C769-4B56-AC7D-141A35925A38}"/>
            </c:ext>
          </c:extLst>
        </c:ser>
        <c:ser>
          <c:idx val="6"/>
          <c:order val="6"/>
          <c:tx>
            <c:v>2017</c:v>
          </c:tx>
          <c:dLbls>
            <c:dLbl>
              <c:idx val="2"/>
              <c:layout>
                <c:manualLayout>
                  <c:x val="8.0807147317019642E-17"/>
                  <c:y val="-2.032520325203252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C769-4B56-AC7D-141A35925A38}"/>
                </c:ext>
              </c:extLst>
            </c:dLbl>
            <c:dLbl>
              <c:idx val="3"/>
              <c:layout>
                <c:manualLayout>
                  <c:x val="-1.1019283746556478E-2"/>
                  <c:y val="-1.2195121951219516E-2"/>
                </c:manualLayout>
              </c:layout>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C769-4B56-AC7D-141A35925A38}"/>
                </c:ext>
              </c:extLst>
            </c:dLbl>
            <c:spPr>
              <a:noFill/>
              <a:ln>
                <a:noFill/>
              </a:ln>
              <a:effectLst/>
            </c:spPr>
            <c:txPr>
              <a:bodyPr/>
              <a:lstStyle/>
              <a:p>
                <a:pPr>
                  <a:defRPr sz="900" b="1"/>
                </a:pPr>
                <a:endParaRPr lang="cs-CZ"/>
              </a:p>
            </c:txPr>
            <c:showVal val="1"/>
            <c:extLst xmlns:c16r2="http://schemas.microsoft.com/office/drawing/2015/06/chart">
              <c:ext xmlns:c15="http://schemas.microsoft.com/office/drawing/2012/chart" uri="{CE6537A1-D6FC-4f65-9D91-7224C49458BB}">
                <c15:layout/>
                <c15:showLeaderLines val="0"/>
              </c:ext>
            </c:extLst>
          </c:dLbls>
          <c:val>
            <c:numRef>
              <c:f>'graf zam'!$AM$6:$AP$6</c:f>
              <c:numCache>
                <c:formatCode>0.0</c:formatCode>
                <c:ptCount val="4"/>
                <c:pt idx="0">
                  <c:v>5169.2030437999993</c:v>
                </c:pt>
                <c:pt idx="1">
                  <c:v>5197.2647047</c:v>
                </c:pt>
                <c:pt idx="2">
                  <c:v>5257.2603289000008</c:v>
                </c:pt>
                <c:pt idx="3">
                  <c:v>5262.6911043000018</c:v>
                </c:pt>
              </c:numCache>
            </c:numRef>
          </c:val>
          <c:extLst xmlns:c16r2="http://schemas.microsoft.com/office/drawing/2015/06/chart">
            <c:ext xmlns:c16="http://schemas.microsoft.com/office/drawing/2014/chart" uri="{C3380CC4-5D6E-409C-BE32-E72D297353CC}">
              <c16:uniqueId val="{0000000C-C769-4B56-AC7D-141A35925A38}"/>
            </c:ext>
          </c:extLst>
        </c:ser>
        <c:axId val="173953024"/>
        <c:axId val="173954560"/>
      </c:barChart>
      <c:catAx>
        <c:axId val="173953024"/>
        <c:scaling>
          <c:orientation val="minMax"/>
        </c:scaling>
        <c:axPos val="b"/>
        <c:majorTickMark val="none"/>
        <c:tickLblPos val="nextTo"/>
        <c:crossAx val="173954560"/>
        <c:crosses val="autoZero"/>
        <c:auto val="1"/>
        <c:lblAlgn val="ctr"/>
        <c:lblOffset val="100"/>
      </c:catAx>
      <c:valAx>
        <c:axId val="173954560"/>
        <c:scaling>
          <c:orientation val="minMax"/>
          <c:max val="5400"/>
        </c:scaling>
        <c:axPos val="l"/>
        <c:majorGridlines/>
        <c:title>
          <c:tx>
            <c:rich>
              <a:bodyPr rot="-5400000" vert="horz"/>
              <a:lstStyle/>
              <a:p>
                <a:pPr>
                  <a:defRPr sz="900" b="0"/>
                </a:pPr>
                <a:r>
                  <a:rPr lang="en-US" sz="900" b="0"/>
                  <a:t>v tis. osob</a:t>
                </a:r>
              </a:p>
            </c:rich>
          </c:tx>
        </c:title>
        <c:numFmt formatCode="0" sourceLinked="0"/>
        <c:majorTickMark val="none"/>
        <c:tickLblPos val="nextTo"/>
        <c:txPr>
          <a:bodyPr/>
          <a:lstStyle/>
          <a:p>
            <a:pPr>
              <a:defRPr sz="800"/>
            </a:pPr>
            <a:endParaRPr lang="cs-CZ"/>
          </a:p>
        </c:txPr>
        <c:crossAx val="173953024"/>
        <c:crosses val="autoZero"/>
        <c:crossBetween val="between"/>
        <c:minorUnit val="50"/>
      </c:valAx>
      <c:spPr>
        <a:ln>
          <a:solidFill>
            <a:schemeClr val="tx1"/>
          </a:solidFill>
        </a:ln>
      </c:spPr>
    </c:plotArea>
    <c:legend>
      <c:legendPos val="b"/>
      <c:layout>
        <c:manualLayout>
          <c:xMode val="edge"/>
          <c:yMode val="edge"/>
          <c:x val="0.21899342747445832"/>
          <c:y val="0.91149364950070899"/>
          <c:w val="0.56752383261654715"/>
          <c:h val="6.4038657483961994E-2"/>
        </c:manualLayout>
      </c:layout>
    </c:legend>
    <c:plotVisOnly val="1"/>
    <c:dispBlanksAs val="gap"/>
  </c:chart>
  <c:spPr>
    <a:ln>
      <a:solidFill>
        <a:schemeClr val="accent1">
          <a:lumMod val="75000"/>
        </a:schemeClr>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cs-CZ"/>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200" b="1" i="0" baseline="0">
                <a:effectLst/>
              </a:rPr>
              <a:t>Přírůstky (úbytky) počtu uchazečů o zaměstnání </a:t>
            </a:r>
            <a:endParaRPr lang="cs-CZ"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000" b="1" i="0" baseline="0">
                <a:effectLst/>
              </a:rPr>
              <a:t>v evidenci ÚP v jednotlivých měsících (v tis.)</a:t>
            </a:r>
            <a:endParaRPr lang="cs-CZ" sz="10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000" b="1" i="0" baseline="0">
                <a:effectLst/>
              </a:rPr>
              <a:t>v letech 2008-2017</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000" b="0" i="1" baseline="0">
                <a:effectLst/>
              </a:rPr>
              <a:t>(rozdíl nově hlášených a vyřazených)</a:t>
            </a:r>
            <a:endParaRPr lang="cs-CZ" sz="1000">
              <a:effectLst/>
            </a:endParaRPr>
          </a:p>
        </c:rich>
      </c:tx>
    </c:title>
    <c:plotArea>
      <c:layout>
        <c:manualLayout>
          <c:layoutTarget val="inner"/>
          <c:xMode val="edge"/>
          <c:yMode val="edge"/>
          <c:x val="0.10551906466237172"/>
          <c:y val="0.24036052097261421"/>
          <c:w val="0.84422715342400401"/>
          <c:h val="0.65284636590237544"/>
        </c:manualLayout>
      </c:layout>
      <c:barChart>
        <c:barDir val="col"/>
        <c:grouping val="clustered"/>
        <c:ser>
          <c:idx val="0"/>
          <c:order val="0"/>
          <c:tx>
            <c:strRef>
              <c:f>A!$GX$97:$HB$97</c:f>
              <c:strCache>
                <c:ptCount val="1"/>
                <c:pt idx="0">
                  <c:v>9666 -9511 -18736 -20179 -13611</c:v>
                </c:pt>
              </c:strCache>
            </c:strRef>
          </c:tx>
          <c:cat>
            <c:numRef>
              <c:f>A!$HC$8:$LM$8</c:f>
              <c:numCache>
                <c:formatCode>General</c:formatCode>
                <c:ptCount val="115"/>
                <c:pt idx="0">
                  <c:v>2008</c:v>
                </c:pt>
                <c:pt idx="12">
                  <c:v>2009</c:v>
                </c:pt>
                <c:pt idx="24">
                  <c:v>2010</c:v>
                </c:pt>
                <c:pt idx="36">
                  <c:v>2011</c:v>
                </c:pt>
                <c:pt idx="48">
                  <c:v>2012</c:v>
                </c:pt>
                <c:pt idx="60">
                  <c:v>2013</c:v>
                </c:pt>
                <c:pt idx="72">
                  <c:v>2014</c:v>
                </c:pt>
                <c:pt idx="84">
                  <c:v>2015</c:v>
                </c:pt>
                <c:pt idx="96">
                  <c:v>2016</c:v>
                </c:pt>
                <c:pt idx="108">
                  <c:v>2017</c:v>
                </c:pt>
              </c:numCache>
            </c:numRef>
          </c:cat>
          <c:val>
            <c:numRef>
              <c:f>A!$HC$97:$LM$97</c:f>
              <c:numCache>
                <c:formatCode>General</c:formatCode>
                <c:ptCount val="115"/>
                <c:pt idx="0">
                  <c:v>-4627</c:v>
                </c:pt>
                <c:pt idx="1">
                  <c:v>12178</c:v>
                </c:pt>
                <c:pt idx="2">
                  <c:v>2275</c:v>
                </c:pt>
                <c:pt idx="3">
                  <c:v>2225</c:v>
                </c:pt>
                <c:pt idx="4">
                  <c:v>-2853</c:v>
                </c:pt>
                <c:pt idx="5">
                  <c:v>8594</c:v>
                </c:pt>
                <c:pt idx="6">
                  <c:v>31951</c:v>
                </c:pt>
                <c:pt idx="7">
                  <c:v>45811</c:v>
                </c:pt>
                <c:pt idx="8">
                  <c:v>30787</c:v>
                </c:pt>
                <c:pt idx="9">
                  <c:v>20064</c:v>
                </c:pt>
                <c:pt idx="10">
                  <c:v>7814</c:v>
                </c:pt>
                <c:pt idx="11">
                  <c:v>835</c:v>
                </c:pt>
                <c:pt idx="12">
                  <c:v>5994</c:v>
                </c:pt>
                <c:pt idx="13">
                  <c:v>21764</c:v>
                </c:pt>
                <c:pt idx="14">
                  <c:v>8432</c:v>
                </c:pt>
                <c:pt idx="15">
                  <c:v>7061</c:v>
                </c:pt>
                <c:pt idx="16">
                  <c:v>-2052</c:v>
                </c:pt>
                <c:pt idx="17">
                  <c:v>10149</c:v>
                </c:pt>
                <c:pt idx="18">
                  <c:v>30227</c:v>
                </c:pt>
                <c:pt idx="19">
                  <c:v>35090</c:v>
                </c:pt>
                <c:pt idx="20">
                  <c:v>8909</c:v>
                </c:pt>
                <c:pt idx="21">
                  <c:v>-10311</c:v>
                </c:pt>
                <c:pt idx="22">
                  <c:v>-32696</c:v>
                </c:pt>
                <c:pt idx="23">
                  <c:v>-25349</c:v>
                </c:pt>
                <c:pt idx="24">
                  <c:v>-14279</c:v>
                </c:pt>
                <c:pt idx="25">
                  <c:v>4784</c:v>
                </c:pt>
                <c:pt idx="26">
                  <c:v>-3790</c:v>
                </c:pt>
                <c:pt idx="27">
                  <c:v>-1013</c:v>
                </c:pt>
                <c:pt idx="28">
                  <c:v>-5320</c:v>
                </c:pt>
                <c:pt idx="29">
                  <c:v>11479</c:v>
                </c:pt>
                <c:pt idx="30">
                  <c:v>54911</c:v>
                </c:pt>
                <c:pt idx="31">
                  <c:v>10312</c:v>
                </c:pt>
                <c:pt idx="32">
                  <c:v>-4967</c:v>
                </c:pt>
                <c:pt idx="33">
                  <c:v>-19134</c:v>
                </c:pt>
                <c:pt idx="34">
                  <c:v>-33920</c:v>
                </c:pt>
                <c:pt idx="35">
                  <c:v>-23886</c:v>
                </c:pt>
                <c:pt idx="36">
                  <c:v>-11181</c:v>
                </c:pt>
                <c:pt idx="37">
                  <c:v>6809</c:v>
                </c:pt>
                <c:pt idx="38">
                  <c:v>-4049</c:v>
                </c:pt>
                <c:pt idx="39">
                  <c:v>-6420</c:v>
                </c:pt>
                <c:pt idx="40">
                  <c:v>-4497</c:v>
                </c:pt>
                <c:pt idx="41">
                  <c:v>5786</c:v>
                </c:pt>
                <c:pt idx="42">
                  <c:v>32047</c:v>
                </c:pt>
                <c:pt idx="43">
                  <c:v>25638</c:v>
                </c:pt>
                <c:pt idx="44">
                  <c:v>7596</c:v>
                </c:pt>
                <c:pt idx="45">
                  <c:v>-16505</c:v>
                </c:pt>
                <c:pt idx="46">
                  <c:v>-27858</c:v>
                </c:pt>
                <c:pt idx="47">
                  <c:v>-15223</c:v>
                </c:pt>
                <c:pt idx="48">
                  <c:v>-7513</c:v>
                </c:pt>
                <c:pt idx="49">
                  <c:v>11011</c:v>
                </c:pt>
                <c:pt idx="50">
                  <c:v>1096</c:v>
                </c:pt>
                <c:pt idx="51">
                  <c:v>6492</c:v>
                </c:pt>
                <c:pt idx="52">
                  <c:v>3577</c:v>
                </c:pt>
                <c:pt idx="53">
                  <c:v>11736</c:v>
                </c:pt>
                <c:pt idx="54">
                  <c:v>36813</c:v>
                </c:pt>
                <c:pt idx="55">
                  <c:v>40498</c:v>
                </c:pt>
                <c:pt idx="56">
                  <c:v>7874</c:v>
                </c:pt>
                <c:pt idx="57">
                  <c:v>-5915</c:v>
                </c:pt>
                <c:pt idx="58">
                  <c:v>-22540</c:v>
                </c:pt>
                <c:pt idx="59">
                  <c:v>-17765</c:v>
                </c:pt>
                <c:pt idx="60">
                  <c:v>-6990</c:v>
                </c:pt>
                <c:pt idx="61">
                  <c:v>10623</c:v>
                </c:pt>
                <c:pt idx="62">
                  <c:v>635</c:v>
                </c:pt>
                <c:pt idx="63">
                  <c:v>5327</c:v>
                </c:pt>
                <c:pt idx="64">
                  <c:v>-377</c:v>
                </c:pt>
                <c:pt idx="65">
                  <c:v>8632</c:v>
                </c:pt>
                <c:pt idx="66">
                  <c:v>31520</c:v>
                </c:pt>
                <c:pt idx="67" formatCode="0">
                  <c:v>32441</c:v>
                </c:pt>
                <c:pt idx="68">
                  <c:v>-3884</c:v>
                </c:pt>
                <c:pt idx="69">
                  <c:v>-17075</c:v>
                </c:pt>
                <c:pt idx="70">
                  <c:v>-33407</c:v>
                </c:pt>
                <c:pt idx="71">
                  <c:v>-24935</c:v>
                </c:pt>
                <c:pt idx="72">
                  <c:v>-12794</c:v>
                </c:pt>
                <c:pt idx="73">
                  <c:v>4185</c:v>
                </c:pt>
                <c:pt idx="74">
                  <c:v>-6139</c:v>
                </c:pt>
                <c:pt idx="75">
                  <c:v>-6127</c:v>
                </c:pt>
                <c:pt idx="76">
                  <c:v>-9460</c:v>
                </c:pt>
                <c:pt idx="77">
                  <c:v>-2130</c:v>
                </c:pt>
                <c:pt idx="78">
                  <c:v>24406</c:v>
                </c:pt>
                <c:pt idx="79">
                  <c:v>14277</c:v>
                </c:pt>
                <c:pt idx="80">
                  <c:v>-8074</c:v>
                </c:pt>
                <c:pt idx="81">
                  <c:v>-22802</c:v>
                </c:pt>
                <c:pt idx="82">
                  <c:v>-33730</c:v>
                </c:pt>
                <c:pt idx="83">
                  <c:v>-25896</c:v>
                </c:pt>
                <c:pt idx="84">
                  <c:v>-14294</c:v>
                </c:pt>
                <c:pt idx="85">
                  <c:v>4946</c:v>
                </c:pt>
                <c:pt idx="86">
                  <c:v>-5675</c:v>
                </c:pt>
                <c:pt idx="87">
                  <c:v>-8774</c:v>
                </c:pt>
                <c:pt idx="88">
                  <c:v>-11460</c:v>
                </c:pt>
                <c:pt idx="89">
                  <c:v>932</c:v>
                </c:pt>
                <c:pt idx="90">
                  <c:v>21754</c:v>
                </c:pt>
                <c:pt idx="91">
                  <c:v>14285</c:v>
                </c:pt>
                <c:pt idx="92">
                  <c:v>-6149</c:v>
                </c:pt>
                <c:pt idx="93">
                  <c:v>-18145</c:v>
                </c:pt>
                <c:pt idx="94">
                  <c:v>-28149</c:v>
                </c:pt>
                <c:pt idx="95">
                  <c:v>-20171</c:v>
                </c:pt>
                <c:pt idx="96">
                  <c:v>-10461</c:v>
                </c:pt>
                <c:pt idx="97">
                  <c:v>8339</c:v>
                </c:pt>
                <c:pt idx="98">
                  <c:v>-4193</c:v>
                </c:pt>
                <c:pt idx="99">
                  <c:v>-10216</c:v>
                </c:pt>
                <c:pt idx="100">
                  <c:v>-12014</c:v>
                </c:pt>
                <c:pt idx="101">
                  <c:v>-3489</c:v>
                </c:pt>
                <c:pt idx="102">
                  <c:v>18618</c:v>
                </c:pt>
                <c:pt idx="103">
                  <c:v>8043</c:v>
                </c:pt>
                <c:pt idx="104">
                  <c:v>-9208</c:v>
                </c:pt>
                <c:pt idx="105">
                  <c:v>-24096</c:v>
                </c:pt>
                <c:pt idx="106">
                  <c:v>-28913</c:v>
                </c:pt>
                <c:pt idx="107">
                  <c:v>-18678</c:v>
                </c:pt>
                <c:pt idx="108">
                  <c:v>-11082</c:v>
                </c:pt>
                <c:pt idx="109">
                  <c:v>5635</c:v>
                </c:pt>
                <c:pt idx="110">
                  <c:v>-6248</c:v>
                </c:pt>
                <c:pt idx="111">
                  <c:v>-11911</c:v>
                </c:pt>
                <c:pt idx="112">
                  <c:v>-13742</c:v>
                </c:pt>
                <c:pt idx="113">
                  <c:v>-5704</c:v>
                </c:pt>
                <c:pt idx="114">
                  <c:v>15151</c:v>
                </c:pt>
              </c:numCache>
            </c:numRef>
          </c:val>
          <c:extLst xmlns:c16r2="http://schemas.microsoft.com/office/drawing/2015/06/chart">
            <c:ext xmlns:c16="http://schemas.microsoft.com/office/drawing/2014/chart" uri="{C3380CC4-5D6E-409C-BE32-E72D297353CC}">
              <c16:uniqueId val="{00000000-0575-4EF8-B7C9-0ADCF8349898}"/>
            </c:ext>
          </c:extLst>
        </c:ser>
        <c:gapWidth val="48"/>
        <c:axId val="174690304"/>
        <c:axId val="174691840"/>
      </c:barChart>
      <c:catAx>
        <c:axId val="174690304"/>
        <c:scaling>
          <c:orientation val="minMax"/>
        </c:scaling>
        <c:axPos val="b"/>
        <c:majorGridlines/>
        <c:numFmt formatCode="0" sourceLinked="0"/>
        <c:majorTickMark val="none"/>
        <c:tickLblPos val="low"/>
        <c:txPr>
          <a:bodyPr rot="60000" anchor="b" anchorCtr="0"/>
          <a:lstStyle/>
          <a:p>
            <a:pPr>
              <a:defRPr sz="800" b="1">
                <a:latin typeface="Arial" panose="020B0604020202020204" pitchFamily="34" charset="0"/>
                <a:cs typeface="Arial" panose="020B0604020202020204" pitchFamily="34" charset="0"/>
              </a:defRPr>
            </a:pPr>
            <a:endParaRPr lang="cs-CZ"/>
          </a:p>
        </c:txPr>
        <c:crossAx val="174691840"/>
        <c:crosses val="autoZero"/>
        <c:auto val="1"/>
        <c:lblAlgn val="ctr"/>
        <c:lblOffset val="100"/>
        <c:tickMarkSkip val="12"/>
      </c:catAx>
      <c:valAx>
        <c:axId val="174691840"/>
        <c:scaling>
          <c:orientation val="minMax"/>
        </c:scaling>
        <c:axPos val="l"/>
        <c:majorGridlines/>
        <c:title>
          <c:tx>
            <c:rich>
              <a:bodyPr/>
              <a:lstStyle/>
              <a:p>
                <a:pPr>
                  <a:defRPr/>
                </a:pPr>
                <a:r>
                  <a:rPr lang="cs-CZ" sz="800" b="0"/>
                  <a:t>meziroční rozdíly v tis.</a:t>
                </a:r>
              </a:p>
            </c:rich>
          </c:tx>
          <c:layout>
            <c:manualLayout>
              <c:xMode val="edge"/>
              <c:yMode val="edge"/>
              <c:x val="2.0496301598663814E-2"/>
              <c:y val="0.40957789099891939"/>
            </c:manualLayout>
          </c:layout>
        </c:title>
        <c:numFmt formatCode="General" sourceLinked="1"/>
        <c:majorTickMark val="none"/>
        <c:tickLblPos val="low"/>
        <c:txPr>
          <a:bodyPr anchor="b" anchorCtr="0"/>
          <a:lstStyle/>
          <a:p>
            <a:pPr>
              <a:defRPr sz="800"/>
            </a:pPr>
            <a:endParaRPr lang="cs-CZ"/>
          </a:p>
        </c:txPr>
        <c:crossAx val="174690304"/>
        <c:crossesAt val="1"/>
        <c:crossBetween val="between"/>
        <c:dispUnits>
          <c:builtInUnit val="thousands"/>
        </c:dispUnits>
      </c:valAx>
      <c:spPr>
        <a:noFill/>
        <a:ln>
          <a:solidFill>
            <a:schemeClr val="tx1"/>
          </a:solidFill>
        </a:ln>
      </c:spPr>
    </c:plotArea>
    <c:plotVisOnly val="1"/>
    <c:dispBlanksAs val="gap"/>
  </c:chart>
  <c:spPr>
    <a:ln>
      <a:solidFill>
        <a:schemeClr val="tx2"/>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cs-CZ"/>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900"/>
              <a:t>Vývoj podílu OZP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900"/>
              <a:t>na</a:t>
            </a:r>
            <a:r>
              <a:rPr lang="en-US" sz="900"/>
              <a:t> </a:t>
            </a:r>
            <a:r>
              <a:rPr lang="cs-CZ" sz="900"/>
              <a:t>celkovém </a:t>
            </a:r>
            <a:r>
              <a:rPr lang="en-US" sz="900"/>
              <a:t>počtu uchazečů o</a:t>
            </a:r>
            <a:r>
              <a:rPr lang="cs-CZ" sz="900"/>
              <a:t> </a:t>
            </a:r>
            <a:r>
              <a:rPr lang="en-US" sz="900"/>
              <a:t>zaměstnání</a:t>
            </a:r>
            <a:r>
              <a:rPr lang="cs-CZ" sz="900"/>
              <a:t> </a:t>
            </a:r>
            <a:endParaRPr lang="en-US" sz="900"/>
          </a:p>
        </c:rich>
      </c:tx>
      <c:layout>
        <c:manualLayout>
          <c:xMode val="edge"/>
          <c:yMode val="edge"/>
          <c:x val="0.15220596516344553"/>
          <c:y val="2.597402597402599E-2"/>
        </c:manualLayout>
      </c:layout>
    </c:title>
    <c:plotArea>
      <c:layout>
        <c:manualLayout>
          <c:layoutTarget val="inner"/>
          <c:xMode val="edge"/>
          <c:yMode val="edge"/>
          <c:x val="0.12910415227958089"/>
          <c:y val="0.19004591368227738"/>
          <c:w val="0.7970551024271626"/>
          <c:h val="0.70316097430496349"/>
        </c:manualLayout>
      </c:layout>
      <c:lineChart>
        <c:grouping val="standard"/>
        <c:ser>
          <c:idx val="0"/>
          <c:order val="0"/>
          <c:marker>
            <c:symbol val="none"/>
          </c:marker>
          <c:cat>
            <c:numRef>
              <c:f>A!$GX$8:$LM$8</c:f>
              <c:numCache>
                <c:formatCode>General</c:formatCode>
                <c:ptCount val="120"/>
                <c:pt idx="5">
                  <c:v>2008</c:v>
                </c:pt>
                <c:pt idx="17">
                  <c:v>2009</c:v>
                </c:pt>
                <c:pt idx="29">
                  <c:v>2010</c:v>
                </c:pt>
                <c:pt idx="41">
                  <c:v>2011</c:v>
                </c:pt>
                <c:pt idx="53">
                  <c:v>2012</c:v>
                </c:pt>
                <c:pt idx="65">
                  <c:v>2013</c:v>
                </c:pt>
                <c:pt idx="77">
                  <c:v>2014</c:v>
                </c:pt>
                <c:pt idx="89">
                  <c:v>2015</c:v>
                </c:pt>
                <c:pt idx="101">
                  <c:v>2016</c:v>
                </c:pt>
                <c:pt idx="113">
                  <c:v>2017</c:v>
                </c:pt>
              </c:numCache>
            </c:numRef>
          </c:cat>
          <c:val>
            <c:numRef>
              <c:f>A!$GX$111:$LM$111</c:f>
              <c:numCache>
                <c:formatCode>0.0</c:formatCode>
                <c:ptCount val="120"/>
                <c:pt idx="0">
                  <c:v>18.069149403089881</c:v>
                </c:pt>
                <c:pt idx="1">
                  <c:v>18.380826571051127</c:v>
                </c:pt>
                <c:pt idx="2">
                  <c:v>19.052206829082628</c:v>
                </c:pt>
                <c:pt idx="3">
                  <c:v>19.711626671053207</c:v>
                </c:pt>
                <c:pt idx="4">
                  <c:v>20.192590584680687</c:v>
                </c:pt>
                <c:pt idx="5">
                  <c:v>20.184638109305762</c:v>
                </c:pt>
                <c:pt idx="6">
                  <c:v>19.440233762715359</c:v>
                </c:pt>
                <c:pt idx="7">
                  <c:v>19.180490053884796</c:v>
                </c:pt>
                <c:pt idx="8">
                  <c:v>18.679861901461734</c:v>
                </c:pt>
                <c:pt idx="9">
                  <c:v>18.745288012704322</c:v>
                </c:pt>
                <c:pt idx="10">
                  <c:v>18.415293210406528</c:v>
                </c:pt>
                <c:pt idx="11">
                  <c:v>17.355855216465585</c:v>
                </c:pt>
                <c:pt idx="12">
                  <c:v>15.902839012111215</c:v>
                </c:pt>
                <c:pt idx="13">
                  <c:v>14.934428981830388</c:v>
                </c:pt>
                <c:pt idx="14">
                  <c:v>14.339781516199169</c:v>
                </c:pt>
                <c:pt idx="15">
                  <c:v>13.962200531609769</c:v>
                </c:pt>
                <c:pt idx="16">
                  <c:v>13.921859599048002</c:v>
                </c:pt>
                <c:pt idx="17">
                  <c:v>13.816052032660638</c:v>
                </c:pt>
                <c:pt idx="18">
                  <c:v>13.414475839602408</c:v>
                </c:pt>
                <c:pt idx="19">
                  <c:v>13.247973168661929</c:v>
                </c:pt>
                <c:pt idx="20">
                  <c:v>12.991501801075053</c:v>
                </c:pt>
                <c:pt idx="21">
                  <c:v>13.0539738551608</c:v>
                </c:pt>
                <c:pt idx="22">
                  <c:v>12.973635758062841</c:v>
                </c:pt>
                <c:pt idx="23">
                  <c:v>12.564176756885093</c:v>
                </c:pt>
                <c:pt idx="24">
                  <c:v>12.032892972453354</c:v>
                </c:pt>
                <c:pt idx="25">
                  <c:v>11.869635676129892</c:v>
                </c:pt>
                <c:pt idx="26">
                  <c:v>11.968073963381419</c:v>
                </c:pt>
                <c:pt idx="27">
                  <c:v>12.314303276260446</c:v>
                </c:pt>
                <c:pt idx="28">
                  <c:v>12.715165148539468</c:v>
                </c:pt>
                <c:pt idx="29">
                  <c:v>12.947452547452547</c:v>
                </c:pt>
                <c:pt idx="30">
                  <c:v>12.810023669856951</c:v>
                </c:pt>
                <c:pt idx="31">
                  <c:v>12.808528117983464</c:v>
                </c:pt>
                <c:pt idx="32">
                  <c:v>12.879410007572718</c:v>
                </c:pt>
                <c:pt idx="33">
                  <c:v>13.180965382976442</c:v>
                </c:pt>
                <c:pt idx="34">
                  <c:v>13.222801200063161</c:v>
                </c:pt>
                <c:pt idx="35">
                  <c:v>12.37625789999484</c:v>
                </c:pt>
                <c:pt idx="36">
                  <c:v>12.310291101190318</c:v>
                </c:pt>
                <c:pt idx="37">
                  <c:v>12.406332025627279</c:v>
                </c:pt>
                <c:pt idx="38">
                  <c:v>12.726330048451699</c:v>
                </c:pt>
                <c:pt idx="39">
                  <c:v>13.257382619560103</c:v>
                </c:pt>
                <c:pt idx="40">
                  <c:v>13.69429091591898</c:v>
                </c:pt>
                <c:pt idx="41">
                  <c:v>13.910709623518356</c:v>
                </c:pt>
                <c:pt idx="42">
                  <c:v>13.630391446176146</c:v>
                </c:pt>
                <c:pt idx="43">
                  <c:v>13.431007091904016</c:v>
                </c:pt>
                <c:pt idx="44">
                  <c:v>13.058312198099408</c:v>
                </c:pt>
                <c:pt idx="45">
                  <c:v>13.106171034682053</c:v>
                </c:pt>
                <c:pt idx="46">
                  <c:v>13.002829531238195</c:v>
                </c:pt>
                <c:pt idx="47">
                  <c:v>12.408668681937881</c:v>
                </c:pt>
                <c:pt idx="48">
                  <c:v>11.787922986618332</c:v>
                </c:pt>
                <c:pt idx="49">
                  <c:v>12.033746550116769</c:v>
                </c:pt>
                <c:pt idx="50">
                  <c:v>11.877641951330972</c:v>
                </c:pt>
                <c:pt idx="51">
                  <c:v>12.248603520455555</c:v>
                </c:pt>
                <c:pt idx="52">
                  <c:v>12.483535539380926</c:v>
                </c:pt>
                <c:pt idx="53">
                  <c:v>12.590763317923415</c:v>
                </c:pt>
                <c:pt idx="54">
                  <c:v>12.582450056322429</c:v>
                </c:pt>
                <c:pt idx="55">
                  <c:v>12.589455776023081</c:v>
                </c:pt>
                <c:pt idx="56">
                  <c:v>12.322150916998698</c:v>
                </c:pt>
                <c:pt idx="57">
                  <c:v>12.21128025090486</c:v>
                </c:pt>
                <c:pt idx="58">
                  <c:v>11.995917388072323</c:v>
                </c:pt>
                <c:pt idx="59">
                  <c:v>11.376627282413155</c:v>
                </c:pt>
                <c:pt idx="60">
                  <c:v>10.817519020704705</c:v>
                </c:pt>
                <c:pt idx="61">
                  <c:v>10.719188523168089</c:v>
                </c:pt>
                <c:pt idx="62">
                  <c:v>10.799839392413334</c:v>
                </c:pt>
                <c:pt idx="63">
                  <c:v>11.051115655983072</c:v>
                </c:pt>
                <c:pt idx="64">
                  <c:v>11.26779343992197</c:v>
                </c:pt>
                <c:pt idx="65">
                  <c:v>11.356904045160448</c:v>
                </c:pt>
                <c:pt idx="66">
                  <c:v>11.199682088057257</c:v>
                </c:pt>
                <c:pt idx="67">
                  <c:v>11.199841951965722</c:v>
                </c:pt>
                <c:pt idx="68">
                  <c:v>11.013933917114555</c:v>
                </c:pt>
                <c:pt idx="69">
                  <c:v>11.009177608001712</c:v>
                </c:pt>
                <c:pt idx="70">
                  <c:v>10.949332493680492</c:v>
                </c:pt>
                <c:pt idx="71">
                  <c:v>10.52036331771199</c:v>
                </c:pt>
                <c:pt idx="72">
                  <c:v>9.6460365436995676</c:v>
                </c:pt>
                <c:pt idx="73">
                  <c:v>10.152065111370501</c:v>
                </c:pt>
                <c:pt idx="74">
                  <c:v>10.422067514363452</c:v>
                </c:pt>
                <c:pt idx="75">
                  <c:v>10.812860492461402</c:v>
                </c:pt>
                <c:pt idx="76">
                  <c:v>11.149638254968879</c:v>
                </c:pt>
                <c:pt idx="77">
                  <c:v>11.327509079841175</c:v>
                </c:pt>
                <c:pt idx="78">
                  <c:v>11.239942072247139</c:v>
                </c:pt>
                <c:pt idx="79">
                  <c:v>11.30178896725676</c:v>
                </c:pt>
                <c:pt idx="80">
                  <c:v>11.291858975085901</c:v>
                </c:pt>
                <c:pt idx="81">
                  <c:v>11.494155546746004</c:v>
                </c:pt>
                <c:pt idx="82">
                  <c:v>11.61624554596257</c:v>
                </c:pt>
                <c:pt idx="83">
                  <c:v>11.283340160984951</c:v>
                </c:pt>
                <c:pt idx="84">
                  <c:v>11.196333633589903</c:v>
                </c:pt>
                <c:pt idx="85">
                  <c:v>11.357976490420842</c:v>
                </c:pt>
                <c:pt idx="86">
                  <c:v>11.732769861892388</c:v>
                </c:pt>
                <c:pt idx="87">
                  <c:v>12.250170367281346</c:v>
                </c:pt>
                <c:pt idx="88">
                  <c:v>12.708910882584725</c:v>
                </c:pt>
                <c:pt idx="89">
                  <c:v>12.971344387952902</c:v>
                </c:pt>
                <c:pt idx="90">
                  <c:v>12.852669385393821</c:v>
                </c:pt>
                <c:pt idx="91">
                  <c:v>12.948170041671652</c:v>
                </c:pt>
                <c:pt idx="92">
                  <c:v>12.984620676545402</c:v>
                </c:pt>
                <c:pt idx="93">
                  <c:v>13.249479592595344</c:v>
                </c:pt>
                <c:pt idx="94">
                  <c:v>13.365278511883242</c:v>
                </c:pt>
                <c:pt idx="95">
                  <c:v>12.92908249065365</c:v>
                </c:pt>
                <c:pt idx="96">
                  <c:v>12.736974302689541</c:v>
                </c:pt>
                <c:pt idx="97">
                  <c:v>12.878804303052114</c:v>
                </c:pt>
                <c:pt idx="98">
                  <c:v>13.262876628549641</c:v>
                </c:pt>
                <c:pt idx="99">
                  <c:v>13.810969732022366</c:v>
                </c:pt>
                <c:pt idx="100">
                  <c:v>14.261542241551817</c:v>
                </c:pt>
                <c:pt idx="101">
                  <c:v>14.489966903270123</c:v>
                </c:pt>
                <c:pt idx="102">
                  <c:v>14.223247688244747</c:v>
                </c:pt>
                <c:pt idx="103">
                  <c:v>14.263502834166514</c:v>
                </c:pt>
                <c:pt idx="104">
                  <c:v>14.377752750768002</c:v>
                </c:pt>
                <c:pt idx="105">
                  <c:v>14.654984108954686</c:v>
                </c:pt>
                <c:pt idx="106">
                  <c:v>14.830946506595364</c:v>
                </c:pt>
                <c:pt idx="107">
                  <c:v>14.304893109895037</c:v>
                </c:pt>
                <c:pt idx="108">
                  <c:v>14.117293588347678</c:v>
                </c:pt>
                <c:pt idx="109">
                  <c:v>14.389492067499901</c:v>
                </c:pt>
                <c:pt idx="110">
                  <c:v>15.015781551871322</c:v>
                </c:pt>
                <c:pt idx="111">
                  <c:v>15.774498088319342</c:v>
                </c:pt>
                <c:pt idx="112">
                  <c:v>16.324658613190035</c:v>
                </c:pt>
                <c:pt idx="113">
                  <c:v>16.587266632822189</c:v>
                </c:pt>
                <c:pt idx="114">
                  <c:v>16.273583349281029</c:v>
                </c:pt>
                <c:pt idx="115">
                  <c:v>16.381651203061722</c:v>
                </c:pt>
                <c:pt idx="116">
                  <c:v>16.539669726058655</c:v>
                </c:pt>
                <c:pt idx="117">
                  <c:v>16.961128135913224</c:v>
                </c:pt>
                <c:pt idx="118">
                  <c:v>17.14927166637159</c:v>
                </c:pt>
                <c:pt idx="119">
                  <c:v>16.395481433967635</c:v>
                </c:pt>
              </c:numCache>
            </c:numRef>
          </c:val>
          <c:extLst xmlns:c16r2="http://schemas.microsoft.com/office/drawing/2015/06/chart">
            <c:ext xmlns:c16="http://schemas.microsoft.com/office/drawing/2014/chart" uri="{C3380CC4-5D6E-409C-BE32-E72D297353CC}">
              <c16:uniqueId val="{00000000-A6F0-42EE-8F54-DE560F8319C3}"/>
            </c:ext>
          </c:extLst>
        </c:ser>
        <c:marker val="1"/>
        <c:axId val="174717184"/>
        <c:axId val="174727168"/>
      </c:lineChart>
      <c:catAx>
        <c:axId val="174717184"/>
        <c:scaling>
          <c:orientation val="minMax"/>
        </c:scaling>
        <c:axPos val="b"/>
        <c:majorGridlines/>
        <c:numFmt formatCode="General" sourceLinked="1"/>
        <c:majorTickMark val="none"/>
        <c:tickLblPos val="low"/>
        <c:txPr>
          <a:bodyPr rot="60000" anchor="b" anchorCtr="0"/>
          <a:lstStyle/>
          <a:p>
            <a:pPr>
              <a:defRPr sz="600" b="1"/>
            </a:pPr>
            <a:endParaRPr lang="cs-CZ"/>
          </a:p>
        </c:txPr>
        <c:crossAx val="174727168"/>
        <c:crosses val="autoZero"/>
        <c:auto val="1"/>
        <c:lblAlgn val="ctr"/>
        <c:lblOffset val="100"/>
        <c:tickMarkSkip val="12"/>
      </c:catAx>
      <c:valAx>
        <c:axId val="174727168"/>
        <c:scaling>
          <c:orientation val="minMax"/>
          <c:min val="0"/>
        </c:scaling>
        <c:axPos val="l"/>
        <c:majorGridlines/>
        <c:title>
          <c:tx>
            <c:rich>
              <a:bodyPr rot="-5400000" vert="horz"/>
              <a:lstStyle/>
              <a:p>
                <a:pPr>
                  <a:defRPr/>
                </a:pPr>
                <a:r>
                  <a:rPr lang="en-US" sz="800" b="0"/>
                  <a:t>v %</a:t>
                </a:r>
              </a:p>
            </c:rich>
          </c:tx>
          <c:layout>
            <c:manualLayout>
              <c:xMode val="edge"/>
              <c:yMode val="edge"/>
              <c:x val="5.3896578295520312E-3"/>
              <c:y val="0.50086946555261358"/>
            </c:manualLayout>
          </c:layout>
        </c:title>
        <c:numFmt formatCode="0.0" sourceLinked="1"/>
        <c:majorTickMark val="none"/>
        <c:tickLblPos val="low"/>
        <c:txPr>
          <a:bodyPr anchor="b" anchorCtr="0"/>
          <a:lstStyle/>
          <a:p>
            <a:pPr>
              <a:defRPr sz="600"/>
            </a:pPr>
            <a:endParaRPr lang="cs-CZ"/>
          </a:p>
        </c:txPr>
        <c:crossAx val="174717184"/>
        <c:crossesAt val="1"/>
        <c:crossBetween val="between"/>
        <c:majorUnit val="4"/>
      </c:valAx>
      <c:spPr>
        <a:noFill/>
        <a:ln>
          <a:solidFill>
            <a:schemeClr val="tx1"/>
          </a:solidFill>
        </a:ln>
      </c:spPr>
    </c:plotArea>
    <c:plotVisOnly val="1"/>
    <c:dispBlanksAs val="gap"/>
  </c:chart>
  <c:spPr>
    <a:ln>
      <a:solidFill>
        <a:schemeClr val="tx1"/>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cs-CZ"/>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900"/>
              <a:t>Vývoj počtu OZP na</a:t>
            </a:r>
            <a:r>
              <a:rPr lang="en-US" sz="900"/>
              <a:t> </a:t>
            </a:r>
            <a:r>
              <a:rPr lang="cs-CZ" sz="900"/>
              <a:t>1 VPM pro OZP </a:t>
            </a:r>
            <a:endParaRPr lang="en-US" sz="900"/>
          </a:p>
        </c:rich>
      </c:tx>
      <c:layout>
        <c:manualLayout>
          <c:xMode val="edge"/>
          <c:yMode val="edge"/>
          <c:x val="0.20252027847264614"/>
          <c:y val="6.0161966933620498E-2"/>
        </c:manualLayout>
      </c:layout>
    </c:title>
    <c:plotArea>
      <c:layout>
        <c:manualLayout>
          <c:layoutTarget val="inner"/>
          <c:xMode val="edge"/>
          <c:yMode val="edge"/>
          <c:x val="0.14311763914126127"/>
          <c:y val="0.19004591368227738"/>
          <c:w val="0.7822464499629852"/>
          <c:h val="0.70316097430496349"/>
        </c:manualLayout>
      </c:layout>
      <c:lineChart>
        <c:grouping val="standard"/>
        <c:ser>
          <c:idx val="0"/>
          <c:order val="0"/>
          <c:marker>
            <c:symbol val="none"/>
          </c:marker>
          <c:cat>
            <c:numRef>
              <c:f>A!$GX$8:$LM$8</c:f>
              <c:numCache>
                <c:formatCode>General</c:formatCode>
                <c:ptCount val="120"/>
                <c:pt idx="5">
                  <c:v>2008</c:v>
                </c:pt>
                <c:pt idx="17">
                  <c:v>2009</c:v>
                </c:pt>
                <c:pt idx="29">
                  <c:v>2010</c:v>
                </c:pt>
                <c:pt idx="41">
                  <c:v>2011</c:v>
                </c:pt>
                <c:pt idx="53">
                  <c:v>2012</c:v>
                </c:pt>
                <c:pt idx="65">
                  <c:v>2013</c:v>
                </c:pt>
                <c:pt idx="77">
                  <c:v>2014</c:v>
                </c:pt>
                <c:pt idx="89">
                  <c:v>2015</c:v>
                </c:pt>
                <c:pt idx="101">
                  <c:v>2016</c:v>
                </c:pt>
                <c:pt idx="113">
                  <c:v>2017</c:v>
                </c:pt>
              </c:numCache>
            </c:numRef>
          </c:cat>
          <c:val>
            <c:numRef>
              <c:f>A!$GX$158:$LM$158</c:f>
              <c:numCache>
                <c:formatCode>0.0</c:formatCode>
                <c:ptCount val="120"/>
                <c:pt idx="0">
                  <c:v>14.842271293375394</c:v>
                </c:pt>
                <c:pt idx="1">
                  <c:v>14.418471056120195</c:v>
                </c:pt>
                <c:pt idx="2">
                  <c:v>14.375588961184658</c:v>
                </c:pt>
                <c:pt idx="3">
                  <c:v>13.240968975775601</c:v>
                </c:pt>
                <c:pt idx="4">
                  <c:v>13.692893969961892</c:v>
                </c:pt>
                <c:pt idx="5">
                  <c:v>13.973042063676505</c:v>
                </c:pt>
                <c:pt idx="6">
                  <c:v>13.198160718195748</c:v>
                </c:pt>
                <c:pt idx="7">
                  <c:v>12.808851828094932</c:v>
                </c:pt>
                <c:pt idx="8">
                  <c:v>12.815485278080708</c:v>
                </c:pt>
                <c:pt idx="9">
                  <c:v>14.833714140644833</c:v>
                </c:pt>
                <c:pt idx="10">
                  <c:v>15.712306872669156</c:v>
                </c:pt>
                <c:pt idx="11">
                  <c:v>18.582370820668686</c:v>
                </c:pt>
                <c:pt idx="12">
                  <c:v>21.791049913941482</c:v>
                </c:pt>
                <c:pt idx="13">
                  <c:v>24.18655589123868</c:v>
                </c:pt>
                <c:pt idx="14">
                  <c:v>25.915056360708533</c:v>
                </c:pt>
                <c:pt idx="15">
                  <c:v>25.838330632090763</c:v>
                </c:pt>
                <c:pt idx="16">
                  <c:v>26.149835796387528</c:v>
                </c:pt>
                <c:pt idx="17">
                  <c:v>31.014527845036319</c:v>
                </c:pt>
                <c:pt idx="18">
                  <c:v>28.0495476087893</c:v>
                </c:pt>
                <c:pt idx="19">
                  <c:v>27.623310810810811</c:v>
                </c:pt>
                <c:pt idx="20">
                  <c:v>28.599120879120864</c:v>
                </c:pt>
                <c:pt idx="21">
                  <c:v>33.612803304078469</c:v>
                </c:pt>
                <c:pt idx="22">
                  <c:v>35.194029850746247</c:v>
                </c:pt>
                <c:pt idx="23">
                  <c:v>38.248447204968961</c:v>
                </c:pt>
                <c:pt idx="24">
                  <c:v>37.34918918918919</c:v>
                </c:pt>
                <c:pt idx="25">
                  <c:v>34.834423754403595</c:v>
                </c:pt>
                <c:pt idx="26">
                  <c:v>30.964769647696478</c:v>
                </c:pt>
                <c:pt idx="27">
                  <c:v>30.936279069767433</c:v>
                </c:pt>
                <c:pt idx="28">
                  <c:v>31.065495965828188</c:v>
                </c:pt>
                <c:pt idx="29">
                  <c:v>30.916984732824435</c:v>
                </c:pt>
                <c:pt idx="30">
                  <c:v>31.059021113243769</c:v>
                </c:pt>
                <c:pt idx="31">
                  <c:v>30.015887850467287</c:v>
                </c:pt>
                <c:pt idx="32">
                  <c:v>31.139613526570049</c:v>
                </c:pt>
                <c:pt idx="33">
                  <c:v>30.961574952561662</c:v>
                </c:pt>
                <c:pt idx="34">
                  <c:v>34.040650406504064</c:v>
                </c:pt>
                <c:pt idx="35">
                  <c:v>35.935367114788001</c:v>
                </c:pt>
                <c:pt idx="36">
                  <c:v>36.934942287513103</c:v>
                </c:pt>
                <c:pt idx="37">
                  <c:v>29.098469176665279</c:v>
                </c:pt>
                <c:pt idx="38">
                  <c:v>31.643213799364503</c:v>
                </c:pt>
                <c:pt idx="39">
                  <c:v>30.866334390575435</c:v>
                </c:pt>
                <c:pt idx="40">
                  <c:v>28.612366737739872</c:v>
                </c:pt>
                <c:pt idx="41">
                  <c:v>26.833601933924246</c:v>
                </c:pt>
                <c:pt idx="42">
                  <c:v>27.092509209987707</c:v>
                </c:pt>
                <c:pt idx="43">
                  <c:v>24.932536622976084</c:v>
                </c:pt>
                <c:pt idx="44">
                  <c:v>23.201944652206439</c:v>
                </c:pt>
                <c:pt idx="45">
                  <c:v>23.713956170703575</c:v>
                </c:pt>
                <c:pt idx="46">
                  <c:v>23.963636363636351</c:v>
                </c:pt>
                <c:pt idx="47">
                  <c:v>24.007610350076103</c:v>
                </c:pt>
                <c:pt idx="48">
                  <c:v>25.866064092029585</c:v>
                </c:pt>
                <c:pt idx="49">
                  <c:v>26.825102880658431</c:v>
                </c:pt>
                <c:pt idx="50">
                  <c:v>23.380434782608692</c:v>
                </c:pt>
                <c:pt idx="51">
                  <c:v>21.501941404871161</c:v>
                </c:pt>
                <c:pt idx="52">
                  <c:v>20.297807757166947</c:v>
                </c:pt>
                <c:pt idx="53">
                  <c:v>19.694792353328932</c:v>
                </c:pt>
                <c:pt idx="54">
                  <c:v>20.387053720387055</c:v>
                </c:pt>
                <c:pt idx="55">
                  <c:v>19.88059701492536</c:v>
                </c:pt>
                <c:pt idx="56">
                  <c:v>19.484129528695089</c:v>
                </c:pt>
                <c:pt idx="57">
                  <c:v>22.82204665161775</c:v>
                </c:pt>
                <c:pt idx="58">
                  <c:v>24.341181165203526</c:v>
                </c:pt>
                <c:pt idx="59">
                  <c:v>24.964989939637821</c:v>
                </c:pt>
                <c:pt idx="60">
                  <c:v>24.676791277258573</c:v>
                </c:pt>
                <c:pt idx="61">
                  <c:v>21.808773132282386</c:v>
                </c:pt>
                <c:pt idx="62">
                  <c:v>19.579888957433688</c:v>
                </c:pt>
                <c:pt idx="63">
                  <c:v>18.382577987051199</c:v>
                </c:pt>
                <c:pt idx="64">
                  <c:v>18.234407330771496</c:v>
                </c:pt>
                <c:pt idx="65">
                  <c:v>18.021432765707576</c:v>
                </c:pt>
                <c:pt idx="66">
                  <c:v>13.368204461771713</c:v>
                </c:pt>
                <c:pt idx="67">
                  <c:v>13.84872254594352</c:v>
                </c:pt>
                <c:pt idx="68">
                  <c:v>13.065161839863718</c:v>
                </c:pt>
                <c:pt idx="69">
                  <c:v>13.561849966806816</c:v>
                </c:pt>
                <c:pt idx="70">
                  <c:v>13.22324289681692</c:v>
                </c:pt>
                <c:pt idx="71">
                  <c:v>14.043614403936475</c:v>
                </c:pt>
                <c:pt idx="72">
                  <c:v>15.600102801336417</c:v>
                </c:pt>
                <c:pt idx="73">
                  <c:v>15.346869712351946</c:v>
                </c:pt>
                <c:pt idx="74">
                  <c:v>15.002129673450071</c:v>
                </c:pt>
                <c:pt idx="75">
                  <c:v>13.659415513074054</c:v>
                </c:pt>
                <c:pt idx="76">
                  <c:v>12.653735039207602</c:v>
                </c:pt>
                <c:pt idx="77">
                  <c:v>12.756603773584906</c:v>
                </c:pt>
                <c:pt idx="78">
                  <c:v>12.441014107544468</c:v>
                </c:pt>
                <c:pt idx="79">
                  <c:v>11.72514053111068</c:v>
                </c:pt>
                <c:pt idx="80">
                  <c:v>10.850889938249189</c:v>
                </c:pt>
                <c:pt idx="81">
                  <c:v>11.101858736059476</c:v>
                </c:pt>
                <c:pt idx="82">
                  <c:v>10.924041431946215</c:v>
                </c:pt>
                <c:pt idx="83">
                  <c:v>11.510918674698795</c:v>
                </c:pt>
                <c:pt idx="84">
                  <c:v>11.182079367929614</c:v>
                </c:pt>
                <c:pt idx="85">
                  <c:v>9.7410420904396773</c:v>
                </c:pt>
                <c:pt idx="86">
                  <c:v>8.8937950937950969</c:v>
                </c:pt>
                <c:pt idx="87">
                  <c:v>8.0626589904940449</c:v>
                </c:pt>
                <c:pt idx="88">
                  <c:v>7.1694730466383989</c:v>
                </c:pt>
                <c:pt idx="89">
                  <c:v>6.6041055718475041</c:v>
                </c:pt>
                <c:pt idx="90">
                  <c:v>6.6498866213151908</c:v>
                </c:pt>
                <c:pt idx="91">
                  <c:v>6.3358306188925075</c:v>
                </c:pt>
                <c:pt idx="92">
                  <c:v>5.6922619047619065</c:v>
                </c:pt>
                <c:pt idx="93">
                  <c:v>5.6950269622528458</c:v>
                </c:pt>
                <c:pt idx="94">
                  <c:v>5.7133088891091086</c:v>
                </c:pt>
                <c:pt idx="95">
                  <c:v>6.0759178593652736</c:v>
                </c:pt>
                <c:pt idx="96">
                  <c:v>5.7492032834379545</c:v>
                </c:pt>
                <c:pt idx="97">
                  <c:v>5.3138921191519817</c:v>
                </c:pt>
                <c:pt idx="98">
                  <c:v>5.243954671187649</c:v>
                </c:pt>
                <c:pt idx="99">
                  <c:v>4.6202837794259883</c:v>
                </c:pt>
                <c:pt idx="100">
                  <c:v>4.5868024439918553</c:v>
                </c:pt>
                <c:pt idx="101">
                  <c:v>4.4773275446213239</c:v>
                </c:pt>
                <c:pt idx="102">
                  <c:v>4.4192119006171877</c:v>
                </c:pt>
                <c:pt idx="103">
                  <c:v>4.411624203821658</c:v>
                </c:pt>
                <c:pt idx="104">
                  <c:v>4.3162698412698424</c:v>
                </c:pt>
                <c:pt idx="105">
                  <c:v>4.3407197735543894</c:v>
                </c:pt>
                <c:pt idx="106">
                  <c:v>4.6251719394773003</c:v>
                </c:pt>
                <c:pt idx="107">
                  <c:v>4.8146677257082358</c:v>
                </c:pt>
                <c:pt idx="108">
                  <c:v>4.8080286863739721</c:v>
                </c:pt>
                <c:pt idx="109">
                  <c:v>4.7253411642770784</c:v>
                </c:pt>
                <c:pt idx="110">
                  <c:v>4.405783966383785</c:v>
                </c:pt>
                <c:pt idx="111">
                  <c:v>4.1823190989384962</c:v>
                </c:pt>
                <c:pt idx="112">
                  <c:v>3.9063833087722029</c:v>
                </c:pt>
                <c:pt idx="113">
                  <c:v>3.7722302928358435</c:v>
                </c:pt>
                <c:pt idx="114">
                  <c:v>3.8221481711097325</c:v>
                </c:pt>
                <c:pt idx="115">
                  <c:v>3.553420052616195</c:v>
                </c:pt>
                <c:pt idx="116">
                  <c:v>3.3770961731403184</c:v>
                </c:pt>
                <c:pt idx="117">
                  <c:v>3.3971489770293228</c:v>
                </c:pt>
                <c:pt idx="118">
                  <c:v>3.3972091634952597</c:v>
                </c:pt>
                <c:pt idx="119">
                  <c:v>3.5331746275533722</c:v>
                </c:pt>
              </c:numCache>
            </c:numRef>
          </c:val>
          <c:extLst xmlns:c16r2="http://schemas.microsoft.com/office/drawing/2015/06/chart">
            <c:ext xmlns:c16="http://schemas.microsoft.com/office/drawing/2014/chart" uri="{C3380CC4-5D6E-409C-BE32-E72D297353CC}">
              <c16:uniqueId val="{00000000-F6E1-4F31-AF68-5F276BD89FCF}"/>
            </c:ext>
          </c:extLst>
        </c:ser>
        <c:marker val="1"/>
        <c:axId val="174764416"/>
        <c:axId val="174765952"/>
      </c:lineChart>
      <c:catAx>
        <c:axId val="174764416"/>
        <c:scaling>
          <c:orientation val="minMax"/>
        </c:scaling>
        <c:axPos val="b"/>
        <c:majorGridlines/>
        <c:numFmt formatCode="General" sourceLinked="1"/>
        <c:majorTickMark val="none"/>
        <c:tickLblPos val="low"/>
        <c:txPr>
          <a:bodyPr rot="60000" anchor="b" anchorCtr="0"/>
          <a:lstStyle/>
          <a:p>
            <a:pPr>
              <a:defRPr sz="600" b="1"/>
            </a:pPr>
            <a:endParaRPr lang="cs-CZ"/>
          </a:p>
        </c:txPr>
        <c:crossAx val="174765952"/>
        <c:crosses val="autoZero"/>
        <c:auto val="1"/>
        <c:lblAlgn val="ctr"/>
        <c:lblOffset val="100"/>
        <c:tickMarkSkip val="12"/>
      </c:catAx>
      <c:valAx>
        <c:axId val="174765952"/>
        <c:scaling>
          <c:orientation val="minMax"/>
        </c:scaling>
        <c:axPos val="l"/>
        <c:majorGridlines/>
        <c:title>
          <c:tx>
            <c:rich>
              <a:bodyPr rot="-5400000" vert="horz"/>
              <a:lstStyle/>
              <a:p>
                <a:pPr>
                  <a:defRPr sz="600"/>
                </a:pPr>
                <a:r>
                  <a:rPr lang="cs-CZ" sz="700" b="0"/>
                  <a:t>OZP/VPM</a:t>
                </a:r>
              </a:p>
            </c:rich>
          </c:tx>
        </c:title>
        <c:numFmt formatCode="0.0" sourceLinked="1"/>
        <c:majorTickMark val="none"/>
        <c:tickLblPos val="low"/>
        <c:txPr>
          <a:bodyPr anchor="b" anchorCtr="0"/>
          <a:lstStyle/>
          <a:p>
            <a:pPr>
              <a:defRPr sz="600"/>
            </a:pPr>
            <a:endParaRPr lang="cs-CZ"/>
          </a:p>
        </c:txPr>
        <c:crossAx val="174764416"/>
        <c:crossesAt val="1"/>
        <c:crossBetween val="between"/>
        <c:majorUnit val="10"/>
        <c:minorUnit val="5"/>
      </c:valAx>
      <c:spPr>
        <a:noFill/>
        <a:ln>
          <a:solidFill>
            <a:schemeClr val="tx1"/>
          </a:solidFill>
        </a:ln>
      </c:spPr>
    </c:plotArea>
    <c:plotVisOnly val="1"/>
    <c:dispBlanksAs val="gap"/>
  </c:chart>
  <c:spPr>
    <a:ln>
      <a:solidFill>
        <a:schemeClr val="tx1"/>
      </a:soli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en-US" sz="1400"/>
              <a:t>Věková</a:t>
            </a:r>
            <a:r>
              <a:rPr lang="cs-CZ" sz="1400"/>
              <a:t> struktura uchazečů o zaměstnání </a:t>
            </a:r>
          </a:p>
          <a:p>
            <a:pPr>
              <a:defRPr/>
            </a:pPr>
            <a:r>
              <a:rPr lang="cs-CZ" sz="1200"/>
              <a:t>(podíly v %)</a:t>
            </a:r>
            <a:r>
              <a:rPr lang="en-US" sz="1200"/>
              <a:t> </a:t>
            </a:r>
          </a:p>
        </c:rich>
      </c:tx>
    </c:title>
    <c:plotArea>
      <c:layout>
        <c:manualLayout>
          <c:layoutTarget val="inner"/>
          <c:xMode val="edge"/>
          <c:yMode val="edge"/>
          <c:x val="9.3002405949256406E-2"/>
          <c:y val="0.17878799173771925"/>
          <c:w val="0.87644203849518854"/>
          <c:h val="0.69043780770007301"/>
        </c:manualLayout>
      </c:layout>
      <c:barChart>
        <c:barDir val="col"/>
        <c:grouping val="clustered"/>
        <c:ser>
          <c:idx val="0"/>
          <c:order val="0"/>
          <c:tx>
            <c:strRef>
              <c:f>'tab. č. 19_5ti leté skupiny rok'!$M$4:$N$4</c:f>
              <c:strCache>
                <c:ptCount val="1"/>
                <c:pt idx="0">
                  <c:v>k 31. 12. 2016</c:v>
                </c:pt>
              </c:strCache>
            </c:strRef>
          </c:tx>
          <c:cat>
            <c:strRef>
              <c:f>('tab. č. 19_5ti leté skupiny rok'!$L$7:$L$8,'tab. č. 19_5ti leté skupiny rok'!$L$10:$L$18)</c:f>
              <c:strCache>
                <c:ptCount val="11"/>
                <c:pt idx="0">
                  <c:v>15-19 let</c:v>
                </c:pt>
                <c:pt idx="1">
                  <c:v>20-24 let</c:v>
                </c:pt>
                <c:pt idx="2">
                  <c:v>25-29 let</c:v>
                </c:pt>
                <c:pt idx="3">
                  <c:v>30-34 let</c:v>
                </c:pt>
                <c:pt idx="4">
                  <c:v>35-39 let</c:v>
                </c:pt>
                <c:pt idx="5">
                  <c:v>40-44 let</c:v>
                </c:pt>
                <c:pt idx="6">
                  <c:v>45-49 let</c:v>
                </c:pt>
                <c:pt idx="7">
                  <c:v>50-54 let</c:v>
                </c:pt>
                <c:pt idx="8">
                  <c:v>55-59 let</c:v>
                </c:pt>
                <c:pt idx="9">
                  <c:v>60-64 let</c:v>
                </c:pt>
                <c:pt idx="10">
                  <c:v>nad 65 let</c:v>
                </c:pt>
              </c:strCache>
            </c:strRef>
          </c:cat>
          <c:val>
            <c:numRef>
              <c:f>('tab. č. 19_5ti leté skupiny rok'!$N$7,'tab. č. 19_5ti leté skupiny rok'!$N$8,'tab. č. 19_5ti leté skupiny rok'!$N$10:$N$18)</c:f>
              <c:numCache>
                <c:formatCode>0.0</c:formatCode>
                <c:ptCount val="11"/>
                <c:pt idx="0">
                  <c:v>3.2773990561090738</c:v>
                </c:pt>
                <c:pt idx="1">
                  <c:v>9.0194022024121665</c:v>
                </c:pt>
                <c:pt idx="2">
                  <c:v>10.120608285264815</c:v>
                </c:pt>
                <c:pt idx="3">
                  <c:v>9.9370739381227029</c:v>
                </c:pt>
                <c:pt idx="4">
                  <c:v>11.667540639748303</c:v>
                </c:pt>
                <c:pt idx="5">
                  <c:v>12.139486103828006</c:v>
                </c:pt>
                <c:pt idx="6">
                  <c:v>10.461457787100157</c:v>
                </c:pt>
                <c:pt idx="7">
                  <c:v>11.929732564237026</c:v>
                </c:pt>
                <c:pt idx="8">
                  <c:v>14.079706345044574</c:v>
                </c:pt>
                <c:pt idx="9">
                  <c:v>7.000524383848977</c:v>
                </c:pt>
                <c:pt idx="10">
                  <c:v>0.36706869428421629</c:v>
                </c:pt>
              </c:numCache>
            </c:numRef>
          </c:val>
          <c:extLst xmlns:c16r2="http://schemas.microsoft.com/office/drawing/2015/06/chart">
            <c:ext xmlns:c16="http://schemas.microsoft.com/office/drawing/2014/chart" uri="{C3380CC4-5D6E-409C-BE32-E72D297353CC}">
              <c16:uniqueId val="{00000000-FB29-4D6C-B892-1A3EF694B42E}"/>
            </c:ext>
          </c:extLst>
        </c:ser>
        <c:ser>
          <c:idx val="1"/>
          <c:order val="1"/>
          <c:tx>
            <c:strRef>
              <c:f>'tab. č. 19_5ti leté skupiny rok'!$O$4:$P$4</c:f>
              <c:strCache>
                <c:ptCount val="1"/>
                <c:pt idx="0">
                  <c:v>k 31. 12. 2017</c:v>
                </c:pt>
              </c:strCache>
            </c:strRef>
          </c:tx>
          <c:cat>
            <c:strRef>
              <c:f>('tab. č. 19_5ti leté skupiny rok'!$L$7:$L$8,'tab. č. 19_5ti leté skupiny rok'!$L$10:$L$18)</c:f>
              <c:strCache>
                <c:ptCount val="11"/>
                <c:pt idx="0">
                  <c:v>15-19 let</c:v>
                </c:pt>
                <c:pt idx="1">
                  <c:v>20-24 let</c:v>
                </c:pt>
                <c:pt idx="2">
                  <c:v>25-29 let</c:v>
                </c:pt>
                <c:pt idx="3">
                  <c:v>30-34 let</c:v>
                </c:pt>
                <c:pt idx="4">
                  <c:v>35-39 let</c:v>
                </c:pt>
                <c:pt idx="5">
                  <c:v>40-44 let</c:v>
                </c:pt>
                <c:pt idx="6">
                  <c:v>45-49 let</c:v>
                </c:pt>
                <c:pt idx="7">
                  <c:v>50-54 let</c:v>
                </c:pt>
                <c:pt idx="8">
                  <c:v>55-59 let</c:v>
                </c:pt>
                <c:pt idx="9">
                  <c:v>60-64 let</c:v>
                </c:pt>
                <c:pt idx="10">
                  <c:v>nad 65 let</c:v>
                </c:pt>
              </c:strCache>
            </c:strRef>
          </c:cat>
          <c:val>
            <c:numRef>
              <c:f>('tab. č. 19_5ti leté skupiny rok'!$P$7:$P$8,'tab. č. 19_5ti leté skupiny rok'!$P$10:$P$18)</c:f>
              <c:numCache>
                <c:formatCode>0.0</c:formatCode>
                <c:ptCount val="11"/>
                <c:pt idx="0">
                  <c:v>3.3143264433357085</c:v>
                </c:pt>
                <c:pt idx="1">
                  <c:v>7.8403421240199584</c:v>
                </c:pt>
                <c:pt idx="2">
                  <c:v>9.4796863863150449</c:v>
                </c:pt>
                <c:pt idx="3">
                  <c:v>9.6578759800427623</c:v>
                </c:pt>
                <c:pt idx="4">
                  <c:v>10.762651461154668</c:v>
                </c:pt>
                <c:pt idx="5">
                  <c:v>11.974340698503211</c:v>
                </c:pt>
                <c:pt idx="6">
                  <c:v>10.548823948681392</c:v>
                </c:pt>
                <c:pt idx="7">
                  <c:v>12.366357804704208</c:v>
                </c:pt>
                <c:pt idx="8">
                  <c:v>14.718460441910182</c:v>
                </c:pt>
                <c:pt idx="9">
                  <c:v>8.8382038488952208</c:v>
                </c:pt>
                <c:pt idx="10">
                  <c:v>0.53456878118317863</c:v>
                </c:pt>
              </c:numCache>
            </c:numRef>
          </c:val>
          <c:extLst xmlns:c16r2="http://schemas.microsoft.com/office/drawing/2015/06/chart">
            <c:ext xmlns:c16="http://schemas.microsoft.com/office/drawing/2014/chart" uri="{C3380CC4-5D6E-409C-BE32-E72D297353CC}">
              <c16:uniqueId val="{00000001-FB29-4D6C-B892-1A3EF694B42E}"/>
            </c:ext>
          </c:extLst>
        </c:ser>
        <c:gapWidth val="112"/>
        <c:axId val="174292992"/>
        <c:axId val="174294528"/>
      </c:barChart>
      <c:catAx>
        <c:axId val="174292992"/>
        <c:scaling>
          <c:orientation val="minMax"/>
        </c:scaling>
        <c:axPos val="b"/>
        <c:numFmt formatCode="General" sourceLinked="0"/>
        <c:majorTickMark val="none"/>
        <c:tickLblPos val="nextTo"/>
        <c:txPr>
          <a:bodyPr/>
          <a:lstStyle/>
          <a:p>
            <a:pPr>
              <a:defRPr sz="800"/>
            </a:pPr>
            <a:endParaRPr lang="cs-CZ"/>
          </a:p>
        </c:txPr>
        <c:crossAx val="174294528"/>
        <c:crosses val="autoZero"/>
        <c:auto val="1"/>
        <c:lblAlgn val="ctr"/>
        <c:lblOffset val="100"/>
      </c:catAx>
      <c:valAx>
        <c:axId val="174294528"/>
        <c:scaling>
          <c:orientation val="minMax"/>
        </c:scaling>
        <c:axPos val="l"/>
        <c:majorGridlines/>
        <c:title>
          <c:tx>
            <c:rich>
              <a:bodyPr rot="-5400000" vert="horz"/>
              <a:lstStyle/>
              <a:p>
                <a:pPr>
                  <a:defRPr sz="900" b="0"/>
                </a:pPr>
                <a:r>
                  <a:rPr lang="en-US" sz="900" b="0"/>
                  <a:t>podíly v %</a:t>
                </a:r>
              </a:p>
            </c:rich>
          </c:tx>
          <c:layout>
            <c:manualLayout>
              <c:xMode val="edge"/>
              <c:yMode val="edge"/>
              <c:x val="0"/>
              <c:y val="0.44935503848535779"/>
            </c:manualLayout>
          </c:layout>
        </c:title>
        <c:numFmt formatCode="0.0" sourceLinked="1"/>
        <c:majorTickMark val="none"/>
        <c:tickLblPos val="nextTo"/>
        <c:spPr>
          <a:ln w="9525">
            <a:noFill/>
          </a:ln>
        </c:spPr>
        <c:txPr>
          <a:bodyPr/>
          <a:lstStyle/>
          <a:p>
            <a:pPr>
              <a:defRPr sz="800"/>
            </a:pPr>
            <a:endParaRPr lang="cs-CZ"/>
          </a:p>
        </c:txPr>
        <c:crossAx val="174292992"/>
        <c:crosses val="autoZero"/>
        <c:crossBetween val="between"/>
      </c:valAx>
      <c:spPr>
        <a:ln>
          <a:solidFill>
            <a:schemeClr val="accent1"/>
          </a:solidFill>
        </a:ln>
      </c:spPr>
    </c:plotArea>
    <c:legend>
      <c:legendPos val="b"/>
      <c:layout>
        <c:manualLayout>
          <c:xMode val="edge"/>
          <c:yMode val="edge"/>
          <c:x val="0.11128705419175541"/>
          <c:y val="0.26558107751323984"/>
          <c:w val="0.40830839895013132"/>
          <c:h val="8.3717191601049901E-2"/>
        </c:manualLayout>
      </c:layout>
    </c:legend>
    <c:plotVisOnly val="1"/>
    <c:dispBlanksAs val="gap"/>
  </c:chart>
  <c:spPr>
    <a:ln>
      <a:solidFill>
        <a:schemeClr val="tx2"/>
      </a:soli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latin typeface="Arial" panose="020B0604020202020204" pitchFamily="34" charset="0"/>
                <a:cs typeface="Arial" panose="020B0604020202020204" pitchFamily="34" charset="0"/>
              </a:defRPr>
            </a:pPr>
            <a:r>
              <a:rPr lang="cs-CZ" sz="1400">
                <a:latin typeface="+mn-lt"/>
                <a:cs typeface="Arial" panose="020B0604020202020204" pitchFamily="34" charset="0"/>
              </a:rPr>
              <a:t>Vývoj počtu uchazečů vybraných věkových skupin </a:t>
            </a:r>
          </a:p>
          <a:p>
            <a:pPr>
              <a:defRPr>
                <a:latin typeface="Arial" panose="020B0604020202020204" pitchFamily="34" charset="0"/>
                <a:cs typeface="Arial" panose="020B0604020202020204" pitchFamily="34" charset="0"/>
              </a:defRPr>
            </a:pPr>
            <a:r>
              <a:rPr lang="cs-CZ" sz="1200" b="1">
                <a:latin typeface="+mn-lt"/>
                <a:cs typeface="Arial" panose="020B0604020202020204" pitchFamily="34" charset="0"/>
              </a:rPr>
              <a:t>v letech 2009-2017 (k 31.12.) </a:t>
            </a:r>
          </a:p>
        </c:rich>
      </c:tx>
    </c:title>
    <c:plotArea>
      <c:layout>
        <c:manualLayout>
          <c:layoutTarget val="inner"/>
          <c:xMode val="edge"/>
          <c:yMode val="edge"/>
          <c:x val="0.10164445969156946"/>
          <c:y val="0.18467656910665775"/>
          <c:w val="0.87528114180778749"/>
          <c:h val="0.6611160596707516"/>
        </c:manualLayout>
      </c:layout>
      <c:barChart>
        <c:barDir val="col"/>
        <c:grouping val="clustered"/>
        <c:ser>
          <c:idx val="1"/>
          <c:order val="0"/>
          <c:tx>
            <c:strRef>
              <c:f>celkem!$A$20</c:f>
              <c:strCache>
                <c:ptCount val="1"/>
                <c:pt idx="0">
                  <c:v>do 25 let</c:v>
                </c:pt>
              </c:strCache>
            </c:strRef>
          </c:tx>
          <c:cat>
            <c:numRef>
              <c:f>(celkem!$AT$1,celkem!$AX$1,celkem!$BB$1,celkem!$BF$1,celkem!$BK$1,celkem!$BX$1,celkem!$CJ$1,celkem!$CV$1,celkem!$DH$1)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(celkem!$AV$20,celkem!$AZ$20,celkem!$BD$20,celkem!$BH$20,celkem!$BL$20,celkem!$BX$20,celkem!$CJ$20,celkem!$CV$20,celkem!$DH$20)</c:f>
              <c:numCache>
                <c:formatCode>General</c:formatCode>
                <c:ptCount val="9"/>
                <c:pt idx="0">
                  <c:v>97709</c:v>
                </c:pt>
                <c:pt idx="1">
                  <c:v>94874</c:v>
                </c:pt>
                <c:pt idx="2">
                  <c:v>91942</c:v>
                </c:pt>
                <c:pt idx="3">
                  <c:v>98729</c:v>
                </c:pt>
                <c:pt idx="4">
                  <c:v>100032</c:v>
                </c:pt>
                <c:pt idx="5">
                  <c:v>79931</c:v>
                </c:pt>
                <c:pt idx="6">
                  <c:v>60682</c:v>
                </c:pt>
                <c:pt idx="7">
                  <c:v>46819</c:v>
                </c:pt>
                <c:pt idx="8">
                  <c:v>31296</c:v>
                </c:pt>
              </c:numCache>
            </c:numRef>
          </c:val>
          <c:extLst xmlns:c16r2="http://schemas.microsoft.com/office/drawing/2015/06/chart">
            <c:ext xmlns:c16="http://schemas.microsoft.com/office/drawing/2014/chart" uri="{C3380CC4-5D6E-409C-BE32-E72D297353CC}">
              <c16:uniqueId val="{00000001-FB31-4AFA-BD46-ED78E8FD43B4}"/>
            </c:ext>
          </c:extLst>
        </c:ser>
        <c:ser>
          <c:idx val="3"/>
          <c:order val="1"/>
          <c:tx>
            <c:strRef>
              <c:f>celkem!$A$27</c:f>
              <c:strCache>
                <c:ptCount val="1"/>
                <c:pt idx="0">
                  <c:v>50-54 let</c:v>
                </c:pt>
              </c:strCache>
            </c:strRef>
          </c:tx>
          <c:cat>
            <c:numRef>
              <c:f>(celkem!$AT$1,celkem!$AX$1,celkem!$BB$1,celkem!$BF$1,celkem!$BK$1,celkem!$BX$1,celkem!$CJ$1,celkem!$CV$1,celkem!$DH$1)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(celkem!$AV$27,celkem!$AZ$27,celkem!$BD$27,celkem!$BH$27,celkem!$BL$27,celkem!$BX$27,celkem!$CJ$27,celkem!$CV$27,celkem!$DH$27)</c:f>
              <c:numCache>
                <c:formatCode>#,##0</c:formatCode>
                <c:ptCount val="9"/>
                <c:pt idx="0">
                  <c:v>67466</c:v>
                </c:pt>
                <c:pt idx="1">
                  <c:v>67544</c:v>
                </c:pt>
                <c:pt idx="2">
                  <c:v>59946</c:v>
                </c:pt>
                <c:pt idx="3">
                  <c:v>59863</c:v>
                </c:pt>
                <c:pt idx="4">
                  <c:v>63758</c:v>
                </c:pt>
                <c:pt idx="5">
                  <c:v>60982</c:v>
                </c:pt>
                <c:pt idx="6">
                  <c:v>52828</c:v>
                </c:pt>
                <c:pt idx="7">
                  <c:v>45519</c:v>
                </c:pt>
                <c:pt idx="8">
                  <c:v>34664</c:v>
                </c:pt>
              </c:numCache>
            </c:numRef>
          </c:val>
          <c:extLst xmlns:c16r2="http://schemas.microsoft.com/office/drawing/2015/06/chart">
            <c:ext xmlns:c16="http://schemas.microsoft.com/office/drawing/2014/chart" uri="{C3380CC4-5D6E-409C-BE32-E72D297353CC}">
              <c16:uniqueId val="{00000003-FB31-4AFA-BD46-ED78E8FD43B4}"/>
            </c:ext>
          </c:extLst>
        </c:ser>
        <c:ser>
          <c:idx val="4"/>
          <c:order val="2"/>
          <c:tx>
            <c:strRef>
              <c:f>celkem!$A$28</c:f>
              <c:strCache>
                <c:ptCount val="1"/>
                <c:pt idx="0">
                  <c:v>55-59 let</c:v>
                </c:pt>
              </c:strCache>
            </c:strRef>
          </c:tx>
          <c:cat>
            <c:numRef>
              <c:f>(celkem!$AT$1,celkem!$AX$1,celkem!$BB$1,celkem!$BF$1,celkem!$BK$1,celkem!$BX$1,celkem!$CJ$1,celkem!$CV$1,celkem!$DH$1)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(celkem!$AV$28,celkem!$AZ$28,celkem!$BD$28,celkem!$BH$28,celkem!$BL$28,celkem!$BX$28,celkem!$CJ$28,celkem!$CV$28,celkem!$DH$28)</c:f>
              <c:numCache>
                <c:formatCode>#,##0</c:formatCode>
                <c:ptCount val="9"/>
                <c:pt idx="0">
                  <c:v>63972</c:v>
                </c:pt>
                <c:pt idx="1">
                  <c:v>72695</c:v>
                </c:pt>
                <c:pt idx="2">
                  <c:v>62435</c:v>
                </c:pt>
                <c:pt idx="3">
                  <c:v>69315</c:v>
                </c:pt>
                <c:pt idx="4">
                  <c:v>76416</c:v>
                </c:pt>
                <c:pt idx="5">
                  <c:v>72104</c:v>
                </c:pt>
                <c:pt idx="6">
                  <c:v>62628</c:v>
                </c:pt>
                <c:pt idx="7">
                  <c:v>53703</c:v>
                </c:pt>
                <c:pt idx="8">
                  <c:v>41282</c:v>
                </c:pt>
              </c:numCache>
            </c:numRef>
          </c:val>
          <c:extLst xmlns:c16r2="http://schemas.microsoft.com/office/drawing/2015/06/chart">
            <c:ext xmlns:c16="http://schemas.microsoft.com/office/drawing/2014/chart" uri="{C3380CC4-5D6E-409C-BE32-E72D297353CC}">
              <c16:uniqueId val="{00000004-FB31-4AFA-BD46-ED78E8FD43B4}"/>
            </c:ext>
          </c:extLst>
        </c:ser>
        <c:ser>
          <c:idx val="5"/>
          <c:order val="3"/>
          <c:tx>
            <c:strRef>
              <c:f>celkem!$A$29</c:f>
              <c:strCache>
                <c:ptCount val="1"/>
                <c:pt idx="0">
                  <c:v>60-64 let</c:v>
                </c:pt>
              </c:strCache>
            </c:strRef>
          </c:tx>
          <c:cat>
            <c:numRef>
              <c:f>(celkem!$AT$1,celkem!$AX$1,celkem!$BB$1,celkem!$BF$1,celkem!$BK$1,celkem!$BX$1,celkem!$CJ$1,celkem!$CV$1,celkem!$DH$1)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(celkem!$AV$29,celkem!$AZ$29,celkem!$BD$29,celkem!$BH$29,celkem!$BL$29,celkem!$BX$29,celkem!$CJ$29,celkem!$CV$29,celkem!$DH$29)</c:f>
              <c:numCache>
                <c:formatCode>#,##0</c:formatCode>
                <c:ptCount val="9"/>
                <c:pt idx="0">
                  <c:v>12975</c:v>
                </c:pt>
                <c:pt idx="1">
                  <c:v>15145</c:v>
                </c:pt>
                <c:pt idx="2">
                  <c:v>9606</c:v>
                </c:pt>
                <c:pt idx="3">
                  <c:v>15038</c:v>
                </c:pt>
                <c:pt idx="4">
                  <c:v>21368</c:v>
                </c:pt>
                <c:pt idx="5">
                  <c:v>24242</c:v>
                </c:pt>
                <c:pt idx="6">
                  <c:v>25016</c:v>
                </c:pt>
                <c:pt idx="7">
                  <c:v>26748</c:v>
                </c:pt>
                <c:pt idx="8">
                  <c:v>24778</c:v>
                </c:pt>
              </c:numCache>
            </c:numRef>
          </c:val>
          <c:extLst xmlns:c16r2="http://schemas.microsoft.com/office/drawing/2015/06/chart">
            <c:ext xmlns:c16="http://schemas.microsoft.com/office/drawing/2014/chart" uri="{C3380CC4-5D6E-409C-BE32-E72D297353CC}">
              <c16:uniqueId val="{00000005-FB31-4AFA-BD46-ED78E8FD43B4}"/>
            </c:ext>
          </c:extLst>
        </c:ser>
        <c:gapWidth val="125"/>
        <c:overlap val="11"/>
        <c:axId val="174803968"/>
        <c:axId val="174822144"/>
      </c:barChart>
      <c:catAx>
        <c:axId val="174803968"/>
        <c:scaling>
          <c:orientation val="minMax"/>
        </c:scaling>
        <c:axPos val="b"/>
        <c:numFmt formatCode="General" sourceLinked="1"/>
        <c:majorTickMark val="none"/>
        <c:tickLblPos val="nextTo"/>
        <c:txPr>
          <a:bodyPr/>
          <a:lstStyle/>
          <a:p>
            <a:pPr>
              <a:defRPr sz="900" b="1">
                <a:latin typeface="Arial" panose="020B0604020202020204" pitchFamily="34" charset="0"/>
                <a:cs typeface="Arial" panose="020B0604020202020204" pitchFamily="34" charset="0"/>
              </a:defRPr>
            </a:pPr>
            <a:endParaRPr lang="cs-CZ"/>
          </a:p>
        </c:txPr>
        <c:crossAx val="174822144"/>
        <c:crosses val="autoZero"/>
        <c:auto val="1"/>
        <c:lblAlgn val="ctr"/>
        <c:lblOffset val="100"/>
      </c:catAx>
      <c:valAx>
        <c:axId val="174822144"/>
        <c:scaling>
          <c:orientation val="minMax"/>
          <c:max val="120000"/>
        </c:scaling>
        <c:axPos val="l"/>
        <c:majorGridlines/>
        <c:numFmt formatCode="General" sourceLinked="1"/>
        <c:majorTickMark val="none"/>
        <c:tickLblPos val="nextTo"/>
        <c:spPr>
          <a:ln w="9525">
            <a:noFill/>
          </a:ln>
        </c:spPr>
        <c:crossAx val="174803968"/>
        <c:crosses val="autoZero"/>
        <c:crossBetween val="between"/>
        <c:majorUnit val="20000"/>
        <c:dispUnits>
          <c:builtInUnit val="thousands"/>
          <c:dispUnitsLbl>
            <c:layout>
              <c:manualLayout>
                <c:xMode val="edge"/>
                <c:yMode val="edge"/>
                <c:x val="5.8244289711719905E-3"/>
                <c:y val="0.45191823761918737"/>
              </c:manualLayout>
            </c:layout>
            <c:tx>
              <c:rich>
                <a:bodyPr/>
                <a:lstStyle/>
                <a:p>
                  <a:pPr>
                    <a:defRPr b="0">
                      <a:latin typeface="Arial" panose="020B0604020202020204" pitchFamily="34" charset="0"/>
                      <a:cs typeface="Arial" panose="020B0604020202020204" pitchFamily="34" charset="0"/>
                    </a:defRPr>
                  </a:pPr>
                  <a:r>
                    <a:rPr lang="cs-CZ" b="0">
                      <a:latin typeface="Arial" panose="020B0604020202020204" pitchFamily="34" charset="0"/>
                      <a:cs typeface="Arial" panose="020B0604020202020204" pitchFamily="34" charset="0"/>
                    </a:rPr>
                    <a:t>v tis. osob</a:t>
                  </a:r>
                </a:p>
              </c:rich>
            </c:tx>
          </c:dispUnitsLbl>
        </c:dispUnits>
      </c:valAx>
      <c:spPr>
        <a:ln>
          <a:solidFill>
            <a:schemeClr val="accent1"/>
          </a:solidFill>
        </a:ln>
      </c:spPr>
    </c:plotArea>
    <c:legend>
      <c:legendPos val="b"/>
      <c:layout>
        <c:manualLayout>
          <c:xMode val="edge"/>
          <c:yMode val="edge"/>
          <c:x val="0.24558319556470162"/>
          <c:y val="0.92506290023944848"/>
          <c:w val="0.48980144287523325"/>
          <c:h val="5.6267323751311736E-2"/>
        </c:manualLayout>
      </c:layout>
      <c:txPr>
        <a:bodyPr/>
        <a:lstStyle/>
        <a:p>
          <a:pPr>
            <a:defRPr>
              <a:latin typeface="+mn-lt"/>
              <a:cs typeface="Arial" panose="020B0604020202020204" pitchFamily="34" charset="0"/>
            </a:defRPr>
          </a:pPr>
          <a:endParaRPr lang="cs-CZ"/>
        </a:p>
      </c:txPr>
    </c:legend>
    <c:plotVisOnly val="1"/>
    <c:dispBlanksAs val="gap"/>
  </c:chart>
  <c:spPr>
    <a:ln>
      <a:solidFill>
        <a:schemeClr val="tx2"/>
      </a:solid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900"/>
              <a:t>Vývoj podílu absolventů</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900"/>
              <a:t>na</a:t>
            </a:r>
            <a:r>
              <a:rPr lang="en-US" sz="900"/>
              <a:t> </a:t>
            </a:r>
            <a:r>
              <a:rPr lang="cs-CZ" sz="900"/>
              <a:t>celkovém </a:t>
            </a:r>
            <a:r>
              <a:rPr lang="en-US" sz="900"/>
              <a:t>počtu uchazečů o</a:t>
            </a:r>
            <a:r>
              <a:rPr lang="cs-CZ" sz="900"/>
              <a:t> </a:t>
            </a:r>
            <a:r>
              <a:rPr lang="en-US" sz="900"/>
              <a:t>zaměstnání</a:t>
            </a:r>
            <a:r>
              <a:rPr lang="cs-CZ" sz="900"/>
              <a:t> </a:t>
            </a:r>
            <a:endParaRPr lang="en-US" sz="900"/>
          </a:p>
        </c:rich>
      </c:tx>
      <c:layout>
        <c:manualLayout>
          <c:xMode val="edge"/>
          <c:yMode val="edge"/>
          <c:x val="0.15220596516344553"/>
          <c:y val="2.597402597402599E-2"/>
        </c:manualLayout>
      </c:layout>
    </c:title>
    <c:plotArea>
      <c:layout>
        <c:manualLayout>
          <c:layoutTarget val="inner"/>
          <c:xMode val="edge"/>
          <c:yMode val="edge"/>
          <c:x val="0.11645373779819596"/>
          <c:y val="0.19004591368227738"/>
          <c:w val="0.80975351089330161"/>
          <c:h val="0.70316097430496349"/>
        </c:manualLayout>
      </c:layout>
      <c:lineChart>
        <c:grouping val="standard"/>
        <c:ser>
          <c:idx val="0"/>
          <c:order val="0"/>
          <c:marker>
            <c:symbol val="none"/>
          </c:marker>
          <c:cat>
            <c:numRef>
              <c:f>A!$GX$8:$LM$8</c:f>
              <c:numCache>
                <c:formatCode>General</c:formatCode>
                <c:ptCount val="120"/>
                <c:pt idx="5">
                  <c:v>2008</c:v>
                </c:pt>
                <c:pt idx="17">
                  <c:v>2009</c:v>
                </c:pt>
                <c:pt idx="29">
                  <c:v>2010</c:v>
                </c:pt>
                <c:pt idx="41">
                  <c:v>2011</c:v>
                </c:pt>
                <c:pt idx="53">
                  <c:v>2012</c:v>
                </c:pt>
                <c:pt idx="65">
                  <c:v>2013</c:v>
                </c:pt>
                <c:pt idx="77">
                  <c:v>2014</c:v>
                </c:pt>
                <c:pt idx="89">
                  <c:v>2015</c:v>
                </c:pt>
                <c:pt idx="101">
                  <c:v>2016</c:v>
                </c:pt>
                <c:pt idx="113">
                  <c:v>2017</c:v>
                </c:pt>
              </c:numCache>
            </c:numRef>
          </c:cat>
          <c:val>
            <c:numRef>
              <c:f>A!$GX$109:$LM$109</c:f>
              <c:numCache>
                <c:formatCode>0.0</c:formatCode>
                <c:ptCount val="120"/>
                <c:pt idx="0">
                  <c:v>6.0236898700842696</c:v>
                </c:pt>
                <c:pt idx="1">
                  <c:v>6.0743649181907013</c:v>
                </c:pt>
                <c:pt idx="2">
                  <c:v>6.0934233727925013</c:v>
                </c:pt>
                <c:pt idx="3">
                  <c:v>6.0559664429105586</c:v>
                </c:pt>
                <c:pt idx="4">
                  <c:v>5.538053664873873</c:v>
                </c:pt>
                <c:pt idx="5">
                  <c:v>5.0674768363099201</c:v>
                </c:pt>
                <c:pt idx="6">
                  <c:v>5.5315457108024964</c:v>
                </c:pt>
                <c:pt idx="7">
                  <c:v>6.3131337386699427</c:v>
                </c:pt>
                <c:pt idx="8">
                  <c:v>9.1827262380864614</c:v>
                </c:pt>
                <c:pt idx="9">
                  <c:v>8.5029114066184359</c:v>
                </c:pt>
                <c:pt idx="10">
                  <c:v>7.6244384153556508</c:v>
                </c:pt>
                <c:pt idx="11">
                  <c:v>6.9933286018452803</c:v>
                </c:pt>
                <c:pt idx="12">
                  <c:v>6.3349587123581559</c:v>
                </c:pt>
                <c:pt idx="13">
                  <c:v>6.1446013505950807</c:v>
                </c:pt>
                <c:pt idx="14">
                  <c:v>6.0203336065865898</c:v>
                </c:pt>
                <c:pt idx="15">
                  <c:v>5.856465364354122</c:v>
                </c:pt>
                <c:pt idx="16">
                  <c:v>5.1938430067247863</c:v>
                </c:pt>
                <c:pt idx="17">
                  <c:v>4.385671603153888</c:v>
                </c:pt>
                <c:pt idx="18">
                  <c:v>4.4257488373626419</c:v>
                </c:pt>
                <c:pt idx="19">
                  <c:v>5.2909259930612791</c:v>
                </c:pt>
                <c:pt idx="20">
                  <c:v>7.5928691804509496</c:v>
                </c:pt>
                <c:pt idx="21">
                  <c:v>7.6098724837597285</c:v>
                </c:pt>
                <c:pt idx="22">
                  <c:v>7.0975361017392089</c:v>
                </c:pt>
                <c:pt idx="23">
                  <c:v>6.6053834283000947</c:v>
                </c:pt>
                <c:pt idx="24">
                  <c:v>6.1357374970830314</c:v>
                </c:pt>
                <c:pt idx="25">
                  <c:v>6.0850403422878063</c:v>
                </c:pt>
                <c:pt idx="26">
                  <c:v>6.09122522799324</c:v>
                </c:pt>
                <c:pt idx="27">
                  <c:v>6.0735603412524437</c:v>
                </c:pt>
                <c:pt idx="28">
                  <c:v>5.4736110058879666</c:v>
                </c:pt>
                <c:pt idx="29">
                  <c:v>4.7962037962037982</c:v>
                </c:pt>
                <c:pt idx="30">
                  <c:v>4.9202032916142233</c:v>
                </c:pt>
                <c:pt idx="31">
                  <c:v>5.6995696857788944</c:v>
                </c:pt>
                <c:pt idx="32">
                  <c:v>7.8548436404179158</c:v>
                </c:pt>
                <c:pt idx="33">
                  <c:v>7.6999198240572255</c:v>
                </c:pt>
                <c:pt idx="34">
                  <c:v>7.0697141954839724</c:v>
                </c:pt>
                <c:pt idx="35">
                  <c:v>6.2963114659220638</c:v>
                </c:pt>
                <c:pt idx="36">
                  <c:v>6.0023117424977661</c:v>
                </c:pt>
                <c:pt idx="37">
                  <c:v>6.0797747735034307</c:v>
                </c:pt>
                <c:pt idx="38">
                  <c:v>6.1616176368568807</c:v>
                </c:pt>
                <c:pt idx="39">
                  <c:v>6.219421534245936</c:v>
                </c:pt>
                <c:pt idx="40">
                  <c:v>5.6037685016613734</c:v>
                </c:pt>
                <c:pt idx="41">
                  <c:v>4.9440760273614943</c:v>
                </c:pt>
                <c:pt idx="42">
                  <c:v>5.037645391940428</c:v>
                </c:pt>
                <c:pt idx="43">
                  <c:v>5.8070545235548803</c:v>
                </c:pt>
                <c:pt idx="44">
                  <c:v>7.4325163381497097</c:v>
                </c:pt>
                <c:pt idx="45">
                  <c:v>7.5787581435474225</c:v>
                </c:pt>
                <c:pt idx="46">
                  <c:v>7.1187479534176878</c:v>
                </c:pt>
                <c:pt idx="47">
                  <c:v>6.5902122328405293</c:v>
                </c:pt>
                <c:pt idx="48">
                  <c:v>5.8941487280209834</c:v>
                </c:pt>
                <c:pt idx="49">
                  <c:v>5.7775275298374487</c:v>
                </c:pt>
                <c:pt idx="50">
                  <c:v>5.5076354773601413</c:v>
                </c:pt>
                <c:pt idx="51">
                  <c:v>5.3339687365529773</c:v>
                </c:pt>
                <c:pt idx="52">
                  <c:v>4.8203792167168968</c:v>
                </c:pt>
                <c:pt idx="53">
                  <c:v>4.1865963176326311</c:v>
                </c:pt>
                <c:pt idx="54">
                  <c:v>4.3332228164506805</c:v>
                </c:pt>
                <c:pt idx="55">
                  <c:v>5.0674655275502198</c:v>
                </c:pt>
                <c:pt idx="56">
                  <c:v>7.0154201770126825</c:v>
                </c:pt>
                <c:pt idx="57">
                  <c:v>7.3642911494840586</c:v>
                </c:pt>
                <c:pt idx="58">
                  <c:v>7.0501752219281073</c:v>
                </c:pt>
                <c:pt idx="59">
                  <c:v>6.6237431484052216</c:v>
                </c:pt>
                <c:pt idx="60">
                  <c:v>6.0640925625929265</c:v>
                </c:pt>
                <c:pt idx="61">
                  <c:v>5.976253320374683</c:v>
                </c:pt>
                <c:pt idx="62">
                  <c:v>6.0292496359107712</c:v>
                </c:pt>
                <c:pt idx="63">
                  <c:v>6.0773705478143336</c:v>
                </c:pt>
                <c:pt idx="64">
                  <c:v>5.9562016063186025</c:v>
                </c:pt>
                <c:pt idx="65">
                  <c:v>4.9763817989057753</c:v>
                </c:pt>
                <c:pt idx="66">
                  <c:v>5.2880078969907238</c:v>
                </c:pt>
                <c:pt idx="67">
                  <c:v>5.7837968140271272</c:v>
                </c:pt>
                <c:pt idx="68">
                  <c:v>7.3925874864017747</c:v>
                </c:pt>
                <c:pt idx="69">
                  <c:v>7.4464549715186967</c:v>
                </c:pt>
                <c:pt idx="70">
                  <c:v>7.0720114343735263</c:v>
                </c:pt>
                <c:pt idx="71">
                  <c:v>6.6259740999576078</c:v>
                </c:pt>
                <c:pt idx="72">
                  <c:v>6.1926918957401718</c:v>
                </c:pt>
                <c:pt idx="73">
                  <c:v>6.1563184572826559</c:v>
                </c:pt>
                <c:pt idx="74">
                  <c:v>5.1673886062319667</c:v>
                </c:pt>
                <c:pt idx="75">
                  <c:v>5.1018597758250017</c:v>
                </c:pt>
                <c:pt idx="76">
                  <c:v>4.8311462562707606</c:v>
                </c:pt>
                <c:pt idx="77">
                  <c:v>4.2363904769173795</c:v>
                </c:pt>
                <c:pt idx="78">
                  <c:v>4.38669730532507</c:v>
                </c:pt>
                <c:pt idx="79">
                  <c:v>4.7428651501704886</c:v>
                </c:pt>
                <c:pt idx="80">
                  <c:v>6.2444008482360518</c:v>
                </c:pt>
                <c:pt idx="81">
                  <c:v>6.0959745053287078</c:v>
                </c:pt>
                <c:pt idx="82">
                  <c:v>5.5498658957929168</c:v>
                </c:pt>
                <c:pt idx="83">
                  <c:v>5.0753440582823108</c:v>
                </c:pt>
                <c:pt idx="84">
                  <c:v>4.7079150867238049</c:v>
                </c:pt>
                <c:pt idx="85">
                  <c:v>4.7692372248990633</c:v>
                </c:pt>
                <c:pt idx="86">
                  <c:v>4.7927434015781021</c:v>
                </c:pt>
                <c:pt idx="87">
                  <c:v>4.7704873012805518</c:v>
                </c:pt>
                <c:pt idx="88">
                  <c:v>4.371801781875889</c:v>
                </c:pt>
                <c:pt idx="89">
                  <c:v>4.0190963568493228</c:v>
                </c:pt>
                <c:pt idx="90">
                  <c:v>4.3333822733438394</c:v>
                </c:pt>
                <c:pt idx="91">
                  <c:v>4.800228994421591</c:v>
                </c:pt>
                <c:pt idx="92">
                  <c:v>6.0179862952938725</c:v>
                </c:pt>
                <c:pt idx="93">
                  <c:v>5.8634116422570788</c:v>
                </c:pt>
                <c:pt idx="94">
                  <c:v>5.3182463070631778</c:v>
                </c:pt>
                <c:pt idx="95">
                  <c:v>4.8603233594781052</c:v>
                </c:pt>
                <c:pt idx="96">
                  <c:v>4.5089569386589288</c:v>
                </c:pt>
                <c:pt idx="97">
                  <c:v>4.4895003620564795</c:v>
                </c:pt>
                <c:pt idx="98">
                  <c:v>4.5408691766585667</c:v>
                </c:pt>
                <c:pt idx="99">
                  <c:v>4.5257374204742629</c:v>
                </c:pt>
                <c:pt idx="100">
                  <c:v>4.0553308222873472</c:v>
                </c:pt>
                <c:pt idx="101">
                  <c:v>3.8035219916321479</c:v>
                </c:pt>
                <c:pt idx="102">
                  <c:v>4.0555992736848285</c:v>
                </c:pt>
                <c:pt idx="103">
                  <c:v>4.4466296328711872</c:v>
                </c:pt>
                <c:pt idx="104">
                  <c:v>5.5660422251479149</c:v>
                </c:pt>
                <c:pt idx="105">
                  <c:v>5.4185188016731995</c:v>
                </c:pt>
                <c:pt idx="106">
                  <c:v>4.9102010999159234</c:v>
                </c:pt>
                <c:pt idx="107">
                  <c:v>4.4512852247012784</c:v>
                </c:pt>
                <c:pt idx="108">
                  <c:v>4.0853483164533575</c:v>
                </c:pt>
                <c:pt idx="109">
                  <c:v>4.037789841349996</c:v>
                </c:pt>
                <c:pt idx="110">
                  <c:v>4.0245765377184659</c:v>
                </c:pt>
                <c:pt idx="111">
                  <c:v>4.0122372012139405</c:v>
                </c:pt>
                <c:pt idx="112">
                  <c:v>3.7281092697093561</c:v>
                </c:pt>
                <c:pt idx="113">
                  <c:v>3.5331614213334501</c:v>
                </c:pt>
                <c:pt idx="114">
                  <c:v>3.8485650369216757</c:v>
                </c:pt>
                <c:pt idx="115">
                  <c:v>4.0788205884929223</c:v>
                </c:pt>
                <c:pt idx="116">
                  <c:v>5.4016110067914989</c:v>
                </c:pt>
                <c:pt idx="117">
                  <c:v>5.1660747935819566</c:v>
                </c:pt>
                <c:pt idx="118">
                  <c:v>4.5421499308770494</c:v>
                </c:pt>
                <c:pt idx="119">
                  <c:v>4.0766873351863744</c:v>
                </c:pt>
              </c:numCache>
            </c:numRef>
          </c:val>
          <c:extLst xmlns:c16r2="http://schemas.microsoft.com/office/drawing/2015/06/chart">
            <c:ext xmlns:c16="http://schemas.microsoft.com/office/drawing/2014/chart" uri="{C3380CC4-5D6E-409C-BE32-E72D297353CC}">
              <c16:uniqueId val="{00000000-9AB3-4BA0-82B2-3F5433D57F23}"/>
            </c:ext>
          </c:extLst>
        </c:ser>
        <c:marker val="1"/>
        <c:axId val="174589440"/>
        <c:axId val="174590976"/>
      </c:lineChart>
      <c:catAx>
        <c:axId val="174589440"/>
        <c:scaling>
          <c:orientation val="minMax"/>
        </c:scaling>
        <c:axPos val="b"/>
        <c:majorGridlines/>
        <c:numFmt formatCode="General" sourceLinked="1"/>
        <c:majorTickMark val="none"/>
        <c:tickLblPos val="low"/>
        <c:txPr>
          <a:bodyPr rot="60000" anchor="b" anchorCtr="0"/>
          <a:lstStyle/>
          <a:p>
            <a:pPr>
              <a:defRPr sz="600" b="1"/>
            </a:pPr>
            <a:endParaRPr lang="cs-CZ"/>
          </a:p>
        </c:txPr>
        <c:crossAx val="174590976"/>
        <c:crosses val="autoZero"/>
        <c:auto val="1"/>
        <c:lblAlgn val="ctr"/>
        <c:lblOffset val="100"/>
        <c:tickMarkSkip val="12"/>
      </c:catAx>
      <c:valAx>
        <c:axId val="174590976"/>
        <c:scaling>
          <c:orientation val="minMax"/>
        </c:scaling>
        <c:axPos val="l"/>
        <c:majorGridlines/>
        <c:title>
          <c:tx>
            <c:rich>
              <a:bodyPr rot="-5400000" vert="horz"/>
              <a:lstStyle/>
              <a:p>
                <a:pPr>
                  <a:defRPr/>
                </a:pPr>
                <a:r>
                  <a:rPr lang="en-US" sz="800" b="0"/>
                  <a:t>v %</a:t>
                </a:r>
              </a:p>
            </c:rich>
          </c:tx>
        </c:title>
        <c:numFmt formatCode="0.0" sourceLinked="1"/>
        <c:majorTickMark val="none"/>
        <c:tickLblPos val="low"/>
        <c:txPr>
          <a:bodyPr anchor="b" anchorCtr="0"/>
          <a:lstStyle/>
          <a:p>
            <a:pPr>
              <a:defRPr sz="600"/>
            </a:pPr>
            <a:endParaRPr lang="cs-CZ"/>
          </a:p>
        </c:txPr>
        <c:crossAx val="174589440"/>
        <c:crossesAt val="1"/>
        <c:crossBetween val="between"/>
        <c:majorUnit val="2"/>
      </c:valAx>
      <c:spPr>
        <a:noFill/>
        <a:ln>
          <a:solidFill>
            <a:schemeClr val="tx1"/>
          </a:solidFill>
        </a:ln>
      </c:spPr>
    </c:plotArea>
    <c:plotVisOnly val="1"/>
    <c:dispBlanksAs val="gap"/>
  </c:chart>
  <c:spPr>
    <a:ln>
      <a:solidFill>
        <a:schemeClr val="tx1"/>
      </a:solid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cs-CZ"/>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900"/>
              <a:t>Vývoj počtu absolventů </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900"/>
              <a:t>na</a:t>
            </a:r>
            <a:r>
              <a:rPr lang="en-US" sz="900"/>
              <a:t> </a:t>
            </a:r>
            <a:r>
              <a:rPr lang="cs-CZ" sz="900"/>
              <a:t>1 VPM pro absolventy </a:t>
            </a:r>
            <a:endParaRPr lang="en-US" sz="900"/>
          </a:p>
        </c:rich>
      </c:tx>
      <c:layout>
        <c:manualLayout>
          <c:xMode val="edge"/>
          <c:yMode val="edge"/>
          <c:x val="0.29152506784109622"/>
          <c:y val="3.5200743447738894E-2"/>
        </c:manualLayout>
      </c:layout>
    </c:title>
    <c:plotArea>
      <c:layout>
        <c:manualLayout>
          <c:layoutTarget val="inner"/>
          <c:xMode val="edge"/>
          <c:yMode val="edge"/>
          <c:x val="0.11331650851335891"/>
          <c:y val="0.19004591368227738"/>
          <c:w val="0.81216097987751512"/>
          <c:h val="0.70316097430496349"/>
        </c:manualLayout>
      </c:layout>
      <c:lineChart>
        <c:grouping val="standard"/>
        <c:ser>
          <c:idx val="0"/>
          <c:order val="0"/>
          <c:marker>
            <c:symbol val="none"/>
          </c:marker>
          <c:cat>
            <c:numRef>
              <c:f>A!$GX$8:$LM$8</c:f>
              <c:numCache>
                <c:formatCode>General</c:formatCode>
                <c:ptCount val="120"/>
                <c:pt idx="5">
                  <c:v>2008</c:v>
                </c:pt>
                <c:pt idx="17">
                  <c:v>2009</c:v>
                </c:pt>
                <c:pt idx="29">
                  <c:v>2010</c:v>
                </c:pt>
                <c:pt idx="41">
                  <c:v>2011</c:v>
                </c:pt>
                <c:pt idx="53">
                  <c:v>2012</c:v>
                </c:pt>
                <c:pt idx="65">
                  <c:v>2013</c:v>
                </c:pt>
                <c:pt idx="77">
                  <c:v>2014</c:v>
                </c:pt>
                <c:pt idx="89">
                  <c:v>2015</c:v>
                </c:pt>
                <c:pt idx="101">
                  <c:v>2016</c:v>
                </c:pt>
                <c:pt idx="113">
                  <c:v>2017</c:v>
                </c:pt>
              </c:numCache>
            </c:numRef>
          </c:cat>
          <c:val>
            <c:numRef>
              <c:f>A!$GX$159:$LM$159</c:f>
              <c:numCache>
                <c:formatCode>0.0</c:formatCode>
                <c:ptCount val="120"/>
                <c:pt idx="0">
                  <c:v>0.70637243863994592</c:v>
                </c:pt>
                <c:pt idx="1">
                  <c:v>0.70654915965010012</c:v>
                </c:pt>
                <c:pt idx="2">
                  <c:v>0.70240625214231855</c:v>
                </c:pt>
                <c:pt idx="3">
                  <c:v>0.66043398764963601</c:v>
                </c:pt>
                <c:pt idx="4">
                  <c:v>0.5697717919940144</c:v>
                </c:pt>
                <c:pt idx="5">
                  <c:v>0.53265817424750361</c:v>
                </c:pt>
                <c:pt idx="6">
                  <c:v>0.63273813915738231</c:v>
                </c:pt>
                <c:pt idx="7">
                  <c:v>0.69660142725923868</c:v>
                </c:pt>
                <c:pt idx="8">
                  <c:v>1.1798464177763255</c:v>
                </c:pt>
                <c:pt idx="9">
                  <c:v>1.2375215949946297</c:v>
                </c:pt>
                <c:pt idx="10">
                  <c:v>1.3830775329897496</c:v>
                </c:pt>
                <c:pt idx="11">
                  <c:v>1.7213332401649073</c:v>
                </c:pt>
                <c:pt idx="12">
                  <c:v>2.3079809628409307</c:v>
                </c:pt>
                <c:pt idx="13">
                  <c:v>2.8648619265057613</c:v>
                </c:pt>
                <c:pt idx="14">
                  <c:v>3.8389204545454545</c:v>
                </c:pt>
                <c:pt idx="15">
                  <c:v>4.12141756548536</c:v>
                </c:pt>
                <c:pt idx="16">
                  <c:v>3.6736744473643546</c:v>
                </c:pt>
                <c:pt idx="17">
                  <c:v>3.4817605754410001</c:v>
                </c:pt>
                <c:pt idx="18">
                  <c:v>3.7989034311991507</c:v>
                </c:pt>
                <c:pt idx="19">
                  <c:v>4.6204457021577641</c:v>
                </c:pt>
                <c:pt idx="20">
                  <c:v>7.0562256448320682</c:v>
                </c:pt>
                <c:pt idx="21">
                  <c:v>8.3161700262927223</c:v>
                </c:pt>
                <c:pt idx="22">
                  <c:v>8.3495145631067995</c:v>
                </c:pt>
                <c:pt idx="23">
                  <c:v>8.8785838942907027</c:v>
                </c:pt>
                <c:pt idx="24">
                  <c:v>8.4796630565583673</c:v>
                </c:pt>
                <c:pt idx="25">
                  <c:v>8.1816924141111329</c:v>
                </c:pt>
                <c:pt idx="26">
                  <c:v>8.29182509505703</c:v>
                </c:pt>
                <c:pt idx="27">
                  <c:v>7.2305488208067006</c:v>
                </c:pt>
                <c:pt idx="28">
                  <c:v>6.2601644079093521</c:v>
                </c:pt>
                <c:pt idx="29">
                  <c:v>4.964839710444676</c:v>
                </c:pt>
                <c:pt idx="30">
                  <c:v>4.9504181600955786</c:v>
                </c:pt>
                <c:pt idx="31">
                  <c:v>5.2804359874376505</c:v>
                </c:pt>
                <c:pt idx="32">
                  <c:v>7.2052785923753682</c:v>
                </c:pt>
                <c:pt idx="33">
                  <c:v>7.4220362079034441</c:v>
                </c:pt>
                <c:pt idx="34">
                  <c:v>8.295044001852709</c:v>
                </c:pt>
                <c:pt idx="35">
                  <c:v>7.4924772197499454</c:v>
                </c:pt>
                <c:pt idx="36">
                  <c:v>6.6832165109034269</c:v>
                </c:pt>
                <c:pt idx="37">
                  <c:v>7.6421286031042115</c:v>
                </c:pt>
                <c:pt idx="38">
                  <c:v>6.9561005770816156</c:v>
                </c:pt>
                <c:pt idx="39">
                  <c:v>5.763390441839495</c:v>
                </c:pt>
                <c:pt idx="40">
                  <c:v>4.7134763948497875</c:v>
                </c:pt>
                <c:pt idx="41">
                  <c:v>3.9009558338826622</c:v>
                </c:pt>
                <c:pt idx="42">
                  <c:v>4.0286561264822121</c:v>
                </c:pt>
                <c:pt idx="43">
                  <c:v>4.3033240997229916</c:v>
                </c:pt>
                <c:pt idx="44">
                  <c:v>5.5099079419566239</c:v>
                </c:pt>
                <c:pt idx="45">
                  <c:v>5.8905037159372418</c:v>
                </c:pt>
                <c:pt idx="46">
                  <c:v>6.2124931306100022</c:v>
                </c:pt>
                <c:pt idx="47">
                  <c:v>6.6313081337819124</c:v>
                </c:pt>
                <c:pt idx="48">
                  <c:v>6.3327298330315829</c:v>
                </c:pt>
                <c:pt idx="49">
                  <c:v>6.0487050637804405</c:v>
                </c:pt>
                <c:pt idx="50">
                  <c:v>5.3733977336057963</c:v>
                </c:pt>
                <c:pt idx="51">
                  <c:v>4.8030056128915444</c:v>
                </c:pt>
                <c:pt idx="52">
                  <c:v>3.7713404738721188</c:v>
                </c:pt>
                <c:pt idx="53">
                  <c:v>3.1633497850660737</c:v>
                </c:pt>
                <c:pt idx="54">
                  <c:v>3.5105105105105112</c:v>
                </c:pt>
                <c:pt idx="55">
                  <c:v>3.9785449266010637</c:v>
                </c:pt>
                <c:pt idx="56">
                  <c:v>5.7925665494726264</c:v>
                </c:pt>
                <c:pt idx="57">
                  <c:v>7.291807853298784</c:v>
                </c:pt>
                <c:pt idx="58">
                  <c:v>7.7246283128636088</c:v>
                </c:pt>
                <c:pt idx="59">
                  <c:v>8.5430463576158946</c:v>
                </c:pt>
                <c:pt idx="60">
                  <c:v>8.0389228332201839</c:v>
                </c:pt>
                <c:pt idx="61">
                  <c:v>7.8098173013427266</c:v>
                </c:pt>
                <c:pt idx="62">
                  <c:v>6.6437945256842896</c:v>
                </c:pt>
                <c:pt idx="63">
                  <c:v>5.8549514232145885</c:v>
                </c:pt>
                <c:pt idx="64">
                  <c:v>5.071228615863145</c:v>
                </c:pt>
                <c:pt idx="65">
                  <c:v>4.0167264038231814</c:v>
                </c:pt>
                <c:pt idx="66">
                  <c:v>3.0177073625349498</c:v>
                </c:pt>
                <c:pt idx="67">
                  <c:v>3.2314936708860769</c:v>
                </c:pt>
                <c:pt idx="68">
                  <c:v>4.4034431137724583</c:v>
                </c:pt>
                <c:pt idx="69">
                  <c:v>4.2761501959975279</c:v>
                </c:pt>
                <c:pt idx="70">
                  <c:v>4.0407317566201737</c:v>
                </c:pt>
                <c:pt idx="71">
                  <c:v>4.1314249895528645</c:v>
                </c:pt>
                <c:pt idx="72">
                  <c:v>4.9396628216504022</c:v>
                </c:pt>
                <c:pt idx="73">
                  <c:v>4.7004028812110867</c:v>
                </c:pt>
                <c:pt idx="74">
                  <c:v>3.9629349470499253</c:v>
                </c:pt>
                <c:pt idx="75">
                  <c:v>3.4003014143287733</c:v>
                </c:pt>
                <c:pt idx="76">
                  <c:v>2.7545096413020951</c:v>
                </c:pt>
                <c:pt idx="77">
                  <c:v>2.2507170408466046</c:v>
                </c:pt>
                <c:pt idx="78">
                  <c:v>2.0975092739798624</c:v>
                </c:pt>
                <c:pt idx="79">
                  <c:v>1.9988188976377956</c:v>
                </c:pt>
                <c:pt idx="80">
                  <c:v>2.5003027092477681</c:v>
                </c:pt>
                <c:pt idx="81">
                  <c:v>2.1741249142072752</c:v>
                </c:pt>
                <c:pt idx="82">
                  <c:v>1.9800758359186497</c:v>
                </c:pt>
                <c:pt idx="83">
                  <c:v>1.961628985093788</c:v>
                </c:pt>
                <c:pt idx="84">
                  <c:v>1.7872500170636816</c:v>
                </c:pt>
                <c:pt idx="85">
                  <c:v>1.585071549842348</c:v>
                </c:pt>
                <c:pt idx="86">
                  <c:v>1.354184595524957</c:v>
                </c:pt>
                <c:pt idx="87">
                  <c:v>1.1298419734052805</c:v>
                </c:pt>
                <c:pt idx="88">
                  <c:v>0.84928249624561991</c:v>
                </c:pt>
                <c:pt idx="89">
                  <c:v>0.71220507988850978</c:v>
                </c:pt>
                <c:pt idx="90">
                  <c:v>0.76051842165987271</c:v>
                </c:pt>
                <c:pt idx="91">
                  <c:v>0.7552630660196209</c:v>
                </c:pt>
                <c:pt idx="92">
                  <c:v>0.84416862421433569</c:v>
                </c:pt>
                <c:pt idx="93">
                  <c:v>0.79429722414552784</c:v>
                </c:pt>
                <c:pt idx="94">
                  <c:v>0.73484096223453699</c:v>
                </c:pt>
                <c:pt idx="95">
                  <c:v>0.74191483627543486</c:v>
                </c:pt>
                <c:pt idx="96">
                  <c:v>0.68089299560609973</c:v>
                </c:pt>
                <c:pt idx="97">
                  <c:v>0.6278576193075015</c:v>
                </c:pt>
                <c:pt idx="98">
                  <c:v>0.58666938799311896</c:v>
                </c:pt>
                <c:pt idx="99">
                  <c:v>0.5102151706150837</c:v>
                </c:pt>
                <c:pt idx="100">
                  <c:v>0.41974726023805781</c:v>
                </c:pt>
                <c:pt idx="101">
                  <c:v>0.36638427991378042</c:v>
                </c:pt>
                <c:pt idx="102">
                  <c:v>0.39898281304805366</c:v>
                </c:pt>
                <c:pt idx="103">
                  <c:v>0.42162557969245812</c:v>
                </c:pt>
                <c:pt idx="104">
                  <c:v>0.50010689090002136</c:v>
                </c:pt>
                <c:pt idx="105">
                  <c:v>0.47947522288530781</c:v>
                </c:pt>
                <c:pt idx="106">
                  <c:v>0.44595778773691197</c:v>
                </c:pt>
                <c:pt idx="107">
                  <c:v>0.43933747412008295</c:v>
                </c:pt>
                <c:pt idx="108">
                  <c:v>0.41724146974743631</c:v>
                </c:pt>
                <c:pt idx="109">
                  <c:v>0.39398449930708862</c:v>
                </c:pt>
                <c:pt idx="110">
                  <c:v>0.34876137635664584</c:v>
                </c:pt>
                <c:pt idx="111">
                  <c:v>0.29756561947504434</c:v>
                </c:pt>
                <c:pt idx="112">
                  <c:v>0.23693480276032558</c:v>
                </c:pt>
                <c:pt idx="113">
                  <c:v>0.20404240447343908</c:v>
                </c:pt>
                <c:pt idx="114">
                  <c:v>0.22103467879476971</c:v>
                </c:pt>
                <c:pt idx="115">
                  <c:v>0.21886976643285849</c:v>
                </c:pt>
                <c:pt idx="116">
                  <c:v>0.26920184015812754</c:v>
                </c:pt>
                <c:pt idx="117">
                  <c:v>0.24314848563742097</c:v>
                </c:pt>
                <c:pt idx="118">
                  <c:v>0.2113510481665849</c:v>
                </c:pt>
                <c:pt idx="119">
                  <c:v>0.20445731238718218</c:v>
                </c:pt>
              </c:numCache>
            </c:numRef>
          </c:val>
          <c:extLst xmlns:c16r2="http://schemas.microsoft.com/office/drawing/2015/06/chart">
            <c:ext xmlns:c16="http://schemas.microsoft.com/office/drawing/2014/chart" uri="{C3380CC4-5D6E-409C-BE32-E72D297353CC}">
              <c16:uniqueId val="{00000000-CCD6-4BE0-98C3-FE0ED6EBA833}"/>
            </c:ext>
          </c:extLst>
        </c:ser>
        <c:marker val="1"/>
        <c:axId val="174615936"/>
        <c:axId val="174621824"/>
      </c:lineChart>
      <c:catAx>
        <c:axId val="174615936"/>
        <c:scaling>
          <c:orientation val="minMax"/>
        </c:scaling>
        <c:axPos val="b"/>
        <c:majorGridlines/>
        <c:numFmt formatCode="General" sourceLinked="1"/>
        <c:majorTickMark val="none"/>
        <c:tickLblPos val="low"/>
        <c:txPr>
          <a:bodyPr rot="60000" anchor="b" anchorCtr="0"/>
          <a:lstStyle/>
          <a:p>
            <a:pPr>
              <a:defRPr sz="600" b="1"/>
            </a:pPr>
            <a:endParaRPr lang="cs-CZ"/>
          </a:p>
        </c:txPr>
        <c:crossAx val="174621824"/>
        <c:crosses val="autoZero"/>
        <c:auto val="1"/>
        <c:lblAlgn val="ctr"/>
        <c:lblOffset val="100"/>
        <c:tickMarkSkip val="12"/>
      </c:catAx>
      <c:valAx>
        <c:axId val="174621824"/>
        <c:scaling>
          <c:orientation val="minMax"/>
        </c:scaling>
        <c:axPos val="l"/>
        <c:majorGridlines/>
        <c:title>
          <c:tx>
            <c:rich>
              <a:bodyPr rot="-5400000" vert="horz"/>
              <a:lstStyle/>
              <a:p>
                <a:pPr>
                  <a:defRPr/>
                </a:pPr>
                <a:r>
                  <a:rPr lang="en-US" sz="700" b="0"/>
                  <a:t>abs./VPM</a:t>
                </a:r>
              </a:p>
            </c:rich>
          </c:tx>
        </c:title>
        <c:numFmt formatCode="0.0" sourceLinked="1"/>
        <c:majorTickMark val="none"/>
        <c:tickLblPos val="low"/>
        <c:txPr>
          <a:bodyPr anchor="b" anchorCtr="0"/>
          <a:lstStyle/>
          <a:p>
            <a:pPr>
              <a:defRPr sz="600"/>
            </a:pPr>
            <a:endParaRPr lang="cs-CZ"/>
          </a:p>
        </c:txPr>
        <c:crossAx val="174615936"/>
        <c:crossesAt val="1"/>
        <c:crossBetween val="between"/>
        <c:minorUnit val="2"/>
      </c:valAx>
      <c:spPr>
        <a:noFill/>
        <a:ln>
          <a:solidFill>
            <a:schemeClr val="tx1"/>
          </a:solidFill>
        </a:ln>
      </c:spPr>
    </c:plotArea>
    <c:plotVisOnly val="1"/>
    <c:dispBlanksAs val="gap"/>
  </c:chart>
  <c:spPr>
    <a:ln>
      <a:solidFill>
        <a:schemeClr val="tx1"/>
      </a:solid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400">
                <a:latin typeface="+mn-lt"/>
                <a:cs typeface="Arial" panose="020B0604020202020204" pitchFamily="34" charset="0"/>
              </a:rPr>
              <a:t>Vývoj počtu uchazečů podle délky evidence</a:t>
            </a:r>
          </a:p>
          <a:p>
            <a:pPr>
              <a:defRPr/>
            </a:pPr>
            <a:r>
              <a:rPr lang="cs-CZ" sz="1200">
                <a:latin typeface="+mn-lt"/>
                <a:cs typeface="Arial" panose="020B0604020202020204" pitchFamily="34" charset="0"/>
              </a:rPr>
              <a:t>v letech 2009-2017 (k 31.12.) </a:t>
            </a:r>
          </a:p>
        </c:rich>
      </c:tx>
    </c:title>
    <c:plotArea>
      <c:layout>
        <c:manualLayout>
          <c:layoutTarget val="inner"/>
          <c:xMode val="edge"/>
          <c:yMode val="edge"/>
          <c:x val="0.10164445969156946"/>
          <c:y val="0.17852616612290625"/>
          <c:w val="0.87528114180778749"/>
          <c:h val="0.667266280247232"/>
        </c:manualLayout>
      </c:layout>
      <c:barChart>
        <c:barDir val="col"/>
        <c:grouping val="clustered"/>
        <c:ser>
          <c:idx val="2"/>
          <c:order val="0"/>
          <c:tx>
            <c:strRef>
              <c:f>celkem!$A$62</c:f>
              <c:strCache>
                <c:ptCount val="1"/>
                <c:pt idx="0">
                  <c:v>6-9 měsíců</c:v>
                </c:pt>
              </c:strCache>
            </c:strRef>
          </c:tx>
          <c:cat>
            <c:numRef>
              <c:f>(celkem!$AT$1,celkem!$AX$1,celkem!$BB$1,celkem!$BF$1,celkem!$BK$1,celkem!$BX$1,celkem!$CJ$1,celkem!$CV$1,celkem!$DH$1)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(celkem!$AV$62,celkem!$AZ$62,celkem!$BD$62,celkem!$BH$62,celkem!$BL$62,celkem!$BX$62,celkem!$CJ$62,celkem!$CV$62,celkem!$DH$62)</c:f>
              <c:numCache>
                <c:formatCode>#,##0</c:formatCode>
                <c:ptCount val="9"/>
                <c:pt idx="0">
                  <c:v>70842</c:v>
                </c:pt>
                <c:pt idx="1">
                  <c:v>52059</c:v>
                </c:pt>
                <c:pt idx="2">
                  <c:v>46740</c:v>
                </c:pt>
                <c:pt idx="3">
                  <c:v>53183</c:v>
                </c:pt>
                <c:pt idx="4">
                  <c:v>56612</c:v>
                </c:pt>
                <c:pt idx="5">
                  <c:v>47150</c:v>
                </c:pt>
                <c:pt idx="6">
                  <c:v>37867</c:v>
                </c:pt>
                <c:pt idx="7">
                  <c:v>34298</c:v>
                </c:pt>
                <c:pt idx="8">
                  <c:v>24281</c:v>
                </c:pt>
              </c:numCache>
            </c:numRef>
          </c:val>
          <c:extLst xmlns:c16r2="http://schemas.microsoft.com/office/drawing/2015/06/chart">
            <c:ext xmlns:c16="http://schemas.microsoft.com/office/drawing/2014/chart" uri="{C3380CC4-5D6E-409C-BE32-E72D297353CC}">
              <c16:uniqueId val="{00000002-8CB1-4727-9335-D7D9A29303C4}"/>
            </c:ext>
          </c:extLst>
        </c:ser>
        <c:ser>
          <c:idx val="3"/>
          <c:order val="1"/>
          <c:tx>
            <c:strRef>
              <c:f>celkem!$A$63</c:f>
              <c:strCache>
                <c:ptCount val="1"/>
                <c:pt idx="0">
                  <c:v>9-12 měsíců</c:v>
                </c:pt>
              </c:strCache>
            </c:strRef>
          </c:tx>
          <c:cat>
            <c:numRef>
              <c:f>(celkem!$AT$1,celkem!$AX$1,celkem!$BB$1,celkem!$BF$1,celkem!$BK$1,celkem!$BX$1,celkem!$CJ$1,celkem!$CV$1,celkem!$DH$1)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(celkem!$AV$63,celkem!$AZ$63,celkem!$BD$63,celkem!$BH$63,celkem!$BL$63,celkem!$BX$63,celkem!$CJ$63,celkem!$CV$63,celkem!$DH$63)</c:f>
              <c:numCache>
                <c:formatCode>#,##0</c:formatCode>
                <c:ptCount val="9"/>
                <c:pt idx="0">
                  <c:v>53487</c:v>
                </c:pt>
                <c:pt idx="1">
                  <c:v>42552</c:v>
                </c:pt>
                <c:pt idx="2">
                  <c:v>33643</c:v>
                </c:pt>
                <c:pt idx="3">
                  <c:v>44851</c:v>
                </c:pt>
                <c:pt idx="4">
                  <c:v>52604</c:v>
                </c:pt>
                <c:pt idx="5">
                  <c:v>38447</c:v>
                </c:pt>
                <c:pt idx="6">
                  <c:v>27913</c:v>
                </c:pt>
                <c:pt idx="7">
                  <c:v>23261</c:v>
                </c:pt>
                <c:pt idx="8">
                  <c:v>16673</c:v>
                </c:pt>
              </c:numCache>
            </c:numRef>
          </c:val>
          <c:extLst xmlns:c16r2="http://schemas.microsoft.com/office/drawing/2015/06/chart">
            <c:ext xmlns:c16="http://schemas.microsoft.com/office/drawing/2014/chart" uri="{C3380CC4-5D6E-409C-BE32-E72D297353CC}">
              <c16:uniqueId val="{00000003-8CB1-4727-9335-D7D9A29303C4}"/>
            </c:ext>
          </c:extLst>
        </c:ser>
        <c:ser>
          <c:idx val="4"/>
          <c:order val="2"/>
          <c:tx>
            <c:strRef>
              <c:f>celkem!$A$64</c:f>
              <c:strCache>
                <c:ptCount val="1"/>
                <c:pt idx="0">
                  <c:v>12-24 měsíců</c:v>
                </c:pt>
              </c:strCache>
            </c:strRef>
          </c:tx>
          <c:cat>
            <c:numRef>
              <c:f>(celkem!$AT$1,celkem!$AX$1,celkem!$BB$1,celkem!$BF$1,celkem!$BK$1,celkem!$BX$1,celkem!$CJ$1,celkem!$CV$1,celkem!$DH$1)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(celkem!$AV$64,celkem!$AZ$64,celkem!$BD$64,celkem!$BH$64,celkem!$BL$64,celkem!$BX$64,celkem!$CJ$64,celkem!$CV$64,celkem!$DH$64)</c:f>
              <c:numCache>
                <c:formatCode>#,##0</c:formatCode>
                <c:ptCount val="9"/>
                <c:pt idx="0">
                  <c:v>61442</c:v>
                </c:pt>
                <c:pt idx="1">
                  <c:v>99160</c:v>
                </c:pt>
                <c:pt idx="2">
                  <c:v>82347</c:v>
                </c:pt>
                <c:pt idx="3">
                  <c:v>82070</c:v>
                </c:pt>
                <c:pt idx="4">
                  <c:v>106175</c:v>
                </c:pt>
                <c:pt idx="5">
                  <c:v>90688</c:v>
                </c:pt>
                <c:pt idx="6">
                  <c:v>58232</c:v>
                </c:pt>
                <c:pt idx="7">
                  <c:v>45253</c:v>
                </c:pt>
                <c:pt idx="8">
                  <c:v>29101</c:v>
                </c:pt>
              </c:numCache>
            </c:numRef>
          </c:val>
          <c:extLst xmlns:c16r2="http://schemas.microsoft.com/office/drawing/2015/06/chart">
            <c:ext xmlns:c16="http://schemas.microsoft.com/office/drawing/2014/chart" uri="{C3380CC4-5D6E-409C-BE32-E72D297353CC}">
              <c16:uniqueId val="{00000004-8CB1-4727-9335-D7D9A29303C4}"/>
            </c:ext>
          </c:extLst>
        </c:ser>
        <c:ser>
          <c:idx val="5"/>
          <c:order val="3"/>
          <c:tx>
            <c:strRef>
              <c:f>celkem!$A$65</c:f>
              <c:strCache>
                <c:ptCount val="1"/>
                <c:pt idx="0">
                  <c:v>nad 24 měsíců </c:v>
                </c:pt>
              </c:strCache>
            </c:strRef>
          </c:tx>
          <c:cat>
            <c:numRef>
              <c:f>(celkem!$AT$1,celkem!$AX$1,celkem!$BB$1,celkem!$BF$1,celkem!$BK$1,celkem!$BX$1,celkem!$CJ$1,celkem!$CV$1,celkem!$DH$1)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(celkem!$AV$65,celkem!$AZ$65,celkem!$BD$65,celkem!$BH$65,celkem!$BL$65,celkem!$BX$65,celkem!$CJ$65,celkem!$CV$65,celkem!$DH$65)</c:f>
              <c:numCache>
                <c:formatCode>#,##0</c:formatCode>
                <c:ptCount val="9"/>
                <c:pt idx="0">
                  <c:v>62431</c:v>
                </c:pt>
                <c:pt idx="1">
                  <c:v>79321</c:v>
                </c:pt>
                <c:pt idx="2">
                  <c:v>101783</c:v>
                </c:pt>
                <c:pt idx="3">
                  <c:v>110164</c:v>
                </c:pt>
                <c:pt idx="4">
                  <c:v>130806</c:v>
                </c:pt>
                <c:pt idx="5">
                  <c:v>146477</c:v>
                </c:pt>
                <c:pt idx="6">
                  <c:v>129323</c:v>
                </c:pt>
                <c:pt idx="7">
                  <c:v>98910</c:v>
                </c:pt>
                <c:pt idx="8">
                  <c:v>65411</c:v>
                </c:pt>
              </c:numCache>
            </c:numRef>
          </c:val>
          <c:extLst xmlns:c16r2="http://schemas.microsoft.com/office/drawing/2015/06/chart">
            <c:ext xmlns:c16="http://schemas.microsoft.com/office/drawing/2014/chart" uri="{C3380CC4-5D6E-409C-BE32-E72D297353CC}">
              <c16:uniqueId val="{00000005-8CB1-4727-9335-D7D9A29303C4}"/>
            </c:ext>
          </c:extLst>
        </c:ser>
        <c:gapWidth val="123"/>
        <c:overlap val="15"/>
        <c:axId val="174950656"/>
        <c:axId val="174972928"/>
      </c:barChart>
      <c:catAx>
        <c:axId val="174950656"/>
        <c:scaling>
          <c:orientation val="minMax"/>
        </c:scaling>
        <c:axPos val="b"/>
        <c:numFmt formatCode="General" sourceLinked="1"/>
        <c:majorTickMark val="none"/>
        <c:tickLblPos val="nextTo"/>
        <c:txPr>
          <a:bodyPr/>
          <a:lstStyle/>
          <a:p>
            <a:pPr>
              <a:defRPr sz="900" b="1">
                <a:latin typeface="Arial" panose="020B0604020202020204" pitchFamily="34" charset="0"/>
                <a:cs typeface="Arial" panose="020B0604020202020204" pitchFamily="34" charset="0"/>
              </a:defRPr>
            </a:pPr>
            <a:endParaRPr lang="cs-CZ"/>
          </a:p>
        </c:txPr>
        <c:crossAx val="174972928"/>
        <c:crosses val="autoZero"/>
        <c:auto val="1"/>
        <c:lblAlgn val="ctr"/>
        <c:lblOffset val="100"/>
      </c:catAx>
      <c:valAx>
        <c:axId val="174972928"/>
        <c:scaling>
          <c:orientation val="minMax"/>
        </c:scaling>
        <c:axPos val="l"/>
        <c:majorGridlines/>
        <c:numFmt formatCode="#,##0" sourceLinked="1"/>
        <c:majorTickMark val="none"/>
        <c:tickLblPos val="nextTo"/>
        <c:spPr>
          <a:ln w="9525">
            <a:noFill/>
          </a:ln>
        </c:spPr>
        <c:crossAx val="174950656"/>
        <c:crosses val="autoZero"/>
        <c:crossBetween val="between"/>
        <c:majorUnit val="40000"/>
        <c:dispUnits>
          <c:builtInUnit val="thousands"/>
          <c:dispUnitsLbl>
            <c:layout>
              <c:manualLayout>
                <c:xMode val="edge"/>
                <c:yMode val="edge"/>
                <c:x val="6.7453634411401104E-3"/>
                <c:y val="0.44162310204761418"/>
              </c:manualLayout>
            </c:layout>
            <c:tx>
              <c:rich>
                <a:bodyPr/>
                <a:lstStyle/>
                <a:p>
                  <a:pPr>
                    <a:defRPr b="0">
                      <a:latin typeface="Arial" panose="020B0604020202020204" pitchFamily="34" charset="0"/>
                      <a:cs typeface="Arial" panose="020B0604020202020204" pitchFamily="34" charset="0"/>
                    </a:defRPr>
                  </a:pPr>
                  <a:r>
                    <a:rPr lang="cs-CZ" b="0">
                      <a:latin typeface="Arial" panose="020B0604020202020204" pitchFamily="34" charset="0"/>
                      <a:cs typeface="Arial" panose="020B0604020202020204" pitchFamily="34" charset="0"/>
                    </a:rPr>
                    <a:t>v tis. osob</a:t>
                  </a:r>
                </a:p>
              </c:rich>
            </c:tx>
          </c:dispUnitsLbl>
        </c:dispUnits>
      </c:valAx>
      <c:spPr>
        <a:ln>
          <a:solidFill>
            <a:schemeClr val="accent1"/>
          </a:solidFill>
        </a:ln>
      </c:spPr>
    </c:plotArea>
    <c:legend>
      <c:legendPos val="b"/>
      <c:layout>
        <c:manualLayout>
          <c:xMode val="edge"/>
          <c:yMode val="edge"/>
          <c:x val="0.13882058957506344"/>
          <c:y val="0.92594146757703999"/>
          <c:w val="0.75991386493354995"/>
          <c:h val="5.560764205853827E-2"/>
        </c:manualLayout>
      </c:layout>
      <c:txPr>
        <a:bodyPr/>
        <a:lstStyle/>
        <a:p>
          <a:pPr>
            <a:defRPr>
              <a:latin typeface="+mn-lt"/>
              <a:cs typeface="Arial" panose="020B0604020202020204" pitchFamily="34" charset="0"/>
            </a:defRPr>
          </a:pPr>
          <a:endParaRPr lang="cs-CZ"/>
        </a:p>
      </c:txPr>
    </c:legend>
    <c:plotVisOnly val="1"/>
    <c:dispBlanksAs val="gap"/>
  </c:chart>
  <c:spPr>
    <a:ln>
      <a:solidFill>
        <a:schemeClr val="tx1"/>
      </a:solid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400"/>
              <a:t>Počet uchazečů o zaměstnání na 1 VPM </a:t>
            </a:r>
          </a:p>
          <a:p>
            <a:pPr>
              <a:defRPr/>
            </a:pPr>
            <a:r>
              <a:rPr lang="cs-CZ" sz="1200"/>
              <a:t>v jednotlivých vzdělanostních kategoriích</a:t>
            </a:r>
            <a:r>
              <a:rPr lang="cs-CZ" sz="1200" baseline="0"/>
              <a:t> </a:t>
            </a:r>
            <a:endParaRPr lang="cs-CZ" sz="1200"/>
          </a:p>
        </c:rich>
      </c:tx>
    </c:title>
    <c:plotArea>
      <c:layout>
        <c:manualLayout>
          <c:layoutTarget val="inner"/>
          <c:xMode val="edge"/>
          <c:yMode val="edge"/>
          <c:x val="0.10504322022359018"/>
          <c:y val="0.217835290989316"/>
          <c:w val="0.86814718822043491"/>
          <c:h val="0.59053308433241636"/>
        </c:manualLayout>
      </c:layout>
      <c:barChart>
        <c:barDir val="col"/>
        <c:grouping val="clustered"/>
        <c:ser>
          <c:idx val="1"/>
          <c:order val="0"/>
          <c:tx>
            <c:strRef>
              <c:f>'g.17 Uc_VPM vzděl'!$S$1</c:f>
              <c:strCache>
                <c:ptCount val="1"/>
                <c:pt idx="0">
                  <c:v>k 31.12.2016</c:v>
                </c:pt>
              </c:strCache>
            </c:strRef>
          </c:tx>
          <c:dLbls>
            <c:spPr>
              <a:noFill/>
              <a:ln>
                <a:noFill/>
              </a:ln>
              <a:effectLst/>
            </c:spPr>
            <c:txPr>
              <a:bodyPr/>
              <a:lstStyle/>
              <a:p>
                <a:pPr>
                  <a:defRPr b="1"/>
                </a:pPr>
                <a:endParaRPr lang="cs-CZ"/>
              </a:p>
            </c:txPr>
            <c:showVal val="1"/>
            <c:extLst xmlns:c16r2="http://schemas.microsoft.com/office/drawing/2015/06/chart">
              <c:ext xmlns:c15="http://schemas.microsoft.com/office/drawing/2012/chart" uri="{CE6537A1-D6FC-4f65-9D91-7224C49458BB}">
                <c15:showLeaderLines val="0"/>
              </c:ext>
            </c:extLst>
          </c:dLbls>
          <c:cat>
            <c:strRef>
              <c:f>('g.17 Uc_VPM vzděl'!$A$4,'g.17 Uc_VPM vzděl'!$A$7:$A$13)</c:f>
              <c:strCache>
                <c:ptCount val="8"/>
                <c:pt idx="0">
                  <c:v>zákl. (vč. neukonč.)</c:v>
                </c:pt>
                <c:pt idx="1">
                  <c:v>vyučen</c:v>
                </c:pt>
                <c:pt idx="2">
                  <c:v>středoškol.(bez mat.)</c:v>
                </c:pt>
                <c:pt idx="3">
                  <c:v>vyučen s mat.</c:v>
                </c:pt>
                <c:pt idx="4">
                  <c:v>ÚSV (gymn. s mat.)</c:v>
                </c:pt>
                <c:pt idx="5">
                  <c:v>ÚSO (SOš s mat.)</c:v>
                </c:pt>
                <c:pt idx="6">
                  <c:v>vyšší vzdělání</c:v>
                </c:pt>
                <c:pt idx="7">
                  <c:v>vysokoškolské</c:v>
                </c:pt>
              </c:strCache>
            </c:strRef>
          </c:cat>
          <c:val>
            <c:numRef>
              <c:f>('g.17 Uc_VPM vzděl'!$S$4,'g.17 Uc_VPM vzděl'!$S$7:$S$13)</c:f>
              <c:numCache>
                <c:formatCode>0.0</c:formatCode>
                <c:ptCount val="8"/>
                <c:pt idx="0">
                  <c:v>1.8498996958519374</c:v>
                </c:pt>
                <c:pt idx="1">
                  <c:v>3.7243472498343286</c:v>
                </c:pt>
                <c:pt idx="2">
                  <c:v>1.2921762969211299</c:v>
                </c:pt>
                <c:pt idx="3">
                  <c:v>4.4980726872246732</c:v>
                </c:pt>
                <c:pt idx="4">
                  <c:v>3.052739525344272</c:v>
                </c:pt>
                <c:pt idx="5">
                  <c:v>6.786927492093243</c:v>
                </c:pt>
                <c:pt idx="6">
                  <c:v>2.5379090183559456</c:v>
                </c:pt>
                <c:pt idx="7">
                  <c:v>3.9751506024096384</c:v>
                </c:pt>
              </c:numCache>
            </c:numRef>
          </c:val>
          <c:extLst xmlns:c16r2="http://schemas.microsoft.com/office/drawing/2015/06/chart">
            <c:ext xmlns:c16="http://schemas.microsoft.com/office/drawing/2014/chart" uri="{C3380CC4-5D6E-409C-BE32-E72D297353CC}">
              <c16:uniqueId val="{00000000-CD98-454F-83AB-AD78E2C0C24D}"/>
            </c:ext>
          </c:extLst>
        </c:ser>
        <c:ser>
          <c:idx val="0"/>
          <c:order val="1"/>
          <c:tx>
            <c:strRef>
              <c:f>'g.17 Uc_VPM vzděl'!$T$1</c:f>
              <c:strCache>
                <c:ptCount val="1"/>
                <c:pt idx="0">
                  <c:v>k 31.12.2017</c:v>
                </c:pt>
              </c:strCache>
            </c:strRef>
          </c:tx>
          <c:dLbls>
            <c:spPr>
              <a:noFill/>
              <a:ln>
                <a:noFill/>
              </a:ln>
              <a:effectLst/>
            </c:spPr>
            <c:txPr>
              <a:bodyPr/>
              <a:lstStyle/>
              <a:p>
                <a:pPr>
                  <a:defRPr b="1"/>
                </a:pPr>
                <a:endParaRPr lang="cs-CZ"/>
              </a:p>
            </c:txPr>
            <c:showVal val="1"/>
            <c:extLst xmlns:c16r2="http://schemas.microsoft.com/office/drawing/2015/06/chart">
              <c:ext xmlns:c15="http://schemas.microsoft.com/office/drawing/2012/chart" uri="{CE6537A1-D6FC-4f65-9D91-7224C49458BB}">
                <c15:showLeaderLines val="0"/>
              </c:ext>
            </c:extLst>
          </c:dLbls>
          <c:cat>
            <c:strRef>
              <c:f>('g.17 Uc_VPM vzděl'!$A$4,'g.17 Uc_VPM vzděl'!$A$7:$A$13)</c:f>
              <c:strCache>
                <c:ptCount val="8"/>
                <c:pt idx="0">
                  <c:v>zákl. (vč. neukonč.)</c:v>
                </c:pt>
                <c:pt idx="1">
                  <c:v>vyučen</c:v>
                </c:pt>
                <c:pt idx="2">
                  <c:v>středoškol.(bez mat.)</c:v>
                </c:pt>
                <c:pt idx="3">
                  <c:v>vyučen s mat.</c:v>
                </c:pt>
                <c:pt idx="4">
                  <c:v>ÚSV (gymn. s mat.)</c:v>
                </c:pt>
                <c:pt idx="5">
                  <c:v>ÚSO (SOš s mat.)</c:v>
                </c:pt>
                <c:pt idx="6">
                  <c:v>vyšší vzdělání</c:v>
                </c:pt>
                <c:pt idx="7">
                  <c:v>vysokoškolské</c:v>
                </c:pt>
              </c:strCache>
            </c:strRef>
          </c:cat>
          <c:val>
            <c:numRef>
              <c:f>('g.17 Uc_VPM vzděl'!$T$4,'g.17 Uc_VPM vzděl'!$T$7:$T$13)</c:f>
              <c:numCache>
                <c:formatCode>0.0</c:formatCode>
                <c:ptCount val="8"/>
                <c:pt idx="0">
                  <c:v>0.69374561127388135</c:v>
                </c:pt>
                <c:pt idx="1">
                  <c:v>2.2409044916633682</c:v>
                </c:pt>
                <c:pt idx="2">
                  <c:v>0.57532299741602067</c:v>
                </c:pt>
                <c:pt idx="3">
                  <c:v>2.6949876376713879</c:v>
                </c:pt>
                <c:pt idx="4">
                  <c:v>1.4017840550083618</c:v>
                </c:pt>
                <c:pt idx="5">
                  <c:v>4.036664752058206</c:v>
                </c:pt>
                <c:pt idx="6">
                  <c:v>1.3229166666666667</c:v>
                </c:pt>
                <c:pt idx="7">
                  <c:v>2.0334150827713069</c:v>
                </c:pt>
              </c:numCache>
            </c:numRef>
          </c:val>
          <c:extLst xmlns:c16r2="http://schemas.microsoft.com/office/drawing/2015/06/chart">
            <c:ext xmlns:c16="http://schemas.microsoft.com/office/drawing/2014/chart" uri="{C3380CC4-5D6E-409C-BE32-E72D297353CC}">
              <c16:uniqueId val="{00000001-CD98-454F-83AB-AD78E2C0C24D}"/>
            </c:ext>
          </c:extLst>
        </c:ser>
        <c:gapWidth val="75"/>
        <c:overlap val="8"/>
        <c:axId val="174860544"/>
        <c:axId val="174891008"/>
      </c:barChart>
      <c:catAx>
        <c:axId val="174860544"/>
        <c:scaling>
          <c:orientation val="minMax"/>
        </c:scaling>
        <c:axPos val="b"/>
        <c:numFmt formatCode="General" sourceLinked="0"/>
        <c:majorTickMark val="none"/>
        <c:tickLblPos val="nextTo"/>
        <c:txPr>
          <a:bodyPr rot="-1320000"/>
          <a:lstStyle/>
          <a:p>
            <a:pPr>
              <a:defRPr sz="800"/>
            </a:pPr>
            <a:endParaRPr lang="cs-CZ"/>
          </a:p>
        </c:txPr>
        <c:crossAx val="174891008"/>
        <c:crosses val="autoZero"/>
        <c:auto val="1"/>
        <c:lblAlgn val="ctr"/>
        <c:lblOffset val="100"/>
      </c:catAx>
      <c:valAx>
        <c:axId val="174891008"/>
        <c:scaling>
          <c:orientation val="minMax"/>
          <c:max val="8"/>
        </c:scaling>
        <c:axPos val="l"/>
        <c:majorGridlines/>
        <c:title>
          <c:tx>
            <c:rich>
              <a:bodyPr rot="-5400000" vert="horz"/>
              <a:lstStyle/>
              <a:p>
                <a:pPr>
                  <a:defRPr sz="900" b="0"/>
                </a:pPr>
                <a:r>
                  <a:rPr lang="en-US" sz="900" b="0"/>
                  <a:t>UoZ/VPM</a:t>
                </a:r>
              </a:p>
            </c:rich>
          </c:tx>
          <c:layout>
            <c:manualLayout>
              <c:xMode val="edge"/>
              <c:yMode val="edge"/>
              <c:x val="1.112966054535337E-2"/>
              <c:y val="0.43519617959845286"/>
            </c:manualLayout>
          </c:layout>
        </c:title>
        <c:numFmt formatCode="0.0" sourceLinked="1"/>
        <c:majorTickMark val="none"/>
        <c:tickLblPos val="nextTo"/>
        <c:spPr>
          <a:ln w="9525">
            <a:noFill/>
          </a:ln>
        </c:spPr>
        <c:crossAx val="174860544"/>
        <c:crosses val="autoZero"/>
        <c:crossBetween val="between"/>
        <c:majorUnit val="2"/>
      </c:valAx>
      <c:spPr>
        <a:ln>
          <a:solidFill>
            <a:schemeClr val="accent1"/>
          </a:solidFill>
        </a:ln>
      </c:spPr>
    </c:plotArea>
    <c:legend>
      <c:legendPos val="b"/>
      <c:layout>
        <c:manualLayout>
          <c:xMode val="edge"/>
          <c:yMode val="edge"/>
          <c:x val="0.16261208851576925"/>
          <c:y val="0.26463896310117846"/>
          <c:w val="0.34158466327666143"/>
          <c:h val="6.7253968342288223E-2"/>
        </c:manualLayout>
      </c:layout>
    </c:legend>
    <c:plotVisOnly val="1"/>
    <c:dispBlanksAs val="gap"/>
  </c:chart>
  <c:spPr>
    <a:ln>
      <a:solidFill>
        <a:schemeClr val="tx2"/>
      </a:solid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100" b="1" i="0" u="none" strike="noStrike" baseline="0">
                <a:solidFill>
                  <a:srgbClr val="000000"/>
                </a:solidFill>
                <a:latin typeface="Arial"/>
                <a:ea typeface="Arial"/>
                <a:cs typeface="Arial"/>
              </a:defRPr>
            </a:pPr>
            <a:r>
              <a:rPr lang="cs-CZ"/>
              <a:t>Počet uchazečů o zaměstnání v evidenci ÚP 
v členění podle pohlaví (v tis.)
</a:t>
            </a:r>
            <a:r>
              <a:rPr lang="cs-CZ" sz="1100" b="1" i="0" u="none" strike="noStrike" baseline="0">
                <a:effectLst/>
              </a:rPr>
              <a:t>v letech </a:t>
            </a:r>
            <a:r>
              <a:rPr lang="cs-CZ"/>
              <a:t>2008-2017</a:t>
            </a:r>
          </a:p>
        </c:rich>
      </c:tx>
      <c:layout>
        <c:manualLayout>
          <c:xMode val="edge"/>
          <c:yMode val="edge"/>
          <c:x val="0.22726315032538741"/>
          <c:y val="1.6077162133874362E-2"/>
        </c:manualLayout>
      </c:layout>
      <c:spPr>
        <a:noFill/>
        <a:ln w="25400">
          <a:noFill/>
        </a:ln>
      </c:spPr>
    </c:title>
    <c:plotArea>
      <c:layout>
        <c:manualLayout>
          <c:layoutTarget val="inner"/>
          <c:xMode val="edge"/>
          <c:yMode val="edge"/>
          <c:x val="8.1161813837597782E-2"/>
          <c:y val="0.21572613239296026"/>
          <c:w val="0.85477906810944426"/>
          <c:h val="0.60991288665603949"/>
        </c:manualLayout>
      </c:layout>
      <c:lineChart>
        <c:grouping val="standard"/>
        <c:ser>
          <c:idx val="0"/>
          <c:order val="0"/>
          <c:tx>
            <c:v>uchazeči celkem</c:v>
          </c:tx>
          <c:spPr>
            <a:ln w="25400">
              <a:solidFill>
                <a:srgbClr val="008080"/>
              </a:solidFill>
              <a:prstDash val="solid"/>
            </a:ln>
          </c:spPr>
          <c:marker>
            <c:symbol val="none"/>
          </c:marker>
          <c:cat>
            <c:numRef>
              <c:f>A!$GX$9:$LM$9</c:f>
              <c:numCache>
                <c:formatCode>General</c:formatCode>
                <c:ptCount val="120"/>
                <c:pt idx="0">
                  <c:v>2008</c:v>
                </c:pt>
                <c:pt idx="12">
                  <c:v>2009</c:v>
                </c:pt>
                <c:pt idx="24">
                  <c:v>2010</c:v>
                </c:pt>
                <c:pt idx="36">
                  <c:v>2011</c:v>
                </c:pt>
                <c:pt idx="48">
                  <c:v>2012</c:v>
                </c:pt>
                <c:pt idx="60">
                  <c:v>2013</c:v>
                </c:pt>
                <c:pt idx="72">
                  <c:v>2014</c:v>
                </c:pt>
                <c:pt idx="84">
                  <c:v>2015</c:v>
                </c:pt>
                <c:pt idx="96">
                  <c:v>2016</c:v>
                </c:pt>
                <c:pt idx="108">
                  <c:v>2017</c:v>
                </c:pt>
              </c:numCache>
            </c:numRef>
          </c:cat>
          <c:val>
            <c:numRef>
              <c:f>A!$GX$95:$LM$95</c:f>
              <c:numCache>
                <c:formatCode>0</c:formatCode>
                <c:ptCount val="120"/>
                <c:pt idx="0">
                  <c:v>364544</c:v>
                </c:pt>
                <c:pt idx="1">
                  <c:v>355033</c:v>
                </c:pt>
                <c:pt idx="2">
                  <c:v>336297</c:v>
                </c:pt>
                <c:pt idx="3">
                  <c:v>316118</c:v>
                </c:pt>
                <c:pt idx="4">
                  <c:v>302507</c:v>
                </c:pt>
                <c:pt idx="5">
                  <c:v>297880</c:v>
                </c:pt>
                <c:pt idx="6">
                  <c:v>310058</c:v>
                </c:pt>
                <c:pt idx="7">
                  <c:v>312333</c:v>
                </c:pt>
                <c:pt idx="8">
                  <c:v>314558</c:v>
                </c:pt>
                <c:pt idx="9">
                  <c:v>311705</c:v>
                </c:pt>
                <c:pt idx="10">
                  <c:v>320299</c:v>
                </c:pt>
                <c:pt idx="11">
                  <c:v>352250</c:v>
                </c:pt>
                <c:pt idx="12">
                  <c:v>398061</c:v>
                </c:pt>
                <c:pt idx="13">
                  <c:v>428848</c:v>
                </c:pt>
                <c:pt idx="14">
                  <c:v>448912</c:v>
                </c:pt>
                <c:pt idx="15">
                  <c:v>456726</c:v>
                </c:pt>
                <c:pt idx="16">
                  <c:v>457561</c:v>
                </c:pt>
                <c:pt idx="17">
                  <c:v>463555</c:v>
                </c:pt>
                <c:pt idx="18">
                  <c:v>485319</c:v>
                </c:pt>
                <c:pt idx="19">
                  <c:v>493751</c:v>
                </c:pt>
                <c:pt idx="20">
                  <c:v>500812</c:v>
                </c:pt>
                <c:pt idx="21">
                  <c:v>498760</c:v>
                </c:pt>
                <c:pt idx="22">
                  <c:v>508909</c:v>
                </c:pt>
                <c:pt idx="23">
                  <c:v>539136</c:v>
                </c:pt>
                <c:pt idx="24">
                  <c:v>574226</c:v>
                </c:pt>
                <c:pt idx="25">
                  <c:v>583135</c:v>
                </c:pt>
                <c:pt idx="26">
                  <c:v>572824</c:v>
                </c:pt>
                <c:pt idx="27">
                  <c:v>540128</c:v>
                </c:pt>
                <c:pt idx="28">
                  <c:v>514779</c:v>
                </c:pt>
                <c:pt idx="29">
                  <c:v>500500</c:v>
                </c:pt>
                <c:pt idx="30">
                  <c:v>505284</c:v>
                </c:pt>
                <c:pt idx="31">
                  <c:v>501494</c:v>
                </c:pt>
                <c:pt idx="32">
                  <c:v>500481</c:v>
                </c:pt>
                <c:pt idx="33">
                  <c:v>495161</c:v>
                </c:pt>
                <c:pt idx="34">
                  <c:v>506640</c:v>
                </c:pt>
                <c:pt idx="35">
                  <c:v>561551</c:v>
                </c:pt>
                <c:pt idx="36">
                  <c:v>571863</c:v>
                </c:pt>
                <c:pt idx="37">
                  <c:v>566896</c:v>
                </c:pt>
                <c:pt idx="38">
                  <c:v>547762</c:v>
                </c:pt>
                <c:pt idx="39">
                  <c:v>513842</c:v>
                </c:pt>
                <c:pt idx="40">
                  <c:v>489956</c:v>
                </c:pt>
                <c:pt idx="41">
                  <c:v>478775</c:v>
                </c:pt>
                <c:pt idx="42">
                  <c:v>485584</c:v>
                </c:pt>
                <c:pt idx="43">
                  <c:v>481535</c:v>
                </c:pt>
                <c:pt idx="44">
                  <c:v>475115</c:v>
                </c:pt>
                <c:pt idx="45">
                  <c:v>470618</c:v>
                </c:pt>
                <c:pt idx="46">
                  <c:v>476404</c:v>
                </c:pt>
                <c:pt idx="47">
                  <c:v>508451</c:v>
                </c:pt>
                <c:pt idx="48">
                  <c:v>534089</c:v>
                </c:pt>
                <c:pt idx="49">
                  <c:v>541685</c:v>
                </c:pt>
                <c:pt idx="50">
                  <c:v>525180</c:v>
                </c:pt>
                <c:pt idx="51">
                  <c:v>497322</c:v>
                </c:pt>
                <c:pt idx="52">
                  <c:v>482099</c:v>
                </c:pt>
                <c:pt idx="53">
                  <c:v>474586</c:v>
                </c:pt>
                <c:pt idx="54">
                  <c:v>485597</c:v>
                </c:pt>
                <c:pt idx="55">
                  <c:v>486693</c:v>
                </c:pt>
                <c:pt idx="56">
                  <c:v>493185</c:v>
                </c:pt>
                <c:pt idx="57">
                  <c:v>496762</c:v>
                </c:pt>
                <c:pt idx="58">
                  <c:v>508498</c:v>
                </c:pt>
                <c:pt idx="59">
                  <c:v>545311</c:v>
                </c:pt>
                <c:pt idx="60">
                  <c:v>585809</c:v>
                </c:pt>
                <c:pt idx="61">
                  <c:v>593683</c:v>
                </c:pt>
                <c:pt idx="62">
                  <c:v>587768</c:v>
                </c:pt>
                <c:pt idx="63">
                  <c:v>565228</c:v>
                </c:pt>
                <c:pt idx="64">
                  <c:v>547463</c:v>
                </c:pt>
                <c:pt idx="65">
                  <c:v>540473</c:v>
                </c:pt>
                <c:pt idx="66">
                  <c:v>551096</c:v>
                </c:pt>
                <c:pt idx="67">
                  <c:v>551731</c:v>
                </c:pt>
                <c:pt idx="68">
                  <c:v>557058</c:v>
                </c:pt>
                <c:pt idx="69">
                  <c:v>556681</c:v>
                </c:pt>
                <c:pt idx="70">
                  <c:v>565313</c:v>
                </c:pt>
                <c:pt idx="71">
                  <c:v>596833</c:v>
                </c:pt>
                <c:pt idx="72">
                  <c:v>629274</c:v>
                </c:pt>
                <c:pt idx="73">
                  <c:v>625390</c:v>
                </c:pt>
                <c:pt idx="74">
                  <c:v>608315</c:v>
                </c:pt>
                <c:pt idx="75">
                  <c:v>574908</c:v>
                </c:pt>
                <c:pt idx="76">
                  <c:v>549973</c:v>
                </c:pt>
                <c:pt idx="77">
                  <c:v>537179</c:v>
                </c:pt>
                <c:pt idx="78">
                  <c:v>541364</c:v>
                </c:pt>
                <c:pt idx="79">
                  <c:v>535225</c:v>
                </c:pt>
                <c:pt idx="80">
                  <c:v>529098</c:v>
                </c:pt>
                <c:pt idx="81">
                  <c:v>519638</c:v>
                </c:pt>
                <c:pt idx="82">
                  <c:v>517508</c:v>
                </c:pt>
                <c:pt idx="83">
                  <c:v>541914</c:v>
                </c:pt>
                <c:pt idx="84">
                  <c:v>556191</c:v>
                </c:pt>
                <c:pt idx="85">
                  <c:v>548117</c:v>
                </c:pt>
                <c:pt idx="86">
                  <c:v>525315</c:v>
                </c:pt>
                <c:pt idx="87">
                  <c:v>491585</c:v>
                </c:pt>
                <c:pt idx="88">
                  <c:v>465689</c:v>
                </c:pt>
                <c:pt idx="89">
                  <c:v>451395</c:v>
                </c:pt>
                <c:pt idx="90">
                  <c:v>456341</c:v>
                </c:pt>
                <c:pt idx="91">
                  <c:v>450666</c:v>
                </c:pt>
                <c:pt idx="92">
                  <c:v>441892</c:v>
                </c:pt>
                <c:pt idx="93">
                  <c:v>430432</c:v>
                </c:pt>
                <c:pt idx="94">
                  <c:v>431364</c:v>
                </c:pt>
                <c:pt idx="95">
                  <c:v>453118</c:v>
                </c:pt>
                <c:pt idx="96">
                  <c:v>467403</c:v>
                </c:pt>
                <c:pt idx="97">
                  <c:v>461254</c:v>
                </c:pt>
                <c:pt idx="98">
                  <c:v>443109</c:v>
                </c:pt>
                <c:pt idx="99">
                  <c:v>414960</c:v>
                </c:pt>
                <c:pt idx="100">
                  <c:v>394789</c:v>
                </c:pt>
                <c:pt idx="101">
                  <c:v>384328</c:v>
                </c:pt>
                <c:pt idx="102">
                  <c:v>392667</c:v>
                </c:pt>
                <c:pt idx="103">
                  <c:v>388474</c:v>
                </c:pt>
                <c:pt idx="104">
                  <c:v>378258</c:v>
                </c:pt>
                <c:pt idx="105">
                  <c:v>366244</c:v>
                </c:pt>
                <c:pt idx="106">
                  <c:v>362755</c:v>
                </c:pt>
                <c:pt idx="107">
                  <c:v>381373</c:v>
                </c:pt>
                <c:pt idx="108">
                  <c:v>389416</c:v>
                </c:pt>
                <c:pt idx="109">
                  <c:v>380208</c:v>
                </c:pt>
                <c:pt idx="110">
                  <c:v>356112</c:v>
                </c:pt>
                <c:pt idx="111">
                  <c:v>327199</c:v>
                </c:pt>
                <c:pt idx="112">
                  <c:v>308521</c:v>
                </c:pt>
                <c:pt idx="113">
                  <c:v>297439</c:v>
                </c:pt>
                <c:pt idx="114">
                  <c:v>303074</c:v>
                </c:pt>
                <c:pt idx="115">
                  <c:v>296826</c:v>
                </c:pt>
                <c:pt idx="116">
                  <c:v>284915</c:v>
                </c:pt>
                <c:pt idx="117">
                  <c:v>271173</c:v>
                </c:pt>
                <c:pt idx="118">
                  <c:v>265469</c:v>
                </c:pt>
                <c:pt idx="119">
                  <c:v>280620</c:v>
                </c:pt>
              </c:numCache>
            </c:numRef>
          </c:val>
          <c:extLst xmlns:c16r2="http://schemas.microsoft.com/office/drawing/2015/06/chart">
            <c:ext xmlns:c16="http://schemas.microsoft.com/office/drawing/2014/chart" uri="{C3380CC4-5D6E-409C-BE32-E72D297353CC}">
              <c16:uniqueId val="{00000000-02AA-4AB3-ACB7-70B1ACB353A4}"/>
            </c:ext>
          </c:extLst>
        </c:ser>
        <c:ser>
          <c:idx val="1"/>
          <c:order val="1"/>
          <c:tx>
            <c:v>ženy</c:v>
          </c:tx>
          <c:spPr>
            <a:ln w="25400">
              <a:solidFill>
                <a:srgbClr val="FF00FF"/>
              </a:solidFill>
              <a:prstDash val="solid"/>
            </a:ln>
          </c:spPr>
          <c:marker>
            <c:symbol val="none"/>
          </c:marker>
          <c:cat>
            <c:numRef>
              <c:f>A!$GX$9:$LM$9</c:f>
              <c:numCache>
                <c:formatCode>General</c:formatCode>
                <c:ptCount val="120"/>
                <c:pt idx="0">
                  <c:v>2008</c:v>
                </c:pt>
                <c:pt idx="12">
                  <c:v>2009</c:v>
                </c:pt>
                <c:pt idx="24">
                  <c:v>2010</c:v>
                </c:pt>
                <c:pt idx="36">
                  <c:v>2011</c:v>
                </c:pt>
                <c:pt idx="48">
                  <c:v>2012</c:v>
                </c:pt>
                <c:pt idx="60">
                  <c:v>2013</c:v>
                </c:pt>
                <c:pt idx="72">
                  <c:v>2014</c:v>
                </c:pt>
                <c:pt idx="84">
                  <c:v>2015</c:v>
                </c:pt>
                <c:pt idx="96">
                  <c:v>2016</c:v>
                </c:pt>
                <c:pt idx="108">
                  <c:v>2017</c:v>
                </c:pt>
              </c:numCache>
            </c:numRef>
          </c:cat>
          <c:val>
            <c:numRef>
              <c:f>A!$GX$106:$LM$106</c:f>
              <c:numCache>
                <c:formatCode>#,##0</c:formatCode>
                <c:ptCount val="120"/>
                <c:pt idx="0">
                  <c:v>192011</c:v>
                </c:pt>
                <c:pt idx="1">
                  <c:v>187568</c:v>
                </c:pt>
                <c:pt idx="2">
                  <c:v>180027</c:v>
                </c:pt>
                <c:pt idx="3">
                  <c:v>173049</c:v>
                </c:pt>
                <c:pt idx="4">
                  <c:v>167458</c:v>
                </c:pt>
                <c:pt idx="5">
                  <c:v>166538</c:v>
                </c:pt>
                <c:pt idx="6">
                  <c:v>175845</c:v>
                </c:pt>
                <c:pt idx="7">
                  <c:v>177463</c:v>
                </c:pt>
                <c:pt idx="8">
                  <c:v>175287</c:v>
                </c:pt>
                <c:pt idx="9">
                  <c:v>171974</c:v>
                </c:pt>
                <c:pt idx="10">
                  <c:v>173474</c:v>
                </c:pt>
                <c:pt idx="11">
                  <c:v>183639</c:v>
                </c:pt>
                <c:pt idx="12">
                  <c:v>198267</c:v>
                </c:pt>
                <c:pt idx="13">
                  <c:v>208845</c:v>
                </c:pt>
                <c:pt idx="14">
                  <c:v>216988</c:v>
                </c:pt>
                <c:pt idx="15">
                  <c:v>223764</c:v>
                </c:pt>
                <c:pt idx="16">
                  <c:v>226770</c:v>
                </c:pt>
                <c:pt idx="17">
                  <c:v>231758</c:v>
                </c:pt>
                <c:pt idx="18">
                  <c:v>246283</c:v>
                </c:pt>
                <c:pt idx="19">
                  <c:v>251833</c:v>
                </c:pt>
                <c:pt idx="20">
                  <c:v>253313</c:v>
                </c:pt>
                <c:pt idx="21">
                  <c:v>251011</c:v>
                </c:pt>
                <c:pt idx="22">
                  <c:v>252238</c:v>
                </c:pt>
                <c:pt idx="23">
                  <c:v>258112</c:v>
                </c:pt>
                <c:pt idx="24">
                  <c:v>264867</c:v>
                </c:pt>
                <c:pt idx="25">
                  <c:v>266511</c:v>
                </c:pt>
                <c:pt idx="26">
                  <c:v>264112</c:v>
                </c:pt>
                <c:pt idx="27">
                  <c:v>256988</c:v>
                </c:pt>
                <c:pt idx="28">
                  <c:v>251506</c:v>
                </c:pt>
                <c:pt idx="29">
                  <c:v>249265</c:v>
                </c:pt>
                <c:pt idx="30">
                  <c:v>258219</c:v>
                </c:pt>
                <c:pt idx="31">
                  <c:v>258987</c:v>
                </c:pt>
                <c:pt idx="32">
                  <c:v>257063</c:v>
                </c:pt>
                <c:pt idx="33">
                  <c:v>253888</c:v>
                </c:pt>
                <c:pt idx="34">
                  <c:v>256358</c:v>
                </c:pt>
                <c:pt idx="35">
                  <c:v>268200</c:v>
                </c:pt>
                <c:pt idx="36">
                  <c:v>266154</c:v>
                </c:pt>
                <c:pt idx="37">
                  <c:v>263172</c:v>
                </c:pt>
                <c:pt idx="38">
                  <c:v>257279</c:v>
                </c:pt>
                <c:pt idx="39">
                  <c:v>249700</c:v>
                </c:pt>
                <c:pt idx="40">
                  <c:v>244160</c:v>
                </c:pt>
                <c:pt idx="41">
                  <c:v>242808</c:v>
                </c:pt>
                <c:pt idx="42">
                  <c:v>251862</c:v>
                </c:pt>
                <c:pt idx="43">
                  <c:v>252061</c:v>
                </c:pt>
                <c:pt idx="44">
                  <c:v>246418</c:v>
                </c:pt>
                <c:pt idx="45">
                  <c:v>243601</c:v>
                </c:pt>
                <c:pt idx="46">
                  <c:v>244174</c:v>
                </c:pt>
                <c:pt idx="47">
                  <c:v>250301</c:v>
                </c:pt>
                <c:pt idx="48">
                  <c:v>256372</c:v>
                </c:pt>
                <c:pt idx="49">
                  <c:v>258425</c:v>
                </c:pt>
                <c:pt idx="50">
                  <c:v>254646</c:v>
                </c:pt>
                <c:pt idx="51">
                  <c:v>247572</c:v>
                </c:pt>
                <c:pt idx="52">
                  <c:v>245520</c:v>
                </c:pt>
                <c:pt idx="53">
                  <c:v>244487</c:v>
                </c:pt>
                <c:pt idx="54">
                  <c:v>255010</c:v>
                </c:pt>
                <c:pt idx="55">
                  <c:v>256316</c:v>
                </c:pt>
                <c:pt idx="56">
                  <c:v>257362</c:v>
                </c:pt>
                <c:pt idx="57">
                  <c:v>258198</c:v>
                </c:pt>
                <c:pt idx="58">
                  <c:v>260675</c:v>
                </c:pt>
                <c:pt idx="59">
                  <c:v>266593</c:v>
                </c:pt>
                <c:pt idx="60">
                  <c:v>274458</c:v>
                </c:pt>
                <c:pt idx="61">
                  <c:v>276702</c:v>
                </c:pt>
                <c:pt idx="62">
                  <c:v>276167</c:v>
                </c:pt>
                <c:pt idx="63">
                  <c:v>271827</c:v>
                </c:pt>
                <c:pt idx="64">
                  <c:v>268933</c:v>
                </c:pt>
                <c:pt idx="65">
                  <c:v>269168</c:v>
                </c:pt>
                <c:pt idx="66">
                  <c:v>280722</c:v>
                </c:pt>
                <c:pt idx="67">
                  <c:v>282381</c:v>
                </c:pt>
                <c:pt idx="68">
                  <c:v>283386</c:v>
                </c:pt>
                <c:pt idx="69">
                  <c:v>282693</c:v>
                </c:pt>
                <c:pt idx="70">
                  <c:v>284200</c:v>
                </c:pt>
                <c:pt idx="71">
                  <c:v>289501</c:v>
                </c:pt>
                <c:pt idx="72">
                  <c:v>297235</c:v>
                </c:pt>
                <c:pt idx="73">
                  <c:v>294924</c:v>
                </c:pt>
                <c:pt idx="74">
                  <c:v>290225</c:v>
                </c:pt>
                <c:pt idx="75">
                  <c:v>281228</c:v>
                </c:pt>
                <c:pt idx="76">
                  <c:v>275033</c:v>
                </c:pt>
                <c:pt idx="77">
                  <c:v>273175</c:v>
                </c:pt>
                <c:pt idx="78">
                  <c:v>281878</c:v>
                </c:pt>
                <c:pt idx="79">
                  <c:v>280370</c:v>
                </c:pt>
                <c:pt idx="80">
                  <c:v>275076</c:v>
                </c:pt>
                <c:pt idx="81">
                  <c:v>269686</c:v>
                </c:pt>
                <c:pt idx="82">
                  <c:v>266321</c:v>
                </c:pt>
                <c:pt idx="83">
                  <c:v>268942</c:v>
                </c:pt>
                <c:pt idx="84">
                  <c:v>269846</c:v>
                </c:pt>
                <c:pt idx="85">
                  <c:v>265402</c:v>
                </c:pt>
                <c:pt idx="86">
                  <c:v>257886</c:v>
                </c:pt>
                <c:pt idx="87">
                  <c:v>247718</c:v>
                </c:pt>
                <c:pt idx="88">
                  <c:v>239395</c:v>
                </c:pt>
                <c:pt idx="89">
                  <c:v>235111</c:v>
                </c:pt>
                <c:pt idx="90">
                  <c:v>243563</c:v>
                </c:pt>
                <c:pt idx="91">
                  <c:v>241608</c:v>
                </c:pt>
                <c:pt idx="92">
                  <c:v>234416</c:v>
                </c:pt>
                <c:pt idx="93">
                  <c:v>227692</c:v>
                </c:pt>
                <c:pt idx="94">
                  <c:v>225321</c:v>
                </c:pt>
                <c:pt idx="95">
                  <c:v>227949</c:v>
                </c:pt>
                <c:pt idx="96">
                  <c:v>229055</c:v>
                </c:pt>
                <c:pt idx="97">
                  <c:v>225658</c:v>
                </c:pt>
                <c:pt idx="98">
                  <c:v>219503</c:v>
                </c:pt>
                <c:pt idx="99">
                  <c:v>211454</c:v>
                </c:pt>
                <c:pt idx="100">
                  <c:v>204826</c:v>
                </c:pt>
                <c:pt idx="101">
                  <c:v>201945</c:v>
                </c:pt>
                <c:pt idx="102">
                  <c:v>211150</c:v>
                </c:pt>
                <c:pt idx="103">
                  <c:v>210105</c:v>
                </c:pt>
                <c:pt idx="104">
                  <c:v>201366</c:v>
                </c:pt>
                <c:pt idx="105">
                  <c:v>193954</c:v>
                </c:pt>
                <c:pt idx="106">
                  <c:v>189731</c:v>
                </c:pt>
                <c:pt idx="107">
                  <c:v>191996</c:v>
                </c:pt>
                <c:pt idx="108">
                  <c:v>190443</c:v>
                </c:pt>
                <c:pt idx="109">
                  <c:v>185390</c:v>
                </c:pt>
                <c:pt idx="110">
                  <c:v>176976</c:v>
                </c:pt>
                <c:pt idx="111">
                  <c:v>167664</c:v>
                </c:pt>
                <c:pt idx="112">
                  <c:v>161306</c:v>
                </c:pt>
                <c:pt idx="113">
                  <c:v>158327</c:v>
                </c:pt>
                <c:pt idx="114">
                  <c:v>164930</c:v>
                </c:pt>
                <c:pt idx="115">
                  <c:v>162468</c:v>
                </c:pt>
                <c:pt idx="116">
                  <c:v>152571</c:v>
                </c:pt>
                <c:pt idx="117">
                  <c:v>144164</c:v>
                </c:pt>
                <c:pt idx="118">
                  <c:v>139359</c:v>
                </c:pt>
                <c:pt idx="119">
                  <c:v>140880</c:v>
                </c:pt>
              </c:numCache>
            </c:numRef>
          </c:val>
          <c:extLst xmlns:c16r2="http://schemas.microsoft.com/office/drawing/2015/06/chart">
            <c:ext xmlns:c16="http://schemas.microsoft.com/office/drawing/2014/chart" uri="{C3380CC4-5D6E-409C-BE32-E72D297353CC}">
              <c16:uniqueId val="{00000001-02AA-4AB3-ACB7-70B1ACB353A4}"/>
            </c:ext>
          </c:extLst>
        </c:ser>
        <c:ser>
          <c:idx val="2"/>
          <c:order val="2"/>
          <c:tx>
            <c:v>muži</c:v>
          </c:tx>
          <c:spPr>
            <a:ln w="25400">
              <a:solidFill>
                <a:srgbClr val="0000FF"/>
              </a:solidFill>
              <a:prstDash val="solid"/>
            </a:ln>
          </c:spPr>
          <c:marker>
            <c:symbol val="none"/>
          </c:marker>
          <c:cat>
            <c:numRef>
              <c:f>A!$GX$9:$LM$9</c:f>
              <c:numCache>
                <c:formatCode>General</c:formatCode>
                <c:ptCount val="120"/>
                <c:pt idx="0">
                  <c:v>2008</c:v>
                </c:pt>
                <c:pt idx="12">
                  <c:v>2009</c:v>
                </c:pt>
                <c:pt idx="24">
                  <c:v>2010</c:v>
                </c:pt>
                <c:pt idx="36">
                  <c:v>2011</c:v>
                </c:pt>
                <c:pt idx="48">
                  <c:v>2012</c:v>
                </c:pt>
                <c:pt idx="60">
                  <c:v>2013</c:v>
                </c:pt>
                <c:pt idx="72">
                  <c:v>2014</c:v>
                </c:pt>
                <c:pt idx="84">
                  <c:v>2015</c:v>
                </c:pt>
                <c:pt idx="96">
                  <c:v>2016</c:v>
                </c:pt>
                <c:pt idx="108">
                  <c:v>2017</c:v>
                </c:pt>
              </c:numCache>
            </c:numRef>
          </c:cat>
          <c:val>
            <c:numRef>
              <c:f>A!$GX$104:$LM$104</c:f>
              <c:numCache>
                <c:formatCode>#,##0</c:formatCode>
                <c:ptCount val="120"/>
                <c:pt idx="0">
                  <c:v>172533</c:v>
                </c:pt>
                <c:pt idx="1">
                  <c:v>167465</c:v>
                </c:pt>
                <c:pt idx="2">
                  <c:v>156270</c:v>
                </c:pt>
                <c:pt idx="3">
                  <c:v>143069</c:v>
                </c:pt>
                <c:pt idx="4">
                  <c:v>135049</c:v>
                </c:pt>
                <c:pt idx="5">
                  <c:v>131342</c:v>
                </c:pt>
                <c:pt idx="6">
                  <c:v>134213</c:v>
                </c:pt>
                <c:pt idx="7">
                  <c:v>134870</c:v>
                </c:pt>
                <c:pt idx="8">
                  <c:v>139271</c:v>
                </c:pt>
                <c:pt idx="9">
                  <c:v>139731</c:v>
                </c:pt>
                <c:pt idx="10">
                  <c:v>146825</c:v>
                </c:pt>
                <c:pt idx="11">
                  <c:v>168611</c:v>
                </c:pt>
                <c:pt idx="12">
                  <c:v>199794</c:v>
                </c:pt>
                <c:pt idx="13">
                  <c:v>220003</c:v>
                </c:pt>
                <c:pt idx="14">
                  <c:v>231924</c:v>
                </c:pt>
                <c:pt idx="15">
                  <c:v>232962</c:v>
                </c:pt>
                <c:pt idx="16">
                  <c:v>230791</c:v>
                </c:pt>
                <c:pt idx="17">
                  <c:v>231797</c:v>
                </c:pt>
                <c:pt idx="18">
                  <c:v>239036</c:v>
                </c:pt>
                <c:pt idx="19">
                  <c:v>241918</c:v>
                </c:pt>
                <c:pt idx="20">
                  <c:v>247499</c:v>
                </c:pt>
                <c:pt idx="21">
                  <c:v>247749</c:v>
                </c:pt>
                <c:pt idx="22">
                  <c:v>256671</c:v>
                </c:pt>
                <c:pt idx="23">
                  <c:v>281024</c:v>
                </c:pt>
                <c:pt idx="24">
                  <c:v>309359</c:v>
                </c:pt>
                <c:pt idx="25">
                  <c:v>316624</c:v>
                </c:pt>
                <c:pt idx="26">
                  <c:v>308712</c:v>
                </c:pt>
                <c:pt idx="27">
                  <c:v>283140</c:v>
                </c:pt>
                <c:pt idx="28">
                  <c:v>263273</c:v>
                </c:pt>
                <c:pt idx="29">
                  <c:v>251235</c:v>
                </c:pt>
                <c:pt idx="30">
                  <c:v>247065</c:v>
                </c:pt>
                <c:pt idx="31">
                  <c:v>242507</c:v>
                </c:pt>
                <c:pt idx="32">
                  <c:v>243418</c:v>
                </c:pt>
                <c:pt idx="33">
                  <c:v>241273</c:v>
                </c:pt>
                <c:pt idx="34">
                  <c:v>250282</c:v>
                </c:pt>
                <c:pt idx="35">
                  <c:v>293351</c:v>
                </c:pt>
                <c:pt idx="36">
                  <c:v>305709</c:v>
                </c:pt>
                <c:pt idx="37">
                  <c:v>303724</c:v>
                </c:pt>
                <c:pt idx="38">
                  <c:v>290483</c:v>
                </c:pt>
                <c:pt idx="39">
                  <c:v>264142</c:v>
                </c:pt>
                <c:pt idx="40">
                  <c:v>245796</c:v>
                </c:pt>
                <c:pt idx="41">
                  <c:v>235967</c:v>
                </c:pt>
                <c:pt idx="42">
                  <c:v>233722</c:v>
                </c:pt>
                <c:pt idx="43">
                  <c:v>229474</c:v>
                </c:pt>
                <c:pt idx="44">
                  <c:v>228697</c:v>
                </c:pt>
                <c:pt idx="45">
                  <c:v>227017</c:v>
                </c:pt>
                <c:pt idx="46">
                  <c:v>232230</c:v>
                </c:pt>
                <c:pt idx="47">
                  <c:v>258150</c:v>
                </c:pt>
                <c:pt idx="48">
                  <c:v>277717</c:v>
                </c:pt>
                <c:pt idx="49">
                  <c:v>283260</c:v>
                </c:pt>
                <c:pt idx="50">
                  <c:v>270534</c:v>
                </c:pt>
                <c:pt idx="51">
                  <c:v>249750</c:v>
                </c:pt>
                <c:pt idx="52">
                  <c:v>236579</c:v>
                </c:pt>
                <c:pt idx="53">
                  <c:v>230099</c:v>
                </c:pt>
                <c:pt idx="54">
                  <c:v>230587</c:v>
                </c:pt>
                <c:pt idx="55">
                  <c:v>230377</c:v>
                </c:pt>
                <c:pt idx="56">
                  <c:v>235823</c:v>
                </c:pt>
                <c:pt idx="57">
                  <c:v>238564</c:v>
                </c:pt>
                <c:pt idx="58">
                  <c:v>247823</c:v>
                </c:pt>
                <c:pt idx="59">
                  <c:v>278718</c:v>
                </c:pt>
                <c:pt idx="60">
                  <c:v>311351</c:v>
                </c:pt>
                <c:pt idx="61">
                  <c:v>316981</c:v>
                </c:pt>
                <c:pt idx="62">
                  <c:v>311601</c:v>
                </c:pt>
                <c:pt idx="63">
                  <c:v>293401</c:v>
                </c:pt>
                <c:pt idx="64">
                  <c:v>278530</c:v>
                </c:pt>
                <c:pt idx="65">
                  <c:v>271305</c:v>
                </c:pt>
                <c:pt idx="66">
                  <c:v>270374</c:v>
                </c:pt>
                <c:pt idx="67">
                  <c:v>269350</c:v>
                </c:pt>
                <c:pt idx="68">
                  <c:v>273672</c:v>
                </c:pt>
                <c:pt idx="69">
                  <c:v>273988</c:v>
                </c:pt>
                <c:pt idx="70">
                  <c:v>281113</c:v>
                </c:pt>
                <c:pt idx="71">
                  <c:v>307332</c:v>
                </c:pt>
                <c:pt idx="72">
                  <c:v>332039</c:v>
                </c:pt>
                <c:pt idx="73">
                  <c:v>330466</c:v>
                </c:pt>
                <c:pt idx="74">
                  <c:v>318090</c:v>
                </c:pt>
                <c:pt idx="75">
                  <c:v>293680</c:v>
                </c:pt>
                <c:pt idx="76">
                  <c:v>274940</c:v>
                </c:pt>
                <c:pt idx="77">
                  <c:v>264004</c:v>
                </c:pt>
                <c:pt idx="78">
                  <c:v>259486</c:v>
                </c:pt>
                <c:pt idx="79">
                  <c:v>254855</c:v>
                </c:pt>
                <c:pt idx="80">
                  <c:v>254022</c:v>
                </c:pt>
                <c:pt idx="81">
                  <c:v>249952</c:v>
                </c:pt>
                <c:pt idx="82">
                  <c:v>251187</c:v>
                </c:pt>
                <c:pt idx="83">
                  <c:v>272972</c:v>
                </c:pt>
                <c:pt idx="84">
                  <c:v>286345</c:v>
                </c:pt>
                <c:pt idx="85">
                  <c:v>282715</c:v>
                </c:pt>
                <c:pt idx="86">
                  <c:v>267429</c:v>
                </c:pt>
                <c:pt idx="87">
                  <c:v>243867</c:v>
                </c:pt>
                <c:pt idx="88">
                  <c:v>226294</c:v>
                </c:pt>
                <c:pt idx="89">
                  <c:v>216284</c:v>
                </c:pt>
                <c:pt idx="90">
                  <c:v>212778</c:v>
                </c:pt>
                <c:pt idx="91">
                  <c:v>209058</c:v>
                </c:pt>
                <c:pt idx="92">
                  <c:v>207476</c:v>
                </c:pt>
                <c:pt idx="93">
                  <c:v>202740</c:v>
                </c:pt>
                <c:pt idx="94">
                  <c:v>206043</c:v>
                </c:pt>
                <c:pt idx="95">
                  <c:v>225169</c:v>
                </c:pt>
                <c:pt idx="96">
                  <c:v>238348</c:v>
                </c:pt>
                <c:pt idx="97">
                  <c:v>235596</c:v>
                </c:pt>
                <c:pt idx="98">
                  <c:v>223606</c:v>
                </c:pt>
                <c:pt idx="99">
                  <c:v>203506</c:v>
                </c:pt>
                <c:pt idx="100">
                  <c:v>189963</c:v>
                </c:pt>
                <c:pt idx="101">
                  <c:v>182383</c:v>
                </c:pt>
                <c:pt idx="102">
                  <c:v>181517</c:v>
                </c:pt>
                <c:pt idx="103">
                  <c:v>178369</c:v>
                </c:pt>
                <c:pt idx="104">
                  <c:v>176892</c:v>
                </c:pt>
                <c:pt idx="105">
                  <c:v>172290</c:v>
                </c:pt>
                <c:pt idx="106">
                  <c:v>173024</c:v>
                </c:pt>
                <c:pt idx="107">
                  <c:v>189377</c:v>
                </c:pt>
                <c:pt idx="108">
                  <c:v>198973</c:v>
                </c:pt>
                <c:pt idx="109">
                  <c:v>194818</c:v>
                </c:pt>
                <c:pt idx="110">
                  <c:v>179136</c:v>
                </c:pt>
                <c:pt idx="111">
                  <c:v>159535</c:v>
                </c:pt>
                <c:pt idx="112">
                  <c:v>147215</c:v>
                </c:pt>
                <c:pt idx="113">
                  <c:v>139112</c:v>
                </c:pt>
                <c:pt idx="114">
                  <c:v>138144</c:v>
                </c:pt>
                <c:pt idx="115">
                  <c:v>134358</c:v>
                </c:pt>
                <c:pt idx="116">
                  <c:v>132344</c:v>
                </c:pt>
                <c:pt idx="117">
                  <c:v>127009</c:v>
                </c:pt>
                <c:pt idx="118">
                  <c:v>126110</c:v>
                </c:pt>
                <c:pt idx="119">
                  <c:v>139740</c:v>
                </c:pt>
              </c:numCache>
            </c:numRef>
          </c:val>
          <c:extLst xmlns:c16r2="http://schemas.microsoft.com/office/drawing/2015/06/chart">
            <c:ext xmlns:c16="http://schemas.microsoft.com/office/drawing/2014/chart" uri="{C3380CC4-5D6E-409C-BE32-E72D297353CC}">
              <c16:uniqueId val="{00000002-02AA-4AB3-ACB7-70B1ACB353A4}"/>
            </c:ext>
          </c:extLst>
        </c:ser>
        <c:marker val="1"/>
        <c:axId val="175013888"/>
        <c:axId val="175015424"/>
      </c:lineChart>
      <c:catAx>
        <c:axId val="175013888"/>
        <c:scaling>
          <c:orientation val="minMax"/>
        </c:scaling>
        <c:axPos val="b"/>
        <c:majorGridlines>
          <c:spPr>
            <a:ln w="3175">
              <a:solidFill>
                <a:srgbClr val="000000"/>
              </a:solidFill>
              <a:prstDash val="sysDash"/>
            </a:ln>
          </c:spPr>
        </c:majorGridlines>
        <c:numFmt formatCode="General" sourceLinked="1"/>
        <c:tickLblPos val="nextTo"/>
        <c:spPr>
          <a:ln w="3175">
            <a:solidFill>
              <a:srgbClr val="000000"/>
            </a:solidFill>
            <a:prstDash val="solid"/>
          </a:ln>
        </c:spPr>
        <c:txPr>
          <a:bodyPr rot="60000" vert="horz"/>
          <a:lstStyle/>
          <a:p>
            <a:pPr>
              <a:defRPr sz="900" b="1" i="0" u="none" strike="noStrike" baseline="0">
                <a:solidFill>
                  <a:srgbClr val="000000"/>
                </a:solidFill>
                <a:latin typeface="Arial"/>
                <a:ea typeface="Arial"/>
                <a:cs typeface="Arial"/>
              </a:defRPr>
            </a:pPr>
            <a:endParaRPr lang="cs-CZ"/>
          </a:p>
        </c:txPr>
        <c:crossAx val="175015424"/>
        <c:crosses val="autoZero"/>
        <c:auto val="1"/>
        <c:lblAlgn val="ctr"/>
        <c:lblOffset val="100"/>
        <c:tickLblSkip val="2"/>
        <c:tickMarkSkip val="12"/>
      </c:catAx>
      <c:valAx>
        <c:axId val="175015424"/>
        <c:scaling>
          <c:orientation val="minMax"/>
          <c:max val="700000"/>
          <c:min val="0"/>
        </c:scaling>
        <c:axPos val="l"/>
        <c:majorGridlines>
          <c:spPr>
            <a:ln w="3175">
              <a:solidFill>
                <a:srgbClr val="000000"/>
              </a:solidFill>
              <a:prstDash val="sysDash"/>
            </a:ln>
          </c:spPr>
        </c:majorGridlines>
        <c:title>
          <c:tx>
            <c:rich>
              <a:bodyPr/>
              <a:lstStyle/>
              <a:p>
                <a:pPr>
                  <a:defRPr sz="800" b="0" i="0" u="none" strike="noStrike" baseline="0">
                    <a:solidFill>
                      <a:srgbClr val="000000"/>
                    </a:solidFill>
                    <a:latin typeface="Arial"/>
                    <a:ea typeface="Arial"/>
                    <a:cs typeface="Arial"/>
                  </a:defRPr>
                </a:pPr>
                <a:r>
                  <a:rPr lang="cs-CZ" sz="800" b="0"/>
                  <a:t>počet uchazečů (v tis.)</a:t>
                </a:r>
              </a:p>
            </c:rich>
          </c:tx>
          <c:layout>
            <c:manualLayout>
              <c:xMode val="edge"/>
              <c:yMode val="edge"/>
              <c:x val="1.0060362173038228E-2"/>
              <c:y val="0.39228295819935827"/>
            </c:manualLayout>
          </c:layout>
          <c:spPr>
            <a:noFill/>
            <a:ln w="25400">
              <a:noFill/>
            </a:ln>
          </c:spPr>
        </c:title>
        <c:numFmt formatCode="0"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cs-CZ"/>
          </a:p>
        </c:txPr>
        <c:crossAx val="175013888"/>
        <c:crosses val="autoZero"/>
        <c:crossBetween val="between"/>
        <c:dispUnits>
          <c:builtInUnit val="thousands"/>
        </c:dispUnits>
      </c:valAx>
      <c:spPr>
        <a:solidFill>
          <a:srgbClr val="FFFFFF"/>
        </a:solidFill>
        <a:ln w="12700">
          <a:solidFill>
            <a:srgbClr val="808080"/>
          </a:solidFill>
          <a:prstDash val="solid"/>
        </a:ln>
      </c:spPr>
    </c:plotArea>
    <c:legend>
      <c:legendPos val="r"/>
      <c:layout>
        <c:manualLayout>
          <c:xMode val="edge"/>
          <c:yMode val="edge"/>
          <c:x val="0.13932965981591483"/>
          <c:y val="0.93406566510474531"/>
          <c:w val="0.71840022921111468"/>
          <c:h val="6.1881155530799779E-2"/>
        </c:manualLayout>
      </c:layout>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cs-CZ"/>
        </a:p>
      </c:txPr>
    </c:legend>
    <c:plotVisOnly val="1"/>
    <c:dispBlanksAs val="gap"/>
  </c:chart>
  <c:spPr>
    <a:solidFill>
      <a:srgbClr val="FFFFFF"/>
    </a:solidFill>
    <a:ln w="9525">
      <a:solidFill>
        <a:schemeClr val="tx1"/>
      </a:solidFill>
    </a:ln>
  </c:spPr>
  <c:txPr>
    <a:bodyPr/>
    <a:lstStyle/>
    <a:p>
      <a:pPr>
        <a:defRPr sz="1125" b="0" i="0" u="none" strike="noStrike" baseline="0">
          <a:solidFill>
            <a:srgbClr val="000000"/>
          </a:solidFill>
          <a:latin typeface="Arial"/>
          <a:ea typeface="Arial"/>
          <a:cs typeface="Arial"/>
        </a:defRPr>
      </a:pPr>
      <a:endParaRPr lang="cs-CZ"/>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en-US" sz="1400"/>
              <a:t>Mezi</a:t>
            </a:r>
            <a:r>
              <a:rPr lang="cs-CZ" sz="1400"/>
              <a:t>roční</a:t>
            </a:r>
            <a:r>
              <a:rPr lang="en-US" sz="1400"/>
              <a:t> rozdíly počtu uchazečů o zaměstnání</a:t>
            </a:r>
            <a:endParaRPr lang="cs-CZ" sz="1400"/>
          </a:p>
          <a:p>
            <a:pPr>
              <a:defRPr/>
            </a:pPr>
            <a:r>
              <a:rPr lang="cs-CZ" sz="1200" b="1" i="0" u="none" strike="noStrike" baseline="0">
                <a:effectLst/>
              </a:rPr>
              <a:t>v letech </a:t>
            </a:r>
            <a:r>
              <a:rPr lang="cs-CZ" sz="1200"/>
              <a:t>2008-2017</a:t>
            </a:r>
            <a:endParaRPr lang="en-US" sz="1200"/>
          </a:p>
        </c:rich>
      </c:tx>
    </c:title>
    <c:plotArea>
      <c:layout>
        <c:manualLayout>
          <c:layoutTarget val="inner"/>
          <c:xMode val="edge"/>
          <c:yMode val="edge"/>
          <c:x val="0.12120009544261517"/>
          <c:y val="0.2246780516071854"/>
          <c:w val="0.82925793366738265"/>
          <c:h val="0.67839301821018561"/>
        </c:manualLayout>
      </c:layout>
      <c:barChart>
        <c:barDir val="col"/>
        <c:grouping val="clustered"/>
        <c:ser>
          <c:idx val="0"/>
          <c:order val="0"/>
          <c:cat>
            <c:numRef>
              <c:f>A!$GX$8:$LM$8</c:f>
              <c:numCache>
                <c:formatCode>General</c:formatCode>
                <c:ptCount val="120"/>
                <c:pt idx="5">
                  <c:v>2008</c:v>
                </c:pt>
                <c:pt idx="17">
                  <c:v>2009</c:v>
                </c:pt>
                <c:pt idx="29">
                  <c:v>2010</c:v>
                </c:pt>
                <c:pt idx="41">
                  <c:v>2011</c:v>
                </c:pt>
                <c:pt idx="53">
                  <c:v>2012</c:v>
                </c:pt>
                <c:pt idx="65">
                  <c:v>2013</c:v>
                </c:pt>
                <c:pt idx="77">
                  <c:v>2014</c:v>
                </c:pt>
                <c:pt idx="89">
                  <c:v>2015</c:v>
                </c:pt>
                <c:pt idx="101">
                  <c:v>2016</c:v>
                </c:pt>
                <c:pt idx="113">
                  <c:v>2017</c:v>
                </c:pt>
              </c:numCache>
            </c:numRef>
          </c:cat>
          <c:val>
            <c:numRef>
              <c:f>A!$GX$96:$LM$96</c:f>
              <c:numCache>
                <c:formatCode>General</c:formatCode>
                <c:ptCount val="120"/>
                <c:pt idx="0">
                  <c:v>-100914</c:v>
                </c:pt>
                <c:pt idx="1">
                  <c:v>-99704</c:v>
                </c:pt>
                <c:pt idx="2">
                  <c:v>-94177</c:v>
                </c:pt>
                <c:pt idx="3">
                  <c:v>-86814</c:v>
                </c:pt>
                <c:pt idx="4">
                  <c:v>-80092</c:v>
                </c:pt>
                <c:pt idx="5">
                  <c:v>-72911</c:v>
                </c:pt>
                <c:pt idx="6">
                  <c:v>-66550</c:v>
                </c:pt>
                <c:pt idx="7">
                  <c:v>-60426</c:v>
                </c:pt>
                <c:pt idx="8">
                  <c:v>-50420</c:v>
                </c:pt>
                <c:pt idx="9">
                  <c:v>-37137</c:v>
                </c:pt>
                <c:pt idx="10">
                  <c:v>-21139</c:v>
                </c:pt>
                <c:pt idx="11">
                  <c:v>-2628</c:v>
                </c:pt>
                <c:pt idx="12">
                  <c:v>33517</c:v>
                </c:pt>
                <c:pt idx="13">
                  <c:v>73815</c:v>
                </c:pt>
                <c:pt idx="14">
                  <c:v>112615</c:v>
                </c:pt>
                <c:pt idx="15">
                  <c:v>140608</c:v>
                </c:pt>
                <c:pt idx="16">
                  <c:v>155054</c:v>
                </c:pt>
                <c:pt idx="17">
                  <c:v>165675</c:v>
                </c:pt>
                <c:pt idx="18">
                  <c:v>175261</c:v>
                </c:pt>
                <c:pt idx="19">
                  <c:v>181418</c:v>
                </c:pt>
                <c:pt idx="20">
                  <c:v>186254</c:v>
                </c:pt>
                <c:pt idx="21">
                  <c:v>187055</c:v>
                </c:pt>
                <c:pt idx="22">
                  <c:v>188610</c:v>
                </c:pt>
                <c:pt idx="23">
                  <c:v>186886</c:v>
                </c:pt>
                <c:pt idx="24">
                  <c:v>176165</c:v>
                </c:pt>
                <c:pt idx="25">
                  <c:v>154287</c:v>
                </c:pt>
                <c:pt idx="26">
                  <c:v>123912</c:v>
                </c:pt>
                <c:pt idx="27">
                  <c:v>83402</c:v>
                </c:pt>
                <c:pt idx="28">
                  <c:v>57218</c:v>
                </c:pt>
                <c:pt idx="29">
                  <c:v>36945</c:v>
                </c:pt>
                <c:pt idx="30">
                  <c:v>19965</c:v>
                </c:pt>
                <c:pt idx="31">
                  <c:v>7743</c:v>
                </c:pt>
                <c:pt idx="32">
                  <c:v>-331</c:v>
                </c:pt>
                <c:pt idx="33">
                  <c:v>-3599</c:v>
                </c:pt>
                <c:pt idx="34">
                  <c:v>-2269</c:v>
                </c:pt>
                <c:pt idx="35">
                  <c:v>22415</c:v>
                </c:pt>
                <c:pt idx="36">
                  <c:v>-2363</c:v>
                </c:pt>
                <c:pt idx="37">
                  <c:v>-16239</c:v>
                </c:pt>
                <c:pt idx="38">
                  <c:v>-25062</c:v>
                </c:pt>
                <c:pt idx="39">
                  <c:v>-26286</c:v>
                </c:pt>
                <c:pt idx="40">
                  <c:v>-24823</c:v>
                </c:pt>
                <c:pt idx="41">
                  <c:v>-21725</c:v>
                </c:pt>
                <c:pt idx="42">
                  <c:v>-19700</c:v>
                </c:pt>
                <c:pt idx="43">
                  <c:v>-19959</c:v>
                </c:pt>
                <c:pt idx="44">
                  <c:v>-25366</c:v>
                </c:pt>
                <c:pt idx="45">
                  <c:v>-24543</c:v>
                </c:pt>
                <c:pt idx="46">
                  <c:v>-30236</c:v>
                </c:pt>
                <c:pt idx="47">
                  <c:v>-53100</c:v>
                </c:pt>
                <c:pt idx="48">
                  <c:v>-37774</c:v>
                </c:pt>
                <c:pt idx="49">
                  <c:v>-25211</c:v>
                </c:pt>
                <c:pt idx="50">
                  <c:v>-22582</c:v>
                </c:pt>
                <c:pt idx="51">
                  <c:v>-16520</c:v>
                </c:pt>
                <c:pt idx="52">
                  <c:v>-7857</c:v>
                </c:pt>
                <c:pt idx="53">
                  <c:v>-4189</c:v>
                </c:pt>
                <c:pt idx="54">
                  <c:v>13</c:v>
                </c:pt>
                <c:pt idx="55">
                  <c:v>5158</c:v>
                </c:pt>
                <c:pt idx="56">
                  <c:v>18070</c:v>
                </c:pt>
                <c:pt idx="57">
                  <c:v>26144</c:v>
                </c:pt>
                <c:pt idx="58">
                  <c:v>32094</c:v>
                </c:pt>
                <c:pt idx="59">
                  <c:v>36860</c:v>
                </c:pt>
                <c:pt idx="60">
                  <c:v>51720</c:v>
                </c:pt>
                <c:pt idx="61">
                  <c:v>51998</c:v>
                </c:pt>
                <c:pt idx="62">
                  <c:v>62588</c:v>
                </c:pt>
                <c:pt idx="63">
                  <c:v>67906</c:v>
                </c:pt>
                <c:pt idx="64">
                  <c:v>65364</c:v>
                </c:pt>
                <c:pt idx="65" formatCode="0">
                  <c:v>65887</c:v>
                </c:pt>
                <c:pt idx="66" formatCode="0">
                  <c:v>65499</c:v>
                </c:pt>
                <c:pt idx="67" formatCode="0">
                  <c:v>65038</c:v>
                </c:pt>
                <c:pt idx="68" formatCode="0">
                  <c:v>63873</c:v>
                </c:pt>
                <c:pt idx="69" formatCode="0">
                  <c:v>59919</c:v>
                </c:pt>
                <c:pt idx="70" formatCode="0">
                  <c:v>56815</c:v>
                </c:pt>
                <c:pt idx="71" formatCode="0">
                  <c:v>51522</c:v>
                </c:pt>
                <c:pt idx="72" formatCode="0">
                  <c:v>43465</c:v>
                </c:pt>
                <c:pt idx="73" formatCode="0">
                  <c:v>31707</c:v>
                </c:pt>
                <c:pt idx="74" formatCode="0">
                  <c:v>20547</c:v>
                </c:pt>
                <c:pt idx="75" formatCode="0">
                  <c:v>9680</c:v>
                </c:pt>
                <c:pt idx="76" formatCode="0">
                  <c:v>2510</c:v>
                </c:pt>
                <c:pt idx="77" formatCode="0">
                  <c:v>-3294</c:v>
                </c:pt>
                <c:pt idx="78" formatCode="0">
                  <c:v>-9732</c:v>
                </c:pt>
                <c:pt idx="79" formatCode="0">
                  <c:v>-16506</c:v>
                </c:pt>
                <c:pt idx="80" formatCode="0">
                  <c:v>-27960</c:v>
                </c:pt>
                <c:pt idx="81" formatCode="0">
                  <c:v>-37043</c:v>
                </c:pt>
                <c:pt idx="82" formatCode="0">
                  <c:v>-47805</c:v>
                </c:pt>
                <c:pt idx="83" formatCode="0">
                  <c:v>-54919</c:v>
                </c:pt>
                <c:pt idx="84" formatCode="0">
                  <c:v>-73083</c:v>
                </c:pt>
                <c:pt idx="85" formatCode="0">
                  <c:v>-77273</c:v>
                </c:pt>
                <c:pt idx="86" formatCode="0">
                  <c:v>-83000</c:v>
                </c:pt>
                <c:pt idx="87" formatCode="0">
                  <c:v>-83323</c:v>
                </c:pt>
                <c:pt idx="88" formatCode="0">
                  <c:v>-84284</c:v>
                </c:pt>
                <c:pt idx="89" formatCode="0">
                  <c:v>-85784</c:v>
                </c:pt>
                <c:pt idx="90" formatCode="0">
                  <c:v>-85023</c:v>
                </c:pt>
                <c:pt idx="91" formatCode="0">
                  <c:v>-84559</c:v>
                </c:pt>
                <c:pt idx="92" formatCode="0">
                  <c:v>-87206</c:v>
                </c:pt>
                <c:pt idx="93" formatCode="0">
                  <c:v>-89206</c:v>
                </c:pt>
                <c:pt idx="94" formatCode="0">
                  <c:v>-86144</c:v>
                </c:pt>
                <c:pt idx="95" formatCode="0">
                  <c:v>-88796</c:v>
                </c:pt>
                <c:pt idx="96" formatCode="0">
                  <c:v>-88788</c:v>
                </c:pt>
                <c:pt idx="97" formatCode="0">
                  <c:v>-86863</c:v>
                </c:pt>
                <c:pt idx="98" formatCode="0">
                  <c:v>-82206</c:v>
                </c:pt>
                <c:pt idx="99" formatCode="0">
                  <c:v>-76625</c:v>
                </c:pt>
                <c:pt idx="100" formatCode="0">
                  <c:v>-70900</c:v>
                </c:pt>
                <c:pt idx="101" formatCode="0">
                  <c:v>-67067</c:v>
                </c:pt>
                <c:pt idx="102" formatCode="0">
                  <c:v>-63674</c:v>
                </c:pt>
                <c:pt idx="103" formatCode="0">
                  <c:v>-62192</c:v>
                </c:pt>
                <c:pt idx="104" formatCode="0">
                  <c:v>-63634</c:v>
                </c:pt>
                <c:pt idx="105" formatCode="0">
                  <c:v>-64188</c:v>
                </c:pt>
                <c:pt idx="106" formatCode="0">
                  <c:v>-68609</c:v>
                </c:pt>
                <c:pt idx="107" formatCode="0">
                  <c:v>-71745</c:v>
                </c:pt>
                <c:pt idx="108" formatCode="0">
                  <c:v>-77987</c:v>
                </c:pt>
                <c:pt idx="109" formatCode="0">
                  <c:v>-81046</c:v>
                </c:pt>
                <c:pt idx="110" formatCode="0">
                  <c:v>-86997</c:v>
                </c:pt>
                <c:pt idx="111" formatCode="0">
                  <c:v>-87761</c:v>
                </c:pt>
                <c:pt idx="112" formatCode="0">
                  <c:v>-86268</c:v>
                </c:pt>
                <c:pt idx="113" formatCode="0">
                  <c:v>-86889</c:v>
                </c:pt>
                <c:pt idx="114" formatCode="0">
                  <c:v>-89593</c:v>
                </c:pt>
                <c:pt idx="115" formatCode="0">
                  <c:v>-91648</c:v>
                </c:pt>
                <c:pt idx="116" formatCode="0">
                  <c:v>-93343</c:v>
                </c:pt>
                <c:pt idx="117" formatCode="0">
                  <c:v>-95071</c:v>
                </c:pt>
                <c:pt idx="118" formatCode="0">
                  <c:v>-97286</c:v>
                </c:pt>
                <c:pt idx="119" formatCode="0">
                  <c:v>-100753</c:v>
                </c:pt>
              </c:numCache>
            </c:numRef>
          </c:val>
          <c:extLst xmlns:c16r2="http://schemas.microsoft.com/office/drawing/2015/06/chart">
            <c:ext xmlns:c16="http://schemas.microsoft.com/office/drawing/2014/chart" uri="{C3380CC4-5D6E-409C-BE32-E72D297353CC}">
              <c16:uniqueId val="{00000000-076C-4066-BB84-7276CF979907}"/>
            </c:ext>
          </c:extLst>
        </c:ser>
        <c:gapWidth val="48"/>
        <c:axId val="165992704"/>
        <c:axId val="173981696"/>
      </c:barChart>
      <c:catAx>
        <c:axId val="165992704"/>
        <c:scaling>
          <c:orientation val="minMax"/>
        </c:scaling>
        <c:axPos val="b"/>
        <c:majorGridlines/>
        <c:numFmt formatCode="0" sourceLinked="0"/>
        <c:majorTickMark val="none"/>
        <c:tickLblPos val="low"/>
        <c:txPr>
          <a:bodyPr rot="60000" anchor="b" anchorCtr="0"/>
          <a:lstStyle/>
          <a:p>
            <a:pPr>
              <a:defRPr sz="900" b="1">
                <a:latin typeface="Arial" panose="020B0604020202020204" pitchFamily="34" charset="0"/>
                <a:cs typeface="Arial" panose="020B0604020202020204" pitchFamily="34" charset="0"/>
              </a:defRPr>
            </a:pPr>
            <a:endParaRPr lang="cs-CZ"/>
          </a:p>
        </c:txPr>
        <c:crossAx val="173981696"/>
        <c:crosses val="autoZero"/>
        <c:auto val="1"/>
        <c:lblAlgn val="ctr"/>
        <c:lblOffset val="100"/>
        <c:tickMarkSkip val="12"/>
      </c:catAx>
      <c:valAx>
        <c:axId val="173981696"/>
        <c:scaling>
          <c:orientation val="minMax"/>
          <c:max val="200000"/>
        </c:scaling>
        <c:axPos val="l"/>
        <c:majorGridlines/>
        <c:title>
          <c:tx>
            <c:rich>
              <a:bodyPr/>
              <a:lstStyle/>
              <a:p>
                <a:pPr>
                  <a:defRPr/>
                </a:pPr>
                <a:r>
                  <a:rPr lang="cs-CZ" sz="800" b="0"/>
                  <a:t>meziroční rozdíly v tis</a:t>
                </a:r>
                <a:r>
                  <a:rPr lang="cs-CZ" sz="800"/>
                  <a:t>.</a:t>
                </a:r>
              </a:p>
            </c:rich>
          </c:tx>
        </c:title>
        <c:numFmt formatCode="General" sourceLinked="1"/>
        <c:majorTickMark val="none"/>
        <c:tickLblPos val="low"/>
        <c:txPr>
          <a:bodyPr anchor="b" anchorCtr="0"/>
          <a:lstStyle/>
          <a:p>
            <a:pPr>
              <a:defRPr sz="800"/>
            </a:pPr>
            <a:endParaRPr lang="cs-CZ"/>
          </a:p>
        </c:txPr>
        <c:crossAx val="165992704"/>
        <c:crossesAt val="1"/>
        <c:crossBetween val="between"/>
        <c:dispUnits>
          <c:builtInUnit val="thousands"/>
        </c:dispUnits>
      </c:valAx>
      <c:spPr>
        <a:noFill/>
        <a:ln>
          <a:solidFill>
            <a:schemeClr val="tx1"/>
          </a:solidFill>
        </a:ln>
      </c:spPr>
    </c:plotArea>
    <c:plotVisOnly val="1"/>
    <c:dispBlanksAs val="gap"/>
  </c:chart>
  <c:spPr>
    <a:ln>
      <a:solidFill>
        <a:schemeClr val="tx1"/>
      </a:solid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400"/>
            </a:pPr>
            <a:r>
              <a:rPr lang="cs-CZ"/>
              <a:t>Uchazeči o zaměstnání na 1 VPM podle krajů                                                  </a:t>
            </a:r>
          </a:p>
        </c:rich>
      </c:tx>
      <c:layout>
        <c:manualLayout>
          <c:xMode val="edge"/>
          <c:yMode val="edge"/>
          <c:x val="0.21543953294179974"/>
          <c:y val="3.9268178327563519E-2"/>
        </c:manualLayout>
      </c:layout>
    </c:title>
    <c:plotArea>
      <c:layout>
        <c:manualLayout>
          <c:layoutTarget val="inner"/>
          <c:xMode val="edge"/>
          <c:yMode val="edge"/>
          <c:x val="8.2498915787559066E-2"/>
          <c:y val="0.16223661558434233"/>
          <c:w val="0.89329871504740799"/>
          <c:h val="0.61416051236911395"/>
        </c:manualLayout>
      </c:layout>
      <c:barChart>
        <c:barDir val="col"/>
        <c:grouping val="clustered"/>
        <c:ser>
          <c:idx val="0"/>
          <c:order val="0"/>
          <c:tx>
            <c:strRef>
              <c:f>'tab. 22 regiony'!$P$1</c:f>
              <c:strCache>
                <c:ptCount val="1"/>
                <c:pt idx="0">
                  <c:v>k 31. 12. 2016</c:v>
                </c:pt>
              </c:strCache>
            </c:strRef>
          </c:tx>
          <c:dLbls>
            <c:dLbl>
              <c:idx val="8"/>
              <c:layout>
                <c:manualLayout>
                  <c:x val="0"/>
                  <c:y val="1.792114695340501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99F-4651-B8D1-65C4EA11C666}"/>
                </c:ext>
              </c:extLst>
            </c:dLbl>
            <c:spPr>
              <a:noFill/>
              <a:ln>
                <a:noFill/>
              </a:ln>
              <a:effectLst/>
            </c:spPr>
            <c:txPr>
              <a:bodyPr anchor="ctr" anchorCtr="0"/>
              <a:lstStyle/>
              <a:p>
                <a:pPr>
                  <a:defRPr sz="800"/>
                </a:pPr>
                <a:endParaRPr lang="cs-CZ"/>
              </a:p>
            </c:txPr>
            <c:showVal val="1"/>
            <c:extLst xmlns:c16r2="http://schemas.microsoft.com/office/drawing/2015/06/chart">
              <c:ext xmlns:c15="http://schemas.microsoft.com/office/drawing/2012/chart" uri="{CE6537A1-D6FC-4f65-9D91-7224C49458BB}">
                <c15:showLeaderLines val="0"/>
              </c:ext>
            </c:extLst>
          </c:dLbls>
          <c:cat>
            <c:strRef>
              <c:f>'tab. 22 regiony'!$B$5:$B$18</c:f>
              <c:strCache>
                <c:ptCount val="14"/>
                <c:pt idx="0">
                  <c:v>Hl. m. Praha</c:v>
                </c:pt>
                <c:pt idx="1">
                  <c:v>Středočeský kraj</c:v>
                </c:pt>
                <c:pt idx="2">
                  <c:v>Jihočeský kraj</c:v>
                </c:pt>
                <c:pt idx="3">
                  <c:v>Plzeňský kraj</c:v>
                </c:pt>
                <c:pt idx="4">
                  <c:v>Karlovarský kraj</c:v>
                </c:pt>
                <c:pt idx="5">
                  <c:v>Ústecký kraj</c:v>
                </c:pt>
                <c:pt idx="6">
                  <c:v>Liberecký kraj</c:v>
                </c:pt>
                <c:pt idx="7">
                  <c:v>Královéhradecký kraj</c:v>
                </c:pt>
                <c:pt idx="8">
                  <c:v>Pardubický kraj</c:v>
                </c:pt>
                <c:pt idx="9">
                  <c:v>Kraj Vysočina</c:v>
                </c:pt>
                <c:pt idx="10">
                  <c:v>Jihomoravský kraj</c:v>
                </c:pt>
                <c:pt idx="11">
                  <c:v>Olomoucký kraj</c:v>
                </c:pt>
                <c:pt idx="12">
                  <c:v>Zlínsky kraj</c:v>
                </c:pt>
                <c:pt idx="13">
                  <c:v>Moravskoslezský kraj</c:v>
                </c:pt>
              </c:strCache>
            </c:strRef>
          </c:cat>
          <c:val>
            <c:numRef>
              <c:f>'tab. 22 regiony'!$K$5:$K$18</c:f>
              <c:numCache>
                <c:formatCode>0.0</c:formatCode>
                <c:ptCount val="14"/>
                <c:pt idx="0">
                  <c:v>1.433409328393654</c:v>
                </c:pt>
                <c:pt idx="1">
                  <c:v>2.0893297587131383</c:v>
                </c:pt>
                <c:pt idx="2">
                  <c:v>2.0495876506661035</c:v>
                </c:pt>
                <c:pt idx="3">
                  <c:v>1.43535749265426</c:v>
                </c:pt>
                <c:pt idx="4">
                  <c:v>3.2071778140293645</c:v>
                </c:pt>
                <c:pt idx="5">
                  <c:v>5.8328530259365996</c:v>
                </c:pt>
                <c:pt idx="6">
                  <c:v>2.8721241305510969</c:v>
                </c:pt>
                <c:pt idx="7">
                  <c:v>2.3199479759388701</c:v>
                </c:pt>
                <c:pt idx="8">
                  <c:v>1.4872509548879942</c:v>
                </c:pt>
                <c:pt idx="9">
                  <c:v>3.261720191952751</c:v>
                </c:pt>
                <c:pt idx="10">
                  <c:v>4.3669397933737084</c:v>
                </c:pt>
                <c:pt idx="11">
                  <c:v>4.2176058580070004</c:v>
                </c:pt>
                <c:pt idx="12">
                  <c:v>3.0404411764705883</c:v>
                </c:pt>
                <c:pt idx="13">
                  <c:v>5.8689396022362734</c:v>
                </c:pt>
              </c:numCache>
            </c:numRef>
          </c:val>
          <c:extLst xmlns:c16r2="http://schemas.microsoft.com/office/drawing/2015/06/chart">
            <c:ext xmlns:c16="http://schemas.microsoft.com/office/drawing/2014/chart" uri="{C3380CC4-5D6E-409C-BE32-E72D297353CC}">
              <c16:uniqueId val="{00000001-199F-4651-B8D1-65C4EA11C666}"/>
            </c:ext>
          </c:extLst>
        </c:ser>
        <c:ser>
          <c:idx val="1"/>
          <c:order val="1"/>
          <c:tx>
            <c:strRef>
              <c:f>'tab. 22 regiony'!$P$2</c:f>
              <c:strCache>
                <c:ptCount val="1"/>
                <c:pt idx="0">
                  <c:v>k 31. 12. 2017</c:v>
                </c:pt>
              </c:strCache>
            </c:strRef>
          </c:tx>
          <c:dLbls>
            <c:dLbl>
              <c:idx val="13"/>
              <c:layout>
                <c:manualLayout>
                  <c:x val="6.6115702479338859E-3"/>
                  <c:y val="1.43369175627239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99F-4651-B8D1-65C4EA11C666}"/>
                </c:ext>
              </c:extLst>
            </c:dLbl>
            <c:spPr>
              <a:noFill/>
              <a:ln>
                <a:noFill/>
              </a:ln>
              <a:effectLst/>
            </c:spPr>
            <c:txPr>
              <a:bodyPr anchor="ctr" anchorCtr="0"/>
              <a:lstStyle/>
              <a:p>
                <a:pPr>
                  <a:defRPr sz="800" b="1"/>
                </a:pPr>
                <a:endParaRPr lang="cs-CZ"/>
              </a:p>
            </c:txPr>
            <c:showVal val="1"/>
            <c:extLst xmlns:c16r2="http://schemas.microsoft.com/office/drawing/2015/06/chart">
              <c:ext xmlns:c15="http://schemas.microsoft.com/office/drawing/2012/chart" uri="{CE6537A1-D6FC-4f65-9D91-7224C49458BB}">
                <c15:showLeaderLines val="0"/>
              </c:ext>
            </c:extLst>
          </c:dLbls>
          <c:val>
            <c:numRef>
              <c:f>'tab. 22 regiony'!$L$5:$L$18</c:f>
              <c:numCache>
                <c:formatCode>0.0</c:formatCode>
                <c:ptCount val="14"/>
                <c:pt idx="0">
                  <c:v>0.5140868334119868</c:v>
                </c:pt>
                <c:pt idx="1">
                  <c:v>0.96863559908973973</c:v>
                </c:pt>
                <c:pt idx="2">
                  <c:v>1.0201691607026675</c:v>
                </c:pt>
                <c:pt idx="3">
                  <c:v>0.5156403216316926</c:v>
                </c:pt>
                <c:pt idx="4">
                  <c:v>1.1514685529755497</c:v>
                </c:pt>
                <c:pt idx="5">
                  <c:v>2.9165433012583262</c:v>
                </c:pt>
                <c:pt idx="6">
                  <c:v>1.3674198754899698</c:v>
                </c:pt>
                <c:pt idx="7">
                  <c:v>1.1890880217785853</c:v>
                </c:pt>
                <c:pt idx="8">
                  <c:v>0.50879566982408664</c:v>
                </c:pt>
                <c:pt idx="9">
                  <c:v>1.7380602006688959</c:v>
                </c:pt>
                <c:pt idx="10">
                  <c:v>2.2162130036847727</c:v>
                </c:pt>
                <c:pt idx="11">
                  <c:v>2.2445952161913545</c:v>
                </c:pt>
                <c:pt idx="12">
                  <c:v>1.760501567398119</c:v>
                </c:pt>
                <c:pt idx="13">
                  <c:v>3.5416159736634931</c:v>
                </c:pt>
              </c:numCache>
            </c:numRef>
          </c:val>
          <c:extLst xmlns:c16r2="http://schemas.microsoft.com/office/drawing/2015/06/chart">
            <c:ext xmlns:c16="http://schemas.microsoft.com/office/drawing/2014/chart" uri="{C3380CC4-5D6E-409C-BE32-E72D297353CC}">
              <c16:uniqueId val="{00000003-199F-4651-B8D1-65C4EA11C666}"/>
            </c:ext>
          </c:extLst>
        </c:ser>
        <c:gapWidth val="88"/>
        <c:axId val="175117440"/>
        <c:axId val="175118976"/>
      </c:barChart>
      <c:catAx>
        <c:axId val="175117440"/>
        <c:scaling>
          <c:orientation val="minMax"/>
        </c:scaling>
        <c:axPos val="b"/>
        <c:numFmt formatCode="General" sourceLinked="0"/>
        <c:majorTickMark val="none"/>
        <c:tickLblPos val="nextTo"/>
        <c:txPr>
          <a:bodyPr/>
          <a:lstStyle/>
          <a:p>
            <a:pPr>
              <a:defRPr sz="800"/>
            </a:pPr>
            <a:endParaRPr lang="cs-CZ"/>
          </a:p>
        </c:txPr>
        <c:crossAx val="175118976"/>
        <c:crosses val="autoZero"/>
        <c:auto val="1"/>
        <c:lblAlgn val="ctr"/>
        <c:lblOffset val="100"/>
      </c:catAx>
      <c:valAx>
        <c:axId val="175118976"/>
        <c:scaling>
          <c:orientation val="minMax"/>
        </c:scaling>
        <c:axPos val="l"/>
        <c:majorGridlines/>
        <c:title>
          <c:tx>
            <c:rich>
              <a:bodyPr rot="-5400000" vert="horz"/>
              <a:lstStyle/>
              <a:p>
                <a:pPr>
                  <a:defRPr sz="900" b="0"/>
                </a:pPr>
                <a:r>
                  <a:rPr lang="en-US" sz="900" b="0"/>
                  <a:t>UoZ/VPM</a:t>
                </a:r>
              </a:p>
            </c:rich>
          </c:tx>
        </c:title>
        <c:numFmt formatCode="0.0" sourceLinked="1"/>
        <c:majorTickMark val="none"/>
        <c:tickLblPos val="nextTo"/>
        <c:spPr>
          <a:ln w="9525">
            <a:noFill/>
          </a:ln>
        </c:spPr>
        <c:crossAx val="175117440"/>
        <c:crosses val="autoZero"/>
        <c:crossBetween val="between"/>
        <c:majorUnit val="2"/>
      </c:valAx>
      <c:spPr>
        <a:ln>
          <a:solidFill>
            <a:schemeClr val="tx2"/>
          </a:solidFill>
        </a:ln>
      </c:spPr>
    </c:plotArea>
    <c:legend>
      <c:legendPos val="b"/>
      <c:layout>
        <c:manualLayout>
          <c:xMode val="edge"/>
          <c:yMode val="edge"/>
          <c:x val="0.50667586204018411"/>
          <c:y val="0.22278268309877369"/>
          <c:w val="0.43231175654935622"/>
          <c:h val="6.5340228512834289E-2"/>
        </c:manualLayout>
      </c:layout>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cs-CZ" sz="1200" b="1" i="0" baseline="0">
                <a:effectLst/>
              </a:rPr>
              <a:t>Podíl vybraných specifických skupin na celkovém počtu uchazečů zařazených na jednotlivé nástroje APZ v roce 2017</a:t>
            </a:r>
            <a:endParaRPr lang="cs-CZ" sz="1200">
              <a:effectLst/>
            </a:endParaRPr>
          </a:p>
        </c:rich>
      </c:tx>
      <c:layout>
        <c:manualLayout>
          <c:xMode val="edge"/>
          <c:yMode val="edge"/>
          <c:x val="0.12605642030019304"/>
          <c:y val="2.5249222037500543E-2"/>
        </c:manualLayout>
      </c:layout>
    </c:title>
    <c:plotArea>
      <c:layout>
        <c:manualLayout>
          <c:layoutTarget val="inner"/>
          <c:xMode val="edge"/>
          <c:yMode val="edge"/>
          <c:x val="0.10249617658185219"/>
          <c:y val="0.15190434529017216"/>
          <c:w val="0.72293049209964622"/>
          <c:h val="0.56769984958376762"/>
        </c:manualLayout>
      </c:layout>
      <c:barChart>
        <c:barDir val="col"/>
        <c:grouping val="stacked"/>
        <c:ser>
          <c:idx val="0"/>
          <c:order val="0"/>
          <c:tx>
            <c:strRef>
              <c:f>Celkem!$AZ$2:$AZ$3</c:f>
              <c:strCache>
                <c:ptCount val="2"/>
                <c:pt idx="0">
                  <c:v>ženy</c:v>
                </c:pt>
              </c:strCache>
            </c:strRef>
          </c:tx>
          <c:spPr>
            <a:solidFill>
              <a:srgbClr val="FF33CC"/>
            </a:solidFill>
          </c:spPr>
          <c:dLbls>
            <c:dLbl>
              <c:idx val="4"/>
              <c:layout>
                <c:manualLayout>
                  <c:x val="6.5573815635344883E-3"/>
                  <c:y val="2.1655065738592428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49A1-478E-B165-D36D42D8791C}"/>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9A1-478E-B165-D36D42D8791C}"/>
                </c:ext>
              </c:extLst>
            </c:dLbl>
            <c:spPr>
              <a:noFill/>
              <a:ln>
                <a:noFill/>
              </a:ln>
              <a:effectLst/>
            </c:spPr>
            <c:txPr>
              <a:bodyPr wrap="square" lIns="38100" tIns="19050" rIns="38100" bIns="19050" anchor="ctr">
                <a:spAutoFit/>
              </a:bodyPr>
              <a:lstStyle/>
              <a:p>
                <a:pPr>
                  <a:defRPr sz="700"/>
                </a:pPr>
                <a:endParaRPr lang="cs-CZ"/>
              </a:p>
            </c:txPr>
            <c:dLblPos val="ctr"/>
            <c:showVal val="1"/>
            <c:extLst xmlns:c16r2="http://schemas.microsoft.com/office/drawing/2015/06/chart">
              <c:ext xmlns:c15="http://schemas.microsoft.com/office/drawing/2012/chart" uri="{CE6537A1-D6FC-4f65-9D91-7224C49458BB}">
                <c15:layout/>
                <c15:showLeaderLines val="1"/>
              </c:ext>
            </c:extLst>
          </c:dLbls>
          <c:cat>
            <c:strRef>
              <c:f>Celkem!$AY$4:$AY$16</c:f>
              <c:strCache>
                <c:ptCount val="13"/>
                <c:pt idx="0">
                  <c:v>VPP</c:v>
                </c:pt>
                <c:pt idx="1">
                  <c:v>SÚPM-SVČ</c:v>
                </c:pt>
                <c:pt idx="2">
                  <c:v>SÚPM</c:v>
                </c:pt>
                <c:pt idx="3">
                  <c:v>CHPM</c:v>
                </c:pt>
                <c:pt idx="4">
                  <c:v>CHPM-SVČ</c:v>
                </c:pt>
                <c:pt idx="5">
                  <c:v>Překlenovací přísp.</c:v>
                </c:pt>
                <c:pt idx="6">
                  <c:v>Příspěvek na zapracování</c:v>
                </c:pt>
                <c:pt idx="7">
                  <c:v>Zvolená rekvalifikace</c:v>
                </c:pt>
                <c:pt idx="8">
                  <c:v>Rekvalifikace</c:v>
                </c:pt>
                <c:pt idx="9">
                  <c:v>Poradenství</c:v>
                </c:pt>
                <c:pt idx="10">
                  <c:v>Pracovní rehabilitace</c:v>
                </c:pt>
                <c:pt idx="11">
                  <c:v>Přísp. na dojížďku</c:v>
                </c:pt>
                <c:pt idx="12">
                  <c:v>Přísp. na přestěhování</c:v>
                </c:pt>
              </c:strCache>
            </c:strRef>
          </c:cat>
          <c:val>
            <c:numRef>
              <c:f>Celkem!$AZ$4:$AZ$16</c:f>
              <c:numCache>
                <c:formatCode>0.0</c:formatCode>
                <c:ptCount val="13"/>
                <c:pt idx="0">
                  <c:v>45.555093986914528</c:v>
                </c:pt>
                <c:pt idx="1">
                  <c:v>41.172265904217298</c:v>
                </c:pt>
                <c:pt idx="2">
                  <c:v>63.944731437107102</c:v>
                </c:pt>
                <c:pt idx="3">
                  <c:v>28.681506849315063</c:v>
                </c:pt>
                <c:pt idx="4">
                  <c:v>9.0909090909090953</c:v>
                </c:pt>
                <c:pt idx="5">
                  <c:v>60.9375</c:v>
                </c:pt>
                <c:pt idx="6">
                  <c:v>0</c:v>
                </c:pt>
                <c:pt idx="7">
                  <c:v>47.505228562892128</c:v>
                </c:pt>
                <c:pt idx="8">
                  <c:v>55.422842197035763</c:v>
                </c:pt>
                <c:pt idx="9">
                  <c:v>61.841893414909016</c:v>
                </c:pt>
                <c:pt idx="10">
                  <c:v>56.756756756756758</c:v>
                </c:pt>
                <c:pt idx="11">
                  <c:v>59.855521155830736</c:v>
                </c:pt>
                <c:pt idx="12">
                  <c:v>53</c:v>
                </c:pt>
              </c:numCache>
            </c:numRef>
          </c:val>
          <c:extLst xmlns:c16r2="http://schemas.microsoft.com/office/drawing/2015/06/chart">
            <c:ext xmlns:c16="http://schemas.microsoft.com/office/drawing/2014/chart" uri="{C3380CC4-5D6E-409C-BE32-E72D297353CC}">
              <c16:uniqueId val="{00000002-49A1-478E-B165-D36D42D8791C}"/>
            </c:ext>
          </c:extLst>
        </c:ser>
        <c:ser>
          <c:idx val="1"/>
          <c:order val="1"/>
          <c:tx>
            <c:strRef>
              <c:f>Celkem!$BA$2:$BA$3</c:f>
              <c:strCache>
                <c:ptCount val="2"/>
                <c:pt idx="0">
                  <c:v>do 30 let</c:v>
                </c:pt>
              </c:strCache>
            </c:strRef>
          </c:tx>
          <c:spPr>
            <a:solidFill>
              <a:srgbClr val="FFC000"/>
            </a:solidFill>
          </c:spPr>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9A1-478E-B165-D36D42D8791C}"/>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9A1-478E-B165-D36D42D8791C}"/>
                </c:ext>
              </c:extLst>
            </c:dLbl>
            <c:spPr>
              <a:noFill/>
              <a:ln>
                <a:noFill/>
              </a:ln>
              <a:effectLst/>
            </c:spPr>
            <c:txPr>
              <a:bodyPr wrap="square" lIns="38100" tIns="19050" rIns="38100" bIns="19050" anchor="ctr">
                <a:spAutoFit/>
              </a:bodyPr>
              <a:lstStyle/>
              <a:p>
                <a:pPr>
                  <a:defRPr sz="700"/>
                </a:pPr>
                <a:endParaRPr lang="cs-CZ"/>
              </a:p>
            </c:txPr>
            <c:dLblPos val="ctr"/>
            <c:showVal val="1"/>
            <c:extLst xmlns:c16r2="http://schemas.microsoft.com/office/drawing/2015/06/chart">
              <c:ext xmlns:c15="http://schemas.microsoft.com/office/drawing/2012/chart" uri="{CE6537A1-D6FC-4f65-9D91-7224C49458BB}">
                <c15:layout/>
                <c15:showLeaderLines val="1"/>
              </c:ext>
            </c:extLst>
          </c:dLbls>
          <c:cat>
            <c:strRef>
              <c:f>Celkem!$AY$4:$AY$16</c:f>
              <c:strCache>
                <c:ptCount val="13"/>
                <c:pt idx="0">
                  <c:v>VPP</c:v>
                </c:pt>
                <c:pt idx="1">
                  <c:v>SÚPM-SVČ</c:v>
                </c:pt>
                <c:pt idx="2">
                  <c:v>SÚPM</c:v>
                </c:pt>
                <c:pt idx="3">
                  <c:v>CHPM</c:v>
                </c:pt>
                <c:pt idx="4">
                  <c:v>CHPM-SVČ</c:v>
                </c:pt>
                <c:pt idx="5">
                  <c:v>Překlenovací přísp.</c:v>
                </c:pt>
                <c:pt idx="6">
                  <c:v>Příspěvek na zapracování</c:v>
                </c:pt>
                <c:pt idx="7">
                  <c:v>Zvolená rekvalifikace</c:v>
                </c:pt>
                <c:pt idx="8">
                  <c:v>Rekvalifikace</c:v>
                </c:pt>
                <c:pt idx="9">
                  <c:v>Poradenství</c:v>
                </c:pt>
                <c:pt idx="10">
                  <c:v>Pracovní rehabilitace</c:v>
                </c:pt>
                <c:pt idx="11">
                  <c:v>Přísp. na dojížďku</c:v>
                </c:pt>
                <c:pt idx="12">
                  <c:v>Přísp. na přestěhování</c:v>
                </c:pt>
              </c:strCache>
            </c:strRef>
          </c:cat>
          <c:val>
            <c:numRef>
              <c:f>Celkem!$BA$4:$BA$16</c:f>
              <c:numCache>
                <c:formatCode>0.0</c:formatCode>
                <c:ptCount val="13"/>
                <c:pt idx="0">
                  <c:v>13.828019524353515</c:v>
                </c:pt>
                <c:pt idx="1">
                  <c:v>25.0893495353824</c:v>
                </c:pt>
                <c:pt idx="2">
                  <c:v>39.310387751291429</c:v>
                </c:pt>
                <c:pt idx="3">
                  <c:v>4.5376712328767104</c:v>
                </c:pt>
                <c:pt idx="4">
                  <c:v>0</c:v>
                </c:pt>
                <c:pt idx="5">
                  <c:v>24.21875</c:v>
                </c:pt>
                <c:pt idx="6">
                  <c:v>0</c:v>
                </c:pt>
                <c:pt idx="7">
                  <c:v>29.862563489692263</c:v>
                </c:pt>
                <c:pt idx="8">
                  <c:v>22.153443766346992</c:v>
                </c:pt>
                <c:pt idx="9">
                  <c:v>23.426179359201416</c:v>
                </c:pt>
                <c:pt idx="10">
                  <c:v>21.081081081081081</c:v>
                </c:pt>
                <c:pt idx="11">
                  <c:v>28.276573787409703</c:v>
                </c:pt>
                <c:pt idx="12">
                  <c:v>52</c:v>
                </c:pt>
              </c:numCache>
            </c:numRef>
          </c:val>
          <c:extLst xmlns:c16r2="http://schemas.microsoft.com/office/drawing/2015/06/chart">
            <c:ext xmlns:c16="http://schemas.microsoft.com/office/drawing/2014/chart" uri="{C3380CC4-5D6E-409C-BE32-E72D297353CC}">
              <c16:uniqueId val="{00000005-49A1-478E-B165-D36D42D8791C}"/>
            </c:ext>
          </c:extLst>
        </c:ser>
        <c:ser>
          <c:idx val="2"/>
          <c:order val="2"/>
          <c:tx>
            <c:strRef>
              <c:f>Celkem!$BB$2:$BB$3</c:f>
              <c:strCache>
                <c:ptCount val="2"/>
                <c:pt idx="0">
                  <c:v>nad 50 let</c:v>
                </c:pt>
              </c:strCache>
            </c:strRef>
          </c:tx>
          <c:spPr>
            <a:solidFill>
              <a:srgbClr val="66FF66"/>
            </a:solidFill>
          </c:spPr>
          <c:dLbls>
            <c:dLbl>
              <c:idx val="4"/>
              <c:layout>
                <c:manualLayout>
                  <c:x val="-4.0537610426313197E-17"/>
                  <c:y val="3.0935808197988042E-3"/>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49A1-478E-B165-D36D42D8791C}"/>
                </c:ext>
              </c:extLst>
            </c:dLbl>
            <c:spPr>
              <a:noFill/>
              <a:ln>
                <a:noFill/>
              </a:ln>
              <a:effectLst/>
            </c:spPr>
            <c:txPr>
              <a:bodyPr wrap="square" lIns="38100" tIns="19050" rIns="38100" bIns="19050" anchor="ctr">
                <a:spAutoFit/>
              </a:bodyPr>
              <a:lstStyle/>
              <a:p>
                <a:pPr>
                  <a:defRPr sz="700"/>
                </a:pPr>
                <a:endParaRPr lang="cs-CZ"/>
              </a:p>
            </c:txPr>
            <c:dLblPos val="ctr"/>
            <c:showVal val="1"/>
            <c:extLst xmlns:c16r2="http://schemas.microsoft.com/office/drawing/2015/06/chart">
              <c:ext xmlns:c15="http://schemas.microsoft.com/office/drawing/2012/chart" uri="{CE6537A1-D6FC-4f65-9D91-7224C49458BB}">
                <c15:layout/>
                <c15:showLeaderLines val="1"/>
              </c:ext>
            </c:extLst>
          </c:dLbls>
          <c:cat>
            <c:strRef>
              <c:f>Celkem!$AY$4:$AY$16</c:f>
              <c:strCache>
                <c:ptCount val="13"/>
                <c:pt idx="0">
                  <c:v>VPP</c:v>
                </c:pt>
                <c:pt idx="1">
                  <c:v>SÚPM-SVČ</c:v>
                </c:pt>
                <c:pt idx="2">
                  <c:v>SÚPM</c:v>
                </c:pt>
                <c:pt idx="3">
                  <c:v>CHPM</c:v>
                </c:pt>
                <c:pt idx="4">
                  <c:v>CHPM-SVČ</c:v>
                </c:pt>
                <c:pt idx="5">
                  <c:v>Překlenovací přísp.</c:v>
                </c:pt>
                <c:pt idx="6">
                  <c:v>Příspěvek na zapracování</c:v>
                </c:pt>
                <c:pt idx="7">
                  <c:v>Zvolená rekvalifikace</c:v>
                </c:pt>
                <c:pt idx="8">
                  <c:v>Rekvalifikace</c:v>
                </c:pt>
                <c:pt idx="9">
                  <c:v>Poradenství</c:v>
                </c:pt>
                <c:pt idx="10">
                  <c:v>Pracovní rehabilitace</c:v>
                </c:pt>
                <c:pt idx="11">
                  <c:v>Přísp. na dojížďku</c:v>
                </c:pt>
                <c:pt idx="12">
                  <c:v>Přísp. na přestěhování</c:v>
                </c:pt>
              </c:strCache>
            </c:strRef>
          </c:cat>
          <c:val>
            <c:numRef>
              <c:f>Celkem!$BB$4:$BB$16</c:f>
              <c:numCache>
                <c:formatCode>0.0</c:formatCode>
                <c:ptCount val="13"/>
                <c:pt idx="0">
                  <c:v>43.259943919410105</c:v>
                </c:pt>
                <c:pt idx="1">
                  <c:v>7.8627591136526114</c:v>
                </c:pt>
                <c:pt idx="2">
                  <c:v>23.781664280824042</c:v>
                </c:pt>
                <c:pt idx="3">
                  <c:v>18.4931506849315</c:v>
                </c:pt>
                <c:pt idx="4">
                  <c:v>9.0909090909090953</c:v>
                </c:pt>
                <c:pt idx="5">
                  <c:v>3.9062499999999987</c:v>
                </c:pt>
                <c:pt idx="6">
                  <c:v>100</c:v>
                </c:pt>
                <c:pt idx="7">
                  <c:v>14.400956080071705</c:v>
                </c:pt>
                <c:pt idx="8">
                  <c:v>27.75065387968613</c:v>
                </c:pt>
                <c:pt idx="9">
                  <c:v>31.106102076960219</c:v>
                </c:pt>
                <c:pt idx="10">
                  <c:v>20</c:v>
                </c:pt>
                <c:pt idx="11">
                  <c:v>30.890952872377014</c:v>
                </c:pt>
                <c:pt idx="12">
                  <c:v>15</c:v>
                </c:pt>
              </c:numCache>
            </c:numRef>
          </c:val>
          <c:extLst xmlns:c16r2="http://schemas.microsoft.com/office/drawing/2015/06/chart">
            <c:ext xmlns:c16="http://schemas.microsoft.com/office/drawing/2014/chart" uri="{C3380CC4-5D6E-409C-BE32-E72D297353CC}">
              <c16:uniqueId val="{00000007-49A1-478E-B165-D36D42D8791C}"/>
            </c:ext>
          </c:extLst>
        </c:ser>
        <c:ser>
          <c:idx val="3"/>
          <c:order val="3"/>
          <c:tx>
            <c:strRef>
              <c:f>Celkem!$BC$2:$BC$3</c:f>
              <c:strCache>
                <c:ptCount val="2"/>
                <c:pt idx="0">
                  <c:v>evidence nad 5 měs.</c:v>
                </c:pt>
              </c:strCache>
            </c:strRef>
          </c:tx>
          <c:spPr>
            <a:solidFill>
              <a:srgbClr val="FFFF00"/>
            </a:solidFill>
          </c:spPr>
          <c:dLbls>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9A1-478E-B165-D36D42D8791C}"/>
                </c:ext>
              </c:extLst>
            </c:dLbl>
            <c:spPr>
              <a:noFill/>
              <a:ln>
                <a:noFill/>
              </a:ln>
              <a:effectLst/>
            </c:spPr>
            <c:txPr>
              <a:bodyPr wrap="square" lIns="38100" tIns="19050" rIns="38100" bIns="19050" anchor="ctr">
                <a:spAutoFit/>
              </a:bodyPr>
              <a:lstStyle/>
              <a:p>
                <a:pPr>
                  <a:defRPr sz="700"/>
                </a:pPr>
                <a:endParaRPr lang="cs-CZ"/>
              </a:p>
            </c:txPr>
            <c:dLblPos val="ctr"/>
            <c:showVal val="1"/>
            <c:extLst xmlns:c16r2="http://schemas.microsoft.com/office/drawing/2015/06/chart">
              <c:ext xmlns:c15="http://schemas.microsoft.com/office/drawing/2012/chart" uri="{CE6537A1-D6FC-4f65-9D91-7224C49458BB}">
                <c15:layout/>
                <c15:showLeaderLines val="1"/>
              </c:ext>
            </c:extLst>
          </c:dLbls>
          <c:cat>
            <c:strRef>
              <c:f>Celkem!$AY$4:$AY$16</c:f>
              <c:strCache>
                <c:ptCount val="13"/>
                <c:pt idx="0">
                  <c:v>VPP</c:v>
                </c:pt>
                <c:pt idx="1">
                  <c:v>SÚPM-SVČ</c:v>
                </c:pt>
                <c:pt idx="2">
                  <c:v>SÚPM</c:v>
                </c:pt>
                <c:pt idx="3">
                  <c:v>CHPM</c:v>
                </c:pt>
                <c:pt idx="4">
                  <c:v>CHPM-SVČ</c:v>
                </c:pt>
                <c:pt idx="5">
                  <c:v>Překlenovací přísp.</c:v>
                </c:pt>
                <c:pt idx="6">
                  <c:v>Příspěvek na zapracování</c:v>
                </c:pt>
                <c:pt idx="7">
                  <c:v>Zvolená rekvalifikace</c:v>
                </c:pt>
                <c:pt idx="8">
                  <c:v>Rekvalifikace</c:v>
                </c:pt>
                <c:pt idx="9">
                  <c:v>Poradenství</c:v>
                </c:pt>
                <c:pt idx="10">
                  <c:v>Pracovní rehabilitace</c:v>
                </c:pt>
                <c:pt idx="11">
                  <c:v>Přísp. na dojížďku</c:v>
                </c:pt>
                <c:pt idx="12">
                  <c:v>Přísp. na přestěhování</c:v>
                </c:pt>
              </c:strCache>
            </c:strRef>
          </c:cat>
          <c:val>
            <c:numRef>
              <c:f>Celkem!$BC$4:$BC$16</c:f>
              <c:numCache>
                <c:formatCode>0.0</c:formatCode>
                <c:ptCount val="13"/>
                <c:pt idx="0">
                  <c:v>73.906947761969064</c:v>
                </c:pt>
                <c:pt idx="1">
                  <c:v>73.052180128663295</c:v>
                </c:pt>
                <c:pt idx="2">
                  <c:v>87.2409286114396</c:v>
                </c:pt>
                <c:pt idx="3">
                  <c:v>34.503424657534225</c:v>
                </c:pt>
                <c:pt idx="4">
                  <c:v>36.363636363636338</c:v>
                </c:pt>
                <c:pt idx="5">
                  <c:v>84.374999999999986</c:v>
                </c:pt>
                <c:pt idx="6">
                  <c:v>0</c:v>
                </c:pt>
                <c:pt idx="7">
                  <c:v>38.930385419778908</c:v>
                </c:pt>
                <c:pt idx="8">
                  <c:v>60.061028770706194</c:v>
                </c:pt>
                <c:pt idx="9">
                  <c:v>87.071325068426958</c:v>
                </c:pt>
                <c:pt idx="10">
                  <c:v>65.405405405405403</c:v>
                </c:pt>
                <c:pt idx="11">
                  <c:v>79.566563467492301</c:v>
                </c:pt>
                <c:pt idx="12">
                  <c:v>95</c:v>
                </c:pt>
              </c:numCache>
            </c:numRef>
          </c:val>
          <c:extLst xmlns:c16r2="http://schemas.microsoft.com/office/drawing/2015/06/chart">
            <c:ext xmlns:c16="http://schemas.microsoft.com/office/drawing/2014/chart" uri="{C3380CC4-5D6E-409C-BE32-E72D297353CC}">
              <c16:uniqueId val="{00000009-49A1-478E-B165-D36D42D8791C}"/>
            </c:ext>
          </c:extLst>
        </c:ser>
        <c:ser>
          <c:idx val="4"/>
          <c:order val="4"/>
          <c:tx>
            <c:strRef>
              <c:f>Celkem!$BD$2:$BD$3</c:f>
              <c:strCache>
                <c:ptCount val="2"/>
                <c:pt idx="0">
                  <c:v>péče o dítě</c:v>
                </c:pt>
              </c:strCache>
            </c:strRef>
          </c:tx>
          <c:spPr>
            <a:solidFill>
              <a:srgbClr val="CC99FF"/>
            </a:solidFill>
          </c:spPr>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9A1-478E-B165-D36D42D8791C}"/>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9A1-478E-B165-D36D42D8791C}"/>
                </c:ext>
              </c:extLst>
            </c:dLbl>
            <c:spPr>
              <a:noFill/>
              <a:ln>
                <a:noFill/>
              </a:ln>
              <a:effectLst/>
            </c:spPr>
            <c:txPr>
              <a:bodyPr wrap="square" lIns="38100" tIns="19050" rIns="38100" bIns="19050" anchor="ctr">
                <a:spAutoFit/>
              </a:bodyPr>
              <a:lstStyle/>
              <a:p>
                <a:pPr>
                  <a:defRPr sz="700"/>
                </a:pPr>
                <a:endParaRPr lang="cs-CZ"/>
              </a:p>
            </c:txPr>
            <c:dLblPos val="ctr"/>
            <c:showVal val="1"/>
            <c:extLst xmlns:c16r2="http://schemas.microsoft.com/office/drawing/2015/06/chart">
              <c:ext xmlns:c15="http://schemas.microsoft.com/office/drawing/2012/chart" uri="{CE6537A1-D6FC-4f65-9D91-7224C49458BB}">
                <c15:layout/>
                <c15:showLeaderLines val="1"/>
              </c:ext>
            </c:extLst>
          </c:dLbls>
          <c:cat>
            <c:strRef>
              <c:f>Celkem!$AY$4:$AY$16</c:f>
              <c:strCache>
                <c:ptCount val="13"/>
                <c:pt idx="0">
                  <c:v>VPP</c:v>
                </c:pt>
                <c:pt idx="1">
                  <c:v>SÚPM-SVČ</c:v>
                </c:pt>
                <c:pt idx="2">
                  <c:v>SÚPM</c:v>
                </c:pt>
                <c:pt idx="3">
                  <c:v>CHPM</c:v>
                </c:pt>
                <c:pt idx="4">
                  <c:v>CHPM-SVČ</c:v>
                </c:pt>
                <c:pt idx="5">
                  <c:v>Překlenovací přísp.</c:v>
                </c:pt>
                <c:pt idx="6">
                  <c:v>Příspěvek na zapracování</c:v>
                </c:pt>
                <c:pt idx="7">
                  <c:v>Zvolená rekvalifikace</c:v>
                </c:pt>
                <c:pt idx="8">
                  <c:v>Rekvalifikace</c:v>
                </c:pt>
                <c:pt idx="9">
                  <c:v>Poradenství</c:v>
                </c:pt>
                <c:pt idx="10">
                  <c:v>Pracovní rehabilitace</c:v>
                </c:pt>
                <c:pt idx="11">
                  <c:v>Přísp. na dojížďku</c:v>
                </c:pt>
                <c:pt idx="12">
                  <c:v>Přísp. na přestěhování</c:v>
                </c:pt>
              </c:strCache>
            </c:strRef>
          </c:cat>
          <c:val>
            <c:numRef>
              <c:f>Celkem!$BD$4:$BD$16</c:f>
              <c:numCache>
                <c:formatCode>0.0</c:formatCode>
                <c:ptCount val="13"/>
                <c:pt idx="0">
                  <c:v>20.147471180807983</c:v>
                </c:pt>
                <c:pt idx="1">
                  <c:v>25.232308791994278</c:v>
                </c:pt>
                <c:pt idx="2">
                  <c:v>24.901972988112281</c:v>
                </c:pt>
                <c:pt idx="3">
                  <c:v>5.3938356164383547</c:v>
                </c:pt>
                <c:pt idx="4">
                  <c:v>0</c:v>
                </c:pt>
                <c:pt idx="5">
                  <c:v>38.28125</c:v>
                </c:pt>
                <c:pt idx="6">
                  <c:v>0</c:v>
                </c:pt>
                <c:pt idx="7">
                  <c:v>20.182252763668956</c:v>
                </c:pt>
                <c:pt idx="8">
                  <c:v>22.197035745422841</c:v>
                </c:pt>
                <c:pt idx="9">
                  <c:v>26.83947834487201</c:v>
                </c:pt>
                <c:pt idx="10">
                  <c:v>8.6486486486486491</c:v>
                </c:pt>
                <c:pt idx="11">
                  <c:v>21.22463020295837</c:v>
                </c:pt>
                <c:pt idx="12">
                  <c:v>4</c:v>
                </c:pt>
              </c:numCache>
            </c:numRef>
          </c:val>
          <c:extLst xmlns:c16r2="http://schemas.microsoft.com/office/drawing/2015/06/chart">
            <c:ext xmlns:c16="http://schemas.microsoft.com/office/drawing/2014/chart" uri="{C3380CC4-5D6E-409C-BE32-E72D297353CC}">
              <c16:uniqueId val="{0000000C-49A1-478E-B165-D36D42D8791C}"/>
            </c:ext>
          </c:extLst>
        </c:ser>
        <c:ser>
          <c:idx val="5"/>
          <c:order val="5"/>
          <c:tx>
            <c:strRef>
              <c:f>Celkem!$BE$2:$BE$3</c:f>
              <c:strCache>
                <c:ptCount val="2"/>
                <c:pt idx="0">
                  <c:v>OZP</c:v>
                </c:pt>
              </c:strCache>
            </c:strRef>
          </c:tx>
          <c:spPr>
            <a:solidFill>
              <a:srgbClr val="CCFFFF"/>
            </a:solidFill>
          </c:spPr>
          <c:dLbls>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9A1-478E-B165-D36D42D8791C}"/>
                </c:ext>
              </c:extLst>
            </c:dLbl>
            <c:dLbl>
              <c:idx val="12"/>
              <c:layout>
                <c:manualLayout>
                  <c:x val="0"/>
                  <c:y val="-1.8561484918793569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49A1-478E-B165-D36D42D8791C}"/>
                </c:ext>
              </c:extLst>
            </c:dLbl>
            <c:spPr>
              <a:noFill/>
              <a:ln>
                <a:noFill/>
              </a:ln>
              <a:effectLst/>
            </c:spPr>
            <c:txPr>
              <a:bodyPr wrap="square" lIns="38100" tIns="19050" rIns="38100" bIns="19050" anchor="ctr">
                <a:spAutoFit/>
              </a:bodyPr>
              <a:lstStyle/>
              <a:p>
                <a:pPr>
                  <a:defRPr sz="700"/>
                </a:pPr>
                <a:endParaRPr lang="cs-CZ"/>
              </a:p>
            </c:txPr>
            <c:dLblPos val="ctr"/>
            <c:showVal val="1"/>
            <c:extLst xmlns:c16r2="http://schemas.microsoft.com/office/drawing/2015/06/chart">
              <c:ext xmlns:c15="http://schemas.microsoft.com/office/drawing/2012/chart" uri="{CE6537A1-D6FC-4f65-9D91-7224C49458BB}">
                <c15:layout/>
                <c15:showLeaderLines val="1"/>
              </c:ext>
            </c:extLst>
          </c:dLbls>
          <c:cat>
            <c:strRef>
              <c:f>Celkem!$AY$4:$AY$16</c:f>
              <c:strCache>
                <c:ptCount val="13"/>
                <c:pt idx="0">
                  <c:v>VPP</c:v>
                </c:pt>
                <c:pt idx="1">
                  <c:v>SÚPM-SVČ</c:v>
                </c:pt>
                <c:pt idx="2">
                  <c:v>SÚPM</c:v>
                </c:pt>
                <c:pt idx="3">
                  <c:v>CHPM</c:v>
                </c:pt>
                <c:pt idx="4">
                  <c:v>CHPM-SVČ</c:v>
                </c:pt>
                <c:pt idx="5">
                  <c:v>Překlenovací přísp.</c:v>
                </c:pt>
                <c:pt idx="6">
                  <c:v>Příspěvek na zapracování</c:v>
                </c:pt>
                <c:pt idx="7">
                  <c:v>Zvolená rekvalifikace</c:v>
                </c:pt>
                <c:pt idx="8">
                  <c:v>Rekvalifikace</c:v>
                </c:pt>
                <c:pt idx="9">
                  <c:v>Poradenství</c:v>
                </c:pt>
                <c:pt idx="10">
                  <c:v>Pracovní rehabilitace</c:v>
                </c:pt>
                <c:pt idx="11">
                  <c:v>Přísp. na dojížďku</c:v>
                </c:pt>
                <c:pt idx="12">
                  <c:v>Přísp. na přestěhování</c:v>
                </c:pt>
              </c:strCache>
            </c:strRef>
          </c:cat>
          <c:val>
            <c:numRef>
              <c:f>Celkem!$BE$4:$BE$16</c:f>
              <c:numCache>
                <c:formatCode>0.0</c:formatCode>
                <c:ptCount val="13"/>
                <c:pt idx="0">
                  <c:v>15.32869456849102</c:v>
                </c:pt>
                <c:pt idx="1">
                  <c:v>3.6454610436025745</c:v>
                </c:pt>
                <c:pt idx="2">
                  <c:v>10.418870977780543</c:v>
                </c:pt>
                <c:pt idx="3">
                  <c:v>100</c:v>
                </c:pt>
                <c:pt idx="4">
                  <c:v>100</c:v>
                </c:pt>
                <c:pt idx="5">
                  <c:v>6.25</c:v>
                </c:pt>
                <c:pt idx="6">
                  <c:v>0</c:v>
                </c:pt>
                <c:pt idx="7">
                  <c:v>6.1697042127278143</c:v>
                </c:pt>
                <c:pt idx="8">
                  <c:v>12.101133391455971</c:v>
                </c:pt>
                <c:pt idx="9">
                  <c:v>17.839317340202864</c:v>
                </c:pt>
                <c:pt idx="10">
                  <c:v>100</c:v>
                </c:pt>
                <c:pt idx="11">
                  <c:v>17.165462676298588</c:v>
                </c:pt>
                <c:pt idx="12">
                  <c:v>3</c:v>
                </c:pt>
              </c:numCache>
            </c:numRef>
          </c:val>
          <c:extLst xmlns:c16r2="http://schemas.microsoft.com/office/drawing/2015/06/chart">
            <c:ext xmlns:c16="http://schemas.microsoft.com/office/drawing/2014/chart" uri="{C3380CC4-5D6E-409C-BE32-E72D297353CC}">
              <c16:uniqueId val="{0000000F-49A1-478E-B165-D36D42D8791C}"/>
            </c:ext>
          </c:extLst>
        </c:ser>
        <c:ser>
          <c:idx val="6"/>
          <c:order val="6"/>
          <c:tx>
            <c:strRef>
              <c:f>Celkem!$BF$2:$BF$3</c:f>
              <c:strCache>
                <c:ptCount val="2"/>
                <c:pt idx="0">
                  <c:v>po mateř. 
a rodič. D</c:v>
                </c:pt>
              </c:strCache>
            </c:strRef>
          </c:tx>
          <c:spPr>
            <a:solidFill>
              <a:srgbClr val="FF0066"/>
            </a:solidFill>
          </c:spPr>
          <c:dLbls>
            <c:dLbl>
              <c:idx val="0"/>
              <c:layout>
                <c:manualLayout>
                  <c:x val="0"/>
                  <c:y val="-1.856148491879351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0-49A1-478E-B165-D36D42D8791C}"/>
                </c:ext>
              </c:extLst>
            </c:dLbl>
            <c:dLbl>
              <c:idx val="1"/>
              <c:layout>
                <c:manualLayout>
                  <c:x val="0"/>
                  <c:y val="-1.856148491879351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1-49A1-478E-B165-D36D42D8791C}"/>
                </c:ext>
              </c:extLst>
            </c:dLbl>
            <c:dLbl>
              <c:idx val="2"/>
              <c:layout>
                <c:manualLayout>
                  <c:x val="2.211167930195304E-3"/>
                  <c:y val="-1.8561484918793537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2-49A1-478E-B165-D36D42D8791C}"/>
                </c:ext>
              </c:extLst>
            </c:dLbl>
            <c:dLbl>
              <c:idx val="3"/>
              <c:layout>
                <c:manualLayout>
                  <c:x val="2.211167930195304E-3"/>
                  <c:y val="-2.4748646558391346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3-49A1-478E-B165-D36D42D8791C}"/>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49A1-478E-B165-D36D42D8791C}"/>
                </c:ext>
              </c:extLst>
            </c:dLbl>
            <c:dLbl>
              <c:idx val="5"/>
              <c:layout>
                <c:manualLayout>
                  <c:x val="0"/>
                  <c:y val="-1.856148491879351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5-49A1-478E-B165-D36D42D8791C}"/>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49A1-478E-B165-D36D42D8791C}"/>
                </c:ext>
              </c:extLst>
            </c:dLbl>
            <c:dLbl>
              <c:idx val="7"/>
              <c:layout>
                <c:manualLayout>
                  <c:x val="2.2111679301952633E-3"/>
                  <c:y val="-1.856148491879351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7-49A1-478E-B165-D36D42D8791C}"/>
                </c:ext>
              </c:extLst>
            </c:dLbl>
            <c:dLbl>
              <c:idx val="8"/>
              <c:layout>
                <c:manualLayout>
                  <c:x val="0"/>
                  <c:y val="-1.2374323279195722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8-49A1-478E-B165-D36D42D8791C}"/>
                </c:ext>
              </c:extLst>
            </c:dLbl>
            <c:dLbl>
              <c:idx val="9"/>
              <c:layout>
                <c:manualLayout>
                  <c:x val="0"/>
                  <c:y val="-1.5467904098994617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9-49A1-478E-B165-D36D42D8791C}"/>
                </c:ext>
              </c:extLst>
            </c:dLbl>
            <c:dLbl>
              <c:idx val="10"/>
              <c:layout>
                <c:manualLayout>
                  <c:x val="0"/>
                  <c:y val="-1.5467904098994586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A-49A1-478E-B165-D36D42D8791C}"/>
                </c:ext>
              </c:extLst>
            </c:dLbl>
            <c:dLbl>
              <c:idx val="11"/>
              <c:layout>
                <c:manualLayout>
                  <c:x val="0"/>
                  <c:y val="-1.2374323279195722E-2"/>
                </c:manualLayout>
              </c:layout>
              <c:dLblPos val="ctr"/>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1B-49A1-478E-B165-D36D42D8791C}"/>
                </c:ext>
              </c:extLst>
            </c:dLbl>
            <c:dLbl>
              <c:idx val="1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49A1-478E-B165-D36D42D8791C}"/>
                </c:ext>
              </c:extLst>
            </c:dLbl>
            <c:spPr>
              <a:noFill/>
              <a:ln>
                <a:noFill/>
              </a:ln>
              <a:effectLst/>
            </c:spPr>
            <c:txPr>
              <a:bodyPr wrap="square" lIns="38100" tIns="19050" rIns="38100" bIns="19050" anchor="ctr">
                <a:spAutoFit/>
              </a:bodyPr>
              <a:lstStyle/>
              <a:p>
                <a:pPr>
                  <a:defRPr sz="700"/>
                </a:pPr>
                <a:endParaRPr lang="cs-CZ"/>
              </a:p>
            </c:txPr>
            <c:dLblPos val="ctr"/>
            <c:showVal val="1"/>
            <c:extLst xmlns:c16r2="http://schemas.microsoft.com/office/drawing/2015/06/chart">
              <c:ext xmlns:c15="http://schemas.microsoft.com/office/drawing/2012/chart" uri="{CE6537A1-D6FC-4f65-9D91-7224C49458BB}">
                <c15:showLeaderLines val="1"/>
              </c:ext>
            </c:extLst>
          </c:dLbls>
          <c:cat>
            <c:strRef>
              <c:f>Celkem!$AY$4:$AY$16</c:f>
              <c:strCache>
                <c:ptCount val="13"/>
                <c:pt idx="0">
                  <c:v>VPP</c:v>
                </c:pt>
                <c:pt idx="1">
                  <c:v>SÚPM-SVČ</c:v>
                </c:pt>
                <c:pt idx="2">
                  <c:v>SÚPM</c:v>
                </c:pt>
                <c:pt idx="3">
                  <c:v>CHPM</c:v>
                </c:pt>
                <c:pt idx="4">
                  <c:v>CHPM-SVČ</c:v>
                </c:pt>
                <c:pt idx="5">
                  <c:v>Překlenovací přísp.</c:v>
                </c:pt>
                <c:pt idx="6">
                  <c:v>Příspěvek na zapracování</c:v>
                </c:pt>
                <c:pt idx="7">
                  <c:v>Zvolená rekvalifikace</c:v>
                </c:pt>
                <c:pt idx="8">
                  <c:v>Rekvalifikace</c:v>
                </c:pt>
                <c:pt idx="9">
                  <c:v>Poradenství</c:v>
                </c:pt>
                <c:pt idx="10">
                  <c:v>Pracovní rehabilitace</c:v>
                </c:pt>
                <c:pt idx="11">
                  <c:v>Přísp. na dojížďku</c:v>
                </c:pt>
                <c:pt idx="12">
                  <c:v>Přísp. na přestěhování</c:v>
                </c:pt>
              </c:strCache>
            </c:strRef>
          </c:cat>
          <c:val>
            <c:numRef>
              <c:f>Celkem!$BF$4:$BF$16</c:f>
              <c:numCache>
                <c:formatCode>0.0</c:formatCode>
                <c:ptCount val="13"/>
                <c:pt idx="0">
                  <c:v>4.2787413023159226</c:v>
                </c:pt>
                <c:pt idx="1">
                  <c:v>3.9313795568263052</c:v>
                </c:pt>
                <c:pt idx="2">
                  <c:v>4.4750108918902098</c:v>
                </c:pt>
                <c:pt idx="3">
                  <c:v>1.1130136986301364</c:v>
                </c:pt>
                <c:pt idx="4">
                  <c:v>0</c:v>
                </c:pt>
                <c:pt idx="5">
                  <c:v>5.46875</c:v>
                </c:pt>
                <c:pt idx="6">
                  <c:v>0</c:v>
                </c:pt>
                <c:pt idx="7">
                  <c:v>3.2865252464893953</c:v>
                </c:pt>
                <c:pt idx="8">
                  <c:v>3.6442894507410641</c:v>
                </c:pt>
                <c:pt idx="9">
                  <c:v>9.2416680083722405</c:v>
                </c:pt>
                <c:pt idx="10">
                  <c:v>2.7027027027027035</c:v>
                </c:pt>
                <c:pt idx="11">
                  <c:v>2.6487788097695217</c:v>
                </c:pt>
                <c:pt idx="12">
                  <c:v>0</c:v>
                </c:pt>
              </c:numCache>
            </c:numRef>
          </c:val>
          <c:extLst xmlns:c16r2="http://schemas.microsoft.com/office/drawing/2015/06/chart">
            <c:ext xmlns:c16="http://schemas.microsoft.com/office/drawing/2014/chart" uri="{C3380CC4-5D6E-409C-BE32-E72D297353CC}">
              <c16:uniqueId val="{0000001D-49A1-478E-B165-D36D42D8791C}"/>
            </c:ext>
          </c:extLst>
        </c:ser>
        <c:dLbls>
          <c:showVal val="1"/>
        </c:dLbls>
        <c:overlap val="100"/>
        <c:axId val="175260416"/>
        <c:axId val="175262336"/>
      </c:barChart>
      <c:catAx>
        <c:axId val="175260416"/>
        <c:scaling>
          <c:orientation val="minMax"/>
        </c:scaling>
        <c:axPos val="b"/>
        <c:title>
          <c:tx>
            <c:rich>
              <a:bodyPr/>
              <a:lstStyle/>
              <a:p>
                <a:pPr>
                  <a:defRPr/>
                </a:pPr>
                <a:r>
                  <a:rPr lang="cs-CZ"/>
                  <a:t>Nástroje APZ</a:t>
                </a:r>
              </a:p>
            </c:rich>
          </c:tx>
        </c:title>
        <c:numFmt formatCode="General" sourceLinked="0"/>
        <c:tickLblPos val="nextTo"/>
        <c:txPr>
          <a:bodyPr rot="-1800000"/>
          <a:lstStyle/>
          <a:p>
            <a:pPr>
              <a:defRPr sz="900"/>
            </a:pPr>
            <a:endParaRPr lang="cs-CZ"/>
          </a:p>
        </c:txPr>
        <c:crossAx val="175262336"/>
        <c:crosses val="autoZero"/>
        <c:auto val="1"/>
        <c:lblAlgn val="ctr"/>
        <c:lblOffset val="100"/>
      </c:catAx>
      <c:valAx>
        <c:axId val="175262336"/>
        <c:scaling>
          <c:orientation val="minMax"/>
        </c:scaling>
        <c:axPos val="l"/>
        <c:majorGridlines/>
        <c:title>
          <c:tx>
            <c:rich>
              <a:bodyPr rot="-5400000" vert="horz"/>
              <a:lstStyle/>
              <a:p>
                <a:pPr>
                  <a:defRPr/>
                </a:pPr>
                <a:r>
                  <a:rPr lang="cs-CZ"/>
                  <a:t>Podíl</a:t>
                </a:r>
                <a:r>
                  <a:rPr lang="cs-CZ" baseline="0"/>
                  <a:t> specif. skupin v (%)</a:t>
                </a:r>
                <a:endParaRPr lang="cs-CZ"/>
              </a:p>
            </c:rich>
          </c:tx>
          <c:layout>
            <c:manualLayout>
              <c:xMode val="edge"/>
              <c:yMode val="edge"/>
              <c:x val="7.6069781212860475E-3"/>
              <c:y val="0.32863192065868491"/>
            </c:manualLayout>
          </c:layout>
        </c:title>
        <c:numFmt formatCode="0" sourceLinked="0"/>
        <c:tickLblPos val="nextTo"/>
        <c:txPr>
          <a:bodyPr/>
          <a:lstStyle/>
          <a:p>
            <a:pPr>
              <a:defRPr sz="900"/>
            </a:pPr>
            <a:endParaRPr lang="cs-CZ"/>
          </a:p>
        </c:txPr>
        <c:crossAx val="175260416"/>
        <c:crosses val="autoZero"/>
        <c:crossBetween val="between"/>
      </c:valAx>
      <c:spPr>
        <a:noFill/>
        <a:ln>
          <a:solidFill>
            <a:schemeClr val="bg1">
              <a:lumMod val="65000"/>
            </a:schemeClr>
          </a:solidFill>
        </a:ln>
      </c:spPr>
    </c:plotArea>
    <c:legend>
      <c:legendPos val="r"/>
      <c:layout>
        <c:manualLayout>
          <c:xMode val="edge"/>
          <c:yMode val="edge"/>
          <c:x val="0.82753969612284761"/>
          <c:y val="0.22278970349123994"/>
          <c:w val="0.1682341777933142"/>
          <c:h val="0.46561192611944402"/>
        </c:manualLayout>
      </c:layout>
      <c:txPr>
        <a:bodyPr/>
        <a:lstStyle/>
        <a:p>
          <a:pPr>
            <a:defRPr sz="800"/>
          </a:pPr>
          <a:endParaRPr lang="cs-CZ"/>
        </a:p>
      </c:txP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200"/>
            </a:pPr>
            <a:r>
              <a:rPr lang="cs-CZ" sz="1200"/>
              <a:t>Míra zaměstnanosti osob</a:t>
            </a:r>
            <a:r>
              <a:rPr lang="cs-CZ" sz="1200" baseline="0"/>
              <a:t> ve věku 20-64 let (v %)                                         </a:t>
            </a:r>
            <a:r>
              <a:rPr lang="cs-CZ" sz="1200" i="1" baseline="0"/>
              <a:t>průměr za 1.- 3. čtvrtletí 2017</a:t>
            </a:r>
          </a:p>
        </c:rich>
      </c:tx>
      <c:layout>
        <c:manualLayout>
          <c:xMode val="edge"/>
          <c:yMode val="edge"/>
          <c:x val="0.20222426652114037"/>
          <c:y val="2.7777777777777801E-2"/>
        </c:manualLayout>
      </c:layout>
    </c:title>
    <c:plotArea>
      <c:layout>
        <c:manualLayout>
          <c:layoutTarget val="inner"/>
          <c:xMode val="edge"/>
          <c:yMode val="edge"/>
          <c:x val="0.10620368493542272"/>
          <c:y val="0.19480351414406533"/>
          <c:w val="0.84774200254671184"/>
          <c:h val="0.4496084864391951"/>
        </c:manualLayout>
      </c:layout>
      <c:barChart>
        <c:barDir val="col"/>
        <c:grouping val="clustered"/>
        <c:ser>
          <c:idx val="0"/>
          <c:order val="0"/>
          <c:tx>
            <c:strRef>
              <c:f>List1!$C$7</c:f>
              <c:strCache>
                <c:ptCount val="1"/>
                <c:pt idx="0">
                  <c:v>průměr 1-3q/2017</c:v>
                </c:pt>
              </c:strCache>
            </c:strRef>
          </c:tx>
          <c:spPr>
            <a:solidFill>
              <a:srgbClr val="3399FF"/>
            </a:solidFill>
          </c:spPr>
          <c:dPt>
            <c:idx val="3"/>
            <c:spPr>
              <a:solidFill>
                <a:srgbClr val="A50021"/>
              </a:solidFill>
            </c:spPr>
            <c:extLst xmlns:c16r2="http://schemas.microsoft.com/office/drawing/2015/06/chart">
              <c:ext xmlns:c16="http://schemas.microsoft.com/office/drawing/2014/chart" uri="{C3380CC4-5D6E-409C-BE32-E72D297353CC}">
                <c16:uniqueId val="{00000002-8986-407F-8DF7-503210B2A9D9}"/>
              </c:ext>
            </c:extLst>
          </c:dPt>
          <c:dPt>
            <c:idx val="15"/>
            <c:spPr>
              <a:solidFill>
                <a:srgbClr val="003399"/>
              </a:solidFill>
            </c:spPr>
            <c:extLst xmlns:c16r2="http://schemas.microsoft.com/office/drawing/2015/06/chart">
              <c:ext xmlns:c16="http://schemas.microsoft.com/office/drawing/2014/chart" uri="{C3380CC4-5D6E-409C-BE32-E72D297353CC}">
                <c16:uniqueId val="{00000007-8986-407F-8DF7-503210B2A9D9}"/>
              </c:ext>
            </c:extLst>
          </c:dPt>
          <c:cat>
            <c:strRef>
              <c:f>List1!$B$8:$B$36</c:f>
              <c:strCache>
                <c:ptCount val="29"/>
                <c:pt idx="0">
                  <c:v>Švédsko</c:v>
                </c:pt>
                <c:pt idx="1">
                  <c:v>Německo</c:v>
                </c:pt>
                <c:pt idx="2">
                  <c:v>Estonsko</c:v>
                </c:pt>
                <c:pt idx="3">
                  <c:v>Česká republika</c:v>
                </c:pt>
                <c:pt idx="4">
                  <c:v>Velká Británie</c:v>
                </c:pt>
                <c:pt idx="5">
                  <c:v>Nizozemsko</c:v>
                </c:pt>
                <c:pt idx="6">
                  <c:v>Dánsko</c:v>
                </c:pt>
                <c:pt idx="7">
                  <c:v>Litva</c:v>
                </c:pt>
                <c:pt idx="8">
                  <c:v>Rakousko</c:v>
                </c:pt>
                <c:pt idx="9">
                  <c:v>Lotyšsko</c:v>
                </c:pt>
                <c:pt idx="10">
                  <c:v>Finsko</c:v>
                </c:pt>
                <c:pt idx="11">
                  <c:v>Maďarsko</c:v>
                </c:pt>
                <c:pt idx="12">
                  <c:v>Portugalsko</c:v>
                </c:pt>
                <c:pt idx="13">
                  <c:v>Slovinsko</c:v>
                </c:pt>
                <c:pt idx="14">
                  <c:v>Irsko</c:v>
                </c:pt>
                <c:pt idx="15">
                  <c:v>EU 28</c:v>
                </c:pt>
                <c:pt idx="16">
                  <c:v>Lucembursko</c:v>
                </c:pt>
                <c:pt idx="17">
                  <c:v>Bulharsko</c:v>
                </c:pt>
                <c:pt idx="18">
                  <c:v>Slovensko</c:v>
                </c:pt>
                <c:pt idx="19">
                  <c:v>Francie</c:v>
                </c:pt>
                <c:pt idx="20">
                  <c:v>Malta</c:v>
                </c:pt>
                <c:pt idx="21">
                  <c:v>Polsko</c:v>
                </c:pt>
                <c:pt idx="22">
                  <c:v>Kypr</c:v>
                </c:pt>
                <c:pt idx="23">
                  <c:v>Rumunsko</c:v>
                </c:pt>
                <c:pt idx="24">
                  <c:v>Belgie</c:v>
                </c:pt>
                <c:pt idx="25">
                  <c:v>Španělsko</c:v>
                </c:pt>
                <c:pt idx="26">
                  <c:v>Chorvatsko</c:v>
                </c:pt>
                <c:pt idx="27">
                  <c:v>Itálie</c:v>
                </c:pt>
                <c:pt idx="28">
                  <c:v>Řecko</c:v>
                </c:pt>
              </c:strCache>
            </c:strRef>
          </c:cat>
          <c:val>
            <c:numRef>
              <c:f>List1!$C$8:$C$36</c:f>
              <c:numCache>
                <c:formatCode>#\ ##0.0</c:formatCode>
                <c:ptCount val="29"/>
                <c:pt idx="0">
                  <c:v>81.86666666666666</c:v>
                </c:pt>
                <c:pt idx="1">
                  <c:v>79</c:v>
                </c:pt>
                <c:pt idx="2">
                  <c:v>78.300000000000011</c:v>
                </c:pt>
                <c:pt idx="3">
                  <c:v>78.266666666666666</c:v>
                </c:pt>
                <c:pt idx="4">
                  <c:v>78.100000000000009</c:v>
                </c:pt>
                <c:pt idx="5">
                  <c:v>77.899999999999991</c:v>
                </c:pt>
                <c:pt idx="6">
                  <c:v>76.8</c:v>
                </c:pt>
                <c:pt idx="7">
                  <c:v>75.766666666666666</c:v>
                </c:pt>
                <c:pt idx="8">
                  <c:v>75.266666666666666</c:v>
                </c:pt>
                <c:pt idx="9">
                  <c:v>74.36666666666666</c:v>
                </c:pt>
                <c:pt idx="10">
                  <c:v>74</c:v>
                </c:pt>
                <c:pt idx="11">
                  <c:v>73.033333333333317</c:v>
                </c:pt>
                <c:pt idx="12">
                  <c:v>73</c:v>
                </c:pt>
                <c:pt idx="13">
                  <c:v>73</c:v>
                </c:pt>
                <c:pt idx="14">
                  <c:v>72.733333333333306</c:v>
                </c:pt>
                <c:pt idx="15">
                  <c:v>72.066666666666663</c:v>
                </c:pt>
                <c:pt idx="16">
                  <c:v>71.533333333333317</c:v>
                </c:pt>
                <c:pt idx="17">
                  <c:v>71.100000000000009</c:v>
                </c:pt>
                <c:pt idx="18">
                  <c:v>71.033333333333317</c:v>
                </c:pt>
                <c:pt idx="19">
                  <c:v>70.966666666666683</c:v>
                </c:pt>
                <c:pt idx="20">
                  <c:v>70.8333333333333</c:v>
                </c:pt>
                <c:pt idx="21">
                  <c:v>70.8333333333333</c:v>
                </c:pt>
                <c:pt idx="22">
                  <c:v>70.433333333333309</c:v>
                </c:pt>
                <c:pt idx="23">
                  <c:v>69</c:v>
                </c:pt>
                <c:pt idx="24">
                  <c:v>68.133333333333297</c:v>
                </c:pt>
                <c:pt idx="25">
                  <c:v>65.3333333333333</c:v>
                </c:pt>
                <c:pt idx="26">
                  <c:v>63.300000000000004</c:v>
                </c:pt>
                <c:pt idx="27">
                  <c:v>62.266666666666644</c:v>
                </c:pt>
                <c:pt idx="28">
                  <c:v>57.766666666666644</c:v>
                </c:pt>
              </c:numCache>
            </c:numRef>
          </c:val>
          <c:extLst xmlns:c16r2="http://schemas.microsoft.com/office/drawing/2015/06/chart">
            <c:ext xmlns:c16="http://schemas.microsoft.com/office/drawing/2014/chart" uri="{C3380CC4-5D6E-409C-BE32-E72D297353CC}">
              <c16:uniqueId val="{00000008-8986-407F-8DF7-503210B2A9D9}"/>
            </c:ext>
          </c:extLst>
        </c:ser>
        <c:axId val="175180800"/>
        <c:axId val="175187072"/>
      </c:barChart>
      <c:catAx>
        <c:axId val="175180800"/>
        <c:scaling>
          <c:orientation val="minMax"/>
        </c:scaling>
        <c:axPos val="b"/>
        <c:title>
          <c:tx>
            <c:rich>
              <a:bodyPr/>
              <a:lstStyle/>
              <a:p>
                <a:pPr>
                  <a:defRPr/>
                </a:pPr>
                <a:r>
                  <a:rPr lang="cs-CZ"/>
                  <a:t>Země</a:t>
                </a:r>
                <a:r>
                  <a:rPr lang="cs-CZ" baseline="0"/>
                  <a:t> EU28</a:t>
                </a:r>
                <a:endParaRPr lang="cs-CZ"/>
              </a:p>
            </c:rich>
          </c:tx>
          <c:layout>
            <c:manualLayout>
              <c:xMode val="edge"/>
              <c:yMode val="edge"/>
              <c:x val="0.42792541557305341"/>
              <c:y val="0.90950495771361917"/>
            </c:manualLayout>
          </c:layout>
        </c:title>
        <c:numFmt formatCode="General" sourceLinked="0"/>
        <c:tickLblPos val="nextTo"/>
        <c:txPr>
          <a:bodyPr rot="-4320000"/>
          <a:lstStyle/>
          <a:p>
            <a:pPr>
              <a:defRPr sz="800"/>
            </a:pPr>
            <a:endParaRPr lang="cs-CZ"/>
          </a:p>
        </c:txPr>
        <c:crossAx val="175187072"/>
        <c:crosses val="autoZero"/>
        <c:auto val="1"/>
        <c:lblAlgn val="ctr"/>
        <c:lblOffset val="100"/>
      </c:catAx>
      <c:valAx>
        <c:axId val="175187072"/>
        <c:scaling>
          <c:orientation val="minMax"/>
          <c:min val="50"/>
        </c:scaling>
        <c:axPos val="l"/>
        <c:majorGridlines/>
        <c:title>
          <c:tx>
            <c:rich>
              <a:bodyPr rot="-5400000" vert="horz"/>
              <a:lstStyle/>
              <a:p>
                <a:pPr>
                  <a:defRPr/>
                </a:pPr>
                <a:r>
                  <a:rPr lang="cs-CZ"/>
                  <a:t>MZ</a:t>
                </a:r>
                <a:r>
                  <a:rPr lang="cs-CZ" baseline="0"/>
                  <a:t> v %</a:t>
                </a:r>
                <a:endParaRPr lang="cs-CZ"/>
              </a:p>
            </c:rich>
          </c:tx>
        </c:title>
        <c:numFmt formatCode="#\ ##0.0" sourceLinked="1"/>
        <c:tickLblPos val="nextTo"/>
        <c:txPr>
          <a:bodyPr/>
          <a:lstStyle/>
          <a:p>
            <a:pPr>
              <a:defRPr sz="800"/>
            </a:pPr>
            <a:endParaRPr lang="cs-CZ"/>
          </a:p>
        </c:txPr>
        <c:crossAx val="175180800"/>
        <c:crosses val="autoZero"/>
        <c:crossBetween val="between"/>
      </c:valAx>
      <c:spPr>
        <a:ln>
          <a:solidFill>
            <a:schemeClr val="bg1">
              <a:lumMod val="65000"/>
            </a:schemeClr>
          </a:solidFill>
        </a:ln>
      </c:spPr>
    </c:plotArea>
    <c:plotVisOnly val="1"/>
    <c:dispBlanksAs val="gap"/>
  </c:chart>
  <c:spPr>
    <a:ln>
      <a:solidFill>
        <a:schemeClr val="bg1">
          <a:lumMod val="75000"/>
        </a:schemeClr>
      </a:solid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900" b="1">
                <a:latin typeface="Arial Narrow" pitchFamily="34" charset="0"/>
              </a:defRPr>
            </a:pPr>
            <a:r>
              <a:rPr lang="cs-CZ" sz="900" b="1" i="0" baseline="0">
                <a:effectLst/>
                <a:latin typeface="Arial Narrow" pitchFamily="34" charset="0"/>
              </a:rPr>
              <a:t>Míra zaměstnanosti osob ve věku 20-64 v %</a:t>
            </a:r>
            <a:endParaRPr lang="cs-CZ" sz="900" b="1">
              <a:effectLst/>
              <a:latin typeface="Arial Narrow" pitchFamily="34" charset="0"/>
            </a:endParaRPr>
          </a:p>
          <a:p>
            <a:pPr>
              <a:defRPr sz="900" b="1">
                <a:latin typeface="Arial Narrow" pitchFamily="34" charset="0"/>
              </a:defRPr>
            </a:pPr>
            <a:r>
              <a:rPr lang="cs-CZ" sz="900" b="1" i="0" baseline="0">
                <a:effectLst/>
                <a:latin typeface="Arial Narrow" pitchFamily="34" charset="0"/>
              </a:rPr>
              <a:t>- celkem</a:t>
            </a:r>
            <a:endParaRPr lang="cs-CZ" sz="900" b="1">
              <a:effectLst/>
              <a:latin typeface="Arial Narrow" pitchFamily="34" charset="0"/>
            </a:endParaRPr>
          </a:p>
        </c:rich>
      </c:tx>
    </c:title>
    <c:plotArea>
      <c:layout>
        <c:manualLayout>
          <c:layoutTarget val="inner"/>
          <c:xMode val="edge"/>
          <c:yMode val="edge"/>
          <c:x val="0.12326077102545019"/>
          <c:y val="0.25083333333333324"/>
          <c:w val="0.83848605800565457"/>
          <c:h val="0.51243256051326869"/>
        </c:manualLayout>
      </c:layout>
      <c:barChart>
        <c:barDir val="col"/>
        <c:grouping val="clustered"/>
        <c:ser>
          <c:idx val="0"/>
          <c:order val="0"/>
          <c:tx>
            <c:strRef>
              <c:f>MZ!$B$2</c:f>
              <c:strCache>
                <c:ptCount val="1"/>
                <c:pt idx="0">
                  <c:v>EU28</c:v>
                </c:pt>
              </c:strCache>
            </c:strRef>
          </c:tx>
          <c:spPr>
            <a:solidFill>
              <a:srgbClr val="0070C0"/>
            </a:solidFill>
            <a:ln>
              <a:solidFill>
                <a:srgbClr val="0070C0"/>
              </a:solidFill>
            </a:ln>
          </c:spPr>
          <c:cat>
            <c:strRef>
              <c:f>MZ!$C$1:$H$1</c:f>
              <c:strCache>
                <c:ptCount val="6"/>
                <c:pt idx="0">
                  <c:v>2013</c:v>
                </c:pt>
                <c:pt idx="1">
                  <c:v>2014</c:v>
                </c:pt>
                <c:pt idx="2">
                  <c:v>2015</c:v>
                </c:pt>
                <c:pt idx="3">
                  <c:v>2016</c:v>
                </c:pt>
                <c:pt idx="5">
                  <c:v>1.-3.q 2017</c:v>
                </c:pt>
              </c:strCache>
            </c:strRef>
          </c:cat>
          <c:val>
            <c:numRef>
              <c:f>MZ!$C$2:$H$2</c:f>
              <c:numCache>
                <c:formatCode>0.0</c:formatCode>
                <c:ptCount val="6"/>
                <c:pt idx="0">
                  <c:v>68.400000000000006</c:v>
                </c:pt>
                <c:pt idx="1">
                  <c:v>69.2</c:v>
                </c:pt>
                <c:pt idx="2">
                  <c:v>70</c:v>
                </c:pt>
                <c:pt idx="3">
                  <c:v>71</c:v>
                </c:pt>
                <c:pt idx="5">
                  <c:v>72.066666666666663</c:v>
                </c:pt>
              </c:numCache>
            </c:numRef>
          </c:val>
          <c:extLst xmlns:c16r2="http://schemas.microsoft.com/office/drawing/2015/06/chart">
            <c:ext xmlns:c16="http://schemas.microsoft.com/office/drawing/2014/chart" uri="{C3380CC4-5D6E-409C-BE32-E72D297353CC}">
              <c16:uniqueId val="{00000000-D120-404D-94B9-B0E1D21E4425}"/>
            </c:ext>
          </c:extLst>
        </c:ser>
        <c:ser>
          <c:idx val="1"/>
          <c:order val="1"/>
          <c:tx>
            <c:strRef>
              <c:f>MZ!$B$3</c:f>
              <c:strCache>
                <c:ptCount val="1"/>
                <c:pt idx="0">
                  <c:v>Česká republika</c:v>
                </c:pt>
              </c:strCache>
            </c:strRef>
          </c:tx>
          <c:spPr>
            <a:solidFill>
              <a:srgbClr val="C00000"/>
            </a:solidFill>
          </c:spPr>
          <c:cat>
            <c:strRef>
              <c:f>MZ!$C$1:$H$1</c:f>
              <c:strCache>
                <c:ptCount val="6"/>
                <c:pt idx="0">
                  <c:v>2013</c:v>
                </c:pt>
                <c:pt idx="1">
                  <c:v>2014</c:v>
                </c:pt>
                <c:pt idx="2">
                  <c:v>2015</c:v>
                </c:pt>
                <c:pt idx="3">
                  <c:v>2016</c:v>
                </c:pt>
                <c:pt idx="5">
                  <c:v>1.-3.q 2017</c:v>
                </c:pt>
              </c:strCache>
            </c:strRef>
          </c:cat>
          <c:val>
            <c:numRef>
              <c:f>MZ!$C$3:$H$3</c:f>
              <c:numCache>
                <c:formatCode>General</c:formatCode>
                <c:ptCount val="6"/>
                <c:pt idx="0">
                  <c:v>72.5</c:v>
                </c:pt>
                <c:pt idx="1">
                  <c:v>73.5</c:v>
                </c:pt>
                <c:pt idx="2">
                  <c:v>74.8</c:v>
                </c:pt>
                <c:pt idx="3">
                  <c:v>76.7</c:v>
                </c:pt>
                <c:pt idx="5" formatCode="0.0">
                  <c:v>78.266666666666666</c:v>
                </c:pt>
              </c:numCache>
            </c:numRef>
          </c:val>
          <c:extLst xmlns:c16r2="http://schemas.microsoft.com/office/drawing/2015/06/chart">
            <c:ext xmlns:c16="http://schemas.microsoft.com/office/drawing/2014/chart" uri="{C3380CC4-5D6E-409C-BE32-E72D297353CC}">
              <c16:uniqueId val="{00000001-D120-404D-94B9-B0E1D21E4425}"/>
            </c:ext>
          </c:extLst>
        </c:ser>
        <c:gapWidth val="164"/>
        <c:axId val="175234432"/>
        <c:axId val="175240320"/>
      </c:barChart>
      <c:lineChart>
        <c:grouping val="standard"/>
        <c:marker val="1"/>
        <c:axId val="175234432"/>
        <c:axId val="175240320"/>
        <c:extLst xmlns:c16r2="http://schemas.microsoft.com/office/drawing/2015/06/chart">
          <c:ext xmlns:c15="http://schemas.microsoft.com/office/drawing/2012/chart" uri="{02D57815-91ED-43cb-92C2-25804820EDAC}">
            <c15:filteredLineSeries>
              <c15:ser>
                <c:idx val="2"/>
                <c:order val="2"/>
                <c:tx>
                  <c:strRef>
                    <c:extLst>
                      <c:ext uri="{02D57815-91ED-43cb-92C2-25804820EDAC}">
                        <c15:formulaRef>
                          <c15:sqref>MZ!$B$10</c15:sqref>
                        </c15:formulaRef>
                      </c:ext>
                    </c:extLst>
                    <c:strCache>
                      <c:ptCount val="1"/>
                      <c:pt idx="0">
                        <c:v>cíl ČR</c:v>
                      </c:pt>
                    </c:strCache>
                  </c:strRef>
                </c:tx>
                <c:spPr>
                  <a:ln w="19050">
                    <a:solidFill>
                      <a:srgbClr val="993366"/>
                    </a:solidFill>
                  </a:ln>
                </c:spPr>
                <c:marker>
                  <c:symbol val="none"/>
                </c:marker>
                <c:cat>
                  <c:strRef>
                    <c:extLst>
                      <c:ext uri="{02D57815-91ED-43cb-92C2-25804820EDAC}">
                        <c15:formulaRef>
                          <c15:sqref>MZ!$C$1:$H$1</c15:sqref>
                        </c15:formulaRef>
                      </c:ext>
                    </c:extLst>
                    <c:strCache>
                      <c:ptCount val="6"/>
                      <c:pt idx="0">
                        <c:v>2013</c:v>
                      </c:pt>
                      <c:pt idx="1">
                        <c:v>2014</c:v>
                      </c:pt>
                      <c:pt idx="2">
                        <c:v>2015</c:v>
                      </c:pt>
                      <c:pt idx="3">
                        <c:v>2016</c:v>
                      </c:pt>
                      <c:pt idx="5">
                        <c:v>1.-3.q 2017</c:v>
                      </c:pt>
                    </c:strCache>
                  </c:strRef>
                </c:cat>
                <c:val>
                  <c:numRef>
                    <c:extLst>
                      <c:ext uri="{02D57815-91ED-43cb-92C2-25804820EDAC}">
                        <c15:formulaRef>
                          <c15:sqref>MZ!$C$10:$H$10</c15:sqref>
                        </c15:formulaRef>
                      </c:ext>
                    </c:extLst>
                    <c:numCache>
                      <c:formatCode>0.0</c:formatCode>
                      <c:ptCount val="6"/>
                      <c:pt idx="0">
                        <c:v>55</c:v>
                      </c:pt>
                      <c:pt idx="1">
                        <c:v>55</c:v>
                      </c:pt>
                      <c:pt idx="2">
                        <c:v>55</c:v>
                      </c:pt>
                      <c:pt idx="3">
                        <c:v>55</c:v>
                      </c:pt>
                      <c:pt idx="4">
                        <c:v>55</c:v>
                      </c:pt>
                      <c:pt idx="5">
                        <c:v>55</c:v>
                      </c:pt>
                    </c:numCache>
                  </c:numRef>
                </c:val>
                <c:smooth val="0"/>
                <c:extLst>
                  <c:ext xmlns:c16="http://schemas.microsoft.com/office/drawing/2014/chart" uri="{C3380CC4-5D6E-409C-BE32-E72D297353CC}">
                    <c16:uniqueId val="{00000002-D120-404D-94B9-B0E1D21E4425}"/>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MZ!$C$12</c15:sqref>
                        </c15:formulaRef>
                      </c:ext>
                    </c:extLst>
                    <c:strCache>
                      <c:ptCount val="1"/>
                      <c:pt idx="0">
                        <c:v>75,0</c:v>
                      </c:pt>
                    </c:strCache>
                  </c:strRef>
                </c:tx>
                <c:marker>
                  <c:symbol val="none"/>
                </c:marker>
                <c:cat>
                  <c:strRef>
                    <c:extLst xmlns:c15="http://schemas.microsoft.com/office/drawing/2012/chart">
                      <c:ext xmlns:c15="http://schemas.microsoft.com/office/drawing/2012/chart" uri="{02D57815-91ED-43cb-92C2-25804820EDAC}">
                        <c15:formulaRef>
                          <c15:sqref>MZ!$C$1:$H$1</c15:sqref>
                        </c15:formulaRef>
                      </c:ext>
                    </c:extLst>
                    <c:strCache>
                      <c:ptCount val="6"/>
                      <c:pt idx="0">
                        <c:v>2013</c:v>
                      </c:pt>
                      <c:pt idx="1">
                        <c:v>2014</c:v>
                      </c:pt>
                      <c:pt idx="2">
                        <c:v>2015</c:v>
                      </c:pt>
                      <c:pt idx="3">
                        <c:v>2016</c:v>
                      </c:pt>
                      <c:pt idx="5">
                        <c:v>1.-3.q 2017</c:v>
                      </c:pt>
                    </c:strCache>
                  </c:strRef>
                </c:cat>
                <c:val>
                  <c:numRef>
                    <c:extLst xmlns:c15="http://schemas.microsoft.com/office/drawing/2012/chart">
                      <c:ext xmlns:c15="http://schemas.microsoft.com/office/drawing/2012/chart" uri="{02D57815-91ED-43cb-92C2-25804820EDAC}">
                        <c15:formulaRef>
                          <c15:sqref>MZ!$D$12:$H$12</c15:sqref>
                        </c15:formulaRef>
                      </c:ext>
                    </c:extLst>
                    <c:numCache>
                      <c:formatCode>0.0</c:formatCode>
                      <c:ptCount val="5"/>
                      <c:pt idx="0">
                        <c:v>75</c:v>
                      </c:pt>
                      <c:pt idx="1">
                        <c:v>75</c:v>
                      </c:pt>
                      <c:pt idx="2">
                        <c:v>75</c:v>
                      </c:pt>
                      <c:pt idx="3">
                        <c:v>75</c:v>
                      </c:pt>
                      <c:pt idx="4">
                        <c:v>75</c:v>
                      </c:pt>
                    </c:numCache>
                  </c:numRef>
                </c:val>
                <c:smooth val="0"/>
                <c:extLst xmlns:c15="http://schemas.microsoft.com/office/drawing/2012/chart">
                  <c:ext xmlns:c16="http://schemas.microsoft.com/office/drawing/2014/chart" uri="{C3380CC4-5D6E-409C-BE32-E72D297353CC}">
                    <c16:uniqueId val="{00000003-D120-404D-94B9-B0E1D21E4425}"/>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MZ!$B$12</c15:sqref>
                        </c15:formulaRef>
                      </c:ext>
                    </c:extLst>
                    <c:strCache>
                      <c:ptCount val="1"/>
                      <c:pt idx="0">
                        <c:v>cíl ČR</c:v>
                      </c:pt>
                    </c:strCache>
                  </c:strRef>
                </c:tx>
                <c:spPr>
                  <a:ln w="15875">
                    <a:solidFill>
                      <a:srgbClr val="993366"/>
                    </a:solidFill>
                  </a:ln>
                </c:spPr>
                <c:marker>
                  <c:symbol val="none"/>
                </c:marker>
                <c:cat>
                  <c:strRef>
                    <c:extLst xmlns:c15="http://schemas.microsoft.com/office/drawing/2012/chart">
                      <c:ext xmlns:c15="http://schemas.microsoft.com/office/drawing/2012/chart" uri="{02D57815-91ED-43cb-92C2-25804820EDAC}">
                        <c15:formulaRef>
                          <c15:sqref>MZ!$C$1:$H$1</c15:sqref>
                        </c15:formulaRef>
                      </c:ext>
                    </c:extLst>
                    <c:strCache>
                      <c:ptCount val="6"/>
                      <c:pt idx="0">
                        <c:v>2013</c:v>
                      </c:pt>
                      <c:pt idx="1">
                        <c:v>2014</c:v>
                      </c:pt>
                      <c:pt idx="2">
                        <c:v>2015</c:v>
                      </c:pt>
                      <c:pt idx="3">
                        <c:v>2016</c:v>
                      </c:pt>
                      <c:pt idx="5">
                        <c:v>1.-3.q 2017</c:v>
                      </c:pt>
                    </c:strCache>
                  </c:strRef>
                </c:cat>
                <c:val>
                  <c:numRef>
                    <c:extLst xmlns:c15="http://schemas.microsoft.com/office/drawing/2012/chart">
                      <c:ext xmlns:c15="http://schemas.microsoft.com/office/drawing/2012/chart" uri="{02D57815-91ED-43cb-92C2-25804820EDAC}">
                        <c15:formulaRef>
                          <c15:sqref>MZ!$C$12:$H$12</c15:sqref>
                        </c15:formulaRef>
                      </c:ext>
                    </c:extLst>
                    <c:numCache>
                      <c:formatCode>0.0</c:formatCode>
                      <c:ptCount val="6"/>
                      <c:pt idx="0">
                        <c:v>75</c:v>
                      </c:pt>
                      <c:pt idx="1">
                        <c:v>75</c:v>
                      </c:pt>
                      <c:pt idx="2">
                        <c:v>75</c:v>
                      </c:pt>
                      <c:pt idx="3">
                        <c:v>75</c:v>
                      </c:pt>
                      <c:pt idx="4">
                        <c:v>75</c:v>
                      </c:pt>
                      <c:pt idx="5">
                        <c:v>75</c:v>
                      </c:pt>
                    </c:numCache>
                  </c:numRef>
                </c:val>
                <c:smooth val="0"/>
                <c:extLst xmlns:c15="http://schemas.microsoft.com/office/drawing/2012/chart">
                  <c:ext xmlns:c16="http://schemas.microsoft.com/office/drawing/2014/chart" uri="{C3380CC4-5D6E-409C-BE32-E72D297353CC}">
                    <c16:uniqueId val="{00000004-D120-404D-94B9-B0E1D21E4425}"/>
                  </c:ext>
                </c:extLst>
              </c15:ser>
            </c15:filteredLineSeries>
          </c:ext>
        </c:extLst>
      </c:lineChart>
      <c:catAx>
        <c:axId val="175234432"/>
        <c:scaling>
          <c:orientation val="minMax"/>
        </c:scaling>
        <c:axPos val="b"/>
        <c:numFmt formatCode="General" sourceLinked="0"/>
        <c:majorTickMark val="none"/>
        <c:tickLblPos val="nextTo"/>
        <c:txPr>
          <a:bodyPr/>
          <a:lstStyle/>
          <a:p>
            <a:pPr>
              <a:defRPr sz="800">
                <a:latin typeface="Arial" pitchFamily="34" charset="0"/>
                <a:cs typeface="Arial" pitchFamily="34" charset="0"/>
              </a:defRPr>
            </a:pPr>
            <a:endParaRPr lang="cs-CZ"/>
          </a:p>
        </c:txPr>
        <c:crossAx val="175240320"/>
        <c:crosses val="autoZero"/>
        <c:auto val="1"/>
        <c:lblAlgn val="ctr"/>
        <c:lblOffset val="100"/>
      </c:catAx>
      <c:valAx>
        <c:axId val="175240320"/>
        <c:scaling>
          <c:orientation val="minMax"/>
          <c:max val="85"/>
          <c:min val="40"/>
        </c:scaling>
        <c:axPos val="l"/>
        <c:majorGridlines/>
        <c:title>
          <c:tx>
            <c:rich>
              <a:bodyPr rot="-5400000" vert="horz"/>
              <a:lstStyle/>
              <a:p>
                <a:pPr>
                  <a:defRPr sz="800"/>
                </a:pPr>
                <a:r>
                  <a:rPr lang="cs-CZ" sz="800"/>
                  <a:t>MZ v</a:t>
                </a:r>
                <a:r>
                  <a:rPr lang="cs-CZ" sz="800" baseline="0"/>
                  <a:t> %</a:t>
                </a:r>
                <a:endParaRPr lang="cs-CZ" sz="800"/>
              </a:p>
            </c:rich>
          </c:tx>
          <c:layout>
            <c:manualLayout>
              <c:xMode val="edge"/>
              <c:yMode val="edge"/>
              <c:x val="0"/>
              <c:y val="0.43159822594454839"/>
            </c:manualLayout>
          </c:layout>
        </c:title>
        <c:numFmt formatCode="0" sourceLinked="0"/>
        <c:majorTickMark val="none"/>
        <c:tickLblPos val="nextTo"/>
        <c:spPr>
          <a:ln w="9525">
            <a:noFill/>
          </a:ln>
        </c:spPr>
        <c:txPr>
          <a:bodyPr/>
          <a:lstStyle/>
          <a:p>
            <a:pPr>
              <a:defRPr sz="600">
                <a:latin typeface="Arial" pitchFamily="34" charset="0"/>
                <a:cs typeface="Arial" pitchFamily="34" charset="0"/>
              </a:defRPr>
            </a:pPr>
            <a:endParaRPr lang="cs-CZ"/>
          </a:p>
        </c:txPr>
        <c:crossAx val="175234432"/>
        <c:crosses val="autoZero"/>
        <c:crossBetween val="between"/>
        <c:majorUnit val="10"/>
      </c:valAx>
    </c:plotArea>
    <c:legend>
      <c:legendPos val="b"/>
      <c:layout>
        <c:manualLayout>
          <c:xMode val="edge"/>
          <c:yMode val="edge"/>
          <c:x val="0.20414186688202446"/>
          <c:y val="0.8996883202099738"/>
          <c:w val="0.54574191840217623"/>
          <c:h val="9.3148780448039425E-2"/>
        </c:manualLayout>
      </c:layout>
      <c:txPr>
        <a:bodyPr/>
        <a:lstStyle/>
        <a:p>
          <a:pPr>
            <a:defRPr sz="800">
              <a:latin typeface="Arial" pitchFamily="34" charset="0"/>
              <a:cs typeface="Arial" pitchFamily="34" charset="0"/>
            </a:defRPr>
          </a:pPr>
          <a:endParaRPr lang="cs-CZ"/>
        </a:p>
      </c:txPr>
    </c:legend>
    <c:plotVisOnly val="1"/>
    <c:dispBlanksAs val="gap"/>
  </c:chart>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900" b="1">
                <a:latin typeface="Arial Narrow" pitchFamily="34" charset="0"/>
              </a:defRPr>
            </a:pPr>
            <a:r>
              <a:rPr lang="cs-CZ" sz="900" b="1" i="0" baseline="0">
                <a:effectLst/>
                <a:latin typeface="Arial Narrow" pitchFamily="34" charset="0"/>
              </a:rPr>
              <a:t>Míra zaměstnanosti osob ve věku 20-64 v %</a:t>
            </a:r>
            <a:endParaRPr lang="cs-CZ" sz="900" b="1">
              <a:effectLst/>
              <a:latin typeface="Arial Narrow" pitchFamily="34" charset="0"/>
            </a:endParaRPr>
          </a:p>
          <a:p>
            <a:pPr>
              <a:defRPr sz="900" b="1">
                <a:latin typeface="Arial Narrow" pitchFamily="34" charset="0"/>
              </a:defRPr>
            </a:pPr>
            <a:r>
              <a:rPr lang="cs-CZ" sz="900" b="1" i="0" baseline="0">
                <a:effectLst/>
                <a:latin typeface="Arial Narrow" pitchFamily="34" charset="0"/>
              </a:rPr>
              <a:t>- ženy</a:t>
            </a:r>
            <a:endParaRPr lang="cs-CZ" sz="900" b="1">
              <a:effectLst/>
              <a:latin typeface="Arial Narrow" pitchFamily="34" charset="0"/>
            </a:endParaRPr>
          </a:p>
        </c:rich>
      </c:tx>
    </c:title>
    <c:plotArea>
      <c:layout>
        <c:manualLayout>
          <c:layoutTarget val="inner"/>
          <c:xMode val="edge"/>
          <c:yMode val="edge"/>
          <c:x val="0.13299313485186323"/>
          <c:y val="0.25083333333333324"/>
          <c:w val="0.82875369417924183"/>
          <c:h val="0.51243256051326869"/>
        </c:manualLayout>
      </c:layout>
      <c:barChart>
        <c:barDir val="col"/>
        <c:grouping val="clustered"/>
        <c:ser>
          <c:idx val="0"/>
          <c:order val="0"/>
          <c:tx>
            <c:strRef>
              <c:f>MZ!$B$4</c:f>
              <c:strCache>
                <c:ptCount val="1"/>
                <c:pt idx="0">
                  <c:v>EU28</c:v>
                </c:pt>
              </c:strCache>
            </c:strRef>
          </c:tx>
          <c:spPr>
            <a:solidFill>
              <a:srgbClr val="0070C0"/>
            </a:solidFill>
          </c:spPr>
          <c:cat>
            <c:strRef>
              <c:f>MZ!$C$1:$H$1</c:f>
              <c:strCache>
                <c:ptCount val="6"/>
                <c:pt idx="0">
                  <c:v>2013</c:v>
                </c:pt>
                <c:pt idx="1">
                  <c:v>2014</c:v>
                </c:pt>
                <c:pt idx="2">
                  <c:v>2015</c:v>
                </c:pt>
                <c:pt idx="3">
                  <c:v>2016</c:v>
                </c:pt>
                <c:pt idx="5">
                  <c:v>1.-3.q 2017</c:v>
                </c:pt>
              </c:strCache>
            </c:strRef>
          </c:cat>
          <c:val>
            <c:numRef>
              <c:f>MZ!$C$4:$H$4</c:f>
              <c:numCache>
                <c:formatCode>General</c:formatCode>
                <c:ptCount val="6"/>
                <c:pt idx="0">
                  <c:v>62.6</c:v>
                </c:pt>
                <c:pt idx="1">
                  <c:v>63.4</c:v>
                </c:pt>
                <c:pt idx="2">
                  <c:v>64.3</c:v>
                </c:pt>
                <c:pt idx="3">
                  <c:v>65.3</c:v>
                </c:pt>
                <c:pt idx="5" formatCode="0.0">
                  <c:v>66.3333333333333</c:v>
                </c:pt>
              </c:numCache>
            </c:numRef>
          </c:val>
          <c:extLst xmlns:c16r2="http://schemas.microsoft.com/office/drawing/2015/06/chart">
            <c:ext xmlns:c16="http://schemas.microsoft.com/office/drawing/2014/chart" uri="{C3380CC4-5D6E-409C-BE32-E72D297353CC}">
              <c16:uniqueId val="{00000000-279D-4119-9E12-134D1B28ED9B}"/>
            </c:ext>
          </c:extLst>
        </c:ser>
        <c:ser>
          <c:idx val="1"/>
          <c:order val="1"/>
          <c:tx>
            <c:strRef>
              <c:f>MZ!$B$5</c:f>
              <c:strCache>
                <c:ptCount val="1"/>
                <c:pt idx="0">
                  <c:v>Česká republika</c:v>
                </c:pt>
              </c:strCache>
            </c:strRef>
          </c:tx>
          <c:spPr>
            <a:solidFill>
              <a:srgbClr val="C00000"/>
            </a:solidFill>
          </c:spPr>
          <c:cat>
            <c:strRef>
              <c:f>MZ!$C$1:$H$1</c:f>
              <c:strCache>
                <c:ptCount val="6"/>
                <c:pt idx="0">
                  <c:v>2013</c:v>
                </c:pt>
                <c:pt idx="1">
                  <c:v>2014</c:v>
                </c:pt>
                <c:pt idx="2">
                  <c:v>2015</c:v>
                </c:pt>
                <c:pt idx="3">
                  <c:v>2016</c:v>
                </c:pt>
                <c:pt idx="5">
                  <c:v>1.-3.q 2017</c:v>
                </c:pt>
              </c:strCache>
            </c:strRef>
          </c:cat>
          <c:val>
            <c:numRef>
              <c:f>MZ!$C$5:$H$5</c:f>
              <c:numCache>
                <c:formatCode>General</c:formatCode>
                <c:ptCount val="6"/>
                <c:pt idx="0">
                  <c:v>63.8</c:v>
                </c:pt>
                <c:pt idx="1">
                  <c:v>64.7</c:v>
                </c:pt>
                <c:pt idx="2">
                  <c:v>66.400000000000006</c:v>
                </c:pt>
                <c:pt idx="3">
                  <c:v>68.599999999999994</c:v>
                </c:pt>
                <c:pt idx="5" formatCode="0.0">
                  <c:v>70.233333333333306</c:v>
                </c:pt>
              </c:numCache>
            </c:numRef>
          </c:val>
          <c:extLst xmlns:c16r2="http://schemas.microsoft.com/office/drawing/2015/06/chart">
            <c:ext xmlns:c16="http://schemas.microsoft.com/office/drawing/2014/chart" uri="{C3380CC4-5D6E-409C-BE32-E72D297353CC}">
              <c16:uniqueId val="{00000001-279D-4119-9E12-134D1B28ED9B}"/>
            </c:ext>
          </c:extLst>
        </c:ser>
        <c:gapWidth val="164"/>
        <c:axId val="175321472"/>
        <c:axId val="175323008"/>
      </c:barChart>
      <c:lineChart>
        <c:grouping val="standard"/>
        <c:marker val="1"/>
        <c:axId val="175321472"/>
        <c:axId val="175323008"/>
        <c:extLst xmlns:c16r2="http://schemas.microsoft.com/office/drawing/2015/06/chart">
          <c:ext xmlns:c15="http://schemas.microsoft.com/office/drawing/2012/chart" uri="{02D57815-91ED-43cb-92C2-25804820EDAC}">
            <c15:filteredLineSeries>
              <c15:ser>
                <c:idx val="2"/>
                <c:order val="2"/>
                <c:tx>
                  <c:strRef>
                    <c:extLst>
                      <c:ext uri="{02D57815-91ED-43cb-92C2-25804820EDAC}">
                        <c15:formulaRef>
                          <c15:sqref>MZ!$B$10</c15:sqref>
                        </c15:formulaRef>
                      </c:ext>
                    </c:extLst>
                    <c:strCache>
                      <c:ptCount val="1"/>
                      <c:pt idx="0">
                        <c:v>cíl ČR</c:v>
                      </c:pt>
                    </c:strCache>
                  </c:strRef>
                </c:tx>
                <c:spPr>
                  <a:ln w="19050">
                    <a:solidFill>
                      <a:schemeClr val="accent2">
                        <a:lumMod val="75000"/>
                      </a:schemeClr>
                    </a:solidFill>
                    <a:prstDash val="solid"/>
                  </a:ln>
                </c:spPr>
                <c:marker>
                  <c:symbol val="none"/>
                </c:marker>
                <c:cat>
                  <c:strRef>
                    <c:extLst>
                      <c:ext uri="{02D57815-91ED-43cb-92C2-25804820EDAC}">
                        <c15:formulaRef>
                          <c15:sqref>MZ!$C$1:$H$1</c15:sqref>
                        </c15:formulaRef>
                      </c:ext>
                    </c:extLst>
                    <c:strCache>
                      <c:ptCount val="6"/>
                      <c:pt idx="0">
                        <c:v>2013</c:v>
                      </c:pt>
                      <c:pt idx="1">
                        <c:v>2014</c:v>
                      </c:pt>
                      <c:pt idx="2">
                        <c:v>2015</c:v>
                      </c:pt>
                      <c:pt idx="3">
                        <c:v>2016</c:v>
                      </c:pt>
                      <c:pt idx="5">
                        <c:v>1.-3.q 2017</c:v>
                      </c:pt>
                    </c:strCache>
                  </c:strRef>
                </c:cat>
                <c:val>
                  <c:numRef>
                    <c:extLst>
                      <c:ext uri="{02D57815-91ED-43cb-92C2-25804820EDAC}">
                        <c15:formulaRef>
                          <c15:sqref>MZ!$C$10:$H$10</c15:sqref>
                        </c15:formulaRef>
                      </c:ext>
                    </c:extLst>
                    <c:numCache>
                      <c:formatCode>0.0</c:formatCode>
                      <c:ptCount val="6"/>
                      <c:pt idx="0">
                        <c:v>55</c:v>
                      </c:pt>
                      <c:pt idx="1">
                        <c:v>55</c:v>
                      </c:pt>
                      <c:pt idx="2">
                        <c:v>55</c:v>
                      </c:pt>
                      <c:pt idx="3">
                        <c:v>55</c:v>
                      </c:pt>
                      <c:pt idx="4">
                        <c:v>55</c:v>
                      </c:pt>
                      <c:pt idx="5">
                        <c:v>55</c:v>
                      </c:pt>
                    </c:numCache>
                  </c:numRef>
                </c:val>
                <c:smooth val="0"/>
                <c:extLst>
                  <c:ext xmlns:c16="http://schemas.microsoft.com/office/drawing/2014/chart" uri="{C3380CC4-5D6E-409C-BE32-E72D297353CC}">
                    <c16:uniqueId val="{00000002-279D-4119-9E12-134D1B28ED9B}"/>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MZ!$B$11</c15:sqref>
                        </c15:formulaRef>
                      </c:ext>
                    </c:extLst>
                    <c:strCache>
                      <c:ptCount val="1"/>
                      <c:pt idx="0">
                        <c:v>cíl ČR</c:v>
                      </c:pt>
                    </c:strCache>
                  </c:strRef>
                </c:tx>
                <c:spPr>
                  <a:ln w="15875">
                    <a:solidFill>
                      <a:srgbClr val="993366"/>
                    </a:solidFill>
                  </a:ln>
                </c:spPr>
                <c:marker>
                  <c:symbol val="none"/>
                </c:marker>
                <c:cat>
                  <c:strRef>
                    <c:extLst xmlns:c15="http://schemas.microsoft.com/office/drawing/2012/chart">
                      <c:ext xmlns:c15="http://schemas.microsoft.com/office/drawing/2012/chart" uri="{02D57815-91ED-43cb-92C2-25804820EDAC}">
                        <c15:formulaRef>
                          <c15:sqref>MZ!$C$1:$H$1</c15:sqref>
                        </c15:formulaRef>
                      </c:ext>
                    </c:extLst>
                    <c:strCache>
                      <c:ptCount val="6"/>
                      <c:pt idx="0">
                        <c:v>2013</c:v>
                      </c:pt>
                      <c:pt idx="1">
                        <c:v>2014</c:v>
                      </c:pt>
                      <c:pt idx="2">
                        <c:v>2015</c:v>
                      </c:pt>
                      <c:pt idx="3">
                        <c:v>2016</c:v>
                      </c:pt>
                      <c:pt idx="5">
                        <c:v>1.-3.q 2017</c:v>
                      </c:pt>
                    </c:strCache>
                  </c:strRef>
                </c:cat>
                <c:val>
                  <c:numRef>
                    <c:extLst xmlns:c15="http://schemas.microsoft.com/office/drawing/2012/chart">
                      <c:ext xmlns:c15="http://schemas.microsoft.com/office/drawing/2012/chart" uri="{02D57815-91ED-43cb-92C2-25804820EDAC}">
                        <c15:formulaRef>
                          <c15:sqref>MZ!$C$11:$H$11</c15:sqref>
                        </c15:formulaRef>
                      </c:ext>
                    </c:extLst>
                    <c:numCache>
                      <c:formatCode>0.0</c:formatCode>
                      <c:ptCount val="6"/>
                      <c:pt idx="0">
                        <c:v>65</c:v>
                      </c:pt>
                      <c:pt idx="1">
                        <c:v>65</c:v>
                      </c:pt>
                      <c:pt idx="2">
                        <c:v>65</c:v>
                      </c:pt>
                      <c:pt idx="3">
                        <c:v>65</c:v>
                      </c:pt>
                      <c:pt idx="4">
                        <c:v>65</c:v>
                      </c:pt>
                      <c:pt idx="5">
                        <c:v>65</c:v>
                      </c:pt>
                    </c:numCache>
                  </c:numRef>
                </c:val>
                <c:smooth val="0"/>
                <c:extLst xmlns:c15="http://schemas.microsoft.com/office/drawing/2012/chart">
                  <c:ext xmlns:c16="http://schemas.microsoft.com/office/drawing/2014/chart" uri="{C3380CC4-5D6E-409C-BE32-E72D297353CC}">
                    <c16:uniqueId val="{00000003-279D-4119-9E12-134D1B28ED9B}"/>
                  </c:ext>
                </c:extLst>
              </c15:ser>
            </c15:filteredLineSeries>
          </c:ext>
        </c:extLst>
      </c:lineChart>
      <c:catAx>
        <c:axId val="175321472"/>
        <c:scaling>
          <c:orientation val="minMax"/>
        </c:scaling>
        <c:axPos val="b"/>
        <c:numFmt formatCode="General" sourceLinked="0"/>
        <c:majorTickMark val="none"/>
        <c:tickLblPos val="nextTo"/>
        <c:txPr>
          <a:bodyPr/>
          <a:lstStyle/>
          <a:p>
            <a:pPr>
              <a:defRPr sz="800">
                <a:latin typeface="Arial" pitchFamily="34" charset="0"/>
                <a:cs typeface="Arial" pitchFamily="34" charset="0"/>
              </a:defRPr>
            </a:pPr>
            <a:endParaRPr lang="cs-CZ"/>
          </a:p>
        </c:txPr>
        <c:crossAx val="175323008"/>
        <c:crosses val="autoZero"/>
        <c:auto val="1"/>
        <c:lblAlgn val="ctr"/>
        <c:lblOffset val="100"/>
      </c:catAx>
      <c:valAx>
        <c:axId val="175323008"/>
        <c:scaling>
          <c:orientation val="minMax"/>
          <c:max val="85"/>
          <c:min val="40"/>
        </c:scaling>
        <c:axPos val="l"/>
        <c:majorGridlines/>
        <c:title>
          <c:tx>
            <c:rich>
              <a:bodyPr rot="-5400000" vert="horz"/>
              <a:lstStyle/>
              <a:p>
                <a:pPr>
                  <a:defRPr sz="800"/>
                </a:pPr>
                <a:r>
                  <a:rPr lang="cs-CZ" sz="800"/>
                  <a:t>MZ v %</a:t>
                </a:r>
              </a:p>
            </c:rich>
          </c:tx>
          <c:layout>
            <c:manualLayout>
              <c:xMode val="edge"/>
              <c:yMode val="edge"/>
              <c:x val="6.0095430808449141E-3"/>
              <c:y val="0.45238265804967542"/>
            </c:manualLayout>
          </c:layout>
        </c:title>
        <c:numFmt formatCode="0" sourceLinked="0"/>
        <c:majorTickMark val="none"/>
        <c:tickLblPos val="nextTo"/>
        <c:spPr>
          <a:ln w="9525">
            <a:noFill/>
          </a:ln>
        </c:spPr>
        <c:txPr>
          <a:bodyPr/>
          <a:lstStyle/>
          <a:p>
            <a:pPr>
              <a:defRPr sz="600">
                <a:latin typeface="Arial" pitchFamily="34" charset="0"/>
                <a:cs typeface="Arial" pitchFamily="34" charset="0"/>
              </a:defRPr>
            </a:pPr>
            <a:endParaRPr lang="cs-CZ"/>
          </a:p>
        </c:txPr>
        <c:crossAx val="175321472"/>
        <c:crosses val="autoZero"/>
        <c:crossBetween val="between"/>
        <c:majorUnit val="10"/>
      </c:valAx>
    </c:plotArea>
    <c:legend>
      <c:legendPos val="b"/>
      <c:layout>
        <c:manualLayout>
          <c:xMode val="edge"/>
          <c:yMode val="edge"/>
          <c:x val="0.20414186688202446"/>
          <c:y val="0.8996883202099738"/>
          <c:w val="0.54574191840217623"/>
          <c:h val="9.3148780448039425E-2"/>
        </c:manualLayout>
      </c:layout>
      <c:txPr>
        <a:bodyPr/>
        <a:lstStyle/>
        <a:p>
          <a:pPr>
            <a:defRPr sz="800">
              <a:latin typeface="Arial" pitchFamily="34" charset="0"/>
              <a:cs typeface="Arial" pitchFamily="34" charset="0"/>
            </a:defRPr>
          </a:pPr>
          <a:endParaRPr lang="cs-CZ"/>
        </a:p>
      </c:txPr>
    </c:legend>
    <c:plotVisOnly val="1"/>
    <c:dispBlanksAs val="gap"/>
  </c:chart>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900" b="1">
                <a:latin typeface="Arial Narrow" pitchFamily="34" charset="0"/>
              </a:defRPr>
            </a:pPr>
            <a:r>
              <a:rPr lang="cs-CZ" sz="900" b="1" i="0" baseline="0">
                <a:effectLst/>
                <a:latin typeface="Arial Narrow" pitchFamily="34" charset="0"/>
              </a:rPr>
              <a:t>Míra zaměstnanosti osob ve věku 20-64 v %</a:t>
            </a:r>
          </a:p>
          <a:p>
            <a:pPr>
              <a:defRPr sz="900" b="1">
                <a:latin typeface="Arial Narrow" pitchFamily="34" charset="0"/>
              </a:defRPr>
            </a:pPr>
            <a:r>
              <a:rPr lang="cs-CZ" sz="900" b="1" i="0" baseline="0">
                <a:effectLst/>
                <a:latin typeface="Arial Narrow" pitchFamily="34" charset="0"/>
              </a:rPr>
              <a:t>- muži</a:t>
            </a:r>
            <a:endParaRPr lang="cs-CZ" sz="900" b="1">
              <a:effectLst/>
              <a:latin typeface="Arial Narrow" pitchFamily="34" charset="0"/>
            </a:endParaRPr>
          </a:p>
        </c:rich>
      </c:tx>
      <c:layout>
        <c:manualLayout>
          <c:xMode val="edge"/>
          <c:yMode val="edge"/>
          <c:x val="0.15412385927308433"/>
          <c:y val="8.1568607301254967E-2"/>
        </c:manualLayout>
      </c:layout>
    </c:title>
    <c:plotArea>
      <c:layout>
        <c:manualLayout>
          <c:layoutTarget val="inner"/>
          <c:xMode val="edge"/>
          <c:yMode val="edge"/>
          <c:x val="0.13299313485186323"/>
          <c:y val="0.25083333333333324"/>
          <c:w val="0.82875369417924183"/>
          <c:h val="0.51243256051326869"/>
        </c:manualLayout>
      </c:layout>
      <c:barChart>
        <c:barDir val="col"/>
        <c:grouping val="clustered"/>
        <c:ser>
          <c:idx val="0"/>
          <c:order val="0"/>
          <c:tx>
            <c:strRef>
              <c:f>MZ!$B$6</c:f>
              <c:strCache>
                <c:ptCount val="1"/>
                <c:pt idx="0">
                  <c:v>EU28</c:v>
                </c:pt>
              </c:strCache>
            </c:strRef>
          </c:tx>
          <c:spPr>
            <a:solidFill>
              <a:srgbClr val="0070C0"/>
            </a:solidFill>
          </c:spPr>
          <c:cat>
            <c:strRef>
              <c:f>MZ!$C$1:$H$1</c:f>
              <c:strCache>
                <c:ptCount val="6"/>
                <c:pt idx="0">
                  <c:v>2013</c:v>
                </c:pt>
                <c:pt idx="1">
                  <c:v>2014</c:v>
                </c:pt>
                <c:pt idx="2">
                  <c:v>2015</c:v>
                </c:pt>
                <c:pt idx="3">
                  <c:v>2016</c:v>
                </c:pt>
                <c:pt idx="5">
                  <c:v>1.-3.q 2017</c:v>
                </c:pt>
              </c:strCache>
            </c:strRef>
          </c:cat>
          <c:val>
            <c:numRef>
              <c:f>MZ!$C$6:$H$6</c:f>
              <c:numCache>
                <c:formatCode>0.0</c:formatCode>
                <c:ptCount val="6"/>
                <c:pt idx="0">
                  <c:v>74.3</c:v>
                </c:pt>
                <c:pt idx="1">
                  <c:v>75</c:v>
                </c:pt>
                <c:pt idx="2">
                  <c:v>75.8</c:v>
                </c:pt>
                <c:pt idx="3">
                  <c:v>76.8</c:v>
                </c:pt>
                <c:pt idx="5">
                  <c:v>77.86666666666666</c:v>
                </c:pt>
              </c:numCache>
            </c:numRef>
          </c:val>
          <c:extLst xmlns:c16r2="http://schemas.microsoft.com/office/drawing/2015/06/chart">
            <c:ext xmlns:c16="http://schemas.microsoft.com/office/drawing/2014/chart" uri="{C3380CC4-5D6E-409C-BE32-E72D297353CC}">
              <c16:uniqueId val="{00000000-22BF-4BDF-999A-2461522F12C0}"/>
            </c:ext>
          </c:extLst>
        </c:ser>
        <c:ser>
          <c:idx val="1"/>
          <c:order val="1"/>
          <c:tx>
            <c:strRef>
              <c:f>MZ!$B$7</c:f>
              <c:strCache>
                <c:ptCount val="1"/>
                <c:pt idx="0">
                  <c:v>Česká republika</c:v>
                </c:pt>
              </c:strCache>
            </c:strRef>
          </c:tx>
          <c:spPr>
            <a:solidFill>
              <a:srgbClr val="C00000"/>
            </a:solidFill>
          </c:spPr>
          <c:cat>
            <c:strRef>
              <c:f>MZ!$C$1:$H$1</c:f>
              <c:strCache>
                <c:ptCount val="6"/>
                <c:pt idx="0">
                  <c:v>2013</c:v>
                </c:pt>
                <c:pt idx="1">
                  <c:v>2014</c:v>
                </c:pt>
                <c:pt idx="2">
                  <c:v>2015</c:v>
                </c:pt>
                <c:pt idx="3">
                  <c:v>2016</c:v>
                </c:pt>
                <c:pt idx="5">
                  <c:v>1.-3.q 2017</c:v>
                </c:pt>
              </c:strCache>
            </c:strRef>
          </c:cat>
          <c:val>
            <c:numRef>
              <c:f>MZ!$C$7:$H$7</c:f>
              <c:numCache>
                <c:formatCode>0.0</c:formatCode>
                <c:ptCount val="6"/>
                <c:pt idx="0">
                  <c:v>81</c:v>
                </c:pt>
                <c:pt idx="1">
                  <c:v>82.2</c:v>
                </c:pt>
                <c:pt idx="2">
                  <c:v>83</c:v>
                </c:pt>
                <c:pt idx="3">
                  <c:v>84.6</c:v>
                </c:pt>
                <c:pt idx="5">
                  <c:v>86.100000000000009</c:v>
                </c:pt>
              </c:numCache>
            </c:numRef>
          </c:val>
          <c:extLst xmlns:c16r2="http://schemas.microsoft.com/office/drawing/2015/06/chart">
            <c:ext xmlns:c16="http://schemas.microsoft.com/office/drawing/2014/chart" uri="{C3380CC4-5D6E-409C-BE32-E72D297353CC}">
              <c16:uniqueId val="{00000001-22BF-4BDF-999A-2461522F12C0}"/>
            </c:ext>
          </c:extLst>
        </c:ser>
        <c:gapWidth val="164"/>
        <c:axId val="175411968"/>
        <c:axId val="175413504"/>
      </c:barChart>
      <c:catAx>
        <c:axId val="175411968"/>
        <c:scaling>
          <c:orientation val="minMax"/>
        </c:scaling>
        <c:axPos val="b"/>
        <c:numFmt formatCode="General" sourceLinked="0"/>
        <c:majorTickMark val="none"/>
        <c:tickLblPos val="nextTo"/>
        <c:txPr>
          <a:bodyPr/>
          <a:lstStyle/>
          <a:p>
            <a:pPr>
              <a:defRPr sz="800">
                <a:latin typeface="Arial" pitchFamily="34" charset="0"/>
                <a:cs typeface="Arial" pitchFamily="34" charset="0"/>
              </a:defRPr>
            </a:pPr>
            <a:endParaRPr lang="cs-CZ"/>
          </a:p>
        </c:txPr>
        <c:crossAx val="175413504"/>
        <c:crosses val="autoZero"/>
        <c:auto val="1"/>
        <c:lblAlgn val="ctr"/>
        <c:lblOffset val="100"/>
      </c:catAx>
      <c:valAx>
        <c:axId val="175413504"/>
        <c:scaling>
          <c:orientation val="minMax"/>
          <c:max val="85"/>
          <c:min val="40"/>
        </c:scaling>
        <c:axPos val="l"/>
        <c:majorGridlines/>
        <c:title>
          <c:tx>
            <c:rich>
              <a:bodyPr rot="-5400000" vert="horz"/>
              <a:lstStyle/>
              <a:p>
                <a:pPr>
                  <a:defRPr sz="800"/>
                </a:pPr>
                <a:r>
                  <a:rPr lang="cs-CZ" sz="800"/>
                  <a:t>MZ v %</a:t>
                </a:r>
              </a:p>
            </c:rich>
          </c:tx>
        </c:title>
        <c:numFmt formatCode="0" sourceLinked="0"/>
        <c:majorTickMark val="none"/>
        <c:tickLblPos val="nextTo"/>
        <c:spPr>
          <a:ln w="9525">
            <a:noFill/>
          </a:ln>
        </c:spPr>
        <c:txPr>
          <a:bodyPr/>
          <a:lstStyle/>
          <a:p>
            <a:pPr>
              <a:defRPr sz="600">
                <a:latin typeface="Arial" pitchFamily="34" charset="0"/>
                <a:cs typeface="Arial" pitchFamily="34" charset="0"/>
              </a:defRPr>
            </a:pPr>
            <a:endParaRPr lang="cs-CZ"/>
          </a:p>
        </c:txPr>
        <c:crossAx val="175411968"/>
        <c:crosses val="autoZero"/>
        <c:crossBetween val="between"/>
        <c:majorUnit val="10"/>
      </c:valAx>
    </c:plotArea>
    <c:legend>
      <c:legendPos val="b"/>
      <c:layout>
        <c:manualLayout>
          <c:xMode val="edge"/>
          <c:yMode val="edge"/>
          <c:x val="0.20414186688202446"/>
          <c:y val="0.8996883202099738"/>
          <c:w val="0.54574191840217623"/>
          <c:h val="9.3148780448039425E-2"/>
        </c:manualLayout>
      </c:layout>
      <c:txPr>
        <a:bodyPr/>
        <a:lstStyle/>
        <a:p>
          <a:pPr>
            <a:defRPr sz="800">
              <a:latin typeface="Arial" pitchFamily="34" charset="0"/>
              <a:cs typeface="Arial" pitchFamily="34" charset="0"/>
            </a:defRPr>
          </a:pPr>
          <a:endParaRPr lang="cs-CZ"/>
        </a:p>
      </c:txP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900" b="1">
                <a:latin typeface="Arial Narrow" pitchFamily="34" charset="0"/>
              </a:defRPr>
            </a:pPr>
            <a:r>
              <a:rPr lang="cs-CZ" sz="900" b="1" i="0" baseline="0">
                <a:effectLst/>
                <a:latin typeface="Arial Narrow" pitchFamily="34" charset="0"/>
              </a:rPr>
              <a:t>Míra zaměstnanosti osob ve věku 55-64 v %</a:t>
            </a:r>
          </a:p>
          <a:p>
            <a:pPr>
              <a:defRPr sz="900" b="1">
                <a:latin typeface="Arial Narrow" pitchFamily="34" charset="0"/>
              </a:defRPr>
            </a:pPr>
            <a:r>
              <a:rPr lang="cs-CZ" sz="900" b="1" i="0" baseline="0">
                <a:effectLst/>
                <a:latin typeface="Arial Narrow" pitchFamily="34" charset="0"/>
              </a:rPr>
              <a:t>- celkem</a:t>
            </a:r>
            <a:endParaRPr lang="cs-CZ" sz="900" b="1">
              <a:effectLst/>
              <a:latin typeface="Arial Narrow" pitchFamily="34" charset="0"/>
            </a:endParaRPr>
          </a:p>
        </c:rich>
      </c:tx>
      <c:layout>
        <c:manualLayout>
          <c:xMode val="edge"/>
          <c:yMode val="edge"/>
          <c:x val="0.11312608507235476"/>
          <c:y val="7.5294099047312296E-2"/>
        </c:manualLayout>
      </c:layout>
    </c:title>
    <c:plotArea>
      <c:layout>
        <c:manualLayout>
          <c:layoutTarget val="inner"/>
          <c:xMode val="edge"/>
          <c:yMode val="edge"/>
          <c:x val="0.13299313485186323"/>
          <c:y val="0.25083333333333324"/>
          <c:w val="0.82875369417924183"/>
          <c:h val="0.51243256051326869"/>
        </c:manualLayout>
      </c:layout>
      <c:barChart>
        <c:barDir val="col"/>
        <c:grouping val="clustered"/>
        <c:ser>
          <c:idx val="0"/>
          <c:order val="0"/>
          <c:tx>
            <c:strRef>
              <c:f>MZ!$B$8</c:f>
              <c:strCache>
                <c:ptCount val="1"/>
                <c:pt idx="0">
                  <c:v>EU28</c:v>
                </c:pt>
              </c:strCache>
            </c:strRef>
          </c:tx>
          <c:spPr>
            <a:solidFill>
              <a:srgbClr val="0070C0"/>
            </a:solidFill>
          </c:spPr>
          <c:cat>
            <c:strRef>
              <c:f>MZ!$C$1:$H$1</c:f>
              <c:strCache>
                <c:ptCount val="6"/>
                <c:pt idx="0">
                  <c:v>2013</c:v>
                </c:pt>
                <c:pt idx="1">
                  <c:v>2014</c:v>
                </c:pt>
                <c:pt idx="2">
                  <c:v>2015</c:v>
                </c:pt>
                <c:pt idx="3">
                  <c:v>2016</c:v>
                </c:pt>
                <c:pt idx="5">
                  <c:v>1.-3.q 2017</c:v>
                </c:pt>
              </c:strCache>
            </c:strRef>
          </c:cat>
          <c:val>
            <c:numRef>
              <c:f>MZ!$C$8:$H$8</c:f>
              <c:numCache>
                <c:formatCode>General</c:formatCode>
                <c:ptCount val="6"/>
                <c:pt idx="0">
                  <c:v>50.1</c:v>
                </c:pt>
                <c:pt idx="1">
                  <c:v>51.8</c:v>
                </c:pt>
                <c:pt idx="2">
                  <c:v>53.3</c:v>
                </c:pt>
                <c:pt idx="3">
                  <c:v>55.2</c:v>
                </c:pt>
                <c:pt idx="5" formatCode="0.0">
                  <c:v>56.866666666666632</c:v>
                </c:pt>
              </c:numCache>
            </c:numRef>
          </c:val>
          <c:extLst xmlns:c16r2="http://schemas.microsoft.com/office/drawing/2015/06/chart">
            <c:ext xmlns:c16="http://schemas.microsoft.com/office/drawing/2014/chart" uri="{C3380CC4-5D6E-409C-BE32-E72D297353CC}">
              <c16:uniqueId val="{00000000-D995-4BFC-8327-0AE335A046F3}"/>
            </c:ext>
          </c:extLst>
        </c:ser>
        <c:ser>
          <c:idx val="1"/>
          <c:order val="1"/>
          <c:tx>
            <c:strRef>
              <c:f>MZ!$B$9</c:f>
              <c:strCache>
                <c:ptCount val="1"/>
                <c:pt idx="0">
                  <c:v>Česká republika</c:v>
                </c:pt>
              </c:strCache>
            </c:strRef>
          </c:tx>
          <c:spPr>
            <a:solidFill>
              <a:srgbClr val="C00000"/>
            </a:solidFill>
          </c:spPr>
          <c:cat>
            <c:strRef>
              <c:f>MZ!$C$1:$H$1</c:f>
              <c:strCache>
                <c:ptCount val="6"/>
                <c:pt idx="0">
                  <c:v>2013</c:v>
                </c:pt>
                <c:pt idx="1">
                  <c:v>2014</c:v>
                </c:pt>
                <c:pt idx="2">
                  <c:v>2015</c:v>
                </c:pt>
                <c:pt idx="3">
                  <c:v>2016</c:v>
                </c:pt>
                <c:pt idx="5">
                  <c:v>1.-3.q 2017</c:v>
                </c:pt>
              </c:strCache>
            </c:strRef>
          </c:cat>
          <c:val>
            <c:numRef>
              <c:f>MZ!$C$9:$H$9</c:f>
              <c:numCache>
                <c:formatCode>0.0</c:formatCode>
                <c:ptCount val="6"/>
                <c:pt idx="0">
                  <c:v>51.6</c:v>
                </c:pt>
                <c:pt idx="1">
                  <c:v>54</c:v>
                </c:pt>
                <c:pt idx="2">
                  <c:v>55.5</c:v>
                </c:pt>
                <c:pt idx="3">
                  <c:v>58.5</c:v>
                </c:pt>
                <c:pt idx="5">
                  <c:v>61.70000000000001</c:v>
                </c:pt>
              </c:numCache>
            </c:numRef>
          </c:val>
          <c:extLst xmlns:c16r2="http://schemas.microsoft.com/office/drawing/2015/06/chart">
            <c:ext xmlns:c16="http://schemas.microsoft.com/office/drawing/2014/chart" uri="{C3380CC4-5D6E-409C-BE32-E72D297353CC}">
              <c16:uniqueId val="{00000001-D995-4BFC-8327-0AE335A046F3}"/>
            </c:ext>
          </c:extLst>
        </c:ser>
        <c:gapWidth val="164"/>
        <c:axId val="175498752"/>
        <c:axId val="175500288"/>
      </c:barChart>
      <c:lineChart>
        <c:grouping val="standard"/>
        <c:marker val="1"/>
        <c:axId val="175498752"/>
        <c:axId val="175500288"/>
        <c:extLst xmlns:c16r2="http://schemas.microsoft.com/office/drawing/2015/06/chart">
          <c:ext xmlns:c15="http://schemas.microsoft.com/office/drawing/2012/chart" uri="{02D57815-91ED-43cb-92C2-25804820EDAC}">
            <c15:filteredLineSeries>
              <c15:ser>
                <c:idx val="2"/>
                <c:order val="2"/>
                <c:tx>
                  <c:strRef>
                    <c:extLst>
                      <c:ext uri="{02D57815-91ED-43cb-92C2-25804820EDAC}">
                        <c15:formulaRef>
                          <c15:sqref>MZ!$B$10</c15:sqref>
                        </c15:formulaRef>
                      </c:ext>
                    </c:extLst>
                    <c:strCache>
                      <c:ptCount val="1"/>
                      <c:pt idx="0">
                        <c:v>cíl ČR</c:v>
                      </c:pt>
                    </c:strCache>
                  </c:strRef>
                </c:tx>
                <c:spPr>
                  <a:ln w="19050">
                    <a:solidFill>
                      <a:schemeClr val="accent2">
                        <a:lumMod val="75000"/>
                      </a:schemeClr>
                    </a:solidFill>
                  </a:ln>
                </c:spPr>
                <c:marker>
                  <c:symbol val="none"/>
                </c:marker>
                <c:cat>
                  <c:strRef>
                    <c:extLst>
                      <c:ext uri="{02D57815-91ED-43cb-92C2-25804820EDAC}">
                        <c15:formulaRef>
                          <c15:sqref>MZ!$C$1:$H$1</c15:sqref>
                        </c15:formulaRef>
                      </c:ext>
                    </c:extLst>
                    <c:strCache>
                      <c:ptCount val="6"/>
                      <c:pt idx="0">
                        <c:v>2013</c:v>
                      </c:pt>
                      <c:pt idx="1">
                        <c:v>2014</c:v>
                      </c:pt>
                      <c:pt idx="2">
                        <c:v>2015</c:v>
                      </c:pt>
                      <c:pt idx="3">
                        <c:v>2016</c:v>
                      </c:pt>
                      <c:pt idx="5">
                        <c:v>1.-3.q 2017</c:v>
                      </c:pt>
                    </c:strCache>
                  </c:strRef>
                </c:cat>
                <c:val>
                  <c:numRef>
                    <c:extLst>
                      <c:ext uri="{02D57815-91ED-43cb-92C2-25804820EDAC}">
                        <c15:formulaRef>
                          <c15:sqref>MZ!$C$10:$H$10</c15:sqref>
                        </c15:formulaRef>
                      </c:ext>
                    </c:extLst>
                    <c:numCache>
                      <c:formatCode>0.0</c:formatCode>
                      <c:ptCount val="6"/>
                      <c:pt idx="0">
                        <c:v>55</c:v>
                      </c:pt>
                      <c:pt idx="1">
                        <c:v>55</c:v>
                      </c:pt>
                      <c:pt idx="2">
                        <c:v>55</c:v>
                      </c:pt>
                      <c:pt idx="3">
                        <c:v>55</c:v>
                      </c:pt>
                      <c:pt idx="4">
                        <c:v>55</c:v>
                      </c:pt>
                      <c:pt idx="5">
                        <c:v>55</c:v>
                      </c:pt>
                    </c:numCache>
                  </c:numRef>
                </c:val>
                <c:smooth val="0"/>
                <c:extLst>
                  <c:ext xmlns:c16="http://schemas.microsoft.com/office/drawing/2014/chart" uri="{C3380CC4-5D6E-409C-BE32-E72D297353CC}">
                    <c16:uniqueId val="{00000002-D995-4BFC-8327-0AE335A046F3}"/>
                  </c:ext>
                </c:extLst>
              </c15:ser>
            </c15:filteredLineSeries>
          </c:ext>
        </c:extLst>
      </c:lineChart>
      <c:catAx>
        <c:axId val="175498752"/>
        <c:scaling>
          <c:orientation val="minMax"/>
        </c:scaling>
        <c:axPos val="b"/>
        <c:numFmt formatCode="General" sourceLinked="0"/>
        <c:majorTickMark val="none"/>
        <c:tickLblPos val="nextTo"/>
        <c:txPr>
          <a:bodyPr/>
          <a:lstStyle/>
          <a:p>
            <a:pPr>
              <a:defRPr sz="800">
                <a:latin typeface="Arial" pitchFamily="34" charset="0"/>
                <a:cs typeface="Arial" pitchFamily="34" charset="0"/>
              </a:defRPr>
            </a:pPr>
            <a:endParaRPr lang="cs-CZ"/>
          </a:p>
        </c:txPr>
        <c:crossAx val="175500288"/>
        <c:crosses val="autoZero"/>
        <c:auto val="1"/>
        <c:lblAlgn val="ctr"/>
        <c:lblOffset val="100"/>
      </c:catAx>
      <c:valAx>
        <c:axId val="175500288"/>
        <c:scaling>
          <c:orientation val="minMax"/>
          <c:max val="85"/>
          <c:min val="40"/>
        </c:scaling>
        <c:axPos val="l"/>
        <c:majorGridlines/>
        <c:title>
          <c:tx>
            <c:rich>
              <a:bodyPr rot="-5400000" vert="horz"/>
              <a:lstStyle/>
              <a:p>
                <a:pPr>
                  <a:defRPr sz="800"/>
                </a:pPr>
                <a:r>
                  <a:rPr lang="cs-CZ" sz="800"/>
                  <a:t>MZ v %</a:t>
                </a:r>
              </a:p>
            </c:rich>
          </c:tx>
        </c:title>
        <c:numFmt formatCode="General" sourceLinked="1"/>
        <c:majorTickMark val="none"/>
        <c:tickLblPos val="nextTo"/>
        <c:spPr>
          <a:ln w="9525">
            <a:noFill/>
          </a:ln>
        </c:spPr>
        <c:txPr>
          <a:bodyPr/>
          <a:lstStyle/>
          <a:p>
            <a:pPr>
              <a:defRPr sz="600">
                <a:latin typeface="Arial" pitchFamily="34" charset="0"/>
                <a:cs typeface="Arial" pitchFamily="34" charset="0"/>
              </a:defRPr>
            </a:pPr>
            <a:endParaRPr lang="cs-CZ"/>
          </a:p>
        </c:txPr>
        <c:crossAx val="175498752"/>
        <c:crosses val="autoZero"/>
        <c:crossBetween val="between"/>
        <c:majorUnit val="10"/>
      </c:valAx>
    </c:plotArea>
    <c:legend>
      <c:legendPos val="b"/>
      <c:layout>
        <c:manualLayout>
          <c:xMode val="edge"/>
          <c:yMode val="edge"/>
          <c:x val="0.20414186688202446"/>
          <c:y val="0.8996883202099738"/>
          <c:w val="0.54574191840217623"/>
          <c:h val="9.3148780448039425E-2"/>
        </c:manualLayout>
      </c:layout>
      <c:txPr>
        <a:bodyPr/>
        <a:lstStyle/>
        <a:p>
          <a:pPr>
            <a:defRPr sz="800">
              <a:latin typeface="Arial" pitchFamily="34" charset="0"/>
              <a:cs typeface="Arial" pitchFamily="34" charset="0"/>
            </a:defRPr>
          </a:pPr>
          <a:endParaRPr lang="cs-CZ"/>
        </a:p>
      </c:txPr>
    </c:legend>
    <c:plotVisOnly val="1"/>
    <c:dispBlanksAs val="gap"/>
  </c:chart>
  <c:externalData r:id="rId1"/>
  <c:userShapes r:id="rId2"/>
</c:chartSpace>
</file>

<file path=word/charts/chart27.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900" b="1">
                <a:latin typeface="Arial Narrow" pitchFamily="34" charset="0"/>
              </a:defRPr>
            </a:pPr>
            <a:r>
              <a:rPr lang="cs-CZ" sz="900" b="1" i="0" baseline="0">
                <a:effectLst/>
                <a:latin typeface="Arial Narrow" pitchFamily="34" charset="0"/>
              </a:rPr>
              <a:t>Kratší pracovní doba v %</a:t>
            </a:r>
            <a:endParaRPr lang="cs-CZ" sz="900" b="1">
              <a:effectLst/>
              <a:latin typeface="Arial Narrow" pitchFamily="34" charset="0"/>
            </a:endParaRPr>
          </a:p>
          <a:p>
            <a:pPr>
              <a:defRPr sz="900" b="1">
                <a:latin typeface="Arial Narrow" pitchFamily="34" charset="0"/>
              </a:defRPr>
            </a:pPr>
            <a:r>
              <a:rPr lang="cs-CZ" sz="900" b="1" i="0" baseline="0">
                <a:effectLst/>
                <a:latin typeface="Arial Narrow" pitchFamily="34" charset="0"/>
              </a:rPr>
              <a:t>- celkem</a:t>
            </a:r>
            <a:endParaRPr lang="cs-CZ" sz="900" b="1">
              <a:effectLst/>
              <a:latin typeface="Arial Narrow" pitchFamily="34" charset="0"/>
            </a:endParaRPr>
          </a:p>
        </c:rich>
      </c:tx>
    </c:title>
    <c:plotArea>
      <c:layout>
        <c:manualLayout>
          <c:layoutTarget val="inner"/>
          <c:xMode val="edge"/>
          <c:yMode val="edge"/>
          <c:x val="0.12040036080237251"/>
          <c:y val="0.25083333333333324"/>
          <c:w val="0.84134633301129358"/>
          <c:h val="0.51243256051326869"/>
        </c:manualLayout>
      </c:layout>
      <c:barChart>
        <c:barDir val="col"/>
        <c:grouping val="clustered"/>
        <c:ser>
          <c:idx val="0"/>
          <c:order val="0"/>
          <c:tx>
            <c:strRef>
              <c:f>'part time'!$B$2</c:f>
              <c:strCache>
                <c:ptCount val="1"/>
                <c:pt idx="0">
                  <c:v>EU28</c:v>
                </c:pt>
              </c:strCache>
            </c:strRef>
          </c:tx>
          <c:spPr>
            <a:solidFill>
              <a:srgbClr val="0070C0"/>
            </a:solidFill>
          </c:spPr>
          <c:cat>
            <c:strRef>
              <c:f>'part time'!$C$1:$G$1</c:f>
              <c:strCache>
                <c:ptCount val="5"/>
                <c:pt idx="0">
                  <c:v>2013</c:v>
                </c:pt>
                <c:pt idx="1">
                  <c:v>2014</c:v>
                </c:pt>
                <c:pt idx="2">
                  <c:v>2015</c:v>
                </c:pt>
                <c:pt idx="3">
                  <c:v>2016</c:v>
                </c:pt>
                <c:pt idx="4">
                  <c:v>2017 *)</c:v>
                </c:pt>
              </c:strCache>
            </c:strRef>
          </c:cat>
          <c:val>
            <c:numRef>
              <c:f>'part time'!$C$2:$G$2</c:f>
              <c:numCache>
                <c:formatCode>General</c:formatCode>
                <c:ptCount val="5"/>
                <c:pt idx="0">
                  <c:v>20.3</c:v>
                </c:pt>
                <c:pt idx="1">
                  <c:v>20.3</c:v>
                </c:pt>
                <c:pt idx="2">
                  <c:v>20.3</c:v>
                </c:pt>
                <c:pt idx="3">
                  <c:v>20.3</c:v>
                </c:pt>
                <c:pt idx="4" formatCode="0.0">
                  <c:v>20.149999999999999</c:v>
                </c:pt>
              </c:numCache>
            </c:numRef>
          </c:val>
          <c:extLst xmlns:c16r2="http://schemas.microsoft.com/office/drawing/2015/06/chart">
            <c:ext xmlns:c16="http://schemas.microsoft.com/office/drawing/2014/chart" uri="{C3380CC4-5D6E-409C-BE32-E72D297353CC}">
              <c16:uniqueId val="{00000000-1CFC-40BD-9B85-A8667AC6028B}"/>
            </c:ext>
          </c:extLst>
        </c:ser>
        <c:ser>
          <c:idx val="1"/>
          <c:order val="1"/>
          <c:tx>
            <c:strRef>
              <c:f>'part time'!$B$3</c:f>
              <c:strCache>
                <c:ptCount val="1"/>
                <c:pt idx="0">
                  <c:v>Česká republika</c:v>
                </c:pt>
              </c:strCache>
            </c:strRef>
          </c:tx>
          <c:spPr>
            <a:solidFill>
              <a:srgbClr val="C00000"/>
            </a:solidFill>
          </c:spPr>
          <c:cat>
            <c:strRef>
              <c:f>'part time'!$C$1:$G$1</c:f>
              <c:strCache>
                <c:ptCount val="5"/>
                <c:pt idx="0">
                  <c:v>2013</c:v>
                </c:pt>
                <c:pt idx="1">
                  <c:v>2014</c:v>
                </c:pt>
                <c:pt idx="2">
                  <c:v>2015</c:v>
                </c:pt>
                <c:pt idx="3">
                  <c:v>2016</c:v>
                </c:pt>
                <c:pt idx="4">
                  <c:v>2017 *)</c:v>
                </c:pt>
              </c:strCache>
            </c:strRef>
          </c:cat>
          <c:val>
            <c:numRef>
              <c:f>'part time'!$C$3:$G$3</c:f>
              <c:numCache>
                <c:formatCode>General</c:formatCode>
                <c:ptCount val="5"/>
                <c:pt idx="0">
                  <c:v>6.5</c:v>
                </c:pt>
                <c:pt idx="1">
                  <c:v>6.2</c:v>
                </c:pt>
                <c:pt idx="2">
                  <c:v>6.1</c:v>
                </c:pt>
                <c:pt idx="3">
                  <c:v>6.6</c:v>
                </c:pt>
                <c:pt idx="4" formatCode="0.0">
                  <c:v>7.2</c:v>
                </c:pt>
              </c:numCache>
            </c:numRef>
          </c:val>
          <c:extLst xmlns:c16r2="http://schemas.microsoft.com/office/drawing/2015/06/chart">
            <c:ext xmlns:c16="http://schemas.microsoft.com/office/drawing/2014/chart" uri="{C3380CC4-5D6E-409C-BE32-E72D297353CC}">
              <c16:uniqueId val="{00000001-1CFC-40BD-9B85-A8667AC6028B}"/>
            </c:ext>
          </c:extLst>
        </c:ser>
        <c:gapWidth val="164"/>
        <c:axId val="175515520"/>
        <c:axId val="175517056"/>
      </c:barChart>
      <c:catAx>
        <c:axId val="175515520"/>
        <c:scaling>
          <c:orientation val="minMax"/>
        </c:scaling>
        <c:axPos val="b"/>
        <c:numFmt formatCode="General" sourceLinked="0"/>
        <c:majorTickMark val="none"/>
        <c:tickLblPos val="nextTo"/>
        <c:txPr>
          <a:bodyPr/>
          <a:lstStyle/>
          <a:p>
            <a:pPr>
              <a:defRPr sz="800">
                <a:latin typeface="Arial" pitchFamily="34" charset="0"/>
                <a:cs typeface="Arial" pitchFamily="34" charset="0"/>
              </a:defRPr>
            </a:pPr>
            <a:endParaRPr lang="cs-CZ"/>
          </a:p>
        </c:txPr>
        <c:crossAx val="175517056"/>
        <c:crosses val="autoZero"/>
        <c:auto val="1"/>
        <c:lblAlgn val="ctr"/>
        <c:lblOffset val="100"/>
      </c:catAx>
      <c:valAx>
        <c:axId val="175517056"/>
        <c:scaling>
          <c:orientation val="minMax"/>
          <c:max val="35"/>
          <c:min val="0"/>
        </c:scaling>
        <c:axPos val="l"/>
        <c:majorGridlines/>
        <c:title>
          <c:tx>
            <c:rich>
              <a:bodyPr rot="-5400000" vert="horz"/>
              <a:lstStyle/>
              <a:p>
                <a:pPr>
                  <a:defRPr sz="800"/>
                </a:pPr>
                <a:r>
                  <a:rPr lang="cs-CZ" sz="800"/>
                  <a:t>v %</a:t>
                </a:r>
              </a:p>
            </c:rich>
          </c:tx>
        </c:title>
        <c:numFmt formatCode="General" sourceLinked="1"/>
        <c:majorTickMark val="none"/>
        <c:tickLblPos val="nextTo"/>
        <c:spPr>
          <a:ln w="9525">
            <a:noFill/>
          </a:ln>
        </c:spPr>
        <c:txPr>
          <a:bodyPr/>
          <a:lstStyle/>
          <a:p>
            <a:pPr>
              <a:defRPr sz="600">
                <a:latin typeface="Arial" pitchFamily="34" charset="0"/>
                <a:cs typeface="Arial" pitchFamily="34" charset="0"/>
              </a:defRPr>
            </a:pPr>
            <a:endParaRPr lang="cs-CZ"/>
          </a:p>
        </c:txPr>
        <c:crossAx val="175515520"/>
        <c:crosses val="autoZero"/>
        <c:crossBetween val="between"/>
        <c:majorUnit val="5"/>
      </c:valAx>
    </c:plotArea>
    <c:legend>
      <c:legendPos val="b"/>
      <c:layout>
        <c:manualLayout>
          <c:xMode val="edge"/>
          <c:yMode val="edge"/>
          <c:x val="0.20414186688202446"/>
          <c:y val="0.8996883202099738"/>
          <c:w val="0.53017753550037039"/>
          <c:h val="7.2533902012248491E-2"/>
        </c:manualLayout>
      </c:layout>
      <c:txPr>
        <a:bodyPr/>
        <a:lstStyle/>
        <a:p>
          <a:pPr>
            <a:defRPr sz="800">
              <a:latin typeface="Arial" pitchFamily="34" charset="0"/>
              <a:cs typeface="Arial" pitchFamily="34" charset="0"/>
            </a:defRPr>
          </a:pPr>
          <a:endParaRPr lang="cs-CZ"/>
        </a:p>
      </c:txPr>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900" b="1">
                <a:latin typeface="Arial Narrow" pitchFamily="34" charset="0"/>
              </a:defRPr>
            </a:pPr>
            <a:r>
              <a:rPr lang="cs-CZ" sz="900" b="1" i="0" baseline="0">
                <a:effectLst/>
                <a:latin typeface="Arial Narrow" pitchFamily="34" charset="0"/>
              </a:rPr>
              <a:t>Kratší pracovní doba v %</a:t>
            </a:r>
            <a:endParaRPr lang="cs-CZ" sz="900" b="1">
              <a:effectLst/>
              <a:latin typeface="Arial Narrow" pitchFamily="34" charset="0"/>
            </a:endParaRPr>
          </a:p>
          <a:p>
            <a:pPr>
              <a:defRPr sz="900" b="1">
                <a:latin typeface="Arial Narrow" pitchFamily="34" charset="0"/>
              </a:defRPr>
            </a:pPr>
            <a:r>
              <a:rPr lang="cs-CZ" sz="900" b="1" i="0" baseline="0">
                <a:effectLst/>
                <a:latin typeface="Arial Narrow" pitchFamily="34" charset="0"/>
              </a:rPr>
              <a:t>- ženy</a:t>
            </a:r>
            <a:endParaRPr lang="cs-CZ" sz="900" b="1">
              <a:effectLst/>
              <a:latin typeface="Arial Narrow" pitchFamily="34" charset="0"/>
            </a:endParaRPr>
          </a:p>
        </c:rich>
      </c:tx>
    </c:title>
    <c:plotArea>
      <c:layout>
        <c:manualLayout>
          <c:layoutTarget val="inner"/>
          <c:xMode val="edge"/>
          <c:yMode val="edge"/>
          <c:x val="0.1378593167650696"/>
          <c:y val="0.25083333333333324"/>
          <c:w val="0.82388751226603552"/>
          <c:h val="0.51243256051326869"/>
        </c:manualLayout>
      </c:layout>
      <c:barChart>
        <c:barDir val="col"/>
        <c:grouping val="clustered"/>
        <c:ser>
          <c:idx val="0"/>
          <c:order val="0"/>
          <c:tx>
            <c:strRef>
              <c:f>'part time'!$B$4</c:f>
              <c:strCache>
                <c:ptCount val="1"/>
                <c:pt idx="0">
                  <c:v>EU28</c:v>
                </c:pt>
              </c:strCache>
            </c:strRef>
          </c:tx>
          <c:spPr>
            <a:solidFill>
              <a:srgbClr val="0070C0"/>
            </a:solidFill>
          </c:spPr>
          <c:cat>
            <c:strRef>
              <c:f>'part time'!$C$1:$G$1</c:f>
              <c:strCache>
                <c:ptCount val="5"/>
                <c:pt idx="0">
                  <c:v>2013</c:v>
                </c:pt>
                <c:pt idx="1">
                  <c:v>2014</c:v>
                </c:pt>
                <c:pt idx="2">
                  <c:v>2015</c:v>
                </c:pt>
                <c:pt idx="3">
                  <c:v>2016</c:v>
                </c:pt>
                <c:pt idx="4">
                  <c:v>2017 *)</c:v>
                </c:pt>
              </c:strCache>
            </c:strRef>
          </c:cat>
          <c:val>
            <c:numRef>
              <c:f>'part time'!$C$4:$G$4</c:f>
              <c:numCache>
                <c:formatCode>General</c:formatCode>
                <c:ptCount val="5"/>
                <c:pt idx="0">
                  <c:v>32.9</c:v>
                </c:pt>
                <c:pt idx="1">
                  <c:v>32.800000000000004</c:v>
                </c:pt>
                <c:pt idx="2">
                  <c:v>32.700000000000003</c:v>
                </c:pt>
                <c:pt idx="3">
                  <c:v>32.5</c:v>
                </c:pt>
                <c:pt idx="4">
                  <c:v>32.300000000000004</c:v>
                </c:pt>
              </c:numCache>
            </c:numRef>
          </c:val>
          <c:extLst xmlns:c16r2="http://schemas.microsoft.com/office/drawing/2015/06/chart">
            <c:ext xmlns:c16="http://schemas.microsoft.com/office/drawing/2014/chart" uri="{C3380CC4-5D6E-409C-BE32-E72D297353CC}">
              <c16:uniqueId val="{00000000-C486-4020-9A6A-38FD416E943A}"/>
            </c:ext>
          </c:extLst>
        </c:ser>
        <c:ser>
          <c:idx val="1"/>
          <c:order val="1"/>
          <c:tx>
            <c:strRef>
              <c:f>'part time'!$B$5</c:f>
              <c:strCache>
                <c:ptCount val="1"/>
                <c:pt idx="0">
                  <c:v>Česká republika</c:v>
                </c:pt>
              </c:strCache>
            </c:strRef>
          </c:tx>
          <c:spPr>
            <a:solidFill>
              <a:srgbClr val="C00000"/>
            </a:solidFill>
          </c:spPr>
          <c:cat>
            <c:strRef>
              <c:f>'part time'!$C$1:$G$1</c:f>
              <c:strCache>
                <c:ptCount val="5"/>
                <c:pt idx="0">
                  <c:v>2013</c:v>
                </c:pt>
                <c:pt idx="1">
                  <c:v>2014</c:v>
                </c:pt>
                <c:pt idx="2">
                  <c:v>2015</c:v>
                </c:pt>
                <c:pt idx="3">
                  <c:v>2016</c:v>
                </c:pt>
                <c:pt idx="4">
                  <c:v>2017 *)</c:v>
                </c:pt>
              </c:strCache>
            </c:strRef>
          </c:cat>
          <c:val>
            <c:numRef>
              <c:f>'part time'!$C$5:$G$5</c:f>
              <c:numCache>
                <c:formatCode>0.0</c:formatCode>
                <c:ptCount val="5"/>
                <c:pt idx="0">
                  <c:v>10.9</c:v>
                </c:pt>
                <c:pt idx="1">
                  <c:v>10.3</c:v>
                </c:pt>
                <c:pt idx="2">
                  <c:v>10.200000000000001</c:v>
                </c:pt>
                <c:pt idx="3">
                  <c:v>11</c:v>
                </c:pt>
                <c:pt idx="4">
                  <c:v>12.05</c:v>
                </c:pt>
              </c:numCache>
            </c:numRef>
          </c:val>
          <c:extLst xmlns:c16r2="http://schemas.microsoft.com/office/drawing/2015/06/chart">
            <c:ext xmlns:c16="http://schemas.microsoft.com/office/drawing/2014/chart" uri="{C3380CC4-5D6E-409C-BE32-E72D297353CC}">
              <c16:uniqueId val="{00000001-C486-4020-9A6A-38FD416E943A}"/>
            </c:ext>
          </c:extLst>
        </c:ser>
        <c:gapWidth val="164"/>
        <c:axId val="175560960"/>
        <c:axId val="175669248"/>
      </c:barChart>
      <c:catAx>
        <c:axId val="175560960"/>
        <c:scaling>
          <c:orientation val="minMax"/>
        </c:scaling>
        <c:axPos val="b"/>
        <c:numFmt formatCode="General" sourceLinked="0"/>
        <c:majorTickMark val="none"/>
        <c:tickLblPos val="nextTo"/>
        <c:txPr>
          <a:bodyPr/>
          <a:lstStyle/>
          <a:p>
            <a:pPr>
              <a:defRPr sz="800">
                <a:latin typeface="Arial" pitchFamily="34" charset="0"/>
                <a:cs typeface="Arial" pitchFamily="34" charset="0"/>
              </a:defRPr>
            </a:pPr>
            <a:endParaRPr lang="cs-CZ"/>
          </a:p>
        </c:txPr>
        <c:crossAx val="175669248"/>
        <c:crosses val="autoZero"/>
        <c:auto val="1"/>
        <c:lblAlgn val="ctr"/>
        <c:lblOffset val="100"/>
      </c:catAx>
      <c:valAx>
        <c:axId val="175669248"/>
        <c:scaling>
          <c:orientation val="minMax"/>
          <c:max val="35"/>
          <c:min val="0"/>
        </c:scaling>
        <c:axPos val="l"/>
        <c:majorGridlines/>
        <c:title>
          <c:tx>
            <c:rich>
              <a:bodyPr rot="-5400000" vert="horz"/>
              <a:lstStyle/>
              <a:p>
                <a:pPr>
                  <a:defRPr sz="800"/>
                </a:pPr>
                <a:r>
                  <a:rPr lang="cs-CZ" sz="800"/>
                  <a:t>v %</a:t>
                </a:r>
              </a:p>
            </c:rich>
          </c:tx>
        </c:title>
        <c:numFmt formatCode="General" sourceLinked="1"/>
        <c:majorTickMark val="none"/>
        <c:tickLblPos val="nextTo"/>
        <c:spPr>
          <a:ln w="9525">
            <a:noFill/>
          </a:ln>
        </c:spPr>
        <c:txPr>
          <a:bodyPr/>
          <a:lstStyle/>
          <a:p>
            <a:pPr>
              <a:defRPr sz="600">
                <a:latin typeface="Arial" pitchFamily="34" charset="0"/>
                <a:cs typeface="Arial" pitchFamily="34" charset="0"/>
              </a:defRPr>
            </a:pPr>
            <a:endParaRPr lang="cs-CZ"/>
          </a:p>
        </c:txPr>
        <c:crossAx val="175560960"/>
        <c:crosses val="autoZero"/>
        <c:crossBetween val="between"/>
        <c:majorUnit val="5"/>
      </c:valAx>
    </c:plotArea>
    <c:legend>
      <c:legendPos val="b"/>
      <c:layout>
        <c:manualLayout>
          <c:xMode val="edge"/>
          <c:yMode val="edge"/>
          <c:x val="0.20414186688202446"/>
          <c:y val="0.8996883202099738"/>
          <c:w val="0.53017753550037039"/>
          <c:h val="7.2533902012248491E-2"/>
        </c:manualLayout>
      </c:layout>
      <c:txPr>
        <a:bodyPr/>
        <a:lstStyle/>
        <a:p>
          <a:pPr>
            <a:defRPr sz="800">
              <a:latin typeface="Arial" pitchFamily="34" charset="0"/>
              <a:cs typeface="Arial" pitchFamily="34" charset="0"/>
            </a:defRPr>
          </a:pPr>
          <a:endParaRPr lang="cs-CZ"/>
        </a:p>
      </c:txPr>
    </c:legend>
    <c:plotVisOnly val="1"/>
    <c:dispBlanksAs val="gap"/>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200"/>
            </a:pPr>
            <a:r>
              <a:rPr lang="cs-CZ" sz="1200"/>
              <a:t>Míra nezaměstnanosti v zemích</a:t>
            </a:r>
            <a:r>
              <a:rPr lang="cs-CZ" sz="1200" baseline="0"/>
              <a:t> EU 28</a:t>
            </a:r>
            <a:r>
              <a:rPr lang="cs-CZ" sz="1200"/>
              <a:t> </a:t>
            </a:r>
            <a:r>
              <a:rPr lang="cs-CZ" sz="1200" baseline="0"/>
              <a:t>(v %)                                         </a:t>
            </a:r>
            <a:r>
              <a:rPr lang="cs-CZ" sz="1200" i="1" baseline="0"/>
              <a:t>                         v roce 2017</a:t>
            </a:r>
          </a:p>
        </c:rich>
      </c:tx>
      <c:layout>
        <c:manualLayout>
          <c:xMode val="edge"/>
          <c:yMode val="edge"/>
          <c:x val="0.21806585067955614"/>
          <c:y val="1.8518518518518524E-2"/>
        </c:manualLayout>
      </c:layout>
    </c:title>
    <c:plotArea>
      <c:layout>
        <c:manualLayout>
          <c:layoutTarget val="inner"/>
          <c:xMode val="edge"/>
          <c:yMode val="edge"/>
          <c:x val="0.10620368493542272"/>
          <c:y val="0.19480351414406533"/>
          <c:w val="0.84774200254671184"/>
          <c:h val="0.48201589384660265"/>
        </c:manualLayout>
      </c:layout>
      <c:barChart>
        <c:barDir val="col"/>
        <c:grouping val="clustered"/>
        <c:ser>
          <c:idx val="0"/>
          <c:order val="0"/>
          <c:tx>
            <c:strRef>
              <c:f>List1!$A$5</c:f>
              <c:strCache>
                <c:ptCount val="1"/>
                <c:pt idx="0">
                  <c:v>2017</c:v>
                </c:pt>
              </c:strCache>
            </c:strRef>
          </c:tx>
          <c:spPr>
            <a:solidFill>
              <a:srgbClr val="3399FF"/>
            </a:solidFill>
          </c:spPr>
          <c:dPt>
            <c:idx val="9"/>
            <c:spPr>
              <a:solidFill>
                <a:srgbClr val="003399"/>
              </a:solidFill>
            </c:spPr>
            <c:extLst xmlns:c16r2="http://schemas.microsoft.com/office/drawing/2015/06/chart">
              <c:ext xmlns:c16="http://schemas.microsoft.com/office/drawing/2014/chart" uri="{C3380CC4-5D6E-409C-BE32-E72D297353CC}">
                <c16:uniqueId val="{00000003-891E-422E-9881-736B0A3E9F5A}"/>
              </c:ext>
            </c:extLst>
          </c:dPt>
          <c:dPt>
            <c:idx val="27"/>
            <c:spPr>
              <a:solidFill>
                <a:srgbClr val="A50021"/>
              </a:solidFill>
            </c:spPr>
            <c:extLst xmlns:c16r2="http://schemas.microsoft.com/office/drawing/2015/06/chart">
              <c:ext xmlns:c16="http://schemas.microsoft.com/office/drawing/2014/chart" uri="{C3380CC4-5D6E-409C-BE32-E72D297353CC}">
                <c16:uniqueId val="{00000007-891E-422E-9881-736B0A3E9F5A}"/>
              </c:ext>
            </c:extLst>
          </c:dPt>
          <c:cat>
            <c:strRef>
              <c:f>List1!$B$6:$B$34</c:f>
              <c:strCache>
                <c:ptCount val="28"/>
                <c:pt idx="0">
                  <c:v>Řecko</c:v>
                </c:pt>
                <c:pt idx="1">
                  <c:v>Španělsko</c:v>
                </c:pt>
                <c:pt idx="2">
                  <c:v>Chorvatsko</c:v>
                </c:pt>
                <c:pt idx="3">
                  <c:v>Kypr</c:v>
                </c:pt>
                <c:pt idx="4">
                  <c:v>Francie</c:v>
                </c:pt>
                <c:pt idx="5">
                  <c:v>Portugalsko</c:v>
                </c:pt>
                <c:pt idx="6">
                  <c:v>Lotyšsko</c:v>
                </c:pt>
                <c:pt idx="7">
                  <c:v>Finsko</c:v>
                </c:pt>
                <c:pt idx="8">
                  <c:v>Slovensko</c:v>
                </c:pt>
                <c:pt idx="9">
                  <c:v>EU 28</c:v>
                </c:pt>
                <c:pt idx="10">
                  <c:v>Belgie</c:v>
                </c:pt>
                <c:pt idx="11">
                  <c:v>Litva</c:v>
                </c:pt>
                <c:pt idx="12">
                  <c:v>Irsko</c:v>
                </c:pt>
                <c:pt idx="13">
                  <c:v>Švédsko</c:v>
                </c:pt>
                <c:pt idx="14">
                  <c:v>Slovinsko</c:v>
                </c:pt>
                <c:pt idx="15">
                  <c:v>Bulharsko</c:v>
                </c:pt>
                <c:pt idx="16">
                  <c:v>Estonsko</c:v>
                </c:pt>
                <c:pt idx="17">
                  <c:v>Dánsko</c:v>
                </c:pt>
                <c:pt idx="18">
                  <c:v>Lucembursko</c:v>
                </c:pt>
                <c:pt idx="19">
                  <c:v>Rakousko</c:v>
                </c:pt>
                <c:pt idx="20">
                  <c:v>Nizozemsko</c:v>
                </c:pt>
                <c:pt idx="21">
                  <c:v>Polsko</c:v>
                </c:pt>
                <c:pt idx="22">
                  <c:v>Rumunsko</c:v>
                </c:pt>
                <c:pt idx="23">
                  <c:v>Velká Británie</c:v>
                </c:pt>
                <c:pt idx="24">
                  <c:v>Maďarsko</c:v>
                </c:pt>
                <c:pt idx="25">
                  <c:v>Malta</c:v>
                </c:pt>
                <c:pt idx="26">
                  <c:v>Německo</c:v>
                </c:pt>
                <c:pt idx="27">
                  <c:v>Česká republika</c:v>
                </c:pt>
              </c:strCache>
            </c:strRef>
          </c:cat>
          <c:val>
            <c:numRef>
              <c:f>List1!$A$6:$A$34</c:f>
              <c:numCache>
                <c:formatCode>#\ ##0.0</c:formatCode>
                <c:ptCount val="28"/>
                <c:pt idx="0">
                  <c:v>21.5</c:v>
                </c:pt>
                <c:pt idx="1">
                  <c:v>17.2</c:v>
                </c:pt>
                <c:pt idx="2">
                  <c:v>11.1</c:v>
                </c:pt>
                <c:pt idx="3">
                  <c:v>11.1</c:v>
                </c:pt>
                <c:pt idx="4">
                  <c:v>9.4</c:v>
                </c:pt>
                <c:pt idx="5">
                  <c:v>9</c:v>
                </c:pt>
                <c:pt idx="6">
                  <c:v>8.7000000000000011</c:v>
                </c:pt>
                <c:pt idx="7">
                  <c:v>8.6</c:v>
                </c:pt>
                <c:pt idx="8">
                  <c:v>8.1</c:v>
                </c:pt>
                <c:pt idx="9">
                  <c:v>7.6</c:v>
                </c:pt>
                <c:pt idx="10">
                  <c:v>7.1</c:v>
                </c:pt>
                <c:pt idx="11">
                  <c:v>7.1</c:v>
                </c:pt>
                <c:pt idx="12">
                  <c:v>6.7</c:v>
                </c:pt>
                <c:pt idx="13">
                  <c:v>6.7</c:v>
                </c:pt>
                <c:pt idx="14">
                  <c:v>6.6</c:v>
                </c:pt>
                <c:pt idx="15">
                  <c:v>6.2</c:v>
                </c:pt>
                <c:pt idx="16">
                  <c:v>5.8</c:v>
                </c:pt>
                <c:pt idx="17">
                  <c:v>5.7</c:v>
                </c:pt>
                <c:pt idx="18">
                  <c:v>5.6</c:v>
                </c:pt>
                <c:pt idx="19">
                  <c:v>5.5</c:v>
                </c:pt>
                <c:pt idx="20">
                  <c:v>4.9000000000000004</c:v>
                </c:pt>
                <c:pt idx="21">
                  <c:v>4.9000000000000004</c:v>
                </c:pt>
                <c:pt idx="22">
                  <c:v>4.9000000000000004</c:v>
                </c:pt>
                <c:pt idx="23">
                  <c:v>4.4000000000000004</c:v>
                </c:pt>
                <c:pt idx="24">
                  <c:v>4.2</c:v>
                </c:pt>
                <c:pt idx="25">
                  <c:v>4</c:v>
                </c:pt>
                <c:pt idx="26">
                  <c:v>3.8</c:v>
                </c:pt>
                <c:pt idx="27">
                  <c:v>2.9</c:v>
                </c:pt>
              </c:numCache>
            </c:numRef>
          </c:val>
          <c:extLst xmlns:c16r2="http://schemas.microsoft.com/office/drawing/2015/06/chart">
            <c:ext xmlns:c16="http://schemas.microsoft.com/office/drawing/2014/chart" uri="{C3380CC4-5D6E-409C-BE32-E72D297353CC}">
              <c16:uniqueId val="{00000008-891E-422E-9881-736B0A3E9F5A}"/>
            </c:ext>
          </c:extLst>
        </c:ser>
        <c:axId val="175580672"/>
        <c:axId val="175582592"/>
      </c:barChart>
      <c:catAx>
        <c:axId val="175580672"/>
        <c:scaling>
          <c:orientation val="minMax"/>
        </c:scaling>
        <c:axPos val="b"/>
        <c:title>
          <c:tx>
            <c:rich>
              <a:bodyPr/>
              <a:lstStyle/>
              <a:p>
                <a:pPr>
                  <a:defRPr/>
                </a:pPr>
                <a:r>
                  <a:rPr lang="cs-CZ"/>
                  <a:t>Země</a:t>
                </a:r>
                <a:r>
                  <a:rPr lang="cs-CZ" baseline="0"/>
                  <a:t> EU28</a:t>
                </a:r>
                <a:endParaRPr lang="cs-CZ"/>
              </a:p>
            </c:rich>
          </c:tx>
          <c:layout>
            <c:manualLayout>
              <c:xMode val="edge"/>
              <c:yMode val="edge"/>
              <c:x val="0.42792541557305341"/>
              <c:y val="0.90950495771361917"/>
            </c:manualLayout>
          </c:layout>
        </c:title>
        <c:numFmt formatCode="General" sourceLinked="0"/>
        <c:tickLblPos val="nextTo"/>
        <c:txPr>
          <a:bodyPr rot="-4320000"/>
          <a:lstStyle/>
          <a:p>
            <a:pPr>
              <a:defRPr sz="800"/>
            </a:pPr>
            <a:endParaRPr lang="cs-CZ"/>
          </a:p>
        </c:txPr>
        <c:crossAx val="175582592"/>
        <c:crosses val="autoZero"/>
        <c:auto val="1"/>
        <c:lblAlgn val="ctr"/>
        <c:lblOffset val="100"/>
      </c:catAx>
      <c:valAx>
        <c:axId val="175582592"/>
        <c:scaling>
          <c:orientation val="minMax"/>
        </c:scaling>
        <c:axPos val="l"/>
        <c:majorGridlines/>
        <c:title>
          <c:tx>
            <c:rich>
              <a:bodyPr rot="-5400000" vert="horz"/>
              <a:lstStyle/>
              <a:p>
                <a:pPr>
                  <a:defRPr/>
                </a:pPr>
                <a:r>
                  <a:rPr lang="cs-CZ"/>
                  <a:t>MN</a:t>
                </a:r>
                <a:r>
                  <a:rPr lang="cs-CZ" baseline="0"/>
                  <a:t> v %</a:t>
                </a:r>
                <a:endParaRPr lang="cs-CZ"/>
              </a:p>
            </c:rich>
          </c:tx>
        </c:title>
        <c:numFmt formatCode="#\ ##0.0" sourceLinked="1"/>
        <c:tickLblPos val="nextTo"/>
        <c:txPr>
          <a:bodyPr/>
          <a:lstStyle/>
          <a:p>
            <a:pPr>
              <a:defRPr sz="800"/>
            </a:pPr>
            <a:endParaRPr lang="cs-CZ"/>
          </a:p>
        </c:txPr>
        <c:crossAx val="175580672"/>
        <c:crosses val="autoZero"/>
        <c:crossBetween val="between"/>
        <c:majorUnit val="5"/>
      </c:valAx>
      <c:spPr>
        <a:ln>
          <a:solidFill>
            <a:schemeClr val="bg1">
              <a:lumMod val="65000"/>
            </a:schemeClr>
          </a:solidFill>
        </a:ln>
      </c:spPr>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050" b="1" i="0" u="none" strike="noStrike" baseline="0">
                <a:solidFill>
                  <a:srgbClr val="000000"/>
                </a:solidFill>
                <a:latin typeface="Arial"/>
                <a:ea typeface="Arial"/>
                <a:cs typeface="Arial"/>
              </a:defRPr>
            </a:pPr>
            <a:r>
              <a:rPr lang="cs-CZ"/>
              <a:t>Vývoj registrované míry nezaměstnanosti </a:t>
            </a:r>
          </a:p>
          <a:p>
            <a:pPr>
              <a:defRPr sz="1050" b="1" i="0" u="none" strike="noStrike" baseline="0">
                <a:solidFill>
                  <a:srgbClr val="000000"/>
                </a:solidFill>
                <a:latin typeface="Arial"/>
                <a:ea typeface="Arial"/>
                <a:cs typeface="Arial"/>
              </a:defRPr>
            </a:pPr>
            <a:r>
              <a:rPr lang="cs-CZ"/>
              <a:t>a podílu nezaměstnaných osob v letech 2008-2017 </a:t>
            </a:r>
          </a:p>
        </c:rich>
      </c:tx>
      <c:spPr>
        <a:noFill/>
        <a:ln w="25400">
          <a:noFill/>
        </a:ln>
      </c:spPr>
    </c:title>
    <c:plotArea>
      <c:layout>
        <c:manualLayout>
          <c:layoutTarget val="inner"/>
          <c:xMode val="edge"/>
          <c:yMode val="edge"/>
          <c:x val="9.1577254437728309E-2"/>
          <c:y val="0.19701776408383734"/>
          <c:w val="0.83085514082949219"/>
          <c:h val="0.63498687664042031"/>
        </c:manualLayout>
      </c:layout>
      <c:lineChart>
        <c:grouping val="standard"/>
        <c:ser>
          <c:idx val="2"/>
          <c:order val="0"/>
          <c:tx>
            <c:v>podíl nezaměst.osob</c:v>
          </c:tx>
          <c:spPr>
            <a:ln w="22225">
              <a:solidFill>
                <a:srgbClr val="FF0000"/>
              </a:solidFill>
              <a:prstDash val="solid"/>
            </a:ln>
          </c:spPr>
          <c:marker>
            <c:symbol val="triangle"/>
            <c:size val="3"/>
            <c:spPr>
              <a:solidFill>
                <a:srgbClr val="FF0000"/>
              </a:solidFill>
              <a:ln>
                <a:solidFill>
                  <a:srgbClr val="FF0000"/>
                </a:solidFill>
                <a:prstDash val="solid"/>
              </a:ln>
            </c:spPr>
          </c:marker>
          <c:cat>
            <c:numRef>
              <c:f>A!$GX$9:$LM$9</c:f>
              <c:numCache>
                <c:formatCode>General</c:formatCode>
                <c:ptCount val="120"/>
                <c:pt idx="0">
                  <c:v>2008</c:v>
                </c:pt>
                <c:pt idx="12">
                  <c:v>2009</c:v>
                </c:pt>
                <c:pt idx="24">
                  <c:v>2010</c:v>
                </c:pt>
                <c:pt idx="36">
                  <c:v>2011</c:v>
                </c:pt>
                <c:pt idx="48">
                  <c:v>2012</c:v>
                </c:pt>
                <c:pt idx="60">
                  <c:v>2013</c:v>
                </c:pt>
                <c:pt idx="72">
                  <c:v>2014</c:v>
                </c:pt>
                <c:pt idx="84">
                  <c:v>2015</c:v>
                </c:pt>
                <c:pt idx="96">
                  <c:v>2016</c:v>
                </c:pt>
                <c:pt idx="108">
                  <c:v>2017</c:v>
                </c:pt>
              </c:numCache>
            </c:numRef>
          </c:cat>
          <c:val>
            <c:numRef>
              <c:f>A!$GX$125:$LM$125</c:f>
              <c:numCache>
                <c:formatCode>0.0</c:formatCode>
                <c:ptCount val="120"/>
                <c:pt idx="0">
                  <c:v>4.6036794328432507</c:v>
                </c:pt>
                <c:pt idx="1">
                  <c:v>4.4690103235987104</c:v>
                </c:pt>
                <c:pt idx="2">
                  <c:v>4.2151090494263679</c:v>
                </c:pt>
                <c:pt idx="3">
                  <c:v>3.9488136358418648</c:v>
                </c:pt>
                <c:pt idx="4">
                  <c:v>3.7945004138144132</c:v>
                </c:pt>
                <c:pt idx="5">
                  <c:v>3.7710198595556155</c:v>
                </c:pt>
                <c:pt idx="6">
                  <c:v>3.9740371021602008</c:v>
                </c:pt>
                <c:pt idx="7">
                  <c:v>4.0141271128596854</c:v>
                </c:pt>
                <c:pt idx="8">
                  <c:v>4.0059747774454681</c:v>
                </c:pt>
                <c:pt idx="9">
                  <c:v>3.9377375040707681</c:v>
                </c:pt>
                <c:pt idx="10">
                  <c:v>4.0418608791139397</c:v>
                </c:pt>
                <c:pt idx="11">
                  <c:v>4.5060253252994764</c:v>
                </c:pt>
                <c:pt idx="12">
                  <c:v>5.1665505208557674</c:v>
                </c:pt>
                <c:pt idx="13">
                  <c:v>5.6086343533294487</c:v>
                </c:pt>
                <c:pt idx="14">
                  <c:v>5.8841467890847436</c:v>
                </c:pt>
                <c:pt idx="15">
                  <c:v>5.9930083031923607</c:v>
                </c:pt>
                <c:pt idx="16">
                  <c:v>6.0142306066079447</c:v>
                </c:pt>
                <c:pt idx="17">
                  <c:v>6.0996454977841301</c:v>
                </c:pt>
                <c:pt idx="18">
                  <c:v>6.4111548874579256</c:v>
                </c:pt>
                <c:pt idx="19">
                  <c:v>6.5153711357756494</c:v>
                </c:pt>
                <c:pt idx="20">
                  <c:v>6.5765701252178497</c:v>
                </c:pt>
                <c:pt idx="21">
                  <c:v>6.5303270488133691</c:v>
                </c:pt>
                <c:pt idx="22">
                  <c:v>6.6429722542643761</c:v>
                </c:pt>
                <c:pt idx="23">
                  <c:v>7.1160683935922844</c:v>
                </c:pt>
                <c:pt idx="24">
                  <c:v>7.5899567231510536</c:v>
                </c:pt>
                <c:pt idx="25">
                  <c:v>7.6746054219481925</c:v>
                </c:pt>
                <c:pt idx="26">
                  <c:v>7.5127560394618511</c:v>
                </c:pt>
                <c:pt idx="27">
                  <c:v>7.0730386732865052</c:v>
                </c:pt>
                <c:pt idx="28">
                  <c:v>6.7474304736967152</c:v>
                </c:pt>
                <c:pt idx="29">
                  <c:v>6.5932492093513302</c:v>
                </c:pt>
                <c:pt idx="30">
                  <c:v>6.6989461058920412</c:v>
                </c:pt>
                <c:pt idx="31">
                  <c:v>6.6440853212110884</c:v>
                </c:pt>
                <c:pt idx="32">
                  <c:v>6.5963682031100106</c:v>
                </c:pt>
                <c:pt idx="33">
                  <c:v>6.5369714114320772</c:v>
                </c:pt>
                <c:pt idx="34">
                  <c:v>6.6391175392427488</c:v>
                </c:pt>
                <c:pt idx="35">
                  <c:v>7.4030310069303944</c:v>
                </c:pt>
                <c:pt idx="36">
                  <c:v>7.5810087074744281</c:v>
                </c:pt>
                <c:pt idx="37">
                  <c:v>7.4734524559453925</c:v>
                </c:pt>
                <c:pt idx="38">
                  <c:v>7.1863839643038263</c:v>
                </c:pt>
                <c:pt idx="39">
                  <c:v>6.7363436956985323</c:v>
                </c:pt>
                <c:pt idx="40">
                  <c:v>6.4060093263917004</c:v>
                </c:pt>
                <c:pt idx="41">
                  <c:v>6.3072957221250805</c:v>
                </c:pt>
                <c:pt idx="42">
                  <c:v>6.4437427718903786</c:v>
                </c:pt>
                <c:pt idx="43">
                  <c:v>6.3942288873314155</c:v>
                </c:pt>
                <c:pt idx="44">
                  <c:v>6.2920638899723409</c:v>
                </c:pt>
                <c:pt idx="45">
                  <c:v>6.2125811221236766</c:v>
                </c:pt>
                <c:pt idx="46">
                  <c:v>6.2844195231204463</c:v>
                </c:pt>
                <c:pt idx="47">
                  <c:v>6.7694025198106287</c:v>
                </c:pt>
                <c:pt idx="48">
                  <c:v>7.1323599894546312</c:v>
                </c:pt>
                <c:pt idx="49">
                  <c:v>7.2390182657379079</c:v>
                </c:pt>
                <c:pt idx="50">
                  <c:v>7.0097531403253797</c:v>
                </c:pt>
                <c:pt idx="51">
                  <c:v>6.6369620390368862</c:v>
                </c:pt>
                <c:pt idx="52">
                  <c:v>6.4426869029829694</c:v>
                </c:pt>
                <c:pt idx="53">
                  <c:v>6.3510565595616377</c:v>
                </c:pt>
                <c:pt idx="54">
                  <c:v>6.5155684612848583</c:v>
                </c:pt>
                <c:pt idx="55">
                  <c:v>6.5352496274617673</c:v>
                </c:pt>
                <c:pt idx="56">
                  <c:v>6.6292178615213446</c:v>
                </c:pt>
                <c:pt idx="57">
                  <c:v>6.677011396033528</c:v>
                </c:pt>
                <c:pt idx="58">
                  <c:v>6.8403976623806804</c:v>
                </c:pt>
                <c:pt idx="59">
                  <c:v>7.3665213987597093</c:v>
                </c:pt>
                <c:pt idx="60">
                  <c:v>7.9656513887521934</c:v>
                </c:pt>
                <c:pt idx="61">
                  <c:v>8.0857485049325337</c:v>
                </c:pt>
                <c:pt idx="62">
                  <c:v>8.0058039375651227</c:v>
                </c:pt>
                <c:pt idx="63">
                  <c:v>7.6996975319213314</c:v>
                </c:pt>
                <c:pt idx="64">
                  <c:v>7.4577839553760965</c:v>
                </c:pt>
                <c:pt idx="65">
                  <c:v>7.3358398034760484</c:v>
                </c:pt>
                <c:pt idx="66">
                  <c:v>7.5036953685273726</c:v>
                </c:pt>
                <c:pt idx="67">
                  <c:v>7.5262750787216905</c:v>
                </c:pt>
                <c:pt idx="68">
                  <c:v>7.5872144880886001</c:v>
                </c:pt>
                <c:pt idx="69">
                  <c:v>7.5732540122190803</c:v>
                </c:pt>
                <c:pt idx="70">
                  <c:v>7.6982586776148967</c:v>
                </c:pt>
                <c:pt idx="71">
                  <c:v>8.1747455957675168</c:v>
                </c:pt>
                <c:pt idx="72">
                  <c:v>8.6268450567374302</c:v>
                </c:pt>
                <c:pt idx="73">
                  <c:v>8.5836570264515029</c:v>
                </c:pt>
                <c:pt idx="74">
                  <c:v>8.3358203224656826</c:v>
                </c:pt>
                <c:pt idx="75">
                  <c:v>7.8843460940863865</c:v>
                </c:pt>
                <c:pt idx="76">
                  <c:v>7.5381140001103173</c:v>
                </c:pt>
                <c:pt idx="77">
                  <c:v>7.3720647090670468</c:v>
                </c:pt>
                <c:pt idx="78">
                  <c:v>7.4439923840686912</c:v>
                </c:pt>
                <c:pt idx="79">
                  <c:v>7.3709933304213813</c:v>
                </c:pt>
                <c:pt idx="80">
                  <c:v>7.2563410491334626</c:v>
                </c:pt>
                <c:pt idx="81">
                  <c:v>7.1071210046182847</c:v>
                </c:pt>
                <c:pt idx="82">
                  <c:v>7.0891161038153809</c:v>
                </c:pt>
                <c:pt idx="83">
                  <c:v>7.4618353667801154</c:v>
                </c:pt>
                <c:pt idx="84">
                  <c:v>7.6584603860920364</c:v>
                </c:pt>
                <c:pt idx="85">
                  <c:v>7.5312025640890985</c:v>
                </c:pt>
                <c:pt idx="86">
                  <c:v>7.1971111269483972</c:v>
                </c:pt>
                <c:pt idx="87">
                  <c:v>6.7246267777872619</c:v>
                </c:pt>
                <c:pt idx="88">
                  <c:v>6.3747456231108792</c:v>
                </c:pt>
                <c:pt idx="89">
                  <c:v>6.1763398081806065</c:v>
                </c:pt>
                <c:pt idx="90">
                  <c:v>6.2677617199582354</c:v>
                </c:pt>
                <c:pt idx="91">
                  <c:v>6.1905032607579056</c:v>
                </c:pt>
                <c:pt idx="92">
                  <c:v>6.0488525801317694</c:v>
                </c:pt>
                <c:pt idx="93">
                  <c:v>5.8954967661449889</c:v>
                </c:pt>
                <c:pt idx="94">
                  <c:v>5.9029132311179495</c:v>
                </c:pt>
                <c:pt idx="95">
                  <c:v>6.2355697454447423</c:v>
                </c:pt>
                <c:pt idx="96">
                  <c:v>6.4407172040075862</c:v>
                </c:pt>
                <c:pt idx="97">
                  <c:v>6.342364364733351</c:v>
                </c:pt>
                <c:pt idx="98">
                  <c:v>6.0762283493892104</c:v>
                </c:pt>
                <c:pt idx="99">
                  <c:v>5.6788586183244298</c:v>
                </c:pt>
                <c:pt idx="100">
                  <c:v>5.3884610819269625</c:v>
                </c:pt>
                <c:pt idx="101">
                  <c:v>5.2435614004439906</c:v>
                </c:pt>
                <c:pt idx="102">
                  <c:v>5.3808408569333679</c:v>
                </c:pt>
                <c:pt idx="103">
                  <c:v>5.3214894840076319</c:v>
                </c:pt>
                <c:pt idx="104">
                  <c:v>5.162282723966424</c:v>
                </c:pt>
                <c:pt idx="105">
                  <c:v>4.9719569958875276</c:v>
                </c:pt>
                <c:pt idx="106">
                  <c:v>4.9003855116660411</c:v>
                </c:pt>
                <c:pt idx="107">
                  <c:v>5.1860465585079956</c:v>
                </c:pt>
                <c:pt idx="108">
                  <c:v>5.2905419142681724</c:v>
                </c:pt>
                <c:pt idx="109">
                  <c:v>5.1438076698192718</c:v>
                </c:pt>
                <c:pt idx="110">
                  <c:v>4.7897550258476711</c:v>
                </c:pt>
                <c:pt idx="111">
                  <c:v>4.3883507092863896</c:v>
                </c:pt>
                <c:pt idx="112">
                  <c:v>4.1171931468663443</c:v>
                </c:pt>
                <c:pt idx="113">
                  <c:v>3.9688293226564446</c:v>
                </c:pt>
                <c:pt idx="114">
                  <c:v>4.068822586887249</c:v>
                </c:pt>
                <c:pt idx="115">
                  <c:v>3.9785669139002353</c:v>
                </c:pt>
                <c:pt idx="116">
                  <c:v>3.8016712540024535</c:v>
                </c:pt>
                <c:pt idx="117">
                  <c:v>3.6010644810944479</c:v>
                </c:pt>
                <c:pt idx="118">
                  <c:v>3.5160202140822907</c:v>
                </c:pt>
                <c:pt idx="119">
                  <c:v>3.7702982670892298</c:v>
                </c:pt>
              </c:numCache>
            </c:numRef>
          </c:val>
          <c:extLst xmlns:c16r2="http://schemas.microsoft.com/office/drawing/2015/06/chart">
            <c:ext xmlns:c16="http://schemas.microsoft.com/office/drawing/2014/chart" uri="{C3380CC4-5D6E-409C-BE32-E72D297353CC}">
              <c16:uniqueId val="{00000000-96F9-48C6-B569-92E78CF0112E}"/>
            </c:ext>
          </c:extLst>
        </c:ser>
        <c:ser>
          <c:idx val="0"/>
          <c:order val="1"/>
          <c:tx>
            <c:v>míra reg.nezaměstnanosti</c:v>
          </c:tx>
          <c:spPr>
            <a:ln w="22225"/>
          </c:spPr>
          <c:marker>
            <c:symbol val="diamond"/>
            <c:size val="3"/>
          </c:marker>
          <c:cat>
            <c:numRef>
              <c:f>A!$GX$9:$LM$9</c:f>
              <c:numCache>
                <c:formatCode>General</c:formatCode>
                <c:ptCount val="120"/>
                <c:pt idx="0">
                  <c:v>2008</c:v>
                </c:pt>
                <c:pt idx="12">
                  <c:v>2009</c:v>
                </c:pt>
                <c:pt idx="24">
                  <c:v>2010</c:v>
                </c:pt>
                <c:pt idx="36">
                  <c:v>2011</c:v>
                </c:pt>
                <c:pt idx="48">
                  <c:v>2012</c:v>
                </c:pt>
                <c:pt idx="60">
                  <c:v>2013</c:v>
                </c:pt>
                <c:pt idx="72">
                  <c:v>2014</c:v>
                </c:pt>
                <c:pt idx="84">
                  <c:v>2015</c:v>
                </c:pt>
                <c:pt idx="96">
                  <c:v>2016</c:v>
                </c:pt>
                <c:pt idx="108">
                  <c:v>2017</c:v>
                </c:pt>
              </c:numCache>
            </c:numRef>
          </c:cat>
          <c:val>
            <c:numRef>
              <c:f>A!$GX$124:$LA$124</c:f>
              <c:numCache>
                <c:formatCode>0.0</c:formatCode>
                <c:ptCount val="108"/>
                <c:pt idx="0">
                  <c:v>6.1198841946974385</c:v>
                </c:pt>
                <c:pt idx="1">
                  <c:v>5.9438033287283281</c:v>
                </c:pt>
                <c:pt idx="2">
                  <c:v>5.6088631863356229</c:v>
                </c:pt>
                <c:pt idx="3">
                  <c:v>5.2423416802595506</c:v>
                </c:pt>
                <c:pt idx="4">
                  <c:v>5.039093728154298</c:v>
                </c:pt>
                <c:pt idx="5">
                  <c:v>5.0112566993493362</c:v>
                </c:pt>
                <c:pt idx="6">
                  <c:v>5.2627179880820263</c:v>
                </c:pt>
                <c:pt idx="7">
                  <c:v>5.3188859841472285</c:v>
                </c:pt>
                <c:pt idx="8">
                  <c:v>5.3102598658326077</c:v>
                </c:pt>
                <c:pt idx="9">
                  <c:v>5.2015897329156191</c:v>
                </c:pt>
                <c:pt idx="10">
                  <c:v>5.3412784398699893</c:v>
                </c:pt>
                <c:pt idx="11">
                  <c:v>5.9601641680320654</c:v>
                </c:pt>
                <c:pt idx="12">
                  <c:v>6.7963461684877391</c:v>
                </c:pt>
                <c:pt idx="13">
                  <c:v>7.3767345341612707</c:v>
                </c:pt>
                <c:pt idx="14">
                  <c:v>7.7379213388647203</c:v>
                </c:pt>
                <c:pt idx="15">
                  <c:v>7.8502860084224615</c:v>
                </c:pt>
                <c:pt idx="16">
                  <c:v>7.8754584893089294</c:v>
                </c:pt>
                <c:pt idx="17">
                  <c:v>7.9874381029510388</c:v>
                </c:pt>
                <c:pt idx="18">
                  <c:v>8.3549691827499295</c:v>
                </c:pt>
                <c:pt idx="19">
                  <c:v>8.4928658795188028</c:v>
                </c:pt>
                <c:pt idx="20">
                  <c:v>8.5705370855852063</c:v>
                </c:pt>
                <c:pt idx="21">
                  <c:v>8.4833005756247655</c:v>
                </c:pt>
                <c:pt idx="22">
                  <c:v>8.6275220807976734</c:v>
                </c:pt>
                <c:pt idx="23">
                  <c:v>9.2444706038979909</c:v>
                </c:pt>
                <c:pt idx="24">
                  <c:v>9.8325830222820567</c:v>
                </c:pt>
                <c:pt idx="25">
                  <c:v>9.9388270671433681</c:v>
                </c:pt>
                <c:pt idx="26">
                  <c:v>9.7258494540940728</c:v>
                </c:pt>
                <c:pt idx="27">
                  <c:v>9.1509899090949958</c:v>
                </c:pt>
                <c:pt idx="28">
                  <c:v>8.725084053007448</c:v>
                </c:pt>
                <c:pt idx="29">
                  <c:v>8.5242866308485592</c:v>
                </c:pt>
                <c:pt idx="30">
                  <c:v>8.6633543866719549</c:v>
                </c:pt>
                <c:pt idx="31">
                  <c:v>8.5901329879718187</c:v>
                </c:pt>
                <c:pt idx="32">
                  <c:v>8.5247305011730106</c:v>
                </c:pt>
                <c:pt idx="33">
                  <c:v>8.4502451379843233</c:v>
                </c:pt>
                <c:pt idx="34">
                  <c:v>8.5785603038391081</c:v>
                </c:pt>
                <c:pt idx="35">
                  <c:v>9.5664645425634394</c:v>
                </c:pt>
                <c:pt idx="36">
                  <c:v>9.7266093418958359</c:v>
                </c:pt>
                <c:pt idx="37">
                  <c:v>9.5886121859408266</c:v>
                </c:pt>
                <c:pt idx="38">
                  <c:v>9.2074029271656777</c:v>
                </c:pt>
                <c:pt idx="39">
                  <c:v>8.6196409887935026</c:v>
                </c:pt>
                <c:pt idx="40">
                  <c:v>8.1897680685639695</c:v>
                </c:pt>
                <c:pt idx="41">
                  <c:v>8.0592812492559158</c:v>
                </c:pt>
                <c:pt idx="42">
                  <c:v>8.2275493140250617</c:v>
                </c:pt>
                <c:pt idx="43">
                  <c:v>8.1593458066662645</c:v>
                </c:pt>
                <c:pt idx="44">
                  <c:v>8.0225535603281468</c:v>
                </c:pt>
                <c:pt idx="45">
                  <c:v>7.916460713183489</c:v>
                </c:pt>
                <c:pt idx="46">
                  <c:v>8.0016562688620425</c:v>
                </c:pt>
                <c:pt idx="47">
                  <c:v>8.6169069038877169</c:v>
                </c:pt>
                <c:pt idx="48">
                  <c:v>9.0821474175621706</c:v>
                </c:pt>
                <c:pt idx="49">
                  <c:v>9.2118916288494539</c:v>
                </c:pt>
                <c:pt idx="50">
                  <c:v>8.9143535585893527</c:v>
                </c:pt>
                <c:pt idx="51">
                  <c:v>8.4417748272468103</c:v>
                </c:pt>
                <c:pt idx="52">
                  <c:v>8.1877936646219656</c:v>
                </c:pt>
                <c:pt idx="53">
                  <c:v>8.067439671134256</c:v>
                </c:pt>
                <c:pt idx="54">
                  <c:v>8.3120618295240547</c:v>
                </c:pt>
                <c:pt idx="55">
                  <c:v>8.3324641181807912</c:v>
                </c:pt>
                <c:pt idx="56">
                  <c:v>8.4459121384969524</c:v>
                </c:pt>
                <c:pt idx="57">
                  <c:v>8.4899350799837823</c:v>
                </c:pt>
                <c:pt idx="58">
                  <c:v>8.6920952738291692</c:v>
                </c:pt>
                <c:pt idx="59">
                  <c:v>9.3580202223638729</c:v>
                </c:pt>
                <c:pt idx="60">
                  <c:v>10.052057343403931</c:v>
                </c:pt>
                <c:pt idx="61">
                  <c:v>10.194025524743541</c:v>
                </c:pt>
                <c:pt idx="62">
                  <c:v>10.09645645521077</c:v>
                </c:pt>
                <c:pt idx="63">
                  <c:v>9.7063207918439183</c:v>
                </c:pt>
                <c:pt idx="64">
                  <c:v>9.3995345299767052</c:v>
                </c:pt>
                <c:pt idx="65">
                  <c:v>9.2398488883436158</c:v>
                </c:pt>
                <c:pt idx="66">
                  <c:v>9.4434239132631888</c:v>
                </c:pt>
                <c:pt idx="67">
                  <c:v>9.4645161278982712</c:v>
                </c:pt>
                <c:pt idx="68">
                  <c:v>9.5343489351859105</c:v>
                </c:pt>
                <c:pt idx="69">
                  <c:v>9.5093019303067532</c:v>
                </c:pt>
                <c:pt idx="70">
                  <c:v>9.6582481193214686</c:v>
                </c:pt>
                <c:pt idx="71">
                  <c:v>10.248724668030505</c:v>
                </c:pt>
              </c:numCache>
            </c:numRef>
          </c:val>
          <c:extLst xmlns:c16r2="http://schemas.microsoft.com/office/drawing/2015/06/chart">
            <c:ext xmlns:c16="http://schemas.microsoft.com/office/drawing/2014/chart" uri="{C3380CC4-5D6E-409C-BE32-E72D297353CC}">
              <c16:uniqueId val="{00000001-96F9-48C6-B569-92E78CF0112E}"/>
            </c:ext>
          </c:extLst>
        </c:ser>
        <c:marker val="1"/>
        <c:axId val="174229760"/>
        <c:axId val="174247936"/>
      </c:lineChart>
      <c:catAx>
        <c:axId val="174229760"/>
        <c:scaling>
          <c:orientation val="minMax"/>
        </c:scaling>
        <c:axPos val="b"/>
        <c:numFmt formatCode="General" sourceLinked="1"/>
        <c:majorTickMark val="none"/>
        <c:tickLblPos val="nextTo"/>
        <c:spPr>
          <a:ln w="3175">
            <a:solidFill>
              <a:srgbClr val="000000"/>
            </a:solidFill>
            <a:prstDash val="solid"/>
          </a:ln>
        </c:spPr>
        <c:txPr>
          <a:bodyPr rot="60000" vert="horz"/>
          <a:lstStyle/>
          <a:p>
            <a:pPr>
              <a:defRPr sz="900" b="1" i="0" u="none" strike="noStrike" baseline="0">
                <a:solidFill>
                  <a:srgbClr val="000000"/>
                </a:solidFill>
                <a:latin typeface="Arial"/>
                <a:ea typeface="Arial"/>
                <a:cs typeface="Arial"/>
              </a:defRPr>
            </a:pPr>
            <a:endParaRPr lang="cs-CZ"/>
          </a:p>
        </c:txPr>
        <c:crossAx val="174247936"/>
        <c:crosses val="autoZero"/>
        <c:auto val="1"/>
        <c:lblAlgn val="ctr"/>
        <c:lblOffset val="100"/>
        <c:tickLblSkip val="12"/>
        <c:tickMarkSkip val="12"/>
      </c:catAx>
      <c:valAx>
        <c:axId val="174247936"/>
        <c:scaling>
          <c:orientation val="minMax"/>
          <c:min val="3"/>
        </c:scaling>
        <c:axPos val="l"/>
        <c:majorGridlines>
          <c:spPr>
            <a:ln w="3175">
              <a:solidFill>
                <a:srgbClr val="000000"/>
              </a:solidFill>
              <a:prstDash val="sysDash"/>
            </a:ln>
          </c:spPr>
        </c:majorGridlines>
        <c:title>
          <c:tx>
            <c:rich>
              <a:bodyPr rot="-5400000" vert="horz"/>
              <a:lstStyle/>
              <a:p>
                <a:pPr>
                  <a:defRPr/>
                </a:pPr>
                <a:r>
                  <a:rPr lang="cs-CZ" sz="800" b="0"/>
                  <a:t>v %</a:t>
                </a:r>
              </a:p>
            </c:rich>
          </c:tx>
        </c:title>
        <c:numFmt formatCode="0.0" sourceLinked="1"/>
        <c:majorTickMark val="none"/>
        <c:tickLblPos val="nextTo"/>
        <c:spPr>
          <a:ln w="25400">
            <a:noFill/>
          </a:ln>
        </c:spPr>
        <c:txPr>
          <a:bodyPr rot="0" vert="horz"/>
          <a:lstStyle/>
          <a:p>
            <a:pPr>
              <a:defRPr sz="700" b="0" i="0" u="none" strike="noStrike" baseline="0">
                <a:solidFill>
                  <a:srgbClr val="000000"/>
                </a:solidFill>
                <a:latin typeface="Arial"/>
                <a:ea typeface="Arial"/>
                <a:cs typeface="Arial"/>
              </a:defRPr>
            </a:pPr>
            <a:endParaRPr lang="cs-CZ"/>
          </a:p>
        </c:txPr>
        <c:crossAx val="174229760"/>
        <c:crosses val="autoZero"/>
        <c:crossBetween val="between"/>
        <c:majorUnit val="1"/>
      </c:valAx>
      <c:spPr>
        <a:solidFill>
          <a:srgbClr val="FFFFFF"/>
        </a:solidFill>
        <a:ln w="12700">
          <a:solidFill>
            <a:srgbClr val="808080"/>
          </a:solidFill>
          <a:prstDash val="solid"/>
        </a:ln>
      </c:spPr>
    </c:plotArea>
    <c:legend>
      <c:legendPos val="b"/>
      <c:layout>
        <c:manualLayout>
          <c:xMode val="edge"/>
          <c:yMode val="edge"/>
          <c:x val="9.3985256398758807E-2"/>
          <c:y val="0.90546217437106047"/>
          <c:w val="0.83632713336801034"/>
          <c:h val="6.7326941275197769E-2"/>
        </c:manualLayout>
      </c:layout>
      <c:txPr>
        <a:bodyPr/>
        <a:lstStyle/>
        <a:p>
          <a:pPr>
            <a:defRPr sz="800"/>
          </a:pPr>
          <a:endParaRPr lang="cs-CZ"/>
        </a:p>
      </c:txPr>
    </c:legend>
    <c:plotVisOnly val="1"/>
    <c:dispBlanksAs val="gap"/>
  </c:chart>
  <c:spPr>
    <a:solidFill>
      <a:srgbClr val="FFFFFF"/>
    </a:solidFill>
    <a:ln w="9525">
      <a:solidFill>
        <a:schemeClr val="tx1"/>
      </a:solidFill>
    </a:ln>
  </c:spPr>
  <c:txPr>
    <a:bodyPr/>
    <a:lstStyle/>
    <a:p>
      <a:pPr>
        <a:defRPr sz="1025" b="0" i="0" u="none" strike="noStrike" baseline="0">
          <a:solidFill>
            <a:srgbClr val="000000"/>
          </a:solidFill>
          <a:latin typeface="Arial"/>
          <a:ea typeface="Arial"/>
          <a:cs typeface="Arial"/>
        </a:defRPr>
      </a:pPr>
      <a:endParaRPr lang="cs-CZ"/>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900" b="1">
                <a:latin typeface="Arial Narrow" pitchFamily="34" charset="0"/>
              </a:defRPr>
            </a:pPr>
            <a:r>
              <a:rPr lang="cs-CZ" sz="900" b="1" i="0" baseline="0">
                <a:effectLst/>
                <a:latin typeface="Arial Narrow" pitchFamily="34" charset="0"/>
              </a:rPr>
              <a:t>Míra nezaměstnanosti v %</a:t>
            </a:r>
            <a:endParaRPr lang="cs-CZ" sz="900" b="1">
              <a:effectLst/>
              <a:latin typeface="Arial Narrow" pitchFamily="34" charset="0"/>
            </a:endParaRPr>
          </a:p>
        </c:rich>
      </c:tx>
    </c:title>
    <c:plotArea>
      <c:layout>
        <c:manualLayout>
          <c:layoutTarget val="inner"/>
          <c:xMode val="edge"/>
          <c:yMode val="edge"/>
          <c:x val="0.11839458911224365"/>
          <c:y val="0.25083333333333324"/>
          <c:w val="0.84335223991886121"/>
          <c:h val="0.51243256051326869"/>
        </c:manualLayout>
      </c:layout>
      <c:barChart>
        <c:barDir val="col"/>
        <c:grouping val="clustered"/>
        <c:ser>
          <c:idx val="0"/>
          <c:order val="0"/>
          <c:tx>
            <c:strRef>
              <c:f>MN!$B$2</c:f>
              <c:strCache>
                <c:ptCount val="1"/>
                <c:pt idx="0">
                  <c:v>EU28</c:v>
                </c:pt>
              </c:strCache>
            </c:strRef>
          </c:tx>
          <c:spPr>
            <a:solidFill>
              <a:srgbClr val="0070C0"/>
            </a:solidFill>
          </c:spPr>
          <c:cat>
            <c:numRef>
              <c:f>MN!$C$1:$H$1</c:f>
              <c:numCache>
                <c:formatCode>General</c:formatCode>
                <c:ptCount val="6"/>
                <c:pt idx="0">
                  <c:v>2013</c:v>
                </c:pt>
                <c:pt idx="1">
                  <c:v>2014</c:v>
                </c:pt>
                <c:pt idx="2">
                  <c:v>2015</c:v>
                </c:pt>
                <c:pt idx="3">
                  <c:v>2016</c:v>
                </c:pt>
                <c:pt idx="4">
                  <c:v>2017</c:v>
                </c:pt>
              </c:numCache>
            </c:numRef>
          </c:cat>
          <c:val>
            <c:numRef>
              <c:f>MN!$C$2:$H$2</c:f>
              <c:numCache>
                <c:formatCode>0.0</c:formatCode>
                <c:ptCount val="6"/>
                <c:pt idx="0">
                  <c:v>10.9</c:v>
                </c:pt>
                <c:pt idx="1">
                  <c:v>10.200000000000001</c:v>
                </c:pt>
                <c:pt idx="2">
                  <c:v>9.4</c:v>
                </c:pt>
                <c:pt idx="3" formatCode="General">
                  <c:v>8.6</c:v>
                </c:pt>
                <c:pt idx="4" formatCode="General">
                  <c:v>7.6</c:v>
                </c:pt>
              </c:numCache>
            </c:numRef>
          </c:val>
          <c:extLst xmlns:c16r2="http://schemas.microsoft.com/office/drawing/2015/06/chart">
            <c:ext xmlns:c16="http://schemas.microsoft.com/office/drawing/2014/chart" uri="{C3380CC4-5D6E-409C-BE32-E72D297353CC}">
              <c16:uniqueId val="{00000000-23F1-4ABB-AB89-E05268B73597}"/>
            </c:ext>
          </c:extLst>
        </c:ser>
        <c:ser>
          <c:idx val="1"/>
          <c:order val="1"/>
          <c:tx>
            <c:strRef>
              <c:f>MN!$B$3</c:f>
              <c:strCache>
                <c:ptCount val="1"/>
                <c:pt idx="0">
                  <c:v>Česká republika</c:v>
                </c:pt>
              </c:strCache>
            </c:strRef>
          </c:tx>
          <c:spPr>
            <a:solidFill>
              <a:srgbClr val="C00000"/>
            </a:solidFill>
          </c:spPr>
          <c:cat>
            <c:numRef>
              <c:f>MN!$C$1:$H$1</c:f>
              <c:numCache>
                <c:formatCode>General</c:formatCode>
                <c:ptCount val="6"/>
                <c:pt idx="0">
                  <c:v>2013</c:v>
                </c:pt>
                <c:pt idx="1">
                  <c:v>2014</c:v>
                </c:pt>
                <c:pt idx="2">
                  <c:v>2015</c:v>
                </c:pt>
                <c:pt idx="3">
                  <c:v>2016</c:v>
                </c:pt>
                <c:pt idx="4">
                  <c:v>2017</c:v>
                </c:pt>
              </c:numCache>
            </c:numRef>
          </c:cat>
          <c:val>
            <c:numRef>
              <c:f>MN!$C$3:$H$3</c:f>
              <c:numCache>
                <c:formatCode>0.0</c:formatCode>
                <c:ptCount val="6"/>
                <c:pt idx="0">
                  <c:v>7</c:v>
                </c:pt>
                <c:pt idx="1">
                  <c:v>6.1</c:v>
                </c:pt>
                <c:pt idx="2">
                  <c:v>5.0999999999999996</c:v>
                </c:pt>
                <c:pt idx="3">
                  <c:v>4</c:v>
                </c:pt>
                <c:pt idx="4">
                  <c:v>2.9</c:v>
                </c:pt>
              </c:numCache>
            </c:numRef>
          </c:val>
          <c:extLst xmlns:c16r2="http://schemas.microsoft.com/office/drawing/2015/06/chart">
            <c:ext xmlns:c16="http://schemas.microsoft.com/office/drawing/2014/chart" uri="{C3380CC4-5D6E-409C-BE32-E72D297353CC}">
              <c16:uniqueId val="{00000001-23F1-4ABB-AB89-E05268B73597}"/>
            </c:ext>
          </c:extLst>
        </c:ser>
        <c:gapWidth val="164"/>
        <c:axId val="175612672"/>
        <c:axId val="175614208"/>
      </c:barChart>
      <c:catAx>
        <c:axId val="175612672"/>
        <c:scaling>
          <c:orientation val="minMax"/>
        </c:scaling>
        <c:axPos val="b"/>
        <c:numFmt formatCode="General" sourceLinked="1"/>
        <c:majorTickMark val="none"/>
        <c:tickLblPos val="nextTo"/>
        <c:txPr>
          <a:bodyPr/>
          <a:lstStyle/>
          <a:p>
            <a:pPr>
              <a:defRPr sz="800">
                <a:latin typeface="Arial" pitchFamily="34" charset="0"/>
                <a:cs typeface="Arial" pitchFamily="34" charset="0"/>
              </a:defRPr>
            </a:pPr>
            <a:endParaRPr lang="cs-CZ"/>
          </a:p>
        </c:txPr>
        <c:crossAx val="175614208"/>
        <c:crosses val="autoZero"/>
        <c:auto val="1"/>
        <c:lblAlgn val="ctr"/>
        <c:lblOffset val="100"/>
      </c:catAx>
      <c:valAx>
        <c:axId val="175614208"/>
        <c:scaling>
          <c:orientation val="minMax"/>
          <c:max val="30"/>
          <c:min val="0"/>
        </c:scaling>
        <c:axPos val="l"/>
        <c:majorGridlines/>
        <c:title>
          <c:tx>
            <c:rich>
              <a:bodyPr rot="-5400000" vert="horz"/>
              <a:lstStyle/>
              <a:p>
                <a:pPr>
                  <a:defRPr sz="800"/>
                </a:pPr>
                <a:r>
                  <a:rPr lang="cs-CZ" sz="800"/>
                  <a:t>MN v %</a:t>
                </a:r>
              </a:p>
            </c:rich>
          </c:tx>
        </c:title>
        <c:numFmt formatCode="0" sourceLinked="0"/>
        <c:majorTickMark val="none"/>
        <c:tickLblPos val="nextTo"/>
        <c:spPr>
          <a:ln w="9525">
            <a:noFill/>
          </a:ln>
        </c:spPr>
        <c:txPr>
          <a:bodyPr/>
          <a:lstStyle/>
          <a:p>
            <a:pPr>
              <a:defRPr sz="600">
                <a:latin typeface="Arial" pitchFamily="34" charset="0"/>
                <a:cs typeface="Arial" pitchFamily="34" charset="0"/>
              </a:defRPr>
            </a:pPr>
            <a:endParaRPr lang="cs-CZ"/>
          </a:p>
        </c:txPr>
        <c:crossAx val="175612672"/>
        <c:crosses val="autoZero"/>
        <c:crossBetween val="between"/>
        <c:majorUnit val="5"/>
      </c:valAx>
    </c:plotArea>
    <c:legend>
      <c:legendPos val="b"/>
      <c:layout>
        <c:manualLayout>
          <c:xMode val="edge"/>
          <c:yMode val="edge"/>
          <c:x val="0.20414186688202446"/>
          <c:y val="0.8996883202099738"/>
          <c:w val="0.53017753550037039"/>
          <c:h val="7.2533902012248491E-2"/>
        </c:manualLayout>
      </c:layout>
      <c:txPr>
        <a:bodyPr/>
        <a:lstStyle/>
        <a:p>
          <a:pPr>
            <a:defRPr sz="800">
              <a:latin typeface="Arial" pitchFamily="34" charset="0"/>
              <a:cs typeface="Arial" pitchFamily="34" charset="0"/>
            </a:defRPr>
          </a:pPr>
          <a:endParaRPr lang="cs-CZ"/>
        </a:p>
      </c:txPr>
    </c:legend>
    <c:plotVisOnly val="1"/>
    <c:dispBlanksAs val="gap"/>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900" b="1">
                <a:latin typeface="Arial Narrow" pitchFamily="34" charset="0"/>
              </a:defRPr>
            </a:pPr>
            <a:r>
              <a:rPr lang="cs-CZ" sz="900" b="1" i="0" baseline="0">
                <a:effectLst/>
                <a:latin typeface="Arial Narrow" pitchFamily="34" charset="0"/>
              </a:rPr>
              <a:t>Míra nezaměstnanosti mladých do 25 let v %</a:t>
            </a:r>
            <a:endParaRPr lang="cs-CZ" sz="900" b="1">
              <a:effectLst/>
              <a:latin typeface="Arial Narrow" pitchFamily="34" charset="0"/>
            </a:endParaRPr>
          </a:p>
        </c:rich>
      </c:tx>
    </c:title>
    <c:plotArea>
      <c:layout>
        <c:manualLayout>
          <c:layoutTarget val="inner"/>
          <c:xMode val="edge"/>
          <c:yMode val="edge"/>
          <c:x val="0.12326077102545019"/>
          <c:y val="0.25083333333333324"/>
          <c:w val="0.83848605800565457"/>
          <c:h val="0.51243256051326869"/>
        </c:manualLayout>
      </c:layout>
      <c:barChart>
        <c:barDir val="col"/>
        <c:grouping val="clustered"/>
        <c:ser>
          <c:idx val="0"/>
          <c:order val="0"/>
          <c:tx>
            <c:strRef>
              <c:f>MN!$B$4</c:f>
              <c:strCache>
                <c:ptCount val="1"/>
                <c:pt idx="0">
                  <c:v>EU28</c:v>
                </c:pt>
              </c:strCache>
            </c:strRef>
          </c:tx>
          <c:spPr>
            <a:solidFill>
              <a:srgbClr val="0070C0"/>
            </a:solidFill>
          </c:spPr>
          <c:cat>
            <c:numRef>
              <c:f>MN!$C$1:$H$1</c:f>
              <c:numCache>
                <c:formatCode>General</c:formatCode>
                <c:ptCount val="6"/>
                <c:pt idx="0">
                  <c:v>2013</c:v>
                </c:pt>
                <c:pt idx="1">
                  <c:v>2014</c:v>
                </c:pt>
                <c:pt idx="2">
                  <c:v>2015</c:v>
                </c:pt>
                <c:pt idx="3">
                  <c:v>2016</c:v>
                </c:pt>
                <c:pt idx="4">
                  <c:v>2017</c:v>
                </c:pt>
              </c:numCache>
            </c:numRef>
          </c:cat>
          <c:val>
            <c:numRef>
              <c:f>MN!$C$4:$H$4</c:f>
              <c:numCache>
                <c:formatCode>0.0</c:formatCode>
                <c:ptCount val="6"/>
                <c:pt idx="0" formatCode="General">
                  <c:v>23.8</c:v>
                </c:pt>
                <c:pt idx="1">
                  <c:v>22.2</c:v>
                </c:pt>
                <c:pt idx="2" formatCode="General">
                  <c:v>20.3</c:v>
                </c:pt>
                <c:pt idx="3" formatCode="General">
                  <c:v>18.7</c:v>
                </c:pt>
                <c:pt idx="4" formatCode="General">
                  <c:v>16.8</c:v>
                </c:pt>
              </c:numCache>
            </c:numRef>
          </c:val>
          <c:extLst xmlns:c16r2="http://schemas.microsoft.com/office/drawing/2015/06/chart">
            <c:ext xmlns:c16="http://schemas.microsoft.com/office/drawing/2014/chart" uri="{C3380CC4-5D6E-409C-BE32-E72D297353CC}">
              <c16:uniqueId val="{00000000-E46A-4F1F-816E-999C676B10F6}"/>
            </c:ext>
          </c:extLst>
        </c:ser>
        <c:ser>
          <c:idx val="1"/>
          <c:order val="1"/>
          <c:tx>
            <c:strRef>
              <c:f>MN!$B$5</c:f>
              <c:strCache>
                <c:ptCount val="1"/>
                <c:pt idx="0">
                  <c:v>Česká republika</c:v>
                </c:pt>
              </c:strCache>
            </c:strRef>
          </c:tx>
          <c:spPr>
            <a:solidFill>
              <a:srgbClr val="C00000"/>
            </a:solidFill>
          </c:spPr>
          <c:cat>
            <c:numRef>
              <c:f>MN!$C$1:$H$1</c:f>
              <c:numCache>
                <c:formatCode>General</c:formatCode>
                <c:ptCount val="6"/>
                <c:pt idx="0">
                  <c:v>2013</c:v>
                </c:pt>
                <c:pt idx="1">
                  <c:v>2014</c:v>
                </c:pt>
                <c:pt idx="2">
                  <c:v>2015</c:v>
                </c:pt>
                <c:pt idx="3">
                  <c:v>2016</c:v>
                </c:pt>
                <c:pt idx="4">
                  <c:v>2017</c:v>
                </c:pt>
              </c:numCache>
            </c:numRef>
          </c:cat>
          <c:val>
            <c:numRef>
              <c:f>MN!$C$5:$H$5</c:f>
              <c:numCache>
                <c:formatCode>General</c:formatCode>
                <c:ptCount val="6"/>
                <c:pt idx="0">
                  <c:v>18.899999999999999</c:v>
                </c:pt>
                <c:pt idx="1">
                  <c:v>15.9</c:v>
                </c:pt>
                <c:pt idx="2">
                  <c:v>12.6</c:v>
                </c:pt>
                <c:pt idx="3">
                  <c:v>10.5</c:v>
                </c:pt>
                <c:pt idx="4">
                  <c:v>7.9</c:v>
                </c:pt>
              </c:numCache>
            </c:numRef>
          </c:val>
          <c:extLst xmlns:c16r2="http://schemas.microsoft.com/office/drawing/2015/06/chart">
            <c:ext xmlns:c16="http://schemas.microsoft.com/office/drawing/2014/chart" uri="{C3380CC4-5D6E-409C-BE32-E72D297353CC}">
              <c16:uniqueId val="{00000001-E46A-4F1F-816E-999C676B10F6}"/>
            </c:ext>
          </c:extLst>
        </c:ser>
        <c:gapWidth val="164"/>
        <c:axId val="175789568"/>
        <c:axId val="175791104"/>
      </c:barChart>
      <c:lineChart>
        <c:grouping val="standard"/>
        <c:marker val="1"/>
        <c:axId val="175789568"/>
        <c:axId val="175791104"/>
        <c:extLst xmlns:c16r2="http://schemas.microsoft.com/office/drawing/2015/06/chart">
          <c:ext xmlns:c15="http://schemas.microsoft.com/office/drawing/2012/chart" uri="{02D57815-91ED-43cb-92C2-25804820EDAC}">
            <c15:filteredLineSeries>
              <c15:ser>
                <c:idx val="2"/>
                <c:order val="2"/>
                <c:tx>
                  <c:strRef>
                    <c:extLst>
                      <c:ext uri="{02D57815-91ED-43cb-92C2-25804820EDAC}">
                        <c15:formulaRef>
                          <c15:sqref>MN!$B$40</c15:sqref>
                        </c15:formulaRef>
                      </c:ext>
                    </c:extLst>
                    <c:strCache>
                      <c:ptCount val="1"/>
                      <c:pt idx="0">
                        <c:v>cíl ČR</c:v>
                      </c:pt>
                    </c:strCache>
                  </c:strRef>
                </c:tx>
                <c:marker>
                  <c:symbol val="none"/>
                </c:marker>
                <c:cat>
                  <c:numRef>
                    <c:extLst>
                      <c:ext uri="{02D57815-91ED-43cb-92C2-25804820EDAC}">
                        <c15:formulaRef>
                          <c15:sqref>MN!$C$1:$H$1</c15:sqref>
                        </c15:formulaRef>
                      </c:ext>
                    </c:extLst>
                    <c:numCache>
                      <c:formatCode>General</c:formatCode>
                      <c:ptCount val="6"/>
                      <c:pt idx="0">
                        <c:v>2013</c:v>
                      </c:pt>
                      <c:pt idx="1">
                        <c:v>2014</c:v>
                      </c:pt>
                      <c:pt idx="2">
                        <c:v>2015</c:v>
                      </c:pt>
                      <c:pt idx="3">
                        <c:v>2016</c:v>
                      </c:pt>
                      <c:pt idx="4">
                        <c:v>2017</c:v>
                      </c:pt>
                    </c:numCache>
                  </c:numRef>
                </c:cat>
                <c:val>
                  <c:numRef>
                    <c:extLst>
                      <c:ext uri="{02D57815-91ED-43cb-92C2-25804820EDAC}">
                        <c15:formulaRef>
                          <c15:sqref>MN!$C$40:$G$40</c15:sqref>
                        </c15:formulaRef>
                      </c:ext>
                    </c:extLst>
                    <c:numCache>
                      <c:formatCode>General</c:formatCode>
                      <c:ptCount val="5"/>
                      <c:pt idx="0">
                        <c:v>12.2</c:v>
                      </c:pt>
                      <c:pt idx="1">
                        <c:v>12.2</c:v>
                      </c:pt>
                      <c:pt idx="2">
                        <c:v>12.2</c:v>
                      </c:pt>
                      <c:pt idx="3">
                        <c:v>12.2</c:v>
                      </c:pt>
                      <c:pt idx="4">
                        <c:v>12.2</c:v>
                      </c:pt>
                    </c:numCache>
                  </c:numRef>
                </c:val>
                <c:smooth val="0"/>
                <c:extLst>
                  <c:ext xmlns:c16="http://schemas.microsoft.com/office/drawing/2014/chart" uri="{C3380CC4-5D6E-409C-BE32-E72D297353CC}">
                    <c16:uniqueId val="{00000002-E46A-4F1F-816E-999C676B10F6}"/>
                  </c:ext>
                </c:extLst>
              </c15:ser>
            </c15:filteredLineSeries>
          </c:ext>
        </c:extLst>
      </c:lineChart>
      <c:catAx>
        <c:axId val="175789568"/>
        <c:scaling>
          <c:orientation val="minMax"/>
        </c:scaling>
        <c:axPos val="b"/>
        <c:numFmt formatCode="General" sourceLinked="1"/>
        <c:majorTickMark val="none"/>
        <c:tickLblPos val="nextTo"/>
        <c:txPr>
          <a:bodyPr/>
          <a:lstStyle/>
          <a:p>
            <a:pPr>
              <a:defRPr sz="800">
                <a:latin typeface="Arial" pitchFamily="34" charset="0"/>
                <a:cs typeface="Arial" pitchFamily="34" charset="0"/>
              </a:defRPr>
            </a:pPr>
            <a:endParaRPr lang="cs-CZ"/>
          </a:p>
        </c:txPr>
        <c:crossAx val="175791104"/>
        <c:crosses val="autoZero"/>
        <c:auto val="1"/>
        <c:lblAlgn val="ctr"/>
        <c:lblOffset val="100"/>
      </c:catAx>
      <c:valAx>
        <c:axId val="175791104"/>
        <c:scaling>
          <c:orientation val="minMax"/>
          <c:max val="30"/>
          <c:min val="0"/>
        </c:scaling>
        <c:axPos val="l"/>
        <c:majorGridlines/>
        <c:title>
          <c:tx>
            <c:rich>
              <a:bodyPr rot="-5400000" vert="horz"/>
              <a:lstStyle/>
              <a:p>
                <a:pPr>
                  <a:defRPr sz="800"/>
                </a:pPr>
                <a:r>
                  <a:rPr lang="cs-CZ" sz="800"/>
                  <a:t>MN v %</a:t>
                </a:r>
              </a:p>
            </c:rich>
          </c:tx>
          <c:layout>
            <c:manualLayout>
              <c:xMode val="edge"/>
              <c:yMode val="edge"/>
              <c:x val="1.5741906907257859E-2"/>
              <c:y val="0.43983364154178994"/>
            </c:manualLayout>
          </c:layout>
        </c:title>
        <c:numFmt formatCode="#,##0" sourceLinked="0"/>
        <c:majorTickMark val="none"/>
        <c:tickLblPos val="nextTo"/>
        <c:spPr>
          <a:ln w="9525">
            <a:noFill/>
          </a:ln>
        </c:spPr>
        <c:txPr>
          <a:bodyPr/>
          <a:lstStyle/>
          <a:p>
            <a:pPr>
              <a:defRPr sz="600">
                <a:latin typeface="Arial" pitchFamily="34" charset="0"/>
                <a:cs typeface="Arial" pitchFamily="34" charset="0"/>
              </a:defRPr>
            </a:pPr>
            <a:endParaRPr lang="cs-CZ"/>
          </a:p>
        </c:txPr>
        <c:crossAx val="175789568"/>
        <c:crosses val="autoZero"/>
        <c:crossBetween val="between"/>
        <c:majorUnit val="5"/>
      </c:valAx>
    </c:plotArea>
    <c:legend>
      <c:legendPos val="b"/>
      <c:layout>
        <c:manualLayout>
          <c:xMode val="edge"/>
          <c:yMode val="edge"/>
          <c:x val="0.20414186688202446"/>
          <c:y val="0.8996883202099738"/>
          <c:w val="0.54574191840217623"/>
          <c:h val="9.3148780448039425E-2"/>
        </c:manualLayout>
      </c:layout>
      <c:txPr>
        <a:bodyPr/>
        <a:lstStyle/>
        <a:p>
          <a:pPr>
            <a:defRPr sz="800">
              <a:latin typeface="Arial" pitchFamily="34" charset="0"/>
              <a:cs typeface="Arial" pitchFamily="34" charset="0"/>
            </a:defRPr>
          </a:pPr>
          <a:endParaRPr lang="cs-CZ"/>
        </a:p>
      </c:txPr>
    </c:legend>
    <c:plotVisOnly val="1"/>
    <c:dispBlanksAs val="gap"/>
  </c:chart>
  <c:externalData r:id="rId1"/>
  <c:userShapes r:id="rId2"/>
</c:chartSpace>
</file>

<file path=word/charts/chart32.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900" b="1">
                <a:latin typeface="Arial Narrow" pitchFamily="34" charset="0"/>
              </a:defRPr>
            </a:pPr>
            <a:r>
              <a:rPr lang="cs-CZ" sz="900" b="1" i="0" baseline="0">
                <a:effectLst/>
                <a:latin typeface="Arial Narrow" pitchFamily="34" charset="0"/>
              </a:rPr>
              <a:t>Míra dlouhodobé nezaměstnanosti v %</a:t>
            </a:r>
            <a:endParaRPr lang="cs-CZ" sz="900" b="1">
              <a:effectLst/>
              <a:latin typeface="Arial Narrow" pitchFamily="34" charset="0"/>
            </a:endParaRPr>
          </a:p>
        </c:rich>
      </c:tx>
      <c:layout>
        <c:manualLayout>
          <c:xMode val="edge"/>
          <c:yMode val="edge"/>
          <c:x val="0.16385622309949729"/>
          <c:y val="5.0196066031541531E-2"/>
        </c:manualLayout>
      </c:layout>
    </c:title>
    <c:plotArea>
      <c:layout>
        <c:manualLayout>
          <c:layoutTarget val="inner"/>
          <c:xMode val="edge"/>
          <c:yMode val="edge"/>
          <c:x val="0.12326077102545019"/>
          <c:y val="0.25083333333333324"/>
          <c:w val="0.83848605800565457"/>
          <c:h val="0.51243256051326869"/>
        </c:manualLayout>
      </c:layout>
      <c:barChart>
        <c:barDir val="col"/>
        <c:grouping val="clustered"/>
        <c:ser>
          <c:idx val="0"/>
          <c:order val="0"/>
          <c:tx>
            <c:strRef>
              <c:f>MN!$B$7</c:f>
              <c:strCache>
                <c:ptCount val="1"/>
                <c:pt idx="0">
                  <c:v>EU28</c:v>
                </c:pt>
              </c:strCache>
            </c:strRef>
          </c:tx>
          <c:spPr>
            <a:solidFill>
              <a:srgbClr val="0070C0"/>
            </a:solidFill>
          </c:spPr>
          <c:cat>
            <c:strRef>
              <c:f>MN!$C$6:$H$6</c:f>
              <c:strCache>
                <c:ptCount val="6"/>
                <c:pt idx="0">
                  <c:v>2013</c:v>
                </c:pt>
                <c:pt idx="1">
                  <c:v>2014</c:v>
                </c:pt>
                <c:pt idx="2">
                  <c:v>2015</c:v>
                </c:pt>
                <c:pt idx="3">
                  <c:v>2016</c:v>
                </c:pt>
                <c:pt idx="5">
                  <c:v>1.-3.q 2017</c:v>
                </c:pt>
              </c:strCache>
            </c:strRef>
          </c:cat>
          <c:val>
            <c:numRef>
              <c:f>MN!$C$7:$H$7</c:f>
              <c:numCache>
                <c:formatCode>0.0</c:formatCode>
                <c:ptCount val="6"/>
                <c:pt idx="0">
                  <c:v>5.0999999999999996</c:v>
                </c:pt>
                <c:pt idx="1">
                  <c:v>5</c:v>
                </c:pt>
                <c:pt idx="2">
                  <c:v>4.5</c:v>
                </c:pt>
                <c:pt idx="3">
                  <c:v>4</c:v>
                </c:pt>
                <c:pt idx="5">
                  <c:v>3.4666666666666663</c:v>
                </c:pt>
              </c:numCache>
            </c:numRef>
          </c:val>
          <c:extLst xmlns:c16r2="http://schemas.microsoft.com/office/drawing/2015/06/chart">
            <c:ext xmlns:c16="http://schemas.microsoft.com/office/drawing/2014/chart" uri="{C3380CC4-5D6E-409C-BE32-E72D297353CC}">
              <c16:uniqueId val="{00000000-16F2-4D94-B160-6F48A4DBD9E1}"/>
            </c:ext>
          </c:extLst>
        </c:ser>
        <c:ser>
          <c:idx val="1"/>
          <c:order val="1"/>
          <c:tx>
            <c:strRef>
              <c:f>MN!$B$8</c:f>
              <c:strCache>
                <c:ptCount val="1"/>
                <c:pt idx="0">
                  <c:v>Česká republika</c:v>
                </c:pt>
              </c:strCache>
            </c:strRef>
          </c:tx>
          <c:spPr>
            <a:solidFill>
              <a:srgbClr val="C00000"/>
            </a:solidFill>
          </c:spPr>
          <c:cat>
            <c:strRef>
              <c:f>MN!$C$6:$H$6</c:f>
              <c:strCache>
                <c:ptCount val="6"/>
                <c:pt idx="0">
                  <c:v>2013</c:v>
                </c:pt>
                <c:pt idx="1">
                  <c:v>2014</c:v>
                </c:pt>
                <c:pt idx="2">
                  <c:v>2015</c:v>
                </c:pt>
                <c:pt idx="3">
                  <c:v>2016</c:v>
                </c:pt>
                <c:pt idx="5">
                  <c:v>1.-3.q 2017</c:v>
                </c:pt>
              </c:strCache>
            </c:strRef>
          </c:cat>
          <c:val>
            <c:numRef>
              <c:f>MN!$C$8:$H$8</c:f>
              <c:numCache>
                <c:formatCode>0.0</c:formatCode>
                <c:ptCount val="6"/>
                <c:pt idx="0">
                  <c:v>3</c:v>
                </c:pt>
                <c:pt idx="1">
                  <c:v>2.7</c:v>
                </c:pt>
                <c:pt idx="2">
                  <c:v>2.4</c:v>
                </c:pt>
                <c:pt idx="3" formatCode="General">
                  <c:v>1.7</c:v>
                </c:pt>
                <c:pt idx="5">
                  <c:v>1.1000000000000001</c:v>
                </c:pt>
              </c:numCache>
            </c:numRef>
          </c:val>
          <c:extLst xmlns:c16r2="http://schemas.microsoft.com/office/drawing/2015/06/chart">
            <c:ext xmlns:c16="http://schemas.microsoft.com/office/drawing/2014/chart" uri="{C3380CC4-5D6E-409C-BE32-E72D297353CC}">
              <c16:uniqueId val="{00000001-16F2-4D94-B160-6F48A4DBD9E1}"/>
            </c:ext>
          </c:extLst>
        </c:ser>
        <c:gapWidth val="164"/>
        <c:axId val="175736704"/>
        <c:axId val="175738240"/>
      </c:barChart>
      <c:catAx>
        <c:axId val="175736704"/>
        <c:scaling>
          <c:orientation val="minMax"/>
        </c:scaling>
        <c:axPos val="b"/>
        <c:numFmt formatCode="General" sourceLinked="1"/>
        <c:majorTickMark val="none"/>
        <c:tickLblPos val="nextTo"/>
        <c:txPr>
          <a:bodyPr/>
          <a:lstStyle/>
          <a:p>
            <a:pPr>
              <a:defRPr sz="800">
                <a:latin typeface="Arial" pitchFamily="34" charset="0"/>
                <a:cs typeface="Arial" pitchFamily="34" charset="0"/>
              </a:defRPr>
            </a:pPr>
            <a:endParaRPr lang="cs-CZ"/>
          </a:p>
        </c:txPr>
        <c:crossAx val="175738240"/>
        <c:crosses val="autoZero"/>
        <c:auto val="1"/>
        <c:lblAlgn val="ctr"/>
        <c:lblOffset val="100"/>
      </c:catAx>
      <c:valAx>
        <c:axId val="175738240"/>
        <c:scaling>
          <c:orientation val="minMax"/>
          <c:max val="30"/>
          <c:min val="0"/>
        </c:scaling>
        <c:axPos val="l"/>
        <c:majorGridlines/>
        <c:title>
          <c:tx>
            <c:rich>
              <a:bodyPr rot="-5400000" vert="horz"/>
              <a:lstStyle/>
              <a:p>
                <a:pPr>
                  <a:defRPr sz="800"/>
                </a:pPr>
                <a:r>
                  <a:rPr lang="cs-CZ" sz="800"/>
                  <a:t>MN v %</a:t>
                </a:r>
              </a:p>
            </c:rich>
          </c:tx>
        </c:title>
        <c:numFmt formatCode="0" sourceLinked="0"/>
        <c:majorTickMark val="none"/>
        <c:tickLblPos val="nextTo"/>
        <c:spPr>
          <a:ln w="9525">
            <a:noFill/>
          </a:ln>
        </c:spPr>
        <c:txPr>
          <a:bodyPr/>
          <a:lstStyle/>
          <a:p>
            <a:pPr>
              <a:defRPr sz="600">
                <a:latin typeface="Arial" pitchFamily="34" charset="0"/>
                <a:cs typeface="Arial" pitchFamily="34" charset="0"/>
              </a:defRPr>
            </a:pPr>
            <a:endParaRPr lang="cs-CZ"/>
          </a:p>
        </c:txPr>
        <c:crossAx val="175736704"/>
        <c:crosses val="autoZero"/>
        <c:crossBetween val="between"/>
        <c:majorUnit val="5"/>
      </c:valAx>
    </c:plotArea>
    <c:legend>
      <c:legendPos val="b"/>
      <c:layout>
        <c:manualLayout>
          <c:xMode val="edge"/>
          <c:yMode val="edge"/>
          <c:x val="0.20414186688202446"/>
          <c:y val="0.8996883202099738"/>
          <c:w val="0.53017753550037039"/>
          <c:h val="7.2533902012248491E-2"/>
        </c:manualLayout>
      </c:layout>
      <c:txPr>
        <a:bodyPr/>
        <a:lstStyle/>
        <a:p>
          <a:pPr>
            <a:defRPr sz="800">
              <a:latin typeface="Arial" pitchFamily="34" charset="0"/>
              <a:cs typeface="Arial" pitchFamily="34" charset="0"/>
            </a:defRPr>
          </a:pPr>
          <a:endParaRPr lang="cs-CZ"/>
        </a:p>
      </c:txPr>
    </c:legend>
    <c:plotVisOnly val="1"/>
    <c:dispBlanksAs val="gap"/>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900" b="1">
                <a:latin typeface="Arial Narrow" pitchFamily="34" charset="0"/>
              </a:defRPr>
            </a:pPr>
            <a:r>
              <a:rPr lang="cs-CZ" sz="900" b="1" i="0" baseline="0">
                <a:effectLst/>
                <a:latin typeface="Arial Narrow" pitchFamily="34" charset="0"/>
              </a:rPr>
              <a:t>Míra nezaměstnanosti </a:t>
            </a:r>
          </a:p>
          <a:p>
            <a:pPr>
              <a:defRPr sz="900" b="1">
                <a:latin typeface="Arial Narrow" pitchFamily="34" charset="0"/>
              </a:defRPr>
            </a:pPr>
            <a:r>
              <a:rPr lang="cs-CZ" sz="900" b="1" i="0" baseline="0">
                <a:effectLst/>
                <a:latin typeface="Arial Narrow" pitchFamily="34" charset="0"/>
              </a:rPr>
              <a:t>osob s nízkou kvalifikací v %</a:t>
            </a:r>
            <a:endParaRPr lang="cs-CZ" sz="900" b="1">
              <a:effectLst/>
              <a:latin typeface="Arial Narrow" pitchFamily="34" charset="0"/>
            </a:endParaRPr>
          </a:p>
        </c:rich>
      </c:tx>
      <c:layout>
        <c:manualLayout>
          <c:xMode val="edge"/>
          <c:yMode val="edge"/>
          <c:x val="0.25349129394076064"/>
          <c:y val="3.7647049523656162E-2"/>
        </c:manualLayout>
      </c:layout>
    </c:title>
    <c:plotArea>
      <c:layout>
        <c:manualLayout>
          <c:layoutTarget val="inner"/>
          <c:xMode val="edge"/>
          <c:yMode val="edge"/>
          <c:x val="0.13299313485186323"/>
          <c:y val="0.25083333333333324"/>
          <c:w val="0.82875369417924183"/>
          <c:h val="0.51243256051326869"/>
        </c:manualLayout>
      </c:layout>
      <c:barChart>
        <c:barDir val="col"/>
        <c:grouping val="clustered"/>
        <c:ser>
          <c:idx val="0"/>
          <c:order val="0"/>
          <c:tx>
            <c:strRef>
              <c:f>MN!$B$10</c:f>
              <c:strCache>
                <c:ptCount val="1"/>
                <c:pt idx="0">
                  <c:v>EU28</c:v>
                </c:pt>
              </c:strCache>
            </c:strRef>
          </c:tx>
          <c:spPr>
            <a:solidFill>
              <a:srgbClr val="0070C0"/>
            </a:solidFill>
          </c:spPr>
          <c:cat>
            <c:strRef>
              <c:f>MN!$C$9:$H$9</c:f>
              <c:strCache>
                <c:ptCount val="5"/>
                <c:pt idx="0">
                  <c:v>2013</c:v>
                </c:pt>
                <c:pt idx="1">
                  <c:v>2014</c:v>
                </c:pt>
                <c:pt idx="2">
                  <c:v>2015</c:v>
                </c:pt>
                <c:pt idx="3">
                  <c:v>2016</c:v>
                </c:pt>
                <c:pt idx="4">
                  <c:v>2017 *)</c:v>
                </c:pt>
              </c:strCache>
            </c:strRef>
          </c:cat>
          <c:val>
            <c:numRef>
              <c:f>MN!$C$10:$H$10</c:f>
              <c:numCache>
                <c:formatCode>General</c:formatCode>
                <c:ptCount val="6"/>
                <c:pt idx="0">
                  <c:v>19.2</c:v>
                </c:pt>
                <c:pt idx="1">
                  <c:v>18.5</c:v>
                </c:pt>
                <c:pt idx="2">
                  <c:v>17.399999999999999</c:v>
                </c:pt>
                <c:pt idx="3">
                  <c:v>16.100000000000001</c:v>
                </c:pt>
                <c:pt idx="4" formatCode="0.0">
                  <c:v>14.8</c:v>
                </c:pt>
              </c:numCache>
            </c:numRef>
          </c:val>
          <c:extLst xmlns:c16r2="http://schemas.microsoft.com/office/drawing/2015/06/chart">
            <c:ext xmlns:c16="http://schemas.microsoft.com/office/drawing/2014/chart" uri="{C3380CC4-5D6E-409C-BE32-E72D297353CC}">
              <c16:uniqueId val="{00000000-63C4-4CAD-BB96-B3F39D73C87F}"/>
            </c:ext>
          </c:extLst>
        </c:ser>
        <c:ser>
          <c:idx val="1"/>
          <c:order val="1"/>
          <c:tx>
            <c:strRef>
              <c:f>MN!$B$11</c:f>
              <c:strCache>
                <c:ptCount val="1"/>
                <c:pt idx="0">
                  <c:v>Česká republika</c:v>
                </c:pt>
              </c:strCache>
            </c:strRef>
          </c:tx>
          <c:spPr>
            <a:solidFill>
              <a:srgbClr val="C00000"/>
            </a:solidFill>
          </c:spPr>
          <c:cat>
            <c:strRef>
              <c:f>MN!$C$9:$H$9</c:f>
              <c:strCache>
                <c:ptCount val="5"/>
                <c:pt idx="0">
                  <c:v>2013</c:v>
                </c:pt>
                <c:pt idx="1">
                  <c:v>2014</c:v>
                </c:pt>
                <c:pt idx="2">
                  <c:v>2015</c:v>
                </c:pt>
                <c:pt idx="3">
                  <c:v>2016</c:v>
                </c:pt>
                <c:pt idx="4">
                  <c:v>2017 *)</c:v>
                </c:pt>
              </c:strCache>
            </c:strRef>
          </c:cat>
          <c:val>
            <c:numRef>
              <c:f>MN!$C$11:$H$11</c:f>
              <c:numCache>
                <c:formatCode>General</c:formatCode>
                <c:ptCount val="6"/>
                <c:pt idx="0">
                  <c:v>25.6</c:v>
                </c:pt>
                <c:pt idx="1">
                  <c:v>22.1</c:v>
                </c:pt>
                <c:pt idx="2">
                  <c:v>22.7</c:v>
                </c:pt>
                <c:pt idx="3">
                  <c:v>20.5</c:v>
                </c:pt>
                <c:pt idx="4" formatCode="0.0">
                  <c:v>13.075000000000005</c:v>
                </c:pt>
              </c:numCache>
            </c:numRef>
          </c:val>
          <c:extLst xmlns:c16r2="http://schemas.microsoft.com/office/drawing/2015/06/chart">
            <c:ext xmlns:c16="http://schemas.microsoft.com/office/drawing/2014/chart" uri="{C3380CC4-5D6E-409C-BE32-E72D297353CC}">
              <c16:uniqueId val="{00000001-63C4-4CAD-BB96-B3F39D73C87F}"/>
            </c:ext>
          </c:extLst>
        </c:ser>
        <c:gapWidth val="164"/>
        <c:axId val="175999616"/>
        <c:axId val="176009600"/>
        <c:extLst xmlns:c16r2="http://schemas.microsoft.com/office/drawing/2015/06/chart">
          <c:ext xmlns:c15="http://schemas.microsoft.com/office/drawing/2012/chart" uri="{02D57815-91ED-43cb-92C2-25804820EDAC}">
            <c15:filteredBarSeries>
              <c15:ser>
                <c:idx val="2"/>
                <c:order val="2"/>
                <c:tx>
                  <c:strRef>
                    <c:extLst>
                      <c:ext uri="{02D57815-91ED-43cb-92C2-25804820EDAC}">
                        <c15:formulaRef>
                          <c15:sqref>MN!$C$41</c15:sqref>
                        </c15:formulaRef>
                      </c:ext>
                    </c:extLst>
                    <c:strCache>
                      <c:ptCount val="1"/>
                      <c:pt idx="0">
                        <c:v>18,8</c:v>
                      </c:pt>
                    </c:strCache>
                  </c:strRef>
                </c:tx>
                <c:invertIfNegative val="0"/>
                <c:cat>
                  <c:strRef>
                    <c:extLst>
                      <c:ext uri="{02D57815-91ED-43cb-92C2-25804820EDAC}">
                        <c15:formulaRef>
                          <c15:sqref>MN!$C$9:$H$9</c15:sqref>
                        </c15:formulaRef>
                      </c:ext>
                    </c:extLst>
                    <c:strCache>
                      <c:ptCount val="5"/>
                      <c:pt idx="0">
                        <c:v>2013</c:v>
                      </c:pt>
                      <c:pt idx="1">
                        <c:v>2014</c:v>
                      </c:pt>
                      <c:pt idx="2">
                        <c:v>2015</c:v>
                      </c:pt>
                      <c:pt idx="3">
                        <c:v>2016</c:v>
                      </c:pt>
                      <c:pt idx="4">
                        <c:v>2017 *)</c:v>
                      </c:pt>
                    </c:strCache>
                  </c:strRef>
                </c:cat>
                <c:val>
                  <c:numRef>
                    <c:extLst>
                      <c:ext uri="{02D57815-91ED-43cb-92C2-25804820EDAC}">
                        <c15:formulaRef>
                          <c15:sqref>MN!$D$41:$H$41</c15:sqref>
                        </c15:formulaRef>
                      </c:ext>
                    </c:extLst>
                    <c:numCache>
                      <c:formatCode>General</c:formatCode>
                      <c:ptCount val="5"/>
                      <c:pt idx="0">
                        <c:v>18.8</c:v>
                      </c:pt>
                      <c:pt idx="1">
                        <c:v>18.8</c:v>
                      </c:pt>
                      <c:pt idx="2">
                        <c:v>18.8</c:v>
                      </c:pt>
                      <c:pt idx="3">
                        <c:v>18.8</c:v>
                      </c:pt>
                      <c:pt idx="4">
                        <c:v>18.8</c:v>
                      </c:pt>
                    </c:numCache>
                  </c:numRef>
                </c:val>
                <c:extLst>
                  <c:ext xmlns:c16="http://schemas.microsoft.com/office/drawing/2014/chart" uri="{C3380CC4-5D6E-409C-BE32-E72D297353CC}">
                    <c16:uniqueId val="{00000002-63C4-4CAD-BB96-B3F39D73C87F}"/>
                  </c:ext>
                </c:extLst>
              </c15:ser>
            </c15:filteredBarSeries>
          </c:ext>
        </c:extLst>
      </c:barChart>
      <c:lineChart>
        <c:grouping val="standard"/>
        <c:marker val="1"/>
        <c:axId val="175999616"/>
        <c:axId val="176009600"/>
        <c:extLst xmlns:c16r2="http://schemas.microsoft.com/office/drawing/2015/06/chart">
          <c:ext xmlns:c15="http://schemas.microsoft.com/office/drawing/2012/chart" uri="{02D57815-91ED-43cb-92C2-25804820EDAC}">
            <c15:filteredLineSeries>
              <c15:ser>
                <c:idx val="3"/>
                <c:order val="3"/>
                <c:tx>
                  <c:strRef>
                    <c:extLst>
                      <c:ext uri="{02D57815-91ED-43cb-92C2-25804820EDAC}">
                        <c15:formulaRef>
                          <c15:sqref>MN!$B$41</c15:sqref>
                        </c15:formulaRef>
                      </c:ext>
                    </c:extLst>
                    <c:strCache>
                      <c:ptCount val="1"/>
                      <c:pt idx="0">
                        <c:v>cíl ČR</c:v>
                      </c:pt>
                    </c:strCache>
                  </c:strRef>
                </c:tx>
                <c:marker>
                  <c:symbol val="none"/>
                </c:marker>
                <c:cat>
                  <c:strRef>
                    <c:extLst>
                      <c:ext uri="{02D57815-91ED-43cb-92C2-25804820EDAC}">
                        <c15:formulaRef>
                          <c15:sqref>MN!$C$9:$H$9</c15:sqref>
                        </c15:formulaRef>
                      </c:ext>
                    </c:extLst>
                    <c:strCache>
                      <c:ptCount val="5"/>
                      <c:pt idx="0">
                        <c:v>2013</c:v>
                      </c:pt>
                      <c:pt idx="1">
                        <c:v>2014</c:v>
                      </c:pt>
                      <c:pt idx="2">
                        <c:v>2015</c:v>
                      </c:pt>
                      <c:pt idx="3">
                        <c:v>2016</c:v>
                      </c:pt>
                      <c:pt idx="4">
                        <c:v>2017 *)</c:v>
                      </c:pt>
                    </c:strCache>
                  </c:strRef>
                </c:cat>
                <c:val>
                  <c:numRef>
                    <c:extLst>
                      <c:ext uri="{02D57815-91ED-43cb-92C2-25804820EDAC}">
                        <c15:formulaRef>
                          <c15:sqref>MN!$C$41:$H$41</c15:sqref>
                        </c15:formulaRef>
                      </c:ext>
                    </c:extLst>
                    <c:numCache>
                      <c:formatCode>General</c:formatCode>
                      <c:ptCount val="6"/>
                      <c:pt idx="0">
                        <c:v>18.8</c:v>
                      </c:pt>
                      <c:pt idx="1">
                        <c:v>18.8</c:v>
                      </c:pt>
                      <c:pt idx="2">
                        <c:v>18.8</c:v>
                      </c:pt>
                      <c:pt idx="3">
                        <c:v>18.8</c:v>
                      </c:pt>
                      <c:pt idx="4">
                        <c:v>18.8</c:v>
                      </c:pt>
                      <c:pt idx="5">
                        <c:v>18.8</c:v>
                      </c:pt>
                    </c:numCache>
                  </c:numRef>
                </c:val>
                <c:smooth val="0"/>
                <c:extLst>
                  <c:ext xmlns:c16="http://schemas.microsoft.com/office/drawing/2014/chart" uri="{C3380CC4-5D6E-409C-BE32-E72D297353CC}">
                    <c16:uniqueId val="{00000003-63C4-4CAD-BB96-B3F39D73C87F}"/>
                  </c:ext>
                </c:extLst>
              </c15:ser>
            </c15:filteredLineSeries>
          </c:ext>
        </c:extLst>
      </c:lineChart>
      <c:catAx>
        <c:axId val="175999616"/>
        <c:scaling>
          <c:orientation val="minMax"/>
        </c:scaling>
        <c:axPos val="b"/>
        <c:numFmt formatCode="General" sourceLinked="1"/>
        <c:majorTickMark val="none"/>
        <c:tickLblPos val="nextTo"/>
        <c:txPr>
          <a:bodyPr/>
          <a:lstStyle/>
          <a:p>
            <a:pPr>
              <a:defRPr sz="800">
                <a:latin typeface="Arial" pitchFamily="34" charset="0"/>
                <a:cs typeface="Arial" pitchFamily="34" charset="0"/>
              </a:defRPr>
            </a:pPr>
            <a:endParaRPr lang="cs-CZ"/>
          </a:p>
        </c:txPr>
        <c:crossAx val="176009600"/>
        <c:crosses val="autoZero"/>
        <c:auto val="1"/>
        <c:lblAlgn val="ctr"/>
        <c:lblOffset val="100"/>
      </c:catAx>
      <c:valAx>
        <c:axId val="176009600"/>
        <c:scaling>
          <c:orientation val="minMax"/>
          <c:max val="30"/>
          <c:min val="0"/>
        </c:scaling>
        <c:axPos val="l"/>
        <c:majorGridlines/>
        <c:title>
          <c:tx>
            <c:rich>
              <a:bodyPr rot="-5400000" vert="horz"/>
              <a:lstStyle/>
              <a:p>
                <a:pPr>
                  <a:defRPr sz="800"/>
                </a:pPr>
                <a:r>
                  <a:rPr lang="cs-CZ" sz="800"/>
                  <a:t>MN v %</a:t>
                </a:r>
              </a:p>
            </c:rich>
          </c:tx>
        </c:title>
        <c:numFmt formatCode="#,##0" sourceLinked="0"/>
        <c:majorTickMark val="none"/>
        <c:tickLblPos val="nextTo"/>
        <c:spPr>
          <a:ln w="9525">
            <a:noFill/>
          </a:ln>
        </c:spPr>
        <c:txPr>
          <a:bodyPr/>
          <a:lstStyle/>
          <a:p>
            <a:pPr>
              <a:defRPr sz="600">
                <a:latin typeface="Arial" pitchFamily="34" charset="0"/>
                <a:cs typeface="Arial" pitchFamily="34" charset="0"/>
              </a:defRPr>
            </a:pPr>
            <a:endParaRPr lang="cs-CZ"/>
          </a:p>
        </c:txPr>
        <c:crossAx val="175999616"/>
        <c:crosses val="autoZero"/>
        <c:crossBetween val="between"/>
        <c:majorUnit val="5"/>
      </c:valAx>
    </c:plotArea>
    <c:legend>
      <c:legendPos val="b"/>
      <c:layout>
        <c:manualLayout>
          <c:xMode val="edge"/>
          <c:yMode val="edge"/>
          <c:x val="0.20414186688202446"/>
          <c:y val="0.8996883202099738"/>
          <c:w val="0.54574191840217623"/>
          <c:h val="9.3148780448039425E-2"/>
        </c:manualLayout>
      </c:layout>
      <c:txPr>
        <a:bodyPr/>
        <a:lstStyle/>
        <a:p>
          <a:pPr>
            <a:defRPr sz="800">
              <a:latin typeface="Arial" pitchFamily="34" charset="0"/>
              <a:cs typeface="Arial" pitchFamily="34" charset="0"/>
            </a:defRPr>
          </a:pPr>
          <a:endParaRPr lang="cs-CZ"/>
        </a:p>
      </c:txPr>
    </c:legend>
    <c:plotVisOnly val="1"/>
    <c:dispBlanksAs val="gap"/>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400"/>
              <a:t>Podíly počtu uchazečů s podporou </a:t>
            </a:r>
          </a:p>
          <a:p>
            <a:pPr>
              <a:defRPr/>
            </a:pPr>
            <a:r>
              <a:rPr lang="cs-CZ" sz="1200"/>
              <a:t>podle výše podpory v nezaměstnanosti</a:t>
            </a:r>
            <a:r>
              <a:rPr lang="cs-CZ" sz="1200" baseline="0"/>
              <a:t> (v %)</a:t>
            </a:r>
            <a:endParaRPr lang="cs-CZ" sz="1200"/>
          </a:p>
        </c:rich>
      </c:tx>
    </c:title>
    <c:plotArea>
      <c:layout>
        <c:manualLayout>
          <c:layoutTarget val="inner"/>
          <c:xMode val="edge"/>
          <c:yMode val="edge"/>
          <c:x val="0.10024984773397486"/>
          <c:y val="0.17314651844989964"/>
          <c:w val="0.87379144288043953"/>
          <c:h val="0.64321664954924118"/>
        </c:manualLayout>
      </c:layout>
      <c:barChart>
        <c:barDir val="col"/>
        <c:grouping val="clustered"/>
        <c:ser>
          <c:idx val="0"/>
          <c:order val="0"/>
          <c:tx>
            <c:strRef>
              <c:f>'tab.č.17 PvN rok'!$M$28:$P$28</c:f>
              <c:strCache>
                <c:ptCount val="1"/>
                <c:pt idx="0">
                  <c:v>k 31. 12. 2016</c:v>
                </c:pt>
              </c:strCache>
            </c:strRef>
          </c:tx>
          <c:cat>
            <c:strRef>
              <c:f>'tab.č.17 PvN rok'!$L$9:$L$20</c:f>
              <c:strCache>
                <c:ptCount val="12"/>
                <c:pt idx="0">
                  <c:v>   do 1500 Kč</c:v>
                </c:pt>
                <c:pt idx="1">
                  <c:v>   1501-2500 Kč</c:v>
                </c:pt>
                <c:pt idx="2">
                  <c:v>   2501-3500 Kč</c:v>
                </c:pt>
                <c:pt idx="3">
                  <c:v>   3501-4500 Kč</c:v>
                </c:pt>
                <c:pt idx="4">
                  <c:v>   4501-5500 Kč</c:v>
                </c:pt>
                <c:pt idx="5">
                  <c:v>   5501-6500 Kč</c:v>
                </c:pt>
                <c:pt idx="6">
                  <c:v>   6501-7500 Kč</c:v>
                </c:pt>
                <c:pt idx="7">
                  <c:v>7501-8500 Kč</c:v>
                </c:pt>
                <c:pt idx="8">
                  <c:v>8501-9500 Kč</c:v>
                </c:pt>
                <c:pt idx="9">
                  <c:v>9501-10500 Kč</c:v>
                </c:pt>
                <c:pt idx="10">
                  <c:v>10501-11500 Kč</c:v>
                </c:pt>
                <c:pt idx="11">
                  <c:v>11501 Kč a více</c:v>
                </c:pt>
              </c:strCache>
            </c:strRef>
          </c:cat>
          <c:val>
            <c:numRef>
              <c:f>'tab.č.17 PvN rok'!$M$9:$M$20</c:f>
              <c:numCache>
                <c:formatCode>0.0</c:formatCode>
                <c:ptCount val="12"/>
                <c:pt idx="0">
                  <c:v>0.3000000000000001</c:v>
                </c:pt>
                <c:pt idx="1">
                  <c:v>1.3</c:v>
                </c:pt>
                <c:pt idx="2">
                  <c:v>23.4</c:v>
                </c:pt>
                <c:pt idx="3">
                  <c:v>8.8000000000000007</c:v>
                </c:pt>
                <c:pt idx="4">
                  <c:v>15.9</c:v>
                </c:pt>
                <c:pt idx="5">
                  <c:v>11.6</c:v>
                </c:pt>
                <c:pt idx="6">
                  <c:v>10.1</c:v>
                </c:pt>
                <c:pt idx="7">
                  <c:v>8.2000000000000011</c:v>
                </c:pt>
                <c:pt idx="8">
                  <c:v>6.1</c:v>
                </c:pt>
                <c:pt idx="9">
                  <c:v>4.5999999999999996</c:v>
                </c:pt>
                <c:pt idx="10">
                  <c:v>3.2</c:v>
                </c:pt>
                <c:pt idx="11">
                  <c:v>9.6</c:v>
                </c:pt>
              </c:numCache>
            </c:numRef>
          </c:val>
          <c:extLst xmlns:c16r2="http://schemas.microsoft.com/office/drawing/2015/06/chart">
            <c:ext xmlns:c16="http://schemas.microsoft.com/office/drawing/2014/chart" uri="{C3380CC4-5D6E-409C-BE32-E72D297353CC}">
              <c16:uniqueId val="{00000000-83C7-45BE-93F2-BB561F7AACE4}"/>
            </c:ext>
          </c:extLst>
        </c:ser>
        <c:ser>
          <c:idx val="1"/>
          <c:order val="1"/>
          <c:tx>
            <c:strRef>
              <c:f>'tab.č.17 PvN rok'!$O$5:$P$5</c:f>
              <c:strCache>
                <c:ptCount val="1"/>
                <c:pt idx="0">
                  <c:v>k 31. 12. 2017</c:v>
                </c:pt>
              </c:strCache>
            </c:strRef>
          </c:tx>
          <c:cat>
            <c:strRef>
              <c:f>'tab.č.17 PvN rok'!$L$9:$L$20</c:f>
              <c:strCache>
                <c:ptCount val="12"/>
                <c:pt idx="0">
                  <c:v>   do 1500 Kč</c:v>
                </c:pt>
                <c:pt idx="1">
                  <c:v>   1501-2500 Kč</c:v>
                </c:pt>
                <c:pt idx="2">
                  <c:v>   2501-3500 Kč</c:v>
                </c:pt>
                <c:pt idx="3">
                  <c:v>   3501-4500 Kč</c:v>
                </c:pt>
                <c:pt idx="4">
                  <c:v>   4501-5500 Kč</c:v>
                </c:pt>
                <c:pt idx="5">
                  <c:v>   5501-6500 Kč</c:v>
                </c:pt>
                <c:pt idx="6">
                  <c:v>   6501-7500 Kč</c:v>
                </c:pt>
                <c:pt idx="7">
                  <c:v>7501-8500 Kč</c:v>
                </c:pt>
                <c:pt idx="8">
                  <c:v>8501-9500 Kč</c:v>
                </c:pt>
                <c:pt idx="9">
                  <c:v>9501-10500 Kč</c:v>
                </c:pt>
                <c:pt idx="10">
                  <c:v>10501-11500 Kč</c:v>
                </c:pt>
                <c:pt idx="11">
                  <c:v>11501 Kč a více</c:v>
                </c:pt>
              </c:strCache>
            </c:strRef>
          </c:cat>
          <c:val>
            <c:numRef>
              <c:f>'tab.č.17 PvN rok'!$O$9:$O$20</c:f>
              <c:numCache>
                <c:formatCode>0.0</c:formatCode>
                <c:ptCount val="12"/>
                <c:pt idx="0">
                  <c:v>0.2</c:v>
                </c:pt>
                <c:pt idx="1">
                  <c:v>1</c:v>
                </c:pt>
                <c:pt idx="2">
                  <c:v>18.399999999999999</c:v>
                </c:pt>
                <c:pt idx="3">
                  <c:v>4.4000000000000004</c:v>
                </c:pt>
                <c:pt idx="4">
                  <c:v>11.3</c:v>
                </c:pt>
                <c:pt idx="5">
                  <c:v>10</c:v>
                </c:pt>
                <c:pt idx="6">
                  <c:v>8.4</c:v>
                </c:pt>
                <c:pt idx="7">
                  <c:v>7.6</c:v>
                </c:pt>
                <c:pt idx="8">
                  <c:v>6.1</c:v>
                </c:pt>
                <c:pt idx="9">
                  <c:v>4.8</c:v>
                </c:pt>
                <c:pt idx="10">
                  <c:v>3.3</c:v>
                </c:pt>
                <c:pt idx="11">
                  <c:v>10.1</c:v>
                </c:pt>
              </c:numCache>
            </c:numRef>
          </c:val>
          <c:extLst xmlns:c16r2="http://schemas.microsoft.com/office/drawing/2015/06/chart">
            <c:ext xmlns:c16="http://schemas.microsoft.com/office/drawing/2014/chart" uri="{C3380CC4-5D6E-409C-BE32-E72D297353CC}">
              <c16:uniqueId val="{00000001-83C7-45BE-93F2-BB561F7AACE4}"/>
            </c:ext>
          </c:extLst>
        </c:ser>
        <c:gapWidth val="79"/>
        <c:axId val="172493056"/>
        <c:axId val="172511232"/>
      </c:barChart>
      <c:catAx>
        <c:axId val="172493056"/>
        <c:scaling>
          <c:orientation val="minMax"/>
        </c:scaling>
        <c:axPos val="b"/>
        <c:numFmt formatCode="General" sourceLinked="0"/>
        <c:majorTickMark val="none"/>
        <c:tickLblPos val="nextTo"/>
        <c:txPr>
          <a:bodyPr rot="-1080000"/>
          <a:lstStyle/>
          <a:p>
            <a:pPr>
              <a:defRPr sz="800"/>
            </a:pPr>
            <a:endParaRPr lang="cs-CZ"/>
          </a:p>
        </c:txPr>
        <c:crossAx val="172511232"/>
        <c:crosses val="autoZero"/>
        <c:auto val="1"/>
        <c:lblAlgn val="ctr"/>
        <c:lblOffset val="100"/>
      </c:catAx>
      <c:valAx>
        <c:axId val="172511232"/>
        <c:scaling>
          <c:orientation val="minMax"/>
          <c:max val="25"/>
          <c:min val="0"/>
        </c:scaling>
        <c:axPos val="l"/>
        <c:majorGridlines/>
        <c:title>
          <c:tx>
            <c:rich>
              <a:bodyPr rot="-5400000" vert="horz"/>
              <a:lstStyle/>
              <a:p>
                <a:pPr>
                  <a:defRPr/>
                </a:pPr>
                <a:r>
                  <a:rPr lang="en-US" b="0">
                    <a:latin typeface="Arial" panose="020B0604020202020204" pitchFamily="34" charset="0"/>
                    <a:cs typeface="Arial" panose="020B0604020202020204" pitchFamily="34" charset="0"/>
                  </a:rPr>
                  <a:t>podíly v %</a:t>
                </a:r>
              </a:p>
            </c:rich>
          </c:tx>
          <c:layout>
            <c:manualLayout>
              <c:xMode val="edge"/>
              <c:yMode val="edge"/>
              <c:x val="0"/>
              <c:y val="0.43256167979002641"/>
            </c:manualLayout>
          </c:layout>
        </c:title>
        <c:numFmt formatCode="0.0" sourceLinked="1"/>
        <c:majorTickMark val="none"/>
        <c:tickLblPos val="nextTo"/>
        <c:spPr>
          <a:ln w="9525">
            <a:noFill/>
          </a:ln>
        </c:spPr>
        <c:crossAx val="172493056"/>
        <c:crosses val="autoZero"/>
        <c:crossBetween val="between"/>
      </c:valAx>
      <c:spPr>
        <a:ln>
          <a:solidFill>
            <a:schemeClr val="accent1"/>
          </a:solidFill>
        </a:ln>
      </c:spPr>
    </c:plotArea>
    <c:legend>
      <c:legendPos val="b"/>
      <c:layout>
        <c:manualLayout>
          <c:xMode val="edge"/>
          <c:yMode val="edge"/>
          <c:x val="0.44101353048819447"/>
          <c:y val="0.36354826480023339"/>
          <c:w val="0.45071636368501417"/>
          <c:h val="6.5517802122560767E-2"/>
        </c:manualLayout>
      </c:layout>
    </c:legend>
    <c:plotVisOnly val="1"/>
    <c:dispBlanksAs val="gap"/>
  </c:chart>
  <c:spPr>
    <a:ln>
      <a:solidFill>
        <a:schemeClr val="tx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sz="1200" b="1" i="0" u="none" strike="noStrike" baseline="0">
                <a:solidFill>
                  <a:srgbClr val="000000"/>
                </a:solidFill>
                <a:latin typeface="Arial"/>
                <a:ea typeface="Arial"/>
                <a:cs typeface="Arial"/>
              </a:defRPr>
            </a:pPr>
            <a:r>
              <a:rPr lang="cs-CZ" sz="1400">
                <a:latin typeface="+mn-lt"/>
              </a:rPr>
              <a:t>Vývoj počtu volných pracovních míst</a:t>
            </a:r>
            <a:r>
              <a:rPr lang="cs-CZ" sz="1200">
                <a:latin typeface="+mn-lt"/>
              </a:rPr>
              <a:t>
</a:t>
            </a:r>
            <a:r>
              <a:rPr lang="cs-CZ" sz="1100" b="1" i="0" u="none" strike="noStrike" baseline="0">
                <a:effectLst/>
              </a:rPr>
              <a:t>v letech </a:t>
            </a:r>
            <a:r>
              <a:rPr lang="cs-CZ" sz="1200">
                <a:latin typeface="+mn-lt"/>
              </a:rPr>
              <a:t>2008-2017</a:t>
            </a:r>
          </a:p>
        </c:rich>
      </c:tx>
      <c:layout>
        <c:manualLayout>
          <c:xMode val="edge"/>
          <c:yMode val="edge"/>
          <c:x val="0.23294723294723305"/>
          <c:y val="1.2181616832779619E-2"/>
        </c:manualLayout>
      </c:layout>
      <c:spPr>
        <a:noFill/>
        <a:ln w="25400">
          <a:noFill/>
        </a:ln>
      </c:spPr>
    </c:title>
    <c:plotArea>
      <c:layout>
        <c:manualLayout>
          <c:layoutTarget val="inner"/>
          <c:xMode val="edge"/>
          <c:yMode val="edge"/>
          <c:x val="0.11094863142107236"/>
          <c:y val="0.19047653926980057"/>
          <c:w val="0.83180170046311797"/>
          <c:h val="0.68438642844063069"/>
        </c:manualLayout>
      </c:layout>
      <c:barChart>
        <c:barDir val="col"/>
        <c:grouping val="clustered"/>
        <c:ser>
          <c:idx val="0"/>
          <c:order val="0"/>
          <c:tx>
            <c:v>volná místa</c:v>
          </c:tx>
          <c:cat>
            <c:numRef>
              <c:f>A!$GX$9:$LM$9</c:f>
              <c:numCache>
                <c:formatCode>General</c:formatCode>
                <c:ptCount val="120"/>
                <c:pt idx="0">
                  <c:v>2008</c:v>
                </c:pt>
                <c:pt idx="12">
                  <c:v>2009</c:v>
                </c:pt>
                <c:pt idx="24">
                  <c:v>2010</c:v>
                </c:pt>
                <c:pt idx="36">
                  <c:v>2011</c:v>
                </c:pt>
                <c:pt idx="48">
                  <c:v>2012</c:v>
                </c:pt>
                <c:pt idx="60">
                  <c:v>2013</c:v>
                </c:pt>
                <c:pt idx="72">
                  <c:v>2014</c:v>
                </c:pt>
                <c:pt idx="84">
                  <c:v>2015</c:v>
                </c:pt>
                <c:pt idx="96">
                  <c:v>2016</c:v>
                </c:pt>
                <c:pt idx="108">
                  <c:v>2017</c:v>
                </c:pt>
              </c:numCache>
            </c:numRef>
          </c:cat>
          <c:val>
            <c:numRef>
              <c:f>A!$GX$102:$LM$102</c:f>
              <c:numCache>
                <c:formatCode>#,##0</c:formatCode>
                <c:ptCount val="120"/>
                <c:pt idx="0">
                  <c:v>145921</c:v>
                </c:pt>
                <c:pt idx="1">
                  <c:v>150328</c:v>
                </c:pt>
                <c:pt idx="2">
                  <c:v>151311</c:v>
                </c:pt>
                <c:pt idx="3">
                  <c:v>152267</c:v>
                </c:pt>
                <c:pt idx="4">
                  <c:v>151344</c:v>
                </c:pt>
                <c:pt idx="5">
                  <c:v>151881</c:v>
                </c:pt>
                <c:pt idx="6">
                  <c:v>150240</c:v>
                </c:pt>
                <c:pt idx="7">
                  <c:v>150907</c:v>
                </c:pt>
                <c:pt idx="8">
                  <c:v>139557</c:v>
                </c:pt>
                <c:pt idx="9">
                  <c:v>130124</c:v>
                </c:pt>
                <c:pt idx="10">
                  <c:v>111307</c:v>
                </c:pt>
                <c:pt idx="11">
                  <c:v>91189</c:v>
                </c:pt>
                <c:pt idx="12">
                  <c:v>68494</c:v>
                </c:pt>
                <c:pt idx="13">
                  <c:v>64881</c:v>
                </c:pt>
                <c:pt idx="14">
                  <c:v>55412</c:v>
                </c:pt>
                <c:pt idx="15">
                  <c:v>50517</c:v>
                </c:pt>
                <c:pt idx="16">
                  <c:v>48254</c:v>
                </c:pt>
                <c:pt idx="17">
                  <c:v>43402</c:v>
                </c:pt>
                <c:pt idx="18">
                  <c:v>41763</c:v>
                </c:pt>
                <c:pt idx="19">
                  <c:v>41297</c:v>
                </c:pt>
                <c:pt idx="20">
                  <c:v>38844</c:v>
                </c:pt>
                <c:pt idx="21">
                  <c:v>35803</c:v>
                </c:pt>
                <c:pt idx="22">
                  <c:v>32924</c:v>
                </c:pt>
                <c:pt idx="23">
                  <c:v>30927</c:v>
                </c:pt>
                <c:pt idx="24">
                  <c:v>31557</c:v>
                </c:pt>
                <c:pt idx="25">
                  <c:v>32120</c:v>
                </c:pt>
                <c:pt idx="26">
                  <c:v>33137</c:v>
                </c:pt>
                <c:pt idx="27">
                  <c:v>32913</c:v>
                </c:pt>
                <c:pt idx="28">
                  <c:v>33105</c:v>
                </c:pt>
                <c:pt idx="29">
                  <c:v>32927</c:v>
                </c:pt>
                <c:pt idx="30">
                  <c:v>33479</c:v>
                </c:pt>
                <c:pt idx="31">
                  <c:v>36567</c:v>
                </c:pt>
                <c:pt idx="32">
                  <c:v>35100</c:v>
                </c:pt>
                <c:pt idx="33">
                  <c:v>33651</c:v>
                </c:pt>
                <c:pt idx="34">
                  <c:v>32337</c:v>
                </c:pt>
                <c:pt idx="35">
                  <c:v>30803</c:v>
                </c:pt>
                <c:pt idx="36">
                  <c:v>31393</c:v>
                </c:pt>
                <c:pt idx="37">
                  <c:v>32164</c:v>
                </c:pt>
                <c:pt idx="38">
                  <c:v>33931</c:v>
                </c:pt>
                <c:pt idx="39">
                  <c:v>36053</c:v>
                </c:pt>
                <c:pt idx="40">
                  <c:v>37649</c:v>
                </c:pt>
                <c:pt idx="41">
                  <c:v>38416</c:v>
                </c:pt>
                <c:pt idx="42">
                  <c:v>38898</c:v>
                </c:pt>
                <c:pt idx="43">
                  <c:v>40758</c:v>
                </c:pt>
                <c:pt idx="44">
                  <c:v>39795</c:v>
                </c:pt>
                <c:pt idx="45">
                  <c:v>38732</c:v>
                </c:pt>
                <c:pt idx="46">
                  <c:v>36832</c:v>
                </c:pt>
                <c:pt idx="47">
                  <c:v>35784</c:v>
                </c:pt>
                <c:pt idx="48">
                  <c:v>34471</c:v>
                </c:pt>
                <c:pt idx="49">
                  <c:v>36671</c:v>
                </c:pt>
                <c:pt idx="50">
                  <c:v>39906</c:v>
                </c:pt>
                <c:pt idx="51">
                  <c:v>41707</c:v>
                </c:pt>
                <c:pt idx="52">
                  <c:v>43665</c:v>
                </c:pt>
                <c:pt idx="53">
                  <c:v>42779</c:v>
                </c:pt>
                <c:pt idx="54">
                  <c:v>41093</c:v>
                </c:pt>
                <c:pt idx="55">
                  <c:v>42559</c:v>
                </c:pt>
                <c:pt idx="56">
                  <c:v>40809</c:v>
                </c:pt>
                <c:pt idx="57">
                  <c:v>40729</c:v>
                </c:pt>
                <c:pt idx="58">
                  <c:v>38806</c:v>
                </c:pt>
                <c:pt idx="59">
                  <c:v>34893</c:v>
                </c:pt>
                <c:pt idx="60">
                  <c:v>33794</c:v>
                </c:pt>
                <c:pt idx="61">
                  <c:v>34635</c:v>
                </c:pt>
                <c:pt idx="62">
                  <c:v>38863</c:v>
                </c:pt>
                <c:pt idx="63">
                  <c:v>39763</c:v>
                </c:pt>
                <c:pt idx="64">
                  <c:v>42632</c:v>
                </c:pt>
                <c:pt idx="65">
                  <c:v>44032</c:v>
                </c:pt>
                <c:pt idx="66">
                  <c:v>40175</c:v>
                </c:pt>
                <c:pt idx="67">
                  <c:v>40579</c:v>
                </c:pt>
                <c:pt idx="68">
                  <c:v>41422</c:v>
                </c:pt>
                <c:pt idx="69">
                  <c:v>39137</c:v>
                </c:pt>
                <c:pt idx="70">
                  <c:v>37501</c:v>
                </c:pt>
                <c:pt idx="71">
                  <c:v>35178</c:v>
                </c:pt>
                <c:pt idx="72">
                  <c:v>36394</c:v>
                </c:pt>
                <c:pt idx="73">
                  <c:v>38301</c:v>
                </c:pt>
                <c:pt idx="74">
                  <c:v>40808</c:v>
                </c:pt>
                <c:pt idx="75">
                  <c:v>44246</c:v>
                </c:pt>
                <c:pt idx="76">
                  <c:v>48023</c:v>
                </c:pt>
                <c:pt idx="77">
                  <c:v>49479</c:v>
                </c:pt>
                <c:pt idx="78">
                  <c:v>51079</c:v>
                </c:pt>
                <c:pt idx="79">
                  <c:v>54724</c:v>
                </c:pt>
                <c:pt idx="80">
                  <c:v>56556</c:v>
                </c:pt>
                <c:pt idx="81">
                  <c:v>58217</c:v>
                </c:pt>
                <c:pt idx="82">
                  <c:v>59397</c:v>
                </c:pt>
                <c:pt idx="83">
                  <c:v>58739</c:v>
                </c:pt>
                <c:pt idx="84">
                  <c:v>62257</c:v>
                </c:pt>
                <c:pt idx="85">
                  <c:v>68971</c:v>
                </c:pt>
                <c:pt idx="86">
                  <c:v>76050</c:v>
                </c:pt>
                <c:pt idx="87">
                  <c:v>83692</c:v>
                </c:pt>
                <c:pt idx="88">
                  <c:v>92701</c:v>
                </c:pt>
                <c:pt idx="89">
                  <c:v>96983</c:v>
                </c:pt>
                <c:pt idx="90">
                  <c:v>98055</c:v>
                </c:pt>
                <c:pt idx="91">
                  <c:v>103768</c:v>
                </c:pt>
                <c:pt idx="92">
                  <c:v>108573</c:v>
                </c:pt>
                <c:pt idx="93">
                  <c:v>107324</c:v>
                </c:pt>
                <c:pt idx="94">
                  <c:v>105049</c:v>
                </c:pt>
                <c:pt idx="95">
                  <c:v>102545</c:v>
                </c:pt>
                <c:pt idx="96">
                  <c:v>107779</c:v>
                </c:pt>
                <c:pt idx="97">
                  <c:v>114826</c:v>
                </c:pt>
                <c:pt idx="98">
                  <c:v>117335</c:v>
                </c:pt>
                <c:pt idx="99">
                  <c:v>124280</c:v>
                </c:pt>
                <c:pt idx="100">
                  <c:v>129054</c:v>
                </c:pt>
                <c:pt idx="101">
                  <c:v>133939</c:v>
                </c:pt>
                <c:pt idx="102">
                  <c:v>135758</c:v>
                </c:pt>
                <c:pt idx="103">
                  <c:v>139268</c:v>
                </c:pt>
                <c:pt idx="104">
                  <c:v>140993</c:v>
                </c:pt>
                <c:pt idx="105">
                  <c:v>139063</c:v>
                </c:pt>
                <c:pt idx="106">
                  <c:v>135300</c:v>
                </c:pt>
                <c:pt idx="107">
                  <c:v>132496</c:v>
                </c:pt>
                <c:pt idx="108">
                  <c:v>135536</c:v>
                </c:pt>
                <c:pt idx="109">
                  <c:v>143098</c:v>
                </c:pt>
                <c:pt idx="110">
                  <c:v>150917</c:v>
                </c:pt>
                <c:pt idx="111">
                  <c:v>159072</c:v>
                </c:pt>
                <c:pt idx="112">
                  <c:v>174043</c:v>
                </c:pt>
                <c:pt idx="113">
                  <c:v>183500</c:v>
                </c:pt>
                <c:pt idx="114">
                  <c:v>188066</c:v>
                </c:pt>
                <c:pt idx="115">
                  <c:v>199273</c:v>
                </c:pt>
                <c:pt idx="116">
                  <c:v>206081</c:v>
                </c:pt>
                <c:pt idx="117">
                  <c:v>209866</c:v>
                </c:pt>
                <c:pt idx="118">
                  <c:v>213790</c:v>
                </c:pt>
                <c:pt idx="119">
                  <c:v>216629</c:v>
                </c:pt>
              </c:numCache>
            </c:numRef>
          </c:val>
          <c:extLst xmlns:c16r2="http://schemas.microsoft.com/office/drawing/2015/06/chart">
            <c:ext xmlns:c16="http://schemas.microsoft.com/office/drawing/2014/chart" uri="{C3380CC4-5D6E-409C-BE32-E72D297353CC}">
              <c16:uniqueId val="{00000001-6112-40C3-B145-7DF64339E5E8}"/>
            </c:ext>
          </c:extLst>
        </c:ser>
        <c:gapWidth val="97"/>
        <c:axId val="174027904"/>
        <c:axId val="174029440"/>
      </c:barChart>
      <c:catAx>
        <c:axId val="174027904"/>
        <c:scaling>
          <c:orientation val="minMax"/>
        </c:scaling>
        <c:axPos val="b"/>
        <c:majorGridlines>
          <c:spPr>
            <a:ln w="3175">
              <a:solidFill>
                <a:srgbClr val="000000"/>
              </a:solidFill>
              <a:prstDash val="sysDash"/>
            </a:ln>
          </c:spPr>
        </c:majorGridlines>
        <c:numFmt formatCode="General" sourceLinked="1"/>
        <c:tickLblPos val="nextTo"/>
        <c:spPr>
          <a:ln w="3175">
            <a:solidFill>
              <a:srgbClr val="000000"/>
            </a:solidFill>
            <a:prstDash val="solid"/>
          </a:ln>
        </c:spPr>
        <c:txPr>
          <a:bodyPr rot="60000" vert="horz"/>
          <a:lstStyle/>
          <a:p>
            <a:pPr>
              <a:defRPr sz="900" b="1" i="0" u="none" strike="noStrike" baseline="0">
                <a:solidFill>
                  <a:srgbClr val="000000"/>
                </a:solidFill>
                <a:latin typeface="Arial"/>
                <a:ea typeface="Arial"/>
                <a:cs typeface="Arial"/>
              </a:defRPr>
            </a:pPr>
            <a:endParaRPr lang="cs-CZ"/>
          </a:p>
        </c:txPr>
        <c:crossAx val="174029440"/>
        <c:crosses val="autoZero"/>
        <c:lblAlgn val="ctr"/>
        <c:lblOffset val="100"/>
        <c:tickLblSkip val="2"/>
        <c:tickMarkSkip val="12"/>
      </c:catAx>
      <c:valAx>
        <c:axId val="174029440"/>
        <c:scaling>
          <c:orientation val="minMax"/>
        </c:scaling>
        <c:axPos val="l"/>
        <c:majorGridlines>
          <c:spPr>
            <a:ln w="3175">
              <a:solidFill>
                <a:srgbClr val="000000"/>
              </a:solidFill>
              <a:prstDash val="sysDash"/>
            </a:ln>
          </c:spPr>
        </c:majorGridlines>
        <c:title>
          <c:tx>
            <c:rich>
              <a:bodyPr/>
              <a:lstStyle/>
              <a:p>
                <a:pPr>
                  <a:defRPr sz="700" b="1" i="0" u="none" strike="noStrike" baseline="0">
                    <a:solidFill>
                      <a:srgbClr val="000000"/>
                    </a:solidFill>
                    <a:latin typeface="Arial"/>
                    <a:ea typeface="Arial"/>
                    <a:cs typeface="Arial"/>
                  </a:defRPr>
                </a:pPr>
                <a:r>
                  <a:rPr lang="cs-CZ"/>
                  <a:t>počet míst (v tis.)</a:t>
                </a:r>
              </a:p>
            </c:rich>
          </c:tx>
          <c:layout>
            <c:manualLayout>
              <c:xMode val="edge"/>
              <c:yMode val="edge"/>
              <c:x val="9.65250965250972E-3"/>
              <c:y val="0.35548242516197226"/>
            </c:manualLayout>
          </c:layout>
          <c:spPr>
            <a:noFill/>
            <a:ln w="25400">
              <a:noFill/>
            </a:ln>
          </c:spPr>
        </c:title>
        <c:numFmt formatCode="#,##0" sourceLinked="0"/>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cs-CZ"/>
          </a:p>
        </c:txPr>
        <c:crossAx val="174027904"/>
        <c:crosses val="autoZero"/>
        <c:crossBetween val="between"/>
        <c:dispUnits>
          <c:builtInUnit val="thousands"/>
        </c:dispUnits>
      </c:valAx>
      <c:spPr>
        <a:solidFill>
          <a:srgbClr val="FFFFFF"/>
        </a:solidFill>
        <a:ln w="12700">
          <a:solidFill>
            <a:srgbClr val="808080"/>
          </a:solidFill>
          <a:prstDash val="solid"/>
        </a:ln>
      </c:spPr>
    </c:plotArea>
    <c:plotVisOnly val="1"/>
    <c:dispBlanksAs val="gap"/>
  </c:chart>
  <c:spPr>
    <a:solidFill>
      <a:srgbClr val="FFFFFF"/>
    </a:solidFill>
    <a:ln w="9525">
      <a:solidFill>
        <a:schemeClr val="tx1"/>
      </a:solidFill>
    </a:ln>
  </c:spPr>
  <c:txPr>
    <a:bodyPr/>
    <a:lstStyle/>
    <a:p>
      <a:pPr>
        <a:defRPr sz="1000" b="0" i="0" u="none" strike="noStrike" baseline="0">
          <a:solidFill>
            <a:srgbClr val="000000"/>
          </a:solidFill>
          <a:latin typeface="Arial"/>
          <a:ea typeface="Arial"/>
          <a:cs typeface="Arial"/>
        </a:defRPr>
      </a:pPr>
      <a:endParaRPr lang="cs-CZ"/>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400"/>
              <a:t>Počet</a:t>
            </a:r>
            <a:r>
              <a:rPr lang="cs-CZ" sz="1400" baseline="0"/>
              <a:t> uchazečů o zaměstnání na 1 VPM </a:t>
            </a:r>
          </a:p>
          <a:p>
            <a:pPr>
              <a:defRPr/>
            </a:pPr>
            <a:r>
              <a:rPr lang="cs-CZ" sz="1200" baseline="0"/>
              <a:t>v letech 2008-2017 (k 31.12.)</a:t>
            </a:r>
            <a:endParaRPr lang="cs-CZ" sz="1200"/>
          </a:p>
        </c:rich>
      </c:tx>
      <c:layout>
        <c:manualLayout>
          <c:xMode val="edge"/>
          <c:yMode val="edge"/>
          <c:x val="0.2386208791963832"/>
          <c:y val="3.2633268667503545E-2"/>
        </c:manualLayout>
      </c:layout>
    </c:title>
    <c:plotArea>
      <c:layout>
        <c:manualLayout>
          <c:layoutTarget val="inner"/>
          <c:xMode val="edge"/>
          <c:yMode val="edge"/>
          <c:x val="9.6618341555473178E-2"/>
          <c:y val="0.2168280269314162"/>
          <c:w val="0.87282607998607531"/>
          <c:h val="0.68934565787972191"/>
        </c:manualLayout>
      </c:layout>
      <c:barChart>
        <c:barDir val="col"/>
        <c:grouping val="clustered"/>
        <c:ser>
          <c:idx val="0"/>
          <c:order val="0"/>
          <c:spPr>
            <a:gradFill>
              <a:gsLst>
                <a:gs pos="0">
                  <a:schemeClr val="accent1">
                    <a:tint val="66000"/>
                    <a:satMod val="160000"/>
                  </a:schemeClr>
                </a:gs>
                <a:gs pos="100000">
                  <a:schemeClr val="tx2">
                    <a:lumMod val="60000"/>
                    <a:lumOff val="40000"/>
                  </a:schemeClr>
                </a:gs>
                <a:gs pos="100000">
                  <a:schemeClr val="accent1">
                    <a:tint val="23500"/>
                    <a:satMod val="160000"/>
                  </a:schemeClr>
                </a:gs>
              </a:gsLst>
              <a:lin ang="5400000" scaled="0"/>
            </a:gradFill>
          </c:spPr>
          <c:dLbls>
            <c:spPr>
              <a:noFill/>
              <a:ln>
                <a:noFill/>
              </a:ln>
              <a:effectLst/>
            </c:spPr>
            <c:txPr>
              <a:bodyPr/>
              <a:lstStyle/>
              <a:p>
                <a:pPr>
                  <a:defRPr b="1"/>
                </a:pPr>
                <a:endParaRPr lang="cs-CZ"/>
              </a:p>
            </c:txPr>
            <c:showVal val="1"/>
            <c:extLst xmlns:c16r2="http://schemas.microsoft.com/office/drawing/2015/06/chart">
              <c:ext xmlns:c15="http://schemas.microsoft.com/office/drawing/2012/chart" uri="{CE6537A1-D6FC-4f65-9D91-7224C49458BB}">
                <c15:showLeaderLines val="0"/>
              </c:ext>
            </c:extLst>
          </c:dLbls>
          <c:cat>
            <c:numRef>
              <c:f>'graf 6 UCHVM rok'!$D$2:$M$2</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'graf 6 UCHVM rok'!$D$3:$M$3</c:f>
              <c:numCache>
                <c:formatCode>0.0</c:formatCode>
                <c:ptCount val="10"/>
                <c:pt idx="0">
                  <c:v>3.8628562655583449</c:v>
                </c:pt>
                <c:pt idx="1">
                  <c:v>17.432534678436312</c:v>
                </c:pt>
                <c:pt idx="2">
                  <c:v>18.230399636399046</c:v>
                </c:pt>
                <c:pt idx="3">
                  <c:v>14.208892242342946</c:v>
                </c:pt>
                <c:pt idx="4">
                  <c:v>15.628091594302578</c:v>
                </c:pt>
                <c:pt idx="5">
                  <c:v>17</c:v>
                </c:pt>
                <c:pt idx="6">
                  <c:v>9.2000000000000011</c:v>
                </c:pt>
                <c:pt idx="7" formatCode="General">
                  <c:v>4.4000000000000004</c:v>
                </c:pt>
                <c:pt idx="8" formatCode="General">
                  <c:v>2.9</c:v>
                </c:pt>
                <c:pt idx="9" formatCode="General">
                  <c:v>1.3</c:v>
                </c:pt>
              </c:numCache>
            </c:numRef>
          </c:val>
          <c:extLst xmlns:c16r2="http://schemas.microsoft.com/office/drawing/2015/06/chart">
            <c:ext xmlns:c16="http://schemas.microsoft.com/office/drawing/2014/chart" uri="{C3380CC4-5D6E-409C-BE32-E72D297353CC}">
              <c16:uniqueId val="{00000000-4AB1-4B89-A02A-B666DF41484D}"/>
            </c:ext>
          </c:extLst>
        </c:ser>
        <c:axId val="174165376"/>
        <c:axId val="174175360"/>
      </c:barChart>
      <c:catAx>
        <c:axId val="174165376"/>
        <c:scaling>
          <c:orientation val="minMax"/>
        </c:scaling>
        <c:axPos val="b"/>
        <c:numFmt formatCode="General" sourceLinked="1"/>
        <c:majorTickMark val="none"/>
        <c:tickLblPos val="nextTo"/>
        <c:crossAx val="174175360"/>
        <c:crosses val="autoZero"/>
        <c:auto val="1"/>
        <c:lblAlgn val="ctr"/>
        <c:lblOffset val="100"/>
      </c:catAx>
      <c:valAx>
        <c:axId val="174175360"/>
        <c:scaling>
          <c:orientation val="minMax"/>
        </c:scaling>
        <c:axPos val="l"/>
        <c:majorGridlines/>
        <c:title>
          <c:tx>
            <c:rich>
              <a:bodyPr rot="-5400000" vert="horz"/>
              <a:lstStyle/>
              <a:p>
                <a:pPr>
                  <a:defRPr/>
                </a:pPr>
                <a:r>
                  <a:rPr lang="en-US" sz="900" b="0"/>
                  <a:t>UoZ/VPM</a:t>
                </a:r>
              </a:p>
            </c:rich>
          </c:tx>
        </c:title>
        <c:numFmt formatCode="0.0" sourceLinked="1"/>
        <c:majorTickMark val="none"/>
        <c:tickLblPos val="nextTo"/>
        <c:txPr>
          <a:bodyPr/>
          <a:lstStyle/>
          <a:p>
            <a:pPr>
              <a:defRPr sz="800"/>
            </a:pPr>
            <a:endParaRPr lang="cs-CZ"/>
          </a:p>
        </c:txPr>
        <c:crossAx val="174165376"/>
        <c:crosses val="autoZero"/>
        <c:crossBetween val="between"/>
        <c:majorUnit val="4"/>
      </c:valAx>
      <c:spPr>
        <a:ln w="0">
          <a:solidFill>
            <a:schemeClr val="tx1"/>
          </a:solidFill>
        </a:ln>
      </c:spPr>
    </c:plotArea>
    <c:plotVisOnly val="1"/>
    <c:dispBlanksAs val="gap"/>
  </c:chart>
  <c:spPr>
    <a:ln>
      <a:solidFill>
        <a:schemeClr val="tx1"/>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latin typeface="+mn-lt"/>
              </a:defRPr>
            </a:pPr>
            <a:r>
              <a:rPr lang="cs-CZ" sz="1400">
                <a:latin typeface="+mn-lt"/>
                <a:cs typeface="Arial" panose="020B0604020202020204" pitchFamily="34" charset="0"/>
              </a:rPr>
              <a:t>Struktura volných pracovních míst </a:t>
            </a:r>
            <a:r>
              <a:rPr lang="cs-CZ" sz="1200">
                <a:latin typeface="+mn-lt"/>
                <a:cs typeface="Arial" panose="020B0604020202020204" pitchFamily="34" charset="0"/>
              </a:rPr>
              <a:t>k 31. 12. 2017</a:t>
            </a:r>
          </a:p>
        </c:rich>
      </c:tx>
    </c:title>
    <c:view3D>
      <c:rotX val="20"/>
      <c:rotY val="130"/>
      <c:depthPercent val="70"/>
      <c:perspective val="10"/>
    </c:view3D>
    <c:plotArea>
      <c:layout>
        <c:manualLayout>
          <c:layoutTarget val="inner"/>
          <c:xMode val="edge"/>
          <c:yMode val="edge"/>
          <c:x val="0.15702500150444168"/>
          <c:y val="0.27640537470129667"/>
          <c:w val="0.68977425105274792"/>
          <c:h val="0.54439261039868225"/>
        </c:manualLayout>
      </c:layout>
      <c:pie3DChart>
        <c:varyColors val="1"/>
        <c:ser>
          <c:idx val="0"/>
          <c:order val="0"/>
          <c:dLbls>
            <c:dLbl>
              <c:idx val="0"/>
              <c:layout>
                <c:manualLayout>
                  <c:x val="6.2474477167222424E-2"/>
                  <c:y val="0.1077161967657269"/>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67A-443C-B0CD-3377271D0E6B}"/>
                </c:ext>
              </c:extLst>
            </c:dLbl>
            <c:dLbl>
              <c:idx val="1"/>
              <c:layout>
                <c:manualLayout>
                  <c:x val="3.7848703075816607E-2"/>
                  <c:y val="0.12618169503005666"/>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67A-443C-B0CD-3377271D0E6B}"/>
                </c:ext>
              </c:extLst>
            </c:dLbl>
            <c:dLbl>
              <c:idx val="2"/>
              <c:layout>
                <c:manualLayout>
                  <c:x val="-4.2359072071279015E-2"/>
                  <c:y val="4.8666029038540566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67A-443C-B0CD-3377271D0E6B}"/>
                </c:ext>
              </c:extLst>
            </c:dLbl>
            <c:dLbl>
              <c:idx val="3"/>
              <c:layout>
                <c:manualLayout>
                  <c:x val="-1.0154613694951133E-2"/>
                  <c:y val="5.8817469572010769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67A-443C-B0CD-3377271D0E6B}"/>
                </c:ext>
              </c:extLst>
            </c:dLbl>
            <c:dLbl>
              <c:idx val="4"/>
              <c:layout>
                <c:manualLayout>
                  <c:x val="-2.749479268828053E-2"/>
                  <c:y val="7.3074930149860329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67A-443C-B0CD-3377271D0E6B}"/>
                </c:ext>
              </c:extLst>
            </c:dLbl>
            <c:dLbl>
              <c:idx val="5"/>
              <c:layout>
                <c:manualLayout>
                  <c:x val="-6.1475233745248069E-2"/>
                  <c:y val="9.6371179409025492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67A-443C-B0CD-3377271D0E6B}"/>
                </c:ext>
              </c:extLst>
            </c:dLbl>
            <c:dLbl>
              <c:idx val="6"/>
              <c:layout>
                <c:manualLayout>
                  <c:x val="0"/>
                  <c:y val="-0.28352383371433421"/>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67A-443C-B0CD-3377271D0E6B}"/>
                </c:ext>
              </c:extLst>
            </c:dLbl>
            <c:dLbl>
              <c:idx val="7"/>
              <c:layout>
                <c:manualLayout>
                  <c:x val="3.1426627227152115E-2"/>
                  <c:y val="-3.0231832961178377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67A-443C-B0CD-3377271D0E6B}"/>
                </c:ext>
              </c:extLst>
            </c:dLbl>
            <c:dLbl>
              <c:idx val="8"/>
              <c:layout>
                <c:manualLayout>
                  <c:x val="-2.970578272130453E-2"/>
                  <c:y val="-0.16766485525815839"/>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67A-443C-B0CD-3377271D0E6B}"/>
                </c:ext>
              </c:extLst>
            </c:dLbl>
            <c:dLbl>
              <c:idx val="9"/>
              <c:layout>
                <c:manualLayout>
                  <c:x val="5.4357609213439101E-2"/>
                  <c:y val="-3.6269917873169098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67A-443C-B0CD-3377271D0E6B}"/>
                </c:ext>
              </c:extLst>
            </c:dLbl>
            <c:numFmt formatCode="0.0%" sourceLinked="0"/>
            <c:spPr>
              <a:noFill/>
              <a:ln>
                <a:noFill/>
              </a:ln>
              <a:effectLst/>
            </c:spPr>
            <c:txPr>
              <a:bodyPr/>
              <a:lstStyle/>
              <a:p>
                <a:pPr>
                  <a:defRPr sz="800" b="0">
                    <a:latin typeface="Arial" panose="020B0604020202020204" pitchFamily="34" charset="0"/>
                    <a:cs typeface="Arial" panose="020B0604020202020204" pitchFamily="34" charset="0"/>
                  </a:defRPr>
                </a:pPr>
                <a:endParaRPr lang="cs-CZ"/>
              </a:p>
            </c:txPr>
            <c:showCatName val="1"/>
            <c:showPercent val="1"/>
            <c:showLeaderLines val="1"/>
            <c:extLst xmlns:c16r2="http://schemas.microsoft.com/office/drawing/2015/06/chart">
              <c:ext xmlns:c15="http://schemas.microsoft.com/office/drawing/2012/chart" uri="{CE6537A1-D6FC-4f65-9D91-7224C49458BB}"/>
            </c:extLst>
          </c:dLbls>
          <c:cat>
            <c:strRef>
              <c:f>podíly!$A$122:$A$131</c:f>
              <c:strCache>
                <c:ptCount val="10"/>
                <c:pt idx="0">
                  <c:v>Zákonodárci a říd. prac.</c:v>
                </c:pt>
                <c:pt idx="1">
                  <c:v>Specialisté</c:v>
                </c:pt>
                <c:pt idx="2">
                  <c:v>Techn. a odb. pracovníci </c:v>
                </c:pt>
                <c:pt idx="3">
                  <c:v>Úředníci </c:v>
                </c:pt>
                <c:pt idx="4">
                  <c:v>Prac. ve službách a prodeji </c:v>
                </c:pt>
                <c:pt idx="5">
                  <c:v>Kval. dělníci v zemědělství</c:v>
                </c:pt>
                <c:pt idx="6">
                  <c:v>Řemeslníci a opraváři </c:v>
                </c:pt>
                <c:pt idx="7">
                  <c:v>Obsluha strojů a zařízení </c:v>
                </c:pt>
                <c:pt idx="8">
                  <c:v>Pomoc. a nekval. pracovníci</c:v>
                </c:pt>
                <c:pt idx="9">
                  <c:v>Zaměstnanci v ozbrojených silách</c:v>
                </c:pt>
              </c:strCache>
            </c:strRef>
          </c:cat>
          <c:val>
            <c:numRef>
              <c:f>podíly!$DH$122:$DH$131</c:f>
              <c:numCache>
                <c:formatCode>0.0</c:formatCode>
                <c:ptCount val="10"/>
                <c:pt idx="0">
                  <c:v>0.79213771009421641</c:v>
                </c:pt>
                <c:pt idx="1">
                  <c:v>6.5868374040410114</c:v>
                </c:pt>
                <c:pt idx="2">
                  <c:v>5.747152966592652</c:v>
                </c:pt>
                <c:pt idx="3">
                  <c:v>3.0771503353659946</c:v>
                </c:pt>
                <c:pt idx="4">
                  <c:v>11.805898563904186</c:v>
                </c:pt>
                <c:pt idx="5">
                  <c:v>0.78059724228981364</c:v>
                </c:pt>
                <c:pt idx="6">
                  <c:v>20.115497001786473</c:v>
                </c:pt>
                <c:pt idx="7">
                  <c:v>27.194881571719392</c:v>
                </c:pt>
                <c:pt idx="8">
                  <c:v>23.724432093579324</c:v>
                </c:pt>
                <c:pt idx="9">
                  <c:v>0.17541511062692444</c:v>
                </c:pt>
              </c:numCache>
            </c:numRef>
          </c:val>
          <c:extLst xmlns:c16r2="http://schemas.microsoft.com/office/drawing/2015/06/chart">
            <c:ext xmlns:c16="http://schemas.microsoft.com/office/drawing/2014/chart" uri="{C3380CC4-5D6E-409C-BE32-E72D297353CC}">
              <c16:uniqueId val="{0000000A-367A-443C-B0CD-3377271D0E6B}"/>
            </c:ext>
          </c:extLst>
        </c:ser>
      </c:pie3DChart>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400"/>
              <a:t>Struktura volných pracovních míst</a:t>
            </a:r>
          </a:p>
          <a:p>
            <a:pPr>
              <a:defRPr/>
            </a:pPr>
            <a:r>
              <a:rPr lang="cs-CZ" sz="1200"/>
              <a:t>podle kategorií zaměstnání </a:t>
            </a:r>
          </a:p>
        </c:rich>
      </c:tx>
    </c:title>
    <c:plotArea>
      <c:layout>
        <c:manualLayout>
          <c:layoutTarget val="inner"/>
          <c:xMode val="edge"/>
          <c:yMode val="edge"/>
          <c:x val="8.9094552836067972E-2"/>
          <c:y val="0.19480351414406533"/>
          <c:w val="0.88034978386322382"/>
          <c:h val="0.62293744531933515"/>
        </c:manualLayout>
      </c:layout>
      <c:barChart>
        <c:barDir val="col"/>
        <c:grouping val="clustered"/>
        <c:ser>
          <c:idx val="1"/>
          <c:order val="0"/>
          <c:tx>
            <c:strRef>
              <c:f>celkem!$CV$4</c:f>
              <c:strCache>
                <c:ptCount val="1"/>
                <c:pt idx="0">
                  <c:v>31.12.16</c:v>
                </c:pt>
              </c:strCache>
            </c:strRef>
          </c:tx>
          <c:cat>
            <c:strRef>
              <c:f>celkem!$A$176:$A$184</c:f>
              <c:strCache>
                <c:ptCount val="9"/>
                <c:pt idx="0">
                  <c:v>Zákonodárci a říd. prac.</c:v>
                </c:pt>
                <c:pt idx="1">
                  <c:v>Specialisté</c:v>
                </c:pt>
                <c:pt idx="2">
                  <c:v>Techn. a odb. pracovníci </c:v>
                </c:pt>
                <c:pt idx="3">
                  <c:v>Úředníci </c:v>
                </c:pt>
                <c:pt idx="4">
                  <c:v>Prac. ve službách a prodeji </c:v>
                </c:pt>
                <c:pt idx="5">
                  <c:v>Kval. dělníci v zemědělství</c:v>
                </c:pt>
                <c:pt idx="6">
                  <c:v>Řemeslníci a opraváři </c:v>
                </c:pt>
                <c:pt idx="7">
                  <c:v>Obsluha strojů a zařízení </c:v>
                </c:pt>
                <c:pt idx="8">
                  <c:v>Pomoc. a nekval. pracovníci</c:v>
                </c:pt>
              </c:strCache>
            </c:strRef>
          </c:cat>
          <c:val>
            <c:numRef>
              <c:f>celkem!$CV$135:$CV$143</c:f>
              <c:numCache>
                <c:formatCode>#,##0</c:formatCode>
                <c:ptCount val="9"/>
                <c:pt idx="0">
                  <c:v>1356</c:v>
                </c:pt>
                <c:pt idx="1">
                  <c:v>9868</c:v>
                </c:pt>
                <c:pt idx="2">
                  <c:v>10943</c:v>
                </c:pt>
                <c:pt idx="3">
                  <c:v>4704</c:v>
                </c:pt>
                <c:pt idx="4">
                  <c:v>19488</c:v>
                </c:pt>
                <c:pt idx="5">
                  <c:v>964</c:v>
                </c:pt>
                <c:pt idx="6">
                  <c:v>28547</c:v>
                </c:pt>
                <c:pt idx="7">
                  <c:v>29963</c:v>
                </c:pt>
                <c:pt idx="8">
                  <c:v>26224</c:v>
                </c:pt>
              </c:numCache>
            </c:numRef>
          </c:val>
          <c:extLst xmlns:c16r2="http://schemas.microsoft.com/office/drawing/2015/06/chart">
            <c:ext xmlns:c16="http://schemas.microsoft.com/office/drawing/2014/chart" uri="{C3380CC4-5D6E-409C-BE32-E72D297353CC}">
              <c16:uniqueId val="{00000000-6971-44E7-B059-13418B35C537}"/>
            </c:ext>
          </c:extLst>
        </c:ser>
        <c:ser>
          <c:idx val="0"/>
          <c:order val="1"/>
          <c:tx>
            <c:strRef>
              <c:f>celkem!$DH$4</c:f>
              <c:strCache>
                <c:ptCount val="1"/>
                <c:pt idx="0">
                  <c:v>31.12.17</c:v>
                </c:pt>
              </c:strCache>
            </c:strRef>
          </c:tx>
          <c:cat>
            <c:strRef>
              <c:f>celkem!$A$176:$A$184</c:f>
              <c:strCache>
                <c:ptCount val="9"/>
                <c:pt idx="0">
                  <c:v>Zákonodárci a říd. prac.</c:v>
                </c:pt>
                <c:pt idx="1">
                  <c:v>Specialisté</c:v>
                </c:pt>
                <c:pt idx="2">
                  <c:v>Techn. a odb. pracovníci </c:v>
                </c:pt>
                <c:pt idx="3">
                  <c:v>Úředníci </c:v>
                </c:pt>
                <c:pt idx="4">
                  <c:v>Prac. ve službách a prodeji </c:v>
                </c:pt>
                <c:pt idx="5">
                  <c:v>Kval. dělníci v zemědělství</c:v>
                </c:pt>
                <c:pt idx="6">
                  <c:v>Řemeslníci a opraváři </c:v>
                </c:pt>
                <c:pt idx="7">
                  <c:v>Obsluha strojů a zařízení </c:v>
                </c:pt>
                <c:pt idx="8">
                  <c:v>Pomoc. a nekval. pracovníci</c:v>
                </c:pt>
              </c:strCache>
            </c:strRef>
          </c:cat>
          <c:val>
            <c:numRef>
              <c:f>celkem!$DH$135:$DH$143</c:f>
              <c:numCache>
                <c:formatCode>#,##0</c:formatCode>
                <c:ptCount val="9"/>
                <c:pt idx="0">
                  <c:v>1716</c:v>
                </c:pt>
                <c:pt idx="1">
                  <c:v>14269</c:v>
                </c:pt>
                <c:pt idx="2">
                  <c:v>12450</c:v>
                </c:pt>
                <c:pt idx="3">
                  <c:v>6666</c:v>
                </c:pt>
                <c:pt idx="4">
                  <c:v>25575</c:v>
                </c:pt>
                <c:pt idx="5">
                  <c:v>1691</c:v>
                </c:pt>
                <c:pt idx="6">
                  <c:v>43576</c:v>
                </c:pt>
                <c:pt idx="7">
                  <c:v>58912</c:v>
                </c:pt>
                <c:pt idx="8">
                  <c:v>51394</c:v>
                </c:pt>
              </c:numCache>
            </c:numRef>
          </c:val>
          <c:extLst xmlns:c16r2="http://schemas.microsoft.com/office/drawing/2015/06/chart">
            <c:ext xmlns:c16="http://schemas.microsoft.com/office/drawing/2014/chart" uri="{C3380CC4-5D6E-409C-BE32-E72D297353CC}">
              <c16:uniqueId val="{00000001-6971-44E7-B059-13418B35C537}"/>
            </c:ext>
          </c:extLst>
        </c:ser>
        <c:gapWidth val="68"/>
        <c:axId val="174122496"/>
        <c:axId val="174124032"/>
      </c:barChart>
      <c:catAx>
        <c:axId val="174122496"/>
        <c:scaling>
          <c:orientation val="minMax"/>
        </c:scaling>
        <c:axPos val="b"/>
        <c:numFmt formatCode="General" sourceLinked="0"/>
        <c:maj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74124032"/>
        <c:crosses val="autoZero"/>
        <c:auto val="1"/>
        <c:lblAlgn val="ctr"/>
        <c:lblOffset val="100"/>
        <c:tickLblSkip val="1"/>
      </c:catAx>
      <c:valAx>
        <c:axId val="174124032"/>
        <c:scaling>
          <c:orientation val="minMax"/>
          <c:max val="60000"/>
          <c:min val="0"/>
        </c:scaling>
        <c:axPos val="l"/>
        <c:majorGridlines/>
        <c:numFmt formatCode="#,##0" sourceLinked="1"/>
        <c:majorTickMark val="none"/>
        <c:tickLblPos val="nextTo"/>
        <c:spPr>
          <a:ln w="9525">
            <a:noFill/>
          </a:ln>
        </c:spPr>
        <c:txPr>
          <a:bodyPr/>
          <a:lstStyle/>
          <a:p>
            <a:pPr>
              <a:defRPr sz="1000"/>
            </a:pPr>
            <a:endParaRPr lang="cs-CZ"/>
          </a:p>
        </c:txPr>
        <c:crossAx val="174122496"/>
        <c:crosses val="autoZero"/>
        <c:crossBetween val="between"/>
        <c:majorUnit val="10000"/>
        <c:dispUnits>
          <c:builtInUnit val="thousands"/>
          <c:dispUnitsLbl>
            <c:layout>
              <c:manualLayout>
                <c:xMode val="edge"/>
                <c:yMode val="edge"/>
                <c:x val="9.1385128583065089E-3"/>
                <c:y val="0.42431434306005889"/>
              </c:manualLayout>
            </c:layout>
            <c:tx>
              <c:rich>
                <a:bodyPr/>
                <a:lstStyle/>
                <a:p>
                  <a:pPr>
                    <a:defRPr/>
                  </a:pPr>
                  <a:r>
                    <a:rPr lang="cs-CZ" sz="900" b="0">
                      <a:latin typeface="Arial" panose="020B0604020202020204" pitchFamily="34" charset="0"/>
                      <a:cs typeface="Arial" panose="020B0604020202020204" pitchFamily="34" charset="0"/>
                    </a:rPr>
                    <a:t>Počet VPM</a:t>
                  </a:r>
                  <a:r>
                    <a:rPr lang="cs-CZ" sz="900" b="0" baseline="0">
                      <a:latin typeface="Arial" panose="020B0604020202020204" pitchFamily="34" charset="0"/>
                      <a:cs typeface="Arial" panose="020B0604020202020204" pitchFamily="34" charset="0"/>
                    </a:rPr>
                    <a:t> v tis</a:t>
                  </a:r>
                  <a:r>
                    <a:rPr lang="cs-CZ" baseline="0"/>
                    <a:t>.</a:t>
                  </a:r>
                  <a:endParaRPr lang="cs-CZ"/>
                </a:p>
              </c:rich>
            </c:tx>
          </c:dispUnitsLbl>
        </c:dispUnits>
      </c:valAx>
      <c:spPr>
        <a:ln>
          <a:solidFill>
            <a:schemeClr val="tx2"/>
          </a:solidFill>
        </a:ln>
      </c:spPr>
    </c:plotArea>
    <c:legend>
      <c:legendPos val="b"/>
      <c:layout>
        <c:manualLayout>
          <c:xMode val="edge"/>
          <c:yMode val="edge"/>
          <c:x val="0.15345133328922131"/>
          <c:y val="0.39776425674063481"/>
          <c:w val="0.31361728518112458"/>
          <c:h val="8.3717191601049901E-2"/>
        </c:manualLayout>
      </c:layout>
    </c:legend>
    <c:plotVisOnly val="1"/>
    <c:dispBlanksAs val="gap"/>
  </c:chart>
  <c:spPr>
    <a:ln>
      <a:solidFill>
        <a:schemeClr val="tx2"/>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sz="1400"/>
              <a:t>Počet uchazečů o zaměstnání na 1 VPM</a:t>
            </a:r>
          </a:p>
          <a:p>
            <a:pPr>
              <a:defRPr/>
            </a:pPr>
            <a:r>
              <a:rPr lang="cs-CZ" sz="1200"/>
              <a:t>podle kategorií zaměstnání </a:t>
            </a:r>
          </a:p>
        </c:rich>
      </c:tx>
    </c:title>
    <c:plotArea>
      <c:layout>
        <c:manualLayout>
          <c:layoutTarget val="inner"/>
          <c:xMode val="edge"/>
          <c:yMode val="edge"/>
          <c:x val="8.1181576440875911E-2"/>
          <c:y val="0.19480351414406533"/>
          <c:w val="0.88826293265065981"/>
          <c:h val="0.62293744531933515"/>
        </c:manualLayout>
      </c:layout>
      <c:barChart>
        <c:barDir val="col"/>
        <c:grouping val="clustered"/>
        <c:ser>
          <c:idx val="1"/>
          <c:order val="0"/>
          <c:tx>
            <c:strRef>
              <c:f>celkem!$CV$4</c:f>
              <c:strCache>
                <c:ptCount val="1"/>
                <c:pt idx="0">
                  <c:v>31.12.16</c:v>
                </c:pt>
              </c:strCache>
            </c:strRef>
          </c:tx>
          <c:dLbls>
            <c:spPr>
              <a:noFill/>
              <a:ln>
                <a:noFill/>
              </a:ln>
              <a:effectLst/>
            </c:spPr>
            <c:txPr>
              <a:bodyPr/>
              <a:lstStyle/>
              <a:p>
                <a:pPr>
                  <a:defRPr sz="900"/>
                </a:pPr>
                <a:endParaRPr lang="cs-CZ"/>
              </a:p>
            </c:txPr>
            <c:showVal val="1"/>
            <c:extLst xmlns:c16r2="http://schemas.microsoft.com/office/drawing/2015/06/chart">
              <c:ext xmlns:c15="http://schemas.microsoft.com/office/drawing/2012/chart" uri="{CE6537A1-D6FC-4f65-9D91-7224C49458BB}">
                <c15:showLeaderLines val="0"/>
              </c:ext>
            </c:extLst>
          </c:dLbls>
          <c:cat>
            <c:strRef>
              <c:f>celkem!$A$176:$A$184</c:f>
              <c:strCache>
                <c:ptCount val="9"/>
                <c:pt idx="0">
                  <c:v>Zákonodárci a říd. prac.</c:v>
                </c:pt>
                <c:pt idx="1">
                  <c:v>Specialisté</c:v>
                </c:pt>
                <c:pt idx="2">
                  <c:v>Techn. a odb. pracovníci </c:v>
                </c:pt>
                <c:pt idx="3">
                  <c:v>Úředníci </c:v>
                </c:pt>
                <c:pt idx="4">
                  <c:v>Prac. ve službách a prodeji </c:v>
                </c:pt>
                <c:pt idx="5">
                  <c:v>Kval. dělníci v zemědělství</c:v>
                </c:pt>
                <c:pt idx="6">
                  <c:v>Řemeslníci a opraváři </c:v>
                </c:pt>
                <c:pt idx="7">
                  <c:v>Obsluha strojů a zařízení </c:v>
                </c:pt>
                <c:pt idx="8">
                  <c:v>Pomoc. a nekval. pracovníci</c:v>
                </c:pt>
              </c:strCache>
            </c:strRef>
          </c:cat>
          <c:val>
            <c:numRef>
              <c:f>celkem!$CV$176:$CV$184</c:f>
              <c:numCache>
                <c:formatCode>0.0</c:formatCode>
                <c:ptCount val="9"/>
                <c:pt idx="0">
                  <c:v>3.3178466076696167</c:v>
                </c:pt>
                <c:pt idx="1">
                  <c:v>1.8183015808674499</c:v>
                </c:pt>
                <c:pt idx="2">
                  <c:v>2.3327241158731593</c:v>
                </c:pt>
                <c:pt idx="3">
                  <c:v>9.2546768707483036</c:v>
                </c:pt>
                <c:pt idx="4">
                  <c:v>3.9716235632183907</c:v>
                </c:pt>
                <c:pt idx="5">
                  <c:v>5.1856846473029021</c:v>
                </c:pt>
                <c:pt idx="6">
                  <c:v>1.7307948295792899</c:v>
                </c:pt>
                <c:pt idx="7">
                  <c:v>1.2023829389580487</c:v>
                </c:pt>
                <c:pt idx="8">
                  <c:v>4.2881330079316671</c:v>
                </c:pt>
              </c:numCache>
            </c:numRef>
          </c:val>
          <c:extLst xmlns:c16r2="http://schemas.microsoft.com/office/drawing/2015/06/chart">
            <c:ext xmlns:c16="http://schemas.microsoft.com/office/drawing/2014/chart" uri="{C3380CC4-5D6E-409C-BE32-E72D297353CC}">
              <c16:uniqueId val="{00000000-4F0B-4EBA-81C6-63676833DC8F}"/>
            </c:ext>
          </c:extLst>
        </c:ser>
        <c:ser>
          <c:idx val="0"/>
          <c:order val="1"/>
          <c:tx>
            <c:strRef>
              <c:f>celkem!$DH$4</c:f>
              <c:strCache>
                <c:ptCount val="1"/>
                <c:pt idx="0">
                  <c:v>31.12.17</c:v>
                </c:pt>
              </c:strCache>
            </c:strRef>
          </c:tx>
          <c:dLbls>
            <c:spPr>
              <a:noFill/>
              <a:ln>
                <a:noFill/>
              </a:ln>
              <a:effectLst/>
            </c:spPr>
            <c:txPr>
              <a:bodyPr/>
              <a:lstStyle/>
              <a:p>
                <a:pPr>
                  <a:defRPr sz="900" b="1"/>
                </a:pPr>
                <a:endParaRPr lang="cs-CZ"/>
              </a:p>
            </c:txPr>
            <c:showVal val="1"/>
            <c:extLst xmlns:c16r2="http://schemas.microsoft.com/office/drawing/2015/06/chart">
              <c:ext xmlns:c15="http://schemas.microsoft.com/office/drawing/2012/chart" uri="{CE6537A1-D6FC-4f65-9D91-7224C49458BB}">
                <c15:showLeaderLines val="0"/>
              </c:ext>
            </c:extLst>
          </c:dLbls>
          <c:cat>
            <c:strRef>
              <c:f>celkem!$A$176:$A$184</c:f>
              <c:strCache>
                <c:ptCount val="9"/>
                <c:pt idx="0">
                  <c:v>Zákonodárci a říd. prac.</c:v>
                </c:pt>
                <c:pt idx="1">
                  <c:v>Specialisté</c:v>
                </c:pt>
                <c:pt idx="2">
                  <c:v>Techn. a odb. pracovníci </c:v>
                </c:pt>
                <c:pt idx="3">
                  <c:v>Úředníci </c:v>
                </c:pt>
                <c:pt idx="4">
                  <c:v>Prac. ve službách a prodeji </c:v>
                </c:pt>
                <c:pt idx="5">
                  <c:v>Kval. dělníci v zemědělství</c:v>
                </c:pt>
                <c:pt idx="6">
                  <c:v>Řemeslníci a opraváři </c:v>
                </c:pt>
                <c:pt idx="7">
                  <c:v>Obsluha strojů a zařízení </c:v>
                </c:pt>
                <c:pt idx="8">
                  <c:v>Pomoc. a nekval. pracovníci</c:v>
                </c:pt>
              </c:strCache>
            </c:strRef>
          </c:cat>
          <c:val>
            <c:numRef>
              <c:f>celkem!$DH$176:$DH$184</c:f>
              <c:numCache>
                <c:formatCode>0.0</c:formatCode>
                <c:ptCount val="9"/>
                <c:pt idx="0">
                  <c:v>2.0769230769230771</c:v>
                </c:pt>
                <c:pt idx="1">
                  <c:v>0.930058168056626</c:v>
                </c:pt>
                <c:pt idx="2">
                  <c:v>1.4919678714859437</c:v>
                </c:pt>
                <c:pt idx="3">
                  <c:v>4.7284728472847286</c:v>
                </c:pt>
                <c:pt idx="4">
                  <c:v>2.1788856304985327</c:v>
                </c:pt>
                <c:pt idx="5">
                  <c:v>2.1537551744529866</c:v>
                </c:pt>
                <c:pt idx="6">
                  <c:v>0.77457774921975397</c:v>
                </c:pt>
                <c:pt idx="7">
                  <c:v>0.46070410103204795</c:v>
                </c:pt>
                <c:pt idx="8">
                  <c:v>1.6721018017667442</c:v>
                </c:pt>
              </c:numCache>
            </c:numRef>
          </c:val>
          <c:extLst xmlns:c16r2="http://schemas.microsoft.com/office/drawing/2015/06/chart">
            <c:ext xmlns:c16="http://schemas.microsoft.com/office/drawing/2014/chart" uri="{C3380CC4-5D6E-409C-BE32-E72D297353CC}">
              <c16:uniqueId val="{00000001-4F0B-4EBA-81C6-63676833DC8F}"/>
            </c:ext>
          </c:extLst>
        </c:ser>
        <c:gapWidth val="68"/>
        <c:axId val="174441984"/>
        <c:axId val="174443520"/>
      </c:barChart>
      <c:catAx>
        <c:axId val="174441984"/>
        <c:scaling>
          <c:orientation val="minMax"/>
        </c:scaling>
        <c:axPos val="b"/>
        <c:numFmt formatCode="General" sourceLinked="0"/>
        <c:maj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74443520"/>
        <c:crosses val="autoZero"/>
        <c:auto val="1"/>
        <c:lblAlgn val="ctr"/>
        <c:lblOffset val="100"/>
        <c:tickLblSkip val="1"/>
      </c:catAx>
      <c:valAx>
        <c:axId val="174443520"/>
        <c:scaling>
          <c:orientation val="minMax"/>
        </c:scaling>
        <c:axPos val="l"/>
        <c:majorGridlines/>
        <c:title>
          <c:tx>
            <c:rich>
              <a:bodyPr rot="-5400000" vert="horz"/>
              <a:lstStyle/>
              <a:p>
                <a:pPr>
                  <a:defRPr b="0"/>
                </a:pPr>
                <a:r>
                  <a:rPr lang="en-US" b="0"/>
                  <a:t>UoZ/VPM</a:t>
                </a:r>
              </a:p>
            </c:rich>
          </c:tx>
          <c:layout>
            <c:manualLayout>
              <c:xMode val="edge"/>
              <c:yMode val="edge"/>
              <c:x val="5.0892346049635582E-3"/>
              <c:y val="0.4440671133873309"/>
            </c:manualLayout>
          </c:layout>
        </c:title>
        <c:numFmt formatCode="0.0" sourceLinked="1"/>
        <c:majorTickMark val="none"/>
        <c:tickLblPos val="nextTo"/>
        <c:spPr>
          <a:ln w="9525">
            <a:noFill/>
          </a:ln>
        </c:spPr>
        <c:txPr>
          <a:bodyPr/>
          <a:lstStyle/>
          <a:p>
            <a:pPr>
              <a:defRPr sz="800"/>
            </a:pPr>
            <a:endParaRPr lang="cs-CZ"/>
          </a:p>
        </c:txPr>
        <c:crossAx val="174441984"/>
        <c:crosses val="autoZero"/>
        <c:crossBetween val="between"/>
        <c:majorUnit val="2"/>
      </c:valAx>
      <c:spPr>
        <a:ln>
          <a:solidFill>
            <a:schemeClr val="accent1"/>
          </a:solidFill>
        </a:ln>
      </c:spPr>
    </c:plotArea>
    <c:legend>
      <c:legendPos val="b"/>
      <c:layout>
        <c:manualLayout>
          <c:xMode val="edge"/>
          <c:yMode val="edge"/>
          <c:x val="0.59647306617690132"/>
          <c:y val="0.34085730747071252"/>
          <c:w val="0.30969706911636047"/>
          <c:h val="8.3717191601049901E-2"/>
        </c:manualLayout>
      </c:layout>
    </c:legend>
    <c:plotVisOnly val="1"/>
    <c:dispBlanksAs val="gap"/>
  </c:chart>
  <c:spPr>
    <a:solidFill>
      <a:srgbClr val="FFFFFF"/>
    </a:solidFill>
    <a:ln>
      <a:solidFill>
        <a:schemeClr val="tx2"/>
      </a:solidFill>
    </a:ln>
  </c:spPr>
  <c:externalData r:id="rId1"/>
</c:chartSpace>
</file>

<file path=word/drawings/drawing1.xml><?xml version="1.0" encoding="utf-8"?>
<c:userShapes xmlns:c="http://schemas.openxmlformats.org/drawingml/2006/chart">
  <cdr:relSizeAnchor xmlns:cdr="http://schemas.openxmlformats.org/drawingml/2006/chartDrawing">
    <cdr:from>
      <cdr:x>0.15815</cdr:x>
      <cdr:y>0.27922</cdr:y>
    </cdr:from>
    <cdr:to>
      <cdr:x>0.63947</cdr:x>
      <cdr:y>0.3922</cdr:y>
    </cdr:to>
    <cdr:sp macro="" textlink="">
      <cdr:nvSpPr>
        <cdr:cNvPr id="2" name="TextovéPole 1"/>
        <cdr:cNvSpPr txBox="1"/>
      </cdr:nvSpPr>
      <cdr:spPr>
        <a:xfrm xmlns:a="http://schemas.openxmlformats.org/drawingml/2006/main">
          <a:off x="412748" y="565151"/>
          <a:ext cx="1256172" cy="228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b="1">
              <a:solidFill>
                <a:srgbClr val="A50021"/>
              </a:solidFill>
            </a:rPr>
            <a:t>Národní cíl ČR ↑ </a:t>
          </a:r>
        </a:p>
      </cdr:txBody>
    </cdr:sp>
  </cdr:relSizeAnchor>
  <cdr:relSizeAnchor xmlns:cdr="http://schemas.openxmlformats.org/drawingml/2006/chartDrawing">
    <cdr:from>
      <cdr:x>0.12894</cdr:x>
      <cdr:y>0.36232</cdr:y>
    </cdr:from>
    <cdr:to>
      <cdr:x>0.93431</cdr:x>
      <cdr:y>0.36471</cdr:y>
    </cdr:to>
    <cdr:cxnSp macro="">
      <cdr:nvCxnSpPr>
        <cdr:cNvPr id="4" name="Přímá spojnice 3"/>
        <cdr:cNvCxnSpPr/>
      </cdr:nvCxnSpPr>
      <cdr:spPr>
        <a:xfrm xmlns:a="http://schemas.openxmlformats.org/drawingml/2006/main">
          <a:off x="336430" y="733245"/>
          <a:ext cx="2101386" cy="4835"/>
        </a:xfrm>
        <a:prstGeom xmlns:a="http://schemas.openxmlformats.org/drawingml/2006/main" prst="line">
          <a:avLst/>
        </a:prstGeom>
        <a:ln xmlns:a="http://schemas.openxmlformats.org/drawingml/2006/main" w="15875">
          <a:solidFill>
            <a:srgbClr val="993366"/>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0.1618</cdr:x>
      <cdr:y>0.39687</cdr:y>
    </cdr:from>
    <cdr:to>
      <cdr:x>0.64312</cdr:x>
      <cdr:y>0.50985</cdr:y>
    </cdr:to>
    <cdr:sp macro="" textlink="">
      <cdr:nvSpPr>
        <cdr:cNvPr id="2" name="TextovéPole 1"/>
        <cdr:cNvSpPr txBox="1"/>
      </cdr:nvSpPr>
      <cdr:spPr>
        <a:xfrm xmlns:a="http://schemas.openxmlformats.org/drawingml/2006/main">
          <a:off x="422273" y="803282"/>
          <a:ext cx="1256172" cy="228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b="1">
              <a:solidFill>
                <a:srgbClr val="A50021"/>
              </a:solidFill>
            </a:rPr>
            <a:t>Národní cíl ČR ↑ </a:t>
          </a:r>
        </a:p>
      </cdr:txBody>
    </cdr:sp>
  </cdr:relSizeAnchor>
  <cdr:relSizeAnchor xmlns:cdr="http://schemas.openxmlformats.org/drawingml/2006/chartDrawing">
    <cdr:from>
      <cdr:x>0.15208</cdr:x>
      <cdr:y>0.47741</cdr:y>
    </cdr:from>
    <cdr:to>
      <cdr:x>0.94161</cdr:x>
      <cdr:y>0.48</cdr:y>
    </cdr:to>
    <cdr:cxnSp macro="">
      <cdr:nvCxnSpPr>
        <cdr:cNvPr id="3" name="Přímá spojnice 2"/>
        <cdr:cNvCxnSpPr/>
      </cdr:nvCxnSpPr>
      <cdr:spPr>
        <a:xfrm xmlns:a="http://schemas.openxmlformats.org/drawingml/2006/main">
          <a:off x="396815" y="966158"/>
          <a:ext cx="2060048" cy="5241"/>
        </a:xfrm>
        <a:prstGeom xmlns:a="http://schemas.openxmlformats.org/drawingml/2006/main" prst="line">
          <a:avLst/>
        </a:prstGeom>
        <a:ln xmlns:a="http://schemas.openxmlformats.org/drawingml/2006/main" w="15875">
          <a:solidFill>
            <a:srgbClr val="993366"/>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0.15007</cdr:x>
      <cdr:y>0.5098</cdr:y>
    </cdr:from>
    <cdr:to>
      <cdr:x>0.63138</cdr:x>
      <cdr:y>0.62279</cdr:y>
    </cdr:to>
    <cdr:sp macro="" textlink="">
      <cdr:nvSpPr>
        <cdr:cNvPr id="3" name="TextovéPole 1"/>
        <cdr:cNvSpPr txBox="1"/>
      </cdr:nvSpPr>
      <cdr:spPr>
        <a:xfrm xmlns:a="http://schemas.openxmlformats.org/drawingml/2006/main">
          <a:off x="391667" y="1031871"/>
          <a:ext cx="1256146" cy="2286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b="1">
              <a:solidFill>
                <a:srgbClr val="A50021"/>
              </a:solidFill>
            </a:rPr>
            <a:t>Národní cíl ČR ↑ </a:t>
          </a:r>
        </a:p>
      </cdr:txBody>
    </cdr:sp>
  </cdr:relSizeAnchor>
  <cdr:relSizeAnchor xmlns:cdr="http://schemas.openxmlformats.org/drawingml/2006/chartDrawing">
    <cdr:from>
      <cdr:x>0.15693</cdr:x>
      <cdr:y>0.59294</cdr:y>
    </cdr:from>
    <cdr:to>
      <cdr:x>0.9562</cdr:x>
      <cdr:y>0.59294</cdr:y>
    </cdr:to>
    <cdr:cxnSp macro="">
      <cdr:nvCxnSpPr>
        <cdr:cNvPr id="4" name="Přímá spojnice 3"/>
        <cdr:cNvCxnSpPr/>
      </cdr:nvCxnSpPr>
      <cdr:spPr>
        <a:xfrm xmlns:a="http://schemas.openxmlformats.org/drawingml/2006/main">
          <a:off x="409575" y="1200150"/>
          <a:ext cx="2085975" cy="0"/>
        </a:xfrm>
        <a:prstGeom xmlns:a="http://schemas.openxmlformats.org/drawingml/2006/main" prst="line">
          <a:avLst/>
        </a:prstGeom>
        <a:ln xmlns:a="http://schemas.openxmlformats.org/drawingml/2006/main" w="15875">
          <a:solidFill>
            <a:srgbClr val="993366"/>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0.12774</cdr:x>
      <cdr:y>0.55529</cdr:y>
    </cdr:from>
    <cdr:to>
      <cdr:x>0.95256</cdr:x>
      <cdr:y>0.56</cdr:y>
    </cdr:to>
    <cdr:cxnSp macro="">
      <cdr:nvCxnSpPr>
        <cdr:cNvPr id="2" name="Přímá spojnice 1"/>
        <cdr:cNvCxnSpPr/>
      </cdr:nvCxnSpPr>
      <cdr:spPr>
        <a:xfrm xmlns:a="http://schemas.openxmlformats.org/drawingml/2006/main" flipV="1">
          <a:off x="333375" y="1123951"/>
          <a:ext cx="2152650" cy="9524"/>
        </a:xfrm>
        <a:prstGeom xmlns:a="http://schemas.openxmlformats.org/drawingml/2006/main" prst="line">
          <a:avLst/>
        </a:prstGeom>
        <a:ln xmlns:a="http://schemas.openxmlformats.org/drawingml/2006/main" w="15875">
          <a:solidFill>
            <a:srgbClr val="993366"/>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0.62774</cdr:x>
      <cdr:y>0.55686</cdr:y>
    </cdr:from>
    <cdr:to>
      <cdr:x>1</cdr:x>
      <cdr:y>0.64</cdr:y>
    </cdr:to>
    <cdr:sp macro="" textlink="">
      <cdr:nvSpPr>
        <cdr:cNvPr id="3" name="TextovéPole 1"/>
        <cdr:cNvSpPr txBox="1"/>
      </cdr:nvSpPr>
      <cdr:spPr>
        <a:xfrm xmlns:a="http://schemas.openxmlformats.org/drawingml/2006/main">
          <a:off x="1637909" y="1126943"/>
          <a:ext cx="971306" cy="1682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b="1">
              <a:solidFill>
                <a:srgbClr val="C00000"/>
              </a:solidFill>
            </a:rPr>
            <a:t>Národní cíl ČR↓</a:t>
          </a:r>
        </a:p>
      </cdr:txBody>
    </cdr:sp>
  </cdr:relSizeAnchor>
</c:userShapes>
</file>

<file path=word/drawings/drawing5.xml><?xml version="1.0" encoding="utf-8"?>
<c:userShapes xmlns:c="http://schemas.openxmlformats.org/drawingml/2006/chart">
  <cdr:relSizeAnchor xmlns:cdr="http://schemas.openxmlformats.org/drawingml/2006/chartDrawing">
    <cdr:from>
      <cdr:x>0.14355</cdr:x>
      <cdr:y>0.43922</cdr:y>
    </cdr:from>
    <cdr:to>
      <cdr:x>0.9562</cdr:x>
      <cdr:y>0.44235</cdr:y>
    </cdr:to>
    <cdr:cxnSp macro="">
      <cdr:nvCxnSpPr>
        <cdr:cNvPr id="2" name="Přímá spojnice 1"/>
        <cdr:cNvCxnSpPr/>
      </cdr:nvCxnSpPr>
      <cdr:spPr>
        <a:xfrm xmlns:a="http://schemas.openxmlformats.org/drawingml/2006/main" flipV="1">
          <a:off x="374650" y="889000"/>
          <a:ext cx="2120900" cy="6353"/>
        </a:xfrm>
        <a:prstGeom xmlns:a="http://schemas.openxmlformats.org/drawingml/2006/main" prst="line">
          <a:avLst/>
        </a:prstGeom>
        <a:ln xmlns:a="http://schemas.openxmlformats.org/drawingml/2006/main" w="15875">
          <a:solidFill>
            <a:srgbClr val="993366"/>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0.64599</cdr:x>
      <cdr:y>0.4251</cdr:y>
    </cdr:from>
    <cdr:to>
      <cdr:x>0.9927</cdr:x>
      <cdr:y>0.50353</cdr:y>
    </cdr:to>
    <cdr:sp macro="" textlink="">
      <cdr:nvSpPr>
        <cdr:cNvPr id="3" name="TextovéPole 1"/>
        <cdr:cNvSpPr txBox="1"/>
      </cdr:nvSpPr>
      <cdr:spPr>
        <a:xfrm xmlns:a="http://schemas.openxmlformats.org/drawingml/2006/main">
          <a:off x="1685925" y="860425"/>
          <a:ext cx="904874" cy="1587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cs-CZ" sz="800" b="1">
              <a:solidFill>
                <a:srgbClr val="C00000"/>
              </a:solidFill>
            </a:rPr>
            <a:t>Národní cíl ČR↓</a:t>
          </a:r>
        </a:p>
      </cdr:txBody>
    </cdr:sp>
  </cdr:relSizeAnchor>
</c:userShape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02D84-3E2E-42CD-91C8-A7051ED1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29949</Words>
  <Characters>176702</Characters>
  <Application>Microsoft Office Word</Application>
  <DocSecurity>0</DocSecurity>
  <Lines>1472</Lines>
  <Paragraphs>412</Paragraphs>
  <ScaleCrop>false</ScaleCrop>
  <HeadingPairs>
    <vt:vector size="2" baseType="variant">
      <vt:variant>
        <vt:lpstr>Název</vt:lpstr>
      </vt:variant>
      <vt:variant>
        <vt:i4>1</vt:i4>
      </vt:variant>
    </vt:vector>
  </HeadingPairs>
  <TitlesOfParts>
    <vt:vector size="1" baseType="lpstr">
      <vt:lpstr>I</vt:lpstr>
    </vt:vector>
  </TitlesOfParts>
  <Company>MPSV ČR</Company>
  <LinksUpToDate>false</LinksUpToDate>
  <CharactersWithSpaces>206239</CharactersWithSpaces>
  <SharedDoc>false</SharedDoc>
  <HLinks>
    <vt:vector size="6" baseType="variant">
      <vt:variant>
        <vt:i4>852018</vt:i4>
      </vt:variant>
      <vt:variant>
        <vt:i4>0</vt:i4>
      </vt:variant>
      <vt:variant>
        <vt:i4>0</vt:i4>
      </vt:variant>
      <vt:variant>
        <vt:i4>5</vt:i4>
      </vt:variant>
      <vt:variant>
        <vt:lpwstr>http://epp.eurostat.ec.europa.eu/portal/page/portal/statistics/search_database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sebestoval</dc:creator>
  <cp:lastModifiedBy>OSPZV3 ospzv3</cp:lastModifiedBy>
  <cp:revision>3</cp:revision>
  <cp:lastPrinted>2018-05-17T06:16:00Z</cp:lastPrinted>
  <dcterms:created xsi:type="dcterms:W3CDTF">2018-06-11T10:08:00Z</dcterms:created>
  <dcterms:modified xsi:type="dcterms:W3CDTF">2018-06-11T10:08:00Z</dcterms:modified>
</cp:coreProperties>
</file>