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AF" w:rsidRDefault="001063AF" w:rsidP="001063AF">
      <w:pPr>
        <w:jc w:val="both"/>
        <w:rPr>
          <w:b/>
          <w:color w:val="FF0000"/>
          <w:sz w:val="48"/>
          <w:szCs w:val="48"/>
        </w:rPr>
      </w:pPr>
      <w:bookmarkStart w:id="0" w:name="_GoBack"/>
      <w:bookmarkEnd w:id="0"/>
      <w:r>
        <w:rPr>
          <w:b/>
          <w:color w:val="FF0000"/>
          <w:sz w:val="48"/>
          <w:szCs w:val="48"/>
        </w:rPr>
        <w:t xml:space="preserve">     </w:t>
      </w:r>
      <w:hyperlink r:id="rId6" w:history="1">
        <w:r w:rsidR="00AC468D">
          <w:rPr>
            <w:color w:val="FF0000"/>
          </w:rPr>
          <w:fldChar w:fldCharType="begin"/>
        </w:r>
        <w:r>
          <w:rPr>
            <w:color w:val="FF0000"/>
          </w:rPr>
          <w:instrText xml:space="preserve"> INCLUDEPICTURE  "http://www.sps.cz/IMAGES/LOGO/sps_logo_2005.gif" \* MERGEFORMATINET </w:instrText>
        </w:r>
        <w:r w:rsidR="00AC468D">
          <w:rPr>
            <w:color w:val="FF0000"/>
          </w:rPr>
          <w:fldChar w:fldCharType="separate"/>
        </w:r>
        <w:r w:rsidR="00AC468D">
          <w:rPr>
            <w:color w:val="FF0000"/>
          </w:rPr>
          <w:fldChar w:fldCharType="begin"/>
        </w:r>
        <w:r>
          <w:rPr>
            <w:color w:val="FF0000"/>
          </w:rPr>
          <w:instrText xml:space="preserve"> INCLUDEPICTURE  "http://www.sps.cz/IMAGES/LOGO/sps_logo_2005.gif" \* MERGEFORMATINET </w:instrText>
        </w:r>
        <w:r w:rsidR="00AC468D">
          <w:rPr>
            <w:color w:val="FF0000"/>
          </w:rPr>
          <w:fldChar w:fldCharType="separate"/>
        </w:r>
        <w:r w:rsidR="00AC468D">
          <w:rPr>
            <w:color w:val="FF0000"/>
          </w:rPr>
          <w:fldChar w:fldCharType="begin"/>
        </w:r>
        <w:r>
          <w:rPr>
            <w:color w:val="FF0000"/>
          </w:rPr>
          <w:instrText xml:space="preserve"> INCLUDEPICTURE  "http://www.sps.cz/IMAGES/LOGO/sps_logo_2005.gif" \* MERGEFORMATINET </w:instrText>
        </w:r>
        <w:r w:rsidR="00AC468D">
          <w:rPr>
            <w:color w:val="FF0000"/>
          </w:rPr>
          <w:fldChar w:fldCharType="separate"/>
        </w:r>
        <w:r w:rsidR="00AC468D">
          <w:rPr>
            <w:color w:val="FF0000"/>
          </w:rPr>
          <w:fldChar w:fldCharType="begin"/>
        </w:r>
        <w:r>
          <w:rPr>
            <w:color w:val="FF0000"/>
          </w:rPr>
          <w:instrText xml:space="preserve"> INCLUDEPICTURE  "http://www.sps.cz/IMAGES/LOGO/sps_logo_2005.gif" \* MERGEFORMATINET </w:instrText>
        </w:r>
        <w:r w:rsidR="00AC468D">
          <w:rPr>
            <w:color w:val="FF0000"/>
          </w:rPr>
          <w:fldChar w:fldCharType="separate"/>
        </w:r>
        <w:r w:rsidR="00AC468D">
          <w:rPr>
            <w:color w:val="FF0000"/>
          </w:rPr>
          <w:fldChar w:fldCharType="begin"/>
        </w:r>
        <w:r>
          <w:rPr>
            <w:color w:val="FF0000"/>
          </w:rPr>
          <w:instrText xml:space="preserve"> INCLUDEPICTURE  "http://www.sps.cz/IMAGES/LOGO/sps_logo_2005.gif" \* MERGEFORMATINET </w:instrText>
        </w:r>
        <w:r w:rsidR="00AC468D">
          <w:rPr>
            <w:color w:val="FF0000"/>
          </w:rPr>
          <w:fldChar w:fldCharType="separate"/>
        </w:r>
        <w:r w:rsidR="00AC468D">
          <w:rPr>
            <w:color w:val="FF0000"/>
          </w:rPr>
          <w:fldChar w:fldCharType="begin"/>
        </w:r>
        <w:r>
          <w:rPr>
            <w:color w:val="FF0000"/>
          </w:rPr>
          <w:instrText xml:space="preserve"> INCLUDEPICTURE  "http://www.sps.cz/IMAGES/LOGO/sps_logo_2005.gif" \* MERGEFORMATINET </w:instrText>
        </w:r>
        <w:r w:rsidR="00AC468D">
          <w:rPr>
            <w:color w:val="FF0000"/>
          </w:rPr>
          <w:fldChar w:fldCharType="separate"/>
        </w:r>
        <w:r w:rsidR="00AC468D">
          <w:rPr>
            <w:color w:val="FF0000"/>
          </w:rPr>
          <w:fldChar w:fldCharType="begin"/>
        </w:r>
        <w:r>
          <w:rPr>
            <w:color w:val="FF0000"/>
          </w:rPr>
          <w:instrText xml:space="preserve"> INCLUDEPICTURE  "http://www.sps.cz/IMAGES/LOGO/sps_logo_2005.gif" \* MERGEFORMATINET </w:instrText>
        </w:r>
        <w:r w:rsidR="00AC468D">
          <w:rPr>
            <w:color w:val="FF0000"/>
          </w:rPr>
          <w:fldChar w:fldCharType="separate"/>
        </w:r>
        <w:r w:rsidR="00AC468D">
          <w:rPr>
            <w:color w:val="FF0000"/>
          </w:rPr>
          <w:fldChar w:fldCharType="begin"/>
        </w:r>
        <w:r w:rsidR="00514F7C">
          <w:rPr>
            <w:color w:val="FF0000"/>
          </w:rPr>
          <w:instrText xml:space="preserve"> INCLUDEPICTURE  "http://www.sps.cz/IMAGES/LOGO/sps_logo_2005.gif" \* MERGEFORMATINET </w:instrText>
        </w:r>
        <w:r w:rsidR="00AC468D">
          <w:rPr>
            <w:color w:val="FF0000"/>
          </w:rPr>
          <w:fldChar w:fldCharType="separate"/>
        </w:r>
        <w:r w:rsidR="00AC468D">
          <w:rPr>
            <w:color w:val="FF0000"/>
          </w:rPr>
          <w:fldChar w:fldCharType="begin"/>
        </w:r>
        <w:r w:rsidR="00F03685">
          <w:rPr>
            <w:color w:val="FF0000"/>
          </w:rPr>
          <w:instrText xml:space="preserve"> INCLUDEPICTURE  "http://www.sps.cz/IMAGES/LOGO/sps_logo_2005.gif" \* MERGEFORMATINET </w:instrText>
        </w:r>
        <w:r w:rsidR="00AC468D">
          <w:rPr>
            <w:color w:val="FF0000"/>
          </w:rPr>
          <w:fldChar w:fldCharType="separate"/>
        </w:r>
        <w:r w:rsidR="00AC468D" w:rsidRPr="00AC468D">
          <w:rPr>
            <w:color w:val="FF000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Domovská stránka" style="width:92.25pt;height:48pt" o:button="t">
              <v:imagedata r:id="rId7" r:href="rId8"/>
            </v:shape>
          </w:pict>
        </w:r>
        <w:r w:rsidR="00AC468D">
          <w:rPr>
            <w:color w:val="FF0000"/>
          </w:rPr>
          <w:fldChar w:fldCharType="end"/>
        </w:r>
        <w:r w:rsidR="00AC468D">
          <w:rPr>
            <w:color w:val="FF0000"/>
          </w:rPr>
          <w:fldChar w:fldCharType="end"/>
        </w:r>
        <w:r w:rsidR="00AC468D">
          <w:rPr>
            <w:color w:val="FF0000"/>
          </w:rPr>
          <w:fldChar w:fldCharType="end"/>
        </w:r>
        <w:r w:rsidR="00AC468D">
          <w:rPr>
            <w:color w:val="FF0000"/>
          </w:rPr>
          <w:fldChar w:fldCharType="end"/>
        </w:r>
        <w:r w:rsidR="00AC468D">
          <w:rPr>
            <w:color w:val="FF0000"/>
          </w:rPr>
          <w:fldChar w:fldCharType="end"/>
        </w:r>
        <w:r w:rsidR="00AC468D">
          <w:rPr>
            <w:color w:val="FF0000"/>
          </w:rPr>
          <w:fldChar w:fldCharType="end"/>
        </w:r>
        <w:r w:rsidR="00AC468D">
          <w:rPr>
            <w:color w:val="FF0000"/>
          </w:rPr>
          <w:fldChar w:fldCharType="end"/>
        </w:r>
        <w:r w:rsidR="00AC468D">
          <w:rPr>
            <w:color w:val="FF0000"/>
          </w:rPr>
          <w:fldChar w:fldCharType="end"/>
        </w:r>
        <w:r w:rsidR="00AC468D">
          <w:rPr>
            <w:color w:val="FF0000"/>
          </w:rPr>
          <w:fldChar w:fldCharType="end"/>
        </w:r>
      </w:hyperlink>
      <w:r w:rsidR="001303BB">
        <w:rPr>
          <w:color w:val="FF0000"/>
        </w:rPr>
        <w:t xml:space="preserve">                                                    </w:t>
      </w:r>
      <w:r w:rsidR="009F0711">
        <w:rPr>
          <w:color w:val="FF0000"/>
        </w:rPr>
        <w:t xml:space="preserve">          </w:t>
      </w:r>
      <w:r w:rsidR="001303BB">
        <w:rPr>
          <w:color w:val="FF0000"/>
        </w:rPr>
        <w:t xml:space="preserve">       </w:t>
      </w:r>
      <w:r w:rsidR="001303BB">
        <w:rPr>
          <w:noProof/>
          <w:lang w:eastAsia="cs-CZ"/>
        </w:rPr>
        <w:drawing>
          <wp:inline distT="0" distB="0" distL="0" distR="0">
            <wp:extent cx="1162050" cy="390525"/>
            <wp:effectExtent l="0" t="0" r="0" b="9525"/>
            <wp:docPr id="7" name="Obráze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63AF" w:rsidRDefault="001063AF" w:rsidP="001063AF">
      <w:pPr>
        <w:jc w:val="center"/>
        <w:rPr>
          <w:b/>
          <w:color w:val="FF0000"/>
          <w:sz w:val="48"/>
          <w:szCs w:val="48"/>
        </w:rPr>
      </w:pPr>
    </w:p>
    <w:p w:rsidR="001063AF" w:rsidRDefault="001063AF" w:rsidP="001063AF">
      <w:pPr>
        <w:jc w:val="center"/>
        <w:rPr>
          <w:b/>
          <w:color w:val="FF0000"/>
          <w:sz w:val="48"/>
          <w:szCs w:val="48"/>
        </w:rPr>
      </w:pPr>
    </w:p>
    <w:p w:rsidR="001063AF" w:rsidRDefault="001063AF" w:rsidP="001063AF">
      <w:pPr>
        <w:jc w:val="center"/>
        <w:rPr>
          <w:b/>
          <w:color w:val="FF0000"/>
          <w:sz w:val="48"/>
          <w:szCs w:val="48"/>
        </w:rPr>
      </w:pPr>
    </w:p>
    <w:p w:rsidR="001063AF" w:rsidRDefault="001063AF" w:rsidP="001063AF">
      <w:pPr>
        <w:jc w:val="center"/>
        <w:rPr>
          <w:b/>
          <w:color w:val="FF0000"/>
          <w:sz w:val="48"/>
          <w:szCs w:val="48"/>
        </w:rPr>
      </w:pPr>
    </w:p>
    <w:p w:rsidR="008C5FC9" w:rsidRPr="001063AF" w:rsidRDefault="001063AF" w:rsidP="001063AF">
      <w:pPr>
        <w:jc w:val="center"/>
        <w:rPr>
          <w:b/>
          <w:color w:val="FF0000"/>
          <w:sz w:val="52"/>
          <w:szCs w:val="52"/>
        </w:rPr>
      </w:pPr>
      <w:r w:rsidRPr="001063AF">
        <w:rPr>
          <w:b/>
          <w:color w:val="FF0000"/>
          <w:sz w:val="52"/>
          <w:szCs w:val="52"/>
        </w:rPr>
        <w:t>STAVEBNICTVÍ V ROCE 2016</w:t>
      </w:r>
    </w:p>
    <w:p w:rsidR="001063AF" w:rsidRPr="001063AF" w:rsidRDefault="001063AF" w:rsidP="001063AF">
      <w:pPr>
        <w:jc w:val="center"/>
        <w:rPr>
          <w:b/>
          <w:color w:val="FF0000"/>
          <w:sz w:val="48"/>
          <w:szCs w:val="48"/>
        </w:rPr>
      </w:pPr>
    </w:p>
    <w:p w:rsidR="001063AF" w:rsidRDefault="001063AF" w:rsidP="001063AF">
      <w:pPr>
        <w:jc w:val="center"/>
        <w:rPr>
          <w:b/>
          <w:sz w:val="44"/>
          <w:szCs w:val="44"/>
        </w:rPr>
      </w:pPr>
      <w:r w:rsidRPr="001063AF">
        <w:rPr>
          <w:b/>
          <w:sz w:val="44"/>
          <w:szCs w:val="44"/>
        </w:rPr>
        <w:t xml:space="preserve">Informace pro jednání tripartity </w:t>
      </w:r>
    </w:p>
    <w:p w:rsidR="001063AF" w:rsidRPr="001063AF" w:rsidRDefault="001063AF" w:rsidP="001063AF">
      <w:pPr>
        <w:jc w:val="center"/>
        <w:rPr>
          <w:b/>
          <w:sz w:val="44"/>
          <w:szCs w:val="44"/>
        </w:rPr>
      </w:pPr>
      <w:r w:rsidRPr="001063AF">
        <w:rPr>
          <w:b/>
          <w:sz w:val="44"/>
          <w:szCs w:val="44"/>
        </w:rPr>
        <w:t>konané dne 16.1.2017</w:t>
      </w:r>
    </w:p>
    <w:p w:rsidR="001063AF" w:rsidRDefault="001063AF"/>
    <w:p w:rsidR="001063AF" w:rsidRDefault="001063AF"/>
    <w:p w:rsidR="001063AF" w:rsidRDefault="001063AF"/>
    <w:p w:rsidR="001063AF" w:rsidRDefault="001063AF"/>
    <w:p w:rsidR="001063AF" w:rsidRDefault="001063AF"/>
    <w:p w:rsidR="001063AF" w:rsidRDefault="001063AF"/>
    <w:p w:rsidR="001063AF" w:rsidRDefault="001063AF"/>
    <w:p w:rsidR="001063AF" w:rsidRDefault="001063AF"/>
    <w:p w:rsidR="001063AF" w:rsidRDefault="001063AF"/>
    <w:p w:rsidR="001063AF" w:rsidRDefault="001063AF"/>
    <w:p w:rsidR="001063AF" w:rsidRPr="001063AF" w:rsidRDefault="001063AF">
      <w:pPr>
        <w:rPr>
          <w:b/>
          <w:sz w:val="32"/>
          <w:szCs w:val="32"/>
        </w:rPr>
      </w:pPr>
      <w:r w:rsidRPr="001063AF">
        <w:rPr>
          <w:b/>
          <w:sz w:val="32"/>
          <w:szCs w:val="32"/>
        </w:rPr>
        <w:t>Zpracoval : Svaz podnikatelů ve stavebnictví</w:t>
      </w:r>
    </w:p>
    <w:p w:rsidR="001063AF" w:rsidRPr="001063AF" w:rsidRDefault="001063AF" w:rsidP="001063AF">
      <w:pPr>
        <w:spacing w:after="0"/>
        <w:rPr>
          <w:b/>
          <w:sz w:val="32"/>
          <w:szCs w:val="32"/>
        </w:rPr>
      </w:pPr>
    </w:p>
    <w:p w:rsidR="001063AF" w:rsidRDefault="001063AF" w:rsidP="001063AF">
      <w:pPr>
        <w:ind w:left="1701" w:hanging="1701"/>
        <w:rPr>
          <w:b/>
          <w:sz w:val="32"/>
          <w:szCs w:val="32"/>
        </w:rPr>
      </w:pPr>
      <w:r w:rsidRPr="001063AF">
        <w:rPr>
          <w:b/>
          <w:sz w:val="32"/>
          <w:szCs w:val="32"/>
        </w:rPr>
        <w:t>Předkládá</w:t>
      </w:r>
      <w:r>
        <w:rPr>
          <w:b/>
          <w:sz w:val="32"/>
          <w:szCs w:val="32"/>
        </w:rPr>
        <w:t xml:space="preserve">: </w:t>
      </w:r>
      <w:r w:rsidRPr="001063AF">
        <w:rPr>
          <w:b/>
          <w:sz w:val="32"/>
          <w:szCs w:val="32"/>
        </w:rPr>
        <w:t>Konfederace zaměstnavatelských a podnikatelských svazů</w:t>
      </w:r>
    </w:p>
    <w:p w:rsidR="001303BB" w:rsidRDefault="001303BB" w:rsidP="001063AF">
      <w:pPr>
        <w:ind w:left="1701" w:hanging="1701"/>
        <w:rPr>
          <w:b/>
          <w:sz w:val="32"/>
          <w:szCs w:val="32"/>
        </w:rPr>
      </w:pPr>
    </w:p>
    <w:p w:rsidR="001063AF" w:rsidRPr="00B26E1D" w:rsidRDefault="00B26E1D" w:rsidP="001063AF">
      <w:pPr>
        <w:ind w:left="1701" w:hanging="1701"/>
        <w:rPr>
          <w:b/>
          <w:sz w:val="28"/>
          <w:szCs w:val="28"/>
        </w:rPr>
      </w:pPr>
      <w:r w:rsidRPr="00B26E1D">
        <w:rPr>
          <w:b/>
          <w:sz w:val="28"/>
          <w:szCs w:val="28"/>
        </w:rPr>
        <w:t>Vývoj stavebnictví v období 2014 - 2016</w:t>
      </w:r>
    </w:p>
    <w:p w:rsidR="001063AF" w:rsidRDefault="001063AF" w:rsidP="00491965">
      <w:pPr>
        <w:spacing w:line="276" w:lineRule="auto"/>
        <w:jc w:val="both"/>
      </w:pPr>
      <w:r w:rsidRPr="00EA3A39">
        <w:t xml:space="preserve">Stavebnictví patří </w:t>
      </w:r>
      <w:r>
        <w:t>mezi významná odvětví ekonomiky a</w:t>
      </w:r>
      <w:r w:rsidRPr="00EA3A39">
        <w:t xml:space="preserve"> </w:t>
      </w:r>
      <w:r>
        <w:t>s</w:t>
      </w:r>
      <w:r w:rsidRPr="00EA3A39">
        <w:t>ta</w:t>
      </w:r>
      <w:r>
        <w:t xml:space="preserve">vební produkce je považována za </w:t>
      </w:r>
      <w:r w:rsidRPr="00EA3A39">
        <w:t xml:space="preserve">indikátor </w:t>
      </w:r>
      <w:r>
        <w:t xml:space="preserve">jejího </w:t>
      </w:r>
      <w:r w:rsidRPr="00EA3A39">
        <w:t>vývoje</w:t>
      </w:r>
      <w:r>
        <w:t xml:space="preserve">. </w:t>
      </w:r>
      <w:r w:rsidRPr="00EA3A39">
        <w:t>Vzestup stavební produkce je závislý na politických rozhodnutích vlády a parlamentu, a to j</w:t>
      </w:r>
      <w:r>
        <w:t>ak</w:t>
      </w:r>
      <w:r w:rsidRPr="00EA3A39">
        <w:t xml:space="preserve"> v oblasti veřejných zakázek financovaných ze státního a obecních rozpočtů, tak v oblasti legislativy, daní, sociální politiky apod.</w:t>
      </w:r>
    </w:p>
    <w:p w:rsidR="00011546" w:rsidRDefault="00011546" w:rsidP="00491965">
      <w:pPr>
        <w:autoSpaceDE w:val="0"/>
        <w:autoSpaceDN w:val="0"/>
        <w:adjustRightInd w:val="0"/>
        <w:spacing w:after="120" w:line="276" w:lineRule="auto"/>
        <w:jc w:val="both"/>
      </w:pPr>
      <w:r>
        <w:t>P</w:t>
      </w:r>
      <w:r w:rsidRPr="00BF0B16">
        <w:t xml:space="preserve">ropad </w:t>
      </w:r>
      <w:r>
        <w:t>stavebnictví díky období krize trval nejdéle ze všech odvětví. N</w:t>
      </w:r>
      <w:r w:rsidRPr="00BF0B16">
        <w:t xml:space="preserve">ezastavil </w:t>
      </w:r>
      <w:r>
        <w:t xml:space="preserve">se až </w:t>
      </w:r>
      <w:r w:rsidRPr="00BF0B16">
        <w:t>do roku 2013</w:t>
      </w:r>
      <w:r>
        <w:t xml:space="preserve"> (397,5 mld</w:t>
      </w:r>
      <w:r w:rsidR="0017641B">
        <w:t>.</w:t>
      </w:r>
      <w:r>
        <w:t>)</w:t>
      </w:r>
      <w:r w:rsidRPr="00BF0B16">
        <w:t>, kdy docílil svého maxima</w:t>
      </w:r>
      <w:r>
        <w:t>,</w:t>
      </w:r>
      <w:r w:rsidRPr="00BF0B16">
        <w:t xml:space="preserve"> </w:t>
      </w:r>
      <w:r>
        <w:t xml:space="preserve">tj. </w:t>
      </w:r>
      <w:r w:rsidRPr="00BF0B16">
        <w:t>150 mld. Kč (25,1%)</w:t>
      </w:r>
      <w:r>
        <w:t xml:space="preserve"> </w:t>
      </w:r>
      <w:r w:rsidRPr="00BF0B16">
        <w:t>oproti roku 2008 (</w:t>
      </w:r>
      <w:r>
        <w:t>547,5 mld. Kč)</w:t>
      </w:r>
      <w:r w:rsidRPr="00BF0B16">
        <w:t xml:space="preserve">, kumulativně za 5 let </w:t>
      </w:r>
      <w:r>
        <w:t xml:space="preserve">to činilo </w:t>
      </w:r>
      <w:r w:rsidRPr="00BF0B16">
        <w:t>434,5 mld., to se rovná roční produkci roku 2005.</w:t>
      </w:r>
    </w:p>
    <w:p w:rsidR="00491965" w:rsidRDefault="00011546" w:rsidP="0017641B">
      <w:pPr>
        <w:autoSpaceDE w:val="0"/>
        <w:autoSpaceDN w:val="0"/>
        <w:adjustRightInd w:val="0"/>
        <w:spacing w:after="120" w:line="276" w:lineRule="auto"/>
        <w:jc w:val="both"/>
      </w:pPr>
      <w:r w:rsidRPr="00C655E4">
        <w:t>Stavebnictví se vrátilo k </w:t>
      </w:r>
      <w:r>
        <w:t>opětovnému růstu až v roce 2014 meziročním nárůstem 7,8% (v běžných cenách).</w:t>
      </w:r>
      <w:r w:rsidRPr="00C655E4">
        <w:t xml:space="preserve"> Hlavním tahounem sektoru byl rychlý růst inženýrského stavitelství, kterému pomohly zejména veřejné zakázky a </w:t>
      </w:r>
      <w:r>
        <w:t xml:space="preserve">na ně vázané </w:t>
      </w:r>
      <w:r w:rsidRPr="00C655E4">
        <w:t>dočerpávání EU fondů. Také rok 2015 přinesl další zlepšení, když stavební produkce meziročně vzrostl</w:t>
      </w:r>
      <w:r>
        <w:t>a o 7,2</w:t>
      </w:r>
      <w:r w:rsidRPr="00C655E4">
        <w:t xml:space="preserve">% (v pozemním stavitelství růst o 2,6%, v inženýrském růst o 17,1%). Stále ale </w:t>
      </w:r>
      <w:r>
        <w:t>byla produkce o 16,2</w:t>
      </w:r>
      <w:r w:rsidRPr="00C655E4">
        <w:t>% nižší ve srovnání s rokem 2008, kdy byla na svém vrcholu.</w:t>
      </w:r>
    </w:p>
    <w:p w:rsidR="00C96909" w:rsidRDefault="00011546" w:rsidP="00491965">
      <w:pPr>
        <w:spacing w:after="120" w:line="276" w:lineRule="auto"/>
        <w:jc w:val="both"/>
      </w:pPr>
      <w:r>
        <w:t>Český statistický úřad ohlásí přesné výsledky roku 2016 až v měsíci červnu 2017, ale dosavadní průběh vývoje stavební produkce nás opravňuje k odhadu výsledku, očekáváme meziroční propad 6,3% v běžných cenách, tj. min. 8% ve stálých cenách</w:t>
      </w:r>
      <w:r w:rsidR="00491965">
        <w:t xml:space="preserve"> (cca 431 mld. Kč). </w:t>
      </w:r>
      <w:r>
        <w:t>Objem stavební výroby</w:t>
      </w:r>
      <w:r w:rsidR="00491965">
        <w:t xml:space="preserve"> se tak vrátí zpět, na úroveň roku 2012.</w:t>
      </w:r>
    </w:p>
    <w:p w:rsidR="0017641B" w:rsidRDefault="0017641B" w:rsidP="00491965">
      <w:pPr>
        <w:spacing w:after="120" w:line="276" w:lineRule="auto"/>
        <w:jc w:val="both"/>
      </w:pPr>
    </w:p>
    <w:p w:rsidR="00D8626B" w:rsidRPr="00D8626B" w:rsidRDefault="00D8626B" w:rsidP="00491965">
      <w:pPr>
        <w:spacing w:after="120" w:line="276" w:lineRule="auto"/>
        <w:jc w:val="both"/>
        <w:rPr>
          <w:b/>
        </w:rPr>
      </w:pPr>
      <w:r w:rsidRPr="00D8626B">
        <w:rPr>
          <w:b/>
        </w:rPr>
        <w:t>Stavební produkce od roku 2006, odhad 2016</w:t>
      </w:r>
    </w:p>
    <w:p w:rsidR="00011546" w:rsidRPr="0017641B" w:rsidRDefault="00C96909" w:rsidP="0017641B">
      <w:pPr>
        <w:autoSpaceDE w:val="0"/>
        <w:autoSpaceDN w:val="0"/>
        <w:adjustRightInd w:val="0"/>
        <w:spacing w:after="120" w:line="276" w:lineRule="auto"/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5581650" cy="382905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7641B" w:rsidRDefault="0017641B" w:rsidP="001D2645">
      <w:pPr>
        <w:spacing w:line="276" w:lineRule="auto"/>
        <w:jc w:val="both"/>
      </w:pPr>
    </w:p>
    <w:p w:rsidR="001D2645" w:rsidRDefault="00491965" w:rsidP="001D2645">
      <w:pPr>
        <w:spacing w:line="276" w:lineRule="auto"/>
        <w:jc w:val="both"/>
        <w:rPr>
          <w:bCs/>
        </w:rPr>
      </w:pPr>
      <w:r>
        <w:t xml:space="preserve">Ještě kritičtější je prognóza vývoje pro rok 2017 a zřejmě i další roky, která vyplývá z dnes známé zadané zakázky. </w:t>
      </w:r>
      <w:r w:rsidR="001D2645" w:rsidRPr="001D2645">
        <w:rPr>
          <w:bCs/>
        </w:rPr>
        <w:t xml:space="preserve">Hodnota zadaných veřejných stavebních zakázek v roce 2016 klesla poprvé od roku 2008 pod 100 mld. Kč na 90,8 mld. Kč, což je v meziročním srovnání o </w:t>
      </w:r>
      <w:r w:rsidR="001D2645" w:rsidRPr="001D2645">
        <w:t xml:space="preserve">31,3 % a </w:t>
      </w:r>
      <w:r w:rsidR="001D2645" w:rsidRPr="001D2645">
        <w:rPr>
          <w:bCs/>
        </w:rPr>
        <w:t xml:space="preserve">o 41,3 mld. Kč méně než v roce 2015. </w:t>
      </w:r>
      <w:r w:rsidR="001D2645" w:rsidRPr="001D2645">
        <w:t xml:space="preserve">U zakázek na </w:t>
      </w:r>
      <w:r w:rsidR="001D2645" w:rsidRPr="001D2645">
        <w:rPr>
          <w:bCs/>
        </w:rPr>
        <w:t xml:space="preserve">pozemní stavby činil pokles 14,8 </w:t>
      </w:r>
      <w:r w:rsidR="001D2645" w:rsidRPr="001D2645">
        <w:rPr>
          <w:bCs/>
          <w:i/>
        </w:rPr>
        <w:t>%</w:t>
      </w:r>
      <w:r w:rsidR="001D2645" w:rsidRPr="001D2645">
        <w:t xml:space="preserve"> a u zakázek na </w:t>
      </w:r>
      <w:r w:rsidR="001D2645" w:rsidRPr="001D2645">
        <w:rPr>
          <w:bCs/>
        </w:rPr>
        <w:t>inženýrské stavby 35,6 %, v tom u zakázek dopravní infrastruktury 42,5 %.</w:t>
      </w:r>
    </w:p>
    <w:p w:rsidR="0017641B" w:rsidRPr="001D2645" w:rsidRDefault="0017641B" w:rsidP="0017641B">
      <w:pPr>
        <w:spacing w:after="0" w:line="276" w:lineRule="auto"/>
        <w:jc w:val="both"/>
      </w:pPr>
    </w:p>
    <w:p w:rsidR="001D2645" w:rsidRPr="0017641B" w:rsidRDefault="001D2645" w:rsidP="0017641B">
      <w:pPr>
        <w:spacing w:after="0"/>
        <w:jc w:val="both"/>
        <w:rPr>
          <w:b/>
          <w:bCs/>
        </w:rPr>
      </w:pPr>
      <w:r w:rsidRPr="0017641B">
        <w:rPr>
          <w:b/>
          <w:bCs/>
        </w:rPr>
        <w:t>Zadané veřejné stavební zakázky 2008 – 2015</w:t>
      </w: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40"/>
        <w:gridCol w:w="820"/>
        <w:gridCol w:w="1120"/>
        <w:gridCol w:w="946"/>
        <w:gridCol w:w="1294"/>
        <w:gridCol w:w="811"/>
        <w:gridCol w:w="1109"/>
      </w:tblGrid>
      <w:tr w:rsidR="001D2645" w:rsidRPr="0017641B" w:rsidTr="00B26E1D">
        <w:trPr>
          <w:trHeight w:val="25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Směr výstavby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 xml:space="preserve">        Rok 2016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 xml:space="preserve">        Rok 2015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 xml:space="preserve">        Rok 2014 </w:t>
            </w:r>
          </w:p>
        </w:tc>
      </w:tr>
      <w:tr w:rsidR="001D2645" w:rsidRPr="0017641B" w:rsidTr="00B26E1D">
        <w:trPr>
          <w:trHeight w:val="25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Mil. Kč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Mil. Kč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Mil. Kč</w:t>
            </w:r>
          </w:p>
        </w:tc>
      </w:tr>
      <w:tr w:rsidR="001D2645" w:rsidRPr="0017641B" w:rsidTr="00B26E1D">
        <w:trPr>
          <w:trHeight w:val="259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POZEMNÍ STAVBY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1 528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23 184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2 577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27 215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2 600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40 759</w:t>
            </w:r>
          </w:p>
        </w:tc>
      </w:tr>
      <w:tr w:rsidR="001D2645" w:rsidRPr="0017641B" w:rsidTr="00B26E1D">
        <w:trPr>
          <w:trHeight w:val="259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Z toho :  Občanská infrastruktura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1 338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20 497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2 279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25 131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2 284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36 725</w:t>
            </w:r>
          </w:p>
        </w:tc>
      </w:tr>
      <w:tr w:rsidR="001D2645" w:rsidRPr="0017641B" w:rsidTr="00B26E1D">
        <w:trPr>
          <w:trHeight w:val="259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 xml:space="preserve">               Bytové stavby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2 687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298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2 084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316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4 034</w:t>
            </w:r>
          </w:p>
        </w:tc>
      </w:tr>
      <w:tr w:rsidR="001D2645" w:rsidRPr="0017641B" w:rsidTr="00B26E1D">
        <w:trPr>
          <w:trHeight w:val="259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INŽENÝRSKÉ STAVBY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3 449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67 609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4 030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104 907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4 057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101 669</w:t>
            </w:r>
          </w:p>
        </w:tc>
      </w:tr>
      <w:tr w:rsidR="001D2645" w:rsidRPr="0017641B" w:rsidTr="00B26E1D">
        <w:trPr>
          <w:trHeight w:val="259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Z toho:  Dopravní infrastruktura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2 073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46 317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2 186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80 519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1 607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52 532</w:t>
            </w:r>
          </w:p>
        </w:tc>
      </w:tr>
      <w:tr w:rsidR="001D2645" w:rsidRPr="0017641B" w:rsidTr="00B26E1D">
        <w:trPr>
          <w:trHeight w:val="259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 xml:space="preserve">              Technická infrastruktura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1 376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21 292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1 844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24 388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2 450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49 137</w:t>
            </w:r>
          </w:p>
        </w:tc>
      </w:tr>
      <w:tr w:rsidR="001D2645" w:rsidRPr="0017641B" w:rsidTr="00B26E1D">
        <w:trPr>
          <w:trHeight w:val="25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4 977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B26E1D">
              <w:rPr>
                <w:b/>
                <w:bCs/>
                <w:color w:val="FF0000"/>
                <w:sz w:val="20"/>
                <w:szCs w:val="20"/>
              </w:rPr>
              <w:t>90 792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6 607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B26E1D">
              <w:rPr>
                <w:b/>
                <w:bCs/>
                <w:color w:val="FF0000"/>
                <w:sz w:val="20"/>
                <w:szCs w:val="20"/>
              </w:rPr>
              <w:t>132 122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6 657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B26E1D">
              <w:rPr>
                <w:b/>
                <w:bCs/>
                <w:color w:val="FF0000"/>
                <w:sz w:val="20"/>
                <w:szCs w:val="20"/>
              </w:rPr>
              <w:t>142 428</w:t>
            </w:r>
          </w:p>
        </w:tc>
      </w:tr>
      <w:tr w:rsidR="001D2645" w:rsidRPr="0017641B" w:rsidTr="00B26E1D">
        <w:trPr>
          <w:trHeight w:val="259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Směr výstavby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 xml:space="preserve">        Rok 2013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 xml:space="preserve">        Rok 2012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 xml:space="preserve">        Rok 2011 </w:t>
            </w:r>
          </w:p>
        </w:tc>
      </w:tr>
      <w:tr w:rsidR="001D2645" w:rsidRPr="0017641B" w:rsidTr="00B26E1D">
        <w:trPr>
          <w:trHeight w:val="25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Mil. Kč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Mil. Kč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Mil. Kč</w:t>
            </w:r>
          </w:p>
        </w:tc>
      </w:tr>
      <w:tr w:rsidR="001D2645" w:rsidRPr="0017641B" w:rsidTr="00B26E1D">
        <w:trPr>
          <w:trHeight w:val="259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POZEMNÍ STAVBY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2 813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34 787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1 711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40 811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1 629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36 053</w:t>
            </w:r>
          </w:p>
        </w:tc>
      </w:tr>
      <w:tr w:rsidR="001D2645" w:rsidRPr="0017641B" w:rsidTr="00B26E1D">
        <w:trPr>
          <w:trHeight w:val="259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Z toho :  Občanská infrastruktura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2 511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31 416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1 516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38 748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1 397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32 761</w:t>
            </w:r>
          </w:p>
        </w:tc>
      </w:tr>
      <w:tr w:rsidR="001D2645" w:rsidRPr="0017641B" w:rsidTr="00B26E1D">
        <w:trPr>
          <w:trHeight w:val="259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 xml:space="preserve">               Bytové stavby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3 371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195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2 063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232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3 292</w:t>
            </w:r>
          </w:p>
        </w:tc>
      </w:tr>
      <w:tr w:rsidR="001D2645" w:rsidRPr="0017641B" w:rsidTr="00B26E1D">
        <w:trPr>
          <w:trHeight w:val="259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INŽENÝRSKÉ STAVBY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3 636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76 275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2 684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70 942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1 961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82 557</w:t>
            </w:r>
          </w:p>
        </w:tc>
      </w:tr>
      <w:tr w:rsidR="001D2645" w:rsidRPr="0017641B" w:rsidTr="00B26E1D">
        <w:trPr>
          <w:trHeight w:val="259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Z toho:  Dopravní infrastruktura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1 676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45 418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1 028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27 963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736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27 559</w:t>
            </w:r>
          </w:p>
        </w:tc>
      </w:tr>
      <w:tr w:rsidR="001D2645" w:rsidRPr="0017641B" w:rsidTr="00B26E1D">
        <w:trPr>
          <w:trHeight w:val="259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 xml:space="preserve">              Technická infrastruktura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1 960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30 857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1 656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42 979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1 225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54 998</w:t>
            </w:r>
          </w:p>
        </w:tc>
      </w:tr>
      <w:tr w:rsidR="001D2645" w:rsidRPr="0017641B" w:rsidTr="00B26E1D">
        <w:trPr>
          <w:trHeight w:val="25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6 449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B26E1D">
              <w:rPr>
                <w:b/>
                <w:bCs/>
                <w:color w:val="FF0000"/>
                <w:sz w:val="20"/>
                <w:szCs w:val="20"/>
              </w:rPr>
              <w:t>111 062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4 395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B26E1D">
              <w:rPr>
                <w:b/>
                <w:bCs/>
                <w:color w:val="FF0000"/>
                <w:sz w:val="20"/>
                <w:szCs w:val="20"/>
              </w:rPr>
              <w:t>111 753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3 590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B26E1D">
              <w:rPr>
                <w:b/>
                <w:bCs/>
                <w:color w:val="FF0000"/>
                <w:sz w:val="20"/>
                <w:szCs w:val="20"/>
              </w:rPr>
              <w:t>118 610</w:t>
            </w:r>
          </w:p>
        </w:tc>
      </w:tr>
      <w:tr w:rsidR="001D2645" w:rsidRPr="0017641B" w:rsidTr="00B26E1D">
        <w:trPr>
          <w:trHeight w:val="259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lastRenderedPageBreak/>
              <w:t>Směr výstavby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Rok 2010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 xml:space="preserve">          Rok 2009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 xml:space="preserve">          Rok 2008</w:t>
            </w:r>
          </w:p>
        </w:tc>
      </w:tr>
      <w:tr w:rsidR="001D2645" w:rsidRPr="0017641B" w:rsidTr="00B26E1D">
        <w:trPr>
          <w:trHeight w:val="25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Mil. Kč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Mil. Kč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Mil. Kč</w:t>
            </w:r>
          </w:p>
        </w:tc>
      </w:tr>
      <w:tr w:rsidR="001D2645" w:rsidRPr="0017641B" w:rsidTr="00B26E1D">
        <w:trPr>
          <w:trHeight w:val="259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POZEMNÍ STAVBY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1 715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46 519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2 113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53 380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1 426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47 686</w:t>
            </w:r>
          </w:p>
        </w:tc>
      </w:tr>
      <w:tr w:rsidR="001D2645" w:rsidRPr="0017641B" w:rsidTr="00B26E1D">
        <w:trPr>
          <w:trHeight w:val="259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Z toho :  Občanská infrastruktura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1 465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41 142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1 868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48 416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1 232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43 884</w:t>
            </w:r>
          </w:p>
        </w:tc>
      </w:tr>
      <w:tr w:rsidR="001D2645" w:rsidRPr="0017641B" w:rsidTr="00B26E1D">
        <w:trPr>
          <w:trHeight w:val="259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 xml:space="preserve">               Bytové stavby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5 377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245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4 964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194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3 802</w:t>
            </w:r>
          </w:p>
        </w:tc>
      </w:tr>
      <w:tr w:rsidR="001D2645" w:rsidRPr="0017641B" w:rsidTr="00B26E1D">
        <w:trPr>
          <w:trHeight w:val="259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INŽENÝRSKÉ STAVBY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2 198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75 664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2 279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140 631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2 202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160 622</w:t>
            </w:r>
          </w:p>
        </w:tc>
      </w:tr>
      <w:tr w:rsidR="001D2645" w:rsidRPr="0017641B" w:rsidTr="00B26E1D">
        <w:trPr>
          <w:trHeight w:val="259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Z toho:  Dopravní infrastruktura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761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23 721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935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97 502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1 006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116 014</w:t>
            </w:r>
          </w:p>
        </w:tc>
      </w:tr>
      <w:tr w:rsidR="001D2645" w:rsidRPr="0017641B" w:rsidTr="00B26E1D">
        <w:trPr>
          <w:trHeight w:val="25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 xml:space="preserve">              Technická infrastruktura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1 437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51 932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1 344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43 129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1 196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sz w:val="20"/>
                <w:szCs w:val="20"/>
              </w:rPr>
            </w:pPr>
            <w:r w:rsidRPr="0017641B">
              <w:rPr>
                <w:sz w:val="20"/>
                <w:szCs w:val="20"/>
              </w:rPr>
              <w:t>44 607</w:t>
            </w:r>
          </w:p>
        </w:tc>
      </w:tr>
      <w:tr w:rsidR="001D2645" w:rsidRPr="0017641B" w:rsidTr="00B26E1D">
        <w:trPr>
          <w:trHeight w:val="25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3 913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B26E1D">
              <w:rPr>
                <w:b/>
                <w:bCs/>
                <w:color w:val="FF0000"/>
                <w:sz w:val="20"/>
                <w:szCs w:val="20"/>
              </w:rPr>
              <w:t>122 173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4 392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B26E1D">
              <w:rPr>
                <w:b/>
                <w:bCs/>
                <w:color w:val="FF0000"/>
                <w:sz w:val="20"/>
                <w:szCs w:val="20"/>
              </w:rPr>
              <w:t>194 011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41B">
              <w:rPr>
                <w:b/>
                <w:bCs/>
                <w:sz w:val="20"/>
                <w:szCs w:val="20"/>
              </w:rPr>
              <w:t>3 628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45" w:rsidRPr="0017641B" w:rsidRDefault="001D2645" w:rsidP="0017641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B26E1D">
              <w:rPr>
                <w:b/>
                <w:bCs/>
                <w:color w:val="FF0000"/>
                <w:sz w:val="20"/>
                <w:szCs w:val="20"/>
              </w:rPr>
              <w:t>208 308</w:t>
            </w:r>
          </w:p>
        </w:tc>
      </w:tr>
    </w:tbl>
    <w:p w:rsidR="001D2645" w:rsidRPr="009B668F" w:rsidRDefault="001D2645" w:rsidP="0017641B">
      <w:pPr>
        <w:spacing w:after="0"/>
        <w:jc w:val="both"/>
        <w:rPr>
          <w:rFonts w:ascii="Calibri" w:hAnsi="Calibri" w:cs="Calibri"/>
          <w:b/>
          <w:bCs/>
        </w:rPr>
      </w:pPr>
    </w:p>
    <w:p w:rsidR="0017641B" w:rsidRDefault="0017641B" w:rsidP="00D8626B">
      <w:pPr>
        <w:spacing w:after="120" w:line="276" w:lineRule="auto"/>
        <w:jc w:val="both"/>
      </w:pPr>
      <w:r>
        <w:t>V mnoha ohledech je návrat kritické situace stavebnictví poplatný neplnění Programového prohlášení vlády. Jedním z důvodů je skutečnost, že vláda sama sobě vytváří značné problémy a komplikace svými rozhodnutími, přílišnou rigidností, zvyšováním limitních hodnot stanovených unijními normami, nevyužíváním možností národních úprav a zbytečnými obavami z reakcí EU a malou odvahou nebo ochotou vyjednávat.</w:t>
      </w:r>
    </w:p>
    <w:p w:rsidR="0017641B" w:rsidRDefault="0017641B" w:rsidP="00D8626B">
      <w:pPr>
        <w:spacing w:after="120" w:line="276" w:lineRule="auto"/>
        <w:jc w:val="both"/>
      </w:pPr>
      <w:r>
        <w:t xml:space="preserve">V Programovém prohlášení vláda: </w:t>
      </w:r>
    </w:p>
    <w:p w:rsidR="00D906E1" w:rsidRDefault="0017641B" w:rsidP="00D8626B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>
        <w:t>se zavázala, že připraví novelu zákona o posuzování vlivů na životní prostředí (EIA) podle evropských standardů s cílem nastavení jasných pravidel a lhůt v rá</w:t>
      </w:r>
      <w:r w:rsidR="00D906E1">
        <w:t>mci tohoto procesu</w:t>
      </w:r>
      <w:r w:rsidR="00B26E1D">
        <w:t xml:space="preserve"> </w:t>
      </w:r>
      <w:r w:rsidR="00B26E1D" w:rsidRPr="00B26E1D">
        <w:rPr>
          <w:b/>
          <w:sz w:val="28"/>
          <w:szCs w:val="28"/>
        </w:rPr>
        <w:sym w:font="Wingdings" w:char="F0F0"/>
      </w:r>
      <w:r w:rsidR="00D906E1">
        <w:t xml:space="preserve"> </w:t>
      </w:r>
      <w:r w:rsidR="00B26E1D">
        <w:t>p</w:t>
      </w:r>
      <w:r>
        <w:t>ředložená transpoziční novela</w:t>
      </w:r>
      <w:r w:rsidRPr="00DB55FC">
        <w:t xml:space="preserve"> neřeší žádný z koncepčních problémů, které přinesla předchozí novelizace zákona o EIA</w:t>
      </w:r>
      <w:r w:rsidR="00D906E1">
        <w:t>,</w:t>
      </w:r>
    </w:p>
    <w:p w:rsidR="00D906E1" w:rsidRDefault="0017641B" w:rsidP="00D8626B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>
        <w:t xml:space="preserve">zamýšlela předložit zákon o liniových stavbách, ale po posouzení nereálnosti vtvořit zákon </w:t>
      </w:r>
      <w:r w:rsidR="00B26E1D" w:rsidRPr="00B26E1D">
        <w:rPr>
          <w:b/>
          <w:sz w:val="28"/>
          <w:szCs w:val="28"/>
        </w:rPr>
        <w:sym w:font="Wingdings" w:char="F0F0"/>
      </w:r>
      <w:r w:rsidR="00B26E1D">
        <w:rPr>
          <w:b/>
          <w:sz w:val="28"/>
          <w:szCs w:val="28"/>
        </w:rPr>
        <w:t xml:space="preserve"> </w:t>
      </w:r>
      <w:r>
        <w:t>z důvodu podmíněnosti zákona řadou jiných zákonů byl tento záměr</w:t>
      </w:r>
      <w:r w:rsidR="00D906E1">
        <w:t xml:space="preserve"> vypuštěn,</w:t>
      </w:r>
    </w:p>
    <w:p w:rsidR="00D906E1" w:rsidRDefault="00D906E1" w:rsidP="00D8626B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>
        <w:t>zavázala se, že zpracuje analýzu stávající připravenosti a možnosti zahájení staveb, prověrku stavu zastavených staveb a možnosti jejich pokračování včetně podmínek financování</w:t>
      </w:r>
      <w:r w:rsidR="00B26E1D">
        <w:t xml:space="preserve"> </w:t>
      </w:r>
      <w:r w:rsidR="00B26E1D" w:rsidRPr="00B26E1D">
        <w:rPr>
          <w:b/>
          <w:sz w:val="28"/>
          <w:szCs w:val="28"/>
        </w:rPr>
        <w:sym w:font="Wingdings" w:char="F0F0"/>
      </w:r>
      <w:r w:rsidR="00B26E1D">
        <w:t xml:space="preserve"> n</w:t>
      </w:r>
      <w:r>
        <w:t>aplňování cílů zpracované Dopravní sektorová</w:t>
      </w:r>
      <w:r w:rsidRPr="00031F38">
        <w:t xml:space="preserve"> </w:t>
      </w:r>
      <w:r>
        <w:t>strategie, výstavby dálnic a rychlostních komunikací včetně rekonstrukcí železničních koridorů postupuje velmi pomalým tempem,</w:t>
      </w:r>
    </w:p>
    <w:p w:rsidR="00D906E1" w:rsidRDefault="00D906E1" w:rsidP="00D8626B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>
        <w:t xml:space="preserve">v oblasti územního plánování a stavebního řádu měla připravit novelu stavebního zákona, která by přinesl zjednodušení </w:t>
      </w:r>
      <w:r w:rsidR="00B26E1D">
        <w:t xml:space="preserve">a zrychlení povolovacích řízení </w:t>
      </w:r>
      <w:r w:rsidR="00B26E1D" w:rsidRPr="00B26E1D">
        <w:rPr>
          <w:b/>
          <w:sz w:val="28"/>
          <w:szCs w:val="28"/>
        </w:rPr>
        <w:sym w:font="Wingdings" w:char="F0F0"/>
      </w:r>
      <w:r>
        <w:t xml:space="preserve"> </w:t>
      </w:r>
      <w:r w:rsidR="00B26E1D">
        <w:t>v</w:t>
      </w:r>
      <w:r>
        <w:t>ýsledek je takový, že u</w:t>
      </w:r>
      <w:r w:rsidRPr="00DB55FC">
        <w:t xml:space="preserve"> rozhodujících staveb se zcela mine tento záměr účinkem, bude to možné jen u vybraných staveb menšího rozsahu, které ovlivňují celkový pro</w:t>
      </w:r>
      <w:r>
        <w:t>ces výstavby jen nižším podílem,</w:t>
      </w:r>
    </w:p>
    <w:p w:rsidR="00D906E1" w:rsidRDefault="00D906E1" w:rsidP="00D8626B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>
        <w:t>měla připravit nový zákon o sociálním bydlení, který měl definovat standard sociálního bytu a vymezit osoby v bytové nouzi, které na něj mají při spl</w:t>
      </w:r>
      <w:r w:rsidR="00B26E1D">
        <w:t xml:space="preserve">nění stanovených podmínek nárok </w:t>
      </w:r>
      <w:r w:rsidR="00B26E1D" w:rsidRPr="00B26E1D">
        <w:rPr>
          <w:b/>
          <w:sz w:val="28"/>
          <w:szCs w:val="28"/>
        </w:rPr>
        <w:sym w:font="Wingdings" w:char="F0F0"/>
      </w:r>
      <w:r>
        <w:t xml:space="preserve"> </w:t>
      </w:r>
      <w:r w:rsidR="00B26E1D">
        <w:t>d</w:t>
      </w:r>
      <w:r>
        <w:t>osud nebyl připraven k projednání.</w:t>
      </w:r>
    </w:p>
    <w:p w:rsidR="00D906E1" w:rsidRDefault="00D906E1" w:rsidP="00D8626B">
      <w:pPr>
        <w:spacing w:after="120" w:line="276" w:lineRule="auto"/>
        <w:jc w:val="both"/>
      </w:pPr>
      <w:r>
        <w:t xml:space="preserve">S politováním je nutno konstatovat, že cíle stanovené v Programovém prohlášení vlády nejsou dodržovány a vládě se nepodaří je ve zbytku volebního období naplnit. </w:t>
      </w:r>
    </w:p>
    <w:p w:rsidR="00D906E1" w:rsidRDefault="00D906E1" w:rsidP="00D8626B">
      <w:pPr>
        <w:pStyle w:val="Odstavecseseznamem"/>
        <w:spacing w:after="0" w:line="276" w:lineRule="auto"/>
        <w:ind w:left="426"/>
        <w:jc w:val="both"/>
      </w:pPr>
    </w:p>
    <w:p w:rsidR="00B26E1D" w:rsidRDefault="00B26E1D" w:rsidP="00D8626B">
      <w:pPr>
        <w:spacing w:after="240" w:line="276" w:lineRule="auto"/>
        <w:jc w:val="both"/>
        <w:rPr>
          <w:b/>
          <w:sz w:val="28"/>
          <w:szCs w:val="28"/>
        </w:rPr>
      </w:pPr>
      <w:proofErr w:type="spellStart"/>
      <w:r w:rsidRPr="00B26E1D">
        <w:rPr>
          <w:b/>
          <w:sz w:val="28"/>
          <w:szCs w:val="28"/>
        </w:rPr>
        <w:t>Společensko</w:t>
      </w:r>
      <w:proofErr w:type="spellEnd"/>
      <w:r w:rsidRPr="00B26E1D">
        <w:rPr>
          <w:b/>
          <w:sz w:val="28"/>
          <w:szCs w:val="28"/>
        </w:rPr>
        <w:t xml:space="preserve"> politické faktory</w:t>
      </w:r>
    </w:p>
    <w:p w:rsidR="00D8626B" w:rsidRPr="00D8626B" w:rsidRDefault="00D8626B" w:rsidP="00D8626B">
      <w:pPr>
        <w:pStyle w:val="Zkladntext"/>
        <w:spacing w:after="240" w:line="276" w:lineRule="auto"/>
        <w:jc w:val="both"/>
      </w:pPr>
      <w:r>
        <w:t>Ukazatelem naší nesrovnatelné zanedbanosti v investiční vybavenosti v porovnání s evropskými zeměmi je tabulka intenzity výstavby (objem v euro/obyvatele).</w:t>
      </w:r>
    </w:p>
    <w:p w:rsidR="00B26E1D" w:rsidRPr="00CD070F" w:rsidRDefault="00B26E1D" w:rsidP="00B26E1D">
      <w:pPr>
        <w:spacing w:after="0"/>
        <w:rPr>
          <w:b/>
        </w:rPr>
      </w:pPr>
      <w:r w:rsidRPr="00CD070F">
        <w:rPr>
          <w:b/>
        </w:rPr>
        <w:t>Objem stavebnictví na obyvatele</w:t>
      </w:r>
      <w:r>
        <w:rPr>
          <w:b/>
        </w:rPr>
        <w:t xml:space="preserve"> – intenzita výstavby </w:t>
      </w:r>
      <w:r w:rsidRPr="00CD070F">
        <w:rPr>
          <w:b/>
        </w:rPr>
        <w:t>(Euro)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85"/>
        <w:gridCol w:w="2367"/>
        <w:gridCol w:w="992"/>
        <w:gridCol w:w="1134"/>
        <w:gridCol w:w="992"/>
        <w:gridCol w:w="993"/>
        <w:gridCol w:w="992"/>
        <w:gridCol w:w="992"/>
        <w:gridCol w:w="1134"/>
      </w:tblGrid>
      <w:tr w:rsidR="00B26E1D" w:rsidRPr="00993BDA" w:rsidTr="00B26E1D">
        <w:trPr>
          <w:trHeight w:val="225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9EE3"/>
              <w:right w:val="single" w:sz="4" w:space="0" w:color="009EE3"/>
            </w:tcBorders>
            <w:shd w:val="clear" w:color="000000" w:fill="E9F6FD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Země/Rok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9EE3"/>
              <w:right w:val="nil"/>
            </w:tcBorders>
            <w:shd w:val="clear" w:color="000000" w:fill="E9F6FD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9EE3"/>
              <w:right w:val="nil"/>
            </w:tcBorders>
            <w:shd w:val="clear" w:color="000000" w:fill="E9F6FD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9EE3"/>
              <w:right w:val="nil"/>
            </w:tcBorders>
            <w:shd w:val="clear" w:color="000000" w:fill="E9F6FD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9EE3"/>
              <w:right w:val="single" w:sz="4" w:space="0" w:color="auto"/>
            </w:tcBorders>
            <w:shd w:val="clear" w:color="000000" w:fill="E9F6FD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9EE3"/>
              <w:right w:val="single" w:sz="4" w:space="0" w:color="auto"/>
            </w:tcBorders>
            <w:shd w:val="clear" w:color="000000" w:fill="E9F6FD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Předpověď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9EE3"/>
              <w:right w:val="single" w:sz="4" w:space="0" w:color="auto"/>
            </w:tcBorders>
            <w:shd w:val="clear" w:color="000000" w:fill="E9F6FD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Výhled</w:t>
            </w:r>
          </w:p>
        </w:tc>
      </w:tr>
      <w:tr w:rsidR="00B26E1D" w:rsidRPr="00993BDA" w:rsidTr="00B26E1D">
        <w:trPr>
          <w:trHeight w:val="225"/>
        </w:trPr>
        <w:tc>
          <w:tcPr>
            <w:tcW w:w="2552" w:type="dxa"/>
            <w:gridSpan w:val="2"/>
            <w:vMerge/>
            <w:tcBorders>
              <w:top w:val="single" w:sz="4" w:space="0" w:color="009EE3"/>
              <w:left w:val="single" w:sz="4" w:space="0" w:color="auto"/>
              <w:bottom w:val="single" w:sz="4" w:space="0" w:color="auto"/>
              <w:right w:val="single" w:sz="4" w:space="0" w:color="009EE3"/>
            </w:tcBorders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9EE3"/>
            </w:tcBorders>
            <w:shd w:val="clear" w:color="000000" w:fill="D4EDFC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9EE3"/>
            </w:tcBorders>
            <w:shd w:val="clear" w:color="000000" w:fill="D4EDFC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9EE3"/>
            </w:tcBorders>
            <w:shd w:val="clear" w:color="000000" w:fill="D4EDFC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DFC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9EE3"/>
            </w:tcBorders>
            <w:shd w:val="clear" w:color="000000" w:fill="D4EDFC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DFC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EDFC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</w:tr>
      <w:tr w:rsidR="00B26E1D" w:rsidRPr="00993BDA" w:rsidTr="00B26E1D">
        <w:trPr>
          <w:trHeight w:val="225"/>
        </w:trPr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009EE3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color w:val="494948"/>
                <w:sz w:val="16"/>
                <w:szCs w:val="16"/>
                <w:lang w:eastAsia="cs-CZ"/>
              </w:rPr>
            </w:pPr>
            <w:r w:rsidRPr="00993BDA">
              <w:rPr>
                <w:rFonts w:ascii="Arial" w:eastAsia="Times New Roman" w:hAnsi="Arial" w:cs="Arial"/>
                <w:color w:val="494948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Rakousko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3 979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3 873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3 808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3 765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3 827</w:t>
            </w:r>
          </w:p>
        </w:tc>
      </w:tr>
      <w:tr w:rsidR="00B26E1D" w:rsidRPr="00993BDA" w:rsidTr="00B26E1D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009EE3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color w:val="494948"/>
                <w:sz w:val="16"/>
                <w:szCs w:val="16"/>
                <w:lang w:eastAsia="cs-CZ"/>
              </w:rPr>
            </w:pPr>
            <w:r w:rsidRPr="00993BDA">
              <w:rPr>
                <w:rFonts w:ascii="Arial" w:eastAsia="Times New Roman" w:hAnsi="Arial" w:cs="Arial"/>
                <w:color w:val="494948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Belgie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3 683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3 749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3 806</w:t>
            </w:r>
          </w:p>
        </w:tc>
      </w:tr>
      <w:tr w:rsidR="00B26E1D" w:rsidRPr="00993BDA" w:rsidTr="00B26E1D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009EE3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color w:val="494948"/>
                <w:sz w:val="16"/>
                <w:szCs w:val="16"/>
                <w:lang w:eastAsia="cs-CZ"/>
              </w:rPr>
            </w:pPr>
            <w:r w:rsidRPr="00993BDA">
              <w:rPr>
                <w:rFonts w:ascii="Arial" w:eastAsia="Times New Roman" w:hAnsi="Arial" w:cs="Arial"/>
                <w:color w:val="494948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Dánsko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4 816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4 877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5 012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5 131</w:t>
            </w:r>
          </w:p>
        </w:tc>
      </w:tr>
      <w:tr w:rsidR="00B26E1D" w:rsidRPr="00993BDA" w:rsidTr="00B26E1D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009EE3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color w:val="494948"/>
                <w:sz w:val="16"/>
                <w:szCs w:val="16"/>
                <w:lang w:eastAsia="cs-CZ"/>
              </w:rPr>
            </w:pPr>
            <w:r w:rsidRPr="00993BDA">
              <w:rPr>
                <w:rFonts w:ascii="Arial" w:eastAsia="Times New Roman" w:hAnsi="Arial" w:cs="Arial"/>
                <w:color w:val="494948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Finsko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5 293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5 601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5 721</w:t>
            </w:r>
          </w:p>
        </w:tc>
      </w:tr>
      <w:tr w:rsidR="00B26E1D" w:rsidRPr="00993BDA" w:rsidTr="00B26E1D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009EE3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color w:val="494948"/>
                <w:sz w:val="16"/>
                <w:szCs w:val="16"/>
                <w:lang w:eastAsia="cs-CZ"/>
              </w:rPr>
            </w:pPr>
            <w:r w:rsidRPr="00993BDA">
              <w:rPr>
                <w:rFonts w:ascii="Arial" w:eastAsia="Times New Roman" w:hAnsi="Arial" w:cs="Arial"/>
                <w:color w:val="494948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Francie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3 192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3 280</w:t>
            </w:r>
          </w:p>
        </w:tc>
      </w:tr>
      <w:tr w:rsidR="00B26E1D" w:rsidRPr="00993BDA" w:rsidTr="00B26E1D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009EE3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color w:val="494948"/>
                <w:sz w:val="16"/>
                <w:szCs w:val="16"/>
                <w:lang w:eastAsia="cs-CZ"/>
              </w:rPr>
            </w:pPr>
            <w:r w:rsidRPr="00993BDA">
              <w:rPr>
                <w:rFonts w:ascii="Arial" w:eastAsia="Times New Roman" w:hAnsi="Arial" w:cs="Arial"/>
                <w:color w:val="494948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3 660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3 722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3 707</w:t>
            </w:r>
          </w:p>
        </w:tc>
      </w:tr>
      <w:tr w:rsidR="00B26E1D" w:rsidRPr="00993BDA" w:rsidTr="00B26E1D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009EE3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color w:val="494948"/>
                <w:sz w:val="16"/>
                <w:szCs w:val="16"/>
                <w:lang w:eastAsia="cs-CZ"/>
              </w:rPr>
            </w:pPr>
            <w:r w:rsidRPr="00993BDA">
              <w:rPr>
                <w:rFonts w:ascii="Arial" w:eastAsia="Times New Roman" w:hAnsi="Arial" w:cs="Arial"/>
                <w:color w:val="494948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Irsko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3 369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3 580</w:t>
            </w:r>
          </w:p>
        </w:tc>
      </w:tr>
      <w:tr w:rsidR="00B26E1D" w:rsidRPr="00993BDA" w:rsidTr="00B26E1D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009EE3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color w:val="494948"/>
                <w:sz w:val="16"/>
                <w:szCs w:val="16"/>
                <w:lang w:eastAsia="cs-CZ"/>
              </w:rPr>
            </w:pPr>
            <w:r w:rsidRPr="00993BDA">
              <w:rPr>
                <w:rFonts w:ascii="Arial" w:eastAsia="Times New Roman" w:hAnsi="Arial" w:cs="Arial"/>
                <w:color w:val="494948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Itálie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2 622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2 768</w:t>
            </w:r>
          </w:p>
        </w:tc>
      </w:tr>
      <w:tr w:rsidR="00B26E1D" w:rsidRPr="00993BDA" w:rsidTr="00B26E1D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009EE3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color w:val="494948"/>
                <w:sz w:val="16"/>
                <w:szCs w:val="16"/>
                <w:lang w:eastAsia="cs-CZ"/>
              </w:rPr>
            </w:pPr>
            <w:r w:rsidRPr="00993BDA">
              <w:rPr>
                <w:rFonts w:ascii="Arial" w:eastAsia="Times New Roman" w:hAnsi="Arial" w:cs="Arial"/>
                <w:color w:val="494948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Nizozemí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3 966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4 230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4 374</w:t>
            </w:r>
          </w:p>
        </w:tc>
      </w:tr>
      <w:tr w:rsidR="00B26E1D" w:rsidRPr="00993BDA" w:rsidTr="00B26E1D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009EE3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color w:val="494948"/>
                <w:sz w:val="16"/>
                <w:szCs w:val="16"/>
                <w:lang w:eastAsia="cs-CZ"/>
              </w:rPr>
            </w:pPr>
            <w:r w:rsidRPr="00993BDA">
              <w:rPr>
                <w:rFonts w:ascii="Arial" w:eastAsia="Times New Roman" w:hAnsi="Arial" w:cs="Arial"/>
                <w:color w:val="494948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Norsko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8 509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8 854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9 102</w:t>
            </w:r>
          </w:p>
        </w:tc>
      </w:tr>
      <w:tr w:rsidR="00B26E1D" w:rsidRPr="00993BDA" w:rsidTr="00B26E1D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009EE3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color w:val="494948"/>
                <w:sz w:val="16"/>
                <w:szCs w:val="16"/>
                <w:lang w:eastAsia="cs-CZ"/>
              </w:rPr>
            </w:pPr>
            <w:r w:rsidRPr="00993BDA">
              <w:rPr>
                <w:rFonts w:ascii="Arial" w:eastAsia="Times New Roman" w:hAnsi="Arial" w:cs="Arial"/>
                <w:color w:val="494948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Portugalsko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1 637</w:t>
            </w:r>
          </w:p>
        </w:tc>
      </w:tr>
      <w:tr w:rsidR="00B26E1D" w:rsidRPr="00993BDA" w:rsidTr="00B26E1D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009EE3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color w:val="494948"/>
                <w:sz w:val="16"/>
                <w:szCs w:val="16"/>
                <w:lang w:eastAsia="cs-CZ"/>
              </w:rPr>
            </w:pPr>
            <w:r w:rsidRPr="00993BDA">
              <w:rPr>
                <w:rFonts w:ascii="Arial" w:eastAsia="Times New Roman" w:hAnsi="Arial" w:cs="Arial"/>
                <w:color w:val="494948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Španělsko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1 949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2 019</w:t>
            </w:r>
          </w:p>
        </w:tc>
      </w:tr>
      <w:tr w:rsidR="00B26E1D" w:rsidRPr="00993BDA" w:rsidTr="00B26E1D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009EE3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color w:val="494948"/>
                <w:sz w:val="16"/>
                <w:szCs w:val="16"/>
                <w:lang w:eastAsia="cs-CZ"/>
              </w:rPr>
            </w:pPr>
            <w:r w:rsidRPr="00993BDA">
              <w:rPr>
                <w:rFonts w:ascii="Arial" w:eastAsia="Times New Roman" w:hAnsi="Arial" w:cs="Arial"/>
                <w:color w:val="494948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Švédsko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3 566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3 708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3 660</w:t>
            </w:r>
          </w:p>
        </w:tc>
      </w:tr>
      <w:tr w:rsidR="00B26E1D" w:rsidRPr="00993BDA" w:rsidTr="00B26E1D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009EE3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color w:val="494948"/>
                <w:sz w:val="16"/>
                <w:szCs w:val="16"/>
                <w:lang w:eastAsia="cs-CZ"/>
              </w:rPr>
            </w:pPr>
            <w:r w:rsidRPr="00993BDA">
              <w:rPr>
                <w:rFonts w:ascii="Arial" w:eastAsia="Times New Roman" w:hAnsi="Arial" w:cs="Arial"/>
                <w:color w:val="494948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Švýcarsko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7 744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7 555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7 506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7 551</w:t>
            </w:r>
          </w:p>
        </w:tc>
      </w:tr>
      <w:tr w:rsidR="00B26E1D" w:rsidRPr="00993BDA" w:rsidTr="00B26E1D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color w:val="494948"/>
                <w:sz w:val="16"/>
                <w:szCs w:val="16"/>
                <w:lang w:eastAsia="cs-CZ"/>
              </w:rPr>
            </w:pPr>
            <w:r w:rsidRPr="00993BDA">
              <w:rPr>
                <w:rFonts w:ascii="Arial" w:eastAsia="Times New Roman" w:hAnsi="Arial" w:cs="Arial"/>
                <w:color w:val="494948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Velká Británie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3 411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3 533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3 600</w:t>
            </w:r>
          </w:p>
        </w:tc>
      </w:tr>
      <w:tr w:rsidR="00B26E1D" w:rsidRPr="00993BDA" w:rsidTr="00B26E1D">
        <w:trPr>
          <w:trHeight w:val="225"/>
        </w:trPr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4EDFC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color w:val="494948"/>
                <w:sz w:val="16"/>
                <w:szCs w:val="16"/>
                <w:lang w:eastAsia="cs-CZ"/>
              </w:rPr>
            </w:pPr>
            <w:r w:rsidRPr="00993BDA">
              <w:rPr>
                <w:rFonts w:ascii="Arial" w:eastAsia="Times New Roman" w:hAnsi="Arial" w:cs="Arial"/>
                <w:color w:val="494948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9EE3"/>
            </w:tcBorders>
            <w:shd w:val="clear" w:color="000000" w:fill="D4EDFC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Západní Evropa (EC-15)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9EE3"/>
            </w:tcBorders>
            <w:shd w:val="clear" w:color="000000" w:fill="D4EDFC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9EE3"/>
            </w:tcBorders>
            <w:shd w:val="clear" w:color="000000" w:fill="D4EDFC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3 231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9EE3"/>
            </w:tcBorders>
            <w:shd w:val="clear" w:color="000000" w:fill="D4EDFC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3 248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DFC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9EE3"/>
            </w:tcBorders>
            <w:shd w:val="clear" w:color="000000" w:fill="D4EDFC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DFC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EDFC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3 466</w:t>
            </w:r>
          </w:p>
        </w:tc>
      </w:tr>
      <w:tr w:rsidR="00B26E1D" w:rsidRPr="00993BDA" w:rsidTr="00B26E1D">
        <w:trPr>
          <w:trHeight w:val="225"/>
        </w:trPr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color w:val="F4B083" w:themeColor="accent2" w:themeTint="99"/>
                <w:sz w:val="16"/>
                <w:szCs w:val="16"/>
                <w:lang w:eastAsia="cs-CZ"/>
              </w:rPr>
            </w:pPr>
            <w:r w:rsidRPr="00993BDA">
              <w:rPr>
                <w:rFonts w:ascii="Arial" w:eastAsia="Times New Roman" w:hAnsi="Arial" w:cs="Arial"/>
                <w:color w:val="F4B083" w:themeColor="accent2" w:themeTint="99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9EE3"/>
            </w:tcBorders>
            <w:shd w:val="clear" w:color="auto" w:fill="F7CAAC" w:themeFill="accent2" w:themeFillTint="66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9EE3"/>
            </w:tcBorders>
            <w:shd w:val="clear" w:color="auto" w:fill="F7CAAC" w:themeFill="accent2" w:themeFillTint="66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1 628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9EE3"/>
            </w:tcBorders>
            <w:shd w:val="clear" w:color="auto" w:fill="F7CAAC" w:themeFill="accent2" w:themeFillTint="66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9EE3"/>
            </w:tcBorders>
            <w:shd w:val="clear" w:color="auto" w:fill="F7CAAC" w:themeFill="accent2" w:themeFillTint="66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9EE3"/>
            </w:tcBorders>
            <w:shd w:val="clear" w:color="auto" w:fill="F7CAAC" w:themeFill="accent2" w:themeFillTint="66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1 809</w:t>
            </w:r>
          </w:p>
        </w:tc>
      </w:tr>
      <w:tr w:rsidR="00B26E1D" w:rsidRPr="00993BDA" w:rsidTr="00B26E1D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009EE3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color w:val="494948"/>
                <w:sz w:val="16"/>
                <w:szCs w:val="16"/>
                <w:lang w:eastAsia="cs-CZ"/>
              </w:rPr>
            </w:pPr>
            <w:r w:rsidRPr="00993BDA">
              <w:rPr>
                <w:rFonts w:ascii="Arial" w:eastAsia="Times New Roman" w:hAnsi="Arial" w:cs="Arial"/>
                <w:color w:val="494948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Maďarsko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1 102</w:t>
            </w:r>
          </w:p>
        </w:tc>
      </w:tr>
      <w:tr w:rsidR="00B26E1D" w:rsidRPr="00993BDA" w:rsidTr="00B26E1D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009EE3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color w:val="494948"/>
                <w:sz w:val="16"/>
                <w:szCs w:val="16"/>
                <w:lang w:eastAsia="cs-CZ"/>
              </w:rPr>
            </w:pPr>
            <w:r w:rsidRPr="00993BDA">
              <w:rPr>
                <w:rFonts w:ascii="Arial" w:eastAsia="Times New Roman" w:hAnsi="Arial" w:cs="Arial"/>
                <w:color w:val="494948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9EE3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9EE3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1 470</w:t>
            </w:r>
          </w:p>
        </w:tc>
      </w:tr>
      <w:tr w:rsidR="00B26E1D" w:rsidRPr="00993BDA" w:rsidTr="00B26E1D">
        <w:trPr>
          <w:trHeight w:val="22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color w:val="494948"/>
                <w:sz w:val="16"/>
                <w:szCs w:val="16"/>
                <w:lang w:eastAsia="cs-CZ"/>
              </w:rPr>
            </w:pPr>
            <w:r w:rsidRPr="00993BDA">
              <w:rPr>
                <w:rFonts w:ascii="Arial" w:eastAsia="Times New Roman" w:hAnsi="Arial" w:cs="Arial"/>
                <w:color w:val="494948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9EE3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964</w:t>
            </w:r>
          </w:p>
        </w:tc>
      </w:tr>
      <w:tr w:rsidR="00B26E1D" w:rsidRPr="00993BDA" w:rsidTr="00B26E1D">
        <w:trPr>
          <w:trHeight w:val="225"/>
        </w:trPr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4EDFC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color w:val="494948"/>
                <w:sz w:val="16"/>
                <w:szCs w:val="16"/>
                <w:lang w:eastAsia="cs-CZ"/>
              </w:rPr>
            </w:pPr>
            <w:r w:rsidRPr="00993BDA">
              <w:rPr>
                <w:rFonts w:ascii="Arial" w:eastAsia="Times New Roman" w:hAnsi="Arial" w:cs="Arial"/>
                <w:color w:val="494948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9EE3"/>
            </w:tcBorders>
            <w:shd w:val="clear" w:color="000000" w:fill="D4EDFC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Východní Evropa (EC-4)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9EE3"/>
            </w:tcBorders>
            <w:shd w:val="clear" w:color="000000" w:fill="D4EDFC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9EE3"/>
            </w:tcBorders>
            <w:shd w:val="clear" w:color="000000" w:fill="D4EDFC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9EE3"/>
            </w:tcBorders>
            <w:shd w:val="clear" w:color="000000" w:fill="D4EDFC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DFC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9EE3"/>
            </w:tcBorders>
            <w:shd w:val="clear" w:color="000000" w:fill="D4EDFC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DFC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EDFC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1 427</w:t>
            </w:r>
          </w:p>
        </w:tc>
      </w:tr>
      <w:tr w:rsidR="00B26E1D" w:rsidRPr="00993BDA" w:rsidTr="00B26E1D">
        <w:trPr>
          <w:trHeight w:val="450"/>
        </w:trPr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</w:pPr>
            <w:r w:rsidRPr="00993BDA">
              <w:rPr>
                <w:rFonts w:ascii="Arial" w:eastAsia="Times New Roman" w:hAnsi="Arial" w:cs="Arial"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E2EFD9" w:themeFill="accent6" w:themeFillTint="33"/>
            <w:vAlign w:val="center"/>
            <w:hideMark/>
          </w:tcPr>
          <w:p w:rsidR="00B26E1D" w:rsidRPr="00993BDA" w:rsidRDefault="00B26E1D" w:rsidP="00B26E1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Země </w:t>
            </w:r>
            <w:proofErr w:type="spellStart"/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Euroconstruct</w:t>
            </w:r>
            <w:proofErr w:type="spellEnd"/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(EC-19)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E2EFD9" w:themeFill="accent6" w:themeFillTint="33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E2EFD9" w:themeFill="accent6" w:themeFillTint="33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2 937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E2EFD9" w:themeFill="accent6" w:themeFillTint="33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2 960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E2EFD9" w:themeFill="accent6" w:themeFillTint="33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3B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3 191</w:t>
            </w:r>
          </w:p>
        </w:tc>
      </w:tr>
      <w:tr w:rsidR="00B26E1D" w:rsidRPr="00993BDA" w:rsidTr="00B26E1D">
        <w:trPr>
          <w:trHeight w:val="225"/>
        </w:trPr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1D" w:rsidRPr="00D834BF" w:rsidRDefault="00B26E1D" w:rsidP="00B26E1D">
            <w:pPr>
              <w:spacing w:after="0"/>
              <w:ind w:firstLineChars="100" w:firstLine="200"/>
              <w:jc w:val="right"/>
              <w:rPr>
                <w:rFonts w:ascii="Fedra Sans Std Bold" w:eastAsia="Times New Roman" w:hAnsi="Fedra Sans Std Bold" w:cs="Tahoma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E1D" w:rsidRPr="00993BDA" w:rsidRDefault="00B26E1D" w:rsidP="00B26E1D">
            <w:pPr>
              <w:spacing w:after="0"/>
              <w:ind w:firstLineChars="100" w:firstLine="200"/>
              <w:rPr>
                <w:rFonts w:eastAsia="Times New Roman"/>
                <w:sz w:val="20"/>
                <w:szCs w:val="20"/>
                <w:lang w:eastAsia="cs-CZ"/>
              </w:rPr>
            </w:pPr>
            <w:r w:rsidRPr="00D834BF">
              <w:rPr>
                <w:rFonts w:ascii="Arial" w:eastAsia="Times New Roman" w:hAnsi="Arial" w:cs="Arial"/>
                <w:i/>
                <w:iCs/>
                <w:color w:val="494948"/>
                <w:sz w:val="20"/>
                <w:szCs w:val="20"/>
                <w:lang w:eastAsia="cs-CZ"/>
              </w:rPr>
              <w:t>Zdroj: EUROCONSTRUCT, Červen 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1D" w:rsidRPr="00993BDA" w:rsidRDefault="00B26E1D" w:rsidP="00B26E1D">
            <w:pPr>
              <w:spacing w:after="0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:rsidR="00B26E1D" w:rsidRDefault="00B26E1D" w:rsidP="00B26E1D">
      <w:pPr>
        <w:spacing w:after="0" w:line="276" w:lineRule="auto"/>
        <w:jc w:val="both"/>
        <w:rPr>
          <w:b/>
          <w:sz w:val="28"/>
          <w:szCs w:val="28"/>
        </w:rPr>
      </w:pPr>
    </w:p>
    <w:p w:rsidR="00D8626B" w:rsidRDefault="00D8626B" w:rsidP="00D8626B">
      <w:pPr>
        <w:pStyle w:val="Zkladntext"/>
        <w:spacing w:before="120" w:line="276" w:lineRule="auto"/>
        <w:jc w:val="both"/>
      </w:pPr>
      <w:r>
        <w:t>Intenzita výstavby (objem výstavby na obyvatele) je v naší republice neporovnatelná se zeměmi EC 15. ČR dosahuje pouze polovinu průměrné výše. Ještě menší díl má ve srovnání s Německem, Belgií, Holandskem, Rakouskem, dosahuje přibližně 40%. Srovnání se špičkovými zeměmi Norskem a Švýcarskem je na úrovni 20%.</w:t>
      </w:r>
    </w:p>
    <w:p w:rsidR="00D8626B" w:rsidRPr="00A45C19" w:rsidRDefault="00D8626B" w:rsidP="00D8626B">
      <w:pPr>
        <w:spacing w:line="276" w:lineRule="auto"/>
        <w:jc w:val="both"/>
      </w:pPr>
      <w:r>
        <w:t xml:space="preserve">Vláda musí </w:t>
      </w:r>
      <w:r w:rsidRPr="00A45C19">
        <w:t>mít vždy vizi budoucího směřování celé země a umět si odpovědět na otázky, z čeho bude naše země generovat příjmy, kde jsou naše konkurenční výhody</w:t>
      </w:r>
      <w:r>
        <w:t>.</w:t>
      </w:r>
      <w:r w:rsidRPr="00A45C19">
        <w:t xml:space="preserve"> </w:t>
      </w:r>
      <w:r>
        <w:t>K</w:t>
      </w:r>
      <w:r w:rsidRPr="00A45C19">
        <w:t>oncepční přístup</w:t>
      </w:r>
      <w:r>
        <w:t xml:space="preserve"> je </w:t>
      </w:r>
      <w:r w:rsidRPr="00A45C19">
        <w:t xml:space="preserve">extrémně důležitý. </w:t>
      </w:r>
    </w:p>
    <w:p w:rsidR="00D8626B" w:rsidRDefault="00D8626B" w:rsidP="00D8626B">
      <w:pPr>
        <w:spacing w:after="120" w:line="276" w:lineRule="auto"/>
        <w:jc w:val="both"/>
      </w:pPr>
      <w:r w:rsidRPr="00A45C19">
        <w:t>P</w:t>
      </w:r>
      <w:r>
        <w:t>ro české</w:t>
      </w:r>
      <w:r w:rsidRPr="00A45C19">
        <w:t xml:space="preserve"> </w:t>
      </w:r>
      <w:r>
        <w:t xml:space="preserve">stavebnictví </w:t>
      </w:r>
      <w:r w:rsidRPr="00A45C19">
        <w:t>je důleži</w:t>
      </w:r>
      <w:r>
        <w:t>té rychlé obnovení dynamiky je</w:t>
      </w:r>
      <w:r w:rsidRPr="00A45C19">
        <w:t>ho růstu.</w:t>
      </w:r>
      <w:r>
        <w:t xml:space="preserve"> </w:t>
      </w:r>
      <w:r w:rsidRPr="00A45C19">
        <w:t>Je nezbytné, aby si stát uvědomil svo</w:t>
      </w:r>
      <w:r>
        <w:t>ji</w:t>
      </w:r>
      <w:r w:rsidRPr="00A45C19">
        <w:t xml:space="preserve"> pozici v tomto odvětví a stanovil jasnou a dlouhodobě platnou investiční koncepc</w:t>
      </w:r>
      <w:r>
        <w:t>i.</w:t>
      </w:r>
      <w:r w:rsidRPr="00A45C19">
        <w:t xml:space="preserve"> </w:t>
      </w:r>
    </w:p>
    <w:p w:rsidR="00D8626B" w:rsidRPr="00A45C19" w:rsidRDefault="00D8626B" w:rsidP="00D8626B">
      <w:pPr>
        <w:spacing w:after="120" w:line="276" w:lineRule="auto"/>
        <w:jc w:val="both"/>
      </w:pPr>
      <w:r>
        <w:t xml:space="preserve">Politickými i občanskými tlaky je nezbytné </w:t>
      </w:r>
      <w:r w:rsidRPr="00A45C19">
        <w:t xml:space="preserve">podnítit státní správu a politickou reprezentaci k jasné formulaci </w:t>
      </w:r>
      <w:r>
        <w:t>strategie</w:t>
      </w:r>
      <w:r w:rsidRPr="00A45C19">
        <w:t xml:space="preserve"> veřejných investic a k přijetí takových opatření, která povedou ke stabilizaci staveb</w:t>
      </w:r>
      <w:r w:rsidRPr="00A45C19">
        <w:softHyphen/>
        <w:t>nictví v krátkodobém horizontu a která by za stanovených podmínek vedla k dlouhodobě udržitelnému objemu stavební výroby.</w:t>
      </w:r>
    </w:p>
    <w:p w:rsidR="00D8626B" w:rsidRPr="00241459" w:rsidRDefault="00D8626B" w:rsidP="00D8626B">
      <w:pPr>
        <w:pStyle w:val="BodyText1"/>
        <w:spacing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5C19">
        <w:rPr>
          <w:rFonts w:ascii="Times New Roman" w:hAnsi="Times New Roman" w:cs="Times New Roman"/>
          <w:color w:val="auto"/>
          <w:sz w:val="24"/>
          <w:szCs w:val="24"/>
        </w:rPr>
        <w:t xml:space="preserve">Přístup státu k investicím by měl být pragmatický s důrazem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zejména na </w:t>
      </w:r>
      <w:r w:rsidRPr="00A45C19">
        <w:rPr>
          <w:rFonts w:ascii="Times New Roman" w:hAnsi="Times New Roman" w:cs="Times New Roman"/>
          <w:bCs/>
          <w:color w:val="auto"/>
          <w:sz w:val="24"/>
          <w:szCs w:val="24"/>
        </w:rPr>
        <w:t>k</w:t>
      </w:r>
      <w:r w:rsidRPr="00A45C19">
        <w:rPr>
          <w:rFonts w:ascii="Times New Roman" w:hAnsi="Times New Roman" w:cs="Times New Roman"/>
          <w:color w:val="auto"/>
          <w:sz w:val="24"/>
          <w:szCs w:val="24"/>
        </w:rPr>
        <w:t>oncepčnost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45C1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45C19">
        <w:rPr>
          <w:rFonts w:ascii="Times New Roman" w:hAnsi="Times New Roman" w:cs="Times New Roman"/>
          <w:bCs/>
          <w:color w:val="auto"/>
          <w:sz w:val="24"/>
          <w:szCs w:val="24"/>
        </w:rPr>
        <w:t>d</w:t>
      </w:r>
      <w:r w:rsidRPr="00A45C19">
        <w:rPr>
          <w:rFonts w:ascii="Times New Roman" w:hAnsi="Times New Roman" w:cs="Times New Roman"/>
          <w:color w:val="auto"/>
          <w:sz w:val="24"/>
          <w:szCs w:val="24"/>
        </w:rPr>
        <w:t>louhodobý přístup nesvázaný s politickým cyklem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A45C19">
        <w:rPr>
          <w:rFonts w:ascii="Times New Roman" w:hAnsi="Times New Roman" w:cs="Times New Roman"/>
          <w:bCs/>
          <w:color w:val="auto"/>
          <w:sz w:val="24"/>
          <w:szCs w:val="24"/>
        </w:rPr>
        <w:t>p</w:t>
      </w:r>
      <w:r w:rsidRPr="00A45C19">
        <w:rPr>
          <w:rFonts w:ascii="Times New Roman" w:hAnsi="Times New Roman" w:cs="Times New Roman"/>
          <w:color w:val="auto"/>
          <w:sz w:val="24"/>
          <w:szCs w:val="24"/>
        </w:rPr>
        <w:t>roticykličnost</w:t>
      </w:r>
      <w:proofErr w:type="spellEnd"/>
      <w:r w:rsidRPr="00A45C19">
        <w:rPr>
          <w:rFonts w:ascii="Times New Roman" w:hAnsi="Times New Roman" w:cs="Times New Roman"/>
          <w:color w:val="auto"/>
          <w:sz w:val="24"/>
          <w:szCs w:val="24"/>
        </w:rPr>
        <w:t xml:space="preserve"> (tedy nepřispívat k výkyvům ekonomického cyklu)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 </w:t>
      </w:r>
      <w:r w:rsidRPr="00A45C19">
        <w:rPr>
          <w:rFonts w:ascii="Times New Roman" w:hAnsi="Times New Roman" w:cs="Times New Roman"/>
          <w:bCs/>
          <w:color w:val="auto"/>
          <w:sz w:val="24"/>
          <w:szCs w:val="24"/>
        </w:rPr>
        <w:t>k</w:t>
      </w:r>
      <w:r w:rsidRPr="00A45C19">
        <w:rPr>
          <w:rFonts w:ascii="Times New Roman" w:hAnsi="Times New Roman" w:cs="Times New Roman"/>
          <w:color w:val="auto"/>
          <w:sz w:val="24"/>
          <w:szCs w:val="24"/>
        </w:rPr>
        <w:t>ontinuit</w:t>
      </w:r>
      <w:r w:rsidRPr="00A45C19">
        <w:rPr>
          <w:rFonts w:ascii="Times New Roman" w:hAnsi="Times New Roman" w:cs="Times New Roman"/>
          <w:bCs/>
          <w:color w:val="auto"/>
          <w:sz w:val="24"/>
          <w:szCs w:val="24"/>
        </w:rPr>
        <w:t>u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8626B" w:rsidRDefault="00D8626B" w:rsidP="00D8626B">
      <w:pPr>
        <w:autoSpaceDE w:val="0"/>
        <w:autoSpaceDN w:val="0"/>
        <w:adjustRightInd w:val="0"/>
        <w:spacing w:after="120" w:line="276" w:lineRule="auto"/>
        <w:jc w:val="both"/>
      </w:pPr>
      <w:r w:rsidRPr="00A45C19">
        <w:t xml:space="preserve">Stát, v určitých segmentech nenahraditelný a dominantní investor, by měl svou pozici využít a koncepcí a investiční strategií celý systém stabilizovat a nikoliv naopak. Role státu by měla </w:t>
      </w:r>
      <w:r w:rsidRPr="00A45C19">
        <w:lastRenderedPageBreak/>
        <w:t>být v zajištění plynulosti přechodu mezi jednotlivými fázemi ekonomického cyklu, které jsou běžným jevem. Stát by si měl uvědomit svou výlučnou pozici coby investora a zákazníka pro</w:t>
      </w:r>
      <w:r>
        <w:t xml:space="preserve"> </w:t>
      </w:r>
      <w:r w:rsidRPr="00A45C19">
        <w:t>stavebnictví a jeho ekonomický význam</w:t>
      </w:r>
      <w:r>
        <w:t>.</w:t>
      </w:r>
      <w:r w:rsidRPr="00A45C19">
        <w:t xml:space="preserve"> </w:t>
      </w:r>
    </w:p>
    <w:p w:rsidR="00D8626B" w:rsidRDefault="00D8626B" w:rsidP="00D8626B">
      <w:pPr>
        <w:autoSpaceDE w:val="0"/>
        <w:autoSpaceDN w:val="0"/>
        <w:adjustRightInd w:val="0"/>
        <w:spacing w:after="120" w:line="276" w:lineRule="auto"/>
        <w:jc w:val="both"/>
      </w:pPr>
    </w:p>
    <w:p w:rsidR="00D8626B" w:rsidRDefault="00D8626B" w:rsidP="00D8626B">
      <w:pPr>
        <w:autoSpaceDE w:val="0"/>
        <w:autoSpaceDN w:val="0"/>
        <w:adjustRightInd w:val="0"/>
        <w:spacing w:after="120" w:line="276" w:lineRule="auto"/>
        <w:jc w:val="both"/>
        <w:rPr>
          <w:b/>
          <w:sz w:val="28"/>
          <w:szCs w:val="28"/>
        </w:rPr>
      </w:pPr>
      <w:r w:rsidRPr="00D8626B">
        <w:rPr>
          <w:b/>
          <w:sz w:val="28"/>
          <w:szCs w:val="28"/>
        </w:rPr>
        <w:t>Prioritní cíle pro novou vládu</w:t>
      </w:r>
    </w:p>
    <w:p w:rsidR="00D8626B" w:rsidRPr="00443574" w:rsidRDefault="00D8626B" w:rsidP="00D8626B">
      <w:pPr>
        <w:autoSpaceDE w:val="0"/>
        <w:autoSpaceDN w:val="0"/>
        <w:adjustRightInd w:val="0"/>
        <w:spacing w:after="120" w:line="276" w:lineRule="auto"/>
        <w:jc w:val="both"/>
        <w:rPr>
          <w:b/>
          <w:u w:val="single"/>
        </w:rPr>
      </w:pPr>
      <w:r w:rsidRPr="00443574">
        <w:rPr>
          <w:b/>
          <w:u w:val="single"/>
        </w:rPr>
        <w:t>Zásadní reorganizace státní správy</w:t>
      </w:r>
    </w:p>
    <w:p w:rsidR="00443574" w:rsidRPr="008F6367" w:rsidRDefault="00443574" w:rsidP="00443574">
      <w:pPr>
        <w:spacing w:line="276" w:lineRule="auto"/>
        <w:jc w:val="both"/>
      </w:pPr>
      <w:r w:rsidRPr="008F6367">
        <w:t>Veřejné investice a tím i odvětví stavebnictví dlouhodobě postrádají koncepční zastřešení. Jedním z důvodu tohoto stavu je institucionální podcenění této oblasti. Nekoncepčnost v oblasti veřejných investic souvisí s organizačním uspořádáním veřejných investic v rámci veřejné správy. Na rozdíl od jiných zemí nejsou v ČR veřejné investice a odvětví stavebnictví adekvátně organizačně řízeny.</w:t>
      </w:r>
    </w:p>
    <w:p w:rsidR="00443574" w:rsidRPr="008F6367" w:rsidRDefault="00443574" w:rsidP="00443574">
      <w:pPr>
        <w:pStyle w:val="BodyText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367">
        <w:rPr>
          <w:rFonts w:ascii="Times New Roman" w:hAnsi="Times New Roman" w:cs="Times New Roman"/>
          <w:sz w:val="24"/>
          <w:szCs w:val="24"/>
        </w:rPr>
        <w:t xml:space="preserve">Stavebnictví je </w:t>
      </w:r>
      <w:r>
        <w:rPr>
          <w:rFonts w:ascii="Times New Roman" w:hAnsi="Times New Roman" w:cs="Times New Roman"/>
          <w:sz w:val="24"/>
          <w:szCs w:val="24"/>
        </w:rPr>
        <w:t xml:space="preserve">podle kompetenčního zákona </w:t>
      </w:r>
      <w:r w:rsidRPr="008F6367">
        <w:rPr>
          <w:rFonts w:ascii="Times New Roman" w:hAnsi="Times New Roman" w:cs="Times New Roman"/>
          <w:sz w:val="24"/>
          <w:szCs w:val="24"/>
        </w:rPr>
        <w:t xml:space="preserve">v gesci Ministerstva průmyslu a obchodu, ale ve skutečnosti jsou klíčové otázky veřejných investic, jejich podpory a tím také stavebnictví rozděleny mezi pět ministerstev - MPO, MMR, MD, MŽP, MZ (vodní hospodářství). K národohospodářskému propojení a vytvoření skutečné strategie či koncepce tak téměř nemůže dojít. </w:t>
      </w:r>
    </w:p>
    <w:p w:rsidR="00443574" w:rsidRPr="00443574" w:rsidRDefault="00443574" w:rsidP="00443574">
      <w:pPr>
        <w:spacing w:after="0" w:line="276" w:lineRule="auto"/>
        <w:jc w:val="both"/>
        <w:outlineLvl w:val="0"/>
        <w:rPr>
          <w:b/>
          <w:bCs/>
          <w:i/>
        </w:rPr>
      </w:pPr>
      <w:r w:rsidRPr="00443574">
        <w:rPr>
          <w:b/>
          <w:bCs/>
          <w:i/>
        </w:rPr>
        <w:t>Navrhované opatření:</w:t>
      </w:r>
    </w:p>
    <w:p w:rsidR="00443574" w:rsidRDefault="00443574" w:rsidP="00443574">
      <w:pPr>
        <w:pStyle w:val="BodyText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574">
        <w:rPr>
          <w:rFonts w:ascii="Times New Roman" w:hAnsi="Times New Roman" w:cs="Times New Roman"/>
          <w:i/>
          <w:iCs/>
          <w:sz w:val="24"/>
          <w:szCs w:val="24"/>
        </w:rPr>
        <w:t xml:space="preserve">Centralizovat nebo centrálně koordinovat horizontální i obecné právní, metodické a systémové záležitosti týkající se stavebnictví jako celku na jednom ministerstvu. </w:t>
      </w:r>
      <w:r w:rsidRPr="00443574">
        <w:rPr>
          <w:rFonts w:ascii="Times New Roman" w:hAnsi="Times New Roman" w:cs="Times New Roman"/>
          <w:bCs/>
          <w:i/>
          <w:sz w:val="24"/>
          <w:szCs w:val="24"/>
        </w:rPr>
        <w:t>Ideálním řešením by bylo</w:t>
      </w:r>
      <w:r w:rsidRPr="00443574">
        <w:rPr>
          <w:rFonts w:ascii="Times New Roman" w:hAnsi="Times New Roman" w:cs="Times New Roman"/>
          <w:i/>
          <w:sz w:val="24"/>
          <w:szCs w:val="24"/>
        </w:rPr>
        <w:t xml:space="preserve"> vytvoř</w:t>
      </w:r>
      <w:r w:rsidRPr="00443574">
        <w:rPr>
          <w:rFonts w:ascii="Times New Roman" w:hAnsi="Times New Roman" w:cs="Times New Roman"/>
          <w:bCs/>
          <w:i/>
          <w:sz w:val="24"/>
          <w:szCs w:val="24"/>
        </w:rPr>
        <w:t>ení</w:t>
      </w:r>
      <w:r w:rsidRPr="00443574">
        <w:rPr>
          <w:rFonts w:ascii="Times New Roman" w:hAnsi="Times New Roman" w:cs="Times New Roman"/>
          <w:i/>
          <w:sz w:val="24"/>
          <w:szCs w:val="24"/>
        </w:rPr>
        <w:t xml:space="preserve"> jediné</w:t>
      </w:r>
      <w:r w:rsidRPr="00443574">
        <w:rPr>
          <w:rFonts w:ascii="Times New Roman" w:hAnsi="Times New Roman" w:cs="Times New Roman"/>
          <w:bCs/>
          <w:i/>
          <w:sz w:val="24"/>
          <w:szCs w:val="24"/>
        </w:rPr>
        <w:t>ho</w:t>
      </w:r>
      <w:r w:rsidRPr="00443574">
        <w:rPr>
          <w:rFonts w:ascii="Times New Roman" w:hAnsi="Times New Roman" w:cs="Times New Roman"/>
          <w:i/>
          <w:sz w:val="24"/>
          <w:szCs w:val="24"/>
        </w:rPr>
        <w:t xml:space="preserve"> ministerstv</w:t>
      </w:r>
      <w:r w:rsidRPr="00443574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Pr="00443574">
        <w:rPr>
          <w:rFonts w:ascii="Times New Roman" w:hAnsi="Times New Roman" w:cs="Times New Roman"/>
          <w:i/>
          <w:sz w:val="24"/>
          <w:szCs w:val="24"/>
        </w:rPr>
        <w:t xml:space="preserve"> spojující</w:t>
      </w:r>
      <w:r w:rsidRPr="00443574">
        <w:rPr>
          <w:rFonts w:ascii="Times New Roman" w:hAnsi="Times New Roman" w:cs="Times New Roman"/>
          <w:bCs/>
          <w:i/>
          <w:sz w:val="24"/>
          <w:szCs w:val="24"/>
        </w:rPr>
        <w:t>ho v oblasti investic</w:t>
      </w:r>
      <w:r w:rsidRPr="00443574">
        <w:rPr>
          <w:rFonts w:ascii="Times New Roman" w:hAnsi="Times New Roman" w:cs="Times New Roman"/>
          <w:i/>
          <w:sz w:val="24"/>
          <w:szCs w:val="24"/>
        </w:rPr>
        <w:t xml:space="preserve"> kompetence ministerstva dopravy, ministerstva pro místní rozvoj, ministerstva průmyslu a obchodu </w:t>
      </w:r>
      <w:r w:rsidRPr="00443574">
        <w:rPr>
          <w:rFonts w:ascii="Times New Roman" w:hAnsi="Times New Roman" w:cs="Times New Roman"/>
          <w:bCs/>
          <w:i/>
          <w:sz w:val="24"/>
          <w:szCs w:val="24"/>
        </w:rPr>
        <w:t>a ministerstva životního prostředí</w:t>
      </w:r>
      <w:r w:rsidRPr="00443574">
        <w:rPr>
          <w:rFonts w:ascii="Times New Roman" w:hAnsi="Times New Roman" w:cs="Times New Roman"/>
          <w:i/>
          <w:sz w:val="24"/>
          <w:szCs w:val="24"/>
        </w:rPr>
        <w:t>.</w:t>
      </w:r>
    </w:p>
    <w:p w:rsidR="00443574" w:rsidRPr="00443574" w:rsidRDefault="00443574" w:rsidP="00443574">
      <w:pPr>
        <w:pStyle w:val="BodyTex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6B" w:rsidRDefault="00443574" w:rsidP="00443574">
      <w:pPr>
        <w:spacing w:after="120" w:line="276" w:lineRule="auto"/>
        <w:jc w:val="both"/>
        <w:rPr>
          <w:b/>
          <w:u w:val="single"/>
        </w:rPr>
      </w:pPr>
      <w:r w:rsidRPr="00443574">
        <w:rPr>
          <w:b/>
          <w:u w:val="single"/>
        </w:rPr>
        <w:t>Legislativa</w:t>
      </w:r>
    </w:p>
    <w:p w:rsidR="00443574" w:rsidRPr="00833BE0" w:rsidRDefault="00443574" w:rsidP="00443574">
      <w:pPr>
        <w:spacing w:after="120"/>
        <w:jc w:val="both"/>
      </w:pPr>
      <w:r w:rsidRPr="00833BE0">
        <w:t xml:space="preserve">Legislativa má pro investiční výstavbu zásadní význam a mnohdy </w:t>
      </w:r>
      <w:r>
        <w:t>podmiňuje</w:t>
      </w:r>
      <w:r w:rsidRPr="00833BE0">
        <w:t xml:space="preserve"> její úspěšnost více než finanční zajištění. Ovlivňuje rozhodujícím způsobem přípravu i realizaci staveb.</w:t>
      </w:r>
    </w:p>
    <w:p w:rsidR="00443574" w:rsidRDefault="00443574" w:rsidP="00443574">
      <w:pPr>
        <w:spacing w:after="120"/>
        <w:jc w:val="both"/>
      </w:pPr>
      <w:r w:rsidRPr="00833BE0">
        <w:t xml:space="preserve">V současné době je legislativa týkající se investiční výstavby jednou z hlavních příčin jejího poklesu. Dalšími příčinami jsou výkon státní správy a dlouhé lhůty pro povolování staveb, které jsou jedny z nejdelších na světě. </w:t>
      </w:r>
    </w:p>
    <w:p w:rsidR="00443574" w:rsidRPr="00443574" w:rsidRDefault="00443574" w:rsidP="00E77322">
      <w:pPr>
        <w:spacing w:after="0"/>
        <w:jc w:val="both"/>
        <w:rPr>
          <w:b/>
          <w:i/>
        </w:rPr>
      </w:pPr>
      <w:r w:rsidRPr="00443574">
        <w:rPr>
          <w:b/>
          <w:i/>
        </w:rPr>
        <w:t>Navrhovaná opatření:</w:t>
      </w:r>
    </w:p>
    <w:p w:rsidR="00443574" w:rsidRPr="00E77322" w:rsidRDefault="00443574" w:rsidP="00E77322">
      <w:pPr>
        <w:pStyle w:val="Odstavecseseznamem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outlineLvl w:val="0"/>
        <w:rPr>
          <w:bCs/>
          <w:i/>
        </w:rPr>
      </w:pPr>
      <w:r w:rsidRPr="00E77322">
        <w:rPr>
          <w:bCs/>
          <w:i/>
        </w:rPr>
        <w:t xml:space="preserve">Provést kompletní rekodifikaci stavební legislativy včetně změny kompetenčního zákona při zajišťování veřejných stavebních investic i pro uplatňování územní regulace, povolování staveb a dohled nad výstavbou, včetně standardizace nových postupů. </w:t>
      </w:r>
    </w:p>
    <w:p w:rsidR="00443574" w:rsidRPr="00E77322" w:rsidRDefault="00443574" w:rsidP="00443574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jc w:val="both"/>
        <w:rPr>
          <w:i/>
        </w:rPr>
      </w:pPr>
      <w:r w:rsidRPr="00E77322">
        <w:rPr>
          <w:i/>
        </w:rPr>
        <w:t xml:space="preserve">Zjednodušit proces přípravy a realizace staveb. </w:t>
      </w:r>
    </w:p>
    <w:p w:rsidR="00443574" w:rsidRPr="00E77322" w:rsidRDefault="00443574" w:rsidP="00443574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jc w:val="both"/>
        <w:rPr>
          <w:i/>
        </w:rPr>
      </w:pPr>
      <w:r w:rsidRPr="00E77322">
        <w:rPr>
          <w:i/>
        </w:rPr>
        <w:t>Zlepšit výkon státní správy, zejména kompetenci stavebních úřadů.</w:t>
      </w:r>
    </w:p>
    <w:p w:rsidR="00E77322" w:rsidRPr="00E77322" w:rsidRDefault="00443574" w:rsidP="00E77322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jc w:val="both"/>
        <w:rPr>
          <w:i/>
        </w:rPr>
      </w:pPr>
      <w:r w:rsidRPr="00E77322">
        <w:rPr>
          <w:i/>
        </w:rPr>
        <w:t>Vytvo</w:t>
      </w:r>
      <w:r w:rsidR="00E77322" w:rsidRPr="00E77322">
        <w:rPr>
          <w:i/>
        </w:rPr>
        <w:t>řit nový stavební zákon.</w:t>
      </w:r>
      <w:r w:rsidRPr="00E77322">
        <w:rPr>
          <w:i/>
        </w:rPr>
        <w:t xml:space="preserve"> </w:t>
      </w:r>
    </w:p>
    <w:p w:rsidR="00E77322" w:rsidRPr="00E77322" w:rsidRDefault="00443574" w:rsidP="00E77322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jc w:val="both"/>
        <w:rPr>
          <w:i/>
        </w:rPr>
      </w:pPr>
      <w:r w:rsidRPr="00E77322">
        <w:rPr>
          <w:i/>
        </w:rPr>
        <w:t>Ze zákona o vlivu staveb na životní prostředí (EIA) odstranit všechna ustanovení, která jsou nad rámec Evropské směrnice</w:t>
      </w:r>
      <w:r w:rsidR="00E77322" w:rsidRPr="00E77322">
        <w:rPr>
          <w:i/>
        </w:rPr>
        <w:t>.</w:t>
      </w:r>
    </w:p>
    <w:p w:rsidR="00E77322" w:rsidRPr="00E77322" w:rsidRDefault="00E77322" w:rsidP="00E61633">
      <w:pPr>
        <w:pStyle w:val="Odstavecseseznamem"/>
        <w:spacing w:after="0" w:line="240" w:lineRule="auto"/>
        <w:ind w:left="425"/>
        <w:jc w:val="both"/>
        <w:rPr>
          <w:i/>
        </w:rPr>
      </w:pPr>
    </w:p>
    <w:p w:rsidR="00E77322" w:rsidRPr="00E77322" w:rsidRDefault="00E77322" w:rsidP="00E77322">
      <w:pPr>
        <w:spacing w:after="120" w:line="240" w:lineRule="auto"/>
        <w:jc w:val="both"/>
        <w:rPr>
          <w:b/>
          <w:u w:val="single"/>
        </w:rPr>
      </w:pPr>
      <w:r w:rsidRPr="00E77322">
        <w:rPr>
          <w:b/>
          <w:u w:val="single"/>
        </w:rPr>
        <w:t>Dopravní infrastruktura</w:t>
      </w:r>
    </w:p>
    <w:p w:rsidR="00E77322" w:rsidRDefault="00E77322" w:rsidP="00E77322">
      <w:pPr>
        <w:spacing w:before="240"/>
        <w:jc w:val="both"/>
      </w:pPr>
      <w:r>
        <w:lastRenderedPageBreak/>
        <w:t>Česká republika</w:t>
      </w:r>
      <w:r w:rsidRPr="006F75D6">
        <w:t xml:space="preserve"> </w:t>
      </w:r>
      <w:r>
        <w:t xml:space="preserve">nemá dosud dokončenu výstavbu základní páteřní dopravní sítě. Její nefunkčnost se stává </w:t>
      </w:r>
      <w:r w:rsidRPr="006F75D6">
        <w:t>brzdou dalšího rozvoje</w:t>
      </w:r>
      <w:r>
        <w:t xml:space="preserve"> regionů, negativně ovlivňuje hospodářství</w:t>
      </w:r>
      <w:r w:rsidRPr="006F75D6">
        <w:t xml:space="preserve">, snižuje </w:t>
      </w:r>
      <w:r>
        <w:t xml:space="preserve">naši </w:t>
      </w:r>
      <w:r w:rsidRPr="006F75D6">
        <w:t>konkurenceschopnost</w:t>
      </w:r>
      <w:r>
        <w:t xml:space="preserve">. </w:t>
      </w:r>
      <w:r w:rsidRPr="006F75D6">
        <w:t>Místo dohánění vyspělejší části Evropy za ní v posledních letech čím dál více zaostáváme</w:t>
      </w:r>
      <w:r>
        <w:t xml:space="preserve">, mezera se zvětšuje. </w:t>
      </w:r>
    </w:p>
    <w:p w:rsidR="00E77322" w:rsidRDefault="00E77322" w:rsidP="00E77322">
      <w:pPr>
        <w:spacing w:before="240" w:after="120"/>
        <w:jc w:val="both"/>
      </w:pPr>
      <w:r>
        <w:t xml:space="preserve">Základní problém tkví díky špatné stavební legislativě především ve špatné  investorské přípravě staveb, zejména v komplikovaných a zdlouhavých povolovacích procesech a nízké úrovni vzájemné koordinace investorů DI na různých úrovních.  </w:t>
      </w:r>
    </w:p>
    <w:p w:rsidR="00E77322" w:rsidRDefault="00E77322" w:rsidP="00E77322">
      <w:pPr>
        <w:spacing w:after="120" w:line="240" w:lineRule="auto"/>
        <w:jc w:val="both"/>
      </w:pPr>
      <w:r>
        <w:t>Přestože se podařilo vyčerpat téměř všechny disponibilní prostředky v rámci prvního programovacího období EU, neprobíhala současně uspokojivá příprava dopravních staveb pro druhé období.</w:t>
      </w:r>
    </w:p>
    <w:p w:rsidR="00E77322" w:rsidRPr="00E77322" w:rsidRDefault="00E77322" w:rsidP="00E77322">
      <w:pPr>
        <w:spacing w:after="0" w:line="276" w:lineRule="auto"/>
        <w:jc w:val="both"/>
        <w:outlineLvl w:val="0"/>
        <w:rPr>
          <w:b/>
          <w:bCs/>
          <w:i/>
        </w:rPr>
      </w:pPr>
      <w:r w:rsidRPr="00E77322">
        <w:rPr>
          <w:b/>
          <w:bCs/>
          <w:i/>
        </w:rPr>
        <w:t>Navrhovaná opatření:</w:t>
      </w:r>
    </w:p>
    <w:p w:rsidR="00E77322" w:rsidRPr="00E77322" w:rsidRDefault="00E77322" w:rsidP="00E77322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i/>
        </w:rPr>
      </w:pPr>
      <w:r w:rsidRPr="00E77322">
        <w:rPr>
          <w:bCs/>
          <w:i/>
        </w:rPr>
        <w:t>Zpracovat reálnou koncepci rozvoje dopravní infrastruktury spolu s finanční strategií</w:t>
      </w:r>
      <w:r w:rsidRPr="00E77322">
        <w:rPr>
          <w:i/>
        </w:rPr>
        <w:t xml:space="preserve"> (priority, věcný, časový a finanční harmonogram) včetně zkvalitnění její provozuschopnosti.</w:t>
      </w:r>
    </w:p>
    <w:p w:rsidR="00E77322" w:rsidRPr="00E77322" w:rsidRDefault="00E77322" w:rsidP="00E77322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i/>
        </w:rPr>
      </w:pPr>
      <w:r w:rsidRPr="00E77322">
        <w:rPr>
          <w:i/>
        </w:rPr>
        <w:t xml:space="preserve">Urychlit a finančně pokrýt investorskou přípravu staveb dopravní infrastruktury a zajistit tvorbu národních zdrojů v rozpočtu SFDI pro OP doprava 2014 – 2020, zlepšit mezirezortní spolupráci. </w:t>
      </w:r>
    </w:p>
    <w:p w:rsidR="00E77322" w:rsidRPr="00E77322" w:rsidRDefault="00E77322" w:rsidP="00E77322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i/>
        </w:rPr>
      </w:pPr>
      <w:r w:rsidRPr="00E77322">
        <w:rPr>
          <w:i/>
        </w:rPr>
        <w:t>Zřídit jeden ústřední úřad pro umisťování liniových dopravních staveb, který bude současně i vyvlastňovacím úřadem.</w:t>
      </w:r>
    </w:p>
    <w:p w:rsidR="00E77322" w:rsidRPr="00E77322" w:rsidRDefault="00E77322" w:rsidP="00E77322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i/>
        </w:rPr>
      </w:pPr>
      <w:r w:rsidRPr="00E77322">
        <w:rPr>
          <w:i/>
        </w:rPr>
        <w:t>Přijmout a realizovat opatření pro vyčerpání finančních zdrojů na výstavbu dopravní infrastruktury v rámci OPDII 2014 – 2020.</w:t>
      </w:r>
    </w:p>
    <w:p w:rsidR="00E77322" w:rsidRPr="00E77322" w:rsidRDefault="00E77322" w:rsidP="00E77322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i/>
        </w:rPr>
      </w:pPr>
      <w:r w:rsidRPr="00E77322">
        <w:rPr>
          <w:i/>
        </w:rPr>
        <w:t>Rozšířit počet staveb s výjimkou ze zákona EIA nad rámec současných prioritních 9 staveb o</w:t>
      </w:r>
      <w:r>
        <w:rPr>
          <w:i/>
        </w:rPr>
        <w:t xml:space="preserve"> další</w:t>
      </w:r>
      <w:r w:rsidRPr="00E77322">
        <w:rPr>
          <w:i/>
        </w:rPr>
        <w:t>, které jsou v pokročilém stupni investorské přípravy.</w:t>
      </w:r>
    </w:p>
    <w:p w:rsidR="00E77322" w:rsidRDefault="00E77322" w:rsidP="00E77322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i/>
        </w:rPr>
      </w:pPr>
      <w:r w:rsidRPr="00E77322">
        <w:rPr>
          <w:i/>
        </w:rPr>
        <w:t>Pravidelně kontrolovat plnění termínů uvedených v Přehledu investorské přípravy staveb, které mají předpokládané datum zahájení realizace v letech 2016 až 2018 a jejichž stavební náklady přesahují 300 mil. Kč (usnesení vlády č. 430/2016).</w:t>
      </w:r>
    </w:p>
    <w:p w:rsidR="00E61633" w:rsidRDefault="00E61633" w:rsidP="00E61633">
      <w:pPr>
        <w:spacing w:after="0" w:line="240" w:lineRule="auto"/>
        <w:jc w:val="both"/>
        <w:rPr>
          <w:i/>
        </w:rPr>
      </w:pPr>
    </w:p>
    <w:p w:rsidR="00E77322" w:rsidRDefault="00E61633" w:rsidP="00E77322">
      <w:pPr>
        <w:spacing w:after="0" w:line="240" w:lineRule="auto"/>
        <w:jc w:val="both"/>
        <w:rPr>
          <w:b/>
          <w:u w:val="single"/>
        </w:rPr>
      </w:pPr>
      <w:r w:rsidRPr="00E61633">
        <w:rPr>
          <w:b/>
          <w:u w:val="single"/>
        </w:rPr>
        <w:t>Bytová výstavba</w:t>
      </w:r>
    </w:p>
    <w:p w:rsidR="00E61633" w:rsidRPr="00C4024E" w:rsidRDefault="00E61633" w:rsidP="00E61633">
      <w:pPr>
        <w:spacing w:before="240"/>
        <w:jc w:val="both"/>
      </w:pPr>
      <w:r>
        <w:t>Ve vyspělých zemích se b</w:t>
      </w:r>
      <w:r w:rsidRPr="004A5263">
        <w:t xml:space="preserve">ytová </w:t>
      </w:r>
      <w:r>
        <w:t>výstavba</w:t>
      </w:r>
      <w:r w:rsidRPr="004A5263">
        <w:t xml:space="preserve"> </w:t>
      </w:r>
      <w:r>
        <w:t xml:space="preserve">(nová výstavba, </w:t>
      </w:r>
      <w:r w:rsidRPr="004A5263">
        <w:t>rekonstrukce, modernizace</w:t>
      </w:r>
      <w:r>
        <w:t>)</w:t>
      </w:r>
      <w:r w:rsidRPr="004A5263">
        <w:t xml:space="preserve"> </w:t>
      </w:r>
      <w:r w:rsidRPr="00C4024E">
        <w:t>podílí na celkov</w:t>
      </w:r>
      <w:r>
        <w:t>é výkonnosti stavebnictví více než 25%. V ČR je tento podíl poloviční.</w:t>
      </w:r>
    </w:p>
    <w:p w:rsidR="00E61633" w:rsidRDefault="00E61633" w:rsidP="00E61633">
      <w:pPr>
        <w:pStyle w:val="Odstavecseseznamem"/>
        <w:spacing w:after="120"/>
        <w:ind w:left="0"/>
        <w:jc w:val="both"/>
      </w:pPr>
      <w:r w:rsidRPr="00C4024E">
        <w:t xml:space="preserve">Počet zahájených a dokončených bytů </w:t>
      </w:r>
      <w:r>
        <w:t xml:space="preserve">každoročně </w:t>
      </w:r>
      <w:r w:rsidRPr="00C4024E">
        <w:t xml:space="preserve">klesá, </w:t>
      </w:r>
      <w:r>
        <w:t xml:space="preserve">v současnosti </w:t>
      </w:r>
      <w:r w:rsidRPr="00C4024E">
        <w:t>je téměř 50% vzhledem k potřebám</w:t>
      </w:r>
      <w:r>
        <w:t xml:space="preserve"> uvedených v analýzách  ÚRS a ČS</w:t>
      </w:r>
      <w:r w:rsidRPr="00C4024E">
        <w:t>RB</w:t>
      </w:r>
      <w:r>
        <w:t xml:space="preserve"> (45 tis. bytů) a</w:t>
      </w:r>
      <w:r w:rsidRPr="00C4024E">
        <w:t xml:space="preserve"> nepokrývá ani pro</w:t>
      </w:r>
      <w:r>
        <w:t>stou reprodukci domovního fondu. Vlivem zanedbané údržby d</w:t>
      </w:r>
      <w:r w:rsidRPr="00C4024E">
        <w:t>ochází k ro</w:t>
      </w:r>
      <w:r>
        <w:t xml:space="preserve">stoucí zanedbanosti </w:t>
      </w:r>
      <w:r w:rsidRPr="00C4024E">
        <w:t>bytového fondu</w:t>
      </w:r>
      <w:r>
        <w:t>.</w:t>
      </w:r>
      <w:r w:rsidRPr="00CE7F1A">
        <w:t xml:space="preserve"> </w:t>
      </w:r>
    </w:p>
    <w:p w:rsidR="00E61633" w:rsidRPr="00C4024E" w:rsidRDefault="00E61633" w:rsidP="00E61633">
      <w:pPr>
        <w:pStyle w:val="Odstavecseseznamem"/>
        <w:spacing w:after="120"/>
        <w:ind w:left="0"/>
        <w:jc w:val="both"/>
      </w:pPr>
      <w:r>
        <w:t>Prostřednictvím programů MMR a SFRB je v minimálním rozsahu realizována výstavba podporovaných bytů. V posledních letech klesl objem podpor o cca 80%. Formy podpory jsou nastaveny pro investory nezajímavě a nejsou motivující. Ani po třech letech nebyl Parlamentu ČR předložen zákon o sociálním bydlení.</w:t>
      </w:r>
    </w:p>
    <w:p w:rsidR="00E61633" w:rsidRPr="00E61633" w:rsidRDefault="00E61633" w:rsidP="00E61633">
      <w:pPr>
        <w:spacing w:after="0"/>
        <w:jc w:val="both"/>
        <w:outlineLvl w:val="0"/>
        <w:rPr>
          <w:b/>
          <w:bCs/>
          <w:i/>
        </w:rPr>
      </w:pPr>
      <w:r w:rsidRPr="00E61633">
        <w:rPr>
          <w:b/>
          <w:bCs/>
          <w:i/>
        </w:rPr>
        <w:t>Navrhovaná opatření</w:t>
      </w:r>
    </w:p>
    <w:p w:rsidR="00E61633" w:rsidRPr="00E61633" w:rsidRDefault="00E61633" w:rsidP="00E61633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i/>
        </w:rPr>
      </w:pPr>
      <w:r w:rsidRPr="00E61633">
        <w:rPr>
          <w:bCs/>
          <w:i/>
        </w:rPr>
        <w:t>V souladu se schválenou Koncepcí bydlení ČR do roku 2020 zahrnout podpory bydlení mezi intervence v rámci rozvojových priorit v programovém období 2014 – 2020.</w:t>
      </w:r>
    </w:p>
    <w:p w:rsidR="00E61633" w:rsidRPr="00E61633" w:rsidRDefault="00E61633" w:rsidP="00E61633">
      <w:pPr>
        <w:pStyle w:val="Odstavecseseznamem"/>
        <w:numPr>
          <w:ilvl w:val="0"/>
          <w:numId w:val="7"/>
        </w:numPr>
        <w:tabs>
          <w:tab w:val="clear" w:pos="720"/>
          <w:tab w:val="num" w:pos="360"/>
        </w:tabs>
        <w:suppressAutoHyphens/>
        <w:autoSpaceDN w:val="0"/>
        <w:spacing w:after="0" w:line="240" w:lineRule="auto"/>
        <w:ind w:left="360"/>
        <w:contextualSpacing w:val="0"/>
        <w:jc w:val="both"/>
        <w:textAlignment w:val="baseline"/>
        <w:rPr>
          <w:i/>
        </w:rPr>
      </w:pPr>
      <w:r w:rsidRPr="00E61633">
        <w:rPr>
          <w:i/>
        </w:rPr>
        <w:t>Zvýšit objem finančních prostředků SFRB a MMR na podporu bydlení. Podporu realizovat formou přímé nevratné investiční dotace, dotace na snížení úrokové sazby a záruky za úvěry pro individuální bytovou výstavbu.</w:t>
      </w:r>
    </w:p>
    <w:p w:rsidR="00E61633" w:rsidRPr="00E61633" w:rsidRDefault="00E61633" w:rsidP="00E61633">
      <w:pPr>
        <w:pStyle w:val="Odstavecseseznamem"/>
        <w:numPr>
          <w:ilvl w:val="0"/>
          <w:numId w:val="7"/>
        </w:numPr>
        <w:tabs>
          <w:tab w:val="clear" w:pos="720"/>
          <w:tab w:val="num" w:pos="360"/>
        </w:tabs>
        <w:suppressAutoHyphens/>
        <w:autoSpaceDN w:val="0"/>
        <w:spacing w:after="0" w:line="240" w:lineRule="auto"/>
        <w:ind w:left="360"/>
        <w:contextualSpacing w:val="0"/>
        <w:jc w:val="both"/>
        <w:textAlignment w:val="baseline"/>
        <w:rPr>
          <w:i/>
        </w:rPr>
      </w:pPr>
      <w:r w:rsidRPr="00E61633">
        <w:rPr>
          <w:i/>
        </w:rPr>
        <w:lastRenderedPageBreak/>
        <w:t>V oblasti cílových skupin se zaměřit na seniory a mladé rodiny.</w:t>
      </w:r>
    </w:p>
    <w:p w:rsidR="00E61633" w:rsidRDefault="00E61633" w:rsidP="00E61633">
      <w:pPr>
        <w:pStyle w:val="Odstavecseseznamem"/>
        <w:numPr>
          <w:ilvl w:val="0"/>
          <w:numId w:val="7"/>
        </w:numPr>
        <w:tabs>
          <w:tab w:val="clear" w:pos="720"/>
          <w:tab w:val="num" w:pos="360"/>
        </w:tabs>
        <w:suppressAutoHyphens/>
        <w:autoSpaceDN w:val="0"/>
        <w:spacing w:after="0" w:line="240" w:lineRule="auto"/>
        <w:ind w:left="360"/>
        <w:contextualSpacing w:val="0"/>
        <w:jc w:val="both"/>
        <w:textAlignment w:val="baseline"/>
        <w:rPr>
          <w:i/>
        </w:rPr>
      </w:pPr>
      <w:r w:rsidRPr="00E61633">
        <w:rPr>
          <w:i/>
        </w:rPr>
        <w:t>Problematiku bydlení v plném rozsahu opět kompetenčně přiřadit pod MMR.</w:t>
      </w:r>
    </w:p>
    <w:p w:rsidR="00E61633" w:rsidRDefault="00E61633" w:rsidP="00E61633">
      <w:pPr>
        <w:tabs>
          <w:tab w:val="num" w:pos="360"/>
        </w:tabs>
        <w:suppressAutoHyphens/>
        <w:autoSpaceDN w:val="0"/>
        <w:spacing w:after="0" w:line="240" w:lineRule="auto"/>
        <w:jc w:val="both"/>
        <w:textAlignment w:val="baseline"/>
        <w:rPr>
          <w:i/>
        </w:rPr>
      </w:pPr>
    </w:p>
    <w:p w:rsidR="00E61633" w:rsidRDefault="00E61633" w:rsidP="00E61633">
      <w:pPr>
        <w:tabs>
          <w:tab w:val="num" w:pos="360"/>
        </w:tabs>
        <w:suppressAutoHyphens/>
        <w:autoSpaceDN w:val="0"/>
        <w:spacing w:after="0" w:line="240" w:lineRule="auto"/>
        <w:jc w:val="both"/>
        <w:textAlignment w:val="baseline"/>
        <w:rPr>
          <w:i/>
        </w:rPr>
      </w:pPr>
    </w:p>
    <w:p w:rsidR="00E61633" w:rsidRPr="00185AF6" w:rsidRDefault="00E61633" w:rsidP="00E61633">
      <w:pPr>
        <w:rPr>
          <w:b/>
          <w:u w:val="single"/>
        </w:rPr>
      </w:pPr>
      <w:r w:rsidRPr="00185AF6">
        <w:rPr>
          <w:b/>
          <w:u w:val="single"/>
        </w:rPr>
        <w:t>P</w:t>
      </w:r>
      <w:r>
        <w:rPr>
          <w:b/>
          <w:u w:val="single"/>
        </w:rPr>
        <w:t>racovní síla</w:t>
      </w:r>
    </w:p>
    <w:p w:rsidR="00E61633" w:rsidRDefault="00E61633" w:rsidP="00E61633">
      <w:pPr>
        <w:jc w:val="both"/>
      </w:pPr>
      <w:r>
        <w:t>Pokles výkonnosti českého stavebnictví v letech 2008-2013 se odrazil ve výrazném snížení zaměstnanosti v oboru, tento trend pokračuje v rozmezí 1,4-2,4% ročně. K poklesu nedochází pouze u pracovníků s nízkou úrovní kvalifikace, v posledních letech se snížení zaměstnanosti týká také kvalifikované pracovní síly, propuštěni bývají i pracovníci ve vedoucích pozicích.</w:t>
      </w:r>
    </w:p>
    <w:p w:rsidR="00E61633" w:rsidRDefault="00E61633" w:rsidP="00E61633">
      <w:pPr>
        <w:jc w:val="both"/>
        <w:rPr>
          <w:bCs/>
        </w:rPr>
      </w:pPr>
      <w:r>
        <w:rPr>
          <w:bCs/>
        </w:rPr>
        <w:t xml:space="preserve">Současně klesá počet studentů ve všech stupních technického vzdělávání (učňovské školy, střední školy, vyšší odborné školy a vysoké školy). O studium v oborech stavebnictví není zájem. Z hlediska dosavadního vývoje se jeví, že klíčovým zdrojem pracovní síly bude zahraničí. Nejlepší zkušenosti jsou se zaměstnáváním pracovníků z Ukrajiny. ČR v současné době přijímá opatření, která by mohla snížit administrativní náročnost povolovacích procesů. </w:t>
      </w:r>
    </w:p>
    <w:p w:rsidR="00E61633" w:rsidRDefault="00E61633" w:rsidP="00CD419E">
      <w:pPr>
        <w:jc w:val="both"/>
        <w:outlineLvl w:val="0"/>
        <w:rPr>
          <w:b/>
          <w:bCs/>
          <w:u w:val="single"/>
        </w:rPr>
      </w:pPr>
      <w:r>
        <w:rPr>
          <w:bCs/>
        </w:rPr>
        <w:t>Nedostatek kvalifikované pracovní síly patří mezi nejsilnější faktor ohrožení stavebnictví.</w:t>
      </w:r>
    </w:p>
    <w:p w:rsidR="00E61633" w:rsidRPr="00E61633" w:rsidRDefault="00E61633" w:rsidP="00CD419E">
      <w:pPr>
        <w:spacing w:after="0"/>
        <w:jc w:val="both"/>
        <w:outlineLvl w:val="0"/>
        <w:rPr>
          <w:bCs/>
          <w:u w:val="single"/>
        </w:rPr>
      </w:pPr>
      <w:r w:rsidRPr="00E61633">
        <w:rPr>
          <w:b/>
          <w:bCs/>
          <w:i/>
        </w:rPr>
        <w:t>Navrhovaná opatření</w:t>
      </w:r>
    </w:p>
    <w:p w:rsidR="00E61633" w:rsidRPr="00E61633" w:rsidRDefault="00E61633" w:rsidP="00CD419E">
      <w:pPr>
        <w:numPr>
          <w:ilvl w:val="0"/>
          <w:numId w:val="9"/>
        </w:numPr>
        <w:spacing w:after="0" w:line="240" w:lineRule="auto"/>
        <w:jc w:val="both"/>
        <w:rPr>
          <w:i/>
        </w:rPr>
      </w:pPr>
      <w:r w:rsidRPr="00E61633">
        <w:rPr>
          <w:i/>
        </w:rPr>
        <w:t>Systémovými opatřeními podpořit spolupráci škol a firem.</w:t>
      </w:r>
    </w:p>
    <w:p w:rsidR="00E61633" w:rsidRPr="00E61633" w:rsidRDefault="00E61633" w:rsidP="00E61633">
      <w:pPr>
        <w:numPr>
          <w:ilvl w:val="0"/>
          <w:numId w:val="9"/>
        </w:numPr>
        <w:spacing w:after="0" w:line="240" w:lineRule="auto"/>
        <w:jc w:val="both"/>
        <w:rPr>
          <w:i/>
        </w:rPr>
      </w:pPr>
      <w:r w:rsidRPr="00E61633">
        <w:rPr>
          <w:i/>
        </w:rPr>
        <w:t>Realizovat legislativní opatření zjednodušující zaměstnávání pracovníků ze zahraničí, zejména z Ukrajiny.</w:t>
      </w:r>
    </w:p>
    <w:p w:rsidR="00E61633" w:rsidRDefault="00E61633" w:rsidP="00E61633">
      <w:pPr>
        <w:numPr>
          <w:ilvl w:val="0"/>
          <w:numId w:val="9"/>
        </w:numPr>
        <w:spacing w:after="0" w:line="240" w:lineRule="auto"/>
        <w:jc w:val="both"/>
        <w:rPr>
          <w:i/>
        </w:rPr>
      </w:pPr>
      <w:r w:rsidRPr="00E61633">
        <w:rPr>
          <w:i/>
        </w:rPr>
        <w:t>Nastavit jasná pravidla pro agenturní zaměstnávání.</w:t>
      </w:r>
    </w:p>
    <w:p w:rsidR="00CD419E" w:rsidRDefault="00CD419E" w:rsidP="00CD419E">
      <w:pPr>
        <w:spacing w:after="0" w:line="240" w:lineRule="auto"/>
        <w:jc w:val="both"/>
        <w:rPr>
          <w:i/>
        </w:rPr>
      </w:pPr>
    </w:p>
    <w:p w:rsidR="00CD419E" w:rsidRDefault="00CD419E" w:rsidP="00CD419E">
      <w:pPr>
        <w:spacing w:after="0" w:line="240" w:lineRule="auto"/>
        <w:jc w:val="both"/>
        <w:rPr>
          <w:i/>
        </w:rPr>
      </w:pPr>
    </w:p>
    <w:p w:rsidR="00CD419E" w:rsidRDefault="00CD419E" w:rsidP="00CD419E">
      <w:pPr>
        <w:spacing w:after="0" w:line="240" w:lineRule="auto"/>
        <w:jc w:val="both"/>
        <w:rPr>
          <w:i/>
        </w:rPr>
      </w:pPr>
    </w:p>
    <w:p w:rsidR="00CD419E" w:rsidRPr="00CD419E" w:rsidRDefault="00CD419E" w:rsidP="00CD419E">
      <w:pPr>
        <w:spacing w:after="120" w:line="240" w:lineRule="auto"/>
        <w:jc w:val="both"/>
        <w:rPr>
          <w:b/>
          <w:u w:val="single"/>
        </w:rPr>
      </w:pPr>
      <w:r w:rsidRPr="00CD419E">
        <w:rPr>
          <w:b/>
          <w:u w:val="single"/>
        </w:rPr>
        <w:t>Technické vzdělávání</w:t>
      </w:r>
    </w:p>
    <w:p w:rsidR="00CD419E" w:rsidRPr="00406528" w:rsidRDefault="00CD419E" w:rsidP="00CD419E">
      <w:pPr>
        <w:spacing w:after="120" w:line="276" w:lineRule="auto"/>
        <w:jc w:val="both"/>
      </w:pPr>
      <w:r>
        <w:t xml:space="preserve">Česká republika je přední průmyslovou zemí Evropy, průmysl se podílí 40% na tvorbě HDP. </w:t>
      </w:r>
      <w:r w:rsidRPr="00406528">
        <w:t>Kvalita a vysoká t</w:t>
      </w:r>
      <w:r>
        <w:t>echnologická úroveň</w:t>
      </w:r>
      <w:r w:rsidRPr="00406528">
        <w:t xml:space="preserve"> firem patří mezi hlavní přednosti ČR v rámci globální konkurenceschopnosti. </w:t>
      </w:r>
      <w:r>
        <w:t>Tomu by mělo odpovídat nastavení vzdělávacího systému, zejména v technických oborech. Více než polovině českých firem</w:t>
      </w:r>
      <w:r w:rsidRPr="00406528">
        <w:t xml:space="preserve"> </w:t>
      </w:r>
      <w:r>
        <w:t xml:space="preserve">v současnosti </w:t>
      </w:r>
      <w:r w:rsidRPr="00406528">
        <w:t xml:space="preserve">chybí technicky vzdělaní lidé. Současné období je charakteristické nezájmem o studium technických oborů na všech stupních vzdělání – učňovském, středním i vysokoškolském. Stav českého odborného školství a především učňovského školství neodpovídá potřebám lidských zdrojů ve stavebnictví. </w:t>
      </w:r>
    </w:p>
    <w:p w:rsidR="00CD419E" w:rsidRPr="00E61633" w:rsidRDefault="00CD419E" w:rsidP="00CD419E">
      <w:pPr>
        <w:spacing w:after="0"/>
        <w:jc w:val="both"/>
        <w:outlineLvl w:val="0"/>
        <w:rPr>
          <w:bCs/>
          <w:u w:val="single"/>
        </w:rPr>
      </w:pPr>
      <w:r w:rsidRPr="00E61633">
        <w:rPr>
          <w:b/>
          <w:bCs/>
          <w:i/>
        </w:rPr>
        <w:t>Navrhovaná opatření</w:t>
      </w:r>
    </w:p>
    <w:p w:rsidR="00CD419E" w:rsidRPr="00CD419E" w:rsidRDefault="00CD419E" w:rsidP="00CD419E">
      <w:pPr>
        <w:numPr>
          <w:ilvl w:val="0"/>
          <w:numId w:val="10"/>
        </w:numPr>
        <w:spacing w:after="0" w:line="276" w:lineRule="auto"/>
        <w:ind w:left="360"/>
        <w:jc w:val="both"/>
        <w:rPr>
          <w:i/>
        </w:rPr>
      </w:pPr>
      <w:r w:rsidRPr="00CD419E">
        <w:rPr>
          <w:i/>
        </w:rPr>
        <w:t>Daňově zvýhodnit firmy spolupracující s technickými školami všech stupňů.</w:t>
      </w:r>
    </w:p>
    <w:p w:rsidR="00CD419E" w:rsidRPr="00CD419E" w:rsidRDefault="00CD419E" w:rsidP="00CD419E">
      <w:pPr>
        <w:numPr>
          <w:ilvl w:val="0"/>
          <w:numId w:val="10"/>
        </w:numPr>
        <w:spacing w:after="0" w:line="276" w:lineRule="auto"/>
        <w:ind w:left="360"/>
        <w:jc w:val="both"/>
        <w:rPr>
          <w:i/>
        </w:rPr>
      </w:pPr>
      <w:r w:rsidRPr="00CD419E">
        <w:rPr>
          <w:i/>
        </w:rPr>
        <w:t xml:space="preserve">V oborech vzdělání s výučním listem zavést </w:t>
      </w:r>
      <w:r w:rsidR="001C5DF8">
        <w:rPr>
          <w:i/>
        </w:rPr>
        <w:t xml:space="preserve">v </w:t>
      </w:r>
      <w:r w:rsidRPr="00CD419E">
        <w:rPr>
          <w:i/>
        </w:rPr>
        <w:t>rámci duálního systému výuky učňovského dorostu jednoznačně definovaný podíl teoretické a praktické výuky.</w:t>
      </w:r>
    </w:p>
    <w:p w:rsidR="00CD419E" w:rsidRPr="00CD419E" w:rsidRDefault="00CD419E" w:rsidP="00CD419E">
      <w:pPr>
        <w:numPr>
          <w:ilvl w:val="0"/>
          <w:numId w:val="10"/>
        </w:numPr>
        <w:spacing w:after="0" w:line="276" w:lineRule="auto"/>
        <w:ind w:left="360"/>
        <w:jc w:val="both"/>
      </w:pPr>
      <w:r w:rsidRPr="00CD419E">
        <w:rPr>
          <w:i/>
        </w:rPr>
        <w:t>Výuku studentů středních a vysokých škol orientovat více k potřebám praxe</w:t>
      </w:r>
      <w:r w:rsidRPr="00CD419E">
        <w:t>.</w:t>
      </w:r>
    </w:p>
    <w:p w:rsidR="00E61633" w:rsidRPr="00CD419E" w:rsidRDefault="00E61633" w:rsidP="00E61633">
      <w:pPr>
        <w:pStyle w:val="Odstavecseseznamem"/>
        <w:spacing w:after="0" w:line="276" w:lineRule="auto"/>
        <w:ind w:left="357"/>
        <w:jc w:val="both"/>
        <w:rPr>
          <w:i/>
        </w:rPr>
      </w:pPr>
    </w:p>
    <w:p w:rsidR="00E61633" w:rsidRDefault="00E61633" w:rsidP="00E61633">
      <w:pPr>
        <w:tabs>
          <w:tab w:val="num" w:pos="360"/>
        </w:tabs>
        <w:suppressAutoHyphens/>
        <w:autoSpaceDN w:val="0"/>
        <w:spacing w:after="0" w:line="240" w:lineRule="auto"/>
        <w:jc w:val="both"/>
        <w:textAlignment w:val="baseline"/>
        <w:rPr>
          <w:i/>
        </w:rPr>
      </w:pPr>
    </w:p>
    <w:p w:rsidR="00E810EE" w:rsidRDefault="00E810EE" w:rsidP="00E61633">
      <w:pPr>
        <w:tabs>
          <w:tab w:val="num" w:pos="360"/>
        </w:tabs>
        <w:suppressAutoHyphens/>
        <w:autoSpaceDN w:val="0"/>
        <w:spacing w:after="0" w:line="240" w:lineRule="auto"/>
        <w:jc w:val="both"/>
        <w:textAlignment w:val="baseline"/>
        <w:rPr>
          <w:i/>
        </w:rPr>
      </w:pPr>
    </w:p>
    <w:p w:rsidR="00CD419E" w:rsidRPr="00E810EE" w:rsidRDefault="00CD419E" w:rsidP="00E810EE">
      <w:pPr>
        <w:tabs>
          <w:tab w:val="num" w:pos="360"/>
        </w:tabs>
        <w:suppressAutoHyphens/>
        <w:autoSpaceDN w:val="0"/>
        <w:spacing w:after="0" w:line="360" w:lineRule="auto"/>
        <w:jc w:val="both"/>
        <w:textAlignment w:val="baseline"/>
        <w:rPr>
          <w:b/>
          <w:sz w:val="28"/>
          <w:szCs w:val="28"/>
        </w:rPr>
      </w:pPr>
      <w:r w:rsidRPr="00E810EE">
        <w:rPr>
          <w:b/>
          <w:sz w:val="28"/>
          <w:szCs w:val="28"/>
          <w:u w:val="single"/>
        </w:rPr>
        <w:t>Závěrečné doporučení</w:t>
      </w:r>
      <w:r w:rsidRPr="00E810EE">
        <w:rPr>
          <w:b/>
          <w:sz w:val="28"/>
          <w:szCs w:val="28"/>
        </w:rPr>
        <w:t>:</w:t>
      </w:r>
    </w:p>
    <w:p w:rsidR="00CD419E" w:rsidRDefault="00CD419E" w:rsidP="00E810EE">
      <w:pPr>
        <w:tabs>
          <w:tab w:val="num" w:pos="360"/>
        </w:tabs>
        <w:suppressAutoHyphens/>
        <w:autoSpaceDN w:val="0"/>
        <w:spacing w:after="0" w:line="360" w:lineRule="auto"/>
        <w:jc w:val="both"/>
        <w:textAlignment w:val="baseline"/>
        <w:rPr>
          <w:b/>
          <w:sz w:val="28"/>
          <w:szCs w:val="28"/>
        </w:rPr>
      </w:pPr>
      <w:r w:rsidRPr="00E810EE">
        <w:rPr>
          <w:b/>
          <w:sz w:val="28"/>
          <w:szCs w:val="28"/>
        </w:rPr>
        <w:lastRenderedPageBreak/>
        <w:t xml:space="preserve">Zařadit </w:t>
      </w:r>
      <w:r w:rsidR="00E810EE" w:rsidRPr="00E810EE">
        <w:rPr>
          <w:b/>
          <w:sz w:val="28"/>
          <w:szCs w:val="28"/>
        </w:rPr>
        <w:t xml:space="preserve">informaci o negativním vývoji stavebnictví </w:t>
      </w:r>
      <w:r w:rsidR="00514F7C">
        <w:rPr>
          <w:b/>
          <w:sz w:val="28"/>
          <w:szCs w:val="28"/>
        </w:rPr>
        <w:t xml:space="preserve">jako </w:t>
      </w:r>
      <w:r w:rsidR="00E810EE" w:rsidRPr="00E810EE">
        <w:rPr>
          <w:b/>
          <w:sz w:val="28"/>
          <w:szCs w:val="28"/>
        </w:rPr>
        <w:t>samostatný bod na nejbližší poradu ekonomických ministrů.</w:t>
      </w:r>
    </w:p>
    <w:p w:rsidR="00E810EE" w:rsidRDefault="00E810EE" w:rsidP="00E810EE">
      <w:pPr>
        <w:tabs>
          <w:tab w:val="num" w:pos="360"/>
        </w:tabs>
        <w:suppressAutoHyphens/>
        <w:autoSpaceDN w:val="0"/>
        <w:spacing w:after="0" w:line="360" w:lineRule="auto"/>
        <w:jc w:val="both"/>
        <w:textAlignment w:val="baseline"/>
        <w:rPr>
          <w:b/>
          <w:sz w:val="28"/>
          <w:szCs w:val="28"/>
        </w:rPr>
      </w:pPr>
    </w:p>
    <w:p w:rsidR="00E810EE" w:rsidRDefault="00E810EE" w:rsidP="00E810EE">
      <w:pPr>
        <w:tabs>
          <w:tab w:val="num" w:pos="360"/>
        </w:tabs>
        <w:suppressAutoHyphens/>
        <w:autoSpaceDN w:val="0"/>
        <w:spacing w:after="0" w:line="360" w:lineRule="auto"/>
        <w:jc w:val="both"/>
        <w:textAlignment w:val="baseline"/>
        <w:rPr>
          <w:b/>
          <w:sz w:val="28"/>
          <w:szCs w:val="28"/>
        </w:rPr>
      </w:pPr>
    </w:p>
    <w:p w:rsidR="00E810EE" w:rsidRDefault="00E810EE" w:rsidP="00E810EE">
      <w:pPr>
        <w:tabs>
          <w:tab w:val="num" w:pos="360"/>
        </w:tabs>
        <w:suppressAutoHyphens/>
        <w:autoSpaceDN w:val="0"/>
        <w:spacing w:after="0" w:line="360" w:lineRule="auto"/>
        <w:jc w:val="both"/>
        <w:textAlignment w:val="baseline"/>
        <w:rPr>
          <w:b/>
          <w:sz w:val="28"/>
          <w:szCs w:val="28"/>
        </w:rPr>
      </w:pPr>
    </w:p>
    <w:p w:rsidR="00E810EE" w:rsidRDefault="00E810EE" w:rsidP="00E810EE">
      <w:pPr>
        <w:tabs>
          <w:tab w:val="num" w:pos="360"/>
        </w:tabs>
        <w:suppressAutoHyphens/>
        <w:autoSpaceDN w:val="0"/>
        <w:spacing w:after="0" w:line="360" w:lineRule="auto"/>
        <w:jc w:val="both"/>
        <w:textAlignment w:val="baseline"/>
        <w:rPr>
          <w:b/>
          <w:sz w:val="28"/>
          <w:szCs w:val="28"/>
        </w:rPr>
      </w:pPr>
    </w:p>
    <w:p w:rsidR="00E810EE" w:rsidRDefault="00E810EE" w:rsidP="00E810EE">
      <w:pPr>
        <w:tabs>
          <w:tab w:val="num" w:pos="360"/>
        </w:tabs>
        <w:suppressAutoHyphens/>
        <w:autoSpaceDN w:val="0"/>
        <w:spacing w:after="0" w:line="360" w:lineRule="auto"/>
        <w:jc w:val="both"/>
        <w:textAlignment w:val="baseline"/>
      </w:pPr>
      <w:r>
        <w:t>Ing. Václav Matyáš</w:t>
      </w:r>
    </w:p>
    <w:p w:rsidR="00E810EE" w:rsidRDefault="00E810EE" w:rsidP="00E810EE">
      <w:pPr>
        <w:tabs>
          <w:tab w:val="num" w:pos="360"/>
        </w:tabs>
        <w:suppressAutoHyphens/>
        <w:autoSpaceDN w:val="0"/>
        <w:spacing w:after="0" w:line="360" w:lineRule="auto"/>
        <w:jc w:val="both"/>
        <w:textAlignment w:val="baseline"/>
      </w:pPr>
      <w:r>
        <w:t>prezident</w:t>
      </w:r>
    </w:p>
    <w:p w:rsidR="00E61633" w:rsidRDefault="00E810EE" w:rsidP="00E810EE">
      <w:pPr>
        <w:tabs>
          <w:tab w:val="num" w:pos="360"/>
        </w:tabs>
        <w:suppressAutoHyphens/>
        <w:autoSpaceDN w:val="0"/>
        <w:spacing w:after="0" w:line="360" w:lineRule="auto"/>
        <w:jc w:val="both"/>
        <w:textAlignment w:val="baseline"/>
      </w:pPr>
      <w:r>
        <w:t>Svaz podnikatelů ve stavebnictví</w:t>
      </w:r>
    </w:p>
    <w:p w:rsidR="00E810EE" w:rsidRDefault="00E810EE" w:rsidP="00E810EE">
      <w:pPr>
        <w:tabs>
          <w:tab w:val="num" w:pos="360"/>
        </w:tabs>
        <w:suppressAutoHyphens/>
        <w:autoSpaceDN w:val="0"/>
        <w:spacing w:after="0" w:line="360" w:lineRule="auto"/>
        <w:jc w:val="both"/>
        <w:textAlignment w:val="baseline"/>
      </w:pPr>
    </w:p>
    <w:p w:rsidR="00E810EE" w:rsidRDefault="00E810EE" w:rsidP="00E810EE">
      <w:pPr>
        <w:tabs>
          <w:tab w:val="num" w:pos="360"/>
        </w:tabs>
        <w:suppressAutoHyphens/>
        <w:autoSpaceDN w:val="0"/>
        <w:spacing w:after="0" w:line="360" w:lineRule="auto"/>
        <w:jc w:val="both"/>
        <w:textAlignment w:val="baseline"/>
      </w:pPr>
    </w:p>
    <w:p w:rsidR="00E810EE" w:rsidRPr="00E810EE" w:rsidRDefault="00E810EE" w:rsidP="00E810EE">
      <w:pPr>
        <w:tabs>
          <w:tab w:val="num" w:pos="360"/>
        </w:tabs>
        <w:suppressAutoHyphens/>
        <w:autoSpaceDN w:val="0"/>
        <w:spacing w:after="0" w:line="360" w:lineRule="auto"/>
        <w:jc w:val="both"/>
        <w:textAlignment w:val="baseline"/>
        <w:rPr>
          <w:sz w:val="28"/>
          <w:szCs w:val="28"/>
          <w:u w:val="single"/>
        </w:rPr>
      </w:pPr>
      <w:r>
        <w:t>Praha 12.1.2017</w:t>
      </w:r>
    </w:p>
    <w:p w:rsidR="00443574" w:rsidRPr="00E810EE" w:rsidRDefault="00443574" w:rsidP="00E810EE">
      <w:pPr>
        <w:spacing w:after="0" w:line="360" w:lineRule="auto"/>
        <w:jc w:val="both"/>
        <w:rPr>
          <w:i/>
          <w:sz w:val="28"/>
          <w:szCs w:val="28"/>
        </w:rPr>
      </w:pPr>
    </w:p>
    <w:sectPr w:rsidR="00443574" w:rsidRPr="00E810EE" w:rsidSect="00AC4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dra Sans Std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52C"/>
    <w:multiLevelType w:val="hybridMultilevel"/>
    <w:tmpl w:val="04CA0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31BE"/>
    <w:multiLevelType w:val="hybridMultilevel"/>
    <w:tmpl w:val="E5DA9B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687B25"/>
    <w:multiLevelType w:val="multilevel"/>
    <w:tmpl w:val="179A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554E4"/>
    <w:multiLevelType w:val="hybridMultilevel"/>
    <w:tmpl w:val="EAB244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900817"/>
    <w:multiLevelType w:val="hybridMultilevel"/>
    <w:tmpl w:val="3B824B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434F4"/>
    <w:multiLevelType w:val="hybridMultilevel"/>
    <w:tmpl w:val="762ABB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9F3610"/>
    <w:multiLevelType w:val="hybridMultilevel"/>
    <w:tmpl w:val="99FAA570"/>
    <w:lvl w:ilvl="0" w:tplc="344A6FA2">
      <w:start w:val="2333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4926FF"/>
    <w:multiLevelType w:val="hybridMultilevel"/>
    <w:tmpl w:val="7CC05C04"/>
    <w:lvl w:ilvl="0" w:tplc="48DC88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27CAD"/>
    <w:multiLevelType w:val="hybridMultilevel"/>
    <w:tmpl w:val="BD3C2F2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CC55D8C"/>
    <w:multiLevelType w:val="hybridMultilevel"/>
    <w:tmpl w:val="90B02558"/>
    <w:lvl w:ilvl="0" w:tplc="4AEE1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3AF"/>
    <w:rsid w:val="00011546"/>
    <w:rsid w:val="001063AF"/>
    <w:rsid w:val="001303BB"/>
    <w:rsid w:val="0017641B"/>
    <w:rsid w:val="001C5DF8"/>
    <w:rsid w:val="001D2645"/>
    <w:rsid w:val="00443574"/>
    <w:rsid w:val="00491965"/>
    <w:rsid w:val="00514F7C"/>
    <w:rsid w:val="00763CF5"/>
    <w:rsid w:val="008C5FC9"/>
    <w:rsid w:val="009F0711"/>
    <w:rsid w:val="00AC468D"/>
    <w:rsid w:val="00B26E1D"/>
    <w:rsid w:val="00C96909"/>
    <w:rsid w:val="00CD419E"/>
    <w:rsid w:val="00D8626B"/>
    <w:rsid w:val="00D906E1"/>
    <w:rsid w:val="00E015E0"/>
    <w:rsid w:val="00E61633"/>
    <w:rsid w:val="00E77322"/>
    <w:rsid w:val="00E810EE"/>
    <w:rsid w:val="00F0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6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63AF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rsid w:val="001D2645"/>
    <w:pPr>
      <w:spacing w:after="0" w:line="240" w:lineRule="auto"/>
    </w:pPr>
    <w:rPr>
      <w:rFonts w:eastAsia="Times New Roman"/>
      <w:sz w:val="22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1D2645"/>
    <w:rPr>
      <w:rFonts w:eastAsia="Times New Roman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17641B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D8626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8626B"/>
  </w:style>
  <w:style w:type="paragraph" w:customStyle="1" w:styleId="BodyText1">
    <w:name w:val="Body Text1"/>
    <w:link w:val="BodytextChar"/>
    <w:rsid w:val="00D8626B"/>
    <w:pPr>
      <w:spacing w:after="0" w:line="240" w:lineRule="auto"/>
    </w:pPr>
    <w:rPr>
      <w:rFonts w:ascii="Arial" w:eastAsia="Times New Roman" w:hAnsi="Arial" w:cs="Arial"/>
      <w:color w:val="000000"/>
      <w:sz w:val="19"/>
      <w:szCs w:val="19"/>
    </w:rPr>
  </w:style>
  <w:style w:type="character" w:customStyle="1" w:styleId="BodytextChar">
    <w:name w:val="Body text Char"/>
    <w:link w:val="BodyText1"/>
    <w:locked/>
    <w:rsid w:val="00D8626B"/>
    <w:rPr>
      <w:rFonts w:ascii="Arial" w:eastAsia="Times New Roman" w:hAnsi="Arial" w:cs="Arial"/>
      <w:color w:val="000000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ps.cz/IMAGES/LOGO/sps_logo_2005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dex.AS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exelxls\%20rok%202016\smola\graf%20produkce%20%20rok%202016%20odhad%207_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>
                <a:latin typeface="+mn-lt"/>
                <a:cs typeface="Arial" pitchFamily="34" charset="0"/>
              </a:defRPr>
            </a:pPr>
            <a:r>
              <a:rPr lang="cs-CZ" sz="1800" b="1" i="0" baseline="0">
                <a:effectLst/>
                <a:latin typeface="+mn-lt"/>
                <a:cs typeface="Arial" pitchFamily="34" charset="0"/>
              </a:rPr>
              <a:t>VÝVOJ STAVEBNÍ PRODUKCE OD ROKU 2006</a:t>
            </a:r>
            <a:endParaRPr lang="cs-CZ">
              <a:effectLst/>
              <a:latin typeface="+mn-lt"/>
              <a:cs typeface="Arial" pitchFamily="34" charset="0"/>
            </a:endParaRPr>
          </a:p>
        </c:rich>
      </c:tx>
    </c:title>
    <c:plotArea>
      <c:layout/>
      <c:barChart>
        <c:barDir val="col"/>
        <c:grouping val="stacked"/>
        <c:ser>
          <c:idx val="0"/>
          <c:order val="0"/>
          <c:spPr>
            <a:solidFill>
              <a:srgbClr val="9999FF"/>
            </a:solidFill>
          </c:spPr>
          <c:dLbls>
            <c:dLbl>
              <c:idx val="0"/>
              <c:layout>
                <c:manualLayout>
                  <c:x val="2.0387359836901132E-3"/>
                  <c:y val="-0.24190064794816421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352-4F84-93EE-246040FA1322}"/>
                </c:ext>
              </c:extLst>
            </c:dLbl>
            <c:dLbl>
              <c:idx val="1"/>
              <c:layout>
                <c:manualLayout>
                  <c:x val="6.116207951070339E-3"/>
                  <c:y val="-0.27645788336933075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352-4F84-93EE-246040FA1322}"/>
                </c:ext>
              </c:extLst>
            </c:dLbl>
            <c:dLbl>
              <c:idx val="2"/>
              <c:layout>
                <c:manualLayout>
                  <c:x val="4.0774719673802263E-3"/>
                  <c:y val="-0.25917926565874738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352-4F84-93EE-246040FA1322}"/>
                </c:ext>
              </c:extLst>
            </c:dLbl>
            <c:dLbl>
              <c:idx val="3"/>
              <c:layout>
                <c:manualLayout>
                  <c:x val="0"/>
                  <c:y val="-0.28221742260619126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352-4F84-93EE-246040FA1322}"/>
                </c:ext>
              </c:extLst>
            </c:dLbl>
            <c:dLbl>
              <c:idx val="4"/>
              <c:layout>
                <c:manualLayout>
                  <c:x val="2.0387359836901132E-3"/>
                  <c:y val="-0.25917926565874738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352-4F84-93EE-246040FA1322}"/>
                </c:ext>
              </c:extLst>
            </c:dLbl>
            <c:dLbl>
              <c:idx val="5"/>
              <c:layout>
                <c:manualLayout>
                  <c:x val="0"/>
                  <c:y val="-0.24190064794816421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352-4F84-93EE-246040FA1322}"/>
                </c:ext>
              </c:extLst>
            </c:dLbl>
            <c:dLbl>
              <c:idx val="6"/>
              <c:layout>
                <c:manualLayout>
                  <c:x val="2.0387359836900381E-3"/>
                  <c:y val="-0.19006479481641478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352-4F84-93EE-246040FA1322}"/>
                </c:ext>
              </c:extLst>
            </c:dLbl>
            <c:dLbl>
              <c:idx val="7"/>
              <c:layout>
                <c:manualLayout>
                  <c:x val="-2.0387359836901132E-3"/>
                  <c:y val="-0.18430525557955368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352-4F84-93EE-246040FA1322}"/>
                </c:ext>
              </c:extLst>
            </c:dLbl>
            <c:dLbl>
              <c:idx val="8"/>
              <c:layout>
                <c:manualLayout>
                  <c:x val="4.0774719673802263E-3"/>
                  <c:y val="-0.20734341252699795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352-4F84-93EE-246040FA1322}"/>
                </c:ext>
              </c:extLst>
            </c:dLbl>
            <c:dLbl>
              <c:idx val="9"/>
              <c:layout>
                <c:manualLayout>
                  <c:x val="4.0774719673802263E-3"/>
                  <c:y val="-0.25917926565874738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352-4F84-93EE-246040FA1322}"/>
                </c:ext>
              </c:extLst>
            </c:dLbl>
            <c:dLbl>
              <c:idx val="10"/>
              <c:layout>
                <c:manualLayout>
                  <c:x val="-2.0387359836901132E-3"/>
                  <c:y val="-0.21310295176385885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352-4F84-93EE-246040FA13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cs-CZ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List1!$A$6:$M$6</c:f>
              <c:strCach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
*odhad</c:v>
                </c:pt>
              </c:strCache>
            </c:strRef>
          </c:cat>
          <c:val>
            <c:numRef>
              <c:f>List1!$A$7:$M$7</c:f>
              <c:numCache>
                <c:formatCode>#,##0.0</c:formatCode>
                <c:ptCount val="11"/>
                <c:pt idx="0">
                  <c:v>472.6</c:v>
                </c:pt>
                <c:pt idx="1">
                  <c:v>521.5</c:v>
                </c:pt>
                <c:pt idx="2">
                  <c:v>547.5</c:v>
                </c:pt>
                <c:pt idx="3">
                  <c:v>520.9</c:v>
                </c:pt>
                <c:pt idx="4">
                  <c:v>488.7</c:v>
                </c:pt>
                <c:pt idx="5">
                  <c:v>464</c:v>
                </c:pt>
                <c:pt idx="6">
                  <c:v>424</c:v>
                </c:pt>
                <c:pt idx="7">
                  <c:v>397.5</c:v>
                </c:pt>
                <c:pt idx="8">
                  <c:v>428.3</c:v>
                </c:pt>
                <c:pt idx="9" formatCode="General">
                  <c:v>459.1</c:v>
                </c:pt>
                <c:pt idx="10">
                  <c:v>431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D352-4F84-93EE-246040FA1322}"/>
            </c:ext>
          </c:extLst>
        </c:ser>
        <c:ser>
          <c:idx val="1"/>
          <c:order val="1"/>
          <c:spPr>
            <a:solidFill>
              <a:srgbClr val="FF9966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rgbClr val="7030A0"/>
                    </a:solidFill>
                  </a:defRPr>
                </a:pPr>
                <a:endParaRPr lang="cs-CZ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List1!$A$6:$M$6</c:f>
              <c:strCach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
*odhad</c:v>
                </c:pt>
              </c:strCache>
            </c:strRef>
          </c:cat>
          <c:val>
            <c:numRef>
              <c:f>List1!$A$8:$M$8</c:f>
              <c:numCache>
                <c:formatCode>General</c:formatCode>
                <c:ptCount val="11"/>
                <c:pt idx="3">
                  <c:v>26.7</c:v>
                </c:pt>
                <c:pt idx="4">
                  <c:v>58.9</c:v>
                </c:pt>
                <c:pt idx="5">
                  <c:v>83.6</c:v>
                </c:pt>
                <c:pt idx="6">
                  <c:v>123.6</c:v>
                </c:pt>
                <c:pt idx="7">
                  <c:v>150</c:v>
                </c:pt>
                <c:pt idx="8" formatCode="#,##0.0">
                  <c:v>119.19999999999999</c:v>
                </c:pt>
                <c:pt idx="9" formatCode="#,##0.0">
                  <c:v>88.399999999999977</c:v>
                </c:pt>
                <c:pt idx="10" formatCode="#,##0.0">
                  <c:v>116.5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D352-4F84-93EE-246040FA1322}"/>
            </c:ext>
          </c:extLst>
        </c:ser>
        <c:dLbls>
          <c:showVal val="1"/>
        </c:dLbls>
        <c:overlap val="100"/>
        <c:axId val="118400512"/>
        <c:axId val="118402048"/>
      </c:barChart>
      <c:catAx>
        <c:axId val="11840051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100" b="1">
                <a:latin typeface="+mn-lt"/>
                <a:cs typeface="Arial" pitchFamily="34" charset="0"/>
              </a:defRPr>
            </a:pPr>
            <a:endParaRPr lang="cs-CZ"/>
          </a:p>
        </c:txPr>
        <c:crossAx val="118402048"/>
        <c:crosses val="autoZero"/>
        <c:auto val="1"/>
        <c:lblAlgn val="ctr"/>
        <c:lblOffset val="100"/>
      </c:catAx>
      <c:valAx>
        <c:axId val="118402048"/>
        <c:scaling>
          <c:orientation val="minMax"/>
        </c:scaling>
        <c:axPos val="l"/>
        <c:majorGridlines/>
        <c:numFmt formatCode="#,##0.0" sourceLinked="1"/>
        <c:tickLblPos val="nextTo"/>
        <c:txPr>
          <a:bodyPr/>
          <a:lstStyle/>
          <a:p>
            <a:pPr>
              <a:defRPr sz="1100" b="1">
                <a:latin typeface="+mn-lt"/>
                <a:cs typeface="Arial" pitchFamily="34" charset="0"/>
              </a:defRPr>
            </a:pPr>
            <a:endParaRPr lang="cs-CZ"/>
          </a:p>
        </c:txPr>
        <c:crossAx val="118400512"/>
        <c:crosses val="autoZero"/>
        <c:crossBetween val="between"/>
      </c:valAx>
      <c:spPr>
        <a:gradFill flip="none" rotWithShape="1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2700000" scaled="0"/>
          <a:tileRect/>
        </a:gradFill>
      </c:spPr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60039-10F6-4434-96A9-343CDA25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Smola</dc:creator>
  <cp:lastModifiedBy>OSPZV3 ospzv3</cp:lastModifiedBy>
  <cp:revision>2</cp:revision>
  <dcterms:created xsi:type="dcterms:W3CDTF">2017-01-26T13:26:00Z</dcterms:created>
  <dcterms:modified xsi:type="dcterms:W3CDTF">2017-01-26T13:26:00Z</dcterms:modified>
</cp:coreProperties>
</file>