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C44" w:rsidRPr="0005344D" w:rsidRDefault="00C02C44" w:rsidP="00C02C44">
      <w:pPr>
        <w:spacing w:before="120"/>
        <w:rPr>
          <w:b/>
        </w:rPr>
      </w:pPr>
      <w:bookmarkStart w:id="0" w:name="_GoBack"/>
      <w:bookmarkEnd w:id="0"/>
      <w:r w:rsidRPr="0005344D">
        <w:rPr>
          <w:b/>
        </w:rPr>
        <w:t>STAVEBNÍ ZÁKON</w:t>
      </w:r>
    </w:p>
    <w:p w:rsidR="00C02C44" w:rsidRDefault="00C02C44" w:rsidP="00CE2C52">
      <w:pPr>
        <w:spacing w:after="120" w:line="276" w:lineRule="auto"/>
        <w:jc w:val="both"/>
      </w:pPr>
      <w:r w:rsidRPr="00C02C44">
        <w:rPr>
          <w:b/>
        </w:rPr>
        <w:t>Současný stav znění novely vylučuje dosažení cílů</w:t>
      </w:r>
      <w:r w:rsidRPr="0005344D">
        <w:t>, kterých měla dosáhnout, tj. zkrácení termínů a zavede</w:t>
      </w:r>
      <w:r>
        <w:t>ní společného povolování staveb</w:t>
      </w:r>
      <w:r w:rsidRPr="0005344D">
        <w:t xml:space="preserve"> spojení</w:t>
      </w:r>
      <w:r>
        <w:t>m</w:t>
      </w:r>
      <w:r w:rsidRPr="0005344D">
        <w:t xml:space="preserve"> územního řízení, stavebního řízení a EIA. </w:t>
      </w:r>
      <w:r>
        <w:t xml:space="preserve">U rozhodujících staveb se zcela mine tento záměr s účinkem, bude to možné jen u vybraných staveb menšího rozsahu, které ovlivňují celkový proces výstavby jen nižším podílem. Při projednávání novely se projevila nízká součinnost ministerstev. </w:t>
      </w:r>
    </w:p>
    <w:p w:rsidR="00C02C44" w:rsidRPr="00CE2C52" w:rsidRDefault="00C02C44" w:rsidP="00CE2C52">
      <w:pPr>
        <w:spacing w:after="120" w:line="276" w:lineRule="auto"/>
        <w:jc w:val="both"/>
        <w:rPr>
          <w:b/>
          <w:u w:val="single"/>
        </w:rPr>
      </w:pPr>
      <w:r w:rsidRPr="00580390">
        <w:t xml:space="preserve">Skutečně hloubková změna povolovacích procesů pro velké stavby si vyžádá </w:t>
      </w:r>
      <w:r w:rsidRPr="00C02C44">
        <w:rPr>
          <w:b/>
        </w:rPr>
        <w:t>rekodifikaci stavebního zákona, zákona o EIA a dalších souvisejících právních předpisů</w:t>
      </w:r>
      <w:r w:rsidRPr="00580390">
        <w:t xml:space="preserve">. V legislativním procesu je zapotřebí navrhnout změny, které vymezí jasná pravidla a podmínky aktualizace, umožní </w:t>
      </w:r>
      <w:r>
        <w:t xml:space="preserve">jejich </w:t>
      </w:r>
      <w:r w:rsidRPr="00580390">
        <w:t>bezproblémové prodlužování i u velkých dlouhodobých projektů a nezkomplikují situaci u záměrů s již vydanými stanovisky, zejména i podle dřívější právní úpravy</w:t>
      </w:r>
      <w:r w:rsidRPr="00CE2C52">
        <w:t>.</w:t>
      </w:r>
      <w:r w:rsidR="00CE2C52" w:rsidRPr="00CE2C52">
        <w:t xml:space="preserve"> </w:t>
      </w:r>
      <w:r w:rsidRPr="00D73A1E">
        <w:t xml:space="preserve">Rekodifikace povolovacích procesů bude obdobně náročná expertní práce, jako byla rekodifikace soukromého práva, která u nás proběhla v minulých letech. Taková rekodifikace nemůže vzniknout pouze prací dotčených resortů, ale musí být ustanovena nezávislá odborná platforma, která by se jí věnovala. </w:t>
      </w:r>
      <w:r>
        <w:t>Ta musí mít</w:t>
      </w:r>
      <w:r w:rsidRPr="00D73A1E">
        <w:t xml:space="preserve"> jednoznačně vytýčené reálné cíle, </w:t>
      </w:r>
      <w:r>
        <w:t>harmonogram</w:t>
      </w:r>
      <w:r w:rsidRPr="00D73A1E">
        <w:t xml:space="preserve"> práce a měli by do ní být jmenováni odborníci, kteří by proces zaštítili. </w:t>
      </w:r>
      <w:r>
        <w:t>M</w:t>
      </w:r>
      <w:r w:rsidRPr="00D73A1E">
        <w:t xml:space="preserve">ěli </w:t>
      </w:r>
      <w:r>
        <w:t xml:space="preserve">by </w:t>
      </w:r>
      <w:r w:rsidRPr="00D73A1E">
        <w:t xml:space="preserve">být voleni tak, aby práce platformy nebyla brzděna resortismem a aby byla hledána a nacházena řešení, na kterých je možný konsenzus jak v rámci veřejného sektoru, tak v rámci dotčené podnikatelské veřejnosti a zástupců občanské společnosti.  </w:t>
      </w:r>
    </w:p>
    <w:p w:rsidR="00C02C44" w:rsidRDefault="00C02C44" w:rsidP="00CE2C52">
      <w:pPr>
        <w:spacing w:after="120" w:line="276" w:lineRule="auto"/>
        <w:jc w:val="both"/>
      </w:pPr>
      <w:r w:rsidRPr="00D73A1E">
        <w:t xml:space="preserve">Jakékoliv změny v povolovacích procesech opětovně narážejí na </w:t>
      </w:r>
      <w:r w:rsidRPr="00CE2C52">
        <w:rPr>
          <w:b/>
        </w:rPr>
        <w:t>stanoviska resortu životního prostředí</w:t>
      </w:r>
      <w:r w:rsidRPr="00D73A1E">
        <w:t xml:space="preserve">, který se zaštiťuje probíhajícím </w:t>
      </w:r>
      <w:proofErr w:type="spellStart"/>
      <w:r w:rsidRPr="00D73A1E">
        <w:t>infringementem</w:t>
      </w:r>
      <w:proofErr w:type="spellEnd"/>
      <w:r w:rsidRPr="00D73A1E">
        <w:t xml:space="preserve"> ze strany EK. Všechny diskuse požadující změny jsou odmítány s odkazem na interpretace názorů </w:t>
      </w:r>
      <w:r>
        <w:t>EK</w:t>
      </w:r>
      <w:r w:rsidRPr="00D73A1E">
        <w:t xml:space="preserve"> a hrozbu sankcí souvisejících s </w:t>
      </w:r>
      <w:proofErr w:type="spellStart"/>
      <w:r w:rsidRPr="00D73A1E">
        <w:t>infringementem</w:t>
      </w:r>
      <w:proofErr w:type="spellEnd"/>
      <w:r w:rsidRPr="00D73A1E">
        <w:t xml:space="preserve">. Přitom je zapotřebí konstatovat, že </w:t>
      </w:r>
      <w:proofErr w:type="spellStart"/>
      <w:r w:rsidRPr="00D73A1E">
        <w:t>infringement</w:t>
      </w:r>
      <w:proofErr w:type="spellEnd"/>
      <w:r w:rsidRPr="00D73A1E">
        <w:t xml:space="preserve"> probíhá již od roku 2006 (sankční část potom od roku 2010) a podmínky jeho ukončení jsou nejasné. Vztahy s EK s ohledem na problematiku EIA jsou resortem životního prostředí trvale prezentovány jako napjaté a kompromisní řešení kritických situací se hledají až po nátlaku odborné veřejnosti. </w:t>
      </w:r>
    </w:p>
    <w:p w:rsidR="00CE2C52" w:rsidRDefault="00C02C44" w:rsidP="00C02C44">
      <w:pPr>
        <w:spacing w:after="120" w:line="276" w:lineRule="auto"/>
        <w:jc w:val="both"/>
      </w:pPr>
      <w:r>
        <w:t>K</w:t>
      </w:r>
      <w:r w:rsidRPr="00D73A1E">
        <w:t xml:space="preserve"> odstranění všech pochybností o efektivitě a průběhu jednání s</w:t>
      </w:r>
      <w:r>
        <w:t xml:space="preserve"> EK by prospěla </w:t>
      </w:r>
      <w:r w:rsidR="00CE2C52">
        <w:rPr>
          <w:b/>
        </w:rPr>
        <w:t>obměněna vyjednávací skupiny</w:t>
      </w:r>
      <w:r w:rsidRPr="00D73A1E">
        <w:t>, která nese za výsledek těchto jednání odpovědnost. Je v zájmu všech, aby byl tým vyjednavačů doplněn i o nezávislé odborníky a experty, kteří mají s vyjednáváním zkušenosti. Tímto postupem lze dosáhnout pozitivního obratu ve vzájemných vztazích s </w:t>
      </w:r>
      <w:r>
        <w:t>EK</w:t>
      </w:r>
      <w:r w:rsidRPr="00D73A1E">
        <w:t xml:space="preserve"> nebo k němu alespoň přispět, a lze obnovit důvěru v to, že jednání jsou skutečně směřována k ukončení </w:t>
      </w:r>
      <w:proofErr w:type="spellStart"/>
      <w:r w:rsidRPr="00D73A1E">
        <w:t>infringementu</w:t>
      </w:r>
      <w:proofErr w:type="spellEnd"/>
      <w:r w:rsidRPr="00D73A1E">
        <w:t xml:space="preserve"> a nastavení produktivních vztahů s Evropskou komisí.</w:t>
      </w:r>
    </w:p>
    <w:p w:rsidR="00731330" w:rsidRDefault="00731330" w:rsidP="00C02C44">
      <w:pPr>
        <w:spacing w:after="120" w:line="276" w:lineRule="auto"/>
        <w:jc w:val="both"/>
      </w:pPr>
      <w:r>
        <w:t xml:space="preserve">Dle našeho názoru je pro dosažení efektivních závěrů při tvorbě </w:t>
      </w:r>
      <w:r w:rsidR="00286A80">
        <w:t xml:space="preserve">nutná </w:t>
      </w:r>
      <w:r>
        <w:t xml:space="preserve">ještě další hlubší změna, a sice nové vymezení pravomocí na většině stupňů řízení a rozhodování, což se neobejde bez </w:t>
      </w:r>
      <w:r w:rsidRPr="00731330">
        <w:rPr>
          <w:b/>
        </w:rPr>
        <w:t>změny kompetenčního zákona</w:t>
      </w:r>
      <w:r>
        <w:t>. Tento zásah do stávající legislativy bude podmíněn</w:t>
      </w:r>
      <w:r w:rsidR="00286A80">
        <w:t xml:space="preserve"> širokou odbornou i politickou diskusí.</w:t>
      </w:r>
      <w:r>
        <w:t xml:space="preserve">  </w:t>
      </w:r>
    </w:p>
    <w:p w:rsidR="002D160F" w:rsidRDefault="00731330" w:rsidP="002D160F">
      <w:pPr>
        <w:spacing w:after="120" w:line="276" w:lineRule="auto"/>
        <w:jc w:val="both"/>
      </w:pPr>
      <w:r w:rsidRPr="00286A80">
        <w:rPr>
          <w:b/>
        </w:rPr>
        <w:t>T</w:t>
      </w:r>
      <w:r w:rsidR="00CE2C52" w:rsidRPr="00286A80">
        <w:rPr>
          <w:b/>
        </w:rPr>
        <w:t>vorbu nového stavebního zákona</w:t>
      </w:r>
      <w:r>
        <w:t>, který bude umožňovat zjednodušení a zkrácení povolovacích procesů, podmiňu</w:t>
      </w:r>
      <w:r w:rsidR="00286A80">
        <w:t>je</w:t>
      </w:r>
      <w:r>
        <w:t xml:space="preserve"> a doprovází, jak je výše zmíněno, </w:t>
      </w:r>
      <w:r w:rsidR="00286A80">
        <w:t xml:space="preserve">mnohé závažné změny, jejichž projednání lze očekávat v delším časovém horizontu. Z tohoto důvodu není možné záměr odkládat, ponechávat ho k řešení nové vládě, tj. zahájit řešení prakticky v horizontu </w:t>
      </w:r>
      <w:r w:rsidR="00286A80">
        <w:lastRenderedPageBreak/>
        <w:t xml:space="preserve">jednoho roku. Je zapotřebí, aby ještě v době mandátu této vlády byla práce na něm </w:t>
      </w:r>
      <w:r w:rsidR="002D160F">
        <w:t>zahájena neprodleně</w:t>
      </w:r>
    </w:p>
    <w:p w:rsidR="00C02C44" w:rsidRDefault="00C02C44" w:rsidP="002D160F">
      <w:pPr>
        <w:spacing w:after="120" w:line="276" w:lineRule="auto"/>
        <w:jc w:val="both"/>
      </w:pPr>
      <w:r>
        <w:t xml:space="preserve">Na všechna negativa </w:t>
      </w:r>
      <w:r w:rsidR="002D160F">
        <w:t xml:space="preserve">současného právního stavu </w:t>
      </w:r>
      <w:r w:rsidRPr="002D160F">
        <w:rPr>
          <w:b/>
        </w:rPr>
        <w:t>byl upozorněn dopisem ministr průmyslu</w:t>
      </w:r>
      <w:r>
        <w:t xml:space="preserve"> </w:t>
      </w:r>
      <w:r w:rsidRPr="002D160F">
        <w:rPr>
          <w:b/>
        </w:rPr>
        <w:t>a obchodu Jan Mládek a členové Hospodářského výboru</w:t>
      </w:r>
      <w:r>
        <w:t xml:space="preserve"> Poslanecké sněmovny parlamentu se žádostí o pomoc při řešení zásadního problému, který je jedním z nejpodstatnějších, neboť nejpodstatnější měrou přispívá k neplněn</w:t>
      </w:r>
      <w:r w:rsidR="009E5CD4">
        <w:t>í Programového prohlášení vlády a je zdrojem velkého rizika pro čerpání evropských fondů, především Operačního programu Doprava.</w:t>
      </w:r>
    </w:p>
    <w:p w:rsidR="00C02C44" w:rsidRDefault="00C02C44"/>
    <w:p w:rsidR="00C02C44" w:rsidRDefault="00C02C44"/>
    <w:p w:rsidR="00C02C44" w:rsidRDefault="00C02C44"/>
    <w:p w:rsidR="002D160F" w:rsidRDefault="002D160F"/>
    <w:p w:rsidR="002D160F" w:rsidRDefault="002D160F"/>
    <w:p w:rsidR="00011CD1" w:rsidRDefault="00011CD1"/>
    <w:p w:rsidR="00011CD1" w:rsidRDefault="00011CD1"/>
    <w:p w:rsidR="00011CD1" w:rsidRDefault="00011CD1"/>
    <w:p w:rsidR="00011CD1" w:rsidRDefault="00011CD1"/>
    <w:p w:rsidR="00011CD1" w:rsidRDefault="00011CD1"/>
    <w:p w:rsidR="00011CD1" w:rsidRDefault="00011CD1"/>
    <w:p w:rsidR="00011CD1" w:rsidRDefault="00011CD1"/>
    <w:p w:rsidR="00011CD1" w:rsidRDefault="00011CD1"/>
    <w:p w:rsidR="00011CD1" w:rsidRDefault="00011CD1"/>
    <w:p w:rsidR="00011CD1" w:rsidRDefault="00011CD1"/>
    <w:p w:rsidR="00011CD1" w:rsidRDefault="00011CD1"/>
    <w:p w:rsidR="00011CD1" w:rsidRDefault="00011CD1"/>
    <w:p w:rsidR="00011CD1" w:rsidRDefault="00011CD1"/>
    <w:p w:rsidR="00011CD1" w:rsidRDefault="00011CD1"/>
    <w:p w:rsidR="00011CD1" w:rsidRDefault="00011CD1"/>
    <w:p w:rsidR="00011CD1" w:rsidRDefault="00011CD1"/>
    <w:p w:rsidR="00011CD1" w:rsidRDefault="00011CD1"/>
    <w:p w:rsidR="00011CD1" w:rsidRDefault="00011CD1"/>
    <w:p w:rsidR="00011CD1" w:rsidRDefault="00011CD1"/>
    <w:p w:rsidR="00011CD1" w:rsidRDefault="00011CD1"/>
    <w:p w:rsidR="00011CD1" w:rsidRDefault="00011CD1"/>
    <w:p w:rsidR="00011CD1" w:rsidRDefault="00011CD1"/>
    <w:p w:rsidR="00011CD1" w:rsidRDefault="00011CD1"/>
    <w:p w:rsidR="00011CD1" w:rsidRDefault="00011CD1"/>
    <w:p w:rsidR="00011CD1" w:rsidRDefault="00011CD1"/>
    <w:p w:rsidR="00011CD1" w:rsidRDefault="00011CD1"/>
    <w:p w:rsidR="00011CD1" w:rsidRDefault="00011CD1"/>
    <w:p w:rsidR="00011CD1" w:rsidRDefault="00011CD1"/>
    <w:p w:rsidR="00011CD1" w:rsidRDefault="00011CD1"/>
    <w:p w:rsidR="00011CD1" w:rsidRDefault="00011CD1"/>
    <w:p w:rsidR="00011CD1" w:rsidRDefault="00011CD1"/>
    <w:p w:rsidR="00011CD1" w:rsidRDefault="00011CD1"/>
    <w:p w:rsidR="00011CD1" w:rsidRDefault="00011CD1"/>
    <w:p w:rsidR="00011CD1" w:rsidRDefault="00011CD1"/>
    <w:p w:rsidR="00011CD1" w:rsidRDefault="00011CD1"/>
    <w:p w:rsidR="00011CD1" w:rsidRDefault="00011CD1"/>
    <w:p w:rsidR="00011CD1" w:rsidRDefault="00011CD1"/>
    <w:p w:rsidR="00011CD1" w:rsidRDefault="00011CD1"/>
    <w:p w:rsidR="00011CD1" w:rsidRDefault="00011CD1"/>
    <w:p w:rsidR="00011CD1" w:rsidRDefault="00011CD1"/>
    <w:p w:rsidR="00011CD1" w:rsidRDefault="00011CD1"/>
    <w:p w:rsidR="002D160F" w:rsidRDefault="002D160F"/>
    <w:p w:rsidR="002D160F" w:rsidRDefault="002D160F"/>
    <w:p w:rsidR="002D160F" w:rsidRDefault="002D160F"/>
    <w:p w:rsidR="00C02C44" w:rsidRDefault="00C02C44" w:rsidP="00C02C44">
      <w:pPr>
        <w:spacing w:after="120" w:line="276" w:lineRule="auto"/>
        <w:jc w:val="both"/>
      </w:pPr>
      <w:r>
        <w:t xml:space="preserve">Problematické budování staveb dopravní infrastruktury, především páteřní dálniční sítě, je trvale ve středu zájmu nejen stav stavbařů, ale široké veřejnosti. O to více jsou negativně vnímány matoucí deklarace ministerstva dopravy o každoročně chystaném zahájení stovek kilometrů komunikací (např. v 03/2015 ohlášeno </w:t>
      </w:r>
      <w:r>
        <w:rPr>
          <w:shd w:val="clear" w:color="auto" w:fill="FFFFFF"/>
        </w:rPr>
        <w:t>223 km</w:t>
      </w:r>
      <w:r w:rsidRPr="006555B1">
        <w:rPr>
          <w:shd w:val="clear" w:color="auto" w:fill="FFFFFF"/>
        </w:rPr>
        <w:t xml:space="preserve"> nových dálnic</w:t>
      </w:r>
      <w:r>
        <w:rPr>
          <w:shd w:val="clear" w:color="auto" w:fill="FFFFFF"/>
        </w:rPr>
        <w:t xml:space="preserve">, krátce poté </w:t>
      </w:r>
      <w:r w:rsidRPr="006555B1">
        <w:rPr>
          <w:shd w:val="clear" w:color="auto" w:fill="FFFFFF"/>
        </w:rPr>
        <w:t xml:space="preserve">do roku 2017 dokonce </w:t>
      </w:r>
      <w:r>
        <w:rPr>
          <w:shd w:val="clear" w:color="auto" w:fill="FFFFFF"/>
        </w:rPr>
        <w:t>400 km, v 08/2016 upřesněno na 114 km).</w:t>
      </w:r>
    </w:p>
    <w:p w:rsidR="00C02C44" w:rsidRPr="00523077" w:rsidRDefault="00C02C44" w:rsidP="00C02C44">
      <w:pPr>
        <w:spacing w:after="120" w:line="276" w:lineRule="auto"/>
        <w:jc w:val="both"/>
      </w:pPr>
      <w:r w:rsidRPr="00523077">
        <w:rPr>
          <w:shd w:val="clear" w:color="auto" w:fill="FFFFFF"/>
        </w:rPr>
        <w:t>Realita je však taková, že letos byla zatím zahájena jediná stavba dálnice, a to část D3 Bošilec-Ševětín o délce 8</w:t>
      </w:r>
      <w:r>
        <w:rPr>
          <w:shd w:val="clear" w:color="auto" w:fill="FFFFFF"/>
        </w:rPr>
        <w:t>,1 km a</w:t>
      </w:r>
      <w:r w:rsidRPr="00523077">
        <w:rPr>
          <w:shd w:val="clear" w:color="auto" w:fill="FFFFFF"/>
        </w:rPr>
        <w:t xml:space="preserve"> </w:t>
      </w:r>
      <w:r>
        <w:rPr>
          <w:shd w:val="clear" w:color="auto" w:fill="FFFFFF"/>
        </w:rPr>
        <w:t>z</w:t>
      </w:r>
      <w:r w:rsidRPr="00523077">
        <w:rPr>
          <w:shd w:val="clear" w:color="auto" w:fill="FFFFFF"/>
        </w:rPr>
        <w:t xml:space="preserve">a poslední tři roky (2013 – 2016) byla zahájena výstavba pouze necelých 35 kilometrů nových dálnic. </w:t>
      </w:r>
    </w:p>
    <w:p w:rsidR="00C02C44" w:rsidRPr="008B67C3" w:rsidRDefault="00C02C44" w:rsidP="00C02C44">
      <w:pPr>
        <w:spacing w:after="120" w:line="276" w:lineRule="auto"/>
        <w:jc w:val="both"/>
        <w:rPr>
          <w:shd w:val="clear" w:color="auto" w:fill="FFFFFF"/>
        </w:rPr>
      </w:pPr>
      <w:r w:rsidRPr="006555B1">
        <w:rPr>
          <w:shd w:val="clear" w:color="auto" w:fill="FFFFFF"/>
        </w:rPr>
        <w:t xml:space="preserve">Dokončení klíčových dálnic (Pražský okruh, D52 na hranice s Rakouskem a D35 Hradec Králové – Olomouc) je tak zcela v nedohlednu. Navíc zřejmě nebude možné dočerpat evropské fondy, které na výstavbu byly vyhrazeny. Tento stav má přímý dopad na konkurenceschopnost, hospodářský růst a sociální stabilitu ČR. </w:t>
      </w:r>
    </w:p>
    <w:p w:rsidR="00C02C44" w:rsidRPr="008B67C3" w:rsidRDefault="00C02C44" w:rsidP="00C02C44">
      <w:pPr>
        <w:spacing w:after="120" w:line="276" w:lineRule="auto"/>
        <w:jc w:val="both"/>
        <w:rPr>
          <w:shd w:val="clear" w:color="auto" w:fill="FFFFFF"/>
        </w:rPr>
      </w:pPr>
      <w:r w:rsidRPr="008B67C3">
        <w:rPr>
          <w:shd w:val="clear" w:color="auto" w:fill="FFFFFF"/>
        </w:rPr>
        <w:t>Nutná opatření:</w:t>
      </w:r>
    </w:p>
    <w:p w:rsidR="00C02C44" w:rsidRDefault="00C02C44" w:rsidP="00C02C44">
      <w:pPr>
        <w:pStyle w:val="Odstavecseseznamem"/>
        <w:numPr>
          <w:ilvl w:val="0"/>
          <w:numId w:val="1"/>
        </w:numPr>
        <w:spacing w:after="120"/>
        <w:ind w:left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10D4A">
        <w:rPr>
          <w:rFonts w:ascii="Times New Roman" w:hAnsi="Times New Roman"/>
          <w:sz w:val="24"/>
          <w:szCs w:val="24"/>
          <w:shd w:val="clear" w:color="auto" w:fill="FFFFFF"/>
        </w:rPr>
        <w:t>Pokud má vláda ambici uvedený trend zvrátit, je potřeba, aby se začala zabývat nikoliv pouze 9 prioritními stavbami, kterým Evropská komise udělila výjimku z opakování EIA, ale aby přijala konkrétní kroky k řešení dalších 94 staveb za cca 200 mld. Kč, které jsou na ŘSD připraveny k realizaci (minimálně 32 staveb by po překonání problému EIA mohlo být zahájeno do konce volebního období).</w:t>
      </w:r>
    </w:p>
    <w:p w:rsidR="00C02C44" w:rsidRPr="00EF15BE" w:rsidRDefault="00C02C44" w:rsidP="00C02C44">
      <w:pPr>
        <w:pStyle w:val="Odstavecseseznamem"/>
        <w:numPr>
          <w:ilvl w:val="0"/>
          <w:numId w:val="1"/>
        </w:numPr>
        <w:spacing w:after="120"/>
        <w:ind w:left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F15BE">
        <w:rPr>
          <w:rFonts w:ascii="Times New Roman" w:hAnsi="Times New Roman"/>
          <w:color w:val="000000" w:themeColor="text1"/>
          <w:sz w:val="24"/>
          <w:szCs w:val="24"/>
        </w:rPr>
        <w:t xml:space="preserve">Při udělení výjimky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EK devíti stavbám se </w:t>
      </w:r>
      <w:r w:rsidRPr="00EF15BE">
        <w:rPr>
          <w:rFonts w:ascii="Times New Roman" w:hAnsi="Times New Roman"/>
          <w:color w:val="000000" w:themeColor="text1"/>
          <w:sz w:val="24"/>
          <w:szCs w:val="24"/>
        </w:rPr>
        <w:t xml:space="preserve">mělo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jednat </w:t>
      </w:r>
      <w:r w:rsidRPr="00EF15BE">
        <w:rPr>
          <w:rFonts w:ascii="Times New Roman" w:hAnsi="Times New Roman"/>
          <w:color w:val="000000" w:themeColor="text1"/>
          <w:sz w:val="24"/>
          <w:szCs w:val="24"/>
        </w:rPr>
        <w:t>o stavby s nejpokročilejším stupněm investorské přípravy. Skutečnost je taková, že není dokončena jejich majetkoprávní příprava, na stavby nebylo vydáno stavební povolení v právní účinnosti a není předpoklad dřívějšího zahájení než od roku 2017</w:t>
      </w:r>
      <w:r w:rsidRPr="00EF15BE">
        <w:rPr>
          <w:rFonts w:asciiTheme="minorHAnsi" w:hAnsiTheme="minorHAnsi"/>
          <w:color w:val="000000" w:themeColor="text1"/>
          <w:sz w:val="28"/>
          <w:szCs w:val="28"/>
        </w:rPr>
        <w:t>.</w:t>
      </w:r>
    </w:p>
    <w:p w:rsidR="00C02C44" w:rsidRPr="00610D4A" w:rsidRDefault="00C02C44" w:rsidP="00C02C44">
      <w:pPr>
        <w:pStyle w:val="Odstavecseseznamem"/>
        <w:numPr>
          <w:ilvl w:val="0"/>
          <w:numId w:val="1"/>
        </w:numPr>
        <w:spacing w:after="120"/>
        <w:ind w:left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10D4A">
        <w:rPr>
          <w:rFonts w:ascii="Times New Roman" w:hAnsi="Times New Roman"/>
          <w:sz w:val="24"/>
          <w:szCs w:val="24"/>
          <w:shd w:val="clear" w:color="auto" w:fill="FFFFFF"/>
        </w:rPr>
        <w:t>Využít již nastavený mechanismus prioritizace staveb a doplnit příslušné nařízení vlády o další vhodné stavby. Případně je zapotřebí otevřít znovu debatu o využití výjimek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(národní úpravy)</w:t>
      </w:r>
      <w:r w:rsidRPr="00610D4A">
        <w:rPr>
          <w:rFonts w:ascii="Times New Roman" w:hAnsi="Times New Roman"/>
          <w:sz w:val="24"/>
          <w:szCs w:val="24"/>
          <w:shd w:val="clear" w:color="auto" w:fill="FFFFFF"/>
        </w:rPr>
        <w:t>, které evropská směrnice o EIA připouští.</w:t>
      </w:r>
    </w:p>
    <w:p w:rsidR="00C02C44" w:rsidRDefault="00C02C44" w:rsidP="00C02C44">
      <w:pPr>
        <w:pStyle w:val="Odstavecseseznamem"/>
        <w:numPr>
          <w:ilvl w:val="0"/>
          <w:numId w:val="1"/>
        </w:numPr>
        <w:spacing w:after="120"/>
        <w:ind w:left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10D4A">
        <w:rPr>
          <w:rFonts w:ascii="Times New Roman" w:hAnsi="Times New Roman"/>
          <w:sz w:val="24"/>
          <w:szCs w:val="24"/>
          <w:shd w:val="clear" w:color="auto" w:fill="FFFFFF"/>
        </w:rPr>
        <w:t xml:space="preserve">Doplnit novelu </w:t>
      </w:r>
      <w:r>
        <w:rPr>
          <w:rFonts w:ascii="Times New Roman" w:hAnsi="Times New Roman"/>
          <w:sz w:val="24"/>
          <w:szCs w:val="24"/>
          <w:shd w:val="clear" w:color="auto" w:fill="FFFFFF"/>
        </w:rPr>
        <w:t>zákona o EIA (aktuálně v probíhajícím mezirez</w:t>
      </w:r>
      <w:r w:rsidRPr="00610D4A">
        <w:rPr>
          <w:rFonts w:ascii="Times New Roman" w:hAnsi="Times New Roman"/>
          <w:sz w:val="24"/>
          <w:szCs w:val="24"/>
          <w:shd w:val="clear" w:color="auto" w:fill="FFFFFF"/>
        </w:rPr>
        <w:t>ortním připomínkovém řízení) o další výjimky pro konkrétní stavby.</w:t>
      </w:r>
    </w:p>
    <w:p w:rsidR="00C02C44" w:rsidRPr="00D61BE7" w:rsidRDefault="00C02C44" w:rsidP="00C02C44">
      <w:pPr>
        <w:pStyle w:val="Odstavecseseznamem"/>
        <w:numPr>
          <w:ilvl w:val="0"/>
          <w:numId w:val="1"/>
        </w:numPr>
        <w:spacing w:after="120"/>
        <w:ind w:left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10D4A">
        <w:rPr>
          <w:rFonts w:ascii="Times New Roman" w:hAnsi="Times New Roman"/>
          <w:sz w:val="24"/>
          <w:szCs w:val="24"/>
          <w:shd w:val="clear" w:color="auto" w:fill="FFFFFF"/>
        </w:rPr>
        <w:t xml:space="preserve">Pro přípravu Pražského okruhu je nutné připravit konkrétní a realistický harmonogram jeho </w:t>
      </w:r>
      <w:r w:rsidRPr="00D61BE7">
        <w:rPr>
          <w:rFonts w:ascii="Times New Roman" w:hAnsi="Times New Roman"/>
          <w:sz w:val="24"/>
          <w:szCs w:val="24"/>
          <w:shd w:val="clear" w:color="auto" w:fill="FFFFFF"/>
        </w:rPr>
        <w:t>dokončení. Zejména je zapotřebí určit jakou legislativní cestou bude realizována stavba 511, úsek D1 – Běchovice. Standardní postupy totiž zjevně k řešení této problematiky nedostačují. Pro informaci uvádíme výstup z dosavadního harmonogramu stavby 511, který v optimistické variantě předpokládá vydání závazného stanoviska EIA za 6 měsíců (08/2017) a v pesimistické variantě za 14 měsíců (04/2018).</w:t>
      </w:r>
    </w:p>
    <w:p w:rsidR="00C02C44" w:rsidRDefault="00C02C44" w:rsidP="00C02C44">
      <w:pPr>
        <w:spacing w:line="276" w:lineRule="auto"/>
        <w:ind w:left="-74"/>
        <w:jc w:val="both"/>
        <w:rPr>
          <w:shd w:val="clear" w:color="auto" w:fill="FFFFFF"/>
        </w:rPr>
      </w:pPr>
      <w:r>
        <w:rPr>
          <w:shd w:val="clear" w:color="auto" w:fill="FFFFFF"/>
        </w:rPr>
        <w:t>Rozpočet Státního fondu dopravní infrastruktury</w:t>
      </w:r>
    </w:p>
    <w:p w:rsidR="00C02C44" w:rsidRDefault="00C02C44" w:rsidP="00C02C44">
      <w:pPr>
        <w:spacing w:line="276" w:lineRule="auto"/>
        <w:ind w:left="-74"/>
        <w:jc w:val="both"/>
        <w:rPr>
          <w:shd w:val="clear" w:color="auto" w:fill="FFFFFF"/>
        </w:rPr>
      </w:pPr>
      <w:r>
        <w:rPr>
          <w:rFonts w:eastAsia="Times New Roman"/>
          <w:lang w:eastAsia="cs-CZ"/>
        </w:rPr>
        <w:lastRenderedPageBreak/>
        <w:t>Rozpočtové rá</w:t>
      </w:r>
      <w:r w:rsidRPr="00B01784">
        <w:rPr>
          <w:rFonts w:eastAsia="Times New Roman"/>
          <w:lang w:eastAsia="cs-CZ"/>
        </w:rPr>
        <w:t xml:space="preserve">mce SFDI </w:t>
      </w:r>
      <w:r>
        <w:rPr>
          <w:rFonts w:eastAsia="Times New Roman"/>
          <w:lang w:eastAsia="cs-CZ"/>
        </w:rPr>
        <w:t xml:space="preserve">pro léta </w:t>
      </w:r>
      <w:r w:rsidRPr="00B01784">
        <w:rPr>
          <w:rFonts w:eastAsia="Times New Roman"/>
          <w:lang w:eastAsia="cs-CZ"/>
        </w:rPr>
        <w:t xml:space="preserve">2017 – 2019 </w:t>
      </w:r>
      <w:r>
        <w:rPr>
          <w:rFonts w:eastAsia="Times New Roman"/>
          <w:lang w:eastAsia="cs-CZ"/>
        </w:rPr>
        <w:t>jsou na první pohled pozitivní. Činí:</w:t>
      </w:r>
      <w:r w:rsidRPr="00B01784">
        <w:rPr>
          <w:rFonts w:eastAsia="Times New Roman"/>
          <w:lang w:eastAsia="cs-CZ"/>
        </w:rPr>
        <w:t xml:space="preserve"> </w:t>
      </w:r>
    </w:p>
    <w:p w:rsidR="00C02C44" w:rsidRDefault="00C02C44" w:rsidP="00C02C44">
      <w:pPr>
        <w:spacing w:line="276" w:lineRule="auto"/>
        <w:ind w:left="-74"/>
        <w:jc w:val="both"/>
        <w:rPr>
          <w:shd w:val="clear" w:color="auto" w:fill="FFFFFF"/>
        </w:rPr>
      </w:pPr>
      <w:r>
        <w:rPr>
          <w:rFonts w:eastAsia="Times New Roman"/>
          <w:lang w:eastAsia="cs-CZ"/>
        </w:rPr>
        <w:t>rok</w:t>
      </w:r>
      <w:r w:rsidRPr="00B01784">
        <w:rPr>
          <w:rFonts w:eastAsia="Times New Roman"/>
          <w:lang w:eastAsia="cs-CZ"/>
        </w:rPr>
        <w:t> 2017 –</w:t>
      </w:r>
      <w:r>
        <w:rPr>
          <w:rFonts w:eastAsia="Times New Roman"/>
          <w:lang w:eastAsia="cs-CZ"/>
        </w:rPr>
        <w:t xml:space="preserve"> 82,1 mld. Kč, z toho národní zdroje 52 mld. Kč.</w:t>
      </w:r>
    </w:p>
    <w:p w:rsidR="00C02C44" w:rsidRDefault="00C02C44" w:rsidP="00C02C44">
      <w:pPr>
        <w:spacing w:line="276" w:lineRule="auto"/>
        <w:ind w:left="-74"/>
        <w:jc w:val="both"/>
        <w:rPr>
          <w:shd w:val="clear" w:color="auto" w:fill="FFFFFF"/>
        </w:rPr>
      </w:pPr>
      <w:r w:rsidRPr="00B01784">
        <w:rPr>
          <w:rFonts w:eastAsia="Times New Roman"/>
          <w:lang w:eastAsia="cs-CZ"/>
        </w:rPr>
        <w:t>rok 2018 – 96,3</w:t>
      </w:r>
      <w:r>
        <w:rPr>
          <w:rFonts w:eastAsia="Times New Roman"/>
          <w:lang w:eastAsia="cs-CZ"/>
        </w:rPr>
        <w:t xml:space="preserve"> </w:t>
      </w:r>
      <w:r w:rsidRPr="00B01784">
        <w:rPr>
          <w:rFonts w:eastAsia="Times New Roman"/>
          <w:lang w:eastAsia="cs-CZ"/>
        </w:rPr>
        <w:t>mld.</w:t>
      </w:r>
      <w:r>
        <w:rPr>
          <w:rFonts w:eastAsia="Times New Roman"/>
          <w:lang w:eastAsia="cs-CZ"/>
        </w:rPr>
        <w:t xml:space="preserve"> Kč</w:t>
      </w:r>
      <w:r w:rsidRPr="00B01784">
        <w:rPr>
          <w:rFonts w:eastAsia="Times New Roman"/>
          <w:lang w:eastAsia="cs-CZ"/>
        </w:rPr>
        <w:t xml:space="preserve">, </w:t>
      </w:r>
      <w:r>
        <w:rPr>
          <w:rFonts w:eastAsia="Times New Roman"/>
          <w:lang w:eastAsia="cs-CZ"/>
        </w:rPr>
        <w:t>z toho národní zdroje 49 mld. Kč.</w:t>
      </w:r>
    </w:p>
    <w:p w:rsidR="00C02C44" w:rsidRDefault="00C02C44" w:rsidP="00C02C44">
      <w:pPr>
        <w:spacing w:after="120" w:line="276" w:lineRule="auto"/>
        <w:ind w:left="-74"/>
        <w:jc w:val="both"/>
        <w:rPr>
          <w:shd w:val="clear" w:color="auto" w:fill="FFFFFF"/>
        </w:rPr>
      </w:pPr>
      <w:r w:rsidRPr="00B01784">
        <w:rPr>
          <w:rFonts w:eastAsia="Times New Roman"/>
          <w:lang w:eastAsia="cs-CZ"/>
        </w:rPr>
        <w:t>rok 2019 – 104,6</w:t>
      </w:r>
      <w:r>
        <w:rPr>
          <w:rFonts w:eastAsia="Times New Roman"/>
          <w:lang w:eastAsia="cs-CZ"/>
        </w:rPr>
        <w:t xml:space="preserve"> </w:t>
      </w:r>
      <w:r w:rsidRPr="00B01784">
        <w:rPr>
          <w:rFonts w:eastAsia="Times New Roman"/>
          <w:lang w:eastAsia="cs-CZ"/>
        </w:rPr>
        <w:t>mld.</w:t>
      </w:r>
      <w:r>
        <w:rPr>
          <w:rFonts w:eastAsia="Times New Roman"/>
          <w:lang w:eastAsia="cs-CZ"/>
        </w:rPr>
        <w:t xml:space="preserve"> Kč, z toho národní zdroje 50 mld. Kč.</w:t>
      </w:r>
    </w:p>
    <w:p w:rsidR="00C02C44" w:rsidRDefault="00C02C44" w:rsidP="00C02C44">
      <w:pPr>
        <w:spacing w:after="120" w:line="276" w:lineRule="auto"/>
        <w:ind w:left="-74"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Velkým</w:t>
      </w:r>
      <w:r w:rsidRPr="00B01784">
        <w:rPr>
          <w:rFonts w:eastAsia="Times New Roman"/>
          <w:lang w:eastAsia="cs-CZ"/>
        </w:rPr>
        <w:t xml:space="preserve"> problémem </w:t>
      </w:r>
      <w:r>
        <w:rPr>
          <w:rFonts w:eastAsia="Times New Roman"/>
          <w:lang w:eastAsia="cs-CZ"/>
        </w:rPr>
        <w:t xml:space="preserve">k realistickému předpokladu skutečného čerpání těchto prostředků </w:t>
      </w:r>
      <w:r w:rsidRPr="00B01784">
        <w:rPr>
          <w:rFonts w:eastAsia="Times New Roman"/>
          <w:lang w:eastAsia="cs-CZ"/>
        </w:rPr>
        <w:t xml:space="preserve">je investorská příprava staveb, dopady </w:t>
      </w:r>
      <w:r>
        <w:rPr>
          <w:rFonts w:eastAsia="Times New Roman"/>
          <w:lang w:eastAsia="cs-CZ"/>
        </w:rPr>
        <w:t>zákona č.</w:t>
      </w:r>
      <w:r w:rsidRPr="00B01784">
        <w:rPr>
          <w:rFonts w:eastAsia="Times New Roman"/>
          <w:lang w:eastAsia="cs-CZ"/>
        </w:rPr>
        <w:t xml:space="preserve">39/2015Sb., </w:t>
      </w:r>
      <w:r>
        <w:rPr>
          <w:rFonts w:eastAsia="Times New Roman"/>
          <w:lang w:eastAsia="cs-CZ"/>
        </w:rPr>
        <w:t xml:space="preserve">(EIA) a </w:t>
      </w:r>
      <w:r w:rsidRPr="00B01784">
        <w:rPr>
          <w:rFonts w:eastAsia="Times New Roman"/>
          <w:lang w:eastAsia="cs-CZ"/>
        </w:rPr>
        <w:t xml:space="preserve">další zhoršení </w:t>
      </w:r>
      <w:r>
        <w:rPr>
          <w:rFonts w:eastAsia="Times New Roman"/>
          <w:lang w:eastAsia="cs-CZ"/>
        </w:rPr>
        <w:t>díky transpozici směrnice EU/52/2014.</w:t>
      </w:r>
    </w:p>
    <w:p w:rsidR="00C02C44" w:rsidRPr="00523077" w:rsidRDefault="00C02C44" w:rsidP="00C02C44">
      <w:pPr>
        <w:spacing w:after="120" w:line="276" w:lineRule="auto"/>
        <w:ind w:left="-74"/>
        <w:jc w:val="both"/>
        <w:rPr>
          <w:shd w:val="clear" w:color="auto" w:fill="FFFFFF"/>
        </w:rPr>
      </w:pPr>
      <w:r w:rsidRPr="00B01784">
        <w:rPr>
          <w:rFonts w:eastAsia="Times New Roman"/>
          <w:lang w:eastAsia="cs-CZ"/>
        </w:rPr>
        <w:t>SFDI uvádí, že nedostatečná připravenost staveb je způsobena především problémy věcnými (území plánování, EIA, nedokončené majetkoprávní vypořádání, rozsáhlé požadavky na archeologické průzkumy v trase, zadávací řízení), administrativními na straně investorů a do určité míry i kapacitními na straně projekčních společností, kde se také velmi negativně projevují výkyvy v objemu poptávaného objemu prací.</w:t>
      </w:r>
    </w:p>
    <w:p w:rsidR="00C02C44" w:rsidRDefault="00C02C44"/>
    <w:sectPr w:rsidR="00C02C44" w:rsidSect="00EA07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46922"/>
    <w:multiLevelType w:val="hybridMultilevel"/>
    <w:tmpl w:val="230CECE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371DCA"/>
    <w:multiLevelType w:val="hybridMultilevel"/>
    <w:tmpl w:val="714E1D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02C44"/>
    <w:rsid w:val="00011CD1"/>
    <w:rsid w:val="00061490"/>
    <w:rsid w:val="00100CE5"/>
    <w:rsid w:val="00286A80"/>
    <w:rsid w:val="002D160F"/>
    <w:rsid w:val="00685F01"/>
    <w:rsid w:val="00731330"/>
    <w:rsid w:val="008C5FC9"/>
    <w:rsid w:val="009E5CD4"/>
    <w:rsid w:val="00C02C44"/>
    <w:rsid w:val="00CE2C52"/>
    <w:rsid w:val="00EA0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2C44"/>
    <w:pPr>
      <w:spacing w:after="0" w:line="240" w:lineRule="auto"/>
    </w:pPr>
    <w:rPr>
      <w:rFonts w:eastAsia="MS Mincho"/>
      <w:lang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02C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1CD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1CD1"/>
    <w:rPr>
      <w:rFonts w:ascii="Segoe UI" w:eastAsia="MS Mincho" w:hAnsi="Segoe UI" w:cs="Segoe UI"/>
      <w:sz w:val="18"/>
      <w:szCs w:val="18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1068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Smola</dc:creator>
  <cp:lastModifiedBy>OSPZV3 ospzv3</cp:lastModifiedBy>
  <cp:revision>2</cp:revision>
  <cp:lastPrinted>2017-01-11T09:52:00Z</cp:lastPrinted>
  <dcterms:created xsi:type="dcterms:W3CDTF">2017-01-26T13:27:00Z</dcterms:created>
  <dcterms:modified xsi:type="dcterms:W3CDTF">2017-01-26T13:27:00Z</dcterms:modified>
</cp:coreProperties>
</file>