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37" w:rsidRDefault="00265537" w:rsidP="00265537">
      <w:pPr>
        <w:spacing w:line="240" w:lineRule="auto"/>
        <w:jc w:val="right"/>
        <w:rPr>
          <w:b/>
          <w:u w:val="single"/>
        </w:rPr>
      </w:pPr>
      <w:r>
        <w:rPr>
          <w:b/>
          <w:u w:val="single"/>
        </w:rPr>
        <w:t>Příloha č.1</w:t>
      </w: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Doplnění k materiálu</w:t>
      </w: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65537" w:rsidRDefault="00265537" w:rsidP="00265537">
      <w:pPr>
        <w:jc w:val="center"/>
        <w:rPr>
          <w:b/>
          <w:sz w:val="28"/>
          <w:szCs w:val="28"/>
          <w:u w:val="single"/>
        </w:rPr>
      </w:pPr>
    </w:p>
    <w:p w:rsidR="00265537" w:rsidRDefault="00265537" w:rsidP="00265537">
      <w:pPr>
        <w:jc w:val="center"/>
        <w:rPr>
          <w:b/>
          <w:sz w:val="36"/>
        </w:rPr>
      </w:pPr>
      <w:r>
        <w:rPr>
          <w:b/>
          <w:sz w:val="36"/>
        </w:rPr>
        <w:t>PRŮBĚŽNÉ VYHODNOCENÍ OPATŘENÍ SMĚŘUJÍCÍCH K ODSTRANĚNÍ NEROVNOVÁHY NA TRHU PRÁCE</w:t>
      </w:r>
    </w:p>
    <w:p w:rsidR="00265537" w:rsidRPr="00265537" w:rsidRDefault="00265537" w:rsidP="00265537">
      <w:pPr>
        <w:spacing w:line="240" w:lineRule="auto"/>
        <w:rPr>
          <w:b/>
          <w:sz w:val="28"/>
          <w:szCs w:val="28"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265537" w:rsidRDefault="00265537" w:rsidP="00265537">
      <w:pPr>
        <w:spacing w:line="240" w:lineRule="auto"/>
        <w:jc w:val="center"/>
        <w:rPr>
          <w:b/>
          <w:u w:val="single"/>
        </w:rPr>
      </w:pPr>
    </w:p>
    <w:p w:rsidR="00525A3B" w:rsidRDefault="00525A3B" w:rsidP="00D11FE0">
      <w:pPr>
        <w:spacing w:line="240" w:lineRule="auto"/>
        <w:rPr>
          <w:sz w:val="22"/>
        </w:rPr>
      </w:pPr>
    </w:p>
    <w:p w:rsidR="00265537" w:rsidRPr="00525A3B" w:rsidRDefault="00265537" w:rsidP="00D11FE0">
      <w:pPr>
        <w:spacing w:line="240" w:lineRule="auto"/>
        <w:rPr>
          <w:b/>
          <w:szCs w:val="24"/>
          <w:u w:val="single"/>
        </w:rPr>
      </w:pPr>
      <w:r w:rsidRPr="00525A3B">
        <w:rPr>
          <w:szCs w:val="24"/>
        </w:rPr>
        <w:lastRenderedPageBreak/>
        <w:t>Na základě projednání předkládaného materiálu „Průběžné vyhodnocení opatření směřujících k odstranění nerovnováhy na trhu práce“ v rámci pracovních týmů RHSD, předkládá Ministerstvo práce a sociálních věcí doplnění k tomuto materiálu o požadované informace.</w:t>
      </w:r>
    </w:p>
    <w:p w:rsidR="00265537" w:rsidRPr="00525A3B" w:rsidRDefault="00265537" w:rsidP="00D11FE0">
      <w:pPr>
        <w:spacing w:line="240" w:lineRule="auto"/>
        <w:jc w:val="center"/>
        <w:rPr>
          <w:b/>
          <w:szCs w:val="24"/>
          <w:u w:val="single"/>
        </w:rPr>
      </w:pPr>
    </w:p>
    <w:p w:rsidR="000E0C7B" w:rsidRPr="00525A3B" w:rsidRDefault="006325F4" w:rsidP="00D11FE0">
      <w:pPr>
        <w:pStyle w:val="Odstavecseseznamem"/>
        <w:spacing w:line="240" w:lineRule="auto"/>
        <w:ind w:left="360"/>
        <w:jc w:val="center"/>
        <w:rPr>
          <w:b/>
          <w:szCs w:val="24"/>
          <w:u w:val="single"/>
        </w:rPr>
      </w:pPr>
      <w:r w:rsidRPr="00525A3B">
        <w:rPr>
          <w:b/>
          <w:szCs w:val="24"/>
          <w:u w:val="single"/>
        </w:rPr>
        <w:t>Nabídka a poptávka na trhu práce</w:t>
      </w:r>
    </w:p>
    <w:p w:rsidR="00265537" w:rsidRPr="00525A3B" w:rsidRDefault="00265537" w:rsidP="00D11FE0">
      <w:pPr>
        <w:pStyle w:val="Odstavecseseznamem"/>
        <w:spacing w:line="240" w:lineRule="auto"/>
        <w:ind w:left="360"/>
        <w:jc w:val="center"/>
        <w:rPr>
          <w:b/>
          <w:szCs w:val="24"/>
          <w:u w:val="single"/>
        </w:rPr>
      </w:pPr>
    </w:p>
    <w:p w:rsidR="006325F4" w:rsidRPr="00525A3B" w:rsidRDefault="006325F4" w:rsidP="00D11FE0">
      <w:pPr>
        <w:spacing w:line="240" w:lineRule="auto"/>
        <w:rPr>
          <w:b/>
          <w:szCs w:val="24"/>
          <w:u w:val="single"/>
        </w:rPr>
      </w:pPr>
    </w:p>
    <w:p w:rsidR="006325F4" w:rsidRPr="00525A3B" w:rsidRDefault="006325F4" w:rsidP="00D11FE0">
      <w:pPr>
        <w:pStyle w:val="Odstavecseseznamem"/>
        <w:numPr>
          <w:ilvl w:val="0"/>
          <w:numId w:val="5"/>
        </w:numPr>
        <w:spacing w:line="240" w:lineRule="auto"/>
        <w:rPr>
          <w:b/>
          <w:szCs w:val="24"/>
        </w:rPr>
      </w:pPr>
      <w:r w:rsidRPr="00525A3B">
        <w:rPr>
          <w:b/>
          <w:szCs w:val="24"/>
        </w:rPr>
        <w:t>Situace na trhu práce</w:t>
      </w:r>
    </w:p>
    <w:p w:rsidR="006325F4" w:rsidRPr="00525A3B" w:rsidRDefault="006325F4" w:rsidP="00D11FE0">
      <w:pPr>
        <w:spacing w:line="240" w:lineRule="auto"/>
        <w:rPr>
          <w:b/>
          <w:szCs w:val="24"/>
        </w:rPr>
      </w:pPr>
    </w:p>
    <w:p w:rsidR="006325F4" w:rsidRPr="00525A3B" w:rsidRDefault="006325F4" w:rsidP="00D11FE0">
      <w:pPr>
        <w:pStyle w:val="Seznam"/>
        <w:ind w:left="0" w:firstLine="0"/>
        <w:jc w:val="both"/>
        <w:rPr>
          <w:rFonts w:ascii="Arial" w:hAnsi="Arial" w:cs="Arial"/>
        </w:rPr>
      </w:pPr>
      <w:r w:rsidRPr="00525A3B">
        <w:rPr>
          <w:rFonts w:ascii="Arial" w:hAnsi="Arial" w:cs="Arial"/>
        </w:rPr>
        <w:t>K 30. 9.  2016 bylo na pracovištích Úřadu práce České republiky (ÚP ČR) evidováno 378 258 uchazečů o zaměstnání (</w:t>
      </w:r>
      <w:proofErr w:type="spellStart"/>
      <w:r w:rsidRPr="00525A3B">
        <w:rPr>
          <w:rFonts w:ascii="Arial" w:hAnsi="Arial" w:cs="Arial"/>
        </w:rPr>
        <w:t>UoZ</w:t>
      </w:r>
      <w:proofErr w:type="spellEnd"/>
      <w:r w:rsidRPr="00525A3B">
        <w:rPr>
          <w:rFonts w:ascii="Arial" w:hAnsi="Arial" w:cs="Arial"/>
        </w:rPr>
        <w:t xml:space="preserve">), meziročně je jejich počet nižší o 63 634. Z tohoto počtu bylo dosažitelných </w:t>
      </w:r>
      <w:proofErr w:type="spellStart"/>
      <w:r w:rsidRPr="00525A3B">
        <w:rPr>
          <w:rFonts w:ascii="Arial" w:hAnsi="Arial" w:cs="Arial"/>
        </w:rPr>
        <w:t>UoZ</w:t>
      </w:r>
      <w:proofErr w:type="spellEnd"/>
      <w:r w:rsidRPr="00525A3B">
        <w:rPr>
          <w:rFonts w:ascii="Arial" w:hAnsi="Arial" w:cs="Arial"/>
        </w:rPr>
        <w:t xml:space="preserve"> 359 294,</w:t>
      </w:r>
      <w:r w:rsidR="00345300" w:rsidRPr="00525A3B">
        <w:rPr>
          <w:rFonts w:ascii="Arial" w:hAnsi="Arial" w:cs="Arial"/>
        </w:rPr>
        <w:t xml:space="preserve"> tj. 95 % (meziročně podíl dosažitelných poklesl o 1 p. b.).</w:t>
      </w:r>
    </w:p>
    <w:p w:rsidR="00D11FE0" w:rsidRPr="00525A3B" w:rsidRDefault="00D11FE0" w:rsidP="00D11FE0">
      <w:pPr>
        <w:pStyle w:val="Seznam"/>
        <w:ind w:left="0" w:firstLine="0"/>
        <w:jc w:val="both"/>
        <w:rPr>
          <w:rFonts w:ascii="Arial" w:hAnsi="Arial" w:cs="Arial"/>
        </w:rPr>
      </w:pPr>
    </w:p>
    <w:p w:rsidR="006325F4" w:rsidRPr="00525A3B" w:rsidRDefault="006325F4" w:rsidP="00D11FE0">
      <w:pPr>
        <w:pStyle w:val="Seznam"/>
        <w:ind w:left="0" w:firstLine="0"/>
        <w:jc w:val="both"/>
        <w:rPr>
          <w:rFonts w:ascii="Arial" w:hAnsi="Arial" w:cs="Arial"/>
        </w:rPr>
      </w:pPr>
      <w:r w:rsidRPr="00525A3B">
        <w:rPr>
          <w:rFonts w:ascii="Arial" w:hAnsi="Arial" w:cs="Arial"/>
        </w:rPr>
        <w:t xml:space="preserve">Počty volných pracovních míst (VPM) nahlášených na ÚP ČR se plynule zvyšují, ke konci </w:t>
      </w:r>
      <w:r w:rsidR="00345300" w:rsidRPr="00525A3B">
        <w:rPr>
          <w:rFonts w:ascii="Arial" w:hAnsi="Arial" w:cs="Arial"/>
        </w:rPr>
        <w:t xml:space="preserve">září </w:t>
      </w:r>
      <w:r w:rsidRPr="00525A3B">
        <w:rPr>
          <w:rFonts w:ascii="Arial" w:hAnsi="Arial" w:cs="Arial"/>
        </w:rPr>
        <w:t xml:space="preserve">jich evidoval ÚP ČR již </w:t>
      </w:r>
      <w:r w:rsidR="00345300" w:rsidRPr="00525A3B">
        <w:rPr>
          <w:rFonts w:ascii="Arial" w:hAnsi="Arial" w:cs="Arial"/>
        </w:rPr>
        <w:t>140 993</w:t>
      </w:r>
      <w:r w:rsidRPr="00525A3B">
        <w:rPr>
          <w:rFonts w:ascii="Arial" w:hAnsi="Arial" w:cs="Arial"/>
        </w:rPr>
        <w:t xml:space="preserve">, tj. </w:t>
      </w:r>
      <w:r w:rsidR="00345300" w:rsidRPr="00525A3B">
        <w:rPr>
          <w:rFonts w:ascii="Arial" w:hAnsi="Arial" w:cs="Arial"/>
        </w:rPr>
        <w:t>o 32 420 více než ke stejnému období loňského roku a téměř 2,5 krát více než v září 2014.</w:t>
      </w:r>
      <w:r w:rsidRPr="00525A3B">
        <w:rPr>
          <w:rFonts w:ascii="Arial" w:hAnsi="Arial" w:cs="Arial"/>
        </w:rPr>
        <w:t xml:space="preserve"> </w:t>
      </w:r>
    </w:p>
    <w:p w:rsidR="00D11FE0" w:rsidRPr="00525A3B" w:rsidRDefault="00D11FE0" w:rsidP="00D11FE0">
      <w:pPr>
        <w:pStyle w:val="Seznam"/>
        <w:ind w:left="0" w:firstLine="0"/>
        <w:jc w:val="both"/>
        <w:rPr>
          <w:rFonts w:ascii="Arial" w:hAnsi="Arial" w:cs="Arial"/>
        </w:rPr>
      </w:pPr>
    </w:p>
    <w:p w:rsidR="00345300" w:rsidRPr="00525A3B" w:rsidRDefault="006325F4" w:rsidP="00D11FE0">
      <w:pPr>
        <w:spacing w:line="240" w:lineRule="auto"/>
        <w:rPr>
          <w:rFonts w:cs="Arial"/>
          <w:szCs w:val="24"/>
        </w:rPr>
      </w:pPr>
      <w:r w:rsidRPr="00525A3B">
        <w:rPr>
          <w:rFonts w:cs="Arial"/>
          <w:szCs w:val="24"/>
        </w:rPr>
        <w:t xml:space="preserve">Vzhledem k výraznému nárůstu počtu hlášených VPM a poklesu počtu uchazečů o zaměstnání se převaha nabídky pracovní síly nad poptávkou po ní výrazně snížila. </w:t>
      </w:r>
      <w:r w:rsidRPr="00525A3B">
        <w:rPr>
          <w:rFonts w:cs="Arial"/>
          <w:b/>
          <w:szCs w:val="24"/>
        </w:rPr>
        <w:t xml:space="preserve">Na 1 volné pracovní místo připadalo v průměru </w:t>
      </w:r>
      <w:r w:rsidR="00345300" w:rsidRPr="00525A3B">
        <w:rPr>
          <w:rFonts w:cs="Arial"/>
          <w:b/>
          <w:szCs w:val="24"/>
        </w:rPr>
        <w:t>2,</w:t>
      </w:r>
      <w:r w:rsidR="003B339E" w:rsidRPr="00525A3B">
        <w:rPr>
          <w:rFonts w:cs="Arial"/>
          <w:b/>
          <w:szCs w:val="24"/>
        </w:rPr>
        <w:t>7</w:t>
      </w:r>
      <w:r w:rsidRPr="00525A3B">
        <w:rPr>
          <w:rFonts w:cs="Arial"/>
          <w:b/>
          <w:szCs w:val="24"/>
        </w:rPr>
        <w:t xml:space="preserve"> uchazečů o zaměstnání, zatímco na konci </w:t>
      </w:r>
      <w:r w:rsidR="00345300" w:rsidRPr="00525A3B">
        <w:rPr>
          <w:rFonts w:cs="Arial"/>
          <w:b/>
          <w:szCs w:val="24"/>
        </w:rPr>
        <w:t xml:space="preserve">září </w:t>
      </w:r>
      <w:r w:rsidRPr="00525A3B">
        <w:rPr>
          <w:rFonts w:cs="Arial"/>
          <w:b/>
          <w:szCs w:val="24"/>
        </w:rPr>
        <w:t>201</w:t>
      </w:r>
      <w:r w:rsidR="00345300" w:rsidRPr="00525A3B">
        <w:rPr>
          <w:rFonts w:cs="Arial"/>
          <w:b/>
          <w:szCs w:val="24"/>
        </w:rPr>
        <w:t>5</w:t>
      </w:r>
      <w:r w:rsidRPr="00525A3B">
        <w:rPr>
          <w:rFonts w:cs="Arial"/>
          <w:b/>
          <w:szCs w:val="24"/>
        </w:rPr>
        <w:t xml:space="preserve"> to bylo </w:t>
      </w:r>
      <w:r w:rsidR="00345300" w:rsidRPr="00525A3B">
        <w:rPr>
          <w:rFonts w:cs="Arial"/>
          <w:b/>
          <w:szCs w:val="24"/>
        </w:rPr>
        <w:t xml:space="preserve">4,07 </w:t>
      </w:r>
      <w:r w:rsidRPr="00525A3B">
        <w:rPr>
          <w:rFonts w:cs="Arial"/>
          <w:b/>
          <w:szCs w:val="24"/>
        </w:rPr>
        <w:t>uchazečů.</w:t>
      </w:r>
    </w:p>
    <w:p w:rsidR="00EC19DB" w:rsidRDefault="00EC19DB" w:rsidP="003922C1">
      <w:pPr>
        <w:spacing w:line="240" w:lineRule="auto"/>
        <w:rPr>
          <w:rFonts w:cs="Arial"/>
          <w:szCs w:val="24"/>
        </w:rPr>
      </w:pPr>
    </w:p>
    <w:tbl>
      <w:tblPr>
        <w:tblW w:w="8742" w:type="dxa"/>
        <w:jc w:val="center"/>
        <w:tblCellMar>
          <w:left w:w="70" w:type="dxa"/>
          <w:right w:w="70" w:type="dxa"/>
        </w:tblCellMar>
        <w:tblLook w:val="04A0"/>
      </w:tblPr>
      <w:tblGrid>
        <w:gridCol w:w="2646"/>
        <w:gridCol w:w="1524"/>
        <w:gridCol w:w="1524"/>
        <w:gridCol w:w="1524"/>
        <w:gridCol w:w="1524"/>
      </w:tblGrid>
      <w:tr w:rsidR="00C360A4" w:rsidRPr="00525A3B" w:rsidTr="003922C1">
        <w:trPr>
          <w:trHeight w:val="53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 </w:t>
            </w:r>
            <w:r w:rsidR="003B339E" w:rsidRPr="00525A3B">
              <w:rPr>
                <w:rFonts w:cs="Arial"/>
                <w:sz w:val="20"/>
                <w:szCs w:val="20"/>
              </w:rPr>
              <w:t>K 30. 9. 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Podíl </w:t>
            </w:r>
            <w:proofErr w:type="spellStart"/>
            <w:r w:rsidRPr="00525A3B">
              <w:rPr>
                <w:rFonts w:cs="Arial"/>
                <w:sz w:val="20"/>
                <w:szCs w:val="20"/>
              </w:rPr>
              <w:t>nezam</w:t>
            </w:r>
            <w:proofErr w:type="spellEnd"/>
            <w:r w:rsidRPr="00525A3B">
              <w:rPr>
                <w:rFonts w:cs="Arial"/>
                <w:sz w:val="20"/>
                <w:szCs w:val="20"/>
              </w:rPr>
              <w:t>. osob (%)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Počet </w:t>
            </w:r>
            <w:proofErr w:type="spellStart"/>
            <w:r w:rsidRPr="00525A3B">
              <w:rPr>
                <w:rFonts w:cs="Arial"/>
                <w:sz w:val="20"/>
                <w:szCs w:val="20"/>
              </w:rPr>
              <w:t>UoZ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Počet VPM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Počet </w:t>
            </w:r>
            <w:proofErr w:type="spellStart"/>
            <w:r w:rsidRPr="00525A3B">
              <w:rPr>
                <w:rFonts w:cs="Arial"/>
                <w:sz w:val="20"/>
                <w:szCs w:val="20"/>
              </w:rPr>
              <w:t>UoZ</w:t>
            </w:r>
            <w:proofErr w:type="spellEnd"/>
            <w:r w:rsidRPr="00525A3B">
              <w:rPr>
                <w:rFonts w:cs="Arial"/>
                <w:sz w:val="20"/>
                <w:szCs w:val="20"/>
              </w:rPr>
              <w:t xml:space="preserve"> na </w:t>
            </w:r>
            <w:r w:rsidRPr="00525A3B">
              <w:rPr>
                <w:rFonts w:cs="Arial"/>
                <w:sz w:val="20"/>
                <w:szCs w:val="20"/>
              </w:rPr>
              <w:br/>
              <w:t>1 VPM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Hl. m. Praha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33 069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20 583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1,6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Středočeský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4,4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39 811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18 264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2,2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Jihočeský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17 265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10 152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1,7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Plzeňský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3,6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14 723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11 640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1,3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Karlovarský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11 783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4 101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2,9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Ústecký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46 086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7 895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5,8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Liberecký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16 225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6 123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2,6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Královéhradecký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14 079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6 936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2,0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Pardubický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13 434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10 099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853994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1,3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Kraj Vysočina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16 358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6 175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2,6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Jihomoravský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47 249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12 042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3,9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Olomoucký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5,6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24 974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6 800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3,7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Zlínský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4,7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18 905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7 618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2,5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Moravskoslezský kraj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7,6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64 297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5A3B">
              <w:rPr>
                <w:rFonts w:cs="Arial"/>
                <w:bCs/>
                <w:sz w:val="20"/>
                <w:szCs w:val="20"/>
              </w:rPr>
              <w:t>12 565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5,1</w:t>
            </w:r>
          </w:p>
        </w:tc>
      </w:tr>
      <w:tr w:rsidR="00C360A4" w:rsidRPr="00525A3B" w:rsidTr="003922C1">
        <w:trPr>
          <w:trHeight w:val="312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0A4" w:rsidRPr="00525A3B" w:rsidRDefault="00C360A4" w:rsidP="003922C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25A3B">
              <w:rPr>
                <w:rFonts w:cs="Arial"/>
                <w:b/>
                <w:sz w:val="20"/>
                <w:szCs w:val="20"/>
              </w:rPr>
              <w:t>ČR celkem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5A3B">
              <w:rPr>
                <w:rFonts w:cs="Arial"/>
                <w:b/>
                <w:sz w:val="20"/>
                <w:szCs w:val="20"/>
              </w:rPr>
              <w:t>5,2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ind w:firstLineChars="100" w:firstLine="201"/>
              <w:jc w:val="center"/>
              <w:rPr>
                <w:rFonts w:cs="Arial"/>
                <w:b/>
                <w:sz w:val="20"/>
                <w:szCs w:val="20"/>
              </w:rPr>
            </w:pPr>
            <w:r w:rsidRPr="00525A3B">
              <w:rPr>
                <w:rFonts w:cs="Arial"/>
                <w:b/>
                <w:sz w:val="20"/>
                <w:szCs w:val="20"/>
              </w:rPr>
              <w:t>378 258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A4" w:rsidRPr="00525A3B" w:rsidRDefault="003B339E" w:rsidP="003922C1">
            <w:pPr>
              <w:spacing w:line="240" w:lineRule="auto"/>
              <w:ind w:firstLineChars="100" w:firstLine="201"/>
              <w:jc w:val="center"/>
              <w:rPr>
                <w:rFonts w:cs="Arial"/>
                <w:b/>
                <w:sz w:val="20"/>
                <w:szCs w:val="20"/>
              </w:rPr>
            </w:pPr>
            <w:r w:rsidRPr="00525A3B">
              <w:rPr>
                <w:rFonts w:cs="Arial"/>
                <w:b/>
                <w:sz w:val="20"/>
                <w:szCs w:val="20"/>
              </w:rPr>
              <w:t>140 993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0A4" w:rsidRPr="00525A3B" w:rsidRDefault="003B339E" w:rsidP="003922C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5A3B">
              <w:rPr>
                <w:rFonts w:cs="Arial"/>
                <w:b/>
                <w:sz w:val="20"/>
                <w:szCs w:val="20"/>
              </w:rPr>
              <w:t>2,7</w:t>
            </w:r>
          </w:p>
        </w:tc>
      </w:tr>
    </w:tbl>
    <w:p w:rsidR="00580355" w:rsidRDefault="00580355" w:rsidP="00580355">
      <w:pPr>
        <w:spacing w:line="240" w:lineRule="auto"/>
        <w:rPr>
          <w:rFonts w:cs="Arial"/>
          <w:b/>
          <w:sz w:val="22"/>
        </w:rPr>
      </w:pPr>
    </w:p>
    <w:p w:rsidR="007B42A5" w:rsidRPr="00525A3B" w:rsidRDefault="009C102E" w:rsidP="00580355">
      <w:pPr>
        <w:spacing w:line="240" w:lineRule="auto"/>
        <w:rPr>
          <w:rFonts w:cs="Arial"/>
          <w:szCs w:val="24"/>
        </w:rPr>
      </w:pPr>
      <w:r w:rsidRPr="00525A3B">
        <w:rPr>
          <w:rFonts w:cs="Arial"/>
          <w:b/>
          <w:szCs w:val="24"/>
        </w:rPr>
        <w:t xml:space="preserve">Situace na trhu práce se tak začíná přibližovat situaci v roce 2008, kdy v září tohoto roku evidovaly úřady práce celkem 314 558 </w:t>
      </w:r>
      <w:proofErr w:type="spellStart"/>
      <w:r w:rsidRPr="00525A3B">
        <w:rPr>
          <w:rFonts w:cs="Arial"/>
          <w:b/>
          <w:szCs w:val="24"/>
        </w:rPr>
        <w:t>UoZ</w:t>
      </w:r>
      <w:proofErr w:type="spellEnd"/>
      <w:r w:rsidRPr="00525A3B">
        <w:rPr>
          <w:rFonts w:cs="Arial"/>
          <w:b/>
          <w:szCs w:val="24"/>
        </w:rPr>
        <w:t xml:space="preserve"> (94,5 % dosažitelných) při 139 557 hláše</w:t>
      </w:r>
      <w:r w:rsidR="00FA764C" w:rsidRPr="00525A3B">
        <w:rPr>
          <w:rFonts w:cs="Arial"/>
          <w:b/>
          <w:szCs w:val="24"/>
        </w:rPr>
        <w:t>ných volných pracovních místech, tj. cca 2,6 uchazeče na jedno pracovní místo.</w:t>
      </w:r>
      <w:r w:rsidRPr="00525A3B">
        <w:rPr>
          <w:rFonts w:cs="Arial"/>
          <w:b/>
          <w:szCs w:val="24"/>
        </w:rPr>
        <w:t xml:space="preserve"> </w:t>
      </w:r>
      <w:r w:rsidRPr="00525A3B">
        <w:rPr>
          <w:rFonts w:cs="Arial"/>
          <w:szCs w:val="24"/>
        </w:rPr>
        <w:t xml:space="preserve">V září 2008 se však již částečně začaly projevovat dopady počínající hospodářské recese, v červnu téhož roku totiž evidovaly úřady práce 297 880 </w:t>
      </w:r>
      <w:proofErr w:type="spellStart"/>
      <w:r w:rsidRPr="00525A3B">
        <w:rPr>
          <w:rFonts w:cs="Arial"/>
          <w:szCs w:val="24"/>
        </w:rPr>
        <w:t>UoZ</w:t>
      </w:r>
      <w:proofErr w:type="spellEnd"/>
      <w:r w:rsidRPr="00525A3B">
        <w:rPr>
          <w:rFonts w:cs="Arial"/>
          <w:szCs w:val="24"/>
        </w:rPr>
        <w:t xml:space="preserve"> (93,8 % dosažitelných) při 151 881 volných pracovních místech, tj. na jedno volné pracovní místo připadalo 1,96 </w:t>
      </w:r>
      <w:proofErr w:type="spellStart"/>
      <w:r w:rsidRPr="00525A3B">
        <w:rPr>
          <w:rFonts w:cs="Arial"/>
          <w:szCs w:val="24"/>
        </w:rPr>
        <w:t>UoZ</w:t>
      </w:r>
      <w:proofErr w:type="spellEnd"/>
      <w:r w:rsidRPr="00525A3B">
        <w:rPr>
          <w:rFonts w:cs="Arial"/>
          <w:szCs w:val="24"/>
        </w:rPr>
        <w:t xml:space="preserve">. Míra ekonomické aktivity v rozpětí </w:t>
      </w:r>
      <w:r w:rsidR="00FA764C" w:rsidRPr="00525A3B">
        <w:rPr>
          <w:rFonts w:cs="Arial"/>
          <w:szCs w:val="24"/>
        </w:rPr>
        <w:t>2. čtvrtletí 2008 až 2. </w:t>
      </w:r>
      <w:r w:rsidRPr="00525A3B">
        <w:rPr>
          <w:rFonts w:cs="Arial"/>
          <w:szCs w:val="24"/>
        </w:rPr>
        <w:t>čtvrtletí 2016 narostla o 7. p. b.</w:t>
      </w:r>
    </w:p>
    <w:p w:rsidR="007B42A5" w:rsidRPr="00525A3B" w:rsidRDefault="007B42A5" w:rsidP="00580355">
      <w:pPr>
        <w:spacing w:line="240" w:lineRule="auto"/>
        <w:rPr>
          <w:rFonts w:cs="Arial"/>
          <w:szCs w:val="24"/>
        </w:rPr>
      </w:pPr>
    </w:p>
    <w:p w:rsidR="007B42A5" w:rsidRPr="00525A3B" w:rsidRDefault="004D7850" w:rsidP="00D11FE0">
      <w:pPr>
        <w:pStyle w:val="Odstavecseseznamem"/>
        <w:numPr>
          <w:ilvl w:val="0"/>
          <w:numId w:val="5"/>
        </w:numPr>
        <w:spacing w:line="240" w:lineRule="auto"/>
        <w:rPr>
          <w:rFonts w:cs="Arial"/>
          <w:b/>
          <w:szCs w:val="24"/>
        </w:rPr>
      </w:pPr>
      <w:r w:rsidRPr="00525A3B">
        <w:rPr>
          <w:rFonts w:cs="Arial"/>
          <w:b/>
          <w:szCs w:val="24"/>
        </w:rPr>
        <w:t>Volná pracovní místa a jejich neobsazenost</w:t>
      </w:r>
    </w:p>
    <w:p w:rsidR="00D11FE0" w:rsidRPr="00525A3B" w:rsidRDefault="00D11FE0" w:rsidP="00D11FE0">
      <w:pPr>
        <w:pStyle w:val="Odstavecseseznamem"/>
        <w:spacing w:line="240" w:lineRule="auto"/>
        <w:ind w:left="1512"/>
        <w:rPr>
          <w:rFonts w:cs="Arial"/>
          <w:b/>
          <w:szCs w:val="24"/>
        </w:rPr>
      </w:pPr>
    </w:p>
    <w:p w:rsidR="00A13614" w:rsidRPr="00525A3B" w:rsidRDefault="00A13614" w:rsidP="00D11FE0">
      <w:pPr>
        <w:spacing w:line="240" w:lineRule="auto"/>
        <w:rPr>
          <w:rFonts w:cs="Arial"/>
          <w:szCs w:val="24"/>
        </w:rPr>
      </w:pPr>
      <w:r w:rsidRPr="00525A3B">
        <w:rPr>
          <w:rFonts w:cs="Arial"/>
          <w:szCs w:val="24"/>
        </w:rPr>
        <w:t xml:space="preserve">Následující tabulka popisuje vývoj ve struktuře a objevu volných pracovních míst podle doby jejich neobsazení. Výrazně rostoucí počet neobsazených a nabízených volných míst </w:t>
      </w:r>
      <w:r w:rsidR="00D11FE0" w:rsidRPr="00525A3B">
        <w:rPr>
          <w:rFonts w:cs="Arial"/>
          <w:szCs w:val="24"/>
        </w:rPr>
        <w:t>signalizuje</w:t>
      </w:r>
      <w:r w:rsidRPr="00525A3B">
        <w:rPr>
          <w:rFonts w:cs="Arial"/>
          <w:szCs w:val="24"/>
        </w:rPr>
        <w:t xml:space="preserve">, </w:t>
      </w:r>
      <w:r w:rsidRPr="00525A3B">
        <w:rPr>
          <w:rFonts w:cs="Arial"/>
          <w:b/>
          <w:szCs w:val="24"/>
        </w:rPr>
        <w:t>že další snižování nezaměstnanosti ovlivňují strukturální faktory</w:t>
      </w:r>
      <w:r w:rsidRPr="00525A3B">
        <w:rPr>
          <w:rFonts w:cs="Arial"/>
          <w:szCs w:val="24"/>
        </w:rPr>
        <w:t xml:space="preserve"> (</w:t>
      </w:r>
      <w:r w:rsidRPr="00525A3B">
        <w:rPr>
          <w:rFonts w:cs="Arial"/>
          <w:b/>
          <w:szCs w:val="24"/>
        </w:rPr>
        <w:t>např. specifická kvalifikace pracovní síly v určitých regionech, nabídka volných míst v oblastech s nízkou nezaměstnanosti</w:t>
      </w:r>
      <w:r w:rsidRPr="00525A3B">
        <w:rPr>
          <w:rFonts w:cs="Arial"/>
          <w:szCs w:val="24"/>
        </w:rPr>
        <w:t xml:space="preserve">). </w:t>
      </w:r>
      <w:r w:rsidRPr="00525A3B">
        <w:rPr>
          <w:rFonts w:cs="Arial"/>
          <w:b/>
          <w:szCs w:val="24"/>
        </w:rPr>
        <w:t>Z tabulky je zřejmé, že se zpomaluje jak dynamika růstu počtu pracovních míst, tak zvyšující se podíl déle neobsazených pracovních míst a struktura volných pracovních míst podle doby jejich nabízení je prakticky shodná se stavem v září 2008.</w:t>
      </w:r>
    </w:p>
    <w:p w:rsidR="00C360A4" w:rsidRDefault="00C360A4" w:rsidP="003922C1">
      <w:pPr>
        <w:spacing w:before="120" w:line="240" w:lineRule="auto"/>
        <w:rPr>
          <w:rFonts w:cs="Arial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1561"/>
        <w:gridCol w:w="1367"/>
        <w:gridCol w:w="1365"/>
        <w:gridCol w:w="1561"/>
        <w:gridCol w:w="1561"/>
      </w:tblGrid>
      <w:tr w:rsidR="007B42A5" w:rsidRPr="00525A3B" w:rsidTr="00525A3B">
        <w:trPr>
          <w:trHeight w:val="230"/>
        </w:trPr>
        <w:tc>
          <w:tcPr>
            <w:tcW w:w="9124" w:type="dxa"/>
            <w:gridSpan w:val="6"/>
            <w:shd w:val="clear" w:color="auto" w:fill="auto"/>
            <w:vAlign w:val="center"/>
          </w:tcPr>
          <w:p w:rsidR="007B42A5" w:rsidRPr="00525A3B" w:rsidRDefault="007B42A5" w:rsidP="00525A3B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5A3B">
              <w:rPr>
                <w:rFonts w:cs="Arial"/>
                <w:b/>
                <w:sz w:val="20"/>
                <w:szCs w:val="20"/>
              </w:rPr>
              <w:t>Neobsazenost volných pracovních míst k 30. 9. 2016</w:t>
            </w:r>
          </w:p>
        </w:tc>
      </w:tr>
      <w:tr w:rsidR="00525A3B" w:rsidRPr="00525A3B" w:rsidTr="00525A3B">
        <w:trPr>
          <w:trHeight w:val="230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Počet pracovních míst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585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A5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N</w:t>
            </w:r>
            <w:r w:rsidR="007B42A5" w:rsidRPr="00525A3B">
              <w:rPr>
                <w:rFonts w:cs="Arial"/>
                <w:sz w:val="20"/>
                <w:szCs w:val="20"/>
              </w:rPr>
              <w:t>eobsazeno</w:t>
            </w:r>
            <w:r w:rsidRPr="00525A3B">
              <w:rPr>
                <w:rFonts w:cs="Arial"/>
                <w:sz w:val="20"/>
                <w:szCs w:val="20"/>
              </w:rPr>
              <w:t xml:space="preserve"> (měsíců)</w:t>
            </w:r>
          </w:p>
        </w:tc>
      </w:tr>
      <w:tr w:rsidR="00525A3B" w:rsidRPr="00525A3B" w:rsidTr="00525A3B">
        <w:trPr>
          <w:trHeight w:val="444"/>
        </w:trPr>
        <w:tc>
          <w:tcPr>
            <w:tcW w:w="1709" w:type="dxa"/>
            <w:vMerge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A5" w:rsidRPr="00525A3B" w:rsidRDefault="007B42A5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0-3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A5" w:rsidRPr="00525A3B" w:rsidRDefault="007B42A5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3-6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A5" w:rsidRPr="00525A3B" w:rsidRDefault="007B42A5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6-12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A5" w:rsidRPr="00525A3B" w:rsidRDefault="007B42A5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Nad 12 </w:t>
            </w:r>
          </w:p>
        </w:tc>
      </w:tr>
      <w:tr w:rsidR="00525A3B" w:rsidRPr="00525A3B" w:rsidTr="00525A3B">
        <w:trPr>
          <w:trHeight w:val="151"/>
        </w:trPr>
        <w:tc>
          <w:tcPr>
            <w:tcW w:w="1709" w:type="dxa"/>
            <w:vMerge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140 992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61 171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30 503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24 013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25 305</w:t>
            </w:r>
          </w:p>
        </w:tc>
      </w:tr>
      <w:tr w:rsidR="00525A3B" w:rsidRPr="00525A3B" w:rsidTr="00525A3B">
        <w:trPr>
          <w:trHeight w:val="236"/>
        </w:trPr>
        <w:tc>
          <w:tcPr>
            <w:tcW w:w="1709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podíl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7B42A5" w:rsidRPr="00525A3B" w:rsidRDefault="009C102E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100 %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43,4 %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21,6 %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17 %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18 %</w:t>
            </w:r>
          </w:p>
        </w:tc>
      </w:tr>
      <w:tr w:rsidR="007B42A5" w:rsidRPr="00525A3B" w:rsidTr="00525A3B">
        <w:trPr>
          <w:trHeight w:val="236"/>
        </w:trPr>
        <w:tc>
          <w:tcPr>
            <w:tcW w:w="9124" w:type="dxa"/>
            <w:gridSpan w:val="6"/>
            <w:shd w:val="clear" w:color="auto" w:fill="auto"/>
            <w:vAlign w:val="bottom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b/>
                <w:sz w:val="20"/>
                <w:szCs w:val="20"/>
              </w:rPr>
              <w:t>Neobsazenost volných pracovních míst k 30. 9. 2015</w:t>
            </w:r>
          </w:p>
        </w:tc>
      </w:tr>
      <w:tr w:rsidR="00525A3B" w:rsidRPr="00525A3B" w:rsidTr="00525A3B">
        <w:trPr>
          <w:trHeight w:val="230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Počet pracovních míst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585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2A5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N</w:t>
            </w:r>
            <w:r w:rsidR="007B42A5" w:rsidRPr="00525A3B">
              <w:rPr>
                <w:rFonts w:cs="Arial"/>
                <w:sz w:val="20"/>
                <w:szCs w:val="20"/>
              </w:rPr>
              <w:t>eobsazeno</w:t>
            </w:r>
            <w:r w:rsidRPr="00525A3B">
              <w:rPr>
                <w:rFonts w:cs="Arial"/>
                <w:sz w:val="20"/>
                <w:szCs w:val="20"/>
              </w:rPr>
              <w:t xml:space="preserve"> (měsíců)</w:t>
            </w:r>
          </w:p>
        </w:tc>
      </w:tr>
      <w:tr w:rsidR="00525A3B" w:rsidRPr="00525A3B" w:rsidTr="00525A3B">
        <w:trPr>
          <w:trHeight w:val="444"/>
        </w:trPr>
        <w:tc>
          <w:tcPr>
            <w:tcW w:w="1709" w:type="dxa"/>
            <w:vMerge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A5" w:rsidRPr="00525A3B" w:rsidRDefault="007B42A5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0-3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A5" w:rsidRPr="00525A3B" w:rsidRDefault="007B42A5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3-6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A5" w:rsidRPr="00525A3B" w:rsidRDefault="007B42A5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6-12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2A5" w:rsidRPr="00525A3B" w:rsidRDefault="007B42A5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Nad 12 </w:t>
            </w:r>
          </w:p>
        </w:tc>
      </w:tr>
      <w:tr w:rsidR="00525A3B" w:rsidRPr="00525A3B" w:rsidTr="00525A3B">
        <w:trPr>
          <w:trHeight w:val="151"/>
        </w:trPr>
        <w:tc>
          <w:tcPr>
            <w:tcW w:w="1709" w:type="dxa"/>
            <w:vMerge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108 574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55 404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23 150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18 779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11 241</w:t>
            </w:r>
          </w:p>
        </w:tc>
      </w:tr>
      <w:tr w:rsidR="00525A3B" w:rsidRPr="00525A3B" w:rsidTr="00525A3B">
        <w:trPr>
          <w:trHeight w:val="236"/>
        </w:trPr>
        <w:tc>
          <w:tcPr>
            <w:tcW w:w="1709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podíl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100 %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51 %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21,3 %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17,3 %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42A5" w:rsidRPr="00525A3B" w:rsidRDefault="007B42A5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10,4 %</w:t>
            </w:r>
          </w:p>
        </w:tc>
      </w:tr>
      <w:tr w:rsidR="00313D70" w:rsidRPr="00525A3B" w:rsidTr="00525A3B">
        <w:trPr>
          <w:trHeight w:val="230"/>
        </w:trPr>
        <w:tc>
          <w:tcPr>
            <w:tcW w:w="9124" w:type="dxa"/>
            <w:gridSpan w:val="6"/>
            <w:shd w:val="clear" w:color="auto" w:fill="auto"/>
            <w:vAlign w:val="center"/>
          </w:tcPr>
          <w:p w:rsidR="00313D70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5A3B">
              <w:rPr>
                <w:rFonts w:cs="Arial"/>
                <w:b/>
                <w:sz w:val="20"/>
                <w:szCs w:val="20"/>
              </w:rPr>
              <w:t>Neobsazenost volných pracovních míst k 30. 9. 2014</w:t>
            </w:r>
          </w:p>
        </w:tc>
      </w:tr>
      <w:tr w:rsidR="00525A3B" w:rsidRPr="00525A3B" w:rsidTr="00525A3B">
        <w:trPr>
          <w:trHeight w:val="230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Počet pracovních míst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585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D70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Neobsazeno (měsíců)</w:t>
            </w:r>
          </w:p>
        </w:tc>
      </w:tr>
      <w:tr w:rsidR="00525A3B" w:rsidRPr="00525A3B" w:rsidTr="00525A3B">
        <w:trPr>
          <w:trHeight w:val="180"/>
        </w:trPr>
        <w:tc>
          <w:tcPr>
            <w:tcW w:w="1709" w:type="dxa"/>
            <w:vMerge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D70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0-3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D70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3-6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D70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6-12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D70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Nad 12 </w:t>
            </w:r>
          </w:p>
        </w:tc>
      </w:tr>
      <w:tr w:rsidR="00525A3B" w:rsidRPr="00525A3B" w:rsidTr="00525A3B">
        <w:trPr>
          <w:trHeight w:val="151"/>
        </w:trPr>
        <w:tc>
          <w:tcPr>
            <w:tcW w:w="1709" w:type="dxa"/>
            <w:vMerge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56 554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36 426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10 287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6 559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3 282</w:t>
            </w:r>
          </w:p>
        </w:tc>
      </w:tr>
      <w:tr w:rsidR="00525A3B" w:rsidRPr="00525A3B" w:rsidTr="00525A3B">
        <w:trPr>
          <w:trHeight w:val="236"/>
        </w:trPr>
        <w:tc>
          <w:tcPr>
            <w:tcW w:w="1709" w:type="dxa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podíl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100 %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64,4 %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18,2 %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11,6 %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5,8 %</w:t>
            </w:r>
          </w:p>
        </w:tc>
      </w:tr>
      <w:tr w:rsidR="00313D70" w:rsidRPr="00525A3B" w:rsidTr="00525A3B">
        <w:trPr>
          <w:trHeight w:val="236"/>
        </w:trPr>
        <w:tc>
          <w:tcPr>
            <w:tcW w:w="9124" w:type="dxa"/>
            <w:gridSpan w:val="6"/>
            <w:shd w:val="clear" w:color="auto" w:fill="auto"/>
            <w:vAlign w:val="bottom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b/>
                <w:sz w:val="20"/>
                <w:szCs w:val="20"/>
              </w:rPr>
              <w:t>Neobsazenost volných pracovních míst k 30. 9. 2008</w:t>
            </w:r>
          </w:p>
        </w:tc>
      </w:tr>
      <w:tr w:rsidR="00525A3B" w:rsidRPr="00525A3B" w:rsidTr="00525A3B">
        <w:trPr>
          <w:trHeight w:val="230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Počet pracovních míst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585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3D70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Neobsazeno (měsíců)</w:t>
            </w:r>
          </w:p>
        </w:tc>
      </w:tr>
      <w:tr w:rsidR="00525A3B" w:rsidRPr="00525A3B" w:rsidTr="00525A3B">
        <w:trPr>
          <w:trHeight w:val="444"/>
        </w:trPr>
        <w:tc>
          <w:tcPr>
            <w:tcW w:w="1709" w:type="dxa"/>
            <w:vMerge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D70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0-3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D70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3-6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D70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6-12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D70" w:rsidRPr="00525A3B" w:rsidRDefault="00313D70" w:rsidP="00525A3B">
            <w:pPr>
              <w:spacing w:before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 xml:space="preserve">Nad 12 </w:t>
            </w:r>
          </w:p>
        </w:tc>
      </w:tr>
      <w:tr w:rsidR="00525A3B" w:rsidRPr="00525A3B" w:rsidTr="00525A3B">
        <w:trPr>
          <w:trHeight w:val="151"/>
        </w:trPr>
        <w:tc>
          <w:tcPr>
            <w:tcW w:w="1709" w:type="dxa"/>
            <w:vMerge/>
            <w:shd w:val="clear" w:color="auto" w:fill="auto"/>
            <w:vAlign w:val="center"/>
          </w:tcPr>
          <w:p w:rsidR="009C102E" w:rsidRPr="00525A3B" w:rsidRDefault="009C102E" w:rsidP="00525A3B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02E" w:rsidRPr="00525A3B" w:rsidRDefault="009C102E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139 328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102E" w:rsidRPr="00525A3B" w:rsidRDefault="009C102E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61 683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C102E" w:rsidRPr="00525A3B" w:rsidRDefault="009C102E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27 821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C102E" w:rsidRPr="00525A3B" w:rsidRDefault="009C102E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23 210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C102E" w:rsidRPr="00525A3B" w:rsidRDefault="009C102E" w:rsidP="00525A3B">
            <w:pPr>
              <w:spacing w:line="240" w:lineRule="auto"/>
              <w:jc w:val="center"/>
              <w:rPr>
                <w:rFonts w:ascii="Arial CE" w:hAnsi="Arial CE" w:cs="Arial CE"/>
                <w:color w:val="000000"/>
                <w:sz w:val="19"/>
                <w:szCs w:val="19"/>
              </w:rPr>
            </w:pPr>
            <w:r w:rsidRPr="00525A3B">
              <w:rPr>
                <w:rFonts w:ascii="Arial CE" w:hAnsi="Arial CE" w:cs="Arial CE"/>
                <w:color w:val="000000"/>
                <w:sz w:val="19"/>
                <w:szCs w:val="19"/>
              </w:rPr>
              <w:t>26 614</w:t>
            </w:r>
          </w:p>
        </w:tc>
      </w:tr>
      <w:tr w:rsidR="00525A3B" w:rsidRPr="00525A3B" w:rsidTr="00525A3B">
        <w:trPr>
          <w:trHeight w:val="251"/>
        </w:trPr>
        <w:tc>
          <w:tcPr>
            <w:tcW w:w="1709" w:type="dxa"/>
            <w:shd w:val="clear" w:color="auto" w:fill="auto"/>
            <w:vAlign w:val="center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podíl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313D70" w:rsidRPr="00525A3B" w:rsidRDefault="00313D70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100 %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13D70" w:rsidRPr="00525A3B" w:rsidRDefault="009C102E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44,3 %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13D70" w:rsidRPr="00525A3B" w:rsidRDefault="009C102E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20 %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13D70" w:rsidRPr="00525A3B" w:rsidRDefault="009C102E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16,7 %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13D70" w:rsidRPr="00525A3B" w:rsidRDefault="009C102E" w:rsidP="00525A3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19 %</w:t>
            </w:r>
          </w:p>
        </w:tc>
      </w:tr>
    </w:tbl>
    <w:p w:rsidR="00D11FE0" w:rsidRDefault="00D11FE0" w:rsidP="00D11FE0">
      <w:pPr>
        <w:spacing w:line="240" w:lineRule="auto"/>
        <w:rPr>
          <w:rFonts w:cs="Arial"/>
        </w:rPr>
      </w:pPr>
    </w:p>
    <w:p w:rsidR="00580355" w:rsidRPr="00525A3B" w:rsidRDefault="008E5330" w:rsidP="00D11FE0">
      <w:pPr>
        <w:spacing w:line="240" w:lineRule="auto"/>
        <w:rPr>
          <w:rFonts w:cs="Arial"/>
          <w:szCs w:val="24"/>
        </w:rPr>
      </w:pPr>
      <w:r w:rsidRPr="00525A3B">
        <w:rPr>
          <w:rFonts w:cs="Arial"/>
          <w:szCs w:val="24"/>
        </w:rPr>
        <w:t xml:space="preserve">Pomineme-li pracovní místa v ozbrojených složkách, pak </w:t>
      </w:r>
      <w:r w:rsidRPr="00525A3B">
        <w:rPr>
          <w:rFonts w:cs="Arial"/>
          <w:b/>
          <w:szCs w:val="24"/>
        </w:rPr>
        <w:t xml:space="preserve">se nejhůře obsazují pracovní pozice „specialistů“, kde podíl pracovních míst neobsazených déle než 6 měsíců činil k 30. 9. 2016 43 % (ve </w:t>
      </w:r>
      <w:r w:rsidR="0072360E" w:rsidRPr="00525A3B">
        <w:rPr>
          <w:rFonts w:cs="Arial"/>
          <w:b/>
          <w:szCs w:val="24"/>
        </w:rPr>
        <w:t>třídě speciali</w:t>
      </w:r>
      <w:r w:rsidR="0004152C" w:rsidRPr="00525A3B">
        <w:rPr>
          <w:rFonts w:cs="Arial"/>
          <w:b/>
          <w:szCs w:val="24"/>
        </w:rPr>
        <w:t>sté ve zdravotnictví dokonce 55 </w:t>
      </w:r>
      <w:r w:rsidR="0072360E" w:rsidRPr="00525A3B">
        <w:rPr>
          <w:rFonts w:cs="Arial"/>
          <w:b/>
          <w:szCs w:val="24"/>
        </w:rPr>
        <w:t>%)</w:t>
      </w:r>
      <w:r w:rsidR="0072360E" w:rsidRPr="00525A3B">
        <w:rPr>
          <w:rFonts w:cs="Arial"/>
          <w:szCs w:val="24"/>
        </w:rPr>
        <w:t xml:space="preserve">. </w:t>
      </w:r>
      <w:r w:rsidR="0072360E" w:rsidRPr="00525A3B">
        <w:rPr>
          <w:rFonts w:cs="Arial"/>
          <w:b/>
          <w:szCs w:val="24"/>
        </w:rPr>
        <w:t>Hůře se obsazují rovněž pracovní pozice v hlavní třídě řemeslníci a opraváři, v níž neobsazeno déle než 6 měsíců bylo 38 %.</w:t>
      </w:r>
      <w:r w:rsidR="0072360E" w:rsidRPr="00525A3B">
        <w:rPr>
          <w:rFonts w:cs="Arial"/>
          <w:szCs w:val="24"/>
        </w:rPr>
        <w:t xml:space="preserve"> K vnitřní diferenciaci dochází v hlavní třídě pomocní a nekvalifikovaní</w:t>
      </w:r>
      <w:r w:rsidR="0004152C" w:rsidRPr="00525A3B">
        <w:rPr>
          <w:rFonts w:cs="Arial"/>
          <w:szCs w:val="24"/>
        </w:rPr>
        <w:t xml:space="preserve"> pracovníci, která sice na jedné</w:t>
      </w:r>
      <w:r w:rsidR="0072360E" w:rsidRPr="00525A3B">
        <w:rPr>
          <w:rFonts w:cs="Arial"/>
          <w:szCs w:val="24"/>
        </w:rPr>
        <w:t xml:space="preserve"> straně vykazuje vysoký podíl pracovních míst neobsazených méně než 3 měsíce (47 %), zároveň však i vysoký podíl pracovních míst neobsazených déle než 1 rok, a to</w:t>
      </w:r>
      <w:r w:rsidR="0004152C" w:rsidRPr="00525A3B">
        <w:rPr>
          <w:rFonts w:cs="Arial"/>
          <w:szCs w:val="24"/>
        </w:rPr>
        <w:t xml:space="preserve"> 20 %). Vysoký podíl pracovních míst neobsazených déle než 1 rok vykazuje rovněž třída řidičů – 21 %</w:t>
      </w:r>
      <w:r w:rsidR="00365217" w:rsidRPr="00525A3B">
        <w:rPr>
          <w:rFonts w:cs="Arial"/>
          <w:szCs w:val="24"/>
        </w:rPr>
        <w:t>.</w:t>
      </w:r>
    </w:p>
    <w:p w:rsidR="003922C1" w:rsidRPr="00525A3B" w:rsidRDefault="008E5330" w:rsidP="00D11FE0">
      <w:pPr>
        <w:spacing w:line="240" w:lineRule="auto"/>
        <w:rPr>
          <w:rFonts w:cs="Arial"/>
          <w:szCs w:val="24"/>
        </w:rPr>
      </w:pPr>
      <w:r w:rsidRPr="00525A3B">
        <w:rPr>
          <w:rFonts w:cs="Arial"/>
          <w:szCs w:val="24"/>
        </w:rPr>
        <w:t xml:space="preserve"> </w:t>
      </w:r>
    </w:p>
    <w:p w:rsidR="008E5330" w:rsidRPr="00525A3B" w:rsidRDefault="00A13614" w:rsidP="00D11FE0">
      <w:pPr>
        <w:spacing w:line="240" w:lineRule="auto"/>
        <w:rPr>
          <w:rFonts w:cs="Arial"/>
          <w:szCs w:val="24"/>
        </w:rPr>
      </w:pPr>
      <w:r w:rsidRPr="00525A3B">
        <w:rPr>
          <w:rFonts w:cs="Arial"/>
          <w:szCs w:val="24"/>
        </w:rPr>
        <w:t>Následující grafy ukazují jak objem hlášených míst podle hl. tříd zaměstnání, tak rovněž změnu struktury v závislosti na době neobsazení VPM.</w:t>
      </w:r>
    </w:p>
    <w:p w:rsidR="00BF73FA" w:rsidRPr="00580355" w:rsidRDefault="00BF73FA" w:rsidP="003922C1">
      <w:pPr>
        <w:spacing w:before="120" w:line="240" w:lineRule="auto"/>
        <w:rPr>
          <w:rFonts w:cs="Arial"/>
          <w:sz w:val="22"/>
        </w:rPr>
      </w:pPr>
    </w:p>
    <w:p w:rsidR="00BF73FA" w:rsidRDefault="008C716C" w:rsidP="003922C1">
      <w:pPr>
        <w:spacing w:before="120" w:line="240" w:lineRule="auto"/>
        <w:rPr>
          <w:rFonts w:cs="Arial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977255" cy="3653155"/>
            <wp:effectExtent l="0" t="0" r="23495" b="23495"/>
            <wp:docPr id="18" name="Graf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977255" cy="2586355"/>
            <wp:effectExtent l="0" t="0" r="23495" b="23495"/>
            <wp:docPr id="17" name="Graf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0355" w:rsidRDefault="00580355" w:rsidP="00D11FE0">
      <w:pPr>
        <w:spacing w:line="240" w:lineRule="auto"/>
        <w:rPr>
          <w:rFonts w:cs="Arial"/>
          <w:sz w:val="22"/>
        </w:rPr>
      </w:pPr>
    </w:p>
    <w:p w:rsidR="00580355" w:rsidRPr="00525A3B" w:rsidRDefault="003922C1" w:rsidP="00D11FE0">
      <w:pPr>
        <w:spacing w:line="240" w:lineRule="auto"/>
        <w:rPr>
          <w:rFonts w:cs="Arial"/>
          <w:b/>
          <w:szCs w:val="24"/>
        </w:rPr>
      </w:pPr>
      <w:r w:rsidRPr="00525A3B">
        <w:rPr>
          <w:rFonts w:cs="Arial"/>
          <w:szCs w:val="24"/>
        </w:rPr>
        <w:t xml:space="preserve">Z grafu vyplývá, že s rostoucí dobou neobsazenosti VPM vzrůstá podíl hl. tříd zaměstnání specialisté a řemeslníci a opraváři, nicméně nárůst této skupiny oproti nově hlášeným pracovním místům není velký. </w:t>
      </w:r>
      <w:r w:rsidRPr="00525A3B">
        <w:rPr>
          <w:rFonts w:cs="Arial"/>
          <w:b/>
          <w:szCs w:val="24"/>
        </w:rPr>
        <w:t>Naopak podíl pomocných profesí zůstává zachován.</w:t>
      </w:r>
    </w:p>
    <w:p w:rsidR="00580355" w:rsidRPr="00525A3B" w:rsidRDefault="00580355" w:rsidP="00D11FE0">
      <w:pPr>
        <w:spacing w:line="240" w:lineRule="auto"/>
        <w:rPr>
          <w:rFonts w:cs="Arial"/>
          <w:b/>
          <w:szCs w:val="24"/>
        </w:rPr>
      </w:pPr>
    </w:p>
    <w:p w:rsidR="00A87CC5" w:rsidRPr="00525A3B" w:rsidRDefault="00A87CC5" w:rsidP="00D11FE0">
      <w:pPr>
        <w:spacing w:line="240" w:lineRule="auto"/>
        <w:rPr>
          <w:rFonts w:cs="Arial"/>
          <w:szCs w:val="24"/>
        </w:rPr>
      </w:pPr>
      <w:r w:rsidRPr="00525A3B">
        <w:rPr>
          <w:rFonts w:cs="Arial"/>
          <w:szCs w:val="24"/>
        </w:rPr>
        <w:t xml:space="preserve">Následující graf zobrazuje strukturu hlášených VPM podle požadavků na vzdělání a to jak za celou skupinu VPM, tak za skupinu VPM neobsazených déle než 12 měsíců. Významně dominují pracovní místa s požadavkem spíše na nižší kvalifikaci, resp. s požadavkem na vyučení. </w:t>
      </w:r>
      <w:r w:rsidR="008F360A" w:rsidRPr="00525A3B">
        <w:rPr>
          <w:rFonts w:cs="Arial"/>
          <w:szCs w:val="24"/>
        </w:rPr>
        <w:t>Srovnání struktury VPM neobsazených do 3 měsíců a neobsazených déle než 12 měsíců ukazuje vzrůstající podíl VPM vyžadujících jak nižší kvalifikaci (ZŠ), tak naopak s vyššími nároky zaměstnavatelů na vysoce kvalifikované odborníky (místa s požadavkem na vysokoškolské vzdělání a úplné střední odborné s maturitou. Naopak klesá podíl pracovních míst pro vyučené.</w:t>
      </w:r>
    </w:p>
    <w:p w:rsidR="00A87CC5" w:rsidRDefault="008C716C" w:rsidP="003922C1">
      <w:pPr>
        <w:spacing w:before="120" w:line="240" w:lineRule="auto"/>
        <w:rPr>
          <w:rFonts w:cs="Arial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977255" cy="3930015"/>
            <wp:effectExtent l="0" t="0" r="23495" b="13335"/>
            <wp:docPr id="12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977255" cy="2634615"/>
            <wp:effectExtent l="0" t="0" r="23495" b="13335"/>
            <wp:docPr id="11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1FE0" w:rsidRDefault="00D11FE0" w:rsidP="00D11FE0">
      <w:pPr>
        <w:spacing w:line="240" w:lineRule="auto"/>
        <w:rPr>
          <w:rFonts w:cs="Arial"/>
        </w:rPr>
      </w:pPr>
    </w:p>
    <w:p w:rsidR="00BF73FA" w:rsidRPr="00525A3B" w:rsidRDefault="008F360A" w:rsidP="00D11FE0">
      <w:pPr>
        <w:spacing w:line="240" w:lineRule="auto"/>
        <w:rPr>
          <w:rFonts w:cs="Arial"/>
          <w:szCs w:val="24"/>
        </w:rPr>
      </w:pPr>
      <w:r w:rsidRPr="00525A3B">
        <w:rPr>
          <w:rFonts w:cs="Arial"/>
          <w:szCs w:val="24"/>
        </w:rPr>
        <w:t xml:space="preserve">Nasycenost/nenasycenost pracovního trhu nejlépe vykresluje ukazatel počtu uchazečů o zaměstnání na hlášené volné pracovní místo. Z pohledu struktury </w:t>
      </w:r>
      <w:proofErr w:type="spellStart"/>
      <w:r w:rsidRPr="00525A3B">
        <w:rPr>
          <w:rFonts w:cs="Arial"/>
          <w:szCs w:val="24"/>
        </w:rPr>
        <w:t>UoZ</w:t>
      </w:r>
      <w:proofErr w:type="spellEnd"/>
      <w:r w:rsidRPr="00525A3B">
        <w:rPr>
          <w:rFonts w:cs="Arial"/>
          <w:szCs w:val="24"/>
        </w:rPr>
        <w:t xml:space="preserve"> na VPM převažuje nabídka pracovní síly po poptávce v kategoriích zaměstnání: úředníci, kvalifikovaní pracovníci v zemědělství, lesnictví a rybářství a mezi pomocnými a nekvalifikovanými pracovníky. </w:t>
      </w:r>
      <w:r w:rsidRPr="00525A3B">
        <w:rPr>
          <w:rFonts w:cs="Arial"/>
          <w:b/>
          <w:szCs w:val="24"/>
        </w:rPr>
        <w:t>Naopak nedostatek pracovní síly lze sledovat dlouhodobě ve skupině zaměstnání řemeslníci a opraváři a obsluha strojů a zařízení a montéři</w:t>
      </w:r>
      <w:r w:rsidRPr="00525A3B">
        <w:rPr>
          <w:rFonts w:cs="Arial"/>
          <w:szCs w:val="24"/>
        </w:rPr>
        <w:t xml:space="preserve"> (viz následující graf).</w:t>
      </w:r>
    </w:p>
    <w:p w:rsidR="00BF73FA" w:rsidRPr="00525A3B" w:rsidRDefault="00BF73FA" w:rsidP="003922C1">
      <w:pPr>
        <w:spacing w:before="120" w:line="240" w:lineRule="auto"/>
        <w:rPr>
          <w:rFonts w:cs="Arial"/>
          <w:szCs w:val="24"/>
        </w:rPr>
      </w:pPr>
    </w:p>
    <w:p w:rsidR="00BF73FA" w:rsidRDefault="008C716C" w:rsidP="003922C1">
      <w:pPr>
        <w:spacing w:before="120" w:line="240" w:lineRule="auto"/>
        <w:rPr>
          <w:rFonts w:cs="Arial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15000" cy="2857500"/>
            <wp:effectExtent l="0" t="0" r="0" b="0"/>
            <wp:docPr id="4" name="Graf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0355" w:rsidRDefault="00580355" w:rsidP="00D11FE0">
      <w:pPr>
        <w:spacing w:line="240" w:lineRule="auto"/>
        <w:rPr>
          <w:rFonts w:cs="Arial"/>
          <w:sz w:val="22"/>
        </w:rPr>
      </w:pPr>
    </w:p>
    <w:p w:rsidR="00D35045" w:rsidRPr="00525A3B" w:rsidRDefault="00A87CC5" w:rsidP="00D11FE0">
      <w:pPr>
        <w:spacing w:line="240" w:lineRule="auto"/>
        <w:rPr>
          <w:rFonts w:cs="Arial"/>
          <w:szCs w:val="24"/>
        </w:rPr>
      </w:pPr>
      <w:r w:rsidRPr="00525A3B">
        <w:rPr>
          <w:rFonts w:cs="Arial"/>
          <w:szCs w:val="24"/>
        </w:rPr>
        <w:t xml:space="preserve">Následující graf ukazuje situaci a vývoj počtu </w:t>
      </w:r>
      <w:proofErr w:type="spellStart"/>
      <w:r w:rsidRPr="00525A3B">
        <w:rPr>
          <w:rFonts w:cs="Arial"/>
          <w:szCs w:val="24"/>
        </w:rPr>
        <w:t>UoZ</w:t>
      </w:r>
      <w:proofErr w:type="spellEnd"/>
      <w:r w:rsidRPr="00525A3B">
        <w:rPr>
          <w:rFonts w:cs="Arial"/>
          <w:szCs w:val="24"/>
        </w:rPr>
        <w:t xml:space="preserve"> na VPM v jednotlivých krajích. Zřejmé je, že i přes globální zlepšení, </w:t>
      </w:r>
      <w:r w:rsidRPr="00525A3B">
        <w:rPr>
          <w:rFonts w:cs="Arial"/>
          <w:b/>
          <w:szCs w:val="24"/>
        </w:rPr>
        <w:t>došlo v průběhu krize a následujícím období hospodářského růstu k prohloubení regionálních rozdílů. Markantní je zhoršení ve strukturálně postiženém Moravskoslezském kraji, ale i kraji Jihomoravském a rovněž v Hlavním městě Praze a středočeském kraji.</w:t>
      </w:r>
      <w:r w:rsidRPr="00525A3B">
        <w:rPr>
          <w:rFonts w:cs="Arial"/>
          <w:szCs w:val="24"/>
        </w:rPr>
        <w:t xml:space="preserve"> V ostatních regionech, a to i strukturálně postižených, došlo oproti roku 2008 ke zlepšení.</w:t>
      </w:r>
    </w:p>
    <w:p w:rsidR="00D11FE0" w:rsidRDefault="00D11FE0" w:rsidP="00D11FE0">
      <w:pPr>
        <w:spacing w:line="240" w:lineRule="auto"/>
        <w:rPr>
          <w:rFonts w:cs="Arial"/>
        </w:rPr>
      </w:pPr>
    </w:p>
    <w:p w:rsidR="00D35045" w:rsidRDefault="008C716C" w:rsidP="003922C1">
      <w:pPr>
        <w:spacing w:before="120" w:line="240" w:lineRule="auto"/>
        <w:rPr>
          <w:rFonts w:cs="Arial"/>
        </w:rPr>
      </w:pPr>
      <w:r>
        <w:rPr>
          <w:noProof/>
          <w:lang w:eastAsia="cs-CZ"/>
        </w:rPr>
        <w:drawing>
          <wp:inline distT="0" distB="0" distL="0" distR="0">
            <wp:extent cx="5761355" cy="2634615"/>
            <wp:effectExtent l="0" t="0" r="10795" b="13335"/>
            <wp:docPr id="3" name="Graf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5826" w:rsidRDefault="00615826" w:rsidP="00D11FE0">
      <w:pPr>
        <w:spacing w:line="240" w:lineRule="auto"/>
        <w:rPr>
          <w:rFonts w:cs="Arial"/>
        </w:rPr>
      </w:pPr>
    </w:p>
    <w:p w:rsidR="00580355" w:rsidRDefault="00580355" w:rsidP="00580355">
      <w:pPr>
        <w:spacing w:line="240" w:lineRule="auto"/>
        <w:jc w:val="left"/>
        <w:rPr>
          <w:rFonts w:cs="Arial"/>
          <w:b/>
        </w:rPr>
      </w:pPr>
    </w:p>
    <w:p w:rsidR="00D11FE0" w:rsidRPr="00525A3B" w:rsidRDefault="00580355" w:rsidP="00580355">
      <w:pPr>
        <w:spacing w:line="240" w:lineRule="auto"/>
        <w:rPr>
          <w:rFonts w:cs="Arial"/>
          <w:szCs w:val="24"/>
        </w:rPr>
      </w:pPr>
      <w:r w:rsidRPr="00525A3B">
        <w:rPr>
          <w:rFonts w:cs="Arial"/>
          <w:b/>
          <w:szCs w:val="24"/>
        </w:rPr>
        <w:t>Bližší situaci v oblasti nabídky a poptávky na trhu práce v rozpadu na skupiny zaměstnání</w:t>
      </w:r>
      <w:r w:rsidRPr="00525A3B">
        <w:rPr>
          <w:rFonts w:cs="Arial"/>
          <w:szCs w:val="24"/>
        </w:rPr>
        <w:t xml:space="preserve"> vykresluje následující tabulka. Nejprve jsou uváděna nejčastěji poptávaná zaměstnání (hlášená VPM) následovaná nejčastěji zastoupenými skupinami zaměstnání mezi uchazeči o zaměstnání. Markantní </w:t>
      </w:r>
      <w:r w:rsidRPr="00525A3B">
        <w:rPr>
          <w:rFonts w:cs="Arial"/>
          <w:b/>
          <w:szCs w:val="24"/>
        </w:rPr>
        <w:t>nedostatek pracovní síly</w:t>
      </w:r>
      <w:r w:rsidRPr="00525A3B">
        <w:rPr>
          <w:rFonts w:cs="Arial"/>
          <w:szCs w:val="24"/>
        </w:rPr>
        <w:t xml:space="preserve"> je pociťován ve skupinách zaměstnání: </w:t>
      </w:r>
      <w:r w:rsidRPr="00525A3B">
        <w:rPr>
          <w:rFonts w:cs="Arial"/>
          <w:b/>
          <w:szCs w:val="24"/>
        </w:rPr>
        <w:t>slévači, svářeči a příbuzní pracovníci</w:t>
      </w:r>
      <w:r w:rsidRPr="00525A3B">
        <w:rPr>
          <w:rFonts w:cs="Arial"/>
          <w:szCs w:val="24"/>
        </w:rPr>
        <w:t xml:space="preserve"> a to prakticky v celé skupině, dále pak u skupiny </w:t>
      </w:r>
      <w:r w:rsidRPr="00525A3B">
        <w:rPr>
          <w:rFonts w:cs="Arial"/>
          <w:b/>
          <w:szCs w:val="24"/>
        </w:rPr>
        <w:t xml:space="preserve">řidiči nákladních automobilů, autobusů a tramvají </w:t>
      </w:r>
      <w:r w:rsidRPr="00525A3B">
        <w:rPr>
          <w:rFonts w:cs="Arial"/>
          <w:szCs w:val="24"/>
        </w:rPr>
        <w:t xml:space="preserve">a ve skupině zaměstnání </w:t>
      </w:r>
      <w:r w:rsidRPr="00525A3B">
        <w:rPr>
          <w:rFonts w:cs="Arial"/>
          <w:b/>
          <w:szCs w:val="24"/>
        </w:rPr>
        <w:t>montážní dělníci výrobků a zařízení</w:t>
      </w:r>
      <w:r w:rsidR="00525A3B" w:rsidRPr="00525A3B">
        <w:rPr>
          <w:rFonts w:cs="Arial"/>
          <w:szCs w:val="24"/>
        </w:rPr>
        <w:t>.</w:t>
      </w:r>
      <w:r w:rsidR="00766062" w:rsidRPr="00525A3B">
        <w:rPr>
          <w:rFonts w:cs="Arial"/>
          <w:szCs w:val="24"/>
        </w:rPr>
        <w:br w:type="page"/>
      </w:r>
    </w:p>
    <w:tbl>
      <w:tblPr>
        <w:tblpPr w:leftFromText="141" w:rightFromText="141" w:vertAnchor="page" w:horzAnchor="page" w:tblpX="946" w:tblpY="1531"/>
        <w:tblW w:w="89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5984"/>
        <w:gridCol w:w="854"/>
        <w:gridCol w:w="713"/>
        <w:gridCol w:w="713"/>
      </w:tblGrid>
      <w:tr w:rsidR="00D11FE0" w:rsidRPr="00525A3B" w:rsidTr="00C355D1">
        <w:trPr>
          <w:trHeight w:val="280"/>
        </w:trPr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Nejčastěji poptávané skupiny a jejich podskupiny zaměstnání mezi VPM, k 30. 9. 2016</w:t>
            </w:r>
          </w:p>
        </w:tc>
      </w:tr>
      <w:tr w:rsidR="00D11FE0" w:rsidRPr="00525A3B" w:rsidTr="00C355D1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CZ ISCO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CZ ISCO POPIS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(VPM)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25A3B">
              <w:rPr>
                <w:rFonts w:cs="Arial"/>
                <w:color w:val="000000"/>
                <w:sz w:val="20"/>
                <w:szCs w:val="20"/>
              </w:rPr>
              <w:t>UoZ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525A3B">
              <w:rPr>
                <w:rFonts w:cs="Arial"/>
                <w:color w:val="000000"/>
                <w:sz w:val="20"/>
                <w:szCs w:val="20"/>
              </w:rPr>
              <w:t>UoZ</w:t>
            </w:r>
            <w:proofErr w:type="spellEnd"/>
            <w:r w:rsidRPr="00525A3B">
              <w:rPr>
                <w:rFonts w:cs="Arial"/>
                <w:color w:val="000000"/>
                <w:sz w:val="20"/>
                <w:szCs w:val="20"/>
              </w:rPr>
              <w:t>/ VPM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932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Pomocní pracovníci ve výrobě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10 041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35 368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b/>
                <w:sz w:val="20"/>
                <w:szCs w:val="20"/>
              </w:rPr>
            </w:pPr>
            <w:r w:rsidRPr="00525A3B">
              <w:rPr>
                <w:b/>
                <w:sz w:val="20"/>
                <w:szCs w:val="20"/>
              </w:rPr>
              <w:t>3,5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9321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Ruční baliči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0,2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9329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Ostatní pomocní pracovníci ve výrobě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8 652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31 811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3,7</w:t>
            </w:r>
          </w:p>
        </w:tc>
      </w:tr>
      <w:tr w:rsidR="008C716C" w:rsidRPr="00525A3B" w:rsidTr="00525A3B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10 013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5 331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D11FE0" w:rsidRPr="00525A3B" w:rsidRDefault="00D11FE0" w:rsidP="00C355D1">
            <w:pPr>
              <w:jc w:val="center"/>
              <w:rPr>
                <w:b/>
                <w:sz w:val="20"/>
                <w:szCs w:val="20"/>
              </w:rPr>
            </w:pPr>
            <w:r w:rsidRPr="00525A3B">
              <w:rPr>
                <w:b/>
                <w:sz w:val="20"/>
                <w:szCs w:val="20"/>
              </w:rPr>
              <w:t>0,5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8211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Montážní dělníci mechanických zařízení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1 871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1 084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0,6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8212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 xml:space="preserve">Montážní dělníci </w:t>
            </w:r>
            <w:proofErr w:type="spellStart"/>
            <w:r w:rsidRPr="00525A3B">
              <w:rPr>
                <w:rFonts w:cs="Arial"/>
                <w:color w:val="000000"/>
                <w:sz w:val="20"/>
                <w:szCs w:val="20"/>
              </w:rPr>
              <w:t>elektric</w:t>
            </w:r>
            <w:proofErr w:type="spellEnd"/>
            <w:r w:rsidRPr="00525A3B">
              <w:rPr>
                <w:rFonts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25A3B">
              <w:rPr>
                <w:rFonts w:cs="Arial"/>
                <w:color w:val="000000"/>
                <w:sz w:val="20"/>
                <w:szCs w:val="20"/>
              </w:rPr>
              <w:t>energetic</w:t>
            </w:r>
            <w:proofErr w:type="spellEnd"/>
            <w:r w:rsidRPr="00525A3B">
              <w:rPr>
                <w:rFonts w:cs="Arial"/>
                <w:color w:val="000000"/>
                <w:sz w:val="20"/>
                <w:szCs w:val="20"/>
              </w:rPr>
              <w:t xml:space="preserve">. a </w:t>
            </w:r>
            <w:proofErr w:type="spellStart"/>
            <w:r w:rsidRPr="00525A3B">
              <w:rPr>
                <w:rFonts w:cs="Arial"/>
                <w:color w:val="000000"/>
                <w:sz w:val="20"/>
                <w:szCs w:val="20"/>
              </w:rPr>
              <w:t>elektronic</w:t>
            </w:r>
            <w:proofErr w:type="spellEnd"/>
            <w:r w:rsidRPr="00525A3B">
              <w:rPr>
                <w:rFonts w:cs="Arial"/>
                <w:color w:val="000000"/>
                <w:sz w:val="20"/>
                <w:szCs w:val="20"/>
              </w:rPr>
              <w:t>. zařízení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3 041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0,1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8219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Montážní dělníci ostatních výrobků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4 513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2 193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0,5</w:t>
            </w:r>
          </w:p>
        </w:tc>
      </w:tr>
      <w:tr w:rsidR="008C716C" w:rsidRPr="00525A3B" w:rsidTr="00525A3B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833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7 452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3 207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D11FE0" w:rsidRPr="00525A3B" w:rsidRDefault="00D11FE0" w:rsidP="00C355D1">
            <w:pPr>
              <w:jc w:val="center"/>
              <w:rPr>
                <w:b/>
                <w:sz w:val="20"/>
                <w:szCs w:val="20"/>
              </w:rPr>
            </w:pPr>
            <w:r w:rsidRPr="00525A3B">
              <w:rPr>
                <w:b/>
                <w:sz w:val="20"/>
                <w:szCs w:val="20"/>
              </w:rPr>
              <w:t>0,4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8331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Řidiči autobusů, trolejbusů a tramvají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1 228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0,2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8332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Řidiči nákladních automobilů, tahačů a speciálních vozidel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6 143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2 536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0,4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722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7 424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7 115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b/>
                <w:sz w:val="20"/>
                <w:szCs w:val="20"/>
              </w:rPr>
            </w:pPr>
            <w:r w:rsidRPr="00525A3B">
              <w:rPr>
                <w:b/>
                <w:sz w:val="20"/>
                <w:szCs w:val="20"/>
              </w:rPr>
              <w:t>1,0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7221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Kováři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1,6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7222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Nástrojaři a příbuzní pracovníci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3 406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5 392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1,6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7223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Seřizovači a obsluha obráběcích strojů (kromě dřevoobráběcích)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3 040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1 354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0,4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7224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Brusiči, leštiči a ostřiči nástrojů a kovů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0,2</w:t>
            </w:r>
          </w:p>
        </w:tc>
      </w:tr>
      <w:tr w:rsidR="008C716C" w:rsidRPr="00525A3B" w:rsidTr="00525A3B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Pomocní pracovníci v oblasti těžby a stavebnictví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4 871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4 553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D11FE0" w:rsidRPr="00525A3B" w:rsidRDefault="00D11FE0" w:rsidP="00C355D1">
            <w:pPr>
              <w:jc w:val="center"/>
              <w:rPr>
                <w:b/>
                <w:sz w:val="20"/>
                <w:szCs w:val="20"/>
              </w:rPr>
            </w:pPr>
            <w:r w:rsidRPr="00525A3B">
              <w:rPr>
                <w:b/>
                <w:sz w:val="20"/>
                <w:szCs w:val="20"/>
              </w:rPr>
              <w:t>0,9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9311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Pomocní pracovníci v oblasti těžby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8,6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9312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Figuranti, dělníci výkopových prací a dělníci v oblasti výstavby inženýrských děl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2,5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9313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Dělníci v oblasti výstavby budov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4 566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3 056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0,7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Pracovníci v oblasti ochrany a ostrahy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4 752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14 905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b/>
                <w:sz w:val="20"/>
                <w:szCs w:val="20"/>
              </w:rPr>
            </w:pPr>
            <w:r w:rsidRPr="00525A3B">
              <w:rPr>
                <w:b/>
                <w:sz w:val="20"/>
                <w:szCs w:val="20"/>
              </w:rPr>
              <w:t>3,1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Příslušníci HZS ČR a hasiči ostatních jednotek požární ochrany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sz w:val="20"/>
                <w:szCs w:val="20"/>
              </w:rPr>
            </w:pPr>
            <w:r w:rsidRPr="00525A3B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19,2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Policisté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1,5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Pracovníci vězeňské služby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0,3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5414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Pracovníci ostrahy a bezpečnostních agentur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3 958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13 242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3,3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5419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Pracovníci v oblasti ochrany a ostrahy jinde neuvedení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3,5</w:t>
            </w:r>
          </w:p>
        </w:tc>
      </w:tr>
      <w:tr w:rsidR="008C716C" w:rsidRPr="00525A3B" w:rsidTr="00525A3B">
        <w:trPr>
          <w:trHeight w:val="1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721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4 650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2 003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D11FE0" w:rsidRPr="00525A3B" w:rsidRDefault="00D11FE0" w:rsidP="00C355D1">
            <w:pPr>
              <w:jc w:val="center"/>
              <w:rPr>
                <w:b/>
                <w:sz w:val="20"/>
                <w:szCs w:val="20"/>
              </w:rPr>
            </w:pPr>
            <w:r w:rsidRPr="00525A3B">
              <w:rPr>
                <w:b/>
                <w:sz w:val="20"/>
                <w:szCs w:val="20"/>
              </w:rPr>
              <w:t>0,4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left w:val="single" w:sz="4" w:space="0" w:color="auto"/>
              <w:bottom w:val="nil"/>
              <w:right w:val="nil"/>
            </w:tcBorders>
            <w:shd w:val="clear" w:color="auto" w:fill="FAF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5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Modeláři, formíři, jádraři a slévači ve slévárnách</w:t>
            </w:r>
          </w:p>
        </w:tc>
        <w:tc>
          <w:tcPr>
            <w:tcW w:w="854" w:type="dxa"/>
            <w:tcBorders>
              <w:left w:val="nil"/>
              <w:bottom w:val="nil"/>
              <w:right w:val="single" w:sz="4" w:space="0" w:color="auto"/>
            </w:tcBorders>
            <w:shd w:val="clear" w:color="auto" w:fill="FAF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13" w:type="dxa"/>
            <w:tcBorders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0,3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left w:val="single" w:sz="4" w:space="0" w:color="auto"/>
              <w:bottom w:val="nil"/>
              <w:right w:val="nil"/>
            </w:tcBorders>
            <w:shd w:val="clear" w:color="auto" w:fill="FAF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7212</w:t>
            </w:r>
          </w:p>
        </w:tc>
        <w:tc>
          <w:tcPr>
            <w:tcW w:w="5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Svářeči, řezači plamenem a páječi</w:t>
            </w:r>
          </w:p>
        </w:tc>
        <w:tc>
          <w:tcPr>
            <w:tcW w:w="854" w:type="dxa"/>
            <w:tcBorders>
              <w:left w:val="nil"/>
              <w:bottom w:val="nil"/>
              <w:right w:val="single" w:sz="4" w:space="0" w:color="auto"/>
            </w:tcBorders>
            <w:shd w:val="clear" w:color="auto" w:fill="FAF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3 666</w:t>
            </w:r>
          </w:p>
        </w:tc>
        <w:tc>
          <w:tcPr>
            <w:tcW w:w="713" w:type="dxa"/>
            <w:tcBorders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1 362</w:t>
            </w:r>
          </w:p>
        </w:tc>
        <w:tc>
          <w:tcPr>
            <w:tcW w:w="713" w:type="dxa"/>
            <w:tcBorders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0,4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7213</w:t>
            </w:r>
          </w:p>
        </w:tc>
        <w:tc>
          <w:tcPr>
            <w:tcW w:w="5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Pracovníci na zpracování plechu</w:t>
            </w:r>
          </w:p>
        </w:tc>
        <w:tc>
          <w:tcPr>
            <w:tcW w:w="8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1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1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1,3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left w:val="single" w:sz="4" w:space="0" w:color="auto"/>
              <w:bottom w:val="nil"/>
              <w:right w:val="nil"/>
            </w:tcBorders>
            <w:shd w:val="clear" w:color="auto" w:fill="FAF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5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Montéři kovových konstrukcí</w:t>
            </w:r>
          </w:p>
        </w:tc>
        <w:tc>
          <w:tcPr>
            <w:tcW w:w="854" w:type="dxa"/>
            <w:tcBorders>
              <w:left w:val="nil"/>
              <w:bottom w:val="nil"/>
              <w:right w:val="single" w:sz="4" w:space="0" w:color="auto"/>
            </w:tcBorders>
            <w:shd w:val="clear" w:color="auto" w:fill="FAF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13" w:type="dxa"/>
            <w:tcBorders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3" w:type="dxa"/>
            <w:tcBorders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0,3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AF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7215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Montéři lan a zdvihacích zařízení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0,2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4 430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8 967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b/>
                <w:sz w:val="20"/>
                <w:szCs w:val="20"/>
              </w:rPr>
            </w:pPr>
            <w:r w:rsidRPr="00525A3B">
              <w:rPr>
                <w:b/>
                <w:sz w:val="20"/>
                <w:szCs w:val="20"/>
              </w:rPr>
              <w:t>2,0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4 327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7 320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1,7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834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Obsluha pojízdných zařízení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4 191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5 730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1,4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8341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Řidiči a obsluha zemědělských a lesnických strojů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1,7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F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8342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Obsluha železničních, zemních a příbuzných strojů a zařízení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0,4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8343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Obsluha jeřábů, zdvihacích a podobných manipulačních zařízení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F0F0"/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0,9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8344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Obsluha vysokozdvižných a jiných vozíků a skladníci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4 887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1,5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4 047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28 482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b/>
                <w:sz w:val="20"/>
                <w:szCs w:val="20"/>
              </w:rPr>
            </w:pPr>
            <w:r w:rsidRPr="00525A3B">
              <w:rPr>
                <w:b/>
                <w:sz w:val="20"/>
                <w:szCs w:val="20"/>
              </w:rPr>
              <w:t>7,0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Provozovatelé maloobchodních a velkoobchodních prodejen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6,5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Vedoucí pracovních týmů v prodejnách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1,7</w:t>
            </w:r>
          </w:p>
        </w:tc>
      </w:tr>
      <w:tr w:rsidR="00D11FE0" w:rsidRPr="00525A3B" w:rsidTr="00C355D1">
        <w:trPr>
          <w:trHeight w:val="11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5223</w:t>
            </w:r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Prodavači v prodejnách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3 634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27 515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sz w:val="20"/>
                <w:szCs w:val="20"/>
              </w:rPr>
            </w:pPr>
            <w:r w:rsidRPr="00525A3B">
              <w:rPr>
                <w:sz w:val="20"/>
                <w:szCs w:val="20"/>
              </w:rPr>
              <w:t>7,6</w:t>
            </w:r>
          </w:p>
        </w:tc>
      </w:tr>
      <w:tr w:rsidR="00D11FE0" w:rsidRPr="00525A3B" w:rsidTr="00C355D1">
        <w:trPr>
          <w:trHeight w:val="117"/>
        </w:trPr>
        <w:tc>
          <w:tcPr>
            <w:tcW w:w="6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bCs/>
                <w:color w:val="000000"/>
                <w:sz w:val="20"/>
                <w:szCs w:val="20"/>
              </w:rPr>
              <w:t>Celkem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bCs/>
                <w:color w:val="000000"/>
                <w:sz w:val="20"/>
                <w:szCs w:val="20"/>
              </w:rPr>
              <w:t>140 993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FE0" w:rsidRPr="00525A3B" w:rsidRDefault="00D11FE0" w:rsidP="00C355D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11FE0" w:rsidRDefault="00D11FE0">
      <w:pPr>
        <w:spacing w:after="200"/>
        <w:jc w:val="left"/>
        <w:rPr>
          <w:rFonts w:cs="Arial"/>
        </w:rPr>
      </w:pPr>
    </w:p>
    <w:p w:rsidR="00766062" w:rsidRDefault="00766062">
      <w:pPr>
        <w:spacing w:after="200"/>
        <w:jc w:val="left"/>
        <w:rPr>
          <w:rFonts w:cs="Arial"/>
        </w:rPr>
      </w:pPr>
    </w:p>
    <w:p w:rsidR="00620597" w:rsidRDefault="00620597">
      <w:pPr>
        <w:spacing w:after="20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525A3B" w:rsidRPr="00525A3B" w:rsidRDefault="00C355D1" w:rsidP="00525A3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N</w:t>
      </w:r>
      <w:r w:rsidR="00525A3B" w:rsidRPr="00525A3B">
        <w:rPr>
          <w:rFonts w:cs="Arial"/>
          <w:szCs w:val="24"/>
        </w:rPr>
        <w:t xml:space="preserve">ejvýraznější </w:t>
      </w:r>
      <w:r w:rsidR="00525A3B" w:rsidRPr="00525A3B">
        <w:rPr>
          <w:rFonts w:cs="Arial"/>
          <w:b/>
          <w:szCs w:val="24"/>
        </w:rPr>
        <w:t xml:space="preserve">nadbytek pracovní síly </w:t>
      </w:r>
      <w:r w:rsidR="00525A3B" w:rsidRPr="00525A3B">
        <w:rPr>
          <w:rFonts w:cs="Arial"/>
          <w:szCs w:val="24"/>
        </w:rPr>
        <w:t xml:space="preserve">lze vysledovat v početných skupinách zaměstnání </w:t>
      </w:r>
      <w:r w:rsidR="00525A3B" w:rsidRPr="00525A3B">
        <w:rPr>
          <w:rFonts w:cs="Arial"/>
          <w:b/>
          <w:szCs w:val="24"/>
        </w:rPr>
        <w:t xml:space="preserve">všeobecní administrativní pracovníci </w:t>
      </w:r>
      <w:r w:rsidR="00525A3B" w:rsidRPr="00525A3B">
        <w:rPr>
          <w:rFonts w:cs="Arial"/>
          <w:szCs w:val="24"/>
        </w:rPr>
        <w:t xml:space="preserve">(podíl na </w:t>
      </w:r>
      <w:proofErr w:type="spellStart"/>
      <w:r w:rsidR="00525A3B" w:rsidRPr="00525A3B">
        <w:rPr>
          <w:rFonts w:cs="Arial"/>
          <w:szCs w:val="24"/>
        </w:rPr>
        <w:t>UoZ</w:t>
      </w:r>
      <w:proofErr w:type="spellEnd"/>
      <w:r w:rsidR="00525A3B" w:rsidRPr="00525A3B">
        <w:rPr>
          <w:rFonts w:cs="Arial"/>
          <w:szCs w:val="24"/>
        </w:rPr>
        <w:t xml:space="preserve"> činí 7,6 %, podíl na VPM 0,8 %) a v oblasti prodeje, tedy </w:t>
      </w:r>
      <w:r w:rsidR="00525A3B" w:rsidRPr="00525A3B">
        <w:rPr>
          <w:rFonts w:cs="Arial"/>
          <w:b/>
          <w:szCs w:val="24"/>
        </w:rPr>
        <w:t>u prodavačů</w:t>
      </w:r>
      <w:r w:rsidR="00525A3B" w:rsidRPr="00525A3B">
        <w:rPr>
          <w:rFonts w:cs="Arial"/>
          <w:szCs w:val="24"/>
        </w:rPr>
        <w:t xml:space="preserve">. Přes výrazný nedostatek řidičů v oblasti nákladní dopravy, autobusů a tramvají, existuje přebytek pracovní síly mezi </w:t>
      </w:r>
      <w:r w:rsidR="00525A3B" w:rsidRPr="00525A3B">
        <w:rPr>
          <w:rFonts w:cs="Arial"/>
          <w:b/>
          <w:szCs w:val="24"/>
        </w:rPr>
        <w:t xml:space="preserve">řidiči osobních automobilů. </w:t>
      </w:r>
      <w:r w:rsidR="00525A3B" w:rsidRPr="00525A3B">
        <w:rPr>
          <w:rFonts w:cs="Arial"/>
          <w:szCs w:val="24"/>
        </w:rPr>
        <w:t xml:space="preserve">Nejpočetnější skupinou uchazečů o zaměstnání jsou </w:t>
      </w:r>
      <w:r w:rsidR="00525A3B" w:rsidRPr="00525A3B">
        <w:rPr>
          <w:rFonts w:cs="Arial"/>
          <w:b/>
          <w:szCs w:val="24"/>
        </w:rPr>
        <w:t xml:space="preserve">pomocní pracovníci ve výrobě </w:t>
      </w:r>
      <w:r w:rsidR="00525A3B" w:rsidRPr="00525A3B">
        <w:rPr>
          <w:rFonts w:cs="Arial"/>
          <w:szCs w:val="24"/>
        </w:rPr>
        <w:t xml:space="preserve">(9,35 % </w:t>
      </w:r>
      <w:proofErr w:type="spellStart"/>
      <w:r w:rsidR="00525A3B" w:rsidRPr="00525A3B">
        <w:rPr>
          <w:rFonts w:cs="Arial"/>
          <w:szCs w:val="24"/>
        </w:rPr>
        <w:t>UoZ</w:t>
      </w:r>
      <w:proofErr w:type="spellEnd"/>
      <w:r w:rsidR="00525A3B" w:rsidRPr="00525A3B">
        <w:rPr>
          <w:rFonts w:cs="Arial"/>
          <w:szCs w:val="24"/>
        </w:rPr>
        <w:t>), pro něž je však rovněž evidován vysoký podíl hlášených pracovních míst (7,1 % hlášených VPM).</w:t>
      </w:r>
    </w:p>
    <w:p w:rsidR="00525A3B" w:rsidRDefault="00525A3B" w:rsidP="00525A3B">
      <w:pPr>
        <w:spacing w:line="240" w:lineRule="auto"/>
        <w:rPr>
          <w:rFonts w:cs="Arial"/>
        </w:rPr>
      </w:pPr>
    </w:p>
    <w:p w:rsidR="00525A3B" w:rsidRDefault="00525A3B" w:rsidP="00525A3B">
      <w:pPr>
        <w:spacing w:line="240" w:lineRule="auto"/>
        <w:rPr>
          <w:rFonts w:cs="Arial"/>
        </w:rPr>
      </w:pPr>
    </w:p>
    <w:tbl>
      <w:tblPr>
        <w:tblW w:w="937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5954"/>
        <w:gridCol w:w="992"/>
        <w:gridCol w:w="850"/>
        <w:gridCol w:w="850"/>
      </w:tblGrid>
      <w:tr w:rsidR="00525A3B" w:rsidRPr="00525A3B" w:rsidTr="00C355D1">
        <w:trPr>
          <w:trHeight w:val="7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3B" w:rsidRPr="00146299" w:rsidRDefault="00525A3B" w:rsidP="00C355D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629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CZ ISCO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B" w:rsidRPr="00146299" w:rsidRDefault="00525A3B" w:rsidP="00C355D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146299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CZ ISCO 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146299" w:rsidRDefault="00525A3B" w:rsidP="00C355D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UoZ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5A3B" w:rsidRDefault="00525A3B" w:rsidP="00C355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VPM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5A3B" w:rsidRDefault="00525A3B" w:rsidP="00C355D1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UoZ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/ VPM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932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Pomocní pracovníci ve výrobě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35 368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10 041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3,5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Ruční baliči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0,2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9329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Ostatní pomocní pracovníci ve výrobě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31 811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8 652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3,7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28 913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1 085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26,6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Všeobecní administrativní pracovníci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21 870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21,4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Provozovatelé maloobchodních a velkoobchodních prodejen, prodavači a příbuzní pracovníci v prodejnách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28 482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4 047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7,0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Provozovatelé maloobchodních a velkoobchodních prodejen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6,5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5222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Vedoucí pracovních týmů v prodejnách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1,7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5223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Prodavači v prodejnách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27 515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3 634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7,6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Uklízeči a pomocníci v domácnostech,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18 138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3 896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4,7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9111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Uklízeči a pomocníci v domácnostech (kromě hospodyní)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6,7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9112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Uklízeči a pomocníci v hotelích, administrativních, průmyslových a jiných objektech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14 778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3 702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4,0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Pracovníci v oblasti ochrany a ostrahy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14 905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4 752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3,1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5411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Příslušníci HZS ČR a hasiči ostatních jednotek požární ochrany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19,2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5412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Policisté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1,5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Pracovníci vězeňské služby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0,3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5414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Pracovníci ostrahy a bezpečnostních agentur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13 242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3 958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3,3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832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Řidiči motocyklů a automobilů (kromě nákladních)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11 993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989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12,1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8321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Řidiči motocyklů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X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8322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Řidiči osobních a malých dodávkových automobilů, taxikáři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11 553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11,7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711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Řemeslníci a kvalifikovaní pracovníci hlavní stavební výroby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10 729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3 735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2,9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Pracovníci montovaných staveb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1,2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7112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Zedníci, kamnáři, dlaždiči a montéři suchých staveb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7 607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2 459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3,1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Kameníci, řezači a brusiči kamene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1,4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7114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Betonáři, železobetonáři a příbuzní pracovníci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0,4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7115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Tesaři a stavební truhláři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1 386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3,1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7119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Ostatní řemeslníci a kvalifikovaní pracovníci hlavní stavební výroby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1 345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2,6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Číšníci, servírky a barmani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3 135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3,2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Číšníci a servírky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7 529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2 758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2,7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Barmani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3,6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8 967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4 430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2,0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7 320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4 327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1,7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933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Pomocní pracovníci v dopravě a skladování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7 282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b/>
                <w:color w:val="000000"/>
                <w:sz w:val="20"/>
                <w:szCs w:val="20"/>
              </w:rPr>
              <w:t>2 384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3,1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9331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Řidiči nemotorových vozidel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29,0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9332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Kočí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3,0</w:t>
            </w:r>
          </w:p>
        </w:tc>
      </w:tr>
      <w:tr w:rsidR="00525A3B" w:rsidRPr="00525A3B" w:rsidTr="00C355D1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9333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Pomocní manipulační pracovníci (kromě výroby)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6 638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2 259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2,9</w:t>
            </w:r>
          </w:p>
        </w:tc>
      </w:tr>
      <w:tr w:rsidR="008C716C" w:rsidRPr="00525A3B" w:rsidTr="00525A3B">
        <w:trPr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9334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Doplňovači zboží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525A3B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25A3B" w:rsidRPr="00525A3B" w:rsidRDefault="00525A3B" w:rsidP="00C355D1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</w:rPr>
            </w:pPr>
            <w:r w:rsidRPr="00525A3B">
              <w:rPr>
                <w:rFonts w:ascii="Calibri" w:hAnsi="Calibri"/>
                <w:color w:val="000000"/>
                <w:sz w:val="22"/>
              </w:rPr>
              <w:t>6,1</w:t>
            </w:r>
          </w:p>
        </w:tc>
      </w:tr>
      <w:tr w:rsidR="00525A3B" w:rsidRPr="00525A3B" w:rsidTr="00C355D1">
        <w:trPr>
          <w:trHeight w:val="113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146299" w:rsidRDefault="00525A3B" w:rsidP="00C355D1">
            <w:pPr>
              <w:spacing w:after="100" w:afterAutospacing="1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62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Celkem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A3B" w:rsidRPr="00146299" w:rsidRDefault="00525A3B" w:rsidP="00C355D1">
            <w:pPr>
              <w:spacing w:after="100" w:afterAutospacing="1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629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378 258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3B" w:rsidRPr="00146299" w:rsidRDefault="00525A3B" w:rsidP="00C355D1">
            <w:pPr>
              <w:spacing w:after="100" w:afterAutospacing="1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B" w:rsidRPr="00146299" w:rsidRDefault="00525A3B" w:rsidP="00C355D1">
            <w:pPr>
              <w:spacing w:after="100" w:afterAutospacing="1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337FD" w:rsidRDefault="00E337FD" w:rsidP="003922C1">
      <w:pPr>
        <w:spacing w:line="240" w:lineRule="auto"/>
        <w:rPr>
          <w:highlight w:val="yellow"/>
        </w:rPr>
      </w:pPr>
    </w:p>
    <w:p w:rsidR="000E3262" w:rsidRPr="00C355D1" w:rsidRDefault="000E3262" w:rsidP="00D11FE0">
      <w:pPr>
        <w:pStyle w:val="Odstavecseseznamem"/>
        <w:numPr>
          <w:ilvl w:val="0"/>
          <w:numId w:val="5"/>
        </w:numPr>
        <w:spacing w:after="200" w:line="240" w:lineRule="auto"/>
        <w:rPr>
          <w:rFonts w:cs="Arial"/>
          <w:b/>
          <w:szCs w:val="24"/>
        </w:rPr>
      </w:pPr>
      <w:r w:rsidRPr="00C355D1">
        <w:rPr>
          <w:rFonts w:cs="Arial"/>
          <w:b/>
          <w:szCs w:val="24"/>
        </w:rPr>
        <w:t>Odhad přirozené míry nezaměstnanosti</w:t>
      </w:r>
    </w:p>
    <w:p w:rsidR="000E3262" w:rsidRPr="00C355D1" w:rsidRDefault="000E3262" w:rsidP="000E3262">
      <w:pPr>
        <w:spacing w:after="200" w:line="240" w:lineRule="auto"/>
        <w:rPr>
          <w:rFonts w:cs="Arial"/>
          <w:szCs w:val="24"/>
        </w:rPr>
      </w:pPr>
      <w:r w:rsidRPr="00C355D1">
        <w:rPr>
          <w:rFonts w:cs="Arial"/>
          <w:szCs w:val="24"/>
        </w:rPr>
        <w:t xml:space="preserve">Možnosti trhu práce uspokojit poptávku po pracovní síle významně ovlivňuje úroveň </w:t>
      </w:r>
      <w:r w:rsidRPr="005B5242">
        <w:rPr>
          <w:rFonts w:cs="Arial"/>
          <w:b/>
          <w:szCs w:val="24"/>
        </w:rPr>
        <w:t>tzv. přirozené míry nezaměstnanosti.</w:t>
      </w:r>
      <w:r w:rsidRPr="00C355D1">
        <w:rPr>
          <w:rFonts w:cs="Arial"/>
          <w:szCs w:val="24"/>
        </w:rPr>
        <w:t xml:space="preserve"> Ta je definována různými způsoby, zpravidla </w:t>
      </w:r>
      <w:r w:rsidRPr="005B5242">
        <w:rPr>
          <w:rFonts w:cs="Arial"/>
          <w:b/>
          <w:szCs w:val="24"/>
        </w:rPr>
        <w:t>obsahuje složku frikční a strukturální</w:t>
      </w:r>
      <w:r w:rsidRPr="00C355D1">
        <w:rPr>
          <w:rFonts w:cs="Arial"/>
          <w:szCs w:val="24"/>
        </w:rPr>
        <w:t xml:space="preserve">, obsažena však není složka cyklická, neboť přirozená míra nezaměstnanosti ideálně nastává v ekonomice setrvávající na úrovni potenciálního produktu. Výše přirozené míry nezaměstnanosti se různí jak v čase, tak v různých ekonomikách, neboť je ovlivňována celou řadou faktorů (migrace, úroveň mezd, nastavení sociálního systému, demografie). </w:t>
      </w:r>
      <w:r w:rsidRPr="00C355D1">
        <w:rPr>
          <w:rFonts w:cs="Arial"/>
          <w:b/>
          <w:szCs w:val="24"/>
        </w:rPr>
        <w:t>Přirozená míra nezaměstnanosti nicméně neznamená její nevyhnutelnost či ideální stav.</w:t>
      </w:r>
      <w:r w:rsidRPr="00C355D1">
        <w:rPr>
          <w:rFonts w:cs="Arial"/>
          <w:szCs w:val="24"/>
        </w:rPr>
        <w:t xml:space="preserve"> Zejména </w:t>
      </w:r>
      <w:r w:rsidRPr="005B5242">
        <w:rPr>
          <w:rFonts w:cs="Arial"/>
          <w:b/>
          <w:szCs w:val="24"/>
        </w:rPr>
        <w:t>strukturální složku přirozené míry nezaměstnanosti je nutné eliminovat, neboť na rozdíl od nezaměstnanosti frikční odráží disfunkci trhu práce při harmonizaci nabídky a poptávky.</w:t>
      </w:r>
    </w:p>
    <w:p w:rsidR="000E3262" w:rsidRPr="00C355D1" w:rsidRDefault="000E3262" w:rsidP="000E3262">
      <w:pPr>
        <w:spacing w:after="200" w:line="240" w:lineRule="auto"/>
        <w:rPr>
          <w:rFonts w:cs="Arial"/>
          <w:szCs w:val="24"/>
        </w:rPr>
      </w:pPr>
      <w:r w:rsidRPr="00C355D1">
        <w:rPr>
          <w:rFonts w:cs="Arial"/>
          <w:szCs w:val="24"/>
        </w:rPr>
        <w:t xml:space="preserve">Přirozená míra nezaměstnanosti se odhaduje kolem 4 % až 6 % v USA. </w:t>
      </w:r>
      <w:r w:rsidRPr="005B5242">
        <w:rPr>
          <w:rFonts w:cs="Arial"/>
          <w:b/>
          <w:szCs w:val="24"/>
        </w:rPr>
        <w:t>V evropských zemích je přirozená míra nezaměstnanosti uvažována jako vyšší, a to v důsledku nastavení sociálních systémů.</w:t>
      </w:r>
      <w:r w:rsidRPr="00C355D1">
        <w:rPr>
          <w:rFonts w:cs="Arial"/>
          <w:szCs w:val="24"/>
        </w:rPr>
        <w:t xml:space="preserve"> Její výše však není v čase konstantní a zvyšuje se v důsledku dlouhodobě vysokých hodnot míry nezaměstnanosti – tzv. hystereze, kdy dochází k posilování zejména strukturální složky nezaměstnanosti (úroveň frikční nezaměstnanosti bývává určována na hladině 2 % až 3 %). </w:t>
      </w:r>
      <w:r w:rsidRPr="005B5242">
        <w:rPr>
          <w:rFonts w:cs="Arial"/>
          <w:b/>
          <w:szCs w:val="24"/>
        </w:rPr>
        <w:t xml:space="preserve">S ohledem na uvedené skutečnosti, lze přirozenou míru nezaměstnanosti v ČR odhadovat kolem </w:t>
      </w:r>
      <w:r w:rsidR="005B51ED" w:rsidRPr="005B5242">
        <w:rPr>
          <w:rFonts w:cs="Arial"/>
          <w:b/>
          <w:szCs w:val="24"/>
        </w:rPr>
        <w:t>6</w:t>
      </w:r>
      <w:r w:rsidRPr="005B5242">
        <w:rPr>
          <w:rFonts w:cs="Arial"/>
          <w:b/>
          <w:szCs w:val="24"/>
        </w:rPr>
        <w:t xml:space="preserve"> % z celkového objemu pracovní síly.</w:t>
      </w:r>
      <w:r w:rsidRPr="00C355D1">
        <w:rPr>
          <w:rFonts w:cs="Arial"/>
          <w:szCs w:val="24"/>
        </w:rPr>
        <w:t xml:space="preserve">  </w:t>
      </w:r>
    </w:p>
    <w:p w:rsidR="005B5242" w:rsidRDefault="000E3262" w:rsidP="000E3262">
      <w:pPr>
        <w:spacing w:after="200" w:line="240" w:lineRule="auto"/>
        <w:rPr>
          <w:rFonts w:cs="Arial"/>
          <w:szCs w:val="24"/>
        </w:rPr>
      </w:pPr>
      <w:r w:rsidRPr="00C355D1">
        <w:rPr>
          <w:rFonts w:cs="Arial"/>
          <w:szCs w:val="24"/>
        </w:rPr>
        <w:t>Ve 2. čtvrtletí 2016 činil objem pracovní síly dle VŠPS v ČR 5 3</w:t>
      </w:r>
      <w:r w:rsidR="005B51ED" w:rsidRPr="00C355D1">
        <w:rPr>
          <w:rFonts w:cs="Arial"/>
          <w:szCs w:val="24"/>
        </w:rPr>
        <w:t>38</w:t>
      </w:r>
      <w:r w:rsidRPr="00C355D1">
        <w:rPr>
          <w:rFonts w:cs="Arial"/>
          <w:szCs w:val="24"/>
        </w:rPr>
        <w:t xml:space="preserve"> tis. osob, objem přirozené nezaměstnanosti tak lze při její výši </w:t>
      </w:r>
      <w:r w:rsidR="00774580" w:rsidRPr="005B5242">
        <w:rPr>
          <w:rFonts w:cs="Arial"/>
          <w:b/>
          <w:szCs w:val="24"/>
        </w:rPr>
        <w:t>6</w:t>
      </w:r>
      <w:r w:rsidR="005B51ED" w:rsidRPr="005B5242">
        <w:rPr>
          <w:rFonts w:cs="Arial"/>
          <w:b/>
          <w:szCs w:val="24"/>
        </w:rPr>
        <w:t xml:space="preserve"> % odhadnout na 3</w:t>
      </w:r>
      <w:r w:rsidR="00774580" w:rsidRPr="005B5242">
        <w:rPr>
          <w:rFonts w:cs="Arial"/>
          <w:b/>
          <w:szCs w:val="24"/>
        </w:rPr>
        <w:t>2</w:t>
      </w:r>
      <w:r w:rsidRPr="005B5242">
        <w:rPr>
          <w:rFonts w:cs="Arial"/>
          <w:b/>
          <w:szCs w:val="24"/>
        </w:rPr>
        <w:t>0 tis. osob</w:t>
      </w:r>
      <w:r w:rsidRPr="00C355D1">
        <w:rPr>
          <w:rFonts w:cs="Arial"/>
          <w:szCs w:val="24"/>
        </w:rPr>
        <w:t xml:space="preserve">. </w:t>
      </w:r>
    </w:p>
    <w:p w:rsidR="00580355" w:rsidRPr="00C355D1" w:rsidRDefault="000E3262" w:rsidP="000E3262">
      <w:pPr>
        <w:spacing w:after="200" w:line="240" w:lineRule="auto"/>
        <w:rPr>
          <w:rFonts w:cs="Arial"/>
          <w:szCs w:val="24"/>
        </w:rPr>
      </w:pPr>
      <w:r w:rsidRPr="00C355D1">
        <w:rPr>
          <w:rFonts w:cs="Arial"/>
          <w:b/>
          <w:szCs w:val="24"/>
        </w:rPr>
        <w:t>Na trhu práce</w:t>
      </w:r>
      <w:r w:rsidR="005B5242">
        <w:rPr>
          <w:rFonts w:cs="Arial"/>
          <w:b/>
          <w:szCs w:val="24"/>
        </w:rPr>
        <w:t xml:space="preserve"> by</w:t>
      </w:r>
      <w:r w:rsidRPr="00C355D1">
        <w:rPr>
          <w:rFonts w:cs="Arial"/>
          <w:b/>
          <w:szCs w:val="24"/>
        </w:rPr>
        <w:t xml:space="preserve"> tak bylo </w:t>
      </w:r>
      <w:r w:rsidR="00774580" w:rsidRPr="00C355D1">
        <w:rPr>
          <w:rFonts w:cs="Arial"/>
          <w:b/>
          <w:szCs w:val="24"/>
        </w:rPr>
        <w:t xml:space="preserve">nad rámec odhadované přirozené míry nezaměstnanosti bez práce </w:t>
      </w:r>
      <w:r w:rsidR="00580355" w:rsidRPr="00C355D1">
        <w:rPr>
          <w:rFonts w:cs="Arial"/>
          <w:b/>
          <w:szCs w:val="24"/>
        </w:rPr>
        <w:t xml:space="preserve">cca </w:t>
      </w:r>
      <w:r w:rsidR="00774580" w:rsidRPr="00C355D1">
        <w:rPr>
          <w:rFonts w:cs="Arial"/>
          <w:b/>
          <w:szCs w:val="24"/>
        </w:rPr>
        <w:t>60 až 70 tis. osob, které lze označit za disponibilní pracovní sílu</w:t>
      </w:r>
      <w:r w:rsidRPr="00C355D1">
        <w:rPr>
          <w:rFonts w:cs="Arial"/>
          <w:szCs w:val="24"/>
        </w:rPr>
        <w:t xml:space="preserve">. </w:t>
      </w:r>
    </w:p>
    <w:p w:rsidR="00580355" w:rsidRPr="00C355D1" w:rsidRDefault="000E3262" w:rsidP="000E3262">
      <w:pPr>
        <w:spacing w:after="200" w:line="240" w:lineRule="auto"/>
        <w:rPr>
          <w:rFonts w:cs="Arial"/>
          <w:b/>
          <w:szCs w:val="24"/>
        </w:rPr>
      </w:pPr>
      <w:r w:rsidRPr="00C355D1">
        <w:rPr>
          <w:rFonts w:cs="Arial"/>
          <w:b/>
          <w:szCs w:val="24"/>
        </w:rPr>
        <w:t xml:space="preserve">Zhruba </w:t>
      </w:r>
      <w:r w:rsidR="00631C35" w:rsidRPr="00C355D1">
        <w:rPr>
          <w:rFonts w:cs="Arial"/>
          <w:b/>
          <w:szCs w:val="24"/>
        </w:rPr>
        <w:t>3</w:t>
      </w:r>
      <w:r w:rsidRPr="00C355D1">
        <w:rPr>
          <w:rFonts w:cs="Arial"/>
          <w:b/>
          <w:szCs w:val="24"/>
        </w:rPr>
        <w:t xml:space="preserve"> % objemu pracovní síly lze </w:t>
      </w:r>
      <w:r w:rsidR="005B5242">
        <w:rPr>
          <w:rFonts w:cs="Arial"/>
          <w:b/>
          <w:szCs w:val="24"/>
        </w:rPr>
        <w:t xml:space="preserve">současně </w:t>
      </w:r>
      <w:r w:rsidRPr="00C355D1">
        <w:rPr>
          <w:rFonts w:cs="Arial"/>
          <w:b/>
          <w:szCs w:val="24"/>
        </w:rPr>
        <w:t xml:space="preserve">označit za nezaměstnanost frikční (přirozená fluktuace za lépe placenou prací, demografická výměna, stěhování…), </w:t>
      </w:r>
      <w:r w:rsidR="00774580" w:rsidRPr="00C355D1">
        <w:rPr>
          <w:rFonts w:cs="Arial"/>
          <w:b/>
          <w:szCs w:val="24"/>
        </w:rPr>
        <w:t xml:space="preserve">což je cca 160 tis. osob, </w:t>
      </w:r>
      <w:r w:rsidRPr="00C355D1">
        <w:rPr>
          <w:rFonts w:cs="Arial"/>
          <w:b/>
          <w:szCs w:val="24"/>
        </w:rPr>
        <w:t>zatímco strukturální složku</w:t>
      </w:r>
      <w:r w:rsidR="00774580" w:rsidRPr="00C355D1">
        <w:rPr>
          <w:rFonts w:cs="Arial"/>
          <w:szCs w:val="24"/>
        </w:rPr>
        <w:t xml:space="preserve">, </w:t>
      </w:r>
      <w:r w:rsidRPr="00C355D1">
        <w:rPr>
          <w:rFonts w:cs="Arial"/>
          <w:szCs w:val="24"/>
        </w:rPr>
        <w:t xml:space="preserve">lze odhadnout </w:t>
      </w:r>
      <w:r w:rsidR="005B51ED" w:rsidRPr="00C355D1">
        <w:rPr>
          <w:rFonts w:cs="Arial"/>
          <w:szCs w:val="24"/>
        </w:rPr>
        <w:t xml:space="preserve">též </w:t>
      </w:r>
      <w:r w:rsidRPr="00C355D1">
        <w:rPr>
          <w:rFonts w:cs="Arial"/>
          <w:szCs w:val="24"/>
        </w:rPr>
        <w:t xml:space="preserve">na </w:t>
      </w:r>
      <w:r w:rsidR="00774580" w:rsidRPr="00C355D1">
        <w:rPr>
          <w:rFonts w:cs="Arial"/>
          <w:szCs w:val="24"/>
        </w:rPr>
        <w:t>3</w:t>
      </w:r>
      <w:r w:rsidRPr="00C355D1">
        <w:rPr>
          <w:rFonts w:cs="Arial"/>
          <w:szCs w:val="24"/>
        </w:rPr>
        <w:t xml:space="preserve"> %, tj. </w:t>
      </w:r>
      <w:r w:rsidRPr="00C355D1">
        <w:rPr>
          <w:rFonts w:cs="Arial"/>
          <w:b/>
          <w:szCs w:val="24"/>
        </w:rPr>
        <w:t xml:space="preserve">cca </w:t>
      </w:r>
      <w:r w:rsidR="00631C35" w:rsidRPr="00C355D1">
        <w:rPr>
          <w:rFonts w:cs="Arial"/>
          <w:b/>
          <w:szCs w:val="24"/>
        </w:rPr>
        <w:t>1</w:t>
      </w:r>
      <w:r w:rsidR="005B5242">
        <w:rPr>
          <w:rFonts w:cs="Arial"/>
          <w:b/>
          <w:szCs w:val="24"/>
        </w:rPr>
        <w:t>6</w:t>
      </w:r>
      <w:bookmarkStart w:id="0" w:name="_GoBack"/>
      <w:bookmarkEnd w:id="0"/>
      <w:r w:rsidR="00631C35" w:rsidRPr="00C355D1">
        <w:rPr>
          <w:rFonts w:cs="Arial"/>
          <w:b/>
          <w:szCs w:val="24"/>
        </w:rPr>
        <w:t>0 000</w:t>
      </w:r>
      <w:r w:rsidRPr="00C355D1">
        <w:rPr>
          <w:rFonts w:cs="Arial"/>
          <w:b/>
          <w:szCs w:val="24"/>
        </w:rPr>
        <w:t xml:space="preserve"> osob, což koreluje s počtem uchazečů o zaměstnání evidovaných déle než 12 měsíců.</w:t>
      </w:r>
      <w:r w:rsidRPr="00C355D1">
        <w:rPr>
          <w:rFonts w:cs="Arial"/>
          <w:szCs w:val="24"/>
        </w:rPr>
        <w:t xml:space="preserve"> </w:t>
      </w:r>
    </w:p>
    <w:p w:rsidR="000E3262" w:rsidRPr="00525A3B" w:rsidRDefault="000E3262" w:rsidP="000E3262">
      <w:pPr>
        <w:spacing w:after="200" w:line="240" w:lineRule="auto"/>
        <w:rPr>
          <w:rFonts w:cs="Arial"/>
          <w:b/>
          <w:szCs w:val="24"/>
        </w:rPr>
      </w:pPr>
      <w:r w:rsidRPr="00C355D1">
        <w:rPr>
          <w:rFonts w:cs="Arial"/>
          <w:b/>
          <w:szCs w:val="24"/>
        </w:rPr>
        <w:t>Český trh práce se tak v současné době pohybuje na hranici přirozené míry nezaměstnanosti, přičemž její významnou část tvoří strukturální složka.</w:t>
      </w:r>
    </w:p>
    <w:p w:rsidR="00E337FD" w:rsidRPr="00525A3B" w:rsidRDefault="00E337FD" w:rsidP="003922C1">
      <w:pPr>
        <w:spacing w:line="240" w:lineRule="auto"/>
        <w:rPr>
          <w:szCs w:val="24"/>
        </w:rPr>
      </w:pPr>
    </w:p>
    <w:p w:rsidR="00E337FD" w:rsidRPr="00525A3B" w:rsidRDefault="00E337FD" w:rsidP="003922C1">
      <w:pPr>
        <w:spacing w:line="240" w:lineRule="auto"/>
        <w:rPr>
          <w:szCs w:val="24"/>
          <w:highlight w:val="yellow"/>
        </w:rPr>
      </w:pPr>
    </w:p>
    <w:p w:rsidR="00E337FD" w:rsidRPr="00525A3B" w:rsidRDefault="00E337FD" w:rsidP="003922C1">
      <w:pPr>
        <w:spacing w:line="240" w:lineRule="auto"/>
        <w:rPr>
          <w:szCs w:val="24"/>
          <w:highlight w:val="yellow"/>
        </w:rPr>
      </w:pPr>
    </w:p>
    <w:p w:rsidR="00E337FD" w:rsidRPr="00525A3B" w:rsidRDefault="00E337FD" w:rsidP="003922C1">
      <w:pPr>
        <w:spacing w:line="240" w:lineRule="auto"/>
        <w:rPr>
          <w:szCs w:val="24"/>
          <w:highlight w:val="yellow"/>
        </w:rPr>
      </w:pPr>
    </w:p>
    <w:p w:rsidR="00E337FD" w:rsidRPr="00525A3B" w:rsidRDefault="00E337FD" w:rsidP="003922C1">
      <w:pPr>
        <w:spacing w:line="240" w:lineRule="auto"/>
        <w:rPr>
          <w:szCs w:val="24"/>
          <w:highlight w:val="yellow"/>
        </w:rPr>
      </w:pPr>
    </w:p>
    <w:p w:rsidR="00E337FD" w:rsidRPr="00525A3B" w:rsidRDefault="00E337FD" w:rsidP="003922C1">
      <w:pPr>
        <w:spacing w:line="240" w:lineRule="auto"/>
        <w:rPr>
          <w:szCs w:val="24"/>
          <w:highlight w:val="yellow"/>
        </w:rPr>
      </w:pPr>
    </w:p>
    <w:p w:rsidR="00E337FD" w:rsidRPr="00525A3B" w:rsidRDefault="00E337FD" w:rsidP="003922C1">
      <w:pPr>
        <w:spacing w:line="240" w:lineRule="auto"/>
        <w:rPr>
          <w:szCs w:val="24"/>
          <w:highlight w:val="yellow"/>
        </w:rPr>
      </w:pPr>
    </w:p>
    <w:p w:rsidR="00E337FD" w:rsidRPr="00525A3B" w:rsidRDefault="00E337FD" w:rsidP="003922C1">
      <w:pPr>
        <w:spacing w:before="120" w:line="240" w:lineRule="auto"/>
        <w:rPr>
          <w:rFonts w:cs="Arial"/>
          <w:szCs w:val="24"/>
        </w:rPr>
      </w:pPr>
    </w:p>
    <w:sectPr w:rsidR="00E337FD" w:rsidRPr="00525A3B" w:rsidSect="00525A3B">
      <w:foot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84" w:rsidRDefault="00566284" w:rsidP="000E3262">
      <w:pPr>
        <w:spacing w:line="240" w:lineRule="auto"/>
      </w:pPr>
      <w:r>
        <w:separator/>
      </w:r>
    </w:p>
  </w:endnote>
  <w:endnote w:type="continuationSeparator" w:id="0">
    <w:p w:rsidR="00566284" w:rsidRDefault="00566284" w:rsidP="000E3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234175"/>
      <w:docPartObj>
        <w:docPartGallery w:val="Page Numbers (Bottom of Page)"/>
        <w:docPartUnique/>
      </w:docPartObj>
    </w:sdtPr>
    <w:sdtContent>
      <w:p w:rsidR="00C355D1" w:rsidRDefault="00DC1052">
        <w:pPr>
          <w:pStyle w:val="Zpat"/>
        </w:pPr>
        <w:r w:rsidRPr="00DC1052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2049" type="#_x0000_t176" style="position:absolute;left:0;text-align:left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<v:textbox>
                <w:txbxContent>
                  <w:p w:rsidR="00C355D1" w:rsidRDefault="00DC1052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DC1052">
                      <w:rPr>
                        <w:sz w:val="22"/>
                        <w:szCs w:val="21"/>
                      </w:rPr>
                      <w:fldChar w:fldCharType="begin"/>
                    </w:r>
                    <w:r w:rsidR="00C355D1">
                      <w:instrText>PAGE    \* MERGEFORMAT</w:instrText>
                    </w:r>
                    <w:r w:rsidRPr="00DC1052">
                      <w:rPr>
                        <w:sz w:val="22"/>
                        <w:szCs w:val="21"/>
                      </w:rPr>
                      <w:fldChar w:fldCharType="separate"/>
                    </w:r>
                    <w:r w:rsidR="00DB3D3E" w:rsidRPr="00DB3D3E">
                      <w:rPr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84" w:rsidRDefault="00566284" w:rsidP="000E3262">
      <w:pPr>
        <w:spacing w:line="240" w:lineRule="auto"/>
      </w:pPr>
      <w:r>
        <w:separator/>
      </w:r>
    </w:p>
  </w:footnote>
  <w:footnote w:type="continuationSeparator" w:id="0">
    <w:p w:rsidR="00566284" w:rsidRDefault="00566284" w:rsidP="000E3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F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055392"/>
    <w:multiLevelType w:val="hybridMultilevel"/>
    <w:tmpl w:val="5D028CFC"/>
    <w:lvl w:ilvl="0" w:tplc="040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F290D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234587"/>
    <w:multiLevelType w:val="hybridMultilevel"/>
    <w:tmpl w:val="DFBA8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27D12"/>
    <w:multiLevelType w:val="multilevel"/>
    <w:tmpl w:val="37F05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5F4"/>
    <w:rsid w:val="0004152C"/>
    <w:rsid w:val="000C228C"/>
    <w:rsid w:val="000E0C7B"/>
    <w:rsid w:val="000E3262"/>
    <w:rsid w:val="00181CDC"/>
    <w:rsid w:val="00184566"/>
    <w:rsid w:val="001E2938"/>
    <w:rsid w:val="00223146"/>
    <w:rsid w:val="00265537"/>
    <w:rsid w:val="00313D70"/>
    <w:rsid w:val="00345300"/>
    <w:rsid w:val="00365217"/>
    <w:rsid w:val="003922C1"/>
    <w:rsid w:val="003B339E"/>
    <w:rsid w:val="003F77D9"/>
    <w:rsid w:val="00403591"/>
    <w:rsid w:val="004D7850"/>
    <w:rsid w:val="004D7C57"/>
    <w:rsid w:val="00525A3B"/>
    <w:rsid w:val="005644B4"/>
    <w:rsid w:val="00566284"/>
    <w:rsid w:val="00580355"/>
    <w:rsid w:val="00584D70"/>
    <w:rsid w:val="005B51ED"/>
    <w:rsid w:val="005B5242"/>
    <w:rsid w:val="00615826"/>
    <w:rsid w:val="00620597"/>
    <w:rsid w:val="00631C35"/>
    <w:rsid w:val="006325F4"/>
    <w:rsid w:val="00645F2E"/>
    <w:rsid w:val="0072360E"/>
    <w:rsid w:val="00766062"/>
    <w:rsid w:val="00774580"/>
    <w:rsid w:val="00783D4C"/>
    <w:rsid w:val="007B42A5"/>
    <w:rsid w:val="008523B5"/>
    <w:rsid w:val="00853994"/>
    <w:rsid w:val="008C0148"/>
    <w:rsid w:val="008C716C"/>
    <w:rsid w:val="008E5330"/>
    <w:rsid w:val="008F360A"/>
    <w:rsid w:val="00922F39"/>
    <w:rsid w:val="009C102E"/>
    <w:rsid w:val="009E0515"/>
    <w:rsid w:val="00A13614"/>
    <w:rsid w:val="00A33E5A"/>
    <w:rsid w:val="00A87CC5"/>
    <w:rsid w:val="00BF73FA"/>
    <w:rsid w:val="00C355D1"/>
    <w:rsid w:val="00C360A4"/>
    <w:rsid w:val="00C44BFF"/>
    <w:rsid w:val="00CD4E07"/>
    <w:rsid w:val="00CE551C"/>
    <w:rsid w:val="00D11FE0"/>
    <w:rsid w:val="00D35045"/>
    <w:rsid w:val="00DB3D3E"/>
    <w:rsid w:val="00DC1052"/>
    <w:rsid w:val="00E07EE4"/>
    <w:rsid w:val="00E337FD"/>
    <w:rsid w:val="00EB0630"/>
    <w:rsid w:val="00EC19DB"/>
    <w:rsid w:val="00F03D56"/>
    <w:rsid w:val="00F168A1"/>
    <w:rsid w:val="00FA764C"/>
    <w:rsid w:val="00FC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line="276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iPriority w:val="99"/>
    <w:unhideWhenUsed/>
    <w:rsid w:val="006325F4"/>
    <w:pPr>
      <w:spacing w:line="240" w:lineRule="auto"/>
      <w:ind w:left="283" w:hanging="283"/>
      <w:jc w:val="left"/>
    </w:pPr>
    <w:rPr>
      <w:rFonts w:ascii="Times New Roman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C36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3D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E337F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326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E3262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unhideWhenUsed/>
    <w:rsid w:val="000E326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55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5D1"/>
    <w:rPr>
      <w:rFonts w:ascii="Arial" w:hAnsi="Arial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55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5D1"/>
    <w:rPr>
      <w:rFonts w:ascii="Arial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line="276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iPriority w:val="99"/>
    <w:unhideWhenUsed/>
    <w:rsid w:val="006325F4"/>
    <w:pPr>
      <w:spacing w:line="240" w:lineRule="auto"/>
      <w:ind w:left="283" w:hanging="283"/>
      <w:jc w:val="left"/>
    </w:pPr>
    <w:rPr>
      <w:rFonts w:ascii="Times New Roman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C3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3D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E337F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326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E3262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unhideWhenUsed/>
    <w:rsid w:val="000E326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55D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5D1"/>
    <w:rPr>
      <w:rFonts w:ascii="Arial" w:hAnsi="Arial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55D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5D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-mpa-cls3-spo1.mpsvnet.mpsv.cz\spoldisk\SD_o410\o411\Dudek%20Pavel\Anal&#253;za%20nab&#237;dky%20a%20popt&#225;vky%20na%20trhu%20pr&#225;ce%202016\&#345;&#237;jen\data\data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-mpa-cls3-spo1.mpsvnet.mpsv.cz\spoldisk\SD_o410\o411\Dudek%20Pavel\Anal&#253;za%20nab&#237;dky%20a%20popt&#225;vky%20na%20trhu%20pr&#225;ce%202016\&#345;&#237;jen\data\data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-mpa-cls3-spo1.mpsvnet.mpsv.cz\spoldisk\SD_o410\o411\Dudek%20Pavel\Anal&#253;za%20nab&#237;dky%20a%20popt&#225;vky%20na%20trhu%20pr&#225;ce%202016\&#345;&#237;jen\data\data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-mpa-cls3-spo1.mpsvnet.mpsv.cz\spoldisk\SD_o410\o411\Dudek%20Pavel\Anal&#253;za%20nab&#237;dky%20a%20popt&#225;vky%20na%20trhu%20pr&#225;ce%202016\&#345;&#237;jen\data\data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-mpa-cls3-spo1.mpsvnet.mpsv.cz\spoldisk\SD_o410\o411\Dudek%20Pavel\Anal&#253;za%20nab&#237;dky%20a%20popt&#225;vky%20na%20trhu%20pr&#225;ce%202016\&#345;&#237;jen\data\data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200"/>
              <a:t>Počty VPM</a:t>
            </a:r>
            <a:r>
              <a:rPr lang="cs-CZ" sz="1200" baseline="0"/>
              <a:t> podle hl. tříd zaměstnání a doby neobsazení (30. 9. 2016)</a:t>
            </a:r>
            <a:endParaRPr lang="cs-CZ" sz="1200"/>
          </a:p>
        </c:rich>
      </c:tx>
    </c:title>
    <c:plotArea>
      <c:layout>
        <c:manualLayout>
          <c:layoutTarget val="inner"/>
          <c:xMode val="edge"/>
          <c:yMode val="edge"/>
          <c:x val="4.088511526420642E-2"/>
          <c:y val="0.1926458574869839"/>
          <c:w val="0.89521060620434501"/>
          <c:h val="0.70532292435289734"/>
        </c:manualLayout>
      </c:layout>
      <c:barChart>
        <c:barDir val="col"/>
        <c:grouping val="stacked"/>
        <c:ser>
          <c:idx val="0"/>
          <c:order val="0"/>
          <c:tx>
            <c:strRef>
              <c:f>List2!$D$1</c:f>
              <c:strCache>
                <c:ptCount val="1"/>
                <c:pt idx="0">
                  <c:v>0-3</c:v>
                </c:pt>
              </c:strCache>
            </c:strRef>
          </c:tx>
          <c:cat>
            <c:strRef>
              <c:f>(List2!$B$3,List2!$B$13,List2!$B$21,List2!$B$28,List2!$B$34,List2!$B$40,List2!$B$45,List2!$B$52,List2!$B$57)</c:f>
              <c:strCache>
                <c:ptCount val="9"/>
                <c:pt idx="0">
                  <c:v>Zaměstnanci v ozbrojených silách</c:v>
                </c:pt>
                <c:pt idx="1">
                  <c:v>Specialisté</c:v>
                </c:pt>
                <c:pt idx="2">
                  <c:v>Techničtí a odborní pracovníci</c:v>
                </c:pt>
                <c:pt idx="3">
                  <c:v>Úředníci</c:v>
                </c:pt>
                <c:pt idx="4">
                  <c:v>Pracovníci ve službách a prodeji</c:v>
                </c:pt>
                <c:pt idx="5">
                  <c:v>Kvalifikovaní pracovníci v zem., les., ryb.</c:v>
                </c:pt>
                <c:pt idx="6">
                  <c:v>Řemeslníci a opraváři</c:v>
                </c:pt>
                <c:pt idx="7">
                  <c:v>Obsluha strojů a zařízení, montéři</c:v>
                </c:pt>
                <c:pt idx="8">
                  <c:v>Pomocní a nekvalifikovaní pracovníci</c:v>
                </c:pt>
              </c:strCache>
            </c:strRef>
          </c:cat>
          <c:val>
            <c:numRef>
              <c:f>(List2!$D$3,List2!$D$13,List2!$D$21,List2!$D$28,List2!$D$34,List2!$D$40,List2!$D$45,List2!$D$52,List2!$D$57)</c:f>
              <c:numCache>
                <c:formatCode>#,##0</c:formatCode>
                <c:ptCount val="9"/>
                <c:pt idx="0" formatCode="General">
                  <c:v>74</c:v>
                </c:pt>
                <c:pt idx="1">
                  <c:v>3506</c:v>
                </c:pt>
                <c:pt idx="2">
                  <c:v>5559</c:v>
                </c:pt>
                <c:pt idx="3">
                  <c:v>2873</c:v>
                </c:pt>
                <c:pt idx="4">
                  <c:v>10774</c:v>
                </c:pt>
                <c:pt idx="5" formatCode="General">
                  <c:v>419</c:v>
                </c:pt>
                <c:pt idx="6">
                  <c:v>11815</c:v>
                </c:pt>
                <c:pt idx="7">
                  <c:v>12784</c:v>
                </c:pt>
                <c:pt idx="8">
                  <c:v>12802</c:v>
                </c:pt>
              </c:numCache>
            </c:numRef>
          </c:val>
        </c:ser>
        <c:ser>
          <c:idx val="1"/>
          <c:order val="1"/>
          <c:tx>
            <c:strRef>
              <c:f>List2!$F$1</c:f>
              <c:strCache>
                <c:ptCount val="1"/>
                <c:pt idx="0">
                  <c:v>3-6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(List2!$B$3,List2!$B$13,List2!$B$21,List2!$B$28,List2!$B$34,List2!$B$40,List2!$B$45,List2!$B$52,List2!$B$57)</c:f>
              <c:strCache>
                <c:ptCount val="9"/>
                <c:pt idx="0">
                  <c:v>Zaměstnanci v ozbrojených silách</c:v>
                </c:pt>
                <c:pt idx="1">
                  <c:v>Specialisté</c:v>
                </c:pt>
                <c:pt idx="2">
                  <c:v>Techničtí a odborní pracovníci</c:v>
                </c:pt>
                <c:pt idx="3">
                  <c:v>Úředníci</c:v>
                </c:pt>
                <c:pt idx="4">
                  <c:v>Pracovníci ve službách a prodeji</c:v>
                </c:pt>
                <c:pt idx="5">
                  <c:v>Kvalifikovaní pracovníci v zem., les., ryb.</c:v>
                </c:pt>
                <c:pt idx="6">
                  <c:v>Řemeslníci a opraváři</c:v>
                </c:pt>
                <c:pt idx="7">
                  <c:v>Obsluha strojů a zařízení, montéři</c:v>
                </c:pt>
                <c:pt idx="8">
                  <c:v>Pomocní a nekvalifikovaní pracovníci</c:v>
                </c:pt>
              </c:strCache>
            </c:strRef>
          </c:cat>
          <c:val>
            <c:numRef>
              <c:f>(List2!$F$3,List2!$F$13,List2!$F$21,List2!$F$28,List2!$F$34,List2!$F$40,List2!$F$45,List2!$F$52,List2!$F$57)</c:f>
              <c:numCache>
                <c:formatCode>#,##0</c:formatCode>
                <c:ptCount val="9"/>
                <c:pt idx="0" formatCode="General">
                  <c:v>0</c:v>
                </c:pt>
                <c:pt idx="1">
                  <c:v>2316</c:v>
                </c:pt>
                <c:pt idx="2">
                  <c:v>2424</c:v>
                </c:pt>
                <c:pt idx="3">
                  <c:v>1090</c:v>
                </c:pt>
                <c:pt idx="4">
                  <c:v>4938</c:v>
                </c:pt>
                <c:pt idx="5" formatCode="General">
                  <c:v>138</c:v>
                </c:pt>
                <c:pt idx="6">
                  <c:v>6513</c:v>
                </c:pt>
                <c:pt idx="7">
                  <c:v>7427</c:v>
                </c:pt>
                <c:pt idx="8">
                  <c:v>5388</c:v>
                </c:pt>
              </c:numCache>
            </c:numRef>
          </c:val>
        </c:ser>
        <c:ser>
          <c:idx val="2"/>
          <c:order val="2"/>
          <c:tx>
            <c:strRef>
              <c:f>List2!$H$1</c:f>
              <c:strCache>
                <c:ptCount val="1"/>
                <c:pt idx="0">
                  <c:v>6-12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cat>
            <c:strRef>
              <c:f>(List2!$B$3,List2!$B$13,List2!$B$21,List2!$B$28,List2!$B$34,List2!$B$40,List2!$B$45,List2!$B$52,List2!$B$57)</c:f>
              <c:strCache>
                <c:ptCount val="9"/>
                <c:pt idx="0">
                  <c:v>Zaměstnanci v ozbrojených silách</c:v>
                </c:pt>
                <c:pt idx="1">
                  <c:v>Specialisté</c:v>
                </c:pt>
                <c:pt idx="2">
                  <c:v>Techničtí a odborní pracovníci</c:v>
                </c:pt>
                <c:pt idx="3">
                  <c:v>Úředníci</c:v>
                </c:pt>
                <c:pt idx="4">
                  <c:v>Pracovníci ve službách a prodeji</c:v>
                </c:pt>
                <c:pt idx="5">
                  <c:v>Kvalifikovaní pracovníci v zem., les., ryb.</c:v>
                </c:pt>
                <c:pt idx="6">
                  <c:v>Řemeslníci a opraváři</c:v>
                </c:pt>
                <c:pt idx="7">
                  <c:v>Obsluha strojů a zařízení, montéři</c:v>
                </c:pt>
                <c:pt idx="8">
                  <c:v>Pomocní a nekvalifikovaní pracovníci</c:v>
                </c:pt>
              </c:strCache>
            </c:strRef>
          </c:cat>
          <c:val>
            <c:numRef>
              <c:f>(List2!$H$3,List2!$H$13,List2!$H$21,List2!$H$28,List2!$H$34,List2!$H$40,List2!$H$45,List2!$H$52,List2!$H$57)</c:f>
              <c:numCache>
                <c:formatCode>#,##0</c:formatCode>
                <c:ptCount val="9"/>
                <c:pt idx="0" formatCode="General">
                  <c:v>348</c:v>
                </c:pt>
                <c:pt idx="1">
                  <c:v>2365</c:v>
                </c:pt>
                <c:pt idx="2">
                  <c:v>1971</c:v>
                </c:pt>
                <c:pt idx="3" formatCode="General">
                  <c:v>784</c:v>
                </c:pt>
                <c:pt idx="4">
                  <c:v>3437</c:v>
                </c:pt>
                <c:pt idx="5" formatCode="General">
                  <c:v>163</c:v>
                </c:pt>
                <c:pt idx="6">
                  <c:v>5511</c:v>
                </c:pt>
                <c:pt idx="7">
                  <c:v>5559</c:v>
                </c:pt>
                <c:pt idx="8">
                  <c:v>3643</c:v>
                </c:pt>
              </c:numCache>
            </c:numRef>
          </c:val>
        </c:ser>
        <c:ser>
          <c:idx val="3"/>
          <c:order val="3"/>
          <c:tx>
            <c:strRef>
              <c:f>List2!$J$1</c:f>
              <c:strCache>
                <c:ptCount val="1"/>
                <c:pt idx="0">
                  <c:v>nad 12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(List2!$B$3,List2!$B$13,List2!$B$21,List2!$B$28,List2!$B$34,List2!$B$40,List2!$B$45,List2!$B$52,List2!$B$57)</c:f>
              <c:strCache>
                <c:ptCount val="9"/>
                <c:pt idx="0">
                  <c:v>Zaměstnanci v ozbrojených silách</c:v>
                </c:pt>
                <c:pt idx="1">
                  <c:v>Specialisté</c:v>
                </c:pt>
                <c:pt idx="2">
                  <c:v>Techničtí a odborní pracovníci</c:v>
                </c:pt>
                <c:pt idx="3">
                  <c:v>Úředníci</c:v>
                </c:pt>
                <c:pt idx="4">
                  <c:v>Pracovníci ve službách a prodeji</c:v>
                </c:pt>
                <c:pt idx="5">
                  <c:v>Kvalifikovaní pracovníci v zem., les., ryb.</c:v>
                </c:pt>
                <c:pt idx="6">
                  <c:v>Řemeslníci a opraváři</c:v>
                </c:pt>
                <c:pt idx="7">
                  <c:v>Obsluha strojů a zařízení, montéři</c:v>
                </c:pt>
                <c:pt idx="8">
                  <c:v>Pomocní a nekvalifikovaní pracovníci</c:v>
                </c:pt>
              </c:strCache>
            </c:strRef>
          </c:cat>
          <c:val>
            <c:numRef>
              <c:f>(List2!$J$3,List2!$J$13,List2!$J$21,List2!$J$28,List2!$J$34,List2!$J$40,List2!$J$45,List2!$J$52,List2!$J$57)</c:f>
              <c:numCache>
                <c:formatCode>#,##0</c:formatCode>
                <c:ptCount val="9"/>
                <c:pt idx="0" formatCode="General">
                  <c:v>18</c:v>
                </c:pt>
                <c:pt idx="1">
                  <c:v>2017</c:v>
                </c:pt>
                <c:pt idx="2">
                  <c:v>1827</c:v>
                </c:pt>
                <c:pt idx="3">
                  <c:v>1034</c:v>
                </c:pt>
                <c:pt idx="4">
                  <c:v>3126</c:v>
                </c:pt>
                <c:pt idx="5" formatCode="General">
                  <c:v>132</c:v>
                </c:pt>
                <c:pt idx="6">
                  <c:v>5711</c:v>
                </c:pt>
                <c:pt idx="7">
                  <c:v>5638</c:v>
                </c:pt>
                <c:pt idx="8">
                  <c:v>5496</c:v>
                </c:pt>
              </c:numCache>
            </c:numRef>
          </c:val>
        </c:ser>
        <c:overlap val="100"/>
        <c:axId val="121557760"/>
        <c:axId val="121559296"/>
      </c:barChart>
      <c:catAx>
        <c:axId val="121557760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 sz="800"/>
            </a:pPr>
            <a:endParaRPr lang="cs-CZ"/>
          </a:p>
        </c:txPr>
        <c:crossAx val="121559296"/>
        <c:crosses val="autoZero"/>
        <c:auto val="1"/>
        <c:lblAlgn val="ctr"/>
        <c:lblOffset val="100"/>
      </c:catAx>
      <c:valAx>
        <c:axId val="1215592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155776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2048192771084338E-2"/>
                <c:y val="0.12048514519825217"/>
              </c:manualLayout>
            </c:layout>
            <c:txPr>
              <a:bodyPr rot="0" vert="horz"/>
              <a:lstStyle/>
              <a:p>
                <a:pPr>
                  <a:defRPr sz="800"/>
                </a:pPr>
                <a:endParaRPr lang="cs-CZ"/>
              </a:p>
            </c:txPr>
          </c:dispUnitsLbl>
        </c:dispUnits>
      </c:valAx>
    </c:plotArea>
    <c:legend>
      <c:legendPos val="t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200"/>
              <a:t>Podíly VPM podle hl.</a:t>
            </a:r>
            <a:r>
              <a:rPr lang="cs-CZ" sz="1200" baseline="0"/>
              <a:t> tříd zaměstnání podle doby neobsazenosti (30. 9. 2016)</a:t>
            </a:r>
            <a:endParaRPr lang="cs-CZ" sz="1200"/>
          </a:p>
        </c:rich>
      </c:tx>
    </c:title>
    <c:plotArea>
      <c:layout>
        <c:manualLayout>
          <c:layoutTarget val="inner"/>
          <c:xMode val="edge"/>
          <c:yMode val="edge"/>
          <c:x val="8.7564764374241766E-2"/>
          <c:y val="0.19410741702126272"/>
          <c:w val="0.86776252666301934"/>
          <c:h val="0.31035971008343283"/>
        </c:manualLayout>
      </c:layout>
      <c:barChart>
        <c:barDir val="bar"/>
        <c:grouping val="percentStacked"/>
        <c:ser>
          <c:idx val="0"/>
          <c:order val="0"/>
          <c:tx>
            <c:strRef>
              <c:f>List2!$B$3</c:f>
              <c:strCache>
                <c:ptCount val="1"/>
                <c:pt idx="0">
                  <c:v>Zaměstnanci v ozbrojených silách</c:v>
                </c:pt>
              </c:strCache>
            </c:strRef>
          </c:tx>
          <c:cat>
            <c:strRef>
              <c:f>(List2!$D$1,List2!$J$1)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(List2!$D$3,List2!$J$3)</c:f>
              <c:numCache>
                <c:formatCode>General</c:formatCode>
                <c:ptCount val="2"/>
                <c:pt idx="0">
                  <c:v>74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List2!$B$13</c:f>
              <c:strCache>
                <c:ptCount val="1"/>
                <c:pt idx="0">
                  <c:v>Specialisté</c:v>
                </c:pt>
              </c:strCache>
            </c:strRef>
          </c:tx>
          <c:cat>
            <c:strRef>
              <c:f>(List2!$D$1,List2!$J$1)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(List2!$D$13,List2!$J$13)</c:f>
              <c:numCache>
                <c:formatCode>#,##0</c:formatCode>
                <c:ptCount val="2"/>
                <c:pt idx="0">
                  <c:v>3506</c:v>
                </c:pt>
                <c:pt idx="1">
                  <c:v>2017</c:v>
                </c:pt>
              </c:numCache>
            </c:numRef>
          </c:val>
        </c:ser>
        <c:ser>
          <c:idx val="2"/>
          <c:order val="2"/>
          <c:tx>
            <c:strRef>
              <c:f>List2!$B$21</c:f>
              <c:strCache>
                <c:ptCount val="1"/>
                <c:pt idx="0">
                  <c:v>Techničtí a odborní pracovníci</c:v>
                </c:pt>
              </c:strCache>
            </c:strRef>
          </c:tx>
          <c:cat>
            <c:strRef>
              <c:f>(List2!$D$1,List2!$J$1)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(List2!$D$21,List2!$J$21)</c:f>
              <c:numCache>
                <c:formatCode>#,##0</c:formatCode>
                <c:ptCount val="2"/>
                <c:pt idx="0">
                  <c:v>5559</c:v>
                </c:pt>
                <c:pt idx="1">
                  <c:v>1827</c:v>
                </c:pt>
              </c:numCache>
            </c:numRef>
          </c:val>
        </c:ser>
        <c:ser>
          <c:idx val="3"/>
          <c:order val="3"/>
          <c:tx>
            <c:strRef>
              <c:f>List2!$B$21</c:f>
              <c:strCache>
                <c:ptCount val="1"/>
                <c:pt idx="0">
                  <c:v>Techničtí a odborní pracovníci</c:v>
                </c:pt>
              </c:strCache>
            </c:strRef>
          </c:tx>
          <c:cat>
            <c:strRef>
              <c:f>(List2!$D$1,List2!$J$1)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(List2!$D$21,List2!$J$21)</c:f>
              <c:numCache>
                <c:formatCode>#,##0</c:formatCode>
                <c:ptCount val="2"/>
                <c:pt idx="0">
                  <c:v>5559</c:v>
                </c:pt>
                <c:pt idx="1">
                  <c:v>1827</c:v>
                </c:pt>
              </c:numCache>
            </c:numRef>
          </c:val>
        </c:ser>
        <c:ser>
          <c:idx val="4"/>
          <c:order val="4"/>
          <c:tx>
            <c:strRef>
              <c:f>List2!$B$28</c:f>
              <c:strCache>
                <c:ptCount val="1"/>
                <c:pt idx="0">
                  <c:v>Úředníci</c:v>
                </c:pt>
              </c:strCache>
            </c:strRef>
          </c:tx>
          <c:cat>
            <c:strRef>
              <c:f>(List2!$D$1,List2!$J$1)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(List2!$D$28,List2!$J$28)</c:f>
              <c:numCache>
                <c:formatCode>#,##0</c:formatCode>
                <c:ptCount val="2"/>
                <c:pt idx="0">
                  <c:v>2873</c:v>
                </c:pt>
                <c:pt idx="1">
                  <c:v>1034</c:v>
                </c:pt>
              </c:numCache>
            </c:numRef>
          </c:val>
        </c:ser>
        <c:ser>
          <c:idx val="5"/>
          <c:order val="5"/>
          <c:tx>
            <c:strRef>
              <c:f>List2!$B$34</c:f>
              <c:strCache>
                <c:ptCount val="1"/>
                <c:pt idx="0">
                  <c:v>Pracovníci ve službách a prodeji</c:v>
                </c:pt>
              </c:strCache>
            </c:strRef>
          </c:tx>
          <c:cat>
            <c:strRef>
              <c:f>(List2!$D$1,List2!$J$1)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(List2!$D$28,List2!$J$28)</c:f>
              <c:numCache>
                <c:formatCode>#,##0</c:formatCode>
                <c:ptCount val="2"/>
                <c:pt idx="0">
                  <c:v>2873</c:v>
                </c:pt>
                <c:pt idx="1">
                  <c:v>1034</c:v>
                </c:pt>
              </c:numCache>
            </c:numRef>
          </c:val>
        </c:ser>
        <c:ser>
          <c:idx val="6"/>
          <c:order val="6"/>
          <c:tx>
            <c:strRef>
              <c:f>List2!$B$40</c:f>
              <c:strCache>
                <c:ptCount val="1"/>
                <c:pt idx="0">
                  <c:v>Kvalifikovaní pracovníci v zem., les., ryb.</c:v>
                </c:pt>
              </c:strCache>
            </c:strRef>
          </c:tx>
          <c:cat>
            <c:strRef>
              <c:f>(List2!$D$1,List2!$J$1)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(List2!$D$40,List2!$J$40)</c:f>
              <c:numCache>
                <c:formatCode>General</c:formatCode>
                <c:ptCount val="2"/>
                <c:pt idx="0">
                  <c:v>419</c:v>
                </c:pt>
                <c:pt idx="1">
                  <c:v>132</c:v>
                </c:pt>
              </c:numCache>
            </c:numRef>
          </c:val>
        </c:ser>
        <c:ser>
          <c:idx val="7"/>
          <c:order val="7"/>
          <c:tx>
            <c:strRef>
              <c:f>List2!$B$45</c:f>
              <c:strCache>
                <c:ptCount val="1"/>
                <c:pt idx="0">
                  <c:v>Řemeslníci a opraváři</c:v>
                </c:pt>
              </c:strCache>
            </c:strRef>
          </c:tx>
          <c:val>
            <c:numRef>
              <c:f>(List2!$D$45,List2!$J$45)</c:f>
              <c:numCache>
                <c:formatCode>#,##0</c:formatCode>
                <c:ptCount val="2"/>
                <c:pt idx="0">
                  <c:v>11815</c:v>
                </c:pt>
                <c:pt idx="1">
                  <c:v>5711</c:v>
                </c:pt>
              </c:numCache>
            </c:numRef>
          </c:val>
        </c:ser>
        <c:ser>
          <c:idx val="8"/>
          <c:order val="8"/>
          <c:tx>
            <c:strRef>
              <c:f>List2!$B$52</c:f>
              <c:strCache>
                <c:ptCount val="1"/>
                <c:pt idx="0">
                  <c:v>Obsluha strojů a zařízení, montéři</c:v>
                </c:pt>
              </c:strCache>
            </c:strRef>
          </c:tx>
          <c:val>
            <c:numRef>
              <c:f>(List2!$D$52,List2!$J$52)</c:f>
              <c:numCache>
                <c:formatCode>#,##0</c:formatCode>
                <c:ptCount val="2"/>
                <c:pt idx="0">
                  <c:v>12784</c:v>
                </c:pt>
                <c:pt idx="1">
                  <c:v>5638</c:v>
                </c:pt>
              </c:numCache>
            </c:numRef>
          </c:val>
        </c:ser>
        <c:ser>
          <c:idx val="9"/>
          <c:order val="9"/>
          <c:tx>
            <c:strRef>
              <c:f>List2!$B$57</c:f>
              <c:strCache>
                <c:ptCount val="1"/>
                <c:pt idx="0">
                  <c:v>Pomocní a nekvalifikovaní pracovníci</c:v>
                </c:pt>
              </c:strCache>
            </c:strRef>
          </c:tx>
          <c:val>
            <c:numRef>
              <c:f>(List2!$D$57,List2!$J$57)</c:f>
              <c:numCache>
                <c:formatCode>#,##0</c:formatCode>
                <c:ptCount val="2"/>
                <c:pt idx="0">
                  <c:v>12802</c:v>
                </c:pt>
                <c:pt idx="1">
                  <c:v>5496</c:v>
                </c:pt>
              </c:numCache>
            </c:numRef>
          </c:val>
        </c:ser>
        <c:overlap val="100"/>
        <c:axId val="121857536"/>
        <c:axId val="121859072"/>
      </c:barChart>
      <c:catAx>
        <c:axId val="121857536"/>
        <c:scaling>
          <c:orientation val="minMax"/>
        </c:scaling>
        <c:axPos val="l"/>
        <c:tickLblPos val="nextTo"/>
        <c:crossAx val="121859072"/>
        <c:crosses val="autoZero"/>
        <c:auto val="1"/>
        <c:lblAlgn val="ctr"/>
        <c:lblOffset val="100"/>
      </c:catAx>
      <c:valAx>
        <c:axId val="121859072"/>
        <c:scaling>
          <c:orientation val="minMax"/>
        </c:scaling>
        <c:axPos val="b"/>
        <c:majorGridlines/>
        <c:minorGridlines/>
        <c:numFmt formatCode="0%" sourceLinked="1"/>
        <c:tickLblPos val="nextTo"/>
        <c:crossAx val="121857536"/>
        <c:crosses val="autoZero"/>
        <c:crossBetween val="between"/>
        <c:minorUnit val="1.0000000000000005E-2"/>
      </c:valAx>
    </c:plotArea>
    <c:legend>
      <c:legendPos val="b"/>
      <c:layout>
        <c:manualLayout>
          <c:xMode val="edge"/>
          <c:yMode val="edge"/>
          <c:x val="7.9314096311979165E-2"/>
          <c:y val="0.6483864593518911"/>
          <c:w val="0.87762542522063913"/>
          <c:h val="0.26380304247182351"/>
        </c:manualLayout>
      </c:layout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200"/>
              <a:t>Struktura</a:t>
            </a:r>
            <a:r>
              <a:rPr lang="cs-CZ" sz="1200" baseline="0"/>
              <a:t> a počty VPM podle požadovaného  vzdělání </a:t>
            </a:r>
            <a:endParaRPr lang="cs-CZ" sz="1200"/>
          </a:p>
        </c:rich>
      </c:tx>
    </c:title>
    <c:plotArea>
      <c:layout>
        <c:manualLayout>
          <c:layoutTarget val="inner"/>
          <c:xMode val="edge"/>
          <c:yMode val="edge"/>
          <c:x val="5.4650324672718686E-2"/>
          <c:y val="0.18222354129836926"/>
          <c:w val="0.90569481567097732"/>
          <c:h val="0.52579616257770678"/>
        </c:manualLayout>
      </c:layout>
      <c:barChart>
        <c:barDir val="col"/>
        <c:grouping val="percentStacked"/>
        <c:ser>
          <c:idx val="3"/>
          <c:order val="0"/>
          <c:tx>
            <c:strRef>
              <c:f>List2!$J$68</c:f>
              <c:strCache>
                <c:ptCount val="1"/>
                <c:pt idx="0">
                  <c:v>nad 12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List2!$B$70:$B$81</c:f>
              <c:strCache>
                <c:ptCount val="12"/>
                <c:pt idx="0">
                  <c:v>Bez + neúpl. ZŠ</c:v>
                </c:pt>
                <c:pt idx="1">
                  <c:v>ZŠ + praktická škola</c:v>
                </c:pt>
                <c:pt idx="2">
                  <c:v>Nižší střední</c:v>
                </c:pt>
                <c:pt idx="3">
                  <c:v>Nižší střední odborné</c:v>
                </c:pt>
                <c:pt idx="4">
                  <c:v>Střední odb. (vyučen)</c:v>
                </c:pt>
                <c:pt idx="5">
                  <c:v>Střední odb. bez mat. a vyuč.</c:v>
                </c:pt>
                <c:pt idx="6">
                  <c:v>ÚSV</c:v>
                </c:pt>
                <c:pt idx="7">
                  <c:v>ÚSO (vyuč.+ mat.)</c:v>
                </c:pt>
                <c:pt idx="8">
                  <c:v>ÚSO s maturitou (bez vyučení)</c:v>
                </c:pt>
                <c:pt idx="9">
                  <c:v>VOŠ (vč. Konz.)</c:v>
                </c:pt>
                <c:pt idx="10">
                  <c:v>Bakalář.</c:v>
                </c:pt>
                <c:pt idx="11">
                  <c:v>VŠ (vč. doktor.)</c:v>
                </c:pt>
              </c:strCache>
            </c:strRef>
          </c:cat>
          <c:val>
            <c:numRef>
              <c:f>List2!$K$70:$K$81</c:f>
              <c:numCache>
                <c:formatCode>0.00%</c:formatCode>
                <c:ptCount val="12"/>
                <c:pt idx="0">
                  <c:v>0.31374969143421388</c:v>
                </c:pt>
                <c:pt idx="1">
                  <c:v>0.18513557051532062</c:v>
                </c:pt>
                <c:pt idx="2">
                  <c:v>0.2034383954154729</c:v>
                </c:pt>
                <c:pt idx="3">
                  <c:v>0.11465302374393289</c:v>
                </c:pt>
                <c:pt idx="4">
                  <c:v>0.16693317029581903</c:v>
                </c:pt>
                <c:pt idx="5">
                  <c:v>0.13257142857142862</c:v>
                </c:pt>
                <c:pt idx="6">
                  <c:v>0.20424194815396707</c:v>
                </c:pt>
                <c:pt idx="7">
                  <c:v>0.15657311669128512</c:v>
                </c:pt>
                <c:pt idx="8">
                  <c:v>0.1514410294586834</c:v>
                </c:pt>
                <c:pt idx="9">
                  <c:v>0.1683673469387755</c:v>
                </c:pt>
                <c:pt idx="10">
                  <c:v>0.24916307986609287</c:v>
                </c:pt>
                <c:pt idx="11">
                  <c:v>0.23945783132530127</c:v>
                </c:pt>
              </c:numCache>
            </c:numRef>
          </c:val>
        </c:ser>
        <c:ser>
          <c:idx val="2"/>
          <c:order val="1"/>
          <c:tx>
            <c:strRef>
              <c:f>List2!$H$68</c:f>
              <c:strCache>
                <c:ptCount val="1"/>
                <c:pt idx="0">
                  <c:v>6-12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List2!$B$70:$B$81</c:f>
              <c:strCache>
                <c:ptCount val="12"/>
                <c:pt idx="0">
                  <c:v>Bez + neúpl. ZŠ</c:v>
                </c:pt>
                <c:pt idx="1">
                  <c:v>ZŠ + praktická škola</c:v>
                </c:pt>
                <c:pt idx="2">
                  <c:v>Nižší střední</c:v>
                </c:pt>
                <c:pt idx="3">
                  <c:v>Nižší střední odborné</c:v>
                </c:pt>
                <c:pt idx="4">
                  <c:v>Střední odb. (vyučen)</c:v>
                </c:pt>
                <c:pt idx="5">
                  <c:v>Střední odb. bez mat. a vyuč.</c:v>
                </c:pt>
                <c:pt idx="6">
                  <c:v>ÚSV</c:v>
                </c:pt>
                <c:pt idx="7">
                  <c:v>ÚSO (vyuč.+ mat.)</c:v>
                </c:pt>
                <c:pt idx="8">
                  <c:v>ÚSO s maturitou (bez vyučení)</c:v>
                </c:pt>
                <c:pt idx="9">
                  <c:v>VOŠ (vč. Konz.)</c:v>
                </c:pt>
                <c:pt idx="10">
                  <c:v>Bakalář.</c:v>
                </c:pt>
                <c:pt idx="11">
                  <c:v>VŠ (vč. doktor.)</c:v>
                </c:pt>
              </c:strCache>
            </c:strRef>
          </c:cat>
          <c:val>
            <c:numRef>
              <c:f>List2!$I$70:$I$81</c:f>
              <c:numCache>
                <c:formatCode>0.00%</c:formatCode>
                <c:ptCount val="12"/>
                <c:pt idx="0">
                  <c:v>0.13823747222907923</c:v>
                </c:pt>
                <c:pt idx="1">
                  <c:v>0.16115849626100079</c:v>
                </c:pt>
                <c:pt idx="2">
                  <c:v>0.14383954154727799</c:v>
                </c:pt>
                <c:pt idx="3">
                  <c:v>0.17919454283090649</c:v>
                </c:pt>
                <c:pt idx="4">
                  <c:v>0.17093072473310442</c:v>
                </c:pt>
                <c:pt idx="5">
                  <c:v>0.30857142857142855</c:v>
                </c:pt>
                <c:pt idx="6">
                  <c:v>0.15108667190363967</c:v>
                </c:pt>
                <c:pt idx="7">
                  <c:v>0.18340718857705576</c:v>
                </c:pt>
                <c:pt idx="8">
                  <c:v>0.17409337445496126</c:v>
                </c:pt>
                <c:pt idx="9">
                  <c:v>0.2534013605442178</c:v>
                </c:pt>
                <c:pt idx="10">
                  <c:v>0.19799139167862276</c:v>
                </c:pt>
                <c:pt idx="11">
                  <c:v>0.24139414802065404</c:v>
                </c:pt>
              </c:numCache>
            </c:numRef>
          </c:val>
        </c:ser>
        <c:ser>
          <c:idx val="1"/>
          <c:order val="2"/>
          <c:tx>
            <c:strRef>
              <c:f>List2!$F$68</c:f>
              <c:strCache>
                <c:ptCount val="1"/>
                <c:pt idx="0">
                  <c:v>3-6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List2!$B$70:$B$81</c:f>
              <c:strCache>
                <c:ptCount val="12"/>
                <c:pt idx="0">
                  <c:v>Bez + neúpl. ZŠ</c:v>
                </c:pt>
                <c:pt idx="1">
                  <c:v>ZŠ + praktická škola</c:v>
                </c:pt>
                <c:pt idx="2">
                  <c:v>Nižší střední</c:v>
                </c:pt>
                <c:pt idx="3">
                  <c:v>Nižší střední odborné</c:v>
                </c:pt>
                <c:pt idx="4">
                  <c:v>Střední odb. (vyučen)</c:v>
                </c:pt>
                <c:pt idx="5">
                  <c:v>Střední odb. bez mat. a vyuč.</c:v>
                </c:pt>
                <c:pt idx="6">
                  <c:v>ÚSV</c:v>
                </c:pt>
                <c:pt idx="7">
                  <c:v>ÚSO (vyuč.+ mat.)</c:v>
                </c:pt>
                <c:pt idx="8">
                  <c:v>ÚSO s maturitou (bez vyučení)</c:v>
                </c:pt>
                <c:pt idx="9">
                  <c:v>VOŠ (vč. Konz.)</c:v>
                </c:pt>
                <c:pt idx="10">
                  <c:v>Bakalář.</c:v>
                </c:pt>
                <c:pt idx="11">
                  <c:v>VŠ (vč. doktor.)</c:v>
                </c:pt>
              </c:strCache>
            </c:strRef>
          </c:cat>
          <c:val>
            <c:numRef>
              <c:f>List2!$G$70:$G$81</c:f>
              <c:numCache>
                <c:formatCode>0.00%</c:formatCode>
                <c:ptCount val="12"/>
                <c:pt idx="0">
                  <c:v>0.16711922981979763</c:v>
                </c:pt>
                <c:pt idx="1">
                  <c:v>0.22522171163074622</c:v>
                </c:pt>
                <c:pt idx="2">
                  <c:v>0.2670487106017192</c:v>
                </c:pt>
                <c:pt idx="3">
                  <c:v>0.21369539551357739</c:v>
                </c:pt>
                <c:pt idx="4">
                  <c:v>0.21615011992663311</c:v>
                </c:pt>
                <c:pt idx="5">
                  <c:v>0.14285714285714293</c:v>
                </c:pt>
                <c:pt idx="6">
                  <c:v>0.19795758051846044</c:v>
                </c:pt>
                <c:pt idx="7">
                  <c:v>0.19990152634170361</c:v>
                </c:pt>
                <c:pt idx="8">
                  <c:v>0.19249175794959056</c:v>
                </c:pt>
                <c:pt idx="9">
                  <c:v>0.22193877551020413</c:v>
                </c:pt>
                <c:pt idx="10">
                  <c:v>0.24581539933046401</c:v>
                </c:pt>
                <c:pt idx="11">
                  <c:v>0.21062822719449231</c:v>
                </c:pt>
              </c:numCache>
            </c:numRef>
          </c:val>
        </c:ser>
        <c:ser>
          <c:idx val="0"/>
          <c:order val="3"/>
          <c:tx>
            <c:strRef>
              <c:f>List2!$D$68</c:f>
              <c:strCache>
                <c:ptCount val="1"/>
                <c:pt idx="0">
                  <c:v>0-3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strRef>
              <c:f>List2!$B$70:$B$81</c:f>
              <c:strCache>
                <c:ptCount val="12"/>
                <c:pt idx="0">
                  <c:v>Bez + neúpl. ZŠ</c:v>
                </c:pt>
                <c:pt idx="1">
                  <c:v>ZŠ + praktická škola</c:v>
                </c:pt>
                <c:pt idx="2">
                  <c:v>Nižší střední</c:v>
                </c:pt>
                <c:pt idx="3">
                  <c:v>Nižší střední odborné</c:v>
                </c:pt>
                <c:pt idx="4">
                  <c:v>Střední odb. (vyučen)</c:v>
                </c:pt>
                <c:pt idx="5">
                  <c:v>Střední odb. bez mat. a vyuč.</c:v>
                </c:pt>
                <c:pt idx="6">
                  <c:v>ÚSV</c:v>
                </c:pt>
                <c:pt idx="7">
                  <c:v>ÚSO (vyuč.+ mat.)</c:v>
                </c:pt>
                <c:pt idx="8">
                  <c:v>ÚSO s maturitou (bez vyučení)</c:v>
                </c:pt>
                <c:pt idx="9">
                  <c:v>VOŠ (vč. Konz.)</c:v>
                </c:pt>
                <c:pt idx="10">
                  <c:v>Bakalář.</c:v>
                </c:pt>
                <c:pt idx="11">
                  <c:v>VŠ (vč. doktor.)</c:v>
                </c:pt>
              </c:strCache>
            </c:strRef>
          </c:cat>
          <c:val>
            <c:numRef>
              <c:f>List2!$E$70:$E$81</c:f>
              <c:numCache>
                <c:formatCode>0.00%</c:formatCode>
                <c:ptCount val="12"/>
                <c:pt idx="0">
                  <c:v>0.3808936065169094</c:v>
                </c:pt>
                <c:pt idx="1">
                  <c:v>0.42848422159293248</c:v>
                </c:pt>
                <c:pt idx="2">
                  <c:v>0.38567335243553003</c:v>
                </c:pt>
                <c:pt idx="3">
                  <c:v>0.49245703791158335</c:v>
                </c:pt>
                <c:pt idx="4">
                  <c:v>0.4459859850444437</c:v>
                </c:pt>
                <c:pt idx="5">
                  <c:v>0.41600000000000009</c:v>
                </c:pt>
                <c:pt idx="6">
                  <c:v>0.44671379942393286</c:v>
                </c:pt>
                <c:pt idx="7">
                  <c:v>0.46011816838995589</c:v>
                </c:pt>
                <c:pt idx="8">
                  <c:v>0.48197383813676486</c:v>
                </c:pt>
                <c:pt idx="9">
                  <c:v>0.35629251700680281</c:v>
                </c:pt>
                <c:pt idx="10">
                  <c:v>0.30703012912482086</c:v>
                </c:pt>
                <c:pt idx="11">
                  <c:v>0.30851979345955272</c:v>
                </c:pt>
              </c:numCache>
            </c:numRef>
          </c:val>
        </c:ser>
        <c:overlap val="100"/>
        <c:axId val="122434688"/>
        <c:axId val="122436224"/>
      </c:barChart>
      <c:lineChart>
        <c:grouping val="standard"/>
        <c:ser>
          <c:idx val="4"/>
          <c:order val="4"/>
          <c:tx>
            <c:strRef>
              <c:f>List2!$C$69</c:f>
              <c:strCache>
                <c:ptCount val="1"/>
                <c:pt idx="0">
                  <c:v>počet VPM</c:v>
                </c:pt>
              </c:strCache>
            </c:strRef>
          </c:tx>
          <c:spPr>
            <a:ln w="1905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List2!$B$70:$B$81</c:f>
              <c:strCache>
                <c:ptCount val="12"/>
                <c:pt idx="0">
                  <c:v>Bez + neúpl. ZŠ</c:v>
                </c:pt>
                <c:pt idx="1">
                  <c:v>ZŠ + praktická škola</c:v>
                </c:pt>
                <c:pt idx="2">
                  <c:v>Nižší střední</c:v>
                </c:pt>
                <c:pt idx="3">
                  <c:v>Nižší střední odborné</c:v>
                </c:pt>
                <c:pt idx="4">
                  <c:v>Střední odb. (vyučen)</c:v>
                </c:pt>
                <c:pt idx="5">
                  <c:v>Střední odb. bez mat. a vyuč.</c:v>
                </c:pt>
                <c:pt idx="6">
                  <c:v>ÚSV</c:v>
                </c:pt>
                <c:pt idx="7">
                  <c:v>ÚSO (vyuč.+ mat.)</c:v>
                </c:pt>
                <c:pt idx="8">
                  <c:v>ÚSO s maturitou (bez vyučení)</c:v>
                </c:pt>
                <c:pt idx="9">
                  <c:v>VOŠ (vč. Konz.)</c:v>
                </c:pt>
                <c:pt idx="10">
                  <c:v>Bakalář.</c:v>
                </c:pt>
                <c:pt idx="11">
                  <c:v>VŠ (vč. doktor.)</c:v>
                </c:pt>
              </c:strCache>
            </c:strRef>
          </c:cat>
          <c:val>
            <c:numRef>
              <c:f>List2!$C$70:$C$81</c:f>
              <c:numCache>
                <c:formatCode>#,##0</c:formatCode>
                <c:ptCount val="12"/>
                <c:pt idx="0">
                  <c:v>4051</c:v>
                </c:pt>
                <c:pt idx="1">
                  <c:v>58973</c:v>
                </c:pt>
                <c:pt idx="2">
                  <c:v>1745</c:v>
                </c:pt>
                <c:pt idx="3">
                  <c:v>7623</c:v>
                </c:pt>
                <c:pt idx="4">
                  <c:v>42526</c:v>
                </c:pt>
                <c:pt idx="5" formatCode="General">
                  <c:v>875</c:v>
                </c:pt>
                <c:pt idx="6">
                  <c:v>3819</c:v>
                </c:pt>
                <c:pt idx="7">
                  <c:v>4062</c:v>
                </c:pt>
                <c:pt idx="8">
                  <c:v>9403</c:v>
                </c:pt>
                <c:pt idx="9">
                  <c:v>1176</c:v>
                </c:pt>
                <c:pt idx="10">
                  <c:v>2091</c:v>
                </c:pt>
                <c:pt idx="11">
                  <c:v>4648</c:v>
                </c:pt>
              </c:numCache>
            </c:numRef>
          </c:val>
        </c:ser>
        <c:marker val="1"/>
        <c:axId val="122452224"/>
        <c:axId val="122450304"/>
      </c:lineChart>
      <c:catAx>
        <c:axId val="12243468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2436224"/>
        <c:crosses val="autoZero"/>
        <c:auto val="1"/>
        <c:lblAlgn val="ctr"/>
        <c:lblOffset val="100"/>
      </c:catAx>
      <c:valAx>
        <c:axId val="122436224"/>
        <c:scaling>
          <c:orientation val="minMax"/>
        </c:scaling>
        <c:axPos val="l"/>
        <c:majorGridlines/>
        <c:numFmt formatCode="0%" sourceLinked="1"/>
        <c:tickLblPos val="nextTo"/>
        <c:txPr>
          <a:bodyPr rot="-5400000" vert="horz"/>
          <a:lstStyle/>
          <a:p>
            <a:pPr>
              <a:defRPr sz="800"/>
            </a:pPr>
            <a:endParaRPr lang="cs-CZ"/>
          </a:p>
        </c:txPr>
        <c:crossAx val="122434688"/>
        <c:crosses val="autoZero"/>
        <c:crossBetween val="between"/>
        <c:majorUnit val="0.25"/>
        <c:minorUnit val="5.0000000000000024E-2"/>
      </c:valAx>
      <c:valAx>
        <c:axId val="122450304"/>
        <c:scaling>
          <c:orientation val="minMax"/>
          <c:max val="60000"/>
          <c:min val="0"/>
        </c:scaling>
        <c:axPos val="r"/>
        <c:majorGridlines/>
        <c:minorGridlines/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2452224"/>
        <c:crosses val="max"/>
        <c:crossBetween val="between"/>
        <c:majorUnit val="15000"/>
        <c:dispUnits>
          <c:builtInUnit val="thousands"/>
          <c:dispUnitsLbl>
            <c:layout>
              <c:manualLayout>
                <c:xMode val="edge"/>
                <c:yMode val="edge"/>
                <c:x val="0.90580012360840234"/>
                <c:y val="0.10789137846898673"/>
              </c:manualLayout>
            </c:layout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</c:dispUnitsLbl>
        </c:dispUnits>
      </c:valAx>
      <c:catAx>
        <c:axId val="122452224"/>
        <c:scaling>
          <c:orientation val="minMax"/>
        </c:scaling>
        <c:delete val="1"/>
        <c:axPos val="b"/>
        <c:tickLblPos val="none"/>
        <c:crossAx val="122450304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200"/>
              <a:t>Podíly VPM podle vzdělání a podle doby neobsazenosti (30. 9. 2016)</a:t>
            </a:r>
          </a:p>
        </c:rich>
      </c:tx>
    </c:title>
    <c:plotArea>
      <c:layout>
        <c:manualLayout>
          <c:layoutTarget val="inner"/>
          <c:xMode val="edge"/>
          <c:yMode val="edge"/>
          <c:x val="7.3785324380464715E-2"/>
          <c:y val="0.14351851851851852"/>
          <c:w val="0.88543242677487399"/>
          <c:h val="0.4127606445027705"/>
        </c:manualLayout>
      </c:layout>
      <c:barChart>
        <c:barDir val="bar"/>
        <c:grouping val="percentStacked"/>
        <c:ser>
          <c:idx val="0"/>
          <c:order val="0"/>
          <c:tx>
            <c:strRef>
              <c:f>List2!$B$70</c:f>
              <c:strCache>
                <c:ptCount val="1"/>
                <c:pt idx="0">
                  <c:v>Bez + neúpl. ZŠ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(List2!$D$70,List2!$J$70)</c:f>
              <c:numCache>
                <c:formatCode>#,##0</c:formatCode>
                <c:ptCount val="2"/>
                <c:pt idx="0">
                  <c:v>1543</c:v>
                </c:pt>
                <c:pt idx="1">
                  <c:v>1271</c:v>
                </c:pt>
              </c:numCache>
            </c:numRef>
          </c:val>
        </c:ser>
        <c:ser>
          <c:idx val="1"/>
          <c:order val="1"/>
          <c:tx>
            <c:strRef>
              <c:f>List2!$B$71</c:f>
              <c:strCache>
                <c:ptCount val="1"/>
                <c:pt idx="0">
                  <c:v>ZŠ + praktická škola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(List2!$D$71,List2!$J$71)</c:f>
              <c:numCache>
                <c:formatCode>#,##0</c:formatCode>
                <c:ptCount val="2"/>
                <c:pt idx="0">
                  <c:v>25269</c:v>
                </c:pt>
                <c:pt idx="1">
                  <c:v>10918</c:v>
                </c:pt>
              </c:numCache>
            </c:numRef>
          </c:val>
        </c:ser>
        <c:ser>
          <c:idx val="2"/>
          <c:order val="2"/>
          <c:tx>
            <c:strRef>
              <c:f>List2!$B$72</c:f>
              <c:strCache>
                <c:ptCount val="1"/>
                <c:pt idx="0">
                  <c:v>Nižší střední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(List2!$D$72,List2!$J$72)</c:f>
              <c:numCache>
                <c:formatCode>General</c:formatCode>
                <c:ptCount val="2"/>
                <c:pt idx="0">
                  <c:v>673</c:v>
                </c:pt>
                <c:pt idx="1">
                  <c:v>355</c:v>
                </c:pt>
              </c:numCache>
            </c:numRef>
          </c:val>
        </c:ser>
        <c:ser>
          <c:idx val="3"/>
          <c:order val="3"/>
          <c:tx>
            <c:strRef>
              <c:f>List2!$B$73</c:f>
              <c:strCache>
                <c:ptCount val="1"/>
                <c:pt idx="0">
                  <c:v>Nižší střední odborné</c:v>
                </c:pt>
              </c:strCache>
            </c:strRef>
          </c:tx>
          <c:spPr>
            <a:solidFill>
              <a:srgbClr val="CC99FF"/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(List2!$D$73,List2!$J$73)</c:f>
              <c:numCache>
                <c:formatCode>General</c:formatCode>
                <c:ptCount val="2"/>
                <c:pt idx="0" formatCode="#,##0">
                  <c:v>3754</c:v>
                </c:pt>
                <c:pt idx="1">
                  <c:v>874</c:v>
                </c:pt>
              </c:numCache>
            </c:numRef>
          </c:val>
        </c:ser>
        <c:ser>
          <c:idx val="4"/>
          <c:order val="4"/>
          <c:tx>
            <c:strRef>
              <c:f>List2!$B$74</c:f>
              <c:strCache>
                <c:ptCount val="1"/>
                <c:pt idx="0">
                  <c:v>Střední odb. (vyučen)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(List2!$D$74,List2!$J$74)</c:f>
              <c:numCache>
                <c:formatCode>#,##0</c:formatCode>
                <c:ptCount val="2"/>
                <c:pt idx="0">
                  <c:v>18966</c:v>
                </c:pt>
                <c:pt idx="1">
                  <c:v>7099</c:v>
                </c:pt>
              </c:numCache>
            </c:numRef>
          </c:val>
        </c:ser>
        <c:ser>
          <c:idx val="5"/>
          <c:order val="5"/>
          <c:tx>
            <c:strRef>
              <c:f>List2!$B$75</c:f>
              <c:strCache>
                <c:ptCount val="1"/>
                <c:pt idx="0">
                  <c:v>Střední odb. bez mat. a vyuč.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(List2!$D$75,List2!$J$75)</c:f>
              <c:numCache>
                <c:formatCode>General</c:formatCode>
                <c:ptCount val="2"/>
                <c:pt idx="0">
                  <c:v>364</c:v>
                </c:pt>
                <c:pt idx="1">
                  <c:v>116</c:v>
                </c:pt>
              </c:numCache>
            </c:numRef>
          </c:val>
        </c:ser>
        <c:ser>
          <c:idx val="6"/>
          <c:order val="6"/>
          <c:tx>
            <c:strRef>
              <c:f>List2!$B$76</c:f>
              <c:strCache>
                <c:ptCount val="1"/>
                <c:pt idx="0">
                  <c:v>ÚSV</c:v>
                </c:pt>
              </c:strCache>
            </c:strRef>
          </c:tx>
          <c:spPr>
            <a:solidFill>
              <a:srgbClr val="99CCFF"/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(List2!$D$76,List2!$J$76)</c:f>
              <c:numCache>
                <c:formatCode>General</c:formatCode>
                <c:ptCount val="2"/>
                <c:pt idx="0" formatCode="#,##0">
                  <c:v>1706</c:v>
                </c:pt>
                <c:pt idx="1">
                  <c:v>780</c:v>
                </c:pt>
              </c:numCache>
            </c:numRef>
          </c:val>
        </c:ser>
        <c:ser>
          <c:idx val="7"/>
          <c:order val="7"/>
          <c:tx>
            <c:strRef>
              <c:f>List2!$B$77</c:f>
              <c:strCache>
                <c:ptCount val="1"/>
                <c:pt idx="0">
                  <c:v>ÚSO (vyuč.+ mat.)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(List2!$D$77,List2!$J$77)</c:f>
              <c:numCache>
                <c:formatCode>General</c:formatCode>
                <c:ptCount val="2"/>
                <c:pt idx="0" formatCode="#,##0">
                  <c:v>1869</c:v>
                </c:pt>
                <c:pt idx="1">
                  <c:v>636</c:v>
                </c:pt>
              </c:numCache>
            </c:numRef>
          </c:val>
        </c:ser>
        <c:ser>
          <c:idx val="8"/>
          <c:order val="8"/>
          <c:tx>
            <c:strRef>
              <c:f>List2!$B$78</c:f>
              <c:strCache>
                <c:ptCount val="1"/>
                <c:pt idx="0">
                  <c:v>ÚSO s maturitou (bez vyučení)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(List2!$D$78,List2!$J$78)</c:f>
              <c:numCache>
                <c:formatCode>#,##0</c:formatCode>
                <c:ptCount val="2"/>
                <c:pt idx="0">
                  <c:v>4532</c:v>
                </c:pt>
                <c:pt idx="1">
                  <c:v>1424</c:v>
                </c:pt>
              </c:numCache>
            </c:numRef>
          </c:val>
        </c:ser>
        <c:ser>
          <c:idx val="9"/>
          <c:order val="9"/>
          <c:tx>
            <c:strRef>
              <c:f>List2!$B$79</c:f>
              <c:strCache>
                <c:ptCount val="1"/>
                <c:pt idx="0">
                  <c:v>VOŠ (vč. Konz.)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(List2!$D$79,List2!$J$79)</c:f>
              <c:numCache>
                <c:formatCode>#,##0</c:formatCode>
                <c:ptCount val="2"/>
                <c:pt idx="0">
                  <c:v>419</c:v>
                </c:pt>
                <c:pt idx="1">
                  <c:v>198</c:v>
                </c:pt>
              </c:numCache>
            </c:numRef>
          </c:val>
        </c:ser>
        <c:ser>
          <c:idx val="10"/>
          <c:order val="10"/>
          <c:tx>
            <c:strRef>
              <c:f>List2!$B$80</c:f>
              <c:strCache>
                <c:ptCount val="1"/>
                <c:pt idx="0">
                  <c:v>Bakalář.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(List2!$D$80,List2!$J$80)</c:f>
              <c:numCache>
                <c:formatCode>General</c:formatCode>
                <c:ptCount val="2"/>
                <c:pt idx="0">
                  <c:v>642</c:v>
                </c:pt>
                <c:pt idx="1">
                  <c:v>521</c:v>
                </c:pt>
              </c:numCache>
            </c:numRef>
          </c:val>
        </c:ser>
        <c:ser>
          <c:idx val="11"/>
          <c:order val="11"/>
          <c:tx>
            <c:strRef>
              <c:f>List2!$B$81</c:f>
              <c:strCache>
                <c:ptCount val="1"/>
                <c:pt idx="0">
                  <c:v>VŠ (vč. doktor.)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cat>
            <c:strRef>
              <c:f>(List2!$D$68,List2!$J$68)</c:f>
              <c:strCache>
                <c:ptCount val="2"/>
                <c:pt idx="0">
                  <c:v>0-3</c:v>
                </c:pt>
                <c:pt idx="1">
                  <c:v>nad 12</c:v>
                </c:pt>
              </c:strCache>
            </c:strRef>
          </c:cat>
          <c:val>
            <c:numRef>
              <c:f>(List2!$D$81,List2!$J$81)</c:f>
              <c:numCache>
                <c:formatCode>#,##0</c:formatCode>
                <c:ptCount val="2"/>
                <c:pt idx="0">
                  <c:v>1434</c:v>
                </c:pt>
                <c:pt idx="1">
                  <c:v>1113</c:v>
                </c:pt>
              </c:numCache>
            </c:numRef>
          </c:val>
        </c:ser>
        <c:overlap val="100"/>
        <c:axId val="127028608"/>
        <c:axId val="127046784"/>
      </c:barChart>
      <c:catAx>
        <c:axId val="12702860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7046784"/>
        <c:crosses val="autoZero"/>
        <c:auto val="1"/>
        <c:lblAlgn val="ctr"/>
        <c:lblOffset val="100"/>
      </c:catAx>
      <c:valAx>
        <c:axId val="127046784"/>
        <c:scaling>
          <c:orientation val="minMax"/>
        </c:scaling>
        <c:axPos val="b"/>
        <c:majorGridlines/>
        <c:min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7028608"/>
        <c:crosses val="autoZero"/>
        <c:crossBetween val="between"/>
        <c:minorUnit val="1.0000000000000005E-2"/>
      </c:valAx>
    </c:plotArea>
    <c:legend>
      <c:legendPos val="b"/>
      <c:layout>
        <c:manualLayout>
          <c:xMode val="edge"/>
          <c:yMode val="edge"/>
          <c:x val="6.1803455549651394E-2"/>
          <c:y val="0.70137977544473629"/>
          <c:w val="0.87639308890069723"/>
          <c:h val="0.23843503937007879"/>
        </c:manualLayout>
      </c:layout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199"/>
              <a:t>Počet UoZ na VPM podle kategorie zaměstnání - vývoj</a:t>
            </a:r>
          </a:p>
        </c:rich>
      </c:tx>
      <c:layout>
        <c:manualLayout>
          <c:xMode val="edge"/>
          <c:yMode val="edge"/>
          <c:x val="0.37942275042444851"/>
          <c:y val="3.6011588516833337E-2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6.0756658889861002E-2"/>
          <c:y val="4.5652669032073698E-2"/>
          <c:w val="0.86598449021406365"/>
          <c:h val="0.63986979017537671"/>
        </c:manualLayout>
      </c:layout>
      <c:barChart>
        <c:barDir val="col"/>
        <c:grouping val="clustered"/>
        <c:ser>
          <c:idx val="2"/>
          <c:order val="0"/>
          <c:tx>
            <c:strRef>
              <c:f>List1!$M$43</c:f>
              <c:strCache>
                <c:ptCount val="1"/>
                <c:pt idx="0">
                  <c:v>30.9.2015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dLblPos val="outEnd"/>
            <c:showVal val="1"/>
          </c:dLbls>
          <c:cat>
            <c:strRef>
              <c:f>List1!$B$44:$B$53</c:f>
              <c:strCache>
                <c:ptCount val="10"/>
                <c:pt idx="0">
                  <c:v>Zákonodárci a říd. prac.</c:v>
                </c:pt>
                <c:pt idx="1">
                  <c:v>Specialisté</c:v>
                </c:pt>
                <c:pt idx="2">
                  <c:v>Tech. a odbor. prac.</c:v>
                </c:pt>
                <c:pt idx="3">
                  <c:v>Úředníci</c:v>
                </c:pt>
                <c:pt idx="4">
                  <c:v>Prac. ve službách a prodeji</c:v>
                </c:pt>
                <c:pt idx="5">
                  <c:v>Kvalif. prac. v zem., les. a rybářství</c:v>
                </c:pt>
                <c:pt idx="6">
                  <c:v>Řemeslníci a opraváři</c:v>
                </c:pt>
                <c:pt idx="7">
                  <c:v>Obsluha strojů a zařízení, montéři</c:v>
                </c:pt>
                <c:pt idx="8">
                  <c:v>Pomocní a nekvalifikovaní pracovníci</c:v>
                </c:pt>
                <c:pt idx="9">
                  <c:v>ČR</c:v>
                </c:pt>
              </c:strCache>
            </c:strRef>
          </c:cat>
          <c:val>
            <c:numRef>
              <c:f>List1!$M$44:$M$53</c:f>
              <c:numCache>
                <c:formatCode>0.0</c:formatCode>
                <c:ptCount val="10"/>
                <c:pt idx="0">
                  <c:v>4.1072891072891071</c:v>
                </c:pt>
                <c:pt idx="1">
                  <c:v>3.3264393515930677</c:v>
                </c:pt>
                <c:pt idx="2">
                  <c:v>3.1357940747935893</c:v>
                </c:pt>
                <c:pt idx="3">
                  <c:v>10.78656049718392</c:v>
                </c:pt>
                <c:pt idx="4">
                  <c:v>5.4578189885659008</c:v>
                </c:pt>
                <c:pt idx="5">
                  <c:v>7.1556683587140437</c:v>
                </c:pt>
                <c:pt idx="6">
                  <c:v>2.2833518978665084</c:v>
                </c:pt>
                <c:pt idx="7">
                  <c:v>1.6489366218109267</c:v>
                </c:pt>
                <c:pt idx="8">
                  <c:v>6.1480065259508505</c:v>
                </c:pt>
                <c:pt idx="9" formatCode="General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List1!$L$43</c:f>
              <c:strCache>
                <c:ptCount val="1"/>
                <c:pt idx="0">
                  <c:v>31.12.2016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dLblPos val="ctr"/>
            <c:showVal val="1"/>
          </c:dLbls>
          <c:cat>
            <c:strRef>
              <c:f>List1!$B$44:$B$53</c:f>
              <c:strCache>
                <c:ptCount val="10"/>
                <c:pt idx="0">
                  <c:v>Zákonodárci a říd. prac.</c:v>
                </c:pt>
                <c:pt idx="1">
                  <c:v>Specialisté</c:v>
                </c:pt>
                <c:pt idx="2">
                  <c:v>Tech. a odbor. prac.</c:v>
                </c:pt>
                <c:pt idx="3">
                  <c:v>Úředníci</c:v>
                </c:pt>
                <c:pt idx="4">
                  <c:v>Prac. ve službách a prodeji</c:v>
                </c:pt>
                <c:pt idx="5">
                  <c:v>Kvalif. prac. v zem., les. a rybářství</c:v>
                </c:pt>
                <c:pt idx="6">
                  <c:v>Řemeslníci a opraváři</c:v>
                </c:pt>
                <c:pt idx="7">
                  <c:v>Obsluha strojů a zařízení, montéři</c:v>
                </c:pt>
                <c:pt idx="8">
                  <c:v>Pomocní a nekvalifikovaní pracovníci</c:v>
                </c:pt>
                <c:pt idx="9">
                  <c:v>ČR</c:v>
                </c:pt>
              </c:strCache>
            </c:strRef>
          </c:cat>
          <c:val>
            <c:numRef>
              <c:f>List1!$L$44:$L$53</c:f>
              <c:numCache>
                <c:formatCode>General</c:formatCode>
                <c:ptCount val="10"/>
                <c:pt idx="0">
                  <c:v>4.3</c:v>
                </c:pt>
                <c:pt idx="1">
                  <c:v>3</c:v>
                </c:pt>
                <c:pt idx="2">
                  <c:v>3.3</c:v>
                </c:pt>
                <c:pt idx="3">
                  <c:v>10.7</c:v>
                </c:pt>
                <c:pt idx="4">
                  <c:v>5.6</c:v>
                </c:pt>
                <c:pt idx="5">
                  <c:v>10.5</c:v>
                </c:pt>
                <c:pt idx="6">
                  <c:v>2.9</c:v>
                </c:pt>
                <c:pt idx="7">
                  <c:v>2</c:v>
                </c:pt>
                <c:pt idx="8">
                  <c:v>6.8</c:v>
                </c:pt>
                <c:pt idx="9">
                  <c:v>4.4000000000000004</c:v>
                </c:pt>
              </c:numCache>
            </c:numRef>
          </c:val>
        </c:ser>
        <c:ser>
          <c:idx val="0"/>
          <c:order val="2"/>
          <c:tx>
            <c:strRef>
              <c:f>List1!$K$43</c:f>
              <c:strCache>
                <c:ptCount val="1"/>
                <c:pt idx="0">
                  <c:v>30.9.2016</c:v>
                </c:pt>
              </c:strCache>
            </c:strRef>
          </c:tx>
          <c:spPr>
            <a:solidFill>
              <a:srgbClr val="00B0F0"/>
            </a:solidFill>
            <a:ln w="12692">
              <a:solidFill>
                <a:srgbClr val="002060"/>
              </a:solidFill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dLblPos val="outEnd"/>
            <c:showVal val="1"/>
          </c:dLbls>
          <c:cat>
            <c:strRef>
              <c:f>List1!$B$44:$B$53</c:f>
              <c:strCache>
                <c:ptCount val="10"/>
                <c:pt idx="0">
                  <c:v>Zákonodárci a říd. prac.</c:v>
                </c:pt>
                <c:pt idx="1">
                  <c:v>Specialisté</c:v>
                </c:pt>
                <c:pt idx="2">
                  <c:v>Tech. a odbor. prac.</c:v>
                </c:pt>
                <c:pt idx="3">
                  <c:v>Úředníci</c:v>
                </c:pt>
                <c:pt idx="4">
                  <c:v>Prac. ve službách a prodeji</c:v>
                </c:pt>
                <c:pt idx="5">
                  <c:v>Kvalif. prac. v zem., les. a rybářství</c:v>
                </c:pt>
                <c:pt idx="6">
                  <c:v>Řemeslníci a opraváři</c:v>
                </c:pt>
                <c:pt idx="7">
                  <c:v>Obsluha strojů a zařízení, montéři</c:v>
                </c:pt>
                <c:pt idx="8">
                  <c:v>Pomocní a nekvalifikovaní pracovníci</c:v>
                </c:pt>
                <c:pt idx="9">
                  <c:v>ČR</c:v>
                </c:pt>
              </c:strCache>
            </c:strRef>
          </c:cat>
          <c:val>
            <c:numRef>
              <c:f>List1!$K$44:$K$53</c:f>
              <c:numCache>
                <c:formatCode>0.0</c:formatCode>
                <c:ptCount val="10"/>
                <c:pt idx="0">
                  <c:v>3.386016023306627</c:v>
                </c:pt>
                <c:pt idx="1">
                  <c:v>1.9987269878574221</c:v>
                </c:pt>
                <c:pt idx="2">
                  <c:v>2.3179195655862888</c:v>
                </c:pt>
                <c:pt idx="3">
                  <c:v>8.1831862999481118</c:v>
                </c:pt>
                <c:pt idx="4">
                  <c:v>3.6431104925245812</c:v>
                </c:pt>
                <c:pt idx="5">
                  <c:v>4.0705052878965908</c:v>
                </c:pt>
                <c:pt idx="6">
                  <c:v>1.4153018408229554</c:v>
                </c:pt>
                <c:pt idx="7">
                  <c:v>1.0696526915608189</c:v>
                </c:pt>
                <c:pt idx="8">
                  <c:v>3.9617452364407701</c:v>
                </c:pt>
                <c:pt idx="9" formatCode="General">
                  <c:v>2.7</c:v>
                </c:pt>
              </c:numCache>
            </c:numRef>
          </c:val>
        </c:ser>
        <c:axId val="66821120"/>
        <c:axId val="123863808"/>
      </c:barChart>
      <c:catAx>
        <c:axId val="668211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5400000" vert="horz" anchor="ctr" anchorCtr="1"/>
          <a:lstStyle/>
          <a:p>
            <a:pPr>
              <a:defRPr sz="800"/>
            </a:pPr>
            <a:endParaRPr lang="cs-CZ"/>
          </a:p>
        </c:txPr>
        <c:crossAx val="123863808"/>
        <c:crosses val="autoZero"/>
        <c:lblAlgn val="ctr"/>
        <c:lblOffset val="100"/>
        <c:tickLblSkip val="1"/>
      </c:catAx>
      <c:valAx>
        <c:axId val="123863808"/>
        <c:scaling>
          <c:orientation val="minMax"/>
        </c:scaling>
        <c:axPos val="l"/>
        <c:majorGridlines/>
        <c:numFmt formatCode="0.0" sourceLinked="1"/>
        <c:tickLblPos val="nextTo"/>
        <c:crossAx val="66821120"/>
        <c:crosses val="autoZero"/>
        <c:crossBetween val="between"/>
        <c:majorUnit val="2.7"/>
      </c:valAx>
    </c:plotArea>
    <c:legend>
      <c:legendPos val="r"/>
      <c:layout>
        <c:manualLayout>
          <c:xMode val="edge"/>
          <c:yMode val="edge"/>
          <c:x val="0.81576122169788223"/>
          <c:y val="0.11552225521982762"/>
          <c:w val="0.15478327518058543"/>
          <c:h val="0.20768402219618742"/>
        </c:manualLayout>
      </c:layout>
      <c:spPr>
        <a:solidFill>
          <a:schemeClr val="bg1"/>
        </a:solidFill>
      </c:sp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200"/>
              <a:t>Vývoj počtu UoZ/VPM k 30. 9.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List1!$C$24</c:f>
              <c:strCache>
                <c:ptCount val="1"/>
                <c:pt idx="0">
                  <c:v>3Q2008</c:v>
                </c:pt>
              </c:strCache>
            </c:strRef>
          </c:tx>
          <c:dPt>
            <c:idx val="14"/>
            <c:spPr>
              <a:solidFill>
                <a:srgbClr val="0070C0"/>
              </a:solidFill>
            </c:spPr>
          </c:dPt>
          <c:cat>
            <c:strRef>
              <c:f>List1!$A$25:$A$39</c:f>
              <c:strCache>
                <c:ptCount val="15"/>
                <c:pt idx="0">
                  <c:v>Praha</c:v>
                </c:pt>
                <c:pt idx="1">
                  <c:v>SČK</c:v>
                </c:pt>
                <c:pt idx="2">
                  <c:v>JČK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KHK</c:v>
                </c:pt>
                <c:pt idx="8">
                  <c:v>PBK</c:v>
                </c:pt>
                <c:pt idx="9">
                  <c:v>VYS</c:v>
                </c:pt>
                <c:pt idx="10">
                  <c:v>JMK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  <c:pt idx="14">
                  <c:v>ČR</c:v>
                </c:pt>
              </c:strCache>
            </c:strRef>
          </c:cat>
          <c:val>
            <c:numRef>
              <c:f>List1!$C$25:$C$39</c:f>
              <c:numCache>
                <c:formatCode>General</c:formatCode>
                <c:ptCount val="15"/>
                <c:pt idx="0">
                  <c:v>0.6000000000000002</c:v>
                </c:pt>
                <c:pt idx="1">
                  <c:v>1.6</c:v>
                </c:pt>
                <c:pt idx="2">
                  <c:v>2.2000000000000002</c:v>
                </c:pt>
                <c:pt idx="3">
                  <c:v>1.1000000000000001</c:v>
                </c:pt>
                <c:pt idx="4">
                  <c:v>4.0999999999999996</c:v>
                </c:pt>
                <c:pt idx="5">
                  <c:v>6.4</c:v>
                </c:pt>
                <c:pt idx="6">
                  <c:v>3.4</c:v>
                </c:pt>
                <c:pt idx="7">
                  <c:v>2.2000000000000002</c:v>
                </c:pt>
                <c:pt idx="8">
                  <c:v>1.9000000000000001</c:v>
                </c:pt>
                <c:pt idx="9">
                  <c:v>3.6</c:v>
                </c:pt>
                <c:pt idx="10">
                  <c:v>2.2999999999999998</c:v>
                </c:pt>
                <c:pt idx="11">
                  <c:v>3.9</c:v>
                </c:pt>
                <c:pt idx="12">
                  <c:v>2.4</c:v>
                </c:pt>
                <c:pt idx="13">
                  <c:v>3.6</c:v>
                </c:pt>
                <c:pt idx="14">
                  <c:v>2.6</c:v>
                </c:pt>
              </c:numCache>
            </c:numRef>
          </c:val>
        </c:ser>
        <c:ser>
          <c:idx val="2"/>
          <c:order val="1"/>
          <c:tx>
            <c:strRef>
              <c:f>List1!$E$24</c:f>
              <c:strCache>
                <c:ptCount val="1"/>
                <c:pt idx="0">
                  <c:v>3Q2015</c:v>
                </c:pt>
              </c:strCache>
            </c:strRef>
          </c:tx>
          <c:dPt>
            <c:idx val="14"/>
            <c:spPr>
              <a:solidFill>
                <a:srgbClr val="00B050"/>
              </a:solidFill>
            </c:spPr>
          </c:dPt>
          <c:cat>
            <c:strRef>
              <c:f>List1!$A$25:$A$39</c:f>
              <c:strCache>
                <c:ptCount val="15"/>
                <c:pt idx="0">
                  <c:v>Praha</c:v>
                </c:pt>
                <c:pt idx="1">
                  <c:v>SČK</c:v>
                </c:pt>
                <c:pt idx="2">
                  <c:v>JČK</c:v>
                </c:pt>
                <c:pt idx="3">
                  <c:v>PLK</c:v>
                </c:pt>
                <c:pt idx="4">
                  <c:v>KVK</c:v>
                </c:pt>
                <c:pt idx="5">
                  <c:v>ULK</c:v>
                </c:pt>
                <c:pt idx="6">
                  <c:v>LBK</c:v>
                </c:pt>
                <c:pt idx="7">
                  <c:v>KHK</c:v>
                </c:pt>
                <c:pt idx="8">
                  <c:v>PBK</c:v>
                </c:pt>
                <c:pt idx="9">
                  <c:v>VYS</c:v>
                </c:pt>
                <c:pt idx="10">
                  <c:v>JMK</c:v>
                </c:pt>
                <c:pt idx="11">
                  <c:v>OLK</c:v>
                </c:pt>
                <c:pt idx="12">
                  <c:v>ZLK</c:v>
                </c:pt>
                <c:pt idx="13">
                  <c:v>MSK</c:v>
                </c:pt>
                <c:pt idx="14">
                  <c:v>ČR</c:v>
                </c:pt>
              </c:strCache>
            </c:strRef>
          </c:cat>
          <c:val>
            <c:numRef>
              <c:f>List1!$E$25:$E$39</c:f>
              <c:numCache>
                <c:formatCode>General</c:formatCode>
                <c:ptCount val="15"/>
                <c:pt idx="0">
                  <c:v>3</c:v>
                </c:pt>
                <c:pt idx="1">
                  <c:v>3.5</c:v>
                </c:pt>
                <c:pt idx="2">
                  <c:v>2.7</c:v>
                </c:pt>
                <c:pt idx="3">
                  <c:v>2.2000000000000002</c:v>
                </c:pt>
                <c:pt idx="4">
                  <c:v>4.2</c:v>
                </c:pt>
                <c:pt idx="5">
                  <c:v>8.3000000000000007</c:v>
                </c:pt>
                <c:pt idx="6">
                  <c:v>3.3</c:v>
                </c:pt>
                <c:pt idx="7">
                  <c:v>3.5</c:v>
                </c:pt>
                <c:pt idx="8">
                  <c:v>2.2999999999999998</c:v>
                </c:pt>
                <c:pt idx="9">
                  <c:v>4.5</c:v>
                </c:pt>
                <c:pt idx="10">
                  <c:v>5.3</c:v>
                </c:pt>
                <c:pt idx="11">
                  <c:v>4.5</c:v>
                </c:pt>
                <c:pt idx="12">
                  <c:v>3.8</c:v>
                </c:pt>
                <c:pt idx="13">
                  <c:v>5.9</c:v>
                </c:pt>
                <c:pt idx="14">
                  <c:v>4.0999999999999996</c:v>
                </c:pt>
              </c:numCache>
            </c:numRef>
          </c:val>
        </c:ser>
        <c:ser>
          <c:idx val="3"/>
          <c:order val="2"/>
          <c:tx>
            <c:strRef>
              <c:f>List1!$F$24</c:f>
              <c:strCache>
                <c:ptCount val="1"/>
                <c:pt idx="0">
                  <c:v>3Q2016</c:v>
                </c:pt>
              </c:strCache>
            </c:strRef>
          </c:tx>
          <c:dPt>
            <c:idx val="14"/>
            <c:spPr>
              <a:solidFill>
                <a:srgbClr val="7030A0"/>
              </a:solidFill>
            </c:spPr>
          </c:dPt>
          <c:val>
            <c:numRef>
              <c:f>List1!$F$25:$F$39</c:f>
              <c:numCache>
                <c:formatCode>General</c:formatCode>
                <c:ptCount val="15"/>
                <c:pt idx="0">
                  <c:v>1.6</c:v>
                </c:pt>
                <c:pt idx="1">
                  <c:v>2.2000000000000002</c:v>
                </c:pt>
                <c:pt idx="2">
                  <c:v>1.7</c:v>
                </c:pt>
                <c:pt idx="3">
                  <c:v>1.3</c:v>
                </c:pt>
                <c:pt idx="4">
                  <c:v>2.9</c:v>
                </c:pt>
                <c:pt idx="5">
                  <c:v>5.8</c:v>
                </c:pt>
                <c:pt idx="6">
                  <c:v>2.6</c:v>
                </c:pt>
                <c:pt idx="7">
                  <c:v>2</c:v>
                </c:pt>
                <c:pt idx="8">
                  <c:v>1.3</c:v>
                </c:pt>
                <c:pt idx="9">
                  <c:v>2.6</c:v>
                </c:pt>
                <c:pt idx="10">
                  <c:v>3.9</c:v>
                </c:pt>
                <c:pt idx="11">
                  <c:v>3.7</c:v>
                </c:pt>
                <c:pt idx="12">
                  <c:v>2.5</c:v>
                </c:pt>
                <c:pt idx="13">
                  <c:v>5.0999999999999996</c:v>
                </c:pt>
                <c:pt idx="14">
                  <c:v>2.7</c:v>
                </c:pt>
              </c:numCache>
            </c:numRef>
          </c:val>
        </c:ser>
        <c:axId val="127745408"/>
        <c:axId val="127747200"/>
      </c:barChart>
      <c:catAx>
        <c:axId val="127745408"/>
        <c:scaling>
          <c:orientation val="minMax"/>
        </c:scaling>
        <c:axPos val="b"/>
        <c:tickLblPos val="nextTo"/>
        <c:crossAx val="127747200"/>
        <c:crosses val="autoZero"/>
        <c:auto val="1"/>
        <c:lblAlgn val="ctr"/>
        <c:lblOffset val="100"/>
      </c:catAx>
      <c:valAx>
        <c:axId val="127747200"/>
        <c:scaling>
          <c:orientation val="minMax"/>
        </c:scaling>
        <c:axPos val="l"/>
        <c:majorGridlines/>
        <c:numFmt formatCode="General" sourceLinked="1"/>
        <c:tickLblPos val="nextTo"/>
        <c:crossAx val="1277454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B342-45D3-4509-8F02-775C9BC9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2201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cp:lastPrinted>2016-10-14T06:22:00Z</cp:lastPrinted>
  <dcterms:created xsi:type="dcterms:W3CDTF">2016-10-14T06:22:00Z</dcterms:created>
  <dcterms:modified xsi:type="dcterms:W3CDTF">2016-10-14T06:22:00Z</dcterms:modified>
</cp:coreProperties>
</file>