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F98" w:rsidRDefault="00703F98" w:rsidP="00703F98">
      <w:pPr>
        <w:spacing w:before="120" w:after="0"/>
      </w:pPr>
      <w:r w:rsidRPr="00AF4D3D">
        <w:rPr>
          <w:noProof/>
          <w:lang w:val="cs-CZ" w:eastAsia="cs-CZ" w:bidi="ar-SA"/>
        </w:rPr>
        <w:drawing>
          <wp:inline distT="0" distB="0" distL="0" distR="0">
            <wp:extent cx="4867275" cy="12096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67275" cy="1209675"/>
                    </a:xfrm>
                    <a:prstGeom prst="rect">
                      <a:avLst/>
                    </a:prstGeom>
                    <a:noFill/>
                    <a:ln>
                      <a:noFill/>
                    </a:ln>
                  </pic:spPr>
                </pic:pic>
              </a:graphicData>
            </a:graphic>
          </wp:inline>
        </w:drawing>
      </w:r>
    </w:p>
    <w:p w:rsidR="00703F98" w:rsidRDefault="00703F98" w:rsidP="00703F98">
      <w:pPr>
        <w:spacing w:before="120" w:after="0"/>
      </w:pPr>
    </w:p>
    <w:p w:rsidR="00703F98" w:rsidRDefault="00703F98" w:rsidP="00703F98">
      <w:pPr>
        <w:spacing w:before="120" w:after="0"/>
      </w:pPr>
    </w:p>
    <w:p w:rsidR="00703F98" w:rsidRDefault="00703F98" w:rsidP="00703F98">
      <w:pPr>
        <w:spacing w:before="120" w:after="0"/>
      </w:pPr>
    </w:p>
    <w:p w:rsidR="00703F98" w:rsidRDefault="00703F98" w:rsidP="00703F98">
      <w:pPr>
        <w:spacing w:before="120" w:after="0"/>
      </w:pPr>
    </w:p>
    <w:p w:rsidR="00703F98" w:rsidRDefault="00703F98" w:rsidP="00703F98">
      <w:pPr>
        <w:spacing w:before="120" w:after="0"/>
      </w:pPr>
    </w:p>
    <w:p w:rsidR="00703F98" w:rsidRDefault="00703F98" w:rsidP="00703F98">
      <w:pPr>
        <w:pStyle w:val="Default"/>
        <w:spacing w:before="120" w:after="0"/>
        <w:rPr>
          <w:b/>
          <w:bCs/>
          <w:sz w:val="22"/>
          <w:szCs w:val="22"/>
        </w:rPr>
      </w:pPr>
    </w:p>
    <w:p w:rsidR="00703F98" w:rsidRDefault="00703F98" w:rsidP="00703F98">
      <w:pPr>
        <w:pStyle w:val="Default"/>
        <w:spacing w:before="120" w:after="0"/>
        <w:rPr>
          <w:b/>
          <w:bCs/>
          <w:sz w:val="22"/>
          <w:szCs w:val="22"/>
        </w:rPr>
      </w:pPr>
    </w:p>
    <w:p w:rsidR="00703F98" w:rsidRPr="00703F98" w:rsidRDefault="00EF19B2" w:rsidP="00703F98">
      <w:pPr>
        <w:pStyle w:val="Default"/>
        <w:spacing w:before="120" w:after="0"/>
        <w:jc w:val="center"/>
        <w:rPr>
          <w:rFonts w:ascii="Times New Roman" w:hAnsi="Times New Roman" w:cs="Times New Roman"/>
          <w:b/>
          <w:bCs/>
          <w:color w:val="5B9BD5" w:themeColor="accent1"/>
          <w:sz w:val="44"/>
          <w:szCs w:val="44"/>
          <w:lang w:val="cs-CZ"/>
        </w:rPr>
      </w:pPr>
      <w:r w:rsidRPr="00EF19B2">
        <w:rPr>
          <w:rFonts w:ascii="Times New Roman" w:hAnsi="Times New Roman" w:cs="Times New Roman"/>
          <w:b/>
          <w:bCs/>
          <w:color w:val="5B9BD5" w:themeColor="accent1"/>
          <w:sz w:val="44"/>
          <w:szCs w:val="44"/>
          <w:lang w:val="cs-CZ"/>
        </w:rPr>
        <w:t>Rozvoj mýtného systému v ČR</w:t>
      </w:r>
    </w:p>
    <w:p w:rsidR="00703F98" w:rsidRPr="000D2198" w:rsidRDefault="00703F98" w:rsidP="00703F98">
      <w:pPr>
        <w:pStyle w:val="Default"/>
        <w:spacing w:before="120" w:after="0"/>
        <w:jc w:val="center"/>
        <w:rPr>
          <w:rFonts w:ascii="Times New Roman" w:hAnsi="Times New Roman" w:cs="Times New Roman"/>
          <w:lang w:val="cs-CZ"/>
        </w:rPr>
      </w:pPr>
    </w:p>
    <w:p w:rsidR="00451699" w:rsidRDefault="00451699" w:rsidP="00451699">
      <w:pPr>
        <w:pStyle w:val="Default"/>
        <w:spacing w:before="120" w:after="0"/>
        <w:jc w:val="center"/>
        <w:rPr>
          <w:rFonts w:ascii="Times New Roman" w:hAnsi="Times New Roman" w:cs="Times New Roman"/>
          <w:sz w:val="40"/>
          <w:szCs w:val="40"/>
          <w:lang w:val="cs-CZ"/>
        </w:rPr>
      </w:pPr>
      <w:r w:rsidRPr="00451699">
        <w:rPr>
          <w:rFonts w:ascii="Times New Roman" w:hAnsi="Times New Roman" w:cs="Times New Roman"/>
          <w:sz w:val="40"/>
          <w:szCs w:val="40"/>
          <w:lang w:val="cs-CZ"/>
        </w:rPr>
        <w:t>Rad</w:t>
      </w:r>
      <w:r>
        <w:rPr>
          <w:rFonts w:ascii="Times New Roman" w:hAnsi="Times New Roman" w:cs="Times New Roman"/>
          <w:sz w:val="40"/>
          <w:szCs w:val="40"/>
          <w:lang w:val="cs-CZ"/>
        </w:rPr>
        <w:t>a</w:t>
      </w:r>
      <w:r w:rsidRPr="00451699">
        <w:rPr>
          <w:rFonts w:ascii="Times New Roman" w:hAnsi="Times New Roman" w:cs="Times New Roman"/>
          <w:sz w:val="40"/>
          <w:szCs w:val="40"/>
          <w:lang w:val="cs-CZ"/>
        </w:rPr>
        <w:t xml:space="preserve"> hospodářské a sociální dohody ČR</w:t>
      </w:r>
    </w:p>
    <w:p w:rsidR="00703F98" w:rsidRPr="000D2198" w:rsidRDefault="00EF19B2" w:rsidP="00451699">
      <w:pPr>
        <w:pStyle w:val="Default"/>
        <w:spacing w:before="120" w:after="0"/>
        <w:jc w:val="center"/>
        <w:rPr>
          <w:rFonts w:ascii="Times New Roman" w:hAnsi="Times New Roman" w:cs="Times New Roman"/>
          <w:sz w:val="40"/>
          <w:szCs w:val="40"/>
          <w:lang w:val="cs-CZ"/>
        </w:rPr>
      </w:pPr>
      <w:r>
        <w:rPr>
          <w:rFonts w:ascii="Times New Roman" w:hAnsi="Times New Roman" w:cs="Times New Roman"/>
          <w:sz w:val="40"/>
          <w:szCs w:val="40"/>
          <w:lang w:val="cs-CZ"/>
        </w:rPr>
        <w:t>142</w:t>
      </w:r>
      <w:r w:rsidR="00451699">
        <w:rPr>
          <w:rFonts w:ascii="Times New Roman" w:hAnsi="Times New Roman" w:cs="Times New Roman"/>
          <w:sz w:val="40"/>
          <w:szCs w:val="40"/>
          <w:lang w:val="cs-CZ"/>
        </w:rPr>
        <w:t>. plenární schůze</w:t>
      </w:r>
    </w:p>
    <w:p w:rsidR="00703F98" w:rsidRPr="00545104" w:rsidRDefault="00703F98" w:rsidP="00703F98">
      <w:pPr>
        <w:pStyle w:val="Default"/>
        <w:spacing w:before="120" w:after="0"/>
        <w:jc w:val="center"/>
        <w:rPr>
          <w:rFonts w:ascii="Times New Roman" w:hAnsi="Times New Roman" w:cs="Times New Roman"/>
        </w:rPr>
      </w:pPr>
    </w:p>
    <w:p w:rsidR="00703F98" w:rsidRDefault="00703F98" w:rsidP="00703F98">
      <w:pPr>
        <w:spacing w:before="120" w:after="0"/>
        <w:rPr>
          <w:rFonts w:ascii="Times New Roman" w:hAnsi="Times New Roman" w:cs="Times New Roman"/>
          <w:b/>
          <w:bCs/>
          <w:caps/>
          <w:color w:val="FFFFFF" w:themeColor="background1"/>
          <w:spacing w:val="15"/>
          <w:sz w:val="24"/>
          <w:szCs w:val="24"/>
        </w:rPr>
      </w:pPr>
      <w:r>
        <w:rPr>
          <w:rFonts w:ascii="Times New Roman" w:hAnsi="Times New Roman" w:cs="Times New Roman"/>
          <w:sz w:val="24"/>
          <w:szCs w:val="24"/>
        </w:rPr>
        <w:br w:type="page"/>
      </w:r>
    </w:p>
    <w:p w:rsidR="00703F98" w:rsidRPr="000D2198" w:rsidRDefault="00EF19B2" w:rsidP="00703F98">
      <w:pPr>
        <w:pStyle w:val="Nadpis1"/>
        <w:spacing w:before="120"/>
        <w:rPr>
          <w:rFonts w:ascii="Times New Roman" w:hAnsi="Times New Roman" w:cs="Times New Roman"/>
          <w:sz w:val="28"/>
          <w:szCs w:val="28"/>
          <w:lang w:val="cs-CZ"/>
        </w:rPr>
      </w:pPr>
      <w:r w:rsidRPr="00EF19B2">
        <w:rPr>
          <w:rFonts w:ascii="Times New Roman" w:hAnsi="Times New Roman" w:cs="Times New Roman"/>
          <w:sz w:val="28"/>
          <w:szCs w:val="28"/>
          <w:lang w:val="cs-CZ"/>
        </w:rPr>
        <w:lastRenderedPageBreak/>
        <w:t>Rozvoj mýtného systému v ČR</w:t>
      </w:r>
    </w:p>
    <w:p w:rsidR="00F40869" w:rsidRDefault="00451699" w:rsidP="00451699">
      <w:pPr>
        <w:spacing w:before="120" w:after="0"/>
        <w:jc w:val="both"/>
        <w:rPr>
          <w:rFonts w:ascii="Times New Roman" w:hAnsi="Times New Roman" w:cs="Times New Roman"/>
          <w:sz w:val="24"/>
          <w:szCs w:val="24"/>
          <w:lang w:val="cs-CZ"/>
        </w:rPr>
      </w:pPr>
      <w:r w:rsidRPr="00451699">
        <w:rPr>
          <w:rFonts w:ascii="Times New Roman" w:hAnsi="Times New Roman" w:cs="Times New Roman"/>
          <w:sz w:val="24"/>
          <w:szCs w:val="24"/>
          <w:lang w:val="cs-CZ"/>
        </w:rPr>
        <w:t xml:space="preserve">V bodě V.6 usnesení vlády České republiky č. 188 ze dne 9. března 2016 k Časovému harmonogramu přípravy Systému elektronického mýta po roce 2016 byl Ministerstvu dopravy uložen úkol předložit vládě do 30. června 2016 koncepci zpoplatnění pozemních komunikací. </w:t>
      </w:r>
      <w:r>
        <w:rPr>
          <w:rFonts w:ascii="Times New Roman" w:hAnsi="Times New Roman" w:cs="Times New Roman"/>
          <w:sz w:val="24"/>
          <w:szCs w:val="24"/>
          <w:lang w:val="cs-CZ"/>
        </w:rPr>
        <w:t xml:space="preserve">Na základě tohoto úkolu </w:t>
      </w:r>
      <w:r w:rsidRPr="00451699">
        <w:rPr>
          <w:rFonts w:ascii="Times New Roman" w:hAnsi="Times New Roman" w:cs="Times New Roman"/>
          <w:sz w:val="24"/>
          <w:szCs w:val="24"/>
          <w:lang w:val="cs-CZ"/>
        </w:rPr>
        <w:t>Ministerstvo dopravy připravilo materiál pro informaci členů vlády s</w:t>
      </w:r>
      <w:r>
        <w:rPr>
          <w:rFonts w:ascii="Times New Roman" w:hAnsi="Times New Roman" w:cs="Times New Roman"/>
          <w:sz w:val="24"/>
          <w:szCs w:val="24"/>
          <w:lang w:val="cs-CZ"/>
        </w:rPr>
        <w:t> </w:t>
      </w:r>
      <w:r w:rsidRPr="00451699">
        <w:rPr>
          <w:rFonts w:ascii="Times New Roman" w:hAnsi="Times New Roman" w:cs="Times New Roman"/>
          <w:sz w:val="24"/>
          <w:szCs w:val="24"/>
          <w:lang w:val="cs-CZ"/>
        </w:rPr>
        <w:t>názvem „Koncepce zpoplatnění pozemních komunikací v České republice“ (dále jen „Koncepce“) a následně jej předložilo na program jednání vlády. Vzhledem k tomu, že Koncepce nesplňovala očekávání předsedy vlády a současně byl postoj Ministerstva dopravy k</w:t>
      </w:r>
      <w:r>
        <w:rPr>
          <w:rFonts w:ascii="Times New Roman" w:hAnsi="Times New Roman" w:cs="Times New Roman"/>
          <w:sz w:val="24"/>
          <w:szCs w:val="24"/>
          <w:lang w:val="cs-CZ"/>
        </w:rPr>
        <w:t> </w:t>
      </w:r>
      <w:r w:rsidRPr="00451699">
        <w:rPr>
          <w:rFonts w:ascii="Times New Roman" w:hAnsi="Times New Roman" w:cs="Times New Roman"/>
          <w:sz w:val="24"/>
          <w:szCs w:val="24"/>
          <w:lang w:val="cs-CZ"/>
        </w:rPr>
        <w:t>rozšíření zpoplatněných pozemních komunikací považován za liknavý</w:t>
      </w:r>
      <w:r>
        <w:rPr>
          <w:rFonts w:ascii="Times New Roman" w:hAnsi="Times New Roman" w:cs="Times New Roman"/>
          <w:sz w:val="24"/>
          <w:szCs w:val="24"/>
          <w:lang w:val="cs-CZ"/>
        </w:rPr>
        <w:t xml:space="preserve"> (Ministerstvo dopravy odmítalo rozšíření </w:t>
      </w:r>
      <w:r w:rsidR="00F40869">
        <w:rPr>
          <w:rFonts w:ascii="Times New Roman" w:hAnsi="Times New Roman" w:cs="Times New Roman"/>
          <w:sz w:val="24"/>
          <w:szCs w:val="24"/>
          <w:lang w:val="cs-CZ"/>
        </w:rPr>
        <w:t xml:space="preserve">sítě </w:t>
      </w:r>
      <w:r>
        <w:rPr>
          <w:rFonts w:ascii="Times New Roman" w:hAnsi="Times New Roman" w:cs="Times New Roman"/>
          <w:sz w:val="24"/>
          <w:szCs w:val="24"/>
          <w:lang w:val="cs-CZ"/>
        </w:rPr>
        <w:t>pozemních kom</w:t>
      </w:r>
      <w:r w:rsidR="00F40869">
        <w:rPr>
          <w:rFonts w:ascii="Times New Roman" w:hAnsi="Times New Roman" w:cs="Times New Roman"/>
          <w:sz w:val="24"/>
          <w:szCs w:val="24"/>
          <w:lang w:val="cs-CZ"/>
        </w:rPr>
        <w:t>unikací, jejich užití podléhá povinnosti uhradit mýtné, tj. výkonově zpoplatněných pozemních komunikací)</w:t>
      </w:r>
      <w:r w:rsidRPr="00451699">
        <w:rPr>
          <w:rFonts w:ascii="Times New Roman" w:hAnsi="Times New Roman" w:cs="Times New Roman"/>
          <w:sz w:val="24"/>
          <w:szCs w:val="24"/>
          <w:lang w:val="cs-CZ"/>
        </w:rPr>
        <w:t xml:space="preserve">, požádal předseda vlády </w:t>
      </w:r>
      <w:r w:rsidR="00F40869">
        <w:rPr>
          <w:rFonts w:ascii="Times New Roman" w:hAnsi="Times New Roman" w:cs="Times New Roman"/>
          <w:sz w:val="24"/>
          <w:szCs w:val="24"/>
          <w:lang w:val="cs-CZ"/>
        </w:rPr>
        <w:t xml:space="preserve">ministra dopravy </w:t>
      </w:r>
      <w:r w:rsidRPr="00451699">
        <w:rPr>
          <w:rFonts w:ascii="Times New Roman" w:hAnsi="Times New Roman" w:cs="Times New Roman"/>
          <w:sz w:val="24"/>
          <w:szCs w:val="24"/>
          <w:lang w:val="cs-CZ"/>
        </w:rPr>
        <w:t>o zaslání Koncepce do mezirezortního připomínkového řízení a o její následné předložení, včetně odpovídajícího návrhu usnesení vlády, n</w:t>
      </w:r>
      <w:r w:rsidR="00F40869">
        <w:rPr>
          <w:rFonts w:ascii="Times New Roman" w:hAnsi="Times New Roman" w:cs="Times New Roman"/>
          <w:sz w:val="24"/>
          <w:szCs w:val="24"/>
          <w:lang w:val="cs-CZ"/>
        </w:rPr>
        <w:t>a první zářijové jednání vlády.</w:t>
      </w:r>
    </w:p>
    <w:p w:rsidR="00451699" w:rsidRPr="00451699" w:rsidRDefault="00451699" w:rsidP="00451699">
      <w:pPr>
        <w:spacing w:before="120" w:after="0"/>
        <w:jc w:val="both"/>
        <w:rPr>
          <w:rFonts w:ascii="Times New Roman" w:hAnsi="Times New Roman" w:cs="Times New Roman"/>
          <w:sz w:val="24"/>
          <w:szCs w:val="24"/>
          <w:lang w:val="cs-CZ"/>
        </w:rPr>
      </w:pPr>
      <w:r w:rsidRPr="00451699">
        <w:rPr>
          <w:rFonts w:ascii="Times New Roman" w:hAnsi="Times New Roman" w:cs="Times New Roman"/>
          <w:sz w:val="24"/>
          <w:szCs w:val="24"/>
          <w:lang w:val="cs-CZ"/>
        </w:rPr>
        <w:t>Vzhledem k tomu, že i po mezirezortním připomínkovém řízení, v rámci kterého nezaznamenala Koncepce významnějších změn, předseda vlády stále považoval postoj Ministerstva dopravy za liknavý, rozhodl o projednání Koncepce dopravními experty koaličních stran.</w:t>
      </w:r>
    </w:p>
    <w:p w:rsidR="00451699" w:rsidRPr="00451699" w:rsidRDefault="00451699" w:rsidP="00451699">
      <w:pPr>
        <w:spacing w:before="120" w:after="0"/>
        <w:jc w:val="both"/>
        <w:rPr>
          <w:rFonts w:ascii="Times New Roman" w:hAnsi="Times New Roman" w:cs="Times New Roman"/>
          <w:sz w:val="24"/>
          <w:szCs w:val="24"/>
          <w:lang w:val="cs-CZ"/>
        </w:rPr>
      </w:pPr>
      <w:r w:rsidRPr="00451699">
        <w:rPr>
          <w:rFonts w:ascii="Times New Roman" w:hAnsi="Times New Roman" w:cs="Times New Roman"/>
          <w:sz w:val="24"/>
          <w:szCs w:val="24"/>
          <w:lang w:val="cs-CZ"/>
        </w:rPr>
        <w:t xml:space="preserve">Na jednání dopravních expertů koaličních stran byl řešen možný způsob zpoplatnění silnic II. třídy, což v současné době neumožňuje platná právní úprava týkající se zpoplatnění obecného užívání pozemních komunikací (především zákon č. 13/1997 Sb., o pozemních komunikacích, ve znění pozdějších předpisů). Na základě požadavku dopravních expertů koaličních stran Ministerstvo dopravy oslovilo jednotlivé kraje stran návrhu zpoplatnění takových silnic II. třídy, které by bylo možné převést do I. třídy za podmínky bezplatného převodu, stavebně-provozního stavu odpovídajícímu silnici I. třídy a současně za podmínky logické provázanosti s ostatními silnicemi I. třídy. Některé kraje zaslaly  Ministerstvu dopravy své návrhy, jiné kraje se zdržely a některé dokonce </w:t>
      </w:r>
      <w:proofErr w:type="spellStart"/>
      <w:r w:rsidRPr="00451699">
        <w:rPr>
          <w:rFonts w:ascii="Times New Roman" w:hAnsi="Times New Roman" w:cs="Times New Roman"/>
          <w:sz w:val="24"/>
          <w:szCs w:val="24"/>
          <w:lang w:val="cs-CZ"/>
        </w:rPr>
        <w:t>apriori</w:t>
      </w:r>
      <w:proofErr w:type="spellEnd"/>
      <w:r w:rsidRPr="00451699">
        <w:rPr>
          <w:rFonts w:ascii="Times New Roman" w:hAnsi="Times New Roman" w:cs="Times New Roman"/>
          <w:sz w:val="24"/>
          <w:szCs w:val="24"/>
          <w:lang w:val="cs-CZ"/>
        </w:rPr>
        <w:t xml:space="preserve"> rozšíření zpoplatněných pozemních komunikací o silnice II. třídy odmítly a daly přednost zákonné regulaci tranzitní nákladní dopravy v souladu s § 24a zákona č. 13/1997 Sb., o pozemních komunikacích, ve znění pozdějších předpisů (dále jen „zákon o pozemních komunikacích“). Ministerstvo dopravy došlé návrhy posoudilo a dospělo k závěru, že ani jedna navržená silnice II. třídy nesplňuje předem stanovené podmínky.</w:t>
      </w:r>
    </w:p>
    <w:p w:rsidR="00451699" w:rsidRPr="00451699" w:rsidRDefault="00451699" w:rsidP="00451699">
      <w:pPr>
        <w:spacing w:before="120" w:after="0"/>
        <w:jc w:val="both"/>
        <w:rPr>
          <w:rFonts w:ascii="Times New Roman" w:hAnsi="Times New Roman" w:cs="Times New Roman"/>
          <w:sz w:val="24"/>
          <w:szCs w:val="24"/>
          <w:lang w:val="cs-CZ"/>
        </w:rPr>
      </w:pPr>
      <w:r w:rsidRPr="00451699">
        <w:rPr>
          <w:rFonts w:ascii="Times New Roman" w:hAnsi="Times New Roman" w:cs="Times New Roman"/>
          <w:sz w:val="24"/>
          <w:szCs w:val="24"/>
          <w:lang w:val="cs-CZ"/>
        </w:rPr>
        <w:t>Na posledním jednání dopravních expertů koaličních stran tito dopravní experti, především pak dopravní experti České strany sociálně demokratické, stanovili rozsah výkonově zpoplatněných silnic po roce 2019</w:t>
      </w:r>
      <w:r w:rsidR="00F80FFC">
        <w:rPr>
          <w:rFonts w:ascii="Times New Roman" w:hAnsi="Times New Roman" w:cs="Times New Roman"/>
          <w:sz w:val="24"/>
          <w:szCs w:val="24"/>
          <w:lang w:val="cs-CZ"/>
        </w:rPr>
        <w:t xml:space="preserve">, a to na </w:t>
      </w:r>
      <w:r w:rsidR="00F40869">
        <w:rPr>
          <w:rFonts w:ascii="Times New Roman" w:hAnsi="Times New Roman" w:cs="Times New Roman"/>
          <w:sz w:val="24"/>
          <w:szCs w:val="24"/>
          <w:lang w:val="cs-CZ"/>
        </w:rPr>
        <w:t xml:space="preserve">850 – 3000 </w:t>
      </w:r>
      <w:r w:rsidR="00F80FFC">
        <w:rPr>
          <w:rFonts w:ascii="Times New Roman" w:hAnsi="Times New Roman" w:cs="Times New Roman"/>
          <w:sz w:val="24"/>
          <w:szCs w:val="24"/>
          <w:lang w:val="cs-CZ"/>
        </w:rPr>
        <w:t>km</w:t>
      </w:r>
      <w:r w:rsidRPr="00451699">
        <w:rPr>
          <w:rFonts w:ascii="Times New Roman" w:hAnsi="Times New Roman" w:cs="Times New Roman"/>
          <w:sz w:val="24"/>
          <w:szCs w:val="24"/>
          <w:lang w:val="cs-CZ"/>
        </w:rPr>
        <w:t>. V této souvislosti byla upravena odpovídajícím způsobem Koncepce a návrh usnesení vlády</w:t>
      </w:r>
      <w:r w:rsidR="00E7459B">
        <w:rPr>
          <w:rFonts w:ascii="Times New Roman" w:hAnsi="Times New Roman" w:cs="Times New Roman"/>
          <w:sz w:val="24"/>
          <w:szCs w:val="24"/>
          <w:lang w:val="cs-CZ"/>
        </w:rPr>
        <w:t>.</w:t>
      </w:r>
    </w:p>
    <w:p w:rsidR="00451699" w:rsidRPr="00451699" w:rsidRDefault="00451699" w:rsidP="00451699">
      <w:pPr>
        <w:spacing w:before="120" w:after="0"/>
        <w:jc w:val="both"/>
        <w:rPr>
          <w:rFonts w:ascii="Times New Roman" w:hAnsi="Times New Roman" w:cs="Times New Roman"/>
          <w:sz w:val="24"/>
          <w:szCs w:val="24"/>
          <w:lang w:val="cs-CZ"/>
        </w:rPr>
      </w:pPr>
      <w:r w:rsidRPr="00451699">
        <w:rPr>
          <w:rFonts w:ascii="Times New Roman" w:hAnsi="Times New Roman" w:cs="Times New Roman"/>
          <w:sz w:val="24"/>
          <w:szCs w:val="24"/>
          <w:lang w:val="cs-CZ"/>
        </w:rPr>
        <w:t xml:space="preserve">V souladu s výše uvedeným bylo usnesením vlády České republiky č. 1000 ze dne 7. listopadu 2016 ke Koncepci zpoplatnění pozemních komunikací v České republice uloženo Ministerstvu dopravy rozšířit zpoplatnění silnic po roce 2019 o úseky silnic, kde to bude z hlediska regulatorní a nákladové funkce efektivní a současně půjde o významné silnice pro dopravu těžkých nákladních vozidel s tím, že navýšení rozsahu výkonově zpoplatněných silnic proti současnému stavu bude v rozmezí 850 až 3 000 km. Ministerstvu dopravy tak bylo </w:t>
      </w:r>
      <w:r w:rsidRPr="00451699">
        <w:rPr>
          <w:rFonts w:ascii="Times New Roman" w:hAnsi="Times New Roman" w:cs="Times New Roman"/>
          <w:sz w:val="24"/>
          <w:szCs w:val="24"/>
          <w:lang w:val="cs-CZ"/>
        </w:rPr>
        <w:lastRenderedPageBreak/>
        <w:t>uloženo společně s projektovým manažerem posoudit rozšíření výkonového zpoplatnění pozemních komunikací o silnice I. třídy a předložit budoucí rozsah výkonově zpoplatněných pozemních komunikací po roce 2019 pro informaci členů vlády do 31. prosince 2016.</w:t>
      </w:r>
    </w:p>
    <w:p w:rsidR="00451699" w:rsidRDefault="00451699" w:rsidP="00451699">
      <w:pPr>
        <w:spacing w:before="120" w:after="0"/>
        <w:jc w:val="both"/>
        <w:rPr>
          <w:rFonts w:ascii="Times New Roman" w:hAnsi="Times New Roman" w:cs="Times New Roman"/>
          <w:sz w:val="24"/>
          <w:szCs w:val="24"/>
          <w:lang w:val="cs-CZ"/>
        </w:rPr>
      </w:pPr>
      <w:r w:rsidRPr="00451699">
        <w:rPr>
          <w:rFonts w:ascii="Times New Roman" w:hAnsi="Times New Roman" w:cs="Times New Roman"/>
          <w:sz w:val="24"/>
          <w:szCs w:val="24"/>
          <w:lang w:val="cs-CZ"/>
        </w:rPr>
        <w:t>Ministerstvo dopravy společně s projektovým manažerem posoudilo rozšíření výkonového zpoplatnění na silnice I. třídy. Toto posouzení bylo založeno na dvou kritériích, kde jedním kritériem byla intenzita těžkých nákladních vozidel a druhým kritériem bylo kritérium komplexity topologie úseku, reprezentující nákladovost zavedení a provozování výkonového zpoplatnění na těchto pozemních komunikacích. Vzhledem k tomu, že zde byl</w:t>
      </w:r>
      <w:r w:rsidR="00F80FFC">
        <w:rPr>
          <w:rFonts w:ascii="Times New Roman" w:hAnsi="Times New Roman" w:cs="Times New Roman"/>
          <w:sz w:val="24"/>
          <w:szCs w:val="24"/>
          <w:lang w:val="cs-CZ"/>
        </w:rPr>
        <w:t>a</w:t>
      </w:r>
      <w:r w:rsidRPr="00451699">
        <w:rPr>
          <w:rFonts w:ascii="Times New Roman" w:hAnsi="Times New Roman" w:cs="Times New Roman"/>
          <w:sz w:val="24"/>
          <w:szCs w:val="24"/>
          <w:lang w:val="cs-CZ"/>
        </w:rPr>
        <w:t xml:space="preserve"> vládním usnesením stanoven</w:t>
      </w:r>
      <w:r w:rsidR="00B73270">
        <w:rPr>
          <w:rFonts w:ascii="Times New Roman" w:hAnsi="Times New Roman" w:cs="Times New Roman"/>
          <w:sz w:val="24"/>
          <w:szCs w:val="24"/>
          <w:lang w:val="cs-CZ"/>
        </w:rPr>
        <w:t>a</w:t>
      </w:r>
      <w:r w:rsidRPr="00451699">
        <w:rPr>
          <w:rFonts w:ascii="Times New Roman" w:hAnsi="Times New Roman" w:cs="Times New Roman"/>
          <w:sz w:val="24"/>
          <w:szCs w:val="24"/>
          <w:lang w:val="cs-CZ"/>
        </w:rPr>
        <w:t xml:space="preserve"> </w:t>
      </w:r>
      <w:r w:rsidR="00F80FFC">
        <w:rPr>
          <w:rFonts w:ascii="Times New Roman" w:hAnsi="Times New Roman" w:cs="Times New Roman"/>
          <w:sz w:val="24"/>
          <w:szCs w:val="24"/>
          <w:lang w:val="cs-CZ"/>
        </w:rPr>
        <w:t>spodní hranice</w:t>
      </w:r>
      <w:r w:rsidRPr="00451699">
        <w:rPr>
          <w:rFonts w:ascii="Times New Roman" w:hAnsi="Times New Roman" w:cs="Times New Roman"/>
          <w:sz w:val="24"/>
          <w:szCs w:val="24"/>
          <w:lang w:val="cs-CZ"/>
        </w:rPr>
        <w:t xml:space="preserve"> 850 km, zvolilo Ministerstvo dopravy posuzovanou variantu 3, která čítá 900,</w:t>
      </w:r>
      <w:r w:rsidR="00B73270">
        <w:rPr>
          <w:rFonts w:ascii="Times New Roman" w:hAnsi="Times New Roman" w:cs="Times New Roman"/>
          <w:sz w:val="24"/>
          <w:szCs w:val="24"/>
          <w:lang w:val="cs-CZ"/>
        </w:rPr>
        <w:t>2</w:t>
      </w:r>
      <w:r w:rsidRPr="00451699">
        <w:rPr>
          <w:rFonts w:ascii="Times New Roman" w:hAnsi="Times New Roman" w:cs="Times New Roman"/>
          <w:sz w:val="24"/>
          <w:szCs w:val="24"/>
          <w:lang w:val="cs-CZ"/>
        </w:rPr>
        <w:t xml:space="preserve"> km silnic I. třídy.</w:t>
      </w:r>
    </w:p>
    <w:p w:rsidR="007F4126" w:rsidRPr="00451699" w:rsidRDefault="007F4126" w:rsidP="00451699">
      <w:pPr>
        <w:spacing w:before="120" w:after="0"/>
        <w:jc w:val="both"/>
        <w:rPr>
          <w:rFonts w:ascii="Times New Roman" w:hAnsi="Times New Roman" w:cs="Times New Roman"/>
          <w:sz w:val="24"/>
          <w:szCs w:val="24"/>
          <w:lang w:val="cs-CZ"/>
        </w:rPr>
      </w:pPr>
      <w:r>
        <w:rPr>
          <w:rFonts w:ascii="Times New Roman" w:hAnsi="Times New Roman" w:cs="Times New Roman"/>
          <w:sz w:val="24"/>
          <w:szCs w:val="24"/>
          <w:lang w:val="cs-CZ"/>
        </w:rPr>
        <w:t>Ministerstvo dopravy následně připravilo materiál pro informaci členů vlády s názvem „Rozsah pozemních komunikací zpoplatněných mýtným po roce 2019“, který vlád</w:t>
      </w:r>
      <w:r w:rsidR="009F078B">
        <w:rPr>
          <w:rFonts w:ascii="Times New Roman" w:hAnsi="Times New Roman" w:cs="Times New Roman"/>
          <w:sz w:val="24"/>
          <w:szCs w:val="24"/>
          <w:lang w:val="cs-CZ"/>
        </w:rPr>
        <w:t>a</w:t>
      </w:r>
      <w:r>
        <w:rPr>
          <w:rFonts w:ascii="Times New Roman" w:hAnsi="Times New Roman" w:cs="Times New Roman"/>
          <w:sz w:val="24"/>
          <w:szCs w:val="24"/>
          <w:lang w:val="cs-CZ"/>
        </w:rPr>
        <w:t xml:space="preserve"> České republi</w:t>
      </w:r>
      <w:r w:rsidR="009F078B">
        <w:rPr>
          <w:rFonts w:ascii="Times New Roman" w:hAnsi="Times New Roman" w:cs="Times New Roman"/>
          <w:sz w:val="24"/>
          <w:szCs w:val="24"/>
          <w:lang w:val="cs-CZ"/>
        </w:rPr>
        <w:t>ky projednala dne 9. ledna 2017</w:t>
      </w:r>
      <w:r w:rsidR="00E7459B">
        <w:rPr>
          <w:rFonts w:ascii="Times New Roman" w:hAnsi="Times New Roman" w:cs="Times New Roman"/>
          <w:sz w:val="24"/>
          <w:szCs w:val="24"/>
          <w:lang w:val="cs-CZ"/>
        </w:rPr>
        <w:t>.</w:t>
      </w:r>
    </w:p>
    <w:p w:rsidR="00451699" w:rsidRPr="00451699" w:rsidRDefault="00451699" w:rsidP="00451699">
      <w:pPr>
        <w:spacing w:before="120" w:after="0"/>
        <w:jc w:val="both"/>
        <w:rPr>
          <w:rFonts w:ascii="Times New Roman" w:hAnsi="Times New Roman" w:cs="Times New Roman"/>
          <w:sz w:val="24"/>
          <w:szCs w:val="24"/>
          <w:lang w:val="cs-CZ"/>
        </w:rPr>
      </w:pPr>
      <w:r w:rsidRPr="00451699">
        <w:rPr>
          <w:rFonts w:ascii="Times New Roman" w:hAnsi="Times New Roman" w:cs="Times New Roman"/>
          <w:sz w:val="24"/>
          <w:szCs w:val="24"/>
          <w:lang w:val="cs-CZ"/>
        </w:rPr>
        <w:t>Rozšíření výkonov</w:t>
      </w:r>
      <w:r w:rsidR="009F078B">
        <w:rPr>
          <w:rFonts w:ascii="Times New Roman" w:hAnsi="Times New Roman" w:cs="Times New Roman"/>
          <w:sz w:val="24"/>
          <w:szCs w:val="24"/>
          <w:lang w:val="cs-CZ"/>
        </w:rPr>
        <w:t xml:space="preserve">ě </w:t>
      </w:r>
      <w:r w:rsidRPr="00451699">
        <w:rPr>
          <w:rFonts w:ascii="Times New Roman" w:hAnsi="Times New Roman" w:cs="Times New Roman"/>
          <w:sz w:val="24"/>
          <w:szCs w:val="24"/>
          <w:lang w:val="cs-CZ"/>
        </w:rPr>
        <w:t>zpoplatněn</w:t>
      </w:r>
      <w:r w:rsidR="009F078B">
        <w:rPr>
          <w:rFonts w:ascii="Times New Roman" w:hAnsi="Times New Roman" w:cs="Times New Roman"/>
          <w:sz w:val="24"/>
          <w:szCs w:val="24"/>
          <w:lang w:val="cs-CZ"/>
        </w:rPr>
        <w:t>ých</w:t>
      </w:r>
      <w:r w:rsidRPr="00451699">
        <w:rPr>
          <w:rFonts w:ascii="Times New Roman" w:hAnsi="Times New Roman" w:cs="Times New Roman"/>
          <w:sz w:val="24"/>
          <w:szCs w:val="24"/>
          <w:lang w:val="cs-CZ"/>
        </w:rPr>
        <w:t xml:space="preserve"> pozemních komunikací o 900,</w:t>
      </w:r>
      <w:r w:rsidR="00B73270">
        <w:rPr>
          <w:rFonts w:ascii="Times New Roman" w:hAnsi="Times New Roman" w:cs="Times New Roman"/>
          <w:sz w:val="24"/>
          <w:szCs w:val="24"/>
          <w:lang w:val="cs-CZ"/>
        </w:rPr>
        <w:t>2 km silnic I. třídy</w:t>
      </w:r>
      <w:r w:rsidRPr="00451699">
        <w:rPr>
          <w:rFonts w:ascii="Times New Roman" w:hAnsi="Times New Roman" w:cs="Times New Roman"/>
          <w:sz w:val="24"/>
          <w:szCs w:val="24"/>
          <w:lang w:val="cs-CZ"/>
        </w:rPr>
        <w:t xml:space="preserve"> bylo de facto uloženo vládou České republiky. Ministerstvo dopravy nezamýšlelo a ani neplánovalo rozšiřování výkonového zpoplatnění pozemních komunikací po roce 2019, vyjma nově budovaných dálnic.</w:t>
      </w:r>
    </w:p>
    <w:p w:rsidR="003F187A" w:rsidRDefault="00B73270" w:rsidP="003A5240">
      <w:pPr>
        <w:spacing w:before="120" w:after="0"/>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Seznam </w:t>
      </w:r>
      <w:r w:rsidR="00451699" w:rsidRPr="00451699">
        <w:rPr>
          <w:rFonts w:ascii="Times New Roman" w:hAnsi="Times New Roman" w:cs="Times New Roman"/>
          <w:sz w:val="24"/>
          <w:szCs w:val="24"/>
          <w:lang w:val="cs-CZ"/>
        </w:rPr>
        <w:t xml:space="preserve">výkonově zpoplatněných silnic I. třídy od 1. ledna 2020 je </w:t>
      </w:r>
      <w:r>
        <w:rPr>
          <w:rFonts w:ascii="Times New Roman" w:hAnsi="Times New Roman" w:cs="Times New Roman"/>
          <w:sz w:val="24"/>
          <w:szCs w:val="24"/>
          <w:lang w:val="cs-CZ"/>
        </w:rPr>
        <w:t xml:space="preserve">současně </w:t>
      </w:r>
      <w:r w:rsidR="00451699" w:rsidRPr="00451699">
        <w:rPr>
          <w:rFonts w:ascii="Times New Roman" w:hAnsi="Times New Roman" w:cs="Times New Roman"/>
          <w:sz w:val="24"/>
          <w:szCs w:val="24"/>
          <w:lang w:val="cs-CZ"/>
        </w:rPr>
        <w:t>součástí zadávací dokumentace na veřejnou zakázku s názvem „Systém elektronického mýtného“, na jejímž základě bude dodán a provozován Systém elektronického mýtného po roce 2019, resp. v letech 2020 – 2029</w:t>
      </w:r>
      <w:r>
        <w:rPr>
          <w:rFonts w:ascii="Times New Roman" w:hAnsi="Times New Roman" w:cs="Times New Roman"/>
          <w:sz w:val="24"/>
          <w:szCs w:val="24"/>
          <w:lang w:val="cs-CZ"/>
        </w:rPr>
        <w:t xml:space="preserve"> (</w:t>
      </w:r>
      <w:r w:rsidR="003A5240">
        <w:rPr>
          <w:rFonts w:ascii="Times New Roman" w:hAnsi="Times New Roman" w:cs="Times New Roman"/>
          <w:sz w:val="24"/>
          <w:szCs w:val="24"/>
          <w:lang w:val="cs-CZ"/>
        </w:rPr>
        <w:t>p</w:t>
      </w:r>
      <w:r w:rsidR="003A5240" w:rsidRPr="003A5240">
        <w:rPr>
          <w:rFonts w:ascii="Times New Roman" w:hAnsi="Times New Roman" w:cs="Times New Roman"/>
          <w:sz w:val="24"/>
          <w:szCs w:val="24"/>
          <w:lang w:val="cs-CZ"/>
        </w:rPr>
        <w:t>říloha č. 7 Smlouvy o dodávce a poskytování komplexních služeb provozu SEM</w:t>
      </w:r>
      <w:r>
        <w:rPr>
          <w:rFonts w:ascii="Times New Roman" w:hAnsi="Times New Roman" w:cs="Times New Roman"/>
          <w:sz w:val="24"/>
          <w:szCs w:val="24"/>
          <w:lang w:val="cs-CZ"/>
        </w:rPr>
        <w:t>)</w:t>
      </w:r>
      <w:r w:rsidR="00451699" w:rsidRPr="00451699">
        <w:rPr>
          <w:rFonts w:ascii="Times New Roman" w:hAnsi="Times New Roman" w:cs="Times New Roman"/>
          <w:sz w:val="24"/>
          <w:szCs w:val="24"/>
          <w:lang w:val="cs-CZ"/>
        </w:rPr>
        <w:t xml:space="preserve">. </w:t>
      </w:r>
      <w:r w:rsidR="007F4126">
        <w:rPr>
          <w:rFonts w:ascii="Times New Roman" w:hAnsi="Times New Roman" w:cs="Times New Roman"/>
          <w:sz w:val="24"/>
          <w:szCs w:val="24"/>
          <w:lang w:val="cs-CZ"/>
        </w:rPr>
        <w:t xml:space="preserve">Ministerstvo dopravy tak předpokládá, že oněch 900,2 km silnic I. třídy bude výkonově zpoplatněno </w:t>
      </w:r>
      <w:r w:rsidR="00EF19B2">
        <w:rPr>
          <w:rFonts w:ascii="Times New Roman" w:hAnsi="Times New Roman" w:cs="Times New Roman"/>
          <w:sz w:val="24"/>
          <w:szCs w:val="24"/>
          <w:lang w:val="cs-CZ"/>
        </w:rPr>
        <w:t xml:space="preserve">nejpozději </w:t>
      </w:r>
      <w:r w:rsidR="007F4126">
        <w:rPr>
          <w:rFonts w:ascii="Times New Roman" w:hAnsi="Times New Roman" w:cs="Times New Roman"/>
          <w:sz w:val="24"/>
          <w:szCs w:val="24"/>
          <w:lang w:val="cs-CZ"/>
        </w:rPr>
        <w:t>od 1. ledna 2020.</w:t>
      </w:r>
    </w:p>
    <w:p w:rsidR="007B6F99" w:rsidRDefault="009F078B" w:rsidP="003A5240">
      <w:pPr>
        <w:spacing w:before="120" w:after="0"/>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Níže uvedená </w:t>
      </w:r>
      <w:r w:rsidR="00B224EC">
        <w:rPr>
          <w:rFonts w:ascii="Times New Roman" w:hAnsi="Times New Roman" w:cs="Times New Roman"/>
          <w:sz w:val="24"/>
          <w:szCs w:val="24"/>
          <w:lang w:val="cs-CZ"/>
        </w:rPr>
        <w:t>tabulka uvádí p</w:t>
      </w:r>
      <w:r w:rsidR="00B224EC" w:rsidRPr="00B224EC">
        <w:rPr>
          <w:rFonts w:ascii="Times New Roman" w:hAnsi="Times New Roman" w:cs="Times New Roman"/>
          <w:sz w:val="24"/>
          <w:szCs w:val="24"/>
          <w:lang w:val="cs-CZ"/>
        </w:rPr>
        <w:t>ředpokládaný rozsah zpoplatněn</w:t>
      </w:r>
      <w:r w:rsidR="00B224EC">
        <w:rPr>
          <w:rFonts w:ascii="Times New Roman" w:hAnsi="Times New Roman" w:cs="Times New Roman"/>
          <w:sz w:val="24"/>
          <w:szCs w:val="24"/>
          <w:lang w:val="cs-CZ"/>
        </w:rPr>
        <w:t xml:space="preserve">ých pozemních komunikací v roce 2020 a jeho vývoj </w:t>
      </w:r>
      <w:r w:rsidR="00B224EC" w:rsidRPr="00B224EC">
        <w:rPr>
          <w:rFonts w:ascii="Times New Roman" w:hAnsi="Times New Roman" w:cs="Times New Roman"/>
          <w:sz w:val="24"/>
          <w:szCs w:val="24"/>
          <w:lang w:val="cs-CZ"/>
        </w:rPr>
        <w:t>v letech 2020</w:t>
      </w:r>
      <w:r w:rsidR="00466392">
        <w:rPr>
          <w:rFonts w:ascii="Times New Roman" w:hAnsi="Times New Roman" w:cs="Times New Roman"/>
          <w:sz w:val="24"/>
          <w:szCs w:val="24"/>
          <w:lang w:val="cs-CZ"/>
        </w:rPr>
        <w:t>–</w:t>
      </w:r>
      <w:r w:rsidR="00B224EC" w:rsidRPr="00B224EC">
        <w:rPr>
          <w:rFonts w:ascii="Times New Roman" w:hAnsi="Times New Roman" w:cs="Times New Roman"/>
          <w:sz w:val="24"/>
          <w:szCs w:val="24"/>
          <w:lang w:val="cs-CZ"/>
        </w:rPr>
        <w:t>2029</w:t>
      </w:r>
      <w:r w:rsidR="00466392">
        <w:rPr>
          <w:rFonts w:ascii="Times New Roman" w:hAnsi="Times New Roman" w:cs="Times New Roman"/>
          <w:sz w:val="24"/>
          <w:szCs w:val="24"/>
          <w:lang w:val="cs-CZ"/>
        </w:rPr>
        <w:t xml:space="preserve">. Dlužno dodat, že se jedná o předpoklad, který sloužil jako výchozí stav pro předmětné zadávací řízení, resp. pro zadávací dokumentaci pro zadávací řízení </w:t>
      </w:r>
      <w:r w:rsidR="00044FC1">
        <w:rPr>
          <w:rFonts w:ascii="Times New Roman" w:hAnsi="Times New Roman" w:cs="Times New Roman"/>
          <w:sz w:val="24"/>
          <w:szCs w:val="24"/>
          <w:lang w:val="cs-CZ"/>
        </w:rPr>
        <w:t>na předmětnou veřejnou zakázku.</w:t>
      </w:r>
    </w:p>
    <w:p w:rsidR="009F078B" w:rsidRDefault="007B6F99" w:rsidP="003A5240">
      <w:pPr>
        <w:spacing w:before="120" w:after="0"/>
        <w:jc w:val="both"/>
        <w:rPr>
          <w:rFonts w:ascii="Times New Roman" w:hAnsi="Times New Roman" w:cs="Times New Roman"/>
          <w:sz w:val="24"/>
          <w:szCs w:val="24"/>
          <w:lang w:val="cs-CZ"/>
        </w:rPr>
      </w:pPr>
      <w:r>
        <w:rPr>
          <w:rFonts w:ascii="Times New Roman" w:hAnsi="Times New Roman" w:cs="Times New Roman"/>
          <w:sz w:val="24"/>
          <w:szCs w:val="24"/>
          <w:lang w:val="cs-CZ"/>
        </w:rPr>
        <w:t>Předpoklad tedy je,</w:t>
      </w:r>
      <w:r w:rsidRPr="007B6F99">
        <w:rPr>
          <w:rFonts w:ascii="Times New Roman" w:hAnsi="Times New Roman" w:cs="Times New Roman"/>
          <w:sz w:val="24"/>
          <w:szCs w:val="24"/>
          <w:lang w:val="cs-CZ"/>
        </w:rPr>
        <w:t xml:space="preserve"> že od 1. </w:t>
      </w:r>
      <w:r w:rsidR="00044FC1">
        <w:rPr>
          <w:rFonts w:ascii="Times New Roman" w:hAnsi="Times New Roman" w:cs="Times New Roman"/>
          <w:sz w:val="24"/>
          <w:szCs w:val="24"/>
          <w:lang w:val="cs-CZ"/>
        </w:rPr>
        <w:t>ledna</w:t>
      </w:r>
      <w:r w:rsidRPr="007B6F99">
        <w:rPr>
          <w:rFonts w:ascii="Times New Roman" w:hAnsi="Times New Roman" w:cs="Times New Roman"/>
          <w:sz w:val="24"/>
          <w:szCs w:val="24"/>
          <w:lang w:val="cs-CZ"/>
        </w:rPr>
        <w:t xml:space="preserve"> 2020 bude zpoplatněno c</w:t>
      </w:r>
      <w:r>
        <w:rPr>
          <w:rFonts w:ascii="Times New Roman" w:hAnsi="Times New Roman" w:cs="Times New Roman"/>
          <w:sz w:val="24"/>
          <w:szCs w:val="24"/>
          <w:lang w:val="cs-CZ"/>
        </w:rPr>
        <w:t>ca</w:t>
      </w:r>
      <w:r w:rsidRPr="007B6F99">
        <w:rPr>
          <w:rFonts w:ascii="Times New Roman" w:hAnsi="Times New Roman" w:cs="Times New Roman"/>
          <w:sz w:val="24"/>
          <w:szCs w:val="24"/>
          <w:lang w:val="cs-CZ"/>
        </w:rPr>
        <w:t xml:space="preserve"> 1 34</w:t>
      </w:r>
      <w:r>
        <w:rPr>
          <w:rFonts w:ascii="Times New Roman" w:hAnsi="Times New Roman" w:cs="Times New Roman"/>
          <w:sz w:val="24"/>
          <w:szCs w:val="24"/>
          <w:lang w:val="cs-CZ"/>
        </w:rPr>
        <w:t>7</w:t>
      </w:r>
      <w:r w:rsidRPr="007B6F99">
        <w:rPr>
          <w:rFonts w:ascii="Times New Roman" w:hAnsi="Times New Roman" w:cs="Times New Roman"/>
          <w:sz w:val="24"/>
          <w:szCs w:val="24"/>
          <w:lang w:val="cs-CZ"/>
        </w:rPr>
        <w:t xml:space="preserve"> km dálnic (vč. nově zprovozněných úseků) a </w:t>
      </w:r>
      <w:r>
        <w:rPr>
          <w:rFonts w:ascii="Times New Roman" w:hAnsi="Times New Roman" w:cs="Times New Roman"/>
          <w:sz w:val="24"/>
          <w:szCs w:val="24"/>
          <w:lang w:val="cs-CZ"/>
        </w:rPr>
        <w:t xml:space="preserve">cca </w:t>
      </w:r>
      <w:r w:rsidRPr="007B6F99">
        <w:rPr>
          <w:rFonts w:ascii="Times New Roman" w:hAnsi="Times New Roman" w:cs="Times New Roman"/>
          <w:sz w:val="24"/>
          <w:szCs w:val="24"/>
          <w:lang w:val="cs-CZ"/>
        </w:rPr>
        <w:t>1 141 km silnic I. třídy. Úseky zpoplatněných silnic I. třídy zahrnují předpokládaný rozsah ke konci roku 2019 v délce 240,8 km</w:t>
      </w:r>
      <w:r>
        <w:rPr>
          <w:rFonts w:ascii="Times New Roman" w:hAnsi="Times New Roman" w:cs="Times New Roman"/>
          <w:sz w:val="24"/>
          <w:szCs w:val="24"/>
          <w:lang w:val="cs-CZ"/>
        </w:rPr>
        <w:t xml:space="preserve">. </w:t>
      </w:r>
      <w:r w:rsidR="00466392">
        <w:rPr>
          <w:rFonts w:ascii="Times New Roman" w:hAnsi="Times New Roman" w:cs="Times New Roman"/>
          <w:sz w:val="24"/>
          <w:szCs w:val="24"/>
          <w:lang w:val="cs-CZ"/>
        </w:rPr>
        <w:t>Údaje o výstavbě dálnic do roku 2020 a po tomto roku jsou odhady z roku 2016, proto jejich validita optikou roku 2018 může být diskutabilní. To ovšem nemění nic na tom, že se tento předpoklad stal součástí zadávací dokumentace.</w:t>
      </w:r>
    </w:p>
    <w:tbl>
      <w:tblPr>
        <w:tblStyle w:val="Tabulkasmkou4zvraznn11"/>
        <w:tblW w:w="9046" w:type="dxa"/>
        <w:tblLook w:val="04A0"/>
      </w:tblPr>
      <w:tblGrid>
        <w:gridCol w:w="1980"/>
        <w:gridCol w:w="706"/>
        <w:gridCol w:w="706"/>
        <w:gridCol w:w="706"/>
        <w:gridCol w:w="706"/>
        <w:gridCol w:w="707"/>
        <w:gridCol w:w="707"/>
        <w:gridCol w:w="707"/>
        <w:gridCol w:w="707"/>
        <w:gridCol w:w="707"/>
        <w:gridCol w:w="707"/>
      </w:tblGrid>
      <w:tr w:rsidR="00466392" w:rsidTr="00466392">
        <w:trPr>
          <w:cnfStyle w:val="100000000000"/>
        </w:trPr>
        <w:tc>
          <w:tcPr>
            <w:cnfStyle w:val="001000000000"/>
            <w:tcW w:w="1980" w:type="dxa"/>
          </w:tcPr>
          <w:p w:rsidR="00B224EC" w:rsidRPr="00466392" w:rsidRDefault="00B224EC" w:rsidP="003A5240">
            <w:pPr>
              <w:spacing w:before="120" w:after="0"/>
              <w:jc w:val="both"/>
              <w:rPr>
                <w:rFonts w:ascii="Times New Roman" w:hAnsi="Times New Roman" w:cs="Times New Roman"/>
                <w:lang w:val="cs-CZ"/>
              </w:rPr>
            </w:pPr>
            <w:r w:rsidRPr="00466392">
              <w:rPr>
                <w:rFonts w:ascii="Times New Roman" w:hAnsi="Times New Roman" w:cs="Times New Roman"/>
                <w:lang w:val="cs-CZ"/>
              </w:rPr>
              <w:t>Rok</w:t>
            </w:r>
          </w:p>
        </w:tc>
        <w:tc>
          <w:tcPr>
            <w:tcW w:w="706" w:type="dxa"/>
          </w:tcPr>
          <w:p w:rsidR="00B224EC" w:rsidRPr="00466392" w:rsidRDefault="00B224EC" w:rsidP="003A5240">
            <w:pPr>
              <w:spacing w:before="120" w:after="0"/>
              <w:jc w:val="both"/>
              <w:cnfStyle w:val="100000000000"/>
              <w:rPr>
                <w:rFonts w:ascii="Times New Roman" w:hAnsi="Times New Roman" w:cs="Times New Roman"/>
                <w:lang w:val="cs-CZ"/>
              </w:rPr>
            </w:pPr>
            <w:r w:rsidRPr="00466392">
              <w:rPr>
                <w:rFonts w:ascii="Times New Roman" w:hAnsi="Times New Roman" w:cs="Times New Roman"/>
                <w:lang w:val="cs-CZ"/>
              </w:rPr>
              <w:t>2020</w:t>
            </w:r>
          </w:p>
        </w:tc>
        <w:tc>
          <w:tcPr>
            <w:tcW w:w="706" w:type="dxa"/>
          </w:tcPr>
          <w:p w:rsidR="00B224EC" w:rsidRPr="00466392" w:rsidRDefault="00B224EC" w:rsidP="003A5240">
            <w:pPr>
              <w:spacing w:before="120" w:after="0"/>
              <w:jc w:val="both"/>
              <w:cnfStyle w:val="100000000000"/>
              <w:rPr>
                <w:rFonts w:ascii="Times New Roman" w:hAnsi="Times New Roman" w:cs="Times New Roman"/>
                <w:lang w:val="cs-CZ"/>
              </w:rPr>
            </w:pPr>
            <w:r w:rsidRPr="00466392">
              <w:rPr>
                <w:rFonts w:ascii="Times New Roman" w:hAnsi="Times New Roman" w:cs="Times New Roman"/>
                <w:lang w:val="cs-CZ"/>
              </w:rPr>
              <w:t>2021</w:t>
            </w:r>
          </w:p>
        </w:tc>
        <w:tc>
          <w:tcPr>
            <w:tcW w:w="706" w:type="dxa"/>
          </w:tcPr>
          <w:p w:rsidR="00B224EC" w:rsidRPr="00466392" w:rsidRDefault="00B224EC" w:rsidP="003A5240">
            <w:pPr>
              <w:spacing w:before="120" w:after="0"/>
              <w:jc w:val="both"/>
              <w:cnfStyle w:val="100000000000"/>
              <w:rPr>
                <w:rFonts w:ascii="Times New Roman" w:hAnsi="Times New Roman" w:cs="Times New Roman"/>
                <w:lang w:val="cs-CZ"/>
              </w:rPr>
            </w:pPr>
            <w:r w:rsidRPr="00466392">
              <w:rPr>
                <w:rFonts w:ascii="Times New Roman" w:hAnsi="Times New Roman" w:cs="Times New Roman"/>
                <w:lang w:val="cs-CZ"/>
              </w:rPr>
              <w:t>2022</w:t>
            </w:r>
          </w:p>
        </w:tc>
        <w:tc>
          <w:tcPr>
            <w:tcW w:w="706" w:type="dxa"/>
          </w:tcPr>
          <w:p w:rsidR="00B224EC" w:rsidRPr="00466392" w:rsidRDefault="00B224EC" w:rsidP="003A5240">
            <w:pPr>
              <w:spacing w:before="120" w:after="0"/>
              <w:jc w:val="both"/>
              <w:cnfStyle w:val="100000000000"/>
              <w:rPr>
                <w:rFonts w:ascii="Times New Roman" w:hAnsi="Times New Roman" w:cs="Times New Roman"/>
                <w:lang w:val="cs-CZ"/>
              </w:rPr>
            </w:pPr>
            <w:r w:rsidRPr="00466392">
              <w:rPr>
                <w:rFonts w:ascii="Times New Roman" w:hAnsi="Times New Roman" w:cs="Times New Roman"/>
                <w:lang w:val="cs-CZ"/>
              </w:rPr>
              <w:t>2023</w:t>
            </w:r>
          </w:p>
        </w:tc>
        <w:tc>
          <w:tcPr>
            <w:tcW w:w="707" w:type="dxa"/>
          </w:tcPr>
          <w:p w:rsidR="00B224EC" w:rsidRPr="00466392" w:rsidRDefault="00B224EC" w:rsidP="003A5240">
            <w:pPr>
              <w:spacing w:before="120" w:after="0"/>
              <w:jc w:val="both"/>
              <w:cnfStyle w:val="100000000000"/>
              <w:rPr>
                <w:rFonts w:ascii="Times New Roman" w:hAnsi="Times New Roman" w:cs="Times New Roman"/>
                <w:lang w:val="cs-CZ"/>
              </w:rPr>
            </w:pPr>
            <w:r w:rsidRPr="00466392">
              <w:rPr>
                <w:rFonts w:ascii="Times New Roman" w:hAnsi="Times New Roman" w:cs="Times New Roman"/>
                <w:lang w:val="cs-CZ"/>
              </w:rPr>
              <w:t>2024</w:t>
            </w:r>
          </w:p>
        </w:tc>
        <w:tc>
          <w:tcPr>
            <w:tcW w:w="707" w:type="dxa"/>
          </w:tcPr>
          <w:p w:rsidR="00B224EC" w:rsidRPr="00466392" w:rsidRDefault="00B224EC" w:rsidP="003A5240">
            <w:pPr>
              <w:spacing w:before="120" w:after="0"/>
              <w:jc w:val="both"/>
              <w:cnfStyle w:val="100000000000"/>
              <w:rPr>
                <w:rFonts w:ascii="Times New Roman" w:hAnsi="Times New Roman" w:cs="Times New Roman"/>
                <w:lang w:val="cs-CZ"/>
              </w:rPr>
            </w:pPr>
            <w:r w:rsidRPr="00466392">
              <w:rPr>
                <w:rFonts w:ascii="Times New Roman" w:hAnsi="Times New Roman" w:cs="Times New Roman"/>
                <w:lang w:val="cs-CZ"/>
              </w:rPr>
              <w:t>2025</w:t>
            </w:r>
          </w:p>
        </w:tc>
        <w:tc>
          <w:tcPr>
            <w:tcW w:w="707" w:type="dxa"/>
          </w:tcPr>
          <w:p w:rsidR="00B224EC" w:rsidRPr="00466392" w:rsidRDefault="00B224EC" w:rsidP="003A5240">
            <w:pPr>
              <w:spacing w:before="120" w:after="0"/>
              <w:jc w:val="both"/>
              <w:cnfStyle w:val="100000000000"/>
              <w:rPr>
                <w:rFonts w:ascii="Times New Roman" w:hAnsi="Times New Roman" w:cs="Times New Roman"/>
                <w:lang w:val="cs-CZ"/>
              </w:rPr>
            </w:pPr>
            <w:r w:rsidRPr="00466392">
              <w:rPr>
                <w:rFonts w:ascii="Times New Roman" w:hAnsi="Times New Roman" w:cs="Times New Roman"/>
                <w:lang w:val="cs-CZ"/>
              </w:rPr>
              <w:t>2026</w:t>
            </w:r>
          </w:p>
        </w:tc>
        <w:tc>
          <w:tcPr>
            <w:tcW w:w="707" w:type="dxa"/>
          </w:tcPr>
          <w:p w:rsidR="00B224EC" w:rsidRPr="00466392" w:rsidRDefault="00B224EC" w:rsidP="003A5240">
            <w:pPr>
              <w:spacing w:before="120" w:after="0"/>
              <w:jc w:val="both"/>
              <w:cnfStyle w:val="100000000000"/>
              <w:rPr>
                <w:rFonts w:ascii="Times New Roman" w:hAnsi="Times New Roman" w:cs="Times New Roman"/>
                <w:lang w:val="cs-CZ"/>
              </w:rPr>
            </w:pPr>
            <w:r w:rsidRPr="00466392">
              <w:rPr>
                <w:rFonts w:ascii="Times New Roman" w:hAnsi="Times New Roman" w:cs="Times New Roman"/>
                <w:lang w:val="cs-CZ"/>
              </w:rPr>
              <w:t>2027</w:t>
            </w:r>
          </w:p>
        </w:tc>
        <w:tc>
          <w:tcPr>
            <w:tcW w:w="707" w:type="dxa"/>
          </w:tcPr>
          <w:p w:rsidR="00B224EC" w:rsidRPr="00466392" w:rsidRDefault="00B224EC" w:rsidP="003A5240">
            <w:pPr>
              <w:spacing w:before="120" w:after="0"/>
              <w:jc w:val="both"/>
              <w:cnfStyle w:val="100000000000"/>
              <w:rPr>
                <w:rFonts w:ascii="Times New Roman" w:hAnsi="Times New Roman" w:cs="Times New Roman"/>
                <w:lang w:val="cs-CZ"/>
              </w:rPr>
            </w:pPr>
            <w:r w:rsidRPr="00466392">
              <w:rPr>
                <w:rFonts w:ascii="Times New Roman" w:hAnsi="Times New Roman" w:cs="Times New Roman"/>
                <w:lang w:val="cs-CZ"/>
              </w:rPr>
              <w:t>2028</w:t>
            </w:r>
          </w:p>
        </w:tc>
        <w:tc>
          <w:tcPr>
            <w:tcW w:w="707" w:type="dxa"/>
          </w:tcPr>
          <w:p w:rsidR="00B224EC" w:rsidRPr="00466392" w:rsidRDefault="00B224EC" w:rsidP="003A5240">
            <w:pPr>
              <w:spacing w:before="120" w:after="0"/>
              <w:jc w:val="both"/>
              <w:cnfStyle w:val="100000000000"/>
              <w:rPr>
                <w:rFonts w:ascii="Times New Roman" w:hAnsi="Times New Roman" w:cs="Times New Roman"/>
                <w:lang w:val="cs-CZ"/>
              </w:rPr>
            </w:pPr>
            <w:r w:rsidRPr="00466392">
              <w:rPr>
                <w:rFonts w:ascii="Times New Roman" w:hAnsi="Times New Roman" w:cs="Times New Roman"/>
                <w:lang w:val="cs-CZ"/>
              </w:rPr>
              <w:t>2029</w:t>
            </w:r>
          </w:p>
        </w:tc>
      </w:tr>
      <w:tr w:rsidR="00466392" w:rsidTr="00466392">
        <w:trPr>
          <w:cnfStyle w:val="000000100000"/>
        </w:trPr>
        <w:tc>
          <w:tcPr>
            <w:cnfStyle w:val="001000000000"/>
            <w:tcW w:w="1980" w:type="dxa"/>
          </w:tcPr>
          <w:p w:rsidR="00B224EC" w:rsidRPr="00466392" w:rsidRDefault="00B224EC" w:rsidP="003A5240">
            <w:pPr>
              <w:spacing w:before="120" w:after="0"/>
              <w:jc w:val="both"/>
              <w:rPr>
                <w:rFonts w:ascii="Times New Roman" w:hAnsi="Times New Roman" w:cs="Times New Roman"/>
                <w:lang w:val="cs-CZ"/>
              </w:rPr>
            </w:pPr>
            <w:r w:rsidRPr="00466392">
              <w:rPr>
                <w:rFonts w:ascii="Times New Roman" w:hAnsi="Times New Roman" w:cs="Times New Roman"/>
                <w:lang w:val="cs-CZ"/>
              </w:rPr>
              <w:t>Dálnice [km]</w:t>
            </w:r>
          </w:p>
        </w:tc>
        <w:tc>
          <w:tcPr>
            <w:tcW w:w="706" w:type="dxa"/>
          </w:tcPr>
          <w:p w:rsidR="00B224EC" w:rsidRPr="00466392" w:rsidRDefault="00B224EC" w:rsidP="003A5240">
            <w:pPr>
              <w:spacing w:before="120" w:after="0"/>
              <w:jc w:val="both"/>
              <w:cnfStyle w:val="000000100000"/>
              <w:rPr>
                <w:rFonts w:ascii="Times New Roman" w:hAnsi="Times New Roman" w:cs="Times New Roman"/>
                <w:lang w:val="cs-CZ"/>
              </w:rPr>
            </w:pPr>
            <w:r w:rsidRPr="00466392">
              <w:rPr>
                <w:rFonts w:ascii="Times New Roman" w:hAnsi="Times New Roman" w:cs="Times New Roman"/>
                <w:lang w:val="cs-CZ"/>
              </w:rPr>
              <w:t>1347</w:t>
            </w:r>
          </w:p>
        </w:tc>
        <w:tc>
          <w:tcPr>
            <w:tcW w:w="706" w:type="dxa"/>
          </w:tcPr>
          <w:p w:rsidR="00B224EC" w:rsidRPr="00466392" w:rsidRDefault="00B224EC" w:rsidP="003A5240">
            <w:pPr>
              <w:spacing w:before="120" w:after="0"/>
              <w:jc w:val="both"/>
              <w:cnfStyle w:val="000000100000"/>
              <w:rPr>
                <w:rFonts w:ascii="Times New Roman" w:hAnsi="Times New Roman" w:cs="Times New Roman"/>
                <w:lang w:val="cs-CZ"/>
              </w:rPr>
            </w:pPr>
            <w:r w:rsidRPr="00466392">
              <w:rPr>
                <w:rFonts w:ascii="Times New Roman" w:hAnsi="Times New Roman" w:cs="Times New Roman"/>
                <w:lang w:val="cs-CZ"/>
              </w:rPr>
              <w:t>1482</w:t>
            </w:r>
          </w:p>
        </w:tc>
        <w:tc>
          <w:tcPr>
            <w:tcW w:w="706" w:type="dxa"/>
          </w:tcPr>
          <w:p w:rsidR="00B224EC" w:rsidRPr="00466392" w:rsidRDefault="00B224EC" w:rsidP="003A5240">
            <w:pPr>
              <w:spacing w:before="120" w:after="0"/>
              <w:jc w:val="both"/>
              <w:cnfStyle w:val="000000100000"/>
              <w:rPr>
                <w:rFonts w:ascii="Times New Roman" w:hAnsi="Times New Roman" w:cs="Times New Roman"/>
                <w:lang w:val="cs-CZ"/>
              </w:rPr>
            </w:pPr>
            <w:r w:rsidRPr="00466392">
              <w:rPr>
                <w:rFonts w:ascii="Times New Roman" w:hAnsi="Times New Roman" w:cs="Times New Roman"/>
                <w:lang w:val="cs-CZ"/>
              </w:rPr>
              <w:t>1542</w:t>
            </w:r>
          </w:p>
        </w:tc>
        <w:tc>
          <w:tcPr>
            <w:tcW w:w="706" w:type="dxa"/>
          </w:tcPr>
          <w:p w:rsidR="00B224EC" w:rsidRPr="00466392" w:rsidRDefault="00B224EC" w:rsidP="003A5240">
            <w:pPr>
              <w:spacing w:before="120" w:after="0"/>
              <w:jc w:val="both"/>
              <w:cnfStyle w:val="000000100000"/>
              <w:rPr>
                <w:rFonts w:ascii="Times New Roman" w:hAnsi="Times New Roman" w:cs="Times New Roman"/>
                <w:lang w:val="cs-CZ"/>
              </w:rPr>
            </w:pPr>
            <w:r w:rsidRPr="00466392">
              <w:rPr>
                <w:rFonts w:ascii="Times New Roman" w:hAnsi="Times New Roman" w:cs="Times New Roman"/>
                <w:lang w:val="cs-CZ"/>
              </w:rPr>
              <w:t>1706</w:t>
            </w:r>
          </w:p>
        </w:tc>
        <w:tc>
          <w:tcPr>
            <w:tcW w:w="707" w:type="dxa"/>
          </w:tcPr>
          <w:p w:rsidR="00B224EC" w:rsidRPr="00466392" w:rsidRDefault="00B224EC" w:rsidP="003A5240">
            <w:pPr>
              <w:spacing w:before="120" w:after="0"/>
              <w:jc w:val="both"/>
              <w:cnfStyle w:val="000000100000"/>
              <w:rPr>
                <w:rFonts w:ascii="Times New Roman" w:hAnsi="Times New Roman" w:cs="Times New Roman"/>
                <w:lang w:val="cs-CZ"/>
              </w:rPr>
            </w:pPr>
            <w:r w:rsidRPr="00466392">
              <w:rPr>
                <w:rFonts w:ascii="Times New Roman" w:hAnsi="Times New Roman" w:cs="Times New Roman"/>
                <w:lang w:val="cs-CZ"/>
              </w:rPr>
              <w:t>1754</w:t>
            </w:r>
          </w:p>
        </w:tc>
        <w:tc>
          <w:tcPr>
            <w:tcW w:w="707" w:type="dxa"/>
          </w:tcPr>
          <w:p w:rsidR="00B224EC" w:rsidRPr="00466392" w:rsidRDefault="00B224EC" w:rsidP="003A5240">
            <w:pPr>
              <w:spacing w:before="120" w:after="0"/>
              <w:jc w:val="both"/>
              <w:cnfStyle w:val="000000100000"/>
              <w:rPr>
                <w:rFonts w:ascii="Times New Roman" w:hAnsi="Times New Roman" w:cs="Times New Roman"/>
                <w:lang w:val="cs-CZ"/>
              </w:rPr>
            </w:pPr>
            <w:r w:rsidRPr="00466392">
              <w:rPr>
                <w:rFonts w:ascii="Times New Roman" w:hAnsi="Times New Roman" w:cs="Times New Roman"/>
                <w:lang w:val="cs-CZ"/>
              </w:rPr>
              <w:t>1811</w:t>
            </w:r>
          </w:p>
        </w:tc>
        <w:tc>
          <w:tcPr>
            <w:tcW w:w="707" w:type="dxa"/>
          </w:tcPr>
          <w:p w:rsidR="00B224EC" w:rsidRPr="00466392" w:rsidRDefault="00B224EC" w:rsidP="003A5240">
            <w:pPr>
              <w:spacing w:before="120" w:after="0"/>
              <w:jc w:val="both"/>
              <w:cnfStyle w:val="000000100000"/>
              <w:rPr>
                <w:rFonts w:ascii="Times New Roman" w:hAnsi="Times New Roman" w:cs="Times New Roman"/>
                <w:lang w:val="cs-CZ"/>
              </w:rPr>
            </w:pPr>
            <w:r w:rsidRPr="00466392">
              <w:rPr>
                <w:rFonts w:ascii="Times New Roman" w:hAnsi="Times New Roman" w:cs="Times New Roman"/>
                <w:lang w:val="cs-CZ"/>
              </w:rPr>
              <w:t>1811</w:t>
            </w:r>
          </w:p>
        </w:tc>
        <w:tc>
          <w:tcPr>
            <w:tcW w:w="707" w:type="dxa"/>
          </w:tcPr>
          <w:p w:rsidR="00B224EC" w:rsidRPr="00466392" w:rsidRDefault="00B224EC" w:rsidP="003A5240">
            <w:pPr>
              <w:spacing w:before="120" w:after="0"/>
              <w:jc w:val="both"/>
              <w:cnfStyle w:val="000000100000"/>
              <w:rPr>
                <w:rFonts w:ascii="Times New Roman" w:hAnsi="Times New Roman" w:cs="Times New Roman"/>
                <w:lang w:val="cs-CZ"/>
              </w:rPr>
            </w:pPr>
            <w:r w:rsidRPr="00466392">
              <w:rPr>
                <w:rFonts w:ascii="Times New Roman" w:hAnsi="Times New Roman" w:cs="Times New Roman"/>
                <w:lang w:val="cs-CZ"/>
              </w:rPr>
              <w:t>1889</w:t>
            </w:r>
          </w:p>
        </w:tc>
        <w:tc>
          <w:tcPr>
            <w:tcW w:w="707" w:type="dxa"/>
          </w:tcPr>
          <w:p w:rsidR="00B224EC" w:rsidRPr="00466392" w:rsidRDefault="00B224EC" w:rsidP="003A5240">
            <w:pPr>
              <w:spacing w:before="120" w:after="0"/>
              <w:jc w:val="both"/>
              <w:cnfStyle w:val="000000100000"/>
              <w:rPr>
                <w:rFonts w:ascii="Times New Roman" w:hAnsi="Times New Roman" w:cs="Times New Roman"/>
                <w:lang w:val="cs-CZ"/>
              </w:rPr>
            </w:pPr>
            <w:r w:rsidRPr="00466392">
              <w:rPr>
                <w:rFonts w:ascii="Times New Roman" w:hAnsi="Times New Roman" w:cs="Times New Roman"/>
                <w:lang w:val="cs-CZ"/>
              </w:rPr>
              <w:t>1933</w:t>
            </w:r>
          </w:p>
        </w:tc>
        <w:tc>
          <w:tcPr>
            <w:tcW w:w="707" w:type="dxa"/>
          </w:tcPr>
          <w:p w:rsidR="00B224EC" w:rsidRPr="00466392" w:rsidRDefault="00B224EC" w:rsidP="003A5240">
            <w:pPr>
              <w:spacing w:before="120" w:after="0"/>
              <w:jc w:val="both"/>
              <w:cnfStyle w:val="000000100000"/>
              <w:rPr>
                <w:rFonts w:ascii="Times New Roman" w:hAnsi="Times New Roman" w:cs="Times New Roman"/>
                <w:lang w:val="cs-CZ"/>
              </w:rPr>
            </w:pPr>
            <w:r w:rsidRPr="00466392">
              <w:rPr>
                <w:rFonts w:ascii="Times New Roman" w:hAnsi="Times New Roman" w:cs="Times New Roman"/>
                <w:lang w:val="cs-CZ"/>
              </w:rPr>
              <w:t>1949</w:t>
            </w:r>
          </w:p>
        </w:tc>
      </w:tr>
      <w:tr w:rsidR="00466392" w:rsidTr="00466392">
        <w:tc>
          <w:tcPr>
            <w:cnfStyle w:val="001000000000"/>
            <w:tcW w:w="1980" w:type="dxa"/>
          </w:tcPr>
          <w:p w:rsidR="00B224EC" w:rsidRPr="00466392" w:rsidRDefault="00B224EC" w:rsidP="003A5240">
            <w:pPr>
              <w:spacing w:before="120" w:after="0"/>
              <w:jc w:val="both"/>
              <w:rPr>
                <w:rFonts w:ascii="Times New Roman" w:hAnsi="Times New Roman" w:cs="Times New Roman"/>
                <w:lang w:val="cs-CZ"/>
              </w:rPr>
            </w:pPr>
            <w:r w:rsidRPr="00466392">
              <w:rPr>
                <w:rFonts w:ascii="Times New Roman" w:hAnsi="Times New Roman" w:cs="Times New Roman"/>
                <w:lang w:val="cs-CZ"/>
              </w:rPr>
              <w:t>Silnice I. třídy [km]</w:t>
            </w:r>
          </w:p>
        </w:tc>
        <w:tc>
          <w:tcPr>
            <w:tcW w:w="706" w:type="dxa"/>
          </w:tcPr>
          <w:p w:rsidR="00B224EC" w:rsidRPr="00466392" w:rsidRDefault="00B224EC" w:rsidP="003A5240">
            <w:pPr>
              <w:spacing w:before="120" w:after="0"/>
              <w:jc w:val="both"/>
              <w:cnfStyle w:val="000000000000"/>
              <w:rPr>
                <w:rFonts w:ascii="Times New Roman" w:hAnsi="Times New Roman" w:cs="Times New Roman"/>
                <w:lang w:val="cs-CZ"/>
              </w:rPr>
            </w:pPr>
            <w:r w:rsidRPr="00466392">
              <w:rPr>
                <w:rFonts w:ascii="Times New Roman" w:hAnsi="Times New Roman" w:cs="Times New Roman"/>
                <w:lang w:val="cs-CZ"/>
              </w:rPr>
              <w:t>1141</w:t>
            </w:r>
          </w:p>
        </w:tc>
        <w:tc>
          <w:tcPr>
            <w:tcW w:w="706" w:type="dxa"/>
          </w:tcPr>
          <w:p w:rsidR="00B224EC" w:rsidRPr="00466392" w:rsidRDefault="00B224EC" w:rsidP="003A5240">
            <w:pPr>
              <w:spacing w:before="120" w:after="0"/>
              <w:jc w:val="both"/>
              <w:cnfStyle w:val="000000000000"/>
              <w:rPr>
                <w:rFonts w:ascii="Times New Roman" w:hAnsi="Times New Roman" w:cs="Times New Roman"/>
                <w:lang w:val="cs-CZ"/>
              </w:rPr>
            </w:pPr>
            <w:r w:rsidRPr="00466392">
              <w:rPr>
                <w:rFonts w:ascii="Times New Roman" w:hAnsi="Times New Roman" w:cs="Times New Roman"/>
                <w:lang w:val="cs-CZ"/>
              </w:rPr>
              <w:t>1141</w:t>
            </w:r>
          </w:p>
        </w:tc>
        <w:tc>
          <w:tcPr>
            <w:tcW w:w="706" w:type="dxa"/>
          </w:tcPr>
          <w:p w:rsidR="00B224EC" w:rsidRPr="00466392" w:rsidRDefault="00B224EC" w:rsidP="003A5240">
            <w:pPr>
              <w:spacing w:before="120" w:after="0"/>
              <w:jc w:val="both"/>
              <w:cnfStyle w:val="000000000000"/>
              <w:rPr>
                <w:rFonts w:ascii="Times New Roman" w:hAnsi="Times New Roman" w:cs="Times New Roman"/>
                <w:lang w:val="cs-CZ"/>
              </w:rPr>
            </w:pPr>
            <w:r w:rsidRPr="00466392">
              <w:rPr>
                <w:rFonts w:ascii="Times New Roman" w:hAnsi="Times New Roman" w:cs="Times New Roman"/>
                <w:lang w:val="cs-CZ"/>
              </w:rPr>
              <w:t>1141</w:t>
            </w:r>
          </w:p>
        </w:tc>
        <w:tc>
          <w:tcPr>
            <w:tcW w:w="706" w:type="dxa"/>
          </w:tcPr>
          <w:p w:rsidR="00B224EC" w:rsidRPr="00466392" w:rsidRDefault="00B224EC" w:rsidP="003A5240">
            <w:pPr>
              <w:spacing w:before="120" w:after="0"/>
              <w:jc w:val="both"/>
              <w:cnfStyle w:val="000000000000"/>
              <w:rPr>
                <w:rFonts w:ascii="Times New Roman" w:hAnsi="Times New Roman" w:cs="Times New Roman"/>
                <w:lang w:val="cs-CZ"/>
              </w:rPr>
            </w:pPr>
            <w:r w:rsidRPr="00466392">
              <w:rPr>
                <w:rFonts w:ascii="Times New Roman" w:hAnsi="Times New Roman" w:cs="Times New Roman"/>
                <w:lang w:val="cs-CZ"/>
              </w:rPr>
              <w:t>1141</w:t>
            </w:r>
          </w:p>
        </w:tc>
        <w:tc>
          <w:tcPr>
            <w:tcW w:w="707" w:type="dxa"/>
          </w:tcPr>
          <w:p w:rsidR="00B224EC" w:rsidRPr="00466392" w:rsidRDefault="00B224EC" w:rsidP="003A5240">
            <w:pPr>
              <w:spacing w:before="120" w:after="0"/>
              <w:jc w:val="both"/>
              <w:cnfStyle w:val="000000000000"/>
              <w:rPr>
                <w:rFonts w:ascii="Times New Roman" w:hAnsi="Times New Roman" w:cs="Times New Roman"/>
                <w:lang w:val="cs-CZ"/>
              </w:rPr>
            </w:pPr>
            <w:r w:rsidRPr="00466392">
              <w:rPr>
                <w:rFonts w:ascii="Times New Roman" w:hAnsi="Times New Roman" w:cs="Times New Roman"/>
                <w:lang w:val="cs-CZ"/>
              </w:rPr>
              <w:t>1141</w:t>
            </w:r>
          </w:p>
        </w:tc>
        <w:tc>
          <w:tcPr>
            <w:tcW w:w="707" w:type="dxa"/>
          </w:tcPr>
          <w:p w:rsidR="00B224EC" w:rsidRPr="00466392" w:rsidRDefault="00B224EC" w:rsidP="003A5240">
            <w:pPr>
              <w:spacing w:before="120" w:after="0"/>
              <w:jc w:val="both"/>
              <w:cnfStyle w:val="000000000000"/>
              <w:rPr>
                <w:rFonts w:ascii="Times New Roman" w:hAnsi="Times New Roman" w:cs="Times New Roman"/>
                <w:lang w:val="cs-CZ"/>
              </w:rPr>
            </w:pPr>
            <w:r w:rsidRPr="00466392">
              <w:rPr>
                <w:rFonts w:ascii="Times New Roman" w:hAnsi="Times New Roman" w:cs="Times New Roman"/>
                <w:lang w:val="cs-CZ"/>
              </w:rPr>
              <w:t>1141</w:t>
            </w:r>
          </w:p>
        </w:tc>
        <w:tc>
          <w:tcPr>
            <w:tcW w:w="707" w:type="dxa"/>
          </w:tcPr>
          <w:p w:rsidR="00B224EC" w:rsidRPr="00466392" w:rsidRDefault="00B224EC" w:rsidP="003A5240">
            <w:pPr>
              <w:spacing w:before="120" w:after="0"/>
              <w:jc w:val="both"/>
              <w:cnfStyle w:val="000000000000"/>
              <w:rPr>
                <w:rFonts w:ascii="Times New Roman" w:hAnsi="Times New Roman" w:cs="Times New Roman"/>
                <w:lang w:val="cs-CZ"/>
              </w:rPr>
            </w:pPr>
            <w:r w:rsidRPr="00466392">
              <w:rPr>
                <w:rFonts w:ascii="Times New Roman" w:hAnsi="Times New Roman" w:cs="Times New Roman"/>
                <w:lang w:val="cs-CZ"/>
              </w:rPr>
              <w:t>1141</w:t>
            </w:r>
          </w:p>
        </w:tc>
        <w:tc>
          <w:tcPr>
            <w:tcW w:w="707" w:type="dxa"/>
          </w:tcPr>
          <w:p w:rsidR="00B224EC" w:rsidRPr="00466392" w:rsidRDefault="00B224EC" w:rsidP="003A5240">
            <w:pPr>
              <w:spacing w:before="120" w:after="0"/>
              <w:jc w:val="both"/>
              <w:cnfStyle w:val="000000000000"/>
              <w:rPr>
                <w:rFonts w:ascii="Times New Roman" w:hAnsi="Times New Roman" w:cs="Times New Roman"/>
                <w:lang w:val="cs-CZ"/>
              </w:rPr>
            </w:pPr>
            <w:r w:rsidRPr="00466392">
              <w:rPr>
                <w:rFonts w:ascii="Times New Roman" w:hAnsi="Times New Roman" w:cs="Times New Roman"/>
                <w:lang w:val="cs-CZ"/>
              </w:rPr>
              <w:t>1141</w:t>
            </w:r>
          </w:p>
        </w:tc>
        <w:tc>
          <w:tcPr>
            <w:tcW w:w="707" w:type="dxa"/>
          </w:tcPr>
          <w:p w:rsidR="00B224EC" w:rsidRPr="00466392" w:rsidRDefault="00B224EC" w:rsidP="003A5240">
            <w:pPr>
              <w:spacing w:before="120" w:after="0"/>
              <w:jc w:val="both"/>
              <w:cnfStyle w:val="000000000000"/>
              <w:rPr>
                <w:rFonts w:ascii="Times New Roman" w:hAnsi="Times New Roman" w:cs="Times New Roman"/>
                <w:lang w:val="cs-CZ"/>
              </w:rPr>
            </w:pPr>
            <w:r w:rsidRPr="00466392">
              <w:rPr>
                <w:rFonts w:ascii="Times New Roman" w:hAnsi="Times New Roman" w:cs="Times New Roman"/>
                <w:lang w:val="cs-CZ"/>
              </w:rPr>
              <w:t>1141</w:t>
            </w:r>
          </w:p>
        </w:tc>
        <w:tc>
          <w:tcPr>
            <w:tcW w:w="707" w:type="dxa"/>
          </w:tcPr>
          <w:p w:rsidR="00B224EC" w:rsidRPr="00466392" w:rsidRDefault="00B224EC" w:rsidP="00B224EC">
            <w:pPr>
              <w:spacing w:before="120" w:after="0"/>
              <w:jc w:val="both"/>
              <w:cnfStyle w:val="000000000000"/>
              <w:rPr>
                <w:rFonts w:ascii="Times New Roman" w:hAnsi="Times New Roman" w:cs="Times New Roman"/>
                <w:lang w:val="cs-CZ"/>
              </w:rPr>
            </w:pPr>
            <w:r w:rsidRPr="00466392">
              <w:rPr>
                <w:rFonts w:ascii="Times New Roman" w:hAnsi="Times New Roman" w:cs="Times New Roman"/>
                <w:lang w:val="cs-CZ"/>
              </w:rPr>
              <w:t>1141</w:t>
            </w:r>
          </w:p>
        </w:tc>
      </w:tr>
      <w:tr w:rsidR="00466392" w:rsidTr="00466392">
        <w:trPr>
          <w:cnfStyle w:val="000000100000"/>
        </w:trPr>
        <w:tc>
          <w:tcPr>
            <w:cnfStyle w:val="001000000000"/>
            <w:tcW w:w="1980" w:type="dxa"/>
          </w:tcPr>
          <w:p w:rsidR="00B224EC" w:rsidRPr="00466392" w:rsidRDefault="00B224EC" w:rsidP="003A5240">
            <w:pPr>
              <w:spacing w:before="120" w:after="0"/>
              <w:jc w:val="both"/>
              <w:rPr>
                <w:rFonts w:ascii="Times New Roman" w:hAnsi="Times New Roman" w:cs="Times New Roman"/>
                <w:lang w:val="cs-CZ"/>
              </w:rPr>
            </w:pPr>
            <w:r w:rsidRPr="00466392">
              <w:rPr>
                <w:rFonts w:ascii="Times New Roman" w:hAnsi="Times New Roman" w:cs="Times New Roman"/>
                <w:lang w:val="cs-CZ"/>
              </w:rPr>
              <w:t>Celkem [km]</w:t>
            </w:r>
          </w:p>
        </w:tc>
        <w:tc>
          <w:tcPr>
            <w:tcW w:w="706" w:type="dxa"/>
          </w:tcPr>
          <w:p w:rsidR="00B224EC" w:rsidRPr="00466392" w:rsidRDefault="00B224EC" w:rsidP="003A5240">
            <w:pPr>
              <w:spacing w:before="120" w:after="0"/>
              <w:jc w:val="both"/>
              <w:cnfStyle w:val="000000100000"/>
              <w:rPr>
                <w:rFonts w:ascii="Times New Roman" w:hAnsi="Times New Roman" w:cs="Times New Roman"/>
                <w:lang w:val="cs-CZ"/>
              </w:rPr>
            </w:pPr>
            <w:r w:rsidRPr="00466392">
              <w:rPr>
                <w:rFonts w:ascii="Times New Roman" w:hAnsi="Times New Roman" w:cs="Times New Roman"/>
                <w:lang w:val="cs-CZ"/>
              </w:rPr>
              <w:t>2488</w:t>
            </w:r>
          </w:p>
        </w:tc>
        <w:tc>
          <w:tcPr>
            <w:tcW w:w="706" w:type="dxa"/>
          </w:tcPr>
          <w:p w:rsidR="00B224EC" w:rsidRPr="00466392" w:rsidRDefault="00B224EC" w:rsidP="003A5240">
            <w:pPr>
              <w:spacing w:before="120" w:after="0"/>
              <w:jc w:val="both"/>
              <w:cnfStyle w:val="000000100000"/>
              <w:rPr>
                <w:rFonts w:ascii="Times New Roman" w:hAnsi="Times New Roman" w:cs="Times New Roman"/>
                <w:lang w:val="cs-CZ"/>
              </w:rPr>
            </w:pPr>
            <w:r w:rsidRPr="00466392">
              <w:rPr>
                <w:rFonts w:ascii="Times New Roman" w:hAnsi="Times New Roman" w:cs="Times New Roman"/>
                <w:lang w:val="cs-CZ"/>
              </w:rPr>
              <w:t>2623</w:t>
            </w:r>
          </w:p>
        </w:tc>
        <w:tc>
          <w:tcPr>
            <w:tcW w:w="706" w:type="dxa"/>
          </w:tcPr>
          <w:p w:rsidR="00B224EC" w:rsidRPr="00466392" w:rsidRDefault="00B224EC" w:rsidP="003A5240">
            <w:pPr>
              <w:spacing w:before="120" w:after="0"/>
              <w:jc w:val="both"/>
              <w:cnfStyle w:val="000000100000"/>
              <w:rPr>
                <w:rFonts w:ascii="Times New Roman" w:hAnsi="Times New Roman" w:cs="Times New Roman"/>
                <w:lang w:val="cs-CZ"/>
              </w:rPr>
            </w:pPr>
            <w:r w:rsidRPr="00466392">
              <w:rPr>
                <w:rFonts w:ascii="Times New Roman" w:hAnsi="Times New Roman" w:cs="Times New Roman"/>
                <w:lang w:val="cs-CZ"/>
              </w:rPr>
              <w:t>2683</w:t>
            </w:r>
          </w:p>
        </w:tc>
        <w:tc>
          <w:tcPr>
            <w:tcW w:w="706" w:type="dxa"/>
          </w:tcPr>
          <w:p w:rsidR="00B224EC" w:rsidRPr="00466392" w:rsidRDefault="00B224EC" w:rsidP="003A5240">
            <w:pPr>
              <w:spacing w:before="120" w:after="0"/>
              <w:jc w:val="both"/>
              <w:cnfStyle w:val="000000100000"/>
              <w:rPr>
                <w:rFonts w:ascii="Times New Roman" w:hAnsi="Times New Roman" w:cs="Times New Roman"/>
                <w:lang w:val="cs-CZ"/>
              </w:rPr>
            </w:pPr>
            <w:r w:rsidRPr="00466392">
              <w:rPr>
                <w:rFonts w:ascii="Times New Roman" w:hAnsi="Times New Roman" w:cs="Times New Roman"/>
                <w:lang w:val="cs-CZ"/>
              </w:rPr>
              <w:t>2847</w:t>
            </w:r>
          </w:p>
        </w:tc>
        <w:tc>
          <w:tcPr>
            <w:tcW w:w="707" w:type="dxa"/>
          </w:tcPr>
          <w:p w:rsidR="00B224EC" w:rsidRPr="00466392" w:rsidRDefault="00B224EC" w:rsidP="003A5240">
            <w:pPr>
              <w:spacing w:before="120" w:after="0"/>
              <w:jc w:val="both"/>
              <w:cnfStyle w:val="000000100000"/>
              <w:rPr>
                <w:rFonts w:ascii="Times New Roman" w:hAnsi="Times New Roman" w:cs="Times New Roman"/>
                <w:lang w:val="cs-CZ"/>
              </w:rPr>
            </w:pPr>
            <w:r w:rsidRPr="00466392">
              <w:rPr>
                <w:rFonts w:ascii="Times New Roman" w:hAnsi="Times New Roman" w:cs="Times New Roman"/>
                <w:lang w:val="cs-CZ"/>
              </w:rPr>
              <w:t>2895</w:t>
            </w:r>
          </w:p>
        </w:tc>
        <w:tc>
          <w:tcPr>
            <w:tcW w:w="707" w:type="dxa"/>
          </w:tcPr>
          <w:p w:rsidR="00B224EC" w:rsidRPr="00466392" w:rsidRDefault="00B224EC" w:rsidP="003A5240">
            <w:pPr>
              <w:spacing w:before="120" w:after="0"/>
              <w:jc w:val="both"/>
              <w:cnfStyle w:val="000000100000"/>
              <w:rPr>
                <w:rFonts w:ascii="Times New Roman" w:hAnsi="Times New Roman" w:cs="Times New Roman"/>
                <w:lang w:val="cs-CZ"/>
              </w:rPr>
            </w:pPr>
            <w:r w:rsidRPr="00466392">
              <w:rPr>
                <w:rFonts w:ascii="Times New Roman" w:hAnsi="Times New Roman" w:cs="Times New Roman"/>
                <w:lang w:val="cs-CZ"/>
              </w:rPr>
              <w:t>2952</w:t>
            </w:r>
          </w:p>
        </w:tc>
        <w:tc>
          <w:tcPr>
            <w:tcW w:w="707" w:type="dxa"/>
          </w:tcPr>
          <w:p w:rsidR="00B224EC" w:rsidRPr="00466392" w:rsidRDefault="00B224EC" w:rsidP="003A5240">
            <w:pPr>
              <w:spacing w:before="120" w:after="0"/>
              <w:jc w:val="both"/>
              <w:cnfStyle w:val="000000100000"/>
              <w:rPr>
                <w:rFonts w:ascii="Times New Roman" w:hAnsi="Times New Roman" w:cs="Times New Roman"/>
                <w:lang w:val="cs-CZ"/>
              </w:rPr>
            </w:pPr>
            <w:r w:rsidRPr="00466392">
              <w:rPr>
                <w:rFonts w:ascii="Times New Roman" w:hAnsi="Times New Roman" w:cs="Times New Roman"/>
                <w:lang w:val="cs-CZ"/>
              </w:rPr>
              <w:t>2952</w:t>
            </w:r>
          </w:p>
        </w:tc>
        <w:tc>
          <w:tcPr>
            <w:tcW w:w="707" w:type="dxa"/>
          </w:tcPr>
          <w:p w:rsidR="00B224EC" w:rsidRPr="00466392" w:rsidRDefault="00B224EC" w:rsidP="003A5240">
            <w:pPr>
              <w:spacing w:before="120" w:after="0"/>
              <w:jc w:val="both"/>
              <w:cnfStyle w:val="000000100000"/>
              <w:rPr>
                <w:rFonts w:ascii="Times New Roman" w:hAnsi="Times New Roman" w:cs="Times New Roman"/>
                <w:lang w:val="cs-CZ"/>
              </w:rPr>
            </w:pPr>
            <w:r w:rsidRPr="00466392">
              <w:rPr>
                <w:rFonts w:ascii="Times New Roman" w:hAnsi="Times New Roman" w:cs="Times New Roman"/>
                <w:lang w:val="cs-CZ"/>
              </w:rPr>
              <w:t>3030</w:t>
            </w:r>
          </w:p>
        </w:tc>
        <w:tc>
          <w:tcPr>
            <w:tcW w:w="707" w:type="dxa"/>
          </w:tcPr>
          <w:p w:rsidR="00B224EC" w:rsidRPr="00466392" w:rsidRDefault="00B224EC" w:rsidP="003A5240">
            <w:pPr>
              <w:spacing w:before="120" w:after="0"/>
              <w:jc w:val="both"/>
              <w:cnfStyle w:val="000000100000"/>
              <w:rPr>
                <w:rFonts w:ascii="Times New Roman" w:hAnsi="Times New Roman" w:cs="Times New Roman"/>
                <w:lang w:val="cs-CZ"/>
              </w:rPr>
            </w:pPr>
            <w:r w:rsidRPr="00466392">
              <w:rPr>
                <w:rFonts w:ascii="Times New Roman" w:hAnsi="Times New Roman" w:cs="Times New Roman"/>
                <w:lang w:val="cs-CZ"/>
              </w:rPr>
              <w:t>3074</w:t>
            </w:r>
          </w:p>
        </w:tc>
        <w:tc>
          <w:tcPr>
            <w:tcW w:w="707" w:type="dxa"/>
          </w:tcPr>
          <w:p w:rsidR="00B224EC" w:rsidRPr="00466392" w:rsidRDefault="00B224EC" w:rsidP="003A5240">
            <w:pPr>
              <w:spacing w:before="120" w:after="0"/>
              <w:jc w:val="both"/>
              <w:cnfStyle w:val="000000100000"/>
              <w:rPr>
                <w:rFonts w:ascii="Times New Roman" w:hAnsi="Times New Roman" w:cs="Times New Roman"/>
                <w:lang w:val="cs-CZ"/>
              </w:rPr>
            </w:pPr>
            <w:r w:rsidRPr="00466392">
              <w:rPr>
                <w:rFonts w:ascii="Times New Roman" w:hAnsi="Times New Roman" w:cs="Times New Roman"/>
                <w:lang w:val="cs-CZ"/>
              </w:rPr>
              <w:t>3090</w:t>
            </w:r>
          </w:p>
        </w:tc>
      </w:tr>
    </w:tbl>
    <w:p w:rsidR="00B224EC" w:rsidRDefault="007B6F99" w:rsidP="003A5240">
      <w:pPr>
        <w:spacing w:before="120" w:after="0"/>
        <w:jc w:val="both"/>
        <w:rPr>
          <w:rFonts w:ascii="Times New Roman" w:hAnsi="Times New Roman" w:cs="Times New Roman"/>
          <w:sz w:val="24"/>
          <w:szCs w:val="24"/>
          <w:lang w:val="cs-CZ"/>
        </w:rPr>
      </w:pPr>
      <w:r>
        <w:rPr>
          <w:rFonts w:ascii="Times New Roman" w:hAnsi="Times New Roman" w:cs="Times New Roman"/>
          <w:sz w:val="24"/>
          <w:szCs w:val="24"/>
          <w:lang w:val="cs-CZ"/>
        </w:rPr>
        <w:t>Rozvoj Systému elektronického mýtného po roce 2019 lze tedy předpokládat primárně v rozsahu výkonově zpoplatněných pozemních komunikací.</w:t>
      </w:r>
    </w:p>
    <w:p w:rsidR="007B6F99" w:rsidRDefault="007B6F99" w:rsidP="007B6F99">
      <w:pPr>
        <w:spacing w:before="120" w:after="0"/>
        <w:jc w:val="both"/>
        <w:rPr>
          <w:rFonts w:ascii="Times New Roman" w:hAnsi="Times New Roman" w:cs="Times New Roman"/>
          <w:sz w:val="24"/>
          <w:szCs w:val="24"/>
          <w:lang w:val="cs-CZ"/>
        </w:rPr>
      </w:pPr>
      <w:r>
        <w:rPr>
          <w:rFonts w:ascii="Times New Roman" w:hAnsi="Times New Roman" w:cs="Times New Roman"/>
          <w:sz w:val="24"/>
          <w:szCs w:val="24"/>
          <w:lang w:val="cs-CZ"/>
        </w:rPr>
        <w:lastRenderedPageBreak/>
        <w:t xml:space="preserve">Další oblastí, ve které </w:t>
      </w:r>
      <w:r w:rsidR="00044FC1">
        <w:rPr>
          <w:rFonts w:ascii="Times New Roman" w:hAnsi="Times New Roman" w:cs="Times New Roman"/>
          <w:sz w:val="24"/>
          <w:szCs w:val="24"/>
          <w:lang w:val="cs-CZ"/>
        </w:rPr>
        <w:t>bude</w:t>
      </w:r>
      <w:r>
        <w:rPr>
          <w:rFonts w:ascii="Times New Roman" w:hAnsi="Times New Roman" w:cs="Times New Roman"/>
          <w:sz w:val="24"/>
          <w:szCs w:val="24"/>
          <w:lang w:val="cs-CZ"/>
        </w:rPr>
        <w:t xml:space="preserve"> Systém elektronického mýtného rozvíjen, je tarifní politika. Ministerstvo dopravy předpokládá, že v souladu s právními předpisy Evropské unie, především pak se směrnicí Evropského parlamentu a Rady </w:t>
      </w:r>
      <w:r w:rsidRPr="007B6F99">
        <w:rPr>
          <w:rFonts w:ascii="Times New Roman" w:hAnsi="Times New Roman" w:cs="Times New Roman"/>
          <w:sz w:val="24"/>
          <w:szCs w:val="24"/>
          <w:lang w:val="cs-CZ"/>
        </w:rPr>
        <w:t>1999/62/ES</w:t>
      </w:r>
      <w:r>
        <w:rPr>
          <w:rFonts w:ascii="Times New Roman" w:hAnsi="Times New Roman" w:cs="Times New Roman"/>
          <w:sz w:val="24"/>
          <w:szCs w:val="24"/>
          <w:lang w:val="cs-CZ"/>
        </w:rPr>
        <w:t xml:space="preserve"> </w:t>
      </w:r>
      <w:r w:rsidRPr="007B6F99">
        <w:rPr>
          <w:rFonts w:ascii="Times New Roman" w:hAnsi="Times New Roman" w:cs="Times New Roman"/>
          <w:sz w:val="24"/>
          <w:szCs w:val="24"/>
          <w:lang w:val="cs-CZ"/>
        </w:rPr>
        <w:t>ze dne 17. června 1999</w:t>
      </w:r>
      <w:r>
        <w:rPr>
          <w:rFonts w:ascii="Times New Roman" w:hAnsi="Times New Roman" w:cs="Times New Roman"/>
          <w:sz w:val="24"/>
          <w:szCs w:val="24"/>
          <w:lang w:val="cs-CZ"/>
        </w:rPr>
        <w:t xml:space="preserve"> </w:t>
      </w:r>
      <w:r w:rsidRPr="007B6F99">
        <w:rPr>
          <w:rFonts w:ascii="Times New Roman" w:hAnsi="Times New Roman" w:cs="Times New Roman"/>
          <w:sz w:val="24"/>
          <w:szCs w:val="24"/>
          <w:lang w:val="cs-CZ"/>
        </w:rPr>
        <w:t>o výběru poplatků za užívání určitých pozemních komunikací těžkými nákladními vozidly</w:t>
      </w:r>
      <w:r w:rsidR="004C5B35">
        <w:rPr>
          <w:rFonts w:ascii="Times New Roman" w:hAnsi="Times New Roman" w:cs="Times New Roman"/>
          <w:sz w:val="24"/>
          <w:szCs w:val="24"/>
          <w:lang w:val="cs-CZ"/>
        </w:rPr>
        <w:t>, dojde ke změně tarifní politiky, resp. ke změně struktury mýtných sazeb. Tarifní politika mýtných sazeb bude založena na rozdělení poplatku za pozemní komunikaci a poplatku za externality (hluk a emise). Současně Ministerstvo dopravy předpokládá rozdělení mýtných sazeb podle hmotnostních kategorií (3,5–7,5 t, 7,5–12 t, 12 a více t).</w:t>
      </w:r>
      <w:r w:rsidR="00044FC1">
        <w:rPr>
          <w:rFonts w:ascii="Times New Roman" w:hAnsi="Times New Roman" w:cs="Times New Roman"/>
          <w:sz w:val="24"/>
          <w:szCs w:val="24"/>
          <w:lang w:val="cs-CZ"/>
        </w:rPr>
        <w:t xml:space="preserve"> Veškerým těmto změnám však musí předcházet změna zákona o pozemních komunikacích, včetně jeho prováděcích právních předpisů.</w:t>
      </w:r>
    </w:p>
    <w:p w:rsidR="004C5B35" w:rsidRDefault="004C5B35" w:rsidP="007B6F99">
      <w:pPr>
        <w:spacing w:before="120" w:after="0"/>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Další rozvoj Systému elektronického mýtného bude realizován na základě požadavků </w:t>
      </w:r>
      <w:r w:rsidR="00044FC1">
        <w:rPr>
          <w:rFonts w:ascii="Times New Roman" w:hAnsi="Times New Roman" w:cs="Times New Roman"/>
          <w:sz w:val="24"/>
          <w:szCs w:val="24"/>
          <w:lang w:val="cs-CZ"/>
        </w:rPr>
        <w:t xml:space="preserve">objednatele – </w:t>
      </w:r>
      <w:r>
        <w:rPr>
          <w:rFonts w:ascii="Times New Roman" w:hAnsi="Times New Roman" w:cs="Times New Roman"/>
          <w:sz w:val="24"/>
          <w:szCs w:val="24"/>
          <w:lang w:val="cs-CZ"/>
        </w:rPr>
        <w:t>Ministerstva dopra</w:t>
      </w:r>
      <w:r w:rsidR="00044FC1">
        <w:rPr>
          <w:rFonts w:ascii="Times New Roman" w:hAnsi="Times New Roman" w:cs="Times New Roman"/>
          <w:sz w:val="24"/>
          <w:szCs w:val="24"/>
          <w:lang w:val="cs-CZ"/>
        </w:rPr>
        <w:t xml:space="preserve">vy, případně jeho provozovatele – Ředitelství silnic a dálnic ČR, a to v souladu se </w:t>
      </w:r>
      <w:r w:rsidR="00044FC1" w:rsidRPr="00044FC1">
        <w:rPr>
          <w:rFonts w:ascii="Times New Roman" w:hAnsi="Times New Roman" w:cs="Times New Roman"/>
          <w:sz w:val="24"/>
          <w:szCs w:val="24"/>
          <w:lang w:val="cs-CZ"/>
        </w:rPr>
        <w:t>Smlouv</w:t>
      </w:r>
      <w:r w:rsidR="00044FC1">
        <w:rPr>
          <w:rFonts w:ascii="Times New Roman" w:hAnsi="Times New Roman" w:cs="Times New Roman"/>
          <w:sz w:val="24"/>
          <w:szCs w:val="24"/>
          <w:lang w:val="cs-CZ"/>
        </w:rPr>
        <w:t>ou</w:t>
      </w:r>
      <w:r w:rsidR="00044FC1" w:rsidRPr="00044FC1">
        <w:rPr>
          <w:rFonts w:ascii="Times New Roman" w:hAnsi="Times New Roman" w:cs="Times New Roman"/>
          <w:sz w:val="24"/>
          <w:szCs w:val="24"/>
          <w:lang w:val="cs-CZ"/>
        </w:rPr>
        <w:t xml:space="preserve"> o dodávce a poskytování komplexních služeb provozu SEM</w:t>
      </w:r>
      <w:r w:rsidR="00044FC1">
        <w:rPr>
          <w:rFonts w:ascii="Times New Roman" w:hAnsi="Times New Roman" w:cs="Times New Roman"/>
          <w:sz w:val="24"/>
          <w:szCs w:val="24"/>
          <w:lang w:val="cs-CZ"/>
        </w:rPr>
        <w:t xml:space="preserve"> a zákonem č. 13</w:t>
      </w:r>
      <w:r w:rsidR="00E310D9">
        <w:rPr>
          <w:rFonts w:ascii="Times New Roman" w:hAnsi="Times New Roman" w:cs="Times New Roman"/>
          <w:sz w:val="24"/>
          <w:szCs w:val="24"/>
          <w:lang w:val="cs-CZ"/>
        </w:rPr>
        <w:t>4</w:t>
      </w:r>
      <w:r w:rsidR="00044FC1">
        <w:rPr>
          <w:rFonts w:ascii="Times New Roman" w:hAnsi="Times New Roman" w:cs="Times New Roman"/>
          <w:sz w:val="24"/>
          <w:szCs w:val="24"/>
          <w:lang w:val="cs-CZ"/>
        </w:rPr>
        <w:t>/2016 Sb., o zadávání veřejných zakázek, ve znění pozdějších předpisů.</w:t>
      </w:r>
      <w:r w:rsidR="002E77D8">
        <w:rPr>
          <w:rFonts w:ascii="Times New Roman" w:hAnsi="Times New Roman" w:cs="Times New Roman"/>
          <w:sz w:val="24"/>
          <w:szCs w:val="24"/>
          <w:lang w:val="cs-CZ"/>
        </w:rPr>
        <w:t xml:space="preserve"> Bližší specifikaci nelze v tuto chvíli poskytnout.</w:t>
      </w:r>
    </w:p>
    <w:p w:rsidR="00EE2E92" w:rsidRDefault="00EE2E92">
      <w:pPr>
        <w:spacing w:before="0" w:after="160" w:line="259" w:lineRule="auto"/>
        <w:rPr>
          <w:rFonts w:ascii="Times New Roman" w:hAnsi="Times New Roman" w:cs="Times New Roman"/>
          <w:b/>
          <w:bCs/>
          <w:caps/>
          <w:color w:val="FFFFFF" w:themeColor="background1"/>
          <w:spacing w:val="15"/>
          <w:sz w:val="28"/>
          <w:szCs w:val="28"/>
          <w:lang w:val="cs-CZ"/>
        </w:rPr>
      </w:pPr>
      <w:r>
        <w:rPr>
          <w:rFonts w:ascii="Times New Roman" w:hAnsi="Times New Roman" w:cs="Times New Roman"/>
          <w:sz w:val="28"/>
          <w:szCs w:val="28"/>
          <w:lang w:val="cs-CZ"/>
        </w:rPr>
        <w:br w:type="page"/>
      </w:r>
    </w:p>
    <w:p w:rsidR="00EE2E92" w:rsidRPr="00EE2E92" w:rsidRDefault="00EE2E92" w:rsidP="00EE2E92">
      <w:pPr>
        <w:pStyle w:val="Nadpis1"/>
        <w:spacing w:before="120"/>
        <w:rPr>
          <w:rFonts w:ascii="Times New Roman" w:hAnsi="Times New Roman" w:cs="Times New Roman"/>
          <w:sz w:val="28"/>
          <w:szCs w:val="28"/>
          <w:lang w:val="cs-CZ"/>
        </w:rPr>
      </w:pPr>
      <w:r w:rsidRPr="00EE2E92">
        <w:rPr>
          <w:rFonts w:ascii="Times New Roman" w:hAnsi="Times New Roman" w:cs="Times New Roman"/>
          <w:sz w:val="28"/>
          <w:szCs w:val="28"/>
          <w:lang w:val="cs-CZ"/>
        </w:rPr>
        <w:lastRenderedPageBreak/>
        <w:t>DOSAVADNÍ PRŮBĚH ZADÁVACÍHO ŘÍZENÍ NA VEŘEJNOU ZAKÁZKU S NÁZVEM „sYSTÉM ELEKTORNICKÉHO MÝTNÉHO“</w:t>
      </w:r>
    </w:p>
    <w:p w:rsidR="00EE2E92" w:rsidRPr="00EE2E92" w:rsidRDefault="00EE2E92" w:rsidP="00EE2E92">
      <w:pPr>
        <w:spacing w:before="120" w:after="0"/>
        <w:jc w:val="both"/>
        <w:rPr>
          <w:rFonts w:ascii="Times New Roman" w:hAnsi="Times New Roman" w:cs="Times New Roman"/>
          <w:sz w:val="24"/>
          <w:szCs w:val="24"/>
          <w:lang w:val="cs-CZ"/>
        </w:rPr>
      </w:pPr>
      <w:r w:rsidRPr="00EE2E92">
        <w:rPr>
          <w:rFonts w:ascii="Times New Roman" w:hAnsi="Times New Roman" w:cs="Times New Roman"/>
          <w:sz w:val="24"/>
          <w:szCs w:val="24"/>
          <w:lang w:val="cs-CZ"/>
        </w:rPr>
        <w:t>Zadávací řízení na výše uvedenou veřejnou zakázku bylo dne 15. června 2017 zahájeno s</w:t>
      </w:r>
      <w:r w:rsidR="006379D5">
        <w:rPr>
          <w:rFonts w:ascii="Times New Roman" w:hAnsi="Times New Roman" w:cs="Times New Roman"/>
          <w:sz w:val="24"/>
          <w:szCs w:val="24"/>
          <w:lang w:val="cs-CZ"/>
        </w:rPr>
        <w:t> </w:t>
      </w:r>
      <w:r w:rsidRPr="00EE2E92">
        <w:rPr>
          <w:rFonts w:ascii="Times New Roman" w:hAnsi="Times New Roman" w:cs="Times New Roman"/>
          <w:sz w:val="24"/>
          <w:szCs w:val="24"/>
          <w:lang w:val="cs-CZ"/>
        </w:rPr>
        <w:t>termínem pro podání žádostí o účast 14. srpna 2017. Součástí vysvětlení zadávací dokumentace č. 18 ze dne 4. srpna 2017 bylo prodloužení lhůty pro podání žádostí o účast, kdy zadavatel v souladu s ustanovením § 99 odst. 2 zákona č. 134/2016 Sb., o zadávání veřejných zakázek, ve znění pozdějších předpisů, sdělil, že mimo jiné z důvodu upřesnění odpovědí na dotazy a s ohledem na opravy formálních chyb v psaní v zadávací dokumentaci přistoupil k</w:t>
      </w:r>
      <w:r w:rsidR="006379D5">
        <w:rPr>
          <w:rFonts w:ascii="Times New Roman" w:hAnsi="Times New Roman" w:cs="Times New Roman"/>
          <w:sz w:val="24"/>
          <w:szCs w:val="24"/>
          <w:lang w:val="cs-CZ"/>
        </w:rPr>
        <w:t> </w:t>
      </w:r>
      <w:r w:rsidRPr="00EE2E92">
        <w:rPr>
          <w:rFonts w:ascii="Times New Roman" w:hAnsi="Times New Roman" w:cs="Times New Roman"/>
          <w:sz w:val="24"/>
          <w:szCs w:val="24"/>
          <w:lang w:val="cs-CZ"/>
        </w:rPr>
        <w:t>prodlužení lhůty pro podání žádostí o účast, přičemž konec lhůty pro podání žádosti o účast byl nově stanoven na 24. srpna 2017 (14:00 hod.).</w:t>
      </w:r>
    </w:p>
    <w:p w:rsidR="00EE2E92" w:rsidRPr="00EE2E92" w:rsidRDefault="00EE2E92" w:rsidP="00EE2E92">
      <w:pPr>
        <w:spacing w:before="120" w:after="0"/>
        <w:jc w:val="both"/>
        <w:rPr>
          <w:rFonts w:ascii="Times New Roman" w:hAnsi="Times New Roman" w:cs="Times New Roman"/>
          <w:sz w:val="24"/>
          <w:szCs w:val="24"/>
          <w:lang w:val="cs-CZ"/>
        </w:rPr>
      </w:pPr>
      <w:r w:rsidRPr="00EE2E92">
        <w:rPr>
          <w:rFonts w:ascii="Times New Roman" w:hAnsi="Times New Roman" w:cs="Times New Roman"/>
          <w:sz w:val="24"/>
          <w:szCs w:val="24"/>
          <w:lang w:val="cs-CZ"/>
        </w:rPr>
        <w:t>Ve lhůtě pro podání žádostí o účast byly podány celkem 4 žádosti.</w:t>
      </w:r>
    </w:p>
    <w:p w:rsidR="00EE2E92" w:rsidRPr="00EE2E92" w:rsidRDefault="00EE2E92" w:rsidP="00EE2E92">
      <w:pPr>
        <w:spacing w:before="120" w:after="0"/>
        <w:jc w:val="both"/>
        <w:rPr>
          <w:rFonts w:ascii="Times New Roman" w:hAnsi="Times New Roman" w:cs="Times New Roman"/>
          <w:sz w:val="24"/>
          <w:szCs w:val="24"/>
          <w:lang w:val="cs-CZ"/>
        </w:rPr>
      </w:pPr>
      <w:r w:rsidRPr="00EE2E92">
        <w:rPr>
          <w:rFonts w:ascii="Times New Roman" w:hAnsi="Times New Roman" w:cs="Times New Roman"/>
          <w:sz w:val="24"/>
          <w:szCs w:val="24"/>
          <w:lang w:val="cs-CZ"/>
        </w:rPr>
        <w:t>Do konce měsíce října 2017 probíhalo posouzení kvalifikace všech žadatelů o účast v zadávacím řízení. Na základě tohoto posouzení bylo konstatováno, že všichni 4 žadatelé se kvalifikovali a následně dne 1. listopadu 2017 byli vyzváni k podání předběžné nabídky s termínem pro podání stanoveným na 11. ledna 2018 (12:00 hod.).</w:t>
      </w:r>
    </w:p>
    <w:p w:rsidR="00EE2E92" w:rsidRPr="00EE2E92" w:rsidRDefault="00EE2E92" w:rsidP="00EE2E92">
      <w:pPr>
        <w:spacing w:before="120" w:after="0"/>
        <w:jc w:val="both"/>
        <w:rPr>
          <w:rFonts w:ascii="Times New Roman" w:hAnsi="Times New Roman" w:cs="Times New Roman"/>
          <w:sz w:val="24"/>
          <w:szCs w:val="24"/>
          <w:lang w:val="cs-CZ"/>
        </w:rPr>
      </w:pPr>
      <w:r w:rsidRPr="00EE2E92">
        <w:rPr>
          <w:rFonts w:ascii="Times New Roman" w:hAnsi="Times New Roman" w:cs="Times New Roman"/>
          <w:sz w:val="24"/>
          <w:szCs w:val="24"/>
          <w:lang w:val="cs-CZ"/>
        </w:rPr>
        <w:t>Na základě vysvětlení zadávací dokumentace č. 38 byl termín pro podání předběžných nabídek posunut z 11. ledna 2018 (12:00 hod.) na 22. ledna 2018 (10:00 hod.). Důvodem tohoto posunutí byla žádost o prodloužení lhůty pro podání předběžných nabídek. Zadavatel přistoupil k</w:t>
      </w:r>
      <w:r w:rsidR="006379D5">
        <w:rPr>
          <w:rFonts w:ascii="Times New Roman" w:hAnsi="Times New Roman" w:cs="Times New Roman"/>
          <w:sz w:val="24"/>
          <w:szCs w:val="24"/>
          <w:lang w:val="cs-CZ"/>
        </w:rPr>
        <w:t> </w:t>
      </w:r>
      <w:r w:rsidRPr="00EE2E92">
        <w:rPr>
          <w:rFonts w:ascii="Times New Roman" w:hAnsi="Times New Roman" w:cs="Times New Roman"/>
          <w:sz w:val="24"/>
          <w:szCs w:val="24"/>
          <w:lang w:val="cs-CZ"/>
        </w:rPr>
        <w:t>prodloužení lhůty pro podání předběžných nabídek přesto, že původně stanovenou lhůtu považoval za dostatečnou a přiměřenou. Zadavatel se nicméně snažil vyjít účastníkům zadávacího řízení vstříc, a to při zohlednění potřeb zadavatele na zahájení plnění předmětné veřejné zakázky.</w:t>
      </w:r>
    </w:p>
    <w:p w:rsidR="00EE2E92" w:rsidRPr="00EE2E92" w:rsidRDefault="00EE2E92" w:rsidP="00EE2E92">
      <w:pPr>
        <w:spacing w:before="120" w:after="0"/>
        <w:jc w:val="both"/>
        <w:rPr>
          <w:rFonts w:ascii="Times New Roman" w:hAnsi="Times New Roman" w:cs="Times New Roman"/>
          <w:sz w:val="24"/>
          <w:szCs w:val="24"/>
          <w:lang w:val="cs-CZ"/>
        </w:rPr>
      </w:pPr>
      <w:r w:rsidRPr="00EE2E92">
        <w:rPr>
          <w:rFonts w:ascii="Times New Roman" w:hAnsi="Times New Roman" w:cs="Times New Roman"/>
          <w:sz w:val="24"/>
          <w:szCs w:val="24"/>
          <w:lang w:val="cs-CZ"/>
        </w:rPr>
        <w:t>Na základě vysvětlení zadávací dokumentace č. 49 byl termín pro podání předběžných nabídek posunut z 22. ledna 2018 (10:00 hod.) na 8. března 2018 (10:00 hod.). Důvodem tohoto posunutí bylo poskytnutí informace účastníkům zadávacího řízení o tom, že je k dispozici dokumentace mýtného systému související s implementací evropské služby elektronického mýtného, která byla dokončena k 31. srpnu 2017. Vzhledem k tomu, že dokumentace mýtného systému týkající se implementace evropské služby elektronického mýtného, která byla předána k 31. říjnu 2017 a následně do prosince 2017 revidována, čítala několik tisíc stran, bylo nutné účastníkům zadávacího řízení poskytnout dostatek času na to, aby se s touto dokumentací mýtného systému důkladně seznámili.</w:t>
      </w:r>
    </w:p>
    <w:p w:rsidR="00EE2E92" w:rsidRPr="00EE2E92" w:rsidRDefault="00EE2E92" w:rsidP="00EE2E92">
      <w:pPr>
        <w:spacing w:before="120" w:after="0"/>
        <w:jc w:val="both"/>
        <w:rPr>
          <w:rFonts w:ascii="Times New Roman" w:hAnsi="Times New Roman" w:cs="Times New Roman"/>
          <w:sz w:val="24"/>
          <w:szCs w:val="24"/>
          <w:lang w:val="cs-CZ"/>
        </w:rPr>
      </w:pPr>
      <w:r w:rsidRPr="00EE2E92">
        <w:rPr>
          <w:rFonts w:ascii="Times New Roman" w:hAnsi="Times New Roman" w:cs="Times New Roman"/>
          <w:sz w:val="24"/>
          <w:szCs w:val="24"/>
          <w:lang w:val="cs-CZ"/>
        </w:rPr>
        <w:t xml:space="preserve">Předpokládaná hodnota veřejné zakázky byla cca 29 mld. Kč bez DPH. Zadávací dokumentace je dostupná na profilu zadavatele na elektronickém nástroji </w:t>
      </w:r>
      <w:proofErr w:type="spellStart"/>
      <w:r w:rsidRPr="00EE2E92">
        <w:rPr>
          <w:rFonts w:ascii="Times New Roman" w:hAnsi="Times New Roman" w:cs="Times New Roman"/>
          <w:sz w:val="24"/>
          <w:szCs w:val="24"/>
          <w:lang w:val="cs-CZ"/>
        </w:rPr>
        <w:t>Tenderarena</w:t>
      </w:r>
      <w:proofErr w:type="spellEnd"/>
      <w:r w:rsidRPr="00EE2E92">
        <w:rPr>
          <w:rFonts w:ascii="Times New Roman" w:hAnsi="Times New Roman" w:cs="Times New Roman"/>
          <w:sz w:val="24"/>
          <w:szCs w:val="24"/>
          <w:lang w:val="cs-CZ"/>
        </w:rPr>
        <w:t xml:space="preserve"> na internetové adrese: </w:t>
      </w:r>
      <w:hyperlink r:id="rId9" w:history="1">
        <w:r w:rsidRPr="002712AD">
          <w:rPr>
            <w:rStyle w:val="Hypertextovodkaz"/>
            <w:rFonts w:ascii="Times New Roman" w:hAnsi="Times New Roman" w:cs="Times New Roman"/>
            <w:sz w:val="24"/>
            <w:szCs w:val="24"/>
            <w:lang w:val="cs-CZ"/>
          </w:rPr>
          <w:t>https://www.tenderarena.cz/profil/zakazka/detail.jsf?id=92369</w:t>
        </w:r>
      </w:hyperlink>
      <w:r>
        <w:rPr>
          <w:rFonts w:ascii="Times New Roman" w:hAnsi="Times New Roman" w:cs="Times New Roman"/>
          <w:sz w:val="24"/>
          <w:szCs w:val="24"/>
          <w:lang w:val="cs-CZ"/>
        </w:rPr>
        <w:t>.</w:t>
      </w:r>
    </w:p>
    <w:p w:rsidR="00EE2E92" w:rsidRDefault="00EE2E92">
      <w:pPr>
        <w:spacing w:before="0" w:after="160" w:line="259" w:lineRule="auto"/>
        <w:rPr>
          <w:rFonts w:ascii="Times New Roman" w:hAnsi="Times New Roman" w:cs="Times New Roman"/>
          <w:b/>
          <w:bCs/>
          <w:caps/>
          <w:color w:val="FFFFFF" w:themeColor="background1"/>
          <w:spacing w:val="15"/>
          <w:sz w:val="28"/>
          <w:szCs w:val="28"/>
          <w:lang w:val="cs-CZ"/>
        </w:rPr>
      </w:pPr>
      <w:r>
        <w:rPr>
          <w:rFonts w:ascii="Times New Roman" w:hAnsi="Times New Roman" w:cs="Times New Roman"/>
          <w:sz w:val="28"/>
          <w:szCs w:val="28"/>
          <w:lang w:val="cs-CZ"/>
        </w:rPr>
        <w:br w:type="page"/>
      </w:r>
    </w:p>
    <w:p w:rsidR="00EE2E92" w:rsidRPr="00EE2E92" w:rsidRDefault="00EE2E92" w:rsidP="00EE2E92">
      <w:pPr>
        <w:pStyle w:val="Nadpis1"/>
        <w:spacing w:before="120"/>
        <w:rPr>
          <w:rFonts w:ascii="Times New Roman" w:hAnsi="Times New Roman" w:cs="Times New Roman"/>
          <w:sz w:val="28"/>
          <w:szCs w:val="28"/>
          <w:lang w:val="cs-CZ"/>
        </w:rPr>
      </w:pPr>
      <w:r w:rsidRPr="00EE2E92">
        <w:rPr>
          <w:rFonts w:ascii="Times New Roman" w:hAnsi="Times New Roman" w:cs="Times New Roman"/>
          <w:sz w:val="28"/>
          <w:szCs w:val="28"/>
          <w:lang w:val="cs-CZ"/>
        </w:rPr>
        <w:lastRenderedPageBreak/>
        <w:t>STÁVAJÍCÍ STAV</w:t>
      </w:r>
    </w:p>
    <w:p w:rsidR="00EE2E92" w:rsidRPr="00EE2E92" w:rsidRDefault="00EE2E92" w:rsidP="00EE2E92">
      <w:pPr>
        <w:spacing w:before="120" w:after="0"/>
        <w:jc w:val="both"/>
        <w:rPr>
          <w:rFonts w:ascii="Times New Roman" w:hAnsi="Times New Roman" w:cs="Times New Roman"/>
          <w:sz w:val="24"/>
          <w:szCs w:val="24"/>
          <w:lang w:val="cs-CZ"/>
        </w:rPr>
      </w:pPr>
      <w:r w:rsidRPr="00EE2E92">
        <w:rPr>
          <w:rFonts w:ascii="Times New Roman" w:hAnsi="Times New Roman" w:cs="Times New Roman"/>
          <w:sz w:val="24"/>
          <w:szCs w:val="24"/>
          <w:lang w:val="cs-CZ"/>
        </w:rPr>
        <w:t>Zadavatel dne 8. března 2018 v souladu s § 42 zákona č. 134/2016 Sb., o zadávání veřejných zakázek, ve znění pozdějších předpisů, ustanovil komisi pro hodnocení nabídek. Zadavatel současně v tento den, tedy ve lhůtě pro podání předběžných nabídek, obdržel 4 předběžné nabídky od 4 kvalifikovaných účastníků zadávacího řízení.</w:t>
      </w:r>
    </w:p>
    <w:p w:rsidR="00EE2E92" w:rsidRPr="00EE2E92" w:rsidRDefault="00EE2E92" w:rsidP="00EE2E92">
      <w:pPr>
        <w:spacing w:before="120" w:after="0"/>
        <w:jc w:val="both"/>
        <w:rPr>
          <w:rFonts w:ascii="Times New Roman" w:hAnsi="Times New Roman" w:cs="Times New Roman"/>
          <w:sz w:val="24"/>
          <w:szCs w:val="24"/>
          <w:lang w:val="cs-CZ"/>
        </w:rPr>
      </w:pPr>
      <w:r w:rsidRPr="00EE2E92">
        <w:rPr>
          <w:rFonts w:ascii="Times New Roman" w:hAnsi="Times New Roman" w:cs="Times New Roman"/>
          <w:sz w:val="24"/>
          <w:szCs w:val="24"/>
          <w:lang w:val="cs-CZ"/>
        </w:rPr>
        <w:t xml:space="preserve">První jednání hodnotící komise proběhlo dne 19. března 2018. Na tomto jednání se hodnotící komise seznámila s identifikačními údaji účastníků zadávacího řízení, kteří ve lhůtě pro podání předběžných nabídek podali prostřednictvím elektronického nástroje </w:t>
      </w:r>
      <w:proofErr w:type="spellStart"/>
      <w:r w:rsidRPr="00EE2E92">
        <w:rPr>
          <w:rFonts w:ascii="Times New Roman" w:hAnsi="Times New Roman" w:cs="Times New Roman"/>
          <w:sz w:val="24"/>
          <w:szCs w:val="24"/>
          <w:lang w:val="cs-CZ"/>
        </w:rPr>
        <w:t>Tenderarena</w:t>
      </w:r>
      <w:proofErr w:type="spellEnd"/>
      <w:r w:rsidRPr="00EE2E92">
        <w:rPr>
          <w:rFonts w:ascii="Times New Roman" w:hAnsi="Times New Roman" w:cs="Times New Roman"/>
          <w:sz w:val="24"/>
          <w:szCs w:val="24"/>
          <w:lang w:val="cs-CZ"/>
        </w:rPr>
        <w:t xml:space="preserve"> své předběžné nabídky.</w:t>
      </w:r>
    </w:p>
    <w:p w:rsidR="00EE2E92" w:rsidRPr="00EE2E92" w:rsidRDefault="00EE2E92" w:rsidP="00EE2E92">
      <w:pPr>
        <w:spacing w:before="120" w:after="0"/>
        <w:jc w:val="both"/>
        <w:rPr>
          <w:rFonts w:ascii="Times New Roman" w:hAnsi="Times New Roman" w:cs="Times New Roman"/>
          <w:sz w:val="24"/>
          <w:szCs w:val="24"/>
          <w:lang w:val="cs-CZ"/>
        </w:rPr>
      </w:pPr>
      <w:r w:rsidRPr="00EE2E92">
        <w:rPr>
          <w:rFonts w:ascii="Times New Roman" w:hAnsi="Times New Roman" w:cs="Times New Roman"/>
          <w:sz w:val="24"/>
          <w:szCs w:val="24"/>
          <w:lang w:val="cs-CZ"/>
        </w:rPr>
        <w:t>Hodnotící komise na svém prvním jednání vyhodnotila předběžné nabídky dle ekonomické výhodnosti nabídek a určila předběžnou nabídku obsahující nejnižší nabídkovou cenu.</w:t>
      </w:r>
    </w:p>
    <w:p w:rsidR="00EE2E92" w:rsidRPr="00EE2E92" w:rsidRDefault="00EE2E92" w:rsidP="00EE2E92">
      <w:pPr>
        <w:spacing w:before="120" w:after="0"/>
        <w:jc w:val="both"/>
        <w:rPr>
          <w:rFonts w:ascii="Times New Roman" w:hAnsi="Times New Roman" w:cs="Times New Roman"/>
          <w:sz w:val="24"/>
          <w:szCs w:val="24"/>
          <w:lang w:val="cs-CZ"/>
        </w:rPr>
      </w:pPr>
      <w:r w:rsidRPr="00EE2E92">
        <w:rPr>
          <w:rFonts w:ascii="Times New Roman" w:hAnsi="Times New Roman" w:cs="Times New Roman"/>
          <w:sz w:val="24"/>
          <w:szCs w:val="24"/>
          <w:lang w:val="cs-CZ"/>
        </w:rPr>
        <w:t>Na základě závěrů z prvního jednání hodnotící komise zadavatel pověřil projektového manažera, aby posoudil předběžnou nabídku obsahující nejnižší nabídkovou cenu stran splnění zadávacích podmínek, zejména technické, obchodní a jiné smluvní podmínky a aby ji současně posoudil stran mimořádně nízké nabídkové ceny.</w:t>
      </w:r>
    </w:p>
    <w:p w:rsidR="00EE2E92" w:rsidRPr="00EE2E92" w:rsidRDefault="00EE2E92" w:rsidP="00EE2E92">
      <w:pPr>
        <w:spacing w:before="120" w:after="0"/>
        <w:jc w:val="both"/>
        <w:rPr>
          <w:rFonts w:ascii="Times New Roman" w:hAnsi="Times New Roman" w:cs="Times New Roman"/>
          <w:sz w:val="24"/>
          <w:szCs w:val="24"/>
          <w:lang w:val="cs-CZ"/>
        </w:rPr>
      </w:pPr>
      <w:r w:rsidRPr="00EE2E92">
        <w:rPr>
          <w:rFonts w:ascii="Times New Roman" w:hAnsi="Times New Roman" w:cs="Times New Roman"/>
          <w:sz w:val="24"/>
          <w:szCs w:val="24"/>
          <w:lang w:val="cs-CZ"/>
        </w:rPr>
        <w:t>Projektový manažer dne 31. března 2018 předložil dokument s názvem „Posouzení předběžné nabídky účastníka zadávacího řízení, Závěry projektového manažera“ (dále jen „posouzení“).</w:t>
      </w:r>
    </w:p>
    <w:p w:rsidR="00EE2E92" w:rsidRPr="00EE2E92" w:rsidRDefault="00EE2E92" w:rsidP="00EE2E92">
      <w:pPr>
        <w:spacing w:before="120" w:after="0"/>
        <w:jc w:val="both"/>
        <w:rPr>
          <w:rFonts w:ascii="Times New Roman" w:hAnsi="Times New Roman" w:cs="Times New Roman"/>
          <w:sz w:val="24"/>
          <w:szCs w:val="24"/>
          <w:lang w:val="cs-CZ"/>
        </w:rPr>
      </w:pPr>
      <w:r w:rsidRPr="00EE2E92">
        <w:rPr>
          <w:rFonts w:ascii="Times New Roman" w:hAnsi="Times New Roman" w:cs="Times New Roman"/>
          <w:sz w:val="24"/>
          <w:szCs w:val="24"/>
          <w:lang w:val="cs-CZ"/>
        </w:rPr>
        <w:t>Hodnotící komise se na svém druhém jednání, které se uskutečnilo dne 3. dubna 2018, seznámila se závěry projektového manažera obsaženými v posouzení. V rámci druhého jednání hodnotící komise konstatovala, že souhlasí se závěry projektového manažera obsažené v posouzení a doporučila zadavateli, aby rozhodl o výběru dodavatele a následně vyzval účastníka zadávacího řízení, který předložil předběžnou nabídku s nejnižší nabídkovou cenou, k předložení informací a dokladů před uzavřením smlouvy dle § 122 zákona č. 137/2016 Sb., o</w:t>
      </w:r>
      <w:r>
        <w:rPr>
          <w:rFonts w:ascii="Times New Roman" w:hAnsi="Times New Roman" w:cs="Times New Roman"/>
          <w:sz w:val="24"/>
          <w:szCs w:val="24"/>
          <w:lang w:val="cs-CZ"/>
        </w:rPr>
        <w:t> </w:t>
      </w:r>
      <w:r w:rsidRPr="00EE2E92">
        <w:rPr>
          <w:rFonts w:ascii="Times New Roman" w:hAnsi="Times New Roman" w:cs="Times New Roman"/>
          <w:sz w:val="24"/>
          <w:szCs w:val="24"/>
          <w:lang w:val="cs-CZ"/>
        </w:rPr>
        <w:t>zadávání veřejných zakázek, ve znění pozdějších předpisů.</w:t>
      </w:r>
    </w:p>
    <w:p w:rsidR="00EE2E92" w:rsidRDefault="00EE2E92" w:rsidP="00EE2E92">
      <w:pPr>
        <w:spacing w:before="120" w:after="0"/>
        <w:jc w:val="both"/>
        <w:rPr>
          <w:rFonts w:ascii="Times New Roman" w:hAnsi="Times New Roman" w:cs="Times New Roman"/>
          <w:sz w:val="24"/>
          <w:szCs w:val="24"/>
          <w:lang w:val="cs-CZ"/>
        </w:rPr>
      </w:pPr>
      <w:r w:rsidRPr="00EE2E92">
        <w:rPr>
          <w:rFonts w:ascii="Times New Roman" w:hAnsi="Times New Roman" w:cs="Times New Roman"/>
          <w:sz w:val="24"/>
          <w:szCs w:val="24"/>
          <w:lang w:val="cs-CZ"/>
        </w:rPr>
        <w:t xml:space="preserve">V souladu s doporučeními hodnotící komise z jejího druhého jednání zadavatel dne </w:t>
      </w:r>
      <w:r w:rsidRPr="00EE2E92">
        <w:rPr>
          <w:rFonts w:ascii="Times New Roman" w:hAnsi="Times New Roman" w:cs="Times New Roman"/>
          <w:sz w:val="24"/>
          <w:szCs w:val="24"/>
          <w:lang w:val="cs-CZ"/>
        </w:rPr>
        <w:br/>
        <w:t>3. dubna 2018 rozhodl o výběru nejvhodnější nabídky a vyzval vybraného dodavatele, tj. účastníka zadávacího řízení, který předložil předběžnou nabídku s nejnižší nabídkovou cenou, k předložení dokladů před uzavřením smlouvy.</w:t>
      </w:r>
    </w:p>
    <w:p w:rsidR="00EE2E92" w:rsidRDefault="00EE2E92">
      <w:pPr>
        <w:spacing w:before="0" w:after="160" w:line="259" w:lineRule="auto"/>
        <w:rPr>
          <w:rFonts w:ascii="Times New Roman" w:hAnsi="Times New Roman" w:cs="Times New Roman"/>
          <w:b/>
          <w:bCs/>
          <w:caps/>
          <w:color w:val="FFFFFF" w:themeColor="background1"/>
          <w:spacing w:val="15"/>
          <w:sz w:val="28"/>
          <w:szCs w:val="28"/>
          <w:lang w:val="cs-CZ"/>
        </w:rPr>
      </w:pPr>
      <w:r>
        <w:rPr>
          <w:rFonts w:ascii="Times New Roman" w:hAnsi="Times New Roman" w:cs="Times New Roman"/>
          <w:sz w:val="28"/>
          <w:szCs w:val="28"/>
          <w:lang w:val="cs-CZ"/>
        </w:rPr>
        <w:br w:type="page"/>
      </w:r>
    </w:p>
    <w:p w:rsidR="00EE2E92" w:rsidRPr="00EE2E92" w:rsidRDefault="00EE2E92" w:rsidP="00EE2E92">
      <w:pPr>
        <w:pStyle w:val="Nadpis1"/>
        <w:spacing w:before="120"/>
        <w:rPr>
          <w:rFonts w:ascii="Times New Roman" w:hAnsi="Times New Roman" w:cs="Times New Roman"/>
          <w:sz w:val="28"/>
          <w:szCs w:val="28"/>
          <w:lang w:val="cs-CZ"/>
        </w:rPr>
      </w:pPr>
      <w:r w:rsidRPr="00EE2E92">
        <w:rPr>
          <w:rFonts w:ascii="Times New Roman" w:hAnsi="Times New Roman" w:cs="Times New Roman"/>
          <w:sz w:val="28"/>
          <w:szCs w:val="28"/>
          <w:lang w:val="cs-CZ"/>
        </w:rPr>
        <w:lastRenderedPageBreak/>
        <w:t>Další postup</w:t>
      </w:r>
    </w:p>
    <w:p w:rsidR="00EE2E92" w:rsidRPr="00EE2E92" w:rsidRDefault="00EE2E92" w:rsidP="00EE2E92">
      <w:pPr>
        <w:spacing w:before="120" w:after="0"/>
        <w:jc w:val="both"/>
        <w:rPr>
          <w:rFonts w:ascii="Times New Roman" w:hAnsi="Times New Roman" w:cs="Times New Roman"/>
          <w:sz w:val="24"/>
          <w:szCs w:val="24"/>
          <w:lang w:val="cs-CZ"/>
        </w:rPr>
      </w:pPr>
      <w:r w:rsidRPr="00EE2E92">
        <w:rPr>
          <w:rFonts w:ascii="Times New Roman" w:hAnsi="Times New Roman" w:cs="Times New Roman"/>
          <w:sz w:val="24"/>
          <w:szCs w:val="24"/>
          <w:lang w:val="cs-CZ"/>
        </w:rPr>
        <w:t>Pakliže budou požadované doklady vybraného dodavatele předloženy všechny a v požadované struktuře a kvalitě, bude možné přistoupit k uzavření Smlouvy o dodávce a poskytování komplexních služeb provozu SEM s vybraným dodavatelem.</w:t>
      </w:r>
    </w:p>
    <w:p w:rsidR="00EE2E92" w:rsidRPr="00EE2E92" w:rsidRDefault="00EE2E92" w:rsidP="00EE2E92">
      <w:pPr>
        <w:spacing w:before="120" w:after="0"/>
        <w:jc w:val="both"/>
        <w:rPr>
          <w:rFonts w:ascii="Times New Roman" w:hAnsi="Times New Roman" w:cs="Times New Roman"/>
          <w:sz w:val="24"/>
          <w:szCs w:val="24"/>
          <w:lang w:val="cs-CZ"/>
        </w:rPr>
      </w:pPr>
      <w:r w:rsidRPr="00EE2E92">
        <w:rPr>
          <w:rFonts w:ascii="Times New Roman" w:hAnsi="Times New Roman" w:cs="Times New Roman"/>
          <w:sz w:val="24"/>
          <w:szCs w:val="24"/>
          <w:lang w:val="cs-CZ"/>
        </w:rPr>
        <w:t xml:space="preserve">Posledními překážkami uzavření výše uvedené smlouvy je již 4. zahájené správní řízení o přezkoumání úkonů zadavatele Úřadem pro ochranu hospodářské soutěže, č. </w:t>
      </w:r>
      <w:proofErr w:type="spellStart"/>
      <w:r w:rsidRPr="00EE2E92">
        <w:rPr>
          <w:rFonts w:ascii="Times New Roman" w:hAnsi="Times New Roman" w:cs="Times New Roman"/>
          <w:sz w:val="24"/>
          <w:szCs w:val="24"/>
          <w:lang w:val="cs-CZ"/>
        </w:rPr>
        <w:t>j</w:t>
      </w:r>
      <w:proofErr w:type="spellEnd"/>
      <w:r w:rsidRPr="00EE2E92">
        <w:rPr>
          <w:rFonts w:ascii="Times New Roman" w:hAnsi="Times New Roman" w:cs="Times New Roman"/>
          <w:sz w:val="24"/>
          <w:szCs w:val="24"/>
          <w:lang w:val="cs-CZ"/>
        </w:rPr>
        <w:t>. ÚOHS-S0092/2018/VZ-07480/2018/521/</w:t>
      </w:r>
      <w:proofErr w:type="spellStart"/>
      <w:r w:rsidRPr="00EE2E92">
        <w:rPr>
          <w:rFonts w:ascii="Times New Roman" w:hAnsi="Times New Roman" w:cs="Times New Roman"/>
          <w:sz w:val="24"/>
          <w:szCs w:val="24"/>
          <w:lang w:val="cs-CZ"/>
        </w:rPr>
        <w:t>OPi</w:t>
      </w:r>
      <w:proofErr w:type="spellEnd"/>
      <w:r w:rsidRPr="00EE2E92">
        <w:rPr>
          <w:rFonts w:ascii="Times New Roman" w:hAnsi="Times New Roman" w:cs="Times New Roman"/>
          <w:sz w:val="24"/>
          <w:szCs w:val="24"/>
          <w:lang w:val="cs-CZ"/>
        </w:rPr>
        <w:t>/</w:t>
      </w:r>
      <w:proofErr w:type="spellStart"/>
      <w:r w:rsidRPr="00EE2E92">
        <w:rPr>
          <w:rFonts w:ascii="Times New Roman" w:hAnsi="Times New Roman" w:cs="Times New Roman"/>
          <w:sz w:val="24"/>
          <w:szCs w:val="24"/>
          <w:lang w:val="cs-CZ"/>
        </w:rPr>
        <w:t>MŽi</w:t>
      </w:r>
      <w:proofErr w:type="spellEnd"/>
      <w:r w:rsidRPr="00EE2E92">
        <w:rPr>
          <w:rFonts w:ascii="Times New Roman" w:hAnsi="Times New Roman" w:cs="Times New Roman"/>
          <w:sz w:val="24"/>
          <w:szCs w:val="24"/>
          <w:lang w:val="cs-CZ"/>
        </w:rPr>
        <w:t xml:space="preserve"> ze dne 9. března 2018, </w:t>
      </w:r>
      <w:proofErr w:type="spellStart"/>
      <w:r w:rsidRPr="00EE2E92">
        <w:rPr>
          <w:rFonts w:ascii="Times New Roman" w:hAnsi="Times New Roman" w:cs="Times New Roman"/>
          <w:sz w:val="24"/>
          <w:szCs w:val="24"/>
          <w:lang w:val="cs-CZ"/>
        </w:rPr>
        <w:t>sp</w:t>
      </w:r>
      <w:proofErr w:type="spellEnd"/>
      <w:r w:rsidRPr="00EE2E92">
        <w:rPr>
          <w:rFonts w:ascii="Times New Roman" w:hAnsi="Times New Roman" w:cs="Times New Roman"/>
          <w:sz w:val="24"/>
          <w:szCs w:val="24"/>
          <w:lang w:val="cs-CZ"/>
        </w:rPr>
        <w:t xml:space="preserve">. zn. S0092/2018/VZ, u něhož od zahájení dosud neuplynula lhůta 60 dnů (i) a rozhodnutí Úřadu na ochranu hospodářské soutěže č. </w:t>
      </w:r>
      <w:proofErr w:type="spellStart"/>
      <w:r w:rsidRPr="00EE2E92">
        <w:rPr>
          <w:rFonts w:ascii="Times New Roman" w:hAnsi="Times New Roman" w:cs="Times New Roman"/>
          <w:sz w:val="24"/>
          <w:szCs w:val="24"/>
          <w:lang w:val="cs-CZ"/>
        </w:rPr>
        <w:t>j</w:t>
      </w:r>
      <w:proofErr w:type="spellEnd"/>
      <w:r w:rsidRPr="00EE2E92">
        <w:rPr>
          <w:rFonts w:ascii="Times New Roman" w:hAnsi="Times New Roman" w:cs="Times New Roman"/>
          <w:sz w:val="24"/>
          <w:szCs w:val="24"/>
          <w:lang w:val="cs-CZ"/>
        </w:rPr>
        <w:t>.: ÚOHS-S0406/2017/VZ-34610/2017/521/</w:t>
      </w:r>
      <w:proofErr w:type="spellStart"/>
      <w:r w:rsidRPr="00EE2E92">
        <w:rPr>
          <w:rFonts w:ascii="Times New Roman" w:hAnsi="Times New Roman" w:cs="Times New Roman"/>
          <w:sz w:val="24"/>
          <w:szCs w:val="24"/>
          <w:lang w:val="cs-CZ"/>
        </w:rPr>
        <w:t>OPi</w:t>
      </w:r>
      <w:proofErr w:type="spellEnd"/>
      <w:r w:rsidRPr="00EE2E92">
        <w:rPr>
          <w:rFonts w:ascii="Times New Roman" w:hAnsi="Times New Roman" w:cs="Times New Roman"/>
          <w:sz w:val="24"/>
          <w:szCs w:val="24"/>
          <w:lang w:val="cs-CZ"/>
        </w:rPr>
        <w:t xml:space="preserve"> ze dne 23. listopadu 2017, kterým Úřad pro ochranu hospodářské soutěže příslušný podle § 248 zákona č. 134/2016 Sb., o zadávání veřejných zakázek, ve znění pozdějších předpisů, ve správním řízení zahájeném dne 11. října 2017 z moci úřední nařídil z moci úřední podle § 61 odst. 1 zákona č. 500/2004 Sb., správní řád, ve znění pozdějších předpisů, předběžné opatření, kterým uložil zadavateli zákaz uzavřít smlouvu v zadávacím řízení na veřejnou zakázku s názvem „Systém elektronického mýtného“ (</w:t>
      </w:r>
      <w:proofErr w:type="spellStart"/>
      <w:r w:rsidRPr="00EE2E92">
        <w:rPr>
          <w:rFonts w:ascii="Times New Roman" w:hAnsi="Times New Roman" w:cs="Times New Roman"/>
          <w:sz w:val="24"/>
          <w:szCs w:val="24"/>
          <w:lang w:val="cs-CZ"/>
        </w:rPr>
        <w:t>ii</w:t>
      </w:r>
      <w:proofErr w:type="spellEnd"/>
      <w:r w:rsidRPr="00EE2E92">
        <w:rPr>
          <w:rFonts w:ascii="Times New Roman" w:hAnsi="Times New Roman" w:cs="Times New Roman"/>
          <w:sz w:val="24"/>
          <w:szCs w:val="24"/>
          <w:lang w:val="cs-CZ"/>
        </w:rPr>
        <w:t>).</w:t>
      </w:r>
    </w:p>
    <w:p w:rsidR="00EE2E92" w:rsidRPr="00EE2E92" w:rsidRDefault="00EE2E92" w:rsidP="00EE2E92">
      <w:pPr>
        <w:spacing w:before="120" w:after="0"/>
        <w:jc w:val="both"/>
        <w:rPr>
          <w:rFonts w:ascii="Times New Roman" w:hAnsi="Times New Roman" w:cs="Times New Roman"/>
          <w:sz w:val="24"/>
          <w:szCs w:val="24"/>
          <w:lang w:val="cs-CZ"/>
        </w:rPr>
      </w:pPr>
      <w:r w:rsidRPr="00EE2E92">
        <w:rPr>
          <w:rFonts w:ascii="Times New Roman" w:hAnsi="Times New Roman" w:cs="Times New Roman"/>
          <w:sz w:val="24"/>
          <w:szCs w:val="24"/>
          <w:lang w:val="cs-CZ"/>
        </w:rPr>
        <w:t>Zadavatel s ohledem na výše uvedené uvádí, že:</w:t>
      </w:r>
    </w:p>
    <w:p w:rsidR="00EE2E92" w:rsidRPr="00EE2E92" w:rsidRDefault="00EE2E92" w:rsidP="00EE2E92">
      <w:pPr>
        <w:pStyle w:val="Odstavecseseznamem"/>
        <w:numPr>
          <w:ilvl w:val="0"/>
          <w:numId w:val="27"/>
        </w:numPr>
        <w:spacing w:before="120" w:after="0"/>
        <w:jc w:val="both"/>
        <w:rPr>
          <w:rFonts w:ascii="Times New Roman" w:hAnsi="Times New Roman" w:cs="Times New Roman"/>
          <w:sz w:val="24"/>
          <w:szCs w:val="24"/>
          <w:lang w:val="cs-CZ"/>
        </w:rPr>
      </w:pPr>
      <w:r w:rsidRPr="00EE2E92">
        <w:rPr>
          <w:rFonts w:ascii="Times New Roman" w:hAnsi="Times New Roman" w:cs="Times New Roman"/>
          <w:sz w:val="24"/>
          <w:szCs w:val="24"/>
          <w:lang w:val="cs-CZ"/>
        </w:rPr>
        <w:t>dojde-li ke zrušení výše uvedeného předběžného opatření,</w:t>
      </w:r>
    </w:p>
    <w:p w:rsidR="00EE2E92" w:rsidRPr="00EE2E92" w:rsidRDefault="00EE2E92" w:rsidP="00EE2E92">
      <w:pPr>
        <w:pStyle w:val="Odstavecseseznamem"/>
        <w:numPr>
          <w:ilvl w:val="0"/>
          <w:numId w:val="27"/>
        </w:numPr>
        <w:spacing w:before="120" w:after="0"/>
        <w:jc w:val="both"/>
        <w:rPr>
          <w:rFonts w:ascii="Times New Roman" w:hAnsi="Times New Roman" w:cs="Times New Roman"/>
          <w:sz w:val="24"/>
          <w:szCs w:val="24"/>
          <w:lang w:val="cs-CZ"/>
        </w:rPr>
      </w:pPr>
      <w:r w:rsidRPr="00EE2E92">
        <w:rPr>
          <w:rFonts w:ascii="Times New Roman" w:hAnsi="Times New Roman" w:cs="Times New Roman"/>
          <w:sz w:val="24"/>
          <w:szCs w:val="24"/>
          <w:lang w:val="cs-CZ"/>
        </w:rPr>
        <w:t>nebude-li zahájeno nové správní řízení z moci úřední Úřadem pro ochranu hospodářské soutěže a</w:t>
      </w:r>
    </w:p>
    <w:p w:rsidR="00EE2E92" w:rsidRPr="00EE2E92" w:rsidRDefault="00EE2E92" w:rsidP="00EE2E92">
      <w:pPr>
        <w:pStyle w:val="Odstavecseseznamem"/>
        <w:numPr>
          <w:ilvl w:val="0"/>
          <w:numId w:val="27"/>
        </w:numPr>
        <w:spacing w:before="120" w:after="0"/>
        <w:jc w:val="both"/>
        <w:rPr>
          <w:rFonts w:ascii="Times New Roman" w:hAnsi="Times New Roman" w:cs="Times New Roman"/>
          <w:sz w:val="24"/>
          <w:szCs w:val="24"/>
          <w:lang w:val="cs-CZ"/>
        </w:rPr>
      </w:pPr>
      <w:r w:rsidRPr="00EE2E92">
        <w:rPr>
          <w:rFonts w:ascii="Times New Roman" w:hAnsi="Times New Roman" w:cs="Times New Roman"/>
          <w:sz w:val="24"/>
          <w:szCs w:val="24"/>
          <w:lang w:val="cs-CZ"/>
        </w:rPr>
        <w:t xml:space="preserve">po uplynutí lhůty 60 dnů od zahájení posledního správního řízení vedeném pod </w:t>
      </w:r>
      <w:proofErr w:type="spellStart"/>
      <w:r w:rsidRPr="00EE2E92">
        <w:rPr>
          <w:rFonts w:ascii="Times New Roman" w:hAnsi="Times New Roman" w:cs="Times New Roman"/>
          <w:sz w:val="24"/>
          <w:szCs w:val="24"/>
          <w:lang w:val="cs-CZ"/>
        </w:rPr>
        <w:t>sp</w:t>
      </w:r>
      <w:proofErr w:type="spellEnd"/>
      <w:r w:rsidRPr="00EE2E92">
        <w:rPr>
          <w:rFonts w:ascii="Times New Roman" w:hAnsi="Times New Roman" w:cs="Times New Roman"/>
          <w:sz w:val="24"/>
          <w:szCs w:val="24"/>
          <w:lang w:val="cs-CZ"/>
        </w:rPr>
        <w:t>. zn. S0092/2018/VZ,</w:t>
      </w:r>
      <w:bookmarkStart w:id="0" w:name="_GoBack"/>
      <w:bookmarkEnd w:id="0"/>
    </w:p>
    <w:p w:rsidR="00EE2E92" w:rsidRPr="00EE2E92" w:rsidRDefault="00EE2E92" w:rsidP="00EE2E92">
      <w:pPr>
        <w:spacing w:before="120" w:after="0"/>
        <w:jc w:val="both"/>
        <w:rPr>
          <w:rFonts w:ascii="Times New Roman" w:hAnsi="Times New Roman" w:cs="Times New Roman"/>
          <w:sz w:val="24"/>
          <w:szCs w:val="24"/>
          <w:lang w:val="cs-CZ"/>
        </w:rPr>
      </w:pPr>
      <w:r w:rsidRPr="00EE2E92">
        <w:rPr>
          <w:rFonts w:ascii="Times New Roman" w:hAnsi="Times New Roman" w:cs="Times New Roman"/>
          <w:sz w:val="24"/>
          <w:szCs w:val="24"/>
          <w:lang w:val="cs-CZ"/>
        </w:rPr>
        <w:t>bude moci uzavřít Smlouvu o dodávce a poskytování komplexních služeb provozu SEM s účastníkem zadávacího řízení, který předložil předběžnou nabídku s nejnižší nabídkovou cenou, a zahájit tak implementaci Systému elektronického mýtného.</w:t>
      </w:r>
    </w:p>
    <w:p w:rsidR="003A5240" w:rsidRDefault="003A5240" w:rsidP="003A5240">
      <w:pPr>
        <w:spacing w:before="120" w:after="0"/>
        <w:jc w:val="both"/>
        <w:rPr>
          <w:rFonts w:ascii="Times New Roman" w:hAnsi="Times New Roman" w:cs="Times New Roman"/>
          <w:sz w:val="28"/>
          <w:szCs w:val="28"/>
          <w:lang w:val="cs-CZ"/>
        </w:rPr>
      </w:pPr>
    </w:p>
    <w:sectPr w:rsidR="003A5240" w:rsidSect="00983426">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475" w:rsidRDefault="004F7475" w:rsidP="009E1D4B">
      <w:pPr>
        <w:spacing w:before="0" w:after="0" w:line="240" w:lineRule="auto"/>
      </w:pPr>
      <w:r>
        <w:separator/>
      </w:r>
    </w:p>
  </w:endnote>
  <w:endnote w:type="continuationSeparator" w:id="0">
    <w:p w:rsidR="004F7475" w:rsidRDefault="004F7475" w:rsidP="009E1D4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880306"/>
      <w:docPartObj>
        <w:docPartGallery w:val="Page Numbers (Bottom of Page)"/>
        <w:docPartUnique/>
      </w:docPartObj>
    </w:sdtPr>
    <w:sdtEndPr>
      <w:rPr>
        <w:rFonts w:ascii="Times New Roman" w:hAnsi="Times New Roman" w:cs="Times New Roman"/>
      </w:rPr>
    </w:sdtEndPr>
    <w:sdtContent>
      <w:p w:rsidR="004D7350" w:rsidRPr="004D7350" w:rsidRDefault="00983426">
        <w:pPr>
          <w:pStyle w:val="Zpat"/>
          <w:jc w:val="center"/>
          <w:rPr>
            <w:rFonts w:ascii="Times New Roman" w:hAnsi="Times New Roman" w:cs="Times New Roman"/>
          </w:rPr>
        </w:pPr>
        <w:r w:rsidRPr="004D7350">
          <w:rPr>
            <w:rFonts w:ascii="Times New Roman" w:hAnsi="Times New Roman" w:cs="Times New Roman"/>
          </w:rPr>
          <w:fldChar w:fldCharType="begin"/>
        </w:r>
        <w:r w:rsidR="004D7350" w:rsidRPr="004D7350">
          <w:rPr>
            <w:rFonts w:ascii="Times New Roman" w:hAnsi="Times New Roman" w:cs="Times New Roman"/>
          </w:rPr>
          <w:instrText>PAGE   \* MERGEFORMAT</w:instrText>
        </w:r>
        <w:r w:rsidRPr="004D7350">
          <w:rPr>
            <w:rFonts w:ascii="Times New Roman" w:hAnsi="Times New Roman" w:cs="Times New Roman"/>
          </w:rPr>
          <w:fldChar w:fldCharType="separate"/>
        </w:r>
        <w:r w:rsidR="004A117F" w:rsidRPr="004A117F">
          <w:rPr>
            <w:rFonts w:ascii="Times New Roman" w:hAnsi="Times New Roman" w:cs="Times New Roman"/>
            <w:noProof/>
            <w:lang w:val="cs-CZ"/>
          </w:rPr>
          <w:t>7</w:t>
        </w:r>
        <w:r w:rsidRPr="004D7350">
          <w:rPr>
            <w:rFonts w:ascii="Times New Roman" w:hAnsi="Times New Roman" w:cs="Times New Roman"/>
          </w:rPr>
          <w:fldChar w:fldCharType="end"/>
        </w:r>
      </w:p>
    </w:sdtContent>
  </w:sdt>
  <w:p w:rsidR="004D7350" w:rsidRDefault="004D735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475" w:rsidRDefault="004F7475" w:rsidP="009E1D4B">
      <w:pPr>
        <w:spacing w:before="0" w:after="0" w:line="240" w:lineRule="auto"/>
      </w:pPr>
      <w:r>
        <w:separator/>
      </w:r>
    </w:p>
  </w:footnote>
  <w:footnote w:type="continuationSeparator" w:id="0">
    <w:p w:rsidR="004F7475" w:rsidRDefault="004F7475" w:rsidP="009E1D4B">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FCE"/>
    <w:multiLevelType w:val="hybridMultilevel"/>
    <w:tmpl w:val="0B949092"/>
    <w:lvl w:ilvl="0" w:tplc="04050017">
      <w:start w:val="1"/>
      <w:numFmt w:val="lowerLetter"/>
      <w:lvlText w:val="%1)"/>
      <w:lvlJc w:val="left"/>
      <w:pPr>
        <w:ind w:left="783" w:hanging="360"/>
      </w:p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1">
    <w:nsid w:val="077C62F7"/>
    <w:multiLevelType w:val="hybridMultilevel"/>
    <w:tmpl w:val="47D8C0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7162AE"/>
    <w:multiLevelType w:val="hybridMultilevel"/>
    <w:tmpl w:val="1674C0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8B0505E"/>
    <w:multiLevelType w:val="hybridMultilevel"/>
    <w:tmpl w:val="E28A4A2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99510C4"/>
    <w:multiLevelType w:val="hybridMultilevel"/>
    <w:tmpl w:val="031CA2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4661B05"/>
    <w:multiLevelType w:val="hybridMultilevel"/>
    <w:tmpl w:val="46D01F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5A9078B"/>
    <w:multiLevelType w:val="hybridMultilevel"/>
    <w:tmpl w:val="396403BC"/>
    <w:lvl w:ilvl="0" w:tplc="BBF2A90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6DC7E9E"/>
    <w:multiLevelType w:val="hybridMultilevel"/>
    <w:tmpl w:val="6CE0457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7C3171B"/>
    <w:multiLevelType w:val="hybridMultilevel"/>
    <w:tmpl w:val="3C945748"/>
    <w:lvl w:ilvl="0" w:tplc="61A8CE5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FB43BDA"/>
    <w:multiLevelType w:val="hybridMultilevel"/>
    <w:tmpl w:val="7F6CBDE8"/>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6047723"/>
    <w:multiLevelType w:val="hybridMultilevel"/>
    <w:tmpl w:val="A0509AA2"/>
    <w:lvl w:ilvl="0" w:tplc="04050013">
      <w:start w:val="1"/>
      <w:numFmt w:val="upperRoman"/>
      <w:lvlText w:val="%1."/>
      <w:lvlJc w:val="righ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718631D"/>
    <w:multiLevelType w:val="hybridMultilevel"/>
    <w:tmpl w:val="42C26D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B503CDE"/>
    <w:multiLevelType w:val="hybridMultilevel"/>
    <w:tmpl w:val="8004A5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D0827F5"/>
    <w:multiLevelType w:val="hybridMultilevel"/>
    <w:tmpl w:val="51E2C0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24C16AC"/>
    <w:multiLevelType w:val="hybridMultilevel"/>
    <w:tmpl w:val="0A025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3717D54"/>
    <w:multiLevelType w:val="hybridMultilevel"/>
    <w:tmpl w:val="81FC2A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4C20DC0"/>
    <w:multiLevelType w:val="hybridMultilevel"/>
    <w:tmpl w:val="6876F4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4C6C161B"/>
    <w:multiLevelType w:val="hybridMultilevel"/>
    <w:tmpl w:val="A16E98E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8">
    <w:nsid w:val="5461553F"/>
    <w:multiLevelType w:val="hybridMultilevel"/>
    <w:tmpl w:val="23EA48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4E40085"/>
    <w:multiLevelType w:val="hybridMultilevel"/>
    <w:tmpl w:val="7782475A"/>
    <w:lvl w:ilvl="0" w:tplc="DC60F16E">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5F2782C"/>
    <w:multiLevelType w:val="hybridMultilevel"/>
    <w:tmpl w:val="A16E98E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1">
    <w:nsid w:val="578E3942"/>
    <w:multiLevelType w:val="hybridMultilevel"/>
    <w:tmpl w:val="9F888A52"/>
    <w:lvl w:ilvl="0" w:tplc="04050001">
      <w:start w:val="1"/>
      <w:numFmt w:val="bullet"/>
      <w:lvlText w:val=""/>
      <w:lvlJc w:val="left"/>
      <w:pPr>
        <w:ind w:left="778" w:hanging="360"/>
      </w:pPr>
      <w:rPr>
        <w:rFonts w:ascii="Symbol" w:hAnsi="Symbol" w:hint="default"/>
      </w:rPr>
    </w:lvl>
    <w:lvl w:ilvl="1" w:tplc="04050003" w:tentative="1">
      <w:start w:val="1"/>
      <w:numFmt w:val="bullet"/>
      <w:lvlText w:val="o"/>
      <w:lvlJc w:val="left"/>
      <w:pPr>
        <w:ind w:left="1498" w:hanging="360"/>
      </w:pPr>
      <w:rPr>
        <w:rFonts w:ascii="Courier New" w:hAnsi="Courier New" w:cs="Courier New" w:hint="default"/>
      </w:rPr>
    </w:lvl>
    <w:lvl w:ilvl="2" w:tplc="04050005" w:tentative="1">
      <w:start w:val="1"/>
      <w:numFmt w:val="bullet"/>
      <w:lvlText w:val=""/>
      <w:lvlJc w:val="left"/>
      <w:pPr>
        <w:ind w:left="2218" w:hanging="360"/>
      </w:pPr>
      <w:rPr>
        <w:rFonts w:ascii="Wingdings" w:hAnsi="Wingdings" w:hint="default"/>
      </w:rPr>
    </w:lvl>
    <w:lvl w:ilvl="3" w:tplc="04050001" w:tentative="1">
      <w:start w:val="1"/>
      <w:numFmt w:val="bullet"/>
      <w:lvlText w:val=""/>
      <w:lvlJc w:val="left"/>
      <w:pPr>
        <w:ind w:left="2938" w:hanging="360"/>
      </w:pPr>
      <w:rPr>
        <w:rFonts w:ascii="Symbol" w:hAnsi="Symbol" w:hint="default"/>
      </w:rPr>
    </w:lvl>
    <w:lvl w:ilvl="4" w:tplc="04050003" w:tentative="1">
      <w:start w:val="1"/>
      <w:numFmt w:val="bullet"/>
      <w:lvlText w:val="o"/>
      <w:lvlJc w:val="left"/>
      <w:pPr>
        <w:ind w:left="3658" w:hanging="360"/>
      </w:pPr>
      <w:rPr>
        <w:rFonts w:ascii="Courier New" w:hAnsi="Courier New" w:cs="Courier New" w:hint="default"/>
      </w:rPr>
    </w:lvl>
    <w:lvl w:ilvl="5" w:tplc="04050005" w:tentative="1">
      <w:start w:val="1"/>
      <w:numFmt w:val="bullet"/>
      <w:lvlText w:val=""/>
      <w:lvlJc w:val="left"/>
      <w:pPr>
        <w:ind w:left="4378" w:hanging="360"/>
      </w:pPr>
      <w:rPr>
        <w:rFonts w:ascii="Wingdings" w:hAnsi="Wingdings" w:hint="default"/>
      </w:rPr>
    </w:lvl>
    <w:lvl w:ilvl="6" w:tplc="04050001" w:tentative="1">
      <w:start w:val="1"/>
      <w:numFmt w:val="bullet"/>
      <w:lvlText w:val=""/>
      <w:lvlJc w:val="left"/>
      <w:pPr>
        <w:ind w:left="5098" w:hanging="360"/>
      </w:pPr>
      <w:rPr>
        <w:rFonts w:ascii="Symbol" w:hAnsi="Symbol" w:hint="default"/>
      </w:rPr>
    </w:lvl>
    <w:lvl w:ilvl="7" w:tplc="04050003" w:tentative="1">
      <w:start w:val="1"/>
      <w:numFmt w:val="bullet"/>
      <w:lvlText w:val="o"/>
      <w:lvlJc w:val="left"/>
      <w:pPr>
        <w:ind w:left="5818" w:hanging="360"/>
      </w:pPr>
      <w:rPr>
        <w:rFonts w:ascii="Courier New" w:hAnsi="Courier New" w:cs="Courier New" w:hint="default"/>
      </w:rPr>
    </w:lvl>
    <w:lvl w:ilvl="8" w:tplc="04050005" w:tentative="1">
      <w:start w:val="1"/>
      <w:numFmt w:val="bullet"/>
      <w:lvlText w:val=""/>
      <w:lvlJc w:val="left"/>
      <w:pPr>
        <w:ind w:left="6538" w:hanging="360"/>
      </w:pPr>
      <w:rPr>
        <w:rFonts w:ascii="Wingdings" w:hAnsi="Wingdings" w:hint="default"/>
      </w:rPr>
    </w:lvl>
  </w:abstractNum>
  <w:abstractNum w:abstractNumId="22">
    <w:nsid w:val="5B3A1690"/>
    <w:multiLevelType w:val="multilevel"/>
    <w:tmpl w:val="0405001D"/>
    <w:lvl w:ilvl="0">
      <w:start w:val="1"/>
      <w:numFmt w:val="decimal"/>
      <w:lvlText w:val="%1)"/>
      <w:lvlJc w:val="left"/>
      <w:pPr>
        <w:ind w:left="360" w:hanging="360"/>
      </w:pPr>
    </w:lvl>
    <w:lvl w:ilvl="1">
      <w:start w:val="1"/>
      <w:numFmt w:val="lowerLetter"/>
      <w:lvlText w:val="%2)"/>
      <w:lvlJc w:val="left"/>
      <w:pPr>
        <w:ind w:left="927"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D572EA8"/>
    <w:multiLevelType w:val="hybridMultilevel"/>
    <w:tmpl w:val="A16E98E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4">
    <w:nsid w:val="641119C6"/>
    <w:multiLevelType w:val="hybridMultilevel"/>
    <w:tmpl w:val="F48409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0E97AFD"/>
    <w:multiLevelType w:val="hybridMultilevel"/>
    <w:tmpl w:val="D9589D58"/>
    <w:lvl w:ilvl="0" w:tplc="ABD46CB4">
      <w:start w:val="1"/>
      <w:numFmt w:val="bullet"/>
      <w:lvlText w:val=""/>
      <w:lvlJc w:val="left"/>
      <w:pPr>
        <w:ind w:left="720" w:hanging="360"/>
      </w:pPr>
      <w:rPr>
        <w:rFonts w:ascii="Symbol" w:hAnsi="Symbol" w:hint="default"/>
        <w:sz w:val="24"/>
        <w:szCs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D6722A2"/>
    <w:multiLevelType w:val="hybridMultilevel"/>
    <w:tmpl w:val="71A41BE4"/>
    <w:lvl w:ilvl="0" w:tplc="0405001B">
      <w:start w:val="1"/>
      <w:numFmt w:val="lowerRoman"/>
      <w:lvlText w:val="%1."/>
      <w:lvlJc w:val="righ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12"/>
  </w:num>
  <w:num w:numId="4">
    <w:abstractNumId w:val="15"/>
  </w:num>
  <w:num w:numId="5">
    <w:abstractNumId w:val="22"/>
  </w:num>
  <w:num w:numId="6">
    <w:abstractNumId w:val="14"/>
  </w:num>
  <w:num w:numId="7">
    <w:abstractNumId w:val="26"/>
  </w:num>
  <w:num w:numId="8">
    <w:abstractNumId w:val="18"/>
  </w:num>
  <w:num w:numId="9">
    <w:abstractNumId w:val="4"/>
  </w:num>
  <w:num w:numId="10">
    <w:abstractNumId w:val="6"/>
  </w:num>
  <w:num w:numId="11">
    <w:abstractNumId w:val="8"/>
  </w:num>
  <w:num w:numId="12">
    <w:abstractNumId w:val="3"/>
  </w:num>
  <w:num w:numId="13">
    <w:abstractNumId w:val="24"/>
  </w:num>
  <w:num w:numId="14">
    <w:abstractNumId w:val="10"/>
  </w:num>
  <w:num w:numId="15">
    <w:abstractNumId w:val="7"/>
  </w:num>
  <w:num w:numId="16">
    <w:abstractNumId w:val="0"/>
  </w:num>
  <w:num w:numId="17">
    <w:abstractNumId w:val="5"/>
  </w:num>
  <w:num w:numId="18">
    <w:abstractNumId w:val="1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1"/>
  </w:num>
  <w:num w:numId="24">
    <w:abstractNumId w:val="1"/>
  </w:num>
  <w:num w:numId="25">
    <w:abstractNumId w:val="9"/>
  </w:num>
  <w:num w:numId="26">
    <w:abstractNumId w:val="2"/>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03F98"/>
    <w:rsid w:val="00044FC1"/>
    <w:rsid w:val="00066C49"/>
    <w:rsid w:val="00240371"/>
    <w:rsid w:val="00276206"/>
    <w:rsid w:val="002E77D8"/>
    <w:rsid w:val="0035461F"/>
    <w:rsid w:val="003A5240"/>
    <w:rsid w:val="003B3027"/>
    <w:rsid w:val="003D0366"/>
    <w:rsid w:val="003F09BA"/>
    <w:rsid w:val="003F187A"/>
    <w:rsid w:val="004311DF"/>
    <w:rsid w:val="00451699"/>
    <w:rsid w:val="00466392"/>
    <w:rsid w:val="004A117F"/>
    <w:rsid w:val="004C5B35"/>
    <w:rsid w:val="004D7350"/>
    <w:rsid w:val="004F7475"/>
    <w:rsid w:val="0057595D"/>
    <w:rsid w:val="006379D5"/>
    <w:rsid w:val="00641DAB"/>
    <w:rsid w:val="0065126F"/>
    <w:rsid w:val="006807B6"/>
    <w:rsid w:val="006A7B5B"/>
    <w:rsid w:val="006E688D"/>
    <w:rsid w:val="00703F98"/>
    <w:rsid w:val="00761467"/>
    <w:rsid w:val="007B6F99"/>
    <w:rsid w:val="007F4126"/>
    <w:rsid w:val="00845F3F"/>
    <w:rsid w:val="00983426"/>
    <w:rsid w:val="009E1D4B"/>
    <w:rsid w:val="009F078B"/>
    <w:rsid w:val="00A26414"/>
    <w:rsid w:val="00B224EC"/>
    <w:rsid w:val="00B73270"/>
    <w:rsid w:val="00B81123"/>
    <w:rsid w:val="00C36B70"/>
    <w:rsid w:val="00C64680"/>
    <w:rsid w:val="00CB2DEF"/>
    <w:rsid w:val="00CE32A2"/>
    <w:rsid w:val="00D05FEE"/>
    <w:rsid w:val="00D45853"/>
    <w:rsid w:val="00D73E4B"/>
    <w:rsid w:val="00DA1647"/>
    <w:rsid w:val="00E310D9"/>
    <w:rsid w:val="00E52914"/>
    <w:rsid w:val="00E7459B"/>
    <w:rsid w:val="00E74775"/>
    <w:rsid w:val="00EB5DAE"/>
    <w:rsid w:val="00EE2E92"/>
    <w:rsid w:val="00EF19B2"/>
    <w:rsid w:val="00F40869"/>
    <w:rsid w:val="00F40919"/>
    <w:rsid w:val="00F80FFC"/>
    <w:rsid w:val="00F85DC9"/>
    <w:rsid w:val="00F915C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3F98"/>
    <w:pPr>
      <w:spacing w:before="200" w:after="200" w:line="276" w:lineRule="auto"/>
    </w:pPr>
    <w:rPr>
      <w:rFonts w:eastAsiaTheme="minorEastAsia"/>
      <w:sz w:val="20"/>
      <w:szCs w:val="20"/>
      <w:lang w:val="en-US" w:bidi="en-US"/>
    </w:rPr>
  </w:style>
  <w:style w:type="paragraph" w:styleId="Nadpis1">
    <w:name w:val="heading 1"/>
    <w:basedOn w:val="Normln"/>
    <w:next w:val="Normln"/>
    <w:link w:val="Nadpis1Char"/>
    <w:uiPriority w:val="9"/>
    <w:qFormat/>
    <w:rsid w:val="00703F9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Nadpis2">
    <w:name w:val="heading 2"/>
    <w:basedOn w:val="Normln"/>
    <w:next w:val="Normln"/>
    <w:link w:val="Nadpis2Char"/>
    <w:uiPriority w:val="9"/>
    <w:unhideWhenUsed/>
    <w:qFormat/>
    <w:rsid w:val="00703F9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Nadpis3">
    <w:name w:val="heading 3"/>
    <w:basedOn w:val="Normln"/>
    <w:next w:val="Normln"/>
    <w:link w:val="Nadpis3Char"/>
    <w:uiPriority w:val="9"/>
    <w:unhideWhenUsed/>
    <w:qFormat/>
    <w:rsid w:val="009E1D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3F98"/>
    <w:rPr>
      <w:rFonts w:eastAsiaTheme="minorEastAsia"/>
      <w:b/>
      <w:bCs/>
      <w:caps/>
      <w:color w:val="FFFFFF" w:themeColor="background1"/>
      <w:spacing w:val="15"/>
      <w:shd w:val="clear" w:color="auto" w:fill="5B9BD5" w:themeFill="accent1"/>
      <w:lang w:val="en-US" w:bidi="en-US"/>
    </w:rPr>
  </w:style>
  <w:style w:type="character" w:customStyle="1" w:styleId="Nadpis2Char">
    <w:name w:val="Nadpis 2 Char"/>
    <w:basedOn w:val="Standardnpsmoodstavce"/>
    <w:link w:val="Nadpis2"/>
    <w:uiPriority w:val="9"/>
    <w:rsid w:val="00703F98"/>
    <w:rPr>
      <w:rFonts w:eastAsiaTheme="minorEastAsia"/>
      <w:caps/>
      <w:spacing w:val="15"/>
      <w:shd w:val="clear" w:color="auto" w:fill="DEEAF6" w:themeFill="accent1" w:themeFillTint="33"/>
      <w:lang w:val="en-US" w:bidi="en-US"/>
    </w:rPr>
  </w:style>
  <w:style w:type="paragraph" w:styleId="Odstavecseseznamem">
    <w:name w:val="List Paragraph"/>
    <w:basedOn w:val="Normln"/>
    <w:link w:val="OdstavecseseznamemChar"/>
    <w:uiPriority w:val="34"/>
    <w:qFormat/>
    <w:rsid w:val="00703F98"/>
    <w:pPr>
      <w:ind w:left="720"/>
      <w:contextualSpacing/>
    </w:pPr>
  </w:style>
  <w:style w:type="paragraph" w:customStyle="1" w:styleId="Default">
    <w:name w:val="Default"/>
    <w:rsid w:val="00703F98"/>
    <w:pPr>
      <w:autoSpaceDE w:val="0"/>
      <w:autoSpaceDN w:val="0"/>
      <w:adjustRightInd w:val="0"/>
      <w:spacing w:before="200" w:after="200" w:line="276" w:lineRule="auto"/>
    </w:pPr>
    <w:rPr>
      <w:rFonts w:ascii="Arial" w:eastAsiaTheme="minorEastAsia" w:hAnsi="Arial" w:cs="Arial"/>
      <w:color w:val="000000"/>
      <w:sz w:val="24"/>
      <w:szCs w:val="24"/>
      <w:lang w:val="en-US" w:bidi="en-US"/>
    </w:rPr>
  </w:style>
  <w:style w:type="paragraph" w:styleId="Nadpisobsahu">
    <w:name w:val="TOC Heading"/>
    <w:basedOn w:val="Nadpis1"/>
    <w:next w:val="Normln"/>
    <w:uiPriority w:val="39"/>
    <w:unhideWhenUsed/>
    <w:qFormat/>
    <w:rsid w:val="00703F98"/>
    <w:pPr>
      <w:outlineLvl w:val="9"/>
    </w:pPr>
  </w:style>
  <w:style w:type="paragraph" w:styleId="Obsah1">
    <w:name w:val="toc 1"/>
    <w:basedOn w:val="Normln"/>
    <w:next w:val="Normln"/>
    <w:autoRedefine/>
    <w:uiPriority w:val="39"/>
    <w:unhideWhenUsed/>
    <w:rsid w:val="00703F98"/>
    <w:pPr>
      <w:tabs>
        <w:tab w:val="right" w:leader="dot" w:pos="9060"/>
      </w:tabs>
      <w:jc w:val="both"/>
    </w:pPr>
    <w:rPr>
      <w:rFonts w:ascii="Calibri" w:eastAsia="Calibri" w:hAnsi="Calibri"/>
      <w:sz w:val="22"/>
      <w:szCs w:val="22"/>
    </w:rPr>
  </w:style>
  <w:style w:type="paragraph" w:styleId="Obsah2">
    <w:name w:val="toc 2"/>
    <w:basedOn w:val="Normln"/>
    <w:next w:val="Normln"/>
    <w:autoRedefine/>
    <w:uiPriority w:val="39"/>
    <w:unhideWhenUsed/>
    <w:rsid w:val="00703F98"/>
    <w:pPr>
      <w:spacing w:after="100" w:line="259" w:lineRule="auto"/>
      <w:ind w:left="220"/>
    </w:pPr>
    <w:rPr>
      <w:rFonts w:ascii="Calibri" w:eastAsia="Calibri" w:hAnsi="Calibri"/>
      <w:sz w:val="22"/>
      <w:szCs w:val="22"/>
    </w:rPr>
  </w:style>
  <w:style w:type="character" w:styleId="Hypertextovodkaz">
    <w:name w:val="Hyperlink"/>
    <w:uiPriority w:val="99"/>
    <w:unhideWhenUsed/>
    <w:rsid w:val="00703F98"/>
    <w:rPr>
      <w:color w:val="0563C1"/>
      <w:u w:val="single"/>
    </w:rPr>
  </w:style>
  <w:style w:type="character" w:customStyle="1" w:styleId="OdstavecseseznamemChar">
    <w:name w:val="Odstavec se seznamem Char"/>
    <w:basedOn w:val="Standardnpsmoodstavce"/>
    <w:link w:val="Odstavecseseznamem"/>
    <w:uiPriority w:val="34"/>
    <w:rsid w:val="00703F98"/>
    <w:rPr>
      <w:rFonts w:eastAsiaTheme="minorEastAsia"/>
      <w:sz w:val="20"/>
      <w:szCs w:val="20"/>
      <w:lang w:val="en-US" w:bidi="en-US"/>
    </w:rPr>
  </w:style>
  <w:style w:type="character" w:customStyle="1" w:styleId="FontStyle11">
    <w:name w:val="Font Style11"/>
    <w:basedOn w:val="Standardnpsmoodstavce"/>
    <w:uiPriority w:val="99"/>
    <w:rsid w:val="00703F98"/>
    <w:rPr>
      <w:rFonts w:ascii="Times New Roman" w:hAnsi="Times New Roman" w:cs="Times New Roman"/>
      <w:sz w:val="20"/>
      <w:szCs w:val="20"/>
    </w:rPr>
  </w:style>
  <w:style w:type="table" w:customStyle="1" w:styleId="Tabulkasmkou4zvraznn11">
    <w:name w:val="Tabulka s mřížkou 4 – zvýraznění 11"/>
    <w:basedOn w:val="Normlntabulka"/>
    <w:uiPriority w:val="49"/>
    <w:rsid w:val="00703F98"/>
    <w:pPr>
      <w:spacing w:before="200" w:after="0" w:line="240" w:lineRule="auto"/>
    </w:pPr>
    <w:rPr>
      <w:rFonts w:eastAsiaTheme="minorEastAsia"/>
      <w:lang w:val="en-US" w:bidi="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Nadpis3Char">
    <w:name w:val="Nadpis 3 Char"/>
    <w:basedOn w:val="Standardnpsmoodstavce"/>
    <w:link w:val="Nadpis3"/>
    <w:uiPriority w:val="9"/>
    <w:rsid w:val="009E1D4B"/>
    <w:rPr>
      <w:rFonts w:asciiTheme="majorHAnsi" w:eastAsiaTheme="majorEastAsia" w:hAnsiTheme="majorHAnsi" w:cstheme="majorBidi"/>
      <w:color w:val="1F4D78" w:themeColor="accent1" w:themeShade="7F"/>
      <w:sz w:val="24"/>
      <w:szCs w:val="24"/>
      <w:lang w:val="en-US" w:bidi="en-US"/>
    </w:rPr>
  </w:style>
  <w:style w:type="paragraph" w:styleId="Textpoznpodarou">
    <w:name w:val="footnote text"/>
    <w:basedOn w:val="Normln"/>
    <w:link w:val="TextpoznpodarouChar"/>
    <w:uiPriority w:val="99"/>
    <w:semiHidden/>
    <w:unhideWhenUsed/>
    <w:rsid w:val="009E1D4B"/>
    <w:pPr>
      <w:spacing w:before="0" w:after="0" w:line="240" w:lineRule="auto"/>
    </w:pPr>
    <w:rPr>
      <w:rFonts w:ascii="Verdana" w:eastAsia="Verdana" w:hAnsi="Verdana" w:cs="Times New Roman"/>
      <w:sz w:val="16"/>
      <w:lang w:bidi="ar-SA"/>
    </w:rPr>
  </w:style>
  <w:style w:type="character" w:customStyle="1" w:styleId="TextpoznpodarouChar">
    <w:name w:val="Text pozn. pod čarou Char"/>
    <w:basedOn w:val="Standardnpsmoodstavce"/>
    <w:link w:val="Textpoznpodarou"/>
    <w:uiPriority w:val="99"/>
    <w:semiHidden/>
    <w:rsid w:val="009E1D4B"/>
    <w:rPr>
      <w:rFonts w:ascii="Verdana" w:eastAsia="Verdana" w:hAnsi="Verdana" w:cs="Times New Roman"/>
      <w:sz w:val="16"/>
      <w:szCs w:val="20"/>
      <w:lang w:val="en-US"/>
    </w:rPr>
  </w:style>
  <w:style w:type="character" w:styleId="Znakapoznpodarou">
    <w:name w:val="footnote reference"/>
    <w:uiPriority w:val="99"/>
    <w:semiHidden/>
    <w:unhideWhenUsed/>
    <w:rsid w:val="009E1D4B"/>
    <w:rPr>
      <w:vertAlign w:val="superscript"/>
    </w:rPr>
  </w:style>
  <w:style w:type="table" w:customStyle="1" w:styleId="GridTable4Accent1">
    <w:name w:val="Grid Table 4 Accent 1"/>
    <w:basedOn w:val="Normlntabulka"/>
    <w:uiPriority w:val="49"/>
    <w:rsid w:val="009E1D4B"/>
    <w:pPr>
      <w:spacing w:after="0" w:line="240" w:lineRule="auto"/>
    </w:pPr>
    <w:rPr>
      <w:rFonts w:ascii="Verdana" w:eastAsia="Verdana" w:hAnsi="Verdana" w:cs="Times New Roman"/>
      <w:sz w:val="20"/>
      <w:szCs w:val="20"/>
      <w:lang w:eastAsia="cs-CZ"/>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Zhlav">
    <w:name w:val="header"/>
    <w:basedOn w:val="Normln"/>
    <w:link w:val="ZhlavChar"/>
    <w:uiPriority w:val="99"/>
    <w:unhideWhenUsed/>
    <w:rsid w:val="004D7350"/>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4D7350"/>
    <w:rPr>
      <w:rFonts w:eastAsiaTheme="minorEastAsia"/>
      <w:sz w:val="20"/>
      <w:szCs w:val="20"/>
      <w:lang w:val="en-US" w:bidi="en-US"/>
    </w:rPr>
  </w:style>
  <w:style w:type="paragraph" w:styleId="Zpat">
    <w:name w:val="footer"/>
    <w:basedOn w:val="Normln"/>
    <w:link w:val="ZpatChar"/>
    <w:uiPriority w:val="99"/>
    <w:unhideWhenUsed/>
    <w:rsid w:val="004D7350"/>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4D7350"/>
    <w:rPr>
      <w:rFonts w:eastAsiaTheme="minorEastAsia"/>
      <w:sz w:val="20"/>
      <w:szCs w:val="20"/>
      <w:lang w:val="en-US" w:bidi="en-US"/>
    </w:rPr>
  </w:style>
  <w:style w:type="character" w:styleId="Sledovanodkaz">
    <w:name w:val="FollowedHyperlink"/>
    <w:basedOn w:val="Standardnpsmoodstavce"/>
    <w:uiPriority w:val="99"/>
    <w:semiHidden/>
    <w:unhideWhenUsed/>
    <w:rsid w:val="003A5240"/>
    <w:rPr>
      <w:color w:val="954F72" w:themeColor="followedHyperlink"/>
      <w:u w:val="single"/>
    </w:rPr>
  </w:style>
  <w:style w:type="table" w:styleId="Mkatabulky">
    <w:name w:val="Table Grid"/>
    <w:basedOn w:val="Normlntabulka"/>
    <w:uiPriority w:val="39"/>
    <w:rsid w:val="00B224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4A117F"/>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A117F"/>
    <w:rPr>
      <w:rFonts w:ascii="Tahoma" w:eastAsiaTheme="minorEastAsia"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divs>
    <w:div w:id="161236232">
      <w:bodyDiv w:val="1"/>
      <w:marLeft w:val="0"/>
      <w:marRight w:val="0"/>
      <w:marTop w:val="0"/>
      <w:marBottom w:val="0"/>
      <w:divBdr>
        <w:top w:val="none" w:sz="0" w:space="0" w:color="auto"/>
        <w:left w:val="none" w:sz="0" w:space="0" w:color="auto"/>
        <w:bottom w:val="none" w:sz="0" w:space="0" w:color="auto"/>
        <w:right w:val="none" w:sz="0" w:space="0" w:color="auto"/>
      </w:divBdr>
    </w:div>
    <w:div w:id="937835778">
      <w:bodyDiv w:val="1"/>
      <w:marLeft w:val="0"/>
      <w:marRight w:val="0"/>
      <w:marTop w:val="0"/>
      <w:marBottom w:val="0"/>
      <w:divBdr>
        <w:top w:val="none" w:sz="0" w:space="0" w:color="auto"/>
        <w:left w:val="none" w:sz="0" w:space="0" w:color="auto"/>
        <w:bottom w:val="none" w:sz="0" w:space="0" w:color="auto"/>
        <w:right w:val="none" w:sz="0" w:space="0" w:color="auto"/>
      </w:divBdr>
    </w:div>
    <w:div w:id="126703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enderarena.cz/profil/zakazka/detail.jsf?id=92369"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186F6-D1D0-4DA4-B4B7-082D95ED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2072</Words>
  <Characters>12228</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14272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Krumphanzl Václav Ing.</dc:creator>
  <cp:lastModifiedBy>OSPZV3 ospzv3</cp:lastModifiedBy>
  <cp:revision>2</cp:revision>
  <cp:lastPrinted>2018-04-26T06:45:00Z</cp:lastPrinted>
  <dcterms:created xsi:type="dcterms:W3CDTF">2018-04-26T06:45:00Z</dcterms:created>
  <dcterms:modified xsi:type="dcterms:W3CDTF">2018-04-26T06:45:00Z</dcterms:modified>
</cp:coreProperties>
</file>