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93" w:rsidRPr="003A1A93" w:rsidRDefault="003A1A93" w:rsidP="003A1A93">
      <w:pPr>
        <w:spacing w:before="120"/>
        <w:jc w:val="center"/>
        <w:rPr>
          <w:rFonts w:ascii="Arial" w:hAnsi="Arial" w:cs="Arial"/>
          <w:b/>
          <w:sz w:val="32"/>
          <w:szCs w:val="32"/>
        </w:rPr>
      </w:pPr>
      <w:r w:rsidRPr="003A1A93">
        <w:rPr>
          <w:rFonts w:ascii="Arial" w:hAnsi="Arial" w:cs="Arial"/>
          <w:b/>
          <w:sz w:val="32"/>
          <w:szCs w:val="32"/>
        </w:rPr>
        <w:t>Karenční doba při dočasné pracovní neschopnosti</w:t>
      </w:r>
    </w:p>
    <w:p w:rsidR="004A079B" w:rsidRDefault="004A079B" w:rsidP="00A112E1">
      <w:pPr>
        <w:spacing w:before="120"/>
        <w:jc w:val="both"/>
        <w:rPr>
          <w:rFonts w:ascii="Arial" w:hAnsi="Arial" w:cs="Arial"/>
        </w:rPr>
      </w:pPr>
    </w:p>
    <w:p w:rsidR="00193D54" w:rsidRDefault="003A1A93" w:rsidP="001A5114">
      <w:pPr>
        <w:spacing w:after="120"/>
        <w:jc w:val="both"/>
        <w:rPr>
          <w:rFonts w:ascii="Arial" w:hAnsi="Arial" w:cs="Arial"/>
        </w:rPr>
      </w:pPr>
      <w:r w:rsidRPr="003A1A93">
        <w:rPr>
          <w:rFonts w:ascii="Arial" w:hAnsi="Arial" w:cs="Arial"/>
        </w:rPr>
        <w:t xml:space="preserve">V návaznosti na </w:t>
      </w:r>
      <w:r w:rsidR="00A53903">
        <w:rPr>
          <w:rFonts w:ascii="Arial" w:hAnsi="Arial" w:cs="Arial"/>
        </w:rPr>
        <w:t>jednání mimořádné schůze předsednictva</w:t>
      </w:r>
      <w:r w:rsidRPr="003A1A93">
        <w:rPr>
          <w:rFonts w:ascii="Arial" w:hAnsi="Arial" w:cs="Arial"/>
        </w:rPr>
        <w:t xml:space="preserve"> R</w:t>
      </w:r>
      <w:r w:rsidR="00193D54">
        <w:rPr>
          <w:rFonts w:ascii="Arial" w:hAnsi="Arial" w:cs="Arial"/>
        </w:rPr>
        <w:t>ady hospodářské a sociální dohody</w:t>
      </w:r>
      <w:r w:rsidRPr="003A1A93">
        <w:rPr>
          <w:rFonts w:ascii="Arial" w:hAnsi="Arial" w:cs="Arial"/>
        </w:rPr>
        <w:t xml:space="preserve"> ČR </w:t>
      </w:r>
      <w:r w:rsidR="00A53903">
        <w:rPr>
          <w:rFonts w:ascii="Arial" w:hAnsi="Arial" w:cs="Arial"/>
        </w:rPr>
        <w:t xml:space="preserve">konané </w:t>
      </w:r>
      <w:r w:rsidRPr="003A1A93">
        <w:rPr>
          <w:rFonts w:ascii="Arial" w:hAnsi="Arial" w:cs="Arial"/>
        </w:rPr>
        <w:t xml:space="preserve">dne 26. </w:t>
      </w:r>
      <w:r w:rsidR="00A53903">
        <w:rPr>
          <w:rFonts w:ascii="Arial" w:hAnsi="Arial" w:cs="Arial"/>
        </w:rPr>
        <w:t>března</w:t>
      </w:r>
      <w:r w:rsidRPr="003A1A93">
        <w:rPr>
          <w:rFonts w:ascii="Arial" w:hAnsi="Arial" w:cs="Arial"/>
        </w:rPr>
        <w:t xml:space="preserve"> 201</w:t>
      </w:r>
      <w:r w:rsidR="00A53903">
        <w:rPr>
          <w:rFonts w:ascii="Arial" w:hAnsi="Arial" w:cs="Arial"/>
        </w:rPr>
        <w:t>8</w:t>
      </w:r>
      <w:r w:rsidRPr="003A1A93">
        <w:rPr>
          <w:rFonts w:ascii="Arial" w:hAnsi="Arial" w:cs="Arial"/>
        </w:rPr>
        <w:t xml:space="preserve"> předkládá Ministerstvo práce a sociálních věcí </w:t>
      </w:r>
      <w:r w:rsidR="00B534A1">
        <w:rPr>
          <w:rFonts w:ascii="Arial" w:hAnsi="Arial" w:cs="Arial"/>
        </w:rPr>
        <w:t xml:space="preserve">na </w:t>
      </w:r>
      <w:r w:rsidR="00076820">
        <w:rPr>
          <w:rFonts w:ascii="Arial" w:hAnsi="Arial" w:cs="Arial"/>
        </w:rPr>
        <w:t xml:space="preserve">jednání </w:t>
      </w:r>
      <w:r w:rsidR="00B534A1" w:rsidRPr="00B534A1">
        <w:rPr>
          <w:rFonts w:ascii="Arial" w:hAnsi="Arial" w:cs="Arial"/>
        </w:rPr>
        <w:t>142.</w:t>
      </w:r>
      <w:r w:rsidR="00B534A1">
        <w:rPr>
          <w:rFonts w:ascii="Arial" w:hAnsi="Arial" w:cs="Arial"/>
        </w:rPr>
        <w:t> p</w:t>
      </w:r>
      <w:r w:rsidR="00B534A1" w:rsidRPr="00B534A1">
        <w:rPr>
          <w:rFonts w:ascii="Arial" w:hAnsi="Arial" w:cs="Arial"/>
        </w:rPr>
        <w:t>lenární schůz</w:t>
      </w:r>
      <w:r w:rsidR="00076820">
        <w:rPr>
          <w:rFonts w:ascii="Arial" w:hAnsi="Arial" w:cs="Arial"/>
        </w:rPr>
        <w:t>e</w:t>
      </w:r>
      <w:r w:rsidR="00B534A1" w:rsidRPr="00B534A1">
        <w:rPr>
          <w:rFonts w:ascii="Arial" w:hAnsi="Arial" w:cs="Arial"/>
        </w:rPr>
        <w:t xml:space="preserve"> </w:t>
      </w:r>
      <w:r w:rsidR="00193D54">
        <w:rPr>
          <w:rFonts w:ascii="Arial" w:hAnsi="Arial" w:cs="Arial"/>
        </w:rPr>
        <w:t>RHSD</w:t>
      </w:r>
      <w:r w:rsidR="00076820">
        <w:rPr>
          <w:rFonts w:ascii="Arial" w:hAnsi="Arial" w:cs="Arial"/>
        </w:rPr>
        <w:t xml:space="preserve"> </w:t>
      </w:r>
      <w:r w:rsidR="00B534A1" w:rsidRPr="00B534A1">
        <w:rPr>
          <w:rFonts w:ascii="Arial" w:hAnsi="Arial" w:cs="Arial"/>
        </w:rPr>
        <w:t>ČR</w:t>
      </w:r>
      <w:r w:rsidR="00B534A1">
        <w:rPr>
          <w:rFonts w:ascii="Arial" w:hAnsi="Arial" w:cs="Arial"/>
        </w:rPr>
        <w:t xml:space="preserve"> </w:t>
      </w:r>
      <w:r w:rsidRPr="003A1A93">
        <w:rPr>
          <w:rFonts w:ascii="Arial" w:hAnsi="Arial" w:cs="Arial"/>
        </w:rPr>
        <w:t>materiál se záměrem pokračovat v</w:t>
      </w:r>
      <w:r w:rsidR="00B534A1">
        <w:rPr>
          <w:rFonts w:ascii="Arial" w:hAnsi="Arial" w:cs="Arial"/>
        </w:rPr>
        <w:t> </w:t>
      </w:r>
      <w:r w:rsidRPr="003A1A93">
        <w:rPr>
          <w:rFonts w:ascii="Arial" w:hAnsi="Arial" w:cs="Arial"/>
        </w:rPr>
        <w:t xml:space="preserve">diskusi o možném </w:t>
      </w:r>
      <w:r w:rsidRPr="00B71157">
        <w:rPr>
          <w:rFonts w:ascii="Arial" w:hAnsi="Arial" w:cs="Arial"/>
          <w:b/>
        </w:rPr>
        <w:t>zrušení tzv. karenční doby</w:t>
      </w:r>
      <w:r w:rsidRPr="003A1A93">
        <w:rPr>
          <w:rFonts w:ascii="Arial" w:hAnsi="Arial" w:cs="Arial"/>
        </w:rPr>
        <w:t xml:space="preserve">. Materiál </w:t>
      </w:r>
      <w:r w:rsidR="00A53903">
        <w:rPr>
          <w:rFonts w:ascii="Arial" w:hAnsi="Arial" w:cs="Arial"/>
        </w:rPr>
        <w:t>obsahuje</w:t>
      </w:r>
      <w:r w:rsidRPr="003A1A93">
        <w:rPr>
          <w:rFonts w:ascii="Arial" w:hAnsi="Arial" w:cs="Arial"/>
        </w:rPr>
        <w:t xml:space="preserve"> </w:t>
      </w:r>
      <w:r w:rsidR="00EE79B6">
        <w:rPr>
          <w:rFonts w:ascii="Arial" w:hAnsi="Arial" w:cs="Arial"/>
        </w:rPr>
        <w:t>v části 5.</w:t>
      </w:r>
      <w:r w:rsidR="00B534A1">
        <w:rPr>
          <w:rFonts w:ascii="Arial" w:hAnsi="Arial" w:cs="Arial"/>
        </w:rPr>
        <w:t> </w:t>
      </w:r>
      <w:r w:rsidR="007E6364">
        <w:rPr>
          <w:rFonts w:ascii="Arial" w:hAnsi="Arial" w:cs="Arial"/>
        </w:rPr>
        <w:t xml:space="preserve">podrobný </w:t>
      </w:r>
      <w:r w:rsidR="00A53903">
        <w:rPr>
          <w:rFonts w:ascii="Arial" w:hAnsi="Arial" w:cs="Arial"/>
        </w:rPr>
        <w:t>p</w:t>
      </w:r>
      <w:r w:rsidR="00A53903" w:rsidRPr="00A53903">
        <w:rPr>
          <w:rFonts w:ascii="Arial" w:hAnsi="Arial" w:cs="Arial"/>
        </w:rPr>
        <w:t xml:space="preserve">opis a vyčíslení dopadů tří </w:t>
      </w:r>
      <w:r w:rsidR="00A53903">
        <w:rPr>
          <w:rFonts w:ascii="Arial" w:hAnsi="Arial" w:cs="Arial"/>
        </w:rPr>
        <w:t xml:space="preserve">možných </w:t>
      </w:r>
      <w:r w:rsidR="00A53903" w:rsidRPr="00A53903">
        <w:rPr>
          <w:rFonts w:ascii="Arial" w:hAnsi="Arial" w:cs="Arial"/>
        </w:rPr>
        <w:t xml:space="preserve">variant </w:t>
      </w:r>
      <w:r w:rsidR="00A53903">
        <w:rPr>
          <w:rFonts w:ascii="Arial" w:hAnsi="Arial" w:cs="Arial"/>
        </w:rPr>
        <w:t xml:space="preserve">řešení </w:t>
      </w:r>
      <w:r w:rsidR="00A53903" w:rsidRPr="00A53903">
        <w:rPr>
          <w:rFonts w:ascii="Arial" w:hAnsi="Arial" w:cs="Arial"/>
        </w:rPr>
        <w:t>zrušení karenční doby</w:t>
      </w:r>
      <w:r w:rsidR="00A53903">
        <w:rPr>
          <w:rFonts w:ascii="Arial" w:hAnsi="Arial" w:cs="Arial"/>
        </w:rPr>
        <w:t xml:space="preserve"> včetně</w:t>
      </w:r>
      <w:r w:rsidRPr="003A1A93">
        <w:rPr>
          <w:rFonts w:ascii="Arial" w:hAnsi="Arial" w:cs="Arial"/>
        </w:rPr>
        <w:t xml:space="preserve"> případných kompenzací těchto dopadů.</w:t>
      </w:r>
      <w:r w:rsidR="00046339">
        <w:rPr>
          <w:rFonts w:ascii="Arial" w:hAnsi="Arial" w:cs="Arial"/>
        </w:rPr>
        <w:t xml:space="preserve">  </w:t>
      </w:r>
    </w:p>
    <w:p w:rsidR="00DA785E" w:rsidRDefault="00046339" w:rsidP="001A5114">
      <w:pPr>
        <w:spacing w:after="120"/>
        <w:jc w:val="both"/>
        <w:rPr>
          <w:rFonts w:ascii="Arial" w:hAnsi="Arial" w:cs="Arial"/>
        </w:rPr>
      </w:pPr>
      <w:r>
        <w:rPr>
          <w:rFonts w:ascii="Arial" w:hAnsi="Arial" w:cs="Arial"/>
        </w:rPr>
        <w:t>Jedná se o</w:t>
      </w:r>
      <w:r w:rsidR="00193D54">
        <w:rPr>
          <w:rFonts w:ascii="Arial" w:hAnsi="Arial" w:cs="Arial"/>
        </w:rPr>
        <w:t> </w:t>
      </w:r>
      <w:r w:rsidR="00EE79B6">
        <w:rPr>
          <w:rFonts w:ascii="Arial" w:hAnsi="Arial" w:cs="Arial"/>
        </w:rPr>
        <w:t>variant</w:t>
      </w:r>
      <w:r w:rsidR="001A14BE">
        <w:rPr>
          <w:rFonts w:ascii="Arial" w:hAnsi="Arial" w:cs="Arial"/>
        </w:rPr>
        <w:t>y</w:t>
      </w:r>
      <w:r w:rsidR="008A5024">
        <w:rPr>
          <w:rFonts w:ascii="Arial" w:hAnsi="Arial" w:cs="Arial"/>
        </w:rPr>
        <w:t>:</w:t>
      </w:r>
    </w:p>
    <w:p w:rsidR="008A5024" w:rsidRPr="00C95143" w:rsidRDefault="00662BD9" w:rsidP="00C95143">
      <w:pPr>
        <w:pStyle w:val="Odstavecseseznamem"/>
        <w:numPr>
          <w:ilvl w:val="0"/>
          <w:numId w:val="27"/>
        </w:numPr>
        <w:spacing w:line="276" w:lineRule="auto"/>
        <w:jc w:val="both"/>
        <w:rPr>
          <w:rFonts w:ascii="Arial" w:hAnsi="Arial" w:cs="Arial"/>
        </w:rPr>
      </w:pPr>
      <w:r w:rsidRPr="00C95143">
        <w:rPr>
          <w:rFonts w:ascii="Arial" w:hAnsi="Arial" w:cs="Arial"/>
        </w:rPr>
        <w:t>p</w:t>
      </w:r>
      <w:r w:rsidR="008A5024" w:rsidRPr="00C95143">
        <w:rPr>
          <w:rFonts w:ascii="Arial" w:hAnsi="Arial" w:cs="Arial"/>
        </w:rPr>
        <w:t>oslanecký návrh ČSSD (ST 109)</w:t>
      </w:r>
      <w:r w:rsidRPr="00C95143">
        <w:rPr>
          <w:rFonts w:ascii="Arial" w:hAnsi="Arial" w:cs="Arial"/>
        </w:rPr>
        <w:t>,</w:t>
      </w:r>
    </w:p>
    <w:p w:rsidR="008A5024" w:rsidRPr="00C95143" w:rsidRDefault="00662BD9" w:rsidP="00C95143">
      <w:pPr>
        <w:pStyle w:val="Odstavecseseznamem"/>
        <w:numPr>
          <w:ilvl w:val="0"/>
          <w:numId w:val="27"/>
        </w:numPr>
        <w:spacing w:line="276" w:lineRule="auto"/>
        <w:jc w:val="both"/>
        <w:rPr>
          <w:rFonts w:ascii="Arial" w:hAnsi="Arial" w:cs="Arial"/>
        </w:rPr>
      </w:pPr>
      <w:r w:rsidRPr="00C95143">
        <w:rPr>
          <w:rFonts w:ascii="Arial" w:hAnsi="Arial" w:cs="Arial"/>
        </w:rPr>
        <w:t>a</w:t>
      </w:r>
      <w:r w:rsidR="008A5024" w:rsidRPr="00C95143">
        <w:rPr>
          <w:rFonts w:ascii="Arial" w:hAnsi="Arial" w:cs="Arial"/>
        </w:rPr>
        <w:t>lternativní návrh se sníženými dopady na zaměstnavatele</w:t>
      </w:r>
      <w:r w:rsidRPr="00C95143">
        <w:rPr>
          <w:rFonts w:ascii="Arial" w:hAnsi="Arial" w:cs="Arial"/>
        </w:rPr>
        <w:t>,</w:t>
      </w:r>
    </w:p>
    <w:p w:rsidR="001A409C" w:rsidRPr="00C95143" w:rsidRDefault="00662BD9" w:rsidP="00C95143">
      <w:pPr>
        <w:pStyle w:val="Odstavecseseznamem"/>
        <w:numPr>
          <w:ilvl w:val="0"/>
          <w:numId w:val="27"/>
        </w:numPr>
        <w:spacing w:line="276" w:lineRule="auto"/>
        <w:jc w:val="both"/>
        <w:rPr>
          <w:rFonts w:ascii="Arial" w:hAnsi="Arial" w:cs="Arial"/>
        </w:rPr>
      </w:pPr>
      <w:r w:rsidRPr="00C95143">
        <w:rPr>
          <w:rFonts w:ascii="Arial" w:hAnsi="Arial" w:cs="Arial"/>
        </w:rPr>
        <w:t>alternativní návrh s maximální výší náhrady pro zaměstnance a obnovením placení pojistného zaměstnanci.</w:t>
      </w:r>
    </w:p>
    <w:p w:rsidR="001A5114" w:rsidRDefault="007946EC" w:rsidP="007946EC">
      <w:pPr>
        <w:spacing w:before="120"/>
        <w:jc w:val="both"/>
        <w:rPr>
          <w:rFonts w:ascii="Arial" w:hAnsi="Arial" w:cs="Arial"/>
        </w:rPr>
      </w:pPr>
      <w:r>
        <w:rPr>
          <w:rFonts w:ascii="Arial" w:hAnsi="Arial" w:cs="Arial"/>
        </w:rPr>
        <w:t xml:space="preserve">Na minulém jednání mimořádné schůze </w:t>
      </w:r>
      <w:r w:rsidR="001A5114">
        <w:rPr>
          <w:rFonts w:ascii="Arial" w:hAnsi="Arial" w:cs="Arial"/>
        </w:rPr>
        <w:t xml:space="preserve">v otázce zrušení karenční doby </w:t>
      </w:r>
      <w:r>
        <w:rPr>
          <w:rFonts w:ascii="Arial" w:hAnsi="Arial" w:cs="Arial"/>
        </w:rPr>
        <w:t xml:space="preserve">ke shodě nedošlo, zaměstnavatelé požádali o </w:t>
      </w:r>
      <w:r w:rsidR="001A5114">
        <w:rPr>
          <w:rFonts w:ascii="Arial" w:hAnsi="Arial" w:cs="Arial"/>
        </w:rPr>
        <w:t xml:space="preserve">určitý </w:t>
      </w:r>
      <w:r>
        <w:rPr>
          <w:rFonts w:ascii="Arial" w:hAnsi="Arial" w:cs="Arial"/>
        </w:rPr>
        <w:t xml:space="preserve">čas na prostudování předložených variant s tím, že se k nim </w:t>
      </w:r>
      <w:r w:rsidR="001A5114">
        <w:rPr>
          <w:rFonts w:ascii="Arial" w:hAnsi="Arial" w:cs="Arial"/>
        </w:rPr>
        <w:t xml:space="preserve">poté </w:t>
      </w:r>
      <w:r>
        <w:rPr>
          <w:rFonts w:ascii="Arial" w:hAnsi="Arial" w:cs="Arial"/>
        </w:rPr>
        <w:t>vyjádří</w:t>
      </w:r>
      <w:r w:rsidR="001A5114">
        <w:rPr>
          <w:rFonts w:ascii="Arial" w:hAnsi="Arial" w:cs="Arial"/>
        </w:rPr>
        <w:t>.</w:t>
      </w:r>
      <w:r>
        <w:rPr>
          <w:rFonts w:ascii="Arial" w:hAnsi="Arial" w:cs="Arial"/>
        </w:rPr>
        <w:t xml:space="preserve"> V dopise ze dne 29. března 2018 adresovaném panu premiérovi zaměstnavatelé </w:t>
      </w:r>
      <w:r w:rsidR="00076820">
        <w:rPr>
          <w:rFonts w:ascii="Arial" w:hAnsi="Arial" w:cs="Arial"/>
        </w:rPr>
        <w:t xml:space="preserve">mj. </w:t>
      </w:r>
      <w:r>
        <w:rPr>
          <w:rFonts w:ascii="Arial" w:hAnsi="Arial" w:cs="Arial"/>
        </w:rPr>
        <w:t>uvedli, že po důkladném posouzení předložených variant na zrušení karenční doby v členských základnách, kdy obdrželi od členů řadu názorů na jednotlivé varianty, a to nejenom z pohledu ekonomických dopadů na zaměstnavatele, ale celkově i na zaměstnance, firemní personální politiku a na českou ekonomiku jako celek, nemohou žádnou z uvedených variant v současné době podpořit.</w:t>
      </w:r>
      <w:r w:rsidR="00E951A5">
        <w:rPr>
          <w:rFonts w:ascii="Arial" w:hAnsi="Arial" w:cs="Arial"/>
        </w:rPr>
        <w:t xml:space="preserve"> Dále uvedli, že jsou připraveni o navrhovaném zrušení karenční doby jednat, jakmile vláda zavede </w:t>
      </w:r>
      <w:r w:rsidR="001A5114">
        <w:rPr>
          <w:rFonts w:ascii="Arial" w:hAnsi="Arial" w:cs="Arial"/>
        </w:rPr>
        <w:t>elektronickou neschopenku</w:t>
      </w:r>
      <w:r w:rsidR="00E951A5">
        <w:rPr>
          <w:rFonts w:ascii="Arial" w:hAnsi="Arial" w:cs="Arial"/>
        </w:rPr>
        <w:t>. Pak jsou připraveni jednat o úpravě varianty číslo 2, kterou předložilo hnutí ANO</w:t>
      </w:r>
      <w:r w:rsidR="001A5114">
        <w:rPr>
          <w:rFonts w:ascii="Arial" w:hAnsi="Arial" w:cs="Arial"/>
        </w:rPr>
        <w:t>, přičemž z</w:t>
      </w:r>
      <w:r w:rsidR="00E951A5">
        <w:rPr>
          <w:rFonts w:ascii="Arial" w:hAnsi="Arial" w:cs="Arial"/>
        </w:rPr>
        <w:t xml:space="preserve">a zásadní </w:t>
      </w:r>
      <w:r w:rsidR="00D812B3">
        <w:rPr>
          <w:rFonts w:ascii="Arial" w:hAnsi="Arial" w:cs="Arial"/>
        </w:rPr>
        <w:t>považují</w:t>
      </w:r>
      <w:r w:rsidR="00E951A5">
        <w:rPr>
          <w:rFonts w:ascii="Arial" w:hAnsi="Arial" w:cs="Arial"/>
        </w:rPr>
        <w:t xml:space="preserve">, aby úprava nesla kompenzaci zaměstnavateli </w:t>
      </w:r>
      <w:r w:rsidR="001A5114">
        <w:rPr>
          <w:rFonts w:ascii="Arial" w:hAnsi="Arial" w:cs="Arial"/>
        </w:rPr>
        <w:t>za poskytování náhrady mzdy 30 %, a to ve snížení pojistné sazby odvodu nejméně o 0, 2 %.</w:t>
      </w:r>
    </w:p>
    <w:p w:rsidR="004A079B" w:rsidRPr="00662BD9" w:rsidRDefault="004A079B" w:rsidP="007946EC">
      <w:pPr>
        <w:ind w:left="709" w:hanging="709"/>
        <w:jc w:val="both"/>
        <w:rPr>
          <w:rFonts w:ascii="Arial" w:hAnsi="Arial" w:cs="Arial"/>
        </w:rPr>
      </w:pPr>
      <w:bookmarkStart w:id="0" w:name="_GoBack"/>
      <w:bookmarkEnd w:id="0"/>
    </w:p>
    <w:p w:rsidR="002F75FF" w:rsidRPr="00854AF0" w:rsidRDefault="00CD77D9" w:rsidP="00A112E1">
      <w:pPr>
        <w:pStyle w:val="Zkladntext"/>
        <w:numPr>
          <w:ilvl w:val="0"/>
          <w:numId w:val="21"/>
        </w:numPr>
        <w:rPr>
          <w:rFonts w:cs="Arial"/>
          <w:b/>
          <w:u w:val="single"/>
        </w:rPr>
      </w:pPr>
      <w:r w:rsidRPr="00854AF0">
        <w:rPr>
          <w:rFonts w:cs="Arial"/>
          <w:b/>
          <w:u w:val="single"/>
        </w:rPr>
        <w:t xml:space="preserve">Vývoj právní úpravy karenční doby </w:t>
      </w:r>
    </w:p>
    <w:p w:rsidR="001A409C" w:rsidRDefault="000D5A5B" w:rsidP="00D74D72">
      <w:pPr>
        <w:pStyle w:val="Zkladntext"/>
        <w:spacing w:before="240"/>
        <w:rPr>
          <w:rFonts w:cs="Arial"/>
        </w:rPr>
      </w:pPr>
      <w:r w:rsidRPr="00B60FEA">
        <w:rPr>
          <w:rFonts w:cs="Arial"/>
          <w:b/>
        </w:rPr>
        <w:t>Před rokem 2008</w:t>
      </w:r>
      <w:r w:rsidRPr="00B60FEA">
        <w:rPr>
          <w:rFonts w:cs="Arial"/>
        </w:rPr>
        <w:t xml:space="preserve"> nebyla </w:t>
      </w:r>
      <w:r w:rsidRPr="000D5A5B">
        <w:rPr>
          <w:rFonts w:cs="Arial"/>
        </w:rPr>
        <w:t>v</w:t>
      </w:r>
      <w:r w:rsidR="00721695" w:rsidRPr="000D5A5B">
        <w:rPr>
          <w:rFonts w:cs="Arial"/>
        </w:rPr>
        <w:t xml:space="preserve"> systému nemocenského pojištění </w:t>
      </w:r>
      <w:r w:rsidRPr="000D5A5B">
        <w:rPr>
          <w:rFonts w:cs="Arial"/>
        </w:rPr>
        <w:t>karenční doba legislativně upravena</w:t>
      </w:r>
      <w:r>
        <w:rPr>
          <w:rFonts w:cs="Arial"/>
        </w:rPr>
        <w:t xml:space="preserve">, nicméně </w:t>
      </w:r>
      <w:r w:rsidRPr="002C35D6">
        <w:rPr>
          <w:rFonts w:cs="Arial"/>
        </w:rPr>
        <w:t>v období prvních tří dnů byla vyplácena snížená</w:t>
      </w:r>
      <w:r>
        <w:rPr>
          <w:rFonts w:cs="Arial"/>
        </w:rPr>
        <w:t xml:space="preserve"> dávka nemocenského pojištění. Konkrétně v období 2004 – 2007 byl</w:t>
      </w:r>
      <w:r w:rsidR="00E0685D">
        <w:rPr>
          <w:rFonts w:cs="Arial"/>
        </w:rPr>
        <w:t>o</w:t>
      </w:r>
      <w:r>
        <w:rPr>
          <w:rFonts w:cs="Arial"/>
        </w:rPr>
        <w:t xml:space="preserve"> nemocensk</w:t>
      </w:r>
      <w:r w:rsidR="00E0685D">
        <w:rPr>
          <w:rFonts w:cs="Arial"/>
        </w:rPr>
        <w:t>é</w:t>
      </w:r>
      <w:r>
        <w:rPr>
          <w:rFonts w:cs="Arial"/>
        </w:rPr>
        <w:t xml:space="preserve"> ve výši:</w:t>
      </w:r>
    </w:p>
    <w:p w:rsidR="000D5A5B" w:rsidRDefault="000D5A5B" w:rsidP="00A112E1">
      <w:pPr>
        <w:pStyle w:val="Zkladntext"/>
        <w:rPr>
          <w:rFonts w:cs="Arial"/>
        </w:rPr>
      </w:pPr>
      <w:r>
        <w:rPr>
          <w:rFonts w:cs="Arial"/>
        </w:rPr>
        <w:t>25 %</w:t>
      </w:r>
      <w:r>
        <w:rPr>
          <w:rStyle w:val="Znakapoznpodarou"/>
          <w:rFonts w:cs="Arial"/>
        </w:rPr>
        <w:footnoteReference w:id="1"/>
      </w:r>
      <w:r>
        <w:rPr>
          <w:rFonts w:cs="Arial"/>
        </w:rPr>
        <w:tab/>
      </w:r>
      <w:r>
        <w:rPr>
          <w:rFonts w:cs="Arial"/>
        </w:rPr>
        <w:tab/>
        <w:t>1. – 3.</w:t>
      </w:r>
      <w:r>
        <w:rPr>
          <w:rFonts w:cs="Arial"/>
        </w:rPr>
        <w:tab/>
        <w:t>den nemoci</w:t>
      </w:r>
    </w:p>
    <w:p w:rsidR="000D5A5B" w:rsidRDefault="000D5A5B" w:rsidP="00D74D72">
      <w:pPr>
        <w:pStyle w:val="Zkladntext"/>
        <w:rPr>
          <w:rFonts w:cs="Arial"/>
        </w:rPr>
      </w:pPr>
      <w:r>
        <w:rPr>
          <w:rFonts w:cs="Arial"/>
        </w:rPr>
        <w:t>69 %</w:t>
      </w:r>
      <w:r>
        <w:rPr>
          <w:rFonts w:cs="Arial"/>
        </w:rPr>
        <w:tab/>
      </w:r>
      <w:r>
        <w:rPr>
          <w:rFonts w:cs="Arial"/>
        </w:rPr>
        <w:tab/>
        <w:t>od 4. dne nemoci</w:t>
      </w:r>
    </w:p>
    <w:p w:rsidR="000D5A5B" w:rsidRDefault="00B60FEA" w:rsidP="00547E08">
      <w:pPr>
        <w:pStyle w:val="Zkladntext"/>
        <w:spacing w:before="240"/>
        <w:rPr>
          <w:rFonts w:cs="Arial"/>
        </w:rPr>
      </w:pPr>
      <w:r w:rsidRPr="00CE46E8">
        <w:rPr>
          <w:rFonts w:cs="Arial"/>
          <w:b/>
        </w:rPr>
        <w:t>Karenční doba</w:t>
      </w:r>
      <w:r w:rsidRPr="00B60FEA">
        <w:rPr>
          <w:rFonts w:cs="Arial"/>
        </w:rPr>
        <w:t xml:space="preserve"> byl</w:t>
      </w:r>
      <w:r>
        <w:rPr>
          <w:rFonts w:cs="Arial"/>
        </w:rPr>
        <w:t>a</w:t>
      </w:r>
      <w:r w:rsidRPr="00B60FEA">
        <w:rPr>
          <w:rFonts w:cs="Arial"/>
        </w:rPr>
        <w:t xml:space="preserve"> do našeho právního řádu poprvé zaveden</w:t>
      </w:r>
      <w:r>
        <w:rPr>
          <w:rFonts w:cs="Arial"/>
        </w:rPr>
        <w:t>a</w:t>
      </w:r>
      <w:r w:rsidRPr="00B60FEA">
        <w:rPr>
          <w:rFonts w:cs="Arial"/>
        </w:rPr>
        <w:t xml:space="preserve"> zákonem č.</w:t>
      </w:r>
      <w:r>
        <w:rPr>
          <w:rFonts w:cs="Arial"/>
        </w:rPr>
        <w:t> </w:t>
      </w:r>
      <w:r w:rsidRPr="00B60FEA">
        <w:rPr>
          <w:rFonts w:cs="Arial"/>
        </w:rPr>
        <w:t xml:space="preserve">261/2007 Sb., o stabilizaci veřejných rozpočtů, a to </w:t>
      </w:r>
      <w:r w:rsidRPr="00CE46E8">
        <w:rPr>
          <w:rFonts w:cs="Arial"/>
          <w:b/>
        </w:rPr>
        <w:t>od 1. 1. 2008</w:t>
      </w:r>
      <w:r w:rsidRPr="00B60FEA">
        <w:rPr>
          <w:rFonts w:cs="Arial"/>
        </w:rPr>
        <w:t xml:space="preserve"> v rámci právní úpravy nemocenského pojištění zaměstnanců podle tehdy platného zákona č.</w:t>
      </w:r>
      <w:r>
        <w:rPr>
          <w:rFonts w:cs="Arial"/>
        </w:rPr>
        <w:t> </w:t>
      </w:r>
      <w:r w:rsidRPr="00B60FEA">
        <w:rPr>
          <w:rFonts w:cs="Arial"/>
        </w:rPr>
        <w:t>54/1956 Sb.</w:t>
      </w:r>
      <w:r w:rsidR="00CE46E8">
        <w:rPr>
          <w:rFonts w:cs="Arial"/>
        </w:rPr>
        <w:t xml:space="preserve"> N</w:t>
      </w:r>
      <w:r w:rsidR="000D5A5B">
        <w:rPr>
          <w:rFonts w:cs="Arial"/>
        </w:rPr>
        <w:t>emocensk</w:t>
      </w:r>
      <w:r w:rsidR="00FA1AC9">
        <w:rPr>
          <w:rFonts w:cs="Arial"/>
        </w:rPr>
        <w:t>é</w:t>
      </w:r>
      <w:r w:rsidR="000D5A5B">
        <w:rPr>
          <w:rFonts w:cs="Arial"/>
        </w:rPr>
        <w:t xml:space="preserve"> byl</w:t>
      </w:r>
      <w:r w:rsidR="00FA1AC9">
        <w:rPr>
          <w:rFonts w:cs="Arial"/>
        </w:rPr>
        <w:t>o</w:t>
      </w:r>
      <w:r w:rsidR="000D5A5B">
        <w:rPr>
          <w:rFonts w:cs="Arial"/>
        </w:rPr>
        <w:t xml:space="preserve"> vyplácen</w:t>
      </w:r>
      <w:r>
        <w:rPr>
          <w:rFonts w:cs="Arial"/>
        </w:rPr>
        <w:t>o</w:t>
      </w:r>
      <w:r w:rsidR="000D5A5B">
        <w:rPr>
          <w:rFonts w:cs="Arial"/>
        </w:rPr>
        <w:t xml:space="preserve"> ve výši:</w:t>
      </w:r>
    </w:p>
    <w:p w:rsidR="00D74D72" w:rsidRDefault="00D74D72" w:rsidP="00547E08">
      <w:pPr>
        <w:pStyle w:val="Zkladntext"/>
        <w:spacing w:before="240"/>
        <w:rPr>
          <w:rFonts w:cs="Arial"/>
        </w:rPr>
      </w:pPr>
    </w:p>
    <w:p w:rsidR="000D5A5B" w:rsidRDefault="000D5A5B" w:rsidP="00A112E1">
      <w:pPr>
        <w:pStyle w:val="Zkladntext"/>
        <w:rPr>
          <w:rFonts w:cs="Arial"/>
        </w:rPr>
      </w:pPr>
      <w:r>
        <w:rPr>
          <w:rFonts w:cs="Arial"/>
        </w:rPr>
        <w:t>60 %</w:t>
      </w:r>
      <w:r>
        <w:rPr>
          <w:rFonts w:cs="Arial"/>
        </w:rPr>
        <w:tab/>
      </w:r>
      <w:r>
        <w:rPr>
          <w:rFonts w:cs="Arial"/>
        </w:rPr>
        <w:tab/>
        <w:t>4. – 30. den nemoci</w:t>
      </w:r>
    </w:p>
    <w:p w:rsidR="000D5A5B" w:rsidRDefault="000D5A5B" w:rsidP="00D74D72">
      <w:pPr>
        <w:pStyle w:val="Zkladntext"/>
        <w:rPr>
          <w:rFonts w:cs="Arial"/>
        </w:rPr>
      </w:pPr>
      <w:r>
        <w:rPr>
          <w:rFonts w:cs="Arial"/>
        </w:rPr>
        <w:lastRenderedPageBreak/>
        <w:t>66 %</w:t>
      </w:r>
      <w:r>
        <w:rPr>
          <w:rFonts w:cs="Arial"/>
        </w:rPr>
        <w:tab/>
      </w:r>
      <w:r>
        <w:rPr>
          <w:rFonts w:cs="Arial"/>
        </w:rPr>
        <w:tab/>
        <w:t>31. – 60. den nemoci</w:t>
      </w:r>
    </w:p>
    <w:p w:rsidR="000D5A5B" w:rsidRDefault="000D5A5B" w:rsidP="00AF4A2E">
      <w:pPr>
        <w:pStyle w:val="Zkladntext"/>
        <w:spacing w:before="0"/>
        <w:rPr>
          <w:rFonts w:cs="Arial"/>
        </w:rPr>
      </w:pPr>
      <w:r>
        <w:rPr>
          <w:rFonts w:cs="Arial"/>
        </w:rPr>
        <w:t>72 %</w:t>
      </w:r>
      <w:r>
        <w:rPr>
          <w:rFonts w:cs="Arial"/>
        </w:rPr>
        <w:tab/>
      </w:r>
      <w:r>
        <w:rPr>
          <w:rFonts w:cs="Arial"/>
        </w:rPr>
        <w:tab/>
        <w:t>od 61. dne nemoci</w:t>
      </w:r>
    </w:p>
    <w:p w:rsidR="00776EF3" w:rsidRDefault="00547E08" w:rsidP="00547E08">
      <w:pPr>
        <w:pStyle w:val="Zkladntext"/>
        <w:spacing w:before="240"/>
        <w:rPr>
          <w:rFonts w:cs="Arial"/>
        </w:rPr>
      </w:pPr>
      <w:r w:rsidRPr="00547E08">
        <w:rPr>
          <w:rFonts w:cs="Arial"/>
        </w:rPr>
        <w:t xml:space="preserve">Příslušné ustanovení tohoto zákona o karenční době bylo však již </w:t>
      </w:r>
      <w:r w:rsidRPr="00547E08">
        <w:rPr>
          <w:rFonts w:cs="Arial"/>
          <w:b/>
        </w:rPr>
        <w:t>dnem 30. 6. 2008 zrušeno</w:t>
      </w:r>
      <w:r w:rsidRPr="00547E08">
        <w:rPr>
          <w:rFonts w:cs="Arial"/>
        </w:rPr>
        <w:t xml:space="preserve"> nálezem Ústavního soudu ze dne 23. 4. 2008, vyhlášeným pod č. 166/2008 Sb.</w:t>
      </w:r>
      <w:r>
        <w:rPr>
          <w:rFonts w:cs="Arial"/>
        </w:rPr>
        <w:t xml:space="preserve"> </w:t>
      </w:r>
      <w:r w:rsidR="006077EA">
        <w:rPr>
          <w:rFonts w:cs="Arial"/>
        </w:rPr>
        <w:t>Ve druhé polovině roku 2008 bylo nemocenské</w:t>
      </w:r>
      <w:r w:rsidR="00776EF3">
        <w:rPr>
          <w:rFonts w:cs="Arial"/>
        </w:rPr>
        <w:t xml:space="preserve"> v prvních třech dnech </w:t>
      </w:r>
      <w:r w:rsidR="006077EA">
        <w:rPr>
          <w:rFonts w:cs="Arial"/>
        </w:rPr>
        <w:t>stanoveno</w:t>
      </w:r>
      <w:r w:rsidR="00776EF3">
        <w:rPr>
          <w:rFonts w:cs="Arial"/>
        </w:rPr>
        <w:t xml:space="preserve"> následovně:</w:t>
      </w:r>
    </w:p>
    <w:p w:rsidR="00776EF3" w:rsidRDefault="00DC2933" w:rsidP="00A112E1">
      <w:pPr>
        <w:pStyle w:val="Zkladntext"/>
        <w:rPr>
          <w:rFonts w:cs="Arial"/>
        </w:rPr>
      </w:pPr>
      <w:r>
        <w:rPr>
          <w:rFonts w:cs="Arial"/>
        </w:rPr>
        <w:t>60 %</w:t>
      </w:r>
      <w:r>
        <w:rPr>
          <w:rFonts w:cs="Arial"/>
        </w:rPr>
        <w:tab/>
      </w:r>
      <w:r>
        <w:rPr>
          <w:rFonts w:cs="Arial"/>
        </w:rPr>
        <w:tab/>
      </w:r>
      <w:r w:rsidR="00046339">
        <w:rPr>
          <w:rFonts w:cs="Arial"/>
        </w:rPr>
        <w:t>30</w:t>
      </w:r>
      <w:r>
        <w:rPr>
          <w:rFonts w:cs="Arial"/>
        </w:rPr>
        <w:t xml:space="preserve">. </w:t>
      </w:r>
      <w:r w:rsidR="00046339">
        <w:rPr>
          <w:rFonts w:cs="Arial"/>
        </w:rPr>
        <w:t>6</w:t>
      </w:r>
      <w:r>
        <w:rPr>
          <w:rFonts w:cs="Arial"/>
        </w:rPr>
        <w:t>. 2008 -  31. 8. 200</w:t>
      </w:r>
      <w:r w:rsidR="00776EF3">
        <w:rPr>
          <w:rFonts w:cs="Arial"/>
        </w:rPr>
        <w:t>8</w:t>
      </w:r>
    </w:p>
    <w:p w:rsidR="00776EF3" w:rsidRDefault="00776EF3" w:rsidP="00A112E1">
      <w:pPr>
        <w:pStyle w:val="Zkladntext"/>
        <w:rPr>
          <w:rFonts w:cs="Arial"/>
        </w:rPr>
      </w:pPr>
      <w:r>
        <w:rPr>
          <w:rFonts w:cs="Arial"/>
        </w:rPr>
        <w:t>25 %</w:t>
      </w:r>
      <w:r>
        <w:rPr>
          <w:rFonts w:cs="Arial"/>
        </w:rPr>
        <w:tab/>
      </w:r>
      <w:r>
        <w:rPr>
          <w:rFonts w:cs="Arial"/>
        </w:rPr>
        <w:tab/>
      </w:r>
      <w:r w:rsidR="00DC2933">
        <w:rPr>
          <w:rFonts w:cs="Arial"/>
        </w:rPr>
        <w:t>1. 9. 200</w:t>
      </w:r>
      <w:r>
        <w:rPr>
          <w:rFonts w:cs="Arial"/>
        </w:rPr>
        <w:t>8 – 31. 12. 20</w:t>
      </w:r>
      <w:r w:rsidR="00DC2933">
        <w:rPr>
          <w:rFonts w:cs="Arial"/>
        </w:rPr>
        <w:t>0</w:t>
      </w:r>
      <w:r>
        <w:rPr>
          <w:rFonts w:cs="Arial"/>
        </w:rPr>
        <w:t>8</w:t>
      </w:r>
    </w:p>
    <w:p w:rsidR="00776EF3" w:rsidRDefault="00180526" w:rsidP="00794D3B">
      <w:pPr>
        <w:pStyle w:val="Zkladntext"/>
        <w:spacing w:before="240"/>
        <w:rPr>
          <w:rFonts w:cs="Arial"/>
        </w:rPr>
      </w:pPr>
      <w:r w:rsidRPr="00180526">
        <w:rPr>
          <w:rFonts w:cs="Arial"/>
          <w:b/>
        </w:rPr>
        <w:t>Karenční doba byla v právní úpravě znovu prosazena</w:t>
      </w:r>
      <w:r w:rsidRPr="00180526">
        <w:rPr>
          <w:rFonts w:cs="Arial"/>
        </w:rPr>
        <w:t xml:space="preserve"> současně s nabytím odložené účinnosti zákona č. 187/2006 Sb., o nemocenském pojištění, </w:t>
      </w:r>
      <w:r w:rsidRPr="00EF1A8C">
        <w:rPr>
          <w:rFonts w:cs="Arial"/>
          <w:b/>
        </w:rPr>
        <w:t>od 1. ledna 2009</w:t>
      </w:r>
      <w:r w:rsidRPr="00180526">
        <w:rPr>
          <w:rFonts w:cs="Arial"/>
        </w:rPr>
        <w:t xml:space="preserve">, nikoli však v rámci systému nemocenského pojištění, </w:t>
      </w:r>
      <w:r>
        <w:rPr>
          <w:rFonts w:cs="Arial"/>
        </w:rPr>
        <w:t>ale</w:t>
      </w:r>
      <w:r w:rsidRPr="00180526">
        <w:rPr>
          <w:rFonts w:cs="Arial"/>
        </w:rPr>
        <w:t xml:space="preserve"> v souvislosti s přenesením povinnosti zabezpečit zaměstnance v období prvních 14 dnů trvání dočasné pracovní neschopnosti nebo karantény na zaměstnavatele</w:t>
      </w:r>
      <w:r>
        <w:rPr>
          <w:rFonts w:cs="Arial"/>
        </w:rPr>
        <w:t>.</w:t>
      </w:r>
      <w:r w:rsidRPr="00180526">
        <w:rPr>
          <w:rFonts w:cs="Arial"/>
        </w:rPr>
        <w:t xml:space="preserve"> </w:t>
      </w:r>
      <w:r w:rsidR="00776EF3">
        <w:rPr>
          <w:rFonts w:cs="Arial"/>
        </w:rPr>
        <w:t xml:space="preserve">Od roku 2009 </w:t>
      </w:r>
      <w:r w:rsidR="0066303D">
        <w:rPr>
          <w:rFonts w:cs="Arial"/>
        </w:rPr>
        <w:t>s</w:t>
      </w:r>
      <w:r w:rsidR="00776EF3">
        <w:rPr>
          <w:rFonts w:cs="Arial"/>
        </w:rPr>
        <w:t xml:space="preserve">ouběžně nastala účinnost </w:t>
      </w:r>
      <w:r w:rsidR="0066303D">
        <w:rPr>
          <w:rFonts w:cs="Arial"/>
        </w:rPr>
        <w:t>těchto</w:t>
      </w:r>
      <w:r w:rsidR="00776EF3">
        <w:rPr>
          <w:rFonts w:cs="Arial"/>
        </w:rPr>
        <w:t xml:space="preserve"> opatření:</w:t>
      </w:r>
    </w:p>
    <w:p w:rsidR="00776EF3" w:rsidRDefault="006077EA" w:rsidP="00A112E1">
      <w:pPr>
        <w:pStyle w:val="Zkladntext"/>
        <w:numPr>
          <w:ilvl w:val="0"/>
          <w:numId w:val="20"/>
        </w:numPr>
        <w:rPr>
          <w:rFonts w:cs="Arial"/>
        </w:rPr>
      </w:pPr>
      <w:r>
        <w:rPr>
          <w:rFonts w:cs="Arial"/>
        </w:rPr>
        <w:t>n</w:t>
      </w:r>
      <w:r w:rsidR="00776EF3">
        <w:rPr>
          <w:rFonts w:cs="Arial"/>
        </w:rPr>
        <w:t>emocensk</w:t>
      </w:r>
      <w:r>
        <w:rPr>
          <w:rFonts w:cs="Arial"/>
        </w:rPr>
        <w:t>é</w:t>
      </w:r>
      <w:r w:rsidR="00776EF3">
        <w:rPr>
          <w:rFonts w:cs="Arial"/>
        </w:rPr>
        <w:t xml:space="preserve"> je od roku 2009 vyplácen</w:t>
      </w:r>
      <w:r>
        <w:rPr>
          <w:rFonts w:cs="Arial"/>
        </w:rPr>
        <w:t>o</w:t>
      </w:r>
      <w:r w:rsidR="00776EF3">
        <w:rPr>
          <w:rFonts w:cs="Arial"/>
        </w:rPr>
        <w:t xml:space="preserve"> až od 15. </w:t>
      </w:r>
      <w:r w:rsidR="0037627E">
        <w:rPr>
          <w:rFonts w:cs="Arial"/>
        </w:rPr>
        <w:t>d</w:t>
      </w:r>
      <w:r w:rsidR="00776EF3">
        <w:rPr>
          <w:rFonts w:cs="Arial"/>
        </w:rPr>
        <w:t>ne</w:t>
      </w:r>
      <w:r w:rsidR="0037627E">
        <w:rPr>
          <w:rFonts w:cs="Arial"/>
        </w:rPr>
        <w:t xml:space="preserve"> ve výši 60 %</w:t>
      </w:r>
      <w:r>
        <w:rPr>
          <w:rFonts w:cs="Arial"/>
        </w:rPr>
        <w:t>,</w:t>
      </w:r>
    </w:p>
    <w:p w:rsidR="00776EF3" w:rsidRDefault="006077EA" w:rsidP="00A112E1">
      <w:pPr>
        <w:pStyle w:val="Zkladntext"/>
        <w:numPr>
          <w:ilvl w:val="0"/>
          <w:numId w:val="20"/>
        </w:numPr>
        <w:rPr>
          <w:rFonts w:cs="Arial"/>
        </w:rPr>
      </w:pPr>
      <w:r>
        <w:rPr>
          <w:rFonts w:cs="Arial"/>
        </w:rPr>
        <w:t>o</w:t>
      </w:r>
      <w:r w:rsidR="00776EF3">
        <w:rPr>
          <w:rFonts w:cs="Arial"/>
        </w:rPr>
        <w:t xml:space="preserve">d 4. do 14. dne trvání </w:t>
      </w:r>
      <w:r>
        <w:rPr>
          <w:rFonts w:cs="Arial"/>
        </w:rPr>
        <w:t>D</w:t>
      </w:r>
      <w:r w:rsidR="00776EF3">
        <w:rPr>
          <w:rFonts w:cs="Arial"/>
        </w:rPr>
        <w:t xml:space="preserve">PN vyplácí zaměstnavatel náhradu mzdy (za pracovní dny a ve výši 60 % redukovaného </w:t>
      </w:r>
      <w:r w:rsidR="00A112E1">
        <w:rPr>
          <w:rFonts w:cs="Arial"/>
        </w:rPr>
        <w:t>průměrného hodinového výdělku</w:t>
      </w:r>
      <w:r w:rsidR="00776EF3">
        <w:rPr>
          <w:rFonts w:cs="Arial"/>
        </w:rPr>
        <w:t>)</w:t>
      </w:r>
      <w:r>
        <w:rPr>
          <w:rFonts w:cs="Arial"/>
        </w:rPr>
        <w:t>,</w:t>
      </w:r>
    </w:p>
    <w:p w:rsidR="00776EF3" w:rsidRDefault="00A112E1" w:rsidP="00A112E1">
      <w:pPr>
        <w:pStyle w:val="Zkladntext"/>
        <w:numPr>
          <w:ilvl w:val="0"/>
          <w:numId w:val="20"/>
        </w:numPr>
        <w:rPr>
          <w:rFonts w:cs="Arial"/>
        </w:rPr>
      </w:pPr>
      <w:r>
        <w:rPr>
          <w:rFonts w:cs="Arial"/>
        </w:rPr>
        <w:t>z</w:t>
      </w:r>
      <w:r w:rsidR="00776EF3">
        <w:rPr>
          <w:rFonts w:cs="Arial"/>
        </w:rPr>
        <w:t xml:space="preserve">a první tři dny </w:t>
      </w:r>
      <w:r>
        <w:rPr>
          <w:rFonts w:cs="Arial"/>
        </w:rPr>
        <w:t xml:space="preserve">dočasné pracovní neschopnosti </w:t>
      </w:r>
      <w:r w:rsidR="00776EF3">
        <w:rPr>
          <w:rFonts w:cs="Arial"/>
        </w:rPr>
        <w:t>není vyplácen</w:t>
      </w:r>
      <w:r>
        <w:rPr>
          <w:rFonts w:cs="Arial"/>
        </w:rPr>
        <w:t>o</w:t>
      </w:r>
      <w:r w:rsidR="00776EF3">
        <w:rPr>
          <w:rFonts w:cs="Arial"/>
        </w:rPr>
        <w:t xml:space="preserve"> ani nemocensk</w:t>
      </w:r>
      <w:r>
        <w:rPr>
          <w:rFonts w:cs="Arial"/>
        </w:rPr>
        <w:t>é</w:t>
      </w:r>
      <w:r w:rsidR="00776EF3">
        <w:rPr>
          <w:rFonts w:cs="Arial"/>
        </w:rPr>
        <w:t xml:space="preserve"> ani náhrady mzdy</w:t>
      </w:r>
      <w:r>
        <w:rPr>
          <w:rFonts w:cs="Arial"/>
        </w:rPr>
        <w:t>,</w:t>
      </w:r>
    </w:p>
    <w:p w:rsidR="00776EF3" w:rsidRDefault="00A112E1" w:rsidP="00A112E1">
      <w:pPr>
        <w:pStyle w:val="Zkladntext"/>
        <w:numPr>
          <w:ilvl w:val="0"/>
          <w:numId w:val="20"/>
        </w:numPr>
        <w:rPr>
          <w:rFonts w:cs="Arial"/>
        </w:rPr>
      </w:pPr>
      <w:r>
        <w:rPr>
          <w:rFonts w:cs="Arial"/>
        </w:rPr>
        <w:t>b</w:t>
      </w:r>
      <w:r w:rsidR="00776EF3">
        <w:rPr>
          <w:rFonts w:cs="Arial"/>
        </w:rPr>
        <w:t>ylo zrušeno pl</w:t>
      </w:r>
      <w:r w:rsidR="00DC2933">
        <w:rPr>
          <w:rFonts w:cs="Arial"/>
        </w:rPr>
        <w:t>acení pojistného zaměstnanci (1,1</w:t>
      </w:r>
      <w:r w:rsidR="00776EF3">
        <w:rPr>
          <w:rFonts w:cs="Arial"/>
        </w:rPr>
        <w:t xml:space="preserve"> % z vyměřovacího základu)</w:t>
      </w:r>
      <w:r>
        <w:rPr>
          <w:rFonts w:cs="Arial"/>
        </w:rPr>
        <w:t>,</w:t>
      </w:r>
    </w:p>
    <w:p w:rsidR="00776EF3" w:rsidRDefault="00A112E1" w:rsidP="00A112E1">
      <w:pPr>
        <w:pStyle w:val="Zkladntext"/>
        <w:numPr>
          <w:ilvl w:val="0"/>
          <w:numId w:val="20"/>
        </w:numPr>
        <w:rPr>
          <w:rFonts w:cs="Arial"/>
        </w:rPr>
      </w:pPr>
      <w:r>
        <w:rPr>
          <w:rFonts w:cs="Arial"/>
        </w:rPr>
        <w:t>b</w:t>
      </w:r>
      <w:r w:rsidR="00776EF3">
        <w:rPr>
          <w:rFonts w:cs="Arial"/>
        </w:rPr>
        <w:t>yla snížena sazba pojistného pro zaměstnavatele z</w:t>
      </w:r>
      <w:r w:rsidR="00DC2933">
        <w:rPr>
          <w:rFonts w:cs="Arial"/>
        </w:rPr>
        <w:t> 3,3</w:t>
      </w:r>
      <w:r w:rsidR="00776EF3">
        <w:rPr>
          <w:rFonts w:cs="Arial"/>
        </w:rPr>
        <w:t xml:space="preserve"> na 2,3 %</w:t>
      </w:r>
      <w:r>
        <w:rPr>
          <w:rFonts w:cs="Arial"/>
        </w:rPr>
        <w:t>.</w:t>
      </w:r>
    </w:p>
    <w:p w:rsidR="0049678F" w:rsidRPr="0049678F" w:rsidRDefault="0049678F" w:rsidP="0049678F">
      <w:pPr>
        <w:pStyle w:val="Zkladntext"/>
        <w:spacing w:before="240"/>
        <w:rPr>
          <w:rFonts w:cs="Arial"/>
        </w:rPr>
      </w:pPr>
      <w:r w:rsidRPr="0049678F">
        <w:rPr>
          <w:rFonts w:cs="Arial"/>
          <w:b/>
        </w:rPr>
        <w:t>Ústavní soud se v roce 2012</w:t>
      </w:r>
      <w:r w:rsidRPr="0049678F">
        <w:rPr>
          <w:rFonts w:cs="Arial"/>
        </w:rPr>
        <w:t xml:space="preserve"> znovu zabýval přípustností karenční doby v kontextu právní úpravy platné od roku 2009 z hlediska ústavněprávní konformity, a to k návrhu skupiny poslanců Poslanecké sněmovny Parlamentu České republiky na její zrušení a tentokrát </w:t>
      </w:r>
      <w:r w:rsidRPr="005921B7">
        <w:rPr>
          <w:rFonts w:cs="Arial"/>
          <w:b/>
        </w:rPr>
        <w:t>dospěl k závěru</w:t>
      </w:r>
      <w:r w:rsidRPr="0049678F">
        <w:rPr>
          <w:rFonts w:cs="Arial"/>
        </w:rPr>
        <w:t xml:space="preserve">, že </w:t>
      </w:r>
    </w:p>
    <w:p w:rsidR="0049678F" w:rsidRPr="0049678F" w:rsidRDefault="0049678F" w:rsidP="0049678F">
      <w:pPr>
        <w:pStyle w:val="Zkladntext"/>
        <w:numPr>
          <w:ilvl w:val="0"/>
          <w:numId w:val="20"/>
        </w:numPr>
        <w:rPr>
          <w:rFonts w:cs="Arial"/>
        </w:rPr>
      </w:pPr>
      <w:r w:rsidRPr="0049678F">
        <w:rPr>
          <w:rFonts w:cs="Arial"/>
        </w:rPr>
        <w:t>„zákonné zakotvení třídenní karenční doby spojené současně s osvobozením zaměstnanců od povinnosti platit pojistné na nemocenské pojištění a na státní politiku zaměstnanosti, není protiústavním omezením práva na hmotné zabezpečení při nezpůsobilosti k práci garantovaného ustanovením čl. 30 odst. 1 Listiny. Ústavní úprava tohoto základního sociálního práva totiž ponechává zákonodárci poměrně (i když nikoli bezmezně) široké pole působnosti, pokud jde o nastavení jeho zákonných parametrů (ustanovení čl. 41 odst. 1 ve spojení s čl. 4 odst. 4 Listiny)</w:t>
      </w:r>
      <w:r w:rsidR="00596414">
        <w:rPr>
          <w:rFonts w:cs="Arial"/>
        </w:rPr>
        <w:t>.</w:t>
      </w:r>
    </w:p>
    <w:p w:rsidR="0049678F" w:rsidRPr="0049678F" w:rsidRDefault="0049678F" w:rsidP="0049678F">
      <w:pPr>
        <w:pStyle w:val="Zkladntext"/>
        <w:numPr>
          <w:ilvl w:val="0"/>
          <w:numId w:val="20"/>
        </w:numPr>
        <w:rPr>
          <w:rFonts w:cs="Arial"/>
        </w:rPr>
      </w:pPr>
      <w:r w:rsidRPr="0049678F">
        <w:rPr>
          <w:rFonts w:cs="Arial"/>
        </w:rPr>
        <w:t>Napadená úprava prošla testem rozumnosti, který je měřítkem ústavnosti při přezkumu práv vyjmenovaných v ustanovení čl. 41 odst. 1 Listiny, neboť nezasahuje do samotného jádra práva na hmotné zabezpečení při nezpůsobilosti k práci, sleduje legitimní cíl a k dosažení tohoto cíle zvolila racionální a nikoliv svévolné prostředky.“.</w:t>
      </w:r>
    </w:p>
    <w:p w:rsidR="0049678F" w:rsidRPr="0049678F" w:rsidRDefault="0049678F" w:rsidP="0049678F">
      <w:pPr>
        <w:pStyle w:val="Zkladntext"/>
        <w:numPr>
          <w:ilvl w:val="0"/>
          <w:numId w:val="20"/>
        </w:numPr>
        <w:rPr>
          <w:rFonts w:cs="Arial"/>
        </w:rPr>
      </w:pPr>
      <w:r w:rsidRPr="0049678F">
        <w:rPr>
          <w:rFonts w:cs="Arial"/>
        </w:rPr>
        <w:t xml:space="preserve">Karenční doba v délce 3 dnů „a s ní související výpadek příjmů je sice určitým zásahem do příjmů dotčených osob, avšak nejde o takový zásah, který by onemocnělým osobám okamžitě znemožnil dosažení hmotného standardu postačujícího k vedení důstojného života; dočasně neschopné nevystavuje bezvýchodné situaci“. </w:t>
      </w:r>
    </w:p>
    <w:p w:rsidR="00FB431C" w:rsidRDefault="0049678F" w:rsidP="0049678F">
      <w:pPr>
        <w:pStyle w:val="Zkladntext"/>
        <w:rPr>
          <w:rFonts w:cs="Arial"/>
        </w:rPr>
      </w:pPr>
      <w:r w:rsidRPr="0049678F">
        <w:rPr>
          <w:rFonts w:cs="Arial"/>
          <w:b/>
        </w:rPr>
        <w:lastRenderedPageBreak/>
        <w:t>Nálezem Ústavního soudu ze dne 24. 4. 2012</w:t>
      </w:r>
      <w:r w:rsidRPr="0049678F">
        <w:rPr>
          <w:rFonts w:cs="Arial"/>
        </w:rPr>
        <w:t xml:space="preserve">, vyhlášeným pod č. 186/2012 Sb. byl předmětný </w:t>
      </w:r>
      <w:r w:rsidRPr="0049678F">
        <w:rPr>
          <w:rFonts w:cs="Arial"/>
          <w:b/>
        </w:rPr>
        <w:t>návrh na zrušení karenční doby zamítnut</w:t>
      </w:r>
      <w:r w:rsidRPr="0049678F">
        <w:rPr>
          <w:rFonts w:cs="Arial"/>
        </w:rPr>
        <w:t>.</w:t>
      </w:r>
    </w:p>
    <w:p w:rsidR="00D74D72" w:rsidRDefault="00D74D72" w:rsidP="0049678F">
      <w:pPr>
        <w:pStyle w:val="Zkladntext"/>
        <w:rPr>
          <w:rFonts w:cs="Arial"/>
        </w:rPr>
      </w:pPr>
    </w:p>
    <w:p w:rsidR="00FB431C" w:rsidRPr="00676B79" w:rsidRDefault="00FB431C" w:rsidP="00FB431C">
      <w:pPr>
        <w:pStyle w:val="Zkladntext"/>
        <w:numPr>
          <w:ilvl w:val="0"/>
          <w:numId w:val="21"/>
        </w:numPr>
        <w:rPr>
          <w:rFonts w:cs="Arial"/>
          <w:b/>
          <w:u w:val="single"/>
        </w:rPr>
      </w:pPr>
      <w:r>
        <w:rPr>
          <w:rFonts w:cs="Arial"/>
          <w:b/>
          <w:u w:val="single"/>
        </w:rPr>
        <w:t xml:space="preserve">Aktuálně </w:t>
      </w:r>
      <w:r w:rsidRPr="00676B79">
        <w:rPr>
          <w:rFonts w:cs="Arial"/>
          <w:b/>
          <w:u w:val="single"/>
        </w:rPr>
        <w:t xml:space="preserve">projednávaný </w:t>
      </w:r>
      <w:r>
        <w:rPr>
          <w:rFonts w:cs="Arial"/>
          <w:b/>
          <w:u w:val="single"/>
        </w:rPr>
        <w:t xml:space="preserve">návrh </w:t>
      </w:r>
      <w:r w:rsidRPr="00676B79">
        <w:rPr>
          <w:rFonts w:cs="Arial"/>
          <w:b/>
          <w:u w:val="single"/>
        </w:rPr>
        <w:t xml:space="preserve">v Poslanecké sněmovně </w:t>
      </w:r>
      <w:r>
        <w:rPr>
          <w:rFonts w:cs="Arial"/>
          <w:b/>
          <w:u w:val="single"/>
        </w:rPr>
        <w:t xml:space="preserve">ČR </w:t>
      </w:r>
      <w:r w:rsidRPr="00676B79">
        <w:rPr>
          <w:rFonts w:cs="Arial"/>
          <w:b/>
          <w:u w:val="single"/>
        </w:rPr>
        <w:t>– popis situace</w:t>
      </w:r>
    </w:p>
    <w:p w:rsidR="00FB431C" w:rsidRPr="00127E03" w:rsidRDefault="00FB431C" w:rsidP="00FB431C">
      <w:pPr>
        <w:pStyle w:val="Zkladntext"/>
        <w:rPr>
          <w:rFonts w:cs="Arial"/>
        </w:rPr>
      </w:pPr>
      <w:r>
        <w:rPr>
          <w:rFonts w:cs="Arial"/>
        </w:rPr>
        <w:t>Jedná se o n</w:t>
      </w:r>
      <w:r w:rsidRPr="00127E03">
        <w:rPr>
          <w:rFonts w:cs="Arial"/>
        </w:rPr>
        <w:t>ávrh poslanců Jana Hamáčka, J</w:t>
      </w:r>
      <w:r>
        <w:rPr>
          <w:rFonts w:cs="Arial"/>
        </w:rPr>
        <w:t xml:space="preserve">ana </w:t>
      </w:r>
      <w:proofErr w:type="spellStart"/>
      <w:r>
        <w:rPr>
          <w:rFonts w:cs="Arial"/>
        </w:rPr>
        <w:t>Birke</w:t>
      </w:r>
      <w:proofErr w:type="spellEnd"/>
      <w:r>
        <w:rPr>
          <w:rFonts w:cs="Arial"/>
        </w:rPr>
        <w:t xml:space="preserve">, Kateřiny Valachové </w:t>
      </w:r>
      <w:r w:rsidRPr="00127E03">
        <w:rPr>
          <w:rFonts w:cs="Arial"/>
        </w:rPr>
        <w:t>a Petra Dolínka na vydání zákona, kterým se mění zákon č. 262/2006 Sb., zákoník práce, ve znění pozdějších předpisů, a některé další zákony</w:t>
      </w:r>
      <w:r>
        <w:rPr>
          <w:rFonts w:cs="Arial"/>
        </w:rPr>
        <w:t>, který je projednáván jako</w:t>
      </w:r>
      <w:r w:rsidRPr="00127E03">
        <w:rPr>
          <w:rFonts w:cs="Arial"/>
        </w:rPr>
        <w:t xml:space="preserve"> sněmovní tisk č. 109</w:t>
      </w:r>
      <w:r>
        <w:rPr>
          <w:rFonts w:cs="Arial"/>
        </w:rPr>
        <w:t>.</w:t>
      </w:r>
    </w:p>
    <w:p w:rsidR="00FB431C" w:rsidRDefault="00FB431C" w:rsidP="00FB431C">
      <w:pPr>
        <w:pStyle w:val="Zkladntext"/>
        <w:rPr>
          <w:rFonts w:cs="Arial"/>
          <w:bCs/>
        </w:rPr>
      </w:pPr>
      <w:r w:rsidRPr="003F3E2D">
        <w:rPr>
          <w:rFonts w:cs="Arial"/>
          <w:bCs/>
        </w:rPr>
        <w:t xml:space="preserve">Cílem poslaneckého návrhu zákona je </w:t>
      </w:r>
      <w:r w:rsidRPr="008439EE">
        <w:rPr>
          <w:rFonts w:cs="Arial"/>
          <w:b/>
          <w:bCs/>
        </w:rPr>
        <w:t>zrušení tzv. karenční doby</w:t>
      </w:r>
      <w:r w:rsidRPr="003F3E2D">
        <w:rPr>
          <w:rFonts w:cs="Arial"/>
          <w:bCs/>
        </w:rPr>
        <w:t xml:space="preserve"> při poskytování náhrady mzdy, platu, odměny z dohody nebo sníženého platu v prvních třech dnech dočasné pracovní neschopnosti (neschopnosti k výkonu služby) a současně </w:t>
      </w:r>
      <w:r w:rsidRPr="008439EE">
        <w:rPr>
          <w:rFonts w:cs="Arial"/>
          <w:b/>
          <w:bCs/>
        </w:rPr>
        <w:t>snížení odvodu pojistného na nemocenské pojištění placeného zaměstnavatelem nebo OSVČ o 0,2 %</w:t>
      </w:r>
      <w:r w:rsidRPr="003F3E2D">
        <w:rPr>
          <w:rFonts w:cs="Arial"/>
          <w:bCs/>
        </w:rPr>
        <w:t xml:space="preserve">. </w:t>
      </w:r>
    </w:p>
    <w:p w:rsidR="00FB431C" w:rsidRPr="00D372F8" w:rsidRDefault="00FB431C" w:rsidP="00FB431C">
      <w:pPr>
        <w:pStyle w:val="Zkladntext"/>
        <w:rPr>
          <w:rFonts w:cs="Arial"/>
          <w:bCs/>
        </w:rPr>
      </w:pPr>
      <w:r w:rsidRPr="00D372F8">
        <w:rPr>
          <w:rFonts w:cs="Arial"/>
          <w:bCs/>
        </w:rPr>
        <w:t>Návrh zá</w:t>
      </w:r>
      <w:r>
        <w:rPr>
          <w:rFonts w:cs="Arial"/>
          <w:bCs/>
        </w:rPr>
        <w:t xml:space="preserve">kona byl zaslán ke stanovisku Ministerstvu financí, </w:t>
      </w:r>
      <w:r w:rsidRPr="00D372F8">
        <w:rPr>
          <w:rFonts w:cs="Arial"/>
          <w:bCs/>
        </w:rPr>
        <w:t>Ministerstvu práce a sociálních věcí a Ministerstvu obrany, která k němu zaujala negativní stanovisko a dále Ministerstvu průmyslu a obchodu, Ministerstvu spravedlnosti a Ministerstvu vnitra, která k němu zaujala neutrální stanovisko. Negativní stanovisko k návrhu zákona vyjádřila též Hospodářská komora ČR, Konfederace zaměstnavatelských a podnikatelských svazů ČR a Svaz průmyslu a dopravy ČR.</w:t>
      </w:r>
    </w:p>
    <w:p w:rsidR="00FB431C" w:rsidRPr="009D4739" w:rsidRDefault="00FB431C" w:rsidP="00FB431C">
      <w:pPr>
        <w:pStyle w:val="Zkladntext"/>
        <w:rPr>
          <w:rFonts w:cs="Arial"/>
          <w:bCs/>
        </w:rPr>
      </w:pPr>
      <w:r w:rsidRPr="009D4739">
        <w:rPr>
          <w:rFonts w:cs="Arial"/>
          <w:bCs/>
        </w:rPr>
        <w:t xml:space="preserve">Vláda na své schůzi dne 21. března 2018 (usnesení č. 178) projednala a posoudila návrh zákona a zaujala k tomuto návrhu v obecné rovině </w:t>
      </w:r>
      <w:r w:rsidRPr="009D4739">
        <w:rPr>
          <w:rFonts w:cs="Arial"/>
          <w:b/>
          <w:bCs/>
        </w:rPr>
        <w:t>souhlasné</w:t>
      </w:r>
      <w:r w:rsidRPr="009D4739">
        <w:rPr>
          <w:rFonts w:cs="Arial"/>
          <w:bCs/>
        </w:rPr>
        <w:t xml:space="preserve"> </w:t>
      </w:r>
      <w:r w:rsidRPr="009D4739">
        <w:rPr>
          <w:rFonts w:cs="Arial"/>
          <w:b/>
          <w:bCs/>
        </w:rPr>
        <w:t>stanovisko</w:t>
      </w:r>
      <w:r w:rsidRPr="009D4739">
        <w:rPr>
          <w:rFonts w:cs="Arial"/>
          <w:bCs/>
        </w:rPr>
        <w:t xml:space="preserve"> s tím, že konkrétní parametrické změny v systému nemocenského pojištění, pokud jde o výši sazby pojistného na nemocenské pojištění a tomu odpovídající výši dávky nemocenské, </w:t>
      </w:r>
      <w:r w:rsidRPr="00D63C53">
        <w:rPr>
          <w:rFonts w:cs="Arial"/>
          <w:b/>
          <w:bCs/>
        </w:rPr>
        <w:t>musí ještě být předmětem dalších jednání</w:t>
      </w:r>
      <w:r w:rsidRPr="009D4739">
        <w:rPr>
          <w:rFonts w:cs="Arial"/>
          <w:bCs/>
        </w:rPr>
        <w:t xml:space="preserve"> tak, aby nevyvolaly zásadní dopady v systému nemocenského pojištění, a měly by být projednány i v</w:t>
      </w:r>
      <w:r w:rsidR="00EB39EB">
        <w:rPr>
          <w:rFonts w:cs="Arial"/>
          <w:bCs/>
        </w:rPr>
        <w:t> </w:t>
      </w:r>
      <w:r w:rsidRPr="009D4739">
        <w:rPr>
          <w:rFonts w:cs="Arial"/>
          <w:bCs/>
        </w:rPr>
        <w:t xml:space="preserve">Radě hospodářské a sociální dohody ČR. </w:t>
      </w:r>
    </w:p>
    <w:p w:rsidR="00FB431C" w:rsidRPr="00D372F8" w:rsidRDefault="00FB431C" w:rsidP="00FB431C">
      <w:pPr>
        <w:pStyle w:val="Zkladntext"/>
        <w:rPr>
          <w:rFonts w:cs="Arial"/>
          <w:b/>
        </w:rPr>
      </w:pPr>
      <w:r w:rsidRPr="00D372F8">
        <w:rPr>
          <w:rFonts w:cs="Arial"/>
          <w:b/>
        </w:rPr>
        <w:t>Návrh byl zařazen na pořad 12. schůze Poslanecké sněmovny Parlamentu ČR probíhající od 10. dubna 2018 k projednání v prvním čtení.</w:t>
      </w:r>
    </w:p>
    <w:p w:rsidR="00A3641D" w:rsidRDefault="00A3641D" w:rsidP="0049678F">
      <w:pPr>
        <w:pStyle w:val="Zkladntext"/>
        <w:rPr>
          <w:rFonts w:cs="Arial"/>
        </w:rPr>
      </w:pPr>
    </w:p>
    <w:p w:rsidR="00776EF3" w:rsidRPr="00854AF0" w:rsidRDefault="00776EF3" w:rsidP="00FB431C">
      <w:pPr>
        <w:pStyle w:val="Zkladntext"/>
        <w:keepNext/>
        <w:numPr>
          <w:ilvl w:val="0"/>
          <w:numId w:val="21"/>
        </w:numPr>
        <w:rPr>
          <w:rFonts w:cs="Arial"/>
          <w:b/>
          <w:u w:val="single"/>
        </w:rPr>
      </w:pPr>
      <w:r w:rsidRPr="00854AF0">
        <w:rPr>
          <w:rFonts w:cs="Arial"/>
          <w:b/>
          <w:u w:val="single"/>
        </w:rPr>
        <w:t xml:space="preserve">Vývoj </w:t>
      </w:r>
      <w:r w:rsidR="00854AF0">
        <w:rPr>
          <w:rFonts w:cs="Arial"/>
          <w:b/>
          <w:u w:val="single"/>
        </w:rPr>
        <w:t>pracovní neschopnosti</w:t>
      </w:r>
      <w:r w:rsidRPr="00854AF0">
        <w:rPr>
          <w:rFonts w:cs="Arial"/>
          <w:b/>
          <w:u w:val="single"/>
        </w:rPr>
        <w:t xml:space="preserve"> v souvislosti s legislativními změnami v nemocenském pojištění </w:t>
      </w:r>
    </w:p>
    <w:p w:rsidR="00D16462" w:rsidRDefault="00776EF3" w:rsidP="00A112E1">
      <w:pPr>
        <w:spacing w:before="120"/>
        <w:jc w:val="both"/>
        <w:rPr>
          <w:rFonts w:ascii="Arial" w:hAnsi="Arial" w:cs="Arial"/>
        </w:rPr>
      </w:pPr>
      <w:r w:rsidRPr="00776EF3">
        <w:rPr>
          <w:rFonts w:ascii="Arial" w:hAnsi="Arial" w:cs="Arial"/>
        </w:rPr>
        <w:t>Významné změny</w:t>
      </w:r>
      <w:r>
        <w:rPr>
          <w:rFonts w:ascii="Arial" w:hAnsi="Arial" w:cs="Arial"/>
        </w:rPr>
        <w:t xml:space="preserve"> v nemocenském pojištění měly zásadní dopad na vývoj pracovní neschopnosti zaměstnanců. Mezi rokem 2007, prvním pololetím roku 2008, druhým pololetím roku 2008 a rokem 2009 lze pozorovat skokové změny statistik nemocnosti. Protože se uplatnil ve velmi krátkém období jednoho roku souběžně vliv zavedení, zrušení a opětovného zavedení karenční doby, vliv změny ve výši náhrady (25 %, 60 %, pak 25 %) a vliv </w:t>
      </w:r>
      <w:r w:rsidR="00D16462">
        <w:rPr>
          <w:rFonts w:ascii="Arial" w:hAnsi="Arial" w:cs="Arial"/>
        </w:rPr>
        <w:t>zavedení výplaty náhrady mzdy zaměstnavatelem, není možné dopad jednotlivých vlivů odděleně stanovit.</w:t>
      </w:r>
    </w:p>
    <w:p w:rsidR="00AB0240" w:rsidRDefault="00D16462" w:rsidP="00A112E1">
      <w:pPr>
        <w:spacing w:before="120"/>
        <w:jc w:val="both"/>
        <w:rPr>
          <w:rFonts w:ascii="Arial" w:hAnsi="Arial" w:cs="Arial"/>
        </w:rPr>
      </w:pPr>
      <w:r>
        <w:rPr>
          <w:rFonts w:ascii="Arial" w:hAnsi="Arial" w:cs="Arial"/>
        </w:rPr>
        <w:t xml:space="preserve">Vývoj </w:t>
      </w:r>
      <w:r w:rsidR="00776EF3">
        <w:rPr>
          <w:rFonts w:ascii="Arial" w:hAnsi="Arial" w:cs="Arial"/>
        </w:rPr>
        <w:t xml:space="preserve">průměrného procenta </w:t>
      </w:r>
      <w:r w:rsidR="00A112E1">
        <w:rPr>
          <w:rFonts w:ascii="Arial" w:hAnsi="Arial" w:cs="Arial"/>
        </w:rPr>
        <w:t xml:space="preserve">dočasné </w:t>
      </w:r>
      <w:r w:rsidR="00776EF3">
        <w:rPr>
          <w:rFonts w:ascii="Arial" w:hAnsi="Arial" w:cs="Arial"/>
        </w:rPr>
        <w:t xml:space="preserve">pracovní neschopnosti </w:t>
      </w:r>
      <w:r w:rsidR="0037627E">
        <w:rPr>
          <w:rFonts w:ascii="Arial" w:hAnsi="Arial" w:cs="Arial"/>
        </w:rPr>
        <w:t>(</w:t>
      </w:r>
      <w:r w:rsidR="00A026CC">
        <w:rPr>
          <w:rFonts w:ascii="Arial" w:hAnsi="Arial" w:cs="Arial"/>
        </w:rPr>
        <w:t>dále i „</w:t>
      </w:r>
      <w:r w:rsidR="00A112E1">
        <w:rPr>
          <w:rFonts w:ascii="Arial" w:hAnsi="Arial" w:cs="Arial"/>
        </w:rPr>
        <w:t>D</w:t>
      </w:r>
      <w:r w:rsidR="0037627E">
        <w:rPr>
          <w:rFonts w:ascii="Arial" w:hAnsi="Arial" w:cs="Arial"/>
        </w:rPr>
        <w:t>PN</w:t>
      </w:r>
      <w:r w:rsidR="00A026CC">
        <w:rPr>
          <w:rFonts w:ascii="Arial" w:hAnsi="Arial" w:cs="Arial"/>
        </w:rPr>
        <w:t>“</w:t>
      </w:r>
      <w:r w:rsidR="0037627E">
        <w:rPr>
          <w:rFonts w:ascii="Arial" w:hAnsi="Arial" w:cs="Arial"/>
        </w:rPr>
        <w:t xml:space="preserve">) </w:t>
      </w:r>
      <w:r w:rsidR="00776EF3">
        <w:rPr>
          <w:rFonts w:ascii="Arial" w:hAnsi="Arial" w:cs="Arial"/>
        </w:rPr>
        <w:t>je uveden v</w:t>
      </w:r>
      <w:r w:rsidR="00B83F51">
        <w:rPr>
          <w:rFonts w:ascii="Arial" w:hAnsi="Arial" w:cs="Arial"/>
        </w:rPr>
        <w:t> </w:t>
      </w:r>
      <w:r w:rsidR="00776EF3" w:rsidRPr="007D2075">
        <w:rPr>
          <w:rFonts w:ascii="Arial" w:hAnsi="Arial" w:cs="Arial"/>
        </w:rPr>
        <w:t>tabulce</w:t>
      </w:r>
      <w:r w:rsidR="00B83F51" w:rsidRPr="007D2075">
        <w:rPr>
          <w:rFonts w:ascii="Arial" w:hAnsi="Arial" w:cs="Arial"/>
        </w:rPr>
        <w:t xml:space="preserve"> v příloze 1</w:t>
      </w:r>
      <w:r w:rsidR="00776EF3" w:rsidRPr="007D2075">
        <w:rPr>
          <w:rFonts w:ascii="Arial" w:hAnsi="Arial" w:cs="Arial"/>
        </w:rPr>
        <w:t>.</w:t>
      </w:r>
      <w:r w:rsidRPr="00D16462">
        <w:rPr>
          <w:rFonts w:ascii="Arial" w:hAnsi="Arial" w:cs="Arial"/>
        </w:rPr>
        <w:t xml:space="preserve"> </w:t>
      </w:r>
      <w:r>
        <w:rPr>
          <w:rFonts w:ascii="Arial" w:hAnsi="Arial" w:cs="Arial"/>
        </w:rPr>
        <w:t xml:space="preserve">Celkově lze dopady zobecnit tak, že </w:t>
      </w:r>
      <w:r w:rsidR="00DC2933">
        <w:rPr>
          <w:rFonts w:ascii="Arial" w:hAnsi="Arial" w:cs="Arial"/>
        </w:rPr>
        <w:t>změny v roce 2008 a k 1.</w:t>
      </w:r>
      <w:r w:rsidR="00580FAE">
        <w:rPr>
          <w:rFonts w:ascii="Arial" w:hAnsi="Arial" w:cs="Arial"/>
        </w:rPr>
        <w:t> </w:t>
      </w:r>
      <w:r w:rsidR="00DC2933">
        <w:rPr>
          <w:rFonts w:ascii="Arial" w:hAnsi="Arial" w:cs="Arial"/>
        </w:rPr>
        <w:t>1. 2009</w:t>
      </w:r>
      <w:r>
        <w:rPr>
          <w:rFonts w:ascii="Arial" w:hAnsi="Arial" w:cs="Arial"/>
        </w:rPr>
        <w:t xml:space="preserve"> významně snížily míru </w:t>
      </w:r>
      <w:r w:rsidR="00A112E1">
        <w:rPr>
          <w:rFonts w:ascii="Arial" w:hAnsi="Arial" w:cs="Arial"/>
        </w:rPr>
        <w:t>D</w:t>
      </w:r>
      <w:r>
        <w:rPr>
          <w:rFonts w:ascii="Arial" w:hAnsi="Arial" w:cs="Arial"/>
        </w:rPr>
        <w:t xml:space="preserve">PN od roku 2009, což bylo v několika následujících letech ještě umocněno ekonomickou krizí (snižuje </w:t>
      </w:r>
      <w:r w:rsidR="00A112E1">
        <w:rPr>
          <w:rFonts w:ascii="Arial" w:hAnsi="Arial" w:cs="Arial"/>
        </w:rPr>
        <w:t>D</w:t>
      </w:r>
      <w:r>
        <w:rPr>
          <w:rFonts w:ascii="Arial" w:hAnsi="Arial" w:cs="Arial"/>
        </w:rPr>
        <w:t>PN z důvodu obav ze snížených příjmů), poté se procento PN vrací na přirozenější rovnovážnou úroveň.</w:t>
      </w:r>
    </w:p>
    <w:p w:rsidR="00A3641D" w:rsidRDefault="00A3641D" w:rsidP="00A112E1">
      <w:pPr>
        <w:spacing w:before="120"/>
        <w:jc w:val="both"/>
        <w:rPr>
          <w:rFonts w:ascii="Arial" w:hAnsi="Arial" w:cs="Arial"/>
        </w:rPr>
      </w:pPr>
    </w:p>
    <w:p w:rsidR="00776EF3" w:rsidRPr="00676B79" w:rsidRDefault="00D16462" w:rsidP="00FB431C">
      <w:pPr>
        <w:pStyle w:val="Zkladntext"/>
        <w:numPr>
          <w:ilvl w:val="0"/>
          <w:numId w:val="21"/>
        </w:numPr>
        <w:rPr>
          <w:rFonts w:cs="Arial"/>
          <w:b/>
          <w:u w:val="single"/>
        </w:rPr>
      </w:pPr>
      <w:r w:rsidRPr="00676B79">
        <w:rPr>
          <w:rFonts w:cs="Arial"/>
          <w:b/>
          <w:u w:val="single"/>
        </w:rPr>
        <w:lastRenderedPageBreak/>
        <w:t>Vývoj příjmů a výdajů systému nemocenského pojištění</w:t>
      </w:r>
    </w:p>
    <w:p w:rsidR="0037627E" w:rsidRPr="0037627E" w:rsidRDefault="0037627E" w:rsidP="00A112E1">
      <w:pPr>
        <w:spacing w:before="120"/>
        <w:jc w:val="both"/>
        <w:rPr>
          <w:rFonts w:ascii="Arial" w:hAnsi="Arial" w:cs="Arial"/>
        </w:rPr>
      </w:pPr>
      <w:r w:rsidRPr="0037627E">
        <w:rPr>
          <w:rFonts w:ascii="Arial" w:hAnsi="Arial" w:cs="Arial"/>
        </w:rPr>
        <w:t xml:space="preserve">Pozitivní bilance minulých let </w:t>
      </w:r>
      <w:r>
        <w:rPr>
          <w:rFonts w:ascii="Arial" w:hAnsi="Arial" w:cs="Arial"/>
        </w:rPr>
        <w:t xml:space="preserve">se od roku 2018 výrazně zhorší, protože od ledna 2018 se zvýšilo nemocenské od 31. dne na 66 % a od 61. dne na 72 %, od února přibyla dávka </w:t>
      </w:r>
      <w:r w:rsidR="00A112E1">
        <w:rPr>
          <w:rFonts w:ascii="Arial" w:hAnsi="Arial" w:cs="Arial"/>
        </w:rPr>
        <w:t>o</w:t>
      </w:r>
      <w:r>
        <w:rPr>
          <w:rFonts w:ascii="Arial" w:hAnsi="Arial" w:cs="Arial"/>
        </w:rPr>
        <w:t>tcovsk</w:t>
      </w:r>
      <w:r w:rsidR="00A112E1">
        <w:rPr>
          <w:rFonts w:ascii="Arial" w:hAnsi="Arial" w:cs="Arial"/>
        </w:rPr>
        <w:t>á</w:t>
      </w:r>
      <w:r>
        <w:rPr>
          <w:rFonts w:ascii="Arial" w:hAnsi="Arial" w:cs="Arial"/>
        </w:rPr>
        <w:t xml:space="preserve"> a od června bude účinná dávka </w:t>
      </w:r>
      <w:r w:rsidR="00A112E1">
        <w:rPr>
          <w:rFonts w:ascii="Arial" w:hAnsi="Arial" w:cs="Arial"/>
        </w:rPr>
        <w:t>d</w:t>
      </w:r>
      <w:r>
        <w:rPr>
          <w:rFonts w:ascii="Arial" w:hAnsi="Arial" w:cs="Arial"/>
        </w:rPr>
        <w:t>louhodobé ošetřovné, očekávaný vliv dvou nových dávek je uveden i odděleně.</w:t>
      </w:r>
    </w:p>
    <w:p w:rsidR="00D16462" w:rsidRPr="00D16462" w:rsidRDefault="00E806B3" w:rsidP="00A112E1">
      <w:pPr>
        <w:spacing w:before="120"/>
        <w:jc w:val="both"/>
        <w:rPr>
          <w:rFonts w:ascii="Arial" w:hAnsi="Arial" w:cs="Arial"/>
          <w:b/>
        </w:rPr>
      </w:pPr>
      <w:r>
        <w:rPr>
          <w:noProof/>
        </w:rPr>
        <w:drawing>
          <wp:inline distT="0" distB="0" distL="0" distR="0">
            <wp:extent cx="5760720" cy="4717102"/>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0720" cy="4717102"/>
                    </a:xfrm>
                    <a:prstGeom prst="rect">
                      <a:avLst/>
                    </a:prstGeom>
                  </pic:spPr>
                </pic:pic>
              </a:graphicData>
            </a:graphic>
          </wp:inline>
        </w:drawing>
      </w:r>
    </w:p>
    <w:p w:rsidR="003F3E2D" w:rsidRPr="00127E03" w:rsidRDefault="003F3E2D" w:rsidP="00127E03">
      <w:pPr>
        <w:pStyle w:val="Zkladntext"/>
        <w:rPr>
          <w:rFonts w:cs="Arial"/>
        </w:rPr>
      </w:pPr>
    </w:p>
    <w:p w:rsidR="00D16462" w:rsidRPr="00676B79" w:rsidRDefault="00D16462" w:rsidP="00FB431C">
      <w:pPr>
        <w:pStyle w:val="Zkladntext"/>
        <w:numPr>
          <w:ilvl w:val="0"/>
          <w:numId w:val="21"/>
        </w:numPr>
        <w:rPr>
          <w:rFonts w:cs="Arial"/>
          <w:b/>
          <w:u w:val="single"/>
        </w:rPr>
      </w:pPr>
      <w:r w:rsidRPr="00676B79">
        <w:rPr>
          <w:rFonts w:cs="Arial"/>
          <w:b/>
          <w:u w:val="single"/>
        </w:rPr>
        <w:t xml:space="preserve">Popis a vyčíslení dopadů </w:t>
      </w:r>
      <w:r w:rsidR="00A53903" w:rsidRPr="00676B79">
        <w:rPr>
          <w:rFonts w:cs="Arial"/>
          <w:b/>
          <w:u w:val="single"/>
        </w:rPr>
        <w:t>tří</w:t>
      </w:r>
      <w:r w:rsidRPr="00676B79">
        <w:rPr>
          <w:rFonts w:cs="Arial"/>
          <w:b/>
          <w:u w:val="single"/>
        </w:rPr>
        <w:t xml:space="preserve"> variant zrušení karenční doby</w:t>
      </w:r>
    </w:p>
    <w:p w:rsidR="003452A5" w:rsidRDefault="003452A5" w:rsidP="00A112E1">
      <w:pPr>
        <w:spacing w:before="120"/>
        <w:jc w:val="both"/>
        <w:rPr>
          <w:rFonts w:ascii="Arial" w:hAnsi="Arial" w:cs="Arial"/>
        </w:rPr>
      </w:pPr>
      <w:r>
        <w:rPr>
          <w:rFonts w:ascii="Arial" w:hAnsi="Arial" w:cs="Arial"/>
        </w:rPr>
        <w:t xml:space="preserve">Vyčíslení dopadů bylo zpracováno ve </w:t>
      </w:r>
      <w:r w:rsidR="00335E79">
        <w:rPr>
          <w:rFonts w:ascii="Arial" w:hAnsi="Arial" w:cs="Arial"/>
        </w:rPr>
        <w:t>třech</w:t>
      </w:r>
      <w:r>
        <w:rPr>
          <w:rFonts w:ascii="Arial" w:hAnsi="Arial" w:cs="Arial"/>
        </w:rPr>
        <w:t xml:space="preserve"> variantách.</w:t>
      </w:r>
    </w:p>
    <w:p w:rsidR="003452A5" w:rsidRDefault="003452A5" w:rsidP="00A112E1">
      <w:pPr>
        <w:spacing w:before="120"/>
        <w:jc w:val="both"/>
        <w:rPr>
          <w:rFonts w:ascii="Arial" w:hAnsi="Arial" w:cs="Arial"/>
        </w:rPr>
      </w:pPr>
    </w:p>
    <w:p w:rsidR="003452A5" w:rsidRPr="003E2EAF" w:rsidRDefault="003452A5" w:rsidP="00A112E1">
      <w:pPr>
        <w:pStyle w:val="Odstavecseseznamem"/>
        <w:numPr>
          <w:ilvl w:val="0"/>
          <w:numId w:val="23"/>
        </w:numPr>
        <w:spacing w:before="120"/>
        <w:jc w:val="both"/>
        <w:rPr>
          <w:rFonts w:ascii="Arial" w:hAnsi="Arial" w:cs="Arial"/>
          <w:b/>
        </w:rPr>
      </w:pPr>
      <w:r w:rsidRPr="003E2EAF">
        <w:rPr>
          <w:rFonts w:ascii="Arial" w:hAnsi="Arial" w:cs="Arial"/>
          <w:b/>
        </w:rPr>
        <w:t>Poslanecký návrh ČSSD</w:t>
      </w:r>
      <w:r w:rsidR="005768A2">
        <w:rPr>
          <w:rFonts w:ascii="Arial" w:hAnsi="Arial" w:cs="Arial"/>
          <w:b/>
        </w:rPr>
        <w:t xml:space="preserve"> (ST 109)</w:t>
      </w:r>
    </w:p>
    <w:p w:rsidR="003452A5" w:rsidRDefault="003452A5" w:rsidP="00A112E1">
      <w:pPr>
        <w:spacing w:before="120"/>
        <w:jc w:val="both"/>
        <w:rPr>
          <w:rFonts w:ascii="Arial" w:hAnsi="Arial" w:cs="Arial"/>
        </w:rPr>
      </w:pPr>
      <w:r>
        <w:rPr>
          <w:rFonts w:ascii="Arial" w:hAnsi="Arial" w:cs="Arial"/>
        </w:rPr>
        <w:t xml:space="preserve">Návrh byl předložen skupinou poslanců ČSSD (Hamáček, </w:t>
      </w:r>
      <w:proofErr w:type="spellStart"/>
      <w:r>
        <w:rPr>
          <w:rFonts w:ascii="Arial" w:hAnsi="Arial" w:cs="Arial"/>
        </w:rPr>
        <w:t>Birke</w:t>
      </w:r>
      <w:proofErr w:type="spellEnd"/>
      <w:r>
        <w:rPr>
          <w:rFonts w:ascii="Arial" w:hAnsi="Arial" w:cs="Arial"/>
        </w:rPr>
        <w:t>, Valachová a Dolín</w:t>
      </w:r>
      <w:r w:rsidR="00A112E1">
        <w:rPr>
          <w:rFonts w:ascii="Arial" w:hAnsi="Arial" w:cs="Arial"/>
        </w:rPr>
        <w:t>e</w:t>
      </w:r>
      <w:r>
        <w:rPr>
          <w:rFonts w:ascii="Arial" w:hAnsi="Arial" w:cs="Arial"/>
        </w:rPr>
        <w:t>k). Návrh předpokládá:</w:t>
      </w:r>
    </w:p>
    <w:p w:rsidR="003452A5" w:rsidRDefault="003452A5" w:rsidP="00A112E1">
      <w:pPr>
        <w:pStyle w:val="Odstavecseseznamem"/>
        <w:numPr>
          <w:ilvl w:val="0"/>
          <w:numId w:val="20"/>
        </w:numPr>
        <w:spacing w:before="120"/>
        <w:jc w:val="both"/>
        <w:rPr>
          <w:rFonts w:ascii="Arial" w:hAnsi="Arial" w:cs="Arial"/>
        </w:rPr>
      </w:pPr>
      <w:r w:rsidRPr="003452A5">
        <w:rPr>
          <w:rFonts w:ascii="Arial" w:hAnsi="Arial" w:cs="Arial"/>
        </w:rPr>
        <w:t xml:space="preserve">výplatu náhrady mzdy zaměstnavatelem již od 1. </w:t>
      </w:r>
      <w:r w:rsidR="00DC2933">
        <w:rPr>
          <w:rFonts w:ascii="Arial" w:hAnsi="Arial" w:cs="Arial"/>
        </w:rPr>
        <w:t>d</w:t>
      </w:r>
      <w:r w:rsidRPr="003452A5">
        <w:rPr>
          <w:rFonts w:ascii="Arial" w:hAnsi="Arial" w:cs="Arial"/>
        </w:rPr>
        <w:t xml:space="preserve">ne </w:t>
      </w:r>
      <w:r w:rsidR="00A112E1">
        <w:rPr>
          <w:rFonts w:ascii="Arial" w:hAnsi="Arial" w:cs="Arial"/>
        </w:rPr>
        <w:t xml:space="preserve">dočasné </w:t>
      </w:r>
      <w:r w:rsidRPr="003452A5">
        <w:rPr>
          <w:rFonts w:ascii="Arial" w:hAnsi="Arial" w:cs="Arial"/>
        </w:rPr>
        <w:t>pracovní neschopnosti, a to ve</w:t>
      </w:r>
      <w:r w:rsidR="00A112E1">
        <w:rPr>
          <w:rFonts w:ascii="Arial" w:hAnsi="Arial" w:cs="Arial"/>
        </w:rPr>
        <w:t xml:space="preserve"> </w:t>
      </w:r>
      <w:r w:rsidRPr="003452A5">
        <w:rPr>
          <w:rFonts w:ascii="Arial" w:hAnsi="Arial" w:cs="Arial"/>
        </w:rPr>
        <w:t xml:space="preserve">stejné výši 60 % redukovaného </w:t>
      </w:r>
      <w:r w:rsidR="00A112E1">
        <w:rPr>
          <w:rFonts w:ascii="Arial" w:hAnsi="Arial" w:cs="Arial"/>
        </w:rPr>
        <w:t>průměrného hodinového výdělku</w:t>
      </w:r>
      <w:r w:rsidRPr="003452A5">
        <w:rPr>
          <w:rFonts w:ascii="Arial" w:hAnsi="Arial" w:cs="Arial"/>
        </w:rPr>
        <w:t xml:space="preserve"> jako je vyplácena od 4. do 14. dne trvání pracovní ne</w:t>
      </w:r>
      <w:r>
        <w:rPr>
          <w:rFonts w:ascii="Arial" w:hAnsi="Arial" w:cs="Arial"/>
        </w:rPr>
        <w:t>schopnosti;</w:t>
      </w:r>
    </w:p>
    <w:p w:rsidR="003452A5" w:rsidRDefault="003452A5" w:rsidP="00A112E1">
      <w:pPr>
        <w:pStyle w:val="Odstavecseseznamem"/>
        <w:numPr>
          <w:ilvl w:val="0"/>
          <w:numId w:val="20"/>
        </w:numPr>
        <w:spacing w:before="120"/>
        <w:jc w:val="both"/>
        <w:rPr>
          <w:rFonts w:ascii="Arial" w:hAnsi="Arial" w:cs="Arial"/>
        </w:rPr>
      </w:pPr>
      <w:r>
        <w:rPr>
          <w:rFonts w:ascii="Arial" w:hAnsi="Arial" w:cs="Arial"/>
        </w:rPr>
        <w:t>zároveň snížení sazby pojistného pro zaměstnavatele o 0,2 %</w:t>
      </w:r>
    </w:p>
    <w:p w:rsidR="004B092A" w:rsidRDefault="004B092A" w:rsidP="00A112E1">
      <w:pPr>
        <w:spacing w:before="120"/>
        <w:jc w:val="both"/>
        <w:rPr>
          <w:rFonts w:ascii="Arial" w:hAnsi="Arial" w:cs="Arial"/>
          <w:u w:val="single"/>
        </w:rPr>
      </w:pPr>
    </w:p>
    <w:p w:rsidR="003452A5" w:rsidRPr="003E2EAF" w:rsidRDefault="003452A5" w:rsidP="00A112E1">
      <w:pPr>
        <w:spacing w:before="120"/>
        <w:jc w:val="both"/>
        <w:rPr>
          <w:rFonts w:ascii="Arial" w:hAnsi="Arial" w:cs="Arial"/>
          <w:u w:val="single"/>
        </w:rPr>
      </w:pPr>
      <w:r w:rsidRPr="003E2EAF">
        <w:rPr>
          <w:rFonts w:ascii="Arial" w:hAnsi="Arial" w:cs="Arial"/>
          <w:u w:val="single"/>
        </w:rPr>
        <w:t>Dopady na zaměstnance</w:t>
      </w:r>
    </w:p>
    <w:p w:rsidR="003452A5" w:rsidRDefault="003452A5" w:rsidP="00A112E1">
      <w:pPr>
        <w:spacing w:before="120"/>
        <w:jc w:val="both"/>
        <w:rPr>
          <w:rFonts w:ascii="Arial" w:hAnsi="Arial" w:cs="Arial"/>
        </w:rPr>
      </w:pPr>
      <w:r>
        <w:rPr>
          <w:rFonts w:ascii="Arial" w:hAnsi="Arial" w:cs="Arial"/>
        </w:rPr>
        <w:lastRenderedPageBreak/>
        <w:t xml:space="preserve">Zaměstnancům bude vyplácena oproti současnosti navíc náhrada mzdy v prvních třech dnech </w:t>
      </w:r>
      <w:r w:rsidR="00A112E1">
        <w:rPr>
          <w:rFonts w:ascii="Arial" w:hAnsi="Arial" w:cs="Arial"/>
        </w:rPr>
        <w:t>dočasné pracovní neschopnosti</w:t>
      </w:r>
      <w:r>
        <w:rPr>
          <w:rFonts w:ascii="Arial" w:hAnsi="Arial" w:cs="Arial"/>
        </w:rPr>
        <w:t xml:space="preserve"> ve výši 60 %</w:t>
      </w:r>
      <w:r w:rsidR="00A112E1">
        <w:rPr>
          <w:rFonts w:ascii="Arial" w:hAnsi="Arial" w:cs="Arial"/>
        </w:rPr>
        <w:t xml:space="preserve"> redukovaného průměrného hodinového výdělku.</w:t>
      </w:r>
    </w:p>
    <w:p w:rsidR="003452A5" w:rsidRPr="003E2EAF" w:rsidRDefault="003452A5" w:rsidP="00A112E1">
      <w:pPr>
        <w:spacing w:before="120"/>
        <w:jc w:val="both"/>
        <w:rPr>
          <w:rFonts w:ascii="Arial" w:hAnsi="Arial" w:cs="Arial"/>
          <w:u w:val="single"/>
        </w:rPr>
      </w:pPr>
      <w:r w:rsidRPr="003E2EAF">
        <w:rPr>
          <w:rFonts w:ascii="Arial" w:hAnsi="Arial" w:cs="Arial"/>
          <w:u w:val="single"/>
        </w:rPr>
        <w:t>Dopady na zaměstnavatele</w:t>
      </w:r>
    </w:p>
    <w:p w:rsidR="003452A5" w:rsidRPr="003E2EAF" w:rsidRDefault="002A7ACB" w:rsidP="00A112E1">
      <w:pPr>
        <w:pStyle w:val="Odstavecseseznamem"/>
        <w:numPr>
          <w:ilvl w:val="0"/>
          <w:numId w:val="20"/>
        </w:numPr>
        <w:spacing w:before="120"/>
        <w:ind w:left="426" w:hanging="284"/>
        <w:jc w:val="both"/>
        <w:rPr>
          <w:rFonts w:ascii="Arial" w:hAnsi="Arial" w:cs="Arial"/>
        </w:rPr>
      </w:pPr>
      <w:r>
        <w:rPr>
          <w:rFonts w:ascii="Arial" w:hAnsi="Arial" w:cs="Arial"/>
        </w:rPr>
        <w:t>B</w:t>
      </w:r>
      <w:r w:rsidR="003452A5" w:rsidRPr="003E2EAF">
        <w:rPr>
          <w:rFonts w:ascii="Arial" w:hAnsi="Arial" w:cs="Arial"/>
        </w:rPr>
        <w:t>udou platit o 3</w:t>
      </w:r>
      <w:r w:rsidR="008D3BC8">
        <w:rPr>
          <w:rFonts w:ascii="Arial" w:hAnsi="Arial" w:cs="Arial"/>
        </w:rPr>
        <w:t xml:space="preserve"> </w:t>
      </w:r>
      <w:r w:rsidR="003452A5" w:rsidRPr="003E2EAF">
        <w:rPr>
          <w:rFonts w:ascii="Arial" w:hAnsi="Arial" w:cs="Arial"/>
        </w:rPr>
        <w:t xml:space="preserve">mld. </w:t>
      </w:r>
      <w:r w:rsidR="00A112E1">
        <w:rPr>
          <w:rFonts w:ascii="Arial" w:hAnsi="Arial" w:cs="Arial"/>
        </w:rPr>
        <w:t xml:space="preserve">Kč </w:t>
      </w:r>
      <w:r w:rsidR="003452A5" w:rsidRPr="003E2EAF">
        <w:rPr>
          <w:rFonts w:ascii="Arial" w:hAnsi="Arial" w:cs="Arial"/>
        </w:rPr>
        <w:t>méně na pojistném na nemocenské pojištění</w:t>
      </w:r>
      <w:r w:rsidR="00A112E1">
        <w:rPr>
          <w:rFonts w:ascii="Arial" w:hAnsi="Arial" w:cs="Arial"/>
        </w:rPr>
        <w:t>,</w:t>
      </w:r>
    </w:p>
    <w:p w:rsidR="003E2EAF" w:rsidRPr="003E2EAF" w:rsidRDefault="003E2EAF" w:rsidP="00A112E1">
      <w:pPr>
        <w:pStyle w:val="Odstavecseseznamem"/>
        <w:numPr>
          <w:ilvl w:val="0"/>
          <w:numId w:val="20"/>
        </w:numPr>
        <w:spacing w:before="120"/>
        <w:ind w:left="426" w:hanging="284"/>
        <w:jc w:val="both"/>
        <w:rPr>
          <w:rFonts w:ascii="Arial" w:hAnsi="Arial" w:cs="Arial"/>
        </w:rPr>
      </w:pPr>
      <w:r w:rsidRPr="003E2EAF">
        <w:rPr>
          <w:rFonts w:ascii="Arial" w:hAnsi="Arial" w:cs="Arial"/>
        </w:rPr>
        <w:t xml:space="preserve">náklady na výplatu náhrady mzdy v prvních třech dnech </w:t>
      </w:r>
      <w:r w:rsidR="00A112E1">
        <w:rPr>
          <w:rFonts w:ascii="Arial" w:hAnsi="Arial" w:cs="Arial"/>
        </w:rPr>
        <w:t>D</w:t>
      </w:r>
      <w:r w:rsidRPr="003E2EAF">
        <w:rPr>
          <w:rFonts w:ascii="Arial" w:hAnsi="Arial" w:cs="Arial"/>
        </w:rPr>
        <w:t>PN za předpokladu nezvýšené nemocnosti budou činit 2,9 mld.</w:t>
      </w:r>
      <w:r w:rsidR="00A112E1">
        <w:rPr>
          <w:rFonts w:ascii="Arial" w:hAnsi="Arial" w:cs="Arial"/>
        </w:rPr>
        <w:t xml:space="preserve"> Kč,</w:t>
      </w:r>
    </w:p>
    <w:p w:rsidR="003E2EAF" w:rsidRDefault="003E2EAF" w:rsidP="00A112E1">
      <w:pPr>
        <w:pStyle w:val="Odstavecseseznamem"/>
        <w:numPr>
          <w:ilvl w:val="0"/>
          <w:numId w:val="20"/>
        </w:numPr>
        <w:spacing w:before="120"/>
        <w:ind w:left="426" w:hanging="284"/>
        <w:jc w:val="both"/>
        <w:rPr>
          <w:rFonts w:ascii="Arial" w:hAnsi="Arial" w:cs="Arial"/>
        </w:rPr>
      </w:pPr>
      <w:r w:rsidRPr="003E2EAF">
        <w:rPr>
          <w:rFonts w:ascii="Arial" w:hAnsi="Arial" w:cs="Arial"/>
        </w:rPr>
        <w:t xml:space="preserve">náklady na výplatu náhrady mzdy od 1. </w:t>
      </w:r>
      <w:r w:rsidR="00E806B3">
        <w:rPr>
          <w:rFonts w:ascii="Arial" w:hAnsi="Arial" w:cs="Arial"/>
        </w:rPr>
        <w:t>d</w:t>
      </w:r>
      <w:r w:rsidRPr="003E2EAF">
        <w:rPr>
          <w:rFonts w:ascii="Arial" w:hAnsi="Arial" w:cs="Arial"/>
        </w:rPr>
        <w:t xml:space="preserve">o 14 dne z titulu očekávané zvýšené </w:t>
      </w:r>
      <w:r w:rsidR="00A112E1">
        <w:rPr>
          <w:rFonts w:ascii="Arial" w:hAnsi="Arial" w:cs="Arial"/>
        </w:rPr>
        <w:t>D</w:t>
      </w:r>
      <w:r w:rsidRPr="003E2EAF">
        <w:rPr>
          <w:rFonts w:ascii="Arial" w:hAnsi="Arial" w:cs="Arial"/>
        </w:rPr>
        <w:t>PN odhaduje MPSV na 5,1 mld. Kč</w:t>
      </w:r>
      <w:r w:rsidR="00A112E1">
        <w:rPr>
          <w:rFonts w:ascii="Arial" w:hAnsi="Arial" w:cs="Arial"/>
        </w:rPr>
        <w:t>.</w:t>
      </w:r>
    </w:p>
    <w:p w:rsidR="00DC2933" w:rsidRPr="00DC2933" w:rsidRDefault="00DC2933" w:rsidP="00A112E1">
      <w:pPr>
        <w:spacing w:before="120"/>
        <w:jc w:val="both"/>
        <w:rPr>
          <w:rFonts w:ascii="Arial" w:hAnsi="Arial" w:cs="Arial"/>
        </w:rPr>
      </w:pPr>
      <w:r w:rsidRPr="00F325E1">
        <w:rPr>
          <w:rFonts w:ascii="Arial" w:hAnsi="Arial" w:cs="Arial"/>
        </w:rPr>
        <w:t>Dodatečné finanční náklady na výplatu náhrady mzdy ve výši cca 5,1 mld. Kč lze (na základě v minulosti pozorovaného vývoje úrovně dočasné pracovní neschopnosti ve vazbě na změny v legislativní úpravě karenční doby) očekávat v souvislosti se zvýšením úrovně dočasné pracovní neschopnosti po zrušení karenční doby.</w:t>
      </w:r>
    </w:p>
    <w:p w:rsidR="00676B79" w:rsidRDefault="003E2EAF" w:rsidP="00A112E1">
      <w:pPr>
        <w:spacing w:before="120"/>
        <w:jc w:val="both"/>
        <w:rPr>
          <w:rFonts w:ascii="Arial" w:hAnsi="Arial" w:cs="Arial"/>
        </w:rPr>
      </w:pPr>
      <w:r>
        <w:rPr>
          <w:rFonts w:ascii="Arial" w:hAnsi="Arial" w:cs="Arial"/>
        </w:rPr>
        <w:t xml:space="preserve">Celkový </w:t>
      </w:r>
      <w:r w:rsidR="00A112E1">
        <w:rPr>
          <w:rFonts w:ascii="Arial" w:hAnsi="Arial" w:cs="Arial"/>
        </w:rPr>
        <w:t xml:space="preserve">negativní </w:t>
      </w:r>
      <w:r>
        <w:rPr>
          <w:rFonts w:ascii="Arial" w:hAnsi="Arial" w:cs="Arial"/>
        </w:rPr>
        <w:t>efekt na zaměstnavatele lze odhadnout na 5 mld. Kč</w:t>
      </w:r>
      <w:r w:rsidR="00676B79">
        <w:rPr>
          <w:rFonts w:ascii="Arial" w:hAnsi="Arial" w:cs="Arial"/>
        </w:rPr>
        <w:t>.</w:t>
      </w:r>
    </w:p>
    <w:p w:rsidR="003452A5" w:rsidRPr="003E2EAF" w:rsidRDefault="003452A5" w:rsidP="00A112E1">
      <w:pPr>
        <w:spacing w:before="120"/>
        <w:jc w:val="both"/>
        <w:rPr>
          <w:rFonts w:ascii="Arial" w:hAnsi="Arial" w:cs="Arial"/>
          <w:u w:val="single"/>
        </w:rPr>
      </w:pPr>
      <w:r w:rsidRPr="003E2EAF">
        <w:rPr>
          <w:rFonts w:ascii="Arial" w:hAnsi="Arial" w:cs="Arial"/>
          <w:u w:val="single"/>
        </w:rPr>
        <w:t>Dopady na SR</w:t>
      </w:r>
    </w:p>
    <w:p w:rsidR="003E2EAF" w:rsidRDefault="003E2EAF" w:rsidP="00A112E1">
      <w:pPr>
        <w:spacing w:before="120"/>
        <w:jc w:val="both"/>
        <w:rPr>
          <w:rFonts w:ascii="Arial" w:hAnsi="Arial" w:cs="Arial"/>
        </w:rPr>
      </w:pPr>
      <w:r>
        <w:rPr>
          <w:rFonts w:ascii="Arial" w:hAnsi="Arial" w:cs="Arial"/>
        </w:rPr>
        <w:t xml:space="preserve">Dopady na SR </w:t>
      </w:r>
      <w:r w:rsidR="00E806B3">
        <w:rPr>
          <w:rFonts w:ascii="Arial" w:hAnsi="Arial" w:cs="Arial"/>
        </w:rPr>
        <w:t>jsou v podobě snížení výběru pojist</w:t>
      </w:r>
      <w:r w:rsidR="0037627E">
        <w:rPr>
          <w:rFonts w:ascii="Arial" w:hAnsi="Arial" w:cs="Arial"/>
        </w:rPr>
        <w:t>ného na nemocenské pojištění ve </w:t>
      </w:r>
      <w:r w:rsidR="00E806B3">
        <w:rPr>
          <w:rFonts w:ascii="Arial" w:hAnsi="Arial" w:cs="Arial"/>
        </w:rPr>
        <w:t>výši 3 mld. Kč.</w:t>
      </w:r>
    </w:p>
    <w:p w:rsidR="0037627E" w:rsidRPr="003452A5" w:rsidRDefault="0037627E" w:rsidP="00A112E1">
      <w:pPr>
        <w:spacing w:before="120"/>
        <w:jc w:val="both"/>
        <w:rPr>
          <w:rFonts w:ascii="Arial" w:hAnsi="Arial" w:cs="Arial"/>
        </w:rPr>
      </w:pPr>
    </w:p>
    <w:p w:rsidR="003452A5" w:rsidRPr="003E2EAF" w:rsidRDefault="003452A5" w:rsidP="00A112E1">
      <w:pPr>
        <w:pStyle w:val="Odstavecseseznamem"/>
        <w:numPr>
          <w:ilvl w:val="0"/>
          <w:numId w:val="23"/>
        </w:numPr>
        <w:spacing w:before="120"/>
        <w:jc w:val="both"/>
        <w:rPr>
          <w:rFonts w:ascii="Arial" w:hAnsi="Arial" w:cs="Arial"/>
          <w:b/>
        </w:rPr>
      </w:pPr>
      <w:r w:rsidRPr="003E2EAF">
        <w:rPr>
          <w:rFonts w:ascii="Arial" w:hAnsi="Arial" w:cs="Arial"/>
          <w:b/>
        </w:rPr>
        <w:t>Alternativní návrh se sníženými dopady na zaměstnavatele</w:t>
      </w:r>
    </w:p>
    <w:p w:rsidR="003452A5" w:rsidRDefault="003452A5" w:rsidP="00A112E1">
      <w:pPr>
        <w:pStyle w:val="Odstavecseseznamem"/>
        <w:spacing w:before="120"/>
        <w:ind w:left="1080"/>
        <w:jc w:val="both"/>
        <w:rPr>
          <w:rFonts w:ascii="Arial" w:hAnsi="Arial" w:cs="Arial"/>
        </w:rPr>
      </w:pPr>
    </w:p>
    <w:p w:rsidR="003452A5" w:rsidRDefault="003452A5" w:rsidP="00A112E1">
      <w:pPr>
        <w:spacing w:before="120"/>
        <w:jc w:val="both"/>
        <w:rPr>
          <w:rFonts w:ascii="Arial" w:hAnsi="Arial" w:cs="Arial"/>
        </w:rPr>
      </w:pPr>
      <w:r>
        <w:rPr>
          <w:rFonts w:ascii="Arial" w:hAnsi="Arial" w:cs="Arial"/>
        </w:rPr>
        <w:t>Byla kalkulována dále varianta, u které je předpoklad nižšího až nulového dopadu na zaměstnavatele. Tato variant</w:t>
      </w:r>
      <w:r w:rsidR="00E6726C">
        <w:rPr>
          <w:rFonts w:ascii="Arial" w:hAnsi="Arial" w:cs="Arial"/>
        </w:rPr>
        <w:t>a</w:t>
      </w:r>
      <w:r>
        <w:rPr>
          <w:rFonts w:ascii="Arial" w:hAnsi="Arial" w:cs="Arial"/>
        </w:rPr>
        <w:t xml:space="preserve"> obsahuje následující změny oproti současnému stavu:</w:t>
      </w:r>
    </w:p>
    <w:p w:rsidR="003452A5" w:rsidRDefault="00A112E1" w:rsidP="00A112E1">
      <w:pPr>
        <w:pStyle w:val="Odstavecseseznamem"/>
        <w:numPr>
          <w:ilvl w:val="0"/>
          <w:numId w:val="20"/>
        </w:numPr>
        <w:spacing w:before="120"/>
        <w:jc w:val="both"/>
        <w:rPr>
          <w:rFonts w:ascii="Arial" w:hAnsi="Arial" w:cs="Arial"/>
        </w:rPr>
      </w:pPr>
      <w:r>
        <w:rPr>
          <w:rFonts w:ascii="Arial" w:hAnsi="Arial" w:cs="Arial"/>
        </w:rPr>
        <w:t>v</w:t>
      </w:r>
      <w:r w:rsidR="003452A5">
        <w:rPr>
          <w:rFonts w:ascii="Arial" w:hAnsi="Arial" w:cs="Arial"/>
        </w:rPr>
        <w:t xml:space="preserve"> prvních třech dnech </w:t>
      </w:r>
      <w:r>
        <w:rPr>
          <w:rFonts w:ascii="Arial" w:hAnsi="Arial" w:cs="Arial"/>
        </w:rPr>
        <w:t>dočasné pracovní neschopnosti</w:t>
      </w:r>
      <w:r w:rsidR="003452A5">
        <w:rPr>
          <w:rFonts w:ascii="Arial" w:hAnsi="Arial" w:cs="Arial"/>
        </w:rPr>
        <w:t xml:space="preserve"> bude vypláce</w:t>
      </w:r>
      <w:r>
        <w:rPr>
          <w:rFonts w:ascii="Arial" w:hAnsi="Arial" w:cs="Arial"/>
        </w:rPr>
        <w:t>t</w:t>
      </w:r>
      <w:r w:rsidR="003452A5">
        <w:rPr>
          <w:rFonts w:ascii="Arial" w:hAnsi="Arial" w:cs="Arial"/>
        </w:rPr>
        <w:t xml:space="preserve"> zaměstnavatel náhradu mzdy ve výši 30 % redukovaného </w:t>
      </w:r>
      <w:r>
        <w:rPr>
          <w:rFonts w:ascii="Arial" w:hAnsi="Arial" w:cs="Arial"/>
        </w:rPr>
        <w:t>průměrného hodinového výdělku</w:t>
      </w:r>
      <w:r w:rsidR="003452A5">
        <w:rPr>
          <w:rFonts w:ascii="Arial" w:hAnsi="Arial" w:cs="Arial"/>
        </w:rPr>
        <w:t>,</w:t>
      </w:r>
    </w:p>
    <w:p w:rsidR="003452A5" w:rsidRPr="00E7199E" w:rsidRDefault="002A7ACB" w:rsidP="00A112E1">
      <w:pPr>
        <w:pStyle w:val="Odstavecseseznamem"/>
        <w:numPr>
          <w:ilvl w:val="0"/>
          <w:numId w:val="20"/>
        </w:numPr>
        <w:spacing w:before="120"/>
        <w:jc w:val="both"/>
        <w:rPr>
          <w:rFonts w:ascii="Arial" w:hAnsi="Arial" w:cs="Arial"/>
        </w:rPr>
      </w:pPr>
      <w:r w:rsidRPr="00E7199E">
        <w:rPr>
          <w:rFonts w:ascii="Arial" w:hAnsi="Arial" w:cs="Arial"/>
        </w:rPr>
        <w:t>o</w:t>
      </w:r>
      <w:r w:rsidR="003452A5" w:rsidRPr="00E7199E">
        <w:rPr>
          <w:rFonts w:ascii="Arial" w:hAnsi="Arial" w:cs="Arial"/>
        </w:rPr>
        <w:t xml:space="preserve">d 4. do 11. </w:t>
      </w:r>
      <w:r w:rsidR="00DC2933" w:rsidRPr="00E7199E">
        <w:rPr>
          <w:rFonts w:ascii="Arial" w:hAnsi="Arial" w:cs="Arial"/>
        </w:rPr>
        <w:t>d</w:t>
      </w:r>
      <w:r w:rsidR="003452A5" w:rsidRPr="00E7199E">
        <w:rPr>
          <w:rFonts w:ascii="Arial" w:hAnsi="Arial" w:cs="Arial"/>
        </w:rPr>
        <w:t xml:space="preserve">ne </w:t>
      </w:r>
      <w:r w:rsidRPr="00E7199E">
        <w:rPr>
          <w:rFonts w:ascii="Arial" w:hAnsi="Arial" w:cs="Arial"/>
        </w:rPr>
        <w:t xml:space="preserve">dočasné </w:t>
      </w:r>
      <w:r w:rsidR="003452A5" w:rsidRPr="00E7199E">
        <w:rPr>
          <w:rFonts w:ascii="Arial" w:hAnsi="Arial" w:cs="Arial"/>
        </w:rPr>
        <w:t>pracovní neschopnosti bude zaměstnavatel vyplácet náhradu mzdy ve stejné výši jako nyní</w:t>
      </w:r>
      <w:r w:rsidR="00AB51F4" w:rsidRPr="00E7199E">
        <w:rPr>
          <w:rFonts w:ascii="Arial" w:hAnsi="Arial" w:cs="Arial"/>
        </w:rPr>
        <w:t xml:space="preserve"> (60 % redukovaného průměrného </w:t>
      </w:r>
      <w:r w:rsidR="00E7199E" w:rsidRPr="00E7199E">
        <w:rPr>
          <w:rFonts w:ascii="Arial" w:hAnsi="Arial" w:cs="Arial"/>
        </w:rPr>
        <w:t xml:space="preserve">hodinového </w:t>
      </w:r>
      <w:r w:rsidR="00AB51F4" w:rsidRPr="00E7199E">
        <w:rPr>
          <w:rFonts w:ascii="Arial" w:hAnsi="Arial" w:cs="Arial"/>
        </w:rPr>
        <w:t>výdělku)</w:t>
      </w:r>
      <w:r w:rsidRPr="00E7199E">
        <w:rPr>
          <w:rFonts w:ascii="Arial" w:hAnsi="Arial" w:cs="Arial"/>
        </w:rPr>
        <w:t>,</w:t>
      </w:r>
    </w:p>
    <w:p w:rsidR="003E2EAF" w:rsidRDefault="002A7ACB" w:rsidP="00A112E1">
      <w:pPr>
        <w:pStyle w:val="Odstavecseseznamem"/>
        <w:numPr>
          <w:ilvl w:val="0"/>
          <w:numId w:val="20"/>
        </w:numPr>
        <w:spacing w:before="120"/>
        <w:jc w:val="both"/>
        <w:rPr>
          <w:rFonts w:ascii="Arial" w:hAnsi="Arial" w:cs="Arial"/>
        </w:rPr>
      </w:pPr>
      <w:r>
        <w:rPr>
          <w:rFonts w:ascii="Arial" w:hAnsi="Arial" w:cs="Arial"/>
        </w:rPr>
        <w:t>v</w:t>
      </w:r>
      <w:r w:rsidR="003452A5">
        <w:rPr>
          <w:rFonts w:ascii="Arial" w:hAnsi="Arial" w:cs="Arial"/>
        </w:rPr>
        <w:t>ýplatu od 1</w:t>
      </w:r>
      <w:r>
        <w:rPr>
          <w:rFonts w:ascii="Arial" w:hAnsi="Arial" w:cs="Arial"/>
        </w:rPr>
        <w:t>2</w:t>
      </w:r>
      <w:r w:rsidR="003452A5">
        <w:rPr>
          <w:rFonts w:ascii="Arial" w:hAnsi="Arial" w:cs="Arial"/>
        </w:rPr>
        <w:t xml:space="preserve">. </w:t>
      </w:r>
      <w:r w:rsidR="00DC2933">
        <w:rPr>
          <w:rFonts w:ascii="Arial" w:hAnsi="Arial" w:cs="Arial"/>
        </w:rPr>
        <w:t>d</w:t>
      </w:r>
      <w:r w:rsidR="003452A5">
        <w:rPr>
          <w:rFonts w:ascii="Arial" w:hAnsi="Arial" w:cs="Arial"/>
        </w:rPr>
        <w:t xml:space="preserve">o 14. </w:t>
      </w:r>
      <w:r w:rsidR="00DC2933">
        <w:rPr>
          <w:rFonts w:ascii="Arial" w:hAnsi="Arial" w:cs="Arial"/>
        </w:rPr>
        <w:t>d</w:t>
      </w:r>
      <w:r w:rsidR="003452A5">
        <w:rPr>
          <w:rFonts w:ascii="Arial" w:hAnsi="Arial" w:cs="Arial"/>
        </w:rPr>
        <w:t>ne pracovní neschopnosti převezmou OSSZ</w:t>
      </w:r>
      <w:r>
        <w:rPr>
          <w:rFonts w:ascii="Arial" w:hAnsi="Arial" w:cs="Arial"/>
        </w:rPr>
        <w:t>.</w:t>
      </w:r>
    </w:p>
    <w:p w:rsidR="003E2EAF" w:rsidRPr="003E2EAF" w:rsidRDefault="003E2EAF" w:rsidP="00A112E1">
      <w:pPr>
        <w:spacing w:before="120"/>
        <w:jc w:val="both"/>
        <w:rPr>
          <w:rFonts w:ascii="Arial" w:hAnsi="Arial" w:cs="Arial"/>
        </w:rPr>
      </w:pPr>
      <w:r>
        <w:rPr>
          <w:rFonts w:ascii="Arial" w:hAnsi="Arial" w:cs="Arial"/>
        </w:rPr>
        <w:t xml:space="preserve">U tohoto scénáře se vzhledem ke snížené výši náhrady v prvních třech dnech </w:t>
      </w:r>
      <w:r w:rsidR="002A7ACB">
        <w:rPr>
          <w:rFonts w:ascii="Arial" w:hAnsi="Arial" w:cs="Arial"/>
        </w:rPr>
        <w:t>D</w:t>
      </w:r>
      <w:r>
        <w:rPr>
          <w:rFonts w:ascii="Arial" w:hAnsi="Arial" w:cs="Arial"/>
        </w:rPr>
        <w:t xml:space="preserve">PN nepředpokládá navýšení počtu </w:t>
      </w:r>
      <w:r w:rsidR="002A7ACB">
        <w:rPr>
          <w:rFonts w:ascii="Arial" w:hAnsi="Arial" w:cs="Arial"/>
        </w:rPr>
        <w:t xml:space="preserve">dočasných </w:t>
      </w:r>
      <w:r>
        <w:rPr>
          <w:rFonts w:ascii="Arial" w:hAnsi="Arial" w:cs="Arial"/>
        </w:rPr>
        <w:t>pracovních neschopností.</w:t>
      </w:r>
    </w:p>
    <w:p w:rsidR="003452A5" w:rsidRPr="003E2EAF" w:rsidRDefault="003452A5" w:rsidP="002A7ACB">
      <w:pPr>
        <w:keepNext/>
        <w:spacing w:before="120"/>
        <w:jc w:val="both"/>
        <w:rPr>
          <w:rFonts w:ascii="Arial" w:hAnsi="Arial" w:cs="Arial"/>
          <w:u w:val="single"/>
        </w:rPr>
      </w:pPr>
      <w:r w:rsidRPr="003E2EAF">
        <w:rPr>
          <w:rFonts w:ascii="Arial" w:hAnsi="Arial" w:cs="Arial"/>
          <w:u w:val="single"/>
        </w:rPr>
        <w:t>Dopady na zaměstnance</w:t>
      </w:r>
    </w:p>
    <w:p w:rsidR="003E2EAF" w:rsidRPr="00E7199E" w:rsidRDefault="003E2EAF" w:rsidP="00A112E1">
      <w:pPr>
        <w:spacing w:before="120"/>
        <w:jc w:val="both"/>
        <w:rPr>
          <w:rFonts w:ascii="Arial" w:hAnsi="Arial" w:cs="Arial"/>
        </w:rPr>
      </w:pPr>
      <w:r w:rsidRPr="00E7199E">
        <w:rPr>
          <w:rFonts w:ascii="Arial" w:hAnsi="Arial" w:cs="Arial"/>
        </w:rPr>
        <w:t xml:space="preserve">Zaměstnancům bude vyplácena oproti současnosti navíc náhrada mzdy v prvních třech dnech </w:t>
      </w:r>
      <w:r w:rsidR="002A7ACB" w:rsidRPr="00E7199E">
        <w:rPr>
          <w:rFonts w:ascii="Arial" w:hAnsi="Arial" w:cs="Arial"/>
        </w:rPr>
        <w:t>dočasné pracovní neschopnosti</w:t>
      </w:r>
      <w:r w:rsidRPr="00E7199E">
        <w:rPr>
          <w:rFonts w:ascii="Arial" w:hAnsi="Arial" w:cs="Arial"/>
        </w:rPr>
        <w:t xml:space="preserve"> v</w:t>
      </w:r>
      <w:r w:rsidR="00AB51F4" w:rsidRPr="00E7199E">
        <w:rPr>
          <w:rFonts w:ascii="Arial" w:hAnsi="Arial" w:cs="Arial"/>
        </w:rPr>
        <w:t> poloviční výši než od 4. dne pracovní neschopnosti.</w:t>
      </w:r>
    </w:p>
    <w:p w:rsidR="003E2EAF" w:rsidRPr="003E2EAF" w:rsidRDefault="003E2EAF" w:rsidP="00A112E1">
      <w:pPr>
        <w:spacing w:before="120"/>
        <w:jc w:val="both"/>
        <w:rPr>
          <w:rFonts w:ascii="Arial" w:hAnsi="Arial" w:cs="Arial"/>
          <w:u w:val="single"/>
        </w:rPr>
      </w:pPr>
      <w:r w:rsidRPr="00E7199E">
        <w:rPr>
          <w:rFonts w:ascii="Arial" w:hAnsi="Arial" w:cs="Arial"/>
          <w:u w:val="single"/>
        </w:rPr>
        <w:t>Dopady na zaměstnavatele</w:t>
      </w:r>
    </w:p>
    <w:p w:rsidR="003E2EAF" w:rsidRPr="003E2EAF" w:rsidRDefault="003E2EAF" w:rsidP="00A112E1">
      <w:pPr>
        <w:pStyle w:val="Odstavecseseznamem"/>
        <w:numPr>
          <w:ilvl w:val="0"/>
          <w:numId w:val="20"/>
        </w:numPr>
        <w:spacing w:before="120"/>
        <w:ind w:left="426" w:hanging="284"/>
        <w:jc w:val="both"/>
        <w:rPr>
          <w:rFonts w:ascii="Arial" w:hAnsi="Arial" w:cs="Arial"/>
        </w:rPr>
      </w:pPr>
      <w:r>
        <w:rPr>
          <w:rFonts w:ascii="Arial" w:hAnsi="Arial" w:cs="Arial"/>
        </w:rPr>
        <w:t>V platbách</w:t>
      </w:r>
      <w:r w:rsidRPr="003E2EAF">
        <w:rPr>
          <w:rFonts w:ascii="Arial" w:hAnsi="Arial" w:cs="Arial"/>
        </w:rPr>
        <w:t xml:space="preserve"> pojistné</w:t>
      </w:r>
      <w:r>
        <w:rPr>
          <w:rFonts w:ascii="Arial" w:hAnsi="Arial" w:cs="Arial"/>
        </w:rPr>
        <w:t>ho</w:t>
      </w:r>
      <w:r w:rsidRPr="003E2EAF">
        <w:rPr>
          <w:rFonts w:ascii="Arial" w:hAnsi="Arial" w:cs="Arial"/>
        </w:rPr>
        <w:t xml:space="preserve"> na nemocenské pojištění</w:t>
      </w:r>
      <w:r>
        <w:rPr>
          <w:rFonts w:ascii="Arial" w:hAnsi="Arial" w:cs="Arial"/>
        </w:rPr>
        <w:t xml:space="preserve"> nedojde ke změně</w:t>
      </w:r>
      <w:r w:rsidR="002A7ACB">
        <w:rPr>
          <w:rFonts w:ascii="Arial" w:hAnsi="Arial" w:cs="Arial"/>
        </w:rPr>
        <w:t>,</w:t>
      </w:r>
    </w:p>
    <w:p w:rsidR="003E2EAF" w:rsidRPr="00E806B3" w:rsidRDefault="002A7ACB" w:rsidP="00A112E1">
      <w:pPr>
        <w:pStyle w:val="Odstavecseseznamem"/>
        <w:numPr>
          <w:ilvl w:val="0"/>
          <w:numId w:val="20"/>
        </w:numPr>
        <w:spacing w:before="120"/>
        <w:ind w:left="426" w:hanging="284"/>
        <w:jc w:val="both"/>
        <w:rPr>
          <w:rFonts w:ascii="Arial" w:hAnsi="Arial" w:cs="Arial"/>
        </w:rPr>
      </w:pPr>
      <w:r>
        <w:rPr>
          <w:rFonts w:ascii="Arial" w:hAnsi="Arial" w:cs="Arial"/>
        </w:rPr>
        <w:t>z</w:t>
      </w:r>
      <w:r w:rsidR="003E2EAF" w:rsidRPr="00E806B3">
        <w:rPr>
          <w:rFonts w:ascii="Arial" w:hAnsi="Arial" w:cs="Arial"/>
        </w:rPr>
        <w:t>aměstnavatel</w:t>
      </w:r>
      <w:r>
        <w:rPr>
          <w:rFonts w:ascii="Arial" w:hAnsi="Arial" w:cs="Arial"/>
        </w:rPr>
        <w:t>é</w:t>
      </w:r>
      <w:r w:rsidR="003E2EAF" w:rsidRPr="00E806B3">
        <w:rPr>
          <w:rFonts w:ascii="Arial" w:hAnsi="Arial" w:cs="Arial"/>
        </w:rPr>
        <w:t xml:space="preserve"> uspoří na výplatách náhrad</w:t>
      </w:r>
      <w:r>
        <w:rPr>
          <w:rFonts w:ascii="Arial" w:hAnsi="Arial" w:cs="Arial"/>
        </w:rPr>
        <w:t>y</w:t>
      </w:r>
      <w:r w:rsidR="003E2EAF" w:rsidRPr="00E806B3">
        <w:rPr>
          <w:rFonts w:ascii="Arial" w:hAnsi="Arial" w:cs="Arial"/>
        </w:rPr>
        <w:t xml:space="preserve"> mzd</w:t>
      </w:r>
      <w:r>
        <w:rPr>
          <w:rFonts w:ascii="Arial" w:hAnsi="Arial" w:cs="Arial"/>
        </w:rPr>
        <w:t>y</w:t>
      </w:r>
      <w:r w:rsidR="003E2EAF" w:rsidRPr="00E806B3">
        <w:rPr>
          <w:rFonts w:ascii="Arial" w:hAnsi="Arial" w:cs="Arial"/>
        </w:rPr>
        <w:t xml:space="preserve"> v období od 12. do 14. dne trvání </w:t>
      </w:r>
      <w:r>
        <w:rPr>
          <w:rFonts w:ascii="Arial" w:hAnsi="Arial" w:cs="Arial"/>
        </w:rPr>
        <w:t>DPN cca 1 mld. Kč,</w:t>
      </w:r>
    </w:p>
    <w:p w:rsidR="003E2EAF" w:rsidRPr="00E806B3" w:rsidRDefault="002A7ACB" w:rsidP="00A112E1">
      <w:pPr>
        <w:pStyle w:val="Odstavecseseznamem"/>
        <w:numPr>
          <w:ilvl w:val="0"/>
          <w:numId w:val="20"/>
        </w:numPr>
        <w:spacing w:before="120"/>
        <w:ind w:left="426" w:hanging="284"/>
        <w:jc w:val="both"/>
        <w:rPr>
          <w:rFonts w:ascii="Arial" w:hAnsi="Arial" w:cs="Arial"/>
        </w:rPr>
      </w:pPr>
      <w:r>
        <w:rPr>
          <w:rFonts w:ascii="Arial" w:hAnsi="Arial" w:cs="Arial"/>
        </w:rPr>
        <w:t>z</w:t>
      </w:r>
      <w:r w:rsidR="003E2EAF" w:rsidRPr="00E806B3">
        <w:rPr>
          <w:rFonts w:ascii="Arial" w:hAnsi="Arial" w:cs="Arial"/>
        </w:rPr>
        <w:t>aměstnavatele budou nově platit na výplatách náhrad</w:t>
      </w:r>
      <w:r>
        <w:rPr>
          <w:rFonts w:ascii="Arial" w:hAnsi="Arial" w:cs="Arial"/>
        </w:rPr>
        <w:t>y</w:t>
      </w:r>
      <w:r w:rsidR="003E2EAF" w:rsidRPr="00E806B3">
        <w:rPr>
          <w:rFonts w:ascii="Arial" w:hAnsi="Arial" w:cs="Arial"/>
        </w:rPr>
        <w:t xml:space="preserve"> mzdy v období od 1. do 3. dne trvání </w:t>
      </w:r>
      <w:r>
        <w:rPr>
          <w:rFonts w:ascii="Arial" w:hAnsi="Arial" w:cs="Arial"/>
        </w:rPr>
        <w:t>D</w:t>
      </w:r>
      <w:r w:rsidR="003E2EAF" w:rsidRPr="00E806B3">
        <w:rPr>
          <w:rFonts w:ascii="Arial" w:hAnsi="Arial" w:cs="Arial"/>
        </w:rPr>
        <w:t xml:space="preserve">PN cca </w:t>
      </w:r>
      <w:r w:rsidR="00406EDC" w:rsidRPr="00E806B3">
        <w:rPr>
          <w:rFonts w:ascii="Arial" w:hAnsi="Arial" w:cs="Arial"/>
        </w:rPr>
        <w:t>1,5</w:t>
      </w:r>
      <w:r w:rsidR="003E2EAF" w:rsidRPr="00E806B3">
        <w:rPr>
          <w:rFonts w:ascii="Arial" w:hAnsi="Arial" w:cs="Arial"/>
        </w:rPr>
        <w:t xml:space="preserve"> mld. Kč.</w:t>
      </w:r>
    </w:p>
    <w:p w:rsidR="003E2EAF" w:rsidRPr="00E806B3" w:rsidRDefault="003E2EAF" w:rsidP="00A112E1">
      <w:pPr>
        <w:spacing w:before="120"/>
        <w:jc w:val="both"/>
        <w:rPr>
          <w:rFonts w:ascii="Arial" w:hAnsi="Arial" w:cs="Arial"/>
        </w:rPr>
      </w:pPr>
      <w:r w:rsidRPr="00E806B3">
        <w:rPr>
          <w:rFonts w:ascii="Arial" w:hAnsi="Arial" w:cs="Arial"/>
        </w:rPr>
        <w:t xml:space="preserve">Celkový </w:t>
      </w:r>
      <w:r w:rsidR="002A7ACB">
        <w:rPr>
          <w:rFonts w:ascii="Arial" w:hAnsi="Arial" w:cs="Arial"/>
        </w:rPr>
        <w:t xml:space="preserve">negativní </w:t>
      </w:r>
      <w:r w:rsidRPr="00E806B3">
        <w:rPr>
          <w:rFonts w:ascii="Arial" w:hAnsi="Arial" w:cs="Arial"/>
        </w:rPr>
        <w:t>efekt na zaměstnavatele lze odhadnout na 0,5 mld. Kč</w:t>
      </w:r>
      <w:r w:rsidR="00A56D64">
        <w:rPr>
          <w:rFonts w:ascii="Arial" w:hAnsi="Arial" w:cs="Arial"/>
        </w:rPr>
        <w:t xml:space="preserve"> s tím, že nejvíce to bude u zaměstnavatelů v</w:t>
      </w:r>
      <w:r w:rsidR="007D2075">
        <w:rPr>
          <w:rFonts w:ascii="Arial" w:hAnsi="Arial" w:cs="Arial"/>
        </w:rPr>
        <w:t> </w:t>
      </w:r>
      <w:r w:rsidR="00A56D64">
        <w:rPr>
          <w:rFonts w:ascii="Arial" w:hAnsi="Arial" w:cs="Arial"/>
        </w:rPr>
        <w:t>Praze</w:t>
      </w:r>
      <w:r w:rsidR="007D2075">
        <w:rPr>
          <w:rFonts w:ascii="Arial" w:hAnsi="Arial" w:cs="Arial"/>
        </w:rPr>
        <w:t xml:space="preserve"> (detailně v Příloze 6).</w:t>
      </w:r>
    </w:p>
    <w:p w:rsidR="003452A5" w:rsidRPr="00E806B3" w:rsidRDefault="003452A5" w:rsidP="00A112E1">
      <w:pPr>
        <w:spacing w:before="120"/>
        <w:jc w:val="both"/>
        <w:rPr>
          <w:rFonts w:ascii="Arial" w:hAnsi="Arial" w:cs="Arial"/>
          <w:u w:val="single"/>
        </w:rPr>
      </w:pPr>
      <w:r w:rsidRPr="00E806B3">
        <w:rPr>
          <w:rFonts w:ascii="Arial" w:hAnsi="Arial" w:cs="Arial"/>
          <w:u w:val="single"/>
        </w:rPr>
        <w:lastRenderedPageBreak/>
        <w:t>Dopady na SR</w:t>
      </w:r>
    </w:p>
    <w:p w:rsidR="00DC2933" w:rsidRDefault="00DC2933" w:rsidP="00A112E1">
      <w:pPr>
        <w:spacing w:before="120"/>
        <w:jc w:val="both"/>
        <w:rPr>
          <w:rFonts w:ascii="Arial" w:hAnsi="Arial" w:cs="Arial"/>
        </w:rPr>
      </w:pPr>
      <w:r w:rsidRPr="00E806B3">
        <w:rPr>
          <w:rFonts w:ascii="Arial" w:hAnsi="Arial" w:cs="Arial"/>
        </w:rPr>
        <w:t>SR bude zatížen oproti současnému stavu výdaji na výplatu nemocensk</w:t>
      </w:r>
      <w:r w:rsidR="002A7ACB">
        <w:rPr>
          <w:rFonts w:ascii="Arial" w:hAnsi="Arial" w:cs="Arial"/>
        </w:rPr>
        <w:t>ého</w:t>
      </w:r>
      <w:r w:rsidRPr="00E806B3">
        <w:rPr>
          <w:rFonts w:ascii="Arial" w:hAnsi="Arial" w:cs="Arial"/>
        </w:rPr>
        <w:t xml:space="preserve"> v období 12. až 14. dne pracovní neschopnosti, což lze odhadnout na </w:t>
      </w:r>
      <w:r w:rsidR="00406EDC" w:rsidRPr="00E806B3">
        <w:rPr>
          <w:rFonts w:ascii="Arial" w:hAnsi="Arial" w:cs="Arial"/>
        </w:rPr>
        <w:t>1,3</w:t>
      </w:r>
      <w:r w:rsidRPr="00E806B3">
        <w:rPr>
          <w:rFonts w:ascii="Arial" w:hAnsi="Arial" w:cs="Arial"/>
        </w:rPr>
        <w:t xml:space="preserve"> mld. Kč.</w:t>
      </w:r>
      <w:r w:rsidR="0037627E">
        <w:rPr>
          <w:rFonts w:ascii="Arial" w:hAnsi="Arial" w:cs="Arial"/>
        </w:rPr>
        <w:t xml:space="preserve"> </w:t>
      </w:r>
      <w:r w:rsidR="0037627E" w:rsidRPr="007D2075">
        <w:rPr>
          <w:rFonts w:ascii="Arial" w:hAnsi="Arial" w:cs="Arial"/>
        </w:rPr>
        <w:t>Dopady na státní rozpočet budou vyšší než úspory zaměstnavatele, protože</w:t>
      </w:r>
      <w:r w:rsidR="007D2075">
        <w:rPr>
          <w:rFonts w:ascii="Arial" w:hAnsi="Arial" w:cs="Arial"/>
        </w:rPr>
        <w:t xml:space="preserve"> počet proplacených dnů nemocenského mezi 12. a 14. dnem dočasné pracovní neschopnosti bude zhruba o 70 </w:t>
      </w:r>
      <w:r w:rsidR="002A7ACB">
        <w:rPr>
          <w:rFonts w:ascii="Arial" w:hAnsi="Arial" w:cs="Arial"/>
        </w:rPr>
        <w:t xml:space="preserve">% </w:t>
      </w:r>
      <w:r w:rsidR="007D2075">
        <w:rPr>
          <w:rFonts w:ascii="Arial" w:hAnsi="Arial" w:cs="Arial"/>
        </w:rPr>
        <w:t>vyšší</w:t>
      </w:r>
      <w:r w:rsidR="002A7ACB">
        <w:rPr>
          <w:rFonts w:ascii="Arial" w:hAnsi="Arial" w:cs="Arial"/>
        </w:rPr>
        <w:t>,</w:t>
      </w:r>
      <w:r w:rsidR="007D2075">
        <w:rPr>
          <w:rFonts w:ascii="Arial" w:hAnsi="Arial" w:cs="Arial"/>
        </w:rPr>
        <w:t xml:space="preserve"> než je počet dnů s náhradou mzdy, přičemž </w:t>
      </w:r>
      <w:r w:rsidR="002A7ACB">
        <w:rPr>
          <w:rFonts w:ascii="Arial" w:hAnsi="Arial" w:cs="Arial"/>
        </w:rPr>
        <w:t xml:space="preserve">denní </w:t>
      </w:r>
      <w:r w:rsidR="007D2075">
        <w:rPr>
          <w:rFonts w:ascii="Arial" w:hAnsi="Arial" w:cs="Arial"/>
        </w:rPr>
        <w:t>dávka nemocenského je „pouze“ o zhruba 30 % nižší</w:t>
      </w:r>
      <w:r w:rsidR="002A7ACB">
        <w:rPr>
          <w:rFonts w:ascii="Arial" w:hAnsi="Arial" w:cs="Arial"/>
        </w:rPr>
        <w:t>, než výše náhrady mzdy za jeden pracovní den</w:t>
      </w:r>
      <w:r w:rsidR="007D2075">
        <w:rPr>
          <w:rFonts w:ascii="Arial" w:hAnsi="Arial" w:cs="Arial"/>
        </w:rPr>
        <w:t>.</w:t>
      </w:r>
    </w:p>
    <w:p w:rsidR="00A56D64" w:rsidRPr="006B6BDF" w:rsidRDefault="00A56D64" w:rsidP="00A112E1">
      <w:pPr>
        <w:spacing w:before="120"/>
        <w:jc w:val="both"/>
        <w:rPr>
          <w:rFonts w:ascii="Arial" w:hAnsi="Arial" w:cs="Arial"/>
          <w:u w:val="single"/>
        </w:rPr>
      </w:pPr>
      <w:r w:rsidRPr="006B6BDF">
        <w:rPr>
          <w:rFonts w:ascii="Arial" w:hAnsi="Arial" w:cs="Arial"/>
          <w:u w:val="single"/>
        </w:rPr>
        <w:t>Administrativní dopady</w:t>
      </w:r>
    </w:p>
    <w:p w:rsidR="00D16462" w:rsidRPr="003452A5" w:rsidRDefault="00A56D64" w:rsidP="00A112E1">
      <w:pPr>
        <w:spacing w:before="120"/>
        <w:jc w:val="both"/>
        <w:rPr>
          <w:rFonts w:ascii="Arial" w:hAnsi="Arial" w:cs="Arial"/>
        </w:rPr>
      </w:pPr>
      <w:r w:rsidRPr="006B6BDF">
        <w:rPr>
          <w:rFonts w:ascii="Arial" w:hAnsi="Arial" w:cs="Arial"/>
        </w:rPr>
        <w:t>Posun okamžiku výplaty nemocenského z 15. na 12. den dočasné pracovní neschopnosti zvýší počet případů, které bude muset zpracovat ČSSZ, a to o zhruba 180 tis. ročně, tj. o zhruba 8 %. Nejvíce dodatečných případů bude v Praze téměř 10 % (detailně v Příloze 7)</w:t>
      </w:r>
    </w:p>
    <w:p w:rsidR="003452A5" w:rsidRDefault="003452A5" w:rsidP="00A112E1">
      <w:pPr>
        <w:spacing w:before="120"/>
        <w:jc w:val="both"/>
        <w:rPr>
          <w:rFonts w:ascii="Arial" w:hAnsi="Arial" w:cs="Arial"/>
        </w:rPr>
      </w:pPr>
    </w:p>
    <w:p w:rsidR="00E6726C" w:rsidRPr="003E2EAF" w:rsidRDefault="00E6726C" w:rsidP="00E6726C">
      <w:pPr>
        <w:pStyle w:val="Odstavecseseznamem"/>
        <w:numPr>
          <w:ilvl w:val="0"/>
          <w:numId w:val="23"/>
        </w:numPr>
        <w:spacing w:before="120"/>
        <w:jc w:val="both"/>
        <w:rPr>
          <w:rFonts w:ascii="Arial" w:hAnsi="Arial" w:cs="Arial"/>
          <w:b/>
        </w:rPr>
      </w:pPr>
      <w:r>
        <w:rPr>
          <w:rFonts w:ascii="Arial" w:hAnsi="Arial" w:cs="Arial"/>
          <w:b/>
        </w:rPr>
        <w:t>Alternativní návrh s maximální výší náhrady pro zaměstnance a obnovením placení pojistného zaměstnanci</w:t>
      </w:r>
    </w:p>
    <w:p w:rsidR="00E6726C" w:rsidRDefault="00E6726C" w:rsidP="00E6726C">
      <w:pPr>
        <w:pStyle w:val="Odstavecseseznamem"/>
        <w:spacing w:before="120"/>
        <w:ind w:left="1080"/>
        <w:jc w:val="both"/>
        <w:rPr>
          <w:rFonts w:ascii="Arial" w:hAnsi="Arial" w:cs="Arial"/>
        </w:rPr>
      </w:pPr>
    </w:p>
    <w:p w:rsidR="00E6726C" w:rsidRDefault="00E6726C" w:rsidP="00E6726C">
      <w:pPr>
        <w:spacing w:before="120"/>
        <w:jc w:val="both"/>
        <w:rPr>
          <w:rFonts w:ascii="Arial" w:hAnsi="Arial" w:cs="Arial"/>
        </w:rPr>
      </w:pPr>
      <w:r>
        <w:rPr>
          <w:rFonts w:ascii="Arial" w:hAnsi="Arial" w:cs="Arial"/>
        </w:rPr>
        <w:t>S cílem přiblížení se původnímu poslaneckému návrhu ČSSD byla zpracována ještě třetí varianta, která ponechává navrženou výši náhrady mzdy v prvních třech dnech a zároveň zkracuje období výplaty náhrady mzdy zaměstnavatelem o tři dny, tj. do 11. dne pracovní neschopnosti.</w:t>
      </w:r>
    </w:p>
    <w:p w:rsidR="00E6726C" w:rsidRDefault="00E6726C" w:rsidP="00E6726C">
      <w:pPr>
        <w:spacing w:before="120"/>
        <w:jc w:val="both"/>
        <w:rPr>
          <w:rFonts w:ascii="Arial" w:hAnsi="Arial" w:cs="Arial"/>
        </w:rPr>
      </w:pPr>
      <w:r>
        <w:rPr>
          <w:rFonts w:ascii="Arial" w:hAnsi="Arial" w:cs="Arial"/>
        </w:rPr>
        <w:t xml:space="preserve">Nicméně v této variantě lze očekávat obdobně jako ve variantě </w:t>
      </w:r>
      <w:r w:rsidR="00FF6701">
        <w:rPr>
          <w:rFonts w:ascii="Arial" w:hAnsi="Arial" w:cs="Arial"/>
        </w:rPr>
        <w:t>I.</w:t>
      </w:r>
      <w:r>
        <w:rPr>
          <w:rFonts w:ascii="Arial" w:hAnsi="Arial" w:cs="Arial"/>
        </w:rPr>
        <w:t xml:space="preserve"> zvýšení pracovní neschopnosti oproti současnému stavu s poměrně značnými dopady na zaměstnavatele i na státní rozpočet. Navrhuje se proto za účelem vyvážení přínosů a dopadů doplnit variantu obnovením placení pojistného zaměstnanci snížením pojistné sazby zaměstnavatelů.</w:t>
      </w:r>
    </w:p>
    <w:p w:rsidR="00E6726C" w:rsidRDefault="00E6726C" w:rsidP="00E6726C">
      <w:pPr>
        <w:spacing w:before="120"/>
        <w:jc w:val="both"/>
        <w:rPr>
          <w:rFonts w:ascii="Arial" w:hAnsi="Arial" w:cs="Arial"/>
        </w:rPr>
      </w:pPr>
      <w:r>
        <w:rPr>
          <w:rFonts w:ascii="Arial" w:hAnsi="Arial" w:cs="Arial"/>
        </w:rPr>
        <w:t>Tato varianta obsahuje následující změny oproti současnému stavu:</w:t>
      </w:r>
    </w:p>
    <w:p w:rsidR="00E6726C" w:rsidRDefault="00E6726C" w:rsidP="00E6726C">
      <w:pPr>
        <w:pStyle w:val="Odstavecseseznamem"/>
        <w:numPr>
          <w:ilvl w:val="0"/>
          <w:numId w:val="20"/>
        </w:numPr>
        <w:spacing w:before="120"/>
        <w:jc w:val="both"/>
        <w:rPr>
          <w:rFonts w:ascii="Arial" w:hAnsi="Arial" w:cs="Arial"/>
        </w:rPr>
      </w:pPr>
      <w:r>
        <w:rPr>
          <w:rFonts w:ascii="Arial" w:hAnsi="Arial" w:cs="Arial"/>
        </w:rPr>
        <w:t>zaměstnavatel bude vyplácet náhradu mzdy od prvního dne dočasné pracovní neschopnosti, a to ve stejné výši, jako vyplácí nyní od 4. dne pracovní neschopnosti (60 % redukovaného průměrného hodinového výdělku),</w:t>
      </w:r>
    </w:p>
    <w:p w:rsidR="00E6726C" w:rsidRPr="006A41D5" w:rsidRDefault="00E6726C" w:rsidP="00E6726C">
      <w:pPr>
        <w:pStyle w:val="Odstavecseseznamem"/>
        <w:numPr>
          <w:ilvl w:val="0"/>
          <w:numId w:val="20"/>
        </w:numPr>
        <w:spacing w:before="120"/>
        <w:jc w:val="both"/>
        <w:rPr>
          <w:rFonts w:ascii="Arial" w:hAnsi="Arial" w:cs="Arial"/>
        </w:rPr>
      </w:pPr>
      <w:r w:rsidRPr="006B6BDF">
        <w:rPr>
          <w:rFonts w:ascii="Arial" w:hAnsi="Arial" w:cs="Arial"/>
        </w:rPr>
        <w:t>zkrátí se období výplaty náhrady mzdy zaměstnavatelem do 11. dne dočasné</w:t>
      </w:r>
      <w:r>
        <w:rPr>
          <w:rFonts w:ascii="Arial" w:hAnsi="Arial" w:cs="Arial"/>
        </w:rPr>
        <w:t xml:space="preserve"> pracovní neschopnosti,</w:t>
      </w:r>
    </w:p>
    <w:p w:rsidR="00E6726C" w:rsidRDefault="00E6726C" w:rsidP="00E6726C">
      <w:pPr>
        <w:pStyle w:val="Odstavecseseznamem"/>
        <w:numPr>
          <w:ilvl w:val="0"/>
          <w:numId w:val="20"/>
        </w:numPr>
        <w:spacing w:before="120"/>
        <w:jc w:val="both"/>
        <w:rPr>
          <w:rFonts w:ascii="Arial" w:hAnsi="Arial" w:cs="Arial"/>
        </w:rPr>
      </w:pPr>
      <w:r>
        <w:rPr>
          <w:rFonts w:ascii="Arial" w:hAnsi="Arial" w:cs="Arial"/>
        </w:rPr>
        <w:t>výplatu od 12. do 14. dne pracovní neschopnosti převezmou OSSZ.</w:t>
      </w:r>
    </w:p>
    <w:p w:rsidR="00E6726C" w:rsidRPr="003E2EAF" w:rsidRDefault="00E6726C" w:rsidP="00E6726C">
      <w:pPr>
        <w:keepNext/>
        <w:spacing w:before="120"/>
        <w:jc w:val="both"/>
        <w:rPr>
          <w:rFonts w:ascii="Arial" w:hAnsi="Arial" w:cs="Arial"/>
          <w:u w:val="single"/>
        </w:rPr>
      </w:pPr>
      <w:r w:rsidRPr="003E2EAF">
        <w:rPr>
          <w:rFonts w:ascii="Arial" w:hAnsi="Arial" w:cs="Arial"/>
          <w:u w:val="single"/>
        </w:rPr>
        <w:t>Dopady na zaměstnance</w:t>
      </w:r>
    </w:p>
    <w:p w:rsidR="00E6726C" w:rsidRPr="006B6BDF" w:rsidRDefault="00B018C7" w:rsidP="00B018C7">
      <w:pPr>
        <w:pStyle w:val="Odstavecseseznamem"/>
        <w:numPr>
          <w:ilvl w:val="0"/>
          <w:numId w:val="20"/>
        </w:numPr>
        <w:spacing w:before="120"/>
        <w:ind w:left="426" w:hanging="284"/>
        <w:jc w:val="both"/>
        <w:rPr>
          <w:rFonts w:ascii="Arial" w:hAnsi="Arial" w:cs="Arial"/>
        </w:rPr>
      </w:pPr>
      <w:r>
        <w:rPr>
          <w:rFonts w:ascii="Arial" w:hAnsi="Arial" w:cs="Arial"/>
        </w:rPr>
        <w:t>z</w:t>
      </w:r>
      <w:r w:rsidR="00E6726C">
        <w:rPr>
          <w:rFonts w:ascii="Arial" w:hAnsi="Arial" w:cs="Arial"/>
        </w:rPr>
        <w:t xml:space="preserve">aměstnancům bude vyplácena oproti současnosti navíc náhrada mzdy v prvních třech dnech dočasné pracovní neschopnosti ve stejné </w:t>
      </w:r>
      <w:r w:rsidR="00E6726C" w:rsidRPr="00B018C7">
        <w:rPr>
          <w:rFonts w:ascii="Arial" w:hAnsi="Arial" w:cs="Arial"/>
        </w:rPr>
        <w:t xml:space="preserve">výši jako nyní od 4. dne </w:t>
      </w:r>
      <w:r w:rsidR="00E6726C" w:rsidRPr="006B6BDF">
        <w:rPr>
          <w:rFonts w:ascii="Arial" w:hAnsi="Arial" w:cs="Arial"/>
        </w:rPr>
        <w:t>pracovní neschopno</w:t>
      </w:r>
      <w:r w:rsidRPr="006B6BDF">
        <w:rPr>
          <w:rFonts w:ascii="Arial" w:hAnsi="Arial" w:cs="Arial"/>
        </w:rPr>
        <w:t>sti,</w:t>
      </w:r>
    </w:p>
    <w:p w:rsidR="00B018C7" w:rsidRPr="006B6BDF" w:rsidRDefault="00B018C7" w:rsidP="00B018C7">
      <w:pPr>
        <w:pStyle w:val="Odstavecseseznamem"/>
        <w:numPr>
          <w:ilvl w:val="0"/>
          <w:numId w:val="20"/>
        </w:numPr>
        <w:spacing w:before="120"/>
        <w:ind w:left="426" w:hanging="284"/>
        <w:jc w:val="both"/>
        <w:rPr>
          <w:rFonts w:ascii="Arial" w:hAnsi="Arial" w:cs="Arial"/>
        </w:rPr>
      </w:pPr>
      <w:r w:rsidRPr="006B6BDF">
        <w:rPr>
          <w:rFonts w:ascii="Arial" w:hAnsi="Arial" w:cs="Arial"/>
        </w:rPr>
        <w:t xml:space="preserve">zaměstnancům bude obnovena povinnost platit pojistné v sazbě </w:t>
      </w:r>
      <w:r w:rsidR="006B6BDF" w:rsidRPr="006B6BDF">
        <w:rPr>
          <w:rFonts w:ascii="Arial" w:hAnsi="Arial" w:cs="Arial"/>
        </w:rPr>
        <w:t>0,6</w:t>
      </w:r>
      <w:r w:rsidRPr="006B6BDF">
        <w:rPr>
          <w:rFonts w:ascii="Arial" w:hAnsi="Arial" w:cs="Arial"/>
        </w:rPr>
        <w:t xml:space="preserve"> %, což u průměrné mzdy představuje </w:t>
      </w:r>
      <w:r w:rsidR="006B6BDF">
        <w:rPr>
          <w:rFonts w:ascii="Arial" w:hAnsi="Arial" w:cs="Arial"/>
        </w:rPr>
        <w:t>v</w:t>
      </w:r>
      <w:r w:rsidRPr="006B6BDF">
        <w:rPr>
          <w:rFonts w:ascii="Arial" w:hAnsi="Arial" w:cs="Arial"/>
        </w:rPr>
        <w:t xml:space="preserve"> roce 2018 měsíční snížení čistých příjmů o </w:t>
      </w:r>
      <w:r w:rsidR="006B6BDF" w:rsidRPr="006B6BDF">
        <w:rPr>
          <w:rFonts w:ascii="Arial" w:hAnsi="Arial" w:cs="Arial"/>
        </w:rPr>
        <w:t>cca 180</w:t>
      </w:r>
      <w:r w:rsidRPr="006B6BDF">
        <w:rPr>
          <w:rFonts w:ascii="Arial" w:hAnsi="Arial" w:cs="Arial"/>
        </w:rPr>
        <w:t xml:space="preserve"> Kč</w:t>
      </w:r>
    </w:p>
    <w:p w:rsidR="00AC7001" w:rsidRDefault="00AC7001" w:rsidP="00E6726C">
      <w:pPr>
        <w:spacing w:before="120"/>
        <w:jc w:val="both"/>
        <w:rPr>
          <w:rFonts w:ascii="Arial" w:hAnsi="Arial" w:cs="Arial"/>
          <w:u w:val="single"/>
        </w:rPr>
      </w:pPr>
    </w:p>
    <w:p w:rsidR="00AC7001" w:rsidRDefault="00AC7001" w:rsidP="00E6726C">
      <w:pPr>
        <w:spacing w:before="120"/>
        <w:jc w:val="both"/>
        <w:rPr>
          <w:rFonts w:ascii="Arial" w:hAnsi="Arial" w:cs="Arial"/>
          <w:u w:val="single"/>
        </w:rPr>
      </w:pPr>
    </w:p>
    <w:p w:rsidR="00E6726C" w:rsidRPr="003E2EAF" w:rsidRDefault="00E6726C" w:rsidP="00E6726C">
      <w:pPr>
        <w:spacing w:before="120"/>
        <w:jc w:val="both"/>
        <w:rPr>
          <w:rFonts w:ascii="Arial" w:hAnsi="Arial" w:cs="Arial"/>
          <w:u w:val="single"/>
        </w:rPr>
      </w:pPr>
      <w:r w:rsidRPr="003E2EAF">
        <w:rPr>
          <w:rFonts w:ascii="Arial" w:hAnsi="Arial" w:cs="Arial"/>
          <w:u w:val="single"/>
        </w:rPr>
        <w:t>Dopady na zaměstnavatele</w:t>
      </w:r>
    </w:p>
    <w:p w:rsidR="00E6726C" w:rsidRPr="00E806B3" w:rsidRDefault="00E6726C" w:rsidP="00E6726C">
      <w:pPr>
        <w:pStyle w:val="Odstavecseseznamem"/>
        <w:numPr>
          <w:ilvl w:val="0"/>
          <w:numId w:val="20"/>
        </w:numPr>
        <w:spacing w:before="120"/>
        <w:ind w:left="426" w:hanging="284"/>
        <w:jc w:val="both"/>
        <w:rPr>
          <w:rFonts w:ascii="Arial" w:hAnsi="Arial" w:cs="Arial"/>
        </w:rPr>
      </w:pPr>
      <w:r>
        <w:rPr>
          <w:rFonts w:ascii="Arial" w:hAnsi="Arial" w:cs="Arial"/>
        </w:rPr>
        <w:lastRenderedPageBreak/>
        <w:t>z</w:t>
      </w:r>
      <w:r w:rsidRPr="00E806B3">
        <w:rPr>
          <w:rFonts w:ascii="Arial" w:hAnsi="Arial" w:cs="Arial"/>
        </w:rPr>
        <w:t>aměstnavatel</w:t>
      </w:r>
      <w:r>
        <w:rPr>
          <w:rFonts w:ascii="Arial" w:hAnsi="Arial" w:cs="Arial"/>
        </w:rPr>
        <w:t>é</w:t>
      </w:r>
      <w:r w:rsidRPr="00E806B3">
        <w:rPr>
          <w:rFonts w:ascii="Arial" w:hAnsi="Arial" w:cs="Arial"/>
        </w:rPr>
        <w:t xml:space="preserve"> uspoří na výplatách náhrad</w:t>
      </w:r>
      <w:r>
        <w:rPr>
          <w:rFonts w:ascii="Arial" w:hAnsi="Arial" w:cs="Arial"/>
        </w:rPr>
        <w:t>y</w:t>
      </w:r>
      <w:r w:rsidRPr="00E806B3">
        <w:rPr>
          <w:rFonts w:ascii="Arial" w:hAnsi="Arial" w:cs="Arial"/>
        </w:rPr>
        <w:t xml:space="preserve"> mzd</w:t>
      </w:r>
      <w:r>
        <w:rPr>
          <w:rFonts w:ascii="Arial" w:hAnsi="Arial" w:cs="Arial"/>
        </w:rPr>
        <w:t>y</w:t>
      </w:r>
      <w:r w:rsidRPr="00E806B3">
        <w:rPr>
          <w:rFonts w:ascii="Arial" w:hAnsi="Arial" w:cs="Arial"/>
        </w:rPr>
        <w:t xml:space="preserve"> v období od 12. do 14. dne trvání </w:t>
      </w:r>
      <w:r>
        <w:rPr>
          <w:rFonts w:ascii="Arial" w:hAnsi="Arial" w:cs="Arial"/>
        </w:rPr>
        <w:t xml:space="preserve">DPN cca </w:t>
      </w:r>
      <w:r w:rsidR="00B453D8">
        <w:rPr>
          <w:rFonts w:ascii="Arial" w:hAnsi="Arial" w:cs="Arial"/>
        </w:rPr>
        <w:t xml:space="preserve">1 </w:t>
      </w:r>
      <w:r>
        <w:rPr>
          <w:rFonts w:ascii="Arial" w:hAnsi="Arial" w:cs="Arial"/>
        </w:rPr>
        <w:t>mld. Kč,</w:t>
      </w:r>
    </w:p>
    <w:p w:rsidR="00E6726C" w:rsidRDefault="00E6726C" w:rsidP="00E6726C">
      <w:pPr>
        <w:pStyle w:val="Odstavecseseznamem"/>
        <w:numPr>
          <w:ilvl w:val="0"/>
          <w:numId w:val="20"/>
        </w:numPr>
        <w:spacing w:before="120"/>
        <w:ind w:left="426" w:hanging="284"/>
        <w:jc w:val="both"/>
        <w:rPr>
          <w:rFonts w:ascii="Arial" w:hAnsi="Arial" w:cs="Arial"/>
        </w:rPr>
      </w:pPr>
      <w:r>
        <w:rPr>
          <w:rFonts w:ascii="Arial" w:hAnsi="Arial" w:cs="Arial"/>
        </w:rPr>
        <w:t>z</w:t>
      </w:r>
      <w:r w:rsidRPr="00E806B3">
        <w:rPr>
          <w:rFonts w:ascii="Arial" w:hAnsi="Arial" w:cs="Arial"/>
        </w:rPr>
        <w:t>aměstnavatele budou nově platit na výplatách náhrad</w:t>
      </w:r>
      <w:r>
        <w:rPr>
          <w:rFonts w:ascii="Arial" w:hAnsi="Arial" w:cs="Arial"/>
        </w:rPr>
        <w:t>y</w:t>
      </w:r>
      <w:r w:rsidRPr="00E806B3">
        <w:rPr>
          <w:rFonts w:ascii="Arial" w:hAnsi="Arial" w:cs="Arial"/>
        </w:rPr>
        <w:t xml:space="preserve"> mzdy v období od 1. do 3. dne trvání </w:t>
      </w:r>
      <w:r>
        <w:rPr>
          <w:rFonts w:ascii="Arial" w:hAnsi="Arial" w:cs="Arial"/>
        </w:rPr>
        <w:t>D</w:t>
      </w:r>
      <w:r w:rsidRPr="00E806B3">
        <w:rPr>
          <w:rFonts w:ascii="Arial" w:hAnsi="Arial" w:cs="Arial"/>
        </w:rPr>
        <w:t xml:space="preserve">PN cca </w:t>
      </w:r>
      <w:r w:rsidR="00B453D8">
        <w:rPr>
          <w:rFonts w:ascii="Arial" w:hAnsi="Arial" w:cs="Arial"/>
        </w:rPr>
        <w:t xml:space="preserve">5,3 </w:t>
      </w:r>
      <w:r w:rsidRPr="00E806B3">
        <w:rPr>
          <w:rFonts w:ascii="Arial" w:hAnsi="Arial" w:cs="Arial"/>
        </w:rPr>
        <w:t>mld. Kč.</w:t>
      </w:r>
    </w:p>
    <w:p w:rsidR="00B018C7" w:rsidRPr="00E806B3" w:rsidRDefault="00B018C7" w:rsidP="00B018C7">
      <w:pPr>
        <w:pStyle w:val="Odstavecseseznamem"/>
        <w:numPr>
          <w:ilvl w:val="0"/>
          <w:numId w:val="20"/>
        </w:numPr>
        <w:spacing w:before="120"/>
        <w:ind w:left="426" w:hanging="284"/>
        <w:jc w:val="both"/>
        <w:rPr>
          <w:rFonts w:ascii="Arial" w:hAnsi="Arial" w:cs="Arial"/>
        </w:rPr>
      </w:pPr>
      <w:r>
        <w:rPr>
          <w:rFonts w:ascii="Arial" w:hAnsi="Arial" w:cs="Arial"/>
        </w:rPr>
        <w:t>z</w:t>
      </w:r>
      <w:r w:rsidRPr="00E806B3">
        <w:rPr>
          <w:rFonts w:ascii="Arial" w:hAnsi="Arial" w:cs="Arial"/>
        </w:rPr>
        <w:t xml:space="preserve">aměstnavatele </w:t>
      </w:r>
      <w:r>
        <w:rPr>
          <w:rFonts w:ascii="Arial" w:hAnsi="Arial" w:cs="Arial"/>
        </w:rPr>
        <w:t>zaplatí z titulu očekávané zvýšené nemocnosti na</w:t>
      </w:r>
      <w:r w:rsidRPr="00E806B3">
        <w:rPr>
          <w:rFonts w:ascii="Arial" w:hAnsi="Arial" w:cs="Arial"/>
        </w:rPr>
        <w:t xml:space="preserve"> výplatách náhrad</w:t>
      </w:r>
      <w:r>
        <w:rPr>
          <w:rFonts w:ascii="Arial" w:hAnsi="Arial" w:cs="Arial"/>
        </w:rPr>
        <w:t>y mzdy v období od 4</w:t>
      </w:r>
      <w:r w:rsidRPr="00E806B3">
        <w:rPr>
          <w:rFonts w:ascii="Arial" w:hAnsi="Arial" w:cs="Arial"/>
        </w:rPr>
        <w:t xml:space="preserve">. do </w:t>
      </w:r>
      <w:r>
        <w:rPr>
          <w:rFonts w:ascii="Arial" w:hAnsi="Arial" w:cs="Arial"/>
        </w:rPr>
        <w:t>11</w:t>
      </w:r>
      <w:r w:rsidRPr="00E806B3">
        <w:rPr>
          <w:rFonts w:ascii="Arial" w:hAnsi="Arial" w:cs="Arial"/>
        </w:rPr>
        <w:t xml:space="preserve">. dne trvání </w:t>
      </w:r>
      <w:r>
        <w:rPr>
          <w:rFonts w:ascii="Arial" w:hAnsi="Arial" w:cs="Arial"/>
        </w:rPr>
        <w:t>D</w:t>
      </w:r>
      <w:r w:rsidRPr="00E806B3">
        <w:rPr>
          <w:rFonts w:ascii="Arial" w:hAnsi="Arial" w:cs="Arial"/>
        </w:rPr>
        <w:t xml:space="preserve">PN </w:t>
      </w:r>
      <w:r>
        <w:rPr>
          <w:rFonts w:ascii="Arial" w:hAnsi="Arial" w:cs="Arial"/>
        </w:rPr>
        <w:t xml:space="preserve">o </w:t>
      </w:r>
      <w:r w:rsidRPr="00E806B3">
        <w:rPr>
          <w:rFonts w:ascii="Arial" w:hAnsi="Arial" w:cs="Arial"/>
        </w:rPr>
        <w:t xml:space="preserve">cca </w:t>
      </w:r>
      <w:r w:rsidR="00B453D8">
        <w:rPr>
          <w:rFonts w:ascii="Arial" w:hAnsi="Arial" w:cs="Arial"/>
        </w:rPr>
        <w:t>2,6</w:t>
      </w:r>
      <w:r w:rsidRPr="00E806B3">
        <w:rPr>
          <w:rFonts w:ascii="Arial" w:hAnsi="Arial" w:cs="Arial"/>
        </w:rPr>
        <w:t xml:space="preserve"> mld. Kč</w:t>
      </w:r>
      <w:r>
        <w:rPr>
          <w:rFonts w:ascii="Arial" w:hAnsi="Arial" w:cs="Arial"/>
        </w:rPr>
        <w:t xml:space="preserve"> více než nyní</w:t>
      </w:r>
      <w:r w:rsidRPr="00E806B3">
        <w:rPr>
          <w:rFonts w:ascii="Arial" w:hAnsi="Arial" w:cs="Arial"/>
        </w:rPr>
        <w:t>.</w:t>
      </w:r>
    </w:p>
    <w:p w:rsidR="00B018C7" w:rsidRPr="00E806B3" w:rsidRDefault="00B018C7" w:rsidP="00E6726C">
      <w:pPr>
        <w:pStyle w:val="Odstavecseseznamem"/>
        <w:numPr>
          <w:ilvl w:val="0"/>
          <w:numId w:val="20"/>
        </w:numPr>
        <w:spacing w:before="120"/>
        <w:ind w:left="426" w:hanging="284"/>
        <w:jc w:val="both"/>
        <w:rPr>
          <w:rFonts w:ascii="Arial" w:hAnsi="Arial" w:cs="Arial"/>
        </w:rPr>
      </w:pPr>
      <w:r>
        <w:rPr>
          <w:rFonts w:ascii="Arial" w:hAnsi="Arial" w:cs="Arial"/>
        </w:rPr>
        <w:t>v platbách</w:t>
      </w:r>
      <w:r w:rsidRPr="003E2EAF">
        <w:rPr>
          <w:rFonts w:ascii="Arial" w:hAnsi="Arial" w:cs="Arial"/>
        </w:rPr>
        <w:t xml:space="preserve"> pojistné</w:t>
      </w:r>
      <w:r>
        <w:rPr>
          <w:rFonts w:ascii="Arial" w:hAnsi="Arial" w:cs="Arial"/>
        </w:rPr>
        <w:t>ho</w:t>
      </w:r>
      <w:r w:rsidRPr="003E2EAF">
        <w:rPr>
          <w:rFonts w:ascii="Arial" w:hAnsi="Arial" w:cs="Arial"/>
        </w:rPr>
        <w:t xml:space="preserve"> na nemocenské pojištění</w:t>
      </w:r>
      <w:r>
        <w:rPr>
          <w:rFonts w:ascii="Arial" w:hAnsi="Arial" w:cs="Arial"/>
        </w:rPr>
        <w:t xml:space="preserve"> bude navýšení výdajů kompenzováno snížením sazby pojistného z 2,3 % </w:t>
      </w:r>
      <w:r w:rsidRPr="006B6BDF">
        <w:rPr>
          <w:rFonts w:ascii="Arial" w:hAnsi="Arial" w:cs="Arial"/>
        </w:rPr>
        <w:t xml:space="preserve">na </w:t>
      </w:r>
      <w:r w:rsidR="00B453D8" w:rsidRPr="006B6BDF">
        <w:rPr>
          <w:rFonts w:ascii="Arial" w:hAnsi="Arial" w:cs="Arial"/>
        </w:rPr>
        <w:t>1,8</w:t>
      </w:r>
      <w:r w:rsidRPr="006B6BDF">
        <w:rPr>
          <w:rFonts w:ascii="Arial" w:hAnsi="Arial" w:cs="Arial"/>
        </w:rPr>
        <w:t xml:space="preserve"> %, tj. o </w:t>
      </w:r>
      <w:r w:rsidR="00B453D8" w:rsidRPr="006B6BDF">
        <w:rPr>
          <w:rFonts w:ascii="Arial" w:hAnsi="Arial" w:cs="Arial"/>
        </w:rPr>
        <w:t>0,5</w:t>
      </w:r>
      <w:r w:rsidRPr="006B6BDF">
        <w:rPr>
          <w:rFonts w:ascii="Arial" w:hAnsi="Arial" w:cs="Arial"/>
        </w:rPr>
        <w:t xml:space="preserve"> </w:t>
      </w:r>
      <w:r w:rsidR="006B6BDF" w:rsidRPr="006B6BDF">
        <w:rPr>
          <w:rFonts w:ascii="Arial" w:hAnsi="Arial" w:cs="Arial"/>
        </w:rPr>
        <w:t>p. b., což</w:t>
      </w:r>
      <w:r w:rsidRPr="006B6BDF">
        <w:rPr>
          <w:rFonts w:ascii="Arial" w:hAnsi="Arial" w:cs="Arial"/>
        </w:rPr>
        <w:t xml:space="preserve"> představuje roční úsporu na platbách pojistného v objemu </w:t>
      </w:r>
      <w:r w:rsidRPr="009B3FFA">
        <w:rPr>
          <w:rFonts w:ascii="Arial" w:hAnsi="Arial" w:cs="Arial"/>
        </w:rPr>
        <w:t xml:space="preserve">cca </w:t>
      </w:r>
      <w:r w:rsidR="009B3FFA" w:rsidRPr="009B3FFA">
        <w:rPr>
          <w:rFonts w:ascii="Arial" w:hAnsi="Arial" w:cs="Arial"/>
        </w:rPr>
        <w:t>7</w:t>
      </w:r>
      <w:r w:rsidRPr="009B3FFA">
        <w:rPr>
          <w:rFonts w:ascii="Arial" w:hAnsi="Arial" w:cs="Arial"/>
        </w:rPr>
        <w:t xml:space="preserve"> mld. Kč</w:t>
      </w:r>
    </w:p>
    <w:p w:rsidR="00E6726C" w:rsidRPr="00E806B3" w:rsidRDefault="00E6726C" w:rsidP="00E6726C">
      <w:pPr>
        <w:spacing w:before="120"/>
        <w:jc w:val="both"/>
        <w:rPr>
          <w:rFonts w:ascii="Arial" w:hAnsi="Arial" w:cs="Arial"/>
        </w:rPr>
      </w:pPr>
      <w:r w:rsidRPr="006B6BDF">
        <w:rPr>
          <w:rFonts w:ascii="Arial" w:hAnsi="Arial" w:cs="Arial"/>
        </w:rPr>
        <w:t xml:space="preserve">Celkový </w:t>
      </w:r>
      <w:r w:rsidR="00B018C7" w:rsidRPr="006B6BDF">
        <w:rPr>
          <w:rFonts w:ascii="Arial" w:hAnsi="Arial" w:cs="Arial"/>
        </w:rPr>
        <w:t xml:space="preserve">dopad </w:t>
      </w:r>
      <w:r w:rsidRPr="006B6BDF">
        <w:rPr>
          <w:rFonts w:ascii="Arial" w:hAnsi="Arial" w:cs="Arial"/>
        </w:rPr>
        <w:t xml:space="preserve">na zaměstnavatele lze odhadnout </w:t>
      </w:r>
      <w:r w:rsidR="00B453D8" w:rsidRPr="006B6BDF">
        <w:rPr>
          <w:rFonts w:ascii="Arial" w:hAnsi="Arial" w:cs="Arial"/>
        </w:rPr>
        <w:t>na v zásadě neutrální</w:t>
      </w:r>
      <w:r w:rsidR="00B018C7" w:rsidRPr="006B6BDF">
        <w:rPr>
          <w:rFonts w:ascii="Arial" w:hAnsi="Arial" w:cs="Arial"/>
        </w:rPr>
        <w:t>.</w:t>
      </w:r>
    </w:p>
    <w:p w:rsidR="00E6726C" w:rsidRPr="00E806B3" w:rsidRDefault="00E6726C" w:rsidP="00E6726C">
      <w:pPr>
        <w:spacing w:before="120"/>
        <w:jc w:val="both"/>
        <w:rPr>
          <w:rFonts w:ascii="Arial" w:hAnsi="Arial" w:cs="Arial"/>
          <w:u w:val="single"/>
        </w:rPr>
      </w:pPr>
      <w:r w:rsidRPr="00E806B3">
        <w:rPr>
          <w:rFonts w:ascii="Arial" w:hAnsi="Arial" w:cs="Arial"/>
          <w:u w:val="single"/>
        </w:rPr>
        <w:t>Dopady na SR</w:t>
      </w:r>
    </w:p>
    <w:p w:rsidR="00E6726C" w:rsidRDefault="00E6726C" w:rsidP="00E6726C">
      <w:pPr>
        <w:spacing w:before="120"/>
        <w:jc w:val="both"/>
        <w:rPr>
          <w:rFonts w:ascii="Arial" w:hAnsi="Arial" w:cs="Arial"/>
        </w:rPr>
      </w:pPr>
      <w:r w:rsidRPr="00E806B3">
        <w:rPr>
          <w:rFonts w:ascii="Arial" w:hAnsi="Arial" w:cs="Arial"/>
        </w:rPr>
        <w:t>SR bude zatížen oproti současnému stavu výdaji na výplatu nemocensk</w:t>
      </w:r>
      <w:r>
        <w:rPr>
          <w:rFonts w:ascii="Arial" w:hAnsi="Arial" w:cs="Arial"/>
        </w:rPr>
        <w:t>ého</w:t>
      </w:r>
      <w:r w:rsidRPr="00E806B3">
        <w:rPr>
          <w:rFonts w:ascii="Arial" w:hAnsi="Arial" w:cs="Arial"/>
        </w:rPr>
        <w:t xml:space="preserve"> v období 12. až 14. dne pracovní neschopnosti, což lze odhadnout na </w:t>
      </w:r>
      <w:r w:rsidR="00B453D8">
        <w:rPr>
          <w:rFonts w:ascii="Arial" w:hAnsi="Arial" w:cs="Arial"/>
        </w:rPr>
        <w:t>1,6</w:t>
      </w:r>
      <w:r w:rsidRPr="00E806B3">
        <w:rPr>
          <w:rFonts w:ascii="Arial" w:hAnsi="Arial" w:cs="Arial"/>
        </w:rPr>
        <w:t xml:space="preserve"> mld. Kč.</w:t>
      </w:r>
      <w:r>
        <w:rPr>
          <w:rFonts w:ascii="Arial" w:hAnsi="Arial" w:cs="Arial"/>
        </w:rPr>
        <w:t xml:space="preserve"> </w:t>
      </w:r>
      <w:r w:rsidRPr="007D2075">
        <w:rPr>
          <w:rFonts w:ascii="Arial" w:hAnsi="Arial" w:cs="Arial"/>
        </w:rPr>
        <w:t xml:space="preserve">Dopady na státní rozpočet budou vyšší než úspory zaměstnavatele, </w:t>
      </w:r>
      <w:r w:rsidR="00B453D8">
        <w:rPr>
          <w:rFonts w:ascii="Arial" w:hAnsi="Arial" w:cs="Arial"/>
        </w:rPr>
        <w:t>jednak z toho důvodu, že</w:t>
      </w:r>
      <w:r>
        <w:rPr>
          <w:rFonts w:ascii="Arial" w:hAnsi="Arial" w:cs="Arial"/>
        </w:rPr>
        <w:t xml:space="preserve"> počet proplacených dnů nemocenského mezi 12. a 14. dnem dočasné pracovní neschopnosti bude zhruba o 70 % vyšší, než je počet dnů s náhradou mzdy, přičemž denní dávka nemocenského je „pouze“ o zhruba 30 % nižší, než výše náhrady mzdy za jeden pracovní den</w:t>
      </w:r>
      <w:r w:rsidR="00B453D8">
        <w:rPr>
          <w:rFonts w:ascii="Arial" w:hAnsi="Arial" w:cs="Arial"/>
        </w:rPr>
        <w:t xml:space="preserve"> a také z titulu zvýšené úrovně dočasné pracovní neschopnosti</w:t>
      </w:r>
      <w:r>
        <w:rPr>
          <w:rFonts w:ascii="Arial" w:hAnsi="Arial" w:cs="Arial"/>
        </w:rPr>
        <w:t>.</w:t>
      </w:r>
    </w:p>
    <w:p w:rsidR="00E6726C" w:rsidRDefault="00B018C7" w:rsidP="00A112E1">
      <w:pPr>
        <w:spacing w:before="120"/>
        <w:jc w:val="both"/>
        <w:rPr>
          <w:rFonts w:ascii="Arial" w:hAnsi="Arial" w:cs="Arial"/>
        </w:rPr>
      </w:pPr>
      <w:r>
        <w:rPr>
          <w:rFonts w:ascii="Arial" w:hAnsi="Arial" w:cs="Arial"/>
        </w:rPr>
        <w:t xml:space="preserve">Ke kompenzaci tohoto dopadu se navrhuje rozdíl </w:t>
      </w:r>
      <w:r w:rsidRPr="006B6BDF">
        <w:rPr>
          <w:rFonts w:ascii="Arial" w:hAnsi="Arial" w:cs="Arial"/>
        </w:rPr>
        <w:t>0,</w:t>
      </w:r>
      <w:r w:rsidR="006B6BDF" w:rsidRPr="006B6BDF">
        <w:rPr>
          <w:rFonts w:ascii="Arial" w:hAnsi="Arial" w:cs="Arial"/>
        </w:rPr>
        <w:t>1</w:t>
      </w:r>
      <w:r w:rsidR="006B6BDF">
        <w:rPr>
          <w:rFonts w:ascii="Arial" w:hAnsi="Arial" w:cs="Arial"/>
        </w:rPr>
        <w:t xml:space="preserve"> </w:t>
      </w:r>
      <w:proofErr w:type="spellStart"/>
      <w:r w:rsidR="006B6BDF">
        <w:rPr>
          <w:rFonts w:ascii="Arial" w:hAnsi="Arial" w:cs="Arial"/>
        </w:rPr>
        <w:t>p.b</w:t>
      </w:r>
      <w:proofErr w:type="spellEnd"/>
      <w:r w:rsidR="006A41D5">
        <w:rPr>
          <w:rFonts w:ascii="Arial" w:hAnsi="Arial" w:cs="Arial"/>
        </w:rPr>
        <w:t xml:space="preserve">. </w:t>
      </w:r>
      <w:r>
        <w:rPr>
          <w:rFonts w:ascii="Arial" w:hAnsi="Arial" w:cs="Arial"/>
        </w:rPr>
        <w:t xml:space="preserve">mezi snížením sazby pojistného zaměstnavatelů a zavedením sazby pojistného pro zaměstnance, což odpovídá finančnímu objemu </w:t>
      </w:r>
      <w:r w:rsidR="006B6BDF" w:rsidRPr="009B3FFA">
        <w:rPr>
          <w:rFonts w:ascii="Arial" w:hAnsi="Arial" w:cs="Arial"/>
        </w:rPr>
        <w:t>1,</w:t>
      </w:r>
      <w:r w:rsidR="009B3FFA" w:rsidRPr="009B3FFA">
        <w:rPr>
          <w:rFonts w:ascii="Arial" w:hAnsi="Arial" w:cs="Arial"/>
        </w:rPr>
        <w:t>4</w:t>
      </w:r>
      <w:r w:rsidRPr="009B3FFA">
        <w:rPr>
          <w:rFonts w:ascii="Arial" w:hAnsi="Arial" w:cs="Arial"/>
        </w:rPr>
        <w:t xml:space="preserve"> mld</w:t>
      </w:r>
      <w:r>
        <w:rPr>
          <w:rFonts w:ascii="Arial" w:hAnsi="Arial" w:cs="Arial"/>
        </w:rPr>
        <w:t>. Kč ve prospěch státního rozpočtu.</w:t>
      </w:r>
    </w:p>
    <w:p w:rsidR="006B6BDF" w:rsidRPr="006B6BDF" w:rsidRDefault="006B6BDF" w:rsidP="006B6BDF">
      <w:pPr>
        <w:spacing w:before="120"/>
        <w:jc w:val="both"/>
        <w:rPr>
          <w:rFonts w:ascii="Arial" w:hAnsi="Arial" w:cs="Arial"/>
          <w:u w:val="single"/>
        </w:rPr>
      </w:pPr>
      <w:r w:rsidRPr="006B6BDF">
        <w:rPr>
          <w:rFonts w:ascii="Arial" w:hAnsi="Arial" w:cs="Arial"/>
          <w:u w:val="single"/>
        </w:rPr>
        <w:t>Administrativní dopady</w:t>
      </w:r>
    </w:p>
    <w:p w:rsidR="006B6BDF" w:rsidRPr="003452A5" w:rsidRDefault="006B6BDF" w:rsidP="006B6BDF">
      <w:pPr>
        <w:spacing w:before="120"/>
        <w:jc w:val="both"/>
        <w:rPr>
          <w:rFonts w:ascii="Arial" w:hAnsi="Arial" w:cs="Arial"/>
        </w:rPr>
      </w:pPr>
      <w:r w:rsidRPr="006B6BDF">
        <w:rPr>
          <w:rFonts w:ascii="Arial" w:hAnsi="Arial" w:cs="Arial"/>
        </w:rPr>
        <w:t xml:space="preserve">Posun okamžiku výplaty nemocenského z 15. na 12. den dočasné pracovní neschopnosti </w:t>
      </w:r>
      <w:r>
        <w:rPr>
          <w:rFonts w:ascii="Arial" w:hAnsi="Arial" w:cs="Arial"/>
        </w:rPr>
        <w:t xml:space="preserve">v kombinaci se zvýšení úrovně dočasné pracovní neschopnosti </w:t>
      </w:r>
      <w:r w:rsidRPr="006B6BDF">
        <w:rPr>
          <w:rFonts w:ascii="Arial" w:hAnsi="Arial" w:cs="Arial"/>
        </w:rPr>
        <w:t xml:space="preserve">zvýší počet případů, které bude muset zpracovat ČSSZ, a to o zhruba </w:t>
      </w:r>
      <w:r>
        <w:rPr>
          <w:rFonts w:ascii="Arial" w:hAnsi="Arial" w:cs="Arial"/>
        </w:rPr>
        <w:t>310</w:t>
      </w:r>
      <w:r w:rsidRPr="006B6BDF">
        <w:rPr>
          <w:rFonts w:ascii="Arial" w:hAnsi="Arial" w:cs="Arial"/>
        </w:rPr>
        <w:t xml:space="preserve"> tis. ročně, tj. o zhruba </w:t>
      </w:r>
      <w:r>
        <w:rPr>
          <w:rFonts w:ascii="Arial" w:hAnsi="Arial" w:cs="Arial"/>
        </w:rPr>
        <w:t>14</w:t>
      </w:r>
      <w:r w:rsidRPr="006B6BDF">
        <w:rPr>
          <w:rFonts w:ascii="Arial" w:hAnsi="Arial" w:cs="Arial"/>
        </w:rPr>
        <w:t xml:space="preserve"> %. Nejvíce dodatečných případů bude v Praze téměř 10 % (detailně v Příloze 7)</w:t>
      </w:r>
    </w:p>
    <w:p w:rsidR="00E6726C" w:rsidRDefault="00E6726C" w:rsidP="00A112E1">
      <w:pPr>
        <w:spacing w:before="120"/>
        <w:jc w:val="both"/>
        <w:rPr>
          <w:rFonts w:ascii="Arial" w:hAnsi="Arial" w:cs="Arial"/>
        </w:rPr>
      </w:pPr>
    </w:p>
    <w:p w:rsidR="00B83F51" w:rsidRPr="00DC2933" w:rsidRDefault="00D16462" w:rsidP="00A112E1">
      <w:pPr>
        <w:spacing w:before="120"/>
        <w:jc w:val="both"/>
        <w:rPr>
          <w:rFonts w:ascii="Arial" w:hAnsi="Arial" w:cs="Arial"/>
          <w:u w:val="single"/>
        </w:rPr>
      </w:pPr>
      <w:r w:rsidRPr="00DC2933">
        <w:rPr>
          <w:rFonts w:ascii="Arial" w:hAnsi="Arial" w:cs="Arial"/>
          <w:u w:val="single"/>
        </w:rPr>
        <w:t>Přílohy:</w:t>
      </w:r>
    </w:p>
    <w:p w:rsidR="00D16462" w:rsidRPr="00B83F51" w:rsidRDefault="00D16462" w:rsidP="00A112E1">
      <w:pPr>
        <w:pStyle w:val="Odstavecseseznamem"/>
        <w:numPr>
          <w:ilvl w:val="0"/>
          <w:numId w:val="25"/>
        </w:numPr>
        <w:tabs>
          <w:tab w:val="left" w:pos="426"/>
        </w:tabs>
        <w:spacing w:before="120" w:after="120" w:line="276" w:lineRule="auto"/>
        <w:ind w:left="426" w:hanging="426"/>
        <w:jc w:val="both"/>
        <w:rPr>
          <w:rFonts w:ascii="Arial" w:hAnsi="Arial" w:cs="Arial"/>
        </w:rPr>
      </w:pPr>
      <w:r w:rsidRPr="00B83F51">
        <w:rPr>
          <w:rFonts w:ascii="Arial" w:hAnsi="Arial" w:cs="Arial"/>
        </w:rPr>
        <w:t>Vývoj procenta pracovní neschopnosti</w:t>
      </w:r>
    </w:p>
    <w:p w:rsidR="00D16462" w:rsidRPr="00B83F51" w:rsidRDefault="00D16462" w:rsidP="00A112E1">
      <w:pPr>
        <w:pStyle w:val="Odstavecseseznamem"/>
        <w:numPr>
          <w:ilvl w:val="0"/>
          <w:numId w:val="25"/>
        </w:numPr>
        <w:tabs>
          <w:tab w:val="left" w:pos="426"/>
        </w:tabs>
        <w:spacing w:before="120" w:after="120" w:line="276" w:lineRule="auto"/>
        <w:ind w:left="426" w:hanging="426"/>
        <w:jc w:val="both"/>
        <w:rPr>
          <w:rFonts w:ascii="Arial" w:hAnsi="Arial" w:cs="Arial"/>
        </w:rPr>
      </w:pPr>
      <w:r w:rsidRPr="00B83F51">
        <w:rPr>
          <w:rFonts w:ascii="Arial" w:hAnsi="Arial" w:cs="Arial"/>
        </w:rPr>
        <w:t>Vývoj nemocnosti podle délky PN</w:t>
      </w:r>
    </w:p>
    <w:p w:rsidR="00D16462" w:rsidRPr="00B83F51" w:rsidRDefault="00D16462" w:rsidP="00A112E1">
      <w:pPr>
        <w:pStyle w:val="Odstavecseseznamem"/>
        <w:numPr>
          <w:ilvl w:val="0"/>
          <w:numId w:val="25"/>
        </w:numPr>
        <w:tabs>
          <w:tab w:val="left" w:pos="426"/>
        </w:tabs>
        <w:spacing w:before="120" w:after="120" w:line="276" w:lineRule="auto"/>
        <w:ind w:left="426" w:hanging="426"/>
        <w:jc w:val="both"/>
        <w:rPr>
          <w:rFonts w:ascii="Arial" w:hAnsi="Arial" w:cs="Arial"/>
        </w:rPr>
      </w:pPr>
      <w:r w:rsidRPr="00B83F51">
        <w:rPr>
          <w:rFonts w:ascii="Arial" w:hAnsi="Arial" w:cs="Arial"/>
        </w:rPr>
        <w:t xml:space="preserve">Vývoj </w:t>
      </w:r>
      <w:r w:rsidR="0037627E" w:rsidRPr="00B83F51">
        <w:rPr>
          <w:rFonts w:ascii="Arial" w:hAnsi="Arial" w:cs="Arial"/>
        </w:rPr>
        <w:t xml:space="preserve">statistik ČSSZ </w:t>
      </w:r>
      <w:r w:rsidRPr="00B83F51">
        <w:rPr>
          <w:rFonts w:ascii="Arial" w:hAnsi="Arial" w:cs="Arial"/>
        </w:rPr>
        <w:t>nemocnosti podle typu onemocnění</w:t>
      </w:r>
      <w:r w:rsidR="0037627E" w:rsidRPr="00B83F51">
        <w:rPr>
          <w:rFonts w:ascii="Arial" w:hAnsi="Arial" w:cs="Arial"/>
        </w:rPr>
        <w:t xml:space="preserve"> s komentářem</w:t>
      </w:r>
    </w:p>
    <w:p w:rsidR="00B83F51" w:rsidRPr="00B83F51" w:rsidRDefault="00B83F51" w:rsidP="00A112E1">
      <w:pPr>
        <w:pStyle w:val="Odstavecseseznamem"/>
        <w:numPr>
          <w:ilvl w:val="0"/>
          <w:numId w:val="25"/>
        </w:numPr>
        <w:tabs>
          <w:tab w:val="left" w:pos="426"/>
        </w:tabs>
        <w:spacing w:before="120" w:after="120" w:line="276" w:lineRule="auto"/>
        <w:ind w:left="426" w:hanging="426"/>
        <w:jc w:val="both"/>
        <w:rPr>
          <w:rFonts w:ascii="Arial" w:hAnsi="Arial" w:cs="Arial"/>
        </w:rPr>
      </w:pPr>
      <w:r w:rsidRPr="00B83F51">
        <w:rPr>
          <w:rFonts w:ascii="Arial" w:hAnsi="Arial" w:cs="Arial"/>
        </w:rPr>
        <w:t>Hranice pro redukci denního započitatelného příjmu a maximální výše dávky od roku 1993</w:t>
      </w:r>
    </w:p>
    <w:p w:rsidR="00A56D64" w:rsidRDefault="00D16462" w:rsidP="00A112E1">
      <w:pPr>
        <w:pStyle w:val="Odstavecseseznamem"/>
        <w:numPr>
          <w:ilvl w:val="0"/>
          <w:numId w:val="25"/>
        </w:numPr>
        <w:tabs>
          <w:tab w:val="left" w:pos="426"/>
        </w:tabs>
        <w:spacing w:before="120" w:after="120" w:line="276" w:lineRule="auto"/>
        <w:ind w:left="426" w:hanging="426"/>
        <w:jc w:val="both"/>
        <w:rPr>
          <w:rFonts w:ascii="Arial" w:hAnsi="Arial" w:cs="Arial"/>
        </w:rPr>
      </w:pPr>
      <w:r w:rsidRPr="00A56D64">
        <w:rPr>
          <w:rFonts w:ascii="Arial" w:hAnsi="Arial" w:cs="Arial"/>
        </w:rPr>
        <w:t>Přehled mezinárodní úpravy KD</w:t>
      </w:r>
    </w:p>
    <w:p w:rsidR="00A56D64" w:rsidRDefault="00A56D64" w:rsidP="00A112E1">
      <w:pPr>
        <w:pStyle w:val="Odstavecseseznamem"/>
        <w:numPr>
          <w:ilvl w:val="0"/>
          <w:numId w:val="25"/>
        </w:numPr>
        <w:tabs>
          <w:tab w:val="left" w:pos="426"/>
        </w:tabs>
        <w:spacing w:before="120" w:after="120" w:line="276" w:lineRule="auto"/>
        <w:ind w:left="426" w:hanging="426"/>
        <w:jc w:val="both"/>
        <w:rPr>
          <w:rFonts w:ascii="Arial" w:hAnsi="Arial" w:cs="Arial"/>
        </w:rPr>
      </w:pPr>
      <w:r>
        <w:rPr>
          <w:rFonts w:ascii="Arial" w:hAnsi="Arial" w:cs="Arial"/>
        </w:rPr>
        <w:t>Regionální dopad alternativního návrhu na zaměstnavatele</w:t>
      </w:r>
    </w:p>
    <w:p w:rsidR="00A56D64" w:rsidRPr="00A56D64" w:rsidRDefault="00A56D64" w:rsidP="00895DE1">
      <w:pPr>
        <w:pStyle w:val="Odstavecseseznamem"/>
        <w:numPr>
          <w:ilvl w:val="0"/>
          <w:numId w:val="25"/>
        </w:numPr>
        <w:tabs>
          <w:tab w:val="left" w:pos="426"/>
        </w:tabs>
        <w:spacing w:before="240" w:line="276" w:lineRule="auto"/>
        <w:ind w:left="425" w:hanging="425"/>
        <w:jc w:val="both"/>
        <w:rPr>
          <w:rFonts w:ascii="Arial" w:hAnsi="Arial" w:cs="Arial"/>
        </w:rPr>
      </w:pPr>
      <w:r>
        <w:rPr>
          <w:rFonts w:ascii="Arial" w:hAnsi="Arial" w:cs="Arial"/>
        </w:rPr>
        <w:t>Regionální dopad alternativního návrhu na ČSSZ (resp. OSSZ)</w:t>
      </w:r>
    </w:p>
    <w:p w:rsidR="006B6BDF" w:rsidRDefault="00895DE1" w:rsidP="00895DE1">
      <w:pPr>
        <w:tabs>
          <w:tab w:val="left" w:pos="426"/>
        </w:tabs>
        <w:spacing w:line="276" w:lineRule="auto"/>
        <w:jc w:val="both"/>
        <w:rPr>
          <w:rFonts w:ascii="Arial" w:hAnsi="Arial" w:cs="Arial"/>
        </w:rPr>
      </w:pPr>
      <w:r>
        <w:rPr>
          <w:rFonts w:ascii="Arial" w:hAnsi="Arial" w:cs="Arial"/>
        </w:rPr>
        <w:t>8.</w:t>
      </w:r>
      <w:r>
        <w:rPr>
          <w:rFonts w:ascii="Arial" w:hAnsi="Arial" w:cs="Arial"/>
        </w:rPr>
        <w:tab/>
        <w:t>Varianta I. - parametry opatření</w:t>
      </w:r>
    </w:p>
    <w:p w:rsidR="00895DE1" w:rsidRDefault="00895DE1" w:rsidP="00895DE1">
      <w:pPr>
        <w:tabs>
          <w:tab w:val="left" w:pos="426"/>
        </w:tabs>
        <w:spacing w:line="276" w:lineRule="auto"/>
        <w:jc w:val="both"/>
        <w:rPr>
          <w:rFonts w:ascii="Arial" w:hAnsi="Arial" w:cs="Arial"/>
        </w:rPr>
      </w:pPr>
      <w:r>
        <w:rPr>
          <w:rFonts w:ascii="Arial" w:hAnsi="Arial" w:cs="Arial"/>
        </w:rPr>
        <w:t>9.</w:t>
      </w:r>
      <w:r>
        <w:rPr>
          <w:rFonts w:ascii="Arial" w:hAnsi="Arial" w:cs="Arial"/>
        </w:rPr>
        <w:tab/>
        <w:t>Varianta II. - parametry opatření</w:t>
      </w:r>
    </w:p>
    <w:p w:rsidR="00895DE1" w:rsidRDefault="00895DE1" w:rsidP="00895DE1">
      <w:pPr>
        <w:tabs>
          <w:tab w:val="left" w:pos="426"/>
        </w:tabs>
        <w:spacing w:line="276" w:lineRule="auto"/>
        <w:jc w:val="both"/>
        <w:rPr>
          <w:rFonts w:ascii="Arial" w:hAnsi="Arial" w:cs="Arial"/>
        </w:rPr>
      </w:pPr>
      <w:r>
        <w:rPr>
          <w:rFonts w:ascii="Arial" w:hAnsi="Arial" w:cs="Arial"/>
        </w:rPr>
        <w:t>10.</w:t>
      </w:r>
      <w:r>
        <w:rPr>
          <w:rFonts w:ascii="Arial" w:hAnsi="Arial" w:cs="Arial"/>
        </w:rPr>
        <w:tab/>
        <w:t>Varianta III. - parametry opatření</w:t>
      </w:r>
    </w:p>
    <w:p w:rsidR="00895DE1" w:rsidRPr="00895DE1" w:rsidRDefault="00895DE1" w:rsidP="00895DE1">
      <w:pPr>
        <w:tabs>
          <w:tab w:val="left" w:pos="0"/>
        </w:tabs>
        <w:spacing w:before="120" w:after="120" w:line="276" w:lineRule="auto"/>
        <w:jc w:val="both"/>
        <w:rPr>
          <w:rFonts w:ascii="Arial" w:hAnsi="Arial" w:cs="Arial"/>
        </w:rPr>
        <w:sectPr w:rsidR="00895DE1" w:rsidRPr="00895DE1">
          <w:headerReference w:type="default" r:id="rId9"/>
          <w:footerReference w:type="default" r:id="rId10"/>
          <w:pgSz w:w="11906" w:h="16838"/>
          <w:pgMar w:top="1417" w:right="1417" w:bottom="1417" w:left="1417" w:header="708" w:footer="708" w:gutter="0"/>
          <w:cols w:space="708"/>
          <w:docGrid w:linePitch="360"/>
        </w:sectPr>
      </w:pPr>
    </w:p>
    <w:p w:rsidR="007D2075" w:rsidRDefault="00B83F51" w:rsidP="00A112E1">
      <w:pPr>
        <w:tabs>
          <w:tab w:val="left" w:pos="7985"/>
          <w:tab w:val="right" w:pos="9072"/>
        </w:tabs>
        <w:jc w:val="both"/>
        <w:rPr>
          <w:b/>
        </w:rPr>
      </w:pPr>
      <w:r>
        <w:rPr>
          <w:b/>
        </w:rPr>
        <w:lastRenderedPageBreak/>
        <w:tab/>
      </w:r>
      <w:r w:rsidR="007D2075">
        <w:rPr>
          <w:b/>
        </w:rPr>
        <w:t>Příloha 1</w:t>
      </w:r>
    </w:p>
    <w:p w:rsidR="00E7199E" w:rsidRDefault="00E7199E" w:rsidP="00A112E1">
      <w:pPr>
        <w:tabs>
          <w:tab w:val="left" w:pos="7985"/>
          <w:tab w:val="right" w:pos="9072"/>
        </w:tabs>
        <w:jc w:val="both"/>
        <w:rPr>
          <w:b/>
        </w:rPr>
      </w:pPr>
    </w:p>
    <w:p w:rsidR="006A41D5" w:rsidRDefault="006A41D5" w:rsidP="00A112E1">
      <w:pPr>
        <w:tabs>
          <w:tab w:val="left" w:pos="7985"/>
          <w:tab w:val="right" w:pos="9072"/>
        </w:tabs>
        <w:jc w:val="both"/>
        <w:rPr>
          <w:b/>
        </w:rPr>
      </w:pPr>
      <w:r>
        <w:rPr>
          <w:b/>
        </w:rPr>
        <w:t xml:space="preserve">Vývoj procenta pracovní neschopnosti 2003 </w:t>
      </w:r>
      <w:r w:rsidR="009B3FFA">
        <w:rPr>
          <w:b/>
        </w:rPr>
        <w:t>–</w:t>
      </w:r>
      <w:r>
        <w:rPr>
          <w:b/>
        </w:rPr>
        <w:t xml:space="preserve"> 2016</w:t>
      </w:r>
      <w:r w:rsidR="009B3FFA">
        <w:rPr>
          <w:b/>
        </w:rPr>
        <w:t xml:space="preserve"> (celý kalendářní rok)</w:t>
      </w:r>
    </w:p>
    <w:p w:rsidR="00E7199E" w:rsidRDefault="00E7199E" w:rsidP="00A112E1">
      <w:pPr>
        <w:tabs>
          <w:tab w:val="left" w:pos="7985"/>
          <w:tab w:val="right" w:pos="9072"/>
        </w:tabs>
        <w:jc w:val="both"/>
        <w:rPr>
          <w:b/>
        </w:rPr>
      </w:pPr>
      <w:r>
        <w:rPr>
          <w:noProof/>
        </w:rPr>
        <w:drawing>
          <wp:inline distT="0" distB="0" distL="0" distR="0">
            <wp:extent cx="5760720" cy="2948955"/>
            <wp:effectExtent l="0" t="0" r="0" b="381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0720" cy="2948955"/>
                    </a:xfrm>
                    <a:prstGeom prst="rect">
                      <a:avLst/>
                    </a:prstGeom>
                  </pic:spPr>
                </pic:pic>
              </a:graphicData>
            </a:graphic>
          </wp:inline>
        </w:drawing>
      </w:r>
    </w:p>
    <w:p w:rsidR="00E7199E" w:rsidRDefault="00E7199E" w:rsidP="00A112E1">
      <w:pPr>
        <w:tabs>
          <w:tab w:val="left" w:pos="7985"/>
          <w:tab w:val="right" w:pos="9072"/>
        </w:tabs>
        <w:jc w:val="both"/>
        <w:rPr>
          <w:b/>
        </w:rPr>
      </w:pPr>
    </w:p>
    <w:p w:rsidR="006A41D5" w:rsidRDefault="006A41D5" w:rsidP="006A41D5">
      <w:pPr>
        <w:tabs>
          <w:tab w:val="left" w:pos="7985"/>
          <w:tab w:val="right" w:pos="9072"/>
        </w:tabs>
        <w:jc w:val="both"/>
        <w:rPr>
          <w:b/>
        </w:rPr>
      </w:pPr>
      <w:r>
        <w:rPr>
          <w:b/>
        </w:rPr>
        <w:t>Vývoj procenta pracovní neschopnosti za první pololetí let 2003 - 2017</w:t>
      </w:r>
    </w:p>
    <w:p w:rsidR="006A41D5" w:rsidRDefault="006A41D5" w:rsidP="00A112E1">
      <w:pPr>
        <w:tabs>
          <w:tab w:val="left" w:pos="7985"/>
          <w:tab w:val="right" w:pos="9072"/>
        </w:tabs>
        <w:jc w:val="both"/>
        <w:rPr>
          <w:b/>
        </w:rPr>
      </w:pPr>
    </w:p>
    <w:p w:rsidR="00E7199E" w:rsidRDefault="00E7199E" w:rsidP="00A112E1">
      <w:pPr>
        <w:tabs>
          <w:tab w:val="left" w:pos="7985"/>
          <w:tab w:val="right" w:pos="9072"/>
        </w:tabs>
        <w:jc w:val="both"/>
        <w:rPr>
          <w:b/>
        </w:rPr>
      </w:pPr>
      <w:r>
        <w:rPr>
          <w:noProof/>
        </w:rPr>
        <w:drawing>
          <wp:inline distT="0" distB="0" distL="0" distR="0">
            <wp:extent cx="5760720" cy="3219658"/>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60720" cy="3219658"/>
                    </a:xfrm>
                    <a:prstGeom prst="rect">
                      <a:avLst/>
                    </a:prstGeom>
                  </pic:spPr>
                </pic:pic>
              </a:graphicData>
            </a:graphic>
          </wp:inline>
        </w:drawing>
      </w:r>
    </w:p>
    <w:p w:rsidR="0049623E" w:rsidRDefault="0049623E" w:rsidP="00A112E1">
      <w:pPr>
        <w:tabs>
          <w:tab w:val="left" w:pos="7985"/>
          <w:tab w:val="right" w:pos="9072"/>
        </w:tabs>
        <w:jc w:val="both"/>
        <w:rPr>
          <w:b/>
        </w:rPr>
        <w:sectPr w:rsidR="0049623E">
          <w:pgSz w:w="11906" w:h="16838"/>
          <w:pgMar w:top="1417" w:right="1417" w:bottom="1417" w:left="1417" w:header="708" w:footer="708" w:gutter="0"/>
          <w:cols w:space="708"/>
          <w:docGrid w:linePitch="360"/>
        </w:sectPr>
      </w:pPr>
    </w:p>
    <w:p w:rsidR="007D2075" w:rsidRDefault="007D2075" w:rsidP="00A112E1">
      <w:pPr>
        <w:tabs>
          <w:tab w:val="left" w:pos="7985"/>
          <w:tab w:val="right" w:pos="9072"/>
        </w:tabs>
        <w:jc w:val="both"/>
        <w:rPr>
          <w:b/>
        </w:rPr>
      </w:pPr>
    </w:p>
    <w:p w:rsidR="007D2075" w:rsidRDefault="007D2075" w:rsidP="00E7199E">
      <w:pPr>
        <w:tabs>
          <w:tab w:val="left" w:pos="7985"/>
          <w:tab w:val="right" w:pos="9072"/>
        </w:tabs>
        <w:jc w:val="right"/>
        <w:rPr>
          <w:b/>
        </w:rPr>
      </w:pPr>
      <w:r>
        <w:rPr>
          <w:b/>
        </w:rPr>
        <w:t>Příloha 2</w:t>
      </w:r>
    </w:p>
    <w:p w:rsidR="0049623E" w:rsidRDefault="0049623E" w:rsidP="00A112E1">
      <w:pPr>
        <w:tabs>
          <w:tab w:val="left" w:pos="7985"/>
          <w:tab w:val="right" w:pos="9072"/>
        </w:tabs>
        <w:jc w:val="both"/>
        <w:rPr>
          <w:b/>
        </w:rPr>
      </w:pPr>
      <w:r>
        <w:rPr>
          <w:noProof/>
        </w:rPr>
        <w:drawing>
          <wp:inline distT="0" distB="0" distL="0" distR="0">
            <wp:extent cx="5972810" cy="4071620"/>
            <wp:effectExtent l="0" t="0" r="889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72810" cy="4071620"/>
                    </a:xfrm>
                    <a:prstGeom prst="rect">
                      <a:avLst/>
                    </a:prstGeom>
                  </pic:spPr>
                </pic:pic>
              </a:graphicData>
            </a:graphic>
          </wp:inline>
        </w:drawing>
      </w:r>
    </w:p>
    <w:p w:rsidR="0049623E" w:rsidRDefault="0049623E" w:rsidP="00A112E1">
      <w:pPr>
        <w:tabs>
          <w:tab w:val="left" w:pos="7985"/>
          <w:tab w:val="right" w:pos="9072"/>
        </w:tabs>
        <w:jc w:val="both"/>
        <w:rPr>
          <w:b/>
        </w:rPr>
      </w:pPr>
    </w:p>
    <w:p w:rsidR="0049623E" w:rsidRDefault="0049623E" w:rsidP="00A112E1">
      <w:pPr>
        <w:tabs>
          <w:tab w:val="left" w:pos="7985"/>
          <w:tab w:val="right" w:pos="9072"/>
        </w:tabs>
        <w:jc w:val="both"/>
        <w:rPr>
          <w:b/>
        </w:rPr>
        <w:sectPr w:rsidR="0049623E" w:rsidSect="0049623E">
          <w:pgSz w:w="11906" w:h="16838"/>
          <w:pgMar w:top="1417" w:right="1417" w:bottom="1417" w:left="1417" w:header="708" w:footer="708" w:gutter="0"/>
          <w:cols w:space="708"/>
          <w:docGrid w:linePitch="360"/>
        </w:sectPr>
      </w:pPr>
    </w:p>
    <w:p w:rsidR="00B83F51" w:rsidRPr="00B83F51" w:rsidRDefault="00B83F51" w:rsidP="00A112E1">
      <w:pPr>
        <w:tabs>
          <w:tab w:val="left" w:pos="7985"/>
          <w:tab w:val="right" w:pos="9072"/>
        </w:tabs>
        <w:jc w:val="both"/>
        <w:rPr>
          <w:rFonts w:ascii="Arial" w:hAnsi="Arial" w:cs="Arial"/>
        </w:rPr>
      </w:pPr>
      <w:r>
        <w:rPr>
          <w:b/>
        </w:rPr>
        <w:lastRenderedPageBreak/>
        <w:tab/>
      </w:r>
      <w:r w:rsidRPr="00B83F51">
        <w:rPr>
          <w:rFonts w:ascii="Arial" w:hAnsi="Arial" w:cs="Arial"/>
        </w:rPr>
        <w:t>Příloha 3</w:t>
      </w:r>
    </w:p>
    <w:p w:rsidR="00E806B3" w:rsidRPr="001E0AAC" w:rsidRDefault="00E806B3" w:rsidP="00A112E1">
      <w:pPr>
        <w:jc w:val="both"/>
        <w:rPr>
          <w:b/>
        </w:rPr>
      </w:pPr>
      <w:r w:rsidRPr="001E0AAC">
        <w:rPr>
          <w:b/>
        </w:rPr>
        <w:t>Tabulky a komentář ČSSZ</w:t>
      </w:r>
    </w:p>
    <w:p w:rsidR="00E806B3" w:rsidRDefault="00E806B3" w:rsidP="00A112E1">
      <w:pPr>
        <w:jc w:val="both"/>
      </w:pPr>
      <w:r w:rsidRPr="00671674">
        <w:rPr>
          <w:noProof/>
        </w:rPr>
        <w:drawing>
          <wp:inline distT="0" distB="0" distL="0" distR="0">
            <wp:extent cx="5067300" cy="433791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9652" cy="4339929"/>
                    </a:xfrm>
                    <a:prstGeom prst="rect">
                      <a:avLst/>
                    </a:prstGeom>
                    <a:noFill/>
                    <a:ln>
                      <a:noFill/>
                    </a:ln>
                  </pic:spPr>
                </pic:pic>
              </a:graphicData>
            </a:graphic>
          </wp:inline>
        </w:drawing>
      </w:r>
    </w:p>
    <w:p w:rsidR="00E806B3" w:rsidRDefault="00E806B3" w:rsidP="00A112E1">
      <w:pPr>
        <w:jc w:val="both"/>
      </w:pPr>
      <w:r w:rsidRPr="001E0AAC">
        <w:rPr>
          <w:noProof/>
        </w:rPr>
        <w:drawing>
          <wp:inline distT="0" distB="0" distL="0" distR="0">
            <wp:extent cx="5088591" cy="393209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3858" cy="3943890"/>
                    </a:xfrm>
                    <a:prstGeom prst="rect">
                      <a:avLst/>
                    </a:prstGeom>
                    <a:noFill/>
                    <a:ln>
                      <a:noFill/>
                    </a:ln>
                  </pic:spPr>
                </pic:pic>
              </a:graphicData>
            </a:graphic>
          </wp:inline>
        </w:drawing>
      </w:r>
    </w:p>
    <w:p w:rsidR="00E806B3" w:rsidRDefault="00E806B3" w:rsidP="00A112E1">
      <w:pPr>
        <w:jc w:val="both"/>
      </w:pPr>
      <w:r w:rsidRPr="001E0AAC">
        <w:rPr>
          <w:noProof/>
        </w:rPr>
        <w:lastRenderedPageBreak/>
        <w:drawing>
          <wp:inline distT="0" distB="0" distL="0" distR="0">
            <wp:extent cx="5132336" cy="39814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9370" cy="3986907"/>
                    </a:xfrm>
                    <a:prstGeom prst="rect">
                      <a:avLst/>
                    </a:prstGeom>
                    <a:noFill/>
                    <a:ln>
                      <a:noFill/>
                    </a:ln>
                  </pic:spPr>
                </pic:pic>
              </a:graphicData>
            </a:graphic>
          </wp:inline>
        </w:drawing>
      </w:r>
    </w:p>
    <w:p w:rsidR="0037627E" w:rsidRDefault="0037627E" w:rsidP="00A112E1">
      <w:pPr>
        <w:jc w:val="both"/>
      </w:pPr>
    </w:p>
    <w:p w:rsidR="00B83F51" w:rsidRDefault="00E806B3" w:rsidP="00A112E1">
      <w:pPr>
        <w:jc w:val="both"/>
      </w:pPr>
      <w:r w:rsidRPr="001E0AAC">
        <w:t>V souvislosti s úvahami o zrušení karenční doby lze na základě ukazatelů</w:t>
      </w:r>
      <w:r w:rsidR="0037627E">
        <w:t>,</w:t>
      </w:r>
      <w:r w:rsidRPr="001E0AAC">
        <w:t xml:space="preserve"> které jsou k</w:t>
      </w:r>
      <w:r w:rsidR="0037627E">
        <w:t> </w:t>
      </w:r>
      <w:r w:rsidRPr="001E0AAC">
        <w:t>dispozici</w:t>
      </w:r>
      <w:r w:rsidR="0037627E">
        <w:t>,</w:t>
      </w:r>
      <w:r w:rsidRPr="001E0AAC">
        <w:t xml:space="preserve"> sledovat, že po zavedení karenční doby (karenční doba se pro nemocenské, které spadá do působnosti ČSSZ, uplatňovala pouze v prvním pololetí 2008) došlo ke snížení počtu případů ukončených pracovních neschopností (DPN) i počtu prostonaných dnů. </w:t>
      </w:r>
    </w:p>
    <w:p w:rsidR="00B83F51" w:rsidRDefault="00E806B3" w:rsidP="00A112E1">
      <w:pPr>
        <w:jc w:val="both"/>
      </w:pPr>
      <w:r w:rsidRPr="001E0AAC">
        <w:t xml:space="preserve">Stejný jev, tedy snížení počtu ukončených DPN, lze sledovat v roce 2009 po zavedení změny v systému nemocenského pojištění, která převedla zabezpečení v nemoci v prvních 14 dnech DPN zcela na zaměstnavatele a v rámci tohoto intervalu zavedla i karenční dobu u náhrady mzdy poskytované v době DPN zaměstnavatelem. </w:t>
      </w:r>
    </w:p>
    <w:p w:rsidR="00E806B3" w:rsidRPr="001E0AAC" w:rsidRDefault="00E806B3" w:rsidP="00A112E1">
      <w:pPr>
        <w:jc w:val="both"/>
      </w:pPr>
      <w:r w:rsidRPr="001E0AAC">
        <w:t>Oproti roku 2008 poklesl počet ukončených případů DPN o cca 700 tisíc případů (z počtu 2 223 914 případů v roce 2008 na 1 526 014 ukončených případů DPN v roce 2009, tj. o 697 900 případů méně což je pokles o 31,38 %)</w:t>
      </w:r>
      <w:r w:rsidR="00B83F51">
        <w:t xml:space="preserve">. Současně </w:t>
      </w:r>
      <w:r w:rsidRPr="001E0AAC">
        <w:t>však lze vysledovat i nárůst průměrné doby trvání u jednoho případu DPN. Průměrná doba trvání se zvýšila z 39,50 dne na 48,43 dne, tedy téměř o devět dnů (8,93 dne, což je nárůst o 22,6%). Tento údaj se přitom ve čtyřech</w:t>
      </w:r>
      <w:r w:rsidR="00B83F51">
        <w:t xml:space="preserve"> </w:t>
      </w:r>
      <w:r w:rsidRPr="001E0AAC">
        <w:t xml:space="preserve">nejbližších letech před rokem 2008 meziročně měnil v rozmezí cca 1 – 3 dnů a obdobně malé změny vykazoval i ve srovnatelném období po roce 2009. Možnou příčinou skokového zvýšení doby trvání DPN mezi lety 2008 a 2009 může být právě fakt, že díky finančnímu dopadu karenční doby pojištěnci v menší míře navštěvovali lékaře při počátečních symptomech nemoci a jejich zdravotní problémy mohly mít díky tomu závažnější průběh, což by nárůst průměrné doby trvání u jednoho případu DPN potvrzoval. </w:t>
      </w:r>
    </w:p>
    <w:p w:rsidR="00E806B3" w:rsidRDefault="00E806B3" w:rsidP="00A112E1">
      <w:pPr>
        <w:jc w:val="both"/>
      </w:pPr>
      <w:r w:rsidRPr="001E0AAC">
        <w:t>Zrušením institutu karenční doby by tedy mohlo dojít k jevu opačnému, kdy počet pracovních neschopností by narostl, avšak za současného snížení průměrného trvání jedné DPN. Délka trvání DPN je přitom významným faktorem (i když nikoli jediným) pro nákladovost systému nemocenského pojištění, od 1. 1. 2018 je výše nemocenského za kalendářní den navíc závislá na délce trvání DPN a zvyšuje se až na 72% denního vyměřovacího základu od 61. kalendářního dne trvání DPN. Rovněž je třeba vzít do úvahy i nákladovost souvisejících systémů – zkrácení doby trvání DPN (tj. včasným vyléčením nemoci) přinese i úspory ná</w:t>
      </w:r>
      <w:r w:rsidR="00B83F51">
        <w:t>kladů v systému zdravotní péče.</w:t>
      </w:r>
    </w:p>
    <w:p w:rsidR="00B83F51" w:rsidRDefault="00B83F51" w:rsidP="00A112E1">
      <w:pPr>
        <w:jc w:val="both"/>
        <w:sectPr w:rsidR="00B83F51" w:rsidSect="0049623E">
          <w:pgSz w:w="11906" w:h="16838"/>
          <w:pgMar w:top="1417" w:right="1417" w:bottom="1417" w:left="1417" w:header="708" w:footer="708" w:gutter="0"/>
          <w:cols w:space="708"/>
          <w:docGrid w:linePitch="360"/>
        </w:sectPr>
      </w:pPr>
    </w:p>
    <w:p w:rsidR="00E806B3" w:rsidRPr="00B83F51" w:rsidRDefault="00B83F51" w:rsidP="00A112E1">
      <w:pPr>
        <w:jc w:val="both"/>
        <w:rPr>
          <w:rFonts w:ascii="Arial" w:hAnsi="Arial" w:cs="Arial"/>
        </w:rPr>
      </w:pPr>
      <w:r w:rsidRPr="00B83F51">
        <w:rPr>
          <w:rFonts w:ascii="Arial" w:hAnsi="Arial" w:cs="Arial"/>
        </w:rPr>
        <w:lastRenderedPageBreak/>
        <w:t>Příloha 4</w:t>
      </w:r>
    </w:p>
    <w:p w:rsidR="00E806B3" w:rsidRDefault="00B83F51" w:rsidP="00A112E1">
      <w:pPr>
        <w:jc w:val="both"/>
      </w:pPr>
      <w:r w:rsidRPr="00FC3F5F">
        <w:rPr>
          <w:noProof/>
        </w:rPr>
        <w:drawing>
          <wp:inline distT="0" distB="0" distL="0" distR="0">
            <wp:extent cx="8506691" cy="5691599"/>
            <wp:effectExtent l="0" t="0" r="8890" b="444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7865" cy="5692384"/>
                    </a:xfrm>
                    <a:prstGeom prst="rect">
                      <a:avLst/>
                    </a:prstGeom>
                    <a:noFill/>
                    <a:ln>
                      <a:noFill/>
                    </a:ln>
                  </pic:spPr>
                </pic:pic>
              </a:graphicData>
            </a:graphic>
          </wp:inline>
        </w:drawing>
      </w:r>
    </w:p>
    <w:p w:rsidR="00E806B3" w:rsidRDefault="00E806B3" w:rsidP="00A112E1">
      <w:pPr>
        <w:jc w:val="both"/>
        <w:sectPr w:rsidR="00E806B3" w:rsidSect="00B179FC">
          <w:pgSz w:w="16838" w:h="11906" w:orient="landscape"/>
          <w:pgMar w:top="720" w:right="720" w:bottom="720" w:left="720" w:header="708" w:footer="708" w:gutter="0"/>
          <w:cols w:space="708"/>
          <w:docGrid w:linePitch="360"/>
        </w:sectPr>
      </w:pPr>
      <w:r w:rsidRPr="004252C2">
        <w:rPr>
          <w:noProof/>
        </w:rPr>
        <w:lastRenderedPageBreak/>
        <w:drawing>
          <wp:inline distT="0" distB="0" distL="0" distR="0">
            <wp:extent cx="8763000" cy="49911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0" cy="4991100"/>
                    </a:xfrm>
                    <a:prstGeom prst="rect">
                      <a:avLst/>
                    </a:prstGeom>
                    <a:noFill/>
                    <a:ln>
                      <a:noFill/>
                    </a:ln>
                  </pic:spPr>
                </pic:pic>
              </a:graphicData>
            </a:graphic>
          </wp:inline>
        </w:drawing>
      </w:r>
    </w:p>
    <w:p w:rsidR="00776EF3" w:rsidRDefault="0049623E" w:rsidP="002A7ACB">
      <w:pPr>
        <w:spacing w:before="120"/>
        <w:jc w:val="right"/>
        <w:rPr>
          <w:rFonts w:ascii="Arial" w:hAnsi="Arial" w:cs="Arial"/>
        </w:rPr>
      </w:pPr>
      <w:r>
        <w:rPr>
          <w:rFonts w:ascii="Arial" w:hAnsi="Arial" w:cs="Arial"/>
        </w:rPr>
        <w:lastRenderedPageBreak/>
        <w:t>Příloha 5</w:t>
      </w:r>
    </w:p>
    <w:p w:rsidR="0049623E" w:rsidRDefault="006077EA" w:rsidP="00A112E1">
      <w:pPr>
        <w:spacing w:before="120"/>
        <w:jc w:val="both"/>
        <w:rPr>
          <w:rFonts w:ascii="Arial" w:hAnsi="Arial" w:cs="Arial"/>
        </w:rPr>
      </w:pPr>
      <w:r w:rsidRPr="00DF2F4B">
        <w:rPr>
          <w:noProof/>
        </w:rPr>
        <w:drawing>
          <wp:inline distT="0" distB="0" distL="0" distR="0">
            <wp:extent cx="5638500" cy="7077075"/>
            <wp:effectExtent l="0" t="0" r="63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0" cy="7077452"/>
                    </a:xfrm>
                    <a:prstGeom prst="rect">
                      <a:avLst/>
                    </a:prstGeom>
                    <a:noFill/>
                    <a:ln>
                      <a:noFill/>
                    </a:ln>
                  </pic:spPr>
                </pic:pic>
              </a:graphicData>
            </a:graphic>
          </wp:inline>
        </w:drawing>
      </w:r>
    </w:p>
    <w:p w:rsidR="006077EA" w:rsidRDefault="006077EA" w:rsidP="00A112E1">
      <w:pPr>
        <w:spacing w:before="120"/>
        <w:jc w:val="both"/>
        <w:rPr>
          <w:rFonts w:ascii="Arial" w:hAnsi="Arial" w:cs="Arial"/>
        </w:rPr>
      </w:pPr>
    </w:p>
    <w:p w:rsidR="006077EA" w:rsidRDefault="006077EA" w:rsidP="00A112E1">
      <w:pPr>
        <w:spacing w:before="120"/>
        <w:jc w:val="both"/>
        <w:rPr>
          <w:rFonts w:ascii="Arial" w:hAnsi="Arial" w:cs="Arial"/>
        </w:rPr>
      </w:pPr>
    </w:p>
    <w:p w:rsidR="006077EA" w:rsidRDefault="006077EA" w:rsidP="00A112E1">
      <w:pPr>
        <w:spacing w:before="120"/>
        <w:jc w:val="both"/>
        <w:rPr>
          <w:rFonts w:ascii="Arial" w:hAnsi="Arial" w:cs="Arial"/>
        </w:rPr>
      </w:pPr>
    </w:p>
    <w:p w:rsidR="006077EA" w:rsidRDefault="006077EA" w:rsidP="00A112E1">
      <w:pPr>
        <w:spacing w:before="120"/>
        <w:jc w:val="both"/>
        <w:rPr>
          <w:rFonts w:ascii="Arial" w:hAnsi="Arial" w:cs="Arial"/>
        </w:rPr>
      </w:pPr>
    </w:p>
    <w:p w:rsidR="006077EA" w:rsidRDefault="006077EA" w:rsidP="00A112E1">
      <w:pPr>
        <w:spacing w:before="120"/>
        <w:jc w:val="both"/>
        <w:rPr>
          <w:rFonts w:ascii="Arial" w:hAnsi="Arial" w:cs="Arial"/>
        </w:rPr>
      </w:pPr>
    </w:p>
    <w:p w:rsidR="0049623E" w:rsidRDefault="006077EA" w:rsidP="00A112E1">
      <w:pPr>
        <w:spacing w:before="120"/>
        <w:jc w:val="both"/>
        <w:rPr>
          <w:rFonts w:ascii="Arial" w:hAnsi="Arial" w:cs="Arial"/>
        </w:rPr>
      </w:pPr>
      <w:r w:rsidRPr="00DF2F4B">
        <w:rPr>
          <w:noProof/>
        </w:rPr>
        <w:lastRenderedPageBreak/>
        <w:drawing>
          <wp:inline distT="0" distB="0" distL="0" distR="0">
            <wp:extent cx="5686425" cy="80772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7308" cy="8078454"/>
                    </a:xfrm>
                    <a:prstGeom prst="rect">
                      <a:avLst/>
                    </a:prstGeom>
                    <a:noFill/>
                    <a:ln>
                      <a:noFill/>
                    </a:ln>
                  </pic:spPr>
                </pic:pic>
              </a:graphicData>
            </a:graphic>
          </wp:inline>
        </w:drawing>
      </w:r>
      <w:r w:rsidR="0049623E">
        <w:rPr>
          <w:rFonts w:ascii="Arial" w:hAnsi="Arial" w:cs="Arial"/>
        </w:rPr>
        <w:br w:type="page"/>
      </w:r>
    </w:p>
    <w:p w:rsidR="0049623E" w:rsidRDefault="0049623E" w:rsidP="00A112E1">
      <w:pPr>
        <w:spacing w:before="120"/>
        <w:jc w:val="both"/>
        <w:rPr>
          <w:rFonts w:ascii="Arial" w:hAnsi="Arial" w:cs="Arial"/>
        </w:rPr>
        <w:sectPr w:rsidR="0049623E">
          <w:headerReference w:type="default" r:id="rId21"/>
          <w:footerReference w:type="default" r:id="rId22"/>
          <w:pgSz w:w="11906" w:h="16838"/>
          <w:pgMar w:top="1417" w:right="1417" w:bottom="1417" w:left="1417" w:header="708" w:footer="708" w:gutter="0"/>
          <w:cols w:space="708"/>
          <w:docGrid w:linePitch="360"/>
        </w:sectPr>
      </w:pPr>
    </w:p>
    <w:p w:rsidR="0049623E" w:rsidRDefault="0049623E" w:rsidP="002A7ACB">
      <w:pPr>
        <w:spacing w:before="120"/>
        <w:jc w:val="right"/>
        <w:rPr>
          <w:rFonts w:ascii="Arial" w:hAnsi="Arial" w:cs="Arial"/>
        </w:rPr>
      </w:pPr>
      <w:r>
        <w:rPr>
          <w:rFonts w:ascii="Arial" w:hAnsi="Arial" w:cs="Arial"/>
        </w:rPr>
        <w:lastRenderedPageBreak/>
        <w:t>Příloha 6</w:t>
      </w:r>
    </w:p>
    <w:p w:rsidR="002A7ACB" w:rsidRDefault="00EC0B59" w:rsidP="00A112E1">
      <w:pPr>
        <w:spacing w:before="120"/>
        <w:jc w:val="both"/>
        <w:rPr>
          <w:rFonts w:ascii="Arial" w:hAnsi="Arial" w:cs="Arial"/>
        </w:rPr>
      </w:pPr>
      <w:r>
        <w:rPr>
          <w:rFonts w:ascii="Arial" w:hAnsi="Arial" w:cs="Arial"/>
          <w:noProof/>
        </w:rPr>
        <w:drawing>
          <wp:inline distT="0" distB="0" distL="0" distR="0">
            <wp:extent cx="8644270" cy="5146158"/>
            <wp:effectExtent l="0" t="0" r="444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7891" cy="5154267"/>
                    </a:xfrm>
                    <a:prstGeom prst="rect">
                      <a:avLst/>
                    </a:prstGeom>
                    <a:noFill/>
                    <a:ln>
                      <a:noFill/>
                    </a:ln>
                  </pic:spPr>
                </pic:pic>
              </a:graphicData>
            </a:graphic>
          </wp:inline>
        </w:drawing>
      </w:r>
    </w:p>
    <w:p w:rsidR="0049623E" w:rsidRPr="002A7ACB" w:rsidRDefault="002A7ACB" w:rsidP="00A112E1">
      <w:pPr>
        <w:spacing w:before="120"/>
        <w:jc w:val="both"/>
        <w:rPr>
          <w:rFonts w:ascii="Arial" w:hAnsi="Arial" w:cs="Arial"/>
          <w:sz w:val="16"/>
          <w:szCs w:val="16"/>
        </w:rPr>
      </w:pPr>
      <w:r w:rsidRPr="002A7ACB">
        <w:rPr>
          <w:rFonts w:ascii="Arial" w:hAnsi="Arial" w:cs="Arial"/>
          <w:sz w:val="16"/>
          <w:szCs w:val="16"/>
        </w:rPr>
        <w:t xml:space="preserve">Čímž tmavší barva tím vyšší </w:t>
      </w:r>
      <w:r w:rsidR="009510D9">
        <w:rPr>
          <w:rFonts w:ascii="Arial" w:hAnsi="Arial" w:cs="Arial"/>
          <w:sz w:val="16"/>
          <w:szCs w:val="16"/>
        </w:rPr>
        <w:t>dopad</w:t>
      </w:r>
      <w:r w:rsidRPr="002A7ACB">
        <w:rPr>
          <w:rFonts w:ascii="Arial" w:hAnsi="Arial" w:cs="Arial"/>
          <w:sz w:val="16"/>
          <w:szCs w:val="16"/>
        </w:rPr>
        <w:t>.</w:t>
      </w:r>
      <w:r w:rsidR="0049623E" w:rsidRPr="002A7ACB">
        <w:rPr>
          <w:rFonts w:ascii="Arial" w:hAnsi="Arial" w:cs="Arial"/>
          <w:sz w:val="16"/>
          <w:szCs w:val="16"/>
        </w:rPr>
        <w:br w:type="page"/>
      </w:r>
    </w:p>
    <w:p w:rsidR="0049623E" w:rsidRDefault="0049623E" w:rsidP="002A7ACB">
      <w:pPr>
        <w:spacing w:before="120"/>
        <w:jc w:val="right"/>
        <w:rPr>
          <w:rFonts w:ascii="Arial" w:hAnsi="Arial" w:cs="Arial"/>
        </w:rPr>
      </w:pPr>
      <w:r>
        <w:rPr>
          <w:rFonts w:ascii="Arial" w:hAnsi="Arial" w:cs="Arial"/>
        </w:rPr>
        <w:lastRenderedPageBreak/>
        <w:t>Příloha 7</w:t>
      </w:r>
    </w:p>
    <w:p w:rsidR="0049623E" w:rsidRDefault="002A7ACB" w:rsidP="00A112E1">
      <w:pPr>
        <w:spacing w:before="120"/>
        <w:jc w:val="both"/>
        <w:rPr>
          <w:rFonts w:ascii="Arial" w:hAnsi="Arial" w:cs="Arial"/>
        </w:rPr>
      </w:pPr>
      <w:r>
        <w:rPr>
          <w:rFonts w:ascii="Arial" w:hAnsi="Arial" w:cs="Arial"/>
          <w:noProof/>
        </w:rPr>
        <w:drawing>
          <wp:inline distT="0" distB="0" distL="0" distR="0">
            <wp:extent cx="8474149" cy="5037796"/>
            <wp:effectExtent l="0" t="0" r="317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4861" cy="5050109"/>
                    </a:xfrm>
                    <a:prstGeom prst="rect">
                      <a:avLst/>
                    </a:prstGeom>
                    <a:noFill/>
                    <a:ln>
                      <a:noFill/>
                    </a:ln>
                  </pic:spPr>
                </pic:pic>
              </a:graphicData>
            </a:graphic>
          </wp:inline>
        </w:drawing>
      </w:r>
    </w:p>
    <w:p w:rsidR="002A7ACB" w:rsidRDefault="002A7ACB" w:rsidP="00A112E1">
      <w:pPr>
        <w:spacing w:before="120"/>
        <w:jc w:val="both"/>
        <w:rPr>
          <w:rFonts w:ascii="Arial" w:hAnsi="Arial" w:cs="Arial"/>
        </w:rPr>
      </w:pPr>
      <w:r w:rsidRPr="002A7ACB">
        <w:rPr>
          <w:rFonts w:ascii="Arial" w:hAnsi="Arial" w:cs="Arial"/>
          <w:sz w:val="16"/>
          <w:szCs w:val="16"/>
        </w:rPr>
        <w:t>Čímž tmavší barva tím vyšší počet případů.</w:t>
      </w:r>
    </w:p>
    <w:sectPr w:rsidR="002A7ACB" w:rsidSect="0049623E">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44" w:rsidRDefault="00C62544">
      <w:r>
        <w:separator/>
      </w:r>
    </w:p>
  </w:endnote>
  <w:endnote w:type="continuationSeparator" w:id="0">
    <w:p w:rsidR="00C62544" w:rsidRDefault="00C62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07604"/>
      <w:docPartObj>
        <w:docPartGallery w:val="Page Numbers (Bottom of Page)"/>
        <w:docPartUnique/>
      </w:docPartObj>
    </w:sdtPr>
    <w:sdtContent>
      <w:p w:rsidR="00E806B3" w:rsidRDefault="00B73117">
        <w:pPr>
          <w:pStyle w:val="Zpat"/>
          <w:jc w:val="center"/>
        </w:pPr>
        <w:r>
          <w:fldChar w:fldCharType="begin"/>
        </w:r>
        <w:r w:rsidR="00E806B3">
          <w:instrText>PAGE   \* MERGEFORMAT</w:instrText>
        </w:r>
        <w:r>
          <w:fldChar w:fldCharType="separate"/>
        </w:r>
        <w:r w:rsidR="00F33356">
          <w:rPr>
            <w:noProof/>
          </w:rPr>
          <w:t>13</w:t>
        </w:r>
        <w:r>
          <w:fldChar w:fldCharType="end"/>
        </w:r>
      </w:p>
    </w:sdtContent>
  </w:sdt>
  <w:p w:rsidR="00E806B3" w:rsidRDefault="00E806B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359930"/>
      <w:docPartObj>
        <w:docPartGallery w:val="Page Numbers (Bottom of Page)"/>
        <w:docPartUnique/>
      </w:docPartObj>
    </w:sdtPr>
    <w:sdtEndPr>
      <w:rPr>
        <w:b/>
      </w:rPr>
    </w:sdtEndPr>
    <w:sdtContent>
      <w:p w:rsidR="005346C3" w:rsidRDefault="005346C3">
        <w:pPr>
          <w:pStyle w:val="Zpat"/>
          <w:jc w:val="center"/>
        </w:pPr>
      </w:p>
      <w:p w:rsidR="005346C3" w:rsidRPr="00496940" w:rsidRDefault="005346C3" w:rsidP="00496940">
        <w:pPr>
          <w:pStyle w:val="Zpat"/>
          <w:tabs>
            <w:tab w:val="left" w:pos="5244"/>
          </w:tabs>
          <w:rPr>
            <w:b/>
          </w:rPr>
        </w:pPr>
        <w:r w:rsidRPr="00496940">
          <w:rPr>
            <w:b/>
          </w:rPr>
          <w:tab/>
        </w:r>
        <w:r w:rsidR="00B73117" w:rsidRPr="00496940">
          <w:fldChar w:fldCharType="begin"/>
        </w:r>
        <w:r w:rsidRPr="00496940">
          <w:instrText>PAGE    \* MERGEFORMAT</w:instrText>
        </w:r>
        <w:r w:rsidR="00B73117" w:rsidRPr="00496940">
          <w:fldChar w:fldCharType="separate"/>
        </w:r>
        <w:r w:rsidR="00F33356">
          <w:rPr>
            <w:noProof/>
          </w:rPr>
          <w:t>17</w:t>
        </w:r>
        <w:r w:rsidR="00B73117" w:rsidRPr="00496940">
          <w:fldChar w:fldCharType="end"/>
        </w:r>
        <w:r w:rsidRPr="00496940">
          <w:tab/>
        </w:r>
      </w:p>
    </w:sdtContent>
  </w:sdt>
  <w:p w:rsidR="005346C3" w:rsidRDefault="005346C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44" w:rsidRDefault="00C62544">
      <w:r>
        <w:separator/>
      </w:r>
    </w:p>
  </w:footnote>
  <w:footnote w:type="continuationSeparator" w:id="0">
    <w:p w:rsidR="00C62544" w:rsidRDefault="00C62544">
      <w:r>
        <w:continuationSeparator/>
      </w:r>
    </w:p>
  </w:footnote>
  <w:footnote w:id="1">
    <w:p w:rsidR="000D5A5B" w:rsidRDefault="000D5A5B">
      <w:pPr>
        <w:pStyle w:val="Textpoznpodarou"/>
      </w:pPr>
      <w:r>
        <w:rPr>
          <w:rStyle w:val="Znakapoznpodarou"/>
        </w:rPr>
        <w:footnoteRef/>
      </w:r>
      <w:r>
        <w:t xml:space="preserve"> Procenta jsou z</w:t>
      </w:r>
      <w:r w:rsidR="00A112E1">
        <w:t xml:space="preserve"> redukovaného denní </w:t>
      </w:r>
      <w:r>
        <w:t>vyměřovacího základu (hrubé mzdy), příjem se započetl do stanoveného stropu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51" w:rsidRPr="00B83F51" w:rsidRDefault="00B83F51" w:rsidP="00B83F51">
    <w:pPr>
      <w:pStyle w:val="Zhlav"/>
      <w:jc w:val="right"/>
      <w:rPr>
        <w:rFonts w:ascii="Arial" w:hAnsi="Arial" w:cs="Arial"/>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C3" w:rsidRPr="0049623E" w:rsidRDefault="005346C3" w:rsidP="0049623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555"/>
    <w:multiLevelType w:val="hybridMultilevel"/>
    <w:tmpl w:val="52BEC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55008D"/>
    <w:multiLevelType w:val="hybridMultilevel"/>
    <w:tmpl w:val="8D6254F2"/>
    <w:lvl w:ilvl="0" w:tplc="A106DAE0">
      <w:start w:val="2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6B044B"/>
    <w:multiLevelType w:val="hybridMultilevel"/>
    <w:tmpl w:val="E0B63C08"/>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
    <w:nsid w:val="16FC6F55"/>
    <w:multiLevelType w:val="hybridMultilevel"/>
    <w:tmpl w:val="D960D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1372E8"/>
    <w:multiLevelType w:val="hybridMultilevel"/>
    <w:tmpl w:val="2B3A97A8"/>
    <w:lvl w:ilvl="0" w:tplc="452C1C76">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8DC70EF"/>
    <w:multiLevelType w:val="hybridMultilevel"/>
    <w:tmpl w:val="5B96E5C0"/>
    <w:lvl w:ilvl="0" w:tplc="B84480A2">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9827FB"/>
    <w:multiLevelType w:val="hybridMultilevel"/>
    <w:tmpl w:val="73087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854110"/>
    <w:multiLevelType w:val="hybridMultilevel"/>
    <w:tmpl w:val="8592CAFA"/>
    <w:lvl w:ilvl="0" w:tplc="1780D1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32074F"/>
    <w:multiLevelType w:val="hybridMultilevel"/>
    <w:tmpl w:val="0930DD44"/>
    <w:lvl w:ilvl="0" w:tplc="9272991A">
      <w:numFmt w:val="bullet"/>
      <w:lvlText w:val="-"/>
      <w:lvlJc w:val="left"/>
      <w:pPr>
        <w:ind w:left="1485" w:hanging="360"/>
      </w:pPr>
      <w:rPr>
        <w:rFonts w:ascii="Arial" w:eastAsiaTheme="minorHAnsi" w:hAnsi="Arial" w:cs="Arial" w:hint="default"/>
      </w:rPr>
    </w:lvl>
    <w:lvl w:ilvl="1" w:tplc="9272991A">
      <w:numFmt w:val="bullet"/>
      <w:lvlText w:val="-"/>
      <w:lvlJc w:val="left"/>
      <w:pPr>
        <w:ind w:left="2205" w:hanging="360"/>
      </w:pPr>
      <w:rPr>
        <w:rFonts w:ascii="Arial" w:eastAsiaTheme="minorHAnsi" w:hAnsi="Arial" w:cs="Arial"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nsid w:val="2D49745B"/>
    <w:multiLevelType w:val="hybridMultilevel"/>
    <w:tmpl w:val="41B2B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01C558D"/>
    <w:multiLevelType w:val="hybridMultilevel"/>
    <w:tmpl w:val="82706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8163B2"/>
    <w:multiLevelType w:val="hybridMultilevel"/>
    <w:tmpl w:val="6E1C92CE"/>
    <w:lvl w:ilvl="0" w:tplc="0405000F">
      <w:start w:val="1"/>
      <w:numFmt w:val="decimal"/>
      <w:lvlText w:val="%1."/>
      <w:lvlJc w:val="left"/>
      <w:pPr>
        <w:ind w:left="-351" w:hanging="360"/>
      </w:pPr>
      <w:rPr>
        <w:rFonts w:hint="default"/>
      </w:rPr>
    </w:lvl>
    <w:lvl w:ilvl="1" w:tplc="04050019" w:tentative="1">
      <w:start w:val="1"/>
      <w:numFmt w:val="lowerLetter"/>
      <w:lvlText w:val="%2."/>
      <w:lvlJc w:val="left"/>
      <w:pPr>
        <w:ind w:left="369" w:hanging="360"/>
      </w:pPr>
    </w:lvl>
    <w:lvl w:ilvl="2" w:tplc="0405001B" w:tentative="1">
      <w:start w:val="1"/>
      <w:numFmt w:val="lowerRoman"/>
      <w:lvlText w:val="%3."/>
      <w:lvlJc w:val="right"/>
      <w:pPr>
        <w:ind w:left="1089" w:hanging="180"/>
      </w:pPr>
    </w:lvl>
    <w:lvl w:ilvl="3" w:tplc="0405000F" w:tentative="1">
      <w:start w:val="1"/>
      <w:numFmt w:val="decimal"/>
      <w:lvlText w:val="%4."/>
      <w:lvlJc w:val="left"/>
      <w:pPr>
        <w:ind w:left="1809" w:hanging="360"/>
      </w:pPr>
    </w:lvl>
    <w:lvl w:ilvl="4" w:tplc="04050019" w:tentative="1">
      <w:start w:val="1"/>
      <w:numFmt w:val="lowerLetter"/>
      <w:lvlText w:val="%5."/>
      <w:lvlJc w:val="left"/>
      <w:pPr>
        <w:ind w:left="2529" w:hanging="360"/>
      </w:pPr>
    </w:lvl>
    <w:lvl w:ilvl="5" w:tplc="0405001B" w:tentative="1">
      <w:start w:val="1"/>
      <w:numFmt w:val="lowerRoman"/>
      <w:lvlText w:val="%6."/>
      <w:lvlJc w:val="right"/>
      <w:pPr>
        <w:ind w:left="3249" w:hanging="180"/>
      </w:pPr>
    </w:lvl>
    <w:lvl w:ilvl="6" w:tplc="0405000F" w:tentative="1">
      <w:start w:val="1"/>
      <w:numFmt w:val="decimal"/>
      <w:lvlText w:val="%7."/>
      <w:lvlJc w:val="left"/>
      <w:pPr>
        <w:ind w:left="3969" w:hanging="360"/>
      </w:pPr>
    </w:lvl>
    <w:lvl w:ilvl="7" w:tplc="04050019" w:tentative="1">
      <w:start w:val="1"/>
      <w:numFmt w:val="lowerLetter"/>
      <w:lvlText w:val="%8."/>
      <w:lvlJc w:val="left"/>
      <w:pPr>
        <w:ind w:left="4689" w:hanging="360"/>
      </w:pPr>
    </w:lvl>
    <w:lvl w:ilvl="8" w:tplc="0405001B" w:tentative="1">
      <w:start w:val="1"/>
      <w:numFmt w:val="lowerRoman"/>
      <w:lvlText w:val="%9."/>
      <w:lvlJc w:val="right"/>
      <w:pPr>
        <w:ind w:left="5409" w:hanging="180"/>
      </w:pPr>
    </w:lvl>
  </w:abstractNum>
  <w:abstractNum w:abstractNumId="12">
    <w:nsid w:val="320F1B03"/>
    <w:multiLevelType w:val="hybridMultilevel"/>
    <w:tmpl w:val="0F5C8732"/>
    <w:lvl w:ilvl="0" w:tplc="9272991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3A87F0F"/>
    <w:multiLevelType w:val="hybridMultilevel"/>
    <w:tmpl w:val="72A816EE"/>
    <w:lvl w:ilvl="0" w:tplc="04050001">
      <w:start w:val="1"/>
      <w:numFmt w:val="bullet"/>
      <w:lvlText w:val=""/>
      <w:lvlJc w:val="left"/>
      <w:pPr>
        <w:tabs>
          <w:tab w:val="num" w:pos="720"/>
        </w:tabs>
        <w:ind w:left="720" w:hanging="360"/>
      </w:pPr>
      <w:rPr>
        <w:rFonts w:ascii="Symbol" w:hAnsi="Symbol" w:hint="default"/>
      </w:rPr>
    </w:lvl>
    <w:lvl w:ilvl="1" w:tplc="24426AEE">
      <w:numFmt w:val="bullet"/>
      <w:lvlText w:val="–"/>
      <w:lvlJc w:val="left"/>
      <w:pPr>
        <w:ind w:left="2025" w:hanging="945"/>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50116E6"/>
    <w:multiLevelType w:val="hybridMultilevel"/>
    <w:tmpl w:val="38244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765802"/>
    <w:multiLevelType w:val="hybridMultilevel"/>
    <w:tmpl w:val="1BEEF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C80732"/>
    <w:multiLevelType w:val="hybridMultilevel"/>
    <w:tmpl w:val="AAC4B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BC406F"/>
    <w:multiLevelType w:val="hybridMultilevel"/>
    <w:tmpl w:val="AB205BD0"/>
    <w:lvl w:ilvl="0" w:tplc="04050013">
      <w:start w:val="1"/>
      <w:numFmt w:val="upp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1E93FB1"/>
    <w:multiLevelType w:val="hybridMultilevel"/>
    <w:tmpl w:val="6F20BDD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5F00CD"/>
    <w:multiLevelType w:val="hybridMultilevel"/>
    <w:tmpl w:val="AE687600"/>
    <w:lvl w:ilvl="0" w:tplc="9272991A">
      <w:numFmt w:val="bullet"/>
      <w:lvlText w:val="-"/>
      <w:lvlJc w:val="left"/>
      <w:pPr>
        <w:ind w:left="720" w:hanging="360"/>
      </w:pPr>
      <w:rPr>
        <w:rFonts w:ascii="Arial" w:eastAsiaTheme="minorHAnsi"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FF457A"/>
    <w:multiLevelType w:val="hybridMultilevel"/>
    <w:tmpl w:val="C6FEA382"/>
    <w:lvl w:ilvl="0" w:tplc="5BF2E60A">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D7F410E"/>
    <w:multiLevelType w:val="hybridMultilevel"/>
    <w:tmpl w:val="403CBBF6"/>
    <w:lvl w:ilvl="0" w:tplc="A106DAE0">
      <w:start w:val="2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1F47CC"/>
    <w:multiLevelType w:val="hybridMultilevel"/>
    <w:tmpl w:val="56B610BA"/>
    <w:lvl w:ilvl="0" w:tplc="665C736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0475B6C"/>
    <w:multiLevelType w:val="hybridMultilevel"/>
    <w:tmpl w:val="E2FED6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00418D"/>
    <w:multiLevelType w:val="hybridMultilevel"/>
    <w:tmpl w:val="74541D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DB32CF2"/>
    <w:multiLevelType w:val="hybridMultilevel"/>
    <w:tmpl w:val="0AFCB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C9B12B2"/>
    <w:multiLevelType w:val="hybridMultilevel"/>
    <w:tmpl w:val="F0F8FD5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nsid w:val="7F367CD3"/>
    <w:multiLevelType w:val="hybridMultilevel"/>
    <w:tmpl w:val="0B3EC1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3"/>
  </w:num>
  <w:num w:numId="4">
    <w:abstractNumId w:val="5"/>
  </w:num>
  <w:num w:numId="5">
    <w:abstractNumId w:val="0"/>
  </w:num>
  <w:num w:numId="6">
    <w:abstractNumId w:val="6"/>
  </w:num>
  <w:num w:numId="7">
    <w:abstractNumId w:val="9"/>
  </w:num>
  <w:num w:numId="8">
    <w:abstractNumId w:val="26"/>
  </w:num>
  <w:num w:numId="9">
    <w:abstractNumId w:val="25"/>
  </w:num>
  <w:num w:numId="10">
    <w:abstractNumId w:val="15"/>
  </w:num>
  <w:num w:numId="11">
    <w:abstractNumId w:val="7"/>
  </w:num>
  <w:num w:numId="12">
    <w:abstractNumId w:val="23"/>
  </w:num>
  <w:num w:numId="13">
    <w:abstractNumId w:val="14"/>
  </w:num>
  <w:num w:numId="14">
    <w:abstractNumId w:val="10"/>
  </w:num>
  <w:num w:numId="15">
    <w:abstractNumId w:val="12"/>
  </w:num>
  <w:num w:numId="16">
    <w:abstractNumId w:val="20"/>
  </w:num>
  <w:num w:numId="17">
    <w:abstractNumId w:val="22"/>
  </w:num>
  <w:num w:numId="18">
    <w:abstractNumId w:val="19"/>
  </w:num>
  <w:num w:numId="19">
    <w:abstractNumId w:val="8"/>
  </w:num>
  <w:num w:numId="20">
    <w:abstractNumId w:val="21"/>
  </w:num>
  <w:num w:numId="21">
    <w:abstractNumId w:val="24"/>
  </w:num>
  <w:num w:numId="22">
    <w:abstractNumId w:val="16"/>
  </w:num>
  <w:num w:numId="23">
    <w:abstractNumId w:val="17"/>
  </w:num>
  <w:num w:numId="24">
    <w:abstractNumId w:val="1"/>
  </w:num>
  <w:num w:numId="25">
    <w:abstractNumId w:val="11"/>
  </w:num>
  <w:num w:numId="26">
    <w:abstractNumId w:val="3"/>
  </w:num>
  <w:num w:numId="27">
    <w:abstractNumId w:val="18"/>
  </w:num>
  <w:num w:numId="28">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37688"/>
    <w:rsid w:val="00022BE9"/>
    <w:rsid w:val="000247AF"/>
    <w:rsid w:val="0002776F"/>
    <w:rsid w:val="00046339"/>
    <w:rsid w:val="00061CC4"/>
    <w:rsid w:val="000643CA"/>
    <w:rsid w:val="00076820"/>
    <w:rsid w:val="0009503F"/>
    <w:rsid w:val="00097350"/>
    <w:rsid w:val="000A1D3C"/>
    <w:rsid w:val="000D4FEB"/>
    <w:rsid w:val="000D5A5B"/>
    <w:rsid w:val="000E13A8"/>
    <w:rsid w:val="000E3BC2"/>
    <w:rsid w:val="00110D76"/>
    <w:rsid w:val="00112396"/>
    <w:rsid w:val="001244FE"/>
    <w:rsid w:val="00127E03"/>
    <w:rsid w:val="00152E63"/>
    <w:rsid w:val="001627C5"/>
    <w:rsid w:val="0016565A"/>
    <w:rsid w:val="0017103A"/>
    <w:rsid w:val="00180526"/>
    <w:rsid w:val="00193474"/>
    <w:rsid w:val="00193D54"/>
    <w:rsid w:val="00195EFD"/>
    <w:rsid w:val="001A14BE"/>
    <w:rsid w:val="001A409C"/>
    <w:rsid w:val="001A5114"/>
    <w:rsid w:val="001C4790"/>
    <w:rsid w:val="001C6D81"/>
    <w:rsid w:val="001D1044"/>
    <w:rsid w:val="00225FD4"/>
    <w:rsid w:val="002261C1"/>
    <w:rsid w:val="00233DE7"/>
    <w:rsid w:val="0024238A"/>
    <w:rsid w:val="0024619D"/>
    <w:rsid w:val="0025159E"/>
    <w:rsid w:val="00264373"/>
    <w:rsid w:val="00264CE6"/>
    <w:rsid w:val="002847CC"/>
    <w:rsid w:val="00290347"/>
    <w:rsid w:val="0029686A"/>
    <w:rsid w:val="002A7ACB"/>
    <w:rsid w:val="002B5E16"/>
    <w:rsid w:val="002C35D6"/>
    <w:rsid w:val="002D5734"/>
    <w:rsid w:val="002D5B22"/>
    <w:rsid w:val="002E320A"/>
    <w:rsid w:val="002F75FF"/>
    <w:rsid w:val="0030306A"/>
    <w:rsid w:val="00311008"/>
    <w:rsid w:val="00335E79"/>
    <w:rsid w:val="003413A4"/>
    <w:rsid w:val="00341DD6"/>
    <w:rsid w:val="00344CA0"/>
    <w:rsid w:val="003452A5"/>
    <w:rsid w:val="003460E1"/>
    <w:rsid w:val="003709E7"/>
    <w:rsid w:val="0037627E"/>
    <w:rsid w:val="003A1A93"/>
    <w:rsid w:val="003A5394"/>
    <w:rsid w:val="003B042F"/>
    <w:rsid w:val="003B6E51"/>
    <w:rsid w:val="003D638C"/>
    <w:rsid w:val="003E2EAF"/>
    <w:rsid w:val="003F1B30"/>
    <w:rsid w:val="003F3E2D"/>
    <w:rsid w:val="00406EDC"/>
    <w:rsid w:val="00416922"/>
    <w:rsid w:val="004203BB"/>
    <w:rsid w:val="00433379"/>
    <w:rsid w:val="00443C83"/>
    <w:rsid w:val="0049623E"/>
    <w:rsid w:val="0049678F"/>
    <w:rsid w:val="00496940"/>
    <w:rsid w:val="004A079B"/>
    <w:rsid w:val="004B092A"/>
    <w:rsid w:val="004E5718"/>
    <w:rsid w:val="004E5C96"/>
    <w:rsid w:val="004F0F21"/>
    <w:rsid w:val="00507D28"/>
    <w:rsid w:val="00525A40"/>
    <w:rsid w:val="005346C3"/>
    <w:rsid w:val="00547E08"/>
    <w:rsid w:val="00554D65"/>
    <w:rsid w:val="005768A2"/>
    <w:rsid w:val="005775B2"/>
    <w:rsid w:val="00580FAE"/>
    <w:rsid w:val="00591CE5"/>
    <w:rsid w:val="005921B7"/>
    <w:rsid w:val="005934A8"/>
    <w:rsid w:val="00596414"/>
    <w:rsid w:val="005A0798"/>
    <w:rsid w:val="005A65F9"/>
    <w:rsid w:val="005B3DCB"/>
    <w:rsid w:val="005D278E"/>
    <w:rsid w:val="005F285D"/>
    <w:rsid w:val="006077EA"/>
    <w:rsid w:val="00617C22"/>
    <w:rsid w:val="00626118"/>
    <w:rsid w:val="00632E5B"/>
    <w:rsid w:val="00644D0B"/>
    <w:rsid w:val="00662BD9"/>
    <w:rsid w:val="0066303D"/>
    <w:rsid w:val="00676B79"/>
    <w:rsid w:val="00695C0F"/>
    <w:rsid w:val="006A41D5"/>
    <w:rsid w:val="006B0306"/>
    <w:rsid w:val="006B1C8A"/>
    <w:rsid w:val="006B6BDF"/>
    <w:rsid w:val="006B7087"/>
    <w:rsid w:val="006C7327"/>
    <w:rsid w:val="006C7F89"/>
    <w:rsid w:val="006F1782"/>
    <w:rsid w:val="006F35F9"/>
    <w:rsid w:val="00705375"/>
    <w:rsid w:val="00715F04"/>
    <w:rsid w:val="00721695"/>
    <w:rsid w:val="00730782"/>
    <w:rsid w:val="00737688"/>
    <w:rsid w:val="007508F4"/>
    <w:rsid w:val="00776C1B"/>
    <w:rsid w:val="00776EF3"/>
    <w:rsid w:val="007946EC"/>
    <w:rsid w:val="00794D3B"/>
    <w:rsid w:val="007A2FE0"/>
    <w:rsid w:val="007A3A3A"/>
    <w:rsid w:val="007B527A"/>
    <w:rsid w:val="007C3F15"/>
    <w:rsid w:val="007C7F2E"/>
    <w:rsid w:val="007D2075"/>
    <w:rsid w:val="007E6364"/>
    <w:rsid w:val="007F6789"/>
    <w:rsid w:val="00824991"/>
    <w:rsid w:val="008329D0"/>
    <w:rsid w:val="00840D57"/>
    <w:rsid w:val="008418DD"/>
    <w:rsid w:val="008439EE"/>
    <w:rsid w:val="00854AF0"/>
    <w:rsid w:val="00895DE1"/>
    <w:rsid w:val="00896D66"/>
    <w:rsid w:val="008A3DF0"/>
    <w:rsid w:val="008A5024"/>
    <w:rsid w:val="008D0EAA"/>
    <w:rsid w:val="008D3BC8"/>
    <w:rsid w:val="008D41A6"/>
    <w:rsid w:val="008E1BBA"/>
    <w:rsid w:val="00904D31"/>
    <w:rsid w:val="009120A2"/>
    <w:rsid w:val="009249B0"/>
    <w:rsid w:val="009324C0"/>
    <w:rsid w:val="009330DB"/>
    <w:rsid w:val="00937A37"/>
    <w:rsid w:val="00943494"/>
    <w:rsid w:val="00946DEC"/>
    <w:rsid w:val="009510D9"/>
    <w:rsid w:val="0096293F"/>
    <w:rsid w:val="00965D88"/>
    <w:rsid w:val="00973875"/>
    <w:rsid w:val="00976507"/>
    <w:rsid w:val="0098673C"/>
    <w:rsid w:val="009A697E"/>
    <w:rsid w:val="009B3FFA"/>
    <w:rsid w:val="009B43F1"/>
    <w:rsid w:val="009D4739"/>
    <w:rsid w:val="009E6761"/>
    <w:rsid w:val="00A02608"/>
    <w:rsid w:val="00A026CC"/>
    <w:rsid w:val="00A06466"/>
    <w:rsid w:val="00A112E1"/>
    <w:rsid w:val="00A146A2"/>
    <w:rsid w:val="00A33439"/>
    <w:rsid w:val="00A3641D"/>
    <w:rsid w:val="00A53903"/>
    <w:rsid w:val="00A53CB1"/>
    <w:rsid w:val="00A56D64"/>
    <w:rsid w:val="00A60695"/>
    <w:rsid w:val="00A742DB"/>
    <w:rsid w:val="00A7715F"/>
    <w:rsid w:val="00A77D61"/>
    <w:rsid w:val="00A90599"/>
    <w:rsid w:val="00A93A3C"/>
    <w:rsid w:val="00AB0240"/>
    <w:rsid w:val="00AB4125"/>
    <w:rsid w:val="00AB51F4"/>
    <w:rsid w:val="00AC2AD0"/>
    <w:rsid w:val="00AC3CF8"/>
    <w:rsid w:val="00AC7001"/>
    <w:rsid w:val="00AF1DB0"/>
    <w:rsid w:val="00AF4A2E"/>
    <w:rsid w:val="00B001E7"/>
    <w:rsid w:val="00B018C7"/>
    <w:rsid w:val="00B101B8"/>
    <w:rsid w:val="00B174A7"/>
    <w:rsid w:val="00B261A8"/>
    <w:rsid w:val="00B453D8"/>
    <w:rsid w:val="00B534A1"/>
    <w:rsid w:val="00B60FEA"/>
    <w:rsid w:val="00B66F2A"/>
    <w:rsid w:val="00B71157"/>
    <w:rsid w:val="00B73117"/>
    <w:rsid w:val="00B833A5"/>
    <w:rsid w:val="00B83F51"/>
    <w:rsid w:val="00B85037"/>
    <w:rsid w:val="00B91D93"/>
    <w:rsid w:val="00B95905"/>
    <w:rsid w:val="00BC4BFF"/>
    <w:rsid w:val="00BD4226"/>
    <w:rsid w:val="00BD60E4"/>
    <w:rsid w:val="00BF26A6"/>
    <w:rsid w:val="00BF6B76"/>
    <w:rsid w:val="00C14800"/>
    <w:rsid w:val="00C16BB2"/>
    <w:rsid w:val="00C34264"/>
    <w:rsid w:val="00C427B0"/>
    <w:rsid w:val="00C62544"/>
    <w:rsid w:val="00C73BE2"/>
    <w:rsid w:val="00C919F8"/>
    <w:rsid w:val="00C92644"/>
    <w:rsid w:val="00C95143"/>
    <w:rsid w:val="00C97871"/>
    <w:rsid w:val="00CA6BB0"/>
    <w:rsid w:val="00CB0BE8"/>
    <w:rsid w:val="00CC027E"/>
    <w:rsid w:val="00CD2D55"/>
    <w:rsid w:val="00CD526A"/>
    <w:rsid w:val="00CD77D9"/>
    <w:rsid w:val="00CE16F5"/>
    <w:rsid w:val="00CE46E8"/>
    <w:rsid w:val="00CE5F98"/>
    <w:rsid w:val="00D16462"/>
    <w:rsid w:val="00D372F8"/>
    <w:rsid w:val="00D63C53"/>
    <w:rsid w:val="00D74D72"/>
    <w:rsid w:val="00D80CF0"/>
    <w:rsid w:val="00D812B3"/>
    <w:rsid w:val="00D91422"/>
    <w:rsid w:val="00DA785E"/>
    <w:rsid w:val="00DC2933"/>
    <w:rsid w:val="00DD7DD6"/>
    <w:rsid w:val="00DF0154"/>
    <w:rsid w:val="00DF02F5"/>
    <w:rsid w:val="00DF33AF"/>
    <w:rsid w:val="00E0685D"/>
    <w:rsid w:val="00E35A30"/>
    <w:rsid w:val="00E360A9"/>
    <w:rsid w:val="00E370E9"/>
    <w:rsid w:val="00E37960"/>
    <w:rsid w:val="00E66D91"/>
    <w:rsid w:val="00E6726C"/>
    <w:rsid w:val="00E7199E"/>
    <w:rsid w:val="00E72EAA"/>
    <w:rsid w:val="00E806B3"/>
    <w:rsid w:val="00E81A0A"/>
    <w:rsid w:val="00E838A9"/>
    <w:rsid w:val="00E90979"/>
    <w:rsid w:val="00E90E65"/>
    <w:rsid w:val="00E951A5"/>
    <w:rsid w:val="00EB39EB"/>
    <w:rsid w:val="00EC0B59"/>
    <w:rsid w:val="00EC26D9"/>
    <w:rsid w:val="00EC4533"/>
    <w:rsid w:val="00EC56E3"/>
    <w:rsid w:val="00ED0F8E"/>
    <w:rsid w:val="00EE3BDE"/>
    <w:rsid w:val="00EE79B6"/>
    <w:rsid w:val="00EF1A8C"/>
    <w:rsid w:val="00F176FF"/>
    <w:rsid w:val="00F25635"/>
    <w:rsid w:val="00F33356"/>
    <w:rsid w:val="00F3554E"/>
    <w:rsid w:val="00F374BF"/>
    <w:rsid w:val="00F37907"/>
    <w:rsid w:val="00F400C3"/>
    <w:rsid w:val="00F666BA"/>
    <w:rsid w:val="00F742CF"/>
    <w:rsid w:val="00F82095"/>
    <w:rsid w:val="00F94E1A"/>
    <w:rsid w:val="00FA1AC9"/>
    <w:rsid w:val="00FA3261"/>
    <w:rsid w:val="00FB431C"/>
    <w:rsid w:val="00FC6C71"/>
    <w:rsid w:val="00FD4871"/>
    <w:rsid w:val="00FF2869"/>
    <w:rsid w:val="00FF67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cs-CZ" w:eastAsia="en-US" w:bidi="ar-SA"/>
      </w:rPr>
    </w:rPrDefault>
    <w:pPrDefault>
      <w:pPr>
        <w:spacing w:before="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D3C"/>
    <w:pPr>
      <w:spacing w:before="0"/>
      <w:ind w:left="0" w:firstLine="0"/>
      <w:jc w:val="left"/>
    </w:pPr>
    <w:rPr>
      <w:rFonts w:ascii="Times New Roman" w:eastAsia="Times New Roman" w:hAnsi="Times New Roman" w:cs="Times New Roman"/>
      <w:szCs w:val="24"/>
      <w:lang w:eastAsia="cs-CZ"/>
    </w:rPr>
  </w:style>
  <w:style w:type="paragraph" w:styleId="Nadpis1">
    <w:name w:val="heading 1"/>
    <w:basedOn w:val="Normln"/>
    <w:next w:val="Normln"/>
    <w:link w:val="Nadpis1Char"/>
    <w:uiPriority w:val="9"/>
    <w:qFormat/>
    <w:rsid w:val="00E360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qFormat/>
    <w:rsid w:val="00BF6B76"/>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9E676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A1D3C"/>
    <w:rPr>
      <w:rFonts w:ascii="Courier New" w:hAnsi="Courier New" w:cs="Courier New"/>
    </w:rPr>
  </w:style>
  <w:style w:type="character" w:customStyle="1" w:styleId="ProsttextChar">
    <w:name w:val="Prostý text Char"/>
    <w:basedOn w:val="Standardnpsmoodstavce"/>
    <w:link w:val="Prosttext"/>
    <w:rsid w:val="000A1D3C"/>
    <w:rPr>
      <w:rFonts w:ascii="Courier New" w:eastAsia="Times New Roman" w:hAnsi="Courier New" w:cs="Courier New"/>
      <w:szCs w:val="24"/>
      <w:lang w:eastAsia="cs-CZ"/>
    </w:rPr>
  </w:style>
  <w:style w:type="paragraph" w:styleId="Zkladntext">
    <w:name w:val="Body Text"/>
    <w:basedOn w:val="Normln"/>
    <w:link w:val="ZkladntextChar"/>
    <w:rsid w:val="000A1D3C"/>
    <w:pPr>
      <w:spacing w:before="120"/>
      <w:jc w:val="both"/>
    </w:pPr>
    <w:rPr>
      <w:rFonts w:ascii="Arial" w:hAnsi="Arial"/>
    </w:rPr>
  </w:style>
  <w:style w:type="character" w:customStyle="1" w:styleId="ZkladntextChar">
    <w:name w:val="Základní text Char"/>
    <w:basedOn w:val="Standardnpsmoodstavce"/>
    <w:link w:val="Zkladntext"/>
    <w:rsid w:val="000A1D3C"/>
    <w:rPr>
      <w:rFonts w:eastAsia="Times New Roman" w:cs="Times New Roman"/>
      <w:szCs w:val="24"/>
      <w:lang w:eastAsia="cs-CZ"/>
    </w:rPr>
  </w:style>
  <w:style w:type="paragraph" w:customStyle="1" w:styleId="Odstavecseseznamem1">
    <w:name w:val="Odstavec se seznamem1"/>
    <w:basedOn w:val="Normln"/>
    <w:qFormat/>
    <w:rsid w:val="000A1D3C"/>
    <w:pPr>
      <w:spacing w:before="120"/>
      <w:ind w:left="720"/>
      <w:contextualSpacing/>
      <w:jc w:val="both"/>
    </w:pPr>
    <w:rPr>
      <w:rFonts w:ascii="Calibri" w:eastAsia="Calibri" w:hAnsi="Calibri"/>
      <w:sz w:val="22"/>
      <w:szCs w:val="22"/>
      <w:lang w:eastAsia="en-US"/>
    </w:rPr>
  </w:style>
  <w:style w:type="character" w:styleId="Hypertextovodkaz">
    <w:name w:val="Hyperlink"/>
    <w:rsid w:val="000A1D3C"/>
    <w:rPr>
      <w:rFonts w:cs="Times New Roman"/>
      <w:color w:val="0000FF"/>
      <w:u w:val="single"/>
    </w:rPr>
  </w:style>
  <w:style w:type="paragraph" w:styleId="Rozvrendokumentu">
    <w:name w:val="Document Map"/>
    <w:basedOn w:val="Normln"/>
    <w:link w:val="RozvrendokumentuChar"/>
    <w:semiHidden/>
    <w:rsid w:val="000A1D3C"/>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semiHidden/>
    <w:rsid w:val="000A1D3C"/>
    <w:rPr>
      <w:rFonts w:ascii="Tahoma" w:eastAsia="Times New Roman" w:hAnsi="Tahoma" w:cs="Tahoma"/>
      <w:sz w:val="20"/>
      <w:szCs w:val="20"/>
      <w:shd w:val="clear" w:color="auto" w:fill="000080"/>
      <w:lang w:eastAsia="cs-CZ"/>
    </w:rPr>
  </w:style>
  <w:style w:type="paragraph" w:styleId="Zhlav">
    <w:name w:val="header"/>
    <w:basedOn w:val="Normln"/>
    <w:link w:val="ZhlavChar"/>
    <w:rsid w:val="000A1D3C"/>
    <w:pPr>
      <w:widowControl w:val="0"/>
      <w:tabs>
        <w:tab w:val="center" w:pos="4536"/>
        <w:tab w:val="right" w:pos="9072"/>
      </w:tabs>
    </w:pPr>
    <w:rPr>
      <w:sz w:val="20"/>
      <w:szCs w:val="20"/>
    </w:rPr>
  </w:style>
  <w:style w:type="character" w:customStyle="1" w:styleId="ZhlavChar">
    <w:name w:val="Záhlaví Char"/>
    <w:basedOn w:val="Standardnpsmoodstavce"/>
    <w:link w:val="Zhlav"/>
    <w:rsid w:val="000A1D3C"/>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0A1D3C"/>
    <w:rPr>
      <w:rFonts w:ascii="Tahoma" w:hAnsi="Tahoma" w:cs="Tahoma"/>
      <w:sz w:val="16"/>
      <w:szCs w:val="16"/>
    </w:rPr>
  </w:style>
  <w:style w:type="character" w:customStyle="1" w:styleId="TextbublinyChar">
    <w:name w:val="Text bubliny Char"/>
    <w:basedOn w:val="Standardnpsmoodstavce"/>
    <w:link w:val="Textbubliny"/>
    <w:rsid w:val="000A1D3C"/>
    <w:rPr>
      <w:rFonts w:ascii="Tahoma" w:eastAsia="Times New Roman" w:hAnsi="Tahoma" w:cs="Tahoma"/>
      <w:sz w:val="16"/>
      <w:szCs w:val="16"/>
      <w:lang w:eastAsia="cs-CZ"/>
    </w:rPr>
  </w:style>
  <w:style w:type="paragraph" w:styleId="Zpat">
    <w:name w:val="footer"/>
    <w:basedOn w:val="Normln"/>
    <w:link w:val="ZpatChar"/>
    <w:uiPriority w:val="99"/>
    <w:rsid w:val="000A1D3C"/>
    <w:pPr>
      <w:tabs>
        <w:tab w:val="center" w:pos="4536"/>
        <w:tab w:val="right" w:pos="9072"/>
      </w:tabs>
    </w:pPr>
  </w:style>
  <w:style w:type="character" w:customStyle="1" w:styleId="ZpatChar">
    <w:name w:val="Zápatí Char"/>
    <w:basedOn w:val="Standardnpsmoodstavce"/>
    <w:link w:val="Zpat"/>
    <w:uiPriority w:val="99"/>
    <w:rsid w:val="000A1D3C"/>
    <w:rPr>
      <w:rFonts w:ascii="Times New Roman" w:eastAsia="Times New Roman" w:hAnsi="Times New Roman" w:cs="Times New Roman"/>
      <w:szCs w:val="24"/>
      <w:lang w:eastAsia="cs-CZ"/>
    </w:rPr>
  </w:style>
  <w:style w:type="character" w:styleId="Odkaznakoment">
    <w:name w:val="annotation reference"/>
    <w:rsid w:val="000A1D3C"/>
    <w:rPr>
      <w:sz w:val="16"/>
      <w:szCs w:val="16"/>
    </w:rPr>
  </w:style>
  <w:style w:type="paragraph" w:styleId="Textkomente">
    <w:name w:val="annotation text"/>
    <w:basedOn w:val="Normln"/>
    <w:link w:val="TextkomenteChar"/>
    <w:rsid w:val="000A1D3C"/>
    <w:rPr>
      <w:sz w:val="20"/>
      <w:szCs w:val="20"/>
    </w:rPr>
  </w:style>
  <w:style w:type="character" w:customStyle="1" w:styleId="TextkomenteChar">
    <w:name w:val="Text komentáře Char"/>
    <w:basedOn w:val="Standardnpsmoodstavce"/>
    <w:link w:val="Textkomente"/>
    <w:rsid w:val="000A1D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A1D3C"/>
    <w:rPr>
      <w:b/>
      <w:bCs/>
    </w:rPr>
  </w:style>
  <w:style w:type="character" w:customStyle="1" w:styleId="PedmtkomenteChar">
    <w:name w:val="Předmět komentáře Char"/>
    <w:basedOn w:val="TextkomenteChar"/>
    <w:link w:val="Pedmtkomente"/>
    <w:rsid w:val="000A1D3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21695"/>
    <w:pPr>
      <w:ind w:left="720"/>
      <w:contextualSpacing/>
    </w:pPr>
  </w:style>
  <w:style w:type="character" w:customStyle="1" w:styleId="mark">
    <w:name w:val="mark"/>
    <w:basedOn w:val="Standardnpsmoodstavce"/>
    <w:rsid w:val="00BF6B76"/>
  </w:style>
  <w:style w:type="paragraph" w:styleId="Normlnweb">
    <w:name w:val="Normal (Web)"/>
    <w:basedOn w:val="Normln"/>
    <w:uiPriority w:val="99"/>
    <w:semiHidden/>
    <w:unhideWhenUsed/>
    <w:rsid w:val="00BF6B76"/>
    <w:pPr>
      <w:spacing w:before="100" w:beforeAutospacing="1" w:after="100" w:afterAutospacing="1"/>
    </w:pPr>
  </w:style>
  <w:style w:type="character" w:styleId="Siln">
    <w:name w:val="Strong"/>
    <w:basedOn w:val="Standardnpsmoodstavce"/>
    <w:uiPriority w:val="22"/>
    <w:qFormat/>
    <w:rsid w:val="00BF6B76"/>
    <w:rPr>
      <w:b/>
      <w:bCs/>
    </w:rPr>
  </w:style>
  <w:style w:type="character" w:customStyle="1" w:styleId="Nadpis2Char">
    <w:name w:val="Nadpis 2 Char"/>
    <w:basedOn w:val="Standardnpsmoodstavce"/>
    <w:link w:val="Nadpis2"/>
    <w:uiPriority w:val="9"/>
    <w:rsid w:val="00BF6B76"/>
    <w:rPr>
      <w:rFonts w:ascii="Times New Roman" w:eastAsia="Times New Roman" w:hAnsi="Times New Roman" w:cs="Times New Roman"/>
      <w:b/>
      <w:bCs/>
      <w:sz w:val="36"/>
      <w:szCs w:val="36"/>
      <w:lang w:eastAsia="cs-CZ"/>
    </w:rPr>
  </w:style>
  <w:style w:type="paragraph" w:styleId="Bezmezer">
    <w:name w:val="No Spacing"/>
    <w:uiPriority w:val="1"/>
    <w:qFormat/>
    <w:rsid w:val="00715F04"/>
    <w:pPr>
      <w:spacing w:before="0"/>
      <w:ind w:left="0" w:firstLine="0"/>
      <w:jc w:val="left"/>
    </w:pPr>
    <w:rPr>
      <w:rFonts w:eastAsia="Arial" w:cs="Times New Roman"/>
      <w:sz w:val="22"/>
    </w:rPr>
  </w:style>
  <w:style w:type="paragraph" w:styleId="Textpoznpodarou">
    <w:name w:val="footnote text"/>
    <w:basedOn w:val="Normln"/>
    <w:link w:val="TextpoznpodarouChar"/>
    <w:uiPriority w:val="99"/>
    <w:semiHidden/>
    <w:unhideWhenUsed/>
    <w:rsid w:val="00715F04"/>
    <w:rPr>
      <w:rFonts w:ascii="Arial" w:eastAsia="Arial" w:hAnsi="Arial"/>
      <w:sz w:val="20"/>
      <w:szCs w:val="20"/>
      <w:lang w:eastAsia="en-US"/>
    </w:rPr>
  </w:style>
  <w:style w:type="character" w:customStyle="1" w:styleId="TextpoznpodarouChar">
    <w:name w:val="Text pozn. pod čarou Char"/>
    <w:basedOn w:val="Standardnpsmoodstavce"/>
    <w:link w:val="Textpoznpodarou"/>
    <w:uiPriority w:val="99"/>
    <w:semiHidden/>
    <w:rsid w:val="00715F04"/>
    <w:rPr>
      <w:rFonts w:eastAsia="Arial" w:cs="Times New Roman"/>
      <w:sz w:val="20"/>
      <w:szCs w:val="20"/>
    </w:rPr>
  </w:style>
  <w:style w:type="character" w:styleId="Znakapoznpodarou">
    <w:name w:val="footnote reference"/>
    <w:uiPriority w:val="99"/>
    <w:semiHidden/>
    <w:unhideWhenUsed/>
    <w:rsid w:val="00715F04"/>
    <w:rPr>
      <w:vertAlign w:val="superscript"/>
    </w:rPr>
  </w:style>
  <w:style w:type="character" w:customStyle="1" w:styleId="Nadpis1Char">
    <w:name w:val="Nadpis 1 Char"/>
    <w:basedOn w:val="Standardnpsmoodstavce"/>
    <w:link w:val="Nadpis1"/>
    <w:uiPriority w:val="9"/>
    <w:rsid w:val="00E360A9"/>
    <w:rPr>
      <w:rFonts w:asciiTheme="majorHAnsi" w:eastAsiaTheme="majorEastAsia" w:hAnsiTheme="majorHAnsi" w:cstheme="majorBidi"/>
      <w:b/>
      <w:bCs/>
      <w:color w:val="365F91" w:themeColor="accent1" w:themeShade="BF"/>
      <w:sz w:val="28"/>
      <w:szCs w:val="28"/>
    </w:rPr>
  </w:style>
  <w:style w:type="paragraph" w:styleId="Titulek">
    <w:name w:val="caption"/>
    <w:basedOn w:val="Normln"/>
    <w:next w:val="Normln"/>
    <w:uiPriority w:val="35"/>
    <w:unhideWhenUsed/>
    <w:qFormat/>
    <w:rsid w:val="00E360A9"/>
    <w:pPr>
      <w:spacing w:after="200"/>
    </w:pPr>
    <w:rPr>
      <w:rFonts w:asciiTheme="minorHAnsi" w:eastAsiaTheme="minorHAnsi" w:hAnsiTheme="minorHAnsi" w:cstheme="minorBidi"/>
      <w:b/>
      <w:bCs/>
      <w:color w:val="4F81BD" w:themeColor="accent1"/>
      <w:sz w:val="18"/>
      <w:szCs w:val="18"/>
      <w:lang w:eastAsia="en-US"/>
    </w:rPr>
  </w:style>
  <w:style w:type="character" w:customStyle="1" w:styleId="Nadpis3Char">
    <w:name w:val="Nadpis 3 Char"/>
    <w:basedOn w:val="Standardnpsmoodstavce"/>
    <w:link w:val="Nadpis3"/>
    <w:uiPriority w:val="9"/>
    <w:rsid w:val="009E6761"/>
    <w:rPr>
      <w:rFonts w:asciiTheme="majorHAnsi" w:eastAsiaTheme="majorEastAsia" w:hAnsiTheme="majorHAnsi" w:cstheme="majorBidi"/>
      <w:b/>
      <w:bCs/>
      <w:color w:val="4F81BD" w:themeColor="accent1"/>
      <w:szCs w:val="24"/>
      <w:lang w:eastAsia="cs-CZ"/>
    </w:rPr>
  </w:style>
  <w:style w:type="table" w:styleId="Mkatabulky">
    <w:name w:val="Table Grid"/>
    <w:basedOn w:val="Normlntabulka"/>
    <w:uiPriority w:val="59"/>
    <w:rsid w:val="005A65F9"/>
    <w:pPr>
      <w:spacing w:before="0"/>
      <w:ind w:left="0"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tlivek">
    <w:name w:val="endnote text"/>
    <w:basedOn w:val="Normln"/>
    <w:link w:val="TextvysvtlivekChar"/>
    <w:uiPriority w:val="99"/>
    <w:semiHidden/>
    <w:unhideWhenUsed/>
    <w:rsid w:val="000D5A5B"/>
    <w:rPr>
      <w:sz w:val="20"/>
      <w:szCs w:val="20"/>
    </w:rPr>
  </w:style>
  <w:style w:type="character" w:customStyle="1" w:styleId="TextvysvtlivekChar">
    <w:name w:val="Text vysvětlivek Char"/>
    <w:basedOn w:val="Standardnpsmoodstavce"/>
    <w:link w:val="Textvysvtlivek"/>
    <w:uiPriority w:val="99"/>
    <w:semiHidden/>
    <w:rsid w:val="000D5A5B"/>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D5A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before="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1D3C"/>
    <w:pPr>
      <w:spacing w:before="0"/>
      <w:ind w:left="0" w:firstLine="0"/>
      <w:jc w:val="left"/>
    </w:pPr>
    <w:rPr>
      <w:rFonts w:ascii="Times New Roman" w:eastAsia="Times New Roman" w:hAnsi="Times New Roman" w:cs="Times New Roman"/>
      <w:szCs w:val="24"/>
      <w:lang w:eastAsia="cs-CZ"/>
    </w:rPr>
  </w:style>
  <w:style w:type="paragraph" w:styleId="Nadpis1">
    <w:name w:val="heading 1"/>
    <w:basedOn w:val="Normln"/>
    <w:next w:val="Normln"/>
    <w:link w:val="Nadpis1Char"/>
    <w:uiPriority w:val="9"/>
    <w:qFormat/>
    <w:rsid w:val="00E360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qFormat/>
    <w:rsid w:val="00BF6B76"/>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9E6761"/>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0A1D3C"/>
    <w:rPr>
      <w:rFonts w:ascii="Courier New" w:hAnsi="Courier New" w:cs="Courier New"/>
    </w:rPr>
  </w:style>
  <w:style w:type="character" w:customStyle="1" w:styleId="ProsttextChar">
    <w:name w:val="Prostý text Char"/>
    <w:basedOn w:val="Standardnpsmoodstavce"/>
    <w:link w:val="Prosttext"/>
    <w:rsid w:val="000A1D3C"/>
    <w:rPr>
      <w:rFonts w:ascii="Courier New" w:eastAsia="Times New Roman" w:hAnsi="Courier New" w:cs="Courier New"/>
      <w:szCs w:val="24"/>
      <w:lang w:eastAsia="cs-CZ"/>
    </w:rPr>
  </w:style>
  <w:style w:type="paragraph" w:styleId="Zkladntext">
    <w:name w:val="Body Text"/>
    <w:basedOn w:val="Normln"/>
    <w:link w:val="ZkladntextChar"/>
    <w:rsid w:val="000A1D3C"/>
    <w:pPr>
      <w:spacing w:before="120"/>
      <w:jc w:val="both"/>
    </w:pPr>
    <w:rPr>
      <w:rFonts w:ascii="Arial" w:hAnsi="Arial"/>
    </w:rPr>
  </w:style>
  <w:style w:type="character" w:customStyle="1" w:styleId="ZkladntextChar">
    <w:name w:val="Základní text Char"/>
    <w:basedOn w:val="Standardnpsmoodstavce"/>
    <w:link w:val="Zkladntext"/>
    <w:rsid w:val="000A1D3C"/>
    <w:rPr>
      <w:rFonts w:eastAsia="Times New Roman" w:cs="Times New Roman"/>
      <w:szCs w:val="24"/>
      <w:lang w:eastAsia="cs-CZ"/>
    </w:rPr>
  </w:style>
  <w:style w:type="paragraph" w:customStyle="1" w:styleId="Odstavecseseznamem1">
    <w:name w:val="Odstavec se seznamem1"/>
    <w:basedOn w:val="Normln"/>
    <w:qFormat/>
    <w:rsid w:val="000A1D3C"/>
    <w:pPr>
      <w:spacing w:before="120"/>
      <w:ind w:left="720"/>
      <w:contextualSpacing/>
      <w:jc w:val="both"/>
    </w:pPr>
    <w:rPr>
      <w:rFonts w:ascii="Calibri" w:eastAsia="Calibri" w:hAnsi="Calibri"/>
      <w:sz w:val="22"/>
      <w:szCs w:val="22"/>
      <w:lang w:eastAsia="en-US"/>
    </w:rPr>
  </w:style>
  <w:style w:type="character" w:styleId="Hypertextovodkaz">
    <w:name w:val="Hyperlink"/>
    <w:rsid w:val="000A1D3C"/>
    <w:rPr>
      <w:rFonts w:cs="Times New Roman"/>
      <w:color w:val="0000FF"/>
      <w:u w:val="single"/>
    </w:rPr>
  </w:style>
  <w:style w:type="paragraph" w:styleId="Rozloendokumentu">
    <w:name w:val="Document Map"/>
    <w:basedOn w:val="Normln"/>
    <w:link w:val="RozloendokumentuChar"/>
    <w:semiHidden/>
    <w:rsid w:val="000A1D3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0A1D3C"/>
    <w:rPr>
      <w:rFonts w:ascii="Tahoma" w:eastAsia="Times New Roman" w:hAnsi="Tahoma" w:cs="Tahoma"/>
      <w:sz w:val="20"/>
      <w:szCs w:val="20"/>
      <w:shd w:val="clear" w:color="auto" w:fill="000080"/>
      <w:lang w:eastAsia="cs-CZ"/>
    </w:rPr>
  </w:style>
  <w:style w:type="paragraph" w:styleId="Zhlav">
    <w:name w:val="header"/>
    <w:basedOn w:val="Normln"/>
    <w:link w:val="ZhlavChar"/>
    <w:rsid w:val="000A1D3C"/>
    <w:pPr>
      <w:widowControl w:val="0"/>
      <w:tabs>
        <w:tab w:val="center" w:pos="4536"/>
        <w:tab w:val="right" w:pos="9072"/>
      </w:tabs>
    </w:pPr>
    <w:rPr>
      <w:sz w:val="20"/>
      <w:szCs w:val="20"/>
    </w:rPr>
  </w:style>
  <w:style w:type="character" w:customStyle="1" w:styleId="ZhlavChar">
    <w:name w:val="Záhlaví Char"/>
    <w:basedOn w:val="Standardnpsmoodstavce"/>
    <w:link w:val="Zhlav"/>
    <w:rsid w:val="000A1D3C"/>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0A1D3C"/>
    <w:rPr>
      <w:rFonts w:ascii="Tahoma" w:hAnsi="Tahoma" w:cs="Tahoma"/>
      <w:sz w:val="16"/>
      <w:szCs w:val="16"/>
    </w:rPr>
  </w:style>
  <w:style w:type="character" w:customStyle="1" w:styleId="TextbublinyChar">
    <w:name w:val="Text bubliny Char"/>
    <w:basedOn w:val="Standardnpsmoodstavce"/>
    <w:link w:val="Textbubliny"/>
    <w:rsid w:val="000A1D3C"/>
    <w:rPr>
      <w:rFonts w:ascii="Tahoma" w:eastAsia="Times New Roman" w:hAnsi="Tahoma" w:cs="Tahoma"/>
      <w:sz w:val="16"/>
      <w:szCs w:val="16"/>
      <w:lang w:eastAsia="cs-CZ"/>
    </w:rPr>
  </w:style>
  <w:style w:type="paragraph" w:styleId="Zpat">
    <w:name w:val="footer"/>
    <w:basedOn w:val="Normln"/>
    <w:link w:val="ZpatChar"/>
    <w:uiPriority w:val="99"/>
    <w:rsid w:val="000A1D3C"/>
    <w:pPr>
      <w:tabs>
        <w:tab w:val="center" w:pos="4536"/>
        <w:tab w:val="right" w:pos="9072"/>
      </w:tabs>
    </w:pPr>
  </w:style>
  <w:style w:type="character" w:customStyle="1" w:styleId="ZpatChar">
    <w:name w:val="Zápatí Char"/>
    <w:basedOn w:val="Standardnpsmoodstavce"/>
    <w:link w:val="Zpat"/>
    <w:uiPriority w:val="99"/>
    <w:rsid w:val="000A1D3C"/>
    <w:rPr>
      <w:rFonts w:ascii="Times New Roman" w:eastAsia="Times New Roman" w:hAnsi="Times New Roman" w:cs="Times New Roman"/>
      <w:szCs w:val="24"/>
      <w:lang w:eastAsia="cs-CZ"/>
    </w:rPr>
  </w:style>
  <w:style w:type="character" w:styleId="Odkaznakoment">
    <w:name w:val="annotation reference"/>
    <w:rsid w:val="000A1D3C"/>
    <w:rPr>
      <w:sz w:val="16"/>
      <w:szCs w:val="16"/>
    </w:rPr>
  </w:style>
  <w:style w:type="paragraph" w:styleId="Textkomente">
    <w:name w:val="annotation text"/>
    <w:basedOn w:val="Normln"/>
    <w:link w:val="TextkomenteChar"/>
    <w:rsid w:val="000A1D3C"/>
    <w:rPr>
      <w:sz w:val="20"/>
      <w:szCs w:val="20"/>
    </w:rPr>
  </w:style>
  <w:style w:type="character" w:customStyle="1" w:styleId="TextkomenteChar">
    <w:name w:val="Text komentáře Char"/>
    <w:basedOn w:val="Standardnpsmoodstavce"/>
    <w:link w:val="Textkomente"/>
    <w:rsid w:val="000A1D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A1D3C"/>
    <w:rPr>
      <w:b/>
      <w:bCs/>
    </w:rPr>
  </w:style>
  <w:style w:type="character" w:customStyle="1" w:styleId="PedmtkomenteChar">
    <w:name w:val="Předmět komentáře Char"/>
    <w:basedOn w:val="TextkomenteChar"/>
    <w:link w:val="Pedmtkomente"/>
    <w:rsid w:val="000A1D3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21695"/>
    <w:pPr>
      <w:ind w:left="720"/>
      <w:contextualSpacing/>
    </w:pPr>
  </w:style>
  <w:style w:type="character" w:customStyle="1" w:styleId="mark">
    <w:name w:val="mark"/>
    <w:basedOn w:val="Standardnpsmoodstavce"/>
    <w:rsid w:val="00BF6B76"/>
  </w:style>
  <w:style w:type="paragraph" w:styleId="Normlnweb">
    <w:name w:val="Normal (Web)"/>
    <w:basedOn w:val="Normln"/>
    <w:uiPriority w:val="99"/>
    <w:semiHidden/>
    <w:unhideWhenUsed/>
    <w:rsid w:val="00BF6B76"/>
    <w:pPr>
      <w:spacing w:before="100" w:beforeAutospacing="1" w:after="100" w:afterAutospacing="1"/>
    </w:pPr>
  </w:style>
  <w:style w:type="character" w:styleId="Siln">
    <w:name w:val="Strong"/>
    <w:basedOn w:val="Standardnpsmoodstavce"/>
    <w:uiPriority w:val="22"/>
    <w:qFormat/>
    <w:rsid w:val="00BF6B76"/>
    <w:rPr>
      <w:b/>
      <w:bCs/>
    </w:rPr>
  </w:style>
  <w:style w:type="character" w:customStyle="1" w:styleId="Nadpis2Char">
    <w:name w:val="Nadpis 2 Char"/>
    <w:basedOn w:val="Standardnpsmoodstavce"/>
    <w:link w:val="Nadpis2"/>
    <w:uiPriority w:val="9"/>
    <w:rsid w:val="00BF6B76"/>
    <w:rPr>
      <w:rFonts w:ascii="Times New Roman" w:eastAsia="Times New Roman" w:hAnsi="Times New Roman" w:cs="Times New Roman"/>
      <w:b/>
      <w:bCs/>
      <w:sz w:val="36"/>
      <w:szCs w:val="36"/>
      <w:lang w:eastAsia="cs-CZ"/>
    </w:rPr>
  </w:style>
  <w:style w:type="paragraph" w:styleId="Bezmezer">
    <w:name w:val="No Spacing"/>
    <w:uiPriority w:val="1"/>
    <w:qFormat/>
    <w:rsid w:val="00715F04"/>
    <w:pPr>
      <w:spacing w:before="0"/>
      <w:ind w:left="0" w:firstLine="0"/>
      <w:jc w:val="left"/>
    </w:pPr>
    <w:rPr>
      <w:rFonts w:eastAsia="Arial" w:cs="Times New Roman"/>
      <w:sz w:val="22"/>
    </w:rPr>
  </w:style>
  <w:style w:type="paragraph" w:styleId="Textpoznpodarou">
    <w:name w:val="footnote text"/>
    <w:basedOn w:val="Normln"/>
    <w:link w:val="TextpoznpodarouChar"/>
    <w:uiPriority w:val="99"/>
    <w:semiHidden/>
    <w:unhideWhenUsed/>
    <w:rsid w:val="00715F04"/>
    <w:rPr>
      <w:rFonts w:ascii="Arial" w:eastAsia="Arial" w:hAnsi="Arial"/>
      <w:sz w:val="20"/>
      <w:szCs w:val="20"/>
      <w:lang w:eastAsia="en-US"/>
    </w:rPr>
  </w:style>
  <w:style w:type="character" w:customStyle="1" w:styleId="TextpoznpodarouChar">
    <w:name w:val="Text pozn. pod čarou Char"/>
    <w:basedOn w:val="Standardnpsmoodstavce"/>
    <w:link w:val="Textpoznpodarou"/>
    <w:uiPriority w:val="99"/>
    <w:semiHidden/>
    <w:rsid w:val="00715F04"/>
    <w:rPr>
      <w:rFonts w:eastAsia="Arial" w:cs="Times New Roman"/>
      <w:sz w:val="20"/>
      <w:szCs w:val="20"/>
    </w:rPr>
  </w:style>
  <w:style w:type="character" w:styleId="Znakapoznpodarou">
    <w:name w:val="footnote reference"/>
    <w:uiPriority w:val="99"/>
    <w:semiHidden/>
    <w:unhideWhenUsed/>
    <w:rsid w:val="00715F04"/>
    <w:rPr>
      <w:vertAlign w:val="superscript"/>
    </w:rPr>
  </w:style>
  <w:style w:type="character" w:customStyle="1" w:styleId="Nadpis1Char">
    <w:name w:val="Nadpis 1 Char"/>
    <w:basedOn w:val="Standardnpsmoodstavce"/>
    <w:link w:val="Nadpis1"/>
    <w:uiPriority w:val="9"/>
    <w:rsid w:val="00E360A9"/>
    <w:rPr>
      <w:rFonts w:asciiTheme="majorHAnsi" w:eastAsiaTheme="majorEastAsia" w:hAnsiTheme="majorHAnsi" w:cstheme="majorBidi"/>
      <w:b/>
      <w:bCs/>
      <w:color w:val="365F91" w:themeColor="accent1" w:themeShade="BF"/>
      <w:sz w:val="28"/>
      <w:szCs w:val="28"/>
    </w:rPr>
  </w:style>
  <w:style w:type="paragraph" w:styleId="Titulek">
    <w:name w:val="caption"/>
    <w:basedOn w:val="Normln"/>
    <w:next w:val="Normln"/>
    <w:uiPriority w:val="35"/>
    <w:unhideWhenUsed/>
    <w:qFormat/>
    <w:rsid w:val="00E360A9"/>
    <w:pPr>
      <w:spacing w:after="200"/>
    </w:pPr>
    <w:rPr>
      <w:rFonts w:asciiTheme="minorHAnsi" w:eastAsiaTheme="minorHAnsi" w:hAnsiTheme="minorHAnsi" w:cstheme="minorBidi"/>
      <w:b/>
      <w:bCs/>
      <w:color w:val="4F81BD" w:themeColor="accent1"/>
      <w:sz w:val="18"/>
      <w:szCs w:val="18"/>
      <w:lang w:eastAsia="en-US"/>
    </w:rPr>
  </w:style>
  <w:style w:type="character" w:customStyle="1" w:styleId="Nadpis3Char">
    <w:name w:val="Nadpis 3 Char"/>
    <w:basedOn w:val="Standardnpsmoodstavce"/>
    <w:link w:val="Nadpis3"/>
    <w:uiPriority w:val="9"/>
    <w:rsid w:val="009E6761"/>
    <w:rPr>
      <w:rFonts w:asciiTheme="majorHAnsi" w:eastAsiaTheme="majorEastAsia" w:hAnsiTheme="majorHAnsi" w:cstheme="majorBidi"/>
      <w:b/>
      <w:bCs/>
      <w:color w:val="4F81BD" w:themeColor="accent1"/>
      <w:szCs w:val="24"/>
      <w:lang w:eastAsia="cs-CZ"/>
    </w:rPr>
  </w:style>
  <w:style w:type="table" w:styleId="Mkatabulky">
    <w:name w:val="Table Grid"/>
    <w:basedOn w:val="Normlntabulka"/>
    <w:uiPriority w:val="59"/>
    <w:rsid w:val="005A65F9"/>
    <w:pPr>
      <w:spacing w:before="0"/>
      <w:ind w:left="0" w:firstLine="0"/>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0D5A5B"/>
    <w:rPr>
      <w:sz w:val="20"/>
      <w:szCs w:val="20"/>
    </w:rPr>
  </w:style>
  <w:style w:type="character" w:customStyle="1" w:styleId="TextvysvtlivekChar">
    <w:name w:val="Text vysvětlivek Char"/>
    <w:basedOn w:val="Standardnpsmoodstavce"/>
    <w:link w:val="Textvysvtlivek"/>
    <w:uiPriority w:val="99"/>
    <w:semiHidden/>
    <w:rsid w:val="000D5A5B"/>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D5A5B"/>
    <w:rPr>
      <w:vertAlign w:val="superscript"/>
    </w:rPr>
  </w:style>
</w:styles>
</file>

<file path=word/webSettings.xml><?xml version="1.0" encoding="utf-8"?>
<w:webSettings xmlns:r="http://schemas.openxmlformats.org/officeDocument/2006/relationships" xmlns:w="http://schemas.openxmlformats.org/wordprocessingml/2006/main">
  <w:divs>
    <w:div w:id="262569816">
      <w:bodyDiv w:val="1"/>
      <w:marLeft w:val="0"/>
      <w:marRight w:val="0"/>
      <w:marTop w:val="0"/>
      <w:marBottom w:val="0"/>
      <w:divBdr>
        <w:top w:val="none" w:sz="0" w:space="0" w:color="auto"/>
        <w:left w:val="none" w:sz="0" w:space="0" w:color="auto"/>
        <w:bottom w:val="none" w:sz="0" w:space="0" w:color="auto"/>
        <w:right w:val="none" w:sz="0" w:space="0" w:color="auto"/>
      </w:divBdr>
      <w:divsChild>
        <w:div w:id="1432967411">
          <w:marLeft w:val="0"/>
          <w:marRight w:val="0"/>
          <w:marTop w:val="0"/>
          <w:marBottom w:val="0"/>
          <w:divBdr>
            <w:top w:val="none" w:sz="0" w:space="0" w:color="auto"/>
            <w:left w:val="none" w:sz="0" w:space="0" w:color="auto"/>
            <w:bottom w:val="none" w:sz="0" w:space="0" w:color="auto"/>
            <w:right w:val="none" w:sz="0" w:space="0" w:color="auto"/>
          </w:divBdr>
          <w:divsChild>
            <w:div w:id="1029379329">
              <w:marLeft w:val="0"/>
              <w:marRight w:val="0"/>
              <w:marTop w:val="0"/>
              <w:marBottom w:val="0"/>
              <w:divBdr>
                <w:top w:val="none" w:sz="0" w:space="0" w:color="auto"/>
                <w:left w:val="none" w:sz="0" w:space="0" w:color="auto"/>
                <w:bottom w:val="none" w:sz="0" w:space="0" w:color="auto"/>
                <w:right w:val="none" w:sz="0" w:space="0" w:color="auto"/>
              </w:divBdr>
              <w:divsChild>
                <w:div w:id="756482910">
                  <w:marLeft w:val="0"/>
                  <w:marRight w:val="0"/>
                  <w:marTop w:val="0"/>
                  <w:marBottom w:val="0"/>
                  <w:divBdr>
                    <w:top w:val="none" w:sz="0" w:space="0" w:color="auto"/>
                    <w:left w:val="none" w:sz="0" w:space="0" w:color="auto"/>
                    <w:bottom w:val="none" w:sz="0" w:space="0" w:color="auto"/>
                    <w:right w:val="none" w:sz="0" w:space="0" w:color="auto"/>
                  </w:divBdr>
                  <w:divsChild>
                    <w:div w:id="1223053639">
                      <w:marLeft w:val="0"/>
                      <w:marRight w:val="0"/>
                      <w:marTop w:val="0"/>
                      <w:marBottom w:val="0"/>
                      <w:divBdr>
                        <w:top w:val="none" w:sz="0" w:space="0" w:color="auto"/>
                        <w:left w:val="none" w:sz="0" w:space="0" w:color="auto"/>
                        <w:bottom w:val="none" w:sz="0" w:space="0" w:color="auto"/>
                        <w:right w:val="none" w:sz="0" w:space="0" w:color="auto"/>
                      </w:divBdr>
                      <w:divsChild>
                        <w:div w:id="13550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09346">
      <w:bodyDiv w:val="1"/>
      <w:marLeft w:val="0"/>
      <w:marRight w:val="0"/>
      <w:marTop w:val="0"/>
      <w:marBottom w:val="0"/>
      <w:divBdr>
        <w:top w:val="none" w:sz="0" w:space="0" w:color="auto"/>
        <w:left w:val="none" w:sz="0" w:space="0" w:color="auto"/>
        <w:bottom w:val="none" w:sz="0" w:space="0" w:color="auto"/>
        <w:right w:val="none" w:sz="0" w:space="0" w:color="auto"/>
      </w:divBdr>
    </w:div>
    <w:div w:id="1383677348">
      <w:bodyDiv w:val="1"/>
      <w:marLeft w:val="0"/>
      <w:marRight w:val="0"/>
      <w:marTop w:val="0"/>
      <w:marBottom w:val="0"/>
      <w:divBdr>
        <w:top w:val="none" w:sz="0" w:space="0" w:color="auto"/>
        <w:left w:val="none" w:sz="0" w:space="0" w:color="auto"/>
        <w:bottom w:val="none" w:sz="0" w:space="0" w:color="auto"/>
        <w:right w:val="none" w:sz="0" w:space="0" w:color="auto"/>
      </w:divBdr>
      <w:divsChild>
        <w:div w:id="597755716">
          <w:marLeft w:val="0"/>
          <w:marRight w:val="0"/>
          <w:marTop w:val="0"/>
          <w:marBottom w:val="0"/>
          <w:divBdr>
            <w:top w:val="none" w:sz="0" w:space="0" w:color="auto"/>
            <w:left w:val="none" w:sz="0" w:space="0" w:color="auto"/>
            <w:bottom w:val="none" w:sz="0" w:space="0" w:color="auto"/>
            <w:right w:val="none" w:sz="0" w:space="0" w:color="auto"/>
          </w:divBdr>
          <w:divsChild>
            <w:div w:id="301275135">
              <w:marLeft w:val="0"/>
              <w:marRight w:val="0"/>
              <w:marTop w:val="0"/>
              <w:marBottom w:val="0"/>
              <w:divBdr>
                <w:top w:val="none" w:sz="0" w:space="0" w:color="auto"/>
                <w:left w:val="none" w:sz="0" w:space="0" w:color="auto"/>
                <w:bottom w:val="none" w:sz="0" w:space="0" w:color="auto"/>
                <w:right w:val="none" w:sz="0" w:space="0" w:color="auto"/>
              </w:divBdr>
              <w:divsChild>
                <w:div w:id="315113844">
                  <w:marLeft w:val="0"/>
                  <w:marRight w:val="0"/>
                  <w:marTop w:val="0"/>
                  <w:marBottom w:val="0"/>
                  <w:divBdr>
                    <w:top w:val="none" w:sz="0" w:space="0" w:color="auto"/>
                    <w:left w:val="none" w:sz="0" w:space="0" w:color="auto"/>
                    <w:bottom w:val="none" w:sz="0" w:space="0" w:color="auto"/>
                    <w:right w:val="none" w:sz="0" w:space="0" w:color="auto"/>
                  </w:divBdr>
                  <w:divsChild>
                    <w:div w:id="747187811">
                      <w:marLeft w:val="0"/>
                      <w:marRight w:val="0"/>
                      <w:marTop w:val="0"/>
                      <w:marBottom w:val="0"/>
                      <w:divBdr>
                        <w:top w:val="none" w:sz="0" w:space="0" w:color="auto"/>
                        <w:left w:val="none" w:sz="0" w:space="0" w:color="auto"/>
                        <w:bottom w:val="none" w:sz="0" w:space="0" w:color="auto"/>
                        <w:right w:val="none" w:sz="0" w:space="0" w:color="auto"/>
                      </w:divBdr>
                      <w:divsChild>
                        <w:div w:id="870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254906">
      <w:bodyDiv w:val="1"/>
      <w:marLeft w:val="0"/>
      <w:marRight w:val="0"/>
      <w:marTop w:val="0"/>
      <w:marBottom w:val="0"/>
      <w:divBdr>
        <w:top w:val="none" w:sz="0" w:space="0" w:color="auto"/>
        <w:left w:val="none" w:sz="0" w:space="0" w:color="auto"/>
        <w:bottom w:val="single" w:sz="6" w:space="0" w:color="E6E6E6"/>
        <w:right w:val="none" w:sz="0" w:space="0" w:color="auto"/>
      </w:divBdr>
      <w:divsChild>
        <w:div w:id="547494323">
          <w:marLeft w:val="0"/>
          <w:marRight w:val="0"/>
          <w:marTop w:val="0"/>
          <w:marBottom w:val="0"/>
          <w:divBdr>
            <w:top w:val="none" w:sz="0" w:space="0" w:color="auto"/>
            <w:left w:val="none" w:sz="0" w:space="0" w:color="auto"/>
            <w:bottom w:val="none" w:sz="0" w:space="0" w:color="auto"/>
            <w:right w:val="none" w:sz="0" w:space="0" w:color="auto"/>
          </w:divBdr>
          <w:divsChild>
            <w:div w:id="546456655">
              <w:marLeft w:val="0"/>
              <w:marRight w:val="0"/>
              <w:marTop w:val="300"/>
              <w:marBottom w:val="300"/>
              <w:divBdr>
                <w:top w:val="none" w:sz="0" w:space="0" w:color="auto"/>
                <w:left w:val="none" w:sz="0" w:space="0" w:color="auto"/>
                <w:bottom w:val="none" w:sz="0" w:space="0" w:color="auto"/>
                <w:right w:val="none" w:sz="0" w:space="0" w:color="auto"/>
              </w:divBdr>
              <w:divsChild>
                <w:div w:id="1956592011">
                  <w:marLeft w:val="0"/>
                  <w:marRight w:val="0"/>
                  <w:marTop w:val="0"/>
                  <w:marBottom w:val="300"/>
                  <w:divBdr>
                    <w:top w:val="none" w:sz="0" w:space="0" w:color="auto"/>
                    <w:left w:val="none" w:sz="0" w:space="0" w:color="auto"/>
                    <w:bottom w:val="none" w:sz="0" w:space="0" w:color="auto"/>
                    <w:right w:val="none" w:sz="0" w:space="0" w:color="auto"/>
                  </w:divBdr>
                  <w:divsChild>
                    <w:div w:id="1374386825">
                      <w:marLeft w:val="0"/>
                      <w:marRight w:val="0"/>
                      <w:marTop w:val="0"/>
                      <w:marBottom w:val="0"/>
                      <w:divBdr>
                        <w:top w:val="none" w:sz="0" w:space="0" w:color="auto"/>
                        <w:left w:val="none" w:sz="0" w:space="0" w:color="auto"/>
                        <w:bottom w:val="none" w:sz="0" w:space="0" w:color="auto"/>
                        <w:right w:val="none" w:sz="0" w:space="0" w:color="auto"/>
                      </w:divBdr>
                      <w:divsChild>
                        <w:div w:id="814570448">
                          <w:marLeft w:val="0"/>
                          <w:marRight w:val="0"/>
                          <w:marTop w:val="435"/>
                          <w:marBottom w:val="285"/>
                          <w:divBdr>
                            <w:top w:val="none" w:sz="0" w:space="0" w:color="auto"/>
                            <w:left w:val="none" w:sz="0" w:space="0" w:color="auto"/>
                            <w:bottom w:val="none" w:sz="0" w:space="0" w:color="auto"/>
                            <w:right w:val="none" w:sz="0" w:space="0" w:color="auto"/>
                          </w:divBdr>
                          <w:divsChild>
                            <w:div w:id="6528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4659">
      <w:bodyDiv w:val="1"/>
      <w:marLeft w:val="0"/>
      <w:marRight w:val="0"/>
      <w:marTop w:val="0"/>
      <w:marBottom w:val="0"/>
      <w:divBdr>
        <w:top w:val="none" w:sz="0" w:space="0" w:color="auto"/>
        <w:left w:val="none" w:sz="0" w:space="0" w:color="auto"/>
        <w:bottom w:val="none" w:sz="0" w:space="0" w:color="auto"/>
        <w:right w:val="none" w:sz="0" w:space="0" w:color="auto"/>
      </w:divBdr>
    </w:div>
    <w:div w:id="1939411702">
      <w:bodyDiv w:val="1"/>
      <w:marLeft w:val="0"/>
      <w:marRight w:val="0"/>
      <w:marTop w:val="0"/>
      <w:marBottom w:val="0"/>
      <w:divBdr>
        <w:top w:val="none" w:sz="0" w:space="0" w:color="auto"/>
        <w:left w:val="none" w:sz="0" w:space="0" w:color="auto"/>
        <w:bottom w:val="none" w:sz="0" w:space="0" w:color="auto"/>
        <w:right w:val="none" w:sz="0" w:space="0" w:color="auto"/>
      </w:divBdr>
      <w:divsChild>
        <w:div w:id="1569878724">
          <w:marLeft w:val="0"/>
          <w:marRight w:val="0"/>
          <w:marTop w:val="375"/>
          <w:marBottom w:val="0"/>
          <w:divBdr>
            <w:top w:val="none" w:sz="0" w:space="0" w:color="auto"/>
            <w:left w:val="none" w:sz="0" w:space="0" w:color="auto"/>
            <w:bottom w:val="none" w:sz="0" w:space="0" w:color="auto"/>
            <w:right w:val="none" w:sz="0" w:space="0" w:color="auto"/>
          </w:divBdr>
        </w:div>
        <w:div w:id="2098331838">
          <w:marLeft w:val="0"/>
          <w:marRight w:val="0"/>
          <w:marTop w:val="0"/>
          <w:marBottom w:val="375"/>
          <w:divBdr>
            <w:top w:val="none" w:sz="0" w:space="1" w:color="auto"/>
            <w:left w:val="none" w:sz="0" w:space="8" w:color="auto"/>
            <w:bottom w:val="single" w:sz="24" w:space="1" w:color="BD1B21"/>
            <w:right w:val="none" w:sz="0" w:space="8" w:color="auto"/>
          </w:divBdr>
        </w:div>
      </w:divsChild>
    </w:div>
    <w:div w:id="2107649699">
      <w:bodyDiv w:val="1"/>
      <w:marLeft w:val="0"/>
      <w:marRight w:val="0"/>
      <w:marTop w:val="0"/>
      <w:marBottom w:val="0"/>
      <w:divBdr>
        <w:top w:val="none" w:sz="0" w:space="0" w:color="auto"/>
        <w:left w:val="none" w:sz="0" w:space="0" w:color="auto"/>
        <w:bottom w:val="none" w:sz="0" w:space="0" w:color="auto"/>
        <w:right w:val="none" w:sz="0" w:space="0" w:color="auto"/>
      </w:divBdr>
      <w:divsChild>
        <w:div w:id="830100592">
          <w:marLeft w:val="0"/>
          <w:marRight w:val="0"/>
          <w:marTop w:val="0"/>
          <w:marBottom w:val="0"/>
          <w:divBdr>
            <w:top w:val="none" w:sz="0" w:space="0" w:color="auto"/>
            <w:left w:val="none" w:sz="0" w:space="0" w:color="auto"/>
            <w:bottom w:val="none" w:sz="0" w:space="0" w:color="auto"/>
            <w:right w:val="none" w:sz="0" w:space="0" w:color="auto"/>
          </w:divBdr>
          <w:divsChild>
            <w:div w:id="239488974">
              <w:marLeft w:val="0"/>
              <w:marRight w:val="0"/>
              <w:marTop w:val="0"/>
              <w:marBottom w:val="0"/>
              <w:divBdr>
                <w:top w:val="none" w:sz="0" w:space="0" w:color="auto"/>
                <w:left w:val="none" w:sz="0" w:space="0" w:color="auto"/>
                <w:bottom w:val="none" w:sz="0" w:space="0" w:color="auto"/>
                <w:right w:val="none" w:sz="0" w:space="0" w:color="auto"/>
              </w:divBdr>
              <w:divsChild>
                <w:div w:id="1401561030">
                  <w:marLeft w:val="0"/>
                  <w:marRight w:val="0"/>
                  <w:marTop w:val="0"/>
                  <w:marBottom w:val="0"/>
                  <w:divBdr>
                    <w:top w:val="none" w:sz="0" w:space="0" w:color="auto"/>
                    <w:left w:val="none" w:sz="0" w:space="0" w:color="auto"/>
                    <w:bottom w:val="none" w:sz="0" w:space="0" w:color="auto"/>
                    <w:right w:val="none" w:sz="0" w:space="0" w:color="auto"/>
                  </w:divBdr>
                  <w:divsChild>
                    <w:div w:id="1397971544">
                      <w:marLeft w:val="0"/>
                      <w:marRight w:val="0"/>
                      <w:marTop w:val="0"/>
                      <w:marBottom w:val="0"/>
                      <w:divBdr>
                        <w:top w:val="none" w:sz="0" w:space="0" w:color="auto"/>
                        <w:left w:val="none" w:sz="0" w:space="0" w:color="auto"/>
                        <w:bottom w:val="none" w:sz="0" w:space="0" w:color="auto"/>
                        <w:right w:val="none" w:sz="0" w:space="0" w:color="auto"/>
                      </w:divBdr>
                      <w:divsChild>
                        <w:div w:id="446462149">
                          <w:marLeft w:val="0"/>
                          <w:marRight w:val="0"/>
                          <w:marTop w:val="0"/>
                          <w:marBottom w:val="0"/>
                          <w:divBdr>
                            <w:top w:val="none" w:sz="0" w:space="0" w:color="auto"/>
                            <w:left w:val="none" w:sz="0" w:space="0" w:color="auto"/>
                            <w:bottom w:val="none" w:sz="0" w:space="0" w:color="auto"/>
                            <w:right w:val="none" w:sz="0" w:space="0" w:color="auto"/>
                          </w:divBdr>
                        </w:div>
                      </w:divsChild>
                    </w:div>
                    <w:div w:id="1404640681">
                      <w:marLeft w:val="0"/>
                      <w:marRight w:val="0"/>
                      <w:marTop w:val="0"/>
                      <w:marBottom w:val="0"/>
                      <w:divBdr>
                        <w:top w:val="none" w:sz="0" w:space="0" w:color="auto"/>
                        <w:left w:val="none" w:sz="0" w:space="0" w:color="auto"/>
                        <w:bottom w:val="none" w:sz="0" w:space="0" w:color="auto"/>
                        <w:right w:val="none" w:sz="0" w:space="0" w:color="auto"/>
                      </w:divBdr>
                      <w:divsChild>
                        <w:div w:id="305165933">
                          <w:marLeft w:val="0"/>
                          <w:marRight w:val="0"/>
                          <w:marTop w:val="0"/>
                          <w:marBottom w:val="0"/>
                          <w:divBdr>
                            <w:top w:val="none" w:sz="0" w:space="0" w:color="auto"/>
                            <w:left w:val="none" w:sz="0" w:space="0" w:color="auto"/>
                            <w:bottom w:val="none" w:sz="0" w:space="0" w:color="auto"/>
                            <w:right w:val="none" w:sz="0" w:space="0" w:color="auto"/>
                          </w:divBdr>
                        </w:div>
                      </w:divsChild>
                    </w:div>
                    <w:div w:id="661591612">
                      <w:marLeft w:val="0"/>
                      <w:marRight w:val="0"/>
                      <w:marTop w:val="0"/>
                      <w:marBottom w:val="0"/>
                      <w:divBdr>
                        <w:top w:val="none" w:sz="0" w:space="0" w:color="auto"/>
                        <w:left w:val="none" w:sz="0" w:space="0" w:color="auto"/>
                        <w:bottom w:val="none" w:sz="0" w:space="0" w:color="auto"/>
                        <w:right w:val="none" w:sz="0" w:space="0" w:color="auto"/>
                      </w:divBdr>
                      <w:divsChild>
                        <w:div w:id="1057973900">
                          <w:marLeft w:val="0"/>
                          <w:marRight w:val="0"/>
                          <w:marTop w:val="0"/>
                          <w:marBottom w:val="0"/>
                          <w:divBdr>
                            <w:top w:val="none" w:sz="0" w:space="0" w:color="auto"/>
                            <w:left w:val="none" w:sz="0" w:space="0" w:color="auto"/>
                            <w:bottom w:val="none" w:sz="0" w:space="0" w:color="auto"/>
                            <w:right w:val="none" w:sz="0" w:space="0" w:color="auto"/>
                          </w:divBdr>
                        </w:div>
                      </w:divsChild>
                    </w:div>
                    <w:div w:id="424808903">
                      <w:marLeft w:val="0"/>
                      <w:marRight w:val="0"/>
                      <w:marTop w:val="0"/>
                      <w:marBottom w:val="0"/>
                      <w:divBdr>
                        <w:top w:val="none" w:sz="0" w:space="0" w:color="auto"/>
                        <w:left w:val="none" w:sz="0" w:space="0" w:color="auto"/>
                        <w:bottom w:val="none" w:sz="0" w:space="0" w:color="auto"/>
                        <w:right w:val="none" w:sz="0" w:space="0" w:color="auto"/>
                      </w:divBdr>
                      <w:divsChild>
                        <w:div w:id="741442">
                          <w:marLeft w:val="0"/>
                          <w:marRight w:val="0"/>
                          <w:marTop w:val="0"/>
                          <w:marBottom w:val="0"/>
                          <w:divBdr>
                            <w:top w:val="none" w:sz="0" w:space="0" w:color="auto"/>
                            <w:left w:val="none" w:sz="0" w:space="0" w:color="auto"/>
                            <w:bottom w:val="none" w:sz="0" w:space="0" w:color="auto"/>
                            <w:right w:val="none" w:sz="0" w:space="0" w:color="auto"/>
                          </w:divBdr>
                        </w:div>
                      </w:divsChild>
                    </w:div>
                    <w:div w:id="559680628">
                      <w:marLeft w:val="0"/>
                      <w:marRight w:val="0"/>
                      <w:marTop w:val="0"/>
                      <w:marBottom w:val="0"/>
                      <w:divBdr>
                        <w:top w:val="none" w:sz="0" w:space="0" w:color="auto"/>
                        <w:left w:val="none" w:sz="0" w:space="0" w:color="auto"/>
                        <w:bottom w:val="none" w:sz="0" w:space="0" w:color="auto"/>
                        <w:right w:val="none" w:sz="0" w:space="0" w:color="auto"/>
                      </w:divBdr>
                      <w:divsChild>
                        <w:div w:id="6814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E970-2655-49BF-9C65-F955EDF1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2667</Words>
  <Characters>15738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Vlasák František JUDr (MPSV)</dc:creator>
  <cp:lastModifiedBy>OSPZV3 ospzv3</cp:lastModifiedBy>
  <cp:revision>2</cp:revision>
  <cp:lastPrinted>2018-03-22T14:09:00Z</cp:lastPrinted>
  <dcterms:created xsi:type="dcterms:W3CDTF">2018-04-26T06:09:00Z</dcterms:created>
  <dcterms:modified xsi:type="dcterms:W3CDTF">2018-04-26T06:09:00Z</dcterms:modified>
</cp:coreProperties>
</file>