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85" w:rsidRPr="00A25BC7" w:rsidRDefault="008F4885" w:rsidP="00A25BC7">
      <w:pPr>
        <w:pStyle w:val="Titulnstrana"/>
        <w:jc w:val="right"/>
      </w:pPr>
      <w:bookmarkStart w:id="0" w:name="_GoBack"/>
    </w:p>
    <w:p w:rsidR="008F4885" w:rsidRPr="00A25BC7" w:rsidRDefault="008F4885" w:rsidP="00A25BC7">
      <w:pPr>
        <w:pStyle w:val="Titulnstrana"/>
      </w:pPr>
    </w:p>
    <w:p w:rsidR="008F4885" w:rsidRPr="00A25BC7" w:rsidRDefault="008F4885" w:rsidP="00A25BC7">
      <w:pPr>
        <w:pStyle w:val="Titulnstrana"/>
      </w:pPr>
      <w:r w:rsidRPr="00A25BC7">
        <w:t>Ministerstvo pro místní rozvoj</w:t>
      </w:r>
    </w:p>
    <w:p w:rsidR="008F4885" w:rsidRPr="00A25BC7" w:rsidRDefault="00BE7A7C" w:rsidP="00A25BC7">
      <w:pPr>
        <w:pStyle w:val="Titulnstrana"/>
      </w:pPr>
      <w:r w:rsidRPr="00A25BC7">
        <w:t>Národní orgán pro koordinaci</w:t>
      </w: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Default="008F4885" w:rsidP="00A25BC7">
      <w:pPr>
        <w:pStyle w:val="Titulnstrana"/>
      </w:pPr>
    </w:p>
    <w:p w:rsidR="00E4248E" w:rsidRDefault="00E4248E" w:rsidP="00A25BC7">
      <w:pPr>
        <w:pStyle w:val="Titulnstrana"/>
      </w:pPr>
    </w:p>
    <w:p w:rsidR="00B22ECF" w:rsidRPr="008F4885" w:rsidRDefault="00B22ECF" w:rsidP="00A25BC7">
      <w:pPr>
        <w:pStyle w:val="Titulnstrana"/>
      </w:pPr>
    </w:p>
    <w:p w:rsidR="008F4885" w:rsidRPr="008F4885" w:rsidRDefault="008F4885" w:rsidP="00A25BC7">
      <w:pPr>
        <w:pStyle w:val="Titulnstrana"/>
      </w:pPr>
    </w:p>
    <w:p w:rsidR="008F4885" w:rsidRDefault="008F4885" w:rsidP="00A25BC7">
      <w:pPr>
        <w:pStyle w:val="Titulnstrana"/>
        <w:rPr>
          <w:sz w:val="36"/>
        </w:rPr>
      </w:pPr>
      <w:r w:rsidRPr="00A25BC7">
        <w:rPr>
          <w:sz w:val="36"/>
        </w:rPr>
        <w:t xml:space="preserve">Informace o stavu čerpání </w:t>
      </w:r>
      <w:r w:rsidR="004648D2">
        <w:rPr>
          <w:sz w:val="36"/>
        </w:rPr>
        <w:t xml:space="preserve">prostředků </w:t>
      </w:r>
      <w:r w:rsidR="00D01850">
        <w:rPr>
          <w:sz w:val="36"/>
        </w:rPr>
        <w:t xml:space="preserve">z fondů </w:t>
      </w:r>
      <w:r w:rsidR="004648D2">
        <w:rPr>
          <w:sz w:val="36"/>
        </w:rPr>
        <w:t>EU</w:t>
      </w:r>
    </w:p>
    <w:p w:rsidR="00D01850" w:rsidRPr="00A25BC7" w:rsidRDefault="00D01850" w:rsidP="00A25BC7">
      <w:pPr>
        <w:pStyle w:val="Titulnstrana"/>
        <w:rPr>
          <w:sz w:val="36"/>
        </w:rPr>
      </w:pPr>
      <w:r>
        <w:rPr>
          <w:sz w:val="36"/>
        </w:rPr>
        <w:t>v programovém období 2007–2013 a 2014–2020</w:t>
      </w:r>
    </w:p>
    <w:p w:rsidR="008F4885" w:rsidRPr="008F4885" w:rsidRDefault="008F4885" w:rsidP="00A25BC7">
      <w:pPr>
        <w:pStyle w:val="Titulnstrana"/>
      </w:pPr>
    </w:p>
    <w:p w:rsidR="00935578" w:rsidRDefault="00935578" w:rsidP="00935578">
      <w:pPr>
        <w:spacing w:line="240" w:lineRule="auto"/>
        <w:jc w:val="center"/>
        <w:rPr>
          <w:rFonts w:eastAsia="Calibri"/>
          <w:sz w:val="24"/>
          <w:szCs w:val="24"/>
        </w:rPr>
      </w:pPr>
      <w:r>
        <w:rPr>
          <w:rFonts w:eastAsia="Calibri"/>
          <w:sz w:val="28"/>
          <w:szCs w:val="28"/>
        </w:rPr>
        <w:t xml:space="preserve">Podklad pro jednání </w:t>
      </w:r>
      <w:r w:rsidR="00AD25F7">
        <w:rPr>
          <w:rFonts w:eastAsia="Calibri"/>
          <w:sz w:val="28"/>
          <w:szCs w:val="28"/>
        </w:rPr>
        <w:t>127. Plenární schůzce RHSD</w:t>
      </w:r>
    </w:p>
    <w:p w:rsidR="008F4885" w:rsidRDefault="008F4885" w:rsidP="00A25BC7">
      <w:pPr>
        <w:pStyle w:val="Titulnstrana"/>
        <w:rPr>
          <w:b w:val="0"/>
          <w:sz w:val="24"/>
        </w:rPr>
      </w:pPr>
    </w:p>
    <w:p w:rsidR="004648D2" w:rsidRDefault="004648D2" w:rsidP="00A25BC7">
      <w:pPr>
        <w:pStyle w:val="Titulnstrana"/>
        <w:rPr>
          <w:b w:val="0"/>
          <w:sz w:val="24"/>
        </w:rPr>
      </w:pPr>
    </w:p>
    <w:p w:rsidR="004648D2" w:rsidRPr="008F4885" w:rsidRDefault="004648D2"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8F4885" w:rsidRDefault="008F4885" w:rsidP="00A25BC7">
      <w:pPr>
        <w:pStyle w:val="Titulnstrana"/>
      </w:pPr>
    </w:p>
    <w:p w:rsidR="008F4885" w:rsidRPr="00A25BC7" w:rsidRDefault="00D01850" w:rsidP="00A25BC7">
      <w:pPr>
        <w:pStyle w:val="Titulnstrana"/>
        <w:rPr>
          <w:b w:val="0"/>
          <w:sz w:val="24"/>
        </w:rPr>
      </w:pPr>
      <w:r>
        <w:rPr>
          <w:b w:val="0"/>
          <w:sz w:val="24"/>
        </w:rPr>
        <w:t>ÚNOR</w:t>
      </w:r>
      <w:r w:rsidR="002A0C3D">
        <w:rPr>
          <w:b w:val="0"/>
          <w:sz w:val="24"/>
        </w:rPr>
        <w:t xml:space="preserve"> </w:t>
      </w:r>
      <w:r w:rsidR="008F4885" w:rsidRPr="00A25BC7">
        <w:rPr>
          <w:b w:val="0"/>
          <w:sz w:val="24"/>
        </w:rPr>
        <w:t>201</w:t>
      </w:r>
      <w:r w:rsidR="002A0C3D">
        <w:rPr>
          <w:b w:val="0"/>
          <w:sz w:val="24"/>
        </w:rPr>
        <w:t>6</w:t>
      </w:r>
    </w:p>
    <w:p w:rsidR="007E083C" w:rsidRDefault="007E083C" w:rsidP="00A25BC7">
      <w:pPr>
        <w:pStyle w:val="Titulnstrana"/>
      </w:pPr>
    </w:p>
    <w:bookmarkEnd w:id="0" w:displacedByCustomXml="next"/>
    <w:bookmarkStart w:id="1" w:name="_Toc447018928" w:displacedByCustomXml="next"/>
    <w:bookmarkStart w:id="2" w:name="_Toc437967599" w:displacedByCustomXml="next"/>
    <w:bookmarkStart w:id="3" w:name="_Toc398736121" w:displacedByCustomXml="next"/>
    <w:bookmarkStart w:id="4" w:name="_Toc398736119" w:displacedByCustomXml="next"/>
    <w:bookmarkStart w:id="5" w:name="_Toc396389693" w:displacedByCustomXml="next"/>
    <w:sdt>
      <w:sdtPr>
        <w:rPr>
          <w:rFonts w:eastAsiaTheme="minorHAnsi"/>
          <w:b w:val="0"/>
          <w:bCs w:val="0"/>
          <w:color w:val="auto"/>
          <w:sz w:val="20"/>
          <w:szCs w:val="22"/>
        </w:rPr>
        <w:id w:val="411520408"/>
        <w:docPartObj>
          <w:docPartGallery w:val="Table of Contents"/>
          <w:docPartUnique/>
        </w:docPartObj>
      </w:sdtPr>
      <w:sdtContent>
        <w:p w:rsidR="00D01850" w:rsidRDefault="00D01850" w:rsidP="00D01850">
          <w:pPr>
            <w:pStyle w:val="vodzvr"/>
          </w:pPr>
          <w:r>
            <w:t>Obsah</w:t>
          </w:r>
          <w:bookmarkEnd w:id="1"/>
        </w:p>
        <w:p w:rsidR="00D01850" w:rsidRPr="00D01850" w:rsidRDefault="00C215FB" w:rsidP="00D9419E">
          <w:pPr>
            <w:pStyle w:val="Obsah1"/>
            <w:tabs>
              <w:tab w:val="clear" w:pos="9771"/>
              <w:tab w:val="right" w:leader="dot" w:pos="9781"/>
            </w:tabs>
            <w:rPr>
              <w:rFonts w:asciiTheme="minorHAnsi" w:eastAsiaTheme="minorEastAsia" w:hAnsiTheme="minorHAnsi" w:cstheme="minorBidi"/>
              <w:sz w:val="24"/>
            </w:rPr>
          </w:pPr>
          <w:r w:rsidRPr="00C215FB">
            <w:fldChar w:fldCharType="begin"/>
          </w:r>
          <w:r w:rsidR="00D01850">
            <w:instrText xml:space="preserve"> TOC \o "1-3" \h \z \u </w:instrText>
          </w:r>
          <w:r w:rsidRPr="00C215FB">
            <w:fldChar w:fldCharType="separate"/>
          </w:r>
          <w:hyperlink w:anchor="_Toc447018929" w:history="1">
            <w:r w:rsidR="00D01850" w:rsidRPr="00D01850">
              <w:rPr>
                <w:rStyle w:val="Hypertextovodkaz"/>
                <w:b/>
                <w:smallCaps/>
              </w:rPr>
              <w:t>1.</w:t>
            </w:r>
            <w:r w:rsidR="00D01850" w:rsidRPr="00D01850">
              <w:rPr>
                <w:rFonts w:asciiTheme="minorHAnsi" w:eastAsiaTheme="minorEastAsia" w:hAnsiTheme="minorHAnsi" w:cstheme="minorBidi"/>
                <w:sz w:val="24"/>
              </w:rPr>
              <w:tab/>
            </w:r>
            <w:r w:rsidR="00D01850" w:rsidRPr="00D01850">
              <w:rPr>
                <w:rStyle w:val="Hypertextovodkaz"/>
                <w:b/>
                <w:smallCaps/>
              </w:rPr>
              <w:t>Programové období 2007–2013</w:t>
            </w:r>
            <w:r w:rsidR="00D01850" w:rsidRPr="00D9419E">
              <w:rPr>
                <w:webHidden/>
                <w:sz w:val="20"/>
              </w:rPr>
              <w:tab/>
            </w:r>
            <w:r w:rsidRPr="00D9419E">
              <w:rPr>
                <w:webHidden/>
                <w:sz w:val="20"/>
              </w:rPr>
              <w:fldChar w:fldCharType="begin"/>
            </w:r>
            <w:r w:rsidR="00D01850" w:rsidRPr="00D9419E">
              <w:rPr>
                <w:webHidden/>
                <w:sz w:val="20"/>
              </w:rPr>
              <w:instrText xml:space="preserve"> PAGEREF _Toc447018929 \h </w:instrText>
            </w:r>
            <w:r w:rsidRPr="00D9419E">
              <w:rPr>
                <w:webHidden/>
                <w:sz w:val="20"/>
              </w:rPr>
            </w:r>
            <w:r w:rsidRPr="00D9419E">
              <w:rPr>
                <w:webHidden/>
                <w:sz w:val="20"/>
              </w:rPr>
              <w:fldChar w:fldCharType="separate"/>
            </w:r>
            <w:r w:rsidR="00715425">
              <w:rPr>
                <w:webHidden/>
                <w:sz w:val="20"/>
              </w:rPr>
              <w:t>3</w:t>
            </w:r>
            <w:r w:rsidRPr="00D9419E">
              <w:rPr>
                <w:webHidden/>
                <w:sz w:val="20"/>
              </w:rPr>
              <w:fldChar w:fldCharType="end"/>
            </w:r>
          </w:hyperlink>
        </w:p>
        <w:p w:rsidR="00D01850" w:rsidRDefault="00C215FB" w:rsidP="00D9419E">
          <w:pPr>
            <w:pStyle w:val="Obsah2"/>
            <w:tabs>
              <w:tab w:val="clear" w:pos="9356"/>
              <w:tab w:val="right" w:leader="dot" w:pos="9781"/>
            </w:tabs>
            <w:rPr>
              <w:rFonts w:asciiTheme="minorHAnsi" w:eastAsiaTheme="minorEastAsia" w:hAnsiTheme="minorHAnsi" w:cstheme="minorBidi"/>
              <w:noProof/>
              <w:sz w:val="22"/>
            </w:rPr>
          </w:pPr>
          <w:hyperlink w:anchor="_Toc447018930" w:history="1">
            <w:r w:rsidR="00D01850" w:rsidRPr="00856A5E">
              <w:rPr>
                <w:rStyle w:val="Hypertextovodkaz"/>
                <w:noProof/>
              </w:rPr>
              <w:t>1.1.</w:t>
            </w:r>
            <w:r w:rsidR="00D01850">
              <w:rPr>
                <w:rFonts w:asciiTheme="minorHAnsi" w:eastAsiaTheme="minorEastAsia" w:hAnsiTheme="minorHAnsi" w:cstheme="minorBidi"/>
                <w:noProof/>
                <w:sz w:val="22"/>
              </w:rPr>
              <w:tab/>
            </w:r>
            <w:r w:rsidR="00D01850" w:rsidRPr="00856A5E">
              <w:rPr>
                <w:rStyle w:val="Hypertextovodkaz"/>
                <w:noProof/>
              </w:rPr>
              <w:t>Aktuální stav a pokrok v čerpání na úrovni NSRR</w:t>
            </w:r>
            <w:r w:rsidR="00D01850">
              <w:rPr>
                <w:noProof/>
                <w:webHidden/>
              </w:rPr>
              <w:tab/>
            </w:r>
            <w:r>
              <w:rPr>
                <w:noProof/>
                <w:webHidden/>
              </w:rPr>
              <w:fldChar w:fldCharType="begin"/>
            </w:r>
            <w:r w:rsidR="00D01850">
              <w:rPr>
                <w:noProof/>
                <w:webHidden/>
              </w:rPr>
              <w:instrText xml:space="preserve"> PAGEREF _Toc447018930 \h </w:instrText>
            </w:r>
            <w:r>
              <w:rPr>
                <w:noProof/>
                <w:webHidden/>
              </w:rPr>
            </w:r>
            <w:r>
              <w:rPr>
                <w:noProof/>
                <w:webHidden/>
              </w:rPr>
              <w:fldChar w:fldCharType="separate"/>
            </w:r>
            <w:r w:rsidR="00715425">
              <w:rPr>
                <w:noProof/>
                <w:webHidden/>
              </w:rPr>
              <w:t>3</w:t>
            </w:r>
            <w:r>
              <w:rPr>
                <w:noProof/>
                <w:webHidden/>
              </w:rPr>
              <w:fldChar w:fldCharType="end"/>
            </w:r>
          </w:hyperlink>
        </w:p>
        <w:p w:rsidR="00D01850" w:rsidRDefault="00C215FB" w:rsidP="00D9419E">
          <w:pPr>
            <w:pStyle w:val="Obsah2"/>
            <w:tabs>
              <w:tab w:val="clear" w:pos="9356"/>
              <w:tab w:val="right" w:leader="dot" w:pos="9781"/>
            </w:tabs>
            <w:rPr>
              <w:rFonts w:asciiTheme="minorHAnsi" w:eastAsiaTheme="minorEastAsia" w:hAnsiTheme="minorHAnsi" w:cstheme="minorBidi"/>
              <w:noProof/>
              <w:sz w:val="22"/>
            </w:rPr>
          </w:pPr>
          <w:hyperlink w:anchor="_Toc447018931" w:history="1">
            <w:r w:rsidR="00D01850" w:rsidRPr="00856A5E">
              <w:rPr>
                <w:rStyle w:val="Hypertextovodkaz"/>
                <w:noProof/>
              </w:rPr>
              <w:t>1.2.</w:t>
            </w:r>
            <w:r w:rsidR="00D01850">
              <w:rPr>
                <w:rFonts w:asciiTheme="minorHAnsi" w:eastAsiaTheme="minorEastAsia" w:hAnsiTheme="minorHAnsi" w:cstheme="minorBidi"/>
                <w:noProof/>
                <w:sz w:val="22"/>
              </w:rPr>
              <w:tab/>
            </w:r>
            <w:r w:rsidR="00D01850" w:rsidRPr="00856A5E">
              <w:rPr>
                <w:rStyle w:val="Hypertextovodkaz"/>
                <w:noProof/>
              </w:rPr>
              <w:t>Aktuální stav a pokrok v čerpání na úrovni programů</w:t>
            </w:r>
            <w:r w:rsidR="00D01850">
              <w:rPr>
                <w:noProof/>
                <w:webHidden/>
              </w:rPr>
              <w:tab/>
            </w:r>
            <w:r>
              <w:rPr>
                <w:noProof/>
                <w:webHidden/>
              </w:rPr>
              <w:fldChar w:fldCharType="begin"/>
            </w:r>
            <w:r w:rsidR="00D01850">
              <w:rPr>
                <w:noProof/>
                <w:webHidden/>
              </w:rPr>
              <w:instrText xml:space="preserve"> PAGEREF _Toc447018931 \h </w:instrText>
            </w:r>
            <w:r>
              <w:rPr>
                <w:noProof/>
                <w:webHidden/>
              </w:rPr>
            </w:r>
            <w:r>
              <w:rPr>
                <w:noProof/>
                <w:webHidden/>
              </w:rPr>
              <w:fldChar w:fldCharType="separate"/>
            </w:r>
            <w:r w:rsidR="00715425">
              <w:rPr>
                <w:noProof/>
                <w:webHidden/>
              </w:rPr>
              <w:t>4</w:t>
            </w:r>
            <w:r>
              <w:rPr>
                <w:noProof/>
                <w:webHidden/>
              </w:rPr>
              <w:fldChar w:fldCharType="end"/>
            </w:r>
          </w:hyperlink>
        </w:p>
        <w:p w:rsidR="00D01850" w:rsidRPr="00D01850" w:rsidRDefault="00C215FB" w:rsidP="00D9419E">
          <w:pPr>
            <w:pStyle w:val="Obsah1"/>
            <w:tabs>
              <w:tab w:val="clear" w:pos="9771"/>
              <w:tab w:val="right" w:leader="dot" w:pos="9781"/>
            </w:tabs>
            <w:rPr>
              <w:rStyle w:val="Hypertextovodkaz"/>
              <w:b/>
              <w:smallCaps/>
            </w:rPr>
          </w:pPr>
          <w:hyperlink w:anchor="_Toc447018932" w:history="1">
            <w:r w:rsidR="00D01850" w:rsidRPr="00D01850">
              <w:rPr>
                <w:rStyle w:val="Hypertextovodkaz"/>
                <w:b/>
                <w:smallCaps/>
              </w:rPr>
              <w:t>2.</w:t>
            </w:r>
            <w:r w:rsidR="00D01850" w:rsidRPr="00D01850">
              <w:rPr>
                <w:rStyle w:val="Hypertextovodkaz"/>
                <w:b/>
                <w:smallCaps/>
              </w:rPr>
              <w:tab/>
              <w:t>Programové období 2014–2020</w:t>
            </w:r>
            <w:r w:rsidR="00D01850" w:rsidRPr="00D9419E">
              <w:rPr>
                <w:rStyle w:val="Hypertextovodkaz"/>
                <w:smallCaps/>
                <w:webHidden/>
                <w:sz w:val="20"/>
              </w:rPr>
              <w:tab/>
            </w:r>
            <w:r w:rsidRPr="00D9419E">
              <w:rPr>
                <w:rStyle w:val="Hypertextovodkaz"/>
                <w:smallCaps/>
                <w:webHidden/>
                <w:sz w:val="20"/>
              </w:rPr>
              <w:fldChar w:fldCharType="begin"/>
            </w:r>
            <w:r w:rsidR="00D01850" w:rsidRPr="00D9419E">
              <w:rPr>
                <w:rStyle w:val="Hypertextovodkaz"/>
                <w:smallCaps/>
                <w:webHidden/>
                <w:sz w:val="20"/>
              </w:rPr>
              <w:instrText xml:space="preserve"> PAGEREF _Toc447018932 \h </w:instrText>
            </w:r>
            <w:r w:rsidRPr="00D9419E">
              <w:rPr>
                <w:rStyle w:val="Hypertextovodkaz"/>
                <w:smallCaps/>
                <w:webHidden/>
                <w:sz w:val="20"/>
              </w:rPr>
            </w:r>
            <w:r w:rsidRPr="00D9419E">
              <w:rPr>
                <w:rStyle w:val="Hypertextovodkaz"/>
                <w:smallCaps/>
                <w:webHidden/>
                <w:sz w:val="20"/>
              </w:rPr>
              <w:fldChar w:fldCharType="separate"/>
            </w:r>
            <w:r w:rsidR="00715425">
              <w:rPr>
                <w:rStyle w:val="Hypertextovodkaz"/>
                <w:smallCaps/>
                <w:webHidden/>
                <w:sz w:val="20"/>
              </w:rPr>
              <w:t>6</w:t>
            </w:r>
            <w:r w:rsidRPr="00D9419E">
              <w:rPr>
                <w:rStyle w:val="Hypertextovodkaz"/>
                <w:smallCaps/>
                <w:webHidden/>
                <w:sz w:val="20"/>
              </w:rPr>
              <w:fldChar w:fldCharType="end"/>
            </w:r>
          </w:hyperlink>
        </w:p>
        <w:p w:rsidR="00D01850" w:rsidRDefault="00C215FB" w:rsidP="00D9419E">
          <w:pPr>
            <w:pStyle w:val="Obsah2"/>
            <w:tabs>
              <w:tab w:val="clear" w:pos="9356"/>
              <w:tab w:val="right" w:leader="dot" w:pos="9781"/>
            </w:tabs>
            <w:rPr>
              <w:rFonts w:asciiTheme="minorHAnsi" w:eastAsiaTheme="minorEastAsia" w:hAnsiTheme="minorHAnsi" w:cstheme="minorBidi"/>
              <w:noProof/>
              <w:sz w:val="22"/>
            </w:rPr>
          </w:pPr>
          <w:hyperlink w:anchor="_Toc447018933" w:history="1">
            <w:r w:rsidR="00D01850" w:rsidRPr="00856A5E">
              <w:rPr>
                <w:rStyle w:val="Hypertextovodkaz"/>
                <w:noProof/>
              </w:rPr>
              <w:t>2.1.</w:t>
            </w:r>
            <w:r w:rsidR="00D01850">
              <w:rPr>
                <w:rFonts w:asciiTheme="minorHAnsi" w:eastAsiaTheme="minorEastAsia" w:hAnsiTheme="minorHAnsi" w:cstheme="minorBidi"/>
                <w:noProof/>
                <w:sz w:val="22"/>
              </w:rPr>
              <w:tab/>
            </w:r>
            <w:r w:rsidR="00D01850" w:rsidRPr="00856A5E">
              <w:rPr>
                <w:rStyle w:val="Hypertextovodkaz"/>
                <w:noProof/>
              </w:rPr>
              <w:t>Vyhlášené výzvy v programech období 2014–2020</w:t>
            </w:r>
            <w:r w:rsidR="00D01850">
              <w:rPr>
                <w:noProof/>
                <w:webHidden/>
              </w:rPr>
              <w:tab/>
            </w:r>
            <w:r>
              <w:rPr>
                <w:noProof/>
                <w:webHidden/>
              </w:rPr>
              <w:fldChar w:fldCharType="begin"/>
            </w:r>
            <w:r w:rsidR="00D01850">
              <w:rPr>
                <w:noProof/>
                <w:webHidden/>
              </w:rPr>
              <w:instrText xml:space="preserve"> PAGEREF _Toc447018933 \h </w:instrText>
            </w:r>
            <w:r>
              <w:rPr>
                <w:noProof/>
                <w:webHidden/>
              </w:rPr>
            </w:r>
            <w:r>
              <w:rPr>
                <w:noProof/>
                <w:webHidden/>
              </w:rPr>
              <w:fldChar w:fldCharType="separate"/>
            </w:r>
            <w:r w:rsidR="00715425">
              <w:rPr>
                <w:noProof/>
                <w:webHidden/>
              </w:rPr>
              <w:t>6</w:t>
            </w:r>
            <w:r>
              <w:rPr>
                <w:noProof/>
                <w:webHidden/>
              </w:rPr>
              <w:fldChar w:fldCharType="end"/>
            </w:r>
          </w:hyperlink>
        </w:p>
        <w:p w:rsidR="00D01850" w:rsidRDefault="00C215FB" w:rsidP="00D9419E">
          <w:pPr>
            <w:pStyle w:val="Obsah2"/>
            <w:tabs>
              <w:tab w:val="clear" w:pos="9356"/>
              <w:tab w:val="right" w:leader="dot" w:pos="9781"/>
            </w:tabs>
            <w:rPr>
              <w:rFonts w:asciiTheme="minorHAnsi" w:eastAsiaTheme="minorEastAsia" w:hAnsiTheme="minorHAnsi" w:cstheme="minorBidi"/>
              <w:noProof/>
              <w:sz w:val="22"/>
            </w:rPr>
          </w:pPr>
          <w:hyperlink w:anchor="_Toc447018934" w:history="1">
            <w:r w:rsidR="00D01850" w:rsidRPr="00856A5E">
              <w:rPr>
                <w:rStyle w:val="Hypertextovodkaz"/>
                <w:noProof/>
                <w:bdr w:val="nil"/>
              </w:rPr>
              <w:t>2.2.</w:t>
            </w:r>
            <w:r w:rsidR="00D01850">
              <w:rPr>
                <w:rFonts w:asciiTheme="minorHAnsi" w:eastAsiaTheme="minorEastAsia" w:hAnsiTheme="minorHAnsi" w:cstheme="minorBidi"/>
                <w:noProof/>
                <w:sz w:val="22"/>
              </w:rPr>
              <w:tab/>
            </w:r>
            <w:r w:rsidR="00D01850" w:rsidRPr="00856A5E">
              <w:rPr>
                <w:rStyle w:val="Hypertextovodkaz"/>
                <w:noProof/>
                <w:bdr w:val="nil"/>
              </w:rPr>
              <w:t>Aktuální stav čerpání programů</w:t>
            </w:r>
            <w:r w:rsidR="00D01850">
              <w:rPr>
                <w:rStyle w:val="Hypertextovodkaz"/>
                <w:noProof/>
                <w:bdr w:val="nil"/>
              </w:rPr>
              <w:t xml:space="preserve"> období 2014–2020</w:t>
            </w:r>
            <w:r w:rsidR="00D01850">
              <w:rPr>
                <w:noProof/>
                <w:webHidden/>
              </w:rPr>
              <w:tab/>
            </w:r>
            <w:r>
              <w:rPr>
                <w:noProof/>
                <w:webHidden/>
              </w:rPr>
              <w:fldChar w:fldCharType="begin"/>
            </w:r>
            <w:r w:rsidR="00D01850">
              <w:rPr>
                <w:noProof/>
                <w:webHidden/>
              </w:rPr>
              <w:instrText xml:space="preserve"> PAGEREF _Toc447018934 \h </w:instrText>
            </w:r>
            <w:r>
              <w:rPr>
                <w:noProof/>
                <w:webHidden/>
              </w:rPr>
            </w:r>
            <w:r>
              <w:rPr>
                <w:noProof/>
                <w:webHidden/>
              </w:rPr>
              <w:fldChar w:fldCharType="separate"/>
            </w:r>
            <w:r w:rsidR="00715425">
              <w:rPr>
                <w:noProof/>
                <w:webHidden/>
              </w:rPr>
              <w:t>9</w:t>
            </w:r>
            <w:r>
              <w:rPr>
                <w:noProof/>
                <w:webHidden/>
              </w:rPr>
              <w:fldChar w:fldCharType="end"/>
            </w:r>
          </w:hyperlink>
        </w:p>
        <w:p w:rsidR="00D01850" w:rsidRDefault="00C215FB" w:rsidP="00D9419E">
          <w:pPr>
            <w:tabs>
              <w:tab w:val="right" w:leader="dot" w:pos="9781"/>
            </w:tabs>
          </w:pPr>
          <w:r>
            <w:rPr>
              <w:b/>
              <w:bCs/>
            </w:rPr>
            <w:fldChar w:fldCharType="end"/>
          </w:r>
        </w:p>
      </w:sdtContent>
    </w:sdt>
    <w:p w:rsidR="00D01850" w:rsidRDefault="00D01850">
      <w:pPr>
        <w:spacing w:after="200" w:line="276" w:lineRule="auto"/>
        <w:jc w:val="left"/>
        <w:rPr>
          <w:rFonts w:eastAsia="Calibri"/>
          <w:b/>
          <w:bCs/>
          <w:color w:val="000099"/>
          <w:sz w:val="44"/>
          <w:szCs w:val="28"/>
        </w:rPr>
      </w:pPr>
      <w:r>
        <w:br w:type="page"/>
      </w:r>
    </w:p>
    <w:p w:rsidR="00D01850" w:rsidRPr="00D01850" w:rsidRDefault="00D01850" w:rsidP="00D01850">
      <w:pPr>
        <w:pStyle w:val="Nadpis1"/>
      </w:pPr>
      <w:bookmarkStart w:id="6" w:name="_Toc447018929"/>
      <w:r w:rsidRPr="00D01850">
        <w:lastRenderedPageBreak/>
        <w:t>Programové období 2007–2013</w:t>
      </w:r>
      <w:bookmarkEnd w:id="6"/>
    </w:p>
    <w:p w:rsidR="006F7A2C" w:rsidRPr="00D01850" w:rsidRDefault="006F7A2C" w:rsidP="00D01850">
      <w:pPr>
        <w:pStyle w:val="Nadpis2"/>
      </w:pPr>
      <w:bookmarkStart w:id="7" w:name="_Toc447018930"/>
      <w:r w:rsidRPr="00D01850">
        <w:t>Aktuální stav a pokrok v čerpání na úrovni NSRR</w:t>
      </w:r>
      <w:bookmarkEnd w:id="2"/>
      <w:bookmarkEnd w:id="7"/>
    </w:p>
    <w:p w:rsidR="001A01D2" w:rsidRPr="00F143A0" w:rsidRDefault="001A01D2" w:rsidP="00D9419E">
      <w:r w:rsidRPr="00F143A0">
        <w:t xml:space="preserve">Následující graf č. 1 zjednodušeně ukazuje, kolik prostředků bylo do 3. </w:t>
      </w:r>
      <w:r w:rsidR="001C46F6">
        <w:t>března</w:t>
      </w:r>
      <w:r w:rsidR="001C46F6" w:rsidRPr="00F143A0">
        <w:t xml:space="preserve"> </w:t>
      </w:r>
      <w:r w:rsidRPr="00F143A0">
        <w:t>2016 investováno do projektů financovaných z operačních programů 2007–2013 (EU podíl) a kolik prostředků si ČR vyžádala z rozpočtu EU zpět.</w:t>
      </w:r>
    </w:p>
    <w:p w:rsidR="001A01D2" w:rsidRPr="00F143A0" w:rsidRDefault="001A01D2" w:rsidP="00D9419E">
      <w:r w:rsidRPr="00F143A0">
        <w:t xml:space="preserve">Od začátku programového období do konce </w:t>
      </w:r>
      <w:r w:rsidR="001C46F6">
        <w:t>února</w:t>
      </w:r>
      <w:r w:rsidR="001C46F6" w:rsidRPr="00F143A0">
        <w:t xml:space="preserve"> </w:t>
      </w:r>
      <w:r w:rsidRPr="00F143A0">
        <w:t xml:space="preserve">2016 byly v rámci operačních programů </w:t>
      </w:r>
      <w:r w:rsidRPr="00F143A0">
        <w:rPr>
          <w:b/>
        </w:rPr>
        <w:t>schváleny projekty v celkové hodnotě 73</w:t>
      </w:r>
      <w:r w:rsidR="000629AD">
        <w:rPr>
          <w:b/>
        </w:rPr>
        <w:t xml:space="preserve">8,8 </w:t>
      </w:r>
      <w:r w:rsidRPr="00F143A0">
        <w:rPr>
          <w:b/>
        </w:rPr>
        <w:t>mld. Kč</w:t>
      </w:r>
      <w:r w:rsidRPr="00F143A0">
        <w:t xml:space="preserve"> (EU podíl), což činí </w:t>
      </w:r>
      <w:r w:rsidR="000629AD">
        <w:t>109,2</w:t>
      </w:r>
      <w:r w:rsidRPr="00F143A0">
        <w:t xml:space="preserve"> % celkové alokace na období 2007–2013. </w:t>
      </w:r>
      <w:r>
        <w:t>V</w:t>
      </w:r>
      <w:r w:rsidR="000629AD">
        <w:t xml:space="preserve"> průběhu února </w:t>
      </w:r>
      <w:r>
        <w:t>2016</w:t>
      </w:r>
      <w:r w:rsidRPr="00F143A0">
        <w:t xml:space="preserve"> bylo nově vydáno </w:t>
      </w:r>
      <w:r w:rsidR="000629AD">
        <w:t>48</w:t>
      </w:r>
      <w:r w:rsidR="000629AD" w:rsidRPr="00F143A0">
        <w:t xml:space="preserve"> </w:t>
      </w:r>
      <w:r w:rsidRPr="00F143A0">
        <w:t>Rozhodnutí / Smluv</w:t>
      </w:r>
      <w:r w:rsidR="000629AD">
        <w:t xml:space="preserve"> v celkové hodnotě</w:t>
      </w:r>
      <w:r w:rsidRPr="00F143A0">
        <w:t xml:space="preserve"> </w:t>
      </w:r>
      <w:r w:rsidR="000629AD">
        <w:t>2,5</w:t>
      </w:r>
      <w:r w:rsidRPr="00F143A0">
        <w:t xml:space="preserve"> mld. Kč</w:t>
      </w:r>
      <w:r w:rsidR="000629AD">
        <w:t>.</w:t>
      </w:r>
      <w:r w:rsidRPr="00F143A0">
        <w:t xml:space="preserve"> </w:t>
      </w:r>
    </w:p>
    <w:p w:rsidR="001A01D2" w:rsidRPr="00F143A0" w:rsidRDefault="001A01D2" w:rsidP="00D9419E">
      <w:pPr>
        <w:rPr>
          <w:szCs w:val="20"/>
        </w:rPr>
      </w:pPr>
      <w:r w:rsidRPr="00F143A0">
        <w:rPr>
          <w:b/>
        </w:rPr>
        <w:t xml:space="preserve">Příjemci dosud obdrželi </w:t>
      </w:r>
      <w:r w:rsidRPr="00C32820">
        <w:t>od řídicích orgánů</w:t>
      </w:r>
      <w:r w:rsidRPr="00F143A0">
        <w:t xml:space="preserve"> nebo zprostředkujících subjektů celkem </w:t>
      </w:r>
      <w:r w:rsidR="000629AD">
        <w:rPr>
          <w:b/>
        </w:rPr>
        <w:t>649,5</w:t>
      </w:r>
      <w:r w:rsidRPr="00F143A0">
        <w:rPr>
          <w:b/>
        </w:rPr>
        <w:t> mld. Kč</w:t>
      </w:r>
      <w:r>
        <w:t xml:space="preserve"> (EU </w:t>
      </w:r>
      <w:r w:rsidRPr="00F143A0">
        <w:t xml:space="preserve">podíl). </w:t>
      </w:r>
      <w:r w:rsidRPr="00F143A0">
        <w:rPr>
          <w:szCs w:val="20"/>
        </w:rPr>
        <w:t xml:space="preserve">Aktuálně je tedy proplaceno příjemcům </w:t>
      </w:r>
      <w:r w:rsidR="000629AD">
        <w:rPr>
          <w:szCs w:val="20"/>
        </w:rPr>
        <w:t>96,0</w:t>
      </w:r>
      <w:r w:rsidRPr="00F143A0">
        <w:rPr>
          <w:szCs w:val="20"/>
        </w:rPr>
        <w:t xml:space="preserve"> % alokace NSRR. </w:t>
      </w:r>
      <w:r w:rsidR="000E3EA4" w:rsidRPr="0052261F">
        <w:rPr>
          <w:b/>
        </w:rPr>
        <w:t xml:space="preserve">Do 100 % alokace zbývá proplatit </w:t>
      </w:r>
      <w:r w:rsidR="000629AD">
        <w:rPr>
          <w:b/>
        </w:rPr>
        <w:t>26,8</w:t>
      </w:r>
      <w:r w:rsidR="000E3EA4" w:rsidRPr="001517DB">
        <w:rPr>
          <w:b/>
        </w:rPr>
        <w:t> mld. Kč</w:t>
      </w:r>
      <w:r w:rsidR="000E3EA4" w:rsidRPr="0052261F">
        <w:t xml:space="preserve">, a to bez zohlednění finančních oprav, které tuto částku ještě navýší o přibližně </w:t>
      </w:r>
      <w:r w:rsidR="007B3C4E">
        <w:t>26</w:t>
      </w:r>
      <w:r w:rsidR="000629AD">
        <w:t>,5</w:t>
      </w:r>
      <w:r w:rsidR="000E3EA4" w:rsidRPr="001517DB">
        <w:t xml:space="preserve"> mld. Kč</w:t>
      </w:r>
      <w:r w:rsidR="00271A35">
        <w:t xml:space="preserve">. </w:t>
      </w:r>
      <w:r w:rsidR="000629AD">
        <w:t>To </w:t>
      </w:r>
      <w:r w:rsidR="000E3EA4" w:rsidRPr="0052261F">
        <w:t xml:space="preserve">znamená, </w:t>
      </w:r>
      <w:r w:rsidR="000E3EA4">
        <w:t xml:space="preserve">pokud by měly být všechny dostupné finanční prostředky dočerpány, </w:t>
      </w:r>
      <w:r w:rsidR="000E3EA4" w:rsidRPr="0052261F">
        <w:t xml:space="preserve">zbývá proplatit </w:t>
      </w:r>
      <w:r w:rsidR="000629AD">
        <w:t>53,3</w:t>
      </w:r>
      <w:r w:rsidR="000E3EA4" w:rsidRPr="001517DB">
        <w:t> mld. Kč</w:t>
      </w:r>
      <w:r w:rsidR="000E3EA4" w:rsidRPr="0052261F">
        <w:t xml:space="preserve"> (EU podíl).</w:t>
      </w:r>
    </w:p>
    <w:p w:rsidR="001A01D2" w:rsidRPr="00485B1D" w:rsidRDefault="001A01D2" w:rsidP="00D9419E">
      <w:pPr>
        <w:rPr>
          <w:szCs w:val="20"/>
        </w:rPr>
      </w:pPr>
      <w:r w:rsidRPr="00F143A0">
        <w:rPr>
          <w:szCs w:val="20"/>
        </w:rPr>
        <w:t xml:space="preserve">Ke dni 3. </w:t>
      </w:r>
      <w:r w:rsidR="000629AD">
        <w:rPr>
          <w:szCs w:val="20"/>
        </w:rPr>
        <w:t>března</w:t>
      </w:r>
      <w:r w:rsidR="000629AD" w:rsidRPr="00F143A0">
        <w:rPr>
          <w:szCs w:val="20"/>
        </w:rPr>
        <w:t xml:space="preserve"> </w:t>
      </w:r>
      <w:r w:rsidRPr="00F143A0">
        <w:rPr>
          <w:szCs w:val="20"/>
        </w:rPr>
        <w:t xml:space="preserve">2016 pak </w:t>
      </w:r>
      <w:r w:rsidRPr="00F143A0">
        <w:rPr>
          <w:b/>
          <w:szCs w:val="20"/>
        </w:rPr>
        <w:t>Ministerstvo financí - Platební a certifikační orgán</w:t>
      </w:r>
      <w:r w:rsidRPr="00F143A0">
        <w:rPr>
          <w:szCs w:val="20"/>
        </w:rPr>
        <w:t xml:space="preserve"> (MF-PCO) </w:t>
      </w:r>
      <w:r w:rsidRPr="00F143A0">
        <w:rPr>
          <w:b/>
          <w:szCs w:val="20"/>
        </w:rPr>
        <w:t xml:space="preserve">zažádalo Evropskou komisi </w:t>
      </w:r>
      <w:r w:rsidRPr="00F143A0">
        <w:rPr>
          <w:szCs w:val="20"/>
        </w:rPr>
        <w:t xml:space="preserve">(EK) </w:t>
      </w:r>
      <w:r w:rsidRPr="00F143A0">
        <w:rPr>
          <w:b/>
          <w:szCs w:val="20"/>
        </w:rPr>
        <w:t>o 539,6 mld. Kč</w:t>
      </w:r>
      <w:r w:rsidRPr="00F143A0">
        <w:rPr>
          <w:szCs w:val="20"/>
        </w:rPr>
        <w:t xml:space="preserve"> (EU podíl), tj. téměř 80 % celkové alokace. </w:t>
      </w:r>
    </w:p>
    <w:p w:rsidR="00112F25" w:rsidRDefault="00112F25" w:rsidP="00112F25">
      <w:pPr>
        <w:pStyle w:val="Titulektabulky"/>
      </w:pPr>
      <w:r w:rsidRPr="00D0762D">
        <w:t xml:space="preserve">Graf č. </w:t>
      </w:r>
      <w:r w:rsidR="00C215FB">
        <w:fldChar w:fldCharType="begin"/>
      </w:r>
      <w:r w:rsidR="00EA22EA">
        <w:instrText xml:space="preserve"> SEQ Tab. \* ARABIC </w:instrText>
      </w:r>
      <w:r w:rsidR="00C215FB">
        <w:fldChar w:fldCharType="separate"/>
      </w:r>
      <w:r w:rsidR="00715425">
        <w:rPr>
          <w:noProof/>
        </w:rPr>
        <w:t>1</w:t>
      </w:r>
      <w:r w:rsidR="00C215FB">
        <w:rPr>
          <w:noProof/>
        </w:rPr>
        <w:fldChar w:fldCharType="end"/>
      </w:r>
      <w:r w:rsidRPr="00D0762D">
        <w:t xml:space="preserve"> – Stav čerpání na úrovni NSRR – </w:t>
      </w:r>
      <w:r w:rsidR="006313B7" w:rsidRPr="00D0762D">
        <w:t>k </w:t>
      </w:r>
      <w:r w:rsidR="00D0762D">
        <w:t>3</w:t>
      </w:r>
      <w:r w:rsidR="006313B7" w:rsidRPr="00D0762D">
        <w:t xml:space="preserve">. </w:t>
      </w:r>
      <w:r w:rsidR="000629AD">
        <w:t>3</w:t>
      </w:r>
      <w:r w:rsidR="004F4DB1" w:rsidRPr="00D0762D">
        <w:t>. 2016</w:t>
      </w:r>
      <w:r w:rsidRPr="00D0762D">
        <w:t xml:space="preserve"> (v mld. Kč) – EU podíl</w:t>
      </w:r>
    </w:p>
    <w:p w:rsidR="000629AD" w:rsidRPr="00D0762D" w:rsidRDefault="00DE60AB" w:rsidP="00112F25">
      <w:pPr>
        <w:pStyle w:val="Titulektabulky"/>
      </w:pPr>
      <w:r w:rsidRPr="00DE60AB">
        <w:rPr>
          <w:noProof/>
        </w:rPr>
        <w:drawing>
          <wp:inline distT="0" distB="0" distL="0" distR="0">
            <wp:extent cx="5848350" cy="44196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4419600"/>
                    </a:xfrm>
                    <a:prstGeom prst="rect">
                      <a:avLst/>
                    </a:prstGeom>
                    <a:noFill/>
                    <a:ln>
                      <a:noFill/>
                    </a:ln>
                  </pic:spPr>
                </pic:pic>
              </a:graphicData>
            </a:graphic>
          </wp:inline>
        </w:drawing>
      </w:r>
    </w:p>
    <w:p w:rsidR="000629AD" w:rsidRDefault="000629AD" w:rsidP="00C32820">
      <w:pPr>
        <w:spacing w:after="0" w:line="240" w:lineRule="auto"/>
        <w:rPr>
          <w:sz w:val="16"/>
          <w:szCs w:val="16"/>
        </w:rPr>
      </w:pPr>
      <w:r w:rsidRPr="00304CA3">
        <w:rPr>
          <w:sz w:val="16"/>
          <w:szCs w:val="16"/>
        </w:rPr>
        <w:t>Poznámka: Po zohlednění finančních oprav zbývá na úrovni projektů proplatit ještě přibližně 53,3 mld. Kč (EU podíl).</w:t>
      </w:r>
      <w:r>
        <w:rPr>
          <w:sz w:val="16"/>
          <w:szCs w:val="16"/>
        </w:rPr>
        <w:t xml:space="preserve"> </w:t>
      </w:r>
    </w:p>
    <w:p w:rsidR="00112F25" w:rsidRPr="00C32820" w:rsidRDefault="00112F25" w:rsidP="00C32820">
      <w:pPr>
        <w:pStyle w:val="Titulektabulky"/>
        <w:spacing w:before="0"/>
        <w:rPr>
          <w:b w:val="0"/>
          <w:sz w:val="16"/>
        </w:rPr>
      </w:pPr>
      <w:r w:rsidRPr="00C32820">
        <w:rPr>
          <w:b w:val="0"/>
          <w:i w:val="0"/>
          <w:sz w:val="16"/>
        </w:rPr>
        <w:t>Zdroj: MSC2007 k </w:t>
      </w:r>
      <w:r w:rsidR="00D0762D" w:rsidRPr="00C32820">
        <w:rPr>
          <w:b w:val="0"/>
          <w:i w:val="0"/>
          <w:sz w:val="16"/>
        </w:rPr>
        <w:t>3</w:t>
      </w:r>
      <w:r w:rsidRPr="00C32820">
        <w:rPr>
          <w:b w:val="0"/>
          <w:i w:val="0"/>
          <w:sz w:val="16"/>
        </w:rPr>
        <w:t xml:space="preserve">. </w:t>
      </w:r>
      <w:r w:rsidR="000629AD" w:rsidRPr="00C32820">
        <w:rPr>
          <w:b w:val="0"/>
          <w:i w:val="0"/>
          <w:sz w:val="16"/>
        </w:rPr>
        <w:t>3</w:t>
      </w:r>
      <w:r w:rsidRPr="00C32820">
        <w:rPr>
          <w:b w:val="0"/>
          <w:i w:val="0"/>
          <w:sz w:val="16"/>
        </w:rPr>
        <w:t>. 201</w:t>
      </w:r>
      <w:r w:rsidR="004F4DB1" w:rsidRPr="00C32820">
        <w:rPr>
          <w:b w:val="0"/>
          <w:i w:val="0"/>
          <w:sz w:val="16"/>
        </w:rPr>
        <w:t>6</w:t>
      </w:r>
      <w:r w:rsidRPr="00C32820">
        <w:rPr>
          <w:b w:val="0"/>
          <w:i w:val="0"/>
          <w:sz w:val="16"/>
        </w:rPr>
        <w:t>, MF-PCO</w:t>
      </w:r>
    </w:p>
    <w:p w:rsidR="00DB2EAB" w:rsidRDefault="00DB2EAB" w:rsidP="00A25BC7">
      <w:r>
        <w:br w:type="page"/>
      </w:r>
    </w:p>
    <w:p w:rsidR="002C7BD3" w:rsidRPr="00D50403" w:rsidRDefault="00D50403" w:rsidP="00D01850">
      <w:pPr>
        <w:pStyle w:val="Nadpis2"/>
      </w:pPr>
      <w:bookmarkStart w:id="8" w:name="_Toc437967600"/>
      <w:bookmarkStart w:id="9" w:name="_Toc447018931"/>
      <w:bookmarkEnd w:id="3"/>
      <w:r>
        <w:lastRenderedPageBreak/>
        <w:t>Aktuální s</w:t>
      </w:r>
      <w:r w:rsidRPr="00D50403">
        <w:t xml:space="preserve">tav a pokrok v čerpání </w:t>
      </w:r>
      <w:r>
        <w:t>na úrovni programů</w:t>
      </w:r>
      <w:bookmarkEnd w:id="8"/>
      <w:bookmarkEnd w:id="9"/>
    </w:p>
    <w:p w:rsidR="001A01D2" w:rsidRPr="00F143A0" w:rsidRDefault="001A01D2" w:rsidP="00D9419E">
      <w:bookmarkStart w:id="10" w:name="_Ref404088823"/>
      <w:bookmarkEnd w:id="5"/>
      <w:bookmarkEnd w:id="4"/>
      <w:r w:rsidRPr="00F143A0">
        <w:t xml:space="preserve">Následující dva grafy zachycují celkový pokrok v čerpání za měsíc </w:t>
      </w:r>
      <w:r w:rsidR="000A5570">
        <w:t>únor</w:t>
      </w:r>
      <w:r w:rsidR="000A5570" w:rsidRPr="00F143A0">
        <w:t xml:space="preserve"> </w:t>
      </w:r>
      <w:r w:rsidRPr="00F143A0">
        <w:t xml:space="preserve">2016 ve dvou základních sledovaných stavech, to znamená </w:t>
      </w:r>
      <w:r w:rsidRPr="00F143A0">
        <w:rPr>
          <w:b/>
        </w:rPr>
        <w:t>proplacené prostředky příjemcům</w:t>
      </w:r>
      <w:r w:rsidRPr="00F143A0">
        <w:t xml:space="preserve"> a </w:t>
      </w:r>
      <w:r w:rsidRPr="00F143A0">
        <w:rPr>
          <w:b/>
        </w:rPr>
        <w:t>prostředky v souhrnných žádostech</w:t>
      </w:r>
      <w:r w:rsidRPr="00F143A0">
        <w:t xml:space="preserve"> zaúčtované MF</w:t>
      </w:r>
      <w:r w:rsidRPr="00F143A0">
        <w:noBreakHyphen/>
        <w:t xml:space="preserve">PCO za jednotlivé operační programy. Grafy navazují na souhrnný stav čerpání a procentní podíl je vždy vztažen </w:t>
      </w:r>
      <w:r w:rsidR="00DE60AB">
        <w:t>k celkové alokaci programu v</w:t>
      </w:r>
      <w:r w:rsidRPr="00F143A0">
        <w:t xml:space="preserve"> podílu EU. </w:t>
      </w:r>
      <w:r w:rsidRPr="00F143A0">
        <w:rPr>
          <w:b/>
        </w:rPr>
        <w:t>V rámci níže uvedených údajů nejsou zohledněny finanční opravy prováděné na úrovni MF-PCO.</w:t>
      </w:r>
    </w:p>
    <w:p w:rsidR="001A01D2" w:rsidRPr="00F143A0" w:rsidRDefault="001A01D2" w:rsidP="00D9419E">
      <w:pPr>
        <w:rPr>
          <w:b/>
          <w:highlight w:val="yellow"/>
        </w:rPr>
      </w:pPr>
    </w:p>
    <w:p w:rsidR="001A01D2" w:rsidRPr="00F143A0" w:rsidRDefault="001A01D2" w:rsidP="00D9419E">
      <w:pPr>
        <w:rPr>
          <w:b/>
        </w:rPr>
      </w:pPr>
      <w:r w:rsidRPr="00F143A0">
        <w:rPr>
          <w:b/>
        </w:rPr>
        <w:t>Proplacené prostředky příjemcům</w:t>
      </w:r>
    </w:p>
    <w:p w:rsidR="00C32820" w:rsidRPr="00EB1B6A" w:rsidRDefault="00C32820" w:rsidP="00C32820">
      <w:r w:rsidRPr="00EB1B6A">
        <w:t>Nejvíce proplacených prostředků příjemcům z alokace je evidováno u OP Podnikání a inovace (109,2 % celkové alokace)</w:t>
      </w:r>
      <w:r>
        <w:t>,</w:t>
      </w:r>
      <w:r w:rsidRPr="00EB1B6A">
        <w:t xml:space="preserve"> OP Životní prostředí (99,7 % celkové alokace)</w:t>
      </w:r>
      <w:r>
        <w:t xml:space="preserve"> a ROP Jihozápad (99,6 % celkové alokace)</w:t>
      </w:r>
      <w:r w:rsidRPr="00EB1B6A">
        <w:t xml:space="preserve">. </w:t>
      </w:r>
    </w:p>
    <w:p w:rsidR="000A5570" w:rsidRPr="00881664" w:rsidRDefault="000A5570" w:rsidP="000A5570">
      <w:r w:rsidRPr="00EB1B6A">
        <w:t xml:space="preserve">Naopak pod hranicí 90 % se pohybuje OP Praha Adaptabilita, ROP </w:t>
      </w:r>
      <w:proofErr w:type="spellStart"/>
      <w:r w:rsidRPr="00EB1B6A">
        <w:t>Moravskoslezsko</w:t>
      </w:r>
      <w:proofErr w:type="spellEnd"/>
      <w:r w:rsidRPr="00EB1B6A">
        <w:t>, OP Výzkum a vývoj pro</w:t>
      </w:r>
      <w:r>
        <w:t> </w:t>
      </w:r>
      <w:r w:rsidRPr="00EB1B6A">
        <w:t>inovace a Integrovaný OP.</w:t>
      </w:r>
      <w:r w:rsidRPr="00881664">
        <w:t xml:space="preserve"> </w:t>
      </w:r>
    </w:p>
    <w:p w:rsidR="000A5570" w:rsidRDefault="001A01D2" w:rsidP="00D9419E">
      <w:r w:rsidRPr="00F143A0">
        <w:t>Nejvyšších nárůstů ve sledovaném období dosáhly</w:t>
      </w:r>
      <w:r w:rsidR="000A5570">
        <w:t xml:space="preserve"> ROP </w:t>
      </w:r>
      <w:proofErr w:type="spellStart"/>
      <w:r w:rsidR="000A5570">
        <w:t>Moravskoslezsko</w:t>
      </w:r>
      <w:proofErr w:type="spellEnd"/>
      <w:r w:rsidR="000A5570">
        <w:t xml:space="preserve"> (nárůst o 4,1 %) a Integrovaný OP (nárůst o 4,0 %).</w:t>
      </w:r>
      <w:r w:rsidRPr="00F143A0">
        <w:t xml:space="preserve"> </w:t>
      </w:r>
    </w:p>
    <w:p w:rsidR="001F1882" w:rsidRDefault="001F1882" w:rsidP="001F1882">
      <w:pPr>
        <w:pStyle w:val="Titulektabulky"/>
        <w:spacing w:after="60"/>
      </w:pPr>
      <w:r w:rsidRPr="00D0762D">
        <w:t xml:space="preserve">Graf č. </w:t>
      </w:r>
      <w:r w:rsidR="00C215FB">
        <w:fldChar w:fldCharType="begin"/>
      </w:r>
      <w:r w:rsidR="00EA22EA">
        <w:instrText xml:space="preserve"> SEQ Tab. \* ARABIC </w:instrText>
      </w:r>
      <w:r w:rsidR="00C215FB">
        <w:fldChar w:fldCharType="separate"/>
      </w:r>
      <w:r w:rsidR="00715425">
        <w:rPr>
          <w:noProof/>
        </w:rPr>
        <w:t>2</w:t>
      </w:r>
      <w:r w:rsidR="00C215FB">
        <w:rPr>
          <w:noProof/>
        </w:rPr>
        <w:fldChar w:fldCharType="end"/>
      </w:r>
      <w:r w:rsidRPr="00D0762D">
        <w:t xml:space="preserve"> – Stav proplacených prostředků na úrovni jednotlivých OP (v %)</w:t>
      </w:r>
    </w:p>
    <w:p w:rsidR="000A5570" w:rsidRPr="00D0762D" w:rsidRDefault="000A5570" w:rsidP="001F1882">
      <w:pPr>
        <w:pStyle w:val="Titulektabulky"/>
        <w:spacing w:after="60"/>
      </w:pPr>
      <w:r w:rsidRPr="000A5570">
        <w:rPr>
          <w:noProof/>
        </w:rPr>
        <w:drawing>
          <wp:inline distT="0" distB="0" distL="0" distR="0">
            <wp:extent cx="5762625" cy="37814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81425"/>
                    </a:xfrm>
                    <a:prstGeom prst="rect">
                      <a:avLst/>
                    </a:prstGeom>
                    <a:noFill/>
                    <a:ln>
                      <a:noFill/>
                    </a:ln>
                  </pic:spPr>
                </pic:pic>
              </a:graphicData>
            </a:graphic>
          </wp:inline>
        </w:drawing>
      </w:r>
    </w:p>
    <w:p w:rsidR="00842CCD" w:rsidRPr="00DE60AB" w:rsidRDefault="00C32820" w:rsidP="00C32820">
      <w:pPr>
        <w:pStyle w:val="Titulektabulky"/>
        <w:spacing w:after="60"/>
        <w:ind w:left="851" w:hanging="851"/>
        <w:rPr>
          <w:sz w:val="16"/>
          <w:szCs w:val="16"/>
        </w:rPr>
      </w:pPr>
      <w:r>
        <w:rPr>
          <w:b w:val="0"/>
          <w:i w:val="0"/>
          <w:sz w:val="16"/>
          <w:szCs w:val="16"/>
        </w:rPr>
        <w:t>Poznámka:</w:t>
      </w:r>
      <w:r>
        <w:rPr>
          <w:b w:val="0"/>
          <w:i w:val="0"/>
          <w:sz w:val="16"/>
          <w:szCs w:val="16"/>
        </w:rPr>
        <w:tab/>
      </w:r>
      <w:r w:rsidR="00842CCD" w:rsidRPr="00C32820">
        <w:rPr>
          <w:b w:val="0"/>
          <w:i w:val="0"/>
          <w:sz w:val="16"/>
        </w:rPr>
        <w:t>Grafy navazují na souhrnný stav čerpání a procentní po</w:t>
      </w:r>
      <w:r w:rsidR="00790CF8" w:rsidRPr="00C32820">
        <w:rPr>
          <w:b w:val="0"/>
          <w:i w:val="0"/>
          <w:sz w:val="16"/>
        </w:rPr>
        <w:t>díl je vždy vztažen k podílu EU</w:t>
      </w:r>
      <w:r w:rsidR="00790CF8" w:rsidRPr="00C32820">
        <w:rPr>
          <w:b w:val="0"/>
          <w:i w:val="0"/>
          <w:sz w:val="16"/>
          <w:szCs w:val="18"/>
        </w:rPr>
        <w:t xml:space="preserve"> bez zohlednění následných finančních oprav prováděných na úrovni </w:t>
      </w:r>
      <w:r w:rsidR="00E834AA" w:rsidRPr="00C32820">
        <w:rPr>
          <w:b w:val="0"/>
          <w:i w:val="0"/>
          <w:sz w:val="16"/>
          <w:szCs w:val="18"/>
        </w:rPr>
        <w:t>MF-PCO.</w:t>
      </w:r>
    </w:p>
    <w:p w:rsidR="001F1882" w:rsidRPr="00C32820" w:rsidRDefault="0018116A" w:rsidP="001F1882">
      <w:r w:rsidRPr="000A5570">
        <w:rPr>
          <w:sz w:val="16"/>
          <w:szCs w:val="16"/>
        </w:rPr>
        <w:t>Zdroj: MSC2007 k </w:t>
      </w:r>
      <w:r w:rsidR="00D0762D" w:rsidRPr="000A5570">
        <w:rPr>
          <w:sz w:val="16"/>
          <w:szCs w:val="16"/>
        </w:rPr>
        <w:t>3</w:t>
      </w:r>
      <w:r w:rsidR="00C54D1A" w:rsidRPr="000A5570">
        <w:rPr>
          <w:sz w:val="16"/>
          <w:szCs w:val="16"/>
        </w:rPr>
        <w:t xml:space="preserve">. </w:t>
      </w:r>
      <w:r w:rsidR="000A5570">
        <w:rPr>
          <w:sz w:val="16"/>
          <w:szCs w:val="16"/>
        </w:rPr>
        <w:t>3</w:t>
      </w:r>
      <w:r w:rsidR="004F4DB1" w:rsidRPr="000A5570">
        <w:rPr>
          <w:sz w:val="16"/>
          <w:szCs w:val="16"/>
        </w:rPr>
        <w:t>. 2016</w:t>
      </w:r>
    </w:p>
    <w:bookmarkEnd w:id="10"/>
    <w:p w:rsidR="001F1882" w:rsidRPr="002A0C3D" w:rsidRDefault="001F1882" w:rsidP="001F1882">
      <w:pPr>
        <w:rPr>
          <w:highlight w:val="yellow"/>
        </w:rPr>
      </w:pPr>
    </w:p>
    <w:p w:rsidR="001F1882" w:rsidRPr="002A0C3D" w:rsidRDefault="001F1882" w:rsidP="001F1882">
      <w:pPr>
        <w:spacing w:after="200" w:line="276" w:lineRule="auto"/>
        <w:jc w:val="left"/>
        <w:rPr>
          <w:b/>
          <w:highlight w:val="yellow"/>
        </w:rPr>
      </w:pPr>
      <w:r w:rsidRPr="002A0C3D">
        <w:rPr>
          <w:b/>
          <w:highlight w:val="yellow"/>
        </w:rPr>
        <w:br w:type="page"/>
      </w:r>
    </w:p>
    <w:p w:rsidR="001F1882" w:rsidRPr="00006216" w:rsidRDefault="001F1882" w:rsidP="001F1882">
      <w:pPr>
        <w:rPr>
          <w:szCs w:val="20"/>
        </w:rPr>
      </w:pPr>
      <w:r w:rsidRPr="00006216">
        <w:rPr>
          <w:b/>
          <w:szCs w:val="20"/>
        </w:rPr>
        <w:lastRenderedPageBreak/>
        <w:t>Souhrnné žádosti zaúčtované MF-PCO</w:t>
      </w:r>
    </w:p>
    <w:p w:rsidR="00D7407B" w:rsidRDefault="00D7407B" w:rsidP="00D7407B">
      <w:r w:rsidRPr="00E41B13">
        <w:t>Největší objem prostředků v souhrnných žádostech zaúčtovaných MF-PCO vzhledem k celkové alokaci je zaznamenán u OP Podnikání a inovace (106,0 % celkové alokace) a OP Životní prostředí (99,2 % celkové alokace).</w:t>
      </w:r>
    </w:p>
    <w:p w:rsidR="00D7407B" w:rsidRDefault="00D7407B" w:rsidP="00D7407B">
      <w:pPr>
        <w:rPr>
          <w:iCs/>
        </w:rPr>
      </w:pPr>
      <w:r w:rsidRPr="00E41B13">
        <w:rPr>
          <w:iCs/>
        </w:rPr>
        <w:t xml:space="preserve">Zvýšenou pozornost je však nutné věnovat programům, které mají naopak nízký podíl prostředků v souhrnných žádostech zaúčtovaných MF-PCO. Mezi ně opět patří Integrovaný OP (73,6 % celkové alokace), OP Praha Konkurenceschopnost (81,9 % celkové alokace) a ROP </w:t>
      </w:r>
      <w:proofErr w:type="spellStart"/>
      <w:r w:rsidRPr="00E41B13">
        <w:rPr>
          <w:iCs/>
        </w:rPr>
        <w:t>Moravskoslezsko</w:t>
      </w:r>
      <w:proofErr w:type="spellEnd"/>
      <w:r w:rsidRPr="00E41B13">
        <w:rPr>
          <w:iCs/>
        </w:rPr>
        <w:t xml:space="preserve"> (83,2 % celkové alokace).</w:t>
      </w:r>
    </w:p>
    <w:p w:rsidR="00D7407B" w:rsidRPr="00E41B13" w:rsidRDefault="00D7407B" w:rsidP="00D7407B">
      <w:pPr>
        <w:rPr>
          <w:iCs/>
        </w:rPr>
      </w:pPr>
      <w:r w:rsidRPr="00E41B13">
        <w:rPr>
          <w:iCs/>
        </w:rPr>
        <w:t>Nejvyšší nárůst prostředků v souhrnných žádostech je</w:t>
      </w:r>
      <w:r w:rsidR="00C32820">
        <w:rPr>
          <w:iCs/>
        </w:rPr>
        <w:t xml:space="preserve"> ve sledovaném období zaznamenán v případě OP </w:t>
      </w:r>
      <w:r w:rsidRPr="00E41B13">
        <w:rPr>
          <w:iCs/>
        </w:rPr>
        <w:t>Životní prostředí (nárůst o </w:t>
      </w:r>
      <w:r>
        <w:rPr>
          <w:iCs/>
        </w:rPr>
        <w:t>6,0</w:t>
      </w:r>
      <w:r w:rsidRPr="00E41B13">
        <w:rPr>
          <w:iCs/>
        </w:rPr>
        <w:t xml:space="preserve"> %) a OP </w:t>
      </w:r>
      <w:r>
        <w:rPr>
          <w:iCs/>
        </w:rPr>
        <w:t>Výzkum a vývoj pro inovace</w:t>
      </w:r>
      <w:r w:rsidRPr="00E41B13">
        <w:rPr>
          <w:iCs/>
        </w:rPr>
        <w:t xml:space="preserve"> (nárůst o </w:t>
      </w:r>
      <w:r>
        <w:rPr>
          <w:iCs/>
        </w:rPr>
        <w:t>3,9</w:t>
      </w:r>
      <w:r w:rsidRPr="00E41B13">
        <w:rPr>
          <w:iCs/>
        </w:rPr>
        <w:t> %).</w:t>
      </w:r>
    </w:p>
    <w:p w:rsidR="001F1882" w:rsidRPr="00C32820" w:rsidRDefault="001F1882" w:rsidP="001F1882">
      <w:pPr>
        <w:pStyle w:val="Titulektabulky"/>
      </w:pPr>
      <w:r w:rsidRPr="00C32820">
        <w:t xml:space="preserve">Graf č. </w:t>
      </w:r>
      <w:r w:rsidR="00C215FB">
        <w:fldChar w:fldCharType="begin"/>
      </w:r>
      <w:r w:rsidR="00EA22EA">
        <w:instrText xml:space="preserve"> SEQ Tab. \* ARABIC </w:instrText>
      </w:r>
      <w:r w:rsidR="00C215FB">
        <w:fldChar w:fldCharType="separate"/>
      </w:r>
      <w:r w:rsidR="00715425">
        <w:rPr>
          <w:noProof/>
        </w:rPr>
        <w:t>3</w:t>
      </w:r>
      <w:r w:rsidR="00C215FB">
        <w:rPr>
          <w:noProof/>
        </w:rPr>
        <w:fldChar w:fldCharType="end"/>
      </w:r>
      <w:r w:rsidRPr="00C32820">
        <w:t xml:space="preserve"> – Stav prostředků v souhrnných žádostech zaúčtovaných MF-PCO na úrovni jednotlivých OP (v %)</w:t>
      </w:r>
    </w:p>
    <w:p w:rsidR="00AF55AA" w:rsidRPr="00C32820" w:rsidRDefault="000A5570" w:rsidP="001F1882">
      <w:pPr>
        <w:pStyle w:val="Titulektabulky"/>
      </w:pPr>
      <w:r w:rsidRPr="00C32820">
        <w:rPr>
          <w:b w:val="0"/>
          <w:bCs w:val="0"/>
          <w:i w:val="0"/>
          <w:iCs w:val="0"/>
        </w:rPr>
        <w:t xml:space="preserve"> </w:t>
      </w:r>
      <w:r w:rsidRPr="00C32820">
        <w:rPr>
          <w:noProof/>
        </w:rPr>
        <w:drawing>
          <wp:inline distT="0" distB="0" distL="0" distR="0">
            <wp:extent cx="5762625" cy="378142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781425"/>
                    </a:xfrm>
                    <a:prstGeom prst="rect">
                      <a:avLst/>
                    </a:prstGeom>
                    <a:noFill/>
                    <a:ln>
                      <a:noFill/>
                    </a:ln>
                  </pic:spPr>
                </pic:pic>
              </a:graphicData>
            </a:graphic>
          </wp:inline>
        </w:drawing>
      </w:r>
    </w:p>
    <w:p w:rsidR="00790CF8" w:rsidRPr="00C32820" w:rsidRDefault="00C32820" w:rsidP="00C32820">
      <w:pPr>
        <w:spacing w:after="0"/>
        <w:ind w:left="993" w:hanging="993"/>
        <w:rPr>
          <w:sz w:val="16"/>
          <w:szCs w:val="16"/>
        </w:rPr>
      </w:pPr>
      <w:r>
        <w:rPr>
          <w:sz w:val="16"/>
        </w:rPr>
        <w:t>Poznámka:</w:t>
      </w:r>
      <w:r>
        <w:rPr>
          <w:sz w:val="16"/>
        </w:rPr>
        <w:tab/>
      </w:r>
      <w:r w:rsidR="00790CF8" w:rsidRPr="00C32820">
        <w:rPr>
          <w:sz w:val="16"/>
        </w:rPr>
        <w:t>Grafy navazují na souhrnný stav čerpání a procentní podíl je vždy vztažen k podílu EU</w:t>
      </w:r>
      <w:r w:rsidR="00790CF8" w:rsidRPr="00C32820">
        <w:rPr>
          <w:sz w:val="16"/>
          <w:szCs w:val="18"/>
        </w:rPr>
        <w:t xml:space="preserve"> bez zohlednění následných finančních oprav prováděných na úrovni </w:t>
      </w:r>
      <w:r w:rsidR="00E834AA" w:rsidRPr="00C32820">
        <w:rPr>
          <w:sz w:val="16"/>
          <w:szCs w:val="18"/>
        </w:rPr>
        <w:t>MF-PCO.</w:t>
      </w:r>
    </w:p>
    <w:p w:rsidR="001F1882" w:rsidRPr="00C32820" w:rsidRDefault="00A504D6" w:rsidP="00790CF8">
      <w:pPr>
        <w:spacing w:after="0"/>
        <w:rPr>
          <w:sz w:val="16"/>
          <w:szCs w:val="16"/>
        </w:rPr>
      </w:pPr>
      <w:r w:rsidRPr="00C32820">
        <w:rPr>
          <w:sz w:val="16"/>
          <w:szCs w:val="16"/>
        </w:rPr>
        <w:t xml:space="preserve">Zdroj: </w:t>
      </w:r>
      <w:r w:rsidR="004F4DB1" w:rsidRPr="00C32820">
        <w:rPr>
          <w:sz w:val="16"/>
          <w:szCs w:val="16"/>
        </w:rPr>
        <w:t>MSC2007 k </w:t>
      </w:r>
      <w:r w:rsidR="00D0762D" w:rsidRPr="00C32820">
        <w:rPr>
          <w:sz w:val="16"/>
          <w:szCs w:val="16"/>
        </w:rPr>
        <w:t>3</w:t>
      </w:r>
      <w:r w:rsidR="00790CF8" w:rsidRPr="00C32820">
        <w:rPr>
          <w:sz w:val="16"/>
          <w:szCs w:val="16"/>
        </w:rPr>
        <w:t xml:space="preserve">. </w:t>
      </w:r>
      <w:r w:rsidR="00D7407B" w:rsidRPr="00C32820">
        <w:rPr>
          <w:sz w:val="16"/>
          <w:szCs w:val="16"/>
        </w:rPr>
        <w:t>3</w:t>
      </w:r>
      <w:r w:rsidR="004F4DB1" w:rsidRPr="00C32820">
        <w:rPr>
          <w:sz w:val="16"/>
          <w:szCs w:val="16"/>
        </w:rPr>
        <w:t>. 2016</w:t>
      </w:r>
    </w:p>
    <w:p w:rsidR="00051C47" w:rsidRPr="00051C47" w:rsidRDefault="001F1882" w:rsidP="00D01850">
      <w:pPr>
        <w:pStyle w:val="Nadpis1"/>
        <w:numPr>
          <w:ilvl w:val="0"/>
          <w:numId w:val="0"/>
        </w:numPr>
        <w:rPr>
          <w:bCs w:val="0"/>
        </w:rPr>
      </w:pPr>
      <w:r w:rsidRPr="00C32820">
        <w:br w:type="page"/>
      </w:r>
    </w:p>
    <w:p w:rsidR="00D01850" w:rsidRDefault="00D01850" w:rsidP="00D01850">
      <w:pPr>
        <w:pStyle w:val="Nadpis1"/>
      </w:pPr>
      <w:bookmarkStart w:id="11" w:name="_Toc447018932"/>
      <w:r>
        <w:lastRenderedPageBreak/>
        <w:t>Programové období 2014–2020</w:t>
      </w:r>
      <w:bookmarkEnd w:id="11"/>
    </w:p>
    <w:p w:rsidR="00D01850" w:rsidRPr="00D01850" w:rsidRDefault="00D01850" w:rsidP="00D01850">
      <w:pPr>
        <w:pStyle w:val="Nadpis2"/>
        <w:spacing w:after="120"/>
      </w:pPr>
      <w:bookmarkStart w:id="12" w:name="_Toc447018933"/>
      <w:r w:rsidRPr="00D01850">
        <w:t>Vyhlášené výzvy v programech období 2014</w:t>
      </w:r>
      <w:r w:rsidRPr="00D01850">
        <w:softHyphen/>
        <w:t>–2020</w:t>
      </w:r>
      <w:bookmarkEnd w:id="12"/>
      <w:r w:rsidRPr="00D01850">
        <w:t xml:space="preserve"> </w:t>
      </w:r>
    </w:p>
    <w:p w:rsidR="001733FD" w:rsidRPr="001733FD" w:rsidRDefault="008809B5" w:rsidP="001733FD">
      <w:pPr>
        <w:spacing w:after="0" w:line="312" w:lineRule="auto"/>
        <w:rPr>
          <w:b/>
          <w:sz w:val="24"/>
        </w:rPr>
      </w:pPr>
      <w:r>
        <w:rPr>
          <w:sz w:val="24"/>
        </w:rPr>
        <w:t>(stav ke dni 29</w:t>
      </w:r>
      <w:r w:rsidR="001733FD" w:rsidRPr="001733FD">
        <w:rPr>
          <w:sz w:val="24"/>
        </w:rPr>
        <w:t xml:space="preserve">. </w:t>
      </w:r>
      <w:r>
        <w:rPr>
          <w:sz w:val="24"/>
        </w:rPr>
        <w:t>únoru</w:t>
      </w:r>
      <w:r w:rsidR="001733FD" w:rsidRPr="001733FD">
        <w:rPr>
          <w:sz w:val="24"/>
        </w:rPr>
        <w:t xml:space="preserve"> 2016)</w:t>
      </w:r>
    </w:p>
    <w:p w:rsidR="001733FD" w:rsidRPr="001733FD" w:rsidRDefault="001733FD" w:rsidP="0010464A">
      <w:pPr>
        <w:spacing w:before="240" w:after="0" w:line="312" w:lineRule="auto"/>
        <w:rPr>
          <w:b/>
          <w:color w:val="000000" w:themeColor="text1"/>
          <w:sz w:val="24"/>
          <w:szCs w:val="24"/>
          <w:bdr w:val="none" w:sz="0" w:space="0" w:color="auto" w:frame="1"/>
        </w:rPr>
      </w:pPr>
      <w:r w:rsidRPr="001733FD">
        <w:rPr>
          <w:b/>
          <w:color w:val="000000" w:themeColor="text1"/>
          <w:sz w:val="24"/>
          <w:szCs w:val="24"/>
          <w:bdr w:val="none" w:sz="0" w:space="0" w:color="auto" w:frame="1"/>
        </w:rPr>
        <w:t>Dohoda o partnerství</w:t>
      </w:r>
    </w:p>
    <w:p w:rsidR="001733FD" w:rsidRPr="00C32820" w:rsidRDefault="008809B5" w:rsidP="00C32820">
      <w:pPr>
        <w:pStyle w:val="Stylproodstaveckvzvm"/>
      </w:pPr>
      <w:r>
        <w:t>O</w:t>
      </w:r>
      <w:r w:rsidR="001733FD" w:rsidRPr="00E61D9D">
        <w:t xml:space="preserve">d počátku programového období vyhlášeno za všechny programy celkem </w:t>
      </w:r>
      <w:r w:rsidR="001733FD" w:rsidRPr="00E61D9D">
        <w:rPr>
          <w:b/>
        </w:rPr>
        <w:t>216 výzev</w:t>
      </w:r>
      <w:r w:rsidR="001733FD" w:rsidRPr="00E61D9D">
        <w:t xml:space="preserve"> s alokací </w:t>
      </w:r>
      <w:r>
        <w:rPr>
          <w:b/>
        </w:rPr>
        <w:t>268,5 </w:t>
      </w:r>
      <w:r w:rsidR="001733FD" w:rsidRPr="00E61D9D">
        <w:rPr>
          <w:b/>
        </w:rPr>
        <w:t xml:space="preserve">mld. Kč </w:t>
      </w:r>
      <w:r w:rsidR="001733FD" w:rsidRPr="00E61D9D">
        <w:t xml:space="preserve">(příspěvek EU). Tato částka představuje </w:t>
      </w:r>
      <w:r w:rsidR="001733FD" w:rsidRPr="00E61D9D">
        <w:rPr>
          <w:b/>
        </w:rPr>
        <w:t>41 %</w:t>
      </w:r>
      <w:r w:rsidR="001733FD" w:rsidRPr="00E61D9D">
        <w:t xml:space="preserve"> </w:t>
      </w:r>
      <w:r w:rsidR="001733FD" w:rsidRPr="00E61D9D">
        <w:rPr>
          <w:bCs/>
          <w:szCs w:val="24"/>
        </w:rPr>
        <w:t xml:space="preserve">z celkové alokace </w:t>
      </w:r>
      <w:r>
        <w:rPr>
          <w:szCs w:val="24"/>
        </w:rPr>
        <w:t>období 2014–</w:t>
      </w:r>
      <w:r w:rsidR="001733FD" w:rsidRPr="00E61D9D">
        <w:rPr>
          <w:szCs w:val="24"/>
        </w:rPr>
        <w:t>2020</w:t>
      </w:r>
      <w:r w:rsidR="001733FD" w:rsidRPr="00E61D9D">
        <w:t xml:space="preserve">. </w:t>
      </w:r>
      <w:r>
        <w:rPr>
          <w:szCs w:val="24"/>
        </w:rPr>
        <w:t>Ze </w:t>
      </w:r>
      <w:r w:rsidR="001733FD" w:rsidRPr="00E61D9D">
        <w:rPr>
          <w:szCs w:val="24"/>
        </w:rPr>
        <w:t xml:space="preserve">všech programů doposud vyhlásil největší objem výzev Operační program Doprava, dále Operační program Zaměstnanost a </w:t>
      </w:r>
      <w:r w:rsidR="001733FD" w:rsidRPr="00E61D9D">
        <w:rPr>
          <w:bCs/>
          <w:lang w:eastAsia="en-US"/>
        </w:rPr>
        <w:t>Operační program Výzkum,</w:t>
      </w:r>
      <w:r w:rsidR="001733FD" w:rsidRPr="00C32820">
        <w:rPr>
          <w:bCs/>
          <w:lang w:eastAsia="en-US"/>
        </w:rPr>
        <w:t xml:space="preserve"> vývoj a</w:t>
      </w:r>
      <w:r>
        <w:rPr>
          <w:bCs/>
          <w:lang w:eastAsia="en-US"/>
        </w:rPr>
        <w:t> </w:t>
      </w:r>
      <w:r w:rsidR="001733FD" w:rsidRPr="00C32820">
        <w:rPr>
          <w:bCs/>
          <w:lang w:eastAsia="en-US"/>
        </w:rPr>
        <w:t>vzdělávání</w:t>
      </w:r>
      <w:r w:rsidR="001733FD" w:rsidRPr="00C32820">
        <w:rPr>
          <w:szCs w:val="24"/>
        </w:rPr>
        <w:t>.</w:t>
      </w:r>
    </w:p>
    <w:p w:rsidR="001733FD" w:rsidRPr="00C32820" w:rsidRDefault="001733FD" w:rsidP="00C32820">
      <w:pPr>
        <w:pStyle w:val="Titulektabulky"/>
        <w:spacing w:before="240"/>
      </w:pPr>
      <w:r w:rsidRPr="00C32820">
        <w:t>Tabulka č. 1</w:t>
      </w:r>
      <w:r w:rsidR="00C32820">
        <w:t xml:space="preserve"> – </w:t>
      </w:r>
      <w:r w:rsidRPr="00C32820">
        <w:t>Objem a počet vyhlášených výzev od počátku programového období v rozdělení dle programů (příspěvek EU)</w:t>
      </w:r>
    </w:p>
    <w:tbl>
      <w:tblPr>
        <w:tblStyle w:val="Svtlmkazvraznn5"/>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600"/>
      </w:tblPr>
      <w:tblGrid>
        <w:gridCol w:w="5082"/>
        <w:gridCol w:w="2385"/>
        <w:gridCol w:w="2387"/>
      </w:tblGrid>
      <w:tr w:rsidR="001733FD" w:rsidRPr="00C32820" w:rsidTr="00C32820">
        <w:trPr>
          <w:trHeight w:val="227"/>
          <w:jc w:val="center"/>
        </w:trPr>
        <w:tc>
          <w:tcPr>
            <w:tcW w:w="2579" w:type="pct"/>
            <w:vMerge w:val="restart"/>
            <w:shd w:val="clear" w:color="auto" w:fill="000099"/>
            <w:vAlign w:val="center"/>
            <w:hideMark/>
          </w:tcPr>
          <w:p w:rsidR="001733FD" w:rsidRPr="00C32820" w:rsidRDefault="00C32820" w:rsidP="0010464A">
            <w:pPr>
              <w:spacing w:after="0" w:line="240" w:lineRule="auto"/>
              <w:jc w:val="left"/>
              <w:rPr>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P</w:t>
            </w:r>
            <w:r w:rsidR="001733FD" w:rsidRPr="00C32820">
              <w:rPr>
                <w:b/>
                <w:bCs/>
                <w:color w:val="FFFFFF" w:themeColor="background1"/>
                <w:bdr w:val="none" w:sz="0" w:space="0" w:color="auto" w:frame="1"/>
                <w:lang w:val="cs-CZ" w:eastAsia="en-US"/>
              </w:rPr>
              <w:t>rogram</w:t>
            </w:r>
          </w:p>
        </w:tc>
        <w:tc>
          <w:tcPr>
            <w:tcW w:w="1210" w:type="pct"/>
            <w:shd w:val="clear" w:color="auto" w:fill="000099"/>
            <w:vAlign w:val="center"/>
            <w:hideMark/>
          </w:tcPr>
          <w:p w:rsidR="001733FD" w:rsidRPr="00C32820" w:rsidRDefault="001733FD" w:rsidP="00C32820">
            <w:pPr>
              <w:spacing w:after="0" w:line="240" w:lineRule="auto"/>
              <w:jc w:val="center"/>
              <w:rPr>
                <w:b/>
                <w:bCs/>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Vyhlášené výzvy</w:t>
            </w:r>
          </w:p>
        </w:tc>
        <w:tc>
          <w:tcPr>
            <w:tcW w:w="1211" w:type="pct"/>
            <w:shd w:val="clear" w:color="auto" w:fill="000099"/>
            <w:vAlign w:val="center"/>
            <w:hideMark/>
          </w:tcPr>
          <w:p w:rsidR="001733FD" w:rsidRPr="00C32820" w:rsidRDefault="001733FD" w:rsidP="00C32820">
            <w:pPr>
              <w:spacing w:after="0" w:line="240" w:lineRule="auto"/>
              <w:jc w:val="center"/>
              <w:rPr>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Počet výzev</w:t>
            </w:r>
          </w:p>
        </w:tc>
      </w:tr>
      <w:tr w:rsidR="001733FD" w:rsidRPr="00C32820" w:rsidTr="00C32820">
        <w:trPr>
          <w:trHeight w:val="227"/>
          <w:jc w:val="center"/>
        </w:trPr>
        <w:tc>
          <w:tcPr>
            <w:tcW w:w="0" w:type="auto"/>
            <w:vMerge/>
            <w:shd w:val="clear" w:color="auto" w:fill="000099"/>
            <w:vAlign w:val="center"/>
            <w:hideMark/>
          </w:tcPr>
          <w:p w:rsidR="001733FD" w:rsidRPr="00C32820" w:rsidRDefault="001733FD" w:rsidP="00C32820">
            <w:pPr>
              <w:spacing w:after="0" w:line="240" w:lineRule="auto"/>
              <w:rPr>
                <w:color w:val="FFFFFF" w:themeColor="background1"/>
                <w:bdr w:val="none" w:sz="0" w:space="0" w:color="auto" w:frame="1"/>
                <w:lang w:val="cs-CZ" w:eastAsia="en-US"/>
              </w:rPr>
            </w:pPr>
          </w:p>
        </w:tc>
        <w:tc>
          <w:tcPr>
            <w:tcW w:w="1210" w:type="pct"/>
            <w:shd w:val="clear" w:color="auto" w:fill="000099"/>
            <w:vAlign w:val="center"/>
            <w:hideMark/>
          </w:tcPr>
          <w:p w:rsidR="001733FD" w:rsidRPr="00C32820" w:rsidRDefault="001733FD" w:rsidP="00C32820">
            <w:pPr>
              <w:spacing w:after="0" w:line="240" w:lineRule="auto"/>
              <w:jc w:val="center"/>
              <w:rPr>
                <w:b/>
                <w:bCs/>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v mld. Kč</w:t>
            </w:r>
          </w:p>
        </w:tc>
        <w:tc>
          <w:tcPr>
            <w:tcW w:w="1211" w:type="pct"/>
            <w:shd w:val="clear" w:color="auto" w:fill="000099"/>
            <w:vAlign w:val="center"/>
            <w:hideMark/>
          </w:tcPr>
          <w:p w:rsidR="001733FD" w:rsidRPr="00C32820" w:rsidRDefault="001733FD" w:rsidP="00C32820">
            <w:pPr>
              <w:spacing w:after="0" w:line="240" w:lineRule="auto"/>
              <w:jc w:val="center"/>
              <w:rPr>
                <w:b/>
                <w:bCs/>
                <w:color w:val="FFFFFF" w:themeColor="background1"/>
                <w:bdr w:val="none" w:sz="0" w:space="0" w:color="auto" w:frame="1"/>
                <w:lang w:val="cs-CZ" w:eastAsia="en-US"/>
              </w:rPr>
            </w:pPr>
            <w:r w:rsidRPr="00C32820">
              <w:rPr>
                <w:b/>
                <w:bCs/>
                <w:color w:val="FFFFFF" w:themeColor="background1"/>
                <w:bdr w:val="none" w:sz="0" w:space="0" w:color="auto" w:frame="1"/>
                <w:lang w:val="cs-CZ" w:eastAsia="en-US"/>
              </w:rPr>
              <w:t>počet</w:t>
            </w:r>
          </w:p>
        </w:tc>
      </w:tr>
      <w:tr w:rsidR="0010464A" w:rsidRPr="00C32820" w:rsidTr="00B41F33">
        <w:trPr>
          <w:trHeight w:val="340"/>
          <w:jc w:val="center"/>
        </w:trPr>
        <w:tc>
          <w:tcPr>
            <w:tcW w:w="2579" w:type="pct"/>
            <w:vAlign w:val="center"/>
            <w:hideMark/>
          </w:tcPr>
          <w:p w:rsidR="0010464A" w:rsidRPr="00C32820" w:rsidRDefault="0010464A" w:rsidP="00B41F33">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Podnikání a inovace pro konkurenceschopnost</w:t>
            </w:r>
          </w:p>
        </w:tc>
        <w:tc>
          <w:tcPr>
            <w:tcW w:w="1210"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29,2</w:t>
            </w:r>
          </w:p>
        </w:tc>
        <w:tc>
          <w:tcPr>
            <w:tcW w:w="1211"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43</w:t>
            </w:r>
          </w:p>
        </w:tc>
      </w:tr>
      <w:tr w:rsidR="0010464A" w:rsidRPr="00C32820" w:rsidTr="00B41F33">
        <w:trPr>
          <w:trHeight w:val="340"/>
          <w:jc w:val="center"/>
        </w:trPr>
        <w:tc>
          <w:tcPr>
            <w:tcW w:w="2579" w:type="pct"/>
            <w:vAlign w:val="center"/>
            <w:hideMark/>
          </w:tcPr>
          <w:p w:rsidR="0010464A" w:rsidRPr="00C32820" w:rsidRDefault="0010464A" w:rsidP="00B41F33">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Výzkum, vývoj a vzdělávání</w:t>
            </w:r>
          </w:p>
        </w:tc>
        <w:tc>
          <w:tcPr>
            <w:tcW w:w="1210"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36,8</w:t>
            </w:r>
          </w:p>
        </w:tc>
        <w:tc>
          <w:tcPr>
            <w:tcW w:w="1211"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19</w:t>
            </w:r>
          </w:p>
        </w:tc>
      </w:tr>
      <w:tr w:rsidR="0010464A" w:rsidRPr="00C32820" w:rsidTr="00B41F33">
        <w:trPr>
          <w:trHeight w:val="340"/>
          <w:jc w:val="center"/>
        </w:trPr>
        <w:tc>
          <w:tcPr>
            <w:tcW w:w="2579" w:type="pct"/>
            <w:vAlign w:val="center"/>
            <w:hideMark/>
          </w:tcPr>
          <w:p w:rsidR="0010464A" w:rsidRPr="00C32820" w:rsidRDefault="0010464A" w:rsidP="00B41F33">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Zaměstnanost</w:t>
            </w:r>
          </w:p>
        </w:tc>
        <w:tc>
          <w:tcPr>
            <w:tcW w:w="1210"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38,1</w:t>
            </w:r>
          </w:p>
        </w:tc>
        <w:tc>
          <w:tcPr>
            <w:tcW w:w="1211"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48</w:t>
            </w:r>
          </w:p>
        </w:tc>
      </w:tr>
      <w:tr w:rsidR="0010464A" w:rsidRPr="00C32820" w:rsidTr="00B41F33">
        <w:trPr>
          <w:trHeight w:val="340"/>
          <w:jc w:val="center"/>
        </w:trPr>
        <w:tc>
          <w:tcPr>
            <w:tcW w:w="2579" w:type="pct"/>
            <w:vAlign w:val="center"/>
            <w:hideMark/>
          </w:tcPr>
          <w:p w:rsidR="0010464A" w:rsidRPr="00C32820" w:rsidRDefault="0010464A" w:rsidP="00B41F33">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Doprava</w:t>
            </w:r>
          </w:p>
        </w:tc>
        <w:tc>
          <w:tcPr>
            <w:tcW w:w="1210"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84,0</w:t>
            </w:r>
          </w:p>
        </w:tc>
        <w:tc>
          <w:tcPr>
            <w:tcW w:w="1211"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5</w:t>
            </w:r>
          </w:p>
        </w:tc>
      </w:tr>
      <w:tr w:rsidR="0010464A" w:rsidRPr="00C32820" w:rsidTr="00B41F33">
        <w:trPr>
          <w:trHeight w:val="340"/>
          <w:jc w:val="center"/>
        </w:trPr>
        <w:tc>
          <w:tcPr>
            <w:tcW w:w="2579" w:type="pct"/>
            <w:vAlign w:val="center"/>
            <w:hideMark/>
          </w:tcPr>
          <w:p w:rsidR="0010464A" w:rsidRPr="00C32820" w:rsidRDefault="0010464A" w:rsidP="00B41F33">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Životní prostředí</w:t>
            </w:r>
          </w:p>
        </w:tc>
        <w:tc>
          <w:tcPr>
            <w:tcW w:w="1210"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24,7</w:t>
            </w:r>
          </w:p>
        </w:tc>
        <w:tc>
          <w:tcPr>
            <w:tcW w:w="1211"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28</w:t>
            </w:r>
          </w:p>
        </w:tc>
      </w:tr>
      <w:tr w:rsidR="001733FD" w:rsidRPr="00C32820" w:rsidTr="00C32820">
        <w:trPr>
          <w:trHeight w:val="340"/>
          <w:jc w:val="center"/>
        </w:trPr>
        <w:tc>
          <w:tcPr>
            <w:tcW w:w="2579" w:type="pct"/>
            <w:vAlign w:val="center"/>
            <w:hideMark/>
          </w:tcPr>
          <w:p w:rsidR="001733FD" w:rsidRPr="00C32820" w:rsidRDefault="001733FD" w:rsidP="00C32820">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Integrovaný regionální operační program</w:t>
            </w:r>
          </w:p>
        </w:tc>
        <w:tc>
          <w:tcPr>
            <w:tcW w:w="1210" w:type="pct"/>
            <w:vAlign w:val="center"/>
            <w:hideMark/>
          </w:tcPr>
          <w:p w:rsidR="001733FD" w:rsidRPr="00C32820" w:rsidRDefault="001733FD" w:rsidP="00C32820">
            <w:pPr>
              <w:spacing w:after="0" w:line="240" w:lineRule="auto"/>
              <w:jc w:val="center"/>
              <w:rPr>
                <w:lang w:val="cs-CZ" w:eastAsia="en-US"/>
              </w:rPr>
            </w:pPr>
            <w:r w:rsidRPr="00C32820">
              <w:rPr>
                <w:lang w:val="cs-CZ" w:eastAsia="en-US"/>
              </w:rPr>
              <w:t>36,3</w:t>
            </w:r>
          </w:p>
        </w:tc>
        <w:tc>
          <w:tcPr>
            <w:tcW w:w="1211" w:type="pct"/>
            <w:vAlign w:val="center"/>
            <w:hideMark/>
          </w:tcPr>
          <w:p w:rsidR="001733FD" w:rsidRPr="00C32820" w:rsidRDefault="001733FD" w:rsidP="00C32820">
            <w:pPr>
              <w:spacing w:after="0" w:line="240" w:lineRule="auto"/>
              <w:jc w:val="center"/>
              <w:rPr>
                <w:lang w:val="cs-CZ" w:eastAsia="en-US"/>
              </w:rPr>
            </w:pPr>
            <w:r w:rsidRPr="00C32820">
              <w:rPr>
                <w:lang w:val="cs-CZ" w:eastAsia="en-US"/>
              </w:rPr>
              <w:t>23</w:t>
            </w:r>
          </w:p>
        </w:tc>
      </w:tr>
      <w:tr w:rsidR="001733FD" w:rsidRPr="00C32820" w:rsidTr="00C32820">
        <w:trPr>
          <w:trHeight w:val="340"/>
          <w:jc w:val="center"/>
        </w:trPr>
        <w:tc>
          <w:tcPr>
            <w:tcW w:w="2579" w:type="pct"/>
            <w:vAlign w:val="center"/>
            <w:hideMark/>
          </w:tcPr>
          <w:p w:rsidR="001733FD" w:rsidRPr="00C32820" w:rsidRDefault="001733FD" w:rsidP="00C32820">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Praha pól růstu ČR</w:t>
            </w:r>
          </w:p>
        </w:tc>
        <w:tc>
          <w:tcPr>
            <w:tcW w:w="1210" w:type="pct"/>
            <w:vAlign w:val="center"/>
            <w:hideMark/>
          </w:tcPr>
          <w:p w:rsidR="001733FD" w:rsidRPr="00C32820" w:rsidRDefault="001733FD" w:rsidP="00C32820">
            <w:pPr>
              <w:spacing w:after="0" w:line="240" w:lineRule="auto"/>
              <w:jc w:val="center"/>
              <w:rPr>
                <w:lang w:val="cs-CZ" w:eastAsia="en-US"/>
              </w:rPr>
            </w:pPr>
            <w:r w:rsidRPr="00C32820">
              <w:rPr>
                <w:lang w:val="cs-CZ" w:eastAsia="en-US"/>
              </w:rPr>
              <w:t>1,4</w:t>
            </w:r>
          </w:p>
        </w:tc>
        <w:tc>
          <w:tcPr>
            <w:tcW w:w="1211" w:type="pct"/>
            <w:vAlign w:val="center"/>
            <w:hideMark/>
          </w:tcPr>
          <w:p w:rsidR="001733FD" w:rsidRPr="00C32820" w:rsidRDefault="001733FD" w:rsidP="00C32820">
            <w:pPr>
              <w:spacing w:after="0" w:line="240" w:lineRule="auto"/>
              <w:jc w:val="center"/>
              <w:rPr>
                <w:lang w:val="cs-CZ" w:eastAsia="en-US"/>
              </w:rPr>
            </w:pPr>
            <w:r w:rsidRPr="00C32820">
              <w:rPr>
                <w:lang w:val="cs-CZ" w:eastAsia="en-US"/>
              </w:rPr>
              <w:t>12</w:t>
            </w:r>
          </w:p>
        </w:tc>
      </w:tr>
      <w:tr w:rsidR="0010464A" w:rsidRPr="00C32820" w:rsidTr="00B41F33">
        <w:trPr>
          <w:trHeight w:val="340"/>
          <w:jc w:val="center"/>
        </w:trPr>
        <w:tc>
          <w:tcPr>
            <w:tcW w:w="2579" w:type="pct"/>
            <w:vAlign w:val="center"/>
            <w:hideMark/>
          </w:tcPr>
          <w:p w:rsidR="0010464A" w:rsidRPr="00C32820" w:rsidRDefault="0010464A" w:rsidP="00B41F33">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Technická pomoc</w:t>
            </w:r>
          </w:p>
        </w:tc>
        <w:tc>
          <w:tcPr>
            <w:tcW w:w="1210"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6,1</w:t>
            </w:r>
          </w:p>
        </w:tc>
        <w:tc>
          <w:tcPr>
            <w:tcW w:w="1211"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3</w:t>
            </w:r>
          </w:p>
        </w:tc>
      </w:tr>
      <w:tr w:rsidR="001733FD" w:rsidRPr="00C32820" w:rsidTr="00C32820">
        <w:trPr>
          <w:trHeight w:val="340"/>
          <w:jc w:val="center"/>
        </w:trPr>
        <w:tc>
          <w:tcPr>
            <w:tcW w:w="2579" w:type="pct"/>
            <w:vAlign w:val="center"/>
            <w:hideMark/>
          </w:tcPr>
          <w:p w:rsidR="001733FD" w:rsidRPr="00C32820" w:rsidRDefault="001733FD" w:rsidP="00C32820">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Program rozvoje venkova</w:t>
            </w:r>
          </w:p>
        </w:tc>
        <w:tc>
          <w:tcPr>
            <w:tcW w:w="1210" w:type="pct"/>
            <w:vAlign w:val="center"/>
            <w:hideMark/>
          </w:tcPr>
          <w:p w:rsidR="001733FD" w:rsidRPr="00C32820" w:rsidRDefault="001733FD" w:rsidP="00C32820">
            <w:pPr>
              <w:spacing w:after="0" w:line="240" w:lineRule="auto"/>
              <w:jc w:val="center"/>
              <w:rPr>
                <w:lang w:val="cs-CZ" w:eastAsia="en-US"/>
              </w:rPr>
            </w:pPr>
            <w:r w:rsidRPr="00C32820">
              <w:rPr>
                <w:lang w:val="cs-CZ" w:eastAsia="en-US"/>
              </w:rPr>
              <w:t>11,6*</w:t>
            </w:r>
          </w:p>
        </w:tc>
        <w:tc>
          <w:tcPr>
            <w:tcW w:w="1211" w:type="pct"/>
            <w:vAlign w:val="center"/>
            <w:hideMark/>
          </w:tcPr>
          <w:p w:rsidR="001733FD" w:rsidRPr="00C32820" w:rsidRDefault="001733FD" w:rsidP="00C32820">
            <w:pPr>
              <w:spacing w:after="0" w:line="240" w:lineRule="auto"/>
              <w:jc w:val="center"/>
              <w:rPr>
                <w:lang w:val="cs-CZ" w:eastAsia="en-US"/>
              </w:rPr>
            </w:pPr>
            <w:r w:rsidRPr="00C32820">
              <w:rPr>
                <w:lang w:val="cs-CZ" w:eastAsia="en-US"/>
              </w:rPr>
              <w:t>29</w:t>
            </w:r>
          </w:p>
        </w:tc>
      </w:tr>
      <w:tr w:rsidR="0010464A" w:rsidRPr="00C32820" w:rsidTr="00B41F33">
        <w:trPr>
          <w:trHeight w:val="340"/>
          <w:jc w:val="center"/>
        </w:trPr>
        <w:tc>
          <w:tcPr>
            <w:tcW w:w="2579" w:type="pct"/>
            <w:vAlign w:val="center"/>
            <w:hideMark/>
          </w:tcPr>
          <w:p w:rsidR="0010464A" w:rsidRPr="00C32820" w:rsidRDefault="0010464A" w:rsidP="00B41F33">
            <w:pPr>
              <w:spacing w:after="0" w:line="240" w:lineRule="auto"/>
              <w:rPr>
                <w:color w:val="000000" w:themeColor="text1"/>
                <w:bdr w:val="none" w:sz="0" w:space="0" w:color="auto" w:frame="1"/>
                <w:lang w:val="cs-CZ" w:eastAsia="en-US"/>
              </w:rPr>
            </w:pPr>
            <w:r w:rsidRPr="00C32820">
              <w:rPr>
                <w:bCs/>
                <w:color w:val="000000" w:themeColor="text1"/>
                <w:bdr w:val="none" w:sz="0" w:space="0" w:color="auto" w:frame="1"/>
                <w:lang w:val="cs-CZ" w:eastAsia="en-US"/>
              </w:rPr>
              <w:t>OP Rybářství</w:t>
            </w:r>
          </w:p>
        </w:tc>
        <w:tc>
          <w:tcPr>
            <w:tcW w:w="1210"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0,3</w:t>
            </w:r>
          </w:p>
        </w:tc>
        <w:tc>
          <w:tcPr>
            <w:tcW w:w="1211" w:type="pct"/>
            <w:vAlign w:val="center"/>
            <w:hideMark/>
          </w:tcPr>
          <w:p w:rsidR="0010464A" w:rsidRPr="00C32820" w:rsidRDefault="0010464A" w:rsidP="00B41F33">
            <w:pPr>
              <w:spacing w:after="0" w:line="240" w:lineRule="auto"/>
              <w:jc w:val="center"/>
              <w:rPr>
                <w:lang w:val="cs-CZ" w:eastAsia="en-US"/>
              </w:rPr>
            </w:pPr>
            <w:r w:rsidRPr="00C32820">
              <w:rPr>
                <w:lang w:val="cs-CZ" w:eastAsia="en-US"/>
              </w:rPr>
              <w:t>6</w:t>
            </w:r>
          </w:p>
        </w:tc>
      </w:tr>
      <w:tr w:rsidR="001733FD" w:rsidRPr="00C32820" w:rsidTr="0010464A">
        <w:trPr>
          <w:trHeight w:val="340"/>
          <w:jc w:val="center"/>
        </w:trPr>
        <w:tc>
          <w:tcPr>
            <w:tcW w:w="2579" w:type="pct"/>
            <w:shd w:val="clear" w:color="auto" w:fill="F2F2F2" w:themeFill="background1" w:themeFillShade="F2"/>
            <w:vAlign w:val="center"/>
            <w:hideMark/>
          </w:tcPr>
          <w:p w:rsidR="001733FD" w:rsidRPr="00C32820" w:rsidRDefault="001733FD" w:rsidP="0010464A">
            <w:pPr>
              <w:spacing w:after="0" w:line="240" w:lineRule="auto"/>
              <w:jc w:val="left"/>
              <w:rPr>
                <w:color w:val="000000" w:themeColor="text1"/>
                <w:bdr w:val="none" w:sz="0" w:space="0" w:color="auto" w:frame="1"/>
                <w:lang w:val="cs-CZ" w:eastAsia="en-US"/>
              </w:rPr>
            </w:pPr>
            <w:r w:rsidRPr="00C32820">
              <w:rPr>
                <w:b/>
                <w:bCs/>
                <w:color w:val="000000" w:themeColor="text1"/>
                <w:bdr w:val="none" w:sz="0" w:space="0" w:color="auto" w:frame="1"/>
                <w:lang w:val="cs-CZ" w:eastAsia="en-US"/>
              </w:rPr>
              <w:t>Celkem</w:t>
            </w:r>
          </w:p>
        </w:tc>
        <w:tc>
          <w:tcPr>
            <w:tcW w:w="1210" w:type="pct"/>
            <w:shd w:val="clear" w:color="auto" w:fill="F2F2F2" w:themeFill="background1" w:themeFillShade="F2"/>
            <w:vAlign w:val="center"/>
            <w:hideMark/>
          </w:tcPr>
          <w:p w:rsidR="001733FD" w:rsidRPr="00C32820" w:rsidRDefault="001733FD" w:rsidP="00C32820">
            <w:pPr>
              <w:spacing w:after="0" w:line="240" w:lineRule="auto"/>
              <w:jc w:val="center"/>
              <w:rPr>
                <w:b/>
                <w:lang w:val="cs-CZ" w:eastAsia="en-US"/>
              </w:rPr>
            </w:pPr>
            <w:r w:rsidRPr="00C32820">
              <w:rPr>
                <w:b/>
                <w:lang w:val="cs-CZ" w:eastAsia="en-US"/>
              </w:rPr>
              <w:t>268,5</w:t>
            </w:r>
          </w:p>
        </w:tc>
        <w:tc>
          <w:tcPr>
            <w:tcW w:w="1211" w:type="pct"/>
            <w:shd w:val="clear" w:color="auto" w:fill="F2F2F2" w:themeFill="background1" w:themeFillShade="F2"/>
            <w:vAlign w:val="center"/>
            <w:hideMark/>
          </w:tcPr>
          <w:p w:rsidR="001733FD" w:rsidRPr="00C32820" w:rsidRDefault="001733FD" w:rsidP="00C32820">
            <w:pPr>
              <w:spacing w:after="0" w:line="240" w:lineRule="auto"/>
              <w:jc w:val="center"/>
              <w:rPr>
                <w:b/>
                <w:lang w:val="cs-CZ" w:eastAsia="en-US"/>
              </w:rPr>
            </w:pPr>
            <w:r w:rsidRPr="00C32820">
              <w:rPr>
                <w:b/>
                <w:lang w:val="cs-CZ" w:eastAsia="en-US"/>
              </w:rPr>
              <w:t>216</w:t>
            </w:r>
          </w:p>
        </w:tc>
      </w:tr>
    </w:tbl>
    <w:p w:rsidR="00E61D9D" w:rsidRPr="001733FD" w:rsidRDefault="00E61D9D" w:rsidP="00E61D9D">
      <w:pPr>
        <w:tabs>
          <w:tab w:val="left" w:pos="851"/>
          <w:tab w:val="left" w:pos="993"/>
        </w:tabs>
        <w:spacing w:after="0"/>
        <w:ind w:left="993" w:hanging="993"/>
        <w:rPr>
          <w:sz w:val="16"/>
          <w:szCs w:val="16"/>
        </w:rPr>
      </w:pPr>
      <w:r>
        <w:rPr>
          <w:sz w:val="16"/>
          <w:szCs w:val="16"/>
        </w:rPr>
        <w:t>Poznámka:</w:t>
      </w:r>
      <w:r>
        <w:rPr>
          <w:sz w:val="16"/>
          <w:szCs w:val="16"/>
        </w:rPr>
        <w:tab/>
      </w:r>
      <w:r w:rsidRPr="001733FD">
        <w:rPr>
          <w:sz w:val="16"/>
          <w:szCs w:val="16"/>
        </w:rPr>
        <w:t>*</w:t>
      </w:r>
      <w:r>
        <w:rPr>
          <w:sz w:val="16"/>
          <w:szCs w:val="16"/>
        </w:rPr>
        <w:tab/>
      </w:r>
      <w:r w:rsidRPr="001733FD">
        <w:rPr>
          <w:sz w:val="16"/>
          <w:szCs w:val="16"/>
        </w:rPr>
        <w:t>Příspěvek EU již byl přepočten podle nové míry kofinancování uvedené ve 2. modifikaci PRV 2014</w:t>
      </w:r>
      <w:r>
        <w:rPr>
          <w:sz w:val="16"/>
          <w:szCs w:val="16"/>
        </w:rPr>
        <w:t>–</w:t>
      </w:r>
      <w:r w:rsidRPr="001733FD">
        <w:rPr>
          <w:sz w:val="16"/>
          <w:szCs w:val="16"/>
        </w:rPr>
        <w:t>2020 aktuálně projednávané s EK.</w:t>
      </w:r>
    </w:p>
    <w:p w:rsidR="001733FD" w:rsidRDefault="001733FD" w:rsidP="001733FD">
      <w:pPr>
        <w:spacing w:after="0"/>
        <w:rPr>
          <w:color w:val="000000" w:themeColor="text1"/>
          <w:sz w:val="16"/>
          <w:szCs w:val="16"/>
          <w:bdr w:val="none" w:sz="0" w:space="0" w:color="auto" w:frame="1"/>
        </w:rPr>
      </w:pPr>
      <w:r w:rsidRPr="001733FD">
        <w:rPr>
          <w:color w:val="000000" w:themeColor="text1"/>
          <w:sz w:val="16"/>
          <w:szCs w:val="16"/>
          <w:bdr w:val="none" w:sz="0" w:space="0" w:color="auto" w:frame="1"/>
        </w:rPr>
        <w:t>Zdroj: MS2014+, řídicí orgány, stav k </w:t>
      </w:r>
      <w:r w:rsidR="008809B5" w:rsidRPr="008809B5">
        <w:rPr>
          <w:color w:val="000000" w:themeColor="text1"/>
          <w:sz w:val="16"/>
          <w:szCs w:val="16"/>
          <w:bdr w:val="none" w:sz="0" w:space="0" w:color="auto" w:frame="1"/>
        </w:rPr>
        <w:t>29. únoru 2016</w:t>
      </w:r>
      <w:r w:rsidRPr="001733FD">
        <w:rPr>
          <w:color w:val="000000" w:themeColor="text1"/>
          <w:sz w:val="16"/>
          <w:szCs w:val="16"/>
          <w:bdr w:val="none" w:sz="0" w:space="0" w:color="auto" w:frame="1"/>
        </w:rPr>
        <w:t>.</w:t>
      </w:r>
    </w:p>
    <w:p w:rsidR="000316A9" w:rsidRPr="000316A9" w:rsidRDefault="000316A9" w:rsidP="001733FD">
      <w:pPr>
        <w:spacing w:after="0"/>
        <w:rPr>
          <w:color w:val="000000" w:themeColor="text1"/>
          <w:szCs w:val="20"/>
          <w:bdr w:val="none" w:sz="0" w:space="0" w:color="auto" w:frame="1"/>
        </w:rPr>
      </w:pPr>
    </w:p>
    <w:p w:rsidR="000316A9" w:rsidRDefault="000316A9" w:rsidP="000316A9">
      <w:pPr>
        <w:pStyle w:val="Odstavecseseznamem"/>
        <w:numPr>
          <w:ilvl w:val="0"/>
          <w:numId w:val="42"/>
        </w:numPr>
        <w:rPr>
          <w:rFonts w:ascii="Arial" w:hAnsi="Arial" w:cs="Arial"/>
          <w:color w:val="000000" w:themeColor="text1"/>
          <w:szCs w:val="20"/>
          <w:bdr w:val="none" w:sz="0" w:space="0" w:color="auto" w:frame="1"/>
        </w:rPr>
      </w:pPr>
      <w:r w:rsidRPr="000316A9">
        <w:rPr>
          <w:rFonts w:ascii="Arial" w:hAnsi="Arial" w:cs="Arial"/>
          <w:color w:val="000000" w:themeColor="text1"/>
          <w:szCs w:val="20"/>
          <w:bdr w:val="none" w:sz="0" w:space="0" w:color="auto" w:frame="1"/>
        </w:rPr>
        <w:t xml:space="preserve">Do ledna 2016 prováděl MMR-NOK ve spolupráci s Ministerstvem financí </w:t>
      </w:r>
      <w:r>
        <w:rPr>
          <w:rFonts w:ascii="Arial" w:hAnsi="Arial" w:cs="Arial"/>
          <w:color w:val="000000" w:themeColor="text1"/>
          <w:szCs w:val="20"/>
          <w:bdr w:val="none" w:sz="0" w:space="0" w:color="auto" w:frame="1"/>
        </w:rPr>
        <w:t xml:space="preserve">v rámci integrovaného systému řízení rizik (viz příloha) </w:t>
      </w:r>
      <w:r w:rsidRPr="000316A9">
        <w:rPr>
          <w:rFonts w:ascii="Arial" w:hAnsi="Arial" w:cs="Arial"/>
          <w:color w:val="000000" w:themeColor="text1"/>
          <w:szCs w:val="20"/>
          <w:bdr w:val="none" w:sz="0" w:space="0" w:color="auto" w:frame="1"/>
        </w:rPr>
        <w:t>hodnocení rizikovosti programů. Výsledek této aktivity bude zachycen ve Výroční zprávě o implementaci Dohody o partnerství za rok 2015</w:t>
      </w:r>
      <w:r>
        <w:rPr>
          <w:rFonts w:ascii="Arial" w:hAnsi="Arial" w:cs="Arial"/>
          <w:color w:val="000000" w:themeColor="text1"/>
          <w:szCs w:val="20"/>
          <w:bdr w:val="none" w:sz="0" w:space="0" w:color="auto" w:frame="1"/>
        </w:rPr>
        <w:t>, která bude předložena do konce dubna na jednání vlády</w:t>
      </w:r>
      <w:r w:rsidRPr="000316A9">
        <w:rPr>
          <w:rFonts w:ascii="Arial" w:hAnsi="Arial" w:cs="Arial"/>
          <w:color w:val="000000" w:themeColor="text1"/>
          <w:szCs w:val="20"/>
          <w:bdr w:val="none" w:sz="0" w:space="0" w:color="auto" w:frame="1"/>
        </w:rPr>
        <w:t>.</w:t>
      </w:r>
    </w:p>
    <w:p w:rsidR="000316A9" w:rsidRPr="000316A9" w:rsidRDefault="000316A9" w:rsidP="000316A9">
      <w:pPr>
        <w:rPr>
          <w:b/>
          <w:color w:val="000000" w:themeColor="text1"/>
          <w:sz w:val="24"/>
          <w:szCs w:val="24"/>
          <w:bdr w:val="none" w:sz="0" w:space="0" w:color="auto" w:frame="1"/>
        </w:rPr>
      </w:pPr>
    </w:p>
    <w:p w:rsidR="000316A9" w:rsidRPr="000316A9" w:rsidRDefault="000316A9" w:rsidP="000316A9">
      <w:pPr>
        <w:rPr>
          <w:b/>
          <w:color w:val="000000" w:themeColor="text1"/>
          <w:sz w:val="24"/>
          <w:szCs w:val="24"/>
          <w:bdr w:val="none" w:sz="0" w:space="0" w:color="auto" w:frame="1"/>
        </w:rPr>
      </w:pPr>
      <w:r w:rsidRPr="000316A9">
        <w:rPr>
          <w:b/>
          <w:color w:val="000000" w:themeColor="text1"/>
          <w:sz w:val="24"/>
          <w:szCs w:val="24"/>
          <w:bdr w:val="none" w:sz="0" w:space="0" w:color="auto" w:frame="1"/>
        </w:rPr>
        <w:t>Programy ESI fondů</w:t>
      </w:r>
      <w:r>
        <w:rPr>
          <w:b/>
          <w:color w:val="000000" w:themeColor="text1"/>
          <w:sz w:val="24"/>
          <w:szCs w:val="24"/>
          <w:bdr w:val="none" w:sz="0" w:space="0" w:color="auto" w:frame="1"/>
        </w:rPr>
        <w:t>:</w:t>
      </w:r>
    </w:p>
    <w:p w:rsidR="0010464A" w:rsidRPr="001733FD" w:rsidRDefault="0010464A" w:rsidP="0010464A">
      <w:pPr>
        <w:keepNext/>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t>OP Podnikání a inovace pro konkurenceschopnost (OP PIK)</w:t>
      </w:r>
    </w:p>
    <w:p w:rsidR="0010464A" w:rsidRPr="00C32820" w:rsidRDefault="0010464A" w:rsidP="0010464A">
      <w:pPr>
        <w:pStyle w:val="Stylproodstaveckvzvm"/>
        <w:rPr>
          <w:lang w:eastAsia="en-US"/>
        </w:rPr>
      </w:pPr>
      <w:r w:rsidRPr="00C32820">
        <w:t xml:space="preserve">Řídicí orgán OP PIK vyhlásil ke stanovenému datu </w:t>
      </w:r>
      <w:r w:rsidRPr="00C32820">
        <w:rPr>
          <w:b/>
        </w:rPr>
        <w:t xml:space="preserve">43 výzev </w:t>
      </w:r>
      <w:r w:rsidRPr="00C32820">
        <w:t>v objemu</w:t>
      </w:r>
      <w:r w:rsidRPr="00C32820">
        <w:rPr>
          <w:b/>
        </w:rPr>
        <w:t xml:space="preserve"> 29,2 mld. Kč </w:t>
      </w:r>
      <w:r w:rsidRPr="00C32820">
        <w:t>(</w:t>
      </w:r>
      <w:r w:rsidRPr="00C32820">
        <w:rPr>
          <w:bdr w:val="nil"/>
        </w:rPr>
        <w:t>příspěvek EU</w:t>
      </w:r>
      <w:r w:rsidRPr="00C32820">
        <w:t xml:space="preserve">). Vyhlášené výzvy jsou zaměřeny na </w:t>
      </w:r>
      <w:r w:rsidRPr="00C32820">
        <w:rPr>
          <w:lang w:eastAsia="en-US"/>
        </w:rPr>
        <w:t xml:space="preserve">úspory energie, nízkouhlíkové technologie, </w:t>
      </w:r>
      <w:r w:rsidRPr="00C32820">
        <w:rPr>
          <w:rFonts w:eastAsia="Calibri"/>
        </w:rPr>
        <w:t>z</w:t>
      </w:r>
      <w:r w:rsidRPr="00C32820">
        <w:t>lepšení kvality, spolehlivosti, bezpečnosti a udržitelnosti dodávek elektřiny,</w:t>
      </w:r>
      <w:r w:rsidRPr="00C32820">
        <w:rPr>
          <w:lang w:eastAsia="en-US"/>
        </w:rPr>
        <w:t xml:space="preserve"> ICT,</w:t>
      </w:r>
      <w:r w:rsidRPr="00C32820">
        <w:rPr>
          <w:b/>
          <w:bCs/>
          <w:lang w:eastAsia="en-US"/>
        </w:rPr>
        <w:t xml:space="preserve"> </w:t>
      </w:r>
      <w:r w:rsidRPr="00C32820">
        <w:t>realizaci projektů průmyslového výzkumu a experimentálního vývoje, zkvalitňování služeb podpůrné inovační infrastruktury, rozvoj inovačních sítí,</w:t>
      </w:r>
      <w:r w:rsidRPr="00C32820">
        <w:rPr>
          <w:rFonts w:eastAsia="Calibri"/>
          <w:spacing w:val="-3"/>
        </w:rPr>
        <w:t xml:space="preserve"> p</w:t>
      </w:r>
      <w:r w:rsidRPr="00C32820">
        <w:rPr>
          <w:rFonts w:eastAsia="Calibri"/>
          <w:spacing w:val="1"/>
        </w:rPr>
        <w:t>o</w:t>
      </w:r>
      <w:r w:rsidRPr="00C32820">
        <w:rPr>
          <w:rFonts w:eastAsia="Calibri"/>
          <w:spacing w:val="-1"/>
        </w:rPr>
        <w:t>dp</w:t>
      </w:r>
      <w:r w:rsidRPr="00C32820">
        <w:rPr>
          <w:rFonts w:eastAsia="Calibri"/>
          <w:spacing w:val="1"/>
        </w:rPr>
        <w:t>o</w:t>
      </w:r>
      <w:r w:rsidRPr="00C32820">
        <w:rPr>
          <w:rFonts w:eastAsia="Calibri"/>
          <w:spacing w:val="-3"/>
        </w:rPr>
        <w:t>ru</w:t>
      </w:r>
      <w:r w:rsidRPr="00C32820">
        <w:rPr>
          <w:rFonts w:eastAsia="Calibri"/>
        </w:rPr>
        <w:t xml:space="preserve"> růstu a posilování konkurenceschopnosti malých a středních podniků,</w:t>
      </w:r>
      <w:r>
        <w:t xml:space="preserve"> podporu zavádění a </w:t>
      </w:r>
      <w:r w:rsidRPr="00C32820">
        <w:t>zvyšování kapacit pro výzkum, vývoj a inovace, podporu</w:t>
      </w:r>
      <w:r w:rsidRPr="00C32820">
        <w:rPr>
          <w:rFonts w:eastAsia="Calibri"/>
          <w:spacing w:val="-1"/>
        </w:rPr>
        <w:t xml:space="preserve"> nov</w:t>
      </w:r>
      <w:r w:rsidRPr="00C32820">
        <w:rPr>
          <w:rFonts w:eastAsia="Calibri"/>
          <w:spacing w:val="1"/>
        </w:rPr>
        <w:t>ý</w:t>
      </w:r>
      <w:r w:rsidRPr="00C32820">
        <w:rPr>
          <w:rFonts w:eastAsia="Calibri"/>
        </w:rPr>
        <w:t>ch</w:t>
      </w:r>
      <w:r w:rsidRPr="00C32820">
        <w:rPr>
          <w:rFonts w:eastAsia="Calibri"/>
          <w:spacing w:val="47"/>
        </w:rPr>
        <w:t xml:space="preserve"> </w:t>
      </w:r>
      <w:r w:rsidRPr="00C32820">
        <w:rPr>
          <w:rFonts w:eastAsia="Calibri"/>
          <w:spacing w:val="-1"/>
        </w:rPr>
        <w:t>podn</w:t>
      </w:r>
      <w:r w:rsidRPr="00C32820">
        <w:rPr>
          <w:rFonts w:eastAsia="Calibri"/>
        </w:rPr>
        <w:t>ikatels</w:t>
      </w:r>
      <w:r w:rsidRPr="00C32820">
        <w:rPr>
          <w:rFonts w:eastAsia="Calibri"/>
          <w:spacing w:val="-2"/>
        </w:rPr>
        <w:t>k</w:t>
      </w:r>
      <w:r w:rsidRPr="00C32820">
        <w:rPr>
          <w:rFonts w:eastAsia="Calibri"/>
          <w:spacing w:val="1"/>
        </w:rPr>
        <w:t>ý</w:t>
      </w:r>
      <w:r w:rsidRPr="00C32820">
        <w:rPr>
          <w:rFonts w:eastAsia="Calibri"/>
        </w:rPr>
        <w:t xml:space="preserve">ch </w:t>
      </w:r>
      <w:r w:rsidRPr="00C32820">
        <w:rPr>
          <w:rFonts w:eastAsia="Calibri"/>
          <w:spacing w:val="-1"/>
        </w:rPr>
        <w:t>z</w:t>
      </w:r>
      <w:r w:rsidRPr="00C32820">
        <w:rPr>
          <w:rFonts w:eastAsia="Calibri"/>
        </w:rPr>
        <w:t>á</w:t>
      </w:r>
      <w:r w:rsidRPr="00C32820">
        <w:rPr>
          <w:rFonts w:eastAsia="Calibri"/>
          <w:spacing w:val="-1"/>
        </w:rPr>
        <w:t>m</w:t>
      </w:r>
      <w:r w:rsidRPr="00C32820">
        <w:rPr>
          <w:rFonts w:eastAsia="Calibri"/>
        </w:rPr>
        <w:t xml:space="preserve">ěrů, </w:t>
      </w:r>
      <w:r w:rsidRPr="00C32820">
        <w:rPr>
          <w:lang w:eastAsia="en-US"/>
        </w:rPr>
        <w:t>budování infrastruktury určené pro vzdělávání a rozvoj lidských zdrojů v podnikatelském sektoru, marketing, inovace</w:t>
      </w:r>
      <w:r w:rsidRPr="00C32820">
        <w:rPr>
          <w:rFonts w:eastAsia="Calibri"/>
        </w:rPr>
        <w:t xml:space="preserve"> </w:t>
      </w:r>
      <w:r w:rsidRPr="00C32820">
        <w:t>či podporu ochrany průmyslového vlastnictví a technickou pomoc.</w:t>
      </w:r>
    </w:p>
    <w:p w:rsidR="0010464A" w:rsidRPr="001733FD" w:rsidRDefault="0010464A" w:rsidP="0010464A">
      <w:pPr>
        <w:keepNext/>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lastRenderedPageBreak/>
        <w:t>OP Výzkum, vývoj a vzdělávání (OP VVV)</w:t>
      </w:r>
    </w:p>
    <w:p w:rsidR="0010464A" w:rsidRPr="00C32820" w:rsidRDefault="0010464A" w:rsidP="0010464A">
      <w:pPr>
        <w:pStyle w:val="Stylproodstaveckvzvm"/>
      </w:pPr>
      <w:r w:rsidRPr="00C32820">
        <w:t>Řídicí orgán OP VVV</w:t>
      </w:r>
      <w:r w:rsidRPr="00C32820">
        <w:rPr>
          <w:b/>
        </w:rPr>
        <w:t xml:space="preserve"> </w:t>
      </w:r>
      <w:r w:rsidRPr="00C32820">
        <w:t xml:space="preserve">vyhlásil </w:t>
      </w:r>
      <w:r w:rsidRPr="00C32820">
        <w:rPr>
          <w:b/>
        </w:rPr>
        <w:t xml:space="preserve">celkem 19 výzev v objemu 36,8 mld. Kč </w:t>
      </w:r>
      <w:r w:rsidRPr="00C32820">
        <w:t xml:space="preserve">(příspěvek EU). Vyhlášené výzvy jsou zaměřeny na excelentní výzkum, vysoké školy, výzkumné infrastruktury, budování expertních kapacit – transfer technologií, oborové didaktiky, gramotnosti, budování kapacit pro rozvoj škol, individuální projekty systémové, Krajské akční plány rozvoje vzdělávání, podporu excelentních výzkumných týmů, </w:t>
      </w:r>
      <w:proofErr w:type="spellStart"/>
      <w:r w:rsidRPr="00C32820">
        <w:t>Smart</w:t>
      </w:r>
      <w:proofErr w:type="spellEnd"/>
      <w:r w:rsidRPr="00C32820">
        <w:t xml:space="preserve"> Akcelerátor, </w:t>
      </w:r>
      <w:proofErr w:type="spellStart"/>
      <w:r w:rsidRPr="00C32820">
        <w:t>Teaming</w:t>
      </w:r>
      <w:proofErr w:type="spellEnd"/>
      <w:r w:rsidRPr="00C32820">
        <w:t xml:space="preserve">, </w:t>
      </w:r>
      <w:proofErr w:type="spellStart"/>
      <w:r w:rsidRPr="00C32820">
        <w:t>inkluzivní</w:t>
      </w:r>
      <w:proofErr w:type="spellEnd"/>
      <w:r w:rsidRPr="00C32820">
        <w:t xml:space="preserve"> vzdělávání, Místní akční plány rozvoje vzdělávání </w:t>
      </w:r>
      <w:r>
        <w:t>a výzvu na </w:t>
      </w:r>
      <w:r w:rsidRPr="00C32820">
        <w:t>fázované projekty.</w:t>
      </w:r>
    </w:p>
    <w:p w:rsidR="0010464A" w:rsidRPr="001733FD" w:rsidRDefault="0010464A" w:rsidP="0010464A">
      <w:pPr>
        <w:keepNext/>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t>OP Zaměstnanost (OP Z)</w:t>
      </w:r>
    </w:p>
    <w:p w:rsidR="0010464A" w:rsidRPr="00C32820" w:rsidRDefault="0010464A" w:rsidP="0010464A">
      <w:pPr>
        <w:pStyle w:val="Stylproodstaveckvzvm"/>
      </w:pPr>
      <w:r w:rsidRPr="00C32820">
        <w:t xml:space="preserve">Ke stanovenému datu vyhlásil Řídicí orgán OP Z  </w:t>
      </w:r>
      <w:r w:rsidRPr="00C32820">
        <w:rPr>
          <w:b/>
        </w:rPr>
        <w:t xml:space="preserve">48 výzev </w:t>
      </w:r>
      <w:r w:rsidRPr="00C32820">
        <w:t>v objemu</w:t>
      </w:r>
      <w:r w:rsidRPr="00C32820">
        <w:rPr>
          <w:b/>
        </w:rPr>
        <w:t xml:space="preserve"> 38,1 mld. Kč </w:t>
      </w:r>
      <w:r w:rsidRPr="00C32820">
        <w:t>(příspěvek EU). Vyhlášené výzvy jsou zaměřeny na podporu zaměstnanosti, sociálního začleňování, podporu zaměstnanosti mládeže pro region NUTS II Severozápad, na investic</w:t>
      </w:r>
      <w:r>
        <w:t>e do institucionální kapacity a </w:t>
      </w:r>
      <w:r w:rsidRPr="00C32820">
        <w:t xml:space="preserve">efektivnosti veřejné správy a veřejných služeb, podporu dětských skupin pro podniky i veřejnost a sociální inovace v oblasti sociálního začleňování a přístup na trh práce a také na technickou pomoc. </w:t>
      </w:r>
    </w:p>
    <w:p w:rsidR="0010464A" w:rsidRPr="001733FD" w:rsidRDefault="0010464A" w:rsidP="0010464A">
      <w:pPr>
        <w:keepNext/>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t>OP Doprava (OP D)</w:t>
      </w:r>
    </w:p>
    <w:p w:rsidR="0010464A" w:rsidRPr="00C32820" w:rsidRDefault="0010464A" w:rsidP="0010464A">
      <w:pPr>
        <w:pStyle w:val="Stylproodstaveckvzvm"/>
      </w:pPr>
      <w:r w:rsidRPr="00C32820">
        <w:t xml:space="preserve">Řídicí orgán OP D vyhlásil prvních </w:t>
      </w:r>
      <w:r w:rsidRPr="00C32820">
        <w:rPr>
          <w:b/>
        </w:rPr>
        <w:t>5 průběžných výzev</w:t>
      </w:r>
      <w:r w:rsidRPr="00C32820">
        <w:t xml:space="preserve"> dne 30. listopadu 2015 v objemu </w:t>
      </w:r>
      <w:r w:rsidRPr="00C32820">
        <w:rPr>
          <w:b/>
        </w:rPr>
        <w:t>84,0 mld. Kč</w:t>
      </w:r>
      <w:r w:rsidRPr="00C32820">
        <w:t xml:space="preserve"> (příspěvek EU), což představuje cca 66 % alokace </w:t>
      </w:r>
      <w:r>
        <w:t>celého programu pro období 2014–</w:t>
      </w:r>
      <w:r w:rsidRPr="00C32820">
        <w:t>2020. Tyto výzvy jsou zaměřeny na všechny hlavní oblasti programu, tj. na železniční infrastrukturu TEN-T, silniční infrastrukturu na síti TEN-T i mimo ni a technickou pomoc.</w:t>
      </w:r>
    </w:p>
    <w:p w:rsidR="0010464A" w:rsidRPr="001733FD" w:rsidRDefault="0010464A" w:rsidP="0010464A">
      <w:pPr>
        <w:keepNext/>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t>OP Životní prostředí (OP ŽP)</w:t>
      </w:r>
    </w:p>
    <w:p w:rsidR="0010464A" w:rsidRPr="00C32820" w:rsidRDefault="0010464A" w:rsidP="0010464A">
      <w:pPr>
        <w:pStyle w:val="Stylproodstaveckvzvm"/>
        <w:rPr>
          <w:b/>
          <w:szCs w:val="24"/>
          <w:u w:val="single"/>
          <w:bdr w:val="nil"/>
        </w:rPr>
      </w:pPr>
      <w:r w:rsidRPr="00C32820">
        <w:t xml:space="preserve">Řídicí orgán OP ŽP vyhlásil ke stanovenému datu </w:t>
      </w:r>
      <w:r w:rsidRPr="00C32820">
        <w:rPr>
          <w:b/>
        </w:rPr>
        <w:t>28 výzev</w:t>
      </w:r>
      <w:r w:rsidRPr="00C32820">
        <w:t xml:space="preserve"> v objemu </w:t>
      </w:r>
      <w:r w:rsidRPr="00C32820">
        <w:rPr>
          <w:b/>
        </w:rPr>
        <w:t xml:space="preserve">24,7 mld. Kč </w:t>
      </w:r>
      <w:r w:rsidRPr="00C32820">
        <w:t xml:space="preserve">(příspěvek EU). Výzvy byly zaměřeny na zlepšování kvality vod a ovzduší, ochranu přírody a krajiny a také na řešení odpadů, ekologické zátěže a technickou pomoc. Dále mohli žadatelé ve výzvách předkládat projekty na zkvalitnění vodohospodářské infrastruktury, nakládání s odpady, </w:t>
      </w:r>
      <w:r>
        <w:t>rekultivace starých skládek, na </w:t>
      </w:r>
      <w:r w:rsidRPr="00C32820">
        <w:t>energetické úspory, ochranu ovzduší a průmyslové znečištění a v neposlední řadě na snížení energetické náročnosti veřejných budov. Do konce roku plánuje ješ</w:t>
      </w:r>
      <w:r>
        <w:t>tě řídicí orgán vypsat výzvy za </w:t>
      </w:r>
      <w:r w:rsidRPr="00C32820">
        <w:t>přibližně 11,5 mld. Kč.</w:t>
      </w:r>
    </w:p>
    <w:p w:rsidR="001733FD" w:rsidRPr="001733FD" w:rsidRDefault="001733FD" w:rsidP="00C32820">
      <w:pPr>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t>Integrovaný regionální operační program (IROP)</w:t>
      </w:r>
    </w:p>
    <w:p w:rsidR="001733FD" w:rsidRPr="00C32820" w:rsidRDefault="001733FD" w:rsidP="00C32820">
      <w:pPr>
        <w:pStyle w:val="Stylproodstaveckvzvm"/>
      </w:pPr>
      <w:r w:rsidRPr="00643973">
        <w:t>Řídicí orgán IROP</w:t>
      </w:r>
      <w:r w:rsidRPr="00C32820">
        <w:rPr>
          <w:b/>
        </w:rPr>
        <w:t xml:space="preserve"> </w:t>
      </w:r>
      <w:r w:rsidRPr="00C32820">
        <w:t>vyhlásil</w:t>
      </w:r>
      <w:r w:rsidRPr="00C32820">
        <w:rPr>
          <w:b/>
        </w:rPr>
        <w:t xml:space="preserve"> </w:t>
      </w:r>
      <w:r w:rsidRPr="00C32820">
        <w:t>dosud</w:t>
      </w:r>
      <w:r w:rsidRPr="00C32820">
        <w:rPr>
          <w:b/>
        </w:rPr>
        <w:t xml:space="preserve"> 23 výzev </w:t>
      </w:r>
      <w:r w:rsidRPr="00C32820">
        <w:t>s celkovou alokací</w:t>
      </w:r>
      <w:r w:rsidRPr="00C32820">
        <w:rPr>
          <w:b/>
        </w:rPr>
        <w:t xml:space="preserve"> 36,3 mld. Kč</w:t>
      </w:r>
      <w:r w:rsidRPr="00C32820">
        <w:t xml:space="preserve"> (příspěvek EU).</w:t>
      </w:r>
      <w:r w:rsidRPr="00C32820">
        <w:rPr>
          <w:b/>
        </w:rPr>
        <w:t xml:space="preserve"> </w:t>
      </w:r>
      <w:r w:rsidRPr="00C32820">
        <w:t>Výzvy byly</w:t>
      </w:r>
      <w:r w:rsidRPr="00C32820">
        <w:rPr>
          <w:b/>
        </w:rPr>
        <w:t xml:space="preserve"> </w:t>
      </w:r>
      <w:r w:rsidRPr="00C32820">
        <w:t xml:space="preserve">zaměřeny na zvýšení regionální mobility a podporu pořizování a uplatňování dokumentů územního rozvoje, </w:t>
      </w:r>
      <w:proofErr w:type="spellStart"/>
      <w:r w:rsidRPr="00C32820">
        <w:t>deinstitucionalizaci</w:t>
      </w:r>
      <w:proofErr w:type="spellEnd"/>
      <w:r w:rsidRPr="00C32820">
        <w:t xml:space="preserve"> sociálních služeb, na vysoce specializovanou péči v oblastech </w:t>
      </w:r>
      <w:proofErr w:type="spellStart"/>
      <w:r w:rsidRPr="00C32820">
        <w:t>onkogynekologie</w:t>
      </w:r>
      <w:proofErr w:type="spellEnd"/>
      <w:r w:rsidRPr="00C32820">
        <w:t xml:space="preserve"> a </w:t>
      </w:r>
      <w:proofErr w:type="spellStart"/>
      <w:r w:rsidRPr="00C32820">
        <w:t>perinatologie</w:t>
      </w:r>
      <w:proofErr w:type="spellEnd"/>
      <w:r w:rsidRPr="00C32820">
        <w:t xml:space="preserve">, aktivity vedoucí k úplnému elektronickému podání, na územní studie, revitalizaci vybraných památek, infrastrukturu předškolního vzdělání, energetické úspory v bytových domech, e-Legislativu, e-Sbírku, Národní digitální archiv, podporu bezpečnosti dopravy, techniku pro IZS, pořízení </w:t>
      </w:r>
      <w:proofErr w:type="spellStart"/>
      <w:r w:rsidRPr="00C32820">
        <w:t>nízkoemisních</w:t>
      </w:r>
      <w:proofErr w:type="spellEnd"/>
      <w:r w:rsidRPr="00C32820">
        <w:t xml:space="preserve"> a bezemisních vozidel, </w:t>
      </w:r>
      <w:r w:rsidRPr="00C32820">
        <w:rPr>
          <w:color w:val="231F20"/>
        </w:rPr>
        <w:t xml:space="preserve">zefektivnění ochrany a využívání sbírkových fondů </w:t>
      </w:r>
      <w:r w:rsidRPr="00C32820">
        <w:t>muzeí, telematiku pro veřejnou dopravu a technickou pomoc. Poslední 23. výzva je zaměřená na </w:t>
      </w:r>
      <w:r w:rsidRPr="00C32820">
        <w:rPr>
          <w:color w:val="231F20"/>
        </w:rPr>
        <w:t>rozvoj, modernizaci a zvýšení dostupnosti komunikačních a informačních systémů a infrastrukturní služby nebo informační systémy pro řízení příspěvkových organizací.</w:t>
      </w:r>
    </w:p>
    <w:p w:rsidR="0010464A" w:rsidRPr="00FB3B68" w:rsidRDefault="0010464A" w:rsidP="0010464A">
      <w:pPr>
        <w:keepNext/>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t>OP Praha pól růstu ČR (OP PPR)</w:t>
      </w:r>
    </w:p>
    <w:p w:rsidR="0010464A" w:rsidRPr="00C32820" w:rsidRDefault="0010464A" w:rsidP="0010464A">
      <w:pPr>
        <w:pStyle w:val="Stylproodstaveckvzvm"/>
      </w:pPr>
      <w:r w:rsidRPr="00C32820">
        <w:t xml:space="preserve">Řídicí orgán OP PPR vyhlásil dosud </w:t>
      </w:r>
      <w:r w:rsidRPr="00C32820">
        <w:rPr>
          <w:b/>
        </w:rPr>
        <w:t xml:space="preserve">12 výzev </w:t>
      </w:r>
      <w:r w:rsidRPr="00C32820">
        <w:t>v objemu</w:t>
      </w:r>
      <w:r w:rsidRPr="00C32820">
        <w:rPr>
          <w:b/>
        </w:rPr>
        <w:t xml:space="preserve"> 1,4  mld. Kč </w:t>
      </w:r>
      <w:r w:rsidRPr="00C32820">
        <w:t>(příspěvek EU). Výzvy jsou zaměřeny</w:t>
      </w:r>
      <w:r w:rsidRPr="00C32820">
        <w:rPr>
          <w:b/>
        </w:rPr>
        <w:t xml:space="preserve"> </w:t>
      </w:r>
      <w:r w:rsidRPr="00C32820">
        <w:t>na podporu rozvoje zařízení pro děti a péče o děti, na podporu inkluzivního vzdělávání formou zavádění principů multikulturní výchovy na školách, na sociální podnikání, na zvyšování energetické efektivity v rámci objektů a technických zařízení pro zajištění provozu městské veřejné dopravy, zvyšování kvality a efektivity fungování vědeckotechnických parků včetně inkubátorů, podporu transferu technologií a znalostí z výzkumných organizací do praxe, na podporu sociálních služeb, komunitního života, sociálního bydlení a na technickou pomoc programu.</w:t>
      </w:r>
    </w:p>
    <w:p w:rsidR="001733FD" w:rsidRPr="001733FD" w:rsidRDefault="001733FD" w:rsidP="00E61D9D">
      <w:pPr>
        <w:keepNext/>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lastRenderedPageBreak/>
        <w:t>OP Technická pomoc (OP TP)</w:t>
      </w:r>
    </w:p>
    <w:p w:rsidR="001733FD" w:rsidRPr="00C32820" w:rsidRDefault="001733FD" w:rsidP="00E61D9D">
      <w:pPr>
        <w:pStyle w:val="Stylproodstaveckvzvm"/>
      </w:pPr>
      <w:r w:rsidRPr="00C32820">
        <w:t>Řídicí orgán OP TP</w:t>
      </w:r>
      <w:r w:rsidRPr="00C32820">
        <w:rPr>
          <w:b/>
        </w:rPr>
        <w:t xml:space="preserve"> </w:t>
      </w:r>
      <w:r w:rsidRPr="00C32820">
        <w:t>vyhlásil</w:t>
      </w:r>
      <w:r w:rsidRPr="00C32820">
        <w:rPr>
          <w:b/>
        </w:rPr>
        <w:t xml:space="preserve"> </w:t>
      </w:r>
      <w:r w:rsidRPr="00C32820">
        <w:t xml:space="preserve">dosud </w:t>
      </w:r>
      <w:r w:rsidRPr="00C32820">
        <w:rPr>
          <w:b/>
        </w:rPr>
        <w:t xml:space="preserve">3 výzvy </w:t>
      </w:r>
      <w:r w:rsidRPr="00C32820">
        <w:t>v objemu</w:t>
      </w:r>
      <w:r w:rsidRPr="00C32820">
        <w:rPr>
          <w:b/>
        </w:rPr>
        <w:t xml:space="preserve"> 6,1 mld. Kč </w:t>
      </w:r>
      <w:r w:rsidRPr="00C32820">
        <w:t>(příspěvek EU).</w:t>
      </w:r>
      <w:r w:rsidRPr="00C32820">
        <w:rPr>
          <w:b/>
        </w:rPr>
        <w:t xml:space="preserve"> </w:t>
      </w:r>
      <w:r w:rsidRPr="00C32820">
        <w:t xml:space="preserve">Výzvy jsou zaměřeny na vytvoření podmínek pro naplnění cílů Dohody o partnerství a koordinace řízení, zajištění informovanosti o ESI fondech u cílových skupin, vytvoření podmínek pro účinnou kontrolu a audit ESI fondů a další. </w:t>
      </w:r>
    </w:p>
    <w:p w:rsidR="001733FD" w:rsidRPr="001733FD" w:rsidRDefault="001733FD" w:rsidP="00E61D9D">
      <w:pPr>
        <w:keepNext/>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t>Program rozvoje venkova (PRV)</w:t>
      </w:r>
    </w:p>
    <w:p w:rsidR="001733FD" w:rsidRPr="00C32820" w:rsidRDefault="001733FD" w:rsidP="00E61D9D">
      <w:pPr>
        <w:pStyle w:val="Stylproodstaveckvzvm"/>
        <w:contextualSpacing w:val="0"/>
      </w:pPr>
      <w:r w:rsidRPr="00C32820">
        <w:t xml:space="preserve">V rámci PRV byly přijaty žádosti o dotaci na rok 2015 na </w:t>
      </w:r>
      <w:r w:rsidRPr="00C32820">
        <w:rPr>
          <w:b/>
        </w:rPr>
        <w:t>6</w:t>
      </w:r>
      <w:r w:rsidRPr="00C32820">
        <w:t xml:space="preserve"> </w:t>
      </w:r>
      <w:r w:rsidRPr="00C32820">
        <w:rPr>
          <w:b/>
        </w:rPr>
        <w:t>plošných o</w:t>
      </w:r>
      <w:r w:rsidR="00E61D9D">
        <w:rPr>
          <w:b/>
        </w:rPr>
        <w:t>patření, vč. starých závazků, v </w:t>
      </w:r>
      <w:r w:rsidRPr="00C32820">
        <w:rPr>
          <w:b/>
        </w:rPr>
        <w:t>celkovém objemu 5,8 mld. </w:t>
      </w:r>
      <w:r w:rsidRPr="00C32820">
        <w:t xml:space="preserve">Kč (příspěvek EU), Do konce listopadu 2015 byly rovněž přijaty </w:t>
      </w:r>
      <w:r w:rsidR="00E61D9D">
        <w:t>žádosti v </w:t>
      </w:r>
      <w:r w:rsidRPr="00C32820">
        <w:t>rámci operace</w:t>
      </w:r>
      <w:r w:rsidRPr="00C32820">
        <w:rPr>
          <w:b/>
        </w:rPr>
        <w:t xml:space="preserve"> Zalesňování zemědělské půdy v objemu 3,6 mil. Kč</w:t>
      </w:r>
      <w:r w:rsidRPr="00C32820">
        <w:t xml:space="preserve"> (příspěvek EU). Plošná opatření mají specifický režim.</w:t>
      </w:r>
    </w:p>
    <w:p w:rsidR="001733FD" w:rsidRPr="00C32820" w:rsidRDefault="001733FD" w:rsidP="00E61D9D">
      <w:pPr>
        <w:pStyle w:val="Stylproodstaveckvzvm"/>
      </w:pPr>
      <w:r w:rsidRPr="00C32820">
        <w:t xml:space="preserve">Dále bylo ke stanovenému datu v rámci dvou kol vyhlášeno celkem </w:t>
      </w:r>
      <w:r w:rsidRPr="00C32820">
        <w:rPr>
          <w:b/>
        </w:rPr>
        <w:t>19 výzev v celkovém objemu 4,9 mld. Kč (příspěvek EU)</w:t>
      </w:r>
      <w:r w:rsidRPr="00C32820">
        <w:t>.</w:t>
      </w:r>
      <w:r w:rsidRPr="00C32820">
        <w:rPr>
          <w:rStyle w:val="Znakapoznpodarou"/>
          <w:rFonts w:ascii="Arial" w:hAnsi="Arial" w:cs="Arial"/>
        </w:rPr>
        <w:footnoteReference w:id="1"/>
      </w:r>
      <w:r w:rsidRPr="00C32820">
        <w:t xml:space="preserve"> Výzvy jsou zaměřeny na podporu investic do zemědělských podniků, zpracování a uvádění zemědělských produktů na trh, lesnickou infrastrukt</w:t>
      </w:r>
      <w:r w:rsidR="00E61D9D">
        <w:t>uru, techniku a technologie pro </w:t>
      </w:r>
      <w:r w:rsidRPr="00C32820">
        <w:t>lesní hospodářství a podporu vývoje nových produktů, postupů a technologií  v rámci zpracování a uvádění na trh, na vzdělávací a informační akce, zahájení činnosti mladých zemědělců, investice do nezemědělských činností, podporu agroturistiky, investice na podporu e</w:t>
      </w:r>
      <w:r w:rsidR="00E61D9D">
        <w:t>nergie z obnovitelných zdrojů, </w:t>
      </w:r>
      <w:r w:rsidRPr="00C32820">
        <w:t>zavádění preventivních opatření v lesích, obnovu lesních porostů po kalamitách, odstraňování škod způsobených povodněmi, investice do ochrany melioračních a zpevňujících dřevin, neproduktivní investice v lesích, přeměnu porostů náhradních dřevin, technické vybave</w:t>
      </w:r>
      <w:r w:rsidR="00E61D9D">
        <w:t>ní dřevozpracujících provozoven </w:t>
      </w:r>
      <w:r w:rsidRPr="00C32820">
        <w:t xml:space="preserve">a podporu vývoje nových produktů, postupů a technologií v zemědělské prvovýrobě. </w:t>
      </w:r>
      <w:r w:rsidR="008809B5">
        <w:t>Rovněž</w:t>
      </w:r>
      <w:r w:rsidRPr="00C32820">
        <w:t xml:space="preserve"> byly vyhlášeny </w:t>
      </w:r>
      <w:r w:rsidRPr="00C32820">
        <w:rPr>
          <w:b/>
        </w:rPr>
        <w:t>3 průběžné výzvy</w:t>
      </w:r>
      <w:r w:rsidRPr="00C32820">
        <w:t xml:space="preserve"> pro operace</w:t>
      </w:r>
      <w:r w:rsidR="00E61D9D">
        <w:t xml:space="preserve"> zaměřené na technickou pomoc a </w:t>
      </w:r>
      <w:r w:rsidRPr="00C32820">
        <w:t>Celostátní síť venkova v </w:t>
      </w:r>
      <w:r w:rsidRPr="00C32820">
        <w:rPr>
          <w:b/>
        </w:rPr>
        <w:t>celkovém objemu 411 mil. Kč</w:t>
      </w:r>
      <w:r w:rsidRPr="00C32820">
        <w:t xml:space="preserve"> (příspěvek EU) a operaci Pozemkové úpravy </w:t>
      </w:r>
      <w:r w:rsidRPr="00C32820">
        <w:rPr>
          <w:b/>
        </w:rPr>
        <w:t>v</w:t>
      </w:r>
      <w:r w:rsidR="00E61D9D">
        <w:rPr>
          <w:b/>
        </w:rPr>
        <w:t> </w:t>
      </w:r>
      <w:r w:rsidRPr="00C32820">
        <w:rPr>
          <w:b/>
        </w:rPr>
        <w:t>objemu 450 mil. Kč</w:t>
      </w:r>
      <w:r w:rsidRPr="00C32820">
        <w:t xml:space="preserve"> (příspěvek EU).</w:t>
      </w:r>
    </w:p>
    <w:p w:rsidR="0010464A" w:rsidRPr="001733FD" w:rsidRDefault="0010464A" w:rsidP="0010464A">
      <w:pPr>
        <w:keepNext/>
        <w:pBdr>
          <w:top w:val="nil"/>
          <w:left w:val="nil"/>
          <w:bottom w:val="nil"/>
          <w:right w:val="nil"/>
          <w:between w:val="nil"/>
          <w:bar w:val="nil"/>
        </w:pBdr>
        <w:spacing w:before="240" w:after="0" w:line="312" w:lineRule="auto"/>
        <w:rPr>
          <w:b/>
          <w:color w:val="000000" w:themeColor="text1"/>
          <w:sz w:val="24"/>
          <w:szCs w:val="24"/>
          <w:bdr w:val="nil"/>
        </w:rPr>
      </w:pPr>
      <w:r w:rsidRPr="001733FD">
        <w:rPr>
          <w:b/>
          <w:color w:val="000000" w:themeColor="text1"/>
          <w:sz w:val="24"/>
          <w:szCs w:val="24"/>
          <w:bdr w:val="nil"/>
        </w:rPr>
        <w:t>OP Rybářství (OP R)</w:t>
      </w:r>
    </w:p>
    <w:p w:rsidR="0010464A" w:rsidRPr="00C32820" w:rsidRDefault="0010464A" w:rsidP="0010464A">
      <w:pPr>
        <w:pStyle w:val="Stylproodstaveckvzvm"/>
      </w:pPr>
      <w:r w:rsidRPr="00C32820">
        <w:t xml:space="preserve">Řídicí orgán OP R dosud vyhlásil </w:t>
      </w:r>
      <w:r w:rsidRPr="00C32820">
        <w:rPr>
          <w:b/>
        </w:rPr>
        <w:t>6 výzev</w:t>
      </w:r>
      <w:r w:rsidRPr="00C32820">
        <w:t xml:space="preserve"> v objemu </w:t>
      </w:r>
      <w:r w:rsidRPr="00C32820">
        <w:rPr>
          <w:b/>
        </w:rPr>
        <w:t xml:space="preserve">0,3 mld. Kč </w:t>
      </w:r>
      <w:r w:rsidRPr="00C32820">
        <w:t>(příspě</w:t>
      </w:r>
      <w:r>
        <w:t>vek EU). Výzvy jsou zaměřeny na </w:t>
      </w:r>
      <w:r w:rsidRPr="00C32820">
        <w:t>inovace, investice do akvakultury, recirkulační zařízení a průtočné systémy s dočišťováním, investice do zpracování produktů, podporu akvakultury poskytující environmentáln</w:t>
      </w:r>
      <w:r>
        <w:t>í služby a technickou pomoc. Do </w:t>
      </w:r>
      <w:r w:rsidRPr="00C32820">
        <w:t>konce roku plánuje řídicí orgán vypsat další výzvy za přibližně 0,4</w:t>
      </w:r>
      <w:r>
        <w:t xml:space="preserve"> mld. Kč, zaměřené například na </w:t>
      </w:r>
      <w:r w:rsidRPr="00C32820">
        <w:t>uvádění produktů na trh, produktivní investice do akvakultury (diverzifikace akvakultury), podporu nových chovatelů, investice do zpracování produktů.</w:t>
      </w:r>
    </w:p>
    <w:p w:rsidR="00D01850" w:rsidRPr="00D01850" w:rsidRDefault="00D01850" w:rsidP="00D01850">
      <w:pPr>
        <w:spacing w:after="200" w:line="276" w:lineRule="auto"/>
        <w:jc w:val="left"/>
        <w:rPr>
          <w:rFonts w:eastAsia="Calibri"/>
          <w:b/>
          <w:bCs/>
          <w:color w:val="000099"/>
          <w:sz w:val="36"/>
          <w:szCs w:val="28"/>
          <w:bdr w:val="nil"/>
        </w:rPr>
      </w:pPr>
      <w:r w:rsidRPr="00D01850">
        <w:rPr>
          <w:rFonts w:eastAsia="Times New Roman" w:cs="Times New Roman"/>
          <w:szCs w:val="20"/>
          <w:bdr w:val="nil"/>
        </w:rPr>
        <w:br w:type="page"/>
      </w:r>
    </w:p>
    <w:p w:rsidR="00D01850" w:rsidRPr="00D01850" w:rsidRDefault="00D01850" w:rsidP="00D01850">
      <w:pPr>
        <w:pStyle w:val="Nadpis2"/>
        <w:rPr>
          <w:bdr w:val="nil"/>
        </w:rPr>
      </w:pPr>
      <w:bookmarkStart w:id="13" w:name="_Toc447018934"/>
      <w:r w:rsidRPr="00D01850">
        <w:rPr>
          <w:bdr w:val="nil"/>
        </w:rPr>
        <w:lastRenderedPageBreak/>
        <w:t>Aktuální stav čerpání programů</w:t>
      </w:r>
      <w:bookmarkEnd w:id="13"/>
      <w:r>
        <w:rPr>
          <w:bdr w:val="nil"/>
        </w:rPr>
        <w:t xml:space="preserve"> období 2014–2020</w:t>
      </w:r>
    </w:p>
    <w:p w:rsidR="00567AA3" w:rsidRDefault="00567AA3" w:rsidP="00567AA3">
      <w:r>
        <w:t xml:space="preserve">V rámci vyhlášených </w:t>
      </w:r>
      <w:r w:rsidRPr="001438C7">
        <w:t xml:space="preserve">výzev byly do konce února 2016 </w:t>
      </w:r>
      <w:r w:rsidRPr="001438C7">
        <w:rPr>
          <w:b/>
        </w:rPr>
        <w:t>uzavřeny právní akty o poskytnutí / převodu podpory v celkové výši 31,3 mld. Kč</w:t>
      </w:r>
      <w:r w:rsidRPr="001438C7">
        <w:t>.</w:t>
      </w:r>
      <w:r>
        <w:t xml:space="preserve"> </w:t>
      </w:r>
    </w:p>
    <w:p w:rsidR="00567AA3" w:rsidRPr="00E61D9D" w:rsidRDefault="00567AA3" w:rsidP="00567AA3">
      <w:pPr>
        <w:keepNext/>
        <w:tabs>
          <w:tab w:val="left" w:pos="7200"/>
        </w:tabs>
        <w:rPr>
          <w:b/>
          <w:i/>
        </w:rPr>
      </w:pPr>
      <w:r w:rsidRPr="00E61D9D">
        <w:rPr>
          <w:b/>
          <w:i/>
        </w:rPr>
        <w:t>Graf č.</w:t>
      </w:r>
      <w:r>
        <w:rPr>
          <w:b/>
          <w:i/>
        </w:rPr>
        <w:t xml:space="preserve"> </w:t>
      </w:r>
      <w:r w:rsidRPr="00E61D9D">
        <w:rPr>
          <w:b/>
          <w:i/>
        </w:rPr>
        <w:t>4 – Stav čerpání Dohody o partnerství k 29. únoru 2016 (v mld. CZK)</w:t>
      </w:r>
      <w:r w:rsidRPr="00E61D9D">
        <w:rPr>
          <w:b/>
          <w:i/>
        </w:rPr>
        <w:tab/>
      </w:r>
    </w:p>
    <w:p w:rsidR="00567AA3" w:rsidRDefault="00567AA3" w:rsidP="00567AA3">
      <w:pPr>
        <w:jc w:val="left"/>
      </w:pPr>
      <w:r w:rsidRPr="00EC561E">
        <w:rPr>
          <w:noProof/>
        </w:rPr>
        <w:drawing>
          <wp:inline distT="0" distB="0" distL="0" distR="0">
            <wp:extent cx="6192044" cy="39624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5749" cy="3971170"/>
                    </a:xfrm>
                    <a:prstGeom prst="rect">
                      <a:avLst/>
                    </a:prstGeom>
                    <a:noFill/>
                    <a:ln>
                      <a:noFill/>
                    </a:ln>
                  </pic:spPr>
                </pic:pic>
              </a:graphicData>
            </a:graphic>
          </wp:inline>
        </w:drawing>
      </w:r>
    </w:p>
    <w:p w:rsidR="000316A9" w:rsidRDefault="000316A9" w:rsidP="00C46018">
      <w:pPr>
        <w:spacing w:before="120"/>
      </w:pPr>
    </w:p>
    <w:p w:rsidR="00567AA3" w:rsidRDefault="00567AA3" w:rsidP="00C46018">
      <w:pPr>
        <w:spacing w:before="120"/>
      </w:pPr>
      <w:r w:rsidRPr="00D01850">
        <w:t xml:space="preserve">V rámci </w:t>
      </w:r>
      <w:r>
        <w:t>programů</w:t>
      </w:r>
      <w:r w:rsidRPr="00D01850">
        <w:t xml:space="preserve"> financovaných z Evropského sociálního fondu, Evropskéh</w:t>
      </w:r>
      <w:r>
        <w:t>o fondu pro regionální rozvoj a </w:t>
      </w:r>
      <w:r w:rsidRPr="00D01850">
        <w:t>Fondu soudržnosti došlo k</w:t>
      </w:r>
      <w:r>
        <w:t> 29. únoru</w:t>
      </w:r>
      <w:r w:rsidRPr="00D01850">
        <w:t xml:space="preserve"> 2016 k </w:t>
      </w:r>
      <w:r w:rsidRPr="00D01850">
        <w:rPr>
          <w:b/>
        </w:rPr>
        <w:t>uzavření právních aktů u </w:t>
      </w:r>
      <w:r>
        <w:rPr>
          <w:b/>
        </w:rPr>
        <w:t>160 projektů v celkové výši 22,9 </w:t>
      </w:r>
      <w:r w:rsidRPr="00D01850">
        <w:rPr>
          <w:b/>
        </w:rPr>
        <w:t>mld. Kč</w:t>
      </w:r>
      <w:r w:rsidRPr="00D01850">
        <w:t>, bližší informace k jednotlivým programům uvádí následující tabulka</w:t>
      </w:r>
      <w:r>
        <w:t xml:space="preserve"> č. 2</w:t>
      </w:r>
      <w:r w:rsidRPr="00D01850">
        <w:t>.</w:t>
      </w:r>
    </w:p>
    <w:p w:rsidR="00567AA3" w:rsidRDefault="00567AA3" w:rsidP="00567AA3">
      <w:r>
        <w:t xml:space="preserve">Dále byly v rámci </w:t>
      </w:r>
      <w:r w:rsidRPr="00D01850">
        <w:rPr>
          <w:b/>
        </w:rPr>
        <w:t>Programu rozvoje venkova</w:t>
      </w:r>
      <w:r w:rsidRPr="00D01850">
        <w:t xml:space="preserve"> uzavřeny právní akty o poskytnutí / převodu podpory </w:t>
      </w:r>
      <w:r>
        <w:rPr>
          <w:b/>
        </w:rPr>
        <w:t>na </w:t>
      </w:r>
      <w:r w:rsidRPr="00D01850">
        <w:rPr>
          <w:b/>
        </w:rPr>
        <w:t>plošná opatření</w:t>
      </w:r>
      <w:r w:rsidRPr="00D01850">
        <w:t xml:space="preserve"> (závazky z minulých let) na 8,</w:t>
      </w:r>
      <w:r>
        <w:t>4</w:t>
      </w:r>
      <w:r w:rsidRPr="00D01850">
        <w:t xml:space="preserve"> mld. Kč</w:t>
      </w:r>
      <w:r>
        <w:t xml:space="preserve">. </w:t>
      </w:r>
      <w:r w:rsidRPr="00D01850">
        <w:t xml:space="preserve">V rámci </w:t>
      </w:r>
      <w:r w:rsidRPr="00D01850">
        <w:rPr>
          <w:b/>
        </w:rPr>
        <w:t>OP Rybářství</w:t>
      </w:r>
      <w:r w:rsidRPr="00D01850">
        <w:t xml:space="preserve"> do </w:t>
      </w:r>
      <w:r>
        <w:t>29. února 2016</w:t>
      </w:r>
      <w:r w:rsidRPr="00D01850">
        <w:t xml:space="preserve"> nedošlo k uzavření žádného právního aktu o poskytnutí / převodu podpory.</w:t>
      </w:r>
    </w:p>
    <w:p w:rsidR="000316A9" w:rsidRPr="00D01850" w:rsidRDefault="000316A9" w:rsidP="00567AA3">
      <w:pPr>
        <w:rPr>
          <w:sz w:val="18"/>
        </w:rPr>
      </w:pPr>
    </w:p>
    <w:p w:rsidR="00D01850" w:rsidRPr="00D01850" w:rsidRDefault="00D01850" w:rsidP="004E1BE6">
      <w:pPr>
        <w:keepNext/>
        <w:spacing w:before="240" w:after="60" w:line="240" w:lineRule="auto"/>
        <w:jc w:val="left"/>
        <w:rPr>
          <w:b/>
          <w:i/>
          <w:szCs w:val="16"/>
          <w:u w:color="000000"/>
          <w:lang w:eastAsia="en-US"/>
        </w:rPr>
      </w:pPr>
      <w:r w:rsidRPr="00D01850">
        <w:rPr>
          <w:b/>
          <w:i/>
          <w:szCs w:val="16"/>
          <w:u w:color="000000"/>
          <w:lang w:eastAsia="en-US"/>
        </w:rPr>
        <w:t>Tabulka</w:t>
      </w:r>
      <w:r w:rsidR="002228CA">
        <w:rPr>
          <w:b/>
          <w:i/>
          <w:szCs w:val="16"/>
          <w:u w:color="000000"/>
          <w:lang w:eastAsia="en-US"/>
        </w:rPr>
        <w:t xml:space="preserve"> </w:t>
      </w:r>
      <w:r w:rsidR="0010464A">
        <w:rPr>
          <w:b/>
          <w:i/>
          <w:szCs w:val="16"/>
          <w:u w:color="000000"/>
          <w:lang w:eastAsia="en-US"/>
        </w:rPr>
        <w:t xml:space="preserve">č. </w:t>
      </w:r>
      <w:r w:rsidR="002228CA">
        <w:rPr>
          <w:b/>
          <w:i/>
          <w:szCs w:val="16"/>
          <w:u w:color="000000"/>
          <w:lang w:eastAsia="en-US"/>
        </w:rPr>
        <w:t>2</w:t>
      </w:r>
      <w:r w:rsidRPr="00D01850">
        <w:rPr>
          <w:b/>
          <w:i/>
          <w:szCs w:val="16"/>
          <w:u w:color="000000"/>
          <w:lang w:eastAsia="en-US"/>
        </w:rPr>
        <w:t xml:space="preserve"> </w:t>
      </w:r>
      <w:r w:rsidR="0010464A">
        <w:rPr>
          <w:b/>
          <w:i/>
          <w:szCs w:val="16"/>
          <w:u w:color="000000"/>
          <w:lang w:eastAsia="en-US"/>
        </w:rPr>
        <w:t xml:space="preserve">– </w:t>
      </w:r>
      <w:r w:rsidRPr="00D01850">
        <w:rPr>
          <w:b/>
          <w:i/>
          <w:szCs w:val="16"/>
          <w:u w:color="000000"/>
          <w:lang w:eastAsia="en-US"/>
        </w:rPr>
        <w:t xml:space="preserve">Stav čerpání programů v programovém období 2014–2020 – ke dni </w:t>
      </w:r>
      <w:r w:rsidR="002228CA">
        <w:rPr>
          <w:b/>
          <w:i/>
          <w:szCs w:val="16"/>
          <w:u w:color="000000"/>
          <w:lang w:eastAsia="en-US"/>
        </w:rPr>
        <w:t>29. února</w:t>
      </w:r>
      <w:r w:rsidR="00551740">
        <w:rPr>
          <w:b/>
          <w:i/>
          <w:szCs w:val="16"/>
          <w:u w:color="000000"/>
          <w:lang w:eastAsia="en-US"/>
        </w:rPr>
        <w:t xml:space="preserve"> </w:t>
      </w:r>
      <w:r w:rsidRPr="00D01850">
        <w:rPr>
          <w:b/>
          <w:i/>
          <w:szCs w:val="16"/>
          <w:u w:color="000000"/>
          <w:lang w:eastAsia="en-US"/>
        </w:rPr>
        <w:t>2016</w:t>
      </w:r>
    </w:p>
    <w:tbl>
      <w:tblPr>
        <w:tblStyle w:val="Svtlmkazvraznn5"/>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5170"/>
        <w:gridCol w:w="1987"/>
        <w:gridCol w:w="2699"/>
      </w:tblGrid>
      <w:tr w:rsidR="00D9419E" w:rsidRPr="00336800" w:rsidTr="00567AA3">
        <w:trPr>
          <w:trHeight w:val="850"/>
          <w:tblHeader/>
        </w:trPr>
        <w:tc>
          <w:tcPr>
            <w:tcW w:w="2623" w:type="pct"/>
            <w:vMerge w:val="restart"/>
            <w:shd w:val="clear" w:color="auto" w:fill="000099"/>
            <w:vAlign w:val="center"/>
            <w:hideMark/>
          </w:tcPr>
          <w:p w:rsidR="00D01850" w:rsidRPr="00336800" w:rsidRDefault="00D01850" w:rsidP="00551740">
            <w:pPr>
              <w:spacing w:after="0" w:line="240" w:lineRule="auto"/>
              <w:jc w:val="left"/>
              <w:rPr>
                <w:rFonts w:eastAsia="Times New Roman"/>
                <w:b/>
                <w:color w:val="FFFFFF" w:themeColor="background1"/>
                <w:szCs w:val="20"/>
                <w:lang w:val="cs-CZ"/>
              </w:rPr>
            </w:pPr>
            <w:r w:rsidRPr="00336800">
              <w:rPr>
                <w:rFonts w:eastAsia="Times New Roman"/>
                <w:b/>
                <w:bCs/>
                <w:color w:val="FFFFFF" w:themeColor="background1"/>
                <w:szCs w:val="20"/>
                <w:lang w:val="cs-CZ"/>
              </w:rPr>
              <w:t>Program</w:t>
            </w:r>
          </w:p>
        </w:tc>
        <w:tc>
          <w:tcPr>
            <w:tcW w:w="1008" w:type="pct"/>
            <w:shd w:val="clear" w:color="auto" w:fill="000099"/>
            <w:vAlign w:val="center"/>
            <w:hideMark/>
          </w:tcPr>
          <w:p w:rsidR="00D01850" w:rsidRPr="00336800" w:rsidRDefault="00D01850" w:rsidP="00551740">
            <w:pPr>
              <w:spacing w:after="0" w:line="240" w:lineRule="auto"/>
              <w:jc w:val="center"/>
              <w:rPr>
                <w:rFonts w:eastAsia="Times New Roman"/>
                <w:b/>
                <w:color w:val="FFFFFF" w:themeColor="background1"/>
                <w:szCs w:val="20"/>
                <w:lang w:val="cs-CZ"/>
              </w:rPr>
            </w:pPr>
            <w:r w:rsidRPr="00336800">
              <w:rPr>
                <w:rFonts w:eastAsia="Times New Roman"/>
                <w:b/>
                <w:bCs/>
                <w:color w:val="FFFFFF" w:themeColor="background1"/>
                <w:szCs w:val="20"/>
                <w:lang w:val="cs-CZ"/>
              </w:rPr>
              <w:t>Počet vydaných právních aktů</w:t>
            </w:r>
          </w:p>
        </w:tc>
        <w:tc>
          <w:tcPr>
            <w:tcW w:w="1369" w:type="pct"/>
            <w:shd w:val="clear" w:color="auto" w:fill="000099"/>
            <w:vAlign w:val="center"/>
            <w:hideMark/>
          </w:tcPr>
          <w:p w:rsidR="00D01850" w:rsidRPr="00336800" w:rsidRDefault="00D01850" w:rsidP="00551740">
            <w:pPr>
              <w:spacing w:after="0" w:line="240" w:lineRule="auto"/>
              <w:jc w:val="center"/>
              <w:rPr>
                <w:rFonts w:eastAsia="Times New Roman"/>
                <w:b/>
                <w:color w:val="FFFFFF" w:themeColor="background1"/>
                <w:szCs w:val="20"/>
                <w:lang w:val="cs-CZ"/>
              </w:rPr>
            </w:pPr>
            <w:r w:rsidRPr="00336800">
              <w:rPr>
                <w:rFonts w:eastAsia="Times New Roman"/>
                <w:b/>
                <w:bCs/>
                <w:color w:val="FFFFFF" w:themeColor="background1"/>
                <w:szCs w:val="20"/>
                <w:lang w:val="cs-CZ"/>
              </w:rPr>
              <w:t>Objem prostředků ve vydaných právních aktech (příspěvek EU)</w:t>
            </w:r>
          </w:p>
        </w:tc>
      </w:tr>
      <w:tr w:rsidR="00D9419E" w:rsidRPr="00336800" w:rsidTr="00567AA3">
        <w:trPr>
          <w:trHeight w:val="340"/>
          <w:tblHeader/>
        </w:trPr>
        <w:tc>
          <w:tcPr>
            <w:tcW w:w="2623" w:type="pct"/>
            <w:vMerge/>
            <w:shd w:val="clear" w:color="auto" w:fill="000099"/>
            <w:vAlign w:val="center"/>
            <w:hideMark/>
          </w:tcPr>
          <w:p w:rsidR="00D01850" w:rsidRPr="00336800" w:rsidRDefault="00D01850" w:rsidP="00551740">
            <w:pPr>
              <w:spacing w:after="0" w:line="240" w:lineRule="auto"/>
              <w:jc w:val="left"/>
              <w:rPr>
                <w:rFonts w:eastAsia="Times New Roman"/>
                <w:b/>
                <w:color w:val="FFFFFF" w:themeColor="background1"/>
                <w:szCs w:val="20"/>
                <w:lang w:val="cs-CZ"/>
              </w:rPr>
            </w:pPr>
          </w:p>
        </w:tc>
        <w:tc>
          <w:tcPr>
            <w:tcW w:w="1008" w:type="pct"/>
            <w:shd w:val="clear" w:color="auto" w:fill="000099"/>
            <w:vAlign w:val="center"/>
            <w:hideMark/>
          </w:tcPr>
          <w:p w:rsidR="00D01850" w:rsidRPr="00336800" w:rsidRDefault="00D01850" w:rsidP="00551740">
            <w:pPr>
              <w:spacing w:after="0" w:line="240" w:lineRule="auto"/>
              <w:jc w:val="center"/>
              <w:rPr>
                <w:rFonts w:eastAsia="Times New Roman"/>
                <w:b/>
                <w:color w:val="FFFFFF" w:themeColor="background1"/>
                <w:szCs w:val="20"/>
                <w:lang w:val="cs-CZ"/>
              </w:rPr>
            </w:pPr>
            <w:r w:rsidRPr="00336800">
              <w:rPr>
                <w:rFonts w:eastAsia="Times New Roman"/>
                <w:b/>
                <w:bCs/>
                <w:color w:val="FFFFFF" w:themeColor="background1"/>
                <w:szCs w:val="20"/>
                <w:lang w:val="cs-CZ"/>
              </w:rPr>
              <w:t>počet</w:t>
            </w:r>
            <w:r w:rsidR="00567AA3">
              <w:rPr>
                <w:rFonts w:eastAsia="Times New Roman"/>
                <w:b/>
                <w:bCs/>
                <w:color w:val="FFFFFF" w:themeColor="background1"/>
                <w:szCs w:val="20"/>
                <w:lang w:val="cs-CZ"/>
              </w:rPr>
              <w:t>*</w:t>
            </w:r>
          </w:p>
        </w:tc>
        <w:tc>
          <w:tcPr>
            <w:tcW w:w="1369" w:type="pct"/>
            <w:shd w:val="clear" w:color="auto" w:fill="000099"/>
            <w:vAlign w:val="center"/>
            <w:hideMark/>
          </w:tcPr>
          <w:p w:rsidR="00D01850" w:rsidRPr="00336800" w:rsidRDefault="00D01850" w:rsidP="00567AA3">
            <w:pPr>
              <w:spacing w:after="0" w:line="240" w:lineRule="auto"/>
              <w:jc w:val="center"/>
              <w:rPr>
                <w:rFonts w:eastAsia="Times New Roman"/>
                <w:b/>
                <w:color w:val="FFFFFF" w:themeColor="background1"/>
                <w:szCs w:val="20"/>
                <w:lang w:val="cs-CZ"/>
              </w:rPr>
            </w:pPr>
            <w:r w:rsidRPr="00336800">
              <w:rPr>
                <w:rFonts w:eastAsia="Times New Roman"/>
                <w:b/>
                <w:bCs/>
                <w:color w:val="FFFFFF" w:themeColor="background1"/>
                <w:szCs w:val="20"/>
                <w:lang w:val="cs-CZ"/>
              </w:rPr>
              <w:t xml:space="preserve">v </w:t>
            </w:r>
            <w:r w:rsidR="00567AA3">
              <w:rPr>
                <w:rFonts w:eastAsia="Times New Roman"/>
                <w:b/>
                <w:bCs/>
                <w:color w:val="FFFFFF" w:themeColor="background1"/>
                <w:szCs w:val="20"/>
                <w:lang w:val="cs-CZ"/>
              </w:rPr>
              <w:t>mld</w:t>
            </w:r>
            <w:r w:rsidRPr="00336800">
              <w:rPr>
                <w:rFonts w:eastAsia="Times New Roman"/>
                <w:b/>
                <w:bCs/>
                <w:color w:val="FFFFFF" w:themeColor="background1"/>
                <w:szCs w:val="20"/>
                <w:lang w:val="cs-CZ"/>
              </w:rPr>
              <w:t>. Kč</w:t>
            </w:r>
          </w:p>
        </w:tc>
      </w:tr>
      <w:tr w:rsidR="00551740" w:rsidRPr="00336800" w:rsidTr="00567AA3">
        <w:trPr>
          <w:trHeight w:val="454"/>
        </w:trPr>
        <w:tc>
          <w:tcPr>
            <w:tcW w:w="2623" w:type="pct"/>
            <w:vAlign w:val="center"/>
            <w:hideMark/>
          </w:tcPr>
          <w:p w:rsidR="00551740" w:rsidRPr="00336800" w:rsidRDefault="00551740" w:rsidP="00551740">
            <w:pPr>
              <w:spacing w:after="0" w:line="240" w:lineRule="auto"/>
              <w:jc w:val="left"/>
              <w:rPr>
                <w:rFonts w:eastAsia="Times New Roman"/>
                <w:szCs w:val="20"/>
                <w:lang w:val="cs-CZ"/>
              </w:rPr>
            </w:pPr>
            <w:r w:rsidRPr="00336800">
              <w:rPr>
                <w:rFonts w:eastAsia="Times New Roman"/>
                <w:bCs/>
                <w:szCs w:val="20"/>
                <w:lang w:val="cs-CZ"/>
              </w:rPr>
              <w:t>OP Podnikání a inovace pro konkurenceschopnost</w:t>
            </w:r>
          </w:p>
        </w:tc>
        <w:tc>
          <w:tcPr>
            <w:tcW w:w="1008" w:type="pct"/>
            <w:vAlign w:val="center"/>
            <w:hideMark/>
          </w:tcPr>
          <w:p w:rsidR="00551740" w:rsidRPr="00336800" w:rsidRDefault="00551740" w:rsidP="00551740">
            <w:pPr>
              <w:spacing w:after="0" w:line="240" w:lineRule="auto"/>
              <w:jc w:val="right"/>
              <w:rPr>
                <w:rFonts w:eastAsia="Times New Roman"/>
                <w:szCs w:val="20"/>
                <w:lang w:val="cs-CZ"/>
              </w:rPr>
            </w:pPr>
            <w:r w:rsidRPr="00336800">
              <w:rPr>
                <w:rFonts w:eastAsia="Times New Roman"/>
                <w:bCs/>
                <w:szCs w:val="20"/>
                <w:lang w:val="cs-CZ"/>
              </w:rPr>
              <w:t>15</w:t>
            </w:r>
          </w:p>
        </w:tc>
        <w:tc>
          <w:tcPr>
            <w:tcW w:w="1369" w:type="pct"/>
            <w:vAlign w:val="center"/>
            <w:hideMark/>
          </w:tcPr>
          <w:p w:rsidR="00551740" w:rsidRPr="00336800" w:rsidRDefault="00567AA3" w:rsidP="00551740">
            <w:pPr>
              <w:spacing w:after="0" w:line="240" w:lineRule="auto"/>
              <w:jc w:val="right"/>
              <w:rPr>
                <w:rFonts w:eastAsia="Times New Roman"/>
                <w:szCs w:val="20"/>
                <w:lang w:val="cs-CZ"/>
              </w:rPr>
            </w:pPr>
            <w:r>
              <w:rPr>
                <w:rFonts w:eastAsia="Times New Roman"/>
                <w:bCs/>
                <w:szCs w:val="20"/>
                <w:lang w:val="cs-CZ"/>
              </w:rPr>
              <w:t>0,9</w:t>
            </w:r>
          </w:p>
        </w:tc>
      </w:tr>
      <w:tr w:rsidR="00551740" w:rsidRPr="00336800" w:rsidTr="00567AA3">
        <w:trPr>
          <w:trHeight w:val="454"/>
        </w:trPr>
        <w:tc>
          <w:tcPr>
            <w:tcW w:w="2623" w:type="pct"/>
            <w:vAlign w:val="center"/>
            <w:hideMark/>
          </w:tcPr>
          <w:p w:rsidR="00551740" w:rsidRPr="00336800" w:rsidRDefault="00551740" w:rsidP="00551740">
            <w:pPr>
              <w:spacing w:after="0" w:line="240" w:lineRule="auto"/>
              <w:jc w:val="left"/>
              <w:rPr>
                <w:rFonts w:eastAsia="Times New Roman"/>
                <w:szCs w:val="20"/>
                <w:lang w:val="cs-CZ"/>
              </w:rPr>
            </w:pPr>
            <w:r w:rsidRPr="00336800">
              <w:rPr>
                <w:rFonts w:eastAsia="Times New Roman"/>
                <w:bCs/>
                <w:szCs w:val="20"/>
                <w:lang w:val="cs-CZ"/>
              </w:rPr>
              <w:t>OP Výzkum, vývoj a vzdělávání</w:t>
            </w:r>
          </w:p>
        </w:tc>
        <w:tc>
          <w:tcPr>
            <w:tcW w:w="1008" w:type="pct"/>
            <w:vAlign w:val="center"/>
            <w:hideMark/>
          </w:tcPr>
          <w:p w:rsidR="00551740" w:rsidRPr="00336800" w:rsidRDefault="00551740" w:rsidP="00551740">
            <w:pPr>
              <w:spacing w:after="0" w:line="240" w:lineRule="auto"/>
              <w:jc w:val="right"/>
              <w:rPr>
                <w:rFonts w:eastAsia="Times New Roman"/>
                <w:szCs w:val="20"/>
                <w:lang w:val="cs-CZ"/>
              </w:rPr>
            </w:pPr>
            <w:r w:rsidRPr="00336800">
              <w:rPr>
                <w:rFonts w:eastAsia="Times New Roman"/>
                <w:bCs/>
                <w:szCs w:val="20"/>
                <w:lang w:val="cs-CZ"/>
              </w:rPr>
              <w:t>2</w:t>
            </w:r>
          </w:p>
        </w:tc>
        <w:tc>
          <w:tcPr>
            <w:tcW w:w="1369" w:type="pct"/>
            <w:vAlign w:val="center"/>
            <w:hideMark/>
          </w:tcPr>
          <w:p w:rsidR="00551740" w:rsidRPr="00336800" w:rsidRDefault="00567AA3" w:rsidP="00551740">
            <w:pPr>
              <w:spacing w:after="0" w:line="240" w:lineRule="auto"/>
              <w:jc w:val="right"/>
              <w:rPr>
                <w:rFonts w:eastAsia="Times New Roman"/>
                <w:szCs w:val="20"/>
                <w:lang w:val="cs-CZ"/>
              </w:rPr>
            </w:pPr>
            <w:r>
              <w:rPr>
                <w:rFonts w:eastAsia="Times New Roman"/>
                <w:bCs/>
                <w:szCs w:val="20"/>
                <w:lang w:val="cs-CZ"/>
              </w:rPr>
              <w:t>2,2</w:t>
            </w:r>
          </w:p>
        </w:tc>
      </w:tr>
      <w:tr w:rsidR="00551740" w:rsidRPr="00336800" w:rsidTr="00567AA3">
        <w:trPr>
          <w:trHeight w:val="454"/>
        </w:trPr>
        <w:tc>
          <w:tcPr>
            <w:tcW w:w="2623" w:type="pct"/>
            <w:vAlign w:val="center"/>
            <w:hideMark/>
          </w:tcPr>
          <w:p w:rsidR="00551740" w:rsidRPr="00336800" w:rsidRDefault="00551740" w:rsidP="00551740">
            <w:pPr>
              <w:spacing w:after="0" w:line="240" w:lineRule="auto"/>
              <w:jc w:val="left"/>
              <w:rPr>
                <w:rFonts w:eastAsia="Times New Roman"/>
                <w:szCs w:val="20"/>
                <w:lang w:val="cs-CZ"/>
              </w:rPr>
            </w:pPr>
            <w:r w:rsidRPr="00336800">
              <w:rPr>
                <w:rFonts w:eastAsia="Times New Roman"/>
                <w:bCs/>
                <w:szCs w:val="20"/>
                <w:lang w:val="cs-CZ"/>
              </w:rPr>
              <w:t>OP Zaměstnanost</w:t>
            </w:r>
          </w:p>
        </w:tc>
        <w:tc>
          <w:tcPr>
            <w:tcW w:w="1008" w:type="pct"/>
            <w:vAlign w:val="center"/>
            <w:hideMark/>
          </w:tcPr>
          <w:p w:rsidR="00551740" w:rsidRPr="00336800" w:rsidRDefault="00551740" w:rsidP="00551740">
            <w:pPr>
              <w:spacing w:after="0" w:line="240" w:lineRule="auto"/>
              <w:jc w:val="right"/>
              <w:rPr>
                <w:rFonts w:eastAsia="Times New Roman"/>
                <w:szCs w:val="20"/>
                <w:lang w:val="cs-CZ"/>
              </w:rPr>
            </w:pPr>
            <w:r w:rsidRPr="00336800">
              <w:rPr>
                <w:rFonts w:eastAsia="Times New Roman"/>
                <w:bCs/>
                <w:szCs w:val="20"/>
                <w:lang w:val="cs-CZ"/>
              </w:rPr>
              <w:t>81</w:t>
            </w:r>
          </w:p>
        </w:tc>
        <w:tc>
          <w:tcPr>
            <w:tcW w:w="1369" w:type="pct"/>
            <w:vAlign w:val="center"/>
            <w:hideMark/>
          </w:tcPr>
          <w:p w:rsidR="00551740" w:rsidRPr="00336800" w:rsidRDefault="00567AA3" w:rsidP="00551740">
            <w:pPr>
              <w:spacing w:after="0" w:line="240" w:lineRule="auto"/>
              <w:jc w:val="right"/>
              <w:rPr>
                <w:rFonts w:eastAsia="Times New Roman"/>
                <w:szCs w:val="20"/>
                <w:lang w:val="cs-CZ"/>
              </w:rPr>
            </w:pPr>
            <w:r>
              <w:rPr>
                <w:rFonts w:eastAsia="Times New Roman"/>
                <w:bCs/>
                <w:szCs w:val="20"/>
                <w:lang w:val="cs-CZ"/>
              </w:rPr>
              <w:t>14,7</w:t>
            </w:r>
          </w:p>
        </w:tc>
      </w:tr>
      <w:tr w:rsidR="00D01850" w:rsidRPr="00336800" w:rsidTr="00567AA3">
        <w:trPr>
          <w:trHeight w:val="454"/>
        </w:trPr>
        <w:tc>
          <w:tcPr>
            <w:tcW w:w="2623" w:type="pct"/>
            <w:vAlign w:val="center"/>
            <w:hideMark/>
          </w:tcPr>
          <w:p w:rsidR="00D01850" w:rsidRPr="00336800" w:rsidRDefault="00D01850" w:rsidP="00551740">
            <w:pPr>
              <w:spacing w:after="0" w:line="240" w:lineRule="auto"/>
              <w:jc w:val="left"/>
              <w:rPr>
                <w:rFonts w:eastAsia="Times New Roman"/>
                <w:szCs w:val="20"/>
                <w:lang w:val="cs-CZ"/>
              </w:rPr>
            </w:pPr>
            <w:r w:rsidRPr="00336800">
              <w:rPr>
                <w:rFonts w:eastAsia="Times New Roman"/>
                <w:bCs/>
                <w:szCs w:val="20"/>
                <w:lang w:val="cs-CZ"/>
              </w:rPr>
              <w:t>OP Doprava</w:t>
            </w:r>
          </w:p>
        </w:tc>
        <w:tc>
          <w:tcPr>
            <w:tcW w:w="1008" w:type="pct"/>
            <w:vAlign w:val="center"/>
            <w:hideMark/>
          </w:tcPr>
          <w:p w:rsidR="00D01850" w:rsidRPr="00336800" w:rsidRDefault="00D01850" w:rsidP="00551740">
            <w:pPr>
              <w:spacing w:after="0" w:line="240" w:lineRule="auto"/>
              <w:jc w:val="right"/>
              <w:rPr>
                <w:rFonts w:eastAsia="Times New Roman"/>
                <w:szCs w:val="20"/>
                <w:lang w:val="cs-CZ"/>
              </w:rPr>
            </w:pPr>
            <w:r w:rsidRPr="00336800">
              <w:rPr>
                <w:rFonts w:eastAsia="Times New Roman"/>
                <w:bCs/>
                <w:szCs w:val="20"/>
                <w:lang w:val="cs-CZ"/>
              </w:rPr>
              <w:t>0</w:t>
            </w:r>
          </w:p>
        </w:tc>
        <w:tc>
          <w:tcPr>
            <w:tcW w:w="1369" w:type="pct"/>
            <w:vAlign w:val="center"/>
            <w:hideMark/>
          </w:tcPr>
          <w:p w:rsidR="00D01850" w:rsidRPr="00336800" w:rsidRDefault="00D01850" w:rsidP="00551740">
            <w:pPr>
              <w:spacing w:after="0" w:line="240" w:lineRule="auto"/>
              <w:jc w:val="right"/>
              <w:rPr>
                <w:rFonts w:eastAsia="Times New Roman"/>
                <w:szCs w:val="20"/>
                <w:lang w:val="cs-CZ"/>
              </w:rPr>
            </w:pPr>
            <w:r w:rsidRPr="00336800">
              <w:rPr>
                <w:rFonts w:eastAsia="Times New Roman"/>
                <w:bCs/>
                <w:szCs w:val="20"/>
                <w:lang w:val="cs-CZ"/>
              </w:rPr>
              <w:t>0,0</w:t>
            </w:r>
          </w:p>
        </w:tc>
      </w:tr>
      <w:tr w:rsidR="00551740" w:rsidRPr="00336800" w:rsidTr="00567AA3">
        <w:trPr>
          <w:trHeight w:val="454"/>
        </w:trPr>
        <w:tc>
          <w:tcPr>
            <w:tcW w:w="2623" w:type="pct"/>
            <w:vAlign w:val="center"/>
            <w:hideMark/>
          </w:tcPr>
          <w:p w:rsidR="00551740" w:rsidRPr="00336800" w:rsidRDefault="00551740" w:rsidP="00551740">
            <w:pPr>
              <w:spacing w:after="0" w:line="240" w:lineRule="auto"/>
              <w:jc w:val="left"/>
              <w:rPr>
                <w:rFonts w:eastAsia="Times New Roman"/>
                <w:szCs w:val="20"/>
                <w:lang w:val="cs-CZ"/>
              </w:rPr>
            </w:pPr>
            <w:r w:rsidRPr="00336800">
              <w:rPr>
                <w:rFonts w:eastAsia="Times New Roman"/>
                <w:bCs/>
                <w:szCs w:val="20"/>
                <w:lang w:val="cs-CZ"/>
              </w:rPr>
              <w:lastRenderedPageBreak/>
              <w:t>OP Životní prostředí</w:t>
            </w:r>
          </w:p>
        </w:tc>
        <w:tc>
          <w:tcPr>
            <w:tcW w:w="1008" w:type="pct"/>
            <w:vAlign w:val="center"/>
            <w:hideMark/>
          </w:tcPr>
          <w:p w:rsidR="00551740" w:rsidRPr="00336800" w:rsidRDefault="00551740" w:rsidP="00551740">
            <w:pPr>
              <w:spacing w:after="0" w:line="240" w:lineRule="auto"/>
              <w:jc w:val="right"/>
              <w:rPr>
                <w:rFonts w:eastAsia="Times New Roman"/>
                <w:szCs w:val="20"/>
                <w:lang w:val="cs-CZ"/>
              </w:rPr>
            </w:pPr>
            <w:r w:rsidRPr="00336800">
              <w:rPr>
                <w:rFonts w:eastAsia="Times New Roman"/>
                <w:bCs/>
                <w:szCs w:val="20"/>
                <w:lang w:val="cs-CZ"/>
              </w:rPr>
              <w:t>14</w:t>
            </w:r>
          </w:p>
        </w:tc>
        <w:tc>
          <w:tcPr>
            <w:tcW w:w="1369" w:type="pct"/>
            <w:vAlign w:val="center"/>
            <w:hideMark/>
          </w:tcPr>
          <w:p w:rsidR="00551740" w:rsidRPr="00336800" w:rsidRDefault="00567AA3" w:rsidP="00551740">
            <w:pPr>
              <w:spacing w:after="0" w:line="240" w:lineRule="auto"/>
              <w:jc w:val="right"/>
              <w:rPr>
                <w:rFonts w:eastAsia="Times New Roman"/>
                <w:szCs w:val="20"/>
                <w:lang w:val="cs-CZ"/>
              </w:rPr>
            </w:pPr>
            <w:r>
              <w:rPr>
                <w:rFonts w:eastAsia="Times New Roman"/>
                <w:bCs/>
                <w:szCs w:val="20"/>
                <w:lang w:val="cs-CZ"/>
              </w:rPr>
              <w:t>3,0</w:t>
            </w:r>
          </w:p>
        </w:tc>
      </w:tr>
      <w:tr w:rsidR="00D01850" w:rsidRPr="00336800" w:rsidTr="00567AA3">
        <w:trPr>
          <w:trHeight w:val="454"/>
        </w:trPr>
        <w:tc>
          <w:tcPr>
            <w:tcW w:w="2623" w:type="pct"/>
            <w:vAlign w:val="center"/>
            <w:hideMark/>
          </w:tcPr>
          <w:p w:rsidR="00D01850" w:rsidRPr="00336800" w:rsidRDefault="00D01850" w:rsidP="00551740">
            <w:pPr>
              <w:spacing w:after="0" w:line="240" w:lineRule="auto"/>
              <w:jc w:val="left"/>
              <w:rPr>
                <w:rFonts w:eastAsia="Times New Roman"/>
                <w:szCs w:val="20"/>
                <w:lang w:val="cs-CZ"/>
              </w:rPr>
            </w:pPr>
            <w:r w:rsidRPr="00336800">
              <w:rPr>
                <w:rFonts w:eastAsia="Times New Roman"/>
                <w:bCs/>
                <w:szCs w:val="20"/>
                <w:lang w:val="cs-CZ"/>
              </w:rPr>
              <w:t>Integrovaný regionální OP</w:t>
            </w:r>
          </w:p>
        </w:tc>
        <w:tc>
          <w:tcPr>
            <w:tcW w:w="1008" w:type="pct"/>
            <w:vAlign w:val="center"/>
            <w:hideMark/>
          </w:tcPr>
          <w:p w:rsidR="00D01850" w:rsidRPr="00336800" w:rsidRDefault="00EC561E" w:rsidP="00551740">
            <w:pPr>
              <w:spacing w:after="0" w:line="240" w:lineRule="auto"/>
              <w:jc w:val="right"/>
              <w:rPr>
                <w:rFonts w:eastAsia="Times New Roman"/>
                <w:szCs w:val="20"/>
                <w:lang w:val="cs-CZ"/>
              </w:rPr>
            </w:pPr>
            <w:r w:rsidRPr="00336800">
              <w:rPr>
                <w:rFonts w:eastAsia="Times New Roman"/>
                <w:bCs/>
                <w:szCs w:val="20"/>
                <w:lang w:val="cs-CZ"/>
              </w:rPr>
              <w:t>11</w:t>
            </w:r>
          </w:p>
        </w:tc>
        <w:tc>
          <w:tcPr>
            <w:tcW w:w="1369" w:type="pct"/>
            <w:vAlign w:val="center"/>
            <w:hideMark/>
          </w:tcPr>
          <w:p w:rsidR="00D01850" w:rsidRPr="00336800" w:rsidRDefault="00567AA3" w:rsidP="00551740">
            <w:pPr>
              <w:spacing w:after="0" w:line="240" w:lineRule="auto"/>
              <w:jc w:val="right"/>
              <w:rPr>
                <w:rFonts w:eastAsia="Times New Roman"/>
                <w:szCs w:val="20"/>
                <w:lang w:val="cs-CZ"/>
              </w:rPr>
            </w:pPr>
            <w:r>
              <w:rPr>
                <w:rFonts w:eastAsia="Times New Roman"/>
                <w:bCs/>
                <w:szCs w:val="20"/>
                <w:lang w:val="cs-CZ"/>
              </w:rPr>
              <w:t>0,5</w:t>
            </w:r>
          </w:p>
        </w:tc>
      </w:tr>
      <w:tr w:rsidR="00551740" w:rsidRPr="00336800" w:rsidTr="00567AA3">
        <w:trPr>
          <w:trHeight w:val="454"/>
        </w:trPr>
        <w:tc>
          <w:tcPr>
            <w:tcW w:w="2623" w:type="pct"/>
            <w:vAlign w:val="center"/>
            <w:hideMark/>
          </w:tcPr>
          <w:p w:rsidR="00551740" w:rsidRPr="00336800" w:rsidRDefault="00551740" w:rsidP="00551740">
            <w:pPr>
              <w:spacing w:after="0" w:line="240" w:lineRule="auto"/>
              <w:jc w:val="left"/>
              <w:rPr>
                <w:rFonts w:eastAsia="Times New Roman"/>
                <w:szCs w:val="20"/>
                <w:lang w:val="cs-CZ"/>
              </w:rPr>
            </w:pPr>
            <w:r w:rsidRPr="00336800">
              <w:rPr>
                <w:rFonts w:eastAsia="Times New Roman"/>
                <w:bCs/>
                <w:szCs w:val="20"/>
                <w:lang w:val="cs-CZ"/>
              </w:rPr>
              <w:t>OP Praha - pól růstu ČR</w:t>
            </w:r>
          </w:p>
        </w:tc>
        <w:tc>
          <w:tcPr>
            <w:tcW w:w="1008" w:type="pct"/>
            <w:vAlign w:val="center"/>
            <w:hideMark/>
          </w:tcPr>
          <w:p w:rsidR="00551740" w:rsidRPr="00336800" w:rsidRDefault="00551740" w:rsidP="00551740">
            <w:pPr>
              <w:spacing w:after="0" w:line="240" w:lineRule="auto"/>
              <w:jc w:val="right"/>
              <w:rPr>
                <w:rFonts w:eastAsia="Times New Roman"/>
                <w:szCs w:val="20"/>
                <w:lang w:val="cs-CZ"/>
              </w:rPr>
            </w:pPr>
            <w:r w:rsidRPr="00336800">
              <w:rPr>
                <w:rFonts w:eastAsia="Times New Roman"/>
                <w:bCs/>
                <w:szCs w:val="20"/>
                <w:lang w:val="cs-CZ"/>
              </w:rPr>
              <w:t>0</w:t>
            </w:r>
          </w:p>
        </w:tc>
        <w:tc>
          <w:tcPr>
            <w:tcW w:w="1369" w:type="pct"/>
            <w:vAlign w:val="center"/>
            <w:hideMark/>
          </w:tcPr>
          <w:p w:rsidR="00551740" w:rsidRPr="00336800" w:rsidRDefault="00551740" w:rsidP="00551740">
            <w:pPr>
              <w:spacing w:after="0" w:line="240" w:lineRule="auto"/>
              <w:jc w:val="right"/>
              <w:rPr>
                <w:rFonts w:eastAsia="Times New Roman"/>
                <w:szCs w:val="20"/>
                <w:lang w:val="cs-CZ"/>
              </w:rPr>
            </w:pPr>
            <w:r w:rsidRPr="00336800">
              <w:rPr>
                <w:rFonts w:eastAsia="Times New Roman"/>
                <w:bCs/>
                <w:szCs w:val="20"/>
                <w:lang w:val="cs-CZ"/>
              </w:rPr>
              <w:t>0,0</w:t>
            </w:r>
          </w:p>
        </w:tc>
      </w:tr>
      <w:tr w:rsidR="00D01850" w:rsidRPr="00336800" w:rsidTr="00567AA3">
        <w:trPr>
          <w:trHeight w:val="454"/>
        </w:trPr>
        <w:tc>
          <w:tcPr>
            <w:tcW w:w="2623" w:type="pct"/>
            <w:vAlign w:val="center"/>
            <w:hideMark/>
          </w:tcPr>
          <w:p w:rsidR="00D01850" w:rsidRPr="00336800" w:rsidRDefault="00D01850" w:rsidP="00551740">
            <w:pPr>
              <w:spacing w:after="0" w:line="240" w:lineRule="auto"/>
              <w:jc w:val="left"/>
              <w:rPr>
                <w:rFonts w:eastAsia="Times New Roman"/>
                <w:szCs w:val="20"/>
                <w:lang w:val="cs-CZ"/>
              </w:rPr>
            </w:pPr>
            <w:r w:rsidRPr="00336800">
              <w:rPr>
                <w:rFonts w:eastAsia="Times New Roman"/>
                <w:bCs/>
                <w:szCs w:val="20"/>
                <w:lang w:val="cs-CZ"/>
              </w:rPr>
              <w:t>OP Technická pomoc</w:t>
            </w:r>
          </w:p>
        </w:tc>
        <w:tc>
          <w:tcPr>
            <w:tcW w:w="1008" w:type="pct"/>
            <w:vAlign w:val="center"/>
            <w:hideMark/>
          </w:tcPr>
          <w:p w:rsidR="00D01850" w:rsidRPr="00336800" w:rsidRDefault="00EC561E" w:rsidP="00551740">
            <w:pPr>
              <w:spacing w:after="0" w:line="240" w:lineRule="auto"/>
              <w:jc w:val="right"/>
              <w:rPr>
                <w:rFonts w:eastAsia="Times New Roman"/>
                <w:szCs w:val="20"/>
                <w:lang w:val="cs-CZ"/>
              </w:rPr>
            </w:pPr>
            <w:r w:rsidRPr="00336800">
              <w:rPr>
                <w:rFonts w:eastAsia="Times New Roman"/>
                <w:bCs/>
                <w:szCs w:val="20"/>
                <w:lang w:val="cs-CZ"/>
              </w:rPr>
              <w:t>37</w:t>
            </w:r>
          </w:p>
        </w:tc>
        <w:tc>
          <w:tcPr>
            <w:tcW w:w="1369" w:type="pct"/>
            <w:vAlign w:val="center"/>
            <w:hideMark/>
          </w:tcPr>
          <w:p w:rsidR="00D01850" w:rsidRPr="00336800" w:rsidRDefault="00567AA3" w:rsidP="00551740">
            <w:pPr>
              <w:spacing w:after="0" w:line="240" w:lineRule="auto"/>
              <w:jc w:val="right"/>
              <w:rPr>
                <w:rFonts w:eastAsia="Times New Roman"/>
                <w:szCs w:val="20"/>
                <w:lang w:val="cs-CZ"/>
              </w:rPr>
            </w:pPr>
            <w:r>
              <w:rPr>
                <w:rFonts w:eastAsia="Times New Roman"/>
                <w:bCs/>
                <w:szCs w:val="20"/>
                <w:lang w:val="cs-CZ"/>
              </w:rPr>
              <w:t>1,6</w:t>
            </w:r>
          </w:p>
        </w:tc>
      </w:tr>
      <w:tr w:rsidR="00336800" w:rsidRPr="00AE022B" w:rsidTr="00567AA3">
        <w:trPr>
          <w:trHeight w:val="454"/>
        </w:trPr>
        <w:tc>
          <w:tcPr>
            <w:tcW w:w="2623" w:type="pct"/>
            <w:vAlign w:val="center"/>
          </w:tcPr>
          <w:p w:rsidR="00336800" w:rsidRPr="00AE022B" w:rsidRDefault="00336800" w:rsidP="00551740">
            <w:pPr>
              <w:spacing w:after="0" w:line="240" w:lineRule="auto"/>
              <w:jc w:val="left"/>
              <w:rPr>
                <w:rFonts w:eastAsia="Times New Roman"/>
                <w:bCs/>
                <w:szCs w:val="20"/>
                <w:lang w:val="cs-CZ"/>
              </w:rPr>
            </w:pPr>
            <w:r w:rsidRPr="00AE022B">
              <w:rPr>
                <w:rFonts w:eastAsia="Times New Roman"/>
                <w:bCs/>
                <w:szCs w:val="20"/>
                <w:lang w:val="cs-CZ"/>
              </w:rPr>
              <w:t>Program rozvoje venkova</w:t>
            </w:r>
          </w:p>
        </w:tc>
        <w:tc>
          <w:tcPr>
            <w:tcW w:w="1008" w:type="pct"/>
            <w:vAlign w:val="center"/>
          </w:tcPr>
          <w:p w:rsidR="00336800" w:rsidRPr="00AE022B" w:rsidRDefault="00743DAF" w:rsidP="00551740">
            <w:pPr>
              <w:spacing w:after="0" w:line="240" w:lineRule="auto"/>
              <w:jc w:val="right"/>
              <w:rPr>
                <w:rFonts w:eastAsia="Times New Roman"/>
                <w:bCs/>
                <w:szCs w:val="20"/>
                <w:lang w:val="cs-CZ"/>
              </w:rPr>
            </w:pPr>
            <w:r w:rsidRPr="00AE022B">
              <w:rPr>
                <w:rFonts w:eastAsia="Times New Roman"/>
                <w:bCs/>
                <w:szCs w:val="20"/>
                <w:lang w:val="cs-CZ"/>
              </w:rPr>
              <w:t xml:space="preserve">36 684 </w:t>
            </w:r>
          </w:p>
        </w:tc>
        <w:tc>
          <w:tcPr>
            <w:tcW w:w="1369" w:type="pct"/>
            <w:vAlign w:val="center"/>
          </w:tcPr>
          <w:p w:rsidR="00336800" w:rsidRPr="00AE022B" w:rsidRDefault="00567AA3" w:rsidP="00551740">
            <w:pPr>
              <w:spacing w:after="0" w:line="240" w:lineRule="auto"/>
              <w:jc w:val="right"/>
              <w:rPr>
                <w:rFonts w:eastAsia="Times New Roman"/>
                <w:bCs/>
                <w:szCs w:val="20"/>
                <w:lang w:val="cs-CZ"/>
              </w:rPr>
            </w:pPr>
            <w:r w:rsidRPr="00AE022B">
              <w:rPr>
                <w:rFonts w:eastAsia="Times New Roman"/>
                <w:bCs/>
                <w:szCs w:val="20"/>
                <w:lang w:val="cs-CZ"/>
              </w:rPr>
              <w:t>8,4</w:t>
            </w:r>
          </w:p>
        </w:tc>
      </w:tr>
      <w:tr w:rsidR="00336800" w:rsidRPr="00AE022B" w:rsidTr="00567AA3">
        <w:trPr>
          <w:trHeight w:val="454"/>
        </w:trPr>
        <w:tc>
          <w:tcPr>
            <w:tcW w:w="2623" w:type="pct"/>
            <w:vAlign w:val="center"/>
          </w:tcPr>
          <w:p w:rsidR="00336800" w:rsidRPr="00AE022B" w:rsidRDefault="00336800" w:rsidP="00336800">
            <w:pPr>
              <w:spacing w:after="0" w:line="240" w:lineRule="auto"/>
              <w:jc w:val="left"/>
              <w:rPr>
                <w:rFonts w:eastAsia="Times New Roman"/>
                <w:bCs/>
                <w:szCs w:val="20"/>
                <w:lang w:val="cs-CZ"/>
              </w:rPr>
            </w:pPr>
            <w:r w:rsidRPr="00AE022B">
              <w:rPr>
                <w:rFonts w:eastAsia="Times New Roman"/>
                <w:bCs/>
                <w:szCs w:val="20"/>
                <w:lang w:val="cs-CZ"/>
              </w:rPr>
              <w:t>OP Rybářství</w:t>
            </w:r>
          </w:p>
        </w:tc>
        <w:tc>
          <w:tcPr>
            <w:tcW w:w="1008" w:type="pct"/>
            <w:vAlign w:val="center"/>
          </w:tcPr>
          <w:p w:rsidR="00336800" w:rsidRPr="00AE022B" w:rsidRDefault="00336800" w:rsidP="00551740">
            <w:pPr>
              <w:spacing w:after="0" w:line="240" w:lineRule="auto"/>
              <w:jc w:val="right"/>
              <w:rPr>
                <w:rFonts w:eastAsia="Times New Roman"/>
                <w:bCs/>
                <w:szCs w:val="20"/>
                <w:lang w:val="cs-CZ"/>
              </w:rPr>
            </w:pPr>
            <w:r w:rsidRPr="00AE022B">
              <w:rPr>
                <w:rFonts w:eastAsia="Times New Roman"/>
                <w:bCs/>
                <w:szCs w:val="20"/>
                <w:lang w:val="cs-CZ"/>
              </w:rPr>
              <w:t>0</w:t>
            </w:r>
          </w:p>
        </w:tc>
        <w:tc>
          <w:tcPr>
            <w:tcW w:w="1369" w:type="pct"/>
            <w:vAlign w:val="center"/>
          </w:tcPr>
          <w:p w:rsidR="00336800" w:rsidRPr="00AE022B" w:rsidRDefault="00336800" w:rsidP="00551740">
            <w:pPr>
              <w:spacing w:after="0" w:line="240" w:lineRule="auto"/>
              <w:jc w:val="right"/>
              <w:rPr>
                <w:rFonts w:eastAsia="Times New Roman"/>
                <w:bCs/>
                <w:szCs w:val="20"/>
                <w:lang w:val="cs-CZ"/>
              </w:rPr>
            </w:pPr>
            <w:r w:rsidRPr="00AE022B">
              <w:rPr>
                <w:rFonts w:eastAsia="Times New Roman"/>
                <w:bCs/>
                <w:szCs w:val="20"/>
                <w:lang w:val="cs-CZ"/>
              </w:rPr>
              <w:t>0</w:t>
            </w:r>
          </w:p>
        </w:tc>
      </w:tr>
      <w:tr w:rsidR="00D01850" w:rsidRPr="00AE022B" w:rsidTr="00567AA3">
        <w:trPr>
          <w:trHeight w:val="454"/>
        </w:trPr>
        <w:tc>
          <w:tcPr>
            <w:tcW w:w="2623" w:type="pct"/>
            <w:vAlign w:val="center"/>
            <w:hideMark/>
          </w:tcPr>
          <w:p w:rsidR="00D01850" w:rsidRPr="00AE022B" w:rsidRDefault="00D01850" w:rsidP="00551740">
            <w:pPr>
              <w:spacing w:after="0" w:line="240" w:lineRule="auto"/>
              <w:jc w:val="left"/>
              <w:rPr>
                <w:rFonts w:eastAsia="Times New Roman"/>
                <w:b/>
                <w:szCs w:val="20"/>
                <w:lang w:val="cs-CZ"/>
              </w:rPr>
            </w:pPr>
            <w:r w:rsidRPr="00AE022B">
              <w:rPr>
                <w:rFonts w:eastAsia="Times New Roman"/>
                <w:b/>
                <w:bCs/>
                <w:szCs w:val="20"/>
                <w:lang w:val="cs-CZ"/>
              </w:rPr>
              <w:t>Celkem</w:t>
            </w:r>
          </w:p>
        </w:tc>
        <w:tc>
          <w:tcPr>
            <w:tcW w:w="1008" w:type="pct"/>
            <w:vAlign w:val="center"/>
            <w:hideMark/>
          </w:tcPr>
          <w:p w:rsidR="00D01850" w:rsidRPr="00AE022B" w:rsidRDefault="00743DAF" w:rsidP="00743DAF">
            <w:pPr>
              <w:spacing w:after="0" w:line="240" w:lineRule="auto"/>
              <w:jc w:val="right"/>
              <w:rPr>
                <w:rFonts w:eastAsia="Times New Roman"/>
                <w:b/>
                <w:szCs w:val="20"/>
                <w:lang w:val="cs-CZ"/>
              </w:rPr>
            </w:pPr>
            <w:r w:rsidRPr="00AE022B">
              <w:rPr>
                <w:rFonts w:eastAsia="Times New Roman"/>
                <w:b/>
                <w:bCs/>
                <w:szCs w:val="20"/>
                <w:lang w:val="cs-CZ"/>
              </w:rPr>
              <w:t>36 844</w:t>
            </w:r>
          </w:p>
        </w:tc>
        <w:tc>
          <w:tcPr>
            <w:tcW w:w="1369" w:type="pct"/>
            <w:vAlign w:val="center"/>
            <w:hideMark/>
          </w:tcPr>
          <w:p w:rsidR="00D01850" w:rsidRPr="00AE022B" w:rsidRDefault="00567AA3" w:rsidP="00551740">
            <w:pPr>
              <w:spacing w:after="0" w:line="240" w:lineRule="auto"/>
              <w:jc w:val="right"/>
              <w:rPr>
                <w:rFonts w:eastAsia="Times New Roman"/>
                <w:b/>
                <w:szCs w:val="20"/>
                <w:lang w:val="cs-CZ"/>
              </w:rPr>
            </w:pPr>
            <w:r w:rsidRPr="00AE022B">
              <w:rPr>
                <w:rFonts w:eastAsia="Times New Roman"/>
                <w:b/>
                <w:bCs/>
                <w:szCs w:val="20"/>
                <w:lang w:val="cs-CZ"/>
              </w:rPr>
              <w:t>31,3</w:t>
            </w:r>
          </w:p>
        </w:tc>
      </w:tr>
    </w:tbl>
    <w:p w:rsidR="00D01850" w:rsidRPr="00AE022B" w:rsidRDefault="00D01850" w:rsidP="00D01850">
      <w:pPr>
        <w:pBdr>
          <w:top w:val="nil"/>
          <w:left w:val="nil"/>
          <w:bottom w:val="nil"/>
          <w:right w:val="nil"/>
          <w:between w:val="nil"/>
          <w:bar w:val="nil"/>
        </w:pBdr>
        <w:spacing w:before="60" w:after="0" w:line="240" w:lineRule="auto"/>
        <w:rPr>
          <w:rFonts w:eastAsia="Times New Roman"/>
          <w:bCs/>
          <w:sz w:val="18"/>
          <w:szCs w:val="18"/>
          <w:u w:color="000000"/>
          <w:bdr w:val="nil"/>
        </w:rPr>
      </w:pPr>
      <w:r w:rsidRPr="00AE022B">
        <w:rPr>
          <w:rFonts w:eastAsia="Times New Roman"/>
          <w:bCs/>
          <w:sz w:val="18"/>
          <w:szCs w:val="18"/>
          <w:u w:color="000000"/>
          <w:bdr w:val="nil"/>
        </w:rPr>
        <w:t>Zdroj: MS2014+, stav k</w:t>
      </w:r>
      <w:r w:rsidR="00EC561E" w:rsidRPr="00AE022B">
        <w:rPr>
          <w:rFonts w:eastAsia="Times New Roman"/>
          <w:bCs/>
          <w:sz w:val="18"/>
          <w:szCs w:val="18"/>
          <w:u w:color="000000"/>
          <w:bdr w:val="nil"/>
        </w:rPr>
        <w:t> 29. únoru</w:t>
      </w:r>
      <w:r w:rsidR="0010464A" w:rsidRPr="00AE022B">
        <w:rPr>
          <w:rFonts w:eastAsia="Times New Roman"/>
          <w:bCs/>
          <w:sz w:val="18"/>
          <w:szCs w:val="18"/>
          <w:u w:color="000000"/>
          <w:bdr w:val="nil"/>
        </w:rPr>
        <w:t xml:space="preserve"> </w:t>
      </w:r>
      <w:r w:rsidRPr="00AE022B">
        <w:rPr>
          <w:rFonts w:eastAsia="Times New Roman"/>
          <w:bCs/>
          <w:sz w:val="18"/>
          <w:szCs w:val="18"/>
          <w:u w:color="000000"/>
          <w:bdr w:val="nil"/>
        </w:rPr>
        <w:t>2016</w:t>
      </w:r>
    </w:p>
    <w:p w:rsidR="00567AA3" w:rsidRDefault="00567AA3" w:rsidP="00567AA3">
      <w:pPr>
        <w:pBdr>
          <w:top w:val="nil"/>
          <w:left w:val="nil"/>
          <w:bottom w:val="nil"/>
          <w:right w:val="nil"/>
          <w:between w:val="nil"/>
          <w:bar w:val="nil"/>
        </w:pBdr>
        <w:tabs>
          <w:tab w:val="left" w:pos="993"/>
          <w:tab w:val="left" w:pos="1134"/>
        </w:tabs>
        <w:spacing w:after="0"/>
        <w:ind w:left="1134" w:hanging="1134"/>
        <w:rPr>
          <w:color w:val="000000" w:themeColor="text1"/>
          <w:sz w:val="16"/>
          <w:szCs w:val="18"/>
          <w:bdr w:val="nil"/>
        </w:rPr>
      </w:pPr>
      <w:r w:rsidRPr="00AE022B">
        <w:rPr>
          <w:rFonts w:eastAsia="Times New Roman"/>
          <w:bCs/>
          <w:sz w:val="18"/>
          <w:szCs w:val="18"/>
          <w:u w:color="000000"/>
          <w:bdr w:val="nil"/>
        </w:rPr>
        <w:t>Poznámka:</w:t>
      </w:r>
      <w:r w:rsidRPr="00AE022B">
        <w:rPr>
          <w:rFonts w:eastAsia="Times New Roman"/>
          <w:bCs/>
          <w:sz w:val="18"/>
          <w:szCs w:val="18"/>
          <w:u w:color="000000"/>
          <w:bdr w:val="nil"/>
        </w:rPr>
        <w:tab/>
        <w:t>*</w:t>
      </w:r>
      <w:r w:rsidRPr="00AE022B">
        <w:rPr>
          <w:rFonts w:eastAsia="Times New Roman"/>
          <w:bCs/>
          <w:sz w:val="18"/>
          <w:szCs w:val="18"/>
          <w:u w:color="000000"/>
          <w:bdr w:val="nil"/>
        </w:rPr>
        <w:tab/>
      </w:r>
      <w:r w:rsidRPr="00AE022B">
        <w:rPr>
          <w:color w:val="000000" w:themeColor="text1"/>
          <w:sz w:val="16"/>
          <w:szCs w:val="18"/>
          <w:bdr w:val="nil"/>
        </w:rPr>
        <w:t xml:space="preserve">V celkovém počtu projektů s právním aktem o poskytnutí / převodu podpory jsou zahrnuta rovněž plošná opatření (závazky z minulých let) realizované v rámci PRV. </w:t>
      </w:r>
      <w:r w:rsidR="00743DAF" w:rsidRPr="00AE022B">
        <w:rPr>
          <w:color w:val="000000" w:themeColor="text1"/>
          <w:sz w:val="16"/>
          <w:szCs w:val="18"/>
          <w:bdr w:val="nil"/>
        </w:rPr>
        <w:t>V</w:t>
      </w:r>
      <w:r w:rsidRPr="00AE022B">
        <w:rPr>
          <w:color w:val="000000" w:themeColor="text1"/>
          <w:sz w:val="16"/>
          <w:szCs w:val="18"/>
          <w:bdr w:val="nil"/>
        </w:rPr>
        <w:t xml:space="preserve"> rámci plošných opatření bylo do 29. února 2016 v rámci PRV uzavřeno </w:t>
      </w:r>
      <w:r w:rsidR="00743DAF" w:rsidRPr="00AE022B">
        <w:rPr>
          <w:color w:val="000000" w:themeColor="text1"/>
          <w:sz w:val="16"/>
          <w:szCs w:val="18"/>
          <w:bdr w:val="nil"/>
        </w:rPr>
        <w:t>21 907</w:t>
      </w:r>
      <w:r w:rsidRPr="00AE022B">
        <w:rPr>
          <w:color w:val="000000" w:themeColor="text1"/>
          <w:sz w:val="16"/>
          <w:szCs w:val="18"/>
          <w:bdr w:val="nil"/>
        </w:rPr>
        <w:t xml:space="preserve"> právních aktů o poskytnutí / převodu pod</w:t>
      </w:r>
      <w:r w:rsidR="00743DAF" w:rsidRPr="00AE022B">
        <w:rPr>
          <w:color w:val="000000" w:themeColor="text1"/>
          <w:sz w:val="16"/>
          <w:szCs w:val="18"/>
          <w:bdr w:val="nil"/>
        </w:rPr>
        <w:t xml:space="preserve">pory, v dalších aktivitách PRV </w:t>
      </w:r>
      <w:r w:rsidRPr="00AE022B">
        <w:rPr>
          <w:color w:val="000000" w:themeColor="text1"/>
          <w:sz w:val="16"/>
          <w:szCs w:val="18"/>
          <w:bdr w:val="nil"/>
        </w:rPr>
        <w:t xml:space="preserve">došlo k uzavření </w:t>
      </w:r>
      <w:r w:rsidR="00743DAF" w:rsidRPr="00AE022B">
        <w:rPr>
          <w:color w:val="000000" w:themeColor="text1"/>
          <w:sz w:val="16"/>
          <w:szCs w:val="18"/>
          <w:bdr w:val="nil"/>
        </w:rPr>
        <w:t xml:space="preserve">14 777 </w:t>
      </w:r>
      <w:r w:rsidRPr="00AE022B">
        <w:rPr>
          <w:color w:val="000000" w:themeColor="text1"/>
          <w:sz w:val="16"/>
          <w:szCs w:val="18"/>
          <w:bdr w:val="nil"/>
        </w:rPr>
        <w:t>právní</w:t>
      </w:r>
      <w:r w:rsidR="00743DAF" w:rsidRPr="00AE022B">
        <w:rPr>
          <w:color w:val="000000" w:themeColor="text1"/>
          <w:sz w:val="16"/>
          <w:szCs w:val="18"/>
          <w:bdr w:val="nil"/>
        </w:rPr>
        <w:t>c</w:t>
      </w:r>
      <w:r w:rsidRPr="00AE022B">
        <w:rPr>
          <w:color w:val="000000" w:themeColor="text1"/>
          <w:sz w:val="16"/>
          <w:szCs w:val="18"/>
          <w:bdr w:val="nil"/>
        </w:rPr>
        <w:t>h</w:t>
      </w:r>
      <w:r w:rsidR="00743DAF" w:rsidRPr="00AE022B">
        <w:rPr>
          <w:color w:val="000000" w:themeColor="text1"/>
          <w:sz w:val="16"/>
          <w:szCs w:val="18"/>
          <w:bdr w:val="nil"/>
        </w:rPr>
        <w:t xml:space="preserve"> aktů</w:t>
      </w:r>
      <w:r w:rsidRPr="00AE022B">
        <w:rPr>
          <w:color w:val="000000" w:themeColor="text1"/>
          <w:sz w:val="16"/>
          <w:szCs w:val="18"/>
          <w:bdr w:val="nil"/>
        </w:rPr>
        <w:t xml:space="preserve"> o poskytnutí / převodu podpory.</w:t>
      </w:r>
    </w:p>
    <w:p w:rsidR="00AE022B" w:rsidRPr="00AE022B" w:rsidRDefault="00AE022B" w:rsidP="00AE022B"/>
    <w:p w:rsidR="00AE022B" w:rsidRPr="000729AA" w:rsidRDefault="00AE022B" w:rsidP="00AE022B">
      <w:pPr>
        <w:rPr>
          <w:b/>
          <w:u w:val="single"/>
        </w:rPr>
      </w:pPr>
      <w:r w:rsidRPr="000729AA">
        <w:rPr>
          <w:b/>
          <w:u w:val="single"/>
        </w:rPr>
        <w:t>Plán čerpání jednotlivých ŘO do konce roku 2016</w:t>
      </w:r>
    </w:p>
    <w:p w:rsidR="00AE022B" w:rsidRDefault="000729AA" w:rsidP="00AE022B">
      <w:r>
        <w:t>V průběhu podzimu 2015 řídicí orgány připravily strategické realizační plány na rok 2016 vč. výhledu do</w:t>
      </w:r>
      <w:r w:rsidR="005822F0">
        <w:t> </w:t>
      </w:r>
      <w:r>
        <w:t>dalších let. Strategické realizační plány obsahují kromě plánu výzev na rok 2016 a predikcí plnění indikátorů rovněž predikce finančního čerpání na rok 2016. Ze strategických realizačních plánů lze určit, jaký podíl hlavní alokace řídicí orgán plánuje čerpat v jednotlivých sledovaných stavech v roce 2016, viz tabulka níže. Jedná se o orientační údaje.</w:t>
      </w:r>
    </w:p>
    <w:p w:rsidR="000316A9" w:rsidRDefault="000316A9" w:rsidP="00AE022B"/>
    <w:p w:rsidR="000316A9" w:rsidRDefault="000316A9" w:rsidP="00AE022B">
      <w:r>
        <w:rPr>
          <w:b/>
          <w:u w:val="single"/>
        </w:rPr>
        <w:t>Tabulka č. 3</w:t>
      </w:r>
    </w:p>
    <w:tbl>
      <w:tblPr>
        <w:tblStyle w:val="Svtlmkazvraznn5"/>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3165"/>
        <w:gridCol w:w="1584"/>
        <w:gridCol w:w="1584"/>
        <w:gridCol w:w="1889"/>
        <w:gridCol w:w="1555"/>
      </w:tblGrid>
      <w:tr w:rsidR="00C06C2F" w:rsidRPr="00336800" w:rsidTr="00C06C2F">
        <w:trPr>
          <w:trHeight w:val="969"/>
          <w:tblHeader/>
        </w:trPr>
        <w:tc>
          <w:tcPr>
            <w:tcW w:w="1619" w:type="pct"/>
            <w:vMerge w:val="restart"/>
            <w:shd w:val="clear" w:color="auto" w:fill="000099"/>
            <w:vAlign w:val="center"/>
          </w:tcPr>
          <w:p w:rsidR="00C06C2F" w:rsidRPr="00336800" w:rsidRDefault="00C06C2F" w:rsidP="00D228AC">
            <w:pPr>
              <w:spacing w:after="0" w:line="240" w:lineRule="auto"/>
              <w:jc w:val="left"/>
              <w:rPr>
                <w:rFonts w:eastAsia="Times New Roman"/>
                <w:b/>
                <w:bCs/>
                <w:color w:val="FFFFFF" w:themeColor="background1"/>
                <w:szCs w:val="20"/>
              </w:rPr>
            </w:pPr>
            <w:r w:rsidRPr="00336800">
              <w:rPr>
                <w:rFonts w:eastAsia="Times New Roman"/>
                <w:b/>
                <w:bCs/>
                <w:color w:val="FFFFFF" w:themeColor="background1"/>
                <w:szCs w:val="20"/>
                <w:lang w:val="cs-CZ"/>
              </w:rPr>
              <w:t>Program</w:t>
            </w:r>
          </w:p>
        </w:tc>
        <w:tc>
          <w:tcPr>
            <w:tcW w:w="3381" w:type="pct"/>
            <w:gridSpan w:val="4"/>
            <w:shd w:val="clear" w:color="auto" w:fill="000099"/>
            <w:vAlign w:val="center"/>
          </w:tcPr>
          <w:p w:rsidR="00C06C2F" w:rsidRDefault="00C06C2F" w:rsidP="000729AA">
            <w:pPr>
              <w:spacing w:after="0" w:line="240" w:lineRule="auto"/>
              <w:jc w:val="center"/>
              <w:rPr>
                <w:rFonts w:eastAsia="Times New Roman"/>
                <w:b/>
                <w:color w:val="FFFFFF" w:themeColor="background1"/>
                <w:szCs w:val="20"/>
              </w:rPr>
            </w:pPr>
            <w:r>
              <w:rPr>
                <w:rFonts w:eastAsia="Times New Roman"/>
                <w:b/>
                <w:color w:val="FFFFFF" w:themeColor="background1"/>
                <w:szCs w:val="20"/>
                <w:lang w:val="cs-CZ"/>
              </w:rPr>
              <w:t>Podíl hlavní alokace, kterou ŘO plánuje autorizovat v souhrnných žádostech předložených na MF-PCO (kumulativně)</w:t>
            </w:r>
          </w:p>
        </w:tc>
      </w:tr>
      <w:tr w:rsidR="00C06C2F" w:rsidRPr="00336800" w:rsidTr="00C06C2F">
        <w:trPr>
          <w:trHeight w:val="416"/>
          <w:tblHeader/>
        </w:trPr>
        <w:tc>
          <w:tcPr>
            <w:tcW w:w="1619" w:type="pct"/>
            <w:vMerge/>
            <w:shd w:val="clear" w:color="auto" w:fill="000099"/>
            <w:vAlign w:val="center"/>
            <w:hideMark/>
          </w:tcPr>
          <w:p w:rsidR="00C06C2F" w:rsidRPr="00336800" w:rsidRDefault="00C06C2F" w:rsidP="00D228AC">
            <w:pPr>
              <w:spacing w:after="0" w:line="240" w:lineRule="auto"/>
              <w:jc w:val="left"/>
              <w:rPr>
                <w:rFonts w:eastAsia="Times New Roman"/>
                <w:b/>
                <w:color w:val="FFFFFF" w:themeColor="background1"/>
                <w:szCs w:val="20"/>
                <w:lang w:val="cs-CZ"/>
              </w:rPr>
            </w:pPr>
          </w:p>
        </w:tc>
        <w:tc>
          <w:tcPr>
            <w:tcW w:w="810" w:type="pct"/>
            <w:shd w:val="clear" w:color="auto" w:fill="000099"/>
            <w:vAlign w:val="center"/>
          </w:tcPr>
          <w:p w:rsidR="00C06C2F" w:rsidRPr="00C06C2F" w:rsidRDefault="00C06C2F" w:rsidP="00C06C2F">
            <w:pPr>
              <w:spacing w:after="0" w:line="240" w:lineRule="auto"/>
              <w:jc w:val="center"/>
              <w:rPr>
                <w:rFonts w:eastAsia="Times New Roman"/>
                <w:b/>
                <w:color w:val="FFFFFF" w:themeColor="background1"/>
                <w:sz w:val="18"/>
                <w:szCs w:val="18"/>
                <w:lang w:val="cs-CZ"/>
              </w:rPr>
            </w:pPr>
            <w:r w:rsidRPr="00C06C2F">
              <w:rPr>
                <w:rFonts w:eastAsia="Times New Roman"/>
                <w:b/>
                <w:color w:val="FFFFFF" w:themeColor="background1"/>
                <w:sz w:val="18"/>
                <w:szCs w:val="18"/>
                <w:lang w:val="cs-CZ"/>
              </w:rPr>
              <w:t>do 31. 12. 2016</w:t>
            </w:r>
          </w:p>
        </w:tc>
        <w:tc>
          <w:tcPr>
            <w:tcW w:w="810" w:type="pct"/>
            <w:shd w:val="clear" w:color="auto" w:fill="000099"/>
            <w:vAlign w:val="center"/>
            <w:hideMark/>
          </w:tcPr>
          <w:p w:rsidR="00C06C2F" w:rsidRPr="00C06C2F" w:rsidRDefault="00C06C2F" w:rsidP="00C06C2F">
            <w:pPr>
              <w:spacing w:after="0" w:line="240" w:lineRule="auto"/>
              <w:jc w:val="center"/>
              <w:rPr>
                <w:rFonts w:eastAsia="Times New Roman"/>
                <w:b/>
                <w:color w:val="FFFFFF" w:themeColor="background1"/>
                <w:sz w:val="18"/>
                <w:szCs w:val="18"/>
                <w:lang w:val="cs-CZ"/>
              </w:rPr>
            </w:pPr>
            <w:r w:rsidRPr="00C06C2F">
              <w:rPr>
                <w:rFonts w:eastAsia="Times New Roman"/>
                <w:b/>
                <w:color w:val="FFFFFF" w:themeColor="background1"/>
                <w:sz w:val="18"/>
                <w:szCs w:val="18"/>
                <w:lang w:val="cs-CZ"/>
              </w:rPr>
              <w:t>do 31. 12. 2017</w:t>
            </w:r>
          </w:p>
        </w:tc>
        <w:tc>
          <w:tcPr>
            <w:tcW w:w="966" w:type="pct"/>
            <w:shd w:val="clear" w:color="auto" w:fill="000099"/>
            <w:vAlign w:val="center"/>
          </w:tcPr>
          <w:p w:rsidR="00C06C2F" w:rsidRPr="00C06C2F" w:rsidRDefault="00C06C2F" w:rsidP="00C06C2F">
            <w:pPr>
              <w:spacing w:after="0" w:line="240" w:lineRule="auto"/>
              <w:jc w:val="center"/>
              <w:rPr>
                <w:rFonts w:eastAsia="Times New Roman"/>
                <w:b/>
                <w:color w:val="FFFFFF" w:themeColor="background1"/>
                <w:sz w:val="18"/>
                <w:szCs w:val="18"/>
              </w:rPr>
            </w:pPr>
            <w:r w:rsidRPr="00C06C2F">
              <w:rPr>
                <w:rFonts w:eastAsia="Times New Roman"/>
                <w:b/>
                <w:color w:val="FFFFFF" w:themeColor="background1"/>
                <w:sz w:val="18"/>
                <w:szCs w:val="18"/>
                <w:lang w:val="cs-CZ"/>
              </w:rPr>
              <w:t>do 31. 12. 2018</w:t>
            </w:r>
          </w:p>
        </w:tc>
        <w:tc>
          <w:tcPr>
            <w:tcW w:w="795" w:type="pct"/>
            <w:shd w:val="clear" w:color="auto" w:fill="000099"/>
            <w:vAlign w:val="center"/>
          </w:tcPr>
          <w:p w:rsidR="00C06C2F" w:rsidRPr="00C06C2F" w:rsidRDefault="00C06C2F" w:rsidP="00C06C2F">
            <w:pPr>
              <w:spacing w:after="0" w:line="240" w:lineRule="auto"/>
              <w:jc w:val="center"/>
              <w:rPr>
                <w:rFonts w:eastAsia="Times New Roman"/>
                <w:b/>
                <w:color w:val="FFFFFF" w:themeColor="background1"/>
                <w:sz w:val="18"/>
                <w:szCs w:val="18"/>
              </w:rPr>
            </w:pPr>
            <w:r w:rsidRPr="00C06C2F">
              <w:rPr>
                <w:rFonts w:eastAsia="Times New Roman"/>
                <w:b/>
                <w:color w:val="FFFFFF" w:themeColor="background1"/>
                <w:sz w:val="18"/>
                <w:szCs w:val="18"/>
                <w:lang w:val="cs-CZ"/>
              </w:rPr>
              <w:t>do 31. 12. 2019</w:t>
            </w:r>
          </w:p>
        </w:tc>
      </w:tr>
      <w:tr w:rsidR="00C06C2F" w:rsidRPr="00336800" w:rsidTr="005822F0">
        <w:trPr>
          <w:trHeight w:val="454"/>
        </w:trPr>
        <w:tc>
          <w:tcPr>
            <w:tcW w:w="1619" w:type="pct"/>
            <w:vAlign w:val="center"/>
            <w:hideMark/>
          </w:tcPr>
          <w:p w:rsidR="00C06C2F" w:rsidRPr="000729AA" w:rsidRDefault="00C06C2F" w:rsidP="00D228AC">
            <w:pPr>
              <w:spacing w:after="0" w:line="240" w:lineRule="auto"/>
              <w:jc w:val="left"/>
              <w:rPr>
                <w:rFonts w:eastAsia="Times New Roman"/>
                <w:szCs w:val="20"/>
                <w:lang w:val="cs-CZ"/>
              </w:rPr>
            </w:pPr>
            <w:r w:rsidRPr="000729AA">
              <w:rPr>
                <w:rFonts w:eastAsia="Times New Roman"/>
                <w:bCs/>
                <w:szCs w:val="20"/>
                <w:lang w:val="cs-CZ"/>
              </w:rPr>
              <w:t>OP Podnikání a inovace pro konkurenceschopnost</w:t>
            </w:r>
          </w:p>
        </w:tc>
        <w:tc>
          <w:tcPr>
            <w:tcW w:w="810" w:type="pct"/>
            <w:vAlign w:val="bottom"/>
          </w:tcPr>
          <w:p w:rsidR="00C06C2F" w:rsidRPr="000729AA" w:rsidRDefault="00F9212C" w:rsidP="00017F01">
            <w:pPr>
              <w:jc w:val="right"/>
              <w:rPr>
                <w:color w:val="000000"/>
                <w:szCs w:val="20"/>
              </w:rPr>
            </w:pPr>
            <w:r>
              <w:rPr>
                <w:color w:val="000000"/>
                <w:szCs w:val="20"/>
              </w:rPr>
              <w:t>3</w:t>
            </w:r>
            <w:r w:rsidR="00C06C2F" w:rsidRPr="000729AA">
              <w:rPr>
                <w:color w:val="000000"/>
                <w:szCs w:val="20"/>
              </w:rPr>
              <w:t xml:space="preserve"> %</w:t>
            </w:r>
          </w:p>
        </w:tc>
        <w:tc>
          <w:tcPr>
            <w:tcW w:w="810" w:type="pct"/>
            <w:vAlign w:val="bottom"/>
          </w:tcPr>
          <w:p w:rsidR="00C06C2F" w:rsidRPr="000729AA" w:rsidRDefault="00F9212C">
            <w:pPr>
              <w:jc w:val="right"/>
              <w:rPr>
                <w:color w:val="000000"/>
                <w:szCs w:val="20"/>
              </w:rPr>
            </w:pPr>
            <w:r>
              <w:rPr>
                <w:color w:val="000000"/>
                <w:szCs w:val="20"/>
              </w:rPr>
              <w:t>14 %</w:t>
            </w:r>
          </w:p>
        </w:tc>
        <w:tc>
          <w:tcPr>
            <w:tcW w:w="966" w:type="pct"/>
            <w:vAlign w:val="center"/>
          </w:tcPr>
          <w:p w:rsidR="00C06C2F" w:rsidRPr="000729AA" w:rsidRDefault="00F9212C" w:rsidP="00F9212C">
            <w:pPr>
              <w:jc w:val="right"/>
              <w:rPr>
                <w:color w:val="000000"/>
                <w:szCs w:val="20"/>
              </w:rPr>
            </w:pPr>
            <w:r>
              <w:rPr>
                <w:color w:val="000000"/>
                <w:szCs w:val="20"/>
              </w:rPr>
              <w:t>29 %</w:t>
            </w:r>
          </w:p>
        </w:tc>
        <w:tc>
          <w:tcPr>
            <w:tcW w:w="795" w:type="pct"/>
            <w:vAlign w:val="center"/>
          </w:tcPr>
          <w:p w:rsidR="00C06C2F" w:rsidRPr="000729AA" w:rsidRDefault="00F9212C" w:rsidP="00F9212C">
            <w:pPr>
              <w:jc w:val="right"/>
              <w:rPr>
                <w:color w:val="000000"/>
                <w:szCs w:val="20"/>
              </w:rPr>
            </w:pPr>
            <w:r>
              <w:rPr>
                <w:color w:val="000000"/>
                <w:szCs w:val="20"/>
              </w:rPr>
              <w:t>41 %</w:t>
            </w:r>
          </w:p>
        </w:tc>
      </w:tr>
      <w:tr w:rsidR="00C06C2F" w:rsidRPr="00336800" w:rsidTr="005822F0">
        <w:trPr>
          <w:trHeight w:val="454"/>
        </w:trPr>
        <w:tc>
          <w:tcPr>
            <w:tcW w:w="1619" w:type="pct"/>
            <w:vAlign w:val="center"/>
            <w:hideMark/>
          </w:tcPr>
          <w:p w:rsidR="00C06C2F" w:rsidRPr="000729AA" w:rsidRDefault="00C06C2F" w:rsidP="00D228AC">
            <w:pPr>
              <w:spacing w:after="0" w:line="240" w:lineRule="auto"/>
              <w:jc w:val="left"/>
              <w:rPr>
                <w:rFonts w:eastAsia="Times New Roman"/>
                <w:szCs w:val="20"/>
                <w:lang w:val="cs-CZ"/>
              </w:rPr>
            </w:pPr>
            <w:r w:rsidRPr="000729AA">
              <w:rPr>
                <w:rFonts w:eastAsia="Times New Roman"/>
                <w:bCs/>
                <w:szCs w:val="20"/>
                <w:lang w:val="cs-CZ"/>
              </w:rPr>
              <w:t>OP Výzkum, vývoj a vzdělávání</w:t>
            </w:r>
          </w:p>
        </w:tc>
        <w:tc>
          <w:tcPr>
            <w:tcW w:w="810" w:type="pct"/>
            <w:vAlign w:val="bottom"/>
          </w:tcPr>
          <w:p w:rsidR="00C06C2F" w:rsidRPr="000729AA" w:rsidRDefault="00C06C2F" w:rsidP="00017F01">
            <w:pPr>
              <w:jc w:val="right"/>
              <w:rPr>
                <w:color w:val="000000"/>
                <w:szCs w:val="20"/>
              </w:rPr>
            </w:pPr>
            <w:r w:rsidRPr="000729AA">
              <w:rPr>
                <w:color w:val="000000"/>
                <w:szCs w:val="20"/>
              </w:rPr>
              <w:t>0</w:t>
            </w:r>
            <w:r w:rsidR="007B32F0">
              <w:rPr>
                <w:color w:val="000000"/>
                <w:szCs w:val="20"/>
              </w:rPr>
              <w:t xml:space="preserve"> </w:t>
            </w:r>
            <w:r w:rsidRPr="000729AA">
              <w:rPr>
                <w:color w:val="000000"/>
                <w:szCs w:val="20"/>
              </w:rPr>
              <w:t>%</w:t>
            </w:r>
          </w:p>
        </w:tc>
        <w:tc>
          <w:tcPr>
            <w:tcW w:w="810" w:type="pct"/>
            <w:vAlign w:val="bottom"/>
          </w:tcPr>
          <w:p w:rsidR="00C06C2F" w:rsidRPr="000729AA" w:rsidRDefault="00F9212C">
            <w:pPr>
              <w:jc w:val="right"/>
              <w:rPr>
                <w:color w:val="000000"/>
                <w:szCs w:val="20"/>
              </w:rPr>
            </w:pPr>
            <w:r>
              <w:rPr>
                <w:color w:val="000000"/>
                <w:szCs w:val="20"/>
              </w:rPr>
              <w:t>3 %</w:t>
            </w:r>
          </w:p>
        </w:tc>
        <w:tc>
          <w:tcPr>
            <w:tcW w:w="966" w:type="pct"/>
            <w:vAlign w:val="center"/>
          </w:tcPr>
          <w:p w:rsidR="00C06C2F" w:rsidRPr="000729AA" w:rsidRDefault="00F9212C" w:rsidP="00F9212C">
            <w:pPr>
              <w:jc w:val="right"/>
              <w:rPr>
                <w:color w:val="000000"/>
                <w:szCs w:val="20"/>
              </w:rPr>
            </w:pPr>
            <w:r>
              <w:rPr>
                <w:color w:val="000000"/>
                <w:szCs w:val="20"/>
              </w:rPr>
              <w:t>17 %</w:t>
            </w:r>
          </w:p>
        </w:tc>
        <w:tc>
          <w:tcPr>
            <w:tcW w:w="795" w:type="pct"/>
            <w:vAlign w:val="center"/>
          </w:tcPr>
          <w:p w:rsidR="00C06C2F" w:rsidRPr="000729AA" w:rsidRDefault="00F9212C" w:rsidP="00F9212C">
            <w:pPr>
              <w:jc w:val="right"/>
              <w:rPr>
                <w:color w:val="000000"/>
                <w:szCs w:val="20"/>
              </w:rPr>
            </w:pPr>
            <w:r>
              <w:rPr>
                <w:color w:val="000000"/>
                <w:szCs w:val="20"/>
              </w:rPr>
              <w:t>31 %</w:t>
            </w:r>
          </w:p>
        </w:tc>
      </w:tr>
      <w:tr w:rsidR="00C06C2F" w:rsidRPr="00336800" w:rsidTr="005822F0">
        <w:trPr>
          <w:trHeight w:val="454"/>
        </w:trPr>
        <w:tc>
          <w:tcPr>
            <w:tcW w:w="1619" w:type="pct"/>
            <w:vAlign w:val="center"/>
            <w:hideMark/>
          </w:tcPr>
          <w:p w:rsidR="00C06C2F" w:rsidRPr="000729AA" w:rsidRDefault="00C06C2F" w:rsidP="00D228AC">
            <w:pPr>
              <w:spacing w:after="0" w:line="240" w:lineRule="auto"/>
              <w:jc w:val="left"/>
              <w:rPr>
                <w:rFonts w:eastAsia="Times New Roman"/>
                <w:szCs w:val="20"/>
                <w:lang w:val="cs-CZ"/>
              </w:rPr>
            </w:pPr>
            <w:r w:rsidRPr="000729AA">
              <w:rPr>
                <w:rFonts w:eastAsia="Times New Roman"/>
                <w:bCs/>
                <w:szCs w:val="20"/>
                <w:lang w:val="cs-CZ"/>
              </w:rPr>
              <w:t>OP Zaměstnanost</w:t>
            </w:r>
          </w:p>
        </w:tc>
        <w:tc>
          <w:tcPr>
            <w:tcW w:w="810" w:type="pct"/>
            <w:vAlign w:val="bottom"/>
          </w:tcPr>
          <w:p w:rsidR="00C06C2F" w:rsidRPr="000729AA" w:rsidRDefault="00C06C2F" w:rsidP="00017F01">
            <w:pPr>
              <w:jc w:val="right"/>
              <w:rPr>
                <w:color w:val="000000"/>
                <w:szCs w:val="20"/>
              </w:rPr>
            </w:pPr>
            <w:r w:rsidRPr="000729AA">
              <w:rPr>
                <w:color w:val="000000"/>
                <w:szCs w:val="20"/>
              </w:rPr>
              <w:t>1</w:t>
            </w:r>
            <w:r w:rsidR="00F9212C">
              <w:rPr>
                <w:color w:val="000000"/>
                <w:szCs w:val="20"/>
              </w:rPr>
              <w:t>0</w:t>
            </w:r>
            <w:r w:rsidRPr="000729AA">
              <w:rPr>
                <w:color w:val="000000"/>
                <w:szCs w:val="20"/>
              </w:rPr>
              <w:t xml:space="preserve"> %</w:t>
            </w:r>
          </w:p>
        </w:tc>
        <w:tc>
          <w:tcPr>
            <w:tcW w:w="810" w:type="pct"/>
            <w:vAlign w:val="bottom"/>
          </w:tcPr>
          <w:p w:rsidR="00C06C2F" w:rsidRPr="000729AA" w:rsidRDefault="00F9212C">
            <w:pPr>
              <w:jc w:val="right"/>
              <w:rPr>
                <w:color w:val="000000"/>
                <w:szCs w:val="20"/>
              </w:rPr>
            </w:pPr>
            <w:r>
              <w:rPr>
                <w:color w:val="000000"/>
                <w:szCs w:val="20"/>
              </w:rPr>
              <w:t>31 %</w:t>
            </w:r>
          </w:p>
        </w:tc>
        <w:tc>
          <w:tcPr>
            <w:tcW w:w="966" w:type="pct"/>
            <w:vAlign w:val="center"/>
          </w:tcPr>
          <w:p w:rsidR="00C06C2F" w:rsidRPr="000729AA" w:rsidRDefault="00F9212C" w:rsidP="00F9212C">
            <w:pPr>
              <w:jc w:val="right"/>
              <w:rPr>
                <w:color w:val="000000"/>
                <w:szCs w:val="20"/>
              </w:rPr>
            </w:pPr>
            <w:r>
              <w:rPr>
                <w:color w:val="000000"/>
                <w:szCs w:val="20"/>
              </w:rPr>
              <w:t>52 %</w:t>
            </w:r>
          </w:p>
        </w:tc>
        <w:tc>
          <w:tcPr>
            <w:tcW w:w="795" w:type="pct"/>
            <w:vAlign w:val="center"/>
          </w:tcPr>
          <w:p w:rsidR="00C06C2F" w:rsidRPr="000729AA" w:rsidRDefault="00F9212C" w:rsidP="00F9212C">
            <w:pPr>
              <w:jc w:val="right"/>
              <w:rPr>
                <w:color w:val="000000"/>
                <w:szCs w:val="20"/>
              </w:rPr>
            </w:pPr>
            <w:r>
              <w:rPr>
                <w:color w:val="000000"/>
                <w:szCs w:val="20"/>
              </w:rPr>
              <w:t>71 %</w:t>
            </w:r>
          </w:p>
        </w:tc>
      </w:tr>
      <w:tr w:rsidR="00C06C2F" w:rsidRPr="00336800" w:rsidTr="005822F0">
        <w:trPr>
          <w:trHeight w:val="454"/>
        </w:trPr>
        <w:tc>
          <w:tcPr>
            <w:tcW w:w="1619" w:type="pct"/>
            <w:vAlign w:val="center"/>
            <w:hideMark/>
          </w:tcPr>
          <w:p w:rsidR="00C06C2F" w:rsidRPr="000729AA" w:rsidRDefault="00C06C2F" w:rsidP="00D228AC">
            <w:pPr>
              <w:spacing w:after="0" w:line="240" w:lineRule="auto"/>
              <w:jc w:val="left"/>
              <w:rPr>
                <w:rFonts w:eastAsia="Times New Roman"/>
                <w:szCs w:val="20"/>
                <w:lang w:val="cs-CZ"/>
              </w:rPr>
            </w:pPr>
            <w:r w:rsidRPr="000729AA">
              <w:rPr>
                <w:rFonts w:eastAsia="Times New Roman"/>
                <w:bCs/>
                <w:szCs w:val="20"/>
                <w:lang w:val="cs-CZ"/>
              </w:rPr>
              <w:t>OP Doprava</w:t>
            </w:r>
          </w:p>
        </w:tc>
        <w:tc>
          <w:tcPr>
            <w:tcW w:w="810" w:type="pct"/>
            <w:vAlign w:val="bottom"/>
          </w:tcPr>
          <w:p w:rsidR="00C06C2F" w:rsidRPr="000729AA" w:rsidRDefault="00C06C2F" w:rsidP="00017F01">
            <w:pPr>
              <w:jc w:val="right"/>
              <w:rPr>
                <w:color w:val="000000"/>
                <w:szCs w:val="20"/>
              </w:rPr>
            </w:pPr>
            <w:r w:rsidRPr="000729AA">
              <w:rPr>
                <w:color w:val="000000"/>
                <w:szCs w:val="20"/>
              </w:rPr>
              <w:t>0 %</w:t>
            </w:r>
          </w:p>
        </w:tc>
        <w:tc>
          <w:tcPr>
            <w:tcW w:w="810" w:type="pct"/>
            <w:vAlign w:val="bottom"/>
          </w:tcPr>
          <w:p w:rsidR="00C06C2F" w:rsidRPr="000729AA" w:rsidRDefault="00F9212C">
            <w:pPr>
              <w:jc w:val="right"/>
              <w:rPr>
                <w:color w:val="000000"/>
                <w:szCs w:val="20"/>
              </w:rPr>
            </w:pPr>
            <w:r>
              <w:rPr>
                <w:color w:val="000000"/>
                <w:szCs w:val="20"/>
              </w:rPr>
              <w:t xml:space="preserve">9 % </w:t>
            </w:r>
          </w:p>
        </w:tc>
        <w:tc>
          <w:tcPr>
            <w:tcW w:w="966" w:type="pct"/>
            <w:vAlign w:val="center"/>
          </w:tcPr>
          <w:p w:rsidR="00C06C2F" w:rsidRPr="000729AA" w:rsidRDefault="00F9212C" w:rsidP="00F9212C">
            <w:pPr>
              <w:jc w:val="right"/>
              <w:rPr>
                <w:color w:val="000000"/>
                <w:szCs w:val="20"/>
              </w:rPr>
            </w:pPr>
            <w:r>
              <w:rPr>
                <w:color w:val="000000"/>
                <w:szCs w:val="20"/>
              </w:rPr>
              <w:t>21 %</w:t>
            </w:r>
          </w:p>
        </w:tc>
        <w:tc>
          <w:tcPr>
            <w:tcW w:w="795" w:type="pct"/>
            <w:vAlign w:val="center"/>
          </w:tcPr>
          <w:p w:rsidR="00C06C2F" w:rsidRPr="000729AA" w:rsidRDefault="00F9212C" w:rsidP="00F9212C">
            <w:pPr>
              <w:jc w:val="right"/>
              <w:rPr>
                <w:color w:val="000000"/>
                <w:szCs w:val="20"/>
              </w:rPr>
            </w:pPr>
            <w:r>
              <w:rPr>
                <w:color w:val="000000"/>
                <w:szCs w:val="20"/>
              </w:rPr>
              <w:t>31 %</w:t>
            </w:r>
          </w:p>
        </w:tc>
      </w:tr>
      <w:tr w:rsidR="00C06C2F" w:rsidRPr="00336800" w:rsidTr="005822F0">
        <w:trPr>
          <w:trHeight w:val="454"/>
        </w:trPr>
        <w:tc>
          <w:tcPr>
            <w:tcW w:w="1619" w:type="pct"/>
            <w:vAlign w:val="center"/>
            <w:hideMark/>
          </w:tcPr>
          <w:p w:rsidR="00C06C2F" w:rsidRPr="000729AA" w:rsidRDefault="00C06C2F" w:rsidP="00D228AC">
            <w:pPr>
              <w:spacing w:after="0" w:line="240" w:lineRule="auto"/>
              <w:jc w:val="left"/>
              <w:rPr>
                <w:rFonts w:eastAsia="Times New Roman"/>
                <w:szCs w:val="20"/>
                <w:lang w:val="cs-CZ"/>
              </w:rPr>
            </w:pPr>
            <w:r w:rsidRPr="000729AA">
              <w:rPr>
                <w:rFonts w:eastAsia="Times New Roman"/>
                <w:bCs/>
                <w:szCs w:val="20"/>
                <w:lang w:val="cs-CZ"/>
              </w:rPr>
              <w:t>OP Životní prostředí</w:t>
            </w:r>
          </w:p>
        </w:tc>
        <w:tc>
          <w:tcPr>
            <w:tcW w:w="810" w:type="pct"/>
            <w:vAlign w:val="bottom"/>
          </w:tcPr>
          <w:p w:rsidR="00C06C2F" w:rsidRPr="000729AA" w:rsidRDefault="00C06C2F" w:rsidP="00017F01">
            <w:pPr>
              <w:jc w:val="right"/>
              <w:rPr>
                <w:color w:val="000000"/>
                <w:szCs w:val="20"/>
              </w:rPr>
            </w:pPr>
            <w:r w:rsidRPr="000729AA">
              <w:rPr>
                <w:color w:val="000000"/>
                <w:szCs w:val="20"/>
              </w:rPr>
              <w:t>3 %</w:t>
            </w:r>
          </w:p>
        </w:tc>
        <w:tc>
          <w:tcPr>
            <w:tcW w:w="810" w:type="pct"/>
            <w:vAlign w:val="bottom"/>
          </w:tcPr>
          <w:p w:rsidR="00C06C2F" w:rsidRPr="000729AA" w:rsidRDefault="00F9212C">
            <w:pPr>
              <w:jc w:val="right"/>
              <w:rPr>
                <w:color w:val="000000"/>
                <w:szCs w:val="20"/>
              </w:rPr>
            </w:pPr>
            <w:r>
              <w:rPr>
                <w:color w:val="000000"/>
                <w:szCs w:val="20"/>
              </w:rPr>
              <w:t>11 %</w:t>
            </w:r>
          </w:p>
        </w:tc>
        <w:tc>
          <w:tcPr>
            <w:tcW w:w="966" w:type="pct"/>
            <w:vAlign w:val="center"/>
          </w:tcPr>
          <w:p w:rsidR="00C06C2F" w:rsidRPr="000729AA" w:rsidRDefault="00F9212C" w:rsidP="00F9212C">
            <w:pPr>
              <w:jc w:val="right"/>
              <w:rPr>
                <w:color w:val="000000"/>
                <w:szCs w:val="20"/>
              </w:rPr>
            </w:pPr>
            <w:r>
              <w:rPr>
                <w:color w:val="000000"/>
                <w:szCs w:val="20"/>
              </w:rPr>
              <w:t>19 %</w:t>
            </w:r>
          </w:p>
        </w:tc>
        <w:tc>
          <w:tcPr>
            <w:tcW w:w="795" w:type="pct"/>
            <w:vAlign w:val="center"/>
          </w:tcPr>
          <w:p w:rsidR="00C06C2F" w:rsidRPr="000729AA" w:rsidRDefault="00F9212C" w:rsidP="00F9212C">
            <w:pPr>
              <w:jc w:val="right"/>
              <w:rPr>
                <w:color w:val="000000"/>
                <w:szCs w:val="20"/>
              </w:rPr>
            </w:pPr>
            <w:r>
              <w:rPr>
                <w:color w:val="000000"/>
                <w:szCs w:val="20"/>
              </w:rPr>
              <w:t>25 %</w:t>
            </w:r>
          </w:p>
        </w:tc>
      </w:tr>
      <w:tr w:rsidR="00C06C2F" w:rsidRPr="00336800" w:rsidTr="005822F0">
        <w:trPr>
          <w:trHeight w:val="454"/>
        </w:trPr>
        <w:tc>
          <w:tcPr>
            <w:tcW w:w="1619" w:type="pct"/>
            <w:vAlign w:val="center"/>
            <w:hideMark/>
          </w:tcPr>
          <w:p w:rsidR="00C06C2F" w:rsidRPr="000729AA" w:rsidRDefault="00C06C2F" w:rsidP="00D228AC">
            <w:pPr>
              <w:spacing w:after="0" w:line="240" w:lineRule="auto"/>
              <w:jc w:val="left"/>
              <w:rPr>
                <w:rFonts w:eastAsia="Times New Roman"/>
                <w:szCs w:val="20"/>
                <w:lang w:val="cs-CZ"/>
              </w:rPr>
            </w:pPr>
            <w:r w:rsidRPr="000729AA">
              <w:rPr>
                <w:rFonts w:eastAsia="Times New Roman"/>
                <w:bCs/>
                <w:szCs w:val="20"/>
                <w:lang w:val="cs-CZ"/>
              </w:rPr>
              <w:t>Integrovaný regionální OP</w:t>
            </w:r>
          </w:p>
        </w:tc>
        <w:tc>
          <w:tcPr>
            <w:tcW w:w="810" w:type="pct"/>
            <w:vAlign w:val="bottom"/>
          </w:tcPr>
          <w:p w:rsidR="00C06C2F" w:rsidRPr="000729AA" w:rsidRDefault="00F9212C" w:rsidP="00017F01">
            <w:pPr>
              <w:jc w:val="right"/>
              <w:rPr>
                <w:color w:val="000000"/>
                <w:szCs w:val="20"/>
              </w:rPr>
            </w:pPr>
            <w:r>
              <w:rPr>
                <w:color w:val="000000"/>
                <w:szCs w:val="20"/>
              </w:rPr>
              <w:t>0</w:t>
            </w:r>
            <w:r w:rsidR="00C06C2F" w:rsidRPr="000729AA">
              <w:rPr>
                <w:color w:val="000000"/>
                <w:szCs w:val="20"/>
              </w:rPr>
              <w:t xml:space="preserve"> %</w:t>
            </w:r>
          </w:p>
        </w:tc>
        <w:tc>
          <w:tcPr>
            <w:tcW w:w="810" w:type="pct"/>
            <w:vAlign w:val="bottom"/>
          </w:tcPr>
          <w:p w:rsidR="00C06C2F" w:rsidRPr="000729AA" w:rsidRDefault="00F9212C">
            <w:pPr>
              <w:jc w:val="right"/>
              <w:rPr>
                <w:color w:val="000000"/>
                <w:szCs w:val="20"/>
              </w:rPr>
            </w:pPr>
            <w:r>
              <w:rPr>
                <w:color w:val="000000"/>
                <w:szCs w:val="20"/>
              </w:rPr>
              <w:t>10 %</w:t>
            </w:r>
          </w:p>
        </w:tc>
        <w:tc>
          <w:tcPr>
            <w:tcW w:w="966" w:type="pct"/>
            <w:vAlign w:val="center"/>
          </w:tcPr>
          <w:p w:rsidR="00C06C2F" w:rsidRPr="000729AA" w:rsidRDefault="00F9212C" w:rsidP="00F9212C">
            <w:pPr>
              <w:jc w:val="right"/>
              <w:rPr>
                <w:color w:val="000000"/>
                <w:szCs w:val="20"/>
              </w:rPr>
            </w:pPr>
            <w:r>
              <w:rPr>
                <w:color w:val="000000"/>
                <w:szCs w:val="20"/>
              </w:rPr>
              <w:t>40 %</w:t>
            </w:r>
          </w:p>
        </w:tc>
        <w:tc>
          <w:tcPr>
            <w:tcW w:w="795" w:type="pct"/>
            <w:vAlign w:val="center"/>
          </w:tcPr>
          <w:p w:rsidR="00C06C2F" w:rsidRPr="000729AA" w:rsidRDefault="00F9212C" w:rsidP="00F9212C">
            <w:pPr>
              <w:jc w:val="right"/>
              <w:rPr>
                <w:color w:val="000000"/>
                <w:szCs w:val="20"/>
              </w:rPr>
            </w:pPr>
            <w:r>
              <w:rPr>
                <w:color w:val="000000"/>
                <w:szCs w:val="20"/>
              </w:rPr>
              <w:t>56 %</w:t>
            </w:r>
          </w:p>
        </w:tc>
      </w:tr>
      <w:tr w:rsidR="00C06C2F" w:rsidRPr="00336800" w:rsidTr="005822F0">
        <w:trPr>
          <w:trHeight w:val="454"/>
        </w:trPr>
        <w:tc>
          <w:tcPr>
            <w:tcW w:w="1619" w:type="pct"/>
            <w:vAlign w:val="center"/>
            <w:hideMark/>
          </w:tcPr>
          <w:p w:rsidR="00C06C2F" w:rsidRPr="000729AA" w:rsidRDefault="00C06C2F" w:rsidP="00D228AC">
            <w:pPr>
              <w:spacing w:after="0" w:line="240" w:lineRule="auto"/>
              <w:jc w:val="left"/>
              <w:rPr>
                <w:rFonts w:eastAsia="Times New Roman"/>
                <w:szCs w:val="20"/>
                <w:lang w:val="cs-CZ"/>
              </w:rPr>
            </w:pPr>
            <w:r w:rsidRPr="000729AA">
              <w:rPr>
                <w:rFonts w:eastAsia="Times New Roman"/>
                <w:bCs/>
                <w:szCs w:val="20"/>
                <w:lang w:val="cs-CZ"/>
              </w:rPr>
              <w:t>OP Praha - pól růstu ČR</w:t>
            </w:r>
          </w:p>
        </w:tc>
        <w:tc>
          <w:tcPr>
            <w:tcW w:w="810" w:type="pct"/>
            <w:vAlign w:val="bottom"/>
          </w:tcPr>
          <w:p w:rsidR="00C06C2F" w:rsidRPr="000729AA" w:rsidRDefault="00C06C2F" w:rsidP="00017F01">
            <w:pPr>
              <w:jc w:val="right"/>
              <w:rPr>
                <w:color w:val="000000"/>
                <w:szCs w:val="20"/>
              </w:rPr>
            </w:pPr>
            <w:r w:rsidRPr="000729AA">
              <w:rPr>
                <w:color w:val="000000"/>
                <w:szCs w:val="20"/>
              </w:rPr>
              <w:t>0 %</w:t>
            </w:r>
          </w:p>
        </w:tc>
        <w:tc>
          <w:tcPr>
            <w:tcW w:w="810" w:type="pct"/>
            <w:vAlign w:val="bottom"/>
          </w:tcPr>
          <w:p w:rsidR="00C06C2F" w:rsidRPr="000729AA" w:rsidRDefault="00F9212C">
            <w:pPr>
              <w:jc w:val="right"/>
              <w:rPr>
                <w:color w:val="000000"/>
                <w:szCs w:val="20"/>
              </w:rPr>
            </w:pPr>
            <w:r>
              <w:rPr>
                <w:color w:val="000000"/>
                <w:szCs w:val="20"/>
              </w:rPr>
              <w:t>7 %</w:t>
            </w:r>
          </w:p>
        </w:tc>
        <w:tc>
          <w:tcPr>
            <w:tcW w:w="966" w:type="pct"/>
            <w:vAlign w:val="center"/>
          </w:tcPr>
          <w:p w:rsidR="00C06C2F" w:rsidRPr="000729AA" w:rsidRDefault="00F9212C" w:rsidP="00F9212C">
            <w:pPr>
              <w:jc w:val="right"/>
              <w:rPr>
                <w:color w:val="000000"/>
                <w:szCs w:val="20"/>
              </w:rPr>
            </w:pPr>
            <w:r>
              <w:rPr>
                <w:color w:val="000000"/>
                <w:szCs w:val="20"/>
              </w:rPr>
              <w:t>26 %</w:t>
            </w:r>
          </w:p>
        </w:tc>
        <w:tc>
          <w:tcPr>
            <w:tcW w:w="795" w:type="pct"/>
            <w:vAlign w:val="center"/>
          </w:tcPr>
          <w:p w:rsidR="00C06C2F" w:rsidRPr="000729AA" w:rsidRDefault="00F9212C" w:rsidP="00F9212C">
            <w:pPr>
              <w:jc w:val="right"/>
              <w:rPr>
                <w:color w:val="000000"/>
                <w:szCs w:val="20"/>
              </w:rPr>
            </w:pPr>
            <w:r>
              <w:rPr>
                <w:color w:val="000000"/>
                <w:szCs w:val="20"/>
              </w:rPr>
              <w:t>36 %</w:t>
            </w:r>
          </w:p>
        </w:tc>
      </w:tr>
      <w:tr w:rsidR="00C06C2F" w:rsidRPr="00336800" w:rsidTr="005822F0">
        <w:trPr>
          <w:trHeight w:val="454"/>
        </w:trPr>
        <w:tc>
          <w:tcPr>
            <w:tcW w:w="1619" w:type="pct"/>
            <w:vAlign w:val="center"/>
            <w:hideMark/>
          </w:tcPr>
          <w:p w:rsidR="00C06C2F" w:rsidRPr="000729AA" w:rsidRDefault="00C06C2F" w:rsidP="00D228AC">
            <w:pPr>
              <w:spacing w:after="0" w:line="240" w:lineRule="auto"/>
              <w:jc w:val="left"/>
              <w:rPr>
                <w:rFonts w:eastAsia="Times New Roman"/>
                <w:szCs w:val="20"/>
                <w:lang w:val="cs-CZ"/>
              </w:rPr>
            </w:pPr>
            <w:r w:rsidRPr="000729AA">
              <w:rPr>
                <w:rFonts w:eastAsia="Times New Roman"/>
                <w:bCs/>
                <w:szCs w:val="20"/>
                <w:lang w:val="cs-CZ"/>
              </w:rPr>
              <w:t>OP Technická pomoc</w:t>
            </w:r>
          </w:p>
        </w:tc>
        <w:tc>
          <w:tcPr>
            <w:tcW w:w="810" w:type="pct"/>
            <w:vAlign w:val="bottom"/>
          </w:tcPr>
          <w:p w:rsidR="00C06C2F" w:rsidRPr="000729AA" w:rsidRDefault="00F9212C" w:rsidP="00017F01">
            <w:pPr>
              <w:jc w:val="right"/>
              <w:rPr>
                <w:color w:val="000000"/>
                <w:szCs w:val="20"/>
              </w:rPr>
            </w:pPr>
            <w:r>
              <w:rPr>
                <w:color w:val="000000"/>
                <w:szCs w:val="20"/>
              </w:rPr>
              <w:t>0</w:t>
            </w:r>
            <w:r w:rsidR="00C06C2F" w:rsidRPr="000729AA">
              <w:rPr>
                <w:color w:val="000000"/>
                <w:szCs w:val="20"/>
              </w:rPr>
              <w:t xml:space="preserve"> %</w:t>
            </w:r>
          </w:p>
        </w:tc>
        <w:tc>
          <w:tcPr>
            <w:tcW w:w="810" w:type="pct"/>
            <w:vAlign w:val="bottom"/>
          </w:tcPr>
          <w:p w:rsidR="00C06C2F" w:rsidRPr="000729AA" w:rsidRDefault="00F9212C">
            <w:pPr>
              <w:jc w:val="right"/>
              <w:rPr>
                <w:color w:val="000000"/>
                <w:szCs w:val="20"/>
              </w:rPr>
            </w:pPr>
            <w:r>
              <w:rPr>
                <w:color w:val="000000"/>
                <w:szCs w:val="20"/>
              </w:rPr>
              <w:t>16 %</w:t>
            </w:r>
          </w:p>
        </w:tc>
        <w:tc>
          <w:tcPr>
            <w:tcW w:w="966" w:type="pct"/>
            <w:vAlign w:val="center"/>
          </w:tcPr>
          <w:p w:rsidR="00C06C2F" w:rsidRPr="000729AA" w:rsidRDefault="00F9212C" w:rsidP="00F9212C">
            <w:pPr>
              <w:jc w:val="right"/>
              <w:rPr>
                <w:color w:val="000000"/>
                <w:szCs w:val="20"/>
              </w:rPr>
            </w:pPr>
            <w:r>
              <w:rPr>
                <w:color w:val="000000"/>
                <w:szCs w:val="20"/>
              </w:rPr>
              <w:t>24 %</w:t>
            </w:r>
          </w:p>
        </w:tc>
        <w:tc>
          <w:tcPr>
            <w:tcW w:w="795" w:type="pct"/>
            <w:vAlign w:val="center"/>
          </w:tcPr>
          <w:p w:rsidR="00C06C2F" w:rsidRPr="000729AA" w:rsidRDefault="00F9212C" w:rsidP="00F9212C">
            <w:pPr>
              <w:jc w:val="right"/>
              <w:rPr>
                <w:color w:val="000000"/>
                <w:szCs w:val="20"/>
              </w:rPr>
            </w:pPr>
            <w:r>
              <w:rPr>
                <w:color w:val="000000"/>
                <w:szCs w:val="20"/>
              </w:rPr>
              <w:t>35 %</w:t>
            </w:r>
          </w:p>
        </w:tc>
      </w:tr>
      <w:tr w:rsidR="00C06C2F" w:rsidRPr="00AE022B" w:rsidTr="005822F0">
        <w:trPr>
          <w:trHeight w:val="454"/>
        </w:trPr>
        <w:tc>
          <w:tcPr>
            <w:tcW w:w="1619" w:type="pct"/>
            <w:vAlign w:val="center"/>
          </w:tcPr>
          <w:p w:rsidR="00C06C2F" w:rsidRPr="000729AA" w:rsidRDefault="00C06C2F" w:rsidP="00D228AC">
            <w:pPr>
              <w:spacing w:after="0" w:line="240" w:lineRule="auto"/>
              <w:jc w:val="left"/>
              <w:rPr>
                <w:rFonts w:eastAsia="Times New Roman"/>
                <w:bCs/>
                <w:szCs w:val="20"/>
                <w:lang w:val="cs-CZ"/>
              </w:rPr>
            </w:pPr>
            <w:r w:rsidRPr="000729AA">
              <w:rPr>
                <w:rFonts w:eastAsia="Times New Roman"/>
                <w:bCs/>
                <w:szCs w:val="20"/>
                <w:lang w:val="cs-CZ"/>
              </w:rPr>
              <w:t>Program rozvoje venkova</w:t>
            </w:r>
          </w:p>
        </w:tc>
        <w:tc>
          <w:tcPr>
            <w:tcW w:w="810" w:type="pct"/>
            <w:vAlign w:val="bottom"/>
          </w:tcPr>
          <w:p w:rsidR="00C06C2F" w:rsidRPr="000729AA" w:rsidRDefault="00F9212C" w:rsidP="00017F01">
            <w:pPr>
              <w:jc w:val="right"/>
              <w:rPr>
                <w:color w:val="000000"/>
                <w:szCs w:val="20"/>
              </w:rPr>
            </w:pPr>
            <w:r>
              <w:rPr>
                <w:color w:val="000000"/>
                <w:szCs w:val="20"/>
              </w:rPr>
              <w:t>N/A</w:t>
            </w:r>
          </w:p>
        </w:tc>
        <w:tc>
          <w:tcPr>
            <w:tcW w:w="810" w:type="pct"/>
            <w:vAlign w:val="bottom"/>
          </w:tcPr>
          <w:p w:rsidR="00C06C2F" w:rsidRPr="000729AA" w:rsidRDefault="00F9212C">
            <w:pPr>
              <w:jc w:val="right"/>
              <w:rPr>
                <w:color w:val="000000"/>
                <w:szCs w:val="20"/>
              </w:rPr>
            </w:pPr>
            <w:r>
              <w:rPr>
                <w:color w:val="000000"/>
                <w:szCs w:val="20"/>
              </w:rPr>
              <w:t>N/A</w:t>
            </w:r>
          </w:p>
        </w:tc>
        <w:tc>
          <w:tcPr>
            <w:tcW w:w="966" w:type="pct"/>
            <w:vAlign w:val="bottom"/>
          </w:tcPr>
          <w:p w:rsidR="00C06C2F" w:rsidRPr="000729AA" w:rsidRDefault="00F9212C" w:rsidP="00F9212C">
            <w:pPr>
              <w:jc w:val="right"/>
              <w:rPr>
                <w:color w:val="000000"/>
                <w:szCs w:val="20"/>
              </w:rPr>
            </w:pPr>
            <w:r>
              <w:rPr>
                <w:color w:val="000000"/>
                <w:szCs w:val="20"/>
              </w:rPr>
              <w:t>N/A</w:t>
            </w:r>
          </w:p>
        </w:tc>
        <w:tc>
          <w:tcPr>
            <w:tcW w:w="795" w:type="pct"/>
            <w:vAlign w:val="bottom"/>
          </w:tcPr>
          <w:p w:rsidR="00C06C2F" w:rsidRPr="000729AA" w:rsidRDefault="00F9212C" w:rsidP="00EF2FB4">
            <w:pPr>
              <w:jc w:val="right"/>
              <w:rPr>
                <w:color w:val="000000"/>
                <w:szCs w:val="20"/>
              </w:rPr>
            </w:pPr>
            <w:r>
              <w:rPr>
                <w:color w:val="000000"/>
                <w:szCs w:val="20"/>
              </w:rPr>
              <w:t>N/A</w:t>
            </w:r>
          </w:p>
        </w:tc>
      </w:tr>
      <w:tr w:rsidR="00C06C2F" w:rsidRPr="00AE022B" w:rsidTr="005822F0">
        <w:trPr>
          <w:trHeight w:val="454"/>
        </w:trPr>
        <w:tc>
          <w:tcPr>
            <w:tcW w:w="1619" w:type="pct"/>
            <w:vAlign w:val="center"/>
          </w:tcPr>
          <w:p w:rsidR="00C06C2F" w:rsidRPr="000729AA" w:rsidRDefault="00C06C2F" w:rsidP="00D228AC">
            <w:pPr>
              <w:spacing w:after="0" w:line="240" w:lineRule="auto"/>
              <w:jc w:val="left"/>
              <w:rPr>
                <w:rFonts w:eastAsia="Times New Roman"/>
                <w:bCs/>
                <w:szCs w:val="20"/>
                <w:lang w:val="cs-CZ"/>
              </w:rPr>
            </w:pPr>
            <w:r w:rsidRPr="000729AA">
              <w:rPr>
                <w:rFonts w:eastAsia="Times New Roman"/>
                <w:bCs/>
                <w:szCs w:val="20"/>
                <w:lang w:val="cs-CZ"/>
              </w:rPr>
              <w:lastRenderedPageBreak/>
              <w:t>OP Rybářství</w:t>
            </w:r>
          </w:p>
        </w:tc>
        <w:tc>
          <w:tcPr>
            <w:tcW w:w="810" w:type="pct"/>
            <w:vAlign w:val="bottom"/>
          </w:tcPr>
          <w:p w:rsidR="00C06C2F" w:rsidRPr="000729AA" w:rsidRDefault="00F9212C" w:rsidP="00017F01">
            <w:pPr>
              <w:jc w:val="right"/>
              <w:rPr>
                <w:color w:val="000000"/>
                <w:szCs w:val="20"/>
              </w:rPr>
            </w:pPr>
            <w:r>
              <w:rPr>
                <w:color w:val="000000"/>
                <w:szCs w:val="20"/>
              </w:rPr>
              <w:t>2</w:t>
            </w:r>
            <w:r w:rsidR="00C06C2F" w:rsidRPr="000729AA">
              <w:rPr>
                <w:color w:val="000000"/>
                <w:szCs w:val="20"/>
              </w:rPr>
              <w:t xml:space="preserve"> %</w:t>
            </w:r>
          </w:p>
        </w:tc>
        <w:tc>
          <w:tcPr>
            <w:tcW w:w="810" w:type="pct"/>
            <w:vAlign w:val="bottom"/>
          </w:tcPr>
          <w:p w:rsidR="00C06C2F" w:rsidRPr="000729AA" w:rsidRDefault="00F9212C">
            <w:pPr>
              <w:jc w:val="right"/>
              <w:rPr>
                <w:color w:val="000000"/>
                <w:szCs w:val="20"/>
              </w:rPr>
            </w:pPr>
            <w:r>
              <w:rPr>
                <w:color w:val="000000"/>
                <w:szCs w:val="20"/>
              </w:rPr>
              <w:t>12 %</w:t>
            </w:r>
          </w:p>
        </w:tc>
        <w:tc>
          <w:tcPr>
            <w:tcW w:w="966" w:type="pct"/>
            <w:vAlign w:val="center"/>
          </w:tcPr>
          <w:p w:rsidR="00C06C2F" w:rsidRPr="000729AA" w:rsidRDefault="00F9212C" w:rsidP="00F9212C">
            <w:pPr>
              <w:jc w:val="right"/>
              <w:rPr>
                <w:color w:val="000000"/>
                <w:szCs w:val="20"/>
              </w:rPr>
            </w:pPr>
            <w:r>
              <w:rPr>
                <w:color w:val="000000"/>
                <w:szCs w:val="20"/>
              </w:rPr>
              <w:t>28 %</w:t>
            </w:r>
          </w:p>
        </w:tc>
        <w:tc>
          <w:tcPr>
            <w:tcW w:w="795" w:type="pct"/>
            <w:vAlign w:val="center"/>
          </w:tcPr>
          <w:p w:rsidR="00C06C2F" w:rsidRPr="000729AA" w:rsidRDefault="00F9212C" w:rsidP="00F9212C">
            <w:pPr>
              <w:jc w:val="right"/>
              <w:rPr>
                <w:color w:val="000000"/>
                <w:szCs w:val="20"/>
              </w:rPr>
            </w:pPr>
            <w:r>
              <w:rPr>
                <w:color w:val="000000"/>
                <w:szCs w:val="20"/>
              </w:rPr>
              <w:t>42 %</w:t>
            </w:r>
          </w:p>
        </w:tc>
      </w:tr>
    </w:tbl>
    <w:p w:rsidR="00776EBF" w:rsidRPr="005822F0" w:rsidRDefault="00776EBF" w:rsidP="005822F0">
      <w:pPr>
        <w:pBdr>
          <w:top w:val="nil"/>
          <w:left w:val="nil"/>
          <w:bottom w:val="nil"/>
          <w:right w:val="nil"/>
          <w:between w:val="nil"/>
          <w:bar w:val="nil"/>
        </w:pBdr>
        <w:spacing w:before="60" w:after="0" w:line="240" w:lineRule="auto"/>
        <w:rPr>
          <w:rFonts w:eastAsia="Times New Roman"/>
          <w:bCs/>
          <w:sz w:val="16"/>
          <w:szCs w:val="16"/>
          <w:u w:color="000000"/>
          <w:bdr w:val="nil"/>
        </w:rPr>
      </w:pPr>
      <w:r w:rsidRPr="005822F0">
        <w:rPr>
          <w:rFonts w:eastAsia="Times New Roman"/>
          <w:bCs/>
          <w:sz w:val="16"/>
          <w:szCs w:val="16"/>
          <w:u w:color="000000"/>
          <w:bdr w:val="nil"/>
        </w:rPr>
        <w:t>Zdroj dat: MS2014+ (SRP na rok 2016 pro jednotlivé OP, vyjma OP VVV), podklady pro 3. MV OP VVV</w:t>
      </w:r>
    </w:p>
    <w:p w:rsidR="00D15705" w:rsidRPr="005822F0" w:rsidRDefault="00D15705" w:rsidP="005822F0">
      <w:pPr>
        <w:pBdr>
          <w:top w:val="nil"/>
          <w:left w:val="nil"/>
          <w:bottom w:val="nil"/>
          <w:right w:val="nil"/>
          <w:between w:val="nil"/>
          <w:bar w:val="nil"/>
        </w:pBdr>
        <w:spacing w:before="60" w:after="0" w:line="240" w:lineRule="auto"/>
        <w:rPr>
          <w:rFonts w:eastAsia="Times New Roman"/>
          <w:bCs/>
          <w:sz w:val="16"/>
          <w:szCs w:val="16"/>
          <w:u w:color="000000"/>
          <w:bdr w:val="nil"/>
        </w:rPr>
      </w:pPr>
      <w:r w:rsidRPr="005822F0">
        <w:rPr>
          <w:rFonts w:eastAsia="Times New Roman"/>
          <w:bCs/>
          <w:sz w:val="16"/>
          <w:szCs w:val="16"/>
          <w:u w:color="000000"/>
          <w:bdr w:val="nil"/>
        </w:rPr>
        <w:t>Poznámka: Pro Program rozvoje venkova není tento stav fi</w:t>
      </w:r>
      <w:r w:rsidR="00F10873" w:rsidRPr="005822F0">
        <w:rPr>
          <w:rFonts w:eastAsia="Times New Roman"/>
          <w:bCs/>
          <w:sz w:val="16"/>
          <w:szCs w:val="16"/>
          <w:u w:color="000000"/>
          <w:bdr w:val="nil"/>
        </w:rPr>
        <w:t xml:space="preserve">nančních prostředků relevantní (Stav Finanční prostředky vyúčtované v žádostech pro platbu nelze pro srovnání využít z důvodu probíhající revize </w:t>
      </w:r>
      <w:r w:rsidR="007B32F0" w:rsidRPr="005822F0">
        <w:rPr>
          <w:rFonts w:eastAsia="Times New Roman"/>
          <w:bCs/>
          <w:sz w:val="16"/>
          <w:szCs w:val="16"/>
          <w:u w:color="000000"/>
          <w:bdr w:val="nil"/>
        </w:rPr>
        <w:t>programového dokumentu</w:t>
      </w:r>
      <w:r w:rsidR="005822F0">
        <w:rPr>
          <w:rFonts w:eastAsia="Times New Roman"/>
          <w:bCs/>
          <w:sz w:val="16"/>
          <w:szCs w:val="16"/>
          <w:u w:color="000000"/>
          <w:bdr w:val="nil"/>
        </w:rPr>
        <w:t>)</w:t>
      </w:r>
      <w:r w:rsidR="009A0FDB" w:rsidRPr="005822F0">
        <w:rPr>
          <w:rFonts w:eastAsia="Times New Roman"/>
          <w:bCs/>
          <w:sz w:val="16"/>
          <w:szCs w:val="16"/>
          <w:u w:color="000000"/>
          <w:bdr w:val="nil"/>
        </w:rPr>
        <w:t xml:space="preserve">. </w:t>
      </w:r>
      <w:r w:rsidR="00776EBF" w:rsidRPr="005822F0">
        <w:rPr>
          <w:rFonts w:eastAsia="Times New Roman"/>
          <w:bCs/>
          <w:sz w:val="16"/>
          <w:szCs w:val="16"/>
          <w:u w:color="000000"/>
          <w:bdr w:val="nil"/>
        </w:rPr>
        <w:t xml:space="preserve">V hodnotě pro </w:t>
      </w:r>
      <w:r w:rsidRPr="005822F0">
        <w:rPr>
          <w:rFonts w:eastAsia="Times New Roman"/>
          <w:bCs/>
          <w:sz w:val="16"/>
          <w:szCs w:val="16"/>
          <w:u w:color="000000"/>
          <w:bdr w:val="nil"/>
        </w:rPr>
        <w:t>OP Výzkum, vývoj a vzdělávání</w:t>
      </w:r>
      <w:r w:rsidR="00776EBF" w:rsidRPr="005822F0">
        <w:rPr>
          <w:rFonts w:eastAsia="Times New Roman"/>
          <w:bCs/>
          <w:sz w:val="16"/>
          <w:szCs w:val="16"/>
          <w:u w:color="000000"/>
          <w:bdr w:val="nil"/>
        </w:rPr>
        <w:t xml:space="preserve"> není zahrnuta hodnota pro prioritní osu 4, neboť ŘO OP VVV nepředložil predikci pro tuto </w:t>
      </w:r>
      <w:r w:rsidR="007B32F0" w:rsidRPr="005822F0">
        <w:rPr>
          <w:rFonts w:eastAsia="Times New Roman"/>
          <w:bCs/>
          <w:sz w:val="16"/>
          <w:szCs w:val="16"/>
          <w:u w:color="000000"/>
          <w:bdr w:val="nil"/>
        </w:rPr>
        <w:t>prioritní osu</w:t>
      </w:r>
      <w:r w:rsidR="00776EBF" w:rsidRPr="005822F0">
        <w:rPr>
          <w:rFonts w:eastAsia="Times New Roman"/>
          <w:bCs/>
          <w:sz w:val="16"/>
          <w:szCs w:val="16"/>
          <w:u w:color="000000"/>
          <w:bdr w:val="nil"/>
        </w:rPr>
        <w:t xml:space="preserve">. </w:t>
      </w:r>
      <w:r w:rsidRPr="005822F0">
        <w:rPr>
          <w:rFonts w:eastAsia="Times New Roman"/>
          <w:bCs/>
          <w:sz w:val="16"/>
          <w:szCs w:val="16"/>
          <w:u w:color="000000"/>
          <w:bdr w:val="nil"/>
        </w:rPr>
        <w:t xml:space="preserve"> </w:t>
      </w:r>
    </w:p>
    <w:p w:rsidR="00C46018" w:rsidRPr="00C46018" w:rsidRDefault="00C46018" w:rsidP="00C46018">
      <w:pPr>
        <w:spacing w:before="240"/>
      </w:pPr>
      <w:r w:rsidRPr="00C46018">
        <w:t>Nejen veškeré údaje o čerpání jednotlivých programů a</w:t>
      </w:r>
      <w:r w:rsidRPr="00CF642E">
        <w:t xml:space="preserve"> informace </w:t>
      </w:r>
      <w:r w:rsidRPr="00D5750E">
        <w:t>v rámci strategických realizačních plánů programů, ale</w:t>
      </w:r>
      <w:r w:rsidRPr="00F9212C">
        <w:t xml:space="preserve"> komplexně rizika, která mohou mít na čerpání a efektivní využití prostředků z fondů EU dopad, jsou vzata v úvahu v rámci systému řízení rizik</w:t>
      </w:r>
      <w:r w:rsidRPr="00D15705">
        <w:t>. Podrobnější informace k</w:t>
      </w:r>
      <w:r w:rsidR="00D5750E">
        <w:t> tzv.</w:t>
      </w:r>
      <w:r w:rsidRPr="00D5750E">
        <w:t> Integrovanému systému řízení rizik, který vychází ze zkušeností z minulých let, jsou uvedeny v příloze tohoto dokumentu.</w:t>
      </w:r>
      <w:r w:rsidRPr="00C46018">
        <w:br w:type="page"/>
      </w:r>
    </w:p>
    <w:p w:rsidR="00D01850" w:rsidRDefault="00C46018" w:rsidP="00C46018">
      <w:pPr>
        <w:pStyle w:val="vodzvr"/>
        <w:rPr>
          <w:u w:color="000000"/>
          <w:bdr w:val="nil"/>
        </w:rPr>
      </w:pPr>
      <w:r>
        <w:rPr>
          <w:u w:color="000000"/>
          <w:bdr w:val="nil"/>
        </w:rPr>
        <w:lastRenderedPageBreak/>
        <w:t>Příloha</w:t>
      </w:r>
    </w:p>
    <w:p w:rsidR="00C46018" w:rsidRPr="00C46018" w:rsidRDefault="00C46018" w:rsidP="00C46018">
      <w:pPr>
        <w:shd w:val="clear" w:color="auto" w:fill="D9D9D9"/>
        <w:spacing w:before="120"/>
        <w:jc w:val="center"/>
        <w:rPr>
          <w:rFonts w:eastAsia="Times New Roman"/>
          <w:b/>
          <w:caps/>
          <w:sz w:val="22"/>
          <w:szCs w:val="20"/>
        </w:rPr>
      </w:pPr>
      <w:r w:rsidRPr="00C46018">
        <w:rPr>
          <w:rFonts w:eastAsia="Times New Roman"/>
          <w:b/>
          <w:caps/>
          <w:sz w:val="22"/>
          <w:szCs w:val="20"/>
        </w:rPr>
        <w:t>Integrovaný systém řízení rizik (ISRR)</w:t>
      </w:r>
    </w:p>
    <w:p w:rsidR="00C46018" w:rsidRPr="00C46018" w:rsidRDefault="00C46018" w:rsidP="00C46018">
      <w:pPr>
        <w:spacing w:after="0"/>
        <w:jc w:val="left"/>
        <w:rPr>
          <w:rFonts w:eastAsia="Times New Roman"/>
          <w:szCs w:val="20"/>
        </w:rPr>
      </w:pPr>
    </w:p>
    <w:p w:rsidR="00C46018" w:rsidRPr="00C46018" w:rsidRDefault="00C46018" w:rsidP="00C46018">
      <w:pPr>
        <w:shd w:val="clear" w:color="auto" w:fill="B2A1C7"/>
        <w:spacing w:after="0"/>
        <w:jc w:val="left"/>
        <w:rPr>
          <w:rFonts w:eastAsia="Times New Roman"/>
          <w:b/>
          <w:szCs w:val="20"/>
        </w:rPr>
      </w:pPr>
      <w:r w:rsidRPr="00C46018">
        <w:rPr>
          <w:rFonts w:eastAsia="Times New Roman"/>
          <w:b/>
          <w:szCs w:val="20"/>
        </w:rPr>
        <w:t xml:space="preserve">1. CÍL </w:t>
      </w:r>
    </w:p>
    <w:p w:rsidR="00C46018" w:rsidRPr="00C46018" w:rsidRDefault="00C46018" w:rsidP="00C46018">
      <w:pPr>
        <w:spacing w:after="0"/>
        <w:rPr>
          <w:rFonts w:eastAsia="Times New Roman"/>
          <w:szCs w:val="20"/>
        </w:rPr>
      </w:pPr>
      <w:r w:rsidRPr="00C46018">
        <w:rPr>
          <w:rFonts w:eastAsia="Times New Roman"/>
          <w:szCs w:val="20"/>
        </w:rPr>
        <w:t>Cílem ISŘR je včas odhalit klíčová rizika programů, která by mohla vést k neplnění cílů a milníků programů (potažmo Dohody o partnerství) či nevyčerpání prostředků, pomocí stanovených nástrojů.</w:t>
      </w:r>
    </w:p>
    <w:p w:rsidR="00C46018" w:rsidRPr="00C46018" w:rsidRDefault="00C46018" w:rsidP="00C46018">
      <w:pPr>
        <w:spacing w:after="0"/>
        <w:rPr>
          <w:rFonts w:eastAsia="Times New Roman"/>
          <w:szCs w:val="20"/>
        </w:rPr>
      </w:pPr>
    </w:p>
    <w:p w:rsidR="00C46018" w:rsidRPr="00C46018" w:rsidRDefault="00C46018" w:rsidP="00C46018">
      <w:pPr>
        <w:shd w:val="clear" w:color="auto" w:fill="B2A1C7"/>
        <w:spacing w:after="0"/>
        <w:jc w:val="left"/>
        <w:rPr>
          <w:rFonts w:eastAsia="Times New Roman"/>
          <w:b/>
          <w:szCs w:val="20"/>
        </w:rPr>
      </w:pPr>
      <w:r w:rsidRPr="00C46018">
        <w:rPr>
          <w:rFonts w:eastAsia="Times New Roman"/>
          <w:b/>
          <w:szCs w:val="20"/>
        </w:rPr>
        <w:t xml:space="preserve">2. NÁSTROJE </w:t>
      </w:r>
    </w:p>
    <w:p w:rsidR="00C46018" w:rsidRPr="00C46018" w:rsidRDefault="00C46018" w:rsidP="00C46018">
      <w:pPr>
        <w:spacing w:after="0"/>
        <w:rPr>
          <w:rFonts w:eastAsia="Times New Roman"/>
          <w:b/>
          <w:caps/>
          <w:szCs w:val="20"/>
        </w:rPr>
      </w:pPr>
    </w:p>
    <w:p w:rsidR="00C46018" w:rsidRPr="00C46018" w:rsidRDefault="00C46018" w:rsidP="00C46018">
      <w:pPr>
        <w:spacing w:after="0"/>
        <w:rPr>
          <w:rFonts w:eastAsia="Times New Roman"/>
          <w:b/>
          <w:caps/>
          <w:szCs w:val="20"/>
        </w:rPr>
      </w:pPr>
      <w:r w:rsidRPr="00C46018">
        <w:rPr>
          <w:rFonts w:eastAsia="Times New Roman"/>
          <w:b/>
          <w:caps/>
          <w:szCs w:val="20"/>
        </w:rPr>
        <w:t>Registr rizik</w:t>
      </w:r>
    </w:p>
    <w:p w:rsidR="00C46018" w:rsidRPr="00C46018" w:rsidRDefault="00C46018" w:rsidP="00C46018">
      <w:pPr>
        <w:spacing w:after="0"/>
        <w:rPr>
          <w:rFonts w:eastAsia="Times New Roman"/>
          <w:szCs w:val="20"/>
        </w:rPr>
      </w:pPr>
      <w:r w:rsidRPr="00C46018">
        <w:rPr>
          <w:rFonts w:eastAsia="Times New Roman"/>
          <w:szCs w:val="20"/>
        </w:rPr>
        <w:t>Pro každý program je pracovním týmem (viz níže) vypracována databáze rizik rozdělených do pěti klíčových oblastí, která zahrnuje: název a popis rizik, zdroj dat pro hodnocení rizik, slovní příp. také číselné vyjádření dopadu a kvantifikace rizika (dopad, pravděpodobnost, významnost). Významnost, jako součin hodnoty pravděpodobnosti a dopadu, dále určuje stupeň rizika: vysoké (13–25), střední (9–12) a nízké (1–8). Registr rizik je aktualizován dvakrát za rok.</w:t>
      </w:r>
    </w:p>
    <w:p w:rsidR="00C46018" w:rsidRPr="00C46018" w:rsidRDefault="00C46018" w:rsidP="00C46018">
      <w:pPr>
        <w:spacing w:after="0"/>
        <w:rPr>
          <w:rFonts w:eastAsia="Times New Roman"/>
          <w:b/>
          <w:szCs w:val="20"/>
        </w:rPr>
      </w:pPr>
    </w:p>
    <w:p w:rsidR="00C46018" w:rsidRPr="00C46018" w:rsidRDefault="00C46018" w:rsidP="00C46018">
      <w:pPr>
        <w:spacing w:after="0"/>
        <w:rPr>
          <w:rFonts w:eastAsia="Times New Roman"/>
          <w:b/>
          <w:caps/>
          <w:szCs w:val="20"/>
        </w:rPr>
      </w:pPr>
      <w:r w:rsidRPr="00C46018">
        <w:rPr>
          <w:rFonts w:eastAsia="Times New Roman"/>
          <w:b/>
          <w:caps/>
          <w:szCs w:val="20"/>
        </w:rPr>
        <w:t>Pracovní týmy k vyhodnocení rizik</w:t>
      </w:r>
    </w:p>
    <w:p w:rsidR="00C46018" w:rsidRPr="00C46018" w:rsidRDefault="00C46018" w:rsidP="00C46018">
      <w:pPr>
        <w:spacing w:after="0"/>
        <w:rPr>
          <w:rFonts w:eastAsia="Times New Roman"/>
          <w:szCs w:val="20"/>
        </w:rPr>
      </w:pPr>
      <w:r w:rsidRPr="00C46018">
        <w:rPr>
          <w:rFonts w:eastAsia="Times New Roman"/>
          <w:szCs w:val="20"/>
        </w:rPr>
        <w:t>Pracovní týmy byly vytvořeny Ministerstvem pro místní rozvoj – Národ</w:t>
      </w:r>
      <w:r>
        <w:rPr>
          <w:rFonts w:eastAsia="Times New Roman"/>
          <w:szCs w:val="20"/>
        </w:rPr>
        <w:t>ním orgánem pro koordinaci (MMR</w:t>
      </w:r>
      <w:r>
        <w:rPr>
          <w:rFonts w:eastAsia="Times New Roman"/>
          <w:szCs w:val="20"/>
        </w:rPr>
        <w:noBreakHyphen/>
      </w:r>
      <w:r w:rsidRPr="00C46018">
        <w:rPr>
          <w:rFonts w:eastAsia="Times New Roman"/>
          <w:szCs w:val="20"/>
        </w:rPr>
        <w:t>NOK) pro každou rizikovou oblast (viz tabulka 1 – přehled oblastí) a schází se zpravidla dvakrát za rok. Členem pracovních týmů jsou zástupci Ministerstva pro místní rozvoj a Ministerstva financí. Každý z těchto pracovních týmů prochází všechny registry rizik programů a společně zejména:</w:t>
      </w:r>
    </w:p>
    <w:p w:rsidR="00C46018" w:rsidRPr="00C46018" w:rsidRDefault="00C46018" w:rsidP="00C46018">
      <w:pPr>
        <w:numPr>
          <w:ilvl w:val="0"/>
          <w:numId w:val="41"/>
        </w:numPr>
        <w:spacing w:after="0" w:line="276" w:lineRule="auto"/>
        <w:contextualSpacing/>
        <w:jc w:val="left"/>
        <w:rPr>
          <w:rFonts w:eastAsia="Times New Roman"/>
          <w:szCs w:val="20"/>
        </w:rPr>
      </w:pPr>
      <w:r w:rsidRPr="00C46018">
        <w:rPr>
          <w:rFonts w:eastAsia="Times New Roman"/>
          <w:szCs w:val="20"/>
        </w:rPr>
        <w:t xml:space="preserve">hodnotí průřezová a specifická rizika programů v dané oblasti, </w:t>
      </w:r>
    </w:p>
    <w:p w:rsidR="00C46018" w:rsidRPr="00C46018" w:rsidRDefault="00C46018" w:rsidP="00C46018">
      <w:pPr>
        <w:numPr>
          <w:ilvl w:val="0"/>
          <w:numId w:val="41"/>
        </w:numPr>
        <w:spacing w:after="0" w:line="276" w:lineRule="auto"/>
        <w:contextualSpacing/>
        <w:jc w:val="left"/>
        <w:rPr>
          <w:rFonts w:eastAsia="Times New Roman"/>
          <w:szCs w:val="20"/>
        </w:rPr>
      </w:pPr>
      <w:r w:rsidRPr="00C46018">
        <w:rPr>
          <w:rFonts w:eastAsia="Times New Roman"/>
          <w:szCs w:val="20"/>
        </w:rPr>
        <w:t>navrhuje a hodnotí nová rizika programů,</w:t>
      </w:r>
    </w:p>
    <w:p w:rsidR="00C46018" w:rsidRPr="00C46018" w:rsidRDefault="00C46018" w:rsidP="00C46018">
      <w:pPr>
        <w:numPr>
          <w:ilvl w:val="0"/>
          <w:numId w:val="41"/>
        </w:numPr>
        <w:spacing w:after="0" w:line="276" w:lineRule="auto"/>
        <w:contextualSpacing/>
        <w:jc w:val="left"/>
        <w:rPr>
          <w:rFonts w:eastAsia="Times New Roman"/>
          <w:szCs w:val="20"/>
        </w:rPr>
      </w:pPr>
      <w:r w:rsidRPr="00C46018">
        <w:rPr>
          <w:rFonts w:eastAsia="Times New Roman"/>
          <w:szCs w:val="20"/>
        </w:rPr>
        <w:t xml:space="preserve">diskutuje a tvoří návrhy opatření pro identifikovaná rizika s vysokou významností. </w:t>
      </w:r>
    </w:p>
    <w:p w:rsidR="00C46018" w:rsidRPr="00C46018" w:rsidRDefault="00C46018" w:rsidP="00C46018">
      <w:pPr>
        <w:keepNext/>
        <w:pBdr>
          <w:top w:val="nil"/>
          <w:left w:val="nil"/>
          <w:bottom w:val="nil"/>
          <w:right w:val="nil"/>
          <w:between w:val="nil"/>
          <w:bar w:val="nil"/>
        </w:pBdr>
        <w:spacing w:after="0"/>
        <w:jc w:val="left"/>
        <w:rPr>
          <w:rFonts w:eastAsia="Arial Unicode MS" w:cs="Arial Unicode MS"/>
          <w:b/>
          <w:bCs/>
          <w:color w:val="000000"/>
          <w:szCs w:val="18"/>
          <w:u w:color="000000"/>
          <w:bdr w:val="nil"/>
          <w:lang w:eastAsia="en-US"/>
        </w:rPr>
      </w:pPr>
    </w:p>
    <w:p w:rsidR="00C46018" w:rsidRPr="00C46018" w:rsidRDefault="00C46018" w:rsidP="00C46018">
      <w:pPr>
        <w:keepNext/>
        <w:pBdr>
          <w:top w:val="nil"/>
          <w:left w:val="nil"/>
          <w:bottom w:val="nil"/>
          <w:right w:val="nil"/>
          <w:between w:val="nil"/>
          <w:bar w:val="nil"/>
        </w:pBdr>
        <w:spacing w:after="0"/>
        <w:jc w:val="left"/>
        <w:rPr>
          <w:rFonts w:eastAsia="Arial Unicode MS" w:cs="Arial Unicode MS"/>
          <w:bCs/>
          <w:color w:val="000000"/>
          <w:szCs w:val="18"/>
          <w:u w:color="000000"/>
          <w:bdr w:val="nil"/>
          <w:lang w:eastAsia="en-US"/>
        </w:rPr>
      </w:pPr>
      <w:r w:rsidRPr="00C46018">
        <w:rPr>
          <w:rFonts w:eastAsia="Arial Unicode MS" w:cs="Arial Unicode MS"/>
          <w:b/>
          <w:bCs/>
          <w:color w:val="000000"/>
          <w:szCs w:val="18"/>
          <w:u w:color="000000"/>
          <w:bdr w:val="nil"/>
          <w:lang w:eastAsia="en-US"/>
        </w:rPr>
        <w:t xml:space="preserve">Tabulka </w:t>
      </w:r>
      <w:r w:rsidR="00C215FB" w:rsidRPr="00C46018">
        <w:rPr>
          <w:rFonts w:eastAsia="Arial Unicode MS" w:cs="Arial Unicode MS"/>
          <w:b/>
          <w:bCs/>
          <w:color w:val="000000"/>
          <w:szCs w:val="18"/>
          <w:u w:color="000000"/>
          <w:bdr w:val="nil"/>
          <w:lang w:eastAsia="en-US"/>
        </w:rPr>
        <w:fldChar w:fldCharType="begin"/>
      </w:r>
      <w:r w:rsidRPr="00C46018">
        <w:rPr>
          <w:rFonts w:eastAsia="Arial Unicode MS" w:cs="Arial Unicode MS"/>
          <w:b/>
          <w:bCs/>
          <w:color w:val="000000"/>
          <w:szCs w:val="18"/>
          <w:u w:color="000000"/>
          <w:bdr w:val="nil"/>
          <w:lang w:eastAsia="en-US"/>
        </w:rPr>
        <w:instrText xml:space="preserve"> SEQ Tabulka \* ARABIC </w:instrText>
      </w:r>
      <w:r w:rsidR="00C215FB" w:rsidRPr="00C46018">
        <w:rPr>
          <w:rFonts w:eastAsia="Arial Unicode MS" w:cs="Arial Unicode MS"/>
          <w:b/>
          <w:bCs/>
          <w:color w:val="000000"/>
          <w:szCs w:val="18"/>
          <w:u w:color="000000"/>
          <w:bdr w:val="nil"/>
          <w:lang w:eastAsia="en-US"/>
        </w:rPr>
        <w:fldChar w:fldCharType="separate"/>
      </w:r>
      <w:r w:rsidR="00715425">
        <w:rPr>
          <w:rFonts w:eastAsia="Arial Unicode MS" w:cs="Arial Unicode MS"/>
          <w:b/>
          <w:bCs/>
          <w:noProof/>
          <w:color w:val="000000"/>
          <w:szCs w:val="18"/>
          <w:u w:color="000000"/>
          <w:bdr w:val="nil"/>
          <w:lang w:eastAsia="en-US"/>
        </w:rPr>
        <w:t>1</w:t>
      </w:r>
      <w:r w:rsidR="00C215FB" w:rsidRPr="00C46018">
        <w:rPr>
          <w:rFonts w:eastAsia="Arial Unicode MS" w:cs="Arial Unicode MS"/>
          <w:b/>
          <w:bCs/>
          <w:noProof/>
          <w:color w:val="000000"/>
          <w:szCs w:val="18"/>
          <w:u w:color="000000"/>
          <w:bdr w:val="nil"/>
          <w:lang w:eastAsia="en-US"/>
        </w:rPr>
        <w:fldChar w:fldCharType="end"/>
      </w:r>
      <w:r w:rsidRPr="00C46018">
        <w:rPr>
          <w:rFonts w:eastAsia="Arial Unicode MS" w:cs="Arial Unicode MS"/>
          <w:bCs/>
          <w:color w:val="000000"/>
          <w:szCs w:val="18"/>
          <w:u w:color="000000"/>
          <w:bdr w:val="nil"/>
          <w:lang w:eastAsia="en-US"/>
        </w:rPr>
        <w:t xml:space="preserve">: Přehled pracovních týmů </w:t>
      </w:r>
    </w:p>
    <w:tbl>
      <w:tblPr>
        <w:tblStyle w:val="Mkatabulky1"/>
        <w:tblW w:w="4942" w:type="pct"/>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tblPr>
      <w:tblGrid>
        <w:gridCol w:w="9908"/>
      </w:tblGrid>
      <w:tr w:rsidR="00C46018" w:rsidRPr="00C46018" w:rsidTr="00383D11">
        <w:trPr>
          <w:trHeight w:val="397"/>
        </w:trPr>
        <w:tc>
          <w:tcPr>
            <w:tcW w:w="5000" w:type="pct"/>
            <w:shd w:val="clear" w:color="auto" w:fill="8DB3E2" w:themeFill="text2" w:themeFillTint="66"/>
            <w:vAlign w:val="center"/>
          </w:tcPr>
          <w:p w:rsidR="00C46018" w:rsidRPr="00C46018" w:rsidRDefault="00C46018" w:rsidP="00C46018">
            <w:pPr>
              <w:spacing w:after="0"/>
              <w:jc w:val="left"/>
              <w:rPr>
                <w:b/>
                <w:sz w:val="18"/>
                <w:szCs w:val="18"/>
              </w:rPr>
            </w:pPr>
            <w:r w:rsidRPr="00C46018">
              <w:rPr>
                <w:b/>
                <w:sz w:val="18"/>
                <w:szCs w:val="18"/>
              </w:rPr>
              <w:t xml:space="preserve">Název pracovního týmu </w:t>
            </w:r>
          </w:p>
        </w:tc>
      </w:tr>
      <w:tr w:rsidR="00C46018" w:rsidRPr="00C46018" w:rsidTr="00383D11">
        <w:tc>
          <w:tcPr>
            <w:tcW w:w="5000" w:type="pct"/>
            <w:shd w:val="clear" w:color="auto" w:fill="C00000"/>
          </w:tcPr>
          <w:p w:rsidR="00C46018" w:rsidRPr="00C46018" w:rsidRDefault="00C46018" w:rsidP="00C46018">
            <w:pPr>
              <w:spacing w:after="0"/>
              <w:rPr>
                <w:b/>
                <w:sz w:val="18"/>
                <w:szCs w:val="18"/>
              </w:rPr>
            </w:pPr>
            <w:r w:rsidRPr="00C46018">
              <w:rPr>
                <w:b/>
                <w:sz w:val="18"/>
                <w:szCs w:val="18"/>
              </w:rPr>
              <w:t xml:space="preserve">Pracovní tým pro hodnocení plnění milníků a cílů </w:t>
            </w:r>
          </w:p>
        </w:tc>
      </w:tr>
      <w:tr w:rsidR="00C46018" w:rsidRPr="00C46018" w:rsidTr="00383D11">
        <w:tc>
          <w:tcPr>
            <w:tcW w:w="5000" w:type="pct"/>
            <w:shd w:val="clear" w:color="auto" w:fill="FFFF00"/>
          </w:tcPr>
          <w:p w:rsidR="00C46018" w:rsidRPr="00C46018" w:rsidRDefault="00C46018" w:rsidP="00C46018">
            <w:pPr>
              <w:spacing w:after="0"/>
              <w:rPr>
                <w:b/>
                <w:sz w:val="18"/>
                <w:szCs w:val="18"/>
              </w:rPr>
            </w:pPr>
            <w:r w:rsidRPr="00C46018">
              <w:rPr>
                <w:b/>
                <w:sz w:val="18"/>
                <w:szCs w:val="18"/>
              </w:rPr>
              <w:t xml:space="preserve">Pracovní tým pro hodnocení finančního řízení programu </w:t>
            </w:r>
          </w:p>
        </w:tc>
      </w:tr>
      <w:tr w:rsidR="00C46018" w:rsidRPr="00C46018" w:rsidTr="00383D11">
        <w:tc>
          <w:tcPr>
            <w:tcW w:w="5000" w:type="pct"/>
            <w:shd w:val="clear" w:color="auto" w:fill="00B050"/>
          </w:tcPr>
          <w:p w:rsidR="00C46018" w:rsidRPr="00C46018" w:rsidRDefault="00C46018" w:rsidP="00C46018">
            <w:pPr>
              <w:spacing w:after="0"/>
              <w:rPr>
                <w:b/>
                <w:sz w:val="18"/>
                <w:szCs w:val="18"/>
              </w:rPr>
            </w:pPr>
            <w:r w:rsidRPr="00C46018">
              <w:rPr>
                <w:b/>
                <w:sz w:val="18"/>
                <w:szCs w:val="18"/>
              </w:rPr>
              <w:t xml:space="preserve">Pracovní tým pro hodnocení řídicích a kontrolních systémů </w:t>
            </w:r>
          </w:p>
        </w:tc>
      </w:tr>
      <w:tr w:rsidR="00C46018" w:rsidRPr="00C46018" w:rsidTr="00383D11">
        <w:tc>
          <w:tcPr>
            <w:tcW w:w="5000" w:type="pct"/>
            <w:shd w:val="clear" w:color="auto" w:fill="FFC000"/>
          </w:tcPr>
          <w:p w:rsidR="00C46018" w:rsidRPr="00C46018" w:rsidRDefault="00C46018" w:rsidP="00C46018">
            <w:pPr>
              <w:spacing w:after="0"/>
              <w:rPr>
                <w:b/>
                <w:sz w:val="18"/>
                <w:szCs w:val="18"/>
              </w:rPr>
            </w:pPr>
            <w:r w:rsidRPr="00C46018">
              <w:rPr>
                <w:b/>
                <w:sz w:val="18"/>
                <w:szCs w:val="18"/>
              </w:rPr>
              <w:t xml:space="preserve">Pracovní tým pro hodnocení realizace programu </w:t>
            </w:r>
          </w:p>
        </w:tc>
      </w:tr>
      <w:tr w:rsidR="00C46018" w:rsidRPr="00C46018" w:rsidTr="00383D11">
        <w:tc>
          <w:tcPr>
            <w:tcW w:w="5000" w:type="pct"/>
            <w:shd w:val="clear" w:color="auto" w:fill="365F91" w:themeFill="accent1" w:themeFillShade="BF"/>
          </w:tcPr>
          <w:p w:rsidR="00C46018" w:rsidRPr="00C46018" w:rsidRDefault="00C46018" w:rsidP="00C46018">
            <w:pPr>
              <w:spacing w:after="0"/>
              <w:rPr>
                <w:b/>
                <w:sz w:val="18"/>
                <w:szCs w:val="18"/>
              </w:rPr>
            </w:pPr>
            <w:r w:rsidRPr="00C46018">
              <w:rPr>
                <w:b/>
                <w:sz w:val="18"/>
                <w:szCs w:val="18"/>
              </w:rPr>
              <w:t xml:space="preserve">Pracovní tým pro hodnocení administrativní kapacity </w:t>
            </w:r>
          </w:p>
        </w:tc>
      </w:tr>
    </w:tbl>
    <w:p w:rsidR="00C46018" w:rsidRPr="00C46018" w:rsidRDefault="00C46018" w:rsidP="00C46018">
      <w:pPr>
        <w:spacing w:after="0"/>
        <w:rPr>
          <w:rFonts w:eastAsia="Times New Roman"/>
          <w:b/>
          <w:szCs w:val="20"/>
        </w:rPr>
      </w:pPr>
    </w:p>
    <w:p w:rsidR="00C46018" w:rsidRPr="00C46018" w:rsidRDefault="00C46018" w:rsidP="00C46018">
      <w:pPr>
        <w:spacing w:after="0"/>
        <w:rPr>
          <w:rFonts w:eastAsia="Times New Roman"/>
          <w:b/>
          <w:caps/>
          <w:szCs w:val="20"/>
        </w:rPr>
      </w:pPr>
      <w:r w:rsidRPr="00C46018">
        <w:rPr>
          <w:rFonts w:eastAsia="Times New Roman"/>
          <w:b/>
          <w:caps/>
          <w:szCs w:val="20"/>
        </w:rPr>
        <w:t>Multikriteriální analýza (MA)</w:t>
      </w:r>
    </w:p>
    <w:p w:rsidR="00C46018" w:rsidRPr="00C46018" w:rsidRDefault="00C46018" w:rsidP="00C46018">
      <w:pPr>
        <w:spacing w:after="0"/>
        <w:rPr>
          <w:rFonts w:eastAsia="Times New Roman"/>
          <w:szCs w:val="20"/>
        </w:rPr>
      </w:pPr>
      <w:r w:rsidRPr="00C46018">
        <w:rPr>
          <w:rFonts w:eastAsia="Times New Roman"/>
          <w:szCs w:val="20"/>
        </w:rPr>
        <w:t>MA ideově a logicky vychází z Multiple-</w:t>
      </w:r>
      <w:proofErr w:type="spellStart"/>
      <w:r w:rsidRPr="00C46018">
        <w:rPr>
          <w:rFonts w:eastAsia="Times New Roman"/>
          <w:szCs w:val="20"/>
        </w:rPr>
        <w:t>criteria</w:t>
      </w:r>
      <w:proofErr w:type="spellEnd"/>
      <w:r w:rsidRPr="00C46018">
        <w:rPr>
          <w:rFonts w:eastAsia="Times New Roman"/>
          <w:szCs w:val="20"/>
        </w:rPr>
        <w:t xml:space="preserve"> </w:t>
      </w:r>
      <w:proofErr w:type="spellStart"/>
      <w:r w:rsidRPr="00C46018">
        <w:rPr>
          <w:rFonts w:eastAsia="Times New Roman"/>
          <w:szCs w:val="20"/>
        </w:rPr>
        <w:t>decision</w:t>
      </w:r>
      <w:proofErr w:type="spellEnd"/>
      <w:r w:rsidRPr="00C46018">
        <w:rPr>
          <w:rFonts w:eastAsia="Times New Roman"/>
          <w:szCs w:val="20"/>
        </w:rPr>
        <w:t xml:space="preserve"> </w:t>
      </w:r>
      <w:proofErr w:type="spellStart"/>
      <w:r w:rsidRPr="00C46018">
        <w:rPr>
          <w:rFonts w:eastAsia="Times New Roman"/>
          <w:szCs w:val="20"/>
        </w:rPr>
        <w:t>analysis</w:t>
      </w:r>
      <w:proofErr w:type="spellEnd"/>
      <w:r w:rsidRPr="00C46018">
        <w:rPr>
          <w:rFonts w:eastAsia="Times New Roman"/>
          <w:szCs w:val="20"/>
        </w:rPr>
        <w:t xml:space="preserve"> (MCDA)</w:t>
      </w:r>
      <w:r w:rsidRPr="00C46018">
        <w:rPr>
          <w:rFonts w:eastAsia="Times New Roman"/>
          <w:szCs w:val="20"/>
          <w:vertAlign w:val="superscript"/>
        </w:rPr>
        <w:footnoteReference w:id="2"/>
      </w:r>
      <w:r w:rsidRPr="00C46018">
        <w:rPr>
          <w:rFonts w:eastAsia="Times New Roman"/>
          <w:szCs w:val="20"/>
        </w:rPr>
        <w:t xml:space="preserve">, která hodnotí rizika na úrovni jednotlivých předem definovaných alternativ. V případě MA dochází k hodnocení rizik (identifikovaných v rámci registrů rizik) na úrovni jednotlivých programů. Pro každé riziko je stanovena jeho váha na základě metody relativního párového porovnání – </w:t>
      </w:r>
      <w:proofErr w:type="spellStart"/>
      <w:r w:rsidRPr="00C46018">
        <w:rPr>
          <w:rFonts w:eastAsia="Times New Roman"/>
          <w:szCs w:val="20"/>
        </w:rPr>
        <w:t>Saatyho</w:t>
      </w:r>
      <w:proofErr w:type="spellEnd"/>
      <w:r w:rsidRPr="00C46018">
        <w:rPr>
          <w:rFonts w:eastAsia="Times New Roman"/>
          <w:szCs w:val="20"/>
        </w:rPr>
        <w:t xml:space="preserve"> metody.</w:t>
      </w:r>
      <w:r w:rsidRPr="00C46018">
        <w:rPr>
          <w:rFonts w:eastAsia="Times New Roman"/>
          <w:szCs w:val="20"/>
          <w:vertAlign w:val="superscript"/>
        </w:rPr>
        <w:footnoteReference w:id="3"/>
      </w:r>
    </w:p>
    <w:p w:rsidR="00C46018" w:rsidRPr="00C46018" w:rsidRDefault="00C46018" w:rsidP="00C46018">
      <w:pPr>
        <w:spacing w:after="0"/>
        <w:rPr>
          <w:rFonts w:eastAsia="Times New Roman"/>
          <w:szCs w:val="20"/>
        </w:rPr>
      </w:pPr>
    </w:p>
    <w:p w:rsidR="00C46018" w:rsidRPr="00C46018" w:rsidRDefault="00C46018" w:rsidP="00C46018">
      <w:pPr>
        <w:spacing w:after="0"/>
        <w:rPr>
          <w:rFonts w:eastAsia="Times New Roman"/>
          <w:szCs w:val="20"/>
        </w:rPr>
      </w:pPr>
      <w:r w:rsidRPr="00C46018">
        <w:rPr>
          <w:rFonts w:eastAsia="Times New Roman"/>
          <w:szCs w:val="20"/>
        </w:rPr>
        <w:t>MA je tvořena pro každý program zvlášť. Jejím výsledkem pro každý program je číslo v intervalu od 0  do 100. Na základě těchto hodnot je program zařazen do dané kategorie rizikovosti (viz kapitola VÝSTUPY). MA se provádí dvakrát za rok.</w:t>
      </w:r>
    </w:p>
    <w:p w:rsidR="00C46018" w:rsidRPr="00C46018" w:rsidRDefault="00C46018" w:rsidP="00C46018">
      <w:pPr>
        <w:spacing w:after="0"/>
        <w:rPr>
          <w:rFonts w:eastAsia="Times New Roman"/>
          <w:szCs w:val="20"/>
        </w:rPr>
      </w:pPr>
    </w:p>
    <w:p w:rsidR="00C46018" w:rsidRPr="00C46018" w:rsidRDefault="00C46018" w:rsidP="00C46018">
      <w:pPr>
        <w:keepNext/>
        <w:spacing w:after="0"/>
        <w:rPr>
          <w:rFonts w:eastAsia="Times New Roman"/>
          <w:b/>
          <w:caps/>
          <w:szCs w:val="20"/>
        </w:rPr>
      </w:pPr>
      <w:r w:rsidRPr="00C46018">
        <w:rPr>
          <w:rFonts w:eastAsia="Times New Roman"/>
          <w:b/>
          <w:caps/>
          <w:szCs w:val="20"/>
        </w:rPr>
        <w:lastRenderedPageBreak/>
        <w:t>Výbor pro řízení rizik</w:t>
      </w:r>
    </w:p>
    <w:p w:rsidR="00C46018" w:rsidRDefault="00C46018" w:rsidP="00C46018">
      <w:pPr>
        <w:spacing w:after="0"/>
        <w:rPr>
          <w:rFonts w:eastAsia="Times New Roman"/>
          <w:szCs w:val="20"/>
        </w:rPr>
      </w:pPr>
      <w:r w:rsidRPr="00C46018">
        <w:rPr>
          <w:rFonts w:eastAsia="Times New Roman"/>
          <w:szCs w:val="20"/>
        </w:rPr>
        <w:t>Výbor pro řízení rizik (VŘR) je ustanoven ministrem / ministryní pro místní rozvoj. VŘR je zřízen za účelem eliminace zejména kritických rizik v implementaci ESI fondů v programovém období 2014-2020, a to prostřednictvím diskuze a navrhování opatření. Jednání VŘR probíhá ve čtvrtletních intervalech, případně dle potřeby a účastní se jej ředitelé či jimi nominovaní zástupci MMR-NOK, M</w:t>
      </w:r>
      <w:r>
        <w:rPr>
          <w:rFonts w:eastAsia="Times New Roman"/>
          <w:szCs w:val="20"/>
        </w:rPr>
        <w:t>inisterstva financí (Platební a </w:t>
      </w:r>
      <w:r w:rsidRPr="00C46018">
        <w:rPr>
          <w:rFonts w:eastAsia="Times New Roman"/>
          <w:szCs w:val="20"/>
        </w:rPr>
        <w:t xml:space="preserve">certifikační orgán, Auditní orgán), SZIF a přizvaní hosté. </w:t>
      </w:r>
    </w:p>
    <w:p w:rsidR="00C46018" w:rsidRPr="00C46018" w:rsidRDefault="00C46018" w:rsidP="00C46018">
      <w:pPr>
        <w:spacing w:after="0"/>
        <w:rPr>
          <w:rFonts w:eastAsia="Times New Roman"/>
          <w:szCs w:val="20"/>
        </w:rPr>
      </w:pPr>
    </w:p>
    <w:p w:rsidR="00C46018" w:rsidRPr="00C46018" w:rsidRDefault="00C46018" w:rsidP="00C46018">
      <w:pPr>
        <w:spacing w:after="0"/>
        <w:rPr>
          <w:rFonts w:eastAsia="Times New Roman"/>
          <w:b/>
          <w:caps/>
          <w:szCs w:val="20"/>
        </w:rPr>
      </w:pPr>
      <w:r w:rsidRPr="00C46018">
        <w:rPr>
          <w:rFonts w:eastAsia="Times New Roman"/>
          <w:b/>
          <w:caps/>
          <w:szCs w:val="20"/>
        </w:rPr>
        <w:t xml:space="preserve">ZESÍLENÉ ŘÍZENÍ RIZIK </w:t>
      </w:r>
    </w:p>
    <w:p w:rsidR="00C46018" w:rsidRPr="00C46018" w:rsidRDefault="00C46018" w:rsidP="00C46018">
      <w:pPr>
        <w:spacing w:after="0"/>
        <w:rPr>
          <w:rFonts w:eastAsia="Times New Roman"/>
          <w:b/>
          <w:caps/>
          <w:szCs w:val="20"/>
        </w:rPr>
      </w:pPr>
      <w:r w:rsidRPr="00C46018">
        <w:rPr>
          <w:rFonts w:eastAsia="Times New Roman"/>
          <w:szCs w:val="20"/>
        </w:rPr>
        <w:t>Zesílené řízení rizik se provádí pouze se středně a vysoce rizikovými programy. Jedná se o intenzivní sledování kritických rizik programu, ke kterým jsou navržena relevantní opatření řídicím orgánem ve spolupráci s dalšími partnery. Zesílené řízení rizik mimo jiné obnáší i pravidelné schůzky s řídicími orgány programů (zpravidla ve čtvrtletních intervalech), které se konají většinou na úrovni</w:t>
      </w:r>
      <w:r>
        <w:rPr>
          <w:rFonts w:eastAsia="Times New Roman"/>
          <w:szCs w:val="20"/>
        </w:rPr>
        <w:t xml:space="preserve"> ředitelů, vedoucích oddělení a </w:t>
      </w:r>
      <w:r w:rsidRPr="00C46018">
        <w:rPr>
          <w:rFonts w:eastAsia="Times New Roman"/>
          <w:szCs w:val="20"/>
        </w:rPr>
        <w:t>odborných referentů. V případě nutnosti se mohou konat schůzky k zesílenému řízení rizik také na úrovni náměstků, případně ministrů / ministryň.</w:t>
      </w:r>
    </w:p>
    <w:p w:rsidR="00C46018" w:rsidRPr="00C46018" w:rsidRDefault="00C46018" w:rsidP="00C46018">
      <w:pPr>
        <w:spacing w:after="0"/>
        <w:rPr>
          <w:rFonts w:eastAsia="Times New Roman"/>
          <w:szCs w:val="20"/>
        </w:rPr>
      </w:pPr>
    </w:p>
    <w:p w:rsidR="00C46018" w:rsidRPr="00C46018" w:rsidRDefault="00C46018" w:rsidP="00C46018">
      <w:pPr>
        <w:shd w:val="clear" w:color="auto" w:fill="B2A1C7"/>
        <w:spacing w:after="0"/>
        <w:jc w:val="left"/>
        <w:rPr>
          <w:rFonts w:eastAsia="Times New Roman"/>
          <w:b/>
          <w:szCs w:val="20"/>
        </w:rPr>
      </w:pPr>
      <w:r w:rsidRPr="00C46018">
        <w:rPr>
          <w:rFonts w:eastAsia="Times New Roman"/>
          <w:b/>
          <w:szCs w:val="20"/>
        </w:rPr>
        <w:t>3. VÝSTUPY</w:t>
      </w:r>
    </w:p>
    <w:p w:rsidR="00C46018" w:rsidRPr="00C46018" w:rsidRDefault="00C46018" w:rsidP="00C46018">
      <w:pPr>
        <w:spacing w:after="0"/>
        <w:rPr>
          <w:rFonts w:eastAsia="Times New Roman"/>
          <w:szCs w:val="20"/>
        </w:rPr>
      </w:pPr>
    </w:p>
    <w:p w:rsidR="00C46018" w:rsidRPr="00C46018" w:rsidRDefault="00C46018" w:rsidP="00C46018">
      <w:pPr>
        <w:spacing w:after="0"/>
        <w:rPr>
          <w:rFonts w:eastAsia="Times New Roman"/>
          <w:b/>
          <w:caps/>
          <w:szCs w:val="20"/>
        </w:rPr>
      </w:pPr>
      <w:r w:rsidRPr="00C46018">
        <w:rPr>
          <w:rFonts w:eastAsia="Times New Roman"/>
          <w:b/>
          <w:caps/>
          <w:szCs w:val="20"/>
        </w:rPr>
        <w:t>hodnocení rizikovosti programů</w:t>
      </w:r>
    </w:p>
    <w:p w:rsidR="00C46018" w:rsidRPr="00C46018" w:rsidRDefault="00C46018" w:rsidP="00C46018">
      <w:pPr>
        <w:spacing w:after="0"/>
        <w:rPr>
          <w:rFonts w:eastAsia="Times New Roman"/>
          <w:szCs w:val="20"/>
        </w:rPr>
      </w:pPr>
      <w:r w:rsidRPr="00C46018">
        <w:rPr>
          <w:rFonts w:eastAsia="Times New Roman"/>
          <w:szCs w:val="20"/>
        </w:rPr>
        <w:t>Multikriteriální analýza tvoří základ pro rozdělení programů do kategorií rizikovosti (viz níže).</w:t>
      </w:r>
    </w:p>
    <w:p w:rsidR="00C46018" w:rsidRPr="00C46018" w:rsidRDefault="00C46018" w:rsidP="00C46018">
      <w:pPr>
        <w:spacing w:after="0"/>
        <w:rPr>
          <w:rFonts w:eastAsia="Times New Roman"/>
          <w:szCs w:val="20"/>
        </w:rPr>
      </w:pPr>
    </w:p>
    <w:p w:rsidR="00C46018" w:rsidRPr="00C46018" w:rsidRDefault="00C46018" w:rsidP="00C46018">
      <w:pPr>
        <w:shd w:val="clear" w:color="auto" w:fill="E5DFEC"/>
        <w:spacing w:after="0"/>
        <w:rPr>
          <w:rFonts w:eastAsia="Times New Roman"/>
          <w:szCs w:val="20"/>
        </w:rPr>
      </w:pPr>
      <w:r w:rsidRPr="00C46018">
        <w:rPr>
          <w:rFonts w:eastAsia="Times New Roman"/>
          <w:b/>
          <w:color w:val="FF0000"/>
          <w:szCs w:val="20"/>
        </w:rPr>
        <w:t>Vysoce rizikový operační program</w:t>
      </w:r>
      <w:r w:rsidRPr="00C46018">
        <w:rPr>
          <w:rFonts w:eastAsia="Times New Roman"/>
          <w:szCs w:val="20"/>
        </w:rPr>
        <w:t xml:space="preserve"> </w:t>
      </w:r>
      <w:r w:rsidRPr="00C46018">
        <w:rPr>
          <w:rFonts w:eastAsia="Times New Roman"/>
          <w:szCs w:val="20"/>
        </w:rPr>
        <w:tab/>
      </w:r>
      <w:r w:rsidRPr="00C46018">
        <w:rPr>
          <w:rFonts w:eastAsia="Times New Roman"/>
          <w:szCs w:val="20"/>
        </w:rPr>
        <w:tab/>
      </w:r>
    </w:p>
    <w:p w:rsidR="00C46018" w:rsidRPr="00C46018" w:rsidRDefault="00C46018" w:rsidP="00C46018">
      <w:pPr>
        <w:shd w:val="clear" w:color="auto" w:fill="E5DFEC"/>
        <w:spacing w:after="0"/>
        <w:rPr>
          <w:rFonts w:eastAsia="Times New Roman"/>
          <w:szCs w:val="20"/>
        </w:rPr>
      </w:pPr>
      <w:r w:rsidRPr="00C46018">
        <w:rPr>
          <w:rFonts w:eastAsia="Times New Roman"/>
          <w:b/>
          <w:color w:val="E36C0A"/>
          <w:szCs w:val="20"/>
        </w:rPr>
        <w:t>Středně rizikový operační program</w:t>
      </w:r>
      <w:r w:rsidRPr="00C46018">
        <w:rPr>
          <w:rFonts w:eastAsia="Times New Roman"/>
          <w:b/>
          <w:color w:val="E36C0A"/>
          <w:szCs w:val="20"/>
        </w:rPr>
        <w:tab/>
      </w:r>
      <w:r w:rsidRPr="00C46018">
        <w:rPr>
          <w:rFonts w:eastAsia="Times New Roman"/>
          <w:b/>
          <w:color w:val="E36C0A"/>
          <w:szCs w:val="20"/>
        </w:rPr>
        <w:tab/>
      </w:r>
    </w:p>
    <w:p w:rsidR="00C46018" w:rsidRPr="00C46018" w:rsidRDefault="00C46018" w:rsidP="00C46018">
      <w:pPr>
        <w:shd w:val="clear" w:color="auto" w:fill="E5DFEC"/>
        <w:spacing w:after="0"/>
        <w:rPr>
          <w:rFonts w:eastAsia="Times New Roman"/>
          <w:szCs w:val="20"/>
        </w:rPr>
      </w:pPr>
      <w:r w:rsidRPr="00C46018">
        <w:rPr>
          <w:rFonts w:eastAsia="Times New Roman"/>
          <w:b/>
          <w:color w:val="00B050"/>
          <w:szCs w:val="20"/>
        </w:rPr>
        <w:t>Operační program s nízkým rizikem</w:t>
      </w:r>
      <w:r w:rsidRPr="00C46018">
        <w:rPr>
          <w:rFonts w:eastAsia="Times New Roman"/>
          <w:szCs w:val="20"/>
        </w:rPr>
        <w:t xml:space="preserve"> </w:t>
      </w:r>
      <w:r w:rsidRPr="00C46018">
        <w:rPr>
          <w:rFonts w:eastAsia="Times New Roman"/>
          <w:szCs w:val="20"/>
        </w:rPr>
        <w:tab/>
      </w:r>
      <w:r w:rsidRPr="00C46018">
        <w:rPr>
          <w:rFonts w:eastAsia="Times New Roman"/>
          <w:szCs w:val="20"/>
        </w:rPr>
        <w:tab/>
      </w:r>
    </w:p>
    <w:p w:rsidR="00C46018" w:rsidRPr="00C46018" w:rsidRDefault="00C46018" w:rsidP="00C46018">
      <w:pPr>
        <w:spacing w:after="0"/>
        <w:rPr>
          <w:rFonts w:eastAsia="Times New Roman"/>
          <w:szCs w:val="20"/>
        </w:rPr>
      </w:pPr>
    </w:p>
    <w:p w:rsidR="00C46018" w:rsidRPr="00C46018" w:rsidRDefault="00C46018" w:rsidP="00C46018">
      <w:pPr>
        <w:spacing w:after="0"/>
        <w:rPr>
          <w:rFonts w:eastAsia="Times New Roman"/>
          <w:b/>
          <w:caps/>
          <w:szCs w:val="20"/>
        </w:rPr>
      </w:pPr>
      <w:r w:rsidRPr="00C46018">
        <w:rPr>
          <w:rFonts w:eastAsia="Times New Roman"/>
          <w:b/>
          <w:caps/>
          <w:szCs w:val="20"/>
        </w:rPr>
        <w:t>plány opatření pro vysoce a středně rizikové programy</w:t>
      </w:r>
    </w:p>
    <w:p w:rsidR="00C46018" w:rsidRPr="00C46018" w:rsidRDefault="00C46018" w:rsidP="00C46018">
      <w:pPr>
        <w:spacing w:after="0"/>
        <w:rPr>
          <w:rFonts w:eastAsia="Times New Roman"/>
          <w:szCs w:val="20"/>
        </w:rPr>
      </w:pPr>
      <w:r w:rsidRPr="00C46018">
        <w:rPr>
          <w:rFonts w:eastAsia="Times New Roman"/>
          <w:szCs w:val="20"/>
        </w:rPr>
        <w:t xml:space="preserve">Pro vysoce a středně rizikové programy se připravují roční plány opatření, které schvaluje vláda ČR. Cílem těchto plánů je nastavit a realizovat vhodná opatření pro nejvýznamnější </w:t>
      </w:r>
      <w:r>
        <w:rPr>
          <w:rFonts w:eastAsia="Times New Roman"/>
          <w:szCs w:val="20"/>
        </w:rPr>
        <w:t>rizika, včetně určení gestorů a </w:t>
      </w:r>
      <w:r w:rsidRPr="00C46018">
        <w:rPr>
          <w:rFonts w:eastAsia="Times New Roman"/>
          <w:szCs w:val="20"/>
        </w:rPr>
        <w:t>termínů plnění. Plnění opatření je následně pravidelně sledováno, nejen z úrovně řídicího orgánu, ale také MMR-NOK a v půlročním intervalu vyhodnocováno.</w:t>
      </w:r>
    </w:p>
    <w:p w:rsidR="00C46018" w:rsidRPr="00AD28F1" w:rsidRDefault="00C46018" w:rsidP="009C221F"/>
    <w:sectPr w:rsidR="00C46018" w:rsidRPr="00AD28F1" w:rsidSect="00D9419E">
      <w:footerReference w:type="default" r:id="rId12"/>
      <w:headerReference w:type="first" r:id="rId13"/>
      <w:pgSz w:w="11906" w:h="16838"/>
      <w:pgMar w:top="1247" w:right="1049" w:bottom="1247" w:left="1049" w:header="709" w:footer="7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D70" w:rsidRDefault="00962D70" w:rsidP="001140BC">
      <w:r>
        <w:separator/>
      </w:r>
    </w:p>
  </w:endnote>
  <w:endnote w:type="continuationSeparator" w:id="0">
    <w:p w:rsidR="00962D70" w:rsidRDefault="00962D70" w:rsidP="00114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57418"/>
      <w:docPartObj>
        <w:docPartGallery w:val="Page Numbers (Bottom of Page)"/>
        <w:docPartUnique/>
      </w:docPartObj>
    </w:sdtPr>
    <w:sdtContent>
      <w:p w:rsidR="00E834AA" w:rsidRPr="00B01AB4" w:rsidRDefault="00C215FB" w:rsidP="00D9419E">
        <w:pPr>
          <w:pStyle w:val="Zpat"/>
          <w:jc w:val="center"/>
        </w:pPr>
        <w:r w:rsidRPr="00B01AB4">
          <w:fldChar w:fldCharType="begin"/>
        </w:r>
        <w:r w:rsidR="00E834AA" w:rsidRPr="00B01AB4">
          <w:instrText>PAGE   \* MERGEFORMAT</w:instrText>
        </w:r>
        <w:r w:rsidRPr="00B01AB4">
          <w:fldChar w:fldCharType="separate"/>
        </w:r>
        <w:r w:rsidR="00715425">
          <w:rPr>
            <w:noProof/>
          </w:rPr>
          <w:t>2</w:t>
        </w:r>
        <w:r w:rsidRPr="00B01AB4">
          <w:fldChar w:fldCharType="end"/>
        </w:r>
      </w:p>
    </w:sdtContent>
  </w:sdt>
  <w:p w:rsidR="00E834AA" w:rsidRDefault="00E834AA" w:rsidP="001140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D70" w:rsidRDefault="00962D70" w:rsidP="001140BC">
      <w:r>
        <w:separator/>
      </w:r>
    </w:p>
  </w:footnote>
  <w:footnote w:type="continuationSeparator" w:id="0">
    <w:p w:rsidR="00962D70" w:rsidRDefault="00962D70" w:rsidP="001140BC">
      <w:r>
        <w:continuationSeparator/>
      </w:r>
    </w:p>
  </w:footnote>
  <w:footnote w:id="1">
    <w:p w:rsidR="001733FD" w:rsidRPr="00E61D9D" w:rsidRDefault="001733FD" w:rsidP="00D5750E">
      <w:pPr>
        <w:pStyle w:val="Textpoznpodarou"/>
        <w:ind w:left="238" w:hanging="238"/>
        <w:rPr>
          <w:sz w:val="18"/>
          <w:szCs w:val="18"/>
        </w:rPr>
      </w:pPr>
      <w:r w:rsidRPr="00E61D9D">
        <w:rPr>
          <w:rStyle w:val="Znakapoznpodarou"/>
          <w:rFonts w:ascii="Arial" w:hAnsi="Arial" w:cs="Arial"/>
          <w:sz w:val="18"/>
          <w:szCs w:val="18"/>
        </w:rPr>
        <w:footnoteRef/>
      </w:r>
      <w:r w:rsidRPr="00E61D9D">
        <w:rPr>
          <w:sz w:val="18"/>
          <w:szCs w:val="18"/>
        </w:rPr>
        <w:t xml:space="preserve">  Příspěvek EU již byl přepočten podle nové míry kofinancování uvedené ve 2. modifikaci PRV 2014</w:t>
      </w:r>
      <w:r w:rsidR="00E61D9D">
        <w:rPr>
          <w:sz w:val="18"/>
          <w:szCs w:val="18"/>
        </w:rPr>
        <w:t>–</w:t>
      </w:r>
      <w:r w:rsidRPr="00E61D9D">
        <w:rPr>
          <w:sz w:val="18"/>
          <w:szCs w:val="18"/>
        </w:rPr>
        <w:t>2020 aktuálně projednávané s EK.</w:t>
      </w:r>
    </w:p>
  </w:footnote>
  <w:footnote w:id="2">
    <w:p w:rsidR="00C46018" w:rsidRPr="00C46018" w:rsidRDefault="00C46018" w:rsidP="00C46018">
      <w:pPr>
        <w:pStyle w:val="Textpoznpodarou"/>
        <w:ind w:left="284" w:hanging="284"/>
        <w:rPr>
          <w:rStyle w:val="Znakapoznpodarou"/>
          <w:rFonts w:ascii="Arial" w:hAnsi="Arial" w:cs="Arial"/>
          <w:sz w:val="18"/>
          <w:szCs w:val="18"/>
        </w:rPr>
      </w:pPr>
      <w:r w:rsidRPr="00C46018">
        <w:rPr>
          <w:rStyle w:val="Znakapoznpodarou"/>
          <w:rFonts w:ascii="Arial" w:hAnsi="Arial" w:cs="Arial"/>
          <w:sz w:val="18"/>
          <w:szCs w:val="18"/>
        </w:rPr>
        <w:footnoteRef/>
      </w:r>
      <w:r w:rsidRPr="00C46018">
        <w:rPr>
          <w:rStyle w:val="Znakapoznpodarou"/>
          <w:rFonts w:ascii="Arial" w:hAnsi="Arial" w:cs="Arial"/>
          <w:sz w:val="18"/>
          <w:szCs w:val="18"/>
        </w:rPr>
        <w:t xml:space="preserve"> </w:t>
      </w:r>
      <w:r w:rsidRPr="00C46018">
        <w:rPr>
          <w:rStyle w:val="Znakapoznpodarou"/>
          <w:rFonts w:ascii="Arial" w:hAnsi="Arial" w:cs="Arial"/>
          <w:sz w:val="18"/>
          <w:szCs w:val="18"/>
        </w:rPr>
        <w:tab/>
      </w:r>
      <w:r w:rsidRPr="00C46018">
        <w:rPr>
          <w:rStyle w:val="Znakapoznpodarou"/>
          <w:rFonts w:ascii="Arial" w:hAnsi="Arial" w:cs="Arial"/>
          <w:sz w:val="18"/>
          <w:szCs w:val="18"/>
          <w:vertAlign w:val="baseline"/>
        </w:rPr>
        <w:t xml:space="preserve">V případě problematiky čerpání ESI fondů dochází k hodnocení rizik na úrovni předem definovaných alternativ (tj. programů). Pro přehledný úvod viz https://en.wikipedia.org/wiki/Multiple-criteria_decision_analysis. Obšírněji se různými variacemi, problematikou jednotlivých kroků a navrhovanými řešeními zabývají </w:t>
      </w:r>
      <w:proofErr w:type="spellStart"/>
      <w:r w:rsidRPr="00C46018">
        <w:rPr>
          <w:rStyle w:val="Znakapoznpodarou"/>
          <w:rFonts w:ascii="Arial" w:hAnsi="Arial" w:cs="Arial"/>
          <w:sz w:val="18"/>
          <w:szCs w:val="18"/>
          <w:vertAlign w:val="baseline"/>
        </w:rPr>
        <w:t>Dodgson</w:t>
      </w:r>
      <w:proofErr w:type="spellEnd"/>
      <w:r w:rsidRPr="00C46018">
        <w:rPr>
          <w:rStyle w:val="Znakapoznpodarou"/>
          <w:rFonts w:ascii="Arial" w:hAnsi="Arial" w:cs="Arial"/>
          <w:sz w:val="18"/>
          <w:szCs w:val="18"/>
          <w:vertAlign w:val="baseline"/>
        </w:rPr>
        <w:t xml:space="preserve"> </w:t>
      </w:r>
      <w:proofErr w:type="spellStart"/>
      <w:r w:rsidRPr="00C46018">
        <w:rPr>
          <w:rStyle w:val="Znakapoznpodarou"/>
          <w:rFonts w:ascii="Arial" w:hAnsi="Arial" w:cs="Arial"/>
          <w:sz w:val="18"/>
          <w:szCs w:val="18"/>
          <w:vertAlign w:val="baseline"/>
        </w:rPr>
        <w:t>et</w:t>
      </w:r>
      <w:proofErr w:type="spellEnd"/>
      <w:r w:rsidRPr="00C46018">
        <w:rPr>
          <w:rStyle w:val="Znakapoznpodarou"/>
          <w:rFonts w:ascii="Arial" w:hAnsi="Arial" w:cs="Arial"/>
          <w:sz w:val="18"/>
          <w:szCs w:val="18"/>
          <w:vertAlign w:val="baseline"/>
        </w:rPr>
        <w:t xml:space="preserve"> </w:t>
      </w:r>
      <w:proofErr w:type="spellStart"/>
      <w:r w:rsidRPr="00C46018">
        <w:rPr>
          <w:rStyle w:val="Znakapoznpodarou"/>
          <w:rFonts w:ascii="Arial" w:hAnsi="Arial" w:cs="Arial"/>
          <w:sz w:val="18"/>
          <w:szCs w:val="18"/>
          <w:vertAlign w:val="baseline"/>
        </w:rPr>
        <w:t>al</w:t>
      </w:r>
      <w:proofErr w:type="spellEnd"/>
      <w:r w:rsidRPr="00C46018">
        <w:rPr>
          <w:rStyle w:val="Znakapoznpodarou"/>
          <w:rFonts w:ascii="Arial" w:hAnsi="Arial" w:cs="Arial"/>
          <w:sz w:val="18"/>
          <w:szCs w:val="18"/>
          <w:vertAlign w:val="baseline"/>
        </w:rPr>
        <w:t>. (2009), kde lze nalézt i případové studie z veřejné politiky (viz http://eprints.lse.ac.uk/12761/1/Multi-criteria_Analysis.pdf).</w:t>
      </w:r>
    </w:p>
  </w:footnote>
  <w:footnote w:id="3">
    <w:p w:rsidR="00C46018" w:rsidRPr="00C46018" w:rsidRDefault="00C46018" w:rsidP="00C46018">
      <w:pPr>
        <w:pStyle w:val="Textpoznpodarou"/>
        <w:ind w:left="284" w:hanging="284"/>
        <w:rPr>
          <w:rStyle w:val="Znakapoznpodarou"/>
          <w:rFonts w:ascii="Arial" w:hAnsi="Arial" w:cs="Arial"/>
          <w:sz w:val="18"/>
          <w:szCs w:val="18"/>
        </w:rPr>
      </w:pPr>
      <w:r w:rsidRPr="00C46018">
        <w:rPr>
          <w:rStyle w:val="Znakapoznpodarou"/>
          <w:rFonts w:ascii="Arial" w:hAnsi="Arial" w:cs="Arial"/>
          <w:sz w:val="18"/>
          <w:szCs w:val="18"/>
        </w:rPr>
        <w:footnoteRef/>
      </w:r>
      <w:r w:rsidRPr="00C46018">
        <w:rPr>
          <w:rStyle w:val="Znakapoznpodarou"/>
          <w:rFonts w:ascii="Arial" w:hAnsi="Arial" w:cs="Arial"/>
          <w:sz w:val="18"/>
          <w:szCs w:val="18"/>
        </w:rPr>
        <w:t xml:space="preserve"> </w:t>
      </w:r>
      <w:r w:rsidRPr="00C46018">
        <w:rPr>
          <w:rStyle w:val="Znakapoznpodarou"/>
          <w:rFonts w:ascii="Arial" w:hAnsi="Arial" w:cs="Arial"/>
          <w:sz w:val="18"/>
          <w:szCs w:val="18"/>
        </w:rPr>
        <w:tab/>
      </w:r>
      <w:r w:rsidRPr="00C46018">
        <w:rPr>
          <w:rStyle w:val="Znakapoznpodarou"/>
          <w:rFonts w:ascii="Arial" w:hAnsi="Arial" w:cs="Arial"/>
          <w:sz w:val="18"/>
          <w:szCs w:val="18"/>
          <w:vertAlign w:val="baseline"/>
        </w:rPr>
        <w:t>Každá existující dvojice rizik je navzájem porovnána a obodována. Na základě těchto</w:t>
      </w:r>
      <w:r>
        <w:rPr>
          <w:rStyle w:val="Znakapoznpodarou"/>
          <w:rFonts w:ascii="Arial" w:hAnsi="Arial" w:cs="Arial"/>
          <w:sz w:val="18"/>
          <w:szCs w:val="18"/>
          <w:vertAlign w:val="baseline"/>
        </w:rPr>
        <w:t xml:space="preserve"> hodnot je pomocí matematického </w:t>
      </w:r>
      <w:r w:rsidRPr="00C46018">
        <w:rPr>
          <w:rStyle w:val="Znakapoznpodarou"/>
          <w:rFonts w:ascii="Arial" w:hAnsi="Arial" w:cs="Arial"/>
          <w:sz w:val="18"/>
          <w:szCs w:val="18"/>
          <w:vertAlign w:val="baseline"/>
        </w:rPr>
        <w:t>aparátu (</w:t>
      </w:r>
      <w:proofErr w:type="spellStart"/>
      <w:r w:rsidRPr="00C46018">
        <w:rPr>
          <w:rStyle w:val="Znakapoznpodarou"/>
          <w:rFonts w:ascii="Arial" w:hAnsi="Arial" w:cs="Arial"/>
          <w:sz w:val="18"/>
          <w:szCs w:val="18"/>
          <w:vertAlign w:val="baseline"/>
        </w:rPr>
        <w:t>Saatyho</w:t>
      </w:r>
      <w:proofErr w:type="spellEnd"/>
      <w:r w:rsidRPr="00C46018">
        <w:rPr>
          <w:rStyle w:val="Znakapoznpodarou"/>
          <w:rFonts w:ascii="Arial" w:hAnsi="Arial" w:cs="Arial"/>
          <w:sz w:val="18"/>
          <w:szCs w:val="18"/>
          <w:vertAlign w:val="baseline"/>
        </w:rPr>
        <w:t xml:space="preserve"> metoda) stanovena váha pro každé kritérium v %. Součet vah </w:t>
      </w:r>
      <w:r>
        <w:rPr>
          <w:rStyle w:val="Znakapoznpodarou"/>
          <w:rFonts w:ascii="Arial" w:hAnsi="Arial" w:cs="Arial"/>
          <w:sz w:val="18"/>
          <w:szCs w:val="18"/>
          <w:vertAlign w:val="baseline"/>
        </w:rPr>
        <w:br/>
      </w:r>
      <w:r w:rsidRPr="00C46018">
        <w:rPr>
          <w:rStyle w:val="Znakapoznpodarou"/>
          <w:rFonts w:ascii="Arial" w:hAnsi="Arial" w:cs="Arial"/>
          <w:sz w:val="18"/>
          <w:szCs w:val="18"/>
          <w:vertAlign w:val="baseline"/>
        </w:rPr>
        <w:t>všech</w:t>
      </w:r>
      <w:r>
        <w:rPr>
          <w:rStyle w:val="Znakapoznpodarou"/>
          <w:rFonts w:ascii="Arial" w:hAnsi="Arial" w:cs="Arial"/>
          <w:sz w:val="18"/>
          <w:szCs w:val="18"/>
          <w:vertAlign w:val="baseline"/>
        </w:rPr>
        <w:t xml:space="preserve"> rizik pro</w:t>
      </w:r>
      <w:r>
        <w:rPr>
          <w:sz w:val="18"/>
          <w:szCs w:val="18"/>
        </w:rPr>
        <w:t xml:space="preserve"> </w:t>
      </w:r>
      <w:r>
        <w:rPr>
          <w:rStyle w:val="Znakapoznpodarou"/>
          <w:rFonts w:ascii="Arial" w:hAnsi="Arial" w:cs="Arial"/>
          <w:sz w:val="18"/>
          <w:szCs w:val="18"/>
          <w:vertAlign w:val="baseline"/>
        </w:rPr>
        <w:t>každý</w:t>
      </w:r>
      <w:r>
        <w:rPr>
          <w:sz w:val="18"/>
          <w:szCs w:val="18"/>
        </w:rPr>
        <w:t xml:space="preserve"> </w:t>
      </w:r>
      <w:r>
        <w:rPr>
          <w:rStyle w:val="Znakapoznpodarou"/>
          <w:rFonts w:ascii="Arial" w:hAnsi="Arial" w:cs="Arial"/>
          <w:sz w:val="18"/>
          <w:szCs w:val="18"/>
          <w:vertAlign w:val="baseline"/>
        </w:rPr>
        <w:t>program je 100 </w:t>
      </w:r>
      <w:r w:rsidRPr="00C46018">
        <w:rPr>
          <w:rStyle w:val="Znakapoznpodarou"/>
          <w:rFonts w:ascii="Arial" w:hAnsi="Arial" w:cs="Arial"/>
          <w:sz w:val="18"/>
          <w:szCs w:val="18"/>
          <w:vertAlign w:val="baseline"/>
        </w:rPr>
        <w:t xml:space="preserve">%. Úvod do procesu hierarchizace a </w:t>
      </w:r>
      <w:proofErr w:type="spellStart"/>
      <w:r w:rsidRPr="00C46018">
        <w:rPr>
          <w:rStyle w:val="Znakapoznpodarou"/>
          <w:rFonts w:ascii="Arial" w:hAnsi="Arial" w:cs="Arial"/>
          <w:sz w:val="18"/>
          <w:szCs w:val="18"/>
          <w:vertAlign w:val="baseline"/>
        </w:rPr>
        <w:t>Saatyha</w:t>
      </w:r>
      <w:proofErr w:type="spellEnd"/>
      <w:r w:rsidRPr="00C46018">
        <w:rPr>
          <w:rStyle w:val="Znakapoznpodarou"/>
          <w:rFonts w:ascii="Arial" w:hAnsi="Arial" w:cs="Arial"/>
          <w:sz w:val="18"/>
          <w:szCs w:val="18"/>
          <w:vertAlign w:val="baseline"/>
        </w:rPr>
        <w:t xml:space="preserve"> metoda viz např. https://en.wikipedia.org/wiki/Analytic_hierarchy_process.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AA" w:rsidRPr="005E383A" w:rsidRDefault="00E834AA" w:rsidP="00520612">
    <w:pPr>
      <w:pStyle w:val="Zhlav"/>
      <w:rPr>
        <w:b/>
        <w:i/>
        <w:sz w:val="22"/>
      </w:rPr>
    </w:pPr>
  </w:p>
  <w:p w:rsidR="00E834AA" w:rsidRDefault="00E834A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33D"/>
      </v:shape>
    </w:pict>
  </w:numPicBullet>
  <w:abstractNum w:abstractNumId="0">
    <w:nsid w:val="086F2C59"/>
    <w:multiLevelType w:val="hybridMultilevel"/>
    <w:tmpl w:val="242643AA"/>
    <w:lvl w:ilvl="0" w:tplc="B5D0A0A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03055F"/>
    <w:multiLevelType w:val="hybridMultilevel"/>
    <w:tmpl w:val="C42A0F58"/>
    <w:lvl w:ilvl="0" w:tplc="5ED457DA">
      <w:numFmt w:val="bullet"/>
      <w:lvlText w:val="-"/>
      <w:lvlJc w:val="left"/>
      <w:pPr>
        <w:ind w:left="7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4C60CC"/>
    <w:multiLevelType w:val="hybridMultilevel"/>
    <w:tmpl w:val="FA760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3A2884"/>
    <w:multiLevelType w:val="hybridMultilevel"/>
    <w:tmpl w:val="361A0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9312D7"/>
    <w:multiLevelType w:val="hybridMultilevel"/>
    <w:tmpl w:val="E974CC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F165D9"/>
    <w:multiLevelType w:val="hybridMultilevel"/>
    <w:tmpl w:val="FC32BA1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6">
    <w:nsid w:val="2AB050B8"/>
    <w:multiLevelType w:val="hybridMultilevel"/>
    <w:tmpl w:val="D25C99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CFC0567"/>
    <w:multiLevelType w:val="hybridMultilevel"/>
    <w:tmpl w:val="E54E633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30212823"/>
    <w:multiLevelType w:val="hybridMultilevel"/>
    <w:tmpl w:val="F96063EA"/>
    <w:lvl w:ilvl="0" w:tplc="9F227BA0">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276DAF"/>
    <w:multiLevelType w:val="hybridMultilevel"/>
    <w:tmpl w:val="775C8DA6"/>
    <w:lvl w:ilvl="0" w:tplc="8F22783C">
      <w:start w:val="1"/>
      <w:numFmt w:val="bullet"/>
      <w:pStyle w:val="Stylproodstaveckvzv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A11A59"/>
    <w:multiLevelType w:val="multilevel"/>
    <w:tmpl w:val="A78084EA"/>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4F4D59"/>
    <w:multiLevelType w:val="hybridMultilevel"/>
    <w:tmpl w:val="2778A2E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AF759DF"/>
    <w:multiLevelType w:val="hybridMultilevel"/>
    <w:tmpl w:val="F2621D62"/>
    <w:lvl w:ilvl="0" w:tplc="D9762B1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B06080E"/>
    <w:multiLevelType w:val="hybridMultilevel"/>
    <w:tmpl w:val="19485A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D9762B10">
      <w:numFmt w:val="bullet"/>
      <w:lvlText w:val="-"/>
      <w:lvlJc w:val="left"/>
      <w:pPr>
        <w:ind w:left="2160" w:hanging="360"/>
      </w:pPr>
      <w:rPr>
        <w:rFonts w:ascii="Arial" w:eastAsia="Times New Roman" w:hAnsi="Arial" w:cs="Arial" w:hint="default"/>
        <w:b/>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154310"/>
    <w:multiLevelType w:val="hybridMultilevel"/>
    <w:tmpl w:val="1A1633EE"/>
    <w:lvl w:ilvl="0" w:tplc="C69C01F2">
      <w:numFmt w:val="bullet"/>
      <w:lvlText w:val="-"/>
      <w:lvlJc w:val="left"/>
      <w:pPr>
        <w:ind w:left="720" w:hanging="360"/>
      </w:pPr>
      <w:rPr>
        <w:rFonts w:ascii="Arial" w:eastAsia="Times New Roman" w:hAnsi="Arial" w:cs="Arial" w:hint="default"/>
        <w:b w:val="0"/>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127CE9"/>
    <w:multiLevelType w:val="hybridMultilevel"/>
    <w:tmpl w:val="717888D0"/>
    <w:lvl w:ilvl="0" w:tplc="DCCAD4F6">
      <w:start w:val="1"/>
      <w:numFmt w:val="bullet"/>
      <w:lvlText w:val="-"/>
      <w:lvlJc w:val="left"/>
      <w:pPr>
        <w:ind w:left="1080" w:hanging="360"/>
      </w:pPr>
      <w:rPr>
        <w:rFonts w:ascii="Arial" w:eastAsiaTheme="minorHAnsi" w:hAnsi="Arial" w:cs="Arial" w:hint="default"/>
        <w:b w:val="0"/>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4536643E"/>
    <w:multiLevelType w:val="hybridMultilevel"/>
    <w:tmpl w:val="B874A826"/>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7">
    <w:nsid w:val="490D3725"/>
    <w:multiLevelType w:val="hybridMultilevel"/>
    <w:tmpl w:val="F2F8BD7E"/>
    <w:lvl w:ilvl="0" w:tplc="E1D672C8">
      <w:numFmt w:val="bullet"/>
      <w:lvlText w:val="–"/>
      <w:lvlJc w:val="left"/>
      <w:pPr>
        <w:ind w:left="405" w:hanging="360"/>
      </w:pPr>
      <w:rPr>
        <w:rFonts w:ascii="Calibri" w:eastAsiaTheme="minorHAnsi" w:hAnsi="Calibri" w:cstheme="minorBid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8">
    <w:nsid w:val="4D2C5BD3"/>
    <w:multiLevelType w:val="hybridMultilevel"/>
    <w:tmpl w:val="551CA78A"/>
    <w:lvl w:ilvl="0" w:tplc="85324F78">
      <w:start w:val="1"/>
      <w:numFmt w:val="decimal"/>
      <w:lvlText w:val="%1."/>
      <w:lvlJc w:val="left"/>
      <w:pPr>
        <w:ind w:left="720" w:hanging="360"/>
      </w:pPr>
      <w:rPr>
        <w:rFonts w:hint="default"/>
        <w:b/>
        <w:sz w:val="22"/>
        <w:szCs w:val="22"/>
      </w:rPr>
    </w:lvl>
    <w:lvl w:ilvl="1" w:tplc="08DA0DC4">
      <w:start w:val="1"/>
      <w:numFmt w:val="lowerLetter"/>
      <w:lvlText w:val="%2."/>
      <w:lvlJc w:val="left"/>
      <w:pPr>
        <w:ind w:left="1440" w:hanging="360"/>
      </w:pPr>
      <w:rPr>
        <w:b w:val="0"/>
        <w:i w:val="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757924"/>
    <w:multiLevelType w:val="hybridMultilevel"/>
    <w:tmpl w:val="1A48A8B4"/>
    <w:lvl w:ilvl="0" w:tplc="D83C27B2">
      <w:numFmt w:val="bullet"/>
      <w:lvlText w:val="-"/>
      <w:lvlJc w:val="left"/>
      <w:pPr>
        <w:ind w:left="720" w:hanging="360"/>
      </w:pPr>
      <w:rPr>
        <w:rFonts w:ascii="Arial" w:eastAsiaTheme="minorHAnsi"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F53EE4"/>
    <w:multiLevelType w:val="hybridMultilevel"/>
    <w:tmpl w:val="075CD86E"/>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5102129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4690E13"/>
    <w:multiLevelType w:val="hybridMultilevel"/>
    <w:tmpl w:val="D34A5000"/>
    <w:lvl w:ilvl="0" w:tplc="8DE4D5E8">
      <w:start w:val="1"/>
      <w:numFmt w:val="decimal"/>
      <w:lvlText w:val="%1-"/>
      <w:lvlJc w:val="left"/>
      <w:pPr>
        <w:ind w:left="720" w:hanging="360"/>
      </w:pPr>
      <w:rPr>
        <w:rFonts w:hint="default"/>
        <w:sz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025385"/>
    <w:multiLevelType w:val="hybridMultilevel"/>
    <w:tmpl w:val="435CA844"/>
    <w:lvl w:ilvl="0" w:tplc="A896F02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E3B3CC2"/>
    <w:multiLevelType w:val="hybridMultilevel"/>
    <w:tmpl w:val="67BC27AC"/>
    <w:lvl w:ilvl="0" w:tplc="45F055A0">
      <w:start w:val="1"/>
      <w:numFmt w:val="bullet"/>
      <w:lvlText w:val=""/>
      <w:lvlJc w:val="left"/>
      <w:pPr>
        <w:ind w:left="720" w:hanging="360"/>
      </w:pPr>
      <w:rPr>
        <w:rFonts w:ascii="Symbol" w:hAnsi="Symbol" w:hint="default"/>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7758BB"/>
    <w:multiLevelType w:val="hybridMultilevel"/>
    <w:tmpl w:val="5650A22E"/>
    <w:lvl w:ilvl="0" w:tplc="31C81FF2">
      <w:start w:val="1"/>
      <w:numFmt w:val="bullet"/>
      <w:lvlText w:val=""/>
      <w:lvlJc w:val="left"/>
      <w:pPr>
        <w:ind w:left="1146" w:hanging="360"/>
      </w:pPr>
      <w:rPr>
        <w:rFonts w:ascii="Symbol" w:hAnsi="Symbol" w:hint="default"/>
        <w:sz w:val="2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5F616106"/>
    <w:multiLevelType w:val="hybridMultilevel"/>
    <w:tmpl w:val="94B2F928"/>
    <w:lvl w:ilvl="0" w:tplc="04050001">
      <w:start w:val="1"/>
      <w:numFmt w:val="bullet"/>
      <w:lvlText w:val=""/>
      <w:lvlJc w:val="left"/>
      <w:pPr>
        <w:ind w:left="720" w:hanging="360"/>
      </w:pPr>
      <w:rPr>
        <w:rFonts w:ascii="Symbol" w:hAnsi="Symbol" w:hint="default"/>
      </w:rPr>
    </w:lvl>
    <w:lvl w:ilvl="1" w:tplc="0F765FAE">
      <w:start w:val="1"/>
      <w:numFmt w:val="bullet"/>
      <w:lvlText w:val="o"/>
      <w:lvlJc w:val="left"/>
      <w:pPr>
        <w:ind w:left="2062" w:hanging="360"/>
      </w:pPr>
      <w:rPr>
        <w:rFonts w:ascii="Courier New" w:hAnsi="Courier New" w:cs="Courier New" w:hint="default"/>
        <w:sz w:val="20"/>
        <w:szCs w:val="20"/>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34529DD"/>
    <w:multiLevelType w:val="multilevel"/>
    <w:tmpl w:val="EDC68E86"/>
    <w:lvl w:ilvl="0">
      <w:start w:val="1"/>
      <w:numFmt w:val="decimal"/>
      <w:lvlText w:val="%1."/>
      <w:lvlJc w:val="left"/>
      <w:pPr>
        <w:ind w:left="8085" w:hanging="360"/>
      </w:pPr>
    </w:lvl>
    <w:lvl w:ilvl="1">
      <w:start w:val="1"/>
      <w:numFmt w:val="decimal"/>
      <w:lvlText w:val="%1.%2."/>
      <w:lvlJc w:val="left"/>
      <w:pPr>
        <w:ind w:left="383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5B7631"/>
    <w:multiLevelType w:val="hybridMultilevel"/>
    <w:tmpl w:val="2FD67FDC"/>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9">
    <w:nsid w:val="65E25DF2"/>
    <w:multiLevelType w:val="hybridMultilevel"/>
    <w:tmpl w:val="CCC65AAA"/>
    <w:lvl w:ilvl="0" w:tplc="9F227BA0">
      <w:start w:val="1"/>
      <w:numFmt w:val="bullet"/>
      <w:lvlText w:val=""/>
      <w:lvlJc w:val="left"/>
      <w:pPr>
        <w:ind w:left="720" w:hanging="360"/>
      </w:pPr>
      <w:rPr>
        <w:rFonts w:ascii="Symbol" w:hAnsi="Symbol" w:hint="default"/>
        <w:b w:val="0"/>
        <w:color w:val="000000"/>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24222E"/>
    <w:multiLevelType w:val="hybridMultilevel"/>
    <w:tmpl w:val="F16E89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1D56CF"/>
    <w:multiLevelType w:val="hybridMultilevel"/>
    <w:tmpl w:val="F9747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A050629"/>
    <w:multiLevelType w:val="hybridMultilevel"/>
    <w:tmpl w:val="671E66BA"/>
    <w:lvl w:ilvl="0" w:tplc="9AEA9CC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3">
    <w:nsid w:val="6DE953D0"/>
    <w:multiLevelType w:val="hybridMultilevel"/>
    <w:tmpl w:val="DD360EFA"/>
    <w:lvl w:ilvl="0" w:tplc="A9F6AE5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1B7516C"/>
    <w:multiLevelType w:val="hybridMultilevel"/>
    <w:tmpl w:val="D960D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6671D3D"/>
    <w:multiLevelType w:val="hybridMultilevel"/>
    <w:tmpl w:val="2E78170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7AD05592"/>
    <w:multiLevelType w:val="hybridMultilevel"/>
    <w:tmpl w:val="45EAA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F3A2ACB"/>
    <w:multiLevelType w:val="hybridMultilevel"/>
    <w:tmpl w:val="C734C6F0"/>
    <w:lvl w:ilvl="0" w:tplc="8DE4D5E8">
      <w:start w:val="1"/>
      <w:numFmt w:val="decimal"/>
      <w:lvlText w:val="%1-"/>
      <w:lvlJc w:val="left"/>
      <w:pPr>
        <w:ind w:left="862" w:hanging="360"/>
      </w:pPr>
      <w:rPr>
        <w:rFonts w:hint="default"/>
        <w:sz w:val="16"/>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num w:numId="1">
    <w:abstractNumId w:val="27"/>
  </w:num>
  <w:num w:numId="2">
    <w:abstractNumId w:val="13"/>
  </w:num>
  <w:num w:numId="3">
    <w:abstractNumId w:val="12"/>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9"/>
  </w:num>
  <w:num w:numId="7">
    <w:abstractNumId w:val="33"/>
  </w:num>
  <w:num w:numId="8">
    <w:abstractNumId w:val="14"/>
  </w:num>
  <w:num w:numId="9">
    <w:abstractNumId w:val="1"/>
  </w:num>
  <w:num w:numId="10">
    <w:abstractNumId w:val="15"/>
  </w:num>
  <w:num w:numId="11">
    <w:abstractNumId w:val="17"/>
  </w:num>
  <w:num w:numId="12">
    <w:abstractNumId w:val="35"/>
  </w:num>
  <w:num w:numId="13">
    <w:abstractNumId w:val="34"/>
  </w:num>
  <w:num w:numId="14">
    <w:abstractNumId w:val="3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0"/>
  </w:num>
  <w:num w:numId="19">
    <w:abstractNumId w:val="2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4"/>
  </w:num>
  <w:num w:numId="24">
    <w:abstractNumId w:val="11"/>
  </w:num>
  <w:num w:numId="25">
    <w:abstractNumId w:val="7"/>
  </w:num>
  <w:num w:numId="26">
    <w:abstractNumId w:val="26"/>
  </w:num>
  <w:num w:numId="27">
    <w:abstractNumId w:val="20"/>
  </w:num>
  <w:num w:numId="28">
    <w:abstractNumId w:val="22"/>
  </w:num>
  <w:num w:numId="29">
    <w:abstractNumId w:val="28"/>
  </w:num>
  <w:num w:numId="30">
    <w:abstractNumId w:val="16"/>
  </w:num>
  <w:num w:numId="31">
    <w:abstractNumId w:val="37"/>
  </w:num>
  <w:num w:numId="32">
    <w:abstractNumId w:val="31"/>
  </w:num>
  <w:num w:numId="33">
    <w:abstractNumId w:val="21"/>
  </w:num>
  <w:num w:numId="34">
    <w:abstractNumId w:val="10"/>
  </w:num>
  <w:num w:numId="35">
    <w:abstractNumId w:val="24"/>
  </w:num>
  <w:num w:numId="36">
    <w:abstractNumId w:val="25"/>
  </w:num>
  <w:num w:numId="37">
    <w:abstractNumId w:val="29"/>
  </w:num>
  <w:num w:numId="38">
    <w:abstractNumId w:val="8"/>
  </w:num>
  <w:num w:numId="39">
    <w:abstractNumId w:val="9"/>
  </w:num>
  <w:num w:numId="40">
    <w:abstractNumId w:val="36"/>
  </w:num>
  <w:num w:numId="41">
    <w:abstractNumId w:val="5"/>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8F4885"/>
    <w:rsid w:val="00000266"/>
    <w:rsid w:val="000033CE"/>
    <w:rsid w:val="00006216"/>
    <w:rsid w:val="00010B53"/>
    <w:rsid w:val="000151DE"/>
    <w:rsid w:val="00015AFA"/>
    <w:rsid w:val="00016B68"/>
    <w:rsid w:val="00020DB2"/>
    <w:rsid w:val="00023352"/>
    <w:rsid w:val="00023DED"/>
    <w:rsid w:val="00024D91"/>
    <w:rsid w:val="000316A9"/>
    <w:rsid w:val="000319B6"/>
    <w:rsid w:val="000341DD"/>
    <w:rsid w:val="00035083"/>
    <w:rsid w:val="00050EE1"/>
    <w:rsid w:val="0005155B"/>
    <w:rsid w:val="00051C47"/>
    <w:rsid w:val="0005354C"/>
    <w:rsid w:val="000547C1"/>
    <w:rsid w:val="000554DF"/>
    <w:rsid w:val="00055AE3"/>
    <w:rsid w:val="000629AD"/>
    <w:rsid w:val="000652CD"/>
    <w:rsid w:val="00070C49"/>
    <w:rsid w:val="000729AA"/>
    <w:rsid w:val="00073A45"/>
    <w:rsid w:val="000745D2"/>
    <w:rsid w:val="00076986"/>
    <w:rsid w:val="00080A14"/>
    <w:rsid w:val="00080A95"/>
    <w:rsid w:val="00083B3F"/>
    <w:rsid w:val="000841B8"/>
    <w:rsid w:val="000858BA"/>
    <w:rsid w:val="00094730"/>
    <w:rsid w:val="00094C3D"/>
    <w:rsid w:val="00096118"/>
    <w:rsid w:val="000A2086"/>
    <w:rsid w:val="000A2C2F"/>
    <w:rsid w:val="000A5570"/>
    <w:rsid w:val="000A5BCA"/>
    <w:rsid w:val="000B1411"/>
    <w:rsid w:val="000B2E92"/>
    <w:rsid w:val="000B63B7"/>
    <w:rsid w:val="000B6B8F"/>
    <w:rsid w:val="000C15A5"/>
    <w:rsid w:val="000C4479"/>
    <w:rsid w:val="000C4E27"/>
    <w:rsid w:val="000C5C91"/>
    <w:rsid w:val="000C68FE"/>
    <w:rsid w:val="000C7D73"/>
    <w:rsid w:val="000D2622"/>
    <w:rsid w:val="000D3C49"/>
    <w:rsid w:val="000D5FFC"/>
    <w:rsid w:val="000E0241"/>
    <w:rsid w:val="000E0332"/>
    <w:rsid w:val="000E2713"/>
    <w:rsid w:val="000E3EA4"/>
    <w:rsid w:val="000E6DF0"/>
    <w:rsid w:val="000E76A2"/>
    <w:rsid w:val="000F00BF"/>
    <w:rsid w:val="000F09A3"/>
    <w:rsid w:val="0010464A"/>
    <w:rsid w:val="001049BB"/>
    <w:rsid w:val="00106564"/>
    <w:rsid w:val="001117A4"/>
    <w:rsid w:val="00112F25"/>
    <w:rsid w:val="001140BC"/>
    <w:rsid w:val="00115E86"/>
    <w:rsid w:val="00122CD1"/>
    <w:rsid w:val="00122D17"/>
    <w:rsid w:val="001273B3"/>
    <w:rsid w:val="001312C2"/>
    <w:rsid w:val="00132AC1"/>
    <w:rsid w:val="00133077"/>
    <w:rsid w:val="00135D26"/>
    <w:rsid w:val="0013600F"/>
    <w:rsid w:val="00137AA8"/>
    <w:rsid w:val="00137FC1"/>
    <w:rsid w:val="001438C7"/>
    <w:rsid w:val="00144455"/>
    <w:rsid w:val="00145322"/>
    <w:rsid w:val="001500BF"/>
    <w:rsid w:val="00161A2A"/>
    <w:rsid w:val="00162C07"/>
    <w:rsid w:val="00170E41"/>
    <w:rsid w:val="00170F6D"/>
    <w:rsid w:val="0017153A"/>
    <w:rsid w:val="0017178A"/>
    <w:rsid w:val="001733FD"/>
    <w:rsid w:val="00175850"/>
    <w:rsid w:val="00177455"/>
    <w:rsid w:val="00177E21"/>
    <w:rsid w:val="00180B00"/>
    <w:rsid w:val="0018116A"/>
    <w:rsid w:val="0018420B"/>
    <w:rsid w:val="00185036"/>
    <w:rsid w:val="001A01D2"/>
    <w:rsid w:val="001A10FC"/>
    <w:rsid w:val="001A59FC"/>
    <w:rsid w:val="001B2934"/>
    <w:rsid w:val="001B4AB3"/>
    <w:rsid w:val="001B4FE1"/>
    <w:rsid w:val="001B5310"/>
    <w:rsid w:val="001B6799"/>
    <w:rsid w:val="001B7BA6"/>
    <w:rsid w:val="001C0BFC"/>
    <w:rsid w:val="001C1081"/>
    <w:rsid w:val="001C46F6"/>
    <w:rsid w:val="001D047A"/>
    <w:rsid w:val="001D689E"/>
    <w:rsid w:val="001E2888"/>
    <w:rsid w:val="001E43E9"/>
    <w:rsid w:val="001F1882"/>
    <w:rsid w:val="001F2270"/>
    <w:rsid w:val="001F6E11"/>
    <w:rsid w:val="001F76B0"/>
    <w:rsid w:val="00200A76"/>
    <w:rsid w:val="00200AC3"/>
    <w:rsid w:val="00212F6F"/>
    <w:rsid w:val="0021582F"/>
    <w:rsid w:val="002228CA"/>
    <w:rsid w:val="00223648"/>
    <w:rsid w:val="002325EC"/>
    <w:rsid w:val="002353F5"/>
    <w:rsid w:val="00235631"/>
    <w:rsid w:val="00240C1E"/>
    <w:rsid w:val="002422E0"/>
    <w:rsid w:val="00243262"/>
    <w:rsid w:val="00245128"/>
    <w:rsid w:val="00245394"/>
    <w:rsid w:val="00247697"/>
    <w:rsid w:val="00252C94"/>
    <w:rsid w:val="00252DC6"/>
    <w:rsid w:val="0025367A"/>
    <w:rsid w:val="0025702F"/>
    <w:rsid w:val="00264014"/>
    <w:rsid w:val="00266982"/>
    <w:rsid w:val="00266A82"/>
    <w:rsid w:val="00271A35"/>
    <w:rsid w:val="00272C98"/>
    <w:rsid w:val="0027755F"/>
    <w:rsid w:val="0027762F"/>
    <w:rsid w:val="00283C4F"/>
    <w:rsid w:val="002849C2"/>
    <w:rsid w:val="0029409F"/>
    <w:rsid w:val="00297DA4"/>
    <w:rsid w:val="002A0B9B"/>
    <w:rsid w:val="002A0C3D"/>
    <w:rsid w:val="002A1C2D"/>
    <w:rsid w:val="002A29C4"/>
    <w:rsid w:val="002A550B"/>
    <w:rsid w:val="002B11DF"/>
    <w:rsid w:val="002B1A76"/>
    <w:rsid w:val="002B6F70"/>
    <w:rsid w:val="002C1470"/>
    <w:rsid w:val="002C378C"/>
    <w:rsid w:val="002C7BD3"/>
    <w:rsid w:val="002D0C5B"/>
    <w:rsid w:val="002D23F3"/>
    <w:rsid w:val="002D32DF"/>
    <w:rsid w:val="002D4704"/>
    <w:rsid w:val="002D4F0F"/>
    <w:rsid w:val="002E2185"/>
    <w:rsid w:val="002E23E7"/>
    <w:rsid w:val="002E2C8D"/>
    <w:rsid w:val="002E445F"/>
    <w:rsid w:val="002F10A6"/>
    <w:rsid w:val="002F5626"/>
    <w:rsid w:val="002F5AE1"/>
    <w:rsid w:val="002F6310"/>
    <w:rsid w:val="002F71ED"/>
    <w:rsid w:val="0030409A"/>
    <w:rsid w:val="00305F20"/>
    <w:rsid w:val="00306D28"/>
    <w:rsid w:val="00307C6D"/>
    <w:rsid w:val="003104DA"/>
    <w:rsid w:val="00320E5A"/>
    <w:rsid w:val="00320EE4"/>
    <w:rsid w:val="00327ACB"/>
    <w:rsid w:val="00330C7B"/>
    <w:rsid w:val="003341A6"/>
    <w:rsid w:val="00336800"/>
    <w:rsid w:val="00336DE5"/>
    <w:rsid w:val="0033769E"/>
    <w:rsid w:val="0034367E"/>
    <w:rsid w:val="0034422B"/>
    <w:rsid w:val="00344EBE"/>
    <w:rsid w:val="00351F2B"/>
    <w:rsid w:val="00363D0A"/>
    <w:rsid w:val="00372F67"/>
    <w:rsid w:val="00374233"/>
    <w:rsid w:val="00375772"/>
    <w:rsid w:val="00382106"/>
    <w:rsid w:val="00387464"/>
    <w:rsid w:val="00394DC3"/>
    <w:rsid w:val="003956A9"/>
    <w:rsid w:val="00396FDD"/>
    <w:rsid w:val="003A3EC1"/>
    <w:rsid w:val="003A431A"/>
    <w:rsid w:val="003A54E7"/>
    <w:rsid w:val="003B3D37"/>
    <w:rsid w:val="003B506D"/>
    <w:rsid w:val="003C04B8"/>
    <w:rsid w:val="003C5907"/>
    <w:rsid w:val="003C6BAD"/>
    <w:rsid w:val="003C739B"/>
    <w:rsid w:val="003C7E19"/>
    <w:rsid w:val="003D01EB"/>
    <w:rsid w:val="003D0B58"/>
    <w:rsid w:val="003E16C6"/>
    <w:rsid w:val="003E3408"/>
    <w:rsid w:val="003F4484"/>
    <w:rsid w:val="003F6FC9"/>
    <w:rsid w:val="003F7156"/>
    <w:rsid w:val="0040089C"/>
    <w:rsid w:val="00402DD9"/>
    <w:rsid w:val="00410311"/>
    <w:rsid w:val="004134C0"/>
    <w:rsid w:val="00413800"/>
    <w:rsid w:val="0041521B"/>
    <w:rsid w:val="0041565C"/>
    <w:rsid w:val="004216C0"/>
    <w:rsid w:val="004232B4"/>
    <w:rsid w:val="00427A66"/>
    <w:rsid w:val="0044092C"/>
    <w:rsid w:val="00443E0C"/>
    <w:rsid w:val="00446307"/>
    <w:rsid w:val="00454504"/>
    <w:rsid w:val="004545CC"/>
    <w:rsid w:val="00454701"/>
    <w:rsid w:val="00455F01"/>
    <w:rsid w:val="004560CB"/>
    <w:rsid w:val="004602C5"/>
    <w:rsid w:val="00463D42"/>
    <w:rsid w:val="004648D2"/>
    <w:rsid w:val="004655C0"/>
    <w:rsid w:val="00465619"/>
    <w:rsid w:val="004656AE"/>
    <w:rsid w:val="00466D30"/>
    <w:rsid w:val="00467EEC"/>
    <w:rsid w:val="00471C98"/>
    <w:rsid w:val="004731D6"/>
    <w:rsid w:val="004763D7"/>
    <w:rsid w:val="004801B0"/>
    <w:rsid w:val="00481DB5"/>
    <w:rsid w:val="00482261"/>
    <w:rsid w:val="00483431"/>
    <w:rsid w:val="004854D1"/>
    <w:rsid w:val="00485E5C"/>
    <w:rsid w:val="00487FF5"/>
    <w:rsid w:val="00494F1A"/>
    <w:rsid w:val="004A4EA8"/>
    <w:rsid w:val="004B25B7"/>
    <w:rsid w:val="004B6666"/>
    <w:rsid w:val="004B6A2B"/>
    <w:rsid w:val="004C108F"/>
    <w:rsid w:val="004C3A27"/>
    <w:rsid w:val="004C3F57"/>
    <w:rsid w:val="004C5679"/>
    <w:rsid w:val="004C783A"/>
    <w:rsid w:val="004D30A2"/>
    <w:rsid w:val="004D360D"/>
    <w:rsid w:val="004D5CED"/>
    <w:rsid w:val="004E05B5"/>
    <w:rsid w:val="004E1245"/>
    <w:rsid w:val="004E1547"/>
    <w:rsid w:val="004E1BE6"/>
    <w:rsid w:val="004E2456"/>
    <w:rsid w:val="004E70E9"/>
    <w:rsid w:val="004F4DB1"/>
    <w:rsid w:val="004F5AB8"/>
    <w:rsid w:val="004F68A8"/>
    <w:rsid w:val="0050054A"/>
    <w:rsid w:val="005051D6"/>
    <w:rsid w:val="00505BC5"/>
    <w:rsid w:val="005073D4"/>
    <w:rsid w:val="00514774"/>
    <w:rsid w:val="00517D69"/>
    <w:rsid w:val="00520612"/>
    <w:rsid w:val="005223ED"/>
    <w:rsid w:val="005244E3"/>
    <w:rsid w:val="0052621D"/>
    <w:rsid w:val="00526A11"/>
    <w:rsid w:val="00531E97"/>
    <w:rsid w:val="00532BFA"/>
    <w:rsid w:val="0053739C"/>
    <w:rsid w:val="00537FD8"/>
    <w:rsid w:val="005414DF"/>
    <w:rsid w:val="00543BB4"/>
    <w:rsid w:val="005443AA"/>
    <w:rsid w:val="00545B61"/>
    <w:rsid w:val="00545CB8"/>
    <w:rsid w:val="00547C1C"/>
    <w:rsid w:val="00551740"/>
    <w:rsid w:val="00553812"/>
    <w:rsid w:val="00553B9C"/>
    <w:rsid w:val="0055423D"/>
    <w:rsid w:val="00562E59"/>
    <w:rsid w:val="00562FD9"/>
    <w:rsid w:val="005639E1"/>
    <w:rsid w:val="00567AA3"/>
    <w:rsid w:val="00567D73"/>
    <w:rsid w:val="00571899"/>
    <w:rsid w:val="0058171D"/>
    <w:rsid w:val="005822F0"/>
    <w:rsid w:val="005911D5"/>
    <w:rsid w:val="005945F5"/>
    <w:rsid w:val="005A3C37"/>
    <w:rsid w:val="005A51B9"/>
    <w:rsid w:val="005B0E61"/>
    <w:rsid w:val="005B15FB"/>
    <w:rsid w:val="005B2AF6"/>
    <w:rsid w:val="005B3677"/>
    <w:rsid w:val="005D1C1F"/>
    <w:rsid w:val="005D6AEE"/>
    <w:rsid w:val="005E02D6"/>
    <w:rsid w:val="005E2797"/>
    <w:rsid w:val="005E383A"/>
    <w:rsid w:val="005E5DB4"/>
    <w:rsid w:val="005E7FC5"/>
    <w:rsid w:val="005F4399"/>
    <w:rsid w:val="005F479B"/>
    <w:rsid w:val="005F4E2B"/>
    <w:rsid w:val="005F5326"/>
    <w:rsid w:val="005F7491"/>
    <w:rsid w:val="00613192"/>
    <w:rsid w:val="006154F0"/>
    <w:rsid w:val="0062028B"/>
    <w:rsid w:val="00624F87"/>
    <w:rsid w:val="006252D4"/>
    <w:rsid w:val="006254AE"/>
    <w:rsid w:val="00626A1C"/>
    <w:rsid w:val="00630C91"/>
    <w:rsid w:val="00630D83"/>
    <w:rsid w:val="006313B7"/>
    <w:rsid w:val="00632E2C"/>
    <w:rsid w:val="006355E4"/>
    <w:rsid w:val="0063561F"/>
    <w:rsid w:val="00637921"/>
    <w:rsid w:val="00641619"/>
    <w:rsid w:val="00641F5B"/>
    <w:rsid w:val="00643973"/>
    <w:rsid w:val="00647827"/>
    <w:rsid w:val="006501C6"/>
    <w:rsid w:val="006537E9"/>
    <w:rsid w:val="00656CD9"/>
    <w:rsid w:val="00657D6B"/>
    <w:rsid w:val="00660E05"/>
    <w:rsid w:val="0066436C"/>
    <w:rsid w:val="00667656"/>
    <w:rsid w:val="00671C64"/>
    <w:rsid w:val="00675E1A"/>
    <w:rsid w:val="006764B1"/>
    <w:rsid w:val="006770AE"/>
    <w:rsid w:val="0068150D"/>
    <w:rsid w:val="0068213B"/>
    <w:rsid w:val="00685273"/>
    <w:rsid w:val="00687197"/>
    <w:rsid w:val="006873AA"/>
    <w:rsid w:val="00690FC0"/>
    <w:rsid w:val="00691025"/>
    <w:rsid w:val="006914DA"/>
    <w:rsid w:val="006A1C07"/>
    <w:rsid w:val="006A6C07"/>
    <w:rsid w:val="006B116E"/>
    <w:rsid w:val="006B1313"/>
    <w:rsid w:val="006B670A"/>
    <w:rsid w:val="006B6F99"/>
    <w:rsid w:val="006C3562"/>
    <w:rsid w:val="006C6094"/>
    <w:rsid w:val="006C7F36"/>
    <w:rsid w:val="006D3997"/>
    <w:rsid w:val="006E2953"/>
    <w:rsid w:val="006E55D0"/>
    <w:rsid w:val="006E6A5B"/>
    <w:rsid w:val="006F0E01"/>
    <w:rsid w:val="006F18A2"/>
    <w:rsid w:val="006F2AB0"/>
    <w:rsid w:val="006F319E"/>
    <w:rsid w:val="006F4721"/>
    <w:rsid w:val="006F7A2C"/>
    <w:rsid w:val="00700C01"/>
    <w:rsid w:val="00707218"/>
    <w:rsid w:val="00707FE5"/>
    <w:rsid w:val="007109B5"/>
    <w:rsid w:val="00714CD0"/>
    <w:rsid w:val="00715425"/>
    <w:rsid w:val="00717ABC"/>
    <w:rsid w:val="00724000"/>
    <w:rsid w:val="00727F8A"/>
    <w:rsid w:val="007317F2"/>
    <w:rsid w:val="00732876"/>
    <w:rsid w:val="007329ED"/>
    <w:rsid w:val="007366A0"/>
    <w:rsid w:val="00737F43"/>
    <w:rsid w:val="00742BFA"/>
    <w:rsid w:val="00743DAF"/>
    <w:rsid w:val="00743DB7"/>
    <w:rsid w:val="0074647D"/>
    <w:rsid w:val="0074784F"/>
    <w:rsid w:val="007500B7"/>
    <w:rsid w:val="007517AC"/>
    <w:rsid w:val="00754CA3"/>
    <w:rsid w:val="007625F8"/>
    <w:rsid w:val="007627C5"/>
    <w:rsid w:val="00763350"/>
    <w:rsid w:val="0076405A"/>
    <w:rsid w:val="0076772D"/>
    <w:rsid w:val="00767C79"/>
    <w:rsid w:val="00771FB3"/>
    <w:rsid w:val="007724E3"/>
    <w:rsid w:val="00775CC5"/>
    <w:rsid w:val="00776EBF"/>
    <w:rsid w:val="0078486C"/>
    <w:rsid w:val="00790CF8"/>
    <w:rsid w:val="00795067"/>
    <w:rsid w:val="00795E1B"/>
    <w:rsid w:val="00797466"/>
    <w:rsid w:val="007A4639"/>
    <w:rsid w:val="007B0D79"/>
    <w:rsid w:val="007B32F0"/>
    <w:rsid w:val="007B3C4E"/>
    <w:rsid w:val="007C0039"/>
    <w:rsid w:val="007C6FAB"/>
    <w:rsid w:val="007C796B"/>
    <w:rsid w:val="007D0492"/>
    <w:rsid w:val="007D1D59"/>
    <w:rsid w:val="007D6B57"/>
    <w:rsid w:val="007E083C"/>
    <w:rsid w:val="007E3121"/>
    <w:rsid w:val="007E4EA1"/>
    <w:rsid w:val="007E580D"/>
    <w:rsid w:val="007F0D2E"/>
    <w:rsid w:val="007F2F9B"/>
    <w:rsid w:val="007F53C9"/>
    <w:rsid w:val="0080503D"/>
    <w:rsid w:val="00805922"/>
    <w:rsid w:val="00805FE1"/>
    <w:rsid w:val="00811F4D"/>
    <w:rsid w:val="00812E51"/>
    <w:rsid w:val="0082306B"/>
    <w:rsid w:val="00823E75"/>
    <w:rsid w:val="00832698"/>
    <w:rsid w:val="00833531"/>
    <w:rsid w:val="00836011"/>
    <w:rsid w:val="00836D25"/>
    <w:rsid w:val="00842889"/>
    <w:rsid w:val="00842CCD"/>
    <w:rsid w:val="00843CF6"/>
    <w:rsid w:val="008454C1"/>
    <w:rsid w:val="0085335F"/>
    <w:rsid w:val="00853AD8"/>
    <w:rsid w:val="008573C7"/>
    <w:rsid w:val="008578A2"/>
    <w:rsid w:val="00862F38"/>
    <w:rsid w:val="008637E8"/>
    <w:rsid w:val="00870A28"/>
    <w:rsid w:val="00872FDE"/>
    <w:rsid w:val="0087441F"/>
    <w:rsid w:val="0088020C"/>
    <w:rsid w:val="008809B5"/>
    <w:rsid w:val="00881664"/>
    <w:rsid w:val="00882C49"/>
    <w:rsid w:val="008832FA"/>
    <w:rsid w:val="00896694"/>
    <w:rsid w:val="008A4D2F"/>
    <w:rsid w:val="008A54A7"/>
    <w:rsid w:val="008A5BCF"/>
    <w:rsid w:val="008B0443"/>
    <w:rsid w:val="008B0EC3"/>
    <w:rsid w:val="008B15DD"/>
    <w:rsid w:val="008C48F6"/>
    <w:rsid w:val="008C50E1"/>
    <w:rsid w:val="008C55BA"/>
    <w:rsid w:val="008D017A"/>
    <w:rsid w:val="008E3A3C"/>
    <w:rsid w:val="008E3A8D"/>
    <w:rsid w:val="008F398B"/>
    <w:rsid w:val="008F3DE9"/>
    <w:rsid w:val="008F4885"/>
    <w:rsid w:val="00900FFF"/>
    <w:rsid w:val="009070EE"/>
    <w:rsid w:val="0091205C"/>
    <w:rsid w:val="00912644"/>
    <w:rsid w:val="009147C2"/>
    <w:rsid w:val="00914A16"/>
    <w:rsid w:val="00915877"/>
    <w:rsid w:val="00921779"/>
    <w:rsid w:val="00925E93"/>
    <w:rsid w:val="00934C9F"/>
    <w:rsid w:val="00935578"/>
    <w:rsid w:val="00943D78"/>
    <w:rsid w:val="00946CE9"/>
    <w:rsid w:val="00946DD8"/>
    <w:rsid w:val="00950F6F"/>
    <w:rsid w:val="00956174"/>
    <w:rsid w:val="0096082A"/>
    <w:rsid w:val="009608E6"/>
    <w:rsid w:val="00960AE4"/>
    <w:rsid w:val="00960C7F"/>
    <w:rsid w:val="00962D70"/>
    <w:rsid w:val="0096476A"/>
    <w:rsid w:val="00964E6E"/>
    <w:rsid w:val="00964F52"/>
    <w:rsid w:val="00972256"/>
    <w:rsid w:val="00976061"/>
    <w:rsid w:val="00976A02"/>
    <w:rsid w:val="00977616"/>
    <w:rsid w:val="00981C5C"/>
    <w:rsid w:val="00982D66"/>
    <w:rsid w:val="0098387C"/>
    <w:rsid w:val="009872F1"/>
    <w:rsid w:val="009922D8"/>
    <w:rsid w:val="0099367C"/>
    <w:rsid w:val="0099376E"/>
    <w:rsid w:val="00995BB1"/>
    <w:rsid w:val="009A0EAE"/>
    <w:rsid w:val="009A0FDB"/>
    <w:rsid w:val="009A1BF0"/>
    <w:rsid w:val="009A3EDC"/>
    <w:rsid w:val="009A52ED"/>
    <w:rsid w:val="009C221F"/>
    <w:rsid w:val="009D0031"/>
    <w:rsid w:val="009D5426"/>
    <w:rsid w:val="009D646D"/>
    <w:rsid w:val="009D6D95"/>
    <w:rsid w:val="009D73EE"/>
    <w:rsid w:val="009E13B2"/>
    <w:rsid w:val="009E4973"/>
    <w:rsid w:val="009E4D9D"/>
    <w:rsid w:val="009E6B8F"/>
    <w:rsid w:val="009F0E59"/>
    <w:rsid w:val="009F18B1"/>
    <w:rsid w:val="009F62B1"/>
    <w:rsid w:val="009F6472"/>
    <w:rsid w:val="00A20EE5"/>
    <w:rsid w:val="00A22B0D"/>
    <w:rsid w:val="00A25BC7"/>
    <w:rsid w:val="00A266C4"/>
    <w:rsid w:val="00A32B38"/>
    <w:rsid w:val="00A379A1"/>
    <w:rsid w:val="00A402D3"/>
    <w:rsid w:val="00A4292D"/>
    <w:rsid w:val="00A42DDE"/>
    <w:rsid w:val="00A46079"/>
    <w:rsid w:val="00A504D6"/>
    <w:rsid w:val="00A54820"/>
    <w:rsid w:val="00A550AC"/>
    <w:rsid w:val="00A562A8"/>
    <w:rsid w:val="00A56858"/>
    <w:rsid w:val="00A609FD"/>
    <w:rsid w:val="00A63728"/>
    <w:rsid w:val="00A64C18"/>
    <w:rsid w:val="00A806AC"/>
    <w:rsid w:val="00A809C7"/>
    <w:rsid w:val="00A84141"/>
    <w:rsid w:val="00A84740"/>
    <w:rsid w:val="00A84B2E"/>
    <w:rsid w:val="00A911E2"/>
    <w:rsid w:val="00A94407"/>
    <w:rsid w:val="00A96C6D"/>
    <w:rsid w:val="00AA1236"/>
    <w:rsid w:val="00AB216E"/>
    <w:rsid w:val="00AB4405"/>
    <w:rsid w:val="00AB683B"/>
    <w:rsid w:val="00AC50E0"/>
    <w:rsid w:val="00AC5A7F"/>
    <w:rsid w:val="00AC7646"/>
    <w:rsid w:val="00AD25F7"/>
    <w:rsid w:val="00AD28F1"/>
    <w:rsid w:val="00AD560D"/>
    <w:rsid w:val="00AD6DEF"/>
    <w:rsid w:val="00AD7A76"/>
    <w:rsid w:val="00AE022B"/>
    <w:rsid w:val="00AE3489"/>
    <w:rsid w:val="00AE6C95"/>
    <w:rsid w:val="00AE74B9"/>
    <w:rsid w:val="00AF26DE"/>
    <w:rsid w:val="00AF284C"/>
    <w:rsid w:val="00AF346C"/>
    <w:rsid w:val="00AF55AA"/>
    <w:rsid w:val="00AF691D"/>
    <w:rsid w:val="00B00C8A"/>
    <w:rsid w:val="00B014BE"/>
    <w:rsid w:val="00B01623"/>
    <w:rsid w:val="00B01AB4"/>
    <w:rsid w:val="00B05A02"/>
    <w:rsid w:val="00B1144E"/>
    <w:rsid w:val="00B1307A"/>
    <w:rsid w:val="00B13848"/>
    <w:rsid w:val="00B22ECF"/>
    <w:rsid w:val="00B410C4"/>
    <w:rsid w:val="00B42987"/>
    <w:rsid w:val="00B42D66"/>
    <w:rsid w:val="00B44E81"/>
    <w:rsid w:val="00B4718D"/>
    <w:rsid w:val="00B5281E"/>
    <w:rsid w:val="00B61E4E"/>
    <w:rsid w:val="00B73C6D"/>
    <w:rsid w:val="00B765E5"/>
    <w:rsid w:val="00B806DA"/>
    <w:rsid w:val="00B86A69"/>
    <w:rsid w:val="00B904CC"/>
    <w:rsid w:val="00B9192F"/>
    <w:rsid w:val="00B93172"/>
    <w:rsid w:val="00B941F1"/>
    <w:rsid w:val="00B96319"/>
    <w:rsid w:val="00B96325"/>
    <w:rsid w:val="00BA029C"/>
    <w:rsid w:val="00BA137C"/>
    <w:rsid w:val="00BA376B"/>
    <w:rsid w:val="00BA58B6"/>
    <w:rsid w:val="00BA63C2"/>
    <w:rsid w:val="00BB05A9"/>
    <w:rsid w:val="00BB546C"/>
    <w:rsid w:val="00BC4A80"/>
    <w:rsid w:val="00BC6851"/>
    <w:rsid w:val="00BD2493"/>
    <w:rsid w:val="00BD27D2"/>
    <w:rsid w:val="00BD48F6"/>
    <w:rsid w:val="00BD680C"/>
    <w:rsid w:val="00BD7B41"/>
    <w:rsid w:val="00BE0DE7"/>
    <w:rsid w:val="00BE4967"/>
    <w:rsid w:val="00BE6861"/>
    <w:rsid w:val="00BE7A7C"/>
    <w:rsid w:val="00BF1ED6"/>
    <w:rsid w:val="00BF410F"/>
    <w:rsid w:val="00BF6FBC"/>
    <w:rsid w:val="00C001E9"/>
    <w:rsid w:val="00C01402"/>
    <w:rsid w:val="00C032B5"/>
    <w:rsid w:val="00C04884"/>
    <w:rsid w:val="00C06BCD"/>
    <w:rsid w:val="00C06C2F"/>
    <w:rsid w:val="00C13B31"/>
    <w:rsid w:val="00C174A7"/>
    <w:rsid w:val="00C2098A"/>
    <w:rsid w:val="00C215FB"/>
    <w:rsid w:val="00C24A9E"/>
    <w:rsid w:val="00C24CDC"/>
    <w:rsid w:val="00C26E55"/>
    <w:rsid w:val="00C273F4"/>
    <w:rsid w:val="00C32820"/>
    <w:rsid w:val="00C441DE"/>
    <w:rsid w:val="00C45A19"/>
    <w:rsid w:val="00C46018"/>
    <w:rsid w:val="00C47414"/>
    <w:rsid w:val="00C47E87"/>
    <w:rsid w:val="00C51352"/>
    <w:rsid w:val="00C5372D"/>
    <w:rsid w:val="00C53C53"/>
    <w:rsid w:val="00C53D73"/>
    <w:rsid w:val="00C54D1A"/>
    <w:rsid w:val="00C615DB"/>
    <w:rsid w:val="00C74DE9"/>
    <w:rsid w:val="00C75E5B"/>
    <w:rsid w:val="00C768F9"/>
    <w:rsid w:val="00C849EA"/>
    <w:rsid w:val="00C91D86"/>
    <w:rsid w:val="00C93C2E"/>
    <w:rsid w:val="00C943BF"/>
    <w:rsid w:val="00C96CA4"/>
    <w:rsid w:val="00C97863"/>
    <w:rsid w:val="00CA57FF"/>
    <w:rsid w:val="00CB2D18"/>
    <w:rsid w:val="00CB3188"/>
    <w:rsid w:val="00CB64C2"/>
    <w:rsid w:val="00CD0C52"/>
    <w:rsid w:val="00CD1FBD"/>
    <w:rsid w:val="00CE5459"/>
    <w:rsid w:val="00CF011D"/>
    <w:rsid w:val="00CF642E"/>
    <w:rsid w:val="00D01850"/>
    <w:rsid w:val="00D027AD"/>
    <w:rsid w:val="00D03EB0"/>
    <w:rsid w:val="00D0762D"/>
    <w:rsid w:val="00D1180C"/>
    <w:rsid w:val="00D118B9"/>
    <w:rsid w:val="00D12C58"/>
    <w:rsid w:val="00D15578"/>
    <w:rsid w:val="00D15705"/>
    <w:rsid w:val="00D15C3E"/>
    <w:rsid w:val="00D15D80"/>
    <w:rsid w:val="00D20D9A"/>
    <w:rsid w:val="00D210E8"/>
    <w:rsid w:val="00D2596F"/>
    <w:rsid w:val="00D26787"/>
    <w:rsid w:val="00D267EB"/>
    <w:rsid w:val="00D274D4"/>
    <w:rsid w:val="00D30C20"/>
    <w:rsid w:val="00D30D7A"/>
    <w:rsid w:val="00D35111"/>
    <w:rsid w:val="00D40410"/>
    <w:rsid w:val="00D44062"/>
    <w:rsid w:val="00D443D4"/>
    <w:rsid w:val="00D4497E"/>
    <w:rsid w:val="00D45C43"/>
    <w:rsid w:val="00D50403"/>
    <w:rsid w:val="00D508FD"/>
    <w:rsid w:val="00D50B4C"/>
    <w:rsid w:val="00D5730A"/>
    <w:rsid w:val="00D5750E"/>
    <w:rsid w:val="00D64D04"/>
    <w:rsid w:val="00D7407B"/>
    <w:rsid w:val="00D778E4"/>
    <w:rsid w:val="00D80C61"/>
    <w:rsid w:val="00D81834"/>
    <w:rsid w:val="00D86267"/>
    <w:rsid w:val="00D901B1"/>
    <w:rsid w:val="00D939D5"/>
    <w:rsid w:val="00D9419E"/>
    <w:rsid w:val="00D94289"/>
    <w:rsid w:val="00D959A7"/>
    <w:rsid w:val="00D96209"/>
    <w:rsid w:val="00D9795B"/>
    <w:rsid w:val="00DA39E4"/>
    <w:rsid w:val="00DA3EC8"/>
    <w:rsid w:val="00DA5C0C"/>
    <w:rsid w:val="00DA6A83"/>
    <w:rsid w:val="00DB1B8B"/>
    <w:rsid w:val="00DB1EFC"/>
    <w:rsid w:val="00DB2EAB"/>
    <w:rsid w:val="00DB5399"/>
    <w:rsid w:val="00DC2828"/>
    <w:rsid w:val="00DD47D9"/>
    <w:rsid w:val="00DD4CBA"/>
    <w:rsid w:val="00DD593B"/>
    <w:rsid w:val="00DD61D2"/>
    <w:rsid w:val="00DE23E5"/>
    <w:rsid w:val="00DE3A41"/>
    <w:rsid w:val="00DE60AB"/>
    <w:rsid w:val="00DF0695"/>
    <w:rsid w:val="00DF4F5A"/>
    <w:rsid w:val="00DF7D3D"/>
    <w:rsid w:val="00E04CEE"/>
    <w:rsid w:val="00E114AA"/>
    <w:rsid w:val="00E12B3F"/>
    <w:rsid w:val="00E155D1"/>
    <w:rsid w:val="00E204EB"/>
    <w:rsid w:val="00E2087E"/>
    <w:rsid w:val="00E35A6B"/>
    <w:rsid w:val="00E422F3"/>
    <w:rsid w:val="00E4248E"/>
    <w:rsid w:val="00E428F5"/>
    <w:rsid w:val="00E4296C"/>
    <w:rsid w:val="00E44960"/>
    <w:rsid w:val="00E44D63"/>
    <w:rsid w:val="00E4508E"/>
    <w:rsid w:val="00E47BFF"/>
    <w:rsid w:val="00E51A7C"/>
    <w:rsid w:val="00E5460E"/>
    <w:rsid w:val="00E61D9D"/>
    <w:rsid w:val="00E62D76"/>
    <w:rsid w:val="00E64252"/>
    <w:rsid w:val="00E6537D"/>
    <w:rsid w:val="00E72D54"/>
    <w:rsid w:val="00E779FC"/>
    <w:rsid w:val="00E77CD3"/>
    <w:rsid w:val="00E8255E"/>
    <w:rsid w:val="00E834AA"/>
    <w:rsid w:val="00E92E4C"/>
    <w:rsid w:val="00E964BF"/>
    <w:rsid w:val="00EA22EA"/>
    <w:rsid w:val="00EA753C"/>
    <w:rsid w:val="00EA75DB"/>
    <w:rsid w:val="00EC180A"/>
    <w:rsid w:val="00EC4845"/>
    <w:rsid w:val="00EC561E"/>
    <w:rsid w:val="00EC56F0"/>
    <w:rsid w:val="00ED2792"/>
    <w:rsid w:val="00ED606C"/>
    <w:rsid w:val="00ED67A7"/>
    <w:rsid w:val="00ED7B80"/>
    <w:rsid w:val="00EE0D6F"/>
    <w:rsid w:val="00EE6BA4"/>
    <w:rsid w:val="00EE6BA5"/>
    <w:rsid w:val="00EF03A0"/>
    <w:rsid w:val="00EF1942"/>
    <w:rsid w:val="00EF2FB4"/>
    <w:rsid w:val="00EF34B0"/>
    <w:rsid w:val="00EF4D13"/>
    <w:rsid w:val="00EF5BE3"/>
    <w:rsid w:val="00EF6B1F"/>
    <w:rsid w:val="00F02473"/>
    <w:rsid w:val="00F0705A"/>
    <w:rsid w:val="00F101EB"/>
    <w:rsid w:val="00F10873"/>
    <w:rsid w:val="00F11BB5"/>
    <w:rsid w:val="00F1390C"/>
    <w:rsid w:val="00F15B60"/>
    <w:rsid w:val="00F15BAF"/>
    <w:rsid w:val="00F16A65"/>
    <w:rsid w:val="00F259E2"/>
    <w:rsid w:val="00F27C4C"/>
    <w:rsid w:val="00F3056E"/>
    <w:rsid w:val="00F319B5"/>
    <w:rsid w:val="00F31C4C"/>
    <w:rsid w:val="00F37653"/>
    <w:rsid w:val="00F41BBC"/>
    <w:rsid w:val="00F44FAC"/>
    <w:rsid w:val="00F45097"/>
    <w:rsid w:val="00F46A89"/>
    <w:rsid w:val="00F47918"/>
    <w:rsid w:val="00F51A89"/>
    <w:rsid w:val="00F5618E"/>
    <w:rsid w:val="00F57FB0"/>
    <w:rsid w:val="00F6326A"/>
    <w:rsid w:val="00F70491"/>
    <w:rsid w:val="00F801DB"/>
    <w:rsid w:val="00F82D0F"/>
    <w:rsid w:val="00F839AD"/>
    <w:rsid w:val="00F87724"/>
    <w:rsid w:val="00F9203B"/>
    <w:rsid w:val="00F9212C"/>
    <w:rsid w:val="00F92E28"/>
    <w:rsid w:val="00F94FAF"/>
    <w:rsid w:val="00FA2CD7"/>
    <w:rsid w:val="00FA43A4"/>
    <w:rsid w:val="00FB3B68"/>
    <w:rsid w:val="00FB4BDB"/>
    <w:rsid w:val="00FB6270"/>
    <w:rsid w:val="00FC0465"/>
    <w:rsid w:val="00FC05B0"/>
    <w:rsid w:val="00FC15DD"/>
    <w:rsid w:val="00FC3ECD"/>
    <w:rsid w:val="00FD5FB7"/>
    <w:rsid w:val="00FD7C52"/>
    <w:rsid w:val="00FE1C42"/>
    <w:rsid w:val="00FE728E"/>
    <w:rsid w:val="00FF2A9A"/>
    <w:rsid w:val="00FF3D40"/>
    <w:rsid w:val="00FF5537"/>
    <w:rsid w:val="00FF63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F25"/>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D01850"/>
    <w:pPr>
      <w:keepNext/>
      <w:keepLines/>
      <w:numPr>
        <w:numId w:val="34"/>
      </w:numPr>
      <w:pBdr>
        <w:bottom w:val="single" w:sz="4" w:space="1" w:color="000099"/>
      </w:pBdr>
      <w:tabs>
        <w:tab w:val="left" w:pos="567"/>
      </w:tabs>
      <w:spacing w:before="120" w:after="240"/>
      <w:ind w:left="567" w:hanging="567"/>
      <w:outlineLvl w:val="0"/>
    </w:pPr>
    <w:rPr>
      <w:rFonts w:eastAsia="Calibri"/>
      <w:b/>
      <w:bCs/>
      <w:color w:val="000099"/>
      <w:sz w:val="44"/>
      <w:szCs w:val="28"/>
    </w:rPr>
  </w:style>
  <w:style w:type="paragraph" w:styleId="Nadpis2">
    <w:name w:val="heading 2"/>
    <w:basedOn w:val="Nadpis1"/>
    <w:next w:val="Normln"/>
    <w:link w:val="Nadpis2Char"/>
    <w:uiPriority w:val="9"/>
    <w:unhideWhenUsed/>
    <w:qFormat/>
    <w:rsid w:val="00D01850"/>
    <w:pPr>
      <w:numPr>
        <w:ilvl w:val="1"/>
      </w:numPr>
      <w:pBdr>
        <w:bottom w:val="none" w:sz="0" w:space="0" w:color="auto"/>
      </w:pBdr>
      <w:ind w:left="567" w:hanging="567"/>
      <w:outlineLvl w:val="1"/>
    </w:pPr>
    <w:rPr>
      <w:sz w:val="36"/>
    </w:rPr>
  </w:style>
  <w:style w:type="paragraph" w:styleId="Nadpis3">
    <w:name w:val="heading 3"/>
    <w:basedOn w:val="Normln"/>
    <w:next w:val="Normln"/>
    <w:link w:val="Nadpis3Char"/>
    <w:uiPriority w:val="9"/>
    <w:semiHidden/>
    <w:unhideWhenUsed/>
    <w:qFormat/>
    <w:rsid w:val="00D018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018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01850"/>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018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01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0185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0185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Fußnotentextf,Geneva 9,Font: Geneva 9,Boston 10,f,pozn. pod čarou,Char1,Char12"/>
    <w:basedOn w:val="Normln"/>
    <w:link w:val="TextpoznpodarouChar"/>
    <w:uiPriority w:val="99"/>
    <w:unhideWhenUsed/>
    <w:rsid w:val="008F4885"/>
    <w:pPr>
      <w:spacing w:after="0" w:line="240" w:lineRule="auto"/>
    </w:pPr>
    <w:rPr>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8F4885"/>
    <w:rPr>
      <w:sz w:val="20"/>
      <w:szCs w:val="20"/>
    </w:rPr>
  </w:style>
  <w:style w:type="paragraph" w:customStyle="1" w:styleId="TabulkaNOK-zdroj">
    <w:name w:val="Tabulka NOK - zdroj"/>
    <w:basedOn w:val="Normln"/>
    <w:link w:val="TabulkaNOK-zdrojChar"/>
    <w:rsid w:val="008F4885"/>
    <w:pPr>
      <w:spacing w:before="60" w:after="140"/>
    </w:pPr>
    <w:rPr>
      <w:rFonts w:ascii="Calibri" w:eastAsia="Times New Roman" w:hAnsi="Calibri" w:cs="Calibri"/>
      <w:sz w:val="18"/>
      <w:szCs w:val="18"/>
    </w:rPr>
  </w:style>
  <w:style w:type="character" w:customStyle="1" w:styleId="TabulkaNOK-zdrojChar">
    <w:name w:val="Tabulka NOK - zdroj Char"/>
    <w:basedOn w:val="Standardnpsmoodstavce"/>
    <w:link w:val="TabulkaNOK-zdroj"/>
    <w:rsid w:val="008F4885"/>
    <w:rPr>
      <w:rFonts w:ascii="Calibri" w:eastAsia="Times New Roman" w:hAnsi="Calibri" w:cs="Calibri"/>
      <w:sz w:val="18"/>
      <w:szCs w:val="18"/>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basedOn w:val="Standardnpsmoodstavce"/>
    <w:uiPriority w:val="99"/>
    <w:rsid w:val="008F4885"/>
    <w:rPr>
      <w:rFonts w:ascii="Calibri" w:hAnsi="Calibri" w:cs="Calibri"/>
      <w:color w:val="auto"/>
      <w:sz w:val="20"/>
      <w:szCs w:val="20"/>
      <w:u w:val="none"/>
      <w:vertAlign w:val="superscript"/>
      <w:lang w:val="cs-CZ" w:eastAsia="en-US"/>
    </w:rPr>
  </w:style>
  <w:style w:type="table" w:styleId="Mkatabulky">
    <w:name w:val="Table Grid"/>
    <w:basedOn w:val="Normlntabulka"/>
    <w:uiPriority w:val="99"/>
    <w:rsid w:val="008F4885"/>
    <w:pPr>
      <w:spacing w:after="0" w:line="240" w:lineRule="auto"/>
    </w:pPr>
    <w:rPr>
      <w:rFonts w:ascii="Calibri" w:eastAsia="Calibri"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F4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885"/>
    <w:rPr>
      <w:rFonts w:ascii="Tahoma" w:hAnsi="Tahoma" w:cs="Tahoma"/>
      <w:sz w:val="16"/>
      <w:szCs w:val="16"/>
    </w:rPr>
  </w:style>
  <w:style w:type="character" w:customStyle="1" w:styleId="Nadpis2Char">
    <w:name w:val="Nadpis 2 Char"/>
    <w:basedOn w:val="Standardnpsmoodstavce"/>
    <w:link w:val="Nadpis2"/>
    <w:uiPriority w:val="9"/>
    <w:rsid w:val="00D01850"/>
    <w:rPr>
      <w:rFonts w:ascii="Arial" w:eastAsia="Calibri" w:hAnsi="Arial" w:cs="Arial"/>
      <w:b/>
      <w:bCs/>
      <w:color w:val="000099"/>
      <w:sz w:val="36"/>
      <w:szCs w:val="28"/>
      <w:lang w:eastAsia="cs-CZ"/>
    </w:rPr>
  </w:style>
  <w:style w:type="paragraph" w:styleId="Textkomente">
    <w:name w:val="annotation text"/>
    <w:basedOn w:val="Normln"/>
    <w:link w:val="TextkomenteChar"/>
    <w:uiPriority w:val="99"/>
    <w:unhideWhenUsed/>
    <w:rsid w:val="008F4885"/>
    <w:pPr>
      <w:spacing w:line="240" w:lineRule="auto"/>
    </w:pPr>
    <w:rPr>
      <w:szCs w:val="20"/>
    </w:rPr>
  </w:style>
  <w:style w:type="character" w:customStyle="1" w:styleId="TextkomenteChar">
    <w:name w:val="Text komentáře Char"/>
    <w:basedOn w:val="Standardnpsmoodstavce"/>
    <w:link w:val="Textkomente"/>
    <w:uiPriority w:val="99"/>
    <w:rsid w:val="008F4885"/>
    <w:rPr>
      <w:sz w:val="20"/>
      <w:szCs w:val="20"/>
    </w:rPr>
  </w:style>
  <w:style w:type="character" w:styleId="Odkaznakoment">
    <w:name w:val="annotation reference"/>
    <w:basedOn w:val="Standardnpsmoodstavce"/>
    <w:uiPriority w:val="99"/>
    <w:semiHidden/>
    <w:rsid w:val="008F4885"/>
    <w:rPr>
      <w:sz w:val="16"/>
      <w:szCs w:val="16"/>
    </w:rPr>
  </w:style>
  <w:style w:type="paragraph" w:styleId="Obsah2">
    <w:name w:val="toc 2"/>
    <w:basedOn w:val="Normln"/>
    <w:next w:val="Normln"/>
    <w:link w:val="Obsah2Char"/>
    <w:autoRedefine/>
    <w:uiPriority w:val="39"/>
    <w:unhideWhenUsed/>
    <w:rsid w:val="00D9419E"/>
    <w:pPr>
      <w:tabs>
        <w:tab w:val="left" w:pos="993"/>
        <w:tab w:val="right" w:leader="dot" w:pos="9356"/>
      </w:tabs>
      <w:spacing w:after="100"/>
      <w:ind w:left="426"/>
    </w:pPr>
  </w:style>
  <w:style w:type="paragraph" w:styleId="Zhlav">
    <w:name w:val="header"/>
    <w:basedOn w:val="Normln"/>
    <w:link w:val="ZhlavChar"/>
    <w:uiPriority w:val="99"/>
    <w:unhideWhenUsed/>
    <w:rsid w:val="00B01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AB4"/>
  </w:style>
  <w:style w:type="paragraph" w:styleId="Zpat">
    <w:name w:val="footer"/>
    <w:basedOn w:val="Normln"/>
    <w:link w:val="ZpatChar"/>
    <w:uiPriority w:val="99"/>
    <w:unhideWhenUsed/>
    <w:rsid w:val="00B01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AB4"/>
  </w:style>
  <w:style w:type="paragraph" w:styleId="Pedmtkomente">
    <w:name w:val="annotation subject"/>
    <w:basedOn w:val="Textkomente"/>
    <w:next w:val="Textkomente"/>
    <w:link w:val="PedmtkomenteChar"/>
    <w:uiPriority w:val="99"/>
    <w:semiHidden/>
    <w:unhideWhenUsed/>
    <w:rsid w:val="001C0BFC"/>
    <w:rPr>
      <w:b/>
      <w:bCs/>
    </w:rPr>
  </w:style>
  <w:style w:type="character" w:customStyle="1" w:styleId="PedmtkomenteChar">
    <w:name w:val="Předmět komentáře Char"/>
    <w:basedOn w:val="TextkomenteChar"/>
    <w:link w:val="Pedmtkomente"/>
    <w:uiPriority w:val="99"/>
    <w:semiHidden/>
    <w:rsid w:val="001C0BFC"/>
    <w:rPr>
      <w:b/>
      <w:bCs/>
      <w:sz w:val="20"/>
      <w:szCs w:val="20"/>
    </w:rPr>
  </w:style>
  <w:style w:type="paragraph" w:styleId="Zkladntext">
    <w:name w:val="Body Text"/>
    <w:basedOn w:val="Normln"/>
    <w:link w:val="ZkladntextChar"/>
    <w:uiPriority w:val="99"/>
    <w:unhideWhenUsed/>
    <w:rsid w:val="00132AC1"/>
    <w:pPr>
      <w:spacing w:before="120" w:line="312" w:lineRule="auto"/>
    </w:pPr>
    <w:rPr>
      <w:rFonts w:ascii="Calibri" w:eastAsia="Times New Roman" w:hAnsi="Calibri" w:cs="Calibri"/>
    </w:rPr>
  </w:style>
  <w:style w:type="character" w:customStyle="1" w:styleId="ZkladntextChar">
    <w:name w:val="Základní text Char"/>
    <w:basedOn w:val="Standardnpsmoodstavce"/>
    <w:link w:val="Zkladntext"/>
    <w:uiPriority w:val="99"/>
    <w:rsid w:val="00132AC1"/>
    <w:rPr>
      <w:rFonts w:ascii="Calibri" w:eastAsia="Times New Roman" w:hAnsi="Calibri" w:cs="Calibri"/>
    </w:rPr>
  </w:style>
  <w:style w:type="character" w:customStyle="1" w:styleId="TabulkaNOK-slaChar">
    <w:name w:val="Tabulka NOK - čísla Char"/>
    <w:basedOn w:val="Standardnpsmoodstavce"/>
    <w:link w:val="TabulkaNOK-sla"/>
    <w:uiPriority w:val="99"/>
    <w:locked/>
    <w:rsid w:val="00F9203B"/>
    <w:rPr>
      <w:rFonts w:ascii="Arial" w:eastAsia="Times New Roman" w:hAnsi="Arial" w:cs="Times New Roman"/>
      <w:sz w:val="16"/>
      <w:lang w:eastAsia="cs-CZ"/>
    </w:rPr>
  </w:style>
  <w:style w:type="paragraph" w:customStyle="1" w:styleId="TabulkaNOK-sla">
    <w:name w:val="Tabulka NOK - čísla"/>
    <w:basedOn w:val="Normln"/>
    <w:link w:val="TabulkaNOK-slaChar"/>
    <w:uiPriority w:val="99"/>
    <w:rsid w:val="00F9203B"/>
    <w:pPr>
      <w:spacing w:after="0" w:line="240" w:lineRule="auto"/>
      <w:jc w:val="right"/>
    </w:pPr>
    <w:rPr>
      <w:rFonts w:eastAsia="Times New Roman" w:cs="Times New Roman"/>
      <w:sz w:val="16"/>
    </w:rPr>
  </w:style>
  <w:style w:type="paragraph" w:styleId="Revize">
    <w:name w:val="Revision"/>
    <w:hidden/>
    <w:uiPriority w:val="99"/>
    <w:semiHidden/>
    <w:rsid w:val="00E47BFF"/>
    <w:pPr>
      <w:spacing w:after="0" w:line="240" w:lineRule="auto"/>
    </w:pPr>
  </w:style>
  <w:style w:type="character" w:styleId="Hypertextovodkaz">
    <w:name w:val="Hyperlink"/>
    <w:basedOn w:val="Standardnpsmoodstavce"/>
    <w:uiPriority w:val="99"/>
    <w:unhideWhenUsed/>
    <w:rsid w:val="000E76A2"/>
    <w:rPr>
      <w:color w:val="0000FF" w:themeColor="hyperlink"/>
      <w:u w:val="single"/>
    </w:rPr>
  </w:style>
  <w:style w:type="paragraph" w:styleId="Odstavecseseznamem">
    <w:name w:val="List Paragraph"/>
    <w:aliases w:val="Nad,Odstavec cíl se seznamem,Odstavec se seznamem5,Odstavec_muj,_Odstavec se seznamem,Seznam - odrážky,Conclusion de partie"/>
    <w:basedOn w:val="Normln"/>
    <w:link w:val="OdstavecseseznamemChar"/>
    <w:uiPriority w:val="34"/>
    <w:qFormat/>
    <w:rsid w:val="008A5BCF"/>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D01850"/>
    <w:rPr>
      <w:rFonts w:ascii="Arial" w:eastAsia="Calibri" w:hAnsi="Arial" w:cs="Arial"/>
      <w:b/>
      <w:bCs/>
      <w:color w:val="000099"/>
      <w:sz w:val="44"/>
      <w:szCs w:val="28"/>
      <w:lang w:eastAsia="cs-CZ"/>
    </w:rPr>
  </w:style>
  <w:style w:type="paragraph" w:styleId="Nadpisobsahu">
    <w:name w:val="TOC Heading"/>
    <w:basedOn w:val="Nadpis1"/>
    <w:next w:val="Normln"/>
    <w:uiPriority w:val="39"/>
    <w:unhideWhenUsed/>
    <w:qFormat/>
    <w:rsid w:val="00D44062"/>
    <w:pPr>
      <w:outlineLvl w:val="9"/>
    </w:pPr>
  </w:style>
  <w:style w:type="paragraph" w:customStyle="1" w:styleId="TextNOK">
    <w:name w:val="Text NOK"/>
    <w:basedOn w:val="Normln"/>
    <w:link w:val="TextNOKChar"/>
    <w:qFormat/>
    <w:rsid w:val="00A32B38"/>
    <w:pPr>
      <w:spacing w:before="120" w:line="312" w:lineRule="auto"/>
    </w:pPr>
    <w:rPr>
      <w:rFonts w:ascii="Calibri" w:eastAsia="Times New Roman" w:hAnsi="Calibri" w:cs="Calibri"/>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
    <w:link w:val="Odstavecseseznamem"/>
    <w:uiPriority w:val="34"/>
    <w:locked/>
    <w:rsid w:val="00C53D73"/>
    <w:rPr>
      <w:rFonts w:ascii="Calibri" w:hAnsi="Calibri" w:cs="Times New Roman"/>
      <w:lang w:eastAsia="cs-CZ"/>
    </w:rPr>
  </w:style>
  <w:style w:type="paragraph" w:customStyle="1" w:styleId="Titulektabulky">
    <w:name w:val="Titulek tabulky"/>
    <w:aliases w:val="grafu"/>
    <w:basedOn w:val="Normln"/>
    <w:qFormat/>
    <w:rsid w:val="00915877"/>
    <w:pPr>
      <w:keepNext/>
      <w:spacing w:before="120" w:after="0"/>
    </w:pPr>
    <w:rPr>
      <w:rFonts w:eastAsia="Times New Roman"/>
      <w:b/>
      <w:bCs/>
      <w:i/>
      <w:iCs/>
    </w:rPr>
  </w:style>
  <w:style w:type="paragraph" w:styleId="Titulek">
    <w:name w:val="caption"/>
    <w:aliases w:val="Titulek Char,Caption Char3,Caption Char2 Char,Caption Char1 Char Char,Caption Char Char Char Char,Caption Char Char1 Char,Caption Char1 Char1,Caption Char Char Char1,Caption Char Char2"/>
    <w:basedOn w:val="Normln"/>
    <w:next w:val="Normln"/>
    <w:link w:val="TitulekChar1"/>
    <w:uiPriority w:val="35"/>
    <w:qFormat/>
    <w:rsid w:val="00964F52"/>
    <w:pPr>
      <w:spacing w:line="240" w:lineRule="auto"/>
    </w:pPr>
    <w:rPr>
      <w:rFonts w:ascii="Times New Roman" w:hAnsi="Times New Roman"/>
      <w:b/>
      <w:bCs/>
      <w:color w:val="4F81BD"/>
      <w:sz w:val="18"/>
      <w:szCs w:val="18"/>
    </w:rPr>
  </w:style>
  <w:style w:type="character" w:customStyle="1" w:styleId="TitulekChar1">
    <w:name w:val="Titulek Char1"/>
    <w:aliases w:val="Titulek Char Char,Caption Char3 Char,Caption Char2 Char Char,Caption Char1 Char Char Char,Caption Char Char Char Char Char,Caption Char Char1 Char Char,Caption Char1 Char1 Char,Caption Char Char Char1 Char,Caption Char Char2 Char"/>
    <w:link w:val="Titulek"/>
    <w:uiPriority w:val="35"/>
    <w:locked/>
    <w:rsid w:val="00964F52"/>
    <w:rPr>
      <w:rFonts w:ascii="Times New Roman" w:hAnsi="Times New Roman"/>
      <w:b/>
      <w:bCs/>
      <w:color w:val="4F81BD"/>
      <w:sz w:val="18"/>
      <w:szCs w:val="18"/>
      <w:lang w:eastAsia="cs-CZ"/>
    </w:rPr>
  </w:style>
  <w:style w:type="paragraph" w:customStyle="1" w:styleId="Tabulkanadpis">
    <w:name w:val="Tabulka_nadpis"/>
    <w:basedOn w:val="Normln"/>
    <w:link w:val="TabulkanadpisChar"/>
    <w:uiPriority w:val="99"/>
    <w:qFormat/>
    <w:rsid w:val="00964F52"/>
    <w:pPr>
      <w:keepNext/>
      <w:spacing w:after="0" w:line="240" w:lineRule="auto"/>
    </w:pPr>
    <w:rPr>
      <w:rFonts w:eastAsia="Times New Roman" w:cs="Times New Roman"/>
      <w:b/>
      <w:i/>
      <w:sz w:val="18"/>
      <w:szCs w:val="16"/>
    </w:rPr>
  </w:style>
  <w:style w:type="character" w:customStyle="1" w:styleId="TabulkanadpisChar">
    <w:name w:val="Tabulka_nadpis Char"/>
    <w:link w:val="Tabulkanadpis"/>
    <w:uiPriority w:val="99"/>
    <w:locked/>
    <w:rsid w:val="00964F52"/>
    <w:rPr>
      <w:rFonts w:ascii="Arial" w:eastAsia="Times New Roman" w:hAnsi="Arial" w:cs="Times New Roman"/>
      <w:b/>
      <w:i/>
      <w:sz w:val="18"/>
      <w:szCs w:val="16"/>
    </w:rPr>
  </w:style>
  <w:style w:type="paragraph" w:customStyle="1" w:styleId="TabulkaNOK-poznmka">
    <w:name w:val="Tabulka NOK - poznámka"/>
    <w:basedOn w:val="Normln"/>
    <w:link w:val="TabulkaNOK-poznmkaChar"/>
    <w:uiPriority w:val="99"/>
    <w:rsid w:val="00964F52"/>
    <w:pPr>
      <w:tabs>
        <w:tab w:val="left" w:pos="284"/>
      </w:tabs>
      <w:spacing w:after="0" w:line="240" w:lineRule="auto"/>
    </w:pPr>
    <w:rPr>
      <w:rFonts w:eastAsia="Calibri" w:cs="Times New Roman"/>
      <w:sz w:val="18"/>
      <w:szCs w:val="24"/>
    </w:rPr>
  </w:style>
  <w:style w:type="character" w:customStyle="1" w:styleId="TabulkaNOK-poznmkaChar">
    <w:name w:val="Tabulka NOK - poznámka Char"/>
    <w:link w:val="TabulkaNOK-poznmka"/>
    <w:uiPriority w:val="99"/>
    <w:locked/>
    <w:rsid w:val="00964F52"/>
    <w:rPr>
      <w:rFonts w:ascii="Arial" w:eastAsia="Calibri" w:hAnsi="Arial" w:cs="Times New Roman"/>
      <w:sz w:val="18"/>
      <w:szCs w:val="24"/>
      <w:lang w:eastAsia="cs-CZ"/>
    </w:rPr>
  </w:style>
  <w:style w:type="character" w:customStyle="1" w:styleId="TextNOKChar">
    <w:name w:val="Text NOK Char"/>
    <w:link w:val="TextNOK"/>
    <w:locked/>
    <w:rsid w:val="00964F52"/>
    <w:rPr>
      <w:rFonts w:ascii="Calibri" w:eastAsia="Times New Roman" w:hAnsi="Calibri" w:cs="Calibri"/>
      <w:lang w:eastAsia="cs-CZ"/>
    </w:rPr>
  </w:style>
  <w:style w:type="paragraph" w:customStyle="1" w:styleId="vodzvr">
    <w:name w:val="Úvod/závěr"/>
    <w:basedOn w:val="Nadpis1"/>
    <w:link w:val="vodzvrChar"/>
    <w:qFormat/>
    <w:rsid w:val="00BA376B"/>
    <w:pPr>
      <w:numPr>
        <w:numId w:val="0"/>
      </w:numPr>
      <w:ind w:left="567" w:hanging="567"/>
    </w:pPr>
  </w:style>
  <w:style w:type="character" w:customStyle="1" w:styleId="vodzvrChar">
    <w:name w:val="Úvod/závěr Char"/>
    <w:basedOn w:val="Nadpis1Char"/>
    <w:link w:val="vodzvr"/>
    <w:rsid w:val="00BA376B"/>
    <w:rPr>
      <w:rFonts w:ascii="Arial" w:eastAsia="Calibri" w:hAnsi="Arial" w:cs="Arial"/>
      <w:b/>
      <w:bCs/>
      <w:color w:val="000099"/>
      <w:sz w:val="36"/>
      <w:szCs w:val="28"/>
      <w:lang w:eastAsia="cs-CZ"/>
    </w:rPr>
  </w:style>
  <w:style w:type="paragraph" w:styleId="Obsah1">
    <w:name w:val="toc 1"/>
    <w:basedOn w:val="Normln"/>
    <w:next w:val="Normln"/>
    <w:autoRedefine/>
    <w:uiPriority w:val="39"/>
    <w:unhideWhenUsed/>
    <w:rsid w:val="00D01850"/>
    <w:pPr>
      <w:tabs>
        <w:tab w:val="left" w:pos="440"/>
        <w:tab w:val="right" w:leader="dot" w:pos="9771"/>
      </w:tabs>
      <w:spacing w:before="240" w:after="100"/>
    </w:pPr>
    <w:rPr>
      <w:noProof/>
      <w:sz w:val="22"/>
    </w:rPr>
  </w:style>
  <w:style w:type="paragraph" w:customStyle="1" w:styleId="Obsah">
    <w:name w:val="Obsah"/>
    <w:basedOn w:val="Obsah2"/>
    <w:link w:val="ObsahChar"/>
    <w:qFormat/>
    <w:rsid w:val="00BA376B"/>
  </w:style>
  <w:style w:type="paragraph" w:customStyle="1" w:styleId="Titulnstrana">
    <w:name w:val="Titulní strana"/>
    <w:basedOn w:val="Normln"/>
    <w:link w:val="TitulnstranaChar"/>
    <w:qFormat/>
    <w:rsid w:val="00A25BC7"/>
    <w:pPr>
      <w:jc w:val="center"/>
    </w:pPr>
    <w:rPr>
      <w:b/>
      <w:sz w:val="28"/>
    </w:rPr>
  </w:style>
  <w:style w:type="character" w:customStyle="1" w:styleId="Obsah2Char">
    <w:name w:val="Obsah 2 Char"/>
    <w:basedOn w:val="Standardnpsmoodstavce"/>
    <w:link w:val="Obsah2"/>
    <w:uiPriority w:val="39"/>
    <w:rsid w:val="00D9419E"/>
    <w:rPr>
      <w:rFonts w:ascii="Arial" w:hAnsi="Arial" w:cs="Arial"/>
      <w:sz w:val="20"/>
      <w:lang w:eastAsia="cs-CZ"/>
    </w:rPr>
  </w:style>
  <w:style w:type="character" w:customStyle="1" w:styleId="ObsahChar">
    <w:name w:val="Obsah Char"/>
    <w:basedOn w:val="Obsah2Char"/>
    <w:link w:val="Obsah"/>
    <w:rsid w:val="00BA376B"/>
    <w:rPr>
      <w:rFonts w:ascii="Arial" w:hAnsi="Arial" w:cs="Arial"/>
      <w:sz w:val="20"/>
      <w:lang w:eastAsia="cs-CZ"/>
    </w:rPr>
  </w:style>
  <w:style w:type="character" w:customStyle="1" w:styleId="TitulnstranaChar">
    <w:name w:val="Titulní strana Char"/>
    <w:basedOn w:val="Standardnpsmoodstavce"/>
    <w:link w:val="Titulnstrana"/>
    <w:rsid w:val="00A25BC7"/>
    <w:rPr>
      <w:rFonts w:ascii="Arial" w:hAnsi="Arial" w:cs="Arial"/>
      <w:b/>
      <w:sz w:val="28"/>
      <w:lang w:eastAsia="cs-CZ"/>
    </w:rPr>
  </w:style>
  <w:style w:type="paragraph" w:styleId="Prosttext">
    <w:name w:val="Plain Text"/>
    <w:basedOn w:val="Normln"/>
    <w:link w:val="ProsttextChar"/>
    <w:uiPriority w:val="99"/>
    <w:unhideWhenUsed/>
    <w:rsid w:val="00051C47"/>
    <w:pPr>
      <w:spacing w:after="0" w:line="240" w:lineRule="auto"/>
      <w:jc w:val="left"/>
    </w:pPr>
    <w:rPr>
      <w:rFonts w:eastAsia="Calibri"/>
      <w:szCs w:val="20"/>
      <w:lang w:eastAsia="en-US"/>
    </w:rPr>
  </w:style>
  <w:style w:type="character" w:customStyle="1" w:styleId="ProsttextChar">
    <w:name w:val="Prostý text Char"/>
    <w:basedOn w:val="Standardnpsmoodstavce"/>
    <w:link w:val="Prosttext"/>
    <w:uiPriority w:val="99"/>
    <w:rsid w:val="00051C47"/>
    <w:rPr>
      <w:rFonts w:ascii="Arial" w:eastAsia="Calibri" w:hAnsi="Arial" w:cs="Arial"/>
      <w:sz w:val="20"/>
      <w:szCs w:val="20"/>
    </w:rPr>
  </w:style>
  <w:style w:type="character" w:customStyle="1" w:styleId="Nadpis3Char">
    <w:name w:val="Nadpis 3 Char"/>
    <w:basedOn w:val="Standardnpsmoodstavce"/>
    <w:link w:val="Nadpis3"/>
    <w:uiPriority w:val="9"/>
    <w:semiHidden/>
    <w:rsid w:val="00D01850"/>
    <w:rPr>
      <w:rFonts w:asciiTheme="majorHAnsi" w:eastAsiaTheme="majorEastAsia" w:hAnsiTheme="majorHAnsi" w:cstheme="majorBidi"/>
      <w:b/>
      <w:bCs/>
      <w:color w:val="4F81BD" w:themeColor="accent1"/>
      <w:sz w:val="20"/>
      <w:lang w:eastAsia="cs-CZ"/>
    </w:rPr>
  </w:style>
  <w:style w:type="character" w:customStyle="1" w:styleId="Nadpis4Char">
    <w:name w:val="Nadpis 4 Char"/>
    <w:basedOn w:val="Standardnpsmoodstavce"/>
    <w:link w:val="Nadpis4"/>
    <w:uiPriority w:val="9"/>
    <w:semiHidden/>
    <w:rsid w:val="00D01850"/>
    <w:rPr>
      <w:rFonts w:asciiTheme="majorHAnsi" w:eastAsiaTheme="majorEastAsia" w:hAnsiTheme="majorHAnsi" w:cstheme="majorBidi"/>
      <w:b/>
      <w:bCs/>
      <w:i/>
      <w:iCs/>
      <w:color w:val="4F81BD" w:themeColor="accent1"/>
      <w:sz w:val="20"/>
      <w:lang w:eastAsia="cs-CZ"/>
    </w:rPr>
  </w:style>
  <w:style w:type="character" w:customStyle="1" w:styleId="Nadpis5Char">
    <w:name w:val="Nadpis 5 Char"/>
    <w:basedOn w:val="Standardnpsmoodstavce"/>
    <w:link w:val="Nadpis5"/>
    <w:uiPriority w:val="9"/>
    <w:semiHidden/>
    <w:rsid w:val="00D01850"/>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uiPriority w:val="9"/>
    <w:semiHidden/>
    <w:rsid w:val="00D01850"/>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uiPriority w:val="9"/>
    <w:semiHidden/>
    <w:rsid w:val="00D01850"/>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uiPriority w:val="9"/>
    <w:semiHidden/>
    <w:rsid w:val="00D0185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01850"/>
    <w:rPr>
      <w:rFonts w:asciiTheme="majorHAnsi" w:eastAsiaTheme="majorEastAsia" w:hAnsiTheme="majorHAnsi" w:cstheme="majorBidi"/>
      <w:i/>
      <w:iCs/>
      <w:color w:val="404040" w:themeColor="text1" w:themeTint="BF"/>
      <w:sz w:val="20"/>
      <w:szCs w:val="20"/>
      <w:lang w:eastAsia="cs-CZ"/>
    </w:rPr>
  </w:style>
  <w:style w:type="table" w:styleId="Svtlmkazvraznn5">
    <w:name w:val="Light Grid Accent 5"/>
    <w:basedOn w:val="Normlntabulka"/>
    <w:uiPriority w:val="62"/>
    <w:rsid w:val="00D01850"/>
    <w:pPr>
      <w:spacing w:after="0" w:line="240" w:lineRule="auto"/>
    </w:pPr>
    <w:rPr>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ylproodstaveckvzvm">
    <w:name w:val="Styl pro odstavec k výzvám"/>
    <w:basedOn w:val="Normln"/>
    <w:link w:val="StylproodstaveckvzvmChar"/>
    <w:qFormat/>
    <w:rsid w:val="00C32820"/>
    <w:pPr>
      <w:numPr>
        <w:numId w:val="39"/>
      </w:numPr>
      <w:pBdr>
        <w:top w:val="nil"/>
        <w:left w:val="nil"/>
        <w:bottom w:val="nil"/>
        <w:right w:val="nil"/>
        <w:between w:val="nil"/>
        <w:bar w:val="nil"/>
      </w:pBdr>
      <w:ind w:left="425" w:hanging="357"/>
      <w:contextualSpacing/>
    </w:pPr>
    <w:rPr>
      <w:rFonts w:eastAsia="Times New Roman"/>
      <w:color w:val="000000" w:themeColor="text1"/>
      <w:szCs w:val="20"/>
      <w:bdr w:val="none" w:sz="0" w:space="0" w:color="auto" w:frame="1"/>
    </w:rPr>
  </w:style>
  <w:style w:type="character" w:customStyle="1" w:styleId="StylproodstaveckvzvmChar">
    <w:name w:val="Styl pro odstavec k výzvám Char"/>
    <w:basedOn w:val="Standardnpsmoodstavce"/>
    <w:link w:val="Stylproodstaveckvzvm"/>
    <w:rsid w:val="00C32820"/>
    <w:rPr>
      <w:rFonts w:ascii="Arial" w:eastAsia="Times New Roman" w:hAnsi="Arial" w:cs="Arial"/>
      <w:color w:val="000000" w:themeColor="text1"/>
      <w:sz w:val="20"/>
      <w:szCs w:val="20"/>
      <w:bdr w:val="none" w:sz="0" w:space="0" w:color="auto" w:frame="1"/>
      <w:lang w:eastAsia="cs-CZ"/>
    </w:rPr>
  </w:style>
  <w:style w:type="table" w:customStyle="1" w:styleId="Mkatabulky1">
    <w:name w:val="Mřížka tabulky1"/>
    <w:basedOn w:val="Normlntabulka"/>
    <w:next w:val="Mkatabulky"/>
    <w:uiPriority w:val="59"/>
    <w:rsid w:val="00C46018"/>
    <w:pPr>
      <w:spacing w:after="0" w:line="240" w:lineRule="auto"/>
    </w:pPr>
    <w:rPr>
      <w:rFonts w:eastAsia="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F25"/>
    <w:pPr>
      <w:spacing w:after="120" w:line="264" w:lineRule="auto"/>
      <w:jc w:val="both"/>
    </w:pPr>
    <w:rPr>
      <w:rFonts w:ascii="Arial" w:hAnsi="Arial" w:cs="Arial"/>
      <w:sz w:val="20"/>
      <w:lang w:eastAsia="cs-CZ"/>
    </w:rPr>
  </w:style>
  <w:style w:type="paragraph" w:styleId="Nadpis1">
    <w:name w:val="heading 1"/>
    <w:basedOn w:val="Normln"/>
    <w:next w:val="Normln"/>
    <w:link w:val="Nadpis1Char"/>
    <w:uiPriority w:val="9"/>
    <w:qFormat/>
    <w:rsid w:val="00D01850"/>
    <w:pPr>
      <w:keepNext/>
      <w:keepLines/>
      <w:numPr>
        <w:numId w:val="34"/>
      </w:numPr>
      <w:pBdr>
        <w:bottom w:val="single" w:sz="4" w:space="1" w:color="000099"/>
      </w:pBdr>
      <w:tabs>
        <w:tab w:val="left" w:pos="567"/>
      </w:tabs>
      <w:spacing w:before="120" w:after="240"/>
      <w:ind w:left="567" w:hanging="567"/>
      <w:outlineLvl w:val="0"/>
    </w:pPr>
    <w:rPr>
      <w:rFonts w:eastAsia="Calibri"/>
      <w:b/>
      <w:bCs/>
      <w:color w:val="000099"/>
      <w:sz w:val="44"/>
      <w:szCs w:val="28"/>
    </w:rPr>
  </w:style>
  <w:style w:type="paragraph" w:styleId="Nadpis2">
    <w:name w:val="heading 2"/>
    <w:basedOn w:val="Nadpis1"/>
    <w:next w:val="Normln"/>
    <w:link w:val="Nadpis2Char"/>
    <w:uiPriority w:val="9"/>
    <w:unhideWhenUsed/>
    <w:qFormat/>
    <w:rsid w:val="00D01850"/>
    <w:pPr>
      <w:numPr>
        <w:ilvl w:val="1"/>
      </w:numPr>
      <w:pBdr>
        <w:bottom w:val="none" w:sz="0" w:space="0" w:color="auto"/>
      </w:pBdr>
      <w:ind w:left="567" w:hanging="567"/>
      <w:outlineLvl w:val="1"/>
    </w:pPr>
    <w:rPr>
      <w:sz w:val="36"/>
    </w:rPr>
  </w:style>
  <w:style w:type="paragraph" w:styleId="Nadpis3">
    <w:name w:val="heading 3"/>
    <w:basedOn w:val="Normln"/>
    <w:next w:val="Normln"/>
    <w:link w:val="Nadpis3Char"/>
    <w:uiPriority w:val="9"/>
    <w:semiHidden/>
    <w:unhideWhenUsed/>
    <w:qFormat/>
    <w:rsid w:val="00D01850"/>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018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01850"/>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018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01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0185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0185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Text poznámky pod čiarou 007,Footnote,Fußnotentextf,Geneva 9,Font: Geneva 9,Boston 10,f,pozn. pod čarou,Char1,Char12"/>
    <w:basedOn w:val="Normln"/>
    <w:link w:val="TextpoznpodarouChar"/>
    <w:uiPriority w:val="99"/>
    <w:unhideWhenUsed/>
    <w:rsid w:val="008F4885"/>
    <w:pPr>
      <w:spacing w:after="0" w:line="240" w:lineRule="auto"/>
    </w:pPr>
    <w:rPr>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8F4885"/>
    <w:rPr>
      <w:sz w:val="20"/>
      <w:szCs w:val="20"/>
    </w:rPr>
  </w:style>
  <w:style w:type="paragraph" w:customStyle="1" w:styleId="TabulkaNOK-zdroj">
    <w:name w:val="Tabulka NOK - zdroj"/>
    <w:basedOn w:val="Normln"/>
    <w:link w:val="TabulkaNOK-zdrojChar"/>
    <w:rsid w:val="008F4885"/>
    <w:pPr>
      <w:spacing w:before="60" w:after="140"/>
    </w:pPr>
    <w:rPr>
      <w:rFonts w:ascii="Calibri" w:eastAsia="Times New Roman" w:hAnsi="Calibri" w:cs="Calibri"/>
      <w:sz w:val="18"/>
      <w:szCs w:val="18"/>
    </w:rPr>
  </w:style>
  <w:style w:type="character" w:customStyle="1" w:styleId="TabulkaNOK-zdrojChar">
    <w:name w:val="Tabulka NOK - zdroj Char"/>
    <w:basedOn w:val="Standardnpsmoodstavce"/>
    <w:link w:val="TabulkaNOK-zdroj"/>
    <w:rsid w:val="008F4885"/>
    <w:rPr>
      <w:rFonts w:ascii="Calibri" w:eastAsia="Times New Roman" w:hAnsi="Calibri" w:cs="Calibri"/>
      <w:sz w:val="18"/>
      <w:szCs w:val="18"/>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basedOn w:val="Standardnpsmoodstavce"/>
    <w:uiPriority w:val="99"/>
    <w:rsid w:val="008F4885"/>
    <w:rPr>
      <w:rFonts w:ascii="Calibri" w:hAnsi="Calibri" w:cs="Calibri"/>
      <w:color w:val="auto"/>
      <w:sz w:val="20"/>
      <w:szCs w:val="20"/>
      <w:u w:val="none"/>
      <w:vertAlign w:val="superscript"/>
      <w:lang w:val="cs-CZ" w:eastAsia="en-US"/>
    </w:rPr>
  </w:style>
  <w:style w:type="table" w:styleId="Mkatabulky">
    <w:name w:val="Table Grid"/>
    <w:basedOn w:val="Normlntabulka"/>
    <w:uiPriority w:val="99"/>
    <w:rsid w:val="008F4885"/>
    <w:pPr>
      <w:spacing w:after="0" w:line="240" w:lineRule="auto"/>
    </w:pPr>
    <w:rPr>
      <w:rFonts w:ascii="Calibri" w:eastAsia="Calibri" w:hAnsi="Calibri" w:cs="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F48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4885"/>
    <w:rPr>
      <w:rFonts w:ascii="Tahoma" w:hAnsi="Tahoma" w:cs="Tahoma"/>
      <w:sz w:val="16"/>
      <w:szCs w:val="16"/>
    </w:rPr>
  </w:style>
  <w:style w:type="character" w:customStyle="1" w:styleId="Nadpis2Char">
    <w:name w:val="Nadpis 2 Char"/>
    <w:basedOn w:val="Standardnpsmoodstavce"/>
    <w:link w:val="Nadpis2"/>
    <w:uiPriority w:val="9"/>
    <w:rsid w:val="00D01850"/>
    <w:rPr>
      <w:rFonts w:ascii="Arial" w:eastAsia="Calibri" w:hAnsi="Arial" w:cs="Arial"/>
      <w:b/>
      <w:bCs/>
      <w:color w:val="000099"/>
      <w:sz w:val="36"/>
      <w:szCs w:val="28"/>
      <w:lang w:eastAsia="cs-CZ"/>
    </w:rPr>
  </w:style>
  <w:style w:type="paragraph" w:styleId="Textkomente">
    <w:name w:val="annotation text"/>
    <w:basedOn w:val="Normln"/>
    <w:link w:val="TextkomenteChar"/>
    <w:uiPriority w:val="99"/>
    <w:unhideWhenUsed/>
    <w:rsid w:val="008F4885"/>
    <w:pPr>
      <w:spacing w:line="240" w:lineRule="auto"/>
    </w:pPr>
    <w:rPr>
      <w:szCs w:val="20"/>
    </w:rPr>
  </w:style>
  <w:style w:type="character" w:customStyle="1" w:styleId="TextkomenteChar">
    <w:name w:val="Text komentáře Char"/>
    <w:basedOn w:val="Standardnpsmoodstavce"/>
    <w:link w:val="Textkomente"/>
    <w:uiPriority w:val="99"/>
    <w:rsid w:val="008F4885"/>
    <w:rPr>
      <w:sz w:val="20"/>
      <w:szCs w:val="20"/>
    </w:rPr>
  </w:style>
  <w:style w:type="character" w:styleId="Odkaznakoment">
    <w:name w:val="annotation reference"/>
    <w:basedOn w:val="Standardnpsmoodstavce"/>
    <w:uiPriority w:val="99"/>
    <w:semiHidden/>
    <w:rsid w:val="008F4885"/>
    <w:rPr>
      <w:sz w:val="16"/>
      <w:szCs w:val="16"/>
    </w:rPr>
  </w:style>
  <w:style w:type="paragraph" w:styleId="Obsah2">
    <w:name w:val="toc 2"/>
    <w:basedOn w:val="Normln"/>
    <w:next w:val="Normln"/>
    <w:link w:val="Obsah2Char"/>
    <w:autoRedefine/>
    <w:uiPriority w:val="39"/>
    <w:unhideWhenUsed/>
    <w:rsid w:val="00D9419E"/>
    <w:pPr>
      <w:tabs>
        <w:tab w:val="left" w:pos="993"/>
        <w:tab w:val="right" w:leader="dot" w:pos="9356"/>
      </w:tabs>
      <w:spacing w:after="100"/>
      <w:ind w:left="426"/>
    </w:pPr>
  </w:style>
  <w:style w:type="paragraph" w:styleId="Zhlav">
    <w:name w:val="header"/>
    <w:basedOn w:val="Normln"/>
    <w:link w:val="ZhlavChar"/>
    <w:uiPriority w:val="99"/>
    <w:unhideWhenUsed/>
    <w:rsid w:val="00B01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AB4"/>
  </w:style>
  <w:style w:type="paragraph" w:styleId="Zpat">
    <w:name w:val="footer"/>
    <w:basedOn w:val="Normln"/>
    <w:link w:val="ZpatChar"/>
    <w:uiPriority w:val="99"/>
    <w:unhideWhenUsed/>
    <w:rsid w:val="00B01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AB4"/>
  </w:style>
  <w:style w:type="paragraph" w:styleId="Pedmtkomente">
    <w:name w:val="annotation subject"/>
    <w:basedOn w:val="Textkomente"/>
    <w:next w:val="Textkomente"/>
    <w:link w:val="PedmtkomenteChar"/>
    <w:uiPriority w:val="99"/>
    <w:semiHidden/>
    <w:unhideWhenUsed/>
    <w:rsid w:val="001C0BFC"/>
    <w:rPr>
      <w:b/>
      <w:bCs/>
    </w:rPr>
  </w:style>
  <w:style w:type="character" w:customStyle="1" w:styleId="PedmtkomenteChar">
    <w:name w:val="Předmět komentáře Char"/>
    <w:basedOn w:val="TextkomenteChar"/>
    <w:link w:val="Pedmtkomente"/>
    <w:uiPriority w:val="99"/>
    <w:semiHidden/>
    <w:rsid w:val="001C0BFC"/>
    <w:rPr>
      <w:b/>
      <w:bCs/>
      <w:sz w:val="20"/>
      <w:szCs w:val="20"/>
    </w:rPr>
  </w:style>
  <w:style w:type="paragraph" w:styleId="Zkladntext">
    <w:name w:val="Body Text"/>
    <w:basedOn w:val="Normln"/>
    <w:link w:val="ZkladntextChar"/>
    <w:uiPriority w:val="99"/>
    <w:unhideWhenUsed/>
    <w:rsid w:val="00132AC1"/>
    <w:pPr>
      <w:spacing w:before="120" w:line="312" w:lineRule="auto"/>
    </w:pPr>
    <w:rPr>
      <w:rFonts w:ascii="Calibri" w:eastAsia="Times New Roman" w:hAnsi="Calibri" w:cs="Calibri"/>
    </w:rPr>
  </w:style>
  <w:style w:type="character" w:customStyle="1" w:styleId="ZkladntextChar">
    <w:name w:val="Základní text Char"/>
    <w:basedOn w:val="Standardnpsmoodstavce"/>
    <w:link w:val="Zkladntext"/>
    <w:uiPriority w:val="99"/>
    <w:rsid w:val="00132AC1"/>
    <w:rPr>
      <w:rFonts w:ascii="Calibri" w:eastAsia="Times New Roman" w:hAnsi="Calibri" w:cs="Calibri"/>
    </w:rPr>
  </w:style>
  <w:style w:type="character" w:customStyle="1" w:styleId="TabulkaNOK-slaChar">
    <w:name w:val="Tabulka NOK - čísla Char"/>
    <w:basedOn w:val="Standardnpsmoodstavce"/>
    <w:link w:val="TabulkaNOK-sla"/>
    <w:uiPriority w:val="99"/>
    <w:locked/>
    <w:rsid w:val="00F9203B"/>
    <w:rPr>
      <w:rFonts w:ascii="Arial" w:eastAsia="Times New Roman" w:hAnsi="Arial" w:cs="Times New Roman"/>
      <w:sz w:val="16"/>
      <w:lang w:eastAsia="cs-CZ"/>
    </w:rPr>
  </w:style>
  <w:style w:type="paragraph" w:customStyle="1" w:styleId="TabulkaNOK-sla">
    <w:name w:val="Tabulka NOK - čísla"/>
    <w:basedOn w:val="Normln"/>
    <w:link w:val="TabulkaNOK-slaChar"/>
    <w:uiPriority w:val="99"/>
    <w:rsid w:val="00F9203B"/>
    <w:pPr>
      <w:spacing w:after="0" w:line="240" w:lineRule="auto"/>
      <w:jc w:val="right"/>
    </w:pPr>
    <w:rPr>
      <w:rFonts w:eastAsia="Times New Roman" w:cs="Times New Roman"/>
      <w:sz w:val="16"/>
    </w:rPr>
  </w:style>
  <w:style w:type="paragraph" w:styleId="Revize">
    <w:name w:val="Revision"/>
    <w:hidden/>
    <w:uiPriority w:val="99"/>
    <w:semiHidden/>
    <w:rsid w:val="00E47BFF"/>
    <w:pPr>
      <w:spacing w:after="0" w:line="240" w:lineRule="auto"/>
    </w:pPr>
  </w:style>
  <w:style w:type="character" w:styleId="Hypertextovodkaz">
    <w:name w:val="Hyperlink"/>
    <w:basedOn w:val="Standardnpsmoodstavce"/>
    <w:uiPriority w:val="99"/>
    <w:unhideWhenUsed/>
    <w:rsid w:val="000E76A2"/>
    <w:rPr>
      <w:color w:val="0000FF" w:themeColor="hyperlink"/>
      <w:u w:val="single"/>
    </w:rPr>
  </w:style>
  <w:style w:type="paragraph" w:styleId="Odstavecseseznamem">
    <w:name w:val="List Paragraph"/>
    <w:aliases w:val="Nad,Odstavec cíl se seznamem,Odstavec se seznamem5,Odstavec_muj,_Odstavec se seznamem,Seznam - odrážky,Conclusion de partie"/>
    <w:basedOn w:val="Normln"/>
    <w:link w:val="OdstavecseseznamemChar"/>
    <w:uiPriority w:val="34"/>
    <w:qFormat/>
    <w:rsid w:val="008A5BCF"/>
    <w:pPr>
      <w:spacing w:after="0" w:line="240" w:lineRule="auto"/>
      <w:ind w:left="720"/>
    </w:pPr>
    <w:rPr>
      <w:rFonts w:ascii="Calibri" w:hAnsi="Calibri" w:cs="Times New Roman"/>
    </w:rPr>
  </w:style>
  <w:style w:type="character" w:customStyle="1" w:styleId="Nadpis1Char">
    <w:name w:val="Nadpis 1 Char"/>
    <w:basedOn w:val="Standardnpsmoodstavce"/>
    <w:link w:val="Nadpis1"/>
    <w:uiPriority w:val="9"/>
    <w:rsid w:val="00D01850"/>
    <w:rPr>
      <w:rFonts w:ascii="Arial" w:eastAsia="Calibri" w:hAnsi="Arial" w:cs="Arial"/>
      <w:b/>
      <w:bCs/>
      <w:color w:val="000099"/>
      <w:sz w:val="44"/>
      <w:szCs w:val="28"/>
      <w:lang w:eastAsia="cs-CZ"/>
    </w:rPr>
  </w:style>
  <w:style w:type="paragraph" w:styleId="Nadpisobsahu">
    <w:name w:val="TOC Heading"/>
    <w:basedOn w:val="Nadpis1"/>
    <w:next w:val="Normln"/>
    <w:uiPriority w:val="39"/>
    <w:unhideWhenUsed/>
    <w:qFormat/>
    <w:rsid w:val="00D44062"/>
    <w:pPr>
      <w:outlineLvl w:val="9"/>
    </w:pPr>
  </w:style>
  <w:style w:type="paragraph" w:customStyle="1" w:styleId="TextNOK">
    <w:name w:val="Text NOK"/>
    <w:basedOn w:val="Normln"/>
    <w:link w:val="TextNOKChar"/>
    <w:qFormat/>
    <w:rsid w:val="00A32B38"/>
    <w:pPr>
      <w:spacing w:before="120" w:line="312" w:lineRule="auto"/>
    </w:pPr>
    <w:rPr>
      <w:rFonts w:ascii="Calibri" w:eastAsia="Times New Roman" w:hAnsi="Calibri" w:cs="Calibri"/>
    </w:rPr>
  </w:style>
  <w:style w:type="character" w:customStyle="1" w:styleId="OdstavecseseznamemChar">
    <w:name w:val="Odstavec se seznamem Char"/>
    <w:aliases w:val="Nad Char,Odstavec cíl se seznamem Char,Odstavec se seznamem5 Char,Odstavec_muj Char,_Odstavec se seznamem Char,Seznam - odrážky Char,Conclusion de partie Char"/>
    <w:link w:val="Odstavecseseznamem"/>
    <w:uiPriority w:val="34"/>
    <w:locked/>
    <w:rsid w:val="00C53D73"/>
    <w:rPr>
      <w:rFonts w:ascii="Calibri" w:hAnsi="Calibri" w:cs="Times New Roman"/>
      <w:lang w:eastAsia="cs-CZ"/>
    </w:rPr>
  </w:style>
  <w:style w:type="paragraph" w:customStyle="1" w:styleId="Titulektabulky">
    <w:name w:val="Titulek tabulky"/>
    <w:aliases w:val="grafu"/>
    <w:basedOn w:val="Normln"/>
    <w:qFormat/>
    <w:rsid w:val="00915877"/>
    <w:pPr>
      <w:keepNext/>
      <w:spacing w:before="120" w:after="0"/>
    </w:pPr>
    <w:rPr>
      <w:rFonts w:eastAsia="Times New Roman"/>
      <w:b/>
      <w:bCs/>
      <w:i/>
      <w:iCs/>
    </w:rPr>
  </w:style>
  <w:style w:type="paragraph" w:styleId="Titulek">
    <w:name w:val="caption"/>
    <w:aliases w:val="Titulek Char,Caption Char3,Caption Char2 Char,Caption Char1 Char Char,Caption Char Char Char Char,Caption Char Char1 Char,Caption Char1 Char1,Caption Char Char Char1,Caption Char Char2"/>
    <w:basedOn w:val="Normln"/>
    <w:next w:val="Normln"/>
    <w:link w:val="TitulekChar1"/>
    <w:uiPriority w:val="35"/>
    <w:qFormat/>
    <w:rsid w:val="00964F52"/>
    <w:pPr>
      <w:spacing w:line="240" w:lineRule="auto"/>
    </w:pPr>
    <w:rPr>
      <w:rFonts w:ascii="Times New Roman" w:hAnsi="Times New Roman"/>
      <w:b/>
      <w:bCs/>
      <w:color w:val="4F81BD"/>
      <w:sz w:val="18"/>
      <w:szCs w:val="18"/>
    </w:rPr>
  </w:style>
  <w:style w:type="character" w:customStyle="1" w:styleId="TitulekChar1">
    <w:name w:val="Titulek Char1"/>
    <w:aliases w:val="Titulek Char Char,Caption Char3 Char,Caption Char2 Char Char,Caption Char1 Char Char Char,Caption Char Char Char Char Char,Caption Char Char1 Char Char,Caption Char1 Char1 Char,Caption Char Char Char1 Char,Caption Char Char2 Char"/>
    <w:link w:val="Titulek"/>
    <w:uiPriority w:val="35"/>
    <w:locked/>
    <w:rsid w:val="00964F52"/>
    <w:rPr>
      <w:rFonts w:ascii="Times New Roman" w:hAnsi="Times New Roman"/>
      <w:b/>
      <w:bCs/>
      <w:color w:val="4F81BD"/>
      <w:sz w:val="18"/>
      <w:szCs w:val="18"/>
      <w:lang w:eastAsia="cs-CZ"/>
    </w:rPr>
  </w:style>
  <w:style w:type="paragraph" w:customStyle="1" w:styleId="Tabulkanadpis">
    <w:name w:val="Tabulka_nadpis"/>
    <w:basedOn w:val="Normln"/>
    <w:link w:val="TabulkanadpisChar"/>
    <w:uiPriority w:val="99"/>
    <w:qFormat/>
    <w:rsid w:val="00964F52"/>
    <w:pPr>
      <w:keepNext/>
      <w:spacing w:after="0" w:line="240" w:lineRule="auto"/>
    </w:pPr>
    <w:rPr>
      <w:rFonts w:eastAsia="Times New Roman" w:cs="Times New Roman"/>
      <w:b/>
      <w:i/>
      <w:sz w:val="18"/>
      <w:szCs w:val="16"/>
    </w:rPr>
  </w:style>
  <w:style w:type="character" w:customStyle="1" w:styleId="TabulkanadpisChar">
    <w:name w:val="Tabulka_nadpis Char"/>
    <w:link w:val="Tabulkanadpis"/>
    <w:uiPriority w:val="99"/>
    <w:locked/>
    <w:rsid w:val="00964F52"/>
    <w:rPr>
      <w:rFonts w:ascii="Arial" w:eastAsia="Times New Roman" w:hAnsi="Arial" w:cs="Times New Roman"/>
      <w:b/>
      <w:i/>
      <w:sz w:val="18"/>
      <w:szCs w:val="16"/>
    </w:rPr>
  </w:style>
  <w:style w:type="paragraph" w:customStyle="1" w:styleId="TabulkaNOK-poznmka">
    <w:name w:val="Tabulka NOK - poznámka"/>
    <w:basedOn w:val="Normln"/>
    <w:link w:val="TabulkaNOK-poznmkaChar"/>
    <w:uiPriority w:val="99"/>
    <w:rsid w:val="00964F52"/>
    <w:pPr>
      <w:tabs>
        <w:tab w:val="left" w:pos="284"/>
      </w:tabs>
      <w:spacing w:after="0" w:line="240" w:lineRule="auto"/>
    </w:pPr>
    <w:rPr>
      <w:rFonts w:eastAsia="Calibri" w:cs="Times New Roman"/>
      <w:sz w:val="18"/>
      <w:szCs w:val="24"/>
    </w:rPr>
  </w:style>
  <w:style w:type="character" w:customStyle="1" w:styleId="TabulkaNOK-poznmkaChar">
    <w:name w:val="Tabulka NOK - poznámka Char"/>
    <w:link w:val="TabulkaNOK-poznmka"/>
    <w:uiPriority w:val="99"/>
    <w:locked/>
    <w:rsid w:val="00964F52"/>
    <w:rPr>
      <w:rFonts w:ascii="Arial" w:eastAsia="Calibri" w:hAnsi="Arial" w:cs="Times New Roman"/>
      <w:sz w:val="18"/>
      <w:szCs w:val="24"/>
      <w:lang w:eastAsia="cs-CZ"/>
    </w:rPr>
  </w:style>
  <w:style w:type="character" w:customStyle="1" w:styleId="TextNOKChar">
    <w:name w:val="Text NOK Char"/>
    <w:link w:val="TextNOK"/>
    <w:locked/>
    <w:rsid w:val="00964F52"/>
    <w:rPr>
      <w:rFonts w:ascii="Calibri" w:eastAsia="Times New Roman" w:hAnsi="Calibri" w:cs="Calibri"/>
      <w:lang w:eastAsia="cs-CZ"/>
    </w:rPr>
  </w:style>
  <w:style w:type="paragraph" w:customStyle="1" w:styleId="vodzvr">
    <w:name w:val="Úvod/závěr"/>
    <w:basedOn w:val="Nadpis1"/>
    <w:link w:val="vodzvrChar"/>
    <w:qFormat/>
    <w:rsid w:val="00BA376B"/>
    <w:pPr>
      <w:numPr>
        <w:numId w:val="0"/>
      </w:numPr>
      <w:ind w:left="567" w:hanging="567"/>
    </w:pPr>
  </w:style>
  <w:style w:type="character" w:customStyle="1" w:styleId="vodzvrChar">
    <w:name w:val="Úvod/závěr Char"/>
    <w:basedOn w:val="Nadpis1Char"/>
    <w:link w:val="vodzvr"/>
    <w:rsid w:val="00BA376B"/>
    <w:rPr>
      <w:rFonts w:ascii="Arial" w:eastAsia="Calibri" w:hAnsi="Arial" w:cs="Arial"/>
      <w:b/>
      <w:bCs/>
      <w:color w:val="000099"/>
      <w:sz w:val="36"/>
      <w:szCs w:val="28"/>
      <w:lang w:eastAsia="cs-CZ"/>
    </w:rPr>
  </w:style>
  <w:style w:type="paragraph" w:styleId="Obsah1">
    <w:name w:val="toc 1"/>
    <w:basedOn w:val="Normln"/>
    <w:next w:val="Normln"/>
    <w:autoRedefine/>
    <w:uiPriority w:val="39"/>
    <w:unhideWhenUsed/>
    <w:rsid w:val="00D01850"/>
    <w:pPr>
      <w:tabs>
        <w:tab w:val="left" w:pos="440"/>
        <w:tab w:val="right" w:leader="dot" w:pos="9771"/>
      </w:tabs>
      <w:spacing w:before="240" w:after="100"/>
    </w:pPr>
    <w:rPr>
      <w:noProof/>
      <w:sz w:val="22"/>
    </w:rPr>
  </w:style>
  <w:style w:type="paragraph" w:customStyle="1" w:styleId="Obsah">
    <w:name w:val="Obsah"/>
    <w:basedOn w:val="Obsah2"/>
    <w:link w:val="ObsahChar"/>
    <w:qFormat/>
    <w:rsid w:val="00BA376B"/>
  </w:style>
  <w:style w:type="paragraph" w:customStyle="1" w:styleId="Titulnstrana">
    <w:name w:val="Titulní strana"/>
    <w:basedOn w:val="Normln"/>
    <w:link w:val="TitulnstranaChar"/>
    <w:qFormat/>
    <w:rsid w:val="00A25BC7"/>
    <w:pPr>
      <w:jc w:val="center"/>
    </w:pPr>
    <w:rPr>
      <w:b/>
      <w:sz w:val="28"/>
    </w:rPr>
  </w:style>
  <w:style w:type="character" w:customStyle="1" w:styleId="Obsah2Char">
    <w:name w:val="Obsah 2 Char"/>
    <w:basedOn w:val="Standardnpsmoodstavce"/>
    <w:link w:val="Obsah2"/>
    <w:uiPriority w:val="39"/>
    <w:rsid w:val="00D9419E"/>
    <w:rPr>
      <w:rFonts w:ascii="Arial" w:hAnsi="Arial" w:cs="Arial"/>
      <w:sz w:val="20"/>
      <w:lang w:eastAsia="cs-CZ"/>
    </w:rPr>
  </w:style>
  <w:style w:type="character" w:customStyle="1" w:styleId="ObsahChar">
    <w:name w:val="Obsah Char"/>
    <w:basedOn w:val="Obsah2Char"/>
    <w:link w:val="Obsah"/>
    <w:rsid w:val="00BA376B"/>
    <w:rPr>
      <w:rFonts w:ascii="Arial" w:hAnsi="Arial" w:cs="Arial"/>
      <w:sz w:val="20"/>
      <w:lang w:eastAsia="cs-CZ"/>
    </w:rPr>
  </w:style>
  <w:style w:type="character" w:customStyle="1" w:styleId="TitulnstranaChar">
    <w:name w:val="Titulní strana Char"/>
    <w:basedOn w:val="Standardnpsmoodstavce"/>
    <w:link w:val="Titulnstrana"/>
    <w:rsid w:val="00A25BC7"/>
    <w:rPr>
      <w:rFonts w:ascii="Arial" w:hAnsi="Arial" w:cs="Arial"/>
      <w:b/>
      <w:sz w:val="28"/>
      <w:lang w:eastAsia="cs-CZ"/>
    </w:rPr>
  </w:style>
  <w:style w:type="paragraph" w:styleId="Prosttext">
    <w:name w:val="Plain Text"/>
    <w:basedOn w:val="Normln"/>
    <w:link w:val="ProsttextChar"/>
    <w:uiPriority w:val="99"/>
    <w:unhideWhenUsed/>
    <w:rsid w:val="00051C47"/>
    <w:pPr>
      <w:spacing w:after="0" w:line="240" w:lineRule="auto"/>
      <w:jc w:val="left"/>
    </w:pPr>
    <w:rPr>
      <w:rFonts w:eastAsia="Calibri"/>
      <w:szCs w:val="20"/>
      <w:lang w:eastAsia="en-US"/>
    </w:rPr>
  </w:style>
  <w:style w:type="character" w:customStyle="1" w:styleId="ProsttextChar">
    <w:name w:val="Prostý text Char"/>
    <w:basedOn w:val="Standardnpsmoodstavce"/>
    <w:link w:val="Prosttext"/>
    <w:uiPriority w:val="99"/>
    <w:rsid w:val="00051C47"/>
    <w:rPr>
      <w:rFonts w:ascii="Arial" w:eastAsia="Calibri" w:hAnsi="Arial" w:cs="Arial"/>
      <w:sz w:val="20"/>
      <w:szCs w:val="20"/>
    </w:rPr>
  </w:style>
  <w:style w:type="character" w:customStyle="1" w:styleId="Nadpis3Char">
    <w:name w:val="Nadpis 3 Char"/>
    <w:basedOn w:val="Standardnpsmoodstavce"/>
    <w:link w:val="Nadpis3"/>
    <w:uiPriority w:val="9"/>
    <w:semiHidden/>
    <w:rsid w:val="00D01850"/>
    <w:rPr>
      <w:rFonts w:asciiTheme="majorHAnsi" w:eastAsiaTheme="majorEastAsia" w:hAnsiTheme="majorHAnsi" w:cstheme="majorBidi"/>
      <w:b/>
      <w:bCs/>
      <w:color w:val="4F81BD" w:themeColor="accent1"/>
      <w:sz w:val="20"/>
      <w:lang w:eastAsia="cs-CZ"/>
    </w:rPr>
  </w:style>
  <w:style w:type="character" w:customStyle="1" w:styleId="Nadpis4Char">
    <w:name w:val="Nadpis 4 Char"/>
    <w:basedOn w:val="Standardnpsmoodstavce"/>
    <w:link w:val="Nadpis4"/>
    <w:uiPriority w:val="9"/>
    <w:semiHidden/>
    <w:rsid w:val="00D01850"/>
    <w:rPr>
      <w:rFonts w:asciiTheme="majorHAnsi" w:eastAsiaTheme="majorEastAsia" w:hAnsiTheme="majorHAnsi" w:cstheme="majorBidi"/>
      <w:b/>
      <w:bCs/>
      <w:i/>
      <w:iCs/>
      <w:color w:val="4F81BD" w:themeColor="accent1"/>
      <w:sz w:val="20"/>
      <w:lang w:eastAsia="cs-CZ"/>
    </w:rPr>
  </w:style>
  <w:style w:type="character" w:customStyle="1" w:styleId="Nadpis5Char">
    <w:name w:val="Nadpis 5 Char"/>
    <w:basedOn w:val="Standardnpsmoodstavce"/>
    <w:link w:val="Nadpis5"/>
    <w:uiPriority w:val="9"/>
    <w:semiHidden/>
    <w:rsid w:val="00D01850"/>
    <w:rPr>
      <w:rFonts w:asciiTheme="majorHAnsi" w:eastAsiaTheme="majorEastAsia" w:hAnsiTheme="majorHAnsi" w:cstheme="majorBidi"/>
      <w:color w:val="243F60" w:themeColor="accent1" w:themeShade="7F"/>
      <w:sz w:val="20"/>
      <w:lang w:eastAsia="cs-CZ"/>
    </w:rPr>
  </w:style>
  <w:style w:type="character" w:customStyle="1" w:styleId="Nadpis6Char">
    <w:name w:val="Nadpis 6 Char"/>
    <w:basedOn w:val="Standardnpsmoodstavce"/>
    <w:link w:val="Nadpis6"/>
    <w:uiPriority w:val="9"/>
    <w:semiHidden/>
    <w:rsid w:val="00D01850"/>
    <w:rPr>
      <w:rFonts w:asciiTheme="majorHAnsi" w:eastAsiaTheme="majorEastAsia" w:hAnsiTheme="majorHAnsi" w:cstheme="majorBidi"/>
      <w:i/>
      <w:iCs/>
      <w:color w:val="243F60" w:themeColor="accent1" w:themeShade="7F"/>
      <w:sz w:val="20"/>
      <w:lang w:eastAsia="cs-CZ"/>
    </w:rPr>
  </w:style>
  <w:style w:type="character" w:customStyle="1" w:styleId="Nadpis7Char">
    <w:name w:val="Nadpis 7 Char"/>
    <w:basedOn w:val="Standardnpsmoodstavce"/>
    <w:link w:val="Nadpis7"/>
    <w:uiPriority w:val="9"/>
    <w:semiHidden/>
    <w:rsid w:val="00D01850"/>
    <w:rPr>
      <w:rFonts w:asciiTheme="majorHAnsi" w:eastAsiaTheme="majorEastAsia" w:hAnsiTheme="majorHAnsi" w:cstheme="majorBidi"/>
      <w:i/>
      <w:iCs/>
      <w:color w:val="404040" w:themeColor="text1" w:themeTint="BF"/>
      <w:sz w:val="20"/>
      <w:lang w:eastAsia="cs-CZ"/>
    </w:rPr>
  </w:style>
  <w:style w:type="character" w:customStyle="1" w:styleId="Nadpis8Char">
    <w:name w:val="Nadpis 8 Char"/>
    <w:basedOn w:val="Standardnpsmoodstavce"/>
    <w:link w:val="Nadpis8"/>
    <w:uiPriority w:val="9"/>
    <w:semiHidden/>
    <w:rsid w:val="00D0185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01850"/>
    <w:rPr>
      <w:rFonts w:asciiTheme="majorHAnsi" w:eastAsiaTheme="majorEastAsia" w:hAnsiTheme="majorHAnsi" w:cstheme="majorBidi"/>
      <w:i/>
      <w:iCs/>
      <w:color w:val="404040" w:themeColor="text1" w:themeTint="BF"/>
      <w:sz w:val="20"/>
      <w:szCs w:val="20"/>
      <w:lang w:eastAsia="cs-CZ"/>
    </w:rPr>
  </w:style>
  <w:style w:type="table" w:styleId="Svtlmkazvraznn5">
    <w:name w:val="Light Grid Accent 5"/>
    <w:basedOn w:val="Normlntabulka"/>
    <w:uiPriority w:val="62"/>
    <w:rsid w:val="00D01850"/>
    <w:pPr>
      <w:spacing w:after="0" w:line="240" w:lineRule="auto"/>
    </w:pPr>
    <w:rPr>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tylproodstaveckvzvm">
    <w:name w:val="Styl pro odstavec k výzvám"/>
    <w:basedOn w:val="Normln"/>
    <w:link w:val="StylproodstaveckvzvmChar"/>
    <w:qFormat/>
    <w:rsid w:val="00C32820"/>
    <w:pPr>
      <w:numPr>
        <w:numId w:val="39"/>
      </w:numPr>
      <w:pBdr>
        <w:top w:val="nil"/>
        <w:left w:val="nil"/>
        <w:bottom w:val="nil"/>
        <w:right w:val="nil"/>
        <w:between w:val="nil"/>
        <w:bar w:val="nil"/>
      </w:pBdr>
      <w:ind w:left="425" w:hanging="357"/>
      <w:contextualSpacing/>
    </w:pPr>
    <w:rPr>
      <w:rFonts w:eastAsia="Times New Roman"/>
      <w:color w:val="000000" w:themeColor="text1"/>
      <w:szCs w:val="20"/>
      <w:bdr w:val="none" w:sz="0" w:space="0" w:color="auto" w:frame="1"/>
    </w:rPr>
  </w:style>
  <w:style w:type="character" w:customStyle="1" w:styleId="StylproodstaveckvzvmChar">
    <w:name w:val="Styl pro odstavec k výzvám Char"/>
    <w:basedOn w:val="Standardnpsmoodstavce"/>
    <w:link w:val="Stylproodstaveckvzvm"/>
    <w:rsid w:val="00C32820"/>
    <w:rPr>
      <w:rFonts w:ascii="Arial" w:eastAsia="Times New Roman" w:hAnsi="Arial" w:cs="Arial"/>
      <w:color w:val="000000" w:themeColor="text1"/>
      <w:sz w:val="20"/>
      <w:szCs w:val="20"/>
      <w:bdr w:val="none" w:sz="0" w:space="0" w:color="auto" w:frame="1"/>
      <w:lang w:eastAsia="cs-CZ"/>
    </w:rPr>
  </w:style>
  <w:style w:type="table" w:customStyle="1" w:styleId="Mkatabulky1">
    <w:name w:val="Mřížka tabulky1"/>
    <w:basedOn w:val="Normlntabulka"/>
    <w:next w:val="Mkatabulky"/>
    <w:uiPriority w:val="59"/>
    <w:rsid w:val="00C46018"/>
    <w:pPr>
      <w:spacing w:after="0" w:line="240" w:lineRule="auto"/>
    </w:pPr>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1214716">
      <w:bodyDiv w:val="1"/>
      <w:marLeft w:val="0"/>
      <w:marRight w:val="0"/>
      <w:marTop w:val="0"/>
      <w:marBottom w:val="0"/>
      <w:divBdr>
        <w:top w:val="none" w:sz="0" w:space="0" w:color="auto"/>
        <w:left w:val="none" w:sz="0" w:space="0" w:color="auto"/>
        <w:bottom w:val="none" w:sz="0" w:space="0" w:color="auto"/>
        <w:right w:val="none" w:sz="0" w:space="0" w:color="auto"/>
      </w:divBdr>
    </w:div>
    <w:div w:id="173813674">
      <w:bodyDiv w:val="1"/>
      <w:marLeft w:val="0"/>
      <w:marRight w:val="0"/>
      <w:marTop w:val="0"/>
      <w:marBottom w:val="0"/>
      <w:divBdr>
        <w:top w:val="none" w:sz="0" w:space="0" w:color="auto"/>
        <w:left w:val="none" w:sz="0" w:space="0" w:color="auto"/>
        <w:bottom w:val="none" w:sz="0" w:space="0" w:color="auto"/>
        <w:right w:val="none" w:sz="0" w:space="0" w:color="auto"/>
      </w:divBdr>
    </w:div>
    <w:div w:id="175777998">
      <w:bodyDiv w:val="1"/>
      <w:marLeft w:val="0"/>
      <w:marRight w:val="0"/>
      <w:marTop w:val="0"/>
      <w:marBottom w:val="0"/>
      <w:divBdr>
        <w:top w:val="none" w:sz="0" w:space="0" w:color="auto"/>
        <w:left w:val="none" w:sz="0" w:space="0" w:color="auto"/>
        <w:bottom w:val="none" w:sz="0" w:space="0" w:color="auto"/>
        <w:right w:val="none" w:sz="0" w:space="0" w:color="auto"/>
      </w:divBdr>
    </w:div>
    <w:div w:id="209802917">
      <w:bodyDiv w:val="1"/>
      <w:marLeft w:val="0"/>
      <w:marRight w:val="0"/>
      <w:marTop w:val="0"/>
      <w:marBottom w:val="0"/>
      <w:divBdr>
        <w:top w:val="none" w:sz="0" w:space="0" w:color="auto"/>
        <w:left w:val="none" w:sz="0" w:space="0" w:color="auto"/>
        <w:bottom w:val="none" w:sz="0" w:space="0" w:color="auto"/>
        <w:right w:val="none" w:sz="0" w:space="0" w:color="auto"/>
      </w:divBdr>
    </w:div>
    <w:div w:id="352540351">
      <w:bodyDiv w:val="1"/>
      <w:marLeft w:val="0"/>
      <w:marRight w:val="0"/>
      <w:marTop w:val="0"/>
      <w:marBottom w:val="0"/>
      <w:divBdr>
        <w:top w:val="none" w:sz="0" w:space="0" w:color="auto"/>
        <w:left w:val="none" w:sz="0" w:space="0" w:color="auto"/>
        <w:bottom w:val="none" w:sz="0" w:space="0" w:color="auto"/>
        <w:right w:val="none" w:sz="0" w:space="0" w:color="auto"/>
      </w:divBdr>
    </w:div>
    <w:div w:id="395322942">
      <w:bodyDiv w:val="1"/>
      <w:marLeft w:val="0"/>
      <w:marRight w:val="0"/>
      <w:marTop w:val="0"/>
      <w:marBottom w:val="0"/>
      <w:divBdr>
        <w:top w:val="none" w:sz="0" w:space="0" w:color="auto"/>
        <w:left w:val="none" w:sz="0" w:space="0" w:color="auto"/>
        <w:bottom w:val="none" w:sz="0" w:space="0" w:color="auto"/>
        <w:right w:val="none" w:sz="0" w:space="0" w:color="auto"/>
      </w:divBdr>
    </w:div>
    <w:div w:id="409624394">
      <w:bodyDiv w:val="1"/>
      <w:marLeft w:val="0"/>
      <w:marRight w:val="0"/>
      <w:marTop w:val="0"/>
      <w:marBottom w:val="0"/>
      <w:divBdr>
        <w:top w:val="none" w:sz="0" w:space="0" w:color="auto"/>
        <w:left w:val="none" w:sz="0" w:space="0" w:color="auto"/>
        <w:bottom w:val="none" w:sz="0" w:space="0" w:color="auto"/>
        <w:right w:val="none" w:sz="0" w:space="0" w:color="auto"/>
      </w:divBdr>
    </w:div>
    <w:div w:id="458886428">
      <w:bodyDiv w:val="1"/>
      <w:marLeft w:val="0"/>
      <w:marRight w:val="0"/>
      <w:marTop w:val="0"/>
      <w:marBottom w:val="0"/>
      <w:divBdr>
        <w:top w:val="none" w:sz="0" w:space="0" w:color="auto"/>
        <w:left w:val="none" w:sz="0" w:space="0" w:color="auto"/>
        <w:bottom w:val="none" w:sz="0" w:space="0" w:color="auto"/>
        <w:right w:val="none" w:sz="0" w:space="0" w:color="auto"/>
      </w:divBdr>
    </w:div>
    <w:div w:id="478687846">
      <w:bodyDiv w:val="1"/>
      <w:marLeft w:val="0"/>
      <w:marRight w:val="0"/>
      <w:marTop w:val="0"/>
      <w:marBottom w:val="0"/>
      <w:divBdr>
        <w:top w:val="none" w:sz="0" w:space="0" w:color="auto"/>
        <w:left w:val="none" w:sz="0" w:space="0" w:color="auto"/>
        <w:bottom w:val="none" w:sz="0" w:space="0" w:color="auto"/>
        <w:right w:val="none" w:sz="0" w:space="0" w:color="auto"/>
      </w:divBdr>
    </w:div>
    <w:div w:id="497427663">
      <w:bodyDiv w:val="1"/>
      <w:marLeft w:val="0"/>
      <w:marRight w:val="0"/>
      <w:marTop w:val="0"/>
      <w:marBottom w:val="0"/>
      <w:divBdr>
        <w:top w:val="none" w:sz="0" w:space="0" w:color="auto"/>
        <w:left w:val="none" w:sz="0" w:space="0" w:color="auto"/>
        <w:bottom w:val="none" w:sz="0" w:space="0" w:color="auto"/>
        <w:right w:val="none" w:sz="0" w:space="0" w:color="auto"/>
      </w:divBdr>
    </w:div>
    <w:div w:id="603268247">
      <w:bodyDiv w:val="1"/>
      <w:marLeft w:val="0"/>
      <w:marRight w:val="0"/>
      <w:marTop w:val="0"/>
      <w:marBottom w:val="0"/>
      <w:divBdr>
        <w:top w:val="none" w:sz="0" w:space="0" w:color="auto"/>
        <w:left w:val="none" w:sz="0" w:space="0" w:color="auto"/>
        <w:bottom w:val="none" w:sz="0" w:space="0" w:color="auto"/>
        <w:right w:val="none" w:sz="0" w:space="0" w:color="auto"/>
      </w:divBdr>
    </w:div>
    <w:div w:id="844325013">
      <w:bodyDiv w:val="1"/>
      <w:marLeft w:val="0"/>
      <w:marRight w:val="0"/>
      <w:marTop w:val="0"/>
      <w:marBottom w:val="0"/>
      <w:divBdr>
        <w:top w:val="none" w:sz="0" w:space="0" w:color="auto"/>
        <w:left w:val="none" w:sz="0" w:space="0" w:color="auto"/>
        <w:bottom w:val="none" w:sz="0" w:space="0" w:color="auto"/>
        <w:right w:val="none" w:sz="0" w:space="0" w:color="auto"/>
      </w:divBdr>
    </w:div>
    <w:div w:id="911161176">
      <w:bodyDiv w:val="1"/>
      <w:marLeft w:val="0"/>
      <w:marRight w:val="0"/>
      <w:marTop w:val="0"/>
      <w:marBottom w:val="0"/>
      <w:divBdr>
        <w:top w:val="none" w:sz="0" w:space="0" w:color="auto"/>
        <w:left w:val="none" w:sz="0" w:space="0" w:color="auto"/>
        <w:bottom w:val="none" w:sz="0" w:space="0" w:color="auto"/>
        <w:right w:val="none" w:sz="0" w:space="0" w:color="auto"/>
      </w:divBdr>
    </w:div>
    <w:div w:id="953900953">
      <w:bodyDiv w:val="1"/>
      <w:marLeft w:val="0"/>
      <w:marRight w:val="0"/>
      <w:marTop w:val="0"/>
      <w:marBottom w:val="0"/>
      <w:divBdr>
        <w:top w:val="none" w:sz="0" w:space="0" w:color="auto"/>
        <w:left w:val="none" w:sz="0" w:space="0" w:color="auto"/>
        <w:bottom w:val="none" w:sz="0" w:space="0" w:color="auto"/>
        <w:right w:val="none" w:sz="0" w:space="0" w:color="auto"/>
      </w:divBdr>
    </w:div>
    <w:div w:id="980187516">
      <w:bodyDiv w:val="1"/>
      <w:marLeft w:val="0"/>
      <w:marRight w:val="0"/>
      <w:marTop w:val="0"/>
      <w:marBottom w:val="0"/>
      <w:divBdr>
        <w:top w:val="none" w:sz="0" w:space="0" w:color="auto"/>
        <w:left w:val="none" w:sz="0" w:space="0" w:color="auto"/>
        <w:bottom w:val="none" w:sz="0" w:space="0" w:color="auto"/>
        <w:right w:val="none" w:sz="0" w:space="0" w:color="auto"/>
      </w:divBdr>
    </w:div>
    <w:div w:id="1050694319">
      <w:bodyDiv w:val="1"/>
      <w:marLeft w:val="0"/>
      <w:marRight w:val="0"/>
      <w:marTop w:val="0"/>
      <w:marBottom w:val="0"/>
      <w:divBdr>
        <w:top w:val="none" w:sz="0" w:space="0" w:color="auto"/>
        <w:left w:val="none" w:sz="0" w:space="0" w:color="auto"/>
        <w:bottom w:val="none" w:sz="0" w:space="0" w:color="auto"/>
        <w:right w:val="none" w:sz="0" w:space="0" w:color="auto"/>
      </w:divBdr>
    </w:div>
    <w:div w:id="1054350168">
      <w:bodyDiv w:val="1"/>
      <w:marLeft w:val="0"/>
      <w:marRight w:val="0"/>
      <w:marTop w:val="0"/>
      <w:marBottom w:val="0"/>
      <w:divBdr>
        <w:top w:val="none" w:sz="0" w:space="0" w:color="auto"/>
        <w:left w:val="none" w:sz="0" w:space="0" w:color="auto"/>
        <w:bottom w:val="none" w:sz="0" w:space="0" w:color="auto"/>
        <w:right w:val="none" w:sz="0" w:space="0" w:color="auto"/>
      </w:divBdr>
    </w:div>
    <w:div w:id="1196427391">
      <w:bodyDiv w:val="1"/>
      <w:marLeft w:val="0"/>
      <w:marRight w:val="0"/>
      <w:marTop w:val="0"/>
      <w:marBottom w:val="0"/>
      <w:divBdr>
        <w:top w:val="none" w:sz="0" w:space="0" w:color="auto"/>
        <w:left w:val="none" w:sz="0" w:space="0" w:color="auto"/>
        <w:bottom w:val="none" w:sz="0" w:space="0" w:color="auto"/>
        <w:right w:val="none" w:sz="0" w:space="0" w:color="auto"/>
      </w:divBdr>
    </w:div>
    <w:div w:id="1235625742">
      <w:bodyDiv w:val="1"/>
      <w:marLeft w:val="0"/>
      <w:marRight w:val="0"/>
      <w:marTop w:val="0"/>
      <w:marBottom w:val="0"/>
      <w:divBdr>
        <w:top w:val="none" w:sz="0" w:space="0" w:color="auto"/>
        <w:left w:val="none" w:sz="0" w:space="0" w:color="auto"/>
        <w:bottom w:val="none" w:sz="0" w:space="0" w:color="auto"/>
        <w:right w:val="none" w:sz="0" w:space="0" w:color="auto"/>
      </w:divBdr>
    </w:div>
    <w:div w:id="1365132752">
      <w:bodyDiv w:val="1"/>
      <w:marLeft w:val="0"/>
      <w:marRight w:val="0"/>
      <w:marTop w:val="0"/>
      <w:marBottom w:val="0"/>
      <w:divBdr>
        <w:top w:val="none" w:sz="0" w:space="0" w:color="auto"/>
        <w:left w:val="none" w:sz="0" w:space="0" w:color="auto"/>
        <w:bottom w:val="none" w:sz="0" w:space="0" w:color="auto"/>
        <w:right w:val="none" w:sz="0" w:space="0" w:color="auto"/>
      </w:divBdr>
    </w:div>
    <w:div w:id="1494301390">
      <w:bodyDiv w:val="1"/>
      <w:marLeft w:val="0"/>
      <w:marRight w:val="0"/>
      <w:marTop w:val="0"/>
      <w:marBottom w:val="0"/>
      <w:divBdr>
        <w:top w:val="none" w:sz="0" w:space="0" w:color="auto"/>
        <w:left w:val="none" w:sz="0" w:space="0" w:color="auto"/>
        <w:bottom w:val="none" w:sz="0" w:space="0" w:color="auto"/>
        <w:right w:val="none" w:sz="0" w:space="0" w:color="auto"/>
      </w:divBdr>
    </w:div>
    <w:div w:id="1517428103">
      <w:bodyDiv w:val="1"/>
      <w:marLeft w:val="0"/>
      <w:marRight w:val="0"/>
      <w:marTop w:val="0"/>
      <w:marBottom w:val="0"/>
      <w:divBdr>
        <w:top w:val="none" w:sz="0" w:space="0" w:color="auto"/>
        <w:left w:val="none" w:sz="0" w:space="0" w:color="auto"/>
        <w:bottom w:val="none" w:sz="0" w:space="0" w:color="auto"/>
        <w:right w:val="none" w:sz="0" w:space="0" w:color="auto"/>
      </w:divBdr>
    </w:div>
    <w:div w:id="1563062308">
      <w:bodyDiv w:val="1"/>
      <w:marLeft w:val="0"/>
      <w:marRight w:val="0"/>
      <w:marTop w:val="0"/>
      <w:marBottom w:val="0"/>
      <w:divBdr>
        <w:top w:val="none" w:sz="0" w:space="0" w:color="auto"/>
        <w:left w:val="none" w:sz="0" w:space="0" w:color="auto"/>
        <w:bottom w:val="none" w:sz="0" w:space="0" w:color="auto"/>
        <w:right w:val="none" w:sz="0" w:space="0" w:color="auto"/>
      </w:divBdr>
    </w:div>
    <w:div w:id="1577787940">
      <w:bodyDiv w:val="1"/>
      <w:marLeft w:val="0"/>
      <w:marRight w:val="0"/>
      <w:marTop w:val="0"/>
      <w:marBottom w:val="0"/>
      <w:divBdr>
        <w:top w:val="none" w:sz="0" w:space="0" w:color="auto"/>
        <w:left w:val="none" w:sz="0" w:space="0" w:color="auto"/>
        <w:bottom w:val="none" w:sz="0" w:space="0" w:color="auto"/>
        <w:right w:val="none" w:sz="0" w:space="0" w:color="auto"/>
      </w:divBdr>
    </w:div>
    <w:div w:id="1735197463">
      <w:bodyDiv w:val="1"/>
      <w:marLeft w:val="0"/>
      <w:marRight w:val="0"/>
      <w:marTop w:val="0"/>
      <w:marBottom w:val="0"/>
      <w:divBdr>
        <w:top w:val="none" w:sz="0" w:space="0" w:color="auto"/>
        <w:left w:val="none" w:sz="0" w:space="0" w:color="auto"/>
        <w:bottom w:val="none" w:sz="0" w:space="0" w:color="auto"/>
        <w:right w:val="none" w:sz="0" w:space="0" w:color="auto"/>
      </w:divBdr>
    </w:div>
    <w:div w:id="1744177740">
      <w:bodyDiv w:val="1"/>
      <w:marLeft w:val="0"/>
      <w:marRight w:val="0"/>
      <w:marTop w:val="0"/>
      <w:marBottom w:val="0"/>
      <w:divBdr>
        <w:top w:val="none" w:sz="0" w:space="0" w:color="auto"/>
        <w:left w:val="none" w:sz="0" w:space="0" w:color="auto"/>
        <w:bottom w:val="none" w:sz="0" w:space="0" w:color="auto"/>
        <w:right w:val="none" w:sz="0" w:space="0" w:color="auto"/>
      </w:divBdr>
    </w:div>
    <w:div w:id="1786652552">
      <w:bodyDiv w:val="1"/>
      <w:marLeft w:val="0"/>
      <w:marRight w:val="0"/>
      <w:marTop w:val="0"/>
      <w:marBottom w:val="0"/>
      <w:divBdr>
        <w:top w:val="none" w:sz="0" w:space="0" w:color="auto"/>
        <w:left w:val="none" w:sz="0" w:space="0" w:color="auto"/>
        <w:bottom w:val="none" w:sz="0" w:space="0" w:color="auto"/>
        <w:right w:val="none" w:sz="0" w:space="0" w:color="auto"/>
      </w:divBdr>
    </w:div>
    <w:div w:id="1791245941">
      <w:bodyDiv w:val="1"/>
      <w:marLeft w:val="0"/>
      <w:marRight w:val="0"/>
      <w:marTop w:val="0"/>
      <w:marBottom w:val="0"/>
      <w:divBdr>
        <w:top w:val="none" w:sz="0" w:space="0" w:color="auto"/>
        <w:left w:val="none" w:sz="0" w:space="0" w:color="auto"/>
        <w:bottom w:val="none" w:sz="0" w:space="0" w:color="auto"/>
        <w:right w:val="none" w:sz="0" w:space="0" w:color="auto"/>
      </w:divBdr>
    </w:div>
    <w:div w:id="1818915385">
      <w:bodyDiv w:val="1"/>
      <w:marLeft w:val="0"/>
      <w:marRight w:val="0"/>
      <w:marTop w:val="0"/>
      <w:marBottom w:val="0"/>
      <w:divBdr>
        <w:top w:val="none" w:sz="0" w:space="0" w:color="auto"/>
        <w:left w:val="none" w:sz="0" w:space="0" w:color="auto"/>
        <w:bottom w:val="none" w:sz="0" w:space="0" w:color="auto"/>
        <w:right w:val="none" w:sz="0" w:space="0" w:color="auto"/>
      </w:divBdr>
    </w:div>
    <w:div w:id="1834492826">
      <w:bodyDiv w:val="1"/>
      <w:marLeft w:val="0"/>
      <w:marRight w:val="0"/>
      <w:marTop w:val="0"/>
      <w:marBottom w:val="0"/>
      <w:divBdr>
        <w:top w:val="none" w:sz="0" w:space="0" w:color="auto"/>
        <w:left w:val="none" w:sz="0" w:space="0" w:color="auto"/>
        <w:bottom w:val="none" w:sz="0" w:space="0" w:color="auto"/>
        <w:right w:val="none" w:sz="0" w:space="0" w:color="auto"/>
      </w:divBdr>
    </w:div>
    <w:div w:id="1954484309">
      <w:bodyDiv w:val="1"/>
      <w:marLeft w:val="0"/>
      <w:marRight w:val="0"/>
      <w:marTop w:val="0"/>
      <w:marBottom w:val="0"/>
      <w:divBdr>
        <w:top w:val="none" w:sz="0" w:space="0" w:color="auto"/>
        <w:left w:val="none" w:sz="0" w:space="0" w:color="auto"/>
        <w:bottom w:val="none" w:sz="0" w:space="0" w:color="auto"/>
        <w:right w:val="none" w:sz="0" w:space="0" w:color="auto"/>
      </w:divBdr>
    </w:div>
    <w:div w:id="2072341639">
      <w:bodyDiv w:val="1"/>
      <w:marLeft w:val="0"/>
      <w:marRight w:val="0"/>
      <w:marTop w:val="0"/>
      <w:marBottom w:val="0"/>
      <w:divBdr>
        <w:top w:val="none" w:sz="0" w:space="0" w:color="auto"/>
        <w:left w:val="none" w:sz="0" w:space="0" w:color="auto"/>
        <w:bottom w:val="none" w:sz="0" w:space="0" w:color="auto"/>
        <w:right w:val="none" w:sz="0" w:space="0" w:color="auto"/>
      </w:divBdr>
    </w:div>
    <w:div w:id="2121797214">
      <w:bodyDiv w:val="1"/>
      <w:marLeft w:val="0"/>
      <w:marRight w:val="0"/>
      <w:marTop w:val="0"/>
      <w:marBottom w:val="0"/>
      <w:divBdr>
        <w:top w:val="none" w:sz="0" w:space="0" w:color="auto"/>
        <w:left w:val="none" w:sz="0" w:space="0" w:color="auto"/>
        <w:bottom w:val="none" w:sz="0" w:space="0" w:color="auto"/>
        <w:right w:val="none" w:sz="0" w:space="0" w:color="auto"/>
      </w:divBdr>
    </w:div>
    <w:div w:id="213478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33A0-5641-48C8-AB8E-AA341961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3069</Words>
  <Characters>18110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Veronika Picková</dc:creator>
  <cp:lastModifiedBy>OSPZV3 ospzv3</cp:lastModifiedBy>
  <cp:revision>2</cp:revision>
  <cp:lastPrinted>2016-04-20T09:39:00Z</cp:lastPrinted>
  <dcterms:created xsi:type="dcterms:W3CDTF">2016-04-20T09:39:00Z</dcterms:created>
  <dcterms:modified xsi:type="dcterms:W3CDTF">2016-04-20T09:39:00Z</dcterms:modified>
  <cp:version>1</cp:version>
</cp:coreProperties>
</file>