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54" w:rsidRPr="003C0BAA" w:rsidRDefault="00692A54" w:rsidP="00692A54">
      <w:pPr>
        <w:rPr>
          <w:rFonts w:ascii="Arial" w:hAnsi="Arial" w:cs="Arial"/>
          <w:sz w:val="20"/>
          <w:szCs w:val="20"/>
        </w:rPr>
      </w:pPr>
      <w:bookmarkStart w:id="0" w:name="_GoBack"/>
      <w:bookmarkStart w:id="1" w:name="_Toc401148478"/>
      <w:bookmarkStart w:id="2" w:name="_Toc401842262"/>
      <w:bookmarkEnd w:id="0"/>
    </w:p>
    <w:p w:rsidR="00F15FD8" w:rsidRDefault="00F15FD8" w:rsidP="00F15FD8">
      <w:pPr>
        <w:pStyle w:val="Titulnstrana"/>
        <w:jc w:val="both"/>
      </w:pPr>
      <w:bookmarkStart w:id="3" w:name="_Toc422140947"/>
      <w:bookmarkStart w:id="4" w:name="_Toc422142878"/>
    </w:p>
    <w:p w:rsidR="00F15FD8" w:rsidRDefault="00F15FD8" w:rsidP="00F15FD8">
      <w:pPr>
        <w:pStyle w:val="Titulnstrana"/>
      </w:pPr>
      <w:r>
        <w:t>Ministerstvo pro místní rozvoj</w:t>
      </w:r>
    </w:p>
    <w:p w:rsidR="00F15FD8" w:rsidRDefault="00F15FD8" w:rsidP="00F15FD8">
      <w:pPr>
        <w:pStyle w:val="Titulnstrana"/>
      </w:pPr>
      <w:r>
        <w:t>Národní orgán pro koordinaci</w:t>
      </w: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44"/>
          <w:szCs w:val="44"/>
        </w:rPr>
      </w:pPr>
    </w:p>
    <w:p w:rsidR="00F15FD8" w:rsidRPr="00D225A2" w:rsidRDefault="00F15FD8" w:rsidP="00D225A2">
      <w:pPr>
        <w:jc w:val="center"/>
        <w:rPr>
          <w:rFonts w:ascii="Arial" w:hAnsi="Arial" w:cs="Arial"/>
          <w:b/>
          <w:sz w:val="36"/>
          <w:szCs w:val="36"/>
        </w:rPr>
      </w:pPr>
      <w:r w:rsidRPr="00D225A2">
        <w:rPr>
          <w:rFonts w:ascii="Arial" w:hAnsi="Arial" w:cs="Arial"/>
          <w:b/>
          <w:sz w:val="36"/>
          <w:szCs w:val="36"/>
        </w:rPr>
        <w:t>Informace o plnění předběžných podmínek</w:t>
      </w:r>
    </w:p>
    <w:p w:rsidR="00F15FD8" w:rsidRPr="00D225A2" w:rsidRDefault="00F15FD8" w:rsidP="00D225A2">
      <w:pPr>
        <w:jc w:val="center"/>
        <w:rPr>
          <w:rFonts w:ascii="Arial" w:hAnsi="Arial" w:cs="Arial"/>
          <w:b/>
          <w:sz w:val="36"/>
          <w:szCs w:val="36"/>
        </w:rPr>
      </w:pPr>
      <w:r w:rsidRPr="00D225A2">
        <w:rPr>
          <w:rFonts w:ascii="Arial" w:hAnsi="Arial" w:cs="Arial"/>
          <w:b/>
          <w:sz w:val="36"/>
          <w:szCs w:val="36"/>
        </w:rPr>
        <w:t>– aktuální stav, hlavní rizika a postupy</w:t>
      </w:r>
    </w:p>
    <w:p w:rsidR="004C33D5" w:rsidRDefault="004C33D5" w:rsidP="004C33D5">
      <w:pPr>
        <w:spacing w:before="0" w:line="240" w:lineRule="auto"/>
        <w:jc w:val="left"/>
      </w:pPr>
    </w:p>
    <w:p w:rsidR="005662E5" w:rsidRDefault="005662E5" w:rsidP="004C33D5">
      <w:pPr>
        <w:spacing w:before="0" w:line="240" w:lineRule="auto"/>
        <w:jc w:val="left"/>
      </w:pPr>
    </w:p>
    <w:p w:rsidR="00647FF3" w:rsidRDefault="00C43262" w:rsidP="00983E1B">
      <w:pPr>
        <w:jc w:val="center"/>
        <w:rPr>
          <w:rFonts w:ascii="Arial" w:eastAsia="Calibri" w:hAnsi="Arial" w:cs="Arial"/>
          <w:sz w:val="28"/>
          <w:szCs w:val="28"/>
        </w:rPr>
      </w:pPr>
      <w:r>
        <w:rPr>
          <w:rFonts w:ascii="Arial" w:eastAsia="Calibri" w:hAnsi="Arial" w:cs="Arial"/>
          <w:sz w:val="28"/>
          <w:szCs w:val="28"/>
        </w:rPr>
        <w:t>Podklad pro jednání 127. Plenární schůze RHSD</w:t>
      </w:r>
    </w:p>
    <w:p w:rsidR="0030205D" w:rsidRDefault="0030205D" w:rsidP="00983E1B">
      <w:pPr>
        <w:jc w:val="center"/>
        <w:rPr>
          <w:rFonts w:ascii="Arial" w:eastAsia="Calibri" w:hAnsi="Arial" w:cs="Arial"/>
          <w:sz w:val="28"/>
          <w:szCs w:val="28"/>
        </w:rPr>
      </w:pPr>
    </w:p>
    <w:p w:rsidR="0030205D" w:rsidRDefault="0030205D" w:rsidP="00983E1B">
      <w:pPr>
        <w:jc w:val="center"/>
        <w:rPr>
          <w:rFonts w:ascii="Arial" w:eastAsia="Calibri" w:hAnsi="Arial" w:cs="Arial"/>
          <w:sz w:val="28"/>
          <w:szCs w:val="28"/>
        </w:rPr>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5662E5" w:rsidRDefault="005662E5" w:rsidP="004C33D5">
      <w:pPr>
        <w:spacing w:before="0" w:line="240" w:lineRule="auto"/>
        <w:jc w:val="left"/>
      </w:pPr>
    </w:p>
    <w:p w:rsidR="005662E5" w:rsidRDefault="005662E5" w:rsidP="004C33D5">
      <w:pPr>
        <w:spacing w:before="0" w:line="240" w:lineRule="auto"/>
        <w:jc w:val="left"/>
      </w:pPr>
    </w:p>
    <w:p w:rsidR="00F73907" w:rsidRDefault="00F73907" w:rsidP="004C33D5">
      <w:pPr>
        <w:spacing w:before="0" w:line="240" w:lineRule="auto"/>
        <w:jc w:val="left"/>
      </w:pPr>
    </w:p>
    <w:p w:rsidR="00F73907" w:rsidRDefault="00F73907"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F15FD8">
      <w:pPr>
        <w:spacing w:before="0" w:line="240" w:lineRule="auto"/>
        <w:rPr>
          <w:rFonts w:ascii="Arial" w:hAnsi="Arial" w:cs="Arial"/>
          <w:sz w:val="24"/>
          <w:szCs w:val="24"/>
        </w:rPr>
      </w:pPr>
    </w:p>
    <w:p w:rsidR="004C33D5" w:rsidRDefault="004C33D5" w:rsidP="004C33D5">
      <w:pPr>
        <w:spacing w:before="0" w:line="240" w:lineRule="auto"/>
        <w:jc w:val="center"/>
        <w:rPr>
          <w:rFonts w:ascii="Arial" w:hAnsi="Arial" w:cs="Arial"/>
          <w:sz w:val="24"/>
          <w:szCs w:val="24"/>
        </w:rPr>
      </w:pPr>
    </w:p>
    <w:p w:rsidR="004C33D5" w:rsidRDefault="004C33D5" w:rsidP="004C33D5">
      <w:pPr>
        <w:spacing w:before="0" w:line="240" w:lineRule="auto"/>
        <w:jc w:val="center"/>
        <w:rPr>
          <w:rFonts w:ascii="Arial" w:hAnsi="Arial" w:cs="Arial"/>
          <w:sz w:val="24"/>
          <w:szCs w:val="24"/>
        </w:rPr>
      </w:pPr>
    </w:p>
    <w:p w:rsidR="00C43262" w:rsidRDefault="00C43262" w:rsidP="004C33D5">
      <w:pPr>
        <w:spacing w:before="0" w:line="240" w:lineRule="auto"/>
        <w:jc w:val="center"/>
        <w:rPr>
          <w:rFonts w:ascii="Arial" w:hAnsi="Arial" w:cs="Arial"/>
          <w:sz w:val="24"/>
          <w:szCs w:val="24"/>
        </w:rPr>
      </w:pPr>
    </w:p>
    <w:p w:rsidR="00C43262" w:rsidRDefault="00C43262" w:rsidP="004C33D5">
      <w:pPr>
        <w:spacing w:before="0" w:line="240" w:lineRule="auto"/>
        <w:jc w:val="center"/>
        <w:rPr>
          <w:rFonts w:ascii="Arial" w:hAnsi="Arial" w:cs="Arial"/>
          <w:sz w:val="24"/>
          <w:szCs w:val="24"/>
        </w:rPr>
      </w:pPr>
    </w:p>
    <w:p w:rsidR="0030205D" w:rsidRPr="0030205D" w:rsidRDefault="004C33D5" w:rsidP="0030205D">
      <w:pPr>
        <w:spacing w:before="0" w:line="240" w:lineRule="auto"/>
        <w:jc w:val="left"/>
        <w:rPr>
          <w:rFonts w:ascii="Arial" w:eastAsiaTheme="majorEastAsia" w:hAnsi="Arial" w:cs="Arial"/>
          <w:b/>
          <w:bCs/>
          <w:sz w:val="28"/>
          <w:szCs w:val="28"/>
        </w:rPr>
      </w:pPr>
      <w:r>
        <w:rPr>
          <w:rFonts w:ascii="Arial" w:hAnsi="Arial" w:cs="Arial"/>
          <w:sz w:val="20"/>
          <w:szCs w:val="20"/>
        </w:rPr>
        <w:br w:type="page"/>
      </w:r>
      <w:bookmarkEnd w:id="3"/>
      <w:bookmarkEnd w:id="4"/>
      <w:r w:rsidR="0030205D" w:rsidRPr="0030205D">
        <w:rPr>
          <w:rFonts w:ascii="Arial" w:eastAsiaTheme="majorEastAsia" w:hAnsi="Arial" w:cs="Arial"/>
          <w:b/>
          <w:bCs/>
          <w:sz w:val="28"/>
          <w:szCs w:val="28"/>
        </w:rPr>
        <w:lastRenderedPageBreak/>
        <w:t>Předběžné podmínky</w:t>
      </w:r>
    </w:p>
    <w:p w:rsidR="0030205D" w:rsidRPr="0030205D" w:rsidRDefault="0030205D" w:rsidP="0030205D">
      <w:pPr>
        <w:keepNext/>
        <w:keepLines/>
        <w:spacing w:before="480"/>
        <w:ind w:left="432" w:hanging="432"/>
        <w:outlineLvl w:val="0"/>
        <w:rPr>
          <w:rFonts w:ascii="Arial" w:eastAsiaTheme="majorEastAsia" w:hAnsi="Arial" w:cs="Arial"/>
          <w:b/>
          <w:bCs/>
          <w:sz w:val="24"/>
          <w:szCs w:val="24"/>
        </w:rPr>
      </w:pPr>
      <w:r w:rsidRPr="0030205D">
        <w:rPr>
          <w:rFonts w:ascii="Arial" w:eastAsiaTheme="majorEastAsia" w:hAnsi="Arial" w:cs="Arial"/>
          <w:b/>
          <w:bCs/>
          <w:sz w:val="24"/>
          <w:szCs w:val="24"/>
        </w:rPr>
        <w:t xml:space="preserve">1. Čtvrtletní reporting </w:t>
      </w:r>
      <w:bookmarkStart w:id="5" w:name="_Toc422140948"/>
      <w:bookmarkStart w:id="6" w:name="_Toc422142611"/>
      <w:bookmarkStart w:id="7" w:name="_Toc422142879"/>
      <w:r w:rsidRPr="0030205D">
        <w:rPr>
          <w:rFonts w:ascii="Arial" w:eastAsiaTheme="majorEastAsia" w:hAnsi="Arial" w:cs="Arial"/>
          <w:b/>
          <w:bCs/>
          <w:sz w:val="24"/>
          <w:szCs w:val="24"/>
        </w:rPr>
        <w:t>a mechanismus sledování</w:t>
      </w:r>
      <w:bookmarkEnd w:id="5"/>
      <w:bookmarkEnd w:id="6"/>
      <w:bookmarkEnd w:id="7"/>
    </w:p>
    <w:p w:rsidR="0030205D" w:rsidRPr="0030205D" w:rsidRDefault="0030205D" w:rsidP="0030205D">
      <w:pPr>
        <w:rPr>
          <w:rFonts w:ascii="Arial" w:hAnsi="Arial" w:cs="Arial"/>
          <w:sz w:val="20"/>
          <w:szCs w:val="20"/>
        </w:rPr>
      </w:pPr>
    </w:p>
    <w:p w:rsidR="0030205D" w:rsidRPr="0030205D" w:rsidRDefault="0030205D" w:rsidP="0030205D">
      <w:pPr>
        <w:spacing w:after="120"/>
        <w:rPr>
          <w:rFonts w:ascii="Arial" w:hAnsi="Arial" w:cs="Arial"/>
          <w:sz w:val="20"/>
          <w:szCs w:val="20"/>
        </w:rPr>
      </w:pPr>
      <w:r w:rsidRPr="0030205D">
        <w:rPr>
          <w:rFonts w:ascii="Arial" w:hAnsi="Arial" w:cs="Arial"/>
          <w:b/>
          <w:sz w:val="20"/>
          <w:szCs w:val="20"/>
        </w:rPr>
        <w:t>Předběžné podmínky (PP) zůstávají i po schválení programů ze strany Evropské komise (EK) i nadále stěžejním tématem</w:t>
      </w:r>
      <w:r w:rsidRPr="0030205D">
        <w:rPr>
          <w:rFonts w:ascii="Arial" w:hAnsi="Arial" w:cs="Arial"/>
          <w:sz w:val="20"/>
          <w:szCs w:val="20"/>
        </w:rPr>
        <w:t xml:space="preserve">, který EK bude sledovat a monitorovat. </w:t>
      </w:r>
    </w:p>
    <w:p w:rsidR="0030205D" w:rsidRPr="0030205D" w:rsidRDefault="0030205D" w:rsidP="0030205D">
      <w:pPr>
        <w:spacing w:after="120"/>
        <w:rPr>
          <w:rFonts w:ascii="Arial" w:hAnsi="Arial" w:cs="Arial"/>
          <w:sz w:val="20"/>
          <w:szCs w:val="20"/>
        </w:rPr>
      </w:pPr>
      <w:r w:rsidRPr="0030205D">
        <w:rPr>
          <w:rFonts w:ascii="Arial" w:hAnsi="Arial" w:cs="Arial"/>
          <w:sz w:val="20"/>
          <w:szCs w:val="20"/>
        </w:rPr>
        <w:t xml:space="preserve">Na základě požadavku Evropské komise a s ohledem na význam naplňování PP připravuje Ministerstvo pro místní rozvoj – Národní orgán pro koordinaci (MMR-NOK) pravidelně ve spolupráci s gestory a </w:t>
      </w:r>
      <w:proofErr w:type="spellStart"/>
      <w:r w:rsidRPr="0030205D">
        <w:rPr>
          <w:rFonts w:ascii="Arial" w:hAnsi="Arial" w:cs="Arial"/>
          <w:sz w:val="20"/>
          <w:szCs w:val="20"/>
        </w:rPr>
        <w:t>spolugestory</w:t>
      </w:r>
      <w:proofErr w:type="spellEnd"/>
      <w:r w:rsidRPr="0030205D">
        <w:rPr>
          <w:rFonts w:ascii="Arial" w:hAnsi="Arial" w:cs="Arial"/>
          <w:sz w:val="20"/>
          <w:szCs w:val="20"/>
        </w:rPr>
        <w:t xml:space="preserve"> PP monitorovací Čtvrtletní zprávu o stavu naplňování předběžných podmínek (dále „Čtvrtletní zpráva“) vč. podrobné přílohy, která je zasílána Evropské komisi. Čtvrtletní zpráva obsahuje stručný přehled naplňování v oblasti předběžných podmínek, Příloha zprávy podrobně popisuje aktuální stav plnění předběžných podmínek, další postup dle předem vydefinovaného harmonogramu a zejména identifikaci možných rizik, která by mohla ohrozit plnění PP dle schválených harmonogramů, včetně karet vyplněných gestory a </w:t>
      </w:r>
      <w:proofErr w:type="spellStart"/>
      <w:r w:rsidRPr="0030205D">
        <w:rPr>
          <w:rFonts w:ascii="Arial" w:hAnsi="Arial" w:cs="Arial"/>
          <w:sz w:val="20"/>
          <w:szCs w:val="20"/>
        </w:rPr>
        <w:t>spolugestory</w:t>
      </w:r>
      <w:proofErr w:type="spellEnd"/>
      <w:r w:rsidRPr="0030205D">
        <w:rPr>
          <w:rFonts w:ascii="Arial" w:hAnsi="Arial" w:cs="Arial"/>
          <w:sz w:val="20"/>
          <w:szCs w:val="20"/>
        </w:rPr>
        <w:t xml:space="preserve"> PP jednotlivě ke každé PP.</w:t>
      </w:r>
    </w:p>
    <w:p w:rsidR="0030205D" w:rsidRPr="0030205D" w:rsidRDefault="0030205D" w:rsidP="0030205D">
      <w:pPr>
        <w:spacing w:after="120"/>
        <w:rPr>
          <w:rFonts w:ascii="Arial" w:hAnsi="Arial" w:cs="Arial"/>
          <w:sz w:val="20"/>
          <w:szCs w:val="20"/>
        </w:rPr>
      </w:pPr>
      <w:r w:rsidRPr="0030205D">
        <w:rPr>
          <w:rFonts w:ascii="Arial" w:hAnsi="Arial" w:cs="Arial"/>
          <w:sz w:val="20"/>
          <w:szCs w:val="20"/>
        </w:rPr>
        <w:t xml:space="preserve">Aktuálně již byly zpracovány celkem </w:t>
      </w:r>
      <w:r w:rsidRPr="0030205D">
        <w:rPr>
          <w:rFonts w:ascii="Arial" w:hAnsi="Arial" w:cs="Arial"/>
          <w:b/>
          <w:sz w:val="20"/>
          <w:szCs w:val="20"/>
        </w:rPr>
        <w:t>čtyři Čtvrtletní zprávy</w:t>
      </w:r>
      <w:r w:rsidRPr="0030205D">
        <w:rPr>
          <w:rFonts w:ascii="Arial" w:hAnsi="Arial" w:cs="Arial"/>
          <w:sz w:val="20"/>
          <w:szCs w:val="20"/>
        </w:rPr>
        <w:t xml:space="preserve">. Poslední, tedy Čtvrtá čtvrtletní zpráva o stavu naplňování předběžných podmínek vč. podrobné přílohy </w:t>
      </w:r>
      <w:r w:rsidRPr="0030205D">
        <w:rPr>
          <w:rFonts w:ascii="Arial" w:hAnsi="Arial" w:cs="Arial"/>
          <w:b/>
          <w:sz w:val="20"/>
          <w:szCs w:val="20"/>
        </w:rPr>
        <w:t>monitoruje období prosinec 2015 – únor 2016</w:t>
      </w:r>
      <w:r w:rsidRPr="0030205D">
        <w:rPr>
          <w:rFonts w:ascii="Arial" w:hAnsi="Arial" w:cs="Arial"/>
          <w:sz w:val="20"/>
          <w:szCs w:val="20"/>
        </w:rPr>
        <w:t xml:space="preserve"> a bude projednána vládou ČR dne 7. dubna 2016. Příloha zprávy pod názvem „</w:t>
      </w:r>
      <w:r w:rsidRPr="0030205D">
        <w:rPr>
          <w:rFonts w:ascii="Arial" w:hAnsi="Arial" w:cs="Arial"/>
          <w:i/>
          <w:sz w:val="20"/>
          <w:szCs w:val="20"/>
        </w:rPr>
        <w:t xml:space="preserve">Čtvrtletní zpráva o stavu naplňování předběžných podmínek pro informaci Evropské komise za období prosinec 2015 – únor 2016“ </w:t>
      </w:r>
      <w:r w:rsidRPr="0030205D">
        <w:rPr>
          <w:rFonts w:ascii="Arial" w:hAnsi="Arial" w:cs="Arial"/>
          <w:sz w:val="20"/>
          <w:szCs w:val="20"/>
        </w:rPr>
        <w:t xml:space="preserve">bude následně zaslána představitelům Evropské komise k vyjádření. </w:t>
      </w:r>
    </w:p>
    <w:p w:rsidR="0030205D" w:rsidRPr="0030205D" w:rsidRDefault="0030205D" w:rsidP="0030205D">
      <w:pPr>
        <w:spacing w:after="120"/>
        <w:rPr>
          <w:rFonts w:ascii="Arial" w:hAnsi="Arial" w:cs="Arial"/>
          <w:sz w:val="20"/>
          <w:szCs w:val="20"/>
        </w:rPr>
      </w:pPr>
      <w:r w:rsidRPr="0030205D">
        <w:rPr>
          <w:rFonts w:ascii="Arial" w:hAnsi="Arial" w:cs="Arial"/>
          <w:sz w:val="20"/>
          <w:szCs w:val="20"/>
        </w:rPr>
        <w:t xml:space="preserve">Jak v případě deklarovaného splnění ze strany gestora předběžné podmínky, tak v případě posunů v rámci akčních plánů, je z hlediska ČR podstatná zejména </w:t>
      </w:r>
      <w:r w:rsidRPr="0030205D">
        <w:rPr>
          <w:rFonts w:ascii="Arial" w:hAnsi="Arial" w:cs="Arial"/>
          <w:b/>
          <w:sz w:val="20"/>
          <w:szCs w:val="20"/>
        </w:rPr>
        <w:t>zpětná vazba ze strany Evropské komise</w:t>
      </w:r>
      <w:r w:rsidRPr="0030205D">
        <w:rPr>
          <w:rFonts w:ascii="Arial" w:hAnsi="Arial" w:cs="Arial"/>
          <w:sz w:val="20"/>
          <w:szCs w:val="20"/>
        </w:rPr>
        <w:t>. Za splněnou lze považovat pouze tu předběžnou podmínku, která obdrží souhlasné stanovisko ze strany EK prostřednictvím systému SFC.</w:t>
      </w:r>
    </w:p>
    <w:p w:rsidR="0030205D" w:rsidRPr="0030205D" w:rsidRDefault="0030205D" w:rsidP="0030205D">
      <w:pPr>
        <w:keepNext/>
        <w:keepLines/>
        <w:spacing w:before="480"/>
        <w:ind w:left="432" w:hanging="432"/>
        <w:outlineLvl w:val="0"/>
        <w:rPr>
          <w:rFonts w:ascii="Arial" w:eastAsiaTheme="majorEastAsia" w:hAnsi="Arial" w:cs="Arial"/>
          <w:b/>
          <w:bCs/>
          <w:sz w:val="24"/>
          <w:szCs w:val="24"/>
        </w:rPr>
      </w:pPr>
      <w:r w:rsidRPr="0030205D">
        <w:rPr>
          <w:rFonts w:ascii="Arial" w:eastAsiaTheme="majorEastAsia" w:hAnsi="Arial" w:cs="Arial"/>
          <w:b/>
          <w:bCs/>
          <w:sz w:val="24"/>
          <w:szCs w:val="24"/>
        </w:rPr>
        <w:t xml:space="preserve">2. Stav naplňování předběžných podmínek (ke dni 31. března 2016) </w:t>
      </w:r>
    </w:p>
    <w:p w:rsidR="0030205D" w:rsidRPr="0030205D" w:rsidRDefault="0030205D" w:rsidP="0030205D"/>
    <w:p w:rsidR="0030205D" w:rsidRPr="0030205D" w:rsidRDefault="0030205D" w:rsidP="0030205D">
      <w:pPr>
        <w:spacing w:before="0"/>
        <w:rPr>
          <w:rFonts w:ascii="Arial" w:eastAsia="Times New Roman" w:hAnsi="Arial" w:cs="Arial"/>
          <w:sz w:val="20"/>
          <w:szCs w:val="24"/>
        </w:rPr>
      </w:pPr>
      <w:r w:rsidRPr="0030205D">
        <w:rPr>
          <w:rFonts w:ascii="Arial" w:eastAsia="Times New Roman" w:hAnsi="Arial" w:cs="Arial"/>
          <w:sz w:val="20"/>
          <w:szCs w:val="24"/>
        </w:rPr>
        <w:t xml:space="preserve">Česká republika </w:t>
      </w:r>
      <w:r w:rsidRPr="0030205D">
        <w:rPr>
          <w:rFonts w:ascii="Arial" w:eastAsia="Calibri" w:hAnsi="Arial" w:cs="Arial"/>
          <w:b/>
          <w:sz w:val="20"/>
          <w:szCs w:val="20"/>
        </w:rPr>
        <w:t>aktuálně splnila 27 předběžných podmínek z toho již 22 je verifikováno Evropskou komisí</w:t>
      </w:r>
      <w:r w:rsidRPr="0030205D">
        <w:rPr>
          <w:rFonts w:ascii="Arial" w:eastAsia="Calibri" w:hAnsi="Arial" w:cs="Arial"/>
          <w:sz w:val="20"/>
          <w:szCs w:val="20"/>
        </w:rPr>
        <w:t>, 12 předběžných podmínek je splněno částečně a 1 předběžná podmínka zůstává nesplněná. Je důležité</w:t>
      </w:r>
      <w:r w:rsidRPr="0030205D">
        <w:rPr>
          <w:rFonts w:ascii="Arial" w:hAnsi="Arial" w:cs="Arial"/>
          <w:sz w:val="20"/>
          <w:szCs w:val="20"/>
        </w:rPr>
        <w:t xml:space="preserve"> upozornit na skutečnost, která byla již MMR-NOK několikrát zdůrazňována, a to konkrétně, že i formálně splněná PP musí být plněna kontinuálně, neboť v opačném případě je možné očekávat ze strany EK reakci formou návrhu opatření pro zajištění jejího plnění.</w:t>
      </w:r>
    </w:p>
    <w:p w:rsidR="0030205D" w:rsidRPr="0030205D" w:rsidRDefault="0030205D" w:rsidP="0030205D">
      <w:pPr>
        <w:spacing w:before="0"/>
        <w:rPr>
          <w:rFonts w:ascii="Arial" w:hAnsi="Arial" w:cs="Arial"/>
          <w:sz w:val="20"/>
          <w:szCs w:val="20"/>
        </w:rPr>
      </w:pPr>
    </w:p>
    <w:p w:rsidR="0030205D" w:rsidRPr="0030205D" w:rsidRDefault="0030205D" w:rsidP="0030205D">
      <w:pPr>
        <w:spacing w:before="0"/>
        <w:rPr>
          <w:rFonts w:ascii="Arial" w:hAnsi="Arial" w:cs="Arial"/>
          <w:sz w:val="20"/>
          <w:szCs w:val="20"/>
          <w:lang w:eastAsia="en-US"/>
        </w:rPr>
      </w:pPr>
      <w:r w:rsidRPr="0030205D">
        <w:rPr>
          <w:rFonts w:ascii="Arial" w:hAnsi="Arial" w:cs="Arial"/>
          <w:sz w:val="20"/>
          <w:szCs w:val="20"/>
        </w:rPr>
        <w:t xml:space="preserve">Co se týká částečně splněných obecných PP, došlo v posledním období od prosince 2015 do února 2016 ke splnění předdefinovaných opatření u předběžné podmínky </w:t>
      </w:r>
      <w:r w:rsidRPr="0030205D">
        <w:rPr>
          <w:rFonts w:ascii="Arial" w:hAnsi="Arial" w:cs="Arial"/>
          <w:b/>
          <w:sz w:val="20"/>
          <w:szCs w:val="20"/>
        </w:rPr>
        <w:t>Veřejné zakázky</w:t>
      </w:r>
      <w:r w:rsidRPr="0030205D">
        <w:rPr>
          <w:rFonts w:ascii="Arial" w:hAnsi="Arial" w:cs="Arial"/>
          <w:sz w:val="20"/>
          <w:szCs w:val="20"/>
        </w:rPr>
        <w:t xml:space="preserve"> (3 opatření) </w:t>
      </w:r>
      <w:r w:rsidRPr="0030205D">
        <w:rPr>
          <w:rFonts w:ascii="Arial" w:hAnsi="Arial" w:cs="Arial"/>
          <w:sz w:val="20"/>
          <w:szCs w:val="20"/>
        </w:rPr>
        <w:br/>
        <w:t xml:space="preserve">a u předběžné podmínky </w:t>
      </w:r>
      <w:r w:rsidRPr="0030205D">
        <w:rPr>
          <w:rFonts w:ascii="Arial" w:hAnsi="Arial" w:cs="Arial"/>
          <w:b/>
          <w:sz w:val="20"/>
          <w:szCs w:val="20"/>
        </w:rPr>
        <w:t>Statistické systémy a ukazatele výsledků</w:t>
      </w:r>
      <w:r w:rsidRPr="0030205D">
        <w:rPr>
          <w:rFonts w:ascii="Arial" w:hAnsi="Arial" w:cs="Arial"/>
          <w:sz w:val="20"/>
          <w:szCs w:val="20"/>
        </w:rPr>
        <w:t xml:space="preserve"> (1 kritérium a 2 opatření). Dále došlo ke splnění opatření na úrovni programů, a to u Veřejných zakázek (3 opatření) a u Veřejné podpory (3 opatření). Co se týká plnění termínů dle akčních plánů k obecným předběžným podmínkám, plnění jak na centrální úrovni, tak na úrovni programů proběhlo v souladu s akčními plány. </w:t>
      </w:r>
    </w:p>
    <w:p w:rsidR="0030205D" w:rsidRPr="0030205D" w:rsidRDefault="0030205D" w:rsidP="0030205D">
      <w:pPr>
        <w:spacing w:before="0"/>
        <w:rPr>
          <w:rFonts w:ascii="Arial" w:hAnsi="Arial" w:cs="Arial"/>
          <w:sz w:val="20"/>
          <w:szCs w:val="20"/>
        </w:rPr>
      </w:pPr>
      <w:r w:rsidRPr="0030205D">
        <w:rPr>
          <w:rFonts w:ascii="Arial" w:hAnsi="Arial" w:cs="Arial"/>
          <w:sz w:val="20"/>
          <w:szCs w:val="20"/>
        </w:rPr>
        <w:t xml:space="preserve"> </w:t>
      </w:r>
    </w:p>
    <w:p w:rsidR="0030205D" w:rsidRPr="0030205D" w:rsidRDefault="0030205D" w:rsidP="0030205D">
      <w:pPr>
        <w:spacing w:before="0"/>
        <w:rPr>
          <w:rFonts w:ascii="Arial" w:hAnsi="Arial" w:cs="Arial"/>
          <w:sz w:val="20"/>
          <w:szCs w:val="20"/>
        </w:rPr>
      </w:pPr>
      <w:r w:rsidRPr="0030205D">
        <w:rPr>
          <w:rFonts w:ascii="Arial" w:hAnsi="Arial" w:cs="Arial"/>
          <w:sz w:val="20"/>
          <w:szCs w:val="20"/>
        </w:rPr>
        <w:t xml:space="preserve">U tematických předběžných podmínek došlo v poslední době z hlediska plnění </w:t>
      </w:r>
      <w:r w:rsidRPr="0030205D">
        <w:rPr>
          <w:rFonts w:ascii="Arial" w:eastAsia="Calibri" w:hAnsi="Arial" w:cs="Arial"/>
          <w:sz w:val="20"/>
          <w:szCs w:val="20"/>
        </w:rPr>
        <w:t xml:space="preserve">k velkému nárůstu, </w:t>
      </w:r>
      <w:r w:rsidRPr="0030205D">
        <w:rPr>
          <w:rFonts w:ascii="Arial" w:eastAsia="Calibri" w:hAnsi="Arial" w:cs="Arial"/>
          <w:sz w:val="20"/>
          <w:szCs w:val="20"/>
        </w:rPr>
        <w:br/>
        <w:t xml:space="preserve">a to jak na národní úrovni, tak i ze strany EK, kdy došlo k formální verifikaci několika předběžných podmínek. V období od prosince 2015 </w:t>
      </w:r>
      <w:r w:rsidRPr="0030205D">
        <w:rPr>
          <w:rFonts w:ascii="Arial" w:eastAsia="Calibri" w:hAnsi="Arial" w:cs="Arial"/>
          <w:b/>
          <w:sz w:val="20"/>
          <w:szCs w:val="20"/>
        </w:rPr>
        <w:t xml:space="preserve">byly splněny 3 předběžné podmínky, 8 kritérií a 13 opatření dle předdefinovaných akčních plánů. </w:t>
      </w:r>
    </w:p>
    <w:p w:rsidR="0030205D" w:rsidRPr="0030205D" w:rsidRDefault="0030205D" w:rsidP="0030205D">
      <w:pPr>
        <w:spacing w:before="0" w:after="240"/>
        <w:rPr>
          <w:rFonts w:ascii="Arial" w:eastAsia="Calibri" w:hAnsi="Arial" w:cs="Arial"/>
          <w:sz w:val="20"/>
          <w:szCs w:val="20"/>
        </w:rPr>
      </w:pPr>
      <w:r w:rsidRPr="0030205D">
        <w:rPr>
          <w:rFonts w:ascii="Arial" w:eastAsia="Calibri" w:hAnsi="Arial" w:cs="Arial"/>
          <w:sz w:val="20"/>
          <w:szCs w:val="20"/>
          <w:u w:val="single"/>
        </w:rPr>
        <w:t>Formální proces verifikace byl ukončen</w:t>
      </w:r>
      <w:r w:rsidRPr="0030205D">
        <w:rPr>
          <w:rFonts w:ascii="Arial" w:eastAsia="Calibri" w:hAnsi="Arial" w:cs="Arial"/>
          <w:sz w:val="20"/>
          <w:szCs w:val="20"/>
        </w:rPr>
        <w:t xml:space="preserve"> u PP </w:t>
      </w:r>
      <w:r w:rsidRPr="0030205D">
        <w:rPr>
          <w:rFonts w:ascii="Arial" w:eastAsia="Calibri" w:hAnsi="Arial" w:cs="Arial"/>
          <w:b/>
          <w:sz w:val="20"/>
          <w:szCs w:val="20"/>
        </w:rPr>
        <w:t>10.3 Celoživotní učení</w:t>
      </w:r>
      <w:r w:rsidRPr="0030205D">
        <w:rPr>
          <w:rFonts w:ascii="Arial" w:eastAsia="Calibri" w:hAnsi="Arial" w:cs="Arial"/>
          <w:sz w:val="20"/>
          <w:szCs w:val="20"/>
        </w:rPr>
        <w:t xml:space="preserve"> oficiálním dopisem EK </w:t>
      </w:r>
      <w:r w:rsidRPr="0030205D">
        <w:rPr>
          <w:rFonts w:ascii="Arial" w:eastAsia="Calibri" w:hAnsi="Arial" w:cs="Arial"/>
          <w:sz w:val="20"/>
          <w:szCs w:val="20"/>
        </w:rPr>
        <w:br/>
        <w:t xml:space="preserve">dne 26. ledna 2016. Dále PP </w:t>
      </w:r>
      <w:r w:rsidRPr="0030205D">
        <w:rPr>
          <w:rFonts w:ascii="Arial" w:eastAsia="Calibri" w:hAnsi="Arial" w:cs="Arial"/>
          <w:b/>
          <w:sz w:val="20"/>
          <w:szCs w:val="20"/>
        </w:rPr>
        <w:t xml:space="preserve">4.1 Energetická účinnost </w:t>
      </w:r>
      <w:r w:rsidRPr="0030205D">
        <w:rPr>
          <w:rFonts w:ascii="Arial" w:eastAsia="Calibri" w:hAnsi="Arial" w:cs="Arial"/>
          <w:sz w:val="20"/>
          <w:szCs w:val="20"/>
        </w:rPr>
        <w:t xml:space="preserve">byla vložena do SFC systému dne </w:t>
      </w:r>
      <w:r w:rsidRPr="0030205D">
        <w:rPr>
          <w:rFonts w:ascii="Arial" w:eastAsia="Calibri" w:hAnsi="Arial" w:cs="Arial"/>
          <w:sz w:val="20"/>
          <w:szCs w:val="20"/>
        </w:rPr>
        <w:br/>
        <w:t xml:space="preserve">8. ledna 2016 a následně </w:t>
      </w:r>
      <w:r w:rsidRPr="0030205D">
        <w:rPr>
          <w:rFonts w:ascii="Arial" w:eastAsia="Calibri" w:hAnsi="Arial" w:cs="Arial"/>
          <w:b/>
          <w:sz w:val="20"/>
          <w:szCs w:val="20"/>
        </w:rPr>
        <w:t>oficiálně verifikována EK dne 1. března 2016</w:t>
      </w:r>
      <w:r w:rsidRPr="0030205D">
        <w:rPr>
          <w:rFonts w:ascii="Arial" w:eastAsia="Calibri" w:hAnsi="Arial" w:cs="Arial"/>
          <w:sz w:val="20"/>
          <w:szCs w:val="20"/>
        </w:rPr>
        <w:t xml:space="preserve">. Rovněž PP </w:t>
      </w:r>
      <w:r w:rsidRPr="0030205D">
        <w:rPr>
          <w:rFonts w:ascii="Arial" w:eastAsia="Calibri" w:hAnsi="Arial" w:cs="Arial"/>
          <w:b/>
          <w:sz w:val="20"/>
          <w:szCs w:val="20"/>
        </w:rPr>
        <w:t xml:space="preserve">2.1 Digitální </w:t>
      </w:r>
      <w:r w:rsidRPr="0030205D">
        <w:rPr>
          <w:rFonts w:ascii="Arial" w:eastAsia="Calibri" w:hAnsi="Arial" w:cs="Arial"/>
          <w:b/>
          <w:sz w:val="20"/>
          <w:szCs w:val="20"/>
        </w:rPr>
        <w:lastRenderedPageBreak/>
        <w:t>růst</w:t>
      </w:r>
      <w:r w:rsidRPr="0030205D">
        <w:rPr>
          <w:rFonts w:ascii="Arial" w:eastAsia="Calibri" w:hAnsi="Arial" w:cs="Arial"/>
          <w:sz w:val="20"/>
          <w:szCs w:val="20"/>
        </w:rPr>
        <w:t xml:space="preserve"> byla oficiálně verifikována dne 9. března 2016. </w:t>
      </w:r>
      <w:r w:rsidRPr="0030205D">
        <w:rPr>
          <w:rFonts w:ascii="Arial" w:eastAsia="Calibri" w:hAnsi="Arial" w:cs="Arial"/>
          <w:b/>
          <w:sz w:val="20"/>
          <w:szCs w:val="20"/>
        </w:rPr>
        <w:t>Oficiální verifikací ze strany EK považujeme tyto předběžné podmínky za splněné.</w:t>
      </w:r>
    </w:p>
    <w:p w:rsidR="0030205D" w:rsidRPr="0030205D" w:rsidRDefault="0030205D" w:rsidP="0030205D">
      <w:pPr>
        <w:spacing w:before="0"/>
        <w:rPr>
          <w:rFonts w:ascii="Arial" w:hAnsi="Arial" w:cs="Arial"/>
          <w:b/>
          <w:sz w:val="20"/>
          <w:szCs w:val="20"/>
        </w:rPr>
      </w:pPr>
      <w:r w:rsidRPr="0030205D">
        <w:rPr>
          <w:rFonts w:ascii="Arial" w:hAnsi="Arial" w:cs="Arial"/>
          <w:sz w:val="20"/>
          <w:szCs w:val="20"/>
          <w:u w:val="single"/>
        </w:rPr>
        <w:t xml:space="preserve">Formální proces verifikace stále probíhá </w:t>
      </w:r>
      <w:r w:rsidRPr="0030205D">
        <w:rPr>
          <w:rFonts w:ascii="Arial" w:hAnsi="Arial" w:cs="Arial"/>
          <w:sz w:val="20"/>
          <w:szCs w:val="20"/>
        </w:rPr>
        <w:t xml:space="preserve">u PP </w:t>
      </w:r>
      <w:r w:rsidRPr="0030205D">
        <w:rPr>
          <w:rFonts w:ascii="Arial" w:hAnsi="Arial" w:cs="Arial"/>
          <w:b/>
          <w:sz w:val="20"/>
          <w:szCs w:val="20"/>
        </w:rPr>
        <w:t>9.3 Zdraví, PP 10.1 Ukončování školní docházky,</w:t>
      </w:r>
      <w:r w:rsidRPr="0030205D">
        <w:rPr>
          <w:rFonts w:ascii="Arial" w:eastAsia="Calibri" w:hAnsi="Arial" w:cs="Arial"/>
          <w:sz w:val="20"/>
          <w:szCs w:val="20"/>
        </w:rPr>
        <w:t xml:space="preserve"> od 17. prosince 2015 rovněž u </w:t>
      </w:r>
      <w:r w:rsidRPr="0030205D">
        <w:rPr>
          <w:rFonts w:ascii="Arial" w:hAnsi="Arial" w:cs="Arial"/>
          <w:sz w:val="20"/>
          <w:szCs w:val="20"/>
        </w:rPr>
        <w:t xml:space="preserve">PP </w:t>
      </w:r>
      <w:r w:rsidRPr="0030205D">
        <w:rPr>
          <w:rFonts w:ascii="Arial" w:hAnsi="Arial" w:cs="Arial"/>
          <w:b/>
          <w:sz w:val="20"/>
          <w:szCs w:val="20"/>
        </w:rPr>
        <w:t xml:space="preserve">8.5 Pomoc pracovníkům, podnikům a podnikatelům. </w:t>
      </w:r>
      <w:r w:rsidRPr="0030205D">
        <w:rPr>
          <w:rFonts w:ascii="Arial" w:hAnsi="Arial" w:cs="Arial"/>
          <w:sz w:val="20"/>
          <w:szCs w:val="20"/>
        </w:rPr>
        <w:t xml:space="preserve">U všech těchto předběžných podmínek si EK vyžádala doplňující informace. Od 5. února 2016 se v systému SFC nachází dokumenty prokazující splnění PP </w:t>
      </w:r>
      <w:r w:rsidRPr="0030205D">
        <w:rPr>
          <w:rFonts w:ascii="Arial" w:hAnsi="Arial" w:cs="Arial"/>
          <w:b/>
          <w:sz w:val="20"/>
          <w:szCs w:val="20"/>
        </w:rPr>
        <w:t xml:space="preserve">5.1 Předcházení riziku a jeho řízení </w:t>
      </w:r>
      <w:r w:rsidRPr="0030205D">
        <w:rPr>
          <w:rFonts w:ascii="Arial" w:hAnsi="Arial" w:cs="Arial"/>
          <w:sz w:val="20"/>
          <w:szCs w:val="20"/>
        </w:rPr>
        <w:t>a PP</w:t>
      </w:r>
      <w:r w:rsidRPr="0030205D">
        <w:rPr>
          <w:rFonts w:ascii="Arial" w:hAnsi="Arial" w:cs="Arial"/>
          <w:b/>
          <w:sz w:val="20"/>
          <w:szCs w:val="20"/>
        </w:rPr>
        <w:t xml:space="preserve"> 6.1</w:t>
      </w:r>
      <w:r w:rsidRPr="0030205D">
        <w:rPr>
          <w:rFonts w:ascii="Arial" w:hAnsi="Arial" w:cs="Arial"/>
          <w:sz w:val="20"/>
          <w:szCs w:val="20"/>
        </w:rPr>
        <w:t xml:space="preserve"> </w:t>
      </w:r>
      <w:r w:rsidRPr="0030205D">
        <w:rPr>
          <w:rFonts w:ascii="Arial" w:hAnsi="Arial" w:cs="Arial"/>
          <w:b/>
          <w:sz w:val="20"/>
          <w:szCs w:val="20"/>
        </w:rPr>
        <w:t>Vodní hospodářství</w:t>
      </w:r>
      <w:r w:rsidRPr="0030205D">
        <w:rPr>
          <w:rFonts w:ascii="Arial" w:hAnsi="Arial" w:cs="Arial"/>
          <w:sz w:val="20"/>
          <w:szCs w:val="20"/>
        </w:rPr>
        <w:t>.</w:t>
      </w:r>
    </w:p>
    <w:p w:rsidR="0030205D" w:rsidRPr="0030205D" w:rsidRDefault="0030205D" w:rsidP="0030205D">
      <w:pPr>
        <w:spacing w:before="0"/>
        <w:rPr>
          <w:rFonts w:ascii="Arial" w:hAnsi="Arial" w:cs="Arial"/>
          <w:b/>
          <w:sz w:val="20"/>
          <w:szCs w:val="20"/>
        </w:rPr>
      </w:pPr>
    </w:p>
    <w:p w:rsidR="0030205D" w:rsidRPr="0030205D" w:rsidRDefault="0030205D" w:rsidP="0030205D">
      <w:pPr>
        <w:spacing w:before="0"/>
        <w:rPr>
          <w:rFonts w:ascii="Arial" w:hAnsi="Arial" w:cs="Arial"/>
          <w:sz w:val="20"/>
          <w:szCs w:val="20"/>
        </w:rPr>
      </w:pPr>
      <w:r w:rsidRPr="0030205D">
        <w:rPr>
          <w:rFonts w:ascii="Arial" w:hAnsi="Arial" w:cs="Arial"/>
          <w:sz w:val="20"/>
          <w:szCs w:val="20"/>
        </w:rPr>
        <w:t xml:space="preserve">U PP </w:t>
      </w:r>
      <w:r w:rsidRPr="0030205D">
        <w:rPr>
          <w:rFonts w:ascii="Arial" w:hAnsi="Arial" w:cs="Arial"/>
          <w:b/>
          <w:sz w:val="20"/>
          <w:szCs w:val="20"/>
        </w:rPr>
        <w:t>7.1 Silniční doprava, 7.2 Železniční doprava a 7.3 Ostatní doprava</w:t>
      </w:r>
      <w:r w:rsidRPr="0030205D">
        <w:rPr>
          <w:rFonts w:ascii="Arial" w:hAnsi="Arial" w:cs="Arial"/>
          <w:sz w:val="20"/>
          <w:szCs w:val="20"/>
        </w:rPr>
        <w:t xml:space="preserve"> došlo u každé z nich ke splnění jednoho opatření. </w:t>
      </w:r>
    </w:p>
    <w:p w:rsidR="0030205D" w:rsidRPr="0030205D" w:rsidRDefault="0030205D" w:rsidP="0030205D">
      <w:pPr>
        <w:spacing w:before="0"/>
        <w:rPr>
          <w:rFonts w:ascii="Arial" w:hAnsi="Arial" w:cs="Arial"/>
          <w:sz w:val="20"/>
          <w:szCs w:val="20"/>
        </w:rPr>
      </w:pPr>
    </w:p>
    <w:p w:rsidR="0030205D" w:rsidRPr="0030205D" w:rsidRDefault="0030205D" w:rsidP="0030205D">
      <w:pPr>
        <w:spacing w:before="0"/>
        <w:rPr>
          <w:rFonts w:ascii="Arial" w:hAnsi="Arial" w:cs="Arial"/>
          <w:noProof/>
          <w:sz w:val="20"/>
          <w:szCs w:val="20"/>
        </w:rPr>
      </w:pPr>
      <w:r w:rsidRPr="0030205D">
        <w:rPr>
          <w:rFonts w:ascii="Arial" w:eastAsia="Calibri" w:hAnsi="Arial" w:cs="Arial"/>
          <w:sz w:val="20"/>
          <w:szCs w:val="20"/>
          <w:lang w:eastAsia="en-US"/>
        </w:rPr>
        <w:t xml:space="preserve">Došlo též k několika aktualizacím akčních plánů. Jedná se o předběžnou podmínku </w:t>
      </w:r>
      <w:r w:rsidRPr="0030205D">
        <w:rPr>
          <w:rFonts w:ascii="Arial" w:eastAsia="Calibri" w:hAnsi="Arial" w:cs="Arial"/>
          <w:b/>
          <w:sz w:val="20"/>
          <w:szCs w:val="20"/>
          <w:lang w:eastAsia="en-US"/>
        </w:rPr>
        <w:t>2.2 Infrastruktura přístupových sítí nové generace,</w:t>
      </w:r>
      <w:r w:rsidRPr="0030205D">
        <w:rPr>
          <w:rFonts w:ascii="Arial" w:eastAsia="Calibri" w:hAnsi="Arial" w:cs="Arial"/>
          <w:sz w:val="20"/>
          <w:szCs w:val="20"/>
          <w:lang w:eastAsia="en-US"/>
        </w:rPr>
        <w:t xml:space="preserve"> kde proběhl další posun data splnění, a to na 30. listopad 2016. Dále se jedná o PP </w:t>
      </w:r>
      <w:r w:rsidRPr="0030205D">
        <w:rPr>
          <w:rFonts w:ascii="Arial" w:eastAsia="Calibri" w:hAnsi="Arial" w:cs="Arial"/>
          <w:b/>
          <w:sz w:val="20"/>
          <w:szCs w:val="20"/>
          <w:lang w:eastAsia="en-US"/>
        </w:rPr>
        <w:t>3.1 Podpora podnikání (SBA) a 8.2 Samostatná výdělečná činnost, podnikání a zakládání firem</w:t>
      </w:r>
      <w:r w:rsidRPr="0030205D">
        <w:rPr>
          <w:rFonts w:ascii="Arial" w:eastAsia="Calibri" w:hAnsi="Arial" w:cs="Arial"/>
          <w:sz w:val="20"/>
          <w:szCs w:val="20"/>
          <w:lang w:eastAsia="en-US"/>
        </w:rPr>
        <w:t xml:space="preserve">, kde byl termín splnění PP posunut na září 2016. Evropská komise byla </w:t>
      </w:r>
      <w:r w:rsidRPr="0030205D">
        <w:rPr>
          <w:rFonts w:ascii="Arial" w:eastAsia="Calibri" w:hAnsi="Arial" w:cs="Arial"/>
          <w:sz w:val="20"/>
          <w:szCs w:val="20"/>
          <w:lang w:eastAsia="en-US"/>
        </w:rPr>
        <w:br/>
        <w:t xml:space="preserve">o této změně informována 21. ledna 2016. Dále došlo k posunu u kritéria PP </w:t>
      </w:r>
      <w:r w:rsidRPr="0030205D">
        <w:rPr>
          <w:rFonts w:ascii="Arial" w:eastAsia="Calibri" w:hAnsi="Arial" w:cs="Arial"/>
          <w:b/>
          <w:sz w:val="20"/>
          <w:szCs w:val="20"/>
          <w:lang w:eastAsia="en-US"/>
        </w:rPr>
        <w:t>7.3 Ostatní doprava</w:t>
      </w:r>
      <w:r w:rsidRPr="0030205D">
        <w:rPr>
          <w:rFonts w:ascii="Arial" w:eastAsia="Calibri" w:hAnsi="Arial" w:cs="Arial"/>
          <w:sz w:val="20"/>
          <w:szCs w:val="20"/>
          <w:lang w:eastAsia="en-US"/>
        </w:rPr>
        <w:t xml:space="preserve"> týkající se Koncepce vodní dopravy na 30. června 2016. Posun byl také zaznamenán u </w:t>
      </w:r>
      <w:r w:rsidRPr="0030205D">
        <w:rPr>
          <w:rFonts w:ascii="Arial" w:eastAsia="Calibri" w:hAnsi="Arial" w:cs="Arial"/>
          <w:b/>
          <w:sz w:val="20"/>
          <w:szCs w:val="20"/>
          <w:lang w:eastAsia="en-US"/>
        </w:rPr>
        <w:t>PP 1.1 Výzkum a vývoj – inteligentní specializace</w:t>
      </w:r>
      <w:r w:rsidRPr="0030205D">
        <w:rPr>
          <w:rFonts w:ascii="Arial" w:eastAsia="Calibri" w:hAnsi="Arial" w:cs="Arial"/>
          <w:sz w:val="20"/>
          <w:szCs w:val="20"/>
          <w:lang w:eastAsia="en-US"/>
        </w:rPr>
        <w:t xml:space="preserve"> na 31. říjen 2016. Upřesnění textu Akčního plánu proběhlo u PP </w:t>
      </w:r>
      <w:r w:rsidRPr="0030205D">
        <w:rPr>
          <w:rFonts w:ascii="Arial" w:eastAsia="Calibri" w:hAnsi="Arial" w:cs="Arial"/>
          <w:b/>
          <w:sz w:val="20"/>
          <w:szCs w:val="20"/>
          <w:lang w:eastAsia="en-US"/>
        </w:rPr>
        <w:t>6.2 Odpadové hospodářství</w:t>
      </w:r>
      <w:r w:rsidRPr="0030205D">
        <w:rPr>
          <w:rFonts w:ascii="Arial" w:eastAsia="Calibri" w:hAnsi="Arial" w:cs="Arial"/>
          <w:sz w:val="20"/>
          <w:szCs w:val="20"/>
          <w:lang w:eastAsia="en-US"/>
        </w:rPr>
        <w:t>.</w:t>
      </w:r>
      <w:r w:rsidRPr="0030205D">
        <w:rPr>
          <w:rFonts w:ascii="Arial" w:hAnsi="Arial" w:cs="Arial"/>
          <w:noProof/>
          <w:sz w:val="20"/>
          <w:szCs w:val="20"/>
        </w:rPr>
        <w:t xml:space="preserve"> </w:t>
      </w:r>
    </w:p>
    <w:p w:rsidR="0030205D" w:rsidRPr="0030205D" w:rsidRDefault="0030205D" w:rsidP="0030205D">
      <w:pPr>
        <w:spacing w:before="0"/>
        <w:rPr>
          <w:rFonts w:ascii="Arial" w:hAnsi="Arial" w:cs="Arial"/>
          <w:b/>
          <w:sz w:val="20"/>
          <w:szCs w:val="20"/>
          <w:highlight w:val="yellow"/>
        </w:rPr>
      </w:pPr>
    </w:p>
    <w:p w:rsidR="0030205D" w:rsidRPr="0030205D" w:rsidRDefault="0030205D" w:rsidP="0030205D">
      <w:pPr>
        <w:spacing w:before="0"/>
        <w:rPr>
          <w:rFonts w:ascii="Arial" w:hAnsi="Arial" w:cs="Arial"/>
          <w:sz w:val="20"/>
          <w:szCs w:val="20"/>
        </w:rPr>
      </w:pPr>
      <w:r w:rsidRPr="0030205D">
        <w:rPr>
          <w:rFonts w:ascii="Arial" w:hAnsi="Arial" w:cs="Arial"/>
          <w:b/>
          <w:sz w:val="20"/>
          <w:szCs w:val="20"/>
        </w:rPr>
        <w:t>Gestory bylo identifikováno</w:t>
      </w:r>
      <w:r w:rsidRPr="0030205D">
        <w:rPr>
          <w:rFonts w:ascii="Arial" w:hAnsi="Arial" w:cs="Arial"/>
          <w:sz w:val="20"/>
          <w:szCs w:val="20"/>
        </w:rPr>
        <w:t xml:space="preserve"> </w:t>
      </w:r>
      <w:r w:rsidRPr="0030205D">
        <w:rPr>
          <w:rFonts w:ascii="Arial" w:hAnsi="Arial" w:cs="Arial"/>
          <w:b/>
          <w:sz w:val="20"/>
          <w:szCs w:val="20"/>
        </w:rPr>
        <w:t>několik faktorů, které by mohly ohrozit splnění</w:t>
      </w:r>
      <w:r w:rsidRPr="0030205D">
        <w:rPr>
          <w:rFonts w:ascii="Arial" w:hAnsi="Arial" w:cs="Arial"/>
          <w:sz w:val="20"/>
          <w:szCs w:val="20"/>
        </w:rPr>
        <w:t xml:space="preserve"> předběžných podmínek dle stanovených harmonogramů. Za společný faktor lze obecně označit zejména riziko nedodržení přednastavených harmonogramů v rámci akčních plánů, které vyplývá z různorodých okolností, ať už z délky legislativního procesu, či obecně na úrovni hledání shody v rámci meziresortních připomínkových řízení apod.  </w:t>
      </w:r>
    </w:p>
    <w:p w:rsidR="0030205D" w:rsidRPr="0030205D" w:rsidRDefault="0030205D" w:rsidP="0030205D">
      <w:pPr>
        <w:spacing w:before="0"/>
        <w:rPr>
          <w:rFonts w:ascii="Arial" w:hAnsi="Arial" w:cs="Arial"/>
          <w:sz w:val="20"/>
          <w:szCs w:val="20"/>
          <w:highlight w:val="yellow"/>
        </w:rPr>
      </w:pPr>
    </w:p>
    <w:p w:rsidR="0030205D" w:rsidRPr="0030205D" w:rsidRDefault="0030205D" w:rsidP="0030205D">
      <w:pPr>
        <w:spacing w:before="0"/>
        <w:rPr>
          <w:rFonts w:ascii="Arial" w:hAnsi="Arial" w:cs="Arial"/>
          <w:sz w:val="20"/>
          <w:szCs w:val="20"/>
        </w:rPr>
      </w:pPr>
      <w:r w:rsidRPr="0030205D">
        <w:rPr>
          <w:rFonts w:ascii="Arial" w:hAnsi="Arial" w:cs="Arial"/>
          <w:sz w:val="20"/>
          <w:szCs w:val="20"/>
        </w:rPr>
        <w:t xml:space="preserve">Jako rizikovou lze vnímat zejména PP </w:t>
      </w:r>
      <w:r w:rsidRPr="0030205D">
        <w:rPr>
          <w:rFonts w:ascii="Arial" w:hAnsi="Arial" w:cs="Arial"/>
          <w:b/>
          <w:sz w:val="20"/>
          <w:szCs w:val="20"/>
        </w:rPr>
        <w:t xml:space="preserve">2.2 Infrastruktura přístupových sítí nové generace, </w:t>
      </w:r>
      <w:r w:rsidRPr="0030205D">
        <w:rPr>
          <w:rFonts w:ascii="Arial" w:hAnsi="Arial" w:cs="Arial"/>
          <w:sz w:val="20"/>
          <w:szCs w:val="20"/>
        </w:rPr>
        <w:t>která je jako jediná zcela nesplněná. Rovněž je nutné upozornit na obdržené připomínky od EK</w:t>
      </w:r>
      <w:r w:rsidRPr="0030205D">
        <w:rPr>
          <w:rFonts w:ascii="Arial" w:hAnsi="Arial" w:cs="Arial"/>
          <w:b/>
          <w:sz w:val="20"/>
          <w:szCs w:val="20"/>
        </w:rPr>
        <w:t xml:space="preserve"> k RIS 3 strategii</w:t>
      </w:r>
      <w:r w:rsidRPr="0030205D">
        <w:rPr>
          <w:rFonts w:ascii="Arial" w:hAnsi="Arial" w:cs="Arial"/>
          <w:sz w:val="20"/>
          <w:szCs w:val="20"/>
        </w:rPr>
        <w:t xml:space="preserve"> u PP </w:t>
      </w:r>
      <w:r w:rsidRPr="0030205D">
        <w:rPr>
          <w:rFonts w:ascii="Arial" w:hAnsi="Arial" w:cs="Arial"/>
          <w:b/>
          <w:sz w:val="20"/>
          <w:szCs w:val="20"/>
        </w:rPr>
        <w:t>1.1 Výzkum a vývoj – inteligentní specializace</w:t>
      </w:r>
      <w:r w:rsidRPr="0030205D">
        <w:rPr>
          <w:rFonts w:ascii="Arial" w:hAnsi="Arial" w:cs="Arial"/>
          <w:sz w:val="20"/>
          <w:szCs w:val="20"/>
        </w:rPr>
        <w:t xml:space="preserve">, jejíž stav se na základě vyjádření EK změnil zpět na „částečně splněno“. Vypořádání připomínek EK bylo na konci ledna 2016 odesláno Úřadem vlády ČR. Za rizikovou lze rovněž považovat </w:t>
      </w:r>
      <w:r w:rsidRPr="0030205D">
        <w:rPr>
          <w:rFonts w:ascii="Arial" w:hAnsi="Arial" w:cs="Arial"/>
          <w:b/>
          <w:sz w:val="20"/>
          <w:szCs w:val="20"/>
        </w:rPr>
        <w:t>6.2 Odpadové hospodářství</w:t>
      </w:r>
      <w:r w:rsidRPr="0030205D">
        <w:rPr>
          <w:rFonts w:ascii="Arial" w:hAnsi="Arial" w:cs="Arial"/>
          <w:sz w:val="20"/>
          <w:szCs w:val="20"/>
        </w:rPr>
        <w:t xml:space="preserve"> zejména v souvislosti s nedořešením závazku k vyřešení rozdílů v datech za produkci s nakládání s odpady.</w:t>
      </w:r>
    </w:p>
    <w:p w:rsidR="00B220B0" w:rsidRPr="00C9463F" w:rsidRDefault="00C23E65" w:rsidP="0030205D">
      <w:pPr>
        <w:tabs>
          <w:tab w:val="center" w:pos="4535"/>
        </w:tabs>
        <w:rPr>
          <w:rFonts w:ascii="Arial" w:eastAsia="Times New Roman" w:hAnsi="Arial" w:cs="Arial"/>
          <w:sz w:val="20"/>
          <w:szCs w:val="20"/>
        </w:rPr>
      </w:pPr>
      <w:r w:rsidRPr="00683488">
        <w:rPr>
          <w:rFonts w:ascii="Arial" w:eastAsia="Times New Roman" w:hAnsi="Arial" w:cs="Arial"/>
          <w:sz w:val="20"/>
          <w:szCs w:val="20"/>
        </w:rPr>
        <w:t xml:space="preserve">. </w:t>
      </w:r>
    </w:p>
    <w:p w:rsidR="0030205D" w:rsidRPr="0030205D" w:rsidRDefault="0030205D" w:rsidP="0030205D">
      <w:pPr>
        <w:keepNext/>
        <w:keepLines/>
        <w:spacing w:before="240" w:after="120"/>
        <w:ind w:left="576" w:hanging="576"/>
        <w:outlineLvl w:val="1"/>
        <w:rPr>
          <w:rFonts w:ascii="Arial" w:eastAsiaTheme="majorEastAsia" w:hAnsi="Arial" w:cs="Arial"/>
          <w:b/>
          <w:bCs/>
          <w:lang w:eastAsia="en-US"/>
        </w:rPr>
      </w:pPr>
      <w:r w:rsidRPr="0030205D">
        <w:rPr>
          <w:rFonts w:ascii="Arial" w:eastAsiaTheme="majorEastAsia" w:hAnsi="Arial" w:cs="Arial"/>
          <w:b/>
          <w:bCs/>
          <w:lang w:eastAsia="en-US"/>
        </w:rPr>
        <w:t>2.1 Přehled naplňování předběžných podmínek</w:t>
      </w:r>
    </w:p>
    <w:p w:rsidR="0030205D" w:rsidRPr="0030205D" w:rsidRDefault="0030205D" w:rsidP="0030205D">
      <w:r w:rsidRPr="0030205D">
        <w:rPr>
          <w:rFonts w:ascii="Arial" w:hAnsi="Arial" w:cs="Arial"/>
          <w:sz w:val="20"/>
          <w:szCs w:val="20"/>
        </w:rPr>
        <w:t xml:space="preserve">V textu níže je uveden stručný přehled naplňování PP dále také aktuální vývoj některých PP ke dni </w:t>
      </w:r>
      <w:r w:rsidRPr="0030205D">
        <w:rPr>
          <w:rFonts w:ascii="Arial" w:hAnsi="Arial" w:cs="Arial"/>
          <w:sz w:val="20"/>
          <w:szCs w:val="20"/>
        </w:rPr>
        <w:br/>
      </w:r>
      <w:r w:rsidRPr="0030205D">
        <w:rPr>
          <w:rFonts w:ascii="Arial" w:hAnsi="Arial" w:cs="Arial"/>
          <w:b/>
          <w:sz w:val="20"/>
          <w:szCs w:val="20"/>
        </w:rPr>
        <w:t>31. března 2016</w:t>
      </w:r>
      <w:r w:rsidRPr="0030205D">
        <w:rPr>
          <w:rFonts w:ascii="Arial" w:hAnsi="Arial" w:cs="Arial"/>
          <w:sz w:val="20"/>
          <w:szCs w:val="20"/>
        </w:rPr>
        <w:t>, a to zejména těch nejrizikovějších.</w:t>
      </w:r>
    </w:p>
    <w:p w:rsidR="0030205D" w:rsidRPr="0030205D" w:rsidRDefault="0030205D" w:rsidP="0030205D"/>
    <w:p w:rsidR="0030205D" w:rsidRPr="0030205D" w:rsidRDefault="0030205D" w:rsidP="0030205D">
      <w:pPr>
        <w:numPr>
          <w:ilvl w:val="0"/>
          <w:numId w:val="22"/>
        </w:numPr>
        <w:overflowPunct w:val="0"/>
        <w:autoSpaceDE w:val="0"/>
        <w:autoSpaceDN w:val="0"/>
        <w:adjustRightInd w:val="0"/>
        <w:spacing w:before="0" w:after="24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b/>
          <w:sz w:val="20"/>
          <w:szCs w:val="20"/>
          <w:lang w:eastAsia="en-US"/>
        </w:rPr>
        <w:t>splněno:</w:t>
      </w:r>
      <w:r w:rsidRPr="0030205D">
        <w:rPr>
          <w:rFonts w:ascii="Arial" w:eastAsia="Calibri" w:hAnsi="Arial" w:cs="Arial"/>
          <w:sz w:val="20"/>
          <w:szCs w:val="20"/>
          <w:lang w:eastAsia="en-US"/>
        </w:rPr>
        <w:t xml:space="preserve"> 27 předběžných podmínek, z toho 22 verifikováno EK</w:t>
      </w:r>
    </w:p>
    <w:p w:rsidR="0030205D" w:rsidRPr="0030205D" w:rsidRDefault="0030205D" w:rsidP="0030205D">
      <w:pPr>
        <w:numPr>
          <w:ilvl w:val="0"/>
          <w:numId w:val="22"/>
        </w:numPr>
        <w:overflowPunct w:val="0"/>
        <w:autoSpaceDE w:val="0"/>
        <w:autoSpaceDN w:val="0"/>
        <w:adjustRightInd w:val="0"/>
        <w:spacing w:before="0" w:after="12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b/>
          <w:sz w:val="20"/>
          <w:szCs w:val="20"/>
          <w:lang w:eastAsia="en-US"/>
        </w:rPr>
        <w:t>částečně splněno:</w:t>
      </w:r>
      <w:r w:rsidRPr="0030205D">
        <w:rPr>
          <w:rFonts w:ascii="Arial" w:eastAsia="Calibri" w:hAnsi="Arial" w:cs="Arial"/>
          <w:sz w:val="20"/>
          <w:szCs w:val="20"/>
          <w:lang w:eastAsia="en-US"/>
        </w:rPr>
        <w:t xml:space="preserve"> 12 předběžných podmínek </w:t>
      </w:r>
    </w:p>
    <w:p w:rsidR="0030205D" w:rsidRPr="0030205D" w:rsidRDefault="0030205D" w:rsidP="0030205D">
      <w:pPr>
        <w:numPr>
          <w:ilvl w:val="0"/>
          <w:numId w:val="22"/>
        </w:numPr>
        <w:overflowPunct w:val="0"/>
        <w:autoSpaceDE w:val="0"/>
        <w:autoSpaceDN w:val="0"/>
        <w:adjustRightInd w:val="0"/>
        <w:spacing w:before="0" w:after="12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b/>
          <w:sz w:val="20"/>
          <w:szCs w:val="20"/>
          <w:lang w:eastAsia="en-US"/>
        </w:rPr>
        <w:t>nesplněno:</w:t>
      </w:r>
      <w:r w:rsidRPr="0030205D">
        <w:rPr>
          <w:rFonts w:ascii="Arial" w:eastAsia="Calibri" w:hAnsi="Arial" w:cs="Arial"/>
          <w:sz w:val="20"/>
          <w:szCs w:val="20"/>
          <w:lang w:eastAsia="en-US"/>
        </w:rPr>
        <w:t xml:space="preserve"> 1 předběžná podmínka</w:t>
      </w:r>
    </w:p>
    <w:p w:rsidR="0030205D" w:rsidRPr="0030205D" w:rsidRDefault="0030205D" w:rsidP="0030205D">
      <w:pPr>
        <w:overflowPunct w:val="0"/>
        <w:autoSpaceDE w:val="0"/>
        <w:autoSpaceDN w:val="0"/>
        <w:adjustRightInd w:val="0"/>
        <w:spacing w:before="0"/>
        <w:jc w:val="left"/>
        <w:textAlignment w:val="baseline"/>
        <w:rPr>
          <w:rFonts w:ascii="Arial" w:eastAsia="Times New Roman" w:hAnsi="Arial" w:cs="Arial"/>
          <w:sz w:val="20"/>
          <w:szCs w:val="20"/>
        </w:rPr>
      </w:pPr>
    </w:p>
    <w:p w:rsidR="0030205D" w:rsidRPr="0030205D" w:rsidRDefault="0030205D" w:rsidP="0030205D">
      <w:pPr>
        <w:overflowPunct w:val="0"/>
        <w:autoSpaceDE w:val="0"/>
        <w:autoSpaceDN w:val="0"/>
        <w:adjustRightInd w:val="0"/>
        <w:spacing w:before="0"/>
        <w:jc w:val="left"/>
        <w:textAlignment w:val="baseline"/>
        <w:rPr>
          <w:rFonts w:ascii="Arial" w:eastAsia="Times New Roman" w:hAnsi="Arial" w:cs="Arial"/>
          <w:sz w:val="20"/>
          <w:szCs w:val="20"/>
        </w:rPr>
      </w:pPr>
      <w:r w:rsidRPr="0030205D">
        <w:rPr>
          <w:rFonts w:ascii="Arial" w:eastAsia="Times New Roman" w:hAnsi="Arial" w:cs="Arial"/>
          <w:sz w:val="20"/>
          <w:szCs w:val="20"/>
        </w:rPr>
        <w:t>V uvedené tabulce je následující barevné odlišení:</w:t>
      </w:r>
    </w:p>
    <w:p w:rsidR="0030205D" w:rsidRPr="0030205D" w:rsidRDefault="0030205D" w:rsidP="0030205D">
      <w:pPr>
        <w:numPr>
          <w:ilvl w:val="0"/>
          <w:numId w:val="40"/>
        </w:numPr>
        <w:overflowPunct w:val="0"/>
        <w:autoSpaceDE w:val="0"/>
        <w:autoSpaceDN w:val="0"/>
        <w:adjustRightInd w:val="0"/>
        <w:spacing w:before="0" w:after="12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sz w:val="20"/>
          <w:szCs w:val="20"/>
          <w:lang w:eastAsia="en-US"/>
        </w:rPr>
        <w:t xml:space="preserve">splněné PP – </w:t>
      </w:r>
      <w:r w:rsidRPr="0030205D">
        <w:rPr>
          <w:rFonts w:ascii="Arial" w:eastAsia="Calibri" w:hAnsi="Arial" w:cs="Arial"/>
          <w:color w:val="76923C"/>
          <w:sz w:val="20"/>
          <w:szCs w:val="20"/>
          <w:lang w:eastAsia="en-US"/>
        </w:rPr>
        <w:t>zelená</w:t>
      </w:r>
      <w:r w:rsidRPr="0030205D">
        <w:rPr>
          <w:rFonts w:ascii="Arial" w:eastAsia="Calibri" w:hAnsi="Arial" w:cs="Arial"/>
          <w:sz w:val="20"/>
          <w:szCs w:val="20"/>
          <w:lang w:eastAsia="en-US"/>
        </w:rPr>
        <w:t xml:space="preserve"> </w:t>
      </w:r>
    </w:p>
    <w:p w:rsidR="0030205D" w:rsidRPr="0030205D" w:rsidRDefault="0030205D" w:rsidP="0030205D">
      <w:pPr>
        <w:numPr>
          <w:ilvl w:val="0"/>
          <w:numId w:val="40"/>
        </w:numPr>
        <w:overflowPunct w:val="0"/>
        <w:autoSpaceDE w:val="0"/>
        <w:autoSpaceDN w:val="0"/>
        <w:adjustRightInd w:val="0"/>
        <w:spacing w:before="0" w:after="12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sz w:val="20"/>
          <w:szCs w:val="20"/>
          <w:lang w:eastAsia="en-US"/>
        </w:rPr>
        <w:t xml:space="preserve">částečně splněné PP – </w:t>
      </w:r>
      <w:r w:rsidRPr="0030205D">
        <w:rPr>
          <w:rFonts w:ascii="Arial" w:eastAsia="Calibri" w:hAnsi="Arial" w:cs="Arial"/>
          <w:color w:val="548DD4"/>
          <w:sz w:val="20"/>
          <w:szCs w:val="20"/>
          <w:lang w:eastAsia="en-US"/>
        </w:rPr>
        <w:t>modrá</w:t>
      </w:r>
    </w:p>
    <w:p w:rsidR="0030205D" w:rsidRPr="0030205D" w:rsidRDefault="0030205D" w:rsidP="0030205D">
      <w:pPr>
        <w:numPr>
          <w:ilvl w:val="0"/>
          <w:numId w:val="40"/>
        </w:numPr>
        <w:overflowPunct w:val="0"/>
        <w:autoSpaceDE w:val="0"/>
        <w:autoSpaceDN w:val="0"/>
        <w:adjustRightInd w:val="0"/>
        <w:spacing w:before="0" w:after="12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sz w:val="20"/>
          <w:szCs w:val="20"/>
          <w:lang w:eastAsia="en-US"/>
        </w:rPr>
        <w:t xml:space="preserve">nesplněné PP – </w:t>
      </w:r>
      <w:r w:rsidRPr="0030205D">
        <w:rPr>
          <w:rFonts w:ascii="Arial" w:eastAsia="Calibri" w:hAnsi="Arial" w:cs="Arial"/>
          <w:color w:val="FF0000"/>
          <w:sz w:val="20"/>
          <w:szCs w:val="20"/>
          <w:lang w:eastAsia="en-US"/>
        </w:rPr>
        <w:t>červená</w:t>
      </w:r>
    </w:p>
    <w:p w:rsidR="0030205D" w:rsidRPr="0030205D" w:rsidRDefault="0030205D" w:rsidP="0030205D">
      <w:pPr>
        <w:spacing w:before="0" w:after="120"/>
        <w:ind w:left="284"/>
        <w:contextualSpacing/>
        <w:rPr>
          <w:rFonts w:ascii="Arial" w:hAnsi="Arial" w:cs="Arial"/>
          <w:b/>
          <w:sz w:val="20"/>
          <w:szCs w:val="20"/>
          <w:lang w:eastAsia="en-US"/>
        </w:rPr>
      </w:pPr>
    </w:p>
    <w:p w:rsidR="0030205D" w:rsidRPr="0030205D" w:rsidRDefault="0030205D" w:rsidP="0030205D">
      <w:pPr>
        <w:spacing w:before="0" w:after="120"/>
        <w:ind w:left="284"/>
        <w:contextualSpacing/>
        <w:rPr>
          <w:rFonts w:ascii="Arial" w:hAnsi="Arial" w:cs="Arial"/>
          <w:b/>
          <w:sz w:val="20"/>
          <w:szCs w:val="20"/>
          <w:lang w:eastAsia="en-US"/>
        </w:rPr>
      </w:pPr>
    </w:p>
    <w:p w:rsidR="0030205D" w:rsidRPr="0030205D" w:rsidRDefault="0030205D" w:rsidP="0030205D">
      <w:pPr>
        <w:spacing w:before="0" w:after="120"/>
        <w:ind w:left="284"/>
        <w:contextualSpacing/>
        <w:rPr>
          <w:rFonts w:ascii="Arial" w:hAnsi="Arial" w:cs="Arial"/>
          <w:b/>
          <w:sz w:val="20"/>
          <w:szCs w:val="20"/>
          <w:lang w:eastAsia="en-US"/>
        </w:rPr>
      </w:pPr>
    </w:p>
    <w:p w:rsidR="0030205D" w:rsidRPr="0030205D" w:rsidRDefault="0030205D" w:rsidP="0030205D">
      <w:pPr>
        <w:spacing w:before="0" w:after="120"/>
        <w:ind w:left="284"/>
        <w:contextualSpacing/>
        <w:rPr>
          <w:rFonts w:ascii="Arial" w:hAnsi="Arial" w:cs="Arial"/>
          <w:b/>
          <w:sz w:val="20"/>
          <w:szCs w:val="20"/>
          <w:lang w:eastAsia="en-US"/>
        </w:rPr>
      </w:pPr>
    </w:p>
    <w:p w:rsidR="0030205D" w:rsidRDefault="0030205D" w:rsidP="0030205D">
      <w:pPr>
        <w:spacing w:before="0" w:after="120"/>
        <w:ind w:left="284"/>
        <w:contextualSpacing/>
        <w:rPr>
          <w:rFonts w:ascii="Arial" w:hAnsi="Arial" w:cs="Arial"/>
          <w:b/>
          <w:sz w:val="20"/>
          <w:szCs w:val="20"/>
          <w:lang w:eastAsia="en-US"/>
        </w:rPr>
      </w:pPr>
    </w:p>
    <w:p w:rsidR="0030205D" w:rsidRPr="0030205D" w:rsidRDefault="0030205D" w:rsidP="0030205D">
      <w:pPr>
        <w:spacing w:before="0" w:after="120"/>
        <w:ind w:left="284"/>
        <w:contextualSpacing/>
        <w:rPr>
          <w:rFonts w:ascii="Arial" w:hAnsi="Arial" w:cs="Arial"/>
          <w:b/>
          <w:sz w:val="20"/>
          <w:szCs w:val="20"/>
          <w:lang w:eastAsia="en-US"/>
        </w:rPr>
      </w:pPr>
    </w:p>
    <w:tbl>
      <w:tblPr>
        <w:tblW w:w="4818" w:type="pct"/>
        <w:jc w:val="center"/>
        <w:tblInd w:w="-8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796"/>
        <w:gridCol w:w="3090"/>
        <w:gridCol w:w="1072"/>
        <w:gridCol w:w="685"/>
        <w:gridCol w:w="741"/>
        <w:gridCol w:w="1472"/>
        <w:gridCol w:w="1019"/>
      </w:tblGrid>
      <w:tr w:rsidR="0030205D" w:rsidRPr="0030205D" w:rsidTr="0007548D">
        <w:trPr>
          <w:trHeight w:val="340"/>
          <w:tblHeader/>
          <w:jc w:val="center"/>
        </w:trPr>
        <w:tc>
          <w:tcPr>
            <w:tcW w:w="425"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Kód</w:t>
            </w:r>
          </w:p>
        </w:tc>
        <w:tc>
          <w:tcPr>
            <w:tcW w:w="1749"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Zkrácený název uplatněných PP</w:t>
            </w:r>
          </w:p>
        </w:tc>
        <w:tc>
          <w:tcPr>
            <w:tcW w:w="612"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Stav plnění</w:t>
            </w:r>
          </w:p>
        </w:tc>
        <w:tc>
          <w:tcPr>
            <w:tcW w:w="386"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Stav plnění</w:t>
            </w:r>
          </w:p>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(v %)</w:t>
            </w:r>
          </w:p>
        </w:tc>
        <w:tc>
          <w:tcPr>
            <w:tcW w:w="417"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Gestor</w:t>
            </w:r>
          </w:p>
        </w:tc>
        <w:tc>
          <w:tcPr>
            <w:tcW w:w="837"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Nejzazší termín splnění</w:t>
            </w:r>
          </w:p>
        </w:tc>
        <w:tc>
          <w:tcPr>
            <w:tcW w:w="574" w:type="pct"/>
            <w:shd w:val="clear" w:color="auto" w:fill="002060"/>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Verifikace EK</w:t>
            </w:r>
          </w:p>
        </w:tc>
      </w:tr>
      <w:tr w:rsidR="0030205D" w:rsidRPr="0030205D" w:rsidTr="0007548D">
        <w:trPr>
          <w:trHeight w:val="340"/>
          <w:jc w:val="center"/>
        </w:trPr>
        <w:tc>
          <w:tcPr>
            <w:tcW w:w="425"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T.1.1</w:t>
            </w:r>
          </w:p>
        </w:tc>
        <w:tc>
          <w:tcPr>
            <w:tcW w:w="1749"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roofErr w:type="spellStart"/>
            <w:r w:rsidRPr="0030205D">
              <w:rPr>
                <w:rFonts w:ascii="Arial" w:eastAsia="Times New Roman" w:hAnsi="Arial" w:cs="Arial"/>
                <w:color w:val="000000"/>
                <w:sz w:val="20"/>
                <w:szCs w:val="20"/>
              </w:rPr>
              <w:t>VaV</w:t>
            </w:r>
            <w:proofErr w:type="spellEnd"/>
            <w:r w:rsidRPr="0030205D">
              <w:rPr>
                <w:rFonts w:ascii="Arial" w:eastAsia="Times New Roman" w:hAnsi="Arial" w:cs="Arial"/>
                <w:color w:val="000000"/>
                <w:sz w:val="20"/>
                <w:szCs w:val="20"/>
              </w:rPr>
              <w:t xml:space="preserve"> - inteligentní specializace</w:t>
            </w:r>
          </w:p>
        </w:tc>
        <w:tc>
          <w:tcPr>
            <w:tcW w:w="612"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50%</w:t>
            </w:r>
          </w:p>
        </w:tc>
        <w:tc>
          <w:tcPr>
            <w:tcW w:w="417"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837"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31. 10. 2016</w:t>
            </w:r>
          </w:p>
        </w:tc>
        <w:tc>
          <w:tcPr>
            <w:tcW w:w="574" w:type="pct"/>
            <w:shd w:val="clear" w:color="auto" w:fill="DAEEF3" w:themeFill="accent5" w:themeFillTint="3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T.1.2</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roofErr w:type="spellStart"/>
            <w:r w:rsidRPr="0030205D">
              <w:rPr>
                <w:rFonts w:ascii="Arial" w:eastAsia="Times New Roman" w:hAnsi="Arial" w:cs="Arial"/>
                <w:color w:val="000000"/>
                <w:sz w:val="20"/>
                <w:szCs w:val="20"/>
              </w:rPr>
              <w:t>VaV</w:t>
            </w:r>
            <w:proofErr w:type="spellEnd"/>
            <w:r w:rsidRPr="0030205D">
              <w:rPr>
                <w:rFonts w:ascii="Arial" w:eastAsia="Times New Roman" w:hAnsi="Arial" w:cs="Arial"/>
                <w:color w:val="000000"/>
                <w:sz w:val="20"/>
                <w:szCs w:val="20"/>
              </w:rPr>
              <w:t xml:space="preserve"> - víceletý plán pro sestavování rozpočtu</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57"/>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T.2.1</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Digitální růst</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57"/>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sz w:val="20"/>
                <w:szCs w:val="20"/>
              </w:rPr>
            </w:pPr>
            <w:r w:rsidRPr="0030205D">
              <w:rPr>
                <w:rFonts w:ascii="Arial" w:eastAsia="Times New Roman" w:hAnsi="Arial" w:cs="Arial"/>
                <w:sz w:val="20"/>
                <w:szCs w:val="20"/>
              </w:rPr>
              <w:t>T.2.2</w:t>
            </w:r>
          </w:p>
        </w:tc>
        <w:tc>
          <w:tcPr>
            <w:tcW w:w="1749"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sz w:val="20"/>
                <w:szCs w:val="20"/>
              </w:rPr>
            </w:pPr>
            <w:r w:rsidRPr="0030205D">
              <w:rPr>
                <w:rFonts w:ascii="Arial" w:eastAsia="Times New Roman" w:hAnsi="Arial" w:cs="Arial"/>
                <w:sz w:val="20"/>
                <w:szCs w:val="20"/>
              </w:rPr>
              <w:t>Infrastruktura přístupových sítí nové generace</w:t>
            </w:r>
          </w:p>
        </w:tc>
        <w:tc>
          <w:tcPr>
            <w:tcW w:w="612"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Ne</w:t>
            </w:r>
          </w:p>
        </w:tc>
        <w:tc>
          <w:tcPr>
            <w:tcW w:w="386"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0%</w:t>
            </w:r>
          </w:p>
        </w:tc>
        <w:tc>
          <w:tcPr>
            <w:tcW w:w="417"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837"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30. 11. 2016</w:t>
            </w:r>
          </w:p>
        </w:tc>
        <w:tc>
          <w:tcPr>
            <w:tcW w:w="574" w:type="pct"/>
            <w:shd w:val="clear" w:color="auto" w:fill="F2DBDB"/>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T.3.1</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Podpora podnikání (SBA)</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67%</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MSp</w:t>
            </w:r>
            <w:proofErr w:type="spellEnd"/>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1. 9. 2016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T.4.1</w:t>
            </w:r>
          </w:p>
        </w:tc>
        <w:tc>
          <w:tcPr>
            <w:tcW w:w="1749"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Energetická účinnost</w:t>
            </w:r>
          </w:p>
        </w:tc>
        <w:tc>
          <w:tcPr>
            <w:tcW w:w="612"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83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30205D" w:rsidRPr="0030205D" w:rsidRDefault="0030205D" w:rsidP="0030205D">
            <w:pPr>
              <w:numPr>
                <w:ilvl w:val="0"/>
                <w:numId w:val="57"/>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T.4.2</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Výroba tepla a elektřiny</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58"/>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T.4.3</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Obnovitelné zdroje energie</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5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T.5.1</w:t>
            </w:r>
          </w:p>
        </w:tc>
        <w:tc>
          <w:tcPr>
            <w:tcW w:w="1749"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Předcházení riziku a jeho řízení</w:t>
            </w:r>
          </w:p>
        </w:tc>
        <w:tc>
          <w:tcPr>
            <w:tcW w:w="612"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tc>
        <w:tc>
          <w:tcPr>
            <w:tcW w:w="83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30205D" w:rsidRPr="0030205D" w:rsidRDefault="0030205D" w:rsidP="0030205D">
            <w:pPr>
              <w:overflowPunct w:val="0"/>
              <w:autoSpaceDE w:val="0"/>
              <w:autoSpaceDN w:val="0"/>
              <w:adjustRightInd w:val="0"/>
              <w:spacing w:before="0" w:line="240" w:lineRule="auto"/>
              <w:jc w:val="center"/>
              <w:textAlignment w:val="baseline"/>
              <w:rPr>
                <w:rFonts w:ascii="Arial" w:eastAsia="Times New Roman" w:hAnsi="Arial" w:cs="Arial"/>
                <w:bCs/>
                <w:sz w:val="20"/>
                <w:szCs w:val="20"/>
              </w:rPr>
            </w:pPr>
            <w:r w:rsidRPr="0030205D">
              <w:rPr>
                <w:rFonts w:ascii="Arial" w:eastAsia="Times New Roman" w:hAnsi="Arial" w:cs="Arial"/>
                <w:bCs/>
                <w:sz w:val="20"/>
                <w:szCs w:val="20"/>
              </w:rPr>
              <w:t>(SFC)</w:t>
            </w:r>
          </w:p>
        </w:tc>
      </w:tr>
      <w:tr w:rsidR="0030205D" w:rsidRPr="0030205D" w:rsidTr="0007548D">
        <w:trPr>
          <w:trHeight w:val="340"/>
          <w:jc w:val="center"/>
        </w:trPr>
        <w:tc>
          <w:tcPr>
            <w:tcW w:w="425"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T.6.1</w:t>
            </w:r>
          </w:p>
        </w:tc>
        <w:tc>
          <w:tcPr>
            <w:tcW w:w="1749"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Vodní hospodářství</w:t>
            </w:r>
          </w:p>
        </w:tc>
        <w:tc>
          <w:tcPr>
            <w:tcW w:w="612"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83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30205D" w:rsidRPr="0030205D" w:rsidRDefault="0030205D" w:rsidP="0030205D">
            <w:pPr>
              <w:overflowPunct w:val="0"/>
              <w:autoSpaceDE w:val="0"/>
              <w:autoSpaceDN w:val="0"/>
              <w:adjustRightInd w:val="0"/>
              <w:spacing w:before="0" w:line="240" w:lineRule="auto"/>
              <w:jc w:val="center"/>
              <w:textAlignment w:val="baseline"/>
              <w:rPr>
                <w:rFonts w:ascii="Arial" w:eastAsia="Times New Roman" w:hAnsi="Arial" w:cs="Arial"/>
                <w:bCs/>
                <w:sz w:val="20"/>
                <w:szCs w:val="20"/>
              </w:rPr>
            </w:pPr>
            <w:r w:rsidRPr="0030205D">
              <w:rPr>
                <w:rFonts w:ascii="Arial" w:eastAsia="Times New Roman" w:hAnsi="Arial" w:cs="Arial"/>
                <w:bCs/>
                <w:sz w:val="20"/>
                <w:szCs w:val="20"/>
              </w:rPr>
              <w:t>(SFC)</w:t>
            </w: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T.6.2</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Odpadové hospodářství</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50%</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31. 12. 2016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EZFRV 4. 1</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Dobrý zemědělský a environmentální stav</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0"/>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EZFRV 4. 2</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Minimální požadavky na hnojiva a přípravky</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1"/>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EZFRV 4. 3</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Jiné příslušné vnitrostátní normy</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2"/>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ENRF</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Víceletý národní strategický plán akvakultury</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ENRF</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Správní kapacita rybolovu</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T.7.1</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Silniční doprava</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93%</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MD</w:t>
            </w:r>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30. 9. 2016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T.7.2</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Železniční doprava</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83%</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MD</w:t>
            </w:r>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30. 9. 2016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T.7.3</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Ostatní doprava</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66%</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MD</w:t>
            </w:r>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30. 9. 2016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T.7.4</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Energetické sítě</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T.8.1</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Aktivní politika zaměstnanosti</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T.8.2</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Samostatná výdělečná činnost, podnikání a zakládání firem</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highlight w:val="green"/>
              </w:rPr>
            </w:pPr>
            <w:r w:rsidRPr="0030205D">
              <w:rPr>
                <w:rFonts w:ascii="Arial" w:eastAsia="Times New Roman" w:hAnsi="Arial" w:cs="Arial"/>
                <w:bCs/>
                <w:sz w:val="20"/>
                <w:szCs w:val="20"/>
              </w:rPr>
              <w:t>75%</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MSp</w:t>
            </w:r>
            <w:proofErr w:type="spellEnd"/>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1. 9. 2016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T.8.3</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Reforma institucí trhu práce</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T.8.5</w:t>
            </w:r>
          </w:p>
        </w:tc>
        <w:tc>
          <w:tcPr>
            <w:tcW w:w="1749"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Pomoc pracovníkům, podnikům a podnikatelům</w:t>
            </w:r>
          </w:p>
        </w:tc>
        <w:tc>
          <w:tcPr>
            <w:tcW w:w="612"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83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30205D" w:rsidRPr="0030205D" w:rsidRDefault="0030205D" w:rsidP="0030205D">
            <w:pPr>
              <w:overflowPunct w:val="0"/>
              <w:autoSpaceDE w:val="0"/>
              <w:autoSpaceDN w:val="0"/>
              <w:adjustRightInd w:val="0"/>
              <w:spacing w:before="0" w:line="240" w:lineRule="auto"/>
              <w:ind w:left="57"/>
              <w:jc w:val="center"/>
              <w:textAlignment w:val="baseline"/>
              <w:rPr>
                <w:rFonts w:ascii="Arial" w:eastAsia="Times New Roman" w:hAnsi="Arial" w:cs="Arial"/>
                <w:bCs/>
                <w:sz w:val="28"/>
                <w:szCs w:val="28"/>
              </w:rPr>
            </w:pPr>
            <w:r w:rsidRPr="0030205D">
              <w:rPr>
                <w:rFonts w:ascii="Arial" w:eastAsia="Times New Roman" w:hAnsi="Arial" w:cs="Arial"/>
                <w:bCs/>
                <w:sz w:val="20"/>
                <w:szCs w:val="20"/>
              </w:rPr>
              <w:t>(SFC)</w:t>
            </w: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T.8.6</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Podpora zaměstnanosti mladých</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T.9.1</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Snižovaní chudoby</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T.9.2</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Politika začleňování Romů</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84%</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30. 6. 2016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T.9.3</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Zdraví</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MZdr</w:t>
            </w:r>
            <w:proofErr w:type="spellEnd"/>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overflowPunct w:val="0"/>
              <w:autoSpaceDE w:val="0"/>
              <w:autoSpaceDN w:val="0"/>
              <w:adjustRightInd w:val="0"/>
              <w:spacing w:before="0" w:line="240" w:lineRule="auto"/>
              <w:jc w:val="center"/>
              <w:textAlignment w:val="baseline"/>
              <w:rPr>
                <w:rFonts w:ascii="Arial" w:eastAsia="Times New Roman" w:hAnsi="Arial" w:cs="Arial"/>
                <w:bCs/>
                <w:sz w:val="28"/>
                <w:szCs w:val="28"/>
              </w:rPr>
            </w:pPr>
            <w:r w:rsidRPr="0030205D">
              <w:rPr>
                <w:rFonts w:ascii="Arial" w:eastAsia="Times New Roman" w:hAnsi="Arial" w:cs="Arial"/>
                <w:bCs/>
                <w:sz w:val="20"/>
                <w:szCs w:val="20"/>
              </w:rPr>
              <w:t>(SFC)</w:t>
            </w: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T.10.1</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Ukončování školní docházky</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overflowPunct w:val="0"/>
              <w:autoSpaceDE w:val="0"/>
              <w:autoSpaceDN w:val="0"/>
              <w:adjustRightInd w:val="0"/>
              <w:spacing w:before="0" w:line="240" w:lineRule="auto"/>
              <w:jc w:val="center"/>
              <w:textAlignment w:val="baseline"/>
              <w:rPr>
                <w:rFonts w:ascii="Arial" w:eastAsia="Times New Roman" w:hAnsi="Arial" w:cs="Arial"/>
                <w:bCs/>
                <w:sz w:val="28"/>
                <w:szCs w:val="28"/>
              </w:rPr>
            </w:pPr>
            <w:r w:rsidRPr="0030205D">
              <w:rPr>
                <w:rFonts w:ascii="Arial" w:eastAsia="Times New Roman" w:hAnsi="Arial" w:cs="Arial"/>
                <w:bCs/>
                <w:sz w:val="20"/>
                <w:szCs w:val="20"/>
              </w:rPr>
              <w:t>(SFC)</w:t>
            </w: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T.10.2</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Vysokoškolské vzdělání</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T.10.3</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Celoživotní učení</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T.10.4</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Odborné vzdělávání a příprava</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T.11</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Veřejná správa</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55%</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MV</w:t>
            </w:r>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31. 12. 2016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lastRenderedPageBreak/>
              <w:t>O.1</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Nediskriminace</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O.2</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Rovnost mužů a žen</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O.3</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Zdravotní postižení</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O.4</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Veřejné zakázky</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70%</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MMR</w:t>
            </w:r>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31. 12. 2016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O.5</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Veřejná podpora</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66%</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MMR</w:t>
            </w:r>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30. 6. 2016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07548D">
        <w:trPr>
          <w:trHeight w:val="340"/>
          <w:jc w:val="center"/>
        </w:trPr>
        <w:tc>
          <w:tcPr>
            <w:tcW w:w="42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O.6</w:t>
            </w:r>
          </w:p>
        </w:tc>
        <w:tc>
          <w:tcPr>
            <w:tcW w:w="1749"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EIA/SEA</w:t>
            </w:r>
          </w:p>
        </w:tc>
        <w:tc>
          <w:tcPr>
            <w:tcW w:w="612"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tc>
        <w:tc>
          <w:tcPr>
            <w:tcW w:w="83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07548D">
        <w:trPr>
          <w:trHeight w:val="340"/>
          <w:jc w:val="center"/>
        </w:trPr>
        <w:tc>
          <w:tcPr>
            <w:tcW w:w="42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O.7</w:t>
            </w:r>
          </w:p>
        </w:tc>
        <w:tc>
          <w:tcPr>
            <w:tcW w:w="1749"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Statistické systémy a ukazatele výsledků</w:t>
            </w:r>
          </w:p>
        </w:tc>
        <w:tc>
          <w:tcPr>
            <w:tcW w:w="612"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67%</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MMR</w:t>
            </w:r>
          </w:p>
        </w:tc>
        <w:tc>
          <w:tcPr>
            <w:tcW w:w="83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30. 6. 2016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bl>
    <w:p w:rsidR="0030205D" w:rsidRPr="0030205D" w:rsidRDefault="0030205D" w:rsidP="0030205D">
      <w:pPr>
        <w:rPr>
          <w:rFonts w:eastAsiaTheme="majorEastAsia"/>
        </w:rPr>
      </w:pPr>
    </w:p>
    <w:p w:rsidR="0030205D" w:rsidRPr="0030205D" w:rsidRDefault="0030205D" w:rsidP="0030205D">
      <w:pPr>
        <w:keepNext/>
        <w:keepLines/>
        <w:spacing w:before="240" w:after="120"/>
        <w:ind w:left="576" w:hanging="576"/>
        <w:outlineLvl w:val="1"/>
        <w:rPr>
          <w:rFonts w:ascii="Arial" w:eastAsiaTheme="majorEastAsia" w:hAnsi="Arial" w:cs="Arial"/>
          <w:b/>
          <w:bCs/>
        </w:rPr>
      </w:pPr>
      <w:r w:rsidRPr="0030205D">
        <w:rPr>
          <w:rFonts w:ascii="Arial" w:eastAsiaTheme="majorEastAsia" w:hAnsi="Arial" w:cs="Arial"/>
          <w:b/>
          <w:bCs/>
        </w:rPr>
        <w:t>2.2 Podrobný popis naplňování některých předběžných podmínek</w:t>
      </w:r>
    </w:p>
    <w:p w:rsidR="0030205D" w:rsidRPr="0030205D" w:rsidRDefault="0030205D" w:rsidP="0030205D"/>
    <w:p w:rsidR="0030205D" w:rsidRPr="0030205D" w:rsidRDefault="0030205D" w:rsidP="0030205D">
      <w:pPr>
        <w:spacing w:before="0"/>
        <w:rPr>
          <w:rFonts w:ascii="Arial" w:eastAsia="Times New Roman" w:hAnsi="Arial" w:cs="Arial"/>
          <w:b/>
          <w:sz w:val="20"/>
          <w:szCs w:val="20"/>
          <w:u w:val="single"/>
          <w:bdr w:val="none" w:sz="0" w:space="0" w:color="auto" w:frame="1"/>
        </w:rPr>
      </w:pPr>
      <w:r w:rsidRPr="0030205D">
        <w:rPr>
          <w:rFonts w:ascii="Arial" w:eastAsia="Times New Roman" w:hAnsi="Arial" w:cs="Arial"/>
          <w:b/>
          <w:sz w:val="20"/>
          <w:szCs w:val="20"/>
          <w:u w:val="single"/>
          <w:bdr w:val="none" w:sz="0" w:space="0" w:color="auto" w:frame="1"/>
        </w:rPr>
        <w:t>OPP 4 - Veřejné zakázky</w:t>
      </w:r>
    </w:p>
    <w:p w:rsidR="0030205D" w:rsidRPr="0030205D" w:rsidRDefault="0030205D" w:rsidP="0030205D">
      <w:pPr>
        <w:spacing w:before="0" w:after="240"/>
        <w:rPr>
          <w:rFonts w:ascii="Arial" w:eastAsia="Times New Roman" w:hAnsi="Arial" w:cs="Arial"/>
          <w:sz w:val="20"/>
          <w:szCs w:val="20"/>
          <w:bdr w:val="none" w:sz="0" w:space="0" w:color="auto" w:frame="1"/>
        </w:rPr>
      </w:pPr>
      <w:r w:rsidRPr="0030205D">
        <w:rPr>
          <w:rFonts w:ascii="Arial" w:eastAsia="Times New Roman" w:hAnsi="Arial" w:cs="Arial"/>
          <w:sz w:val="20"/>
          <w:szCs w:val="20"/>
          <w:bdr w:val="none" w:sz="0" w:space="0" w:color="auto" w:frame="1"/>
        </w:rPr>
        <w:t>(gestor: Ministerstvo pro místní rozvoj)</w:t>
      </w:r>
    </w:p>
    <w:p w:rsidR="0030205D" w:rsidRPr="0030205D" w:rsidRDefault="0030205D" w:rsidP="0030205D">
      <w:pPr>
        <w:numPr>
          <w:ilvl w:val="0"/>
          <w:numId w:val="74"/>
        </w:numPr>
        <w:spacing w:before="0" w:after="240"/>
        <w:ind w:left="284" w:hanging="284"/>
        <w:contextualSpacing/>
        <w:rPr>
          <w:rFonts w:ascii="Arial" w:hAnsi="Arial" w:cs="Arial"/>
          <w:sz w:val="20"/>
          <w:szCs w:val="20"/>
          <w:lang w:eastAsia="en-US"/>
        </w:rPr>
      </w:pPr>
      <w:r w:rsidRPr="0030205D">
        <w:rPr>
          <w:rFonts w:ascii="Arial" w:eastAsia="Times New Roman" w:hAnsi="Arial" w:cs="Arial"/>
          <w:sz w:val="20"/>
          <w:szCs w:val="20"/>
          <w:bdr w:val="none" w:sz="0" w:space="0" w:color="auto" w:frame="1"/>
          <w:lang w:eastAsia="en-US"/>
        </w:rPr>
        <w:t xml:space="preserve">Vláda ČR schválila návrh zákona o zadávání veřejných zakázek dne 5. října 2015. Návrh byl projednán v prvním čtení v Poslanecké sněmovně Parlamentu ČR (PSP) dne 25. listopadu 2015 (sněmovní tisk 637) a byl přikázán k projednání výborům. Dne 27. ledna 2016 prošel návrh zákona druhým čtením a dne 9. března 2016 PSP návrh zákona projednala ve třetím čtení. Nyní je zákon postoupen Senátu Parlamentu ČR, kde bude dne 6. dubna 2016 projednán. </w:t>
      </w:r>
    </w:p>
    <w:p w:rsidR="0030205D" w:rsidRDefault="0030205D" w:rsidP="0030205D">
      <w:pPr>
        <w:numPr>
          <w:ilvl w:val="0"/>
          <w:numId w:val="74"/>
        </w:numPr>
        <w:spacing w:before="0" w:after="240"/>
        <w:ind w:left="284" w:hanging="284"/>
        <w:contextualSpacing/>
        <w:rPr>
          <w:rFonts w:ascii="Arial" w:hAnsi="Arial" w:cs="Arial"/>
          <w:sz w:val="20"/>
          <w:szCs w:val="20"/>
          <w:lang w:eastAsia="en-US"/>
        </w:rPr>
      </w:pPr>
      <w:r w:rsidRPr="0030205D">
        <w:rPr>
          <w:rFonts w:ascii="Arial" w:hAnsi="Arial" w:cs="Arial"/>
          <w:sz w:val="20"/>
          <w:szCs w:val="20"/>
          <w:lang w:eastAsia="en-US"/>
        </w:rPr>
        <w:t>Aktuálně probíhá intenzivní komunikace s EK ke kritériím splněným do konce roku 2015. Zároveň dne 24. února 2016 proběhla videokonference s EK, kde se problematika PP Veřejné zakázky rovněž diskutovala. Ve dnech 14. - 15. března 2016 proběhlo další jednání s EK, kde se detailně řešilo plnění řady opatření akčního plánu.</w:t>
      </w:r>
    </w:p>
    <w:p w:rsidR="0030205D" w:rsidRPr="0030205D" w:rsidRDefault="0030205D" w:rsidP="0030205D">
      <w:pPr>
        <w:spacing w:before="0" w:after="240"/>
        <w:ind w:left="284"/>
        <w:contextualSpacing/>
        <w:rPr>
          <w:rFonts w:ascii="Arial" w:hAnsi="Arial" w:cs="Arial"/>
          <w:sz w:val="20"/>
          <w:szCs w:val="20"/>
          <w:lang w:eastAsia="en-US"/>
        </w:rPr>
      </w:pPr>
    </w:p>
    <w:p w:rsidR="0030205D" w:rsidRPr="0030205D" w:rsidRDefault="0030205D" w:rsidP="0030205D">
      <w:pPr>
        <w:keepNext/>
        <w:spacing w:before="0"/>
        <w:rPr>
          <w:rFonts w:ascii="Arial" w:eastAsia="Times New Roman" w:hAnsi="Arial" w:cs="Arial"/>
          <w:b/>
          <w:sz w:val="20"/>
          <w:szCs w:val="20"/>
          <w:u w:val="single"/>
        </w:rPr>
      </w:pPr>
      <w:r w:rsidRPr="0030205D">
        <w:rPr>
          <w:rFonts w:ascii="Arial" w:eastAsia="Times New Roman" w:hAnsi="Arial" w:cs="Arial"/>
          <w:b/>
          <w:sz w:val="20"/>
          <w:szCs w:val="20"/>
          <w:u w:val="single"/>
        </w:rPr>
        <w:t>OPP 6 - EIA</w:t>
      </w:r>
    </w:p>
    <w:p w:rsidR="0030205D" w:rsidRPr="0030205D" w:rsidRDefault="0030205D" w:rsidP="0030205D">
      <w:pPr>
        <w:keepNext/>
        <w:spacing w:before="0" w:after="240"/>
        <w:rPr>
          <w:rFonts w:ascii="Arial" w:eastAsia="Times New Roman" w:hAnsi="Arial" w:cs="Arial"/>
          <w:sz w:val="20"/>
          <w:szCs w:val="20"/>
        </w:rPr>
      </w:pPr>
      <w:r w:rsidRPr="0030205D">
        <w:rPr>
          <w:rFonts w:ascii="Arial" w:eastAsia="Times New Roman" w:hAnsi="Arial" w:cs="Arial"/>
          <w:sz w:val="20"/>
          <w:szCs w:val="20"/>
        </w:rPr>
        <w:t>(gestor: Ministerstvo životního prostředí)</w:t>
      </w:r>
    </w:p>
    <w:p w:rsidR="0030205D" w:rsidRPr="0030205D" w:rsidRDefault="0030205D" w:rsidP="0030205D">
      <w:pPr>
        <w:numPr>
          <w:ilvl w:val="0"/>
          <w:numId w:val="47"/>
        </w:numPr>
        <w:spacing w:before="0" w:after="12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 xml:space="preserve">Na základě nesprávné transpozice směrnice EIA vznesla EK požadavek na provedení vyhodnocení projektů, které nespadají pod přechodná ustanovení novely č. 39/2015 Sb. a k nimž bylo vydáno stanovisko k posouzení vlivů záměru na životní prostředí podle zákona č. 100/2001 Sb. </w:t>
      </w:r>
    </w:p>
    <w:p w:rsidR="0030205D" w:rsidRPr="0030205D" w:rsidRDefault="0030205D" w:rsidP="0030205D">
      <w:pPr>
        <w:numPr>
          <w:ilvl w:val="0"/>
          <w:numId w:val="47"/>
        </w:numPr>
        <w:spacing w:before="0" w:after="12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Usnesením vlády ČR č. 1078/2014 ze dne 15. prosince 2014 byla ustanovena meziresortní pracovní skupina (MPS EIA) pro vyhodnocení projektů z hlediska souladu jejich povolovacího procesu s požadavky směrnice EIA, která posuzuje dosud neschválené velké projekty, projekty v šetření EU Pilot a 2% vzorek ostatních projektů, u kterých byl proces EIA zahájen po datu přistoupení České republiky k Evropské unii.</w:t>
      </w:r>
    </w:p>
    <w:p w:rsidR="0030205D" w:rsidRPr="0030205D" w:rsidRDefault="0030205D" w:rsidP="0030205D">
      <w:pPr>
        <w:numPr>
          <w:ilvl w:val="0"/>
          <w:numId w:val="47"/>
        </w:numPr>
        <w:spacing w:before="0" w:after="12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 xml:space="preserve">Ze strany ministerstva životního prostředí (MŽP) byly vydány závěry vyhodnocení změn </w:t>
      </w:r>
      <w:r w:rsidRPr="0030205D">
        <w:rPr>
          <w:rFonts w:ascii="Arial" w:hAnsi="Arial" w:cs="Arial"/>
          <w:sz w:val="20"/>
          <w:szCs w:val="20"/>
          <w:bdr w:val="none" w:sz="0" w:space="0" w:color="auto" w:frame="1"/>
          <w:lang w:eastAsia="en-US"/>
        </w:rPr>
        <w:br/>
        <w:t>u všech 23 projektů, přičemž u všech již vypršela lhůta pro vyjádření veřejnosti. Pouze k jednomu z vyhodnocovaných projektů obdrželo MŽP několik odvolání (projekt silničního pražského okruhu SOKP 512). MPS EIA vypořádala připomínky obsažené v těchto odvoláních a byl vydán finální Závěr vyhodnocení změn, který je od 18. listopadu 2015 zveřejněn na portálu CENIA.</w:t>
      </w:r>
    </w:p>
    <w:p w:rsidR="0030205D" w:rsidRPr="0030205D" w:rsidRDefault="0030205D" w:rsidP="0030205D">
      <w:pPr>
        <w:numPr>
          <w:ilvl w:val="0"/>
          <w:numId w:val="47"/>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K 30. březnu 2016 bylo z 23 vyhodnocených projektů 12 velkých projektů schváleno ze strany EK (z toho 1 fázovaný).</w:t>
      </w:r>
    </w:p>
    <w:p w:rsidR="0030205D" w:rsidRPr="0030205D" w:rsidRDefault="0030205D" w:rsidP="0030205D">
      <w:pPr>
        <w:numPr>
          <w:ilvl w:val="0"/>
          <w:numId w:val="47"/>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 xml:space="preserve">Dále jsou na národní úrovni řešeny další připomínky a požadavky EK, které byly vzneseny po odeslání přezkoumaných projektů do EK týkající se dodržování rámcové směrnice o vodě či problematiky hluku. Ze strany ministerstva dopravy (MD), MŽP a dalších zainteresovaných </w:t>
      </w:r>
      <w:r w:rsidRPr="0030205D">
        <w:rPr>
          <w:rFonts w:ascii="Arial" w:hAnsi="Arial" w:cs="Arial"/>
          <w:sz w:val="20"/>
          <w:szCs w:val="20"/>
          <w:bdr w:val="none" w:sz="0" w:space="0" w:color="auto" w:frame="1"/>
          <w:lang w:eastAsia="en-US"/>
        </w:rPr>
        <w:lastRenderedPageBreak/>
        <w:t>subjektů je těmto požadavkům / připomínkám věnována vysoká pozornost a jsou průběžně s EK vypořádávány.</w:t>
      </w:r>
    </w:p>
    <w:p w:rsidR="0030205D" w:rsidRPr="0030205D" w:rsidRDefault="0030205D" w:rsidP="0030205D">
      <w:pPr>
        <w:numPr>
          <w:ilvl w:val="0"/>
          <w:numId w:val="47"/>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 xml:space="preserve">Plnění opatření týkající se 2% vzorku projektů, ke kterým byl proces EIA zahájen po datu přistoupení České republiky k Evropské unii, nabíralo rovněž zpoždění. Vzorek projektů byl potvrzen dne 21. července 2015, téměř 4 měsíce po termínu. K přezkumu byly vybrány 4 projekty. </w:t>
      </w:r>
      <w:r w:rsidRPr="0030205D">
        <w:rPr>
          <w:rFonts w:ascii="Arial" w:eastAsia="Calibri" w:hAnsi="Arial" w:cs="Arial"/>
          <w:sz w:val="20"/>
          <w:lang w:eastAsia="en-US"/>
        </w:rPr>
        <w:t>Vybrané projekty spolufinancované z OP Životní prostředí, OP D a OP Podnikání a inovace byly vyhodnoceny a brzy budou ze strany MPS EIA podepsána a vydána závěrečná vyhodnocení těchto projektů. Vyhodnocení projektu financovaného z ROP Severovýchod je ještě v řešení a mělo by být ukončeno a následně vydáno také v blízké době.</w:t>
      </w:r>
      <w:r w:rsidRPr="0030205D">
        <w:rPr>
          <w:rFonts w:ascii="Arial" w:hAnsi="Arial" w:cs="Arial"/>
          <w:sz w:val="20"/>
          <w:szCs w:val="20"/>
          <w:bdr w:val="none" w:sz="0" w:space="0" w:color="auto" w:frame="1"/>
          <w:lang w:eastAsia="en-US"/>
        </w:rPr>
        <w:t xml:space="preserve"> </w:t>
      </w:r>
    </w:p>
    <w:p w:rsidR="0030205D" w:rsidRPr="0030205D" w:rsidRDefault="0030205D" w:rsidP="0030205D">
      <w:pPr>
        <w:numPr>
          <w:ilvl w:val="0"/>
          <w:numId w:val="47"/>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 xml:space="preserve">Doposud nebylo ze strany EK zastaveno </w:t>
      </w:r>
      <w:proofErr w:type="spellStart"/>
      <w:r w:rsidRPr="0030205D">
        <w:rPr>
          <w:rFonts w:ascii="Arial" w:hAnsi="Arial" w:cs="Arial"/>
          <w:sz w:val="20"/>
          <w:szCs w:val="20"/>
          <w:bdr w:val="none" w:sz="0" w:space="0" w:color="auto" w:frame="1"/>
          <w:lang w:eastAsia="en-US"/>
        </w:rPr>
        <w:t>infringementové</w:t>
      </w:r>
      <w:proofErr w:type="spellEnd"/>
      <w:r w:rsidRPr="0030205D">
        <w:rPr>
          <w:rFonts w:ascii="Arial" w:hAnsi="Arial" w:cs="Arial"/>
          <w:sz w:val="20"/>
          <w:szCs w:val="20"/>
          <w:bdr w:val="none" w:sz="0" w:space="0" w:color="auto" w:frame="1"/>
          <w:lang w:eastAsia="en-US"/>
        </w:rPr>
        <w:t xml:space="preserve"> řízení pro nesprávnou transpozici směrnice EIA i s ohledem na skutečnost, že aktuálně probíhá další novelizace relevantní legislativy v souvislosti se zaváděním tzv. koordinovaného povolení. Komise v tomto smyslu avizovala, že bude i nadále monitorovat, zda implementace směrnice EIA probíhá řádně. V budoucnu tak znovu propojení s předběžnou podmínkou nelze vyloučit.</w:t>
      </w:r>
    </w:p>
    <w:p w:rsidR="0030205D" w:rsidRPr="0030205D" w:rsidRDefault="0030205D" w:rsidP="0030205D">
      <w:pPr>
        <w:numPr>
          <w:ilvl w:val="0"/>
          <w:numId w:val="47"/>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V neposlední řadě je také nutné upozornit, že EK se intenzivně zabývá postupem u projektů, které by měly být financovány z OP D 2014 – 2020, a kterým bylo vydáno stanovisko EIA před vstupem ČR do EU.</w:t>
      </w:r>
      <w:r w:rsidRPr="0030205D">
        <w:rPr>
          <w:rFonts w:ascii="Arial" w:hAnsi="Arial" w:cs="Arial"/>
          <w:color w:val="000000" w:themeColor="text1"/>
          <w:sz w:val="20"/>
          <w:szCs w:val="20"/>
          <w:bdr w:val="nil"/>
          <w:lang w:eastAsia="en-US"/>
        </w:rPr>
        <w:t xml:space="preserve"> EK si rovněž vyžádala od Ministerstva dopravy, jako řídicího orgánu Operačního programu Doprava 2014–2020, seznam prioritních projektů, u kterých by se neopakoval proces EIA a byly by řešeny „ad hoc“. EK si vedle seznamu projektů vyžádala také informace ke kritériím, dle kterých jsou posuzovány. </w:t>
      </w:r>
      <w:r w:rsidRPr="0030205D">
        <w:rPr>
          <w:rFonts w:ascii="Arial" w:hAnsi="Arial" w:cs="Arial"/>
          <w:sz w:val="20"/>
          <w:szCs w:val="20"/>
          <w:bdr w:val="none" w:sz="0" w:space="0" w:color="auto" w:frame="1"/>
          <w:lang w:eastAsia="en-US"/>
        </w:rPr>
        <w:t xml:space="preserve"> </w:t>
      </w:r>
      <w:r w:rsidRPr="0030205D">
        <w:rPr>
          <w:rFonts w:ascii="Arial" w:hAnsi="Arial" w:cs="Arial"/>
          <w:color w:val="000000" w:themeColor="text1"/>
          <w:sz w:val="20"/>
          <w:szCs w:val="20"/>
          <w:bdr w:val="nil"/>
          <w:lang w:eastAsia="en-US"/>
        </w:rPr>
        <w:t>Kromě směrnice EIA je v tomto kontextu řešena také Rámcová směrnice o vodách, resp. postup vydávání potvrzení o souladu projektů s touto směrnicí. V této oblasti je rovněž připravována novela zákona, č. 254/2001 Sb., o vodách, a ze strany Ministerstva zemědělství i metodika.</w:t>
      </w:r>
    </w:p>
    <w:p w:rsidR="0030205D" w:rsidRPr="0030205D" w:rsidRDefault="0030205D" w:rsidP="0030205D">
      <w:pPr>
        <w:numPr>
          <w:ilvl w:val="0"/>
          <w:numId w:val="47"/>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color w:val="000000" w:themeColor="text1"/>
          <w:sz w:val="20"/>
          <w:szCs w:val="20"/>
          <w:bdr w:val="nil"/>
          <w:lang w:eastAsia="en-US"/>
        </w:rPr>
        <w:t xml:space="preserve">Po vyhodnocení vyjednávání s EK ohledně projektů se stanoviskem posouzení vlivů dle zákona č. 244/1992 Sb. se MD přiklání k řešení spočívajícím u všech těchto projektů pro spolufinancování ve vypracování nového stanoviska EIA, protože naplnění požadavků EK pro ověření starého stanoviska představuje takřka novou EIA a časová úspora by tak byla minimální s tím, že nové stanovisko EIA představuje přece jen větší jistotu s ohledem na navazující povolovací řízení </w:t>
      </w:r>
      <w:r w:rsidRPr="0030205D">
        <w:rPr>
          <w:rFonts w:ascii="Arial" w:hAnsi="Arial" w:cs="Arial"/>
          <w:color w:val="000000" w:themeColor="text1"/>
          <w:sz w:val="20"/>
          <w:szCs w:val="20"/>
          <w:bdr w:val="nil"/>
          <w:lang w:eastAsia="en-US"/>
        </w:rPr>
        <w:br/>
        <w:t xml:space="preserve">i na budoucí předkládání žádostí o platbu. </w:t>
      </w:r>
    </w:p>
    <w:p w:rsidR="0030205D" w:rsidRPr="0030205D" w:rsidRDefault="0030205D" w:rsidP="0030205D">
      <w:pPr>
        <w:numPr>
          <w:ilvl w:val="0"/>
          <w:numId w:val="47"/>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color w:val="000000" w:themeColor="text1"/>
          <w:sz w:val="20"/>
          <w:szCs w:val="20"/>
          <w:bdr w:val="nil"/>
          <w:lang w:eastAsia="en-US"/>
        </w:rPr>
        <w:t xml:space="preserve">EK požaduje přehled ověřování stanovisek EIA vydaných dle zákona 100/2001 Sb. před novelizací č. 39/2015. Toto je velmi nebezpečná situace, neboť jde o velké množství projektů i ze soukromé sféry. Příslušné orgány se shodly, že v tomto případě jde o zákonný postup dle přechodných ustanovení novely a není na místě vypracovávat nějaké přehledy, ověřování bude řešeno </w:t>
      </w:r>
      <w:r w:rsidRPr="0030205D">
        <w:rPr>
          <w:rFonts w:ascii="Arial" w:hAnsi="Arial" w:cs="Arial"/>
          <w:color w:val="000000" w:themeColor="text1"/>
          <w:sz w:val="20"/>
          <w:szCs w:val="20"/>
          <w:bdr w:val="nil"/>
          <w:lang w:eastAsia="en-US"/>
        </w:rPr>
        <w:br/>
        <w:t xml:space="preserve">„case by case“. </w:t>
      </w:r>
    </w:p>
    <w:p w:rsidR="0030205D" w:rsidRPr="0030205D" w:rsidRDefault="0030205D" w:rsidP="0030205D">
      <w:pPr>
        <w:numPr>
          <w:ilvl w:val="0"/>
          <w:numId w:val="47"/>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color w:val="000000" w:themeColor="text1"/>
          <w:sz w:val="20"/>
          <w:szCs w:val="20"/>
          <w:bdr w:val="nil"/>
          <w:lang w:eastAsia="en-US"/>
        </w:rPr>
        <w:t xml:space="preserve">7. března 2016 zaslala EK email, který se blíže dotýká připravované novely stavebního zákona. EK požaduje vysvětlení několika institutů novely (zvláště v souvislosti s účastí veřejnosti) a vyjádřila obavu ohledně souladu navrhovaných změn se směrnicí EIA. Na odpovědi pracují věcné útvary MŽP a MMR. </w:t>
      </w:r>
    </w:p>
    <w:p w:rsidR="0030205D" w:rsidRPr="0030205D" w:rsidRDefault="0030205D" w:rsidP="0030205D">
      <w:pPr>
        <w:spacing w:before="0"/>
        <w:ind w:left="284"/>
        <w:contextualSpacing/>
        <w:rPr>
          <w:rFonts w:ascii="Arial" w:eastAsia="Times New Roman" w:hAnsi="Arial" w:cs="Arial"/>
          <w:sz w:val="20"/>
          <w:szCs w:val="20"/>
          <w:bdr w:val="none" w:sz="0" w:space="0" w:color="auto" w:frame="1"/>
          <w:lang w:eastAsia="en-US"/>
        </w:rPr>
      </w:pPr>
    </w:p>
    <w:p w:rsidR="0030205D" w:rsidRPr="0030205D" w:rsidRDefault="0030205D" w:rsidP="0030205D">
      <w:pPr>
        <w:keepNext/>
        <w:spacing w:before="0"/>
        <w:rPr>
          <w:rFonts w:ascii="Arial" w:eastAsia="Times New Roman" w:hAnsi="Arial" w:cs="Arial"/>
          <w:b/>
          <w:sz w:val="20"/>
          <w:szCs w:val="20"/>
        </w:rPr>
      </w:pPr>
      <w:r w:rsidRPr="0030205D">
        <w:rPr>
          <w:rFonts w:ascii="Arial" w:eastAsia="Times New Roman" w:hAnsi="Arial" w:cs="Arial"/>
          <w:b/>
          <w:sz w:val="20"/>
          <w:szCs w:val="20"/>
          <w:u w:val="single"/>
        </w:rPr>
        <w:t>T 1.1 Výzkum a vývoj - Inteligentní specializace (VVI)</w:t>
      </w:r>
      <w:r w:rsidRPr="0030205D">
        <w:rPr>
          <w:rFonts w:ascii="Arial" w:eastAsia="Times New Roman" w:hAnsi="Arial" w:cs="Arial"/>
          <w:b/>
          <w:sz w:val="20"/>
          <w:szCs w:val="20"/>
        </w:rPr>
        <w:t xml:space="preserve"> </w:t>
      </w:r>
    </w:p>
    <w:p w:rsidR="0030205D" w:rsidRPr="0030205D" w:rsidRDefault="0030205D" w:rsidP="0030205D">
      <w:pPr>
        <w:keepNext/>
        <w:spacing w:before="0" w:after="240"/>
        <w:rPr>
          <w:rFonts w:ascii="Arial" w:eastAsia="Times New Roman" w:hAnsi="Arial" w:cs="Arial"/>
          <w:b/>
          <w:sz w:val="20"/>
          <w:szCs w:val="20"/>
          <w:u w:val="single"/>
        </w:rPr>
      </w:pPr>
      <w:r w:rsidRPr="0030205D">
        <w:rPr>
          <w:rFonts w:ascii="Arial" w:eastAsia="Times New Roman" w:hAnsi="Arial" w:cs="Arial"/>
          <w:sz w:val="20"/>
          <w:szCs w:val="20"/>
        </w:rPr>
        <w:t>(gestor: Úřad vlády ČR)</w:t>
      </w:r>
    </w:p>
    <w:p w:rsidR="0030205D" w:rsidRPr="0030205D" w:rsidRDefault="0030205D" w:rsidP="0030205D">
      <w:pPr>
        <w:numPr>
          <w:ilvl w:val="0"/>
          <w:numId w:val="6"/>
        </w:numPr>
        <w:spacing w:before="0"/>
        <w:ind w:left="284" w:hanging="284"/>
        <w:rPr>
          <w:rFonts w:ascii="Arial" w:eastAsia="Times New Roman" w:hAnsi="Arial" w:cs="Arial"/>
          <w:sz w:val="20"/>
          <w:szCs w:val="20"/>
          <w:bdr w:val="none" w:sz="0" w:space="0" w:color="auto" w:frame="1"/>
        </w:rPr>
      </w:pPr>
      <w:r w:rsidRPr="0030205D">
        <w:rPr>
          <w:rFonts w:ascii="Arial" w:eastAsia="Times New Roman" w:hAnsi="Arial" w:cs="Arial"/>
          <w:sz w:val="20"/>
          <w:szCs w:val="20"/>
          <w:bdr w:val="none" w:sz="0" w:space="0" w:color="auto" w:frame="1"/>
        </w:rPr>
        <w:t xml:space="preserve">Z neformálního písemného vyjádření k upravené Národní RIS3 strategii zaslaného Evropskou komisí v listopadu 2015 a lednu 2016 </w:t>
      </w:r>
      <w:r w:rsidRPr="0030205D">
        <w:rPr>
          <w:rFonts w:ascii="Arial" w:hAnsi="Arial" w:cs="Arial"/>
          <w:sz w:val="20"/>
          <w:szCs w:val="20"/>
        </w:rPr>
        <w:t xml:space="preserve">vyplynulo, že předběžnou podmínku 1.1 není možné považovat za splněnou, protože předložená, aktualizovaná Národní RIS3 strategie stále neodpovídá požadavkům kladeným na tento dokument. Výhrady se týkají například výběru prioritních domén specializace </w:t>
      </w:r>
      <w:r w:rsidRPr="0030205D">
        <w:rPr>
          <w:rFonts w:ascii="Arial" w:eastAsia="Times New Roman" w:hAnsi="Arial" w:cs="Arial"/>
          <w:sz w:val="20"/>
          <w:szCs w:val="20"/>
          <w:bdr w:val="none" w:sz="0" w:space="0" w:color="auto" w:frame="1"/>
        </w:rPr>
        <w:t xml:space="preserve">(v souvislosti s konceptem </w:t>
      </w:r>
      <w:proofErr w:type="spellStart"/>
      <w:r w:rsidRPr="0030205D">
        <w:rPr>
          <w:rFonts w:ascii="Arial" w:eastAsia="Times New Roman" w:hAnsi="Arial" w:cs="Arial"/>
          <w:sz w:val="20"/>
          <w:szCs w:val="20"/>
          <w:bdr w:val="none" w:sz="0" w:space="0" w:color="auto" w:frame="1"/>
        </w:rPr>
        <w:t>Entrepreneurial</w:t>
      </w:r>
      <w:proofErr w:type="spellEnd"/>
      <w:r w:rsidRPr="0030205D">
        <w:rPr>
          <w:rFonts w:ascii="Arial" w:eastAsia="Times New Roman" w:hAnsi="Arial" w:cs="Arial"/>
          <w:sz w:val="20"/>
          <w:szCs w:val="20"/>
          <w:bdr w:val="none" w:sz="0" w:space="0" w:color="auto" w:frame="1"/>
        </w:rPr>
        <w:t xml:space="preserve"> </w:t>
      </w:r>
      <w:proofErr w:type="spellStart"/>
      <w:r w:rsidRPr="0030205D">
        <w:rPr>
          <w:rFonts w:ascii="Arial" w:eastAsia="Times New Roman" w:hAnsi="Arial" w:cs="Arial"/>
          <w:sz w:val="20"/>
          <w:szCs w:val="20"/>
          <w:bdr w:val="none" w:sz="0" w:space="0" w:color="auto" w:frame="1"/>
        </w:rPr>
        <w:t>Discovery</w:t>
      </w:r>
      <w:proofErr w:type="spellEnd"/>
      <w:r w:rsidRPr="0030205D">
        <w:rPr>
          <w:rFonts w:ascii="Arial" w:eastAsia="Times New Roman" w:hAnsi="Arial" w:cs="Arial"/>
          <w:sz w:val="20"/>
          <w:szCs w:val="20"/>
          <w:bdr w:val="none" w:sz="0" w:space="0" w:color="auto" w:frame="1"/>
        </w:rPr>
        <w:t xml:space="preserve"> Proces)</w:t>
      </w:r>
      <w:r w:rsidRPr="0030205D">
        <w:rPr>
          <w:rFonts w:ascii="Arial" w:hAnsi="Arial" w:cs="Arial"/>
          <w:sz w:val="20"/>
          <w:szCs w:val="20"/>
        </w:rPr>
        <w:t xml:space="preserve">, na něž má být soustředěna podpora z operačních programů obsahujících tematický cíl 1 – Posílení výzkumu, technologického rozvoje a inovací. </w:t>
      </w:r>
      <w:r w:rsidRPr="0030205D">
        <w:rPr>
          <w:rFonts w:ascii="Arial" w:eastAsia="Times New Roman" w:hAnsi="Arial" w:cs="Arial"/>
          <w:sz w:val="20"/>
          <w:szCs w:val="20"/>
          <w:bdr w:val="none" w:sz="0" w:space="0" w:color="auto" w:frame="1"/>
        </w:rPr>
        <w:t>EK</w:t>
      </w:r>
      <w:r w:rsidRPr="0030205D">
        <w:rPr>
          <w:rFonts w:ascii="Arial" w:hAnsi="Arial" w:cs="Arial"/>
          <w:sz w:val="20"/>
          <w:szCs w:val="20"/>
        </w:rPr>
        <w:t xml:space="preserve"> rovněž požaduje více informací o tzv. národních inovačních platformách, o jejich fungování, propojení a způsobu rozhodování. Další připomínky EK se týkají rozpočtu a finančního pokrytí aktivit vyplývajících z RIS3 strategie – konkrétní zdroje </w:t>
      </w:r>
      <w:r w:rsidRPr="0030205D">
        <w:rPr>
          <w:rFonts w:ascii="Arial" w:hAnsi="Arial" w:cs="Arial"/>
          <w:sz w:val="20"/>
          <w:szCs w:val="20"/>
        </w:rPr>
        <w:lastRenderedPageBreak/>
        <w:t>financování nejsou rozpracovány dostatečně. Chybí rovněž přesnější časový rámec pro promítání domén specializace do výzev operačních programů.</w:t>
      </w:r>
    </w:p>
    <w:p w:rsidR="0030205D" w:rsidRPr="0030205D" w:rsidRDefault="0030205D" w:rsidP="0030205D">
      <w:pPr>
        <w:numPr>
          <w:ilvl w:val="0"/>
          <w:numId w:val="6"/>
        </w:numPr>
        <w:spacing w:before="0"/>
        <w:ind w:left="284" w:hanging="284"/>
        <w:rPr>
          <w:rFonts w:ascii="Arial" w:eastAsia="Times New Roman" w:hAnsi="Arial" w:cs="Arial"/>
          <w:sz w:val="20"/>
          <w:szCs w:val="20"/>
          <w:bdr w:val="none" w:sz="0" w:space="0" w:color="auto" w:frame="1"/>
        </w:rPr>
      </w:pPr>
      <w:r w:rsidRPr="0030205D">
        <w:rPr>
          <w:rFonts w:ascii="Arial" w:eastAsia="Times New Roman" w:hAnsi="Arial" w:cs="Arial"/>
          <w:sz w:val="20"/>
          <w:szCs w:val="20"/>
          <w:bdr w:val="none" w:sz="0" w:space="0" w:color="auto" w:frame="1"/>
        </w:rPr>
        <w:t xml:space="preserve">Úřad vlády (ÚV) na neformálním setkání se zástupci EK v Praze dne 25. února 2016 vysvětlil proces </w:t>
      </w:r>
      <w:proofErr w:type="spellStart"/>
      <w:r w:rsidRPr="0030205D">
        <w:rPr>
          <w:rFonts w:ascii="Arial" w:eastAsia="Times New Roman" w:hAnsi="Arial" w:cs="Arial"/>
          <w:sz w:val="20"/>
          <w:szCs w:val="20"/>
          <w:bdr w:val="none" w:sz="0" w:space="0" w:color="auto" w:frame="1"/>
        </w:rPr>
        <w:t>prioritizace</w:t>
      </w:r>
      <w:proofErr w:type="spellEnd"/>
      <w:r w:rsidRPr="0030205D">
        <w:rPr>
          <w:rFonts w:ascii="Arial" w:eastAsia="Times New Roman" w:hAnsi="Arial" w:cs="Arial"/>
          <w:sz w:val="20"/>
          <w:szCs w:val="20"/>
          <w:bdr w:val="none" w:sz="0" w:space="0" w:color="auto" w:frame="1"/>
        </w:rPr>
        <w:t xml:space="preserve"> a přislíbil, že se zacílení na prioritní oblasti projeví již ve výzvách v tomto roce. Partneři se dohodli, že komunikaci je třeba zintenzivnit, a proto 17. března 2016 proběhla v Bruselu další schůzka na úrovni náměstků ÚV, ministerstva průmyslu a obchodu (MPO), ministerstva školství, mládeže a tělovýchovy (MŠMT), zástupce Magistrátu hl. m. Prahy a představitelů EK – DG </w:t>
      </w:r>
      <w:proofErr w:type="spellStart"/>
      <w:r w:rsidRPr="0030205D">
        <w:rPr>
          <w:rFonts w:ascii="Arial" w:eastAsia="Times New Roman" w:hAnsi="Arial" w:cs="Arial"/>
          <w:sz w:val="20"/>
          <w:szCs w:val="20"/>
          <w:bdr w:val="none" w:sz="0" w:space="0" w:color="auto" w:frame="1"/>
        </w:rPr>
        <w:t>Regio</w:t>
      </w:r>
      <w:proofErr w:type="spellEnd"/>
      <w:r w:rsidRPr="0030205D">
        <w:rPr>
          <w:rFonts w:ascii="Arial" w:eastAsia="Times New Roman" w:hAnsi="Arial" w:cs="Arial"/>
          <w:sz w:val="20"/>
          <w:szCs w:val="20"/>
          <w:bdr w:val="none" w:sz="0" w:space="0" w:color="auto" w:frame="1"/>
        </w:rPr>
        <w:t>, za přítomnosti zástupce Stálého zastoupení ČR při EU a zástupce MMR-NOK, za účelem diskuse o dalším postupu a vyjasnění očekávání ze strany EK. Výsledky jednání budou zohledněny při plánování dalších kroků dopracování RIS3 strategie. ÚV přislíbil, že v průběhu dubna 2016 zpracuje plán prací na dopracování RIS3 strategie, který by měl být promítnut do akčního plán pro nesplněnou PP. Termín splnění předběžné podmínky byl ÚV avizován na konec října 2016.</w:t>
      </w:r>
    </w:p>
    <w:p w:rsidR="0030205D" w:rsidRPr="0030205D" w:rsidRDefault="0030205D" w:rsidP="0030205D">
      <w:pPr>
        <w:numPr>
          <w:ilvl w:val="0"/>
          <w:numId w:val="6"/>
        </w:numPr>
        <w:spacing w:before="0" w:after="240"/>
        <w:ind w:left="284" w:hanging="284"/>
        <w:rPr>
          <w:rFonts w:ascii="Arial" w:eastAsia="Times New Roman" w:hAnsi="Arial" w:cs="Arial"/>
          <w:sz w:val="20"/>
          <w:szCs w:val="20"/>
          <w:bdr w:val="none" w:sz="0" w:space="0" w:color="auto" w:frame="1"/>
        </w:rPr>
      </w:pPr>
      <w:r w:rsidRPr="0030205D">
        <w:rPr>
          <w:rFonts w:ascii="Arial" w:eastAsia="Times New Roman" w:hAnsi="Arial" w:cs="Arial"/>
          <w:sz w:val="20"/>
          <w:szCs w:val="20"/>
          <w:bdr w:val="none" w:sz="0" w:space="0" w:color="auto" w:frame="1"/>
        </w:rPr>
        <w:t xml:space="preserve">Předběžná podmínka je aplikovatelná pro OP Výzkum, vývoj a vzdělávání (OP VVV), </w:t>
      </w:r>
      <w:r w:rsidRPr="0030205D">
        <w:rPr>
          <w:rFonts w:ascii="Arial" w:eastAsia="Times New Roman" w:hAnsi="Arial" w:cs="Arial"/>
          <w:sz w:val="20"/>
          <w:szCs w:val="20"/>
          <w:bdr w:val="none" w:sz="0" w:space="0" w:color="auto" w:frame="1"/>
        </w:rPr>
        <w:br/>
        <w:t xml:space="preserve">OP podnikání a inovace pro konkurenceschopnost (OP PIK) a OP Praha-pól růstu </w:t>
      </w:r>
      <w:r w:rsidRPr="0030205D">
        <w:rPr>
          <w:rFonts w:ascii="Arial" w:eastAsia="Times New Roman" w:hAnsi="Arial" w:cs="Arial"/>
          <w:sz w:val="20"/>
          <w:szCs w:val="20"/>
          <w:bdr w:val="none" w:sz="0" w:space="0" w:color="auto" w:frame="1"/>
        </w:rPr>
        <w:br/>
        <w:t xml:space="preserve">(OP PPR). Řídicí orgány těchto programů by měly při plánování příslušných výzev týkajících se výzkumu, vývoje a inovací v roce 2016 přihlížet k prioritním oblastem identifikovaným v RIS3 strategii na národní nebo regionální úrovni. Přičemž EK pracuje s předpokladem, že plánování výzev lze stavět pouze na dopracování RIS3 strategie a nastaveném procesu </w:t>
      </w:r>
      <w:proofErr w:type="spellStart"/>
      <w:r w:rsidRPr="0030205D">
        <w:rPr>
          <w:rFonts w:ascii="Arial" w:eastAsia="Times New Roman" w:hAnsi="Arial" w:cs="Arial"/>
          <w:sz w:val="20"/>
          <w:szCs w:val="20"/>
          <w:bdr w:val="none" w:sz="0" w:space="0" w:color="auto" w:frame="1"/>
        </w:rPr>
        <w:t>vertikalizace</w:t>
      </w:r>
      <w:proofErr w:type="spellEnd"/>
      <w:r w:rsidRPr="0030205D">
        <w:rPr>
          <w:rFonts w:ascii="Arial" w:eastAsia="Times New Roman" w:hAnsi="Arial" w:cs="Arial"/>
          <w:sz w:val="20"/>
          <w:szCs w:val="20"/>
          <w:bdr w:val="none" w:sz="0" w:space="0" w:color="auto" w:frame="1"/>
        </w:rPr>
        <w:t>.</w:t>
      </w:r>
    </w:p>
    <w:p w:rsidR="0030205D" w:rsidRPr="0030205D" w:rsidRDefault="0030205D" w:rsidP="0030205D">
      <w:pPr>
        <w:keepNext/>
        <w:spacing w:before="240"/>
        <w:rPr>
          <w:rFonts w:ascii="Arial" w:hAnsi="Arial" w:cs="Arial"/>
          <w:b/>
          <w:sz w:val="20"/>
          <w:szCs w:val="20"/>
          <w:u w:val="single"/>
        </w:rPr>
      </w:pPr>
      <w:r w:rsidRPr="0030205D">
        <w:rPr>
          <w:rFonts w:ascii="Arial" w:hAnsi="Arial" w:cs="Arial"/>
          <w:b/>
          <w:sz w:val="20"/>
          <w:szCs w:val="20"/>
          <w:u w:val="single"/>
        </w:rPr>
        <w:t xml:space="preserve">T 2.1 Digitální růst </w:t>
      </w:r>
    </w:p>
    <w:p w:rsidR="0030205D" w:rsidRPr="0030205D" w:rsidRDefault="0030205D" w:rsidP="0030205D">
      <w:pPr>
        <w:keepNext/>
        <w:spacing w:before="0" w:after="240"/>
        <w:rPr>
          <w:rFonts w:ascii="Arial" w:hAnsi="Arial" w:cs="Arial"/>
          <w:b/>
          <w:sz w:val="20"/>
          <w:szCs w:val="20"/>
          <w:u w:val="single"/>
        </w:rPr>
      </w:pPr>
      <w:r w:rsidRPr="0030205D">
        <w:rPr>
          <w:rFonts w:ascii="Arial" w:eastAsia="Times New Roman" w:hAnsi="Arial" w:cs="Arial"/>
          <w:sz w:val="20"/>
          <w:szCs w:val="20"/>
        </w:rPr>
        <w:t>(gestor: Ministerstvo průmyslu a obchodu)</w:t>
      </w:r>
    </w:p>
    <w:p w:rsidR="0030205D" w:rsidRDefault="0030205D" w:rsidP="0030205D">
      <w:pPr>
        <w:keepNext/>
        <w:numPr>
          <w:ilvl w:val="0"/>
          <w:numId w:val="82"/>
        </w:numPr>
        <w:spacing w:before="240" w:after="120"/>
        <w:ind w:left="284" w:hanging="284"/>
        <w:contextualSpacing/>
        <w:rPr>
          <w:rFonts w:ascii="Arial" w:eastAsia="Times New Roman" w:hAnsi="Arial" w:cs="Arial"/>
          <w:sz w:val="20"/>
          <w:szCs w:val="20"/>
          <w:bdr w:val="none" w:sz="0" w:space="0" w:color="auto" w:frame="1"/>
          <w:lang w:eastAsia="en-US"/>
        </w:rPr>
      </w:pPr>
      <w:r w:rsidRPr="0030205D">
        <w:rPr>
          <w:rFonts w:ascii="Arial" w:eastAsia="Times New Roman" w:hAnsi="Arial" w:cs="Arial"/>
          <w:sz w:val="20"/>
          <w:szCs w:val="20"/>
          <w:bdr w:val="none" w:sz="0" w:space="0" w:color="auto" w:frame="1"/>
          <w:lang w:eastAsia="en-US"/>
        </w:rPr>
        <w:t xml:space="preserve">Strategie digitální gramotnosti ČR na období 2015 – 2020 byla dne 18. listopadu 2015 odeslána k oficiálnímu posouzení EK prostřednictvím sytému SFC. </w:t>
      </w:r>
      <w:r w:rsidRPr="0030205D">
        <w:rPr>
          <w:rFonts w:ascii="Arial" w:hAnsi="Arial" w:cs="Arial"/>
          <w:sz w:val="20"/>
          <w:szCs w:val="20"/>
          <w:lang w:eastAsia="en-US"/>
        </w:rPr>
        <w:t>EK svým dopisem ze dne 9. března 2016 oficiálně verifikovala splnění PP.</w:t>
      </w:r>
      <w:r w:rsidRPr="0030205D" w:rsidDel="005B5EE7">
        <w:rPr>
          <w:rFonts w:ascii="Arial" w:eastAsia="Times New Roman" w:hAnsi="Arial" w:cs="Arial"/>
          <w:sz w:val="20"/>
          <w:szCs w:val="20"/>
          <w:bdr w:val="none" w:sz="0" w:space="0" w:color="auto" w:frame="1"/>
          <w:lang w:eastAsia="en-US"/>
        </w:rPr>
        <w:t xml:space="preserve"> </w:t>
      </w:r>
      <w:r w:rsidRPr="0030205D">
        <w:rPr>
          <w:rFonts w:ascii="Arial" w:eastAsia="Times New Roman" w:hAnsi="Arial" w:cs="Arial"/>
          <w:sz w:val="20"/>
          <w:szCs w:val="20"/>
          <w:bdr w:val="none" w:sz="0" w:space="0" w:color="auto" w:frame="1"/>
          <w:lang w:eastAsia="en-US"/>
        </w:rPr>
        <w:t>Oficiální verifikací ze strany EK považujeme tuto předběžnou podmínku za splněnou.</w:t>
      </w:r>
    </w:p>
    <w:p w:rsidR="0030205D" w:rsidRPr="0030205D" w:rsidRDefault="0030205D" w:rsidP="0030205D">
      <w:pPr>
        <w:keepNext/>
        <w:spacing w:before="240" w:after="120"/>
        <w:ind w:left="284"/>
        <w:contextualSpacing/>
        <w:rPr>
          <w:rFonts w:ascii="Arial" w:eastAsia="Times New Roman" w:hAnsi="Arial" w:cs="Arial"/>
          <w:sz w:val="20"/>
          <w:szCs w:val="20"/>
          <w:bdr w:val="none" w:sz="0" w:space="0" w:color="auto" w:frame="1"/>
          <w:lang w:eastAsia="en-US"/>
        </w:rPr>
      </w:pPr>
    </w:p>
    <w:p w:rsidR="0030205D" w:rsidRPr="0030205D" w:rsidRDefault="0030205D" w:rsidP="0030205D">
      <w:pPr>
        <w:keepNext/>
        <w:spacing w:before="240"/>
        <w:contextualSpacing/>
        <w:rPr>
          <w:rFonts w:ascii="Arial" w:hAnsi="Arial" w:cs="Arial"/>
          <w:b/>
          <w:sz w:val="20"/>
          <w:szCs w:val="20"/>
          <w:u w:val="single"/>
        </w:rPr>
      </w:pPr>
      <w:r w:rsidRPr="0030205D">
        <w:rPr>
          <w:rFonts w:ascii="Arial" w:hAnsi="Arial" w:cs="Arial"/>
          <w:b/>
          <w:sz w:val="20"/>
          <w:szCs w:val="20"/>
          <w:u w:val="single"/>
        </w:rPr>
        <w:t>T 2.2 Digitální růst, Infrastruktura přístupových sítí nové generace</w:t>
      </w:r>
    </w:p>
    <w:p w:rsidR="0030205D" w:rsidRPr="0030205D" w:rsidRDefault="0030205D" w:rsidP="0030205D">
      <w:pPr>
        <w:keepNext/>
        <w:spacing w:before="0" w:after="240"/>
        <w:rPr>
          <w:rFonts w:ascii="Arial" w:hAnsi="Arial" w:cs="Arial"/>
          <w:b/>
          <w:sz w:val="20"/>
          <w:szCs w:val="20"/>
          <w:u w:val="single"/>
        </w:rPr>
      </w:pPr>
      <w:r w:rsidRPr="0030205D">
        <w:rPr>
          <w:rFonts w:ascii="Arial" w:eastAsia="Times New Roman" w:hAnsi="Arial" w:cs="Arial"/>
          <w:sz w:val="20"/>
          <w:szCs w:val="20"/>
        </w:rPr>
        <w:t>(gestor: Ministerstvo průmyslu a obchodu)</w:t>
      </w:r>
    </w:p>
    <w:p w:rsidR="0030205D" w:rsidRPr="0030205D" w:rsidRDefault="0030205D" w:rsidP="0030205D">
      <w:pPr>
        <w:numPr>
          <w:ilvl w:val="0"/>
          <w:numId w:val="48"/>
        </w:numPr>
        <w:spacing w:before="0"/>
        <w:ind w:left="284" w:hanging="284"/>
        <w:contextualSpacing/>
        <w:rPr>
          <w:rFonts w:ascii="Arial" w:hAnsi="Arial" w:cs="Arial"/>
          <w:bCs/>
          <w:sz w:val="20"/>
          <w:szCs w:val="20"/>
          <w:lang w:eastAsia="en-US"/>
        </w:rPr>
      </w:pPr>
      <w:r w:rsidRPr="0030205D">
        <w:rPr>
          <w:rFonts w:ascii="Arial" w:hAnsi="Arial" w:cs="Arial"/>
          <w:sz w:val="20"/>
          <w:szCs w:val="20"/>
          <w:lang w:eastAsia="en-US"/>
        </w:rPr>
        <w:t xml:space="preserve">Za jedinou zcela nesplněnou PP je stále považována PP 2.2 Infrastruktura přístupových sítí nové generace. Ke splnění předběžné podmínky by mělo dojít schválením Národního plánu rozvoje sítí nové generace (NPNGN) a případnými dalšími kroky. </w:t>
      </w:r>
    </w:p>
    <w:p w:rsidR="0030205D" w:rsidRPr="0030205D" w:rsidRDefault="0030205D" w:rsidP="0030205D">
      <w:pPr>
        <w:numPr>
          <w:ilvl w:val="0"/>
          <w:numId w:val="48"/>
        </w:numPr>
        <w:spacing w:before="0"/>
        <w:ind w:left="284" w:hanging="284"/>
        <w:contextualSpacing/>
        <w:rPr>
          <w:rFonts w:ascii="Arial" w:hAnsi="Arial" w:cs="Arial"/>
          <w:bCs/>
          <w:sz w:val="20"/>
          <w:szCs w:val="20"/>
          <w:lang w:eastAsia="en-US"/>
        </w:rPr>
      </w:pPr>
      <w:r w:rsidRPr="0030205D">
        <w:rPr>
          <w:rFonts w:ascii="Arial" w:hAnsi="Arial" w:cs="Arial"/>
          <w:sz w:val="20"/>
          <w:szCs w:val="20"/>
          <w:lang w:eastAsia="en-US"/>
        </w:rPr>
        <w:t>Po celý rok 2015 docházelo k přípravě dokumentu a vyjednání s relevantními subjekty na úrovni veřejné správy i odborné veřejnosti. Výsledkem věcných a politických diskusí bylo předložení NPNGN do MPŘ (prosinec 2015). MMR-NOK stejně jako další resorty a instituce vznesly k dokumentu celou řadu koncepčních připomínek (např. není k dispozici úplná a</w:t>
      </w:r>
      <w:r w:rsidRPr="0030205D">
        <w:rPr>
          <w:rFonts w:ascii="Arial" w:hAnsi="Arial" w:cs="Arial"/>
          <w:bCs/>
          <w:sz w:val="20"/>
          <w:szCs w:val="20"/>
          <w:lang w:eastAsia="en-US"/>
        </w:rPr>
        <w:t>nalýza stavu a zmapování pokrytí, chybí investiční plán atd.)</w:t>
      </w:r>
      <w:r w:rsidRPr="0030205D">
        <w:rPr>
          <w:rFonts w:ascii="Arial" w:hAnsi="Arial" w:cs="Arial"/>
          <w:sz w:val="20"/>
          <w:szCs w:val="20"/>
          <w:lang w:eastAsia="en-US"/>
        </w:rPr>
        <w:t xml:space="preserve">. Dokument byl vypořádán sice jen z části, ale nově předložen vládě ČR s úkoly k řádnému dopracování dokumentu. Vláda ČR tento dokument vzala na vědomí s tím, že hlavním smyslem bylo informovat ji o aktuálním stavu a zejména stanovit další kroky a úkoly k dopracování NPNGN. Gestorem byl také stanoven nový termín splnění PP, </w:t>
      </w:r>
      <w:r w:rsidRPr="0030205D">
        <w:rPr>
          <w:rFonts w:ascii="Arial" w:hAnsi="Arial" w:cs="Arial"/>
          <w:sz w:val="20"/>
          <w:szCs w:val="20"/>
          <w:lang w:eastAsia="en-US"/>
        </w:rPr>
        <w:br/>
        <w:t>a to v termínu do 30. listopadu 2016.</w:t>
      </w:r>
    </w:p>
    <w:p w:rsidR="0030205D" w:rsidRPr="0030205D" w:rsidRDefault="0030205D" w:rsidP="0030205D">
      <w:pPr>
        <w:numPr>
          <w:ilvl w:val="0"/>
          <w:numId w:val="48"/>
        </w:numPr>
        <w:spacing w:before="0"/>
        <w:ind w:left="284" w:hanging="284"/>
        <w:contextualSpacing/>
        <w:rPr>
          <w:rFonts w:ascii="Arial" w:hAnsi="Arial" w:cs="Arial"/>
          <w:bCs/>
          <w:sz w:val="20"/>
          <w:szCs w:val="20"/>
          <w:lang w:eastAsia="en-US"/>
        </w:rPr>
      </w:pPr>
      <w:r w:rsidRPr="0030205D">
        <w:rPr>
          <w:rFonts w:ascii="Arial" w:hAnsi="Arial" w:cs="Arial"/>
          <w:bCs/>
          <w:sz w:val="20"/>
          <w:szCs w:val="20"/>
          <w:lang w:eastAsia="en-US"/>
        </w:rPr>
        <w:t>MPO v listopadu 2015 aktualizovalo Akční plán k naplnění předběžné podmínky a ten byl zaslán EK k vyjádření, a to</w:t>
      </w:r>
      <w:r w:rsidRPr="0030205D">
        <w:rPr>
          <w:rFonts w:ascii="Arial" w:hAnsi="Arial" w:cs="Arial"/>
          <w:b/>
          <w:bCs/>
          <w:sz w:val="20"/>
          <w:szCs w:val="20"/>
          <w:lang w:eastAsia="en-US"/>
        </w:rPr>
        <w:t xml:space="preserve"> </w:t>
      </w:r>
      <w:r w:rsidRPr="0030205D">
        <w:rPr>
          <w:rFonts w:ascii="Arial" w:hAnsi="Arial" w:cs="Arial"/>
          <w:bCs/>
          <w:sz w:val="20"/>
          <w:szCs w:val="20"/>
          <w:lang w:eastAsia="en-US"/>
        </w:rPr>
        <w:t xml:space="preserve">vč. odůvodnění. </w:t>
      </w:r>
    </w:p>
    <w:p w:rsidR="0030205D" w:rsidRPr="0030205D" w:rsidRDefault="0030205D" w:rsidP="0030205D">
      <w:pPr>
        <w:numPr>
          <w:ilvl w:val="0"/>
          <w:numId w:val="48"/>
        </w:numPr>
        <w:spacing w:before="0"/>
        <w:ind w:left="284" w:hanging="284"/>
        <w:contextualSpacing/>
        <w:rPr>
          <w:rFonts w:ascii="Arial" w:hAnsi="Arial" w:cs="Arial"/>
          <w:bCs/>
          <w:sz w:val="20"/>
          <w:szCs w:val="20"/>
          <w:lang w:eastAsia="en-US"/>
        </w:rPr>
      </w:pPr>
      <w:r w:rsidRPr="0030205D">
        <w:rPr>
          <w:rFonts w:ascii="Arial" w:hAnsi="Arial" w:cs="Arial"/>
          <w:bCs/>
          <w:sz w:val="20"/>
          <w:szCs w:val="20"/>
          <w:lang w:eastAsia="en-US"/>
        </w:rPr>
        <w:t xml:space="preserve">V únoru 2016 proběhlo a též v dalších měsících budou probíhat jednání s EK, aby byly postupy na národní úrovni řádně komunikovány s EK. Zároveň si EK vyžádala měsíční reporting k postupu naplnění závazků plynoucích z předběžné podmínky. První monitoring byl na EK zaslán dne </w:t>
      </w:r>
      <w:r w:rsidRPr="0030205D">
        <w:rPr>
          <w:rFonts w:ascii="Arial" w:hAnsi="Arial" w:cs="Arial"/>
          <w:bCs/>
          <w:sz w:val="20"/>
          <w:szCs w:val="20"/>
          <w:lang w:eastAsia="en-US"/>
        </w:rPr>
        <w:br/>
        <w:t xml:space="preserve">29. března 2016. Dále si EK vyžádala zaslání návrhu výzev a kritérií pro danou oblast. </w:t>
      </w:r>
    </w:p>
    <w:p w:rsidR="0030205D" w:rsidRPr="0030205D" w:rsidRDefault="0030205D" w:rsidP="0030205D">
      <w:pPr>
        <w:keepNext/>
        <w:spacing w:before="240"/>
        <w:ind w:left="69"/>
        <w:rPr>
          <w:rFonts w:ascii="Arial" w:hAnsi="Arial" w:cs="Arial"/>
          <w:b/>
          <w:sz w:val="20"/>
          <w:szCs w:val="20"/>
          <w:u w:val="single"/>
        </w:rPr>
      </w:pPr>
      <w:r w:rsidRPr="0030205D">
        <w:rPr>
          <w:rFonts w:ascii="Arial" w:hAnsi="Arial" w:cs="Arial"/>
          <w:b/>
          <w:sz w:val="20"/>
          <w:szCs w:val="20"/>
          <w:u w:val="single"/>
        </w:rPr>
        <w:lastRenderedPageBreak/>
        <w:t>T 3.1 a 8.2 Podpora podnikání (SBA), Samostatná výdělečná činnost, podnikání a zakládání firem</w:t>
      </w:r>
    </w:p>
    <w:p w:rsidR="0030205D" w:rsidRPr="0030205D" w:rsidRDefault="0030205D" w:rsidP="0030205D">
      <w:pPr>
        <w:spacing w:before="60" w:after="60"/>
        <w:rPr>
          <w:rFonts w:ascii="Arial" w:eastAsia="Times New Roman" w:hAnsi="Arial" w:cs="Arial"/>
          <w:b/>
          <w:sz w:val="20"/>
          <w:szCs w:val="20"/>
        </w:rPr>
      </w:pPr>
      <w:r w:rsidRPr="0030205D">
        <w:rPr>
          <w:rFonts w:ascii="Arial" w:eastAsia="Times New Roman" w:hAnsi="Arial" w:cs="Arial"/>
          <w:sz w:val="20"/>
          <w:szCs w:val="20"/>
        </w:rPr>
        <w:t>(gestor: Ministerstvo spravedlnosti)</w:t>
      </w:r>
    </w:p>
    <w:p w:rsidR="0030205D" w:rsidRPr="0030205D" w:rsidRDefault="0030205D" w:rsidP="0030205D">
      <w:pPr>
        <w:numPr>
          <w:ilvl w:val="0"/>
          <w:numId w:val="23"/>
        </w:numPr>
        <w:spacing w:before="0"/>
        <w:ind w:left="284" w:hanging="284"/>
        <w:rPr>
          <w:rFonts w:ascii="Arial" w:eastAsia="Times New Roman" w:hAnsi="Arial" w:cs="Arial"/>
          <w:sz w:val="20"/>
          <w:szCs w:val="20"/>
        </w:rPr>
      </w:pPr>
      <w:r w:rsidRPr="0030205D">
        <w:rPr>
          <w:rFonts w:ascii="Arial" w:eastAsia="Times New Roman" w:hAnsi="Arial" w:cs="Arial"/>
          <w:sz w:val="20"/>
          <w:szCs w:val="20"/>
        </w:rPr>
        <w:t>Ministerstvo spravedlnosti (</w:t>
      </w:r>
      <w:proofErr w:type="spellStart"/>
      <w:r w:rsidRPr="0030205D">
        <w:rPr>
          <w:rFonts w:ascii="Arial" w:eastAsia="Times New Roman" w:hAnsi="Arial" w:cs="Arial"/>
          <w:sz w:val="20"/>
          <w:szCs w:val="20"/>
        </w:rPr>
        <w:t>MSp</w:t>
      </w:r>
      <w:proofErr w:type="spellEnd"/>
      <w:r w:rsidRPr="0030205D">
        <w:rPr>
          <w:rFonts w:ascii="Arial" w:eastAsia="Times New Roman" w:hAnsi="Arial" w:cs="Arial"/>
          <w:sz w:val="20"/>
          <w:szCs w:val="20"/>
        </w:rPr>
        <w:t>) připravilo legislativně-technickou změnu směřující ke splnění požadavku na snížení nákladů nutných k založení podniku na 100 EUR.</w:t>
      </w:r>
    </w:p>
    <w:p w:rsidR="0030205D" w:rsidRPr="0030205D" w:rsidRDefault="0030205D" w:rsidP="0030205D">
      <w:pPr>
        <w:numPr>
          <w:ilvl w:val="0"/>
          <w:numId w:val="23"/>
        </w:numPr>
        <w:spacing w:before="0"/>
        <w:ind w:left="284" w:hanging="284"/>
        <w:rPr>
          <w:rFonts w:ascii="Arial" w:eastAsia="Times New Roman" w:hAnsi="Arial" w:cs="Arial"/>
          <w:sz w:val="20"/>
          <w:szCs w:val="20"/>
        </w:rPr>
      </w:pPr>
      <w:r w:rsidRPr="0030205D">
        <w:rPr>
          <w:rFonts w:ascii="Arial" w:eastAsia="Times New Roman" w:hAnsi="Arial" w:cs="Arial"/>
          <w:sz w:val="20"/>
          <w:szCs w:val="20"/>
        </w:rPr>
        <w:t xml:space="preserve">Novela (sněmovní tisk 497) byla projednána PSP ve třetím čtení dne 9. března 2016. Nyní </w:t>
      </w:r>
      <w:r w:rsidRPr="0030205D">
        <w:rPr>
          <w:rFonts w:ascii="Arial" w:eastAsia="Times New Roman" w:hAnsi="Arial" w:cs="Arial"/>
          <w:sz w:val="20"/>
          <w:szCs w:val="20"/>
        </w:rPr>
        <w:br/>
        <w:t>bude zákon přesunut k projednání do Senátu Parlamentu ČR.</w:t>
      </w:r>
    </w:p>
    <w:p w:rsidR="0030205D" w:rsidRPr="0030205D" w:rsidRDefault="0030205D" w:rsidP="0030205D">
      <w:pPr>
        <w:numPr>
          <w:ilvl w:val="0"/>
          <w:numId w:val="23"/>
        </w:numPr>
        <w:spacing w:before="0"/>
        <w:ind w:left="284" w:hanging="284"/>
        <w:rPr>
          <w:rFonts w:ascii="Arial" w:hAnsi="Arial" w:cs="Arial"/>
          <w:b/>
          <w:sz w:val="20"/>
          <w:szCs w:val="20"/>
          <w:u w:val="single"/>
        </w:rPr>
      </w:pPr>
      <w:r w:rsidRPr="0030205D">
        <w:rPr>
          <w:rFonts w:ascii="Arial" w:eastAsia="Times New Roman" w:hAnsi="Arial" w:cs="Arial"/>
          <w:sz w:val="20"/>
          <w:szCs w:val="20"/>
        </w:rPr>
        <w:t>Vlivem pozdržení v procesu schvalování byl upraven Akční plán ke splnění předběžných podmínek, a to s termínem splnění z 1. února 2016 na září 2016, kdy by rovněž měla novela nabýt účinnosti. Akční plán se změnou termínu byl zaslán Evropské komisi.</w:t>
      </w:r>
    </w:p>
    <w:p w:rsidR="0030205D" w:rsidRPr="0030205D" w:rsidRDefault="0030205D" w:rsidP="0030205D">
      <w:pPr>
        <w:spacing w:before="0"/>
        <w:ind w:left="284"/>
        <w:rPr>
          <w:rFonts w:ascii="Arial" w:hAnsi="Arial" w:cs="Arial"/>
          <w:b/>
          <w:sz w:val="20"/>
          <w:szCs w:val="20"/>
          <w:u w:val="single"/>
        </w:rPr>
      </w:pPr>
    </w:p>
    <w:p w:rsidR="0030205D" w:rsidRPr="0030205D" w:rsidRDefault="0030205D" w:rsidP="0030205D">
      <w:pPr>
        <w:spacing w:before="60" w:after="60"/>
        <w:rPr>
          <w:rFonts w:ascii="Arial" w:eastAsia="Times New Roman" w:hAnsi="Arial" w:cs="Arial"/>
          <w:b/>
          <w:sz w:val="20"/>
          <w:szCs w:val="20"/>
        </w:rPr>
      </w:pPr>
      <w:r w:rsidRPr="0030205D">
        <w:rPr>
          <w:rFonts w:ascii="Arial" w:eastAsia="Times New Roman" w:hAnsi="Arial" w:cs="Arial"/>
          <w:b/>
          <w:sz w:val="20"/>
          <w:szCs w:val="20"/>
          <w:u w:val="single"/>
        </w:rPr>
        <w:t>T 4.1 Energetická účinnost</w:t>
      </w:r>
      <w:r w:rsidRPr="0030205D">
        <w:rPr>
          <w:rFonts w:ascii="Arial" w:eastAsia="Times New Roman" w:hAnsi="Arial" w:cs="Arial"/>
          <w:b/>
          <w:sz w:val="20"/>
          <w:szCs w:val="20"/>
        </w:rPr>
        <w:t xml:space="preserve"> </w:t>
      </w:r>
    </w:p>
    <w:p w:rsidR="0030205D" w:rsidRPr="0030205D" w:rsidRDefault="0030205D" w:rsidP="0030205D">
      <w:pPr>
        <w:spacing w:before="0" w:after="60"/>
        <w:rPr>
          <w:rFonts w:ascii="Arial" w:eastAsia="Times New Roman" w:hAnsi="Arial" w:cs="Arial"/>
          <w:sz w:val="20"/>
          <w:szCs w:val="20"/>
        </w:rPr>
      </w:pPr>
      <w:r w:rsidRPr="0030205D">
        <w:rPr>
          <w:rFonts w:ascii="Arial" w:eastAsia="Times New Roman" w:hAnsi="Arial" w:cs="Arial"/>
          <w:sz w:val="20"/>
          <w:szCs w:val="20"/>
        </w:rPr>
        <w:t>(gestor: Ministerstvo průmyslu a obchodu)</w:t>
      </w:r>
    </w:p>
    <w:p w:rsidR="0030205D" w:rsidRPr="0030205D" w:rsidRDefault="0030205D" w:rsidP="0030205D">
      <w:pPr>
        <w:keepNext/>
        <w:numPr>
          <w:ilvl w:val="0"/>
          <w:numId w:val="83"/>
        </w:numPr>
        <w:spacing w:before="0" w:after="6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lang w:eastAsia="en-US"/>
        </w:rPr>
        <w:t xml:space="preserve">K naplnění předběžné podmínky došlo nabytím účinnosti relevantních předpisů (konkrétně novely energetického zákona - zákon č. 458/2000 Sb.). </w:t>
      </w:r>
    </w:p>
    <w:p w:rsidR="0030205D" w:rsidRPr="0030205D" w:rsidRDefault="0030205D" w:rsidP="0030205D">
      <w:pPr>
        <w:keepNext/>
        <w:numPr>
          <w:ilvl w:val="0"/>
          <w:numId w:val="83"/>
        </w:numPr>
        <w:spacing w:before="24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lang w:eastAsia="en-US"/>
        </w:rPr>
        <w:t xml:space="preserve">Dne 8. ledna 2016 byly všechny relevantní dokumenty odeslány na EK, a tím byl zahájen proces formální verifikace. </w:t>
      </w:r>
      <w:r w:rsidRPr="0030205D">
        <w:rPr>
          <w:rFonts w:ascii="Arial" w:eastAsia="Calibri" w:hAnsi="Arial" w:cs="Arial"/>
          <w:sz w:val="20"/>
          <w:szCs w:val="20"/>
          <w:lang w:eastAsia="en-US"/>
        </w:rPr>
        <w:t>Dne 1. března 2016 byla PP oficiálně verifikována EK.</w:t>
      </w:r>
      <w:r w:rsidRPr="0030205D">
        <w:rPr>
          <w:rFonts w:ascii="Arial" w:eastAsia="Times New Roman" w:hAnsi="Arial" w:cs="Arial"/>
          <w:sz w:val="20"/>
          <w:szCs w:val="20"/>
          <w:bdr w:val="none" w:sz="0" w:space="0" w:color="auto" w:frame="1"/>
          <w:lang w:eastAsia="en-US"/>
        </w:rPr>
        <w:t xml:space="preserve"> Opět lze uvést, </w:t>
      </w:r>
      <w:r w:rsidRPr="0030205D">
        <w:rPr>
          <w:rFonts w:ascii="Arial" w:eastAsia="Times New Roman" w:hAnsi="Arial" w:cs="Arial"/>
          <w:sz w:val="20"/>
          <w:szCs w:val="20"/>
          <w:bdr w:val="none" w:sz="0" w:space="0" w:color="auto" w:frame="1"/>
          <w:lang w:eastAsia="en-US"/>
        </w:rPr>
        <w:br/>
        <w:t>že oficiální verifikací ze strany EK považujeme tuto předběžnou podmínku za splněnou.</w:t>
      </w:r>
    </w:p>
    <w:p w:rsidR="0030205D" w:rsidRPr="0030205D" w:rsidRDefault="0030205D" w:rsidP="0030205D">
      <w:pPr>
        <w:spacing w:before="0"/>
        <w:rPr>
          <w:rFonts w:ascii="Arial" w:hAnsi="Arial" w:cs="Arial"/>
          <w:sz w:val="20"/>
          <w:szCs w:val="20"/>
        </w:rPr>
      </w:pPr>
    </w:p>
    <w:p w:rsidR="0030205D" w:rsidRPr="0030205D" w:rsidRDefault="0030205D" w:rsidP="0030205D">
      <w:pPr>
        <w:keepNext/>
        <w:spacing w:before="0"/>
        <w:rPr>
          <w:rFonts w:ascii="Arial" w:hAnsi="Arial" w:cs="Arial"/>
          <w:b/>
          <w:sz w:val="20"/>
          <w:szCs w:val="20"/>
        </w:rPr>
      </w:pPr>
      <w:r w:rsidRPr="0030205D">
        <w:rPr>
          <w:rFonts w:ascii="Arial" w:hAnsi="Arial" w:cs="Arial"/>
          <w:b/>
          <w:sz w:val="20"/>
          <w:szCs w:val="20"/>
          <w:u w:val="single"/>
        </w:rPr>
        <w:t>T 5.1 Předcházení riziku a jeho řízení</w:t>
      </w:r>
    </w:p>
    <w:p w:rsidR="0030205D" w:rsidRPr="0030205D" w:rsidRDefault="0030205D" w:rsidP="0030205D">
      <w:pPr>
        <w:keepNext/>
        <w:spacing w:before="0"/>
        <w:rPr>
          <w:rFonts w:ascii="Arial" w:hAnsi="Arial" w:cs="Arial"/>
          <w:b/>
          <w:sz w:val="20"/>
          <w:szCs w:val="20"/>
        </w:rPr>
      </w:pPr>
      <w:r w:rsidRPr="0030205D">
        <w:rPr>
          <w:rFonts w:ascii="Arial" w:hAnsi="Arial" w:cs="Arial"/>
          <w:sz w:val="20"/>
          <w:szCs w:val="20"/>
        </w:rPr>
        <w:t>(gestor: Ministerstvo životního prostředí)</w:t>
      </w:r>
    </w:p>
    <w:p w:rsidR="0030205D" w:rsidRPr="0030205D" w:rsidRDefault="0030205D" w:rsidP="0030205D">
      <w:pPr>
        <w:numPr>
          <w:ilvl w:val="0"/>
          <w:numId w:val="80"/>
        </w:numPr>
        <w:spacing w:before="0" w:after="200"/>
        <w:ind w:left="284" w:hanging="224"/>
        <w:contextualSpacing/>
        <w:rPr>
          <w:rFonts w:ascii="Arial" w:eastAsia="Times New Roman" w:hAnsi="Arial" w:cs="Arial"/>
          <w:sz w:val="20"/>
          <w:szCs w:val="20"/>
        </w:rPr>
      </w:pPr>
      <w:r w:rsidRPr="0030205D">
        <w:rPr>
          <w:rFonts w:ascii="Arial" w:hAnsi="Arial" w:cs="Arial"/>
          <w:sz w:val="20"/>
          <w:szCs w:val="20"/>
        </w:rPr>
        <w:t>Dne 5. února 2016 byly všechny relevantní dokumenty prokazující splnění předběžné podmínky odeslány na EK, a tím byl zahájen proces formální verifikace.</w:t>
      </w:r>
      <w:r w:rsidRPr="0030205D">
        <w:rPr>
          <w:rFonts w:ascii="Arial" w:eastAsia="Times New Roman" w:hAnsi="Arial" w:cs="Arial"/>
          <w:sz w:val="20"/>
          <w:szCs w:val="20"/>
        </w:rPr>
        <w:t xml:space="preserve"> Zároveň dne 21. března 2016 byly Plány povodí pro zvládání povodňových rizik předány EK též prostřednictvím systému WISE. Ze strany EK bylo avizováno, že proces posuzování se na straně DG ENVI opozdí alespoň o dva měsíce, a to právě v návaznosti na nutnost předložení dokumentů do systému WISE. V tuto chvíli by tedy měl proces formální verifikace již započít.</w:t>
      </w:r>
    </w:p>
    <w:p w:rsidR="0030205D" w:rsidRPr="0030205D" w:rsidRDefault="0030205D" w:rsidP="0030205D">
      <w:pPr>
        <w:spacing w:before="0"/>
        <w:rPr>
          <w:rFonts w:ascii="Arial" w:hAnsi="Arial" w:cs="Arial"/>
          <w:sz w:val="20"/>
          <w:szCs w:val="20"/>
        </w:rPr>
      </w:pPr>
    </w:p>
    <w:p w:rsidR="0030205D" w:rsidRPr="0030205D" w:rsidRDefault="0030205D" w:rsidP="0030205D">
      <w:pPr>
        <w:keepNext/>
        <w:spacing w:before="0"/>
        <w:rPr>
          <w:rFonts w:ascii="Arial" w:hAnsi="Arial" w:cs="Arial"/>
          <w:b/>
          <w:sz w:val="20"/>
          <w:szCs w:val="20"/>
          <w:u w:val="single"/>
        </w:rPr>
      </w:pPr>
      <w:r w:rsidRPr="0030205D">
        <w:rPr>
          <w:rFonts w:ascii="Arial" w:hAnsi="Arial" w:cs="Arial"/>
          <w:b/>
          <w:sz w:val="20"/>
          <w:szCs w:val="20"/>
          <w:u w:val="single"/>
        </w:rPr>
        <w:t>T 6.1 Vodní hospodářství</w:t>
      </w:r>
    </w:p>
    <w:p w:rsidR="0030205D" w:rsidRPr="0030205D" w:rsidRDefault="0030205D" w:rsidP="0030205D">
      <w:pPr>
        <w:spacing w:before="0" w:after="60"/>
        <w:rPr>
          <w:rFonts w:ascii="Arial" w:eastAsia="Times New Roman" w:hAnsi="Arial" w:cs="Arial"/>
          <w:b/>
          <w:sz w:val="20"/>
          <w:szCs w:val="20"/>
        </w:rPr>
      </w:pPr>
      <w:r w:rsidRPr="0030205D">
        <w:rPr>
          <w:rFonts w:ascii="Arial" w:eastAsia="Times New Roman" w:hAnsi="Arial" w:cs="Arial"/>
          <w:sz w:val="20"/>
          <w:szCs w:val="20"/>
        </w:rPr>
        <w:t>(gestor: Ministerstvo životního prostředí, ministerstvo zemědělství)</w:t>
      </w:r>
    </w:p>
    <w:p w:rsidR="0030205D" w:rsidRPr="0030205D" w:rsidRDefault="0030205D" w:rsidP="0030205D">
      <w:pPr>
        <w:numPr>
          <w:ilvl w:val="0"/>
          <w:numId w:val="80"/>
        </w:numPr>
        <w:spacing w:before="0" w:after="120"/>
        <w:ind w:left="284" w:hanging="224"/>
        <w:contextualSpacing/>
        <w:rPr>
          <w:rFonts w:ascii="Arial" w:eastAsia="Times New Roman" w:hAnsi="Arial" w:cs="Arial"/>
          <w:strike/>
          <w:sz w:val="20"/>
          <w:szCs w:val="20"/>
          <w:bdr w:val="none" w:sz="0" w:space="0" w:color="auto" w:frame="1"/>
          <w:lang w:eastAsia="en-US"/>
        </w:rPr>
      </w:pPr>
      <w:r w:rsidRPr="0030205D">
        <w:rPr>
          <w:rFonts w:ascii="Arial" w:hAnsi="Arial" w:cs="Arial"/>
          <w:sz w:val="20"/>
          <w:szCs w:val="20"/>
          <w:lang w:eastAsia="en-US"/>
        </w:rPr>
        <w:t>Dne 5. února 2016 byly všechny relevantní dokumenty prokazující splnění předběžné podmínky odeslány na EK, a tím byl zahájen proces formální verifikace.</w:t>
      </w:r>
      <w:r w:rsidRPr="0030205D">
        <w:rPr>
          <w:rFonts w:ascii="Arial" w:eastAsia="Times New Roman" w:hAnsi="Arial" w:cs="Arial"/>
          <w:sz w:val="20"/>
          <w:szCs w:val="20"/>
          <w:lang w:eastAsia="en-US"/>
        </w:rPr>
        <w:t xml:space="preserve"> Zároveň dne 21. března 2016 byly Plány povodí pro zvládání povodňových rizik předány EK též prostřednictvím systému WISE. Ze strany EK bylo avizováno, že proces posuzování se ne straně DG ENVI opozdí alespoň o dva měsíce a to právě v návaznosti na nutnost předložení dokumentů do systému WISE. V tuto chvíli by tedy měl proces formální verifikace již započít.</w:t>
      </w:r>
    </w:p>
    <w:p w:rsidR="0030205D" w:rsidRPr="0030205D" w:rsidRDefault="0030205D" w:rsidP="0030205D">
      <w:pPr>
        <w:spacing w:before="0"/>
        <w:ind w:left="284"/>
        <w:rPr>
          <w:rFonts w:ascii="Arial" w:eastAsia="Times New Roman" w:hAnsi="Arial" w:cs="Arial"/>
          <w:strike/>
          <w:sz w:val="20"/>
          <w:szCs w:val="20"/>
          <w:bdr w:val="none" w:sz="0" w:space="0" w:color="auto" w:frame="1"/>
        </w:rPr>
      </w:pPr>
    </w:p>
    <w:p w:rsidR="0030205D" w:rsidRPr="0030205D" w:rsidRDefault="0030205D" w:rsidP="0030205D">
      <w:pPr>
        <w:tabs>
          <w:tab w:val="left" w:pos="142"/>
        </w:tabs>
        <w:spacing w:before="0"/>
        <w:rPr>
          <w:rFonts w:ascii="Arial" w:eastAsia="Times New Roman" w:hAnsi="Arial" w:cs="Arial"/>
          <w:b/>
          <w:sz w:val="20"/>
          <w:szCs w:val="20"/>
        </w:rPr>
      </w:pPr>
      <w:r w:rsidRPr="0030205D">
        <w:rPr>
          <w:rFonts w:ascii="Arial" w:eastAsia="Times New Roman" w:hAnsi="Arial" w:cs="Arial"/>
          <w:b/>
          <w:sz w:val="20"/>
          <w:szCs w:val="20"/>
          <w:u w:val="single"/>
        </w:rPr>
        <w:t>T 6.2 Odpadové hospodářství</w:t>
      </w:r>
      <w:r w:rsidRPr="0030205D">
        <w:rPr>
          <w:rFonts w:ascii="Arial" w:eastAsia="Times New Roman" w:hAnsi="Arial" w:cs="Arial"/>
          <w:b/>
          <w:sz w:val="20"/>
          <w:szCs w:val="20"/>
        </w:rPr>
        <w:t xml:space="preserve"> </w:t>
      </w:r>
    </w:p>
    <w:p w:rsidR="0030205D" w:rsidRPr="0030205D" w:rsidRDefault="0030205D" w:rsidP="0030205D">
      <w:pPr>
        <w:tabs>
          <w:tab w:val="left" w:pos="142"/>
        </w:tabs>
        <w:spacing w:before="0" w:after="60"/>
        <w:rPr>
          <w:rFonts w:ascii="Arial" w:eastAsia="Times New Roman" w:hAnsi="Arial" w:cs="Arial"/>
          <w:sz w:val="20"/>
          <w:szCs w:val="20"/>
        </w:rPr>
      </w:pPr>
      <w:r w:rsidRPr="0030205D">
        <w:rPr>
          <w:rFonts w:ascii="Arial" w:eastAsia="Times New Roman" w:hAnsi="Arial" w:cs="Arial"/>
          <w:sz w:val="20"/>
          <w:szCs w:val="20"/>
        </w:rPr>
        <w:t>(gestor: Ministerstvo životního prostředí)</w:t>
      </w:r>
    </w:p>
    <w:p w:rsidR="0030205D" w:rsidRPr="0030205D" w:rsidRDefault="0030205D" w:rsidP="0030205D">
      <w:pPr>
        <w:numPr>
          <w:ilvl w:val="0"/>
          <w:numId w:val="39"/>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V rámci akčního plánu k předběžné podmínce je jasně uvedený závazek k vyřešení rozdílů v datech za produkci a nakládání s odpady.</w:t>
      </w:r>
    </w:p>
    <w:p w:rsidR="0030205D" w:rsidRPr="0030205D" w:rsidRDefault="0030205D" w:rsidP="0030205D">
      <w:pPr>
        <w:tabs>
          <w:tab w:val="left" w:pos="284"/>
        </w:tabs>
        <w:spacing w:after="240"/>
        <w:rPr>
          <w:rFonts w:ascii="Arial" w:eastAsia="Times New Roman" w:hAnsi="Arial" w:cs="Arial"/>
          <w:b/>
          <w:sz w:val="20"/>
          <w:szCs w:val="20"/>
          <w:u w:val="single"/>
        </w:rPr>
      </w:pPr>
      <w:r w:rsidRPr="0030205D">
        <w:rPr>
          <w:rFonts w:ascii="Arial" w:eastAsia="Times New Roman" w:hAnsi="Arial" w:cs="Arial"/>
          <w:b/>
          <w:sz w:val="20"/>
          <w:szCs w:val="20"/>
          <w:u w:val="single"/>
        </w:rPr>
        <w:t>Aktuální stav</w:t>
      </w:r>
    </w:p>
    <w:p w:rsidR="0030205D" w:rsidRPr="0030205D" w:rsidRDefault="0030205D" w:rsidP="0030205D">
      <w:pPr>
        <w:numPr>
          <w:ilvl w:val="0"/>
          <w:numId w:val="39"/>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MŽP byl vládou ČR zadán úkol (v rámci schvalování Programu předcházení vzniku odpadů ČR), který se týká porovnání postupů MŽP a Českého statistického úřadu (ČSÚ) při zpracování dat o odpadech v ČR.</w:t>
      </w:r>
    </w:p>
    <w:p w:rsidR="0030205D" w:rsidRPr="0030205D" w:rsidRDefault="0030205D" w:rsidP="0030205D">
      <w:pPr>
        <w:numPr>
          <w:ilvl w:val="0"/>
          <w:numId w:val="39"/>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 xml:space="preserve">Na základě usnesení vlády č. 56/2015 ke Zprávě o plnění úkolů uložených vládou s termínem plnění od 1. prosince do 31. prosince 2014, „Informace o metodikách pro výpočet celkové produkce odpadů používaných MŽP a ČSÚ ve srovnání s metodikami používanými v zahraničí“, vložilo MŽP v říjnu 2015 do systému E-klep materiál o porovnání metodik MŽP a ČSÚ </w:t>
      </w:r>
      <w:r w:rsidRPr="0030205D">
        <w:rPr>
          <w:rFonts w:ascii="Arial" w:eastAsia="Times New Roman" w:hAnsi="Arial" w:cs="Arial"/>
          <w:sz w:val="20"/>
          <w:szCs w:val="20"/>
        </w:rPr>
        <w:lastRenderedPageBreak/>
        <w:t>k vykazování produkce odpadů. Byly identifikovány výrazné rozdíly v metodických přístupech hodnocení dat za MŽP a ČSÚ, řada rozdílů je založena již na úrovni evropské legislativy ke statistice odpadů (nařízení 2150/2002) a k odpadům (zejména rámcová směrnice o odpadech a další). Následně bylo ze strany MŽP požádáno o posun předložení na 31. ledna 2016 s tím, že materiál původně koncipovaný jako informativní bude doplněn o návrh dalšího postupu. Na jednání vlády ČR dne 29. února 2016 (usnesení vlády č. 178/2016) byl stanoven nový konečný termín 30. červen 2016. V této souvislosti MMR-NOK upozorňuje na provázanost materiálu s návrhem zákona o odpadech, jehož MPŘ bylo dne 27. února 2016 ukončeno (viz níže).</w:t>
      </w:r>
    </w:p>
    <w:p w:rsidR="0030205D" w:rsidRPr="0030205D" w:rsidRDefault="0030205D" w:rsidP="0030205D">
      <w:pPr>
        <w:numPr>
          <w:ilvl w:val="0"/>
          <w:numId w:val="33"/>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Ve věcném záměru je schváleno, že údaje z oblasti odpadového hospodářství budou sbírány v rámci evidence a ohlašování nakládání s odpady podle zákona o odpadech. MŽP zajistí ČSÚ přístup k výstupům z evidence a ohlašování produkce a nakládání s odpady. Za tímto účelem musí tyto výstupy splňovat kritéria na jejich statistické využití podle zákona č. 89/1995 Sb., o státní statistické službě, nařízení ES č. 223/2009 o evropské statistice, a nařízení ES č. 2150/2002 o statistice odpadů.</w:t>
      </w:r>
    </w:p>
    <w:p w:rsidR="0030205D" w:rsidRPr="0030205D" w:rsidRDefault="0030205D" w:rsidP="0030205D">
      <w:pPr>
        <w:numPr>
          <w:ilvl w:val="0"/>
          <w:numId w:val="33"/>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Dne 20. ledna 2016 proběhlo k problematice dvojích dat jednání za účasti ministra životního prostředí Richarda Brabce, předsedkyně ČSÚ Ivy </w:t>
      </w:r>
      <w:proofErr w:type="spellStart"/>
      <w:r w:rsidRPr="0030205D">
        <w:rPr>
          <w:rFonts w:ascii="Arial" w:eastAsia="Times New Roman" w:hAnsi="Arial" w:cs="Arial"/>
          <w:sz w:val="20"/>
          <w:szCs w:val="20"/>
        </w:rPr>
        <w:t>Ritschelové</w:t>
      </w:r>
      <w:proofErr w:type="spellEnd"/>
      <w:r w:rsidRPr="0030205D">
        <w:rPr>
          <w:rFonts w:ascii="Arial" w:eastAsia="Times New Roman" w:hAnsi="Arial" w:cs="Arial"/>
          <w:sz w:val="20"/>
          <w:szCs w:val="20"/>
        </w:rPr>
        <w:t xml:space="preserve"> a </w:t>
      </w:r>
      <w:proofErr w:type="spellStart"/>
      <w:r w:rsidRPr="0030205D">
        <w:rPr>
          <w:rFonts w:ascii="Arial" w:eastAsia="Times New Roman" w:hAnsi="Arial" w:cs="Arial"/>
          <w:sz w:val="20"/>
          <w:szCs w:val="20"/>
        </w:rPr>
        <w:t>šéfporadce</w:t>
      </w:r>
      <w:proofErr w:type="spellEnd"/>
      <w:r w:rsidRPr="0030205D">
        <w:rPr>
          <w:rFonts w:ascii="Arial" w:eastAsia="Times New Roman" w:hAnsi="Arial" w:cs="Arial"/>
          <w:sz w:val="20"/>
          <w:szCs w:val="20"/>
        </w:rPr>
        <w:t xml:space="preserve"> premiéra Vladimíra </w:t>
      </w:r>
      <w:proofErr w:type="spellStart"/>
      <w:r w:rsidRPr="0030205D">
        <w:rPr>
          <w:rFonts w:ascii="Arial" w:eastAsia="Times New Roman" w:hAnsi="Arial" w:cs="Arial"/>
          <w:sz w:val="20"/>
          <w:szCs w:val="20"/>
        </w:rPr>
        <w:t>Špidly</w:t>
      </w:r>
      <w:proofErr w:type="spellEnd"/>
      <w:r w:rsidRPr="0030205D">
        <w:rPr>
          <w:rFonts w:ascii="Arial" w:eastAsia="Times New Roman" w:hAnsi="Arial" w:cs="Arial"/>
          <w:sz w:val="20"/>
          <w:szCs w:val="20"/>
        </w:rPr>
        <w:t>. Dle informace MŽP byla na jednání nalezena rámcová shoda o dalším postupu sbližování dat za oblast odpadového hospodářství a tento postup měl být dále projednáván souběžně s přípravou nového zákona o odpadech.</w:t>
      </w:r>
    </w:p>
    <w:p w:rsidR="0030205D" w:rsidRPr="0030205D" w:rsidRDefault="0030205D" w:rsidP="0030205D">
      <w:pPr>
        <w:numPr>
          <w:ilvl w:val="0"/>
          <w:numId w:val="39"/>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Ve dnech 29. ledna - 26. února 2016 proběhlo MPŘ k návrhu zákona o odpadech. Dle Plánu legislativních prací na rok 2016 se předpokládalo předložení návrhu zákona vládě ČR v březnu 2016. Tento termín nebyl dodržen, doposud neproběhlo vypořádání připomínek. Zákon musí být schválen nejpozději k 31. prosinci 2016 dle závazku učiněným Českou republikou v rámci akčního plánu. V navrhovaném znění zákona o odpadech je záměr odstranění duplicity dat reflektován prostřednictvím § 102. V něm je ustanoveno, že ČSÚ plní povinnosti, vyplývající pro ČR z přímo použitelného předpisu Evropské unie o statistice odpadů. K plnění těchto povinností využívá údaje z hlášení, zaslaných MŽP a za tímto účelem může vyzvat původce odpadů k podání hlášení. I přes deklarovanou rámcovou shodu o postupu sbližování dat mezi MŽP a ČSÚ (viz výše) podal v rámci MPŘ Český statistický úřad k tomuto a navazujícímu §66 zásadní připomínky a požaduje ustanovení, týkající se Českého statistického úřadu ze zákona bez náhrady vypustit. Důvodem je skutečnost, že ČSÚ je zodpovědný za data, jež poskytuje a je tak plně a zásadně na vyhodnocení tohoto úřadu, aby rozhodl a určil, z jakých zdrojů nebo na základě jakých statistických zjišťování bude údaje čerpat.  Zásadní připomínku ke znění § 102 podalo i MMR, jež považuje uvedený paragraf bez vyřešení výše uvedeného rozporu, tj. nalezení shody mezi ČSÚ a MŽP v oblasti sběru dat za irelevantní. Nalezení shody je nutným předpokladem</w:t>
      </w:r>
      <w:r w:rsidRPr="0030205D">
        <w:rPr>
          <w:rFonts w:ascii="Arial" w:eastAsia="Times New Roman" w:hAnsi="Arial" w:cs="Arial"/>
          <w:sz w:val="20"/>
          <w:szCs w:val="20"/>
        </w:rPr>
        <w:br/>
        <w:t xml:space="preserve">pro faktickou realizaci věcného záměru v této oblasti.  </w:t>
      </w:r>
    </w:p>
    <w:p w:rsidR="0030205D" w:rsidRPr="0030205D" w:rsidRDefault="0030205D" w:rsidP="0030205D">
      <w:pPr>
        <w:numPr>
          <w:ilvl w:val="0"/>
          <w:numId w:val="33"/>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Dne 15. října 2015 byla MŽP prostřednictvím Ministerstva zahraničních věcí (MZV) odeslána Evropské komisi – Generálnímu ředitelství Životního prostředí informace o nutnosti sjednocení přístupu na úrovni evropských právních předpisů pro oblast odpadového hospodářství. Informace k řešení problematiky dvojích dat o odpadech požadovala EK na základě výsledků jednání na MŽP (</w:t>
      </w:r>
      <w:r w:rsidRPr="0030205D">
        <w:rPr>
          <w:rFonts w:ascii="Arial" w:hAnsi="Arial" w:cs="Arial"/>
          <w:sz w:val="20"/>
          <w:szCs w:val="20"/>
        </w:rPr>
        <w:t xml:space="preserve">viz závěry z </w:t>
      </w:r>
      <w:proofErr w:type="spellStart"/>
      <w:r w:rsidRPr="0030205D">
        <w:rPr>
          <w:rFonts w:ascii="Arial" w:hAnsi="Arial" w:cs="Arial"/>
          <w:sz w:val="20"/>
          <w:szCs w:val="20"/>
        </w:rPr>
        <w:t>Package</w:t>
      </w:r>
      <w:proofErr w:type="spellEnd"/>
      <w:r w:rsidRPr="0030205D">
        <w:rPr>
          <w:rFonts w:ascii="Arial" w:hAnsi="Arial" w:cs="Arial"/>
          <w:sz w:val="20"/>
          <w:szCs w:val="20"/>
        </w:rPr>
        <w:t xml:space="preserve"> meeting </w:t>
      </w:r>
      <w:proofErr w:type="spellStart"/>
      <w:r w:rsidRPr="0030205D">
        <w:rPr>
          <w:rFonts w:ascii="Arial" w:hAnsi="Arial" w:cs="Arial"/>
          <w:sz w:val="20"/>
          <w:szCs w:val="20"/>
        </w:rPr>
        <w:t>with</w:t>
      </w:r>
      <w:proofErr w:type="spellEnd"/>
      <w:r w:rsidRPr="0030205D">
        <w:rPr>
          <w:rFonts w:ascii="Arial" w:hAnsi="Arial" w:cs="Arial"/>
          <w:sz w:val="20"/>
          <w:szCs w:val="20"/>
        </w:rPr>
        <w:t xml:space="preserve"> </w:t>
      </w:r>
      <w:proofErr w:type="spellStart"/>
      <w:r w:rsidRPr="0030205D">
        <w:rPr>
          <w:rFonts w:ascii="Arial" w:hAnsi="Arial" w:cs="Arial"/>
          <w:sz w:val="20"/>
          <w:szCs w:val="20"/>
        </w:rPr>
        <w:t>Czech</w:t>
      </w:r>
      <w:proofErr w:type="spellEnd"/>
      <w:r w:rsidRPr="0030205D">
        <w:rPr>
          <w:rFonts w:ascii="Arial" w:hAnsi="Arial" w:cs="Arial"/>
          <w:sz w:val="20"/>
          <w:szCs w:val="20"/>
        </w:rPr>
        <w:t xml:space="preserve"> </w:t>
      </w:r>
      <w:proofErr w:type="spellStart"/>
      <w:r w:rsidRPr="0030205D">
        <w:rPr>
          <w:rFonts w:ascii="Arial" w:hAnsi="Arial" w:cs="Arial"/>
          <w:sz w:val="20"/>
          <w:szCs w:val="20"/>
        </w:rPr>
        <w:t>authorities</w:t>
      </w:r>
      <w:proofErr w:type="spellEnd"/>
      <w:r w:rsidRPr="0030205D">
        <w:rPr>
          <w:rFonts w:ascii="Arial" w:hAnsi="Arial" w:cs="Arial"/>
          <w:sz w:val="20"/>
          <w:szCs w:val="20"/>
        </w:rPr>
        <w:t>, 29. května 2015).</w:t>
      </w:r>
      <w:r w:rsidRPr="0030205D">
        <w:rPr>
          <w:rFonts w:ascii="Arial" w:eastAsia="Times New Roman" w:hAnsi="Arial" w:cs="Arial"/>
          <w:sz w:val="20"/>
          <w:szCs w:val="20"/>
        </w:rPr>
        <w:t xml:space="preserve"> V rámci projednání pozice ČR k oběhovému hospodářství na pracovní skupině Rady EU </w:t>
      </w:r>
      <w:proofErr w:type="spellStart"/>
      <w:r w:rsidRPr="0030205D">
        <w:rPr>
          <w:rFonts w:ascii="Arial" w:eastAsia="Times New Roman" w:hAnsi="Arial" w:cs="Arial"/>
          <w:sz w:val="20"/>
          <w:szCs w:val="20"/>
        </w:rPr>
        <w:t>Working</w:t>
      </w:r>
      <w:proofErr w:type="spellEnd"/>
      <w:r w:rsidRPr="0030205D">
        <w:rPr>
          <w:rFonts w:ascii="Arial" w:eastAsia="Times New Roman" w:hAnsi="Arial" w:cs="Arial"/>
          <w:sz w:val="20"/>
          <w:szCs w:val="20"/>
        </w:rPr>
        <w:t xml:space="preserve"> party on </w:t>
      </w:r>
      <w:proofErr w:type="spellStart"/>
      <w:r w:rsidRPr="0030205D">
        <w:rPr>
          <w:rFonts w:ascii="Arial" w:eastAsia="Times New Roman" w:hAnsi="Arial" w:cs="Arial"/>
          <w:sz w:val="20"/>
          <w:szCs w:val="20"/>
        </w:rPr>
        <w:t>the</w:t>
      </w:r>
      <w:proofErr w:type="spellEnd"/>
      <w:r w:rsidRPr="0030205D">
        <w:rPr>
          <w:rFonts w:ascii="Arial" w:eastAsia="Times New Roman" w:hAnsi="Arial" w:cs="Arial"/>
          <w:sz w:val="20"/>
          <w:szCs w:val="20"/>
        </w:rPr>
        <w:t xml:space="preserve"> </w:t>
      </w:r>
      <w:proofErr w:type="spellStart"/>
      <w:r w:rsidRPr="0030205D">
        <w:rPr>
          <w:rFonts w:ascii="Arial" w:eastAsia="Times New Roman" w:hAnsi="Arial" w:cs="Arial"/>
          <w:sz w:val="20"/>
          <w:szCs w:val="20"/>
        </w:rPr>
        <w:t>Environment</w:t>
      </w:r>
      <w:proofErr w:type="spellEnd"/>
      <w:r w:rsidRPr="0030205D">
        <w:rPr>
          <w:rFonts w:ascii="Arial" w:eastAsia="Times New Roman" w:hAnsi="Arial" w:cs="Arial"/>
          <w:sz w:val="20"/>
          <w:szCs w:val="20"/>
        </w:rPr>
        <w:t>/</w:t>
      </w:r>
      <w:proofErr w:type="spellStart"/>
      <w:r w:rsidRPr="0030205D">
        <w:rPr>
          <w:rFonts w:ascii="Arial" w:eastAsia="Times New Roman" w:hAnsi="Arial" w:cs="Arial"/>
          <w:sz w:val="20"/>
          <w:szCs w:val="20"/>
        </w:rPr>
        <w:t>Competitiveness</w:t>
      </w:r>
      <w:proofErr w:type="spellEnd"/>
      <w:r w:rsidRPr="0030205D">
        <w:rPr>
          <w:rFonts w:ascii="Arial" w:eastAsia="Times New Roman" w:hAnsi="Arial" w:cs="Arial"/>
          <w:sz w:val="20"/>
          <w:szCs w:val="20"/>
        </w:rPr>
        <w:t xml:space="preserve"> </w:t>
      </w:r>
      <w:proofErr w:type="spellStart"/>
      <w:r w:rsidRPr="0030205D">
        <w:rPr>
          <w:rFonts w:ascii="Arial" w:eastAsia="Times New Roman" w:hAnsi="Arial" w:cs="Arial"/>
          <w:sz w:val="20"/>
          <w:szCs w:val="20"/>
        </w:rPr>
        <w:t>and</w:t>
      </w:r>
      <w:proofErr w:type="spellEnd"/>
      <w:r w:rsidRPr="0030205D">
        <w:rPr>
          <w:rFonts w:ascii="Arial" w:eastAsia="Times New Roman" w:hAnsi="Arial" w:cs="Arial"/>
          <w:sz w:val="20"/>
          <w:szCs w:val="20"/>
        </w:rPr>
        <w:t xml:space="preserve"> </w:t>
      </w:r>
      <w:proofErr w:type="spellStart"/>
      <w:r w:rsidRPr="0030205D">
        <w:rPr>
          <w:rFonts w:ascii="Arial" w:eastAsia="Times New Roman" w:hAnsi="Arial" w:cs="Arial"/>
          <w:sz w:val="20"/>
          <w:szCs w:val="20"/>
        </w:rPr>
        <w:t>Growth</w:t>
      </w:r>
      <w:proofErr w:type="spellEnd"/>
      <w:r w:rsidRPr="0030205D">
        <w:rPr>
          <w:rFonts w:ascii="Arial" w:eastAsia="Times New Roman" w:hAnsi="Arial" w:cs="Arial"/>
          <w:sz w:val="20"/>
          <w:szCs w:val="20"/>
        </w:rPr>
        <w:t xml:space="preserve"> (</w:t>
      </w:r>
      <w:proofErr w:type="spellStart"/>
      <w:r w:rsidRPr="0030205D">
        <w:rPr>
          <w:rFonts w:ascii="Arial" w:eastAsia="Times New Roman" w:hAnsi="Arial" w:cs="Arial"/>
          <w:sz w:val="20"/>
          <w:szCs w:val="20"/>
        </w:rPr>
        <w:t>Industry</w:t>
      </w:r>
      <w:proofErr w:type="spellEnd"/>
      <w:r w:rsidRPr="0030205D">
        <w:rPr>
          <w:rFonts w:ascii="Arial" w:eastAsia="Times New Roman" w:hAnsi="Arial" w:cs="Arial"/>
          <w:sz w:val="20"/>
          <w:szCs w:val="20"/>
        </w:rPr>
        <w:t xml:space="preserve">) dne 11. února 2016 byla vedena obecná diskuse k návrhům definic sjednocení oblasti vykazování dat a výpočtových metod, vyhodnocování administrativní zátěže. Balíček k oběhovému hospodářství byl dne 2. prosince 2015 zveřejněn a začala jej projednávat pracovní skupina Rady (WP </w:t>
      </w:r>
      <w:proofErr w:type="spellStart"/>
      <w:r w:rsidRPr="0030205D">
        <w:rPr>
          <w:rFonts w:ascii="Arial" w:eastAsia="Times New Roman" w:hAnsi="Arial" w:cs="Arial"/>
          <w:sz w:val="20"/>
          <w:szCs w:val="20"/>
        </w:rPr>
        <w:t>Environment</w:t>
      </w:r>
      <w:proofErr w:type="spellEnd"/>
      <w:r w:rsidRPr="0030205D">
        <w:rPr>
          <w:rFonts w:ascii="Arial" w:eastAsia="Times New Roman" w:hAnsi="Arial" w:cs="Arial"/>
          <w:sz w:val="20"/>
          <w:szCs w:val="20"/>
        </w:rPr>
        <w:t>). Jedním z jeho hlavních cílů je harmonizace v oblasti metodik a výpočtů, používaných pro reporting členských zemí. MŽP připravilo rámcové pozice ČR k jednotlivým částem, které dne 18. ledna 2016 schválila vláda ČR. K balíčku pro oběhové hospodářství přijal rovněž usnesení Senát Parlamentu ČR a Výbor pro evropské záležitosti PSP. V rámci projednávání příslušných legislativních návrhů považuje ČR toto téma za jedno z prioritních.</w:t>
      </w:r>
    </w:p>
    <w:p w:rsidR="0030205D" w:rsidRPr="0030205D" w:rsidRDefault="0030205D" w:rsidP="0030205D">
      <w:pPr>
        <w:numPr>
          <w:ilvl w:val="0"/>
          <w:numId w:val="33"/>
        </w:numPr>
        <w:tabs>
          <w:tab w:val="left" w:pos="284"/>
        </w:tabs>
        <w:spacing w:before="0"/>
        <w:ind w:left="284" w:hanging="284"/>
        <w:rPr>
          <w:rFonts w:ascii="Arial" w:eastAsia="Times New Roman" w:hAnsi="Arial" w:cs="Arial"/>
          <w:sz w:val="20"/>
          <w:szCs w:val="20"/>
        </w:rPr>
      </w:pPr>
      <w:r w:rsidRPr="0030205D">
        <w:rPr>
          <w:rFonts w:ascii="Arial" w:hAnsi="Arial" w:cs="Arial"/>
          <w:sz w:val="20"/>
          <w:szCs w:val="20"/>
        </w:rPr>
        <w:lastRenderedPageBreak/>
        <w:t xml:space="preserve">Pro financování vybraných projektů z OPŽP 2014+, postaveném výhradně na datech MŽP, si vzhledem k významným odlišnostem v datech </w:t>
      </w:r>
      <w:proofErr w:type="spellStart"/>
      <w:r w:rsidRPr="0030205D">
        <w:rPr>
          <w:rFonts w:ascii="Arial" w:hAnsi="Arial" w:cs="Arial"/>
          <w:sz w:val="20"/>
          <w:szCs w:val="20"/>
        </w:rPr>
        <w:t>Eurostat</w:t>
      </w:r>
      <w:proofErr w:type="spellEnd"/>
      <w:r w:rsidRPr="0030205D">
        <w:rPr>
          <w:rFonts w:ascii="Arial" w:hAnsi="Arial" w:cs="Arial"/>
          <w:sz w:val="20"/>
          <w:szCs w:val="20"/>
        </w:rPr>
        <w:t xml:space="preserve"> (ČSÚ) a MŽP Evropská komise vyhradila posouzení souladu plánů odpadového hospodářství (POH ČR) a 14 krajských POH se Směrnicí o odpadech 2008/98/ES, které jsou rovněž sestaveny pouze z dat MŽP.</w:t>
      </w:r>
    </w:p>
    <w:p w:rsidR="0030205D" w:rsidRPr="0030205D" w:rsidRDefault="0030205D" w:rsidP="0030205D">
      <w:pPr>
        <w:numPr>
          <w:ilvl w:val="0"/>
          <w:numId w:val="33"/>
        </w:numPr>
        <w:tabs>
          <w:tab w:val="left" w:pos="284"/>
        </w:tabs>
        <w:spacing w:before="0"/>
        <w:ind w:left="284" w:hanging="284"/>
        <w:rPr>
          <w:rFonts w:ascii="Arial" w:eastAsiaTheme="minorHAnsi" w:hAnsi="Arial" w:cs="Arial"/>
          <w:strike/>
          <w:sz w:val="20"/>
          <w:szCs w:val="20"/>
        </w:rPr>
      </w:pPr>
      <w:r w:rsidRPr="0030205D">
        <w:rPr>
          <w:rFonts w:ascii="Arial" w:eastAsia="Times New Roman" w:hAnsi="Arial" w:cs="Arial"/>
          <w:sz w:val="20"/>
          <w:szCs w:val="20"/>
        </w:rPr>
        <w:t xml:space="preserve">U krajských POH (KPOH), dlouhodobě hodnocených a připravovaných výlučně na základě odpadových dat MŽP se dokončuje proces SEA. Aktuálně bylo vydáno souhlasné stanovisko </w:t>
      </w:r>
      <w:r w:rsidRPr="0030205D">
        <w:rPr>
          <w:rFonts w:ascii="Arial" w:eastAsia="Times New Roman" w:hAnsi="Arial" w:cs="Arial"/>
          <w:sz w:val="20"/>
          <w:szCs w:val="20"/>
        </w:rPr>
        <w:br/>
        <w:t>k 13 KPOH, 1 krajská koncepce čeká na vydání stanoviska (POH Středočeského kraje). Závazné části krajských POH následně vyhlásí kraje obecně závaznou vyhláškou. Po přeložení</w:t>
      </w:r>
      <w:r w:rsidRPr="0030205D">
        <w:rPr>
          <w:rFonts w:ascii="Arial" w:eastAsia="Times New Roman" w:hAnsi="Arial" w:cs="Arial"/>
          <w:sz w:val="20"/>
          <w:szCs w:val="20"/>
        </w:rPr>
        <w:br/>
        <w:t xml:space="preserve">do angličtiny budou KPOH postupně zasílány Evropské komisi k posouzení (s termínem splnění 30. června 2016). </w:t>
      </w:r>
    </w:p>
    <w:p w:rsidR="0030205D" w:rsidRPr="0030205D" w:rsidRDefault="0030205D" w:rsidP="0030205D">
      <w:pPr>
        <w:tabs>
          <w:tab w:val="left" w:pos="284"/>
        </w:tabs>
        <w:spacing w:before="0"/>
        <w:ind w:left="284"/>
        <w:rPr>
          <w:rFonts w:ascii="Arial" w:eastAsiaTheme="minorHAnsi" w:hAnsi="Arial" w:cs="Arial"/>
          <w:sz w:val="20"/>
          <w:szCs w:val="20"/>
        </w:rPr>
      </w:pPr>
    </w:p>
    <w:p w:rsidR="0030205D" w:rsidRPr="0030205D" w:rsidRDefault="0030205D" w:rsidP="0030205D">
      <w:pPr>
        <w:keepNext/>
        <w:spacing w:before="0"/>
        <w:rPr>
          <w:rFonts w:ascii="Arial" w:hAnsi="Arial" w:cs="Arial"/>
          <w:b/>
          <w:sz w:val="20"/>
          <w:szCs w:val="20"/>
        </w:rPr>
      </w:pPr>
      <w:r w:rsidRPr="0030205D">
        <w:rPr>
          <w:rFonts w:ascii="Arial" w:hAnsi="Arial" w:cs="Arial"/>
          <w:b/>
          <w:sz w:val="20"/>
          <w:szCs w:val="20"/>
          <w:u w:val="single"/>
        </w:rPr>
        <w:t>T 7.1 – 7.3 Silniční doprava, Železniční doprava, Ostatní doprava</w:t>
      </w:r>
    </w:p>
    <w:p w:rsidR="0030205D" w:rsidRPr="0030205D" w:rsidRDefault="0030205D" w:rsidP="0030205D">
      <w:pPr>
        <w:keepNext/>
        <w:spacing w:before="0" w:after="240"/>
        <w:rPr>
          <w:rFonts w:ascii="Arial" w:hAnsi="Arial" w:cs="Arial"/>
          <w:sz w:val="20"/>
          <w:szCs w:val="20"/>
        </w:rPr>
      </w:pPr>
      <w:r w:rsidRPr="0030205D">
        <w:rPr>
          <w:rFonts w:ascii="Arial" w:hAnsi="Arial" w:cs="Arial"/>
          <w:sz w:val="20"/>
          <w:szCs w:val="20"/>
        </w:rPr>
        <w:t>(gestor: Ministerstvo dopravy)</w:t>
      </w:r>
    </w:p>
    <w:p w:rsidR="0030205D" w:rsidRPr="0030205D" w:rsidRDefault="0030205D" w:rsidP="0030205D">
      <w:pPr>
        <w:numPr>
          <w:ilvl w:val="0"/>
          <w:numId w:val="50"/>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 xml:space="preserve">U všech PP týkajících se dopravy není ze strany EK shledáno za dostačující naplňování kritéria „Opatření k zajištění způsobilosti zprostředkujících subjektů a příjemců realizovat projekt“. Ministerstvo dopravy jakožto odpovědný subjekt provede (do září 2016) opatření k posílení kapacity hlavních příjemců a zprostředkujícího subjektu a předloží Zprávu o realizovaných opatřeních zahrnující doporučení a výhled řešení případných zbývajících úzkých míst. </w:t>
      </w:r>
    </w:p>
    <w:p w:rsidR="0030205D" w:rsidRPr="0030205D" w:rsidRDefault="0030205D" w:rsidP="0030205D">
      <w:pPr>
        <w:numPr>
          <w:ilvl w:val="0"/>
          <w:numId w:val="50"/>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Pro rizika spojená se zajištěním dostatečné administrativní kapacity pro implementaci OP Doprava probíhá analýza/posouzení kapacity externím hodnotitelem. Výsledky hodnocení bude nutné považovat za klíčové pro další rozhodování posílení/zefektivnění kapacity příjemců a zprostředkující subjekty OP Doprava.</w:t>
      </w:r>
    </w:p>
    <w:p w:rsidR="0030205D" w:rsidRPr="0030205D" w:rsidRDefault="0030205D" w:rsidP="0030205D">
      <w:pPr>
        <w:numPr>
          <w:ilvl w:val="0"/>
          <w:numId w:val="50"/>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 xml:space="preserve">V rámci PP 7.3 Ostatní doprava je nutné zajistit existenci Koncepce vodní dopravy, která byla předložena do MPŘ na počátku února 2016. Termín splnění tohoto opatření byl opětovně posunut, a to na 30. června 2016. EK bude zaslána žádost o prodloužení termínu prostřednictvím Čtvrté čtvrtletní monitorovací zprávy. </w:t>
      </w:r>
    </w:p>
    <w:p w:rsidR="0030205D" w:rsidRPr="0030205D" w:rsidRDefault="0030205D" w:rsidP="0030205D">
      <w:pPr>
        <w:keepNext/>
        <w:spacing w:before="0"/>
        <w:rPr>
          <w:rFonts w:ascii="Arial" w:hAnsi="Arial" w:cs="Arial"/>
          <w:b/>
          <w:sz w:val="20"/>
          <w:szCs w:val="20"/>
          <w:u w:val="single"/>
        </w:rPr>
      </w:pPr>
    </w:p>
    <w:p w:rsidR="0030205D" w:rsidRPr="0030205D" w:rsidRDefault="0030205D" w:rsidP="0030205D">
      <w:pPr>
        <w:keepNext/>
        <w:spacing w:before="0"/>
        <w:rPr>
          <w:rFonts w:ascii="Arial" w:hAnsi="Arial" w:cs="Arial"/>
          <w:b/>
          <w:sz w:val="20"/>
          <w:szCs w:val="20"/>
          <w:u w:val="single"/>
        </w:rPr>
      </w:pPr>
      <w:r w:rsidRPr="0030205D">
        <w:rPr>
          <w:rFonts w:ascii="Arial" w:hAnsi="Arial" w:cs="Arial"/>
          <w:b/>
          <w:sz w:val="20"/>
          <w:szCs w:val="20"/>
          <w:u w:val="single"/>
        </w:rPr>
        <w:t xml:space="preserve">T 8.5 Pomoc pracovníkům, podnikům a podnikatelům </w:t>
      </w:r>
    </w:p>
    <w:p w:rsidR="0030205D" w:rsidRPr="0030205D" w:rsidRDefault="0030205D" w:rsidP="002011A2">
      <w:pPr>
        <w:keepNext/>
        <w:spacing w:before="0" w:afterLines="60"/>
        <w:rPr>
          <w:rFonts w:ascii="Arial" w:eastAsia="Times New Roman" w:hAnsi="Arial" w:cs="Arial"/>
          <w:b/>
          <w:sz w:val="20"/>
          <w:szCs w:val="20"/>
          <w:u w:val="single"/>
        </w:rPr>
      </w:pPr>
      <w:r w:rsidRPr="0030205D">
        <w:rPr>
          <w:rFonts w:ascii="Arial" w:eastAsia="Times New Roman" w:hAnsi="Arial" w:cs="Arial"/>
          <w:sz w:val="20"/>
          <w:szCs w:val="20"/>
        </w:rPr>
        <w:t>(gestor: Ministerstvo práce a sociálních věcí)</w:t>
      </w:r>
    </w:p>
    <w:p w:rsidR="0030205D" w:rsidRPr="0030205D" w:rsidRDefault="0030205D" w:rsidP="002011A2">
      <w:pPr>
        <w:numPr>
          <w:ilvl w:val="0"/>
          <w:numId w:val="65"/>
        </w:numPr>
        <w:spacing w:before="0" w:afterLines="60"/>
        <w:ind w:left="284" w:hanging="284"/>
        <w:rPr>
          <w:rFonts w:ascii="Arial" w:eastAsia="Times New Roman" w:hAnsi="Arial" w:cs="Arial"/>
          <w:strike/>
          <w:sz w:val="20"/>
          <w:szCs w:val="20"/>
          <w:bdr w:val="none" w:sz="0" w:space="0" w:color="auto" w:frame="1"/>
        </w:rPr>
      </w:pPr>
      <w:r w:rsidRPr="0030205D">
        <w:rPr>
          <w:rFonts w:ascii="Arial" w:hAnsi="Arial" w:cs="Arial"/>
          <w:sz w:val="20"/>
          <w:szCs w:val="20"/>
        </w:rPr>
        <w:t xml:space="preserve">Dne 17. prosince 2015 byly všechny relevantní dokumenty prokazující splnění předběžné podmínky odeslány na EK, a tím byl zahájen proces formální verifikace. </w:t>
      </w:r>
      <w:r w:rsidRPr="0030205D">
        <w:rPr>
          <w:rFonts w:ascii="Arial" w:eastAsia="Times New Roman" w:hAnsi="Arial" w:cs="Arial"/>
          <w:sz w:val="20"/>
          <w:szCs w:val="20"/>
        </w:rPr>
        <w:t>V současné chvíli stále probíhá proces vyjasňování dalších doplňujících informací na základě požadavku EK, zaslaného na počátku března 2016. Reakce ČR vč. doplňujících informací bude na EK zaslána na počátku dubna 2016.</w:t>
      </w:r>
    </w:p>
    <w:p w:rsidR="0030205D" w:rsidRPr="0030205D" w:rsidRDefault="0030205D" w:rsidP="0030205D">
      <w:pPr>
        <w:keepNext/>
        <w:spacing w:before="0"/>
        <w:rPr>
          <w:rFonts w:ascii="Arial" w:hAnsi="Arial" w:cs="Arial"/>
          <w:b/>
          <w:sz w:val="20"/>
          <w:szCs w:val="20"/>
          <w:u w:val="single"/>
        </w:rPr>
      </w:pPr>
    </w:p>
    <w:p w:rsidR="0030205D" w:rsidRPr="0030205D" w:rsidRDefault="0030205D" w:rsidP="0030205D">
      <w:pPr>
        <w:keepNext/>
        <w:spacing w:before="0"/>
        <w:rPr>
          <w:rFonts w:ascii="Arial" w:hAnsi="Arial" w:cs="Arial"/>
          <w:b/>
          <w:sz w:val="20"/>
          <w:szCs w:val="20"/>
        </w:rPr>
      </w:pPr>
      <w:r w:rsidRPr="0030205D">
        <w:rPr>
          <w:rFonts w:ascii="Arial" w:hAnsi="Arial" w:cs="Arial"/>
          <w:b/>
          <w:sz w:val="20"/>
          <w:szCs w:val="20"/>
          <w:u w:val="single"/>
        </w:rPr>
        <w:t>T 9.2 Politika začleňování Romů</w:t>
      </w:r>
      <w:r w:rsidRPr="0030205D">
        <w:rPr>
          <w:rFonts w:ascii="Arial" w:hAnsi="Arial" w:cs="Arial"/>
          <w:b/>
          <w:sz w:val="20"/>
          <w:szCs w:val="20"/>
        </w:rPr>
        <w:t xml:space="preserve"> </w:t>
      </w:r>
    </w:p>
    <w:p w:rsidR="0030205D" w:rsidRPr="0030205D" w:rsidRDefault="0030205D" w:rsidP="002011A2">
      <w:pPr>
        <w:keepNext/>
        <w:spacing w:before="0" w:afterLines="60"/>
        <w:rPr>
          <w:rFonts w:ascii="Arial" w:hAnsi="Arial" w:cs="Arial"/>
          <w:b/>
          <w:sz w:val="20"/>
          <w:szCs w:val="20"/>
          <w:bdr w:val="none" w:sz="0" w:space="0" w:color="auto" w:frame="1"/>
        </w:rPr>
      </w:pPr>
      <w:r w:rsidRPr="0030205D">
        <w:rPr>
          <w:rFonts w:ascii="Arial" w:hAnsi="Arial" w:cs="Arial"/>
          <w:sz w:val="20"/>
          <w:szCs w:val="20"/>
        </w:rPr>
        <w:t>(gestor: Úřad vlády ČR)</w:t>
      </w:r>
    </w:p>
    <w:p w:rsidR="0030205D" w:rsidRDefault="0030205D" w:rsidP="002011A2">
      <w:pPr>
        <w:numPr>
          <w:ilvl w:val="0"/>
          <w:numId w:val="67"/>
        </w:numPr>
        <w:spacing w:before="0" w:afterLines="60"/>
        <w:ind w:left="284" w:hanging="284"/>
        <w:contextualSpacing/>
        <w:rPr>
          <w:rFonts w:ascii="Arial" w:hAnsi="Arial" w:cs="Arial"/>
          <w:sz w:val="20"/>
          <w:szCs w:val="20"/>
          <w:lang w:eastAsia="en-US"/>
        </w:rPr>
      </w:pPr>
      <w:r w:rsidRPr="0030205D">
        <w:rPr>
          <w:rFonts w:ascii="Arial" w:hAnsi="Arial" w:cs="Arial"/>
          <w:sz w:val="20"/>
          <w:szCs w:val="20"/>
          <w:lang w:eastAsia="en-US"/>
        </w:rPr>
        <w:t xml:space="preserve">Dne 18. března 2016 byla Metodika hodnocení a monitoringu Strategie romské integrace do roku 2020 odeslána k neformálnímu posouzení na EK. Následné by měl být dokument předložen </w:t>
      </w:r>
      <w:r w:rsidRPr="0030205D">
        <w:rPr>
          <w:rFonts w:ascii="Arial" w:eastAsia="Times New Roman" w:hAnsi="Arial" w:cs="Arial"/>
          <w:sz w:val="20"/>
          <w:szCs w:val="20"/>
          <w:lang w:eastAsia="en-US"/>
        </w:rPr>
        <w:t xml:space="preserve">do MPŘ. </w:t>
      </w:r>
      <w:r w:rsidRPr="0030205D">
        <w:rPr>
          <w:rFonts w:ascii="Arial" w:hAnsi="Arial" w:cs="Arial"/>
          <w:sz w:val="20"/>
          <w:szCs w:val="20"/>
          <w:lang w:eastAsia="en-US"/>
        </w:rPr>
        <w:t>Identifikované věcné riziko spočívá v možnostech sběru etnicky neagregovaných dat jednotlivými resorty a pravděpodobný posun v rámci předdefinovaného harmonogramu. Zároveň byl posunut termín plnění, a to na 30. června 2016.</w:t>
      </w:r>
    </w:p>
    <w:p w:rsidR="0030205D" w:rsidRDefault="0030205D" w:rsidP="002011A2">
      <w:pPr>
        <w:spacing w:before="0" w:afterLines="60"/>
        <w:contextualSpacing/>
        <w:rPr>
          <w:rFonts w:ascii="Arial" w:hAnsi="Arial" w:cs="Arial"/>
          <w:sz w:val="20"/>
          <w:szCs w:val="20"/>
          <w:lang w:eastAsia="en-US"/>
        </w:rPr>
      </w:pPr>
    </w:p>
    <w:p w:rsidR="0030205D" w:rsidRDefault="0030205D" w:rsidP="002011A2">
      <w:pPr>
        <w:spacing w:before="0" w:afterLines="60"/>
        <w:contextualSpacing/>
        <w:rPr>
          <w:rFonts w:ascii="Arial" w:hAnsi="Arial" w:cs="Arial"/>
          <w:sz w:val="20"/>
          <w:szCs w:val="20"/>
          <w:lang w:eastAsia="en-US"/>
        </w:rPr>
      </w:pPr>
    </w:p>
    <w:p w:rsidR="0030205D" w:rsidRPr="0030205D" w:rsidRDefault="0030205D" w:rsidP="002011A2">
      <w:pPr>
        <w:spacing w:before="0" w:afterLines="60"/>
        <w:contextualSpacing/>
        <w:rPr>
          <w:rFonts w:ascii="Arial" w:hAnsi="Arial" w:cs="Arial"/>
          <w:sz w:val="20"/>
          <w:szCs w:val="20"/>
          <w:lang w:eastAsia="en-US"/>
        </w:rPr>
      </w:pPr>
      <w:r w:rsidRPr="0030205D">
        <w:rPr>
          <w:rFonts w:ascii="Arial" w:hAnsi="Arial" w:cs="Arial"/>
          <w:b/>
          <w:sz w:val="20"/>
          <w:szCs w:val="20"/>
          <w:u w:val="single"/>
        </w:rPr>
        <w:t>T 9.3 Zdraví</w:t>
      </w:r>
      <w:r w:rsidRPr="0030205D">
        <w:rPr>
          <w:rFonts w:ascii="Arial" w:hAnsi="Arial" w:cs="Arial"/>
          <w:b/>
          <w:sz w:val="20"/>
          <w:szCs w:val="20"/>
        </w:rPr>
        <w:t xml:space="preserve"> </w:t>
      </w:r>
    </w:p>
    <w:p w:rsidR="0030205D" w:rsidRPr="0030205D" w:rsidRDefault="0030205D" w:rsidP="002011A2">
      <w:pPr>
        <w:keepNext/>
        <w:spacing w:before="0" w:afterLines="60"/>
        <w:rPr>
          <w:rFonts w:ascii="Arial" w:hAnsi="Arial" w:cs="Arial"/>
          <w:b/>
          <w:sz w:val="20"/>
          <w:szCs w:val="20"/>
          <w:u w:val="single"/>
          <w:bdr w:val="none" w:sz="0" w:space="0" w:color="auto" w:frame="1"/>
        </w:rPr>
      </w:pPr>
      <w:r w:rsidRPr="0030205D">
        <w:rPr>
          <w:rFonts w:ascii="Arial" w:eastAsia="Times New Roman" w:hAnsi="Arial" w:cs="Arial"/>
          <w:sz w:val="20"/>
          <w:szCs w:val="20"/>
        </w:rPr>
        <w:t>(gestor: Ministerstvo zdravotnictví)</w:t>
      </w:r>
    </w:p>
    <w:p w:rsidR="0030205D" w:rsidRPr="0030205D" w:rsidRDefault="0030205D" w:rsidP="002011A2">
      <w:pPr>
        <w:keepNext/>
        <w:numPr>
          <w:ilvl w:val="0"/>
          <w:numId w:val="67"/>
        </w:numPr>
        <w:spacing w:before="0" w:afterLines="60"/>
        <w:ind w:left="284" w:hanging="284"/>
        <w:contextualSpacing/>
        <w:rPr>
          <w:rFonts w:ascii="Arial" w:eastAsia="Times New Roman" w:hAnsi="Arial" w:cs="Arial"/>
          <w:sz w:val="20"/>
          <w:szCs w:val="20"/>
          <w:lang w:eastAsia="en-US"/>
        </w:rPr>
      </w:pPr>
      <w:r w:rsidRPr="0030205D">
        <w:rPr>
          <w:rFonts w:ascii="Arial" w:hAnsi="Arial" w:cs="Arial"/>
          <w:sz w:val="20"/>
          <w:szCs w:val="20"/>
          <w:lang w:eastAsia="en-US"/>
        </w:rPr>
        <w:t xml:space="preserve">Akční plány pro implementaci Zdraví 2020 </w:t>
      </w:r>
      <w:r w:rsidRPr="0030205D">
        <w:rPr>
          <w:rFonts w:ascii="Arial" w:eastAsia="Times New Roman" w:hAnsi="Arial" w:cs="Arial"/>
          <w:sz w:val="20"/>
          <w:szCs w:val="20"/>
          <w:lang w:eastAsia="en-US"/>
        </w:rPr>
        <w:t xml:space="preserve">byly zaslány EK k formální verifikaci prostřednictvím systému SFC dne 12. listopadu 2015. V současné chvíli probíhá proces vyjasňování dalších </w:t>
      </w:r>
      <w:r w:rsidRPr="0030205D">
        <w:rPr>
          <w:rFonts w:ascii="Arial" w:eastAsia="Times New Roman" w:hAnsi="Arial" w:cs="Arial"/>
          <w:sz w:val="20"/>
          <w:szCs w:val="20"/>
          <w:lang w:eastAsia="en-US"/>
        </w:rPr>
        <w:lastRenderedPageBreak/>
        <w:t>doplňujících informací na základě požadavku EK, zaslaného na počátku března 2016. Vypořádání připomínek by na Evropskou komisi mělo být odesláno v první polovině dubna 2016.</w:t>
      </w:r>
    </w:p>
    <w:p w:rsidR="0030205D" w:rsidRPr="0030205D" w:rsidRDefault="0030205D" w:rsidP="0030205D">
      <w:pPr>
        <w:keepNext/>
        <w:spacing w:before="0"/>
        <w:rPr>
          <w:rFonts w:ascii="Arial" w:eastAsia="Times New Roman" w:hAnsi="Arial" w:cs="Arial"/>
          <w:sz w:val="20"/>
          <w:szCs w:val="20"/>
        </w:rPr>
      </w:pPr>
    </w:p>
    <w:p w:rsidR="0030205D" w:rsidRPr="0030205D" w:rsidRDefault="0030205D" w:rsidP="0030205D">
      <w:pPr>
        <w:keepNext/>
        <w:spacing w:before="0"/>
        <w:rPr>
          <w:rFonts w:ascii="Arial" w:eastAsia="Times New Roman" w:hAnsi="Arial" w:cs="Arial"/>
          <w:b/>
          <w:sz w:val="20"/>
          <w:szCs w:val="20"/>
          <w:u w:val="single"/>
          <w:bdr w:val="none" w:sz="0" w:space="0" w:color="auto" w:frame="1"/>
        </w:rPr>
      </w:pPr>
      <w:r w:rsidRPr="0030205D">
        <w:rPr>
          <w:rFonts w:ascii="Arial" w:eastAsia="Times New Roman" w:hAnsi="Arial" w:cs="Arial"/>
          <w:b/>
          <w:sz w:val="20"/>
          <w:szCs w:val="20"/>
          <w:u w:val="single"/>
          <w:bdr w:val="none" w:sz="0" w:space="0" w:color="auto" w:frame="1"/>
        </w:rPr>
        <w:t>T 10.1, 10.3, Ukončování školní docházky, Celoživotní učení</w:t>
      </w:r>
    </w:p>
    <w:p w:rsidR="0030205D" w:rsidRPr="0030205D" w:rsidRDefault="0030205D" w:rsidP="002011A2">
      <w:pPr>
        <w:keepNext/>
        <w:spacing w:before="0" w:afterLines="60"/>
        <w:rPr>
          <w:rFonts w:ascii="Arial" w:eastAsia="Times New Roman" w:hAnsi="Arial" w:cs="Arial"/>
          <w:b/>
          <w:sz w:val="20"/>
          <w:szCs w:val="20"/>
          <w:u w:val="single"/>
          <w:bdr w:val="none" w:sz="0" w:space="0" w:color="auto" w:frame="1"/>
        </w:rPr>
      </w:pPr>
      <w:r w:rsidRPr="0030205D">
        <w:rPr>
          <w:rFonts w:ascii="Arial" w:eastAsia="Times New Roman" w:hAnsi="Arial" w:cs="Arial"/>
          <w:sz w:val="20"/>
          <w:szCs w:val="20"/>
        </w:rPr>
        <w:t>(gestor: Ministerstvo školství, mládeže a tělovýchovy)</w:t>
      </w:r>
    </w:p>
    <w:p w:rsidR="0030205D" w:rsidRPr="0030205D" w:rsidRDefault="0030205D" w:rsidP="002011A2">
      <w:pPr>
        <w:numPr>
          <w:ilvl w:val="0"/>
          <w:numId w:val="52"/>
        </w:numPr>
        <w:spacing w:before="0" w:afterLines="60"/>
        <w:ind w:left="284" w:hanging="284"/>
        <w:contextualSpacing/>
        <w:rPr>
          <w:rFonts w:ascii="Arial" w:hAnsi="Arial" w:cs="Arial"/>
          <w:sz w:val="20"/>
          <w:szCs w:val="20"/>
          <w:lang w:eastAsia="en-US"/>
        </w:rPr>
      </w:pPr>
      <w:r w:rsidRPr="0030205D">
        <w:rPr>
          <w:rFonts w:ascii="Arial" w:hAnsi="Arial" w:cs="Arial"/>
          <w:sz w:val="20"/>
          <w:szCs w:val="20"/>
          <w:lang w:eastAsia="en-US"/>
        </w:rPr>
        <w:t xml:space="preserve">PP </w:t>
      </w:r>
      <w:r w:rsidRPr="0030205D">
        <w:rPr>
          <w:rFonts w:ascii="Arial" w:hAnsi="Arial" w:cs="Arial"/>
          <w:b/>
          <w:sz w:val="20"/>
          <w:szCs w:val="20"/>
          <w:lang w:eastAsia="en-US"/>
        </w:rPr>
        <w:t xml:space="preserve">10.1 Ukončování školní docházky </w:t>
      </w:r>
      <w:r w:rsidRPr="0030205D">
        <w:rPr>
          <w:rFonts w:ascii="Arial" w:hAnsi="Arial" w:cs="Arial"/>
          <w:sz w:val="20"/>
          <w:szCs w:val="20"/>
          <w:lang w:eastAsia="en-US"/>
        </w:rPr>
        <w:t xml:space="preserve">a PP </w:t>
      </w:r>
      <w:r w:rsidRPr="0030205D">
        <w:rPr>
          <w:rFonts w:ascii="Arial" w:hAnsi="Arial" w:cs="Arial"/>
          <w:b/>
          <w:sz w:val="20"/>
          <w:szCs w:val="20"/>
          <w:lang w:eastAsia="en-US"/>
        </w:rPr>
        <w:t>10.3 Celoživotní učení</w:t>
      </w:r>
      <w:r w:rsidRPr="0030205D">
        <w:rPr>
          <w:rFonts w:ascii="Arial" w:hAnsi="Arial" w:cs="Arial"/>
          <w:sz w:val="20"/>
          <w:szCs w:val="20"/>
          <w:lang w:eastAsia="en-US"/>
        </w:rPr>
        <w:t xml:space="preserve"> byly splněny na národní úrovni schválením Akčního plánu pro </w:t>
      </w:r>
      <w:proofErr w:type="spellStart"/>
      <w:r w:rsidRPr="0030205D">
        <w:rPr>
          <w:rFonts w:ascii="Arial" w:hAnsi="Arial" w:cs="Arial"/>
          <w:sz w:val="20"/>
          <w:szCs w:val="20"/>
          <w:lang w:eastAsia="en-US"/>
        </w:rPr>
        <w:t>inkluzivní</w:t>
      </w:r>
      <w:proofErr w:type="spellEnd"/>
      <w:r w:rsidRPr="0030205D">
        <w:rPr>
          <w:rFonts w:ascii="Arial" w:hAnsi="Arial" w:cs="Arial"/>
          <w:sz w:val="20"/>
          <w:szCs w:val="20"/>
          <w:lang w:eastAsia="en-US"/>
        </w:rPr>
        <w:t xml:space="preserve"> vzdělávání na roky 2016 – 2018, který byl do systému SFC vložen dne 31. července 2015. </w:t>
      </w:r>
    </w:p>
    <w:p w:rsidR="0030205D" w:rsidRPr="0030205D" w:rsidRDefault="0030205D" w:rsidP="002011A2">
      <w:pPr>
        <w:numPr>
          <w:ilvl w:val="0"/>
          <w:numId w:val="52"/>
        </w:numPr>
        <w:spacing w:before="0" w:afterLines="60"/>
        <w:ind w:left="284" w:hanging="284"/>
        <w:contextualSpacing/>
        <w:rPr>
          <w:rFonts w:ascii="Arial" w:hAnsi="Arial" w:cs="Arial"/>
          <w:sz w:val="20"/>
          <w:szCs w:val="20"/>
          <w:lang w:eastAsia="en-US"/>
        </w:rPr>
      </w:pPr>
      <w:r w:rsidRPr="0030205D">
        <w:rPr>
          <w:rFonts w:ascii="Arial" w:hAnsi="Arial" w:cs="Arial"/>
          <w:sz w:val="20"/>
          <w:szCs w:val="20"/>
          <w:lang w:eastAsia="en-US"/>
        </w:rPr>
        <w:t>K PP 10.1 stále ještě probíhá intenzivní komunikace mezi MŠMT a Evropskou komisí, u které bude nutné dořešit problematiku přípravných tříd. Z tohoto důvodu MŠMT vytvořilo ad-hoc skupinu, která v současné době připravuje ve spolupráci s Českou školní inspekcí podkladový materiál, který si klade za cíl uspokojit požadavky a dotazy požadované EK. Materiál je nyní ve fázi přípravy a v blízké době by s ním měla být EK seznámena.</w:t>
      </w:r>
    </w:p>
    <w:p w:rsidR="0030205D" w:rsidRPr="0030205D" w:rsidRDefault="0030205D" w:rsidP="0030205D">
      <w:pPr>
        <w:numPr>
          <w:ilvl w:val="0"/>
          <w:numId w:val="52"/>
        </w:numPr>
        <w:spacing w:before="0" w:after="60"/>
        <w:ind w:left="284" w:hanging="284"/>
        <w:contextualSpacing/>
        <w:rPr>
          <w:rFonts w:ascii="Arial" w:hAnsi="Arial" w:cs="Arial"/>
          <w:sz w:val="20"/>
          <w:szCs w:val="20"/>
          <w:lang w:eastAsia="en-US"/>
        </w:rPr>
      </w:pPr>
      <w:r w:rsidRPr="0030205D">
        <w:rPr>
          <w:rFonts w:ascii="Arial" w:hAnsi="Arial" w:cs="Arial"/>
          <w:b/>
          <w:sz w:val="20"/>
          <w:szCs w:val="20"/>
          <w:lang w:eastAsia="en-US"/>
        </w:rPr>
        <w:t>PP 10.3 Celoživotní učení byla formálně verifikována ze strany EK jako splněná dne  </w:t>
      </w:r>
      <w:r w:rsidRPr="0030205D">
        <w:rPr>
          <w:rFonts w:ascii="Arial" w:hAnsi="Arial" w:cs="Arial"/>
          <w:b/>
          <w:sz w:val="20"/>
          <w:szCs w:val="20"/>
          <w:lang w:eastAsia="en-US"/>
        </w:rPr>
        <w:br/>
        <w:t>26. ledna 2016.</w:t>
      </w:r>
    </w:p>
    <w:p w:rsidR="0030205D" w:rsidRPr="0030205D" w:rsidRDefault="0030205D" w:rsidP="0030205D">
      <w:pPr>
        <w:spacing w:before="0" w:after="60"/>
        <w:rPr>
          <w:rFonts w:ascii="Arial" w:hAnsi="Arial" w:cs="Arial"/>
          <w:sz w:val="20"/>
          <w:szCs w:val="20"/>
        </w:rPr>
      </w:pPr>
    </w:p>
    <w:p w:rsidR="0030205D" w:rsidRPr="0030205D" w:rsidRDefault="0030205D" w:rsidP="0030205D">
      <w:pPr>
        <w:keepNext/>
        <w:spacing w:before="0" w:after="60"/>
        <w:rPr>
          <w:rFonts w:ascii="Arial" w:eastAsia="Times New Roman" w:hAnsi="Arial" w:cs="Arial"/>
          <w:b/>
          <w:sz w:val="20"/>
          <w:szCs w:val="20"/>
          <w:bdr w:val="none" w:sz="0" w:space="0" w:color="auto" w:frame="1"/>
        </w:rPr>
      </w:pPr>
      <w:r w:rsidRPr="0030205D">
        <w:rPr>
          <w:rFonts w:ascii="Arial" w:eastAsia="Times New Roman" w:hAnsi="Arial" w:cs="Arial"/>
          <w:b/>
          <w:sz w:val="20"/>
          <w:szCs w:val="20"/>
          <w:u w:val="single"/>
          <w:bdr w:val="none" w:sz="0" w:space="0" w:color="auto" w:frame="1"/>
        </w:rPr>
        <w:t>T 11 Veřejná správa</w:t>
      </w:r>
      <w:r w:rsidRPr="0030205D">
        <w:rPr>
          <w:rFonts w:ascii="Arial" w:eastAsia="Times New Roman" w:hAnsi="Arial" w:cs="Arial"/>
          <w:b/>
          <w:sz w:val="20"/>
          <w:szCs w:val="20"/>
          <w:bdr w:val="none" w:sz="0" w:space="0" w:color="auto" w:frame="1"/>
        </w:rPr>
        <w:t xml:space="preserve"> </w:t>
      </w:r>
    </w:p>
    <w:p w:rsidR="0030205D" w:rsidRPr="0030205D" w:rsidRDefault="0030205D" w:rsidP="002011A2">
      <w:pPr>
        <w:keepNext/>
        <w:spacing w:before="0" w:afterLines="60"/>
        <w:rPr>
          <w:rFonts w:ascii="Arial" w:eastAsia="Times New Roman" w:hAnsi="Arial" w:cs="Arial"/>
          <w:b/>
          <w:sz w:val="20"/>
          <w:szCs w:val="20"/>
          <w:u w:val="single"/>
          <w:bdr w:val="none" w:sz="0" w:space="0" w:color="auto" w:frame="1"/>
        </w:rPr>
      </w:pPr>
      <w:r w:rsidRPr="0030205D">
        <w:rPr>
          <w:rFonts w:ascii="Arial" w:eastAsia="Times New Roman" w:hAnsi="Arial" w:cs="Arial"/>
          <w:sz w:val="20"/>
          <w:szCs w:val="20"/>
        </w:rPr>
        <w:t>(gestor: Ministerstvo vnitra)</w:t>
      </w:r>
    </w:p>
    <w:p w:rsidR="0030205D" w:rsidRPr="0030205D" w:rsidRDefault="0030205D" w:rsidP="0030205D">
      <w:pPr>
        <w:numPr>
          <w:ilvl w:val="0"/>
          <w:numId w:val="53"/>
        </w:numPr>
        <w:spacing w:before="0"/>
        <w:ind w:left="284" w:hanging="284"/>
        <w:rPr>
          <w:rFonts w:ascii="Arial" w:eastAsia="Times New Roman" w:hAnsi="Arial" w:cs="Arial"/>
          <w:sz w:val="20"/>
          <w:szCs w:val="20"/>
        </w:rPr>
      </w:pPr>
      <w:r w:rsidRPr="0030205D">
        <w:rPr>
          <w:rFonts w:ascii="Arial" w:eastAsia="Times New Roman" w:hAnsi="Arial" w:cs="Arial"/>
          <w:sz w:val="20"/>
          <w:szCs w:val="20"/>
        </w:rPr>
        <w:t xml:space="preserve">Strategický rámec rozvoje veřejné správy (SRRVS) a jeho Implementační plány (IP) slouží k efektivnímu propojení strategického plánování a plánování výzev v příslušných operačních programech. Implementační plány pro Strategické cíle mají jednotný systém monitorování a hodnocení stavu plnění cílů/opatření/aktivit uvedených v Implementačních plánech ve struktuře schválené Radou vlády pro veřejnou správu (RV VS). </w:t>
      </w:r>
    </w:p>
    <w:p w:rsidR="0030205D" w:rsidRPr="0030205D" w:rsidRDefault="0030205D" w:rsidP="0030205D">
      <w:pPr>
        <w:numPr>
          <w:ilvl w:val="0"/>
          <w:numId w:val="53"/>
        </w:numPr>
        <w:spacing w:before="0"/>
        <w:ind w:left="284" w:hanging="284"/>
        <w:rPr>
          <w:rFonts w:ascii="Arial" w:eastAsia="Times New Roman" w:hAnsi="Arial" w:cs="Arial"/>
          <w:sz w:val="20"/>
          <w:szCs w:val="20"/>
        </w:rPr>
      </w:pPr>
      <w:r w:rsidRPr="0030205D">
        <w:rPr>
          <w:rFonts w:ascii="Arial" w:eastAsia="Times New Roman" w:hAnsi="Arial" w:cs="Arial"/>
          <w:sz w:val="20"/>
          <w:szCs w:val="20"/>
        </w:rPr>
        <w:t>Na počátku 2016 probíhá zhodnocení naplňování IP SRRVS za všechny strategické cíle, výsledkem čehož bude přehled naplňování opatření vč. např. indikátorů, bariér a mechanismů a dalších atributů identifikovaných v IP SRRVS. Hodnocení naplňování opatření, vč. zhodnocení řízení rizik, bude dílčím způsobem probíhat 2x ročně, rozsáhlejší zhodnocení Implementačních plánů ve struktuře schválené RV VS a vládou ČR pak 1x ročně. Realizace IP je pravidelně konfrontována se systémem řízení rizik, jehož součástí je i sledování kompatibility naplňování IP SRRVS vůči kritériím předběžné podmínky.</w:t>
      </w:r>
    </w:p>
    <w:p w:rsidR="0030205D" w:rsidRPr="0030205D" w:rsidRDefault="0030205D" w:rsidP="0030205D">
      <w:pPr>
        <w:numPr>
          <w:ilvl w:val="0"/>
          <w:numId w:val="53"/>
        </w:numPr>
        <w:spacing w:before="0"/>
        <w:ind w:left="284" w:hanging="284"/>
        <w:rPr>
          <w:rFonts w:ascii="Arial" w:eastAsia="Times New Roman" w:hAnsi="Arial" w:cs="Arial"/>
          <w:sz w:val="20"/>
          <w:szCs w:val="20"/>
        </w:rPr>
      </w:pPr>
      <w:r w:rsidRPr="0030205D">
        <w:rPr>
          <w:rFonts w:ascii="Arial" w:eastAsia="Times New Roman" w:hAnsi="Arial" w:cs="Arial"/>
          <w:sz w:val="20"/>
          <w:szCs w:val="20"/>
        </w:rPr>
        <w:t>V průběhu dochází k realizaci opatření uvedených v naplňování PP, např. byla schválena Strategie rozvoje ICT služeb veřejné správy a její opatření na zefektivnění ICT služeb.</w:t>
      </w:r>
    </w:p>
    <w:p w:rsidR="0030205D" w:rsidRPr="0030205D" w:rsidRDefault="0030205D" w:rsidP="0030205D">
      <w:pPr>
        <w:numPr>
          <w:ilvl w:val="0"/>
          <w:numId w:val="53"/>
        </w:numPr>
        <w:spacing w:before="0"/>
        <w:ind w:left="284" w:hanging="284"/>
        <w:rPr>
          <w:rFonts w:ascii="Arial" w:eastAsia="Times New Roman" w:hAnsi="Arial" w:cs="Arial"/>
          <w:b/>
          <w:sz w:val="20"/>
          <w:szCs w:val="20"/>
          <w:u w:val="single"/>
          <w:bdr w:val="none" w:sz="0" w:space="0" w:color="auto" w:frame="1"/>
        </w:rPr>
      </w:pPr>
      <w:r w:rsidRPr="0030205D">
        <w:rPr>
          <w:rFonts w:ascii="Arial" w:eastAsia="Times New Roman" w:hAnsi="Arial" w:cs="Arial"/>
          <w:sz w:val="20"/>
          <w:szCs w:val="20"/>
        </w:rPr>
        <w:t xml:space="preserve">Termíny u realizace některých opatření, která vstupují do naplňování některých nesplněných kritérií, jsou stanoveny až na konec roku 2016, což je nejzazší termín splnění PP podle nařízení EU. Zároveň dochází v rámci aktualizace Implementačních plánů k posunům termínů u některých opatření na rok 2016. Tato skutečnost byla komunikována s EK. </w:t>
      </w:r>
    </w:p>
    <w:p w:rsidR="0030205D" w:rsidRPr="0030205D" w:rsidRDefault="0030205D" w:rsidP="0030205D">
      <w:pPr>
        <w:keepNext/>
        <w:spacing w:before="240"/>
        <w:rPr>
          <w:rFonts w:ascii="Arial" w:eastAsia="Times New Roman" w:hAnsi="Arial" w:cs="Arial"/>
          <w:b/>
          <w:sz w:val="20"/>
          <w:szCs w:val="20"/>
          <w:u w:val="single"/>
          <w:bdr w:val="none" w:sz="0" w:space="0" w:color="auto" w:frame="1"/>
        </w:rPr>
      </w:pPr>
      <w:r w:rsidRPr="0030205D">
        <w:rPr>
          <w:rFonts w:ascii="Arial" w:eastAsia="Times New Roman" w:hAnsi="Arial" w:cs="Arial"/>
          <w:b/>
          <w:sz w:val="20"/>
          <w:szCs w:val="20"/>
          <w:u w:val="single"/>
          <w:bdr w:val="none" w:sz="0" w:space="0" w:color="auto" w:frame="1"/>
        </w:rPr>
        <w:t xml:space="preserve">T 11 Služební zákon </w:t>
      </w:r>
    </w:p>
    <w:p w:rsidR="0030205D" w:rsidRPr="0030205D" w:rsidRDefault="0030205D" w:rsidP="0030205D">
      <w:pPr>
        <w:spacing w:before="0" w:after="240"/>
        <w:rPr>
          <w:rFonts w:ascii="Arial" w:eastAsia="Times New Roman" w:hAnsi="Arial" w:cs="Arial"/>
          <w:bCs/>
          <w:sz w:val="20"/>
          <w:szCs w:val="20"/>
          <w:bdr w:val="none" w:sz="0" w:space="0" w:color="auto" w:frame="1"/>
        </w:rPr>
      </w:pPr>
      <w:r w:rsidRPr="0030205D">
        <w:rPr>
          <w:rFonts w:ascii="Arial" w:eastAsia="Times New Roman" w:hAnsi="Arial" w:cs="Arial"/>
          <w:bCs/>
          <w:sz w:val="20"/>
          <w:szCs w:val="20"/>
          <w:bdr w:val="none" w:sz="0" w:space="0" w:color="auto" w:frame="1"/>
        </w:rPr>
        <w:t>(gestor: sekce náměstka pro státní službu, problematika odměňování gestor: Ministerstvo práce a sociálních věcí a Ministerstvo financí, Ministerstvo průmyslu a obchodu)</w:t>
      </w:r>
    </w:p>
    <w:p w:rsidR="0030205D" w:rsidRPr="0030205D" w:rsidRDefault="0030205D" w:rsidP="0030205D">
      <w:pPr>
        <w:numPr>
          <w:ilvl w:val="0"/>
          <w:numId w:val="23"/>
        </w:numPr>
        <w:spacing w:before="0"/>
        <w:ind w:left="284" w:hanging="284"/>
        <w:rPr>
          <w:rFonts w:ascii="Arial" w:eastAsia="Times New Roman" w:hAnsi="Arial" w:cs="Arial"/>
          <w:sz w:val="20"/>
          <w:szCs w:val="20"/>
        </w:rPr>
      </w:pPr>
      <w:r w:rsidRPr="0030205D">
        <w:rPr>
          <w:rFonts w:ascii="Arial" w:eastAsia="Times New Roman" w:hAnsi="Arial" w:cs="Arial"/>
          <w:sz w:val="20"/>
          <w:szCs w:val="20"/>
        </w:rPr>
        <w:t xml:space="preserve"> Dne 11. března 2016 byla ve třetím čtení PSP schválena novela zákona o podpoře malého a středního podnikání v původní verzi vládního návrhu uzákoňující vznik nové Agentury pro podnikání a inovace (API).</w:t>
      </w:r>
    </w:p>
    <w:p w:rsidR="0030205D" w:rsidRPr="0030205D" w:rsidRDefault="0030205D" w:rsidP="0030205D">
      <w:pPr>
        <w:numPr>
          <w:ilvl w:val="0"/>
          <w:numId w:val="23"/>
        </w:numPr>
        <w:spacing w:before="0"/>
        <w:ind w:left="284" w:hanging="284"/>
        <w:rPr>
          <w:rFonts w:ascii="Arial" w:eastAsia="Times New Roman" w:hAnsi="Arial" w:cs="Arial"/>
          <w:sz w:val="20"/>
          <w:szCs w:val="20"/>
        </w:rPr>
      </w:pPr>
      <w:r w:rsidRPr="0030205D">
        <w:rPr>
          <w:rFonts w:ascii="Arial" w:eastAsia="Times New Roman" w:hAnsi="Arial" w:cs="Arial"/>
          <w:sz w:val="20"/>
          <w:szCs w:val="20"/>
        </w:rPr>
        <w:t>Nyní se zákon přesune do Senátu Parlamentu ČR, který by měl do 30 dnů rozhodnout, poté bude zákon předložen prezidentu ČR k podpisu.</w:t>
      </w:r>
      <w:bookmarkEnd w:id="1"/>
      <w:bookmarkEnd w:id="2"/>
    </w:p>
    <w:sectPr w:rsidR="0030205D" w:rsidRPr="0030205D" w:rsidSect="001330C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FF" w:rsidRDefault="00ED2BFF" w:rsidP="009D4DEB">
      <w:pPr>
        <w:spacing w:before="0" w:line="240" w:lineRule="auto"/>
      </w:pPr>
      <w:r>
        <w:separator/>
      </w:r>
    </w:p>
  </w:endnote>
  <w:endnote w:type="continuationSeparator" w:id="0">
    <w:p w:rsidR="00ED2BFF" w:rsidRDefault="00ED2BFF" w:rsidP="009D4DEB">
      <w:pPr>
        <w:spacing w:before="0" w:line="240" w:lineRule="auto"/>
      </w:pPr>
      <w:r>
        <w:continuationSeparator/>
      </w:r>
    </w:p>
  </w:endnote>
  <w:endnote w:type="continuationNotice" w:id="1">
    <w:p w:rsidR="00ED2BFF" w:rsidRDefault="00ED2BFF">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97646"/>
      <w:docPartObj>
        <w:docPartGallery w:val="Page Numbers (Bottom of Page)"/>
        <w:docPartUnique/>
      </w:docPartObj>
    </w:sdtPr>
    <w:sdtEndPr>
      <w:rPr>
        <w:rFonts w:ascii="Arial" w:hAnsi="Arial" w:cs="Arial"/>
        <w:sz w:val="20"/>
        <w:szCs w:val="20"/>
      </w:rPr>
    </w:sdtEndPr>
    <w:sdtContent>
      <w:p w:rsidR="00121EEC" w:rsidRPr="004701D3" w:rsidRDefault="00F2295E">
        <w:pPr>
          <w:pStyle w:val="Zpat"/>
          <w:jc w:val="center"/>
          <w:rPr>
            <w:rFonts w:ascii="Arial" w:hAnsi="Arial" w:cs="Arial"/>
            <w:sz w:val="20"/>
            <w:szCs w:val="20"/>
          </w:rPr>
        </w:pPr>
        <w:r w:rsidRPr="004701D3">
          <w:rPr>
            <w:rFonts w:ascii="Arial" w:hAnsi="Arial" w:cs="Arial"/>
            <w:sz w:val="20"/>
            <w:szCs w:val="20"/>
          </w:rPr>
          <w:fldChar w:fldCharType="begin"/>
        </w:r>
        <w:r w:rsidR="00121EEC" w:rsidRPr="004701D3">
          <w:rPr>
            <w:rFonts w:ascii="Arial" w:hAnsi="Arial" w:cs="Arial"/>
            <w:sz w:val="20"/>
            <w:szCs w:val="20"/>
          </w:rPr>
          <w:instrText xml:space="preserve"> PAGE   \* MERGEFORMAT </w:instrText>
        </w:r>
        <w:r w:rsidRPr="004701D3">
          <w:rPr>
            <w:rFonts w:ascii="Arial" w:hAnsi="Arial" w:cs="Arial"/>
            <w:sz w:val="20"/>
            <w:szCs w:val="20"/>
          </w:rPr>
          <w:fldChar w:fldCharType="separate"/>
        </w:r>
        <w:r w:rsidR="002011A2">
          <w:rPr>
            <w:rFonts w:ascii="Arial" w:hAnsi="Arial" w:cs="Arial"/>
            <w:noProof/>
            <w:sz w:val="20"/>
            <w:szCs w:val="20"/>
          </w:rPr>
          <w:t>11</w:t>
        </w:r>
        <w:r w:rsidRPr="004701D3">
          <w:rPr>
            <w:rFonts w:ascii="Arial" w:hAnsi="Arial" w:cs="Arial"/>
            <w:noProof/>
            <w:sz w:val="20"/>
            <w:szCs w:val="20"/>
          </w:rPr>
          <w:fldChar w:fldCharType="end"/>
        </w:r>
      </w:p>
    </w:sdtContent>
  </w:sdt>
  <w:p w:rsidR="00121EEC" w:rsidRDefault="00121E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FF" w:rsidRDefault="00ED2BFF" w:rsidP="009D4DEB">
      <w:pPr>
        <w:spacing w:before="0" w:line="240" w:lineRule="auto"/>
      </w:pPr>
      <w:r>
        <w:separator/>
      </w:r>
    </w:p>
  </w:footnote>
  <w:footnote w:type="continuationSeparator" w:id="0">
    <w:p w:rsidR="00ED2BFF" w:rsidRDefault="00ED2BFF" w:rsidP="009D4DEB">
      <w:pPr>
        <w:spacing w:before="0" w:line="240" w:lineRule="auto"/>
      </w:pPr>
      <w:r>
        <w:continuationSeparator/>
      </w:r>
    </w:p>
  </w:footnote>
  <w:footnote w:type="continuationNotice" w:id="1">
    <w:p w:rsidR="00ED2BFF" w:rsidRDefault="00ED2BFF">
      <w:pPr>
        <w:spacing w:before="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C49"/>
    <w:multiLevelType w:val="hybridMultilevel"/>
    <w:tmpl w:val="0AA00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36065F"/>
    <w:multiLevelType w:val="hybridMultilevel"/>
    <w:tmpl w:val="2C6EB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A549DA"/>
    <w:multiLevelType w:val="hybridMultilevel"/>
    <w:tmpl w:val="0A78EF2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8FA03F3"/>
    <w:multiLevelType w:val="hybridMultilevel"/>
    <w:tmpl w:val="6054D9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9BD3E36"/>
    <w:multiLevelType w:val="hybridMultilevel"/>
    <w:tmpl w:val="6E565C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DA6447"/>
    <w:multiLevelType w:val="hybridMultilevel"/>
    <w:tmpl w:val="F8BC0B06"/>
    <w:lvl w:ilvl="0" w:tplc="2978539A">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7D4E40"/>
    <w:multiLevelType w:val="hybridMultilevel"/>
    <w:tmpl w:val="6900B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CE0196A"/>
    <w:multiLevelType w:val="multilevel"/>
    <w:tmpl w:val="72A2422E"/>
    <w:lvl w:ilvl="0">
      <w:start w:val="1"/>
      <w:numFmt w:val="decimal"/>
      <w:lvlText w:val="%1."/>
      <w:lvlJc w:val="left"/>
      <w:pPr>
        <w:ind w:left="644"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613F37"/>
    <w:multiLevelType w:val="hybridMultilevel"/>
    <w:tmpl w:val="DB840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990113"/>
    <w:multiLevelType w:val="hybridMultilevel"/>
    <w:tmpl w:val="E66C4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FF56C1D"/>
    <w:multiLevelType w:val="hybridMultilevel"/>
    <w:tmpl w:val="AB58DA6C"/>
    <w:lvl w:ilvl="0" w:tplc="04E29A4E">
      <w:numFmt w:val="bullet"/>
      <w:lvlText w:val="-"/>
      <w:lvlJc w:val="left"/>
      <w:pPr>
        <w:ind w:left="420" w:hanging="360"/>
      </w:pPr>
      <w:rPr>
        <w:rFonts w:ascii="Arial" w:eastAsia="Arial Unicode MS"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nsid w:val="128113C4"/>
    <w:multiLevelType w:val="multilevel"/>
    <w:tmpl w:val="EBACD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37D3B"/>
    <w:multiLevelType w:val="hybridMultilevel"/>
    <w:tmpl w:val="1E981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35A11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50D5528"/>
    <w:multiLevelType w:val="hybridMultilevel"/>
    <w:tmpl w:val="61C088A4"/>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nsid w:val="1636513D"/>
    <w:multiLevelType w:val="hybridMultilevel"/>
    <w:tmpl w:val="9844041A"/>
    <w:lvl w:ilvl="0" w:tplc="9E4EA4B2">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80C2854"/>
    <w:multiLevelType w:val="hybridMultilevel"/>
    <w:tmpl w:val="C0D08070"/>
    <w:lvl w:ilvl="0" w:tplc="D8BC63BC">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A450CED"/>
    <w:multiLevelType w:val="hybridMultilevel"/>
    <w:tmpl w:val="84E277EC"/>
    <w:lvl w:ilvl="0" w:tplc="0405000F">
      <w:start w:val="1"/>
      <w:numFmt w:val="decimal"/>
      <w:lvlText w:val="%1."/>
      <w:lvlJc w:val="left"/>
      <w:pPr>
        <w:ind w:left="6031" w:hanging="360"/>
      </w:pPr>
      <w:rPr>
        <w:rFonts w:hint="default"/>
      </w:rPr>
    </w:lvl>
    <w:lvl w:ilvl="1" w:tplc="04050019" w:tentative="1">
      <w:start w:val="1"/>
      <w:numFmt w:val="lowerLetter"/>
      <w:lvlText w:val="%2."/>
      <w:lvlJc w:val="left"/>
      <w:pPr>
        <w:ind w:left="6751" w:hanging="360"/>
      </w:pPr>
    </w:lvl>
    <w:lvl w:ilvl="2" w:tplc="0405001B" w:tentative="1">
      <w:start w:val="1"/>
      <w:numFmt w:val="lowerRoman"/>
      <w:lvlText w:val="%3."/>
      <w:lvlJc w:val="right"/>
      <w:pPr>
        <w:ind w:left="7471" w:hanging="180"/>
      </w:pPr>
    </w:lvl>
    <w:lvl w:ilvl="3" w:tplc="0405000F" w:tentative="1">
      <w:start w:val="1"/>
      <w:numFmt w:val="decimal"/>
      <w:lvlText w:val="%4."/>
      <w:lvlJc w:val="left"/>
      <w:pPr>
        <w:ind w:left="8191" w:hanging="360"/>
      </w:pPr>
    </w:lvl>
    <w:lvl w:ilvl="4" w:tplc="04050019" w:tentative="1">
      <w:start w:val="1"/>
      <w:numFmt w:val="lowerLetter"/>
      <w:lvlText w:val="%5."/>
      <w:lvlJc w:val="left"/>
      <w:pPr>
        <w:ind w:left="8911" w:hanging="360"/>
      </w:pPr>
    </w:lvl>
    <w:lvl w:ilvl="5" w:tplc="0405001B" w:tentative="1">
      <w:start w:val="1"/>
      <w:numFmt w:val="lowerRoman"/>
      <w:lvlText w:val="%6."/>
      <w:lvlJc w:val="right"/>
      <w:pPr>
        <w:ind w:left="9631" w:hanging="180"/>
      </w:pPr>
    </w:lvl>
    <w:lvl w:ilvl="6" w:tplc="0405000F" w:tentative="1">
      <w:start w:val="1"/>
      <w:numFmt w:val="decimal"/>
      <w:lvlText w:val="%7."/>
      <w:lvlJc w:val="left"/>
      <w:pPr>
        <w:ind w:left="10351" w:hanging="360"/>
      </w:pPr>
    </w:lvl>
    <w:lvl w:ilvl="7" w:tplc="04050019" w:tentative="1">
      <w:start w:val="1"/>
      <w:numFmt w:val="lowerLetter"/>
      <w:lvlText w:val="%8."/>
      <w:lvlJc w:val="left"/>
      <w:pPr>
        <w:ind w:left="11071" w:hanging="360"/>
      </w:pPr>
    </w:lvl>
    <w:lvl w:ilvl="8" w:tplc="0405001B" w:tentative="1">
      <w:start w:val="1"/>
      <w:numFmt w:val="lowerRoman"/>
      <w:lvlText w:val="%9."/>
      <w:lvlJc w:val="right"/>
      <w:pPr>
        <w:ind w:left="11791" w:hanging="180"/>
      </w:pPr>
    </w:lvl>
  </w:abstractNum>
  <w:abstractNum w:abstractNumId="18">
    <w:nsid w:val="1AF56DA4"/>
    <w:multiLevelType w:val="hybridMultilevel"/>
    <w:tmpl w:val="5B9268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BE1460C"/>
    <w:multiLevelType w:val="hybridMultilevel"/>
    <w:tmpl w:val="8B5016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1D347971"/>
    <w:multiLevelType w:val="hybridMultilevel"/>
    <w:tmpl w:val="CB8C4C3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EBF31C0"/>
    <w:multiLevelType w:val="hybridMultilevel"/>
    <w:tmpl w:val="9C145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01F003D"/>
    <w:multiLevelType w:val="hybridMultilevel"/>
    <w:tmpl w:val="DB607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0767F56"/>
    <w:multiLevelType w:val="multilevel"/>
    <w:tmpl w:val="6942A6BE"/>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1322254"/>
    <w:multiLevelType w:val="hybridMultilevel"/>
    <w:tmpl w:val="3A46EC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247B3246"/>
    <w:multiLevelType w:val="hybridMultilevel"/>
    <w:tmpl w:val="F7842096"/>
    <w:lvl w:ilvl="0" w:tplc="89B0C96A">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4DB0E21"/>
    <w:multiLevelType w:val="hybridMultilevel"/>
    <w:tmpl w:val="6666D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6F71606"/>
    <w:multiLevelType w:val="hybridMultilevel"/>
    <w:tmpl w:val="48E84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7687594"/>
    <w:multiLevelType w:val="hybridMultilevel"/>
    <w:tmpl w:val="E9283BBC"/>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29">
    <w:nsid w:val="29172412"/>
    <w:multiLevelType w:val="hybridMultilevel"/>
    <w:tmpl w:val="F91C3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B2E428A"/>
    <w:multiLevelType w:val="hybridMultilevel"/>
    <w:tmpl w:val="F3CC9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C6F5CDC"/>
    <w:multiLevelType w:val="multilevel"/>
    <w:tmpl w:val="3EB042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1083041"/>
    <w:multiLevelType w:val="hybridMultilevel"/>
    <w:tmpl w:val="CB96C034"/>
    <w:lvl w:ilvl="0" w:tplc="8BBE9D34">
      <w:start w:val="1"/>
      <w:numFmt w:val="lowerLetter"/>
      <w:pStyle w:val="Se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32731141"/>
    <w:multiLevelType w:val="hybridMultilevel"/>
    <w:tmpl w:val="C6C6204A"/>
    <w:lvl w:ilvl="0" w:tplc="106C71FE">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2DD085C"/>
    <w:multiLevelType w:val="hybridMultilevel"/>
    <w:tmpl w:val="D0B07C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352A4088"/>
    <w:multiLevelType w:val="hybridMultilevel"/>
    <w:tmpl w:val="EF624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52E6DA9"/>
    <w:multiLevelType w:val="hybridMultilevel"/>
    <w:tmpl w:val="D33ADEF8"/>
    <w:lvl w:ilvl="0" w:tplc="6870EFC4">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83B792A"/>
    <w:multiLevelType w:val="hybridMultilevel"/>
    <w:tmpl w:val="4AEEF312"/>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38">
    <w:nsid w:val="3A051BA4"/>
    <w:multiLevelType w:val="multilevel"/>
    <w:tmpl w:val="1E726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A616880"/>
    <w:multiLevelType w:val="hybridMultilevel"/>
    <w:tmpl w:val="2F0A229E"/>
    <w:lvl w:ilvl="0" w:tplc="92A8A03C">
      <w:start w:val="1"/>
      <w:numFmt w:val="bullet"/>
      <w:lvlText w:val="−"/>
      <w:lvlJc w:val="left"/>
      <w:pPr>
        <w:ind w:left="780" w:hanging="360"/>
      </w:pPr>
      <w:rPr>
        <w:rFonts w:ascii="Calibri" w:hAnsi="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0">
    <w:nsid w:val="3B626B98"/>
    <w:multiLevelType w:val="hybridMultilevel"/>
    <w:tmpl w:val="278457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nsid w:val="3C141BEA"/>
    <w:multiLevelType w:val="hybridMultilevel"/>
    <w:tmpl w:val="3C064128"/>
    <w:lvl w:ilvl="0" w:tplc="90962C36">
      <w:numFmt w:val="bullet"/>
      <w:lvlText w:val="-"/>
      <w:lvlJc w:val="left"/>
      <w:pPr>
        <w:ind w:left="360" w:hanging="360"/>
      </w:pPr>
      <w:rPr>
        <w:rFonts w:ascii="Calibri" w:eastAsia="Times New Roman" w:hAnsi="Calibri" w:cs="Calibri" w:hint="default"/>
      </w:rPr>
    </w:lvl>
    <w:lvl w:ilvl="1" w:tplc="A1965FCA">
      <w:numFmt w:val="bullet"/>
      <w:lvlText w:val="-"/>
      <w:lvlJc w:val="left"/>
      <w:pPr>
        <w:ind w:left="1654" w:hanging="360"/>
      </w:pPr>
      <w:rPr>
        <w:rFonts w:ascii="Times New Roman" w:eastAsia="Times New Roman" w:hAnsi="Times New Roman" w:cs="Times New Roman" w:hint="default"/>
      </w:rPr>
    </w:lvl>
    <w:lvl w:ilvl="2" w:tplc="520C2986" w:tentative="1">
      <w:start w:val="1"/>
      <w:numFmt w:val="lowerRoman"/>
      <w:lvlText w:val="%3."/>
      <w:lvlJc w:val="right"/>
      <w:pPr>
        <w:ind w:left="2374" w:hanging="180"/>
      </w:pPr>
    </w:lvl>
    <w:lvl w:ilvl="3" w:tplc="74B48D80" w:tentative="1">
      <w:start w:val="1"/>
      <w:numFmt w:val="decimal"/>
      <w:lvlText w:val="%4."/>
      <w:lvlJc w:val="left"/>
      <w:pPr>
        <w:ind w:left="3094" w:hanging="360"/>
      </w:pPr>
    </w:lvl>
    <w:lvl w:ilvl="4" w:tplc="E6A6ED9E" w:tentative="1">
      <w:start w:val="1"/>
      <w:numFmt w:val="lowerLetter"/>
      <w:lvlText w:val="%5."/>
      <w:lvlJc w:val="left"/>
      <w:pPr>
        <w:ind w:left="3814" w:hanging="360"/>
      </w:pPr>
    </w:lvl>
    <w:lvl w:ilvl="5" w:tplc="4BE041F6" w:tentative="1">
      <w:start w:val="1"/>
      <w:numFmt w:val="lowerRoman"/>
      <w:lvlText w:val="%6."/>
      <w:lvlJc w:val="right"/>
      <w:pPr>
        <w:ind w:left="4534" w:hanging="180"/>
      </w:pPr>
    </w:lvl>
    <w:lvl w:ilvl="6" w:tplc="F678075A" w:tentative="1">
      <w:start w:val="1"/>
      <w:numFmt w:val="decimal"/>
      <w:lvlText w:val="%7."/>
      <w:lvlJc w:val="left"/>
      <w:pPr>
        <w:ind w:left="5254" w:hanging="360"/>
      </w:pPr>
    </w:lvl>
    <w:lvl w:ilvl="7" w:tplc="81284B70" w:tentative="1">
      <w:start w:val="1"/>
      <w:numFmt w:val="lowerLetter"/>
      <w:lvlText w:val="%8."/>
      <w:lvlJc w:val="left"/>
      <w:pPr>
        <w:ind w:left="5974" w:hanging="360"/>
      </w:pPr>
    </w:lvl>
    <w:lvl w:ilvl="8" w:tplc="A00C6698" w:tentative="1">
      <w:start w:val="1"/>
      <w:numFmt w:val="lowerRoman"/>
      <w:lvlText w:val="%9."/>
      <w:lvlJc w:val="right"/>
      <w:pPr>
        <w:ind w:left="6694" w:hanging="180"/>
      </w:pPr>
    </w:lvl>
  </w:abstractNum>
  <w:abstractNum w:abstractNumId="42">
    <w:nsid w:val="3CD449F7"/>
    <w:multiLevelType w:val="hybridMultilevel"/>
    <w:tmpl w:val="98BC1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D215FC9"/>
    <w:multiLevelType w:val="multilevel"/>
    <w:tmpl w:val="C98EEB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DC90819"/>
    <w:multiLevelType w:val="hybridMultilevel"/>
    <w:tmpl w:val="9D24E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000793B"/>
    <w:multiLevelType w:val="multilevel"/>
    <w:tmpl w:val="AE64B5FE"/>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6">
    <w:nsid w:val="43554A00"/>
    <w:multiLevelType w:val="hybridMultilevel"/>
    <w:tmpl w:val="FC76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6503E1E"/>
    <w:multiLevelType w:val="hybridMultilevel"/>
    <w:tmpl w:val="987EB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9AA3036"/>
    <w:multiLevelType w:val="hybridMultilevel"/>
    <w:tmpl w:val="E77C1D72"/>
    <w:lvl w:ilvl="0" w:tplc="0FC67540">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A4F7840"/>
    <w:multiLevelType w:val="hybridMultilevel"/>
    <w:tmpl w:val="FA6E13A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0">
    <w:nsid w:val="4AF6719F"/>
    <w:multiLevelType w:val="hybridMultilevel"/>
    <w:tmpl w:val="4A7A9708"/>
    <w:lvl w:ilvl="0" w:tplc="04050001">
      <w:start w:val="1"/>
      <w:numFmt w:val="bullet"/>
      <w:lvlText w:val=""/>
      <w:lvlJc w:val="left"/>
      <w:pPr>
        <w:ind w:left="360" w:hanging="360"/>
      </w:pPr>
      <w:rPr>
        <w:rFonts w:ascii="Symbol" w:hAnsi="Symbol" w:hint="default"/>
      </w:rPr>
    </w:lvl>
    <w:lvl w:ilvl="1" w:tplc="A1965FCA">
      <w:numFmt w:val="bullet"/>
      <w:lvlText w:val="-"/>
      <w:lvlJc w:val="left"/>
      <w:pPr>
        <w:ind w:left="1654" w:hanging="360"/>
      </w:pPr>
      <w:rPr>
        <w:rFonts w:ascii="Times New Roman" w:eastAsia="Times New Roman" w:hAnsi="Times New Roman" w:cs="Times New Roman" w:hint="default"/>
      </w:rPr>
    </w:lvl>
    <w:lvl w:ilvl="2" w:tplc="520C2986" w:tentative="1">
      <w:start w:val="1"/>
      <w:numFmt w:val="lowerRoman"/>
      <w:lvlText w:val="%3."/>
      <w:lvlJc w:val="right"/>
      <w:pPr>
        <w:ind w:left="2374" w:hanging="180"/>
      </w:pPr>
    </w:lvl>
    <w:lvl w:ilvl="3" w:tplc="74B48D80" w:tentative="1">
      <w:start w:val="1"/>
      <w:numFmt w:val="decimal"/>
      <w:lvlText w:val="%4."/>
      <w:lvlJc w:val="left"/>
      <w:pPr>
        <w:ind w:left="3094" w:hanging="360"/>
      </w:pPr>
    </w:lvl>
    <w:lvl w:ilvl="4" w:tplc="E6A6ED9E" w:tentative="1">
      <w:start w:val="1"/>
      <w:numFmt w:val="lowerLetter"/>
      <w:lvlText w:val="%5."/>
      <w:lvlJc w:val="left"/>
      <w:pPr>
        <w:ind w:left="3814" w:hanging="360"/>
      </w:pPr>
    </w:lvl>
    <w:lvl w:ilvl="5" w:tplc="4BE041F6" w:tentative="1">
      <w:start w:val="1"/>
      <w:numFmt w:val="lowerRoman"/>
      <w:lvlText w:val="%6."/>
      <w:lvlJc w:val="right"/>
      <w:pPr>
        <w:ind w:left="4534" w:hanging="180"/>
      </w:pPr>
    </w:lvl>
    <w:lvl w:ilvl="6" w:tplc="F678075A" w:tentative="1">
      <w:start w:val="1"/>
      <w:numFmt w:val="decimal"/>
      <w:lvlText w:val="%7."/>
      <w:lvlJc w:val="left"/>
      <w:pPr>
        <w:ind w:left="5254" w:hanging="360"/>
      </w:pPr>
    </w:lvl>
    <w:lvl w:ilvl="7" w:tplc="81284B70" w:tentative="1">
      <w:start w:val="1"/>
      <w:numFmt w:val="lowerLetter"/>
      <w:lvlText w:val="%8."/>
      <w:lvlJc w:val="left"/>
      <w:pPr>
        <w:ind w:left="5974" w:hanging="360"/>
      </w:pPr>
    </w:lvl>
    <w:lvl w:ilvl="8" w:tplc="A00C6698" w:tentative="1">
      <w:start w:val="1"/>
      <w:numFmt w:val="lowerRoman"/>
      <w:lvlText w:val="%9."/>
      <w:lvlJc w:val="right"/>
      <w:pPr>
        <w:ind w:left="6694" w:hanging="180"/>
      </w:pPr>
    </w:lvl>
  </w:abstractNum>
  <w:abstractNum w:abstractNumId="51">
    <w:nsid w:val="4B357D0D"/>
    <w:multiLevelType w:val="hybridMultilevel"/>
    <w:tmpl w:val="59AEB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CF110B1"/>
    <w:multiLevelType w:val="hybridMultilevel"/>
    <w:tmpl w:val="374E1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D004AE6"/>
    <w:multiLevelType w:val="hybridMultilevel"/>
    <w:tmpl w:val="2F6E1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D71208D"/>
    <w:multiLevelType w:val="hybridMultilevel"/>
    <w:tmpl w:val="127C8938"/>
    <w:lvl w:ilvl="0" w:tplc="CC22E022">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1556925"/>
    <w:multiLevelType w:val="hybridMultilevel"/>
    <w:tmpl w:val="4C12CF2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1">
      <w:start w:val="1"/>
      <w:numFmt w:val="bullet"/>
      <w:lvlText w:val=""/>
      <w:lvlJc w:val="left"/>
      <w:pPr>
        <w:ind w:left="2444" w:hanging="360"/>
      </w:pPr>
      <w:rPr>
        <w:rFonts w:ascii="Symbol" w:hAnsi="Symbol"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56">
    <w:nsid w:val="52E0229C"/>
    <w:multiLevelType w:val="hybridMultilevel"/>
    <w:tmpl w:val="FC480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46B5E8E"/>
    <w:multiLevelType w:val="hybridMultilevel"/>
    <w:tmpl w:val="77D253AA"/>
    <w:lvl w:ilvl="0" w:tplc="D5722966">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8">
    <w:nsid w:val="57D14886"/>
    <w:multiLevelType w:val="hybridMultilevel"/>
    <w:tmpl w:val="13784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B650213"/>
    <w:multiLevelType w:val="hybridMultilevel"/>
    <w:tmpl w:val="AF5AB286"/>
    <w:lvl w:ilvl="0" w:tplc="E6D4D87C">
      <w:start w:val="3"/>
      <w:numFmt w:val="bullet"/>
      <w:lvlText w:val="-"/>
      <w:lvlJc w:val="left"/>
      <w:pPr>
        <w:ind w:left="852" w:hanging="360"/>
      </w:pPr>
      <w:rPr>
        <w:rFonts w:ascii="Arial" w:eastAsiaTheme="majorEastAsia" w:hAnsi="Arial" w:cs="Arial" w:hint="default"/>
      </w:rPr>
    </w:lvl>
    <w:lvl w:ilvl="1" w:tplc="04050003" w:tentative="1">
      <w:start w:val="1"/>
      <w:numFmt w:val="bullet"/>
      <w:lvlText w:val="o"/>
      <w:lvlJc w:val="left"/>
      <w:pPr>
        <w:ind w:left="1572" w:hanging="360"/>
      </w:pPr>
      <w:rPr>
        <w:rFonts w:ascii="Courier New" w:hAnsi="Courier New" w:cs="Courier New" w:hint="default"/>
      </w:rPr>
    </w:lvl>
    <w:lvl w:ilvl="2" w:tplc="04050005" w:tentative="1">
      <w:start w:val="1"/>
      <w:numFmt w:val="bullet"/>
      <w:lvlText w:val=""/>
      <w:lvlJc w:val="left"/>
      <w:pPr>
        <w:ind w:left="2292" w:hanging="360"/>
      </w:pPr>
      <w:rPr>
        <w:rFonts w:ascii="Wingdings" w:hAnsi="Wingdings" w:hint="default"/>
      </w:rPr>
    </w:lvl>
    <w:lvl w:ilvl="3" w:tplc="04050001" w:tentative="1">
      <w:start w:val="1"/>
      <w:numFmt w:val="bullet"/>
      <w:lvlText w:val=""/>
      <w:lvlJc w:val="left"/>
      <w:pPr>
        <w:ind w:left="3012" w:hanging="360"/>
      </w:pPr>
      <w:rPr>
        <w:rFonts w:ascii="Symbol" w:hAnsi="Symbol" w:hint="default"/>
      </w:rPr>
    </w:lvl>
    <w:lvl w:ilvl="4" w:tplc="04050003" w:tentative="1">
      <w:start w:val="1"/>
      <w:numFmt w:val="bullet"/>
      <w:lvlText w:val="o"/>
      <w:lvlJc w:val="left"/>
      <w:pPr>
        <w:ind w:left="3732" w:hanging="360"/>
      </w:pPr>
      <w:rPr>
        <w:rFonts w:ascii="Courier New" w:hAnsi="Courier New" w:cs="Courier New" w:hint="default"/>
      </w:rPr>
    </w:lvl>
    <w:lvl w:ilvl="5" w:tplc="04050005" w:tentative="1">
      <w:start w:val="1"/>
      <w:numFmt w:val="bullet"/>
      <w:lvlText w:val=""/>
      <w:lvlJc w:val="left"/>
      <w:pPr>
        <w:ind w:left="4452" w:hanging="360"/>
      </w:pPr>
      <w:rPr>
        <w:rFonts w:ascii="Wingdings" w:hAnsi="Wingdings" w:hint="default"/>
      </w:rPr>
    </w:lvl>
    <w:lvl w:ilvl="6" w:tplc="04050001" w:tentative="1">
      <w:start w:val="1"/>
      <w:numFmt w:val="bullet"/>
      <w:lvlText w:val=""/>
      <w:lvlJc w:val="left"/>
      <w:pPr>
        <w:ind w:left="5172" w:hanging="360"/>
      </w:pPr>
      <w:rPr>
        <w:rFonts w:ascii="Symbol" w:hAnsi="Symbol" w:hint="default"/>
      </w:rPr>
    </w:lvl>
    <w:lvl w:ilvl="7" w:tplc="04050003" w:tentative="1">
      <w:start w:val="1"/>
      <w:numFmt w:val="bullet"/>
      <w:lvlText w:val="o"/>
      <w:lvlJc w:val="left"/>
      <w:pPr>
        <w:ind w:left="5892" w:hanging="360"/>
      </w:pPr>
      <w:rPr>
        <w:rFonts w:ascii="Courier New" w:hAnsi="Courier New" w:cs="Courier New" w:hint="default"/>
      </w:rPr>
    </w:lvl>
    <w:lvl w:ilvl="8" w:tplc="04050005" w:tentative="1">
      <w:start w:val="1"/>
      <w:numFmt w:val="bullet"/>
      <w:lvlText w:val=""/>
      <w:lvlJc w:val="left"/>
      <w:pPr>
        <w:ind w:left="6612" w:hanging="360"/>
      </w:pPr>
      <w:rPr>
        <w:rFonts w:ascii="Wingdings" w:hAnsi="Wingdings" w:hint="default"/>
      </w:rPr>
    </w:lvl>
  </w:abstractNum>
  <w:abstractNum w:abstractNumId="60">
    <w:nsid w:val="5C656619"/>
    <w:multiLevelType w:val="hybridMultilevel"/>
    <w:tmpl w:val="40ECF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E15217A"/>
    <w:multiLevelType w:val="hybridMultilevel"/>
    <w:tmpl w:val="A350DB82"/>
    <w:lvl w:ilvl="0" w:tplc="129067EE">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5E3B3CC2"/>
    <w:multiLevelType w:val="hybridMultilevel"/>
    <w:tmpl w:val="70200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0AD1C40"/>
    <w:multiLevelType w:val="hybridMultilevel"/>
    <w:tmpl w:val="074EB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2256EE2"/>
    <w:multiLevelType w:val="hybridMultilevel"/>
    <w:tmpl w:val="4C6E6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3BB3F98"/>
    <w:multiLevelType w:val="hybridMultilevel"/>
    <w:tmpl w:val="C248E0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6">
    <w:nsid w:val="644D196D"/>
    <w:multiLevelType w:val="hybridMultilevel"/>
    <w:tmpl w:val="8F0434E0"/>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7">
    <w:nsid w:val="67310F17"/>
    <w:multiLevelType w:val="hybridMultilevel"/>
    <w:tmpl w:val="B512E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C1108C6"/>
    <w:multiLevelType w:val="hybridMultilevel"/>
    <w:tmpl w:val="C4AEF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EBD25E3"/>
    <w:multiLevelType w:val="multilevel"/>
    <w:tmpl w:val="471EB360"/>
    <w:styleLink w:val="List1"/>
    <w:lvl w:ilvl="0">
      <w:start w:val="1"/>
      <w:numFmt w:val="decimal"/>
      <w:lvlText w:val="%1)"/>
      <w:lvlJc w:val="left"/>
      <w:pPr>
        <w:tabs>
          <w:tab w:val="num" w:pos="425"/>
        </w:tabs>
        <w:ind w:left="425" w:hanging="357"/>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70">
    <w:nsid w:val="72CA7A23"/>
    <w:multiLevelType w:val="hybridMultilevel"/>
    <w:tmpl w:val="2182CFA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1">
    <w:nsid w:val="7344385F"/>
    <w:multiLevelType w:val="hybridMultilevel"/>
    <w:tmpl w:val="9A2E5D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
    <w:nsid w:val="734C7FD7"/>
    <w:multiLevelType w:val="hybridMultilevel"/>
    <w:tmpl w:val="7B1C71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3">
    <w:nsid w:val="742B6B42"/>
    <w:multiLevelType w:val="hybridMultilevel"/>
    <w:tmpl w:val="9E744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633457C"/>
    <w:multiLevelType w:val="hybridMultilevel"/>
    <w:tmpl w:val="F0989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B327E5E"/>
    <w:multiLevelType w:val="hybridMultilevel"/>
    <w:tmpl w:val="57B2A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7B8735CA"/>
    <w:multiLevelType w:val="hybridMultilevel"/>
    <w:tmpl w:val="9C2A81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2"/>
  </w:num>
  <w:num w:numId="4">
    <w:abstractNumId w:val="69"/>
  </w:num>
  <w:num w:numId="5">
    <w:abstractNumId w:val="49"/>
  </w:num>
  <w:num w:numId="6">
    <w:abstractNumId w:val="2"/>
  </w:num>
  <w:num w:numId="7">
    <w:abstractNumId w:val="31"/>
  </w:num>
  <w:num w:numId="8">
    <w:abstractNumId w:val="7"/>
  </w:num>
  <w:num w:numId="9">
    <w:abstractNumId w:val="30"/>
  </w:num>
  <w:num w:numId="10">
    <w:abstractNumId w:val="22"/>
  </w:num>
  <w:num w:numId="11">
    <w:abstractNumId w:val="52"/>
  </w:num>
  <w:num w:numId="12">
    <w:abstractNumId w:val="35"/>
  </w:num>
  <w:num w:numId="13">
    <w:abstractNumId w:val="73"/>
  </w:num>
  <w:num w:numId="14">
    <w:abstractNumId w:val="21"/>
  </w:num>
  <w:num w:numId="15">
    <w:abstractNumId w:val="63"/>
  </w:num>
  <w:num w:numId="16">
    <w:abstractNumId w:val="27"/>
  </w:num>
  <w:num w:numId="17">
    <w:abstractNumId w:val="3"/>
  </w:num>
  <w:num w:numId="18">
    <w:abstractNumId w:val="74"/>
  </w:num>
  <w:num w:numId="19">
    <w:abstractNumId w:val="2"/>
  </w:num>
  <w:num w:numId="20">
    <w:abstractNumId w:val="20"/>
  </w:num>
  <w:num w:numId="21">
    <w:abstractNumId w:val="62"/>
  </w:num>
  <w:num w:numId="22">
    <w:abstractNumId w:val="34"/>
  </w:num>
  <w:num w:numId="23">
    <w:abstractNumId w:val="71"/>
  </w:num>
  <w:num w:numId="24">
    <w:abstractNumId w:val="55"/>
  </w:num>
  <w:num w:numId="25">
    <w:abstractNumId w:val="45"/>
  </w:num>
  <w:num w:numId="26">
    <w:abstractNumId w:val="13"/>
  </w:num>
  <w:num w:numId="27">
    <w:abstractNumId w:val="45"/>
  </w:num>
  <w:num w:numId="28">
    <w:abstractNumId w:val="47"/>
  </w:num>
  <w:num w:numId="29">
    <w:abstractNumId w:val="71"/>
  </w:num>
  <w:num w:numId="30">
    <w:abstractNumId w:val="24"/>
  </w:num>
  <w:num w:numId="31">
    <w:abstractNumId w:val="14"/>
  </w:num>
  <w:num w:numId="32">
    <w:abstractNumId w:val="37"/>
  </w:num>
  <w:num w:numId="33">
    <w:abstractNumId w:val="28"/>
  </w:num>
  <w:num w:numId="34">
    <w:abstractNumId w:val="41"/>
  </w:num>
  <w:num w:numId="35">
    <w:abstractNumId w:val="50"/>
  </w:num>
  <w:num w:numId="36">
    <w:abstractNumId w:val="0"/>
  </w:num>
  <w:num w:numId="37">
    <w:abstractNumId w:val="58"/>
  </w:num>
  <w:num w:numId="38">
    <w:abstractNumId w:val="59"/>
  </w:num>
  <w:num w:numId="39">
    <w:abstractNumId w:val="9"/>
  </w:num>
  <w:num w:numId="40">
    <w:abstractNumId w:val="51"/>
  </w:num>
  <w:num w:numId="41">
    <w:abstractNumId w:val="8"/>
  </w:num>
  <w:num w:numId="42">
    <w:abstractNumId w:val="17"/>
  </w:num>
  <w:num w:numId="43">
    <w:abstractNumId w:val="43"/>
  </w:num>
  <w:num w:numId="44">
    <w:abstractNumId w:val="56"/>
  </w:num>
  <w:num w:numId="45">
    <w:abstractNumId w:val="42"/>
  </w:num>
  <w:num w:numId="46">
    <w:abstractNumId w:val="61"/>
  </w:num>
  <w:num w:numId="47">
    <w:abstractNumId w:val="26"/>
  </w:num>
  <w:num w:numId="48">
    <w:abstractNumId w:val="40"/>
  </w:num>
  <w:num w:numId="49">
    <w:abstractNumId w:val="70"/>
  </w:num>
  <w:num w:numId="50">
    <w:abstractNumId w:val="46"/>
  </w:num>
  <w:num w:numId="51">
    <w:abstractNumId w:val="19"/>
  </w:num>
  <w:num w:numId="52">
    <w:abstractNumId w:val="67"/>
  </w:num>
  <w:num w:numId="53">
    <w:abstractNumId w:val="4"/>
  </w:num>
  <w:num w:numId="54">
    <w:abstractNumId w:val="9"/>
  </w:num>
  <w:num w:numId="55">
    <w:abstractNumId w:val="28"/>
  </w:num>
  <w:num w:numId="56">
    <w:abstractNumId w:val="72"/>
  </w:num>
  <w:num w:numId="57">
    <w:abstractNumId w:val="33"/>
  </w:num>
  <w:num w:numId="58">
    <w:abstractNumId w:val="16"/>
  </w:num>
  <w:num w:numId="59">
    <w:abstractNumId w:val="36"/>
  </w:num>
  <w:num w:numId="60">
    <w:abstractNumId w:val="48"/>
  </w:num>
  <w:num w:numId="61">
    <w:abstractNumId w:val="15"/>
  </w:num>
  <w:num w:numId="62">
    <w:abstractNumId w:val="5"/>
  </w:num>
  <w:num w:numId="63">
    <w:abstractNumId w:val="54"/>
  </w:num>
  <w:num w:numId="64">
    <w:abstractNumId w:val="25"/>
  </w:num>
  <w:num w:numId="65">
    <w:abstractNumId w:val="29"/>
  </w:num>
  <w:num w:numId="66">
    <w:abstractNumId w:val="38"/>
  </w:num>
  <w:num w:numId="67">
    <w:abstractNumId w:val="6"/>
  </w:num>
  <w:num w:numId="68">
    <w:abstractNumId w:val="11"/>
  </w:num>
  <w:num w:numId="69">
    <w:abstractNumId w:val="68"/>
  </w:num>
  <w:num w:numId="70">
    <w:abstractNumId w:val="57"/>
  </w:num>
  <w:num w:numId="71">
    <w:abstractNumId w:val="44"/>
  </w:num>
  <w:num w:numId="72">
    <w:abstractNumId w:val="64"/>
  </w:num>
  <w:num w:numId="73">
    <w:abstractNumId w:val="75"/>
  </w:num>
  <w:num w:numId="74">
    <w:abstractNumId w:val="53"/>
  </w:num>
  <w:num w:numId="75">
    <w:abstractNumId w:val="1"/>
  </w:num>
  <w:num w:numId="76">
    <w:abstractNumId w:val="10"/>
  </w:num>
  <w:num w:numId="77">
    <w:abstractNumId w:val="18"/>
  </w:num>
  <w:num w:numId="78">
    <w:abstractNumId w:val="39"/>
  </w:num>
  <w:num w:numId="79">
    <w:abstractNumId w:val="76"/>
  </w:num>
  <w:num w:numId="80">
    <w:abstractNumId w:val="66"/>
  </w:num>
  <w:num w:numId="81">
    <w:abstractNumId w:val="65"/>
  </w:num>
  <w:num w:numId="82">
    <w:abstractNumId w:val="12"/>
  </w:num>
  <w:num w:numId="83">
    <w:abstractNumId w:val="6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8C3219"/>
    <w:rsid w:val="00000647"/>
    <w:rsid w:val="000015D0"/>
    <w:rsid w:val="000023C1"/>
    <w:rsid w:val="00002A66"/>
    <w:rsid w:val="00004C16"/>
    <w:rsid w:val="00007602"/>
    <w:rsid w:val="00007677"/>
    <w:rsid w:val="00007912"/>
    <w:rsid w:val="00011055"/>
    <w:rsid w:val="00011533"/>
    <w:rsid w:val="00013349"/>
    <w:rsid w:val="0001365E"/>
    <w:rsid w:val="000143B4"/>
    <w:rsid w:val="000144C8"/>
    <w:rsid w:val="00014941"/>
    <w:rsid w:val="00014FD2"/>
    <w:rsid w:val="000160DA"/>
    <w:rsid w:val="00020642"/>
    <w:rsid w:val="000209E5"/>
    <w:rsid w:val="00021465"/>
    <w:rsid w:val="0002206E"/>
    <w:rsid w:val="00023827"/>
    <w:rsid w:val="00023E2E"/>
    <w:rsid w:val="00024BF7"/>
    <w:rsid w:val="00025A9D"/>
    <w:rsid w:val="00027478"/>
    <w:rsid w:val="000279EC"/>
    <w:rsid w:val="00027DAC"/>
    <w:rsid w:val="00027EA4"/>
    <w:rsid w:val="00030433"/>
    <w:rsid w:val="0003082D"/>
    <w:rsid w:val="000317DA"/>
    <w:rsid w:val="000325CB"/>
    <w:rsid w:val="000329DF"/>
    <w:rsid w:val="00033326"/>
    <w:rsid w:val="000335AF"/>
    <w:rsid w:val="0003440E"/>
    <w:rsid w:val="00034AFA"/>
    <w:rsid w:val="00035000"/>
    <w:rsid w:val="00035E9D"/>
    <w:rsid w:val="000363C1"/>
    <w:rsid w:val="00037848"/>
    <w:rsid w:val="00037B15"/>
    <w:rsid w:val="00040E02"/>
    <w:rsid w:val="0004116D"/>
    <w:rsid w:val="00041640"/>
    <w:rsid w:val="00042490"/>
    <w:rsid w:val="000425D4"/>
    <w:rsid w:val="00042924"/>
    <w:rsid w:val="00045B16"/>
    <w:rsid w:val="0004608D"/>
    <w:rsid w:val="0004609D"/>
    <w:rsid w:val="0004703A"/>
    <w:rsid w:val="000472C7"/>
    <w:rsid w:val="00050711"/>
    <w:rsid w:val="0005165A"/>
    <w:rsid w:val="00051E49"/>
    <w:rsid w:val="0005231A"/>
    <w:rsid w:val="0005245D"/>
    <w:rsid w:val="00052AB6"/>
    <w:rsid w:val="00053B22"/>
    <w:rsid w:val="00054495"/>
    <w:rsid w:val="00055265"/>
    <w:rsid w:val="00056875"/>
    <w:rsid w:val="000569AF"/>
    <w:rsid w:val="00057F11"/>
    <w:rsid w:val="0006073B"/>
    <w:rsid w:val="00062136"/>
    <w:rsid w:val="0006367A"/>
    <w:rsid w:val="00063D89"/>
    <w:rsid w:val="0006448F"/>
    <w:rsid w:val="00064876"/>
    <w:rsid w:val="00065049"/>
    <w:rsid w:val="0006598F"/>
    <w:rsid w:val="000665E4"/>
    <w:rsid w:val="000667E9"/>
    <w:rsid w:val="0006705E"/>
    <w:rsid w:val="0006758C"/>
    <w:rsid w:val="00070218"/>
    <w:rsid w:val="000716F1"/>
    <w:rsid w:val="000722F6"/>
    <w:rsid w:val="00072829"/>
    <w:rsid w:val="0007350D"/>
    <w:rsid w:val="00073BCD"/>
    <w:rsid w:val="00074D6F"/>
    <w:rsid w:val="00076C26"/>
    <w:rsid w:val="00076DE4"/>
    <w:rsid w:val="00077C85"/>
    <w:rsid w:val="00080DAD"/>
    <w:rsid w:val="00081FB3"/>
    <w:rsid w:val="00082124"/>
    <w:rsid w:val="00083B1D"/>
    <w:rsid w:val="00085978"/>
    <w:rsid w:val="00085CC8"/>
    <w:rsid w:val="00086404"/>
    <w:rsid w:val="000871A9"/>
    <w:rsid w:val="00087521"/>
    <w:rsid w:val="00087961"/>
    <w:rsid w:val="00090789"/>
    <w:rsid w:val="000912DA"/>
    <w:rsid w:val="00093E82"/>
    <w:rsid w:val="00094784"/>
    <w:rsid w:val="00094A37"/>
    <w:rsid w:val="00095008"/>
    <w:rsid w:val="0009635F"/>
    <w:rsid w:val="000963E9"/>
    <w:rsid w:val="000966CE"/>
    <w:rsid w:val="00096FBC"/>
    <w:rsid w:val="000976E3"/>
    <w:rsid w:val="000A0446"/>
    <w:rsid w:val="000A0658"/>
    <w:rsid w:val="000A06F9"/>
    <w:rsid w:val="000A0D7C"/>
    <w:rsid w:val="000A102F"/>
    <w:rsid w:val="000A3F9A"/>
    <w:rsid w:val="000A45EE"/>
    <w:rsid w:val="000A4B34"/>
    <w:rsid w:val="000A4D89"/>
    <w:rsid w:val="000A51D0"/>
    <w:rsid w:val="000A5F70"/>
    <w:rsid w:val="000A7794"/>
    <w:rsid w:val="000A7795"/>
    <w:rsid w:val="000B0118"/>
    <w:rsid w:val="000B08DC"/>
    <w:rsid w:val="000B1AEB"/>
    <w:rsid w:val="000B3FD9"/>
    <w:rsid w:val="000B4A10"/>
    <w:rsid w:val="000B586C"/>
    <w:rsid w:val="000B5993"/>
    <w:rsid w:val="000B696F"/>
    <w:rsid w:val="000B6BFB"/>
    <w:rsid w:val="000B7800"/>
    <w:rsid w:val="000C05AC"/>
    <w:rsid w:val="000C0727"/>
    <w:rsid w:val="000C0FAA"/>
    <w:rsid w:val="000C10A6"/>
    <w:rsid w:val="000C1EE3"/>
    <w:rsid w:val="000C46ED"/>
    <w:rsid w:val="000C57FC"/>
    <w:rsid w:val="000C5C01"/>
    <w:rsid w:val="000C657D"/>
    <w:rsid w:val="000C714C"/>
    <w:rsid w:val="000C763E"/>
    <w:rsid w:val="000D0C1D"/>
    <w:rsid w:val="000D0F5C"/>
    <w:rsid w:val="000D103B"/>
    <w:rsid w:val="000D2BA9"/>
    <w:rsid w:val="000D2E23"/>
    <w:rsid w:val="000D38FC"/>
    <w:rsid w:val="000D4F3F"/>
    <w:rsid w:val="000D562B"/>
    <w:rsid w:val="000D691A"/>
    <w:rsid w:val="000E035C"/>
    <w:rsid w:val="000E03E5"/>
    <w:rsid w:val="000E044D"/>
    <w:rsid w:val="000E0C2F"/>
    <w:rsid w:val="000E0EF7"/>
    <w:rsid w:val="000E1512"/>
    <w:rsid w:val="000E18D4"/>
    <w:rsid w:val="000E22BF"/>
    <w:rsid w:val="000E2CB3"/>
    <w:rsid w:val="000E3006"/>
    <w:rsid w:val="000E3253"/>
    <w:rsid w:val="000E4EE8"/>
    <w:rsid w:val="000E6E42"/>
    <w:rsid w:val="000E72E3"/>
    <w:rsid w:val="000F049B"/>
    <w:rsid w:val="000F0DAC"/>
    <w:rsid w:val="000F2A99"/>
    <w:rsid w:val="000F2CA1"/>
    <w:rsid w:val="000F3490"/>
    <w:rsid w:val="000F5970"/>
    <w:rsid w:val="000F69A3"/>
    <w:rsid w:val="000F7573"/>
    <w:rsid w:val="000F79FC"/>
    <w:rsid w:val="000F7E92"/>
    <w:rsid w:val="001007F9"/>
    <w:rsid w:val="0010091C"/>
    <w:rsid w:val="00100EF1"/>
    <w:rsid w:val="00101E5B"/>
    <w:rsid w:val="0010255B"/>
    <w:rsid w:val="00102B48"/>
    <w:rsid w:val="00103592"/>
    <w:rsid w:val="0010410B"/>
    <w:rsid w:val="001068C0"/>
    <w:rsid w:val="00107577"/>
    <w:rsid w:val="00110F75"/>
    <w:rsid w:val="00111A0B"/>
    <w:rsid w:val="00111A92"/>
    <w:rsid w:val="00112089"/>
    <w:rsid w:val="00114E5C"/>
    <w:rsid w:val="001177A5"/>
    <w:rsid w:val="001201BC"/>
    <w:rsid w:val="001216A1"/>
    <w:rsid w:val="0012175C"/>
    <w:rsid w:val="00121A15"/>
    <w:rsid w:val="00121D24"/>
    <w:rsid w:val="00121EEC"/>
    <w:rsid w:val="00123789"/>
    <w:rsid w:val="00123D3D"/>
    <w:rsid w:val="001240A1"/>
    <w:rsid w:val="00124529"/>
    <w:rsid w:val="0012499F"/>
    <w:rsid w:val="00125735"/>
    <w:rsid w:val="00125754"/>
    <w:rsid w:val="00125853"/>
    <w:rsid w:val="001260C9"/>
    <w:rsid w:val="00126CF2"/>
    <w:rsid w:val="001270D4"/>
    <w:rsid w:val="00127F40"/>
    <w:rsid w:val="0013016B"/>
    <w:rsid w:val="001305A8"/>
    <w:rsid w:val="001317F9"/>
    <w:rsid w:val="00132493"/>
    <w:rsid w:val="00132DF7"/>
    <w:rsid w:val="001330C8"/>
    <w:rsid w:val="00135E05"/>
    <w:rsid w:val="00135E73"/>
    <w:rsid w:val="0013660B"/>
    <w:rsid w:val="00136ECE"/>
    <w:rsid w:val="00137538"/>
    <w:rsid w:val="00137B3E"/>
    <w:rsid w:val="001414DB"/>
    <w:rsid w:val="0014171B"/>
    <w:rsid w:val="00141C76"/>
    <w:rsid w:val="00145507"/>
    <w:rsid w:val="001456CE"/>
    <w:rsid w:val="00146535"/>
    <w:rsid w:val="00146614"/>
    <w:rsid w:val="00146D71"/>
    <w:rsid w:val="0014796D"/>
    <w:rsid w:val="001521B1"/>
    <w:rsid w:val="00153AA0"/>
    <w:rsid w:val="0015475C"/>
    <w:rsid w:val="00154C56"/>
    <w:rsid w:val="00154C84"/>
    <w:rsid w:val="001557A4"/>
    <w:rsid w:val="00155991"/>
    <w:rsid w:val="00155D9A"/>
    <w:rsid w:val="00156D61"/>
    <w:rsid w:val="00156FBD"/>
    <w:rsid w:val="00157143"/>
    <w:rsid w:val="00157D5B"/>
    <w:rsid w:val="0016189E"/>
    <w:rsid w:val="00161CA5"/>
    <w:rsid w:val="00161E2B"/>
    <w:rsid w:val="00162E26"/>
    <w:rsid w:val="001635A1"/>
    <w:rsid w:val="00163995"/>
    <w:rsid w:val="001653CC"/>
    <w:rsid w:val="0016567B"/>
    <w:rsid w:val="00165D48"/>
    <w:rsid w:val="00167594"/>
    <w:rsid w:val="00167B74"/>
    <w:rsid w:val="00170F50"/>
    <w:rsid w:val="001713F8"/>
    <w:rsid w:val="00173652"/>
    <w:rsid w:val="00174C24"/>
    <w:rsid w:val="0017528D"/>
    <w:rsid w:val="00175417"/>
    <w:rsid w:val="00175A07"/>
    <w:rsid w:val="00176B89"/>
    <w:rsid w:val="00176FE1"/>
    <w:rsid w:val="001778D9"/>
    <w:rsid w:val="001804E2"/>
    <w:rsid w:val="001806D8"/>
    <w:rsid w:val="00182795"/>
    <w:rsid w:val="00182CF7"/>
    <w:rsid w:val="00182D05"/>
    <w:rsid w:val="00182E6C"/>
    <w:rsid w:val="00184425"/>
    <w:rsid w:val="00184495"/>
    <w:rsid w:val="001859DA"/>
    <w:rsid w:val="001870D9"/>
    <w:rsid w:val="00190494"/>
    <w:rsid w:val="001905A5"/>
    <w:rsid w:val="00191979"/>
    <w:rsid w:val="001922DE"/>
    <w:rsid w:val="0019389C"/>
    <w:rsid w:val="0019395F"/>
    <w:rsid w:val="00194127"/>
    <w:rsid w:val="0019453E"/>
    <w:rsid w:val="00194B00"/>
    <w:rsid w:val="0019582F"/>
    <w:rsid w:val="001A03C9"/>
    <w:rsid w:val="001A06B1"/>
    <w:rsid w:val="001A0AD3"/>
    <w:rsid w:val="001A3642"/>
    <w:rsid w:val="001A3C5F"/>
    <w:rsid w:val="001A796C"/>
    <w:rsid w:val="001A7D1B"/>
    <w:rsid w:val="001B09DD"/>
    <w:rsid w:val="001B4CD2"/>
    <w:rsid w:val="001B646B"/>
    <w:rsid w:val="001B70A2"/>
    <w:rsid w:val="001C0068"/>
    <w:rsid w:val="001C06A9"/>
    <w:rsid w:val="001C1121"/>
    <w:rsid w:val="001C11B0"/>
    <w:rsid w:val="001C188C"/>
    <w:rsid w:val="001C276E"/>
    <w:rsid w:val="001C285C"/>
    <w:rsid w:val="001C3677"/>
    <w:rsid w:val="001C49F3"/>
    <w:rsid w:val="001C5122"/>
    <w:rsid w:val="001C6AD6"/>
    <w:rsid w:val="001C6C6E"/>
    <w:rsid w:val="001C6DCA"/>
    <w:rsid w:val="001C7E46"/>
    <w:rsid w:val="001D01E2"/>
    <w:rsid w:val="001D033C"/>
    <w:rsid w:val="001D149A"/>
    <w:rsid w:val="001D2A46"/>
    <w:rsid w:val="001D316F"/>
    <w:rsid w:val="001D35AD"/>
    <w:rsid w:val="001D3AA1"/>
    <w:rsid w:val="001D4B08"/>
    <w:rsid w:val="001D70F8"/>
    <w:rsid w:val="001D7A52"/>
    <w:rsid w:val="001D7A96"/>
    <w:rsid w:val="001E029C"/>
    <w:rsid w:val="001E0A91"/>
    <w:rsid w:val="001E0D96"/>
    <w:rsid w:val="001E0ED3"/>
    <w:rsid w:val="001E1D7F"/>
    <w:rsid w:val="001E1FBC"/>
    <w:rsid w:val="001E2652"/>
    <w:rsid w:val="001E3A15"/>
    <w:rsid w:val="001E3F9E"/>
    <w:rsid w:val="001E51D0"/>
    <w:rsid w:val="001E5A4D"/>
    <w:rsid w:val="001E6B72"/>
    <w:rsid w:val="001E6DD6"/>
    <w:rsid w:val="001F0A42"/>
    <w:rsid w:val="001F0F3B"/>
    <w:rsid w:val="001F1B4B"/>
    <w:rsid w:val="001F1F14"/>
    <w:rsid w:val="001F2910"/>
    <w:rsid w:val="001F3778"/>
    <w:rsid w:val="001F3FBC"/>
    <w:rsid w:val="001F4579"/>
    <w:rsid w:val="001F45B4"/>
    <w:rsid w:val="001F5EDD"/>
    <w:rsid w:val="001F67A7"/>
    <w:rsid w:val="001F7330"/>
    <w:rsid w:val="001F7892"/>
    <w:rsid w:val="001F7A57"/>
    <w:rsid w:val="00201134"/>
    <w:rsid w:val="002011A2"/>
    <w:rsid w:val="00201969"/>
    <w:rsid w:val="0020279F"/>
    <w:rsid w:val="002027F8"/>
    <w:rsid w:val="00202D7C"/>
    <w:rsid w:val="00202DB5"/>
    <w:rsid w:val="00206023"/>
    <w:rsid w:val="00206D37"/>
    <w:rsid w:val="002074D3"/>
    <w:rsid w:val="0020784D"/>
    <w:rsid w:val="002104AF"/>
    <w:rsid w:val="00211041"/>
    <w:rsid w:val="0021131B"/>
    <w:rsid w:val="00211561"/>
    <w:rsid w:val="002118A4"/>
    <w:rsid w:val="00212130"/>
    <w:rsid w:val="00212896"/>
    <w:rsid w:val="0021290D"/>
    <w:rsid w:val="00213B3E"/>
    <w:rsid w:val="00215F5D"/>
    <w:rsid w:val="00217F7C"/>
    <w:rsid w:val="00221777"/>
    <w:rsid w:val="0022184C"/>
    <w:rsid w:val="002226B3"/>
    <w:rsid w:val="002228A0"/>
    <w:rsid w:val="00222D8C"/>
    <w:rsid w:val="0022352B"/>
    <w:rsid w:val="00225D7D"/>
    <w:rsid w:val="0022749A"/>
    <w:rsid w:val="002277AD"/>
    <w:rsid w:val="002325A5"/>
    <w:rsid w:val="0023286C"/>
    <w:rsid w:val="00233745"/>
    <w:rsid w:val="00233C30"/>
    <w:rsid w:val="00233C8B"/>
    <w:rsid w:val="00233EF5"/>
    <w:rsid w:val="002343AC"/>
    <w:rsid w:val="002377EB"/>
    <w:rsid w:val="002379CC"/>
    <w:rsid w:val="002400D7"/>
    <w:rsid w:val="00240EB3"/>
    <w:rsid w:val="00241558"/>
    <w:rsid w:val="00241948"/>
    <w:rsid w:val="00241D04"/>
    <w:rsid w:val="00242104"/>
    <w:rsid w:val="002434D7"/>
    <w:rsid w:val="00243DE3"/>
    <w:rsid w:val="0024448B"/>
    <w:rsid w:val="00244E73"/>
    <w:rsid w:val="0024521A"/>
    <w:rsid w:val="002460C9"/>
    <w:rsid w:val="0024654D"/>
    <w:rsid w:val="00246ECC"/>
    <w:rsid w:val="00247DEA"/>
    <w:rsid w:val="00250007"/>
    <w:rsid w:val="0025023E"/>
    <w:rsid w:val="0025280A"/>
    <w:rsid w:val="00252886"/>
    <w:rsid w:val="00252D32"/>
    <w:rsid w:val="00254B0B"/>
    <w:rsid w:val="0025569E"/>
    <w:rsid w:val="00255ED3"/>
    <w:rsid w:val="00256A91"/>
    <w:rsid w:val="00256D19"/>
    <w:rsid w:val="002578AE"/>
    <w:rsid w:val="00257CE4"/>
    <w:rsid w:val="0026206A"/>
    <w:rsid w:val="002642CC"/>
    <w:rsid w:val="002643AA"/>
    <w:rsid w:val="00264CFD"/>
    <w:rsid w:val="002652B7"/>
    <w:rsid w:val="00265679"/>
    <w:rsid w:val="00265CA9"/>
    <w:rsid w:val="00266E99"/>
    <w:rsid w:val="0026755A"/>
    <w:rsid w:val="002709FB"/>
    <w:rsid w:val="00270B73"/>
    <w:rsid w:val="00270EB8"/>
    <w:rsid w:val="002714C4"/>
    <w:rsid w:val="002722F9"/>
    <w:rsid w:val="00272863"/>
    <w:rsid w:val="0027336C"/>
    <w:rsid w:val="002739F0"/>
    <w:rsid w:val="002747A3"/>
    <w:rsid w:val="002801E1"/>
    <w:rsid w:val="0028021C"/>
    <w:rsid w:val="00280B2E"/>
    <w:rsid w:val="00280D43"/>
    <w:rsid w:val="00280FDC"/>
    <w:rsid w:val="00281AA5"/>
    <w:rsid w:val="00281FBD"/>
    <w:rsid w:val="002823FD"/>
    <w:rsid w:val="00283091"/>
    <w:rsid w:val="002836D3"/>
    <w:rsid w:val="002850D8"/>
    <w:rsid w:val="00285DC7"/>
    <w:rsid w:val="0028791C"/>
    <w:rsid w:val="00287A66"/>
    <w:rsid w:val="00287FE2"/>
    <w:rsid w:val="00290E91"/>
    <w:rsid w:val="00291C71"/>
    <w:rsid w:val="00291E95"/>
    <w:rsid w:val="00291E9A"/>
    <w:rsid w:val="00293379"/>
    <w:rsid w:val="00293780"/>
    <w:rsid w:val="0029566A"/>
    <w:rsid w:val="002965DA"/>
    <w:rsid w:val="00296A48"/>
    <w:rsid w:val="002977B5"/>
    <w:rsid w:val="00297B67"/>
    <w:rsid w:val="00297EB2"/>
    <w:rsid w:val="002A1442"/>
    <w:rsid w:val="002A1ED9"/>
    <w:rsid w:val="002A2825"/>
    <w:rsid w:val="002A29BE"/>
    <w:rsid w:val="002A3B8E"/>
    <w:rsid w:val="002A3C19"/>
    <w:rsid w:val="002A5454"/>
    <w:rsid w:val="002A56A3"/>
    <w:rsid w:val="002A6D86"/>
    <w:rsid w:val="002A71F4"/>
    <w:rsid w:val="002A7B39"/>
    <w:rsid w:val="002B3187"/>
    <w:rsid w:val="002B37F0"/>
    <w:rsid w:val="002B58B4"/>
    <w:rsid w:val="002B62FD"/>
    <w:rsid w:val="002B7096"/>
    <w:rsid w:val="002B7CE4"/>
    <w:rsid w:val="002B7D89"/>
    <w:rsid w:val="002C2678"/>
    <w:rsid w:val="002C38ED"/>
    <w:rsid w:val="002C41AB"/>
    <w:rsid w:val="002C43F2"/>
    <w:rsid w:val="002C6BCE"/>
    <w:rsid w:val="002C7257"/>
    <w:rsid w:val="002C74E9"/>
    <w:rsid w:val="002D0A99"/>
    <w:rsid w:val="002D1952"/>
    <w:rsid w:val="002D2016"/>
    <w:rsid w:val="002D2366"/>
    <w:rsid w:val="002D3415"/>
    <w:rsid w:val="002D3773"/>
    <w:rsid w:val="002D3CE5"/>
    <w:rsid w:val="002D4912"/>
    <w:rsid w:val="002D4D92"/>
    <w:rsid w:val="002D5CF1"/>
    <w:rsid w:val="002E0344"/>
    <w:rsid w:val="002E1FEA"/>
    <w:rsid w:val="002E22E8"/>
    <w:rsid w:val="002E2315"/>
    <w:rsid w:val="002E2423"/>
    <w:rsid w:val="002E290F"/>
    <w:rsid w:val="002E301B"/>
    <w:rsid w:val="002E4EA5"/>
    <w:rsid w:val="002E5C0A"/>
    <w:rsid w:val="002E5E6D"/>
    <w:rsid w:val="002E67E5"/>
    <w:rsid w:val="002E68C4"/>
    <w:rsid w:val="002E778C"/>
    <w:rsid w:val="002E79E6"/>
    <w:rsid w:val="002F1832"/>
    <w:rsid w:val="002F1A54"/>
    <w:rsid w:val="002F30D9"/>
    <w:rsid w:val="002F33F2"/>
    <w:rsid w:val="002F4020"/>
    <w:rsid w:val="002F50E2"/>
    <w:rsid w:val="002F5621"/>
    <w:rsid w:val="002F645A"/>
    <w:rsid w:val="002F7784"/>
    <w:rsid w:val="003016BD"/>
    <w:rsid w:val="00301E2D"/>
    <w:rsid w:val="0030202D"/>
    <w:rsid w:val="0030205D"/>
    <w:rsid w:val="00302287"/>
    <w:rsid w:val="003028C2"/>
    <w:rsid w:val="00303431"/>
    <w:rsid w:val="00303668"/>
    <w:rsid w:val="003046CB"/>
    <w:rsid w:val="00304C5A"/>
    <w:rsid w:val="00304E5B"/>
    <w:rsid w:val="0030538F"/>
    <w:rsid w:val="00307681"/>
    <w:rsid w:val="00307A69"/>
    <w:rsid w:val="00307C42"/>
    <w:rsid w:val="00310A2B"/>
    <w:rsid w:val="00311084"/>
    <w:rsid w:val="0031108B"/>
    <w:rsid w:val="00311164"/>
    <w:rsid w:val="003120DB"/>
    <w:rsid w:val="003140F7"/>
    <w:rsid w:val="003147F6"/>
    <w:rsid w:val="0031576B"/>
    <w:rsid w:val="00315E91"/>
    <w:rsid w:val="00316711"/>
    <w:rsid w:val="00316FF8"/>
    <w:rsid w:val="003179A5"/>
    <w:rsid w:val="003214A1"/>
    <w:rsid w:val="0032206E"/>
    <w:rsid w:val="00323107"/>
    <w:rsid w:val="00323BE3"/>
    <w:rsid w:val="00324382"/>
    <w:rsid w:val="00324693"/>
    <w:rsid w:val="00324AC7"/>
    <w:rsid w:val="00324B1F"/>
    <w:rsid w:val="00324DC4"/>
    <w:rsid w:val="00326C7F"/>
    <w:rsid w:val="003276DE"/>
    <w:rsid w:val="00330283"/>
    <w:rsid w:val="003307D0"/>
    <w:rsid w:val="0033151E"/>
    <w:rsid w:val="0033152A"/>
    <w:rsid w:val="00331FF5"/>
    <w:rsid w:val="00332B26"/>
    <w:rsid w:val="00332F68"/>
    <w:rsid w:val="00333267"/>
    <w:rsid w:val="003343BC"/>
    <w:rsid w:val="003365E9"/>
    <w:rsid w:val="00337582"/>
    <w:rsid w:val="00340975"/>
    <w:rsid w:val="00340D94"/>
    <w:rsid w:val="003431AB"/>
    <w:rsid w:val="00344934"/>
    <w:rsid w:val="003452C7"/>
    <w:rsid w:val="003460D6"/>
    <w:rsid w:val="003463F1"/>
    <w:rsid w:val="003465FF"/>
    <w:rsid w:val="00346A15"/>
    <w:rsid w:val="003506CA"/>
    <w:rsid w:val="0035085A"/>
    <w:rsid w:val="00351126"/>
    <w:rsid w:val="00351316"/>
    <w:rsid w:val="0035168A"/>
    <w:rsid w:val="00351881"/>
    <w:rsid w:val="00351B89"/>
    <w:rsid w:val="00351C48"/>
    <w:rsid w:val="0035219F"/>
    <w:rsid w:val="003524EF"/>
    <w:rsid w:val="00352580"/>
    <w:rsid w:val="003528EF"/>
    <w:rsid w:val="0035391E"/>
    <w:rsid w:val="00353D87"/>
    <w:rsid w:val="00354A57"/>
    <w:rsid w:val="003550A9"/>
    <w:rsid w:val="00355B3B"/>
    <w:rsid w:val="003573C7"/>
    <w:rsid w:val="0036067F"/>
    <w:rsid w:val="00362573"/>
    <w:rsid w:val="003626BB"/>
    <w:rsid w:val="00362E66"/>
    <w:rsid w:val="00363AEC"/>
    <w:rsid w:val="003644F4"/>
    <w:rsid w:val="00364E04"/>
    <w:rsid w:val="00364F64"/>
    <w:rsid w:val="0036739F"/>
    <w:rsid w:val="003708C3"/>
    <w:rsid w:val="00370EA6"/>
    <w:rsid w:val="003716C8"/>
    <w:rsid w:val="00371EC4"/>
    <w:rsid w:val="003736CE"/>
    <w:rsid w:val="00373CC2"/>
    <w:rsid w:val="00373D7C"/>
    <w:rsid w:val="00373D91"/>
    <w:rsid w:val="00374117"/>
    <w:rsid w:val="00374848"/>
    <w:rsid w:val="0037489E"/>
    <w:rsid w:val="0037490C"/>
    <w:rsid w:val="003772B2"/>
    <w:rsid w:val="0037744D"/>
    <w:rsid w:val="00380C07"/>
    <w:rsid w:val="00382079"/>
    <w:rsid w:val="00382A22"/>
    <w:rsid w:val="00383663"/>
    <w:rsid w:val="00384CFC"/>
    <w:rsid w:val="00384EA3"/>
    <w:rsid w:val="0038615B"/>
    <w:rsid w:val="00386BF0"/>
    <w:rsid w:val="00386C67"/>
    <w:rsid w:val="00390097"/>
    <w:rsid w:val="003901AC"/>
    <w:rsid w:val="00390D59"/>
    <w:rsid w:val="00391232"/>
    <w:rsid w:val="00391C6A"/>
    <w:rsid w:val="00392C7B"/>
    <w:rsid w:val="003933B1"/>
    <w:rsid w:val="00393795"/>
    <w:rsid w:val="00393900"/>
    <w:rsid w:val="003940CE"/>
    <w:rsid w:val="003943CD"/>
    <w:rsid w:val="003953D5"/>
    <w:rsid w:val="00396FAC"/>
    <w:rsid w:val="003A0F42"/>
    <w:rsid w:val="003A25C3"/>
    <w:rsid w:val="003A2CA4"/>
    <w:rsid w:val="003A3122"/>
    <w:rsid w:val="003A4AF4"/>
    <w:rsid w:val="003A6035"/>
    <w:rsid w:val="003A7524"/>
    <w:rsid w:val="003A7E4B"/>
    <w:rsid w:val="003B0F4C"/>
    <w:rsid w:val="003B1772"/>
    <w:rsid w:val="003B1852"/>
    <w:rsid w:val="003B309E"/>
    <w:rsid w:val="003B3783"/>
    <w:rsid w:val="003B3BE0"/>
    <w:rsid w:val="003B3C04"/>
    <w:rsid w:val="003B3FC7"/>
    <w:rsid w:val="003B42FE"/>
    <w:rsid w:val="003B49E7"/>
    <w:rsid w:val="003B4C75"/>
    <w:rsid w:val="003B5B30"/>
    <w:rsid w:val="003B5CA4"/>
    <w:rsid w:val="003B61F0"/>
    <w:rsid w:val="003B6640"/>
    <w:rsid w:val="003B667D"/>
    <w:rsid w:val="003B6AAB"/>
    <w:rsid w:val="003B7D05"/>
    <w:rsid w:val="003C01F8"/>
    <w:rsid w:val="003C098E"/>
    <w:rsid w:val="003C0BAA"/>
    <w:rsid w:val="003C0C42"/>
    <w:rsid w:val="003C0D2D"/>
    <w:rsid w:val="003C1B16"/>
    <w:rsid w:val="003C1C5E"/>
    <w:rsid w:val="003C282D"/>
    <w:rsid w:val="003C3B24"/>
    <w:rsid w:val="003C4357"/>
    <w:rsid w:val="003C468A"/>
    <w:rsid w:val="003C48B4"/>
    <w:rsid w:val="003C4B15"/>
    <w:rsid w:val="003D091E"/>
    <w:rsid w:val="003D14D6"/>
    <w:rsid w:val="003D1500"/>
    <w:rsid w:val="003D2C14"/>
    <w:rsid w:val="003D4B5F"/>
    <w:rsid w:val="003D5005"/>
    <w:rsid w:val="003D60A5"/>
    <w:rsid w:val="003D684D"/>
    <w:rsid w:val="003D6E9E"/>
    <w:rsid w:val="003E033B"/>
    <w:rsid w:val="003E0463"/>
    <w:rsid w:val="003E0580"/>
    <w:rsid w:val="003E2C66"/>
    <w:rsid w:val="003E2E7F"/>
    <w:rsid w:val="003E71C9"/>
    <w:rsid w:val="003E7A36"/>
    <w:rsid w:val="003E7EA3"/>
    <w:rsid w:val="003F19BE"/>
    <w:rsid w:val="003F2CFC"/>
    <w:rsid w:val="003F2ECB"/>
    <w:rsid w:val="003F3045"/>
    <w:rsid w:val="003F376E"/>
    <w:rsid w:val="003F390F"/>
    <w:rsid w:val="003F4AC3"/>
    <w:rsid w:val="003F553B"/>
    <w:rsid w:val="003F5E47"/>
    <w:rsid w:val="003F7B4E"/>
    <w:rsid w:val="00401181"/>
    <w:rsid w:val="00401AD4"/>
    <w:rsid w:val="00402234"/>
    <w:rsid w:val="00402340"/>
    <w:rsid w:val="00402CF3"/>
    <w:rsid w:val="004045C3"/>
    <w:rsid w:val="00404656"/>
    <w:rsid w:val="004059E9"/>
    <w:rsid w:val="00406A25"/>
    <w:rsid w:val="0040780E"/>
    <w:rsid w:val="00411F3C"/>
    <w:rsid w:val="00412538"/>
    <w:rsid w:val="004126D3"/>
    <w:rsid w:val="00413415"/>
    <w:rsid w:val="00413584"/>
    <w:rsid w:val="00413AE4"/>
    <w:rsid w:val="004145F8"/>
    <w:rsid w:val="004157BB"/>
    <w:rsid w:val="00416C08"/>
    <w:rsid w:val="00416D66"/>
    <w:rsid w:val="00417402"/>
    <w:rsid w:val="00417B12"/>
    <w:rsid w:val="00420805"/>
    <w:rsid w:val="00420897"/>
    <w:rsid w:val="0042228B"/>
    <w:rsid w:val="00423802"/>
    <w:rsid w:val="00423AD5"/>
    <w:rsid w:val="004242EE"/>
    <w:rsid w:val="00424791"/>
    <w:rsid w:val="0042531B"/>
    <w:rsid w:val="00425412"/>
    <w:rsid w:val="00425515"/>
    <w:rsid w:val="00425B38"/>
    <w:rsid w:val="00425CE3"/>
    <w:rsid w:val="00426053"/>
    <w:rsid w:val="004276BE"/>
    <w:rsid w:val="0043187D"/>
    <w:rsid w:val="004318FC"/>
    <w:rsid w:val="00433E0F"/>
    <w:rsid w:val="00434890"/>
    <w:rsid w:val="00435B78"/>
    <w:rsid w:val="00436C1E"/>
    <w:rsid w:val="004376AA"/>
    <w:rsid w:val="00437DA5"/>
    <w:rsid w:val="00437F50"/>
    <w:rsid w:val="00442C2A"/>
    <w:rsid w:val="00443BF0"/>
    <w:rsid w:val="004445D1"/>
    <w:rsid w:val="004454AE"/>
    <w:rsid w:val="00445747"/>
    <w:rsid w:val="00445836"/>
    <w:rsid w:val="0044732B"/>
    <w:rsid w:val="004477F4"/>
    <w:rsid w:val="00450E16"/>
    <w:rsid w:val="00451122"/>
    <w:rsid w:val="004519A1"/>
    <w:rsid w:val="00451A42"/>
    <w:rsid w:val="004525DC"/>
    <w:rsid w:val="004537C1"/>
    <w:rsid w:val="004539EF"/>
    <w:rsid w:val="00453AE3"/>
    <w:rsid w:val="00454319"/>
    <w:rsid w:val="004544D3"/>
    <w:rsid w:val="004547C6"/>
    <w:rsid w:val="00454C6D"/>
    <w:rsid w:val="004567B2"/>
    <w:rsid w:val="00457D07"/>
    <w:rsid w:val="0046009A"/>
    <w:rsid w:val="0046166A"/>
    <w:rsid w:val="00462141"/>
    <w:rsid w:val="00462292"/>
    <w:rsid w:val="00462E97"/>
    <w:rsid w:val="004636C9"/>
    <w:rsid w:val="0046389B"/>
    <w:rsid w:val="004642CC"/>
    <w:rsid w:val="004644A8"/>
    <w:rsid w:val="004664AB"/>
    <w:rsid w:val="00466E6A"/>
    <w:rsid w:val="00467828"/>
    <w:rsid w:val="004701D3"/>
    <w:rsid w:val="004705CE"/>
    <w:rsid w:val="00470E64"/>
    <w:rsid w:val="0047252A"/>
    <w:rsid w:val="004741E6"/>
    <w:rsid w:val="00475971"/>
    <w:rsid w:val="00482516"/>
    <w:rsid w:val="00482BB8"/>
    <w:rsid w:val="00483D74"/>
    <w:rsid w:val="004847BF"/>
    <w:rsid w:val="00485AA2"/>
    <w:rsid w:val="0048641F"/>
    <w:rsid w:val="00486591"/>
    <w:rsid w:val="00486D3C"/>
    <w:rsid w:val="00487A66"/>
    <w:rsid w:val="00487FCE"/>
    <w:rsid w:val="004909B4"/>
    <w:rsid w:val="00492717"/>
    <w:rsid w:val="00493A4E"/>
    <w:rsid w:val="00494103"/>
    <w:rsid w:val="00494E90"/>
    <w:rsid w:val="004953AB"/>
    <w:rsid w:val="00495410"/>
    <w:rsid w:val="0049688F"/>
    <w:rsid w:val="00497321"/>
    <w:rsid w:val="004A076B"/>
    <w:rsid w:val="004A0921"/>
    <w:rsid w:val="004A0E2D"/>
    <w:rsid w:val="004A1493"/>
    <w:rsid w:val="004A14E0"/>
    <w:rsid w:val="004A1610"/>
    <w:rsid w:val="004A242A"/>
    <w:rsid w:val="004A2CB4"/>
    <w:rsid w:val="004A3AF8"/>
    <w:rsid w:val="004A443A"/>
    <w:rsid w:val="004A4898"/>
    <w:rsid w:val="004A4BE6"/>
    <w:rsid w:val="004A5DA5"/>
    <w:rsid w:val="004A66E3"/>
    <w:rsid w:val="004A6764"/>
    <w:rsid w:val="004A6A1A"/>
    <w:rsid w:val="004A7116"/>
    <w:rsid w:val="004B08DB"/>
    <w:rsid w:val="004B0B33"/>
    <w:rsid w:val="004B0C96"/>
    <w:rsid w:val="004B1505"/>
    <w:rsid w:val="004B17E0"/>
    <w:rsid w:val="004B304B"/>
    <w:rsid w:val="004B334E"/>
    <w:rsid w:val="004B38A3"/>
    <w:rsid w:val="004B50EA"/>
    <w:rsid w:val="004B5DE7"/>
    <w:rsid w:val="004B5F3E"/>
    <w:rsid w:val="004C05BF"/>
    <w:rsid w:val="004C0FB8"/>
    <w:rsid w:val="004C16C4"/>
    <w:rsid w:val="004C2318"/>
    <w:rsid w:val="004C33D5"/>
    <w:rsid w:val="004C3FDB"/>
    <w:rsid w:val="004C4226"/>
    <w:rsid w:val="004C46F3"/>
    <w:rsid w:val="004C59BA"/>
    <w:rsid w:val="004C5C86"/>
    <w:rsid w:val="004C5D41"/>
    <w:rsid w:val="004C5E30"/>
    <w:rsid w:val="004C6EE8"/>
    <w:rsid w:val="004D059D"/>
    <w:rsid w:val="004D1E9C"/>
    <w:rsid w:val="004D1FCF"/>
    <w:rsid w:val="004D2722"/>
    <w:rsid w:val="004D3644"/>
    <w:rsid w:val="004D3BBA"/>
    <w:rsid w:val="004D3DC3"/>
    <w:rsid w:val="004D4E55"/>
    <w:rsid w:val="004D5857"/>
    <w:rsid w:val="004D59CF"/>
    <w:rsid w:val="004D649E"/>
    <w:rsid w:val="004D7999"/>
    <w:rsid w:val="004E0644"/>
    <w:rsid w:val="004E0785"/>
    <w:rsid w:val="004E0E23"/>
    <w:rsid w:val="004E1C0C"/>
    <w:rsid w:val="004E3CAE"/>
    <w:rsid w:val="004E773D"/>
    <w:rsid w:val="004F0266"/>
    <w:rsid w:val="004F2444"/>
    <w:rsid w:val="004F2E3C"/>
    <w:rsid w:val="004F3608"/>
    <w:rsid w:val="004F4E3D"/>
    <w:rsid w:val="004F5242"/>
    <w:rsid w:val="004F5AC0"/>
    <w:rsid w:val="004F752E"/>
    <w:rsid w:val="004F7636"/>
    <w:rsid w:val="004F7C2F"/>
    <w:rsid w:val="00500B98"/>
    <w:rsid w:val="00500E26"/>
    <w:rsid w:val="005017B9"/>
    <w:rsid w:val="005021BF"/>
    <w:rsid w:val="0050225B"/>
    <w:rsid w:val="00502589"/>
    <w:rsid w:val="005026B0"/>
    <w:rsid w:val="0050392D"/>
    <w:rsid w:val="005044C5"/>
    <w:rsid w:val="00504A88"/>
    <w:rsid w:val="00504D86"/>
    <w:rsid w:val="00505FA6"/>
    <w:rsid w:val="005062DD"/>
    <w:rsid w:val="00506D1A"/>
    <w:rsid w:val="00506FB3"/>
    <w:rsid w:val="0050786F"/>
    <w:rsid w:val="0051075B"/>
    <w:rsid w:val="00512951"/>
    <w:rsid w:val="005129BF"/>
    <w:rsid w:val="0051312D"/>
    <w:rsid w:val="005135B3"/>
    <w:rsid w:val="00513EE3"/>
    <w:rsid w:val="00514B8E"/>
    <w:rsid w:val="0051588F"/>
    <w:rsid w:val="005158ED"/>
    <w:rsid w:val="00515E6C"/>
    <w:rsid w:val="005161BB"/>
    <w:rsid w:val="005165B7"/>
    <w:rsid w:val="00520F58"/>
    <w:rsid w:val="00521918"/>
    <w:rsid w:val="00521DCA"/>
    <w:rsid w:val="00522287"/>
    <w:rsid w:val="0052264F"/>
    <w:rsid w:val="0052412A"/>
    <w:rsid w:val="00524824"/>
    <w:rsid w:val="0052607F"/>
    <w:rsid w:val="005263FD"/>
    <w:rsid w:val="005304ED"/>
    <w:rsid w:val="0053160A"/>
    <w:rsid w:val="00531AF2"/>
    <w:rsid w:val="00532A9B"/>
    <w:rsid w:val="005339F4"/>
    <w:rsid w:val="00534E9A"/>
    <w:rsid w:val="005353AF"/>
    <w:rsid w:val="00537301"/>
    <w:rsid w:val="00537C77"/>
    <w:rsid w:val="00537EC9"/>
    <w:rsid w:val="005406ED"/>
    <w:rsid w:val="005408FA"/>
    <w:rsid w:val="0054387B"/>
    <w:rsid w:val="00544786"/>
    <w:rsid w:val="00545205"/>
    <w:rsid w:val="0054611C"/>
    <w:rsid w:val="00546AAE"/>
    <w:rsid w:val="00546D90"/>
    <w:rsid w:val="00547A75"/>
    <w:rsid w:val="00547FAE"/>
    <w:rsid w:val="0055109B"/>
    <w:rsid w:val="005515FD"/>
    <w:rsid w:val="00552E78"/>
    <w:rsid w:val="00553CDA"/>
    <w:rsid w:val="00554195"/>
    <w:rsid w:val="0055469D"/>
    <w:rsid w:val="005551D7"/>
    <w:rsid w:val="00555371"/>
    <w:rsid w:val="005556DC"/>
    <w:rsid w:val="0055584A"/>
    <w:rsid w:val="00556642"/>
    <w:rsid w:val="00557640"/>
    <w:rsid w:val="00557FDD"/>
    <w:rsid w:val="0056077B"/>
    <w:rsid w:val="0056080F"/>
    <w:rsid w:val="00560A93"/>
    <w:rsid w:val="00560C7E"/>
    <w:rsid w:val="0056189D"/>
    <w:rsid w:val="005624F7"/>
    <w:rsid w:val="00562D7A"/>
    <w:rsid w:val="00563B4D"/>
    <w:rsid w:val="00564033"/>
    <w:rsid w:val="0056418B"/>
    <w:rsid w:val="005648B0"/>
    <w:rsid w:val="005652F7"/>
    <w:rsid w:val="005662E5"/>
    <w:rsid w:val="00567310"/>
    <w:rsid w:val="00567C86"/>
    <w:rsid w:val="00567C8B"/>
    <w:rsid w:val="005704B6"/>
    <w:rsid w:val="0057098E"/>
    <w:rsid w:val="00570F3E"/>
    <w:rsid w:val="00572127"/>
    <w:rsid w:val="00572267"/>
    <w:rsid w:val="00573391"/>
    <w:rsid w:val="00576FD8"/>
    <w:rsid w:val="00577472"/>
    <w:rsid w:val="00580D8C"/>
    <w:rsid w:val="005815A1"/>
    <w:rsid w:val="005815BC"/>
    <w:rsid w:val="00583085"/>
    <w:rsid w:val="00583333"/>
    <w:rsid w:val="00583691"/>
    <w:rsid w:val="00583CB5"/>
    <w:rsid w:val="005853DB"/>
    <w:rsid w:val="005857FF"/>
    <w:rsid w:val="00586AD5"/>
    <w:rsid w:val="00586CE5"/>
    <w:rsid w:val="00587457"/>
    <w:rsid w:val="005875DF"/>
    <w:rsid w:val="00587610"/>
    <w:rsid w:val="00587999"/>
    <w:rsid w:val="00587BA3"/>
    <w:rsid w:val="005901F5"/>
    <w:rsid w:val="005918BB"/>
    <w:rsid w:val="00591CCE"/>
    <w:rsid w:val="00592310"/>
    <w:rsid w:val="00592831"/>
    <w:rsid w:val="00593E8F"/>
    <w:rsid w:val="005949B3"/>
    <w:rsid w:val="00594F2A"/>
    <w:rsid w:val="0059552A"/>
    <w:rsid w:val="0059770D"/>
    <w:rsid w:val="0059774C"/>
    <w:rsid w:val="005A0DD4"/>
    <w:rsid w:val="005A1913"/>
    <w:rsid w:val="005A2EB1"/>
    <w:rsid w:val="005A2F99"/>
    <w:rsid w:val="005A4C90"/>
    <w:rsid w:val="005A58B4"/>
    <w:rsid w:val="005A6256"/>
    <w:rsid w:val="005A6B29"/>
    <w:rsid w:val="005A6DC1"/>
    <w:rsid w:val="005A6E49"/>
    <w:rsid w:val="005A6F50"/>
    <w:rsid w:val="005A7E3D"/>
    <w:rsid w:val="005B0E3E"/>
    <w:rsid w:val="005B17C4"/>
    <w:rsid w:val="005B1C34"/>
    <w:rsid w:val="005B2C8B"/>
    <w:rsid w:val="005B4BCE"/>
    <w:rsid w:val="005B50C7"/>
    <w:rsid w:val="005B6D6E"/>
    <w:rsid w:val="005B7D98"/>
    <w:rsid w:val="005B7E76"/>
    <w:rsid w:val="005C130F"/>
    <w:rsid w:val="005C2096"/>
    <w:rsid w:val="005C3919"/>
    <w:rsid w:val="005C4A67"/>
    <w:rsid w:val="005C62F3"/>
    <w:rsid w:val="005C6ED9"/>
    <w:rsid w:val="005D036D"/>
    <w:rsid w:val="005D1825"/>
    <w:rsid w:val="005D1F08"/>
    <w:rsid w:val="005D6DC0"/>
    <w:rsid w:val="005D7FB9"/>
    <w:rsid w:val="005E09FD"/>
    <w:rsid w:val="005E1096"/>
    <w:rsid w:val="005E12EF"/>
    <w:rsid w:val="005E1F23"/>
    <w:rsid w:val="005E2249"/>
    <w:rsid w:val="005E240E"/>
    <w:rsid w:val="005E2A2F"/>
    <w:rsid w:val="005E2A4F"/>
    <w:rsid w:val="005E3ED9"/>
    <w:rsid w:val="005E4474"/>
    <w:rsid w:val="005E4AC3"/>
    <w:rsid w:val="005E5D6E"/>
    <w:rsid w:val="005E5E5E"/>
    <w:rsid w:val="005E6197"/>
    <w:rsid w:val="005E655F"/>
    <w:rsid w:val="005E6DB3"/>
    <w:rsid w:val="005E76CA"/>
    <w:rsid w:val="005E791D"/>
    <w:rsid w:val="005F3382"/>
    <w:rsid w:val="005F57DC"/>
    <w:rsid w:val="005F5BB9"/>
    <w:rsid w:val="005F5F26"/>
    <w:rsid w:val="0060110A"/>
    <w:rsid w:val="006023DF"/>
    <w:rsid w:val="00603243"/>
    <w:rsid w:val="00603567"/>
    <w:rsid w:val="00603AF7"/>
    <w:rsid w:val="00603FFE"/>
    <w:rsid w:val="0060505D"/>
    <w:rsid w:val="006053B5"/>
    <w:rsid w:val="00606111"/>
    <w:rsid w:val="00606F47"/>
    <w:rsid w:val="00606FBB"/>
    <w:rsid w:val="006123BA"/>
    <w:rsid w:val="0061244D"/>
    <w:rsid w:val="00613E22"/>
    <w:rsid w:val="00614B06"/>
    <w:rsid w:val="00615420"/>
    <w:rsid w:val="006156FC"/>
    <w:rsid w:val="006167E5"/>
    <w:rsid w:val="00616B3D"/>
    <w:rsid w:val="006209FE"/>
    <w:rsid w:val="00621ADF"/>
    <w:rsid w:val="00621B47"/>
    <w:rsid w:val="00623289"/>
    <w:rsid w:val="00623652"/>
    <w:rsid w:val="006237EE"/>
    <w:rsid w:val="006238B3"/>
    <w:rsid w:val="00623900"/>
    <w:rsid w:val="00623E3B"/>
    <w:rsid w:val="006245E5"/>
    <w:rsid w:val="00625144"/>
    <w:rsid w:val="006259DE"/>
    <w:rsid w:val="00625E6D"/>
    <w:rsid w:val="00625FA5"/>
    <w:rsid w:val="0062794D"/>
    <w:rsid w:val="00627DEA"/>
    <w:rsid w:val="00630138"/>
    <w:rsid w:val="006304CA"/>
    <w:rsid w:val="006304F9"/>
    <w:rsid w:val="0063092D"/>
    <w:rsid w:val="00630987"/>
    <w:rsid w:val="00630A9E"/>
    <w:rsid w:val="00631BB5"/>
    <w:rsid w:val="00631E19"/>
    <w:rsid w:val="0063352C"/>
    <w:rsid w:val="00634681"/>
    <w:rsid w:val="006350D1"/>
    <w:rsid w:val="006353E1"/>
    <w:rsid w:val="00636C29"/>
    <w:rsid w:val="00637AAB"/>
    <w:rsid w:val="006403F1"/>
    <w:rsid w:val="006405C1"/>
    <w:rsid w:val="006409CC"/>
    <w:rsid w:val="00640A5F"/>
    <w:rsid w:val="00640BE7"/>
    <w:rsid w:val="006411D5"/>
    <w:rsid w:val="00641227"/>
    <w:rsid w:val="006427B9"/>
    <w:rsid w:val="0064312F"/>
    <w:rsid w:val="006431D9"/>
    <w:rsid w:val="0064326B"/>
    <w:rsid w:val="00643308"/>
    <w:rsid w:val="006460F8"/>
    <w:rsid w:val="00647DBF"/>
    <w:rsid w:val="00647FF3"/>
    <w:rsid w:val="00651C20"/>
    <w:rsid w:val="00651C8B"/>
    <w:rsid w:val="006528FC"/>
    <w:rsid w:val="0065298A"/>
    <w:rsid w:val="00655334"/>
    <w:rsid w:val="006553AA"/>
    <w:rsid w:val="006574D6"/>
    <w:rsid w:val="00657907"/>
    <w:rsid w:val="00657B5C"/>
    <w:rsid w:val="00657DB1"/>
    <w:rsid w:val="0066127A"/>
    <w:rsid w:val="00661AF1"/>
    <w:rsid w:val="00661C4C"/>
    <w:rsid w:val="0066217E"/>
    <w:rsid w:val="00663A9C"/>
    <w:rsid w:val="00663ED9"/>
    <w:rsid w:val="0066442A"/>
    <w:rsid w:val="0066524A"/>
    <w:rsid w:val="00667A2A"/>
    <w:rsid w:val="00670B72"/>
    <w:rsid w:val="00671853"/>
    <w:rsid w:val="00671DD2"/>
    <w:rsid w:val="006742D1"/>
    <w:rsid w:val="006743AF"/>
    <w:rsid w:val="006744F2"/>
    <w:rsid w:val="00674966"/>
    <w:rsid w:val="0067588E"/>
    <w:rsid w:val="006776B1"/>
    <w:rsid w:val="00680361"/>
    <w:rsid w:val="00681537"/>
    <w:rsid w:val="00681A4C"/>
    <w:rsid w:val="00681CF3"/>
    <w:rsid w:val="0068229F"/>
    <w:rsid w:val="00683488"/>
    <w:rsid w:val="00684076"/>
    <w:rsid w:val="00684AE8"/>
    <w:rsid w:val="00687036"/>
    <w:rsid w:val="00690858"/>
    <w:rsid w:val="00690938"/>
    <w:rsid w:val="006911B7"/>
    <w:rsid w:val="00691481"/>
    <w:rsid w:val="00691551"/>
    <w:rsid w:val="0069204E"/>
    <w:rsid w:val="00692847"/>
    <w:rsid w:val="00692A54"/>
    <w:rsid w:val="00692C5D"/>
    <w:rsid w:val="00693DBA"/>
    <w:rsid w:val="00694417"/>
    <w:rsid w:val="00694C15"/>
    <w:rsid w:val="006950BA"/>
    <w:rsid w:val="006956DE"/>
    <w:rsid w:val="00695742"/>
    <w:rsid w:val="0069798F"/>
    <w:rsid w:val="006A0A1A"/>
    <w:rsid w:val="006A16FE"/>
    <w:rsid w:val="006A186E"/>
    <w:rsid w:val="006A2D54"/>
    <w:rsid w:val="006A3FCC"/>
    <w:rsid w:val="006A4D6D"/>
    <w:rsid w:val="006A4DD2"/>
    <w:rsid w:val="006A6A48"/>
    <w:rsid w:val="006A6B0B"/>
    <w:rsid w:val="006A6D01"/>
    <w:rsid w:val="006A77FA"/>
    <w:rsid w:val="006A7F32"/>
    <w:rsid w:val="006B024D"/>
    <w:rsid w:val="006B06D5"/>
    <w:rsid w:val="006B14DD"/>
    <w:rsid w:val="006B190E"/>
    <w:rsid w:val="006B2069"/>
    <w:rsid w:val="006B2BE6"/>
    <w:rsid w:val="006B4651"/>
    <w:rsid w:val="006B49DD"/>
    <w:rsid w:val="006B6990"/>
    <w:rsid w:val="006C168D"/>
    <w:rsid w:val="006C2E98"/>
    <w:rsid w:val="006C3648"/>
    <w:rsid w:val="006C3DED"/>
    <w:rsid w:val="006C7B82"/>
    <w:rsid w:val="006D0810"/>
    <w:rsid w:val="006D28AC"/>
    <w:rsid w:val="006D4535"/>
    <w:rsid w:val="006D4550"/>
    <w:rsid w:val="006D509B"/>
    <w:rsid w:val="006D65A2"/>
    <w:rsid w:val="006D76D5"/>
    <w:rsid w:val="006D7AA5"/>
    <w:rsid w:val="006E033C"/>
    <w:rsid w:val="006E04DD"/>
    <w:rsid w:val="006E0512"/>
    <w:rsid w:val="006E0EB4"/>
    <w:rsid w:val="006E16B4"/>
    <w:rsid w:val="006E19F6"/>
    <w:rsid w:val="006E1A30"/>
    <w:rsid w:val="006E1E43"/>
    <w:rsid w:val="006E371F"/>
    <w:rsid w:val="006E3A73"/>
    <w:rsid w:val="006E4820"/>
    <w:rsid w:val="006E5774"/>
    <w:rsid w:val="006E58D6"/>
    <w:rsid w:val="006E6E25"/>
    <w:rsid w:val="006E79AD"/>
    <w:rsid w:val="006E7C9A"/>
    <w:rsid w:val="006F0CB6"/>
    <w:rsid w:val="006F1D90"/>
    <w:rsid w:val="006F262C"/>
    <w:rsid w:val="006F2702"/>
    <w:rsid w:val="006F3311"/>
    <w:rsid w:val="006F3715"/>
    <w:rsid w:val="006F3F6B"/>
    <w:rsid w:val="006F406F"/>
    <w:rsid w:val="006F52B6"/>
    <w:rsid w:val="006F5623"/>
    <w:rsid w:val="006F7091"/>
    <w:rsid w:val="006F70E5"/>
    <w:rsid w:val="006F7794"/>
    <w:rsid w:val="00701027"/>
    <w:rsid w:val="0070290B"/>
    <w:rsid w:val="00702949"/>
    <w:rsid w:val="0070374F"/>
    <w:rsid w:val="00703786"/>
    <w:rsid w:val="007058DA"/>
    <w:rsid w:val="007060BB"/>
    <w:rsid w:val="00706C05"/>
    <w:rsid w:val="007076E5"/>
    <w:rsid w:val="007077E6"/>
    <w:rsid w:val="00711344"/>
    <w:rsid w:val="00711A18"/>
    <w:rsid w:val="007128D2"/>
    <w:rsid w:val="00712D2A"/>
    <w:rsid w:val="00712EA4"/>
    <w:rsid w:val="0071395A"/>
    <w:rsid w:val="00713F99"/>
    <w:rsid w:val="00714C6C"/>
    <w:rsid w:val="00714F2E"/>
    <w:rsid w:val="00714F59"/>
    <w:rsid w:val="00714FE5"/>
    <w:rsid w:val="00715D62"/>
    <w:rsid w:val="00716692"/>
    <w:rsid w:val="007202F2"/>
    <w:rsid w:val="00720980"/>
    <w:rsid w:val="0072106C"/>
    <w:rsid w:val="00722CB2"/>
    <w:rsid w:val="00723107"/>
    <w:rsid w:val="007235E2"/>
    <w:rsid w:val="00724E7F"/>
    <w:rsid w:val="00725B9E"/>
    <w:rsid w:val="00725E0A"/>
    <w:rsid w:val="007261AC"/>
    <w:rsid w:val="007303EC"/>
    <w:rsid w:val="00730457"/>
    <w:rsid w:val="0073049F"/>
    <w:rsid w:val="00730A09"/>
    <w:rsid w:val="00730C73"/>
    <w:rsid w:val="0073107F"/>
    <w:rsid w:val="00731F0C"/>
    <w:rsid w:val="0073258A"/>
    <w:rsid w:val="00732DDC"/>
    <w:rsid w:val="00733889"/>
    <w:rsid w:val="00733CF6"/>
    <w:rsid w:val="00735E36"/>
    <w:rsid w:val="00736000"/>
    <w:rsid w:val="00736529"/>
    <w:rsid w:val="00736DCB"/>
    <w:rsid w:val="007403D8"/>
    <w:rsid w:val="00740761"/>
    <w:rsid w:val="0074134D"/>
    <w:rsid w:val="007413D3"/>
    <w:rsid w:val="007426F4"/>
    <w:rsid w:val="00743FEB"/>
    <w:rsid w:val="00744094"/>
    <w:rsid w:val="00744C57"/>
    <w:rsid w:val="00745BE1"/>
    <w:rsid w:val="00747E6D"/>
    <w:rsid w:val="007506B7"/>
    <w:rsid w:val="00751B88"/>
    <w:rsid w:val="00752A34"/>
    <w:rsid w:val="00752AFF"/>
    <w:rsid w:val="0075484C"/>
    <w:rsid w:val="00754A08"/>
    <w:rsid w:val="00754F47"/>
    <w:rsid w:val="00754F96"/>
    <w:rsid w:val="007552CC"/>
    <w:rsid w:val="00756708"/>
    <w:rsid w:val="00756D54"/>
    <w:rsid w:val="00757819"/>
    <w:rsid w:val="00757C85"/>
    <w:rsid w:val="00757D46"/>
    <w:rsid w:val="00760DF1"/>
    <w:rsid w:val="0076116F"/>
    <w:rsid w:val="00762591"/>
    <w:rsid w:val="00764F75"/>
    <w:rsid w:val="007661E8"/>
    <w:rsid w:val="00766824"/>
    <w:rsid w:val="00766DF7"/>
    <w:rsid w:val="00767E27"/>
    <w:rsid w:val="007701B6"/>
    <w:rsid w:val="007704E9"/>
    <w:rsid w:val="00771061"/>
    <w:rsid w:val="0077219A"/>
    <w:rsid w:val="007723C4"/>
    <w:rsid w:val="00777E72"/>
    <w:rsid w:val="0078056C"/>
    <w:rsid w:val="00780B1F"/>
    <w:rsid w:val="00781F1B"/>
    <w:rsid w:val="00783C8F"/>
    <w:rsid w:val="0078401F"/>
    <w:rsid w:val="00785CE0"/>
    <w:rsid w:val="00787E03"/>
    <w:rsid w:val="0079039D"/>
    <w:rsid w:val="007915A3"/>
    <w:rsid w:val="00791925"/>
    <w:rsid w:val="00792B45"/>
    <w:rsid w:val="00792C4E"/>
    <w:rsid w:val="00795BD9"/>
    <w:rsid w:val="007962E2"/>
    <w:rsid w:val="00796B10"/>
    <w:rsid w:val="00796B45"/>
    <w:rsid w:val="00796DCB"/>
    <w:rsid w:val="007A0B86"/>
    <w:rsid w:val="007A1723"/>
    <w:rsid w:val="007A24B4"/>
    <w:rsid w:val="007A2974"/>
    <w:rsid w:val="007A2A9E"/>
    <w:rsid w:val="007A3E59"/>
    <w:rsid w:val="007A4FD9"/>
    <w:rsid w:val="007A5B60"/>
    <w:rsid w:val="007A5E73"/>
    <w:rsid w:val="007A7241"/>
    <w:rsid w:val="007B0487"/>
    <w:rsid w:val="007B20FF"/>
    <w:rsid w:val="007B3E94"/>
    <w:rsid w:val="007B5B95"/>
    <w:rsid w:val="007B60B6"/>
    <w:rsid w:val="007B658B"/>
    <w:rsid w:val="007C0B2E"/>
    <w:rsid w:val="007C0EBA"/>
    <w:rsid w:val="007C2B59"/>
    <w:rsid w:val="007C2C0C"/>
    <w:rsid w:val="007C4025"/>
    <w:rsid w:val="007C43A8"/>
    <w:rsid w:val="007C690E"/>
    <w:rsid w:val="007C6B90"/>
    <w:rsid w:val="007C70DE"/>
    <w:rsid w:val="007C72EB"/>
    <w:rsid w:val="007D0ADA"/>
    <w:rsid w:val="007D2189"/>
    <w:rsid w:val="007D30AE"/>
    <w:rsid w:val="007D30CA"/>
    <w:rsid w:val="007D4A7B"/>
    <w:rsid w:val="007D4F4E"/>
    <w:rsid w:val="007D5939"/>
    <w:rsid w:val="007D6CA3"/>
    <w:rsid w:val="007D6FE4"/>
    <w:rsid w:val="007D713B"/>
    <w:rsid w:val="007D74E9"/>
    <w:rsid w:val="007E0C17"/>
    <w:rsid w:val="007E1972"/>
    <w:rsid w:val="007E24B4"/>
    <w:rsid w:val="007E3149"/>
    <w:rsid w:val="007E3DDE"/>
    <w:rsid w:val="007E491C"/>
    <w:rsid w:val="007E566D"/>
    <w:rsid w:val="007E5A32"/>
    <w:rsid w:val="007E6A66"/>
    <w:rsid w:val="007E6B96"/>
    <w:rsid w:val="007E715D"/>
    <w:rsid w:val="007E74B9"/>
    <w:rsid w:val="007F02AD"/>
    <w:rsid w:val="007F209D"/>
    <w:rsid w:val="007F52C9"/>
    <w:rsid w:val="007F5F22"/>
    <w:rsid w:val="007F664A"/>
    <w:rsid w:val="007F68CE"/>
    <w:rsid w:val="007F76AC"/>
    <w:rsid w:val="007F78B2"/>
    <w:rsid w:val="007F7A89"/>
    <w:rsid w:val="007F7EEF"/>
    <w:rsid w:val="008001B6"/>
    <w:rsid w:val="008003F6"/>
    <w:rsid w:val="00801C29"/>
    <w:rsid w:val="00801D35"/>
    <w:rsid w:val="008020A9"/>
    <w:rsid w:val="008026BB"/>
    <w:rsid w:val="008035CE"/>
    <w:rsid w:val="00803A71"/>
    <w:rsid w:val="008041A7"/>
    <w:rsid w:val="00804EB0"/>
    <w:rsid w:val="00805A42"/>
    <w:rsid w:val="00806EEB"/>
    <w:rsid w:val="008073B7"/>
    <w:rsid w:val="00807A75"/>
    <w:rsid w:val="008108B7"/>
    <w:rsid w:val="00811E07"/>
    <w:rsid w:val="00812AAF"/>
    <w:rsid w:val="00813360"/>
    <w:rsid w:val="008137F9"/>
    <w:rsid w:val="00814283"/>
    <w:rsid w:val="00815C1C"/>
    <w:rsid w:val="00816000"/>
    <w:rsid w:val="00816108"/>
    <w:rsid w:val="008169A6"/>
    <w:rsid w:val="0082039E"/>
    <w:rsid w:val="008204C8"/>
    <w:rsid w:val="00820971"/>
    <w:rsid w:val="00820CB7"/>
    <w:rsid w:val="00821569"/>
    <w:rsid w:val="008225A8"/>
    <w:rsid w:val="00823E16"/>
    <w:rsid w:val="0082595E"/>
    <w:rsid w:val="00825983"/>
    <w:rsid w:val="008260E8"/>
    <w:rsid w:val="00827E1E"/>
    <w:rsid w:val="00831B78"/>
    <w:rsid w:val="008321C4"/>
    <w:rsid w:val="0083308B"/>
    <w:rsid w:val="0083323B"/>
    <w:rsid w:val="00833509"/>
    <w:rsid w:val="00833963"/>
    <w:rsid w:val="0083459E"/>
    <w:rsid w:val="00836616"/>
    <w:rsid w:val="0083710C"/>
    <w:rsid w:val="0083717E"/>
    <w:rsid w:val="0083718A"/>
    <w:rsid w:val="00837635"/>
    <w:rsid w:val="008403E3"/>
    <w:rsid w:val="00840C7A"/>
    <w:rsid w:val="008417F2"/>
    <w:rsid w:val="00842F29"/>
    <w:rsid w:val="00843C26"/>
    <w:rsid w:val="008444D6"/>
    <w:rsid w:val="00844C78"/>
    <w:rsid w:val="008470D1"/>
    <w:rsid w:val="00847498"/>
    <w:rsid w:val="00851201"/>
    <w:rsid w:val="00851EC1"/>
    <w:rsid w:val="00851F2B"/>
    <w:rsid w:val="00853055"/>
    <w:rsid w:val="00853F54"/>
    <w:rsid w:val="00854B9C"/>
    <w:rsid w:val="00854E66"/>
    <w:rsid w:val="00855697"/>
    <w:rsid w:val="008558CF"/>
    <w:rsid w:val="00856334"/>
    <w:rsid w:val="00856CE7"/>
    <w:rsid w:val="00860246"/>
    <w:rsid w:val="00860A4D"/>
    <w:rsid w:val="0086117B"/>
    <w:rsid w:val="0086178E"/>
    <w:rsid w:val="0086187F"/>
    <w:rsid w:val="00862B13"/>
    <w:rsid w:val="00862C48"/>
    <w:rsid w:val="00864734"/>
    <w:rsid w:val="00865B2F"/>
    <w:rsid w:val="008668EF"/>
    <w:rsid w:val="00866AD5"/>
    <w:rsid w:val="00870582"/>
    <w:rsid w:val="00871CA9"/>
    <w:rsid w:val="00873E16"/>
    <w:rsid w:val="008741CA"/>
    <w:rsid w:val="008752DA"/>
    <w:rsid w:val="00875AB4"/>
    <w:rsid w:val="00875CFB"/>
    <w:rsid w:val="008760CD"/>
    <w:rsid w:val="008773DC"/>
    <w:rsid w:val="00877BCA"/>
    <w:rsid w:val="008814B5"/>
    <w:rsid w:val="0088172A"/>
    <w:rsid w:val="00881E6F"/>
    <w:rsid w:val="0088269A"/>
    <w:rsid w:val="00882A0E"/>
    <w:rsid w:val="00882BDD"/>
    <w:rsid w:val="008834D1"/>
    <w:rsid w:val="008855A0"/>
    <w:rsid w:val="00886CA1"/>
    <w:rsid w:val="00887989"/>
    <w:rsid w:val="0089007E"/>
    <w:rsid w:val="0089063A"/>
    <w:rsid w:val="008906D9"/>
    <w:rsid w:val="00890707"/>
    <w:rsid w:val="00892D40"/>
    <w:rsid w:val="0089310B"/>
    <w:rsid w:val="00893976"/>
    <w:rsid w:val="00893AD4"/>
    <w:rsid w:val="008940E7"/>
    <w:rsid w:val="008946C3"/>
    <w:rsid w:val="00894C8A"/>
    <w:rsid w:val="00895F2C"/>
    <w:rsid w:val="00896244"/>
    <w:rsid w:val="0089763A"/>
    <w:rsid w:val="008976AC"/>
    <w:rsid w:val="00897FC0"/>
    <w:rsid w:val="008A0376"/>
    <w:rsid w:val="008A0971"/>
    <w:rsid w:val="008A0D04"/>
    <w:rsid w:val="008A145C"/>
    <w:rsid w:val="008A1B08"/>
    <w:rsid w:val="008A23C1"/>
    <w:rsid w:val="008A2696"/>
    <w:rsid w:val="008A26EB"/>
    <w:rsid w:val="008A2AFF"/>
    <w:rsid w:val="008A2B30"/>
    <w:rsid w:val="008A2C05"/>
    <w:rsid w:val="008A2EC7"/>
    <w:rsid w:val="008A32A9"/>
    <w:rsid w:val="008A3716"/>
    <w:rsid w:val="008A4ABE"/>
    <w:rsid w:val="008A6260"/>
    <w:rsid w:val="008A78AD"/>
    <w:rsid w:val="008A79C5"/>
    <w:rsid w:val="008B0285"/>
    <w:rsid w:val="008B0D87"/>
    <w:rsid w:val="008B1B7B"/>
    <w:rsid w:val="008B2D30"/>
    <w:rsid w:val="008B3216"/>
    <w:rsid w:val="008B39CA"/>
    <w:rsid w:val="008B5273"/>
    <w:rsid w:val="008B5D59"/>
    <w:rsid w:val="008B617F"/>
    <w:rsid w:val="008C0243"/>
    <w:rsid w:val="008C0842"/>
    <w:rsid w:val="008C22C4"/>
    <w:rsid w:val="008C3219"/>
    <w:rsid w:val="008C3995"/>
    <w:rsid w:val="008C4CFB"/>
    <w:rsid w:val="008C5648"/>
    <w:rsid w:val="008C585B"/>
    <w:rsid w:val="008D05F2"/>
    <w:rsid w:val="008D1F31"/>
    <w:rsid w:val="008D2AA9"/>
    <w:rsid w:val="008D37AF"/>
    <w:rsid w:val="008D72A9"/>
    <w:rsid w:val="008D7616"/>
    <w:rsid w:val="008D7652"/>
    <w:rsid w:val="008E0B5E"/>
    <w:rsid w:val="008E3391"/>
    <w:rsid w:val="008E33E7"/>
    <w:rsid w:val="008E46CC"/>
    <w:rsid w:val="008E4CE7"/>
    <w:rsid w:val="008E6142"/>
    <w:rsid w:val="008E6EFB"/>
    <w:rsid w:val="008E75C0"/>
    <w:rsid w:val="008F0CD6"/>
    <w:rsid w:val="008F0E69"/>
    <w:rsid w:val="008F0F15"/>
    <w:rsid w:val="008F1416"/>
    <w:rsid w:val="008F1466"/>
    <w:rsid w:val="008F230B"/>
    <w:rsid w:val="008F2363"/>
    <w:rsid w:val="008F245A"/>
    <w:rsid w:val="008F24FB"/>
    <w:rsid w:val="008F2BCF"/>
    <w:rsid w:val="008F40CC"/>
    <w:rsid w:val="008F4486"/>
    <w:rsid w:val="008F45D6"/>
    <w:rsid w:val="008F5CD4"/>
    <w:rsid w:val="008F7879"/>
    <w:rsid w:val="0090051E"/>
    <w:rsid w:val="00900BA6"/>
    <w:rsid w:val="009022FA"/>
    <w:rsid w:val="009023E8"/>
    <w:rsid w:val="009025FC"/>
    <w:rsid w:val="009035CC"/>
    <w:rsid w:val="0090371E"/>
    <w:rsid w:val="00903B36"/>
    <w:rsid w:val="00903D79"/>
    <w:rsid w:val="00904A0D"/>
    <w:rsid w:val="00905C3D"/>
    <w:rsid w:val="00905C43"/>
    <w:rsid w:val="0090663E"/>
    <w:rsid w:val="00906A53"/>
    <w:rsid w:val="00906A69"/>
    <w:rsid w:val="00906B78"/>
    <w:rsid w:val="00907327"/>
    <w:rsid w:val="00907469"/>
    <w:rsid w:val="00910F75"/>
    <w:rsid w:val="009115D6"/>
    <w:rsid w:val="00912916"/>
    <w:rsid w:val="00912E8B"/>
    <w:rsid w:val="0091367A"/>
    <w:rsid w:val="00914617"/>
    <w:rsid w:val="009161C4"/>
    <w:rsid w:val="0091684B"/>
    <w:rsid w:val="00917639"/>
    <w:rsid w:val="009179BA"/>
    <w:rsid w:val="00922342"/>
    <w:rsid w:val="009225DA"/>
    <w:rsid w:val="00923160"/>
    <w:rsid w:val="00923C91"/>
    <w:rsid w:val="0092549B"/>
    <w:rsid w:val="0092632C"/>
    <w:rsid w:val="00926D29"/>
    <w:rsid w:val="00927E19"/>
    <w:rsid w:val="00927EC6"/>
    <w:rsid w:val="00932DF7"/>
    <w:rsid w:val="00934411"/>
    <w:rsid w:val="00934C55"/>
    <w:rsid w:val="00935294"/>
    <w:rsid w:val="00935732"/>
    <w:rsid w:val="0093677C"/>
    <w:rsid w:val="00936ADB"/>
    <w:rsid w:val="00936E0A"/>
    <w:rsid w:val="00937A47"/>
    <w:rsid w:val="0094064C"/>
    <w:rsid w:val="00941050"/>
    <w:rsid w:val="00941136"/>
    <w:rsid w:val="0094174F"/>
    <w:rsid w:val="0094191C"/>
    <w:rsid w:val="0094252C"/>
    <w:rsid w:val="00942670"/>
    <w:rsid w:val="00943C4A"/>
    <w:rsid w:val="009445BD"/>
    <w:rsid w:val="0094536E"/>
    <w:rsid w:val="00946337"/>
    <w:rsid w:val="00946DD0"/>
    <w:rsid w:val="009479CF"/>
    <w:rsid w:val="00950727"/>
    <w:rsid w:val="00950B7C"/>
    <w:rsid w:val="009512CB"/>
    <w:rsid w:val="00951AF4"/>
    <w:rsid w:val="00952B56"/>
    <w:rsid w:val="00953F6A"/>
    <w:rsid w:val="00954884"/>
    <w:rsid w:val="00955335"/>
    <w:rsid w:val="00956ED3"/>
    <w:rsid w:val="009579B9"/>
    <w:rsid w:val="0096051C"/>
    <w:rsid w:val="009613B4"/>
    <w:rsid w:val="00962FBE"/>
    <w:rsid w:val="009635B6"/>
    <w:rsid w:val="00963E9B"/>
    <w:rsid w:val="00970248"/>
    <w:rsid w:val="00970451"/>
    <w:rsid w:val="0097097E"/>
    <w:rsid w:val="00970BDC"/>
    <w:rsid w:val="00970EFC"/>
    <w:rsid w:val="009722F5"/>
    <w:rsid w:val="00973554"/>
    <w:rsid w:val="009743E1"/>
    <w:rsid w:val="00976567"/>
    <w:rsid w:val="0097656C"/>
    <w:rsid w:val="00976B3B"/>
    <w:rsid w:val="00976C60"/>
    <w:rsid w:val="009808F6"/>
    <w:rsid w:val="009809AB"/>
    <w:rsid w:val="00981D3A"/>
    <w:rsid w:val="00983E1B"/>
    <w:rsid w:val="0098434D"/>
    <w:rsid w:val="00985686"/>
    <w:rsid w:val="009856B5"/>
    <w:rsid w:val="00985DCB"/>
    <w:rsid w:val="00985F85"/>
    <w:rsid w:val="009867BD"/>
    <w:rsid w:val="00986D97"/>
    <w:rsid w:val="00987CED"/>
    <w:rsid w:val="00990B93"/>
    <w:rsid w:val="00990FF8"/>
    <w:rsid w:val="00992B7E"/>
    <w:rsid w:val="009931BE"/>
    <w:rsid w:val="009937F9"/>
    <w:rsid w:val="0099415E"/>
    <w:rsid w:val="0099421C"/>
    <w:rsid w:val="0099426D"/>
    <w:rsid w:val="009969BE"/>
    <w:rsid w:val="00996AE8"/>
    <w:rsid w:val="00997385"/>
    <w:rsid w:val="00997F7C"/>
    <w:rsid w:val="009A0720"/>
    <w:rsid w:val="009A0B54"/>
    <w:rsid w:val="009A3385"/>
    <w:rsid w:val="009A4A3D"/>
    <w:rsid w:val="009A5AC2"/>
    <w:rsid w:val="009A5CB7"/>
    <w:rsid w:val="009A62AD"/>
    <w:rsid w:val="009B74F3"/>
    <w:rsid w:val="009C0416"/>
    <w:rsid w:val="009C0DF8"/>
    <w:rsid w:val="009C27C0"/>
    <w:rsid w:val="009C3E61"/>
    <w:rsid w:val="009C45CC"/>
    <w:rsid w:val="009C54BD"/>
    <w:rsid w:val="009C5BE2"/>
    <w:rsid w:val="009C5FFF"/>
    <w:rsid w:val="009C772C"/>
    <w:rsid w:val="009C7B02"/>
    <w:rsid w:val="009D0EE6"/>
    <w:rsid w:val="009D299C"/>
    <w:rsid w:val="009D29E4"/>
    <w:rsid w:val="009D2FF4"/>
    <w:rsid w:val="009D4DEB"/>
    <w:rsid w:val="009D5471"/>
    <w:rsid w:val="009D6C7D"/>
    <w:rsid w:val="009D79F3"/>
    <w:rsid w:val="009D7B54"/>
    <w:rsid w:val="009E0C9D"/>
    <w:rsid w:val="009E0F39"/>
    <w:rsid w:val="009E3D49"/>
    <w:rsid w:val="009E4303"/>
    <w:rsid w:val="009E50F7"/>
    <w:rsid w:val="009E544A"/>
    <w:rsid w:val="009E54BD"/>
    <w:rsid w:val="009E564B"/>
    <w:rsid w:val="009E5EF1"/>
    <w:rsid w:val="009E5FD5"/>
    <w:rsid w:val="009E6238"/>
    <w:rsid w:val="009E723B"/>
    <w:rsid w:val="009E7275"/>
    <w:rsid w:val="009F0393"/>
    <w:rsid w:val="009F0B29"/>
    <w:rsid w:val="009F0E1E"/>
    <w:rsid w:val="009F28BA"/>
    <w:rsid w:val="009F2A31"/>
    <w:rsid w:val="009F2EC1"/>
    <w:rsid w:val="009F39D6"/>
    <w:rsid w:val="009F444D"/>
    <w:rsid w:val="009F4618"/>
    <w:rsid w:val="009F4A5D"/>
    <w:rsid w:val="009F4DDC"/>
    <w:rsid w:val="009F6149"/>
    <w:rsid w:val="009F64D7"/>
    <w:rsid w:val="009F6847"/>
    <w:rsid w:val="009F6A4B"/>
    <w:rsid w:val="009F6E07"/>
    <w:rsid w:val="009F7174"/>
    <w:rsid w:val="009F7D53"/>
    <w:rsid w:val="00A002C8"/>
    <w:rsid w:val="00A01E1F"/>
    <w:rsid w:val="00A02478"/>
    <w:rsid w:val="00A02771"/>
    <w:rsid w:val="00A02797"/>
    <w:rsid w:val="00A02D10"/>
    <w:rsid w:val="00A0553E"/>
    <w:rsid w:val="00A055E7"/>
    <w:rsid w:val="00A079D8"/>
    <w:rsid w:val="00A07F22"/>
    <w:rsid w:val="00A10388"/>
    <w:rsid w:val="00A115DB"/>
    <w:rsid w:val="00A128E9"/>
    <w:rsid w:val="00A12AE3"/>
    <w:rsid w:val="00A132A1"/>
    <w:rsid w:val="00A13BA8"/>
    <w:rsid w:val="00A143C0"/>
    <w:rsid w:val="00A15977"/>
    <w:rsid w:val="00A174C0"/>
    <w:rsid w:val="00A20356"/>
    <w:rsid w:val="00A21488"/>
    <w:rsid w:val="00A2184F"/>
    <w:rsid w:val="00A220AD"/>
    <w:rsid w:val="00A22457"/>
    <w:rsid w:val="00A2268B"/>
    <w:rsid w:val="00A228AA"/>
    <w:rsid w:val="00A2291F"/>
    <w:rsid w:val="00A23858"/>
    <w:rsid w:val="00A25467"/>
    <w:rsid w:val="00A25B7A"/>
    <w:rsid w:val="00A26A1A"/>
    <w:rsid w:val="00A26A4A"/>
    <w:rsid w:val="00A26DBE"/>
    <w:rsid w:val="00A27331"/>
    <w:rsid w:val="00A30B44"/>
    <w:rsid w:val="00A30B9C"/>
    <w:rsid w:val="00A316D3"/>
    <w:rsid w:val="00A3194D"/>
    <w:rsid w:val="00A341C5"/>
    <w:rsid w:val="00A34602"/>
    <w:rsid w:val="00A346BB"/>
    <w:rsid w:val="00A3517E"/>
    <w:rsid w:val="00A35EE4"/>
    <w:rsid w:val="00A36035"/>
    <w:rsid w:val="00A366FE"/>
    <w:rsid w:val="00A37561"/>
    <w:rsid w:val="00A37BF1"/>
    <w:rsid w:val="00A407D0"/>
    <w:rsid w:val="00A42859"/>
    <w:rsid w:val="00A42CC5"/>
    <w:rsid w:val="00A43494"/>
    <w:rsid w:val="00A43C41"/>
    <w:rsid w:val="00A440E6"/>
    <w:rsid w:val="00A44210"/>
    <w:rsid w:val="00A442F5"/>
    <w:rsid w:val="00A4479A"/>
    <w:rsid w:val="00A449A5"/>
    <w:rsid w:val="00A45C52"/>
    <w:rsid w:val="00A46008"/>
    <w:rsid w:val="00A4621E"/>
    <w:rsid w:val="00A464E6"/>
    <w:rsid w:val="00A46818"/>
    <w:rsid w:val="00A46EAA"/>
    <w:rsid w:val="00A47555"/>
    <w:rsid w:val="00A47781"/>
    <w:rsid w:val="00A47E2A"/>
    <w:rsid w:val="00A50665"/>
    <w:rsid w:val="00A50C3A"/>
    <w:rsid w:val="00A50D35"/>
    <w:rsid w:val="00A52438"/>
    <w:rsid w:val="00A529A4"/>
    <w:rsid w:val="00A529B2"/>
    <w:rsid w:val="00A52EC4"/>
    <w:rsid w:val="00A53F7E"/>
    <w:rsid w:val="00A53F81"/>
    <w:rsid w:val="00A54A12"/>
    <w:rsid w:val="00A55EF4"/>
    <w:rsid w:val="00A57FC6"/>
    <w:rsid w:val="00A61741"/>
    <w:rsid w:val="00A61D30"/>
    <w:rsid w:val="00A631D5"/>
    <w:rsid w:val="00A63A4A"/>
    <w:rsid w:val="00A63B84"/>
    <w:rsid w:val="00A63EC1"/>
    <w:rsid w:val="00A64769"/>
    <w:rsid w:val="00A6494C"/>
    <w:rsid w:val="00A6500C"/>
    <w:rsid w:val="00A65BA8"/>
    <w:rsid w:val="00A65F2A"/>
    <w:rsid w:val="00A66FBB"/>
    <w:rsid w:val="00A67423"/>
    <w:rsid w:val="00A67795"/>
    <w:rsid w:val="00A67ACC"/>
    <w:rsid w:val="00A67C80"/>
    <w:rsid w:val="00A67FBB"/>
    <w:rsid w:val="00A70692"/>
    <w:rsid w:val="00A71024"/>
    <w:rsid w:val="00A7292F"/>
    <w:rsid w:val="00A742DB"/>
    <w:rsid w:val="00A74542"/>
    <w:rsid w:val="00A750E4"/>
    <w:rsid w:val="00A76F5C"/>
    <w:rsid w:val="00A80AAE"/>
    <w:rsid w:val="00A80F68"/>
    <w:rsid w:val="00A81131"/>
    <w:rsid w:val="00A81670"/>
    <w:rsid w:val="00A829D2"/>
    <w:rsid w:val="00A8373C"/>
    <w:rsid w:val="00A847A6"/>
    <w:rsid w:val="00A84F01"/>
    <w:rsid w:val="00A85159"/>
    <w:rsid w:val="00A8529B"/>
    <w:rsid w:val="00A868C5"/>
    <w:rsid w:val="00A87CEA"/>
    <w:rsid w:val="00A9021E"/>
    <w:rsid w:val="00A90CBA"/>
    <w:rsid w:val="00A91428"/>
    <w:rsid w:val="00A924F5"/>
    <w:rsid w:val="00A92E49"/>
    <w:rsid w:val="00A9318B"/>
    <w:rsid w:val="00A935DC"/>
    <w:rsid w:val="00A93FE3"/>
    <w:rsid w:val="00A94593"/>
    <w:rsid w:val="00A94CC6"/>
    <w:rsid w:val="00A9562E"/>
    <w:rsid w:val="00A97525"/>
    <w:rsid w:val="00AA0914"/>
    <w:rsid w:val="00AA1EC1"/>
    <w:rsid w:val="00AA3137"/>
    <w:rsid w:val="00AA385F"/>
    <w:rsid w:val="00AA3DAF"/>
    <w:rsid w:val="00AA415D"/>
    <w:rsid w:val="00AA4778"/>
    <w:rsid w:val="00AA5267"/>
    <w:rsid w:val="00AA56CE"/>
    <w:rsid w:val="00AA636B"/>
    <w:rsid w:val="00AA67B1"/>
    <w:rsid w:val="00AA6C80"/>
    <w:rsid w:val="00AA78EB"/>
    <w:rsid w:val="00AB2CF8"/>
    <w:rsid w:val="00AB4DBD"/>
    <w:rsid w:val="00AB55D8"/>
    <w:rsid w:val="00AB5A9E"/>
    <w:rsid w:val="00AB63EB"/>
    <w:rsid w:val="00AB6C75"/>
    <w:rsid w:val="00AC0F10"/>
    <w:rsid w:val="00AC10A2"/>
    <w:rsid w:val="00AC263C"/>
    <w:rsid w:val="00AC30C2"/>
    <w:rsid w:val="00AC34D4"/>
    <w:rsid w:val="00AC4066"/>
    <w:rsid w:val="00AC566C"/>
    <w:rsid w:val="00AC58E2"/>
    <w:rsid w:val="00AC66A1"/>
    <w:rsid w:val="00AC7C23"/>
    <w:rsid w:val="00AD0ACE"/>
    <w:rsid w:val="00AD12CE"/>
    <w:rsid w:val="00AD288E"/>
    <w:rsid w:val="00AD2902"/>
    <w:rsid w:val="00AD2D9F"/>
    <w:rsid w:val="00AD344A"/>
    <w:rsid w:val="00AD51D5"/>
    <w:rsid w:val="00AD555F"/>
    <w:rsid w:val="00AD5F05"/>
    <w:rsid w:val="00AD6806"/>
    <w:rsid w:val="00AE02AE"/>
    <w:rsid w:val="00AE0BA3"/>
    <w:rsid w:val="00AE276F"/>
    <w:rsid w:val="00AE2A26"/>
    <w:rsid w:val="00AE3100"/>
    <w:rsid w:val="00AE38C8"/>
    <w:rsid w:val="00AE3987"/>
    <w:rsid w:val="00AE3DD1"/>
    <w:rsid w:val="00AE4C14"/>
    <w:rsid w:val="00AE5294"/>
    <w:rsid w:val="00AE78D2"/>
    <w:rsid w:val="00AF07A7"/>
    <w:rsid w:val="00AF1312"/>
    <w:rsid w:val="00AF1715"/>
    <w:rsid w:val="00AF17C8"/>
    <w:rsid w:val="00AF2ADB"/>
    <w:rsid w:val="00AF2B62"/>
    <w:rsid w:val="00AF2EBF"/>
    <w:rsid w:val="00AF5B21"/>
    <w:rsid w:val="00AF627E"/>
    <w:rsid w:val="00AF7C9E"/>
    <w:rsid w:val="00AF7E76"/>
    <w:rsid w:val="00B006A3"/>
    <w:rsid w:val="00B010DE"/>
    <w:rsid w:val="00B02CB6"/>
    <w:rsid w:val="00B03CBB"/>
    <w:rsid w:val="00B04FA5"/>
    <w:rsid w:val="00B04FFB"/>
    <w:rsid w:val="00B06852"/>
    <w:rsid w:val="00B07725"/>
    <w:rsid w:val="00B07A54"/>
    <w:rsid w:val="00B1090C"/>
    <w:rsid w:val="00B12766"/>
    <w:rsid w:val="00B12BBC"/>
    <w:rsid w:val="00B12DBF"/>
    <w:rsid w:val="00B14042"/>
    <w:rsid w:val="00B141A1"/>
    <w:rsid w:val="00B14ED6"/>
    <w:rsid w:val="00B154F1"/>
    <w:rsid w:val="00B161E3"/>
    <w:rsid w:val="00B16684"/>
    <w:rsid w:val="00B16938"/>
    <w:rsid w:val="00B171E8"/>
    <w:rsid w:val="00B175D2"/>
    <w:rsid w:val="00B17BFF"/>
    <w:rsid w:val="00B17CFF"/>
    <w:rsid w:val="00B20A9F"/>
    <w:rsid w:val="00B21C51"/>
    <w:rsid w:val="00B21CA5"/>
    <w:rsid w:val="00B220B0"/>
    <w:rsid w:val="00B225CF"/>
    <w:rsid w:val="00B2297C"/>
    <w:rsid w:val="00B22BD2"/>
    <w:rsid w:val="00B235CB"/>
    <w:rsid w:val="00B24695"/>
    <w:rsid w:val="00B24DEB"/>
    <w:rsid w:val="00B25EB4"/>
    <w:rsid w:val="00B265D5"/>
    <w:rsid w:val="00B27045"/>
    <w:rsid w:val="00B27409"/>
    <w:rsid w:val="00B277D7"/>
    <w:rsid w:val="00B3015A"/>
    <w:rsid w:val="00B3083A"/>
    <w:rsid w:val="00B32104"/>
    <w:rsid w:val="00B3256C"/>
    <w:rsid w:val="00B32F8B"/>
    <w:rsid w:val="00B36212"/>
    <w:rsid w:val="00B36A92"/>
    <w:rsid w:val="00B36C41"/>
    <w:rsid w:val="00B37C85"/>
    <w:rsid w:val="00B40190"/>
    <w:rsid w:val="00B4025A"/>
    <w:rsid w:val="00B407BD"/>
    <w:rsid w:val="00B4090B"/>
    <w:rsid w:val="00B40FC2"/>
    <w:rsid w:val="00B410A3"/>
    <w:rsid w:val="00B41C18"/>
    <w:rsid w:val="00B43923"/>
    <w:rsid w:val="00B444AC"/>
    <w:rsid w:val="00B44A49"/>
    <w:rsid w:val="00B44B0B"/>
    <w:rsid w:val="00B47195"/>
    <w:rsid w:val="00B477C1"/>
    <w:rsid w:val="00B47B13"/>
    <w:rsid w:val="00B50D27"/>
    <w:rsid w:val="00B51097"/>
    <w:rsid w:val="00B51298"/>
    <w:rsid w:val="00B51977"/>
    <w:rsid w:val="00B5294E"/>
    <w:rsid w:val="00B54274"/>
    <w:rsid w:val="00B54755"/>
    <w:rsid w:val="00B55119"/>
    <w:rsid w:val="00B55212"/>
    <w:rsid w:val="00B55E22"/>
    <w:rsid w:val="00B56260"/>
    <w:rsid w:val="00B6003C"/>
    <w:rsid w:val="00B60850"/>
    <w:rsid w:val="00B627C6"/>
    <w:rsid w:val="00B63EAB"/>
    <w:rsid w:val="00B6486E"/>
    <w:rsid w:val="00B65250"/>
    <w:rsid w:val="00B65AAC"/>
    <w:rsid w:val="00B65CE1"/>
    <w:rsid w:val="00B66989"/>
    <w:rsid w:val="00B66BBB"/>
    <w:rsid w:val="00B66E8B"/>
    <w:rsid w:val="00B70637"/>
    <w:rsid w:val="00B71577"/>
    <w:rsid w:val="00B71B0E"/>
    <w:rsid w:val="00B7207B"/>
    <w:rsid w:val="00B725C7"/>
    <w:rsid w:val="00B742BA"/>
    <w:rsid w:val="00B743A2"/>
    <w:rsid w:val="00B74D31"/>
    <w:rsid w:val="00B75627"/>
    <w:rsid w:val="00B8012C"/>
    <w:rsid w:val="00B80327"/>
    <w:rsid w:val="00B80A9A"/>
    <w:rsid w:val="00B82FF7"/>
    <w:rsid w:val="00B832B8"/>
    <w:rsid w:val="00B83BF0"/>
    <w:rsid w:val="00B85B02"/>
    <w:rsid w:val="00B87ACE"/>
    <w:rsid w:val="00B901B1"/>
    <w:rsid w:val="00B90CCD"/>
    <w:rsid w:val="00B93003"/>
    <w:rsid w:val="00B9388C"/>
    <w:rsid w:val="00B97123"/>
    <w:rsid w:val="00B97377"/>
    <w:rsid w:val="00BA016A"/>
    <w:rsid w:val="00BA08ED"/>
    <w:rsid w:val="00BA09D7"/>
    <w:rsid w:val="00BA1A40"/>
    <w:rsid w:val="00BA1ACF"/>
    <w:rsid w:val="00BA2913"/>
    <w:rsid w:val="00BA3CCD"/>
    <w:rsid w:val="00BA5444"/>
    <w:rsid w:val="00BB0CDA"/>
    <w:rsid w:val="00BB0D93"/>
    <w:rsid w:val="00BB12DF"/>
    <w:rsid w:val="00BB1700"/>
    <w:rsid w:val="00BB1EB5"/>
    <w:rsid w:val="00BB1F2B"/>
    <w:rsid w:val="00BB2016"/>
    <w:rsid w:val="00BB3105"/>
    <w:rsid w:val="00BB4B65"/>
    <w:rsid w:val="00BB5080"/>
    <w:rsid w:val="00BB51B1"/>
    <w:rsid w:val="00BB5424"/>
    <w:rsid w:val="00BB5D0B"/>
    <w:rsid w:val="00BB6475"/>
    <w:rsid w:val="00BB6885"/>
    <w:rsid w:val="00BB6AEA"/>
    <w:rsid w:val="00BB7431"/>
    <w:rsid w:val="00BB75E1"/>
    <w:rsid w:val="00BC02DD"/>
    <w:rsid w:val="00BC0589"/>
    <w:rsid w:val="00BC05D2"/>
    <w:rsid w:val="00BC0F1A"/>
    <w:rsid w:val="00BC2083"/>
    <w:rsid w:val="00BC24A0"/>
    <w:rsid w:val="00BC2598"/>
    <w:rsid w:val="00BC27BA"/>
    <w:rsid w:val="00BC2D19"/>
    <w:rsid w:val="00BC34F2"/>
    <w:rsid w:val="00BC3DFD"/>
    <w:rsid w:val="00BC4AE3"/>
    <w:rsid w:val="00BC50DD"/>
    <w:rsid w:val="00BC524B"/>
    <w:rsid w:val="00BC5376"/>
    <w:rsid w:val="00BC5E61"/>
    <w:rsid w:val="00BC7140"/>
    <w:rsid w:val="00BC71F6"/>
    <w:rsid w:val="00BC75CB"/>
    <w:rsid w:val="00BC7689"/>
    <w:rsid w:val="00BD09F2"/>
    <w:rsid w:val="00BD0FCF"/>
    <w:rsid w:val="00BD1B45"/>
    <w:rsid w:val="00BD2197"/>
    <w:rsid w:val="00BD3C8E"/>
    <w:rsid w:val="00BD3DE6"/>
    <w:rsid w:val="00BD6A44"/>
    <w:rsid w:val="00BD745E"/>
    <w:rsid w:val="00BD7542"/>
    <w:rsid w:val="00BD7850"/>
    <w:rsid w:val="00BD797B"/>
    <w:rsid w:val="00BE09DA"/>
    <w:rsid w:val="00BE3D15"/>
    <w:rsid w:val="00BE3D6F"/>
    <w:rsid w:val="00BE44F5"/>
    <w:rsid w:val="00BE4A0A"/>
    <w:rsid w:val="00BE5113"/>
    <w:rsid w:val="00BE7281"/>
    <w:rsid w:val="00BF2038"/>
    <w:rsid w:val="00BF218B"/>
    <w:rsid w:val="00BF32A9"/>
    <w:rsid w:val="00BF360C"/>
    <w:rsid w:val="00BF4596"/>
    <w:rsid w:val="00BF4B2C"/>
    <w:rsid w:val="00BF6BD1"/>
    <w:rsid w:val="00BF7638"/>
    <w:rsid w:val="00C0147F"/>
    <w:rsid w:val="00C023C9"/>
    <w:rsid w:val="00C02BAE"/>
    <w:rsid w:val="00C03B11"/>
    <w:rsid w:val="00C07CD1"/>
    <w:rsid w:val="00C07E81"/>
    <w:rsid w:val="00C10244"/>
    <w:rsid w:val="00C12EA7"/>
    <w:rsid w:val="00C147C3"/>
    <w:rsid w:val="00C151B4"/>
    <w:rsid w:val="00C166AE"/>
    <w:rsid w:val="00C16CCE"/>
    <w:rsid w:val="00C206B4"/>
    <w:rsid w:val="00C21FAB"/>
    <w:rsid w:val="00C22142"/>
    <w:rsid w:val="00C226E0"/>
    <w:rsid w:val="00C23257"/>
    <w:rsid w:val="00C23A06"/>
    <w:rsid w:val="00C23E65"/>
    <w:rsid w:val="00C2406F"/>
    <w:rsid w:val="00C24513"/>
    <w:rsid w:val="00C24BF9"/>
    <w:rsid w:val="00C251D9"/>
    <w:rsid w:val="00C25374"/>
    <w:rsid w:val="00C26194"/>
    <w:rsid w:val="00C26B24"/>
    <w:rsid w:val="00C272BB"/>
    <w:rsid w:val="00C27887"/>
    <w:rsid w:val="00C27FD5"/>
    <w:rsid w:val="00C3088F"/>
    <w:rsid w:val="00C30EFF"/>
    <w:rsid w:val="00C31684"/>
    <w:rsid w:val="00C31EE4"/>
    <w:rsid w:val="00C32FBD"/>
    <w:rsid w:val="00C33F1F"/>
    <w:rsid w:val="00C344E6"/>
    <w:rsid w:val="00C34A05"/>
    <w:rsid w:val="00C351F0"/>
    <w:rsid w:val="00C35605"/>
    <w:rsid w:val="00C35707"/>
    <w:rsid w:val="00C36A68"/>
    <w:rsid w:val="00C4042A"/>
    <w:rsid w:val="00C409A9"/>
    <w:rsid w:val="00C40B67"/>
    <w:rsid w:val="00C41049"/>
    <w:rsid w:val="00C430C5"/>
    <w:rsid w:val="00C43262"/>
    <w:rsid w:val="00C43845"/>
    <w:rsid w:val="00C43A19"/>
    <w:rsid w:val="00C43C23"/>
    <w:rsid w:val="00C440E5"/>
    <w:rsid w:val="00C44921"/>
    <w:rsid w:val="00C4586D"/>
    <w:rsid w:val="00C459F4"/>
    <w:rsid w:val="00C463E1"/>
    <w:rsid w:val="00C46A84"/>
    <w:rsid w:val="00C473DC"/>
    <w:rsid w:val="00C47AD4"/>
    <w:rsid w:val="00C50351"/>
    <w:rsid w:val="00C507B3"/>
    <w:rsid w:val="00C508D2"/>
    <w:rsid w:val="00C5104C"/>
    <w:rsid w:val="00C51793"/>
    <w:rsid w:val="00C519A7"/>
    <w:rsid w:val="00C519CC"/>
    <w:rsid w:val="00C528AE"/>
    <w:rsid w:val="00C554B5"/>
    <w:rsid w:val="00C55EF4"/>
    <w:rsid w:val="00C57421"/>
    <w:rsid w:val="00C576D9"/>
    <w:rsid w:val="00C57BFA"/>
    <w:rsid w:val="00C608F5"/>
    <w:rsid w:val="00C60929"/>
    <w:rsid w:val="00C60CF3"/>
    <w:rsid w:val="00C61C49"/>
    <w:rsid w:val="00C624B2"/>
    <w:rsid w:val="00C62A4F"/>
    <w:rsid w:val="00C6333D"/>
    <w:rsid w:val="00C6458E"/>
    <w:rsid w:val="00C66026"/>
    <w:rsid w:val="00C66385"/>
    <w:rsid w:val="00C66F27"/>
    <w:rsid w:val="00C70130"/>
    <w:rsid w:val="00C74597"/>
    <w:rsid w:val="00C75E23"/>
    <w:rsid w:val="00C77D36"/>
    <w:rsid w:val="00C8038C"/>
    <w:rsid w:val="00C80FA0"/>
    <w:rsid w:val="00C814DC"/>
    <w:rsid w:val="00C82B0C"/>
    <w:rsid w:val="00C82EF8"/>
    <w:rsid w:val="00C83483"/>
    <w:rsid w:val="00C83CBE"/>
    <w:rsid w:val="00C83DE7"/>
    <w:rsid w:val="00C863A3"/>
    <w:rsid w:val="00C8771B"/>
    <w:rsid w:val="00C87909"/>
    <w:rsid w:val="00C90001"/>
    <w:rsid w:val="00C902EE"/>
    <w:rsid w:val="00C90767"/>
    <w:rsid w:val="00C91A0F"/>
    <w:rsid w:val="00C9446E"/>
    <w:rsid w:val="00C94634"/>
    <w:rsid w:val="00C9463F"/>
    <w:rsid w:val="00C94F66"/>
    <w:rsid w:val="00C94FFC"/>
    <w:rsid w:val="00C95E39"/>
    <w:rsid w:val="00C95E68"/>
    <w:rsid w:val="00C961EE"/>
    <w:rsid w:val="00C974A4"/>
    <w:rsid w:val="00C9795E"/>
    <w:rsid w:val="00C97985"/>
    <w:rsid w:val="00C97BCA"/>
    <w:rsid w:val="00CA08DE"/>
    <w:rsid w:val="00CA0FAF"/>
    <w:rsid w:val="00CA285B"/>
    <w:rsid w:val="00CA3818"/>
    <w:rsid w:val="00CA3ADE"/>
    <w:rsid w:val="00CA4111"/>
    <w:rsid w:val="00CA4E20"/>
    <w:rsid w:val="00CA5545"/>
    <w:rsid w:val="00CA5BCF"/>
    <w:rsid w:val="00CA61B6"/>
    <w:rsid w:val="00CA7859"/>
    <w:rsid w:val="00CB13B9"/>
    <w:rsid w:val="00CB13D1"/>
    <w:rsid w:val="00CB25CD"/>
    <w:rsid w:val="00CB302B"/>
    <w:rsid w:val="00CB3261"/>
    <w:rsid w:val="00CB336C"/>
    <w:rsid w:val="00CB5CEF"/>
    <w:rsid w:val="00CB6711"/>
    <w:rsid w:val="00CC1898"/>
    <w:rsid w:val="00CC234C"/>
    <w:rsid w:val="00CC301D"/>
    <w:rsid w:val="00CC374A"/>
    <w:rsid w:val="00CC4860"/>
    <w:rsid w:val="00CC5114"/>
    <w:rsid w:val="00CC5BB1"/>
    <w:rsid w:val="00CC74AB"/>
    <w:rsid w:val="00CD02F7"/>
    <w:rsid w:val="00CD1B1F"/>
    <w:rsid w:val="00CD296F"/>
    <w:rsid w:val="00CD33D7"/>
    <w:rsid w:val="00CD474E"/>
    <w:rsid w:val="00CD4D22"/>
    <w:rsid w:val="00CD599B"/>
    <w:rsid w:val="00CD70FD"/>
    <w:rsid w:val="00CD7910"/>
    <w:rsid w:val="00CD7FDE"/>
    <w:rsid w:val="00CE0788"/>
    <w:rsid w:val="00CE1498"/>
    <w:rsid w:val="00CE16BA"/>
    <w:rsid w:val="00CE1D48"/>
    <w:rsid w:val="00CE2297"/>
    <w:rsid w:val="00CE2BDB"/>
    <w:rsid w:val="00CE3CAF"/>
    <w:rsid w:val="00CE5037"/>
    <w:rsid w:val="00CE6C77"/>
    <w:rsid w:val="00CE7028"/>
    <w:rsid w:val="00CE70E3"/>
    <w:rsid w:val="00CE76B1"/>
    <w:rsid w:val="00CE78E8"/>
    <w:rsid w:val="00CE7C95"/>
    <w:rsid w:val="00CF0415"/>
    <w:rsid w:val="00CF0554"/>
    <w:rsid w:val="00CF146B"/>
    <w:rsid w:val="00CF2B81"/>
    <w:rsid w:val="00CF2DDF"/>
    <w:rsid w:val="00CF4035"/>
    <w:rsid w:val="00CF5004"/>
    <w:rsid w:val="00CF512C"/>
    <w:rsid w:val="00CF5144"/>
    <w:rsid w:val="00CF6272"/>
    <w:rsid w:val="00CF77AE"/>
    <w:rsid w:val="00D00E32"/>
    <w:rsid w:val="00D00EE5"/>
    <w:rsid w:val="00D01CD7"/>
    <w:rsid w:val="00D0305E"/>
    <w:rsid w:val="00D03EAB"/>
    <w:rsid w:val="00D03FAB"/>
    <w:rsid w:val="00D06B4F"/>
    <w:rsid w:val="00D106ED"/>
    <w:rsid w:val="00D12A0B"/>
    <w:rsid w:val="00D13DCF"/>
    <w:rsid w:val="00D14A04"/>
    <w:rsid w:val="00D15185"/>
    <w:rsid w:val="00D16676"/>
    <w:rsid w:val="00D17356"/>
    <w:rsid w:val="00D209EF"/>
    <w:rsid w:val="00D21F65"/>
    <w:rsid w:val="00D225A2"/>
    <w:rsid w:val="00D22967"/>
    <w:rsid w:val="00D243B9"/>
    <w:rsid w:val="00D24F92"/>
    <w:rsid w:val="00D31AF3"/>
    <w:rsid w:val="00D3216F"/>
    <w:rsid w:val="00D32ABF"/>
    <w:rsid w:val="00D334C7"/>
    <w:rsid w:val="00D35EB9"/>
    <w:rsid w:val="00D36DDD"/>
    <w:rsid w:val="00D37BF9"/>
    <w:rsid w:val="00D40ADD"/>
    <w:rsid w:val="00D4174B"/>
    <w:rsid w:val="00D421B3"/>
    <w:rsid w:val="00D4393A"/>
    <w:rsid w:val="00D4407F"/>
    <w:rsid w:val="00D44634"/>
    <w:rsid w:val="00D448AC"/>
    <w:rsid w:val="00D44A89"/>
    <w:rsid w:val="00D5002A"/>
    <w:rsid w:val="00D50B20"/>
    <w:rsid w:val="00D52974"/>
    <w:rsid w:val="00D52F3C"/>
    <w:rsid w:val="00D52F65"/>
    <w:rsid w:val="00D55E4B"/>
    <w:rsid w:val="00D5607C"/>
    <w:rsid w:val="00D56F98"/>
    <w:rsid w:val="00D573D6"/>
    <w:rsid w:val="00D603EC"/>
    <w:rsid w:val="00D60A52"/>
    <w:rsid w:val="00D62945"/>
    <w:rsid w:val="00D6297F"/>
    <w:rsid w:val="00D64C62"/>
    <w:rsid w:val="00D653C3"/>
    <w:rsid w:val="00D65F19"/>
    <w:rsid w:val="00D66AF7"/>
    <w:rsid w:val="00D6717C"/>
    <w:rsid w:val="00D67650"/>
    <w:rsid w:val="00D678F5"/>
    <w:rsid w:val="00D70929"/>
    <w:rsid w:val="00D70A12"/>
    <w:rsid w:val="00D719CF"/>
    <w:rsid w:val="00D720A7"/>
    <w:rsid w:val="00D72248"/>
    <w:rsid w:val="00D73842"/>
    <w:rsid w:val="00D7691B"/>
    <w:rsid w:val="00D8080B"/>
    <w:rsid w:val="00D80965"/>
    <w:rsid w:val="00D81291"/>
    <w:rsid w:val="00D81F82"/>
    <w:rsid w:val="00D82A12"/>
    <w:rsid w:val="00D84D4A"/>
    <w:rsid w:val="00D84D4B"/>
    <w:rsid w:val="00D85483"/>
    <w:rsid w:val="00D8597F"/>
    <w:rsid w:val="00D8601B"/>
    <w:rsid w:val="00D9035E"/>
    <w:rsid w:val="00D9114B"/>
    <w:rsid w:val="00D92A5A"/>
    <w:rsid w:val="00D9319B"/>
    <w:rsid w:val="00D935F2"/>
    <w:rsid w:val="00D940A2"/>
    <w:rsid w:val="00D944FA"/>
    <w:rsid w:val="00D96771"/>
    <w:rsid w:val="00D970C3"/>
    <w:rsid w:val="00D97F4F"/>
    <w:rsid w:val="00DA000A"/>
    <w:rsid w:val="00DA049B"/>
    <w:rsid w:val="00DA0DF6"/>
    <w:rsid w:val="00DA1868"/>
    <w:rsid w:val="00DA1AC1"/>
    <w:rsid w:val="00DA2F48"/>
    <w:rsid w:val="00DA3D27"/>
    <w:rsid w:val="00DA3F8E"/>
    <w:rsid w:val="00DA5280"/>
    <w:rsid w:val="00DA546F"/>
    <w:rsid w:val="00DA63B5"/>
    <w:rsid w:val="00DA713C"/>
    <w:rsid w:val="00DA779C"/>
    <w:rsid w:val="00DB203F"/>
    <w:rsid w:val="00DB238A"/>
    <w:rsid w:val="00DB2AB4"/>
    <w:rsid w:val="00DB330E"/>
    <w:rsid w:val="00DB3467"/>
    <w:rsid w:val="00DB49F8"/>
    <w:rsid w:val="00DB4D88"/>
    <w:rsid w:val="00DC0A9A"/>
    <w:rsid w:val="00DC0F47"/>
    <w:rsid w:val="00DC179F"/>
    <w:rsid w:val="00DC21DD"/>
    <w:rsid w:val="00DC24EE"/>
    <w:rsid w:val="00DC2D60"/>
    <w:rsid w:val="00DC3254"/>
    <w:rsid w:val="00DC3675"/>
    <w:rsid w:val="00DC442C"/>
    <w:rsid w:val="00DC4D4F"/>
    <w:rsid w:val="00DC578F"/>
    <w:rsid w:val="00DC6DCE"/>
    <w:rsid w:val="00DC7257"/>
    <w:rsid w:val="00DC7994"/>
    <w:rsid w:val="00DD1B45"/>
    <w:rsid w:val="00DD1CD6"/>
    <w:rsid w:val="00DD62AC"/>
    <w:rsid w:val="00DD67BF"/>
    <w:rsid w:val="00DD7997"/>
    <w:rsid w:val="00DD7CA8"/>
    <w:rsid w:val="00DD7F3B"/>
    <w:rsid w:val="00DE100E"/>
    <w:rsid w:val="00DE24AB"/>
    <w:rsid w:val="00DE4C5E"/>
    <w:rsid w:val="00DE5FA9"/>
    <w:rsid w:val="00DE6AD7"/>
    <w:rsid w:val="00DE7076"/>
    <w:rsid w:val="00DF0830"/>
    <w:rsid w:val="00DF0B61"/>
    <w:rsid w:val="00DF207F"/>
    <w:rsid w:val="00DF2350"/>
    <w:rsid w:val="00DF40E4"/>
    <w:rsid w:val="00DF4386"/>
    <w:rsid w:val="00DF4770"/>
    <w:rsid w:val="00DF480B"/>
    <w:rsid w:val="00DF5571"/>
    <w:rsid w:val="00DF56C4"/>
    <w:rsid w:val="00DF611B"/>
    <w:rsid w:val="00E001A2"/>
    <w:rsid w:val="00E00C85"/>
    <w:rsid w:val="00E0175A"/>
    <w:rsid w:val="00E023A3"/>
    <w:rsid w:val="00E02E20"/>
    <w:rsid w:val="00E03C96"/>
    <w:rsid w:val="00E0656E"/>
    <w:rsid w:val="00E06A52"/>
    <w:rsid w:val="00E0707D"/>
    <w:rsid w:val="00E07C52"/>
    <w:rsid w:val="00E10327"/>
    <w:rsid w:val="00E10A8E"/>
    <w:rsid w:val="00E10F0A"/>
    <w:rsid w:val="00E11191"/>
    <w:rsid w:val="00E122BF"/>
    <w:rsid w:val="00E1315C"/>
    <w:rsid w:val="00E15549"/>
    <w:rsid w:val="00E157E1"/>
    <w:rsid w:val="00E16DC7"/>
    <w:rsid w:val="00E16E69"/>
    <w:rsid w:val="00E21376"/>
    <w:rsid w:val="00E21A7A"/>
    <w:rsid w:val="00E2200A"/>
    <w:rsid w:val="00E23157"/>
    <w:rsid w:val="00E23263"/>
    <w:rsid w:val="00E248D2"/>
    <w:rsid w:val="00E26E96"/>
    <w:rsid w:val="00E30394"/>
    <w:rsid w:val="00E34283"/>
    <w:rsid w:val="00E3498D"/>
    <w:rsid w:val="00E34C11"/>
    <w:rsid w:val="00E34D23"/>
    <w:rsid w:val="00E3536D"/>
    <w:rsid w:val="00E354F4"/>
    <w:rsid w:val="00E355BA"/>
    <w:rsid w:val="00E35841"/>
    <w:rsid w:val="00E3585F"/>
    <w:rsid w:val="00E358FF"/>
    <w:rsid w:val="00E35B37"/>
    <w:rsid w:val="00E36A2D"/>
    <w:rsid w:val="00E36D1D"/>
    <w:rsid w:val="00E426AD"/>
    <w:rsid w:val="00E43AA4"/>
    <w:rsid w:val="00E43D53"/>
    <w:rsid w:val="00E442EF"/>
    <w:rsid w:val="00E4464E"/>
    <w:rsid w:val="00E4543D"/>
    <w:rsid w:val="00E459CE"/>
    <w:rsid w:val="00E45A3A"/>
    <w:rsid w:val="00E47FB8"/>
    <w:rsid w:val="00E50187"/>
    <w:rsid w:val="00E51D91"/>
    <w:rsid w:val="00E52511"/>
    <w:rsid w:val="00E528B7"/>
    <w:rsid w:val="00E52AEC"/>
    <w:rsid w:val="00E52C79"/>
    <w:rsid w:val="00E53F5C"/>
    <w:rsid w:val="00E53FEF"/>
    <w:rsid w:val="00E54235"/>
    <w:rsid w:val="00E544DF"/>
    <w:rsid w:val="00E54AE7"/>
    <w:rsid w:val="00E56343"/>
    <w:rsid w:val="00E57C97"/>
    <w:rsid w:val="00E60145"/>
    <w:rsid w:val="00E64028"/>
    <w:rsid w:val="00E64D4D"/>
    <w:rsid w:val="00E64E40"/>
    <w:rsid w:val="00E66814"/>
    <w:rsid w:val="00E71700"/>
    <w:rsid w:val="00E71C11"/>
    <w:rsid w:val="00E73173"/>
    <w:rsid w:val="00E73FFA"/>
    <w:rsid w:val="00E776A5"/>
    <w:rsid w:val="00E80550"/>
    <w:rsid w:val="00E80E33"/>
    <w:rsid w:val="00E80EED"/>
    <w:rsid w:val="00E82222"/>
    <w:rsid w:val="00E830BC"/>
    <w:rsid w:val="00E83261"/>
    <w:rsid w:val="00E83370"/>
    <w:rsid w:val="00E83F7D"/>
    <w:rsid w:val="00E840D3"/>
    <w:rsid w:val="00E8447A"/>
    <w:rsid w:val="00E849BE"/>
    <w:rsid w:val="00E84B1A"/>
    <w:rsid w:val="00E84E2B"/>
    <w:rsid w:val="00E855A3"/>
    <w:rsid w:val="00E85AC3"/>
    <w:rsid w:val="00E85BC4"/>
    <w:rsid w:val="00E93B68"/>
    <w:rsid w:val="00E93E67"/>
    <w:rsid w:val="00E94174"/>
    <w:rsid w:val="00E94250"/>
    <w:rsid w:val="00E9429A"/>
    <w:rsid w:val="00E94AD9"/>
    <w:rsid w:val="00E94B67"/>
    <w:rsid w:val="00E95467"/>
    <w:rsid w:val="00E9553B"/>
    <w:rsid w:val="00EA0541"/>
    <w:rsid w:val="00EA0C83"/>
    <w:rsid w:val="00EA0F26"/>
    <w:rsid w:val="00EA1015"/>
    <w:rsid w:val="00EA1DEE"/>
    <w:rsid w:val="00EA21E2"/>
    <w:rsid w:val="00EA247B"/>
    <w:rsid w:val="00EA2A21"/>
    <w:rsid w:val="00EA3026"/>
    <w:rsid w:val="00EA3239"/>
    <w:rsid w:val="00EA34CC"/>
    <w:rsid w:val="00EA4C7E"/>
    <w:rsid w:val="00EA64A6"/>
    <w:rsid w:val="00EB2041"/>
    <w:rsid w:val="00EB2FFC"/>
    <w:rsid w:val="00EB407F"/>
    <w:rsid w:val="00EB4400"/>
    <w:rsid w:val="00EB4B3D"/>
    <w:rsid w:val="00EB64F5"/>
    <w:rsid w:val="00EB65B1"/>
    <w:rsid w:val="00EB6E2B"/>
    <w:rsid w:val="00EB6F41"/>
    <w:rsid w:val="00EB7811"/>
    <w:rsid w:val="00EC1DE4"/>
    <w:rsid w:val="00EC22FE"/>
    <w:rsid w:val="00EC28A5"/>
    <w:rsid w:val="00EC34DC"/>
    <w:rsid w:val="00EC3B06"/>
    <w:rsid w:val="00EC3C46"/>
    <w:rsid w:val="00EC3E99"/>
    <w:rsid w:val="00EC6294"/>
    <w:rsid w:val="00EC712D"/>
    <w:rsid w:val="00EC72F7"/>
    <w:rsid w:val="00EC7687"/>
    <w:rsid w:val="00EC7D94"/>
    <w:rsid w:val="00ED1773"/>
    <w:rsid w:val="00ED1A48"/>
    <w:rsid w:val="00ED2BD8"/>
    <w:rsid w:val="00ED2BFF"/>
    <w:rsid w:val="00ED2E5A"/>
    <w:rsid w:val="00ED31C7"/>
    <w:rsid w:val="00ED3627"/>
    <w:rsid w:val="00ED5250"/>
    <w:rsid w:val="00ED635D"/>
    <w:rsid w:val="00ED67F7"/>
    <w:rsid w:val="00ED68AB"/>
    <w:rsid w:val="00ED6E5E"/>
    <w:rsid w:val="00EE0AD0"/>
    <w:rsid w:val="00EE17DB"/>
    <w:rsid w:val="00EE1F05"/>
    <w:rsid w:val="00EE21B1"/>
    <w:rsid w:val="00EE29AE"/>
    <w:rsid w:val="00EE3C12"/>
    <w:rsid w:val="00EE4FEF"/>
    <w:rsid w:val="00EE6FC9"/>
    <w:rsid w:val="00EE775C"/>
    <w:rsid w:val="00EF0DC5"/>
    <w:rsid w:val="00EF314E"/>
    <w:rsid w:val="00EF31FB"/>
    <w:rsid w:val="00EF504E"/>
    <w:rsid w:val="00EF6F1E"/>
    <w:rsid w:val="00EF7D1B"/>
    <w:rsid w:val="00F00991"/>
    <w:rsid w:val="00F01B9C"/>
    <w:rsid w:val="00F01FEE"/>
    <w:rsid w:val="00F0498B"/>
    <w:rsid w:val="00F04C13"/>
    <w:rsid w:val="00F06491"/>
    <w:rsid w:val="00F06F4E"/>
    <w:rsid w:val="00F108F2"/>
    <w:rsid w:val="00F115EF"/>
    <w:rsid w:val="00F11ED5"/>
    <w:rsid w:val="00F136FF"/>
    <w:rsid w:val="00F13AEE"/>
    <w:rsid w:val="00F14501"/>
    <w:rsid w:val="00F1557C"/>
    <w:rsid w:val="00F15C05"/>
    <w:rsid w:val="00F15FD8"/>
    <w:rsid w:val="00F160C3"/>
    <w:rsid w:val="00F1761F"/>
    <w:rsid w:val="00F179D0"/>
    <w:rsid w:val="00F20273"/>
    <w:rsid w:val="00F222E5"/>
    <w:rsid w:val="00F2295E"/>
    <w:rsid w:val="00F231C4"/>
    <w:rsid w:val="00F238D4"/>
    <w:rsid w:val="00F249DC"/>
    <w:rsid w:val="00F26F7C"/>
    <w:rsid w:val="00F2711A"/>
    <w:rsid w:val="00F27631"/>
    <w:rsid w:val="00F30FF6"/>
    <w:rsid w:val="00F312B0"/>
    <w:rsid w:val="00F3138E"/>
    <w:rsid w:val="00F31478"/>
    <w:rsid w:val="00F32CA8"/>
    <w:rsid w:val="00F33189"/>
    <w:rsid w:val="00F33270"/>
    <w:rsid w:val="00F3344B"/>
    <w:rsid w:val="00F337DE"/>
    <w:rsid w:val="00F34619"/>
    <w:rsid w:val="00F34B81"/>
    <w:rsid w:val="00F3542C"/>
    <w:rsid w:val="00F356C7"/>
    <w:rsid w:val="00F36679"/>
    <w:rsid w:val="00F36CF5"/>
    <w:rsid w:val="00F400A9"/>
    <w:rsid w:val="00F4039A"/>
    <w:rsid w:val="00F41584"/>
    <w:rsid w:val="00F41DE7"/>
    <w:rsid w:val="00F42915"/>
    <w:rsid w:val="00F42AAD"/>
    <w:rsid w:val="00F43073"/>
    <w:rsid w:val="00F446F5"/>
    <w:rsid w:val="00F45708"/>
    <w:rsid w:val="00F46122"/>
    <w:rsid w:val="00F467DA"/>
    <w:rsid w:val="00F469AD"/>
    <w:rsid w:val="00F47D61"/>
    <w:rsid w:val="00F50EE6"/>
    <w:rsid w:val="00F52A02"/>
    <w:rsid w:val="00F5370A"/>
    <w:rsid w:val="00F57572"/>
    <w:rsid w:val="00F621F3"/>
    <w:rsid w:val="00F623FB"/>
    <w:rsid w:val="00F62E25"/>
    <w:rsid w:val="00F645DE"/>
    <w:rsid w:val="00F66605"/>
    <w:rsid w:val="00F666D6"/>
    <w:rsid w:val="00F672EC"/>
    <w:rsid w:val="00F6762D"/>
    <w:rsid w:val="00F67934"/>
    <w:rsid w:val="00F7018B"/>
    <w:rsid w:val="00F70AD8"/>
    <w:rsid w:val="00F70C11"/>
    <w:rsid w:val="00F71760"/>
    <w:rsid w:val="00F71902"/>
    <w:rsid w:val="00F73907"/>
    <w:rsid w:val="00F74831"/>
    <w:rsid w:val="00F756AE"/>
    <w:rsid w:val="00F75722"/>
    <w:rsid w:val="00F75CDB"/>
    <w:rsid w:val="00F76ADA"/>
    <w:rsid w:val="00F77139"/>
    <w:rsid w:val="00F77C7D"/>
    <w:rsid w:val="00F815CD"/>
    <w:rsid w:val="00F822BF"/>
    <w:rsid w:val="00F82626"/>
    <w:rsid w:val="00F84470"/>
    <w:rsid w:val="00F849B9"/>
    <w:rsid w:val="00F84EB3"/>
    <w:rsid w:val="00F85379"/>
    <w:rsid w:val="00F85F8F"/>
    <w:rsid w:val="00F87053"/>
    <w:rsid w:val="00F8708A"/>
    <w:rsid w:val="00F87A63"/>
    <w:rsid w:val="00F905D4"/>
    <w:rsid w:val="00F9084B"/>
    <w:rsid w:val="00F90D37"/>
    <w:rsid w:val="00F91339"/>
    <w:rsid w:val="00F91462"/>
    <w:rsid w:val="00F94816"/>
    <w:rsid w:val="00F94EF5"/>
    <w:rsid w:val="00F955A2"/>
    <w:rsid w:val="00F9603E"/>
    <w:rsid w:val="00F96217"/>
    <w:rsid w:val="00F96229"/>
    <w:rsid w:val="00F97A06"/>
    <w:rsid w:val="00FA005A"/>
    <w:rsid w:val="00FA2679"/>
    <w:rsid w:val="00FA3C5E"/>
    <w:rsid w:val="00FA482D"/>
    <w:rsid w:val="00FA4BD2"/>
    <w:rsid w:val="00FA5131"/>
    <w:rsid w:val="00FA5281"/>
    <w:rsid w:val="00FA559A"/>
    <w:rsid w:val="00FA59FC"/>
    <w:rsid w:val="00FA6FEB"/>
    <w:rsid w:val="00FA7D8E"/>
    <w:rsid w:val="00FB0E4E"/>
    <w:rsid w:val="00FB189D"/>
    <w:rsid w:val="00FB20C8"/>
    <w:rsid w:val="00FB3130"/>
    <w:rsid w:val="00FB609F"/>
    <w:rsid w:val="00FB6273"/>
    <w:rsid w:val="00FC01EF"/>
    <w:rsid w:val="00FC0604"/>
    <w:rsid w:val="00FC12DC"/>
    <w:rsid w:val="00FC1B7A"/>
    <w:rsid w:val="00FC2A36"/>
    <w:rsid w:val="00FC2C2A"/>
    <w:rsid w:val="00FC303F"/>
    <w:rsid w:val="00FC3230"/>
    <w:rsid w:val="00FC4552"/>
    <w:rsid w:val="00FC5AE2"/>
    <w:rsid w:val="00FC7EE7"/>
    <w:rsid w:val="00FD1BC7"/>
    <w:rsid w:val="00FD1DC4"/>
    <w:rsid w:val="00FD2A64"/>
    <w:rsid w:val="00FD2B86"/>
    <w:rsid w:val="00FD4A34"/>
    <w:rsid w:val="00FD5B67"/>
    <w:rsid w:val="00FD6074"/>
    <w:rsid w:val="00FD6FDC"/>
    <w:rsid w:val="00FE0317"/>
    <w:rsid w:val="00FE1803"/>
    <w:rsid w:val="00FE1DFA"/>
    <w:rsid w:val="00FE1E13"/>
    <w:rsid w:val="00FE296C"/>
    <w:rsid w:val="00FE4B36"/>
    <w:rsid w:val="00FE5DE0"/>
    <w:rsid w:val="00FE6A23"/>
    <w:rsid w:val="00FE7315"/>
    <w:rsid w:val="00FE774A"/>
    <w:rsid w:val="00FF08AA"/>
    <w:rsid w:val="00FF141C"/>
    <w:rsid w:val="00FF1EED"/>
    <w:rsid w:val="00FF2442"/>
    <w:rsid w:val="00FF34AF"/>
    <w:rsid w:val="00FF34D3"/>
    <w:rsid w:val="00FF398F"/>
    <w:rsid w:val="00FF48EC"/>
    <w:rsid w:val="00FF6111"/>
    <w:rsid w:val="00FF6A46"/>
    <w:rsid w:val="00FF7C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8A26EB"/>
    <w:pPr>
      <w:keepNext/>
      <w:keepLines/>
      <w:numPr>
        <w:numId w:val="25"/>
      </w:numPr>
      <w:spacing w:before="480" w:after="120"/>
      <w:ind w:left="432"/>
      <w:outlineLvl w:val="0"/>
    </w:pPr>
    <w:rPr>
      <w:rFonts w:ascii="Arial" w:eastAsiaTheme="majorEastAsia" w:hAnsi="Arial" w:cs="Arial"/>
      <w:b/>
      <w:bCs/>
      <w:sz w:val="36"/>
      <w:szCs w:val="32"/>
    </w:rPr>
  </w:style>
  <w:style w:type="paragraph" w:styleId="Nadpis2">
    <w:name w:val="heading 2"/>
    <w:basedOn w:val="Nadpis1"/>
    <w:next w:val="Normln"/>
    <w:link w:val="Nadpis2Char"/>
    <w:uiPriority w:val="9"/>
    <w:unhideWhenUsed/>
    <w:qFormat/>
    <w:rsid w:val="008A26EB"/>
    <w:pPr>
      <w:numPr>
        <w:ilvl w:val="1"/>
      </w:numPr>
      <w:spacing w:before="240"/>
      <w:outlineLvl w:val="1"/>
    </w:pPr>
    <w:rPr>
      <w:sz w:val="28"/>
      <w:szCs w:val="28"/>
    </w:rPr>
  </w:style>
  <w:style w:type="paragraph" w:styleId="Nadpis3">
    <w:name w:val="heading 3"/>
    <w:basedOn w:val="Normln"/>
    <w:next w:val="Normln"/>
    <w:link w:val="Nadpis3Char"/>
    <w:uiPriority w:val="9"/>
    <w:unhideWhenUsed/>
    <w:qFormat/>
    <w:rsid w:val="008A26EB"/>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26EB"/>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A26EB"/>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26EB"/>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A26EB"/>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A26E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A26E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26EB"/>
    <w:rPr>
      <w:rFonts w:ascii="Arial" w:eastAsiaTheme="majorEastAsia" w:hAnsi="Arial" w:cs="Arial"/>
      <w:b/>
      <w:bCs/>
      <w:sz w:val="36"/>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8A26EB"/>
    <w:rPr>
      <w:rFonts w:ascii="Arial" w:eastAsiaTheme="majorEastAsia" w:hAnsi="Arial" w:cs="Arial"/>
      <w:b/>
      <w:bCs/>
      <w:sz w:val="28"/>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rsid w:val="001870D9"/>
    <w:rPr>
      <w:sz w:val="16"/>
      <w:szCs w:val="16"/>
    </w:rPr>
  </w:style>
  <w:style w:type="character" w:customStyle="1" w:styleId="TextkomenteChar">
    <w:name w:val="Text komentáře Char"/>
    <w:basedOn w:val="Standardnpsmoodstavce"/>
    <w:link w:val="Textkomente"/>
    <w:uiPriority w:val="99"/>
    <w:rsid w:val="001870D9"/>
    <w:rPr>
      <w:rFonts w:ascii="Arial" w:hAnsi="Arial" w:cs="Arial"/>
    </w:rPr>
  </w:style>
  <w:style w:type="paragraph" w:styleId="Textkomente">
    <w:name w:val="annotation text"/>
    <w:basedOn w:val="Normln"/>
    <w:link w:val="TextkomenteChar"/>
    <w:uiPriority w:val="99"/>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Odstavec_muj Char,List Paragraph Char1,_Odstavec se seznamem Char,Seznam - odrážky Char,Conclusion de partie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3"/>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4"/>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 w:type="character" w:customStyle="1" w:styleId="Nadpis3Char">
    <w:name w:val="Nadpis 3 Char"/>
    <w:basedOn w:val="Standardnpsmoodstavce"/>
    <w:link w:val="Nadpis3"/>
    <w:uiPriority w:val="9"/>
    <w:rsid w:val="008A26EB"/>
    <w:rPr>
      <w:rFonts w:asciiTheme="majorHAnsi" w:eastAsiaTheme="majorEastAsia" w:hAnsiTheme="majorHAnsi" w:cstheme="majorBidi"/>
      <w:b/>
      <w:bCs/>
      <w:color w:val="4F81BD" w:themeColor="accent1"/>
      <w:sz w:val="22"/>
      <w:szCs w:val="22"/>
      <w:u w:color="000000"/>
    </w:rPr>
  </w:style>
  <w:style w:type="character" w:customStyle="1" w:styleId="Nadpis4Char">
    <w:name w:val="Nadpis 4 Char"/>
    <w:basedOn w:val="Standardnpsmoodstavce"/>
    <w:link w:val="Nadpis4"/>
    <w:uiPriority w:val="9"/>
    <w:semiHidden/>
    <w:rsid w:val="008A26EB"/>
    <w:rPr>
      <w:rFonts w:asciiTheme="majorHAnsi" w:eastAsiaTheme="majorEastAsia" w:hAnsiTheme="majorHAnsi" w:cstheme="majorBidi"/>
      <w:b/>
      <w:bCs/>
      <w:i/>
      <w:iCs/>
      <w:color w:val="4F81BD" w:themeColor="accent1"/>
      <w:sz w:val="22"/>
      <w:szCs w:val="22"/>
      <w:u w:color="000000"/>
    </w:rPr>
  </w:style>
  <w:style w:type="character" w:customStyle="1" w:styleId="Nadpis5Char">
    <w:name w:val="Nadpis 5 Char"/>
    <w:basedOn w:val="Standardnpsmoodstavce"/>
    <w:link w:val="Nadpis5"/>
    <w:uiPriority w:val="9"/>
    <w:semiHidden/>
    <w:rsid w:val="008A26EB"/>
    <w:rPr>
      <w:rFonts w:asciiTheme="majorHAnsi" w:eastAsiaTheme="majorEastAsia" w:hAnsiTheme="majorHAnsi" w:cstheme="majorBidi"/>
      <w:color w:val="243F60" w:themeColor="accent1" w:themeShade="7F"/>
      <w:sz w:val="22"/>
      <w:szCs w:val="22"/>
      <w:u w:color="000000"/>
    </w:rPr>
  </w:style>
  <w:style w:type="character" w:customStyle="1" w:styleId="Nadpis6Char">
    <w:name w:val="Nadpis 6 Char"/>
    <w:basedOn w:val="Standardnpsmoodstavce"/>
    <w:link w:val="Nadpis6"/>
    <w:uiPriority w:val="9"/>
    <w:semiHidden/>
    <w:rsid w:val="008A26EB"/>
    <w:rPr>
      <w:rFonts w:asciiTheme="majorHAnsi" w:eastAsiaTheme="majorEastAsia" w:hAnsiTheme="majorHAnsi" w:cstheme="majorBidi"/>
      <w:i/>
      <w:iCs/>
      <w:color w:val="243F60" w:themeColor="accent1" w:themeShade="7F"/>
      <w:sz w:val="22"/>
      <w:szCs w:val="22"/>
      <w:u w:color="000000"/>
    </w:rPr>
  </w:style>
  <w:style w:type="character" w:customStyle="1" w:styleId="Nadpis7Char">
    <w:name w:val="Nadpis 7 Char"/>
    <w:basedOn w:val="Standardnpsmoodstavce"/>
    <w:link w:val="Nadpis7"/>
    <w:uiPriority w:val="9"/>
    <w:semiHidden/>
    <w:rsid w:val="008A26EB"/>
    <w:rPr>
      <w:rFonts w:asciiTheme="majorHAnsi" w:eastAsiaTheme="majorEastAsia" w:hAnsiTheme="majorHAnsi" w:cstheme="majorBidi"/>
      <w:i/>
      <w:iCs/>
      <w:color w:val="404040" w:themeColor="text1" w:themeTint="BF"/>
      <w:sz w:val="22"/>
      <w:szCs w:val="22"/>
      <w:u w:color="000000"/>
    </w:rPr>
  </w:style>
  <w:style w:type="character" w:customStyle="1" w:styleId="Nadpis8Char">
    <w:name w:val="Nadpis 8 Char"/>
    <w:basedOn w:val="Standardnpsmoodstavce"/>
    <w:link w:val="Nadpis8"/>
    <w:uiPriority w:val="9"/>
    <w:semiHidden/>
    <w:rsid w:val="008A26EB"/>
    <w:rPr>
      <w:rFonts w:asciiTheme="majorHAnsi" w:eastAsiaTheme="majorEastAsia" w:hAnsiTheme="majorHAnsi" w:cstheme="majorBidi"/>
      <w:color w:val="404040" w:themeColor="text1" w:themeTint="BF"/>
      <w:u w:color="000000"/>
    </w:rPr>
  </w:style>
  <w:style w:type="character" w:customStyle="1" w:styleId="Nadpis9Char">
    <w:name w:val="Nadpis 9 Char"/>
    <w:basedOn w:val="Standardnpsmoodstavce"/>
    <w:link w:val="Nadpis9"/>
    <w:uiPriority w:val="9"/>
    <w:semiHidden/>
    <w:rsid w:val="008A26EB"/>
    <w:rPr>
      <w:rFonts w:asciiTheme="majorHAnsi" w:eastAsiaTheme="majorEastAsia" w:hAnsiTheme="majorHAnsi" w:cstheme="majorBidi"/>
      <w:i/>
      <w:iCs/>
      <w:color w:val="404040" w:themeColor="text1" w:themeTint="BF"/>
      <w:u w:color="000000"/>
    </w:rPr>
  </w:style>
  <w:style w:type="table" w:customStyle="1" w:styleId="Mkatabulky1">
    <w:name w:val="Mřížka tabulky1"/>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B75627"/>
  </w:style>
  <w:style w:type="character" w:customStyle="1" w:styleId="xsptextcomputedfield">
    <w:name w:val="xsptextcomputedfield"/>
    <w:basedOn w:val="Standardnpsmoodstavce"/>
    <w:rsid w:val="009E0C9D"/>
  </w:style>
  <w:style w:type="table" w:customStyle="1" w:styleId="Mkatabulky49">
    <w:name w:val="Mřížka tabulky49"/>
    <w:basedOn w:val="Normlntabulka"/>
    <w:next w:val="Mkatabulky"/>
    <w:uiPriority w:val="59"/>
    <w:rsid w:val="00C87909"/>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nstranaChar">
    <w:name w:val="Titulní strana Char"/>
    <w:basedOn w:val="Standardnpsmoodstavce"/>
    <w:link w:val="Titulnstrana"/>
    <w:locked/>
    <w:rsid w:val="004C33D5"/>
    <w:rPr>
      <w:rFonts w:ascii="Arial" w:hAnsi="Arial" w:cs="Arial"/>
      <w:b/>
      <w:sz w:val="28"/>
    </w:rPr>
  </w:style>
  <w:style w:type="paragraph" w:customStyle="1" w:styleId="Titulnstrana">
    <w:name w:val="Titulní strana"/>
    <w:basedOn w:val="Normln"/>
    <w:link w:val="TitulnstranaChar"/>
    <w:qFormat/>
    <w:rsid w:val="004C33D5"/>
    <w:pPr>
      <w:spacing w:before="0" w:after="120" w:line="264" w:lineRule="auto"/>
      <w:jc w:val="center"/>
    </w:pPr>
    <w:rPr>
      <w:rFonts w:ascii="Arial" w:eastAsia="Times New Roman" w:hAnsi="Arial" w:cs="Arial"/>
      <w:b/>
      <w:sz w:val="28"/>
      <w:szCs w:val="20"/>
    </w:rPr>
  </w:style>
  <w:style w:type="paragraph" w:customStyle="1" w:styleId="OdstavecZprava">
    <w:name w:val="Odstavec Zprava"/>
    <w:basedOn w:val="Normln"/>
    <w:rsid w:val="00B3256C"/>
    <w:pPr>
      <w:spacing w:before="80" w:after="160" w:line="240" w:lineRule="auto"/>
      <w:ind w:left="3073" w:hanging="3073"/>
      <w:jc w:val="left"/>
    </w:pPr>
    <w:rPr>
      <w:rFonts w:eastAsia="Times New Roman"/>
      <w:bCs/>
      <w:sz w:val="24"/>
      <w:szCs w:val="24"/>
    </w:rPr>
  </w:style>
  <w:style w:type="paragraph" w:customStyle="1" w:styleId="OdstavecCOPS1">
    <w:name w:val="Odstavec COPS_1"/>
    <w:basedOn w:val="OdstavecZprava"/>
    <w:next w:val="Normln"/>
    <w:rsid w:val="00B3256C"/>
    <w:p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8A26EB"/>
    <w:pPr>
      <w:keepNext/>
      <w:keepLines/>
      <w:numPr>
        <w:numId w:val="25"/>
      </w:numPr>
      <w:spacing w:before="480" w:after="120"/>
      <w:ind w:left="432"/>
      <w:outlineLvl w:val="0"/>
    </w:pPr>
    <w:rPr>
      <w:rFonts w:ascii="Arial" w:eastAsiaTheme="majorEastAsia" w:hAnsi="Arial" w:cs="Arial"/>
      <w:b/>
      <w:bCs/>
      <w:sz w:val="36"/>
      <w:szCs w:val="32"/>
    </w:rPr>
  </w:style>
  <w:style w:type="paragraph" w:styleId="Nadpis2">
    <w:name w:val="heading 2"/>
    <w:basedOn w:val="Nadpis1"/>
    <w:next w:val="Normln"/>
    <w:link w:val="Nadpis2Char"/>
    <w:uiPriority w:val="9"/>
    <w:unhideWhenUsed/>
    <w:qFormat/>
    <w:rsid w:val="008A26EB"/>
    <w:pPr>
      <w:numPr>
        <w:ilvl w:val="1"/>
      </w:numPr>
      <w:spacing w:before="240"/>
      <w:outlineLvl w:val="1"/>
    </w:pPr>
    <w:rPr>
      <w:sz w:val="28"/>
      <w:szCs w:val="28"/>
    </w:rPr>
  </w:style>
  <w:style w:type="paragraph" w:styleId="Nadpis3">
    <w:name w:val="heading 3"/>
    <w:basedOn w:val="Normln"/>
    <w:next w:val="Normln"/>
    <w:link w:val="Nadpis3Char"/>
    <w:uiPriority w:val="9"/>
    <w:unhideWhenUsed/>
    <w:qFormat/>
    <w:rsid w:val="008A26EB"/>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26EB"/>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A26EB"/>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26EB"/>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A26EB"/>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A26E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A26E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26EB"/>
    <w:rPr>
      <w:rFonts w:ascii="Arial" w:eastAsiaTheme="majorEastAsia" w:hAnsi="Arial" w:cs="Arial"/>
      <w:b/>
      <w:bCs/>
      <w:sz w:val="36"/>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8A26EB"/>
    <w:rPr>
      <w:rFonts w:ascii="Arial" w:eastAsiaTheme="majorEastAsia" w:hAnsi="Arial" w:cs="Arial"/>
      <w:b/>
      <w:bCs/>
      <w:sz w:val="28"/>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rsid w:val="001870D9"/>
    <w:rPr>
      <w:sz w:val="16"/>
      <w:szCs w:val="16"/>
    </w:rPr>
  </w:style>
  <w:style w:type="character" w:customStyle="1" w:styleId="TextkomenteChar">
    <w:name w:val="Text komentáře Char"/>
    <w:basedOn w:val="Standardnpsmoodstavce"/>
    <w:link w:val="Textkomente"/>
    <w:uiPriority w:val="99"/>
    <w:rsid w:val="001870D9"/>
    <w:rPr>
      <w:rFonts w:ascii="Arial" w:hAnsi="Arial" w:cs="Arial"/>
    </w:rPr>
  </w:style>
  <w:style w:type="paragraph" w:styleId="Textkomente">
    <w:name w:val="annotation text"/>
    <w:basedOn w:val="Normln"/>
    <w:link w:val="TextkomenteChar"/>
    <w:uiPriority w:val="99"/>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Odstavec_muj Char,List Paragraph Char1,_Odstavec se seznamem Char,Seznam - odrážky Char,Conclusion de partie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3"/>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4"/>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 w:type="character" w:customStyle="1" w:styleId="Nadpis3Char">
    <w:name w:val="Nadpis 3 Char"/>
    <w:basedOn w:val="Standardnpsmoodstavce"/>
    <w:link w:val="Nadpis3"/>
    <w:uiPriority w:val="9"/>
    <w:rsid w:val="008A26EB"/>
    <w:rPr>
      <w:rFonts w:asciiTheme="majorHAnsi" w:eastAsiaTheme="majorEastAsia" w:hAnsiTheme="majorHAnsi" w:cstheme="majorBidi"/>
      <w:b/>
      <w:bCs/>
      <w:color w:val="4F81BD" w:themeColor="accent1"/>
      <w:sz w:val="22"/>
      <w:szCs w:val="22"/>
      <w:u w:color="000000"/>
    </w:rPr>
  </w:style>
  <w:style w:type="character" w:customStyle="1" w:styleId="Nadpis4Char">
    <w:name w:val="Nadpis 4 Char"/>
    <w:basedOn w:val="Standardnpsmoodstavce"/>
    <w:link w:val="Nadpis4"/>
    <w:uiPriority w:val="9"/>
    <w:semiHidden/>
    <w:rsid w:val="008A26EB"/>
    <w:rPr>
      <w:rFonts w:asciiTheme="majorHAnsi" w:eastAsiaTheme="majorEastAsia" w:hAnsiTheme="majorHAnsi" w:cstheme="majorBidi"/>
      <w:b/>
      <w:bCs/>
      <w:i/>
      <w:iCs/>
      <w:color w:val="4F81BD" w:themeColor="accent1"/>
      <w:sz w:val="22"/>
      <w:szCs w:val="22"/>
      <w:u w:color="000000"/>
    </w:rPr>
  </w:style>
  <w:style w:type="character" w:customStyle="1" w:styleId="Nadpis5Char">
    <w:name w:val="Nadpis 5 Char"/>
    <w:basedOn w:val="Standardnpsmoodstavce"/>
    <w:link w:val="Nadpis5"/>
    <w:uiPriority w:val="9"/>
    <w:semiHidden/>
    <w:rsid w:val="008A26EB"/>
    <w:rPr>
      <w:rFonts w:asciiTheme="majorHAnsi" w:eastAsiaTheme="majorEastAsia" w:hAnsiTheme="majorHAnsi" w:cstheme="majorBidi"/>
      <w:color w:val="243F60" w:themeColor="accent1" w:themeShade="7F"/>
      <w:sz w:val="22"/>
      <w:szCs w:val="22"/>
      <w:u w:color="000000"/>
    </w:rPr>
  </w:style>
  <w:style w:type="character" w:customStyle="1" w:styleId="Nadpis6Char">
    <w:name w:val="Nadpis 6 Char"/>
    <w:basedOn w:val="Standardnpsmoodstavce"/>
    <w:link w:val="Nadpis6"/>
    <w:uiPriority w:val="9"/>
    <w:semiHidden/>
    <w:rsid w:val="008A26EB"/>
    <w:rPr>
      <w:rFonts w:asciiTheme="majorHAnsi" w:eastAsiaTheme="majorEastAsia" w:hAnsiTheme="majorHAnsi" w:cstheme="majorBidi"/>
      <w:i/>
      <w:iCs/>
      <w:color w:val="243F60" w:themeColor="accent1" w:themeShade="7F"/>
      <w:sz w:val="22"/>
      <w:szCs w:val="22"/>
      <w:u w:color="000000"/>
    </w:rPr>
  </w:style>
  <w:style w:type="character" w:customStyle="1" w:styleId="Nadpis7Char">
    <w:name w:val="Nadpis 7 Char"/>
    <w:basedOn w:val="Standardnpsmoodstavce"/>
    <w:link w:val="Nadpis7"/>
    <w:uiPriority w:val="9"/>
    <w:semiHidden/>
    <w:rsid w:val="008A26EB"/>
    <w:rPr>
      <w:rFonts w:asciiTheme="majorHAnsi" w:eastAsiaTheme="majorEastAsia" w:hAnsiTheme="majorHAnsi" w:cstheme="majorBidi"/>
      <w:i/>
      <w:iCs/>
      <w:color w:val="404040" w:themeColor="text1" w:themeTint="BF"/>
      <w:sz w:val="22"/>
      <w:szCs w:val="22"/>
      <w:u w:color="000000"/>
    </w:rPr>
  </w:style>
  <w:style w:type="character" w:customStyle="1" w:styleId="Nadpis8Char">
    <w:name w:val="Nadpis 8 Char"/>
    <w:basedOn w:val="Standardnpsmoodstavce"/>
    <w:link w:val="Nadpis8"/>
    <w:uiPriority w:val="9"/>
    <w:semiHidden/>
    <w:rsid w:val="008A26EB"/>
    <w:rPr>
      <w:rFonts w:asciiTheme="majorHAnsi" w:eastAsiaTheme="majorEastAsia" w:hAnsiTheme="majorHAnsi" w:cstheme="majorBidi"/>
      <w:color w:val="404040" w:themeColor="text1" w:themeTint="BF"/>
      <w:u w:color="000000"/>
    </w:rPr>
  </w:style>
  <w:style w:type="character" w:customStyle="1" w:styleId="Nadpis9Char">
    <w:name w:val="Nadpis 9 Char"/>
    <w:basedOn w:val="Standardnpsmoodstavce"/>
    <w:link w:val="Nadpis9"/>
    <w:uiPriority w:val="9"/>
    <w:semiHidden/>
    <w:rsid w:val="008A26EB"/>
    <w:rPr>
      <w:rFonts w:asciiTheme="majorHAnsi" w:eastAsiaTheme="majorEastAsia" w:hAnsiTheme="majorHAnsi" w:cstheme="majorBidi"/>
      <w:i/>
      <w:iCs/>
      <w:color w:val="404040" w:themeColor="text1" w:themeTint="BF"/>
      <w:u w:color="000000"/>
    </w:rPr>
  </w:style>
  <w:style w:type="table" w:customStyle="1" w:styleId="Mkatabulky1">
    <w:name w:val="Mřížka tabulky1"/>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B75627"/>
  </w:style>
  <w:style w:type="character" w:customStyle="1" w:styleId="xsptextcomputedfield">
    <w:name w:val="xsptextcomputedfield"/>
    <w:basedOn w:val="Standardnpsmoodstavce"/>
    <w:rsid w:val="009E0C9D"/>
  </w:style>
  <w:style w:type="table" w:customStyle="1" w:styleId="Mkatabulky49">
    <w:name w:val="Mřížka tabulky49"/>
    <w:basedOn w:val="Normlntabulka"/>
    <w:next w:val="Mkatabulky"/>
    <w:uiPriority w:val="59"/>
    <w:rsid w:val="00C8790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nstranaChar">
    <w:name w:val="Titulní strana Char"/>
    <w:basedOn w:val="Standardnpsmoodstavce"/>
    <w:link w:val="Titulnstrana"/>
    <w:locked/>
    <w:rsid w:val="004C33D5"/>
    <w:rPr>
      <w:rFonts w:ascii="Arial" w:hAnsi="Arial" w:cs="Arial"/>
      <w:b/>
      <w:sz w:val="28"/>
    </w:rPr>
  </w:style>
  <w:style w:type="paragraph" w:customStyle="1" w:styleId="Titulnstrana">
    <w:name w:val="Titulní strana"/>
    <w:basedOn w:val="Normln"/>
    <w:link w:val="TitulnstranaChar"/>
    <w:qFormat/>
    <w:rsid w:val="004C33D5"/>
    <w:pPr>
      <w:spacing w:before="0" w:after="120" w:line="264" w:lineRule="auto"/>
      <w:jc w:val="center"/>
    </w:pPr>
    <w:rPr>
      <w:rFonts w:ascii="Arial" w:eastAsia="Times New Roman" w:hAnsi="Arial" w:cs="Arial"/>
      <w:b/>
      <w:sz w:val="28"/>
      <w:szCs w:val="20"/>
    </w:rPr>
  </w:style>
  <w:style w:type="paragraph" w:customStyle="1" w:styleId="OdstavecZprava">
    <w:name w:val="Odstavec Zprava"/>
    <w:basedOn w:val="Normln"/>
    <w:rsid w:val="00B3256C"/>
    <w:pPr>
      <w:spacing w:before="80" w:after="160" w:line="240" w:lineRule="auto"/>
      <w:ind w:left="3073" w:hanging="3073"/>
      <w:jc w:val="left"/>
    </w:pPr>
    <w:rPr>
      <w:rFonts w:eastAsia="Times New Roman"/>
      <w:bCs/>
      <w:sz w:val="24"/>
      <w:szCs w:val="24"/>
    </w:rPr>
  </w:style>
  <w:style w:type="paragraph" w:customStyle="1" w:styleId="OdstavecCOPS1">
    <w:name w:val="Odstavec COPS_1"/>
    <w:basedOn w:val="OdstavecZprava"/>
    <w:next w:val="Normln"/>
    <w:rsid w:val="00B3256C"/>
    <w:pPr>
      <w:ind w:left="0" w:firstLine="0"/>
    </w:pPr>
  </w:style>
</w:styles>
</file>

<file path=word/webSettings.xml><?xml version="1.0" encoding="utf-8"?>
<w:webSettings xmlns:r="http://schemas.openxmlformats.org/officeDocument/2006/relationships" xmlns:w="http://schemas.openxmlformats.org/wordprocessingml/2006/main">
  <w:divs>
    <w:div w:id="91901371">
      <w:bodyDiv w:val="1"/>
      <w:marLeft w:val="0"/>
      <w:marRight w:val="0"/>
      <w:marTop w:val="0"/>
      <w:marBottom w:val="0"/>
      <w:divBdr>
        <w:top w:val="none" w:sz="0" w:space="0" w:color="auto"/>
        <w:left w:val="none" w:sz="0" w:space="0" w:color="auto"/>
        <w:bottom w:val="none" w:sz="0" w:space="0" w:color="auto"/>
        <w:right w:val="none" w:sz="0" w:space="0" w:color="auto"/>
      </w:divBdr>
      <w:divsChild>
        <w:div w:id="380053994">
          <w:marLeft w:val="1166"/>
          <w:marRight w:val="0"/>
          <w:marTop w:val="77"/>
          <w:marBottom w:val="0"/>
          <w:divBdr>
            <w:top w:val="none" w:sz="0" w:space="0" w:color="auto"/>
            <w:left w:val="none" w:sz="0" w:space="0" w:color="auto"/>
            <w:bottom w:val="none" w:sz="0" w:space="0" w:color="auto"/>
            <w:right w:val="none" w:sz="0" w:space="0" w:color="auto"/>
          </w:divBdr>
        </w:div>
      </w:divsChild>
    </w:div>
    <w:div w:id="161506008">
      <w:bodyDiv w:val="1"/>
      <w:marLeft w:val="0"/>
      <w:marRight w:val="0"/>
      <w:marTop w:val="0"/>
      <w:marBottom w:val="0"/>
      <w:divBdr>
        <w:top w:val="none" w:sz="0" w:space="0" w:color="auto"/>
        <w:left w:val="none" w:sz="0" w:space="0" w:color="auto"/>
        <w:bottom w:val="none" w:sz="0" w:space="0" w:color="auto"/>
        <w:right w:val="none" w:sz="0" w:space="0" w:color="auto"/>
      </w:divBdr>
    </w:div>
    <w:div w:id="198514899">
      <w:bodyDiv w:val="1"/>
      <w:marLeft w:val="0"/>
      <w:marRight w:val="0"/>
      <w:marTop w:val="0"/>
      <w:marBottom w:val="0"/>
      <w:divBdr>
        <w:top w:val="none" w:sz="0" w:space="0" w:color="auto"/>
        <w:left w:val="none" w:sz="0" w:space="0" w:color="auto"/>
        <w:bottom w:val="none" w:sz="0" w:space="0" w:color="auto"/>
        <w:right w:val="none" w:sz="0" w:space="0" w:color="auto"/>
      </w:divBdr>
      <w:divsChild>
        <w:div w:id="418870853">
          <w:marLeft w:val="0"/>
          <w:marRight w:val="0"/>
          <w:marTop w:val="86"/>
          <w:marBottom w:val="0"/>
          <w:divBdr>
            <w:top w:val="none" w:sz="0" w:space="0" w:color="auto"/>
            <w:left w:val="none" w:sz="0" w:space="0" w:color="auto"/>
            <w:bottom w:val="none" w:sz="0" w:space="0" w:color="auto"/>
            <w:right w:val="none" w:sz="0" w:space="0" w:color="auto"/>
          </w:divBdr>
        </w:div>
        <w:div w:id="1747805634">
          <w:marLeft w:val="0"/>
          <w:marRight w:val="0"/>
          <w:marTop w:val="86"/>
          <w:marBottom w:val="0"/>
          <w:divBdr>
            <w:top w:val="none" w:sz="0" w:space="0" w:color="auto"/>
            <w:left w:val="none" w:sz="0" w:space="0" w:color="auto"/>
            <w:bottom w:val="none" w:sz="0" w:space="0" w:color="auto"/>
            <w:right w:val="none" w:sz="0" w:space="0" w:color="auto"/>
          </w:divBdr>
        </w:div>
        <w:div w:id="1751732006">
          <w:marLeft w:val="0"/>
          <w:marRight w:val="0"/>
          <w:marTop w:val="86"/>
          <w:marBottom w:val="0"/>
          <w:divBdr>
            <w:top w:val="none" w:sz="0" w:space="0" w:color="auto"/>
            <w:left w:val="none" w:sz="0" w:space="0" w:color="auto"/>
            <w:bottom w:val="none" w:sz="0" w:space="0" w:color="auto"/>
            <w:right w:val="none" w:sz="0" w:space="0" w:color="auto"/>
          </w:divBdr>
        </w:div>
      </w:divsChild>
    </w:div>
    <w:div w:id="198786802">
      <w:bodyDiv w:val="1"/>
      <w:marLeft w:val="0"/>
      <w:marRight w:val="0"/>
      <w:marTop w:val="0"/>
      <w:marBottom w:val="0"/>
      <w:divBdr>
        <w:top w:val="none" w:sz="0" w:space="0" w:color="auto"/>
        <w:left w:val="none" w:sz="0" w:space="0" w:color="auto"/>
        <w:bottom w:val="none" w:sz="0" w:space="0" w:color="auto"/>
        <w:right w:val="none" w:sz="0" w:space="0" w:color="auto"/>
      </w:divBdr>
    </w:div>
    <w:div w:id="262108920">
      <w:bodyDiv w:val="1"/>
      <w:marLeft w:val="0"/>
      <w:marRight w:val="0"/>
      <w:marTop w:val="0"/>
      <w:marBottom w:val="0"/>
      <w:divBdr>
        <w:top w:val="none" w:sz="0" w:space="0" w:color="auto"/>
        <w:left w:val="none" w:sz="0" w:space="0" w:color="auto"/>
        <w:bottom w:val="none" w:sz="0" w:space="0" w:color="auto"/>
        <w:right w:val="none" w:sz="0" w:space="0" w:color="auto"/>
      </w:divBdr>
    </w:div>
    <w:div w:id="265430136">
      <w:bodyDiv w:val="1"/>
      <w:marLeft w:val="0"/>
      <w:marRight w:val="0"/>
      <w:marTop w:val="0"/>
      <w:marBottom w:val="0"/>
      <w:divBdr>
        <w:top w:val="none" w:sz="0" w:space="0" w:color="auto"/>
        <w:left w:val="none" w:sz="0" w:space="0" w:color="auto"/>
        <w:bottom w:val="none" w:sz="0" w:space="0" w:color="auto"/>
        <w:right w:val="none" w:sz="0" w:space="0" w:color="auto"/>
      </w:divBdr>
    </w:div>
    <w:div w:id="281889102">
      <w:bodyDiv w:val="1"/>
      <w:marLeft w:val="0"/>
      <w:marRight w:val="0"/>
      <w:marTop w:val="0"/>
      <w:marBottom w:val="0"/>
      <w:divBdr>
        <w:top w:val="none" w:sz="0" w:space="0" w:color="auto"/>
        <w:left w:val="none" w:sz="0" w:space="0" w:color="auto"/>
        <w:bottom w:val="none" w:sz="0" w:space="0" w:color="auto"/>
        <w:right w:val="none" w:sz="0" w:space="0" w:color="auto"/>
      </w:divBdr>
      <w:divsChild>
        <w:div w:id="2097970661">
          <w:marLeft w:val="835"/>
          <w:marRight w:val="0"/>
          <w:marTop w:val="60"/>
          <w:marBottom w:val="60"/>
          <w:divBdr>
            <w:top w:val="none" w:sz="0" w:space="0" w:color="auto"/>
            <w:left w:val="none" w:sz="0" w:space="0" w:color="auto"/>
            <w:bottom w:val="none" w:sz="0" w:space="0" w:color="auto"/>
            <w:right w:val="none" w:sz="0" w:space="0" w:color="auto"/>
          </w:divBdr>
        </w:div>
        <w:div w:id="318966840">
          <w:marLeft w:val="835"/>
          <w:marRight w:val="0"/>
          <w:marTop w:val="60"/>
          <w:marBottom w:val="60"/>
          <w:divBdr>
            <w:top w:val="none" w:sz="0" w:space="0" w:color="auto"/>
            <w:left w:val="none" w:sz="0" w:space="0" w:color="auto"/>
            <w:bottom w:val="none" w:sz="0" w:space="0" w:color="auto"/>
            <w:right w:val="none" w:sz="0" w:space="0" w:color="auto"/>
          </w:divBdr>
        </w:div>
        <w:div w:id="1789545271">
          <w:marLeft w:val="835"/>
          <w:marRight w:val="0"/>
          <w:marTop w:val="60"/>
          <w:marBottom w:val="60"/>
          <w:divBdr>
            <w:top w:val="none" w:sz="0" w:space="0" w:color="auto"/>
            <w:left w:val="none" w:sz="0" w:space="0" w:color="auto"/>
            <w:bottom w:val="none" w:sz="0" w:space="0" w:color="auto"/>
            <w:right w:val="none" w:sz="0" w:space="0" w:color="auto"/>
          </w:divBdr>
        </w:div>
      </w:divsChild>
    </w:div>
    <w:div w:id="299001575">
      <w:bodyDiv w:val="1"/>
      <w:marLeft w:val="0"/>
      <w:marRight w:val="0"/>
      <w:marTop w:val="0"/>
      <w:marBottom w:val="0"/>
      <w:divBdr>
        <w:top w:val="none" w:sz="0" w:space="0" w:color="auto"/>
        <w:left w:val="none" w:sz="0" w:space="0" w:color="auto"/>
        <w:bottom w:val="none" w:sz="0" w:space="0" w:color="auto"/>
        <w:right w:val="none" w:sz="0" w:space="0" w:color="auto"/>
      </w:divBdr>
    </w:div>
    <w:div w:id="304699140">
      <w:bodyDiv w:val="1"/>
      <w:marLeft w:val="0"/>
      <w:marRight w:val="0"/>
      <w:marTop w:val="0"/>
      <w:marBottom w:val="0"/>
      <w:divBdr>
        <w:top w:val="none" w:sz="0" w:space="0" w:color="auto"/>
        <w:left w:val="none" w:sz="0" w:space="0" w:color="auto"/>
        <w:bottom w:val="none" w:sz="0" w:space="0" w:color="auto"/>
        <w:right w:val="none" w:sz="0" w:space="0" w:color="auto"/>
      </w:divBdr>
      <w:divsChild>
        <w:div w:id="418791055">
          <w:marLeft w:val="0"/>
          <w:marRight w:val="0"/>
          <w:marTop w:val="86"/>
          <w:marBottom w:val="0"/>
          <w:divBdr>
            <w:top w:val="none" w:sz="0" w:space="0" w:color="auto"/>
            <w:left w:val="none" w:sz="0" w:space="0" w:color="auto"/>
            <w:bottom w:val="none" w:sz="0" w:space="0" w:color="auto"/>
            <w:right w:val="none" w:sz="0" w:space="0" w:color="auto"/>
          </w:divBdr>
        </w:div>
        <w:div w:id="17390442">
          <w:marLeft w:val="0"/>
          <w:marRight w:val="0"/>
          <w:marTop w:val="86"/>
          <w:marBottom w:val="0"/>
          <w:divBdr>
            <w:top w:val="none" w:sz="0" w:space="0" w:color="auto"/>
            <w:left w:val="none" w:sz="0" w:space="0" w:color="auto"/>
            <w:bottom w:val="none" w:sz="0" w:space="0" w:color="auto"/>
            <w:right w:val="none" w:sz="0" w:space="0" w:color="auto"/>
          </w:divBdr>
        </w:div>
        <w:div w:id="584338888">
          <w:marLeft w:val="562"/>
          <w:marRight w:val="0"/>
          <w:marTop w:val="0"/>
          <w:marBottom w:val="0"/>
          <w:divBdr>
            <w:top w:val="none" w:sz="0" w:space="0" w:color="auto"/>
            <w:left w:val="none" w:sz="0" w:space="0" w:color="auto"/>
            <w:bottom w:val="none" w:sz="0" w:space="0" w:color="auto"/>
            <w:right w:val="none" w:sz="0" w:space="0" w:color="auto"/>
          </w:divBdr>
        </w:div>
        <w:div w:id="546723563">
          <w:marLeft w:val="562"/>
          <w:marRight w:val="0"/>
          <w:marTop w:val="120"/>
          <w:marBottom w:val="0"/>
          <w:divBdr>
            <w:top w:val="none" w:sz="0" w:space="0" w:color="auto"/>
            <w:left w:val="none" w:sz="0" w:space="0" w:color="auto"/>
            <w:bottom w:val="none" w:sz="0" w:space="0" w:color="auto"/>
            <w:right w:val="none" w:sz="0" w:space="0" w:color="auto"/>
          </w:divBdr>
        </w:div>
        <w:div w:id="530386027">
          <w:marLeft w:val="562"/>
          <w:marRight w:val="0"/>
          <w:marTop w:val="120"/>
          <w:marBottom w:val="0"/>
          <w:divBdr>
            <w:top w:val="none" w:sz="0" w:space="0" w:color="auto"/>
            <w:left w:val="none" w:sz="0" w:space="0" w:color="auto"/>
            <w:bottom w:val="none" w:sz="0" w:space="0" w:color="auto"/>
            <w:right w:val="none" w:sz="0" w:space="0" w:color="auto"/>
          </w:divBdr>
        </w:div>
        <w:div w:id="45372868">
          <w:marLeft w:val="562"/>
          <w:marRight w:val="0"/>
          <w:marTop w:val="120"/>
          <w:marBottom w:val="0"/>
          <w:divBdr>
            <w:top w:val="none" w:sz="0" w:space="0" w:color="auto"/>
            <w:left w:val="none" w:sz="0" w:space="0" w:color="auto"/>
            <w:bottom w:val="none" w:sz="0" w:space="0" w:color="auto"/>
            <w:right w:val="none" w:sz="0" w:space="0" w:color="auto"/>
          </w:divBdr>
        </w:div>
        <w:div w:id="1369840222">
          <w:marLeft w:val="562"/>
          <w:marRight w:val="0"/>
          <w:marTop w:val="120"/>
          <w:marBottom w:val="0"/>
          <w:divBdr>
            <w:top w:val="none" w:sz="0" w:space="0" w:color="auto"/>
            <w:left w:val="none" w:sz="0" w:space="0" w:color="auto"/>
            <w:bottom w:val="none" w:sz="0" w:space="0" w:color="auto"/>
            <w:right w:val="none" w:sz="0" w:space="0" w:color="auto"/>
          </w:divBdr>
        </w:div>
        <w:div w:id="461926028">
          <w:marLeft w:val="0"/>
          <w:marRight w:val="0"/>
          <w:marTop w:val="86"/>
          <w:marBottom w:val="0"/>
          <w:divBdr>
            <w:top w:val="none" w:sz="0" w:space="0" w:color="auto"/>
            <w:left w:val="none" w:sz="0" w:space="0" w:color="auto"/>
            <w:bottom w:val="none" w:sz="0" w:space="0" w:color="auto"/>
            <w:right w:val="none" w:sz="0" w:space="0" w:color="auto"/>
          </w:divBdr>
        </w:div>
      </w:divsChild>
    </w:div>
    <w:div w:id="325717743">
      <w:bodyDiv w:val="1"/>
      <w:marLeft w:val="0"/>
      <w:marRight w:val="0"/>
      <w:marTop w:val="0"/>
      <w:marBottom w:val="0"/>
      <w:divBdr>
        <w:top w:val="none" w:sz="0" w:space="0" w:color="auto"/>
        <w:left w:val="none" w:sz="0" w:space="0" w:color="auto"/>
        <w:bottom w:val="none" w:sz="0" w:space="0" w:color="auto"/>
        <w:right w:val="none" w:sz="0" w:space="0" w:color="auto"/>
      </w:divBdr>
    </w:div>
    <w:div w:id="343359690">
      <w:bodyDiv w:val="1"/>
      <w:marLeft w:val="0"/>
      <w:marRight w:val="0"/>
      <w:marTop w:val="0"/>
      <w:marBottom w:val="0"/>
      <w:divBdr>
        <w:top w:val="none" w:sz="0" w:space="0" w:color="auto"/>
        <w:left w:val="none" w:sz="0" w:space="0" w:color="auto"/>
        <w:bottom w:val="none" w:sz="0" w:space="0" w:color="auto"/>
        <w:right w:val="none" w:sz="0" w:space="0" w:color="auto"/>
      </w:divBdr>
    </w:div>
    <w:div w:id="417946794">
      <w:bodyDiv w:val="1"/>
      <w:marLeft w:val="0"/>
      <w:marRight w:val="0"/>
      <w:marTop w:val="0"/>
      <w:marBottom w:val="0"/>
      <w:divBdr>
        <w:top w:val="none" w:sz="0" w:space="0" w:color="auto"/>
        <w:left w:val="none" w:sz="0" w:space="0" w:color="auto"/>
        <w:bottom w:val="none" w:sz="0" w:space="0" w:color="auto"/>
        <w:right w:val="none" w:sz="0" w:space="0" w:color="auto"/>
      </w:divBdr>
    </w:div>
    <w:div w:id="471412331">
      <w:bodyDiv w:val="1"/>
      <w:marLeft w:val="0"/>
      <w:marRight w:val="0"/>
      <w:marTop w:val="0"/>
      <w:marBottom w:val="0"/>
      <w:divBdr>
        <w:top w:val="none" w:sz="0" w:space="0" w:color="auto"/>
        <w:left w:val="none" w:sz="0" w:space="0" w:color="auto"/>
        <w:bottom w:val="none" w:sz="0" w:space="0" w:color="auto"/>
        <w:right w:val="none" w:sz="0" w:space="0" w:color="auto"/>
      </w:divBdr>
    </w:div>
    <w:div w:id="495650440">
      <w:bodyDiv w:val="1"/>
      <w:marLeft w:val="0"/>
      <w:marRight w:val="0"/>
      <w:marTop w:val="0"/>
      <w:marBottom w:val="0"/>
      <w:divBdr>
        <w:top w:val="none" w:sz="0" w:space="0" w:color="auto"/>
        <w:left w:val="none" w:sz="0" w:space="0" w:color="auto"/>
        <w:bottom w:val="none" w:sz="0" w:space="0" w:color="auto"/>
        <w:right w:val="none" w:sz="0" w:space="0" w:color="auto"/>
      </w:divBdr>
    </w:div>
    <w:div w:id="698316951">
      <w:bodyDiv w:val="1"/>
      <w:marLeft w:val="0"/>
      <w:marRight w:val="0"/>
      <w:marTop w:val="0"/>
      <w:marBottom w:val="0"/>
      <w:divBdr>
        <w:top w:val="none" w:sz="0" w:space="0" w:color="auto"/>
        <w:left w:val="none" w:sz="0" w:space="0" w:color="auto"/>
        <w:bottom w:val="none" w:sz="0" w:space="0" w:color="auto"/>
        <w:right w:val="none" w:sz="0" w:space="0" w:color="auto"/>
      </w:divBdr>
      <w:divsChild>
        <w:div w:id="2010910629">
          <w:marLeft w:val="288"/>
          <w:marRight w:val="0"/>
          <w:marTop w:val="86"/>
          <w:marBottom w:val="0"/>
          <w:divBdr>
            <w:top w:val="none" w:sz="0" w:space="0" w:color="auto"/>
            <w:left w:val="none" w:sz="0" w:space="0" w:color="auto"/>
            <w:bottom w:val="none" w:sz="0" w:space="0" w:color="auto"/>
            <w:right w:val="none" w:sz="0" w:space="0" w:color="auto"/>
          </w:divBdr>
        </w:div>
        <w:div w:id="893471358">
          <w:marLeft w:val="979"/>
          <w:marRight w:val="0"/>
          <w:marTop w:val="77"/>
          <w:marBottom w:val="0"/>
          <w:divBdr>
            <w:top w:val="none" w:sz="0" w:space="0" w:color="auto"/>
            <w:left w:val="none" w:sz="0" w:space="0" w:color="auto"/>
            <w:bottom w:val="none" w:sz="0" w:space="0" w:color="auto"/>
            <w:right w:val="none" w:sz="0" w:space="0" w:color="auto"/>
          </w:divBdr>
        </w:div>
        <w:div w:id="1439987898">
          <w:marLeft w:val="979"/>
          <w:marRight w:val="0"/>
          <w:marTop w:val="77"/>
          <w:marBottom w:val="0"/>
          <w:divBdr>
            <w:top w:val="none" w:sz="0" w:space="0" w:color="auto"/>
            <w:left w:val="none" w:sz="0" w:space="0" w:color="auto"/>
            <w:bottom w:val="none" w:sz="0" w:space="0" w:color="auto"/>
            <w:right w:val="none" w:sz="0" w:space="0" w:color="auto"/>
          </w:divBdr>
        </w:div>
        <w:div w:id="682977940">
          <w:marLeft w:val="288"/>
          <w:marRight w:val="0"/>
          <w:marTop w:val="160"/>
          <w:marBottom w:val="0"/>
          <w:divBdr>
            <w:top w:val="none" w:sz="0" w:space="0" w:color="auto"/>
            <w:left w:val="none" w:sz="0" w:space="0" w:color="auto"/>
            <w:bottom w:val="none" w:sz="0" w:space="0" w:color="auto"/>
            <w:right w:val="none" w:sz="0" w:space="0" w:color="auto"/>
          </w:divBdr>
        </w:div>
        <w:div w:id="1445803223">
          <w:marLeft w:val="979"/>
          <w:marRight w:val="0"/>
          <w:marTop w:val="77"/>
          <w:marBottom w:val="0"/>
          <w:divBdr>
            <w:top w:val="none" w:sz="0" w:space="0" w:color="auto"/>
            <w:left w:val="none" w:sz="0" w:space="0" w:color="auto"/>
            <w:bottom w:val="none" w:sz="0" w:space="0" w:color="auto"/>
            <w:right w:val="none" w:sz="0" w:space="0" w:color="auto"/>
          </w:divBdr>
        </w:div>
        <w:div w:id="583539673">
          <w:marLeft w:val="288"/>
          <w:marRight w:val="0"/>
          <w:marTop w:val="160"/>
          <w:marBottom w:val="0"/>
          <w:divBdr>
            <w:top w:val="none" w:sz="0" w:space="0" w:color="auto"/>
            <w:left w:val="none" w:sz="0" w:space="0" w:color="auto"/>
            <w:bottom w:val="none" w:sz="0" w:space="0" w:color="auto"/>
            <w:right w:val="none" w:sz="0" w:space="0" w:color="auto"/>
          </w:divBdr>
        </w:div>
        <w:div w:id="1508596526">
          <w:marLeft w:val="979"/>
          <w:marRight w:val="0"/>
          <w:marTop w:val="77"/>
          <w:marBottom w:val="0"/>
          <w:divBdr>
            <w:top w:val="none" w:sz="0" w:space="0" w:color="auto"/>
            <w:left w:val="none" w:sz="0" w:space="0" w:color="auto"/>
            <w:bottom w:val="none" w:sz="0" w:space="0" w:color="auto"/>
            <w:right w:val="none" w:sz="0" w:space="0" w:color="auto"/>
          </w:divBdr>
        </w:div>
        <w:div w:id="618343912">
          <w:marLeft w:val="979"/>
          <w:marRight w:val="0"/>
          <w:marTop w:val="77"/>
          <w:marBottom w:val="0"/>
          <w:divBdr>
            <w:top w:val="none" w:sz="0" w:space="0" w:color="auto"/>
            <w:left w:val="none" w:sz="0" w:space="0" w:color="auto"/>
            <w:bottom w:val="none" w:sz="0" w:space="0" w:color="auto"/>
            <w:right w:val="none" w:sz="0" w:space="0" w:color="auto"/>
          </w:divBdr>
        </w:div>
        <w:div w:id="926036439">
          <w:marLeft w:val="288"/>
          <w:marRight w:val="0"/>
          <w:marTop w:val="160"/>
          <w:marBottom w:val="0"/>
          <w:divBdr>
            <w:top w:val="none" w:sz="0" w:space="0" w:color="auto"/>
            <w:left w:val="none" w:sz="0" w:space="0" w:color="auto"/>
            <w:bottom w:val="none" w:sz="0" w:space="0" w:color="auto"/>
            <w:right w:val="none" w:sz="0" w:space="0" w:color="auto"/>
          </w:divBdr>
        </w:div>
        <w:div w:id="487786644">
          <w:marLeft w:val="979"/>
          <w:marRight w:val="0"/>
          <w:marTop w:val="77"/>
          <w:marBottom w:val="0"/>
          <w:divBdr>
            <w:top w:val="none" w:sz="0" w:space="0" w:color="auto"/>
            <w:left w:val="none" w:sz="0" w:space="0" w:color="auto"/>
            <w:bottom w:val="none" w:sz="0" w:space="0" w:color="auto"/>
            <w:right w:val="none" w:sz="0" w:space="0" w:color="auto"/>
          </w:divBdr>
        </w:div>
        <w:div w:id="835152532">
          <w:marLeft w:val="288"/>
          <w:marRight w:val="0"/>
          <w:marTop w:val="160"/>
          <w:marBottom w:val="0"/>
          <w:divBdr>
            <w:top w:val="none" w:sz="0" w:space="0" w:color="auto"/>
            <w:left w:val="none" w:sz="0" w:space="0" w:color="auto"/>
            <w:bottom w:val="none" w:sz="0" w:space="0" w:color="auto"/>
            <w:right w:val="none" w:sz="0" w:space="0" w:color="auto"/>
          </w:divBdr>
        </w:div>
        <w:div w:id="1720326985">
          <w:marLeft w:val="979"/>
          <w:marRight w:val="0"/>
          <w:marTop w:val="77"/>
          <w:marBottom w:val="0"/>
          <w:divBdr>
            <w:top w:val="none" w:sz="0" w:space="0" w:color="auto"/>
            <w:left w:val="none" w:sz="0" w:space="0" w:color="auto"/>
            <w:bottom w:val="none" w:sz="0" w:space="0" w:color="auto"/>
            <w:right w:val="none" w:sz="0" w:space="0" w:color="auto"/>
          </w:divBdr>
        </w:div>
        <w:div w:id="1381242783">
          <w:marLeft w:val="288"/>
          <w:marRight w:val="0"/>
          <w:marTop w:val="160"/>
          <w:marBottom w:val="0"/>
          <w:divBdr>
            <w:top w:val="none" w:sz="0" w:space="0" w:color="auto"/>
            <w:left w:val="none" w:sz="0" w:space="0" w:color="auto"/>
            <w:bottom w:val="none" w:sz="0" w:space="0" w:color="auto"/>
            <w:right w:val="none" w:sz="0" w:space="0" w:color="auto"/>
          </w:divBdr>
        </w:div>
        <w:div w:id="965352147">
          <w:marLeft w:val="979"/>
          <w:marRight w:val="0"/>
          <w:marTop w:val="77"/>
          <w:marBottom w:val="0"/>
          <w:divBdr>
            <w:top w:val="none" w:sz="0" w:space="0" w:color="auto"/>
            <w:left w:val="none" w:sz="0" w:space="0" w:color="auto"/>
            <w:bottom w:val="none" w:sz="0" w:space="0" w:color="auto"/>
            <w:right w:val="none" w:sz="0" w:space="0" w:color="auto"/>
          </w:divBdr>
        </w:div>
      </w:divsChild>
    </w:div>
    <w:div w:id="707485338">
      <w:bodyDiv w:val="1"/>
      <w:marLeft w:val="0"/>
      <w:marRight w:val="0"/>
      <w:marTop w:val="0"/>
      <w:marBottom w:val="0"/>
      <w:divBdr>
        <w:top w:val="none" w:sz="0" w:space="0" w:color="auto"/>
        <w:left w:val="none" w:sz="0" w:space="0" w:color="auto"/>
        <w:bottom w:val="none" w:sz="0" w:space="0" w:color="auto"/>
        <w:right w:val="none" w:sz="0" w:space="0" w:color="auto"/>
      </w:divBdr>
    </w:div>
    <w:div w:id="722602523">
      <w:bodyDiv w:val="1"/>
      <w:marLeft w:val="0"/>
      <w:marRight w:val="0"/>
      <w:marTop w:val="0"/>
      <w:marBottom w:val="0"/>
      <w:divBdr>
        <w:top w:val="none" w:sz="0" w:space="0" w:color="auto"/>
        <w:left w:val="none" w:sz="0" w:space="0" w:color="auto"/>
        <w:bottom w:val="none" w:sz="0" w:space="0" w:color="auto"/>
        <w:right w:val="none" w:sz="0" w:space="0" w:color="auto"/>
      </w:divBdr>
    </w:div>
    <w:div w:id="738286193">
      <w:bodyDiv w:val="1"/>
      <w:marLeft w:val="0"/>
      <w:marRight w:val="0"/>
      <w:marTop w:val="0"/>
      <w:marBottom w:val="0"/>
      <w:divBdr>
        <w:top w:val="none" w:sz="0" w:space="0" w:color="auto"/>
        <w:left w:val="none" w:sz="0" w:space="0" w:color="auto"/>
        <w:bottom w:val="none" w:sz="0" w:space="0" w:color="auto"/>
        <w:right w:val="none" w:sz="0" w:space="0" w:color="auto"/>
      </w:divBdr>
    </w:div>
    <w:div w:id="821316452">
      <w:bodyDiv w:val="1"/>
      <w:marLeft w:val="0"/>
      <w:marRight w:val="0"/>
      <w:marTop w:val="0"/>
      <w:marBottom w:val="0"/>
      <w:divBdr>
        <w:top w:val="none" w:sz="0" w:space="0" w:color="auto"/>
        <w:left w:val="none" w:sz="0" w:space="0" w:color="auto"/>
        <w:bottom w:val="none" w:sz="0" w:space="0" w:color="auto"/>
        <w:right w:val="none" w:sz="0" w:space="0" w:color="auto"/>
      </w:divBdr>
      <w:divsChild>
        <w:div w:id="197009813">
          <w:marLeft w:val="547"/>
          <w:marRight w:val="0"/>
          <w:marTop w:val="77"/>
          <w:marBottom w:val="0"/>
          <w:divBdr>
            <w:top w:val="none" w:sz="0" w:space="0" w:color="auto"/>
            <w:left w:val="none" w:sz="0" w:space="0" w:color="auto"/>
            <w:bottom w:val="none" w:sz="0" w:space="0" w:color="auto"/>
            <w:right w:val="none" w:sz="0" w:space="0" w:color="auto"/>
          </w:divBdr>
        </w:div>
        <w:div w:id="1020739270">
          <w:marLeft w:val="547"/>
          <w:marRight w:val="0"/>
          <w:marTop w:val="77"/>
          <w:marBottom w:val="0"/>
          <w:divBdr>
            <w:top w:val="none" w:sz="0" w:space="0" w:color="auto"/>
            <w:left w:val="none" w:sz="0" w:space="0" w:color="auto"/>
            <w:bottom w:val="none" w:sz="0" w:space="0" w:color="auto"/>
            <w:right w:val="none" w:sz="0" w:space="0" w:color="auto"/>
          </w:divBdr>
        </w:div>
        <w:div w:id="2034577684">
          <w:marLeft w:val="547"/>
          <w:marRight w:val="0"/>
          <w:marTop w:val="77"/>
          <w:marBottom w:val="0"/>
          <w:divBdr>
            <w:top w:val="none" w:sz="0" w:space="0" w:color="auto"/>
            <w:left w:val="none" w:sz="0" w:space="0" w:color="auto"/>
            <w:bottom w:val="none" w:sz="0" w:space="0" w:color="auto"/>
            <w:right w:val="none" w:sz="0" w:space="0" w:color="auto"/>
          </w:divBdr>
        </w:div>
        <w:div w:id="721826010">
          <w:marLeft w:val="547"/>
          <w:marRight w:val="0"/>
          <w:marTop w:val="0"/>
          <w:marBottom w:val="40"/>
          <w:divBdr>
            <w:top w:val="none" w:sz="0" w:space="0" w:color="auto"/>
            <w:left w:val="none" w:sz="0" w:space="0" w:color="auto"/>
            <w:bottom w:val="none" w:sz="0" w:space="0" w:color="auto"/>
            <w:right w:val="none" w:sz="0" w:space="0" w:color="auto"/>
          </w:divBdr>
        </w:div>
        <w:div w:id="900752696">
          <w:marLeft w:val="547"/>
          <w:marRight w:val="0"/>
          <w:marTop w:val="0"/>
          <w:marBottom w:val="40"/>
          <w:divBdr>
            <w:top w:val="none" w:sz="0" w:space="0" w:color="auto"/>
            <w:left w:val="none" w:sz="0" w:space="0" w:color="auto"/>
            <w:bottom w:val="none" w:sz="0" w:space="0" w:color="auto"/>
            <w:right w:val="none" w:sz="0" w:space="0" w:color="auto"/>
          </w:divBdr>
        </w:div>
        <w:div w:id="1377967253">
          <w:marLeft w:val="547"/>
          <w:marRight w:val="0"/>
          <w:marTop w:val="0"/>
          <w:marBottom w:val="40"/>
          <w:divBdr>
            <w:top w:val="none" w:sz="0" w:space="0" w:color="auto"/>
            <w:left w:val="none" w:sz="0" w:space="0" w:color="auto"/>
            <w:bottom w:val="none" w:sz="0" w:space="0" w:color="auto"/>
            <w:right w:val="none" w:sz="0" w:space="0" w:color="auto"/>
          </w:divBdr>
        </w:div>
        <w:div w:id="792093163">
          <w:marLeft w:val="547"/>
          <w:marRight w:val="0"/>
          <w:marTop w:val="0"/>
          <w:marBottom w:val="40"/>
          <w:divBdr>
            <w:top w:val="none" w:sz="0" w:space="0" w:color="auto"/>
            <w:left w:val="none" w:sz="0" w:space="0" w:color="auto"/>
            <w:bottom w:val="none" w:sz="0" w:space="0" w:color="auto"/>
            <w:right w:val="none" w:sz="0" w:space="0" w:color="auto"/>
          </w:divBdr>
        </w:div>
        <w:div w:id="740443017">
          <w:marLeft w:val="547"/>
          <w:marRight w:val="0"/>
          <w:marTop w:val="0"/>
          <w:marBottom w:val="40"/>
          <w:divBdr>
            <w:top w:val="none" w:sz="0" w:space="0" w:color="auto"/>
            <w:left w:val="none" w:sz="0" w:space="0" w:color="auto"/>
            <w:bottom w:val="none" w:sz="0" w:space="0" w:color="auto"/>
            <w:right w:val="none" w:sz="0" w:space="0" w:color="auto"/>
          </w:divBdr>
        </w:div>
        <w:div w:id="1079594361">
          <w:marLeft w:val="547"/>
          <w:marRight w:val="0"/>
          <w:marTop w:val="0"/>
          <w:marBottom w:val="40"/>
          <w:divBdr>
            <w:top w:val="none" w:sz="0" w:space="0" w:color="auto"/>
            <w:left w:val="none" w:sz="0" w:space="0" w:color="auto"/>
            <w:bottom w:val="none" w:sz="0" w:space="0" w:color="auto"/>
            <w:right w:val="none" w:sz="0" w:space="0" w:color="auto"/>
          </w:divBdr>
        </w:div>
        <w:div w:id="844441776">
          <w:marLeft w:val="547"/>
          <w:marRight w:val="0"/>
          <w:marTop w:val="0"/>
          <w:marBottom w:val="40"/>
          <w:divBdr>
            <w:top w:val="none" w:sz="0" w:space="0" w:color="auto"/>
            <w:left w:val="none" w:sz="0" w:space="0" w:color="auto"/>
            <w:bottom w:val="none" w:sz="0" w:space="0" w:color="auto"/>
            <w:right w:val="none" w:sz="0" w:space="0" w:color="auto"/>
          </w:divBdr>
        </w:div>
        <w:div w:id="2017801540">
          <w:marLeft w:val="547"/>
          <w:marRight w:val="0"/>
          <w:marTop w:val="0"/>
          <w:marBottom w:val="40"/>
          <w:divBdr>
            <w:top w:val="none" w:sz="0" w:space="0" w:color="auto"/>
            <w:left w:val="none" w:sz="0" w:space="0" w:color="auto"/>
            <w:bottom w:val="none" w:sz="0" w:space="0" w:color="auto"/>
            <w:right w:val="none" w:sz="0" w:space="0" w:color="auto"/>
          </w:divBdr>
        </w:div>
        <w:div w:id="1473134951">
          <w:marLeft w:val="547"/>
          <w:marRight w:val="0"/>
          <w:marTop w:val="0"/>
          <w:marBottom w:val="40"/>
          <w:divBdr>
            <w:top w:val="none" w:sz="0" w:space="0" w:color="auto"/>
            <w:left w:val="none" w:sz="0" w:space="0" w:color="auto"/>
            <w:bottom w:val="none" w:sz="0" w:space="0" w:color="auto"/>
            <w:right w:val="none" w:sz="0" w:space="0" w:color="auto"/>
          </w:divBdr>
        </w:div>
      </w:divsChild>
    </w:div>
    <w:div w:id="848640679">
      <w:bodyDiv w:val="1"/>
      <w:marLeft w:val="0"/>
      <w:marRight w:val="0"/>
      <w:marTop w:val="0"/>
      <w:marBottom w:val="0"/>
      <w:divBdr>
        <w:top w:val="none" w:sz="0" w:space="0" w:color="auto"/>
        <w:left w:val="none" w:sz="0" w:space="0" w:color="auto"/>
        <w:bottom w:val="none" w:sz="0" w:space="0" w:color="auto"/>
        <w:right w:val="none" w:sz="0" w:space="0" w:color="auto"/>
      </w:divBdr>
    </w:div>
    <w:div w:id="887687963">
      <w:bodyDiv w:val="1"/>
      <w:marLeft w:val="0"/>
      <w:marRight w:val="0"/>
      <w:marTop w:val="0"/>
      <w:marBottom w:val="0"/>
      <w:divBdr>
        <w:top w:val="none" w:sz="0" w:space="0" w:color="auto"/>
        <w:left w:val="none" w:sz="0" w:space="0" w:color="auto"/>
        <w:bottom w:val="none" w:sz="0" w:space="0" w:color="auto"/>
        <w:right w:val="none" w:sz="0" w:space="0" w:color="auto"/>
      </w:divBdr>
    </w:div>
    <w:div w:id="934825678">
      <w:bodyDiv w:val="1"/>
      <w:marLeft w:val="0"/>
      <w:marRight w:val="0"/>
      <w:marTop w:val="0"/>
      <w:marBottom w:val="0"/>
      <w:divBdr>
        <w:top w:val="none" w:sz="0" w:space="0" w:color="auto"/>
        <w:left w:val="none" w:sz="0" w:space="0" w:color="auto"/>
        <w:bottom w:val="none" w:sz="0" w:space="0" w:color="auto"/>
        <w:right w:val="none" w:sz="0" w:space="0" w:color="auto"/>
      </w:divBdr>
      <w:divsChild>
        <w:div w:id="1750301496">
          <w:marLeft w:val="547"/>
          <w:marRight w:val="0"/>
          <w:marTop w:val="96"/>
          <w:marBottom w:val="0"/>
          <w:divBdr>
            <w:top w:val="none" w:sz="0" w:space="0" w:color="auto"/>
            <w:left w:val="none" w:sz="0" w:space="0" w:color="auto"/>
            <w:bottom w:val="none" w:sz="0" w:space="0" w:color="auto"/>
            <w:right w:val="none" w:sz="0" w:space="0" w:color="auto"/>
          </w:divBdr>
        </w:div>
        <w:div w:id="1440179799">
          <w:marLeft w:val="547"/>
          <w:marRight w:val="0"/>
          <w:marTop w:val="96"/>
          <w:marBottom w:val="0"/>
          <w:divBdr>
            <w:top w:val="none" w:sz="0" w:space="0" w:color="auto"/>
            <w:left w:val="none" w:sz="0" w:space="0" w:color="auto"/>
            <w:bottom w:val="none" w:sz="0" w:space="0" w:color="auto"/>
            <w:right w:val="none" w:sz="0" w:space="0" w:color="auto"/>
          </w:divBdr>
        </w:div>
        <w:div w:id="219250075">
          <w:marLeft w:val="547"/>
          <w:marRight w:val="0"/>
          <w:marTop w:val="96"/>
          <w:marBottom w:val="0"/>
          <w:divBdr>
            <w:top w:val="none" w:sz="0" w:space="0" w:color="auto"/>
            <w:left w:val="none" w:sz="0" w:space="0" w:color="auto"/>
            <w:bottom w:val="none" w:sz="0" w:space="0" w:color="auto"/>
            <w:right w:val="none" w:sz="0" w:space="0" w:color="auto"/>
          </w:divBdr>
        </w:div>
        <w:div w:id="1088117989">
          <w:marLeft w:val="547"/>
          <w:marRight w:val="0"/>
          <w:marTop w:val="96"/>
          <w:marBottom w:val="0"/>
          <w:divBdr>
            <w:top w:val="none" w:sz="0" w:space="0" w:color="auto"/>
            <w:left w:val="none" w:sz="0" w:space="0" w:color="auto"/>
            <w:bottom w:val="none" w:sz="0" w:space="0" w:color="auto"/>
            <w:right w:val="none" w:sz="0" w:space="0" w:color="auto"/>
          </w:divBdr>
        </w:div>
        <w:div w:id="915748151">
          <w:marLeft w:val="547"/>
          <w:marRight w:val="0"/>
          <w:marTop w:val="96"/>
          <w:marBottom w:val="0"/>
          <w:divBdr>
            <w:top w:val="none" w:sz="0" w:space="0" w:color="auto"/>
            <w:left w:val="none" w:sz="0" w:space="0" w:color="auto"/>
            <w:bottom w:val="none" w:sz="0" w:space="0" w:color="auto"/>
            <w:right w:val="none" w:sz="0" w:space="0" w:color="auto"/>
          </w:divBdr>
        </w:div>
        <w:div w:id="945769462">
          <w:marLeft w:val="547"/>
          <w:marRight w:val="0"/>
          <w:marTop w:val="96"/>
          <w:marBottom w:val="0"/>
          <w:divBdr>
            <w:top w:val="none" w:sz="0" w:space="0" w:color="auto"/>
            <w:left w:val="none" w:sz="0" w:space="0" w:color="auto"/>
            <w:bottom w:val="none" w:sz="0" w:space="0" w:color="auto"/>
            <w:right w:val="none" w:sz="0" w:space="0" w:color="auto"/>
          </w:divBdr>
        </w:div>
      </w:divsChild>
    </w:div>
    <w:div w:id="990520926">
      <w:bodyDiv w:val="1"/>
      <w:marLeft w:val="0"/>
      <w:marRight w:val="0"/>
      <w:marTop w:val="0"/>
      <w:marBottom w:val="0"/>
      <w:divBdr>
        <w:top w:val="none" w:sz="0" w:space="0" w:color="auto"/>
        <w:left w:val="none" w:sz="0" w:space="0" w:color="auto"/>
        <w:bottom w:val="none" w:sz="0" w:space="0" w:color="auto"/>
        <w:right w:val="none" w:sz="0" w:space="0" w:color="auto"/>
      </w:divBdr>
    </w:div>
    <w:div w:id="1024479130">
      <w:bodyDiv w:val="1"/>
      <w:marLeft w:val="0"/>
      <w:marRight w:val="0"/>
      <w:marTop w:val="0"/>
      <w:marBottom w:val="0"/>
      <w:divBdr>
        <w:top w:val="none" w:sz="0" w:space="0" w:color="auto"/>
        <w:left w:val="none" w:sz="0" w:space="0" w:color="auto"/>
        <w:bottom w:val="none" w:sz="0" w:space="0" w:color="auto"/>
        <w:right w:val="none" w:sz="0" w:space="0" w:color="auto"/>
      </w:divBdr>
    </w:div>
    <w:div w:id="103365587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sChild>
        <w:div w:id="1163862093">
          <w:marLeft w:val="1166"/>
          <w:marRight w:val="0"/>
          <w:marTop w:val="77"/>
          <w:marBottom w:val="0"/>
          <w:divBdr>
            <w:top w:val="none" w:sz="0" w:space="0" w:color="auto"/>
            <w:left w:val="none" w:sz="0" w:space="0" w:color="auto"/>
            <w:bottom w:val="none" w:sz="0" w:space="0" w:color="auto"/>
            <w:right w:val="none" w:sz="0" w:space="0" w:color="auto"/>
          </w:divBdr>
        </w:div>
        <w:div w:id="1231422245">
          <w:marLeft w:val="1166"/>
          <w:marRight w:val="0"/>
          <w:marTop w:val="77"/>
          <w:marBottom w:val="0"/>
          <w:divBdr>
            <w:top w:val="none" w:sz="0" w:space="0" w:color="auto"/>
            <w:left w:val="none" w:sz="0" w:space="0" w:color="auto"/>
            <w:bottom w:val="none" w:sz="0" w:space="0" w:color="auto"/>
            <w:right w:val="none" w:sz="0" w:space="0" w:color="auto"/>
          </w:divBdr>
        </w:div>
      </w:divsChild>
    </w:div>
    <w:div w:id="1066299456">
      <w:bodyDiv w:val="1"/>
      <w:marLeft w:val="0"/>
      <w:marRight w:val="0"/>
      <w:marTop w:val="0"/>
      <w:marBottom w:val="0"/>
      <w:divBdr>
        <w:top w:val="none" w:sz="0" w:space="0" w:color="auto"/>
        <w:left w:val="none" w:sz="0" w:space="0" w:color="auto"/>
        <w:bottom w:val="none" w:sz="0" w:space="0" w:color="auto"/>
        <w:right w:val="none" w:sz="0" w:space="0" w:color="auto"/>
      </w:divBdr>
    </w:div>
    <w:div w:id="1104303093">
      <w:bodyDiv w:val="1"/>
      <w:marLeft w:val="0"/>
      <w:marRight w:val="0"/>
      <w:marTop w:val="0"/>
      <w:marBottom w:val="0"/>
      <w:divBdr>
        <w:top w:val="none" w:sz="0" w:space="0" w:color="auto"/>
        <w:left w:val="none" w:sz="0" w:space="0" w:color="auto"/>
        <w:bottom w:val="none" w:sz="0" w:space="0" w:color="auto"/>
        <w:right w:val="none" w:sz="0" w:space="0" w:color="auto"/>
      </w:divBdr>
    </w:div>
    <w:div w:id="1129860835">
      <w:bodyDiv w:val="1"/>
      <w:marLeft w:val="0"/>
      <w:marRight w:val="0"/>
      <w:marTop w:val="0"/>
      <w:marBottom w:val="0"/>
      <w:divBdr>
        <w:top w:val="none" w:sz="0" w:space="0" w:color="auto"/>
        <w:left w:val="none" w:sz="0" w:space="0" w:color="auto"/>
        <w:bottom w:val="none" w:sz="0" w:space="0" w:color="auto"/>
        <w:right w:val="none" w:sz="0" w:space="0" w:color="auto"/>
      </w:divBdr>
      <w:divsChild>
        <w:div w:id="737940516">
          <w:marLeft w:val="1166"/>
          <w:marRight w:val="0"/>
          <w:marTop w:val="96"/>
          <w:marBottom w:val="0"/>
          <w:divBdr>
            <w:top w:val="none" w:sz="0" w:space="0" w:color="auto"/>
            <w:left w:val="none" w:sz="0" w:space="0" w:color="auto"/>
            <w:bottom w:val="none" w:sz="0" w:space="0" w:color="auto"/>
            <w:right w:val="none" w:sz="0" w:space="0" w:color="auto"/>
          </w:divBdr>
        </w:div>
        <w:div w:id="299267871">
          <w:marLeft w:val="1166"/>
          <w:marRight w:val="0"/>
          <w:marTop w:val="96"/>
          <w:marBottom w:val="0"/>
          <w:divBdr>
            <w:top w:val="none" w:sz="0" w:space="0" w:color="auto"/>
            <w:left w:val="none" w:sz="0" w:space="0" w:color="auto"/>
            <w:bottom w:val="none" w:sz="0" w:space="0" w:color="auto"/>
            <w:right w:val="none" w:sz="0" w:space="0" w:color="auto"/>
          </w:divBdr>
        </w:div>
        <w:div w:id="849374081">
          <w:marLeft w:val="1166"/>
          <w:marRight w:val="0"/>
          <w:marTop w:val="96"/>
          <w:marBottom w:val="0"/>
          <w:divBdr>
            <w:top w:val="none" w:sz="0" w:space="0" w:color="auto"/>
            <w:left w:val="none" w:sz="0" w:space="0" w:color="auto"/>
            <w:bottom w:val="none" w:sz="0" w:space="0" w:color="auto"/>
            <w:right w:val="none" w:sz="0" w:space="0" w:color="auto"/>
          </w:divBdr>
        </w:div>
        <w:div w:id="1581139288">
          <w:marLeft w:val="1166"/>
          <w:marRight w:val="0"/>
          <w:marTop w:val="96"/>
          <w:marBottom w:val="0"/>
          <w:divBdr>
            <w:top w:val="none" w:sz="0" w:space="0" w:color="auto"/>
            <w:left w:val="none" w:sz="0" w:space="0" w:color="auto"/>
            <w:bottom w:val="none" w:sz="0" w:space="0" w:color="auto"/>
            <w:right w:val="none" w:sz="0" w:space="0" w:color="auto"/>
          </w:divBdr>
        </w:div>
        <w:div w:id="691804050">
          <w:marLeft w:val="1166"/>
          <w:marRight w:val="0"/>
          <w:marTop w:val="96"/>
          <w:marBottom w:val="0"/>
          <w:divBdr>
            <w:top w:val="none" w:sz="0" w:space="0" w:color="auto"/>
            <w:left w:val="none" w:sz="0" w:space="0" w:color="auto"/>
            <w:bottom w:val="none" w:sz="0" w:space="0" w:color="auto"/>
            <w:right w:val="none" w:sz="0" w:space="0" w:color="auto"/>
          </w:divBdr>
        </w:div>
      </w:divsChild>
    </w:div>
    <w:div w:id="1149202178">
      <w:bodyDiv w:val="1"/>
      <w:marLeft w:val="0"/>
      <w:marRight w:val="0"/>
      <w:marTop w:val="0"/>
      <w:marBottom w:val="0"/>
      <w:divBdr>
        <w:top w:val="none" w:sz="0" w:space="0" w:color="auto"/>
        <w:left w:val="none" w:sz="0" w:space="0" w:color="auto"/>
        <w:bottom w:val="none" w:sz="0" w:space="0" w:color="auto"/>
        <w:right w:val="none" w:sz="0" w:space="0" w:color="auto"/>
      </w:divBdr>
    </w:div>
    <w:div w:id="1157572136">
      <w:bodyDiv w:val="1"/>
      <w:marLeft w:val="0"/>
      <w:marRight w:val="0"/>
      <w:marTop w:val="0"/>
      <w:marBottom w:val="0"/>
      <w:divBdr>
        <w:top w:val="none" w:sz="0" w:space="0" w:color="auto"/>
        <w:left w:val="none" w:sz="0" w:space="0" w:color="auto"/>
        <w:bottom w:val="none" w:sz="0" w:space="0" w:color="auto"/>
        <w:right w:val="none" w:sz="0" w:space="0" w:color="auto"/>
      </w:divBdr>
    </w:div>
    <w:div w:id="1185749509">
      <w:bodyDiv w:val="1"/>
      <w:marLeft w:val="0"/>
      <w:marRight w:val="0"/>
      <w:marTop w:val="0"/>
      <w:marBottom w:val="0"/>
      <w:divBdr>
        <w:top w:val="none" w:sz="0" w:space="0" w:color="auto"/>
        <w:left w:val="none" w:sz="0" w:space="0" w:color="auto"/>
        <w:bottom w:val="none" w:sz="0" w:space="0" w:color="auto"/>
        <w:right w:val="none" w:sz="0" w:space="0" w:color="auto"/>
      </w:divBdr>
      <w:divsChild>
        <w:div w:id="45957769">
          <w:marLeft w:val="547"/>
          <w:marRight w:val="0"/>
          <w:marTop w:val="96"/>
          <w:marBottom w:val="120"/>
          <w:divBdr>
            <w:top w:val="none" w:sz="0" w:space="0" w:color="auto"/>
            <w:left w:val="none" w:sz="0" w:space="0" w:color="auto"/>
            <w:bottom w:val="none" w:sz="0" w:space="0" w:color="auto"/>
            <w:right w:val="none" w:sz="0" w:space="0" w:color="auto"/>
          </w:divBdr>
        </w:div>
        <w:div w:id="310673334">
          <w:marLeft w:val="547"/>
          <w:marRight w:val="0"/>
          <w:marTop w:val="96"/>
          <w:marBottom w:val="120"/>
          <w:divBdr>
            <w:top w:val="none" w:sz="0" w:space="0" w:color="auto"/>
            <w:left w:val="none" w:sz="0" w:space="0" w:color="auto"/>
            <w:bottom w:val="none" w:sz="0" w:space="0" w:color="auto"/>
            <w:right w:val="none" w:sz="0" w:space="0" w:color="auto"/>
          </w:divBdr>
        </w:div>
        <w:div w:id="401223415">
          <w:marLeft w:val="547"/>
          <w:marRight w:val="0"/>
          <w:marTop w:val="96"/>
          <w:marBottom w:val="120"/>
          <w:divBdr>
            <w:top w:val="none" w:sz="0" w:space="0" w:color="auto"/>
            <w:left w:val="none" w:sz="0" w:space="0" w:color="auto"/>
            <w:bottom w:val="none" w:sz="0" w:space="0" w:color="auto"/>
            <w:right w:val="none" w:sz="0" w:space="0" w:color="auto"/>
          </w:divBdr>
        </w:div>
        <w:div w:id="699472627">
          <w:marLeft w:val="547"/>
          <w:marRight w:val="0"/>
          <w:marTop w:val="96"/>
          <w:marBottom w:val="120"/>
          <w:divBdr>
            <w:top w:val="none" w:sz="0" w:space="0" w:color="auto"/>
            <w:left w:val="none" w:sz="0" w:space="0" w:color="auto"/>
            <w:bottom w:val="none" w:sz="0" w:space="0" w:color="auto"/>
            <w:right w:val="none" w:sz="0" w:space="0" w:color="auto"/>
          </w:divBdr>
        </w:div>
        <w:div w:id="525801005">
          <w:marLeft w:val="547"/>
          <w:marRight w:val="0"/>
          <w:marTop w:val="96"/>
          <w:marBottom w:val="120"/>
          <w:divBdr>
            <w:top w:val="none" w:sz="0" w:space="0" w:color="auto"/>
            <w:left w:val="none" w:sz="0" w:space="0" w:color="auto"/>
            <w:bottom w:val="none" w:sz="0" w:space="0" w:color="auto"/>
            <w:right w:val="none" w:sz="0" w:space="0" w:color="auto"/>
          </w:divBdr>
        </w:div>
        <w:div w:id="1595941465">
          <w:marLeft w:val="547"/>
          <w:marRight w:val="0"/>
          <w:marTop w:val="96"/>
          <w:marBottom w:val="120"/>
          <w:divBdr>
            <w:top w:val="none" w:sz="0" w:space="0" w:color="auto"/>
            <w:left w:val="none" w:sz="0" w:space="0" w:color="auto"/>
            <w:bottom w:val="none" w:sz="0" w:space="0" w:color="auto"/>
            <w:right w:val="none" w:sz="0" w:space="0" w:color="auto"/>
          </w:divBdr>
        </w:div>
        <w:div w:id="384374360">
          <w:marLeft w:val="547"/>
          <w:marRight w:val="0"/>
          <w:marTop w:val="96"/>
          <w:marBottom w:val="120"/>
          <w:divBdr>
            <w:top w:val="none" w:sz="0" w:space="0" w:color="auto"/>
            <w:left w:val="none" w:sz="0" w:space="0" w:color="auto"/>
            <w:bottom w:val="none" w:sz="0" w:space="0" w:color="auto"/>
            <w:right w:val="none" w:sz="0" w:space="0" w:color="auto"/>
          </w:divBdr>
        </w:div>
      </w:divsChild>
    </w:div>
    <w:div w:id="1190606260">
      <w:bodyDiv w:val="1"/>
      <w:marLeft w:val="0"/>
      <w:marRight w:val="0"/>
      <w:marTop w:val="0"/>
      <w:marBottom w:val="0"/>
      <w:divBdr>
        <w:top w:val="none" w:sz="0" w:space="0" w:color="auto"/>
        <w:left w:val="none" w:sz="0" w:space="0" w:color="auto"/>
        <w:bottom w:val="none" w:sz="0" w:space="0" w:color="auto"/>
        <w:right w:val="none" w:sz="0" w:space="0" w:color="auto"/>
      </w:divBdr>
      <w:divsChild>
        <w:div w:id="716244451">
          <w:marLeft w:val="1166"/>
          <w:marRight w:val="0"/>
          <w:marTop w:val="96"/>
          <w:marBottom w:val="0"/>
          <w:divBdr>
            <w:top w:val="none" w:sz="0" w:space="0" w:color="auto"/>
            <w:left w:val="none" w:sz="0" w:space="0" w:color="auto"/>
            <w:bottom w:val="none" w:sz="0" w:space="0" w:color="auto"/>
            <w:right w:val="none" w:sz="0" w:space="0" w:color="auto"/>
          </w:divBdr>
        </w:div>
        <w:div w:id="934902893">
          <w:marLeft w:val="1166"/>
          <w:marRight w:val="0"/>
          <w:marTop w:val="96"/>
          <w:marBottom w:val="0"/>
          <w:divBdr>
            <w:top w:val="none" w:sz="0" w:space="0" w:color="auto"/>
            <w:left w:val="none" w:sz="0" w:space="0" w:color="auto"/>
            <w:bottom w:val="none" w:sz="0" w:space="0" w:color="auto"/>
            <w:right w:val="none" w:sz="0" w:space="0" w:color="auto"/>
          </w:divBdr>
        </w:div>
        <w:div w:id="449932598">
          <w:marLeft w:val="1166"/>
          <w:marRight w:val="0"/>
          <w:marTop w:val="96"/>
          <w:marBottom w:val="0"/>
          <w:divBdr>
            <w:top w:val="none" w:sz="0" w:space="0" w:color="auto"/>
            <w:left w:val="none" w:sz="0" w:space="0" w:color="auto"/>
            <w:bottom w:val="none" w:sz="0" w:space="0" w:color="auto"/>
            <w:right w:val="none" w:sz="0" w:space="0" w:color="auto"/>
          </w:divBdr>
        </w:div>
        <w:div w:id="260113416">
          <w:marLeft w:val="1166"/>
          <w:marRight w:val="0"/>
          <w:marTop w:val="96"/>
          <w:marBottom w:val="0"/>
          <w:divBdr>
            <w:top w:val="none" w:sz="0" w:space="0" w:color="auto"/>
            <w:left w:val="none" w:sz="0" w:space="0" w:color="auto"/>
            <w:bottom w:val="none" w:sz="0" w:space="0" w:color="auto"/>
            <w:right w:val="none" w:sz="0" w:space="0" w:color="auto"/>
          </w:divBdr>
        </w:div>
        <w:div w:id="1532960145">
          <w:marLeft w:val="1166"/>
          <w:marRight w:val="0"/>
          <w:marTop w:val="96"/>
          <w:marBottom w:val="0"/>
          <w:divBdr>
            <w:top w:val="none" w:sz="0" w:space="0" w:color="auto"/>
            <w:left w:val="none" w:sz="0" w:space="0" w:color="auto"/>
            <w:bottom w:val="none" w:sz="0" w:space="0" w:color="auto"/>
            <w:right w:val="none" w:sz="0" w:space="0" w:color="auto"/>
          </w:divBdr>
        </w:div>
      </w:divsChild>
    </w:div>
    <w:div w:id="1239633881">
      <w:bodyDiv w:val="1"/>
      <w:marLeft w:val="0"/>
      <w:marRight w:val="0"/>
      <w:marTop w:val="0"/>
      <w:marBottom w:val="0"/>
      <w:divBdr>
        <w:top w:val="none" w:sz="0" w:space="0" w:color="auto"/>
        <w:left w:val="none" w:sz="0" w:space="0" w:color="auto"/>
        <w:bottom w:val="none" w:sz="0" w:space="0" w:color="auto"/>
        <w:right w:val="none" w:sz="0" w:space="0" w:color="auto"/>
      </w:divBdr>
    </w:div>
    <w:div w:id="1243641413">
      <w:bodyDiv w:val="1"/>
      <w:marLeft w:val="0"/>
      <w:marRight w:val="0"/>
      <w:marTop w:val="0"/>
      <w:marBottom w:val="0"/>
      <w:divBdr>
        <w:top w:val="none" w:sz="0" w:space="0" w:color="auto"/>
        <w:left w:val="none" w:sz="0" w:space="0" w:color="auto"/>
        <w:bottom w:val="none" w:sz="0" w:space="0" w:color="auto"/>
        <w:right w:val="none" w:sz="0" w:space="0" w:color="auto"/>
      </w:divBdr>
    </w:div>
    <w:div w:id="1246918251">
      <w:bodyDiv w:val="1"/>
      <w:marLeft w:val="0"/>
      <w:marRight w:val="0"/>
      <w:marTop w:val="0"/>
      <w:marBottom w:val="0"/>
      <w:divBdr>
        <w:top w:val="none" w:sz="0" w:space="0" w:color="auto"/>
        <w:left w:val="none" w:sz="0" w:space="0" w:color="auto"/>
        <w:bottom w:val="none" w:sz="0" w:space="0" w:color="auto"/>
        <w:right w:val="none" w:sz="0" w:space="0" w:color="auto"/>
      </w:divBdr>
    </w:div>
    <w:div w:id="1266159658">
      <w:bodyDiv w:val="1"/>
      <w:marLeft w:val="0"/>
      <w:marRight w:val="0"/>
      <w:marTop w:val="0"/>
      <w:marBottom w:val="0"/>
      <w:divBdr>
        <w:top w:val="none" w:sz="0" w:space="0" w:color="auto"/>
        <w:left w:val="none" w:sz="0" w:space="0" w:color="auto"/>
        <w:bottom w:val="none" w:sz="0" w:space="0" w:color="auto"/>
        <w:right w:val="none" w:sz="0" w:space="0" w:color="auto"/>
      </w:divBdr>
    </w:div>
    <w:div w:id="1291742196">
      <w:bodyDiv w:val="1"/>
      <w:marLeft w:val="0"/>
      <w:marRight w:val="0"/>
      <w:marTop w:val="0"/>
      <w:marBottom w:val="0"/>
      <w:divBdr>
        <w:top w:val="none" w:sz="0" w:space="0" w:color="auto"/>
        <w:left w:val="none" w:sz="0" w:space="0" w:color="auto"/>
        <w:bottom w:val="none" w:sz="0" w:space="0" w:color="auto"/>
        <w:right w:val="none" w:sz="0" w:space="0" w:color="auto"/>
      </w:divBdr>
    </w:div>
    <w:div w:id="1301501375">
      <w:bodyDiv w:val="1"/>
      <w:marLeft w:val="0"/>
      <w:marRight w:val="0"/>
      <w:marTop w:val="0"/>
      <w:marBottom w:val="0"/>
      <w:divBdr>
        <w:top w:val="none" w:sz="0" w:space="0" w:color="auto"/>
        <w:left w:val="none" w:sz="0" w:space="0" w:color="auto"/>
        <w:bottom w:val="none" w:sz="0" w:space="0" w:color="auto"/>
        <w:right w:val="none" w:sz="0" w:space="0" w:color="auto"/>
      </w:divBdr>
    </w:div>
    <w:div w:id="1305742505">
      <w:bodyDiv w:val="1"/>
      <w:marLeft w:val="0"/>
      <w:marRight w:val="0"/>
      <w:marTop w:val="0"/>
      <w:marBottom w:val="0"/>
      <w:divBdr>
        <w:top w:val="none" w:sz="0" w:space="0" w:color="auto"/>
        <w:left w:val="none" w:sz="0" w:space="0" w:color="auto"/>
        <w:bottom w:val="none" w:sz="0" w:space="0" w:color="auto"/>
        <w:right w:val="none" w:sz="0" w:space="0" w:color="auto"/>
      </w:divBdr>
      <w:divsChild>
        <w:div w:id="199897688">
          <w:marLeft w:val="288"/>
          <w:marRight w:val="0"/>
          <w:marTop w:val="86"/>
          <w:marBottom w:val="0"/>
          <w:divBdr>
            <w:top w:val="none" w:sz="0" w:space="0" w:color="auto"/>
            <w:left w:val="none" w:sz="0" w:space="0" w:color="auto"/>
            <w:bottom w:val="none" w:sz="0" w:space="0" w:color="auto"/>
            <w:right w:val="none" w:sz="0" w:space="0" w:color="auto"/>
          </w:divBdr>
        </w:div>
        <w:div w:id="1827166600">
          <w:marLeft w:val="979"/>
          <w:marRight w:val="0"/>
          <w:marTop w:val="77"/>
          <w:marBottom w:val="0"/>
          <w:divBdr>
            <w:top w:val="none" w:sz="0" w:space="0" w:color="auto"/>
            <w:left w:val="none" w:sz="0" w:space="0" w:color="auto"/>
            <w:bottom w:val="none" w:sz="0" w:space="0" w:color="auto"/>
            <w:right w:val="none" w:sz="0" w:space="0" w:color="auto"/>
          </w:divBdr>
        </w:div>
        <w:div w:id="1660498594">
          <w:marLeft w:val="979"/>
          <w:marRight w:val="0"/>
          <w:marTop w:val="77"/>
          <w:marBottom w:val="0"/>
          <w:divBdr>
            <w:top w:val="none" w:sz="0" w:space="0" w:color="auto"/>
            <w:left w:val="none" w:sz="0" w:space="0" w:color="auto"/>
            <w:bottom w:val="none" w:sz="0" w:space="0" w:color="auto"/>
            <w:right w:val="none" w:sz="0" w:space="0" w:color="auto"/>
          </w:divBdr>
        </w:div>
        <w:div w:id="19283443">
          <w:marLeft w:val="288"/>
          <w:marRight w:val="0"/>
          <w:marTop w:val="160"/>
          <w:marBottom w:val="0"/>
          <w:divBdr>
            <w:top w:val="none" w:sz="0" w:space="0" w:color="auto"/>
            <w:left w:val="none" w:sz="0" w:space="0" w:color="auto"/>
            <w:bottom w:val="none" w:sz="0" w:space="0" w:color="auto"/>
            <w:right w:val="none" w:sz="0" w:space="0" w:color="auto"/>
          </w:divBdr>
        </w:div>
        <w:div w:id="535237539">
          <w:marLeft w:val="979"/>
          <w:marRight w:val="0"/>
          <w:marTop w:val="77"/>
          <w:marBottom w:val="0"/>
          <w:divBdr>
            <w:top w:val="none" w:sz="0" w:space="0" w:color="auto"/>
            <w:left w:val="none" w:sz="0" w:space="0" w:color="auto"/>
            <w:bottom w:val="none" w:sz="0" w:space="0" w:color="auto"/>
            <w:right w:val="none" w:sz="0" w:space="0" w:color="auto"/>
          </w:divBdr>
        </w:div>
        <w:div w:id="1669475675">
          <w:marLeft w:val="288"/>
          <w:marRight w:val="0"/>
          <w:marTop w:val="160"/>
          <w:marBottom w:val="0"/>
          <w:divBdr>
            <w:top w:val="none" w:sz="0" w:space="0" w:color="auto"/>
            <w:left w:val="none" w:sz="0" w:space="0" w:color="auto"/>
            <w:bottom w:val="none" w:sz="0" w:space="0" w:color="auto"/>
            <w:right w:val="none" w:sz="0" w:space="0" w:color="auto"/>
          </w:divBdr>
        </w:div>
        <w:div w:id="92020507">
          <w:marLeft w:val="979"/>
          <w:marRight w:val="0"/>
          <w:marTop w:val="77"/>
          <w:marBottom w:val="0"/>
          <w:divBdr>
            <w:top w:val="none" w:sz="0" w:space="0" w:color="auto"/>
            <w:left w:val="none" w:sz="0" w:space="0" w:color="auto"/>
            <w:bottom w:val="none" w:sz="0" w:space="0" w:color="auto"/>
            <w:right w:val="none" w:sz="0" w:space="0" w:color="auto"/>
          </w:divBdr>
        </w:div>
        <w:div w:id="1665737150">
          <w:marLeft w:val="979"/>
          <w:marRight w:val="0"/>
          <w:marTop w:val="77"/>
          <w:marBottom w:val="0"/>
          <w:divBdr>
            <w:top w:val="none" w:sz="0" w:space="0" w:color="auto"/>
            <w:left w:val="none" w:sz="0" w:space="0" w:color="auto"/>
            <w:bottom w:val="none" w:sz="0" w:space="0" w:color="auto"/>
            <w:right w:val="none" w:sz="0" w:space="0" w:color="auto"/>
          </w:divBdr>
        </w:div>
        <w:div w:id="84111590">
          <w:marLeft w:val="288"/>
          <w:marRight w:val="0"/>
          <w:marTop w:val="160"/>
          <w:marBottom w:val="0"/>
          <w:divBdr>
            <w:top w:val="none" w:sz="0" w:space="0" w:color="auto"/>
            <w:left w:val="none" w:sz="0" w:space="0" w:color="auto"/>
            <w:bottom w:val="none" w:sz="0" w:space="0" w:color="auto"/>
            <w:right w:val="none" w:sz="0" w:space="0" w:color="auto"/>
          </w:divBdr>
        </w:div>
        <w:div w:id="1157645372">
          <w:marLeft w:val="979"/>
          <w:marRight w:val="0"/>
          <w:marTop w:val="77"/>
          <w:marBottom w:val="0"/>
          <w:divBdr>
            <w:top w:val="none" w:sz="0" w:space="0" w:color="auto"/>
            <w:left w:val="none" w:sz="0" w:space="0" w:color="auto"/>
            <w:bottom w:val="none" w:sz="0" w:space="0" w:color="auto"/>
            <w:right w:val="none" w:sz="0" w:space="0" w:color="auto"/>
          </w:divBdr>
        </w:div>
        <w:div w:id="1041705971">
          <w:marLeft w:val="288"/>
          <w:marRight w:val="0"/>
          <w:marTop w:val="160"/>
          <w:marBottom w:val="0"/>
          <w:divBdr>
            <w:top w:val="none" w:sz="0" w:space="0" w:color="auto"/>
            <w:left w:val="none" w:sz="0" w:space="0" w:color="auto"/>
            <w:bottom w:val="none" w:sz="0" w:space="0" w:color="auto"/>
            <w:right w:val="none" w:sz="0" w:space="0" w:color="auto"/>
          </w:divBdr>
        </w:div>
        <w:div w:id="573397747">
          <w:marLeft w:val="979"/>
          <w:marRight w:val="0"/>
          <w:marTop w:val="77"/>
          <w:marBottom w:val="0"/>
          <w:divBdr>
            <w:top w:val="none" w:sz="0" w:space="0" w:color="auto"/>
            <w:left w:val="none" w:sz="0" w:space="0" w:color="auto"/>
            <w:bottom w:val="none" w:sz="0" w:space="0" w:color="auto"/>
            <w:right w:val="none" w:sz="0" w:space="0" w:color="auto"/>
          </w:divBdr>
        </w:div>
        <w:div w:id="1077437989">
          <w:marLeft w:val="288"/>
          <w:marRight w:val="0"/>
          <w:marTop w:val="160"/>
          <w:marBottom w:val="0"/>
          <w:divBdr>
            <w:top w:val="none" w:sz="0" w:space="0" w:color="auto"/>
            <w:left w:val="none" w:sz="0" w:space="0" w:color="auto"/>
            <w:bottom w:val="none" w:sz="0" w:space="0" w:color="auto"/>
            <w:right w:val="none" w:sz="0" w:space="0" w:color="auto"/>
          </w:divBdr>
        </w:div>
        <w:div w:id="1285500283">
          <w:marLeft w:val="979"/>
          <w:marRight w:val="0"/>
          <w:marTop w:val="77"/>
          <w:marBottom w:val="0"/>
          <w:divBdr>
            <w:top w:val="none" w:sz="0" w:space="0" w:color="auto"/>
            <w:left w:val="none" w:sz="0" w:space="0" w:color="auto"/>
            <w:bottom w:val="none" w:sz="0" w:space="0" w:color="auto"/>
            <w:right w:val="none" w:sz="0" w:space="0" w:color="auto"/>
          </w:divBdr>
        </w:div>
      </w:divsChild>
    </w:div>
    <w:div w:id="1331441652">
      <w:bodyDiv w:val="1"/>
      <w:marLeft w:val="0"/>
      <w:marRight w:val="0"/>
      <w:marTop w:val="0"/>
      <w:marBottom w:val="0"/>
      <w:divBdr>
        <w:top w:val="none" w:sz="0" w:space="0" w:color="auto"/>
        <w:left w:val="none" w:sz="0" w:space="0" w:color="auto"/>
        <w:bottom w:val="none" w:sz="0" w:space="0" w:color="auto"/>
        <w:right w:val="none" w:sz="0" w:space="0" w:color="auto"/>
      </w:divBdr>
    </w:div>
    <w:div w:id="1341931566">
      <w:bodyDiv w:val="1"/>
      <w:marLeft w:val="0"/>
      <w:marRight w:val="0"/>
      <w:marTop w:val="0"/>
      <w:marBottom w:val="0"/>
      <w:divBdr>
        <w:top w:val="none" w:sz="0" w:space="0" w:color="auto"/>
        <w:left w:val="none" w:sz="0" w:space="0" w:color="auto"/>
        <w:bottom w:val="none" w:sz="0" w:space="0" w:color="auto"/>
        <w:right w:val="none" w:sz="0" w:space="0" w:color="auto"/>
      </w:divBdr>
    </w:div>
    <w:div w:id="1347633745">
      <w:bodyDiv w:val="1"/>
      <w:marLeft w:val="0"/>
      <w:marRight w:val="0"/>
      <w:marTop w:val="0"/>
      <w:marBottom w:val="0"/>
      <w:divBdr>
        <w:top w:val="none" w:sz="0" w:space="0" w:color="auto"/>
        <w:left w:val="none" w:sz="0" w:space="0" w:color="auto"/>
        <w:bottom w:val="none" w:sz="0" w:space="0" w:color="auto"/>
        <w:right w:val="none" w:sz="0" w:space="0" w:color="auto"/>
      </w:divBdr>
    </w:div>
    <w:div w:id="1350640309">
      <w:bodyDiv w:val="1"/>
      <w:marLeft w:val="0"/>
      <w:marRight w:val="0"/>
      <w:marTop w:val="0"/>
      <w:marBottom w:val="0"/>
      <w:divBdr>
        <w:top w:val="none" w:sz="0" w:space="0" w:color="auto"/>
        <w:left w:val="none" w:sz="0" w:space="0" w:color="auto"/>
        <w:bottom w:val="none" w:sz="0" w:space="0" w:color="auto"/>
        <w:right w:val="none" w:sz="0" w:space="0" w:color="auto"/>
      </w:divBdr>
    </w:div>
    <w:div w:id="1424842267">
      <w:bodyDiv w:val="1"/>
      <w:marLeft w:val="0"/>
      <w:marRight w:val="0"/>
      <w:marTop w:val="0"/>
      <w:marBottom w:val="0"/>
      <w:divBdr>
        <w:top w:val="none" w:sz="0" w:space="0" w:color="auto"/>
        <w:left w:val="none" w:sz="0" w:space="0" w:color="auto"/>
        <w:bottom w:val="none" w:sz="0" w:space="0" w:color="auto"/>
        <w:right w:val="none" w:sz="0" w:space="0" w:color="auto"/>
      </w:divBdr>
      <w:divsChild>
        <w:div w:id="2082868771">
          <w:marLeft w:val="835"/>
          <w:marRight w:val="0"/>
          <w:marTop w:val="60"/>
          <w:marBottom w:val="60"/>
          <w:divBdr>
            <w:top w:val="none" w:sz="0" w:space="0" w:color="auto"/>
            <w:left w:val="none" w:sz="0" w:space="0" w:color="auto"/>
            <w:bottom w:val="none" w:sz="0" w:space="0" w:color="auto"/>
            <w:right w:val="none" w:sz="0" w:space="0" w:color="auto"/>
          </w:divBdr>
        </w:div>
        <w:div w:id="483670625">
          <w:marLeft w:val="835"/>
          <w:marRight w:val="0"/>
          <w:marTop w:val="60"/>
          <w:marBottom w:val="60"/>
          <w:divBdr>
            <w:top w:val="none" w:sz="0" w:space="0" w:color="auto"/>
            <w:left w:val="none" w:sz="0" w:space="0" w:color="auto"/>
            <w:bottom w:val="none" w:sz="0" w:space="0" w:color="auto"/>
            <w:right w:val="none" w:sz="0" w:space="0" w:color="auto"/>
          </w:divBdr>
        </w:div>
        <w:div w:id="1537936255">
          <w:marLeft w:val="835"/>
          <w:marRight w:val="0"/>
          <w:marTop w:val="60"/>
          <w:marBottom w:val="60"/>
          <w:divBdr>
            <w:top w:val="none" w:sz="0" w:space="0" w:color="auto"/>
            <w:left w:val="none" w:sz="0" w:space="0" w:color="auto"/>
            <w:bottom w:val="none" w:sz="0" w:space="0" w:color="auto"/>
            <w:right w:val="none" w:sz="0" w:space="0" w:color="auto"/>
          </w:divBdr>
        </w:div>
        <w:div w:id="155347334">
          <w:marLeft w:val="835"/>
          <w:marRight w:val="0"/>
          <w:marTop w:val="60"/>
          <w:marBottom w:val="60"/>
          <w:divBdr>
            <w:top w:val="none" w:sz="0" w:space="0" w:color="auto"/>
            <w:left w:val="none" w:sz="0" w:space="0" w:color="auto"/>
            <w:bottom w:val="none" w:sz="0" w:space="0" w:color="auto"/>
            <w:right w:val="none" w:sz="0" w:space="0" w:color="auto"/>
          </w:divBdr>
        </w:div>
        <w:div w:id="1894583482">
          <w:marLeft w:val="835"/>
          <w:marRight w:val="0"/>
          <w:marTop w:val="60"/>
          <w:marBottom w:val="60"/>
          <w:divBdr>
            <w:top w:val="none" w:sz="0" w:space="0" w:color="auto"/>
            <w:left w:val="none" w:sz="0" w:space="0" w:color="auto"/>
            <w:bottom w:val="none" w:sz="0" w:space="0" w:color="auto"/>
            <w:right w:val="none" w:sz="0" w:space="0" w:color="auto"/>
          </w:divBdr>
        </w:div>
        <w:div w:id="85082762">
          <w:marLeft w:val="835"/>
          <w:marRight w:val="0"/>
          <w:marTop w:val="60"/>
          <w:marBottom w:val="60"/>
          <w:divBdr>
            <w:top w:val="none" w:sz="0" w:space="0" w:color="auto"/>
            <w:left w:val="none" w:sz="0" w:space="0" w:color="auto"/>
            <w:bottom w:val="none" w:sz="0" w:space="0" w:color="auto"/>
            <w:right w:val="none" w:sz="0" w:space="0" w:color="auto"/>
          </w:divBdr>
        </w:div>
        <w:div w:id="1629319101">
          <w:marLeft w:val="835"/>
          <w:marRight w:val="0"/>
          <w:marTop w:val="60"/>
          <w:marBottom w:val="60"/>
          <w:divBdr>
            <w:top w:val="none" w:sz="0" w:space="0" w:color="auto"/>
            <w:left w:val="none" w:sz="0" w:space="0" w:color="auto"/>
            <w:bottom w:val="none" w:sz="0" w:space="0" w:color="auto"/>
            <w:right w:val="none" w:sz="0" w:space="0" w:color="auto"/>
          </w:divBdr>
        </w:div>
      </w:divsChild>
    </w:div>
    <w:div w:id="1430203114">
      <w:bodyDiv w:val="1"/>
      <w:marLeft w:val="0"/>
      <w:marRight w:val="0"/>
      <w:marTop w:val="0"/>
      <w:marBottom w:val="0"/>
      <w:divBdr>
        <w:top w:val="none" w:sz="0" w:space="0" w:color="auto"/>
        <w:left w:val="none" w:sz="0" w:space="0" w:color="auto"/>
        <w:bottom w:val="none" w:sz="0" w:space="0" w:color="auto"/>
        <w:right w:val="none" w:sz="0" w:space="0" w:color="auto"/>
      </w:divBdr>
      <w:divsChild>
        <w:div w:id="1842424602">
          <w:marLeft w:val="1800"/>
          <w:marRight w:val="0"/>
          <w:marTop w:val="96"/>
          <w:marBottom w:val="0"/>
          <w:divBdr>
            <w:top w:val="none" w:sz="0" w:space="0" w:color="auto"/>
            <w:left w:val="none" w:sz="0" w:space="0" w:color="auto"/>
            <w:bottom w:val="none" w:sz="0" w:space="0" w:color="auto"/>
            <w:right w:val="none" w:sz="0" w:space="0" w:color="auto"/>
          </w:divBdr>
        </w:div>
        <w:div w:id="537206903">
          <w:marLeft w:val="1800"/>
          <w:marRight w:val="0"/>
          <w:marTop w:val="96"/>
          <w:marBottom w:val="0"/>
          <w:divBdr>
            <w:top w:val="none" w:sz="0" w:space="0" w:color="auto"/>
            <w:left w:val="none" w:sz="0" w:space="0" w:color="auto"/>
            <w:bottom w:val="none" w:sz="0" w:space="0" w:color="auto"/>
            <w:right w:val="none" w:sz="0" w:space="0" w:color="auto"/>
          </w:divBdr>
        </w:div>
        <w:div w:id="2026708710">
          <w:marLeft w:val="1800"/>
          <w:marRight w:val="0"/>
          <w:marTop w:val="96"/>
          <w:marBottom w:val="0"/>
          <w:divBdr>
            <w:top w:val="none" w:sz="0" w:space="0" w:color="auto"/>
            <w:left w:val="none" w:sz="0" w:space="0" w:color="auto"/>
            <w:bottom w:val="none" w:sz="0" w:space="0" w:color="auto"/>
            <w:right w:val="none" w:sz="0" w:space="0" w:color="auto"/>
          </w:divBdr>
        </w:div>
        <w:div w:id="1868450735">
          <w:marLeft w:val="1800"/>
          <w:marRight w:val="0"/>
          <w:marTop w:val="96"/>
          <w:marBottom w:val="0"/>
          <w:divBdr>
            <w:top w:val="none" w:sz="0" w:space="0" w:color="auto"/>
            <w:left w:val="none" w:sz="0" w:space="0" w:color="auto"/>
            <w:bottom w:val="none" w:sz="0" w:space="0" w:color="auto"/>
            <w:right w:val="none" w:sz="0" w:space="0" w:color="auto"/>
          </w:divBdr>
        </w:div>
        <w:div w:id="570968463">
          <w:marLeft w:val="1800"/>
          <w:marRight w:val="0"/>
          <w:marTop w:val="96"/>
          <w:marBottom w:val="0"/>
          <w:divBdr>
            <w:top w:val="none" w:sz="0" w:space="0" w:color="auto"/>
            <w:left w:val="none" w:sz="0" w:space="0" w:color="auto"/>
            <w:bottom w:val="none" w:sz="0" w:space="0" w:color="auto"/>
            <w:right w:val="none" w:sz="0" w:space="0" w:color="auto"/>
          </w:divBdr>
        </w:div>
        <w:div w:id="318772551">
          <w:marLeft w:val="1800"/>
          <w:marRight w:val="0"/>
          <w:marTop w:val="96"/>
          <w:marBottom w:val="0"/>
          <w:divBdr>
            <w:top w:val="none" w:sz="0" w:space="0" w:color="auto"/>
            <w:left w:val="none" w:sz="0" w:space="0" w:color="auto"/>
            <w:bottom w:val="none" w:sz="0" w:space="0" w:color="auto"/>
            <w:right w:val="none" w:sz="0" w:space="0" w:color="auto"/>
          </w:divBdr>
        </w:div>
      </w:divsChild>
    </w:div>
    <w:div w:id="1477990762">
      <w:bodyDiv w:val="1"/>
      <w:marLeft w:val="0"/>
      <w:marRight w:val="0"/>
      <w:marTop w:val="0"/>
      <w:marBottom w:val="0"/>
      <w:divBdr>
        <w:top w:val="none" w:sz="0" w:space="0" w:color="auto"/>
        <w:left w:val="none" w:sz="0" w:space="0" w:color="auto"/>
        <w:bottom w:val="none" w:sz="0" w:space="0" w:color="auto"/>
        <w:right w:val="none" w:sz="0" w:space="0" w:color="auto"/>
      </w:divBdr>
    </w:div>
    <w:div w:id="1480533925">
      <w:bodyDiv w:val="1"/>
      <w:marLeft w:val="0"/>
      <w:marRight w:val="0"/>
      <w:marTop w:val="0"/>
      <w:marBottom w:val="0"/>
      <w:divBdr>
        <w:top w:val="none" w:sz="0" w:space="0" w:color="auto"/>
        <w:left w:val="none" w:sz="0" w:space="0" w:color="auto"/>
        <w:bottom w:val="none" w:sz="0" w:space="0" w:color="auto"/>
        <w:right w:val="none" w:sz="0" w:space="0" w:color="auto"/>
      </w:divBdr>
    </w:div>
    <w:div w:id="1482575871">
      <w:bodyDiv w:val="1"/>
      <w:marLeft w:val="0"/>
      <w:marRight w:val="0"/>
      <w:marTop w:val="0"/>
      <w:marBottom w:val="0"/>
      <w:divBdr>
        <w:top w:val="none" w:sz="0" w:space="0" w:color="auto"/>
        <w:left w:val="none" w:sz="0" w:space="0" w:color="auto"/>
        <w:bottom w:val="none" w:sz="0" w:space="0" w:color="auto"/>
        <w:right w:val="none" w:sz="0" w:space="0" w:color="auto"/>
      </w:divBdr>
    </w:div>
    <w:div w:id="1491561415">
      <w:bodyDiv w:val="1"/>
      <w:marLeft w:val="0"/>
      <w:marRight w:val="0"/>
      <w:marTop w:val="0"/>
      <w:marBottom w:val="0"/>
      <w:divBdr>
        <w:top w:val="none" w:sz="0" w:space="0" w:color="auto"/>
        <w:left w:val="none" w:sz="0" w:space="0" w:color="auto"/>
        <w:bottom w:val="none" w:sz="0" w:space="0" w:color="auto"/>
        <w:right w:val="none" w:sz="0" w:space="0" w:color="auto"/>
      </w:divBdr>
    </w:div>
    <w:div w:id="1507208818">
      <w:bodyDiv w:val="1"/>
      <w:marLeft w:val="0"/>
      <w:marRight w:val="0"/>
      <w:marTop w:val="0"/>
      <w:marBottom w:val="0"/>
      <w:divBdr>
        <w:top w:val="none" w:sz="0" w:space="0" w:color="auto"/>
        <w:left w:val="none" w:sz="0" w:space="0" w:color="auto"/>
        <w:bottom w:val="none" w:sz="0" w:space="0" w:color="auto"/>
        <w:right w:val="none" w:sz="0" w:space="0" w:color="auto"/>
      </w:divBdr>
    </w:div>
    <w:div w:id="1542474253">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
    <w:div w:id="1567374509">
      <w:bodyDiv w:val="1"/>
      <w:marLeft w:val="0"/>
      <w:marRight w:val="0"/>
      <w:marTop w:val="0"/>
      <w:marBottom w:val="0"/>
      <w:divBdr>
        <w:top w:val="none" w:sz="0" w:space="0" w:color="auto"/>
        <w:left w:val="none" w:sz="0" w:space="0" w:color="auto"/>
        <w:bottom w:val="none" w:sz="0" w:space="0" w:color="auto"/>
        <w:right w:val="none" w:sz="0" w:space="0" w:color="auto"/>
      </w:divBdr>
    </w:div>
    <w:div w:id="1570920756">
      <w:bodyDiv w:val="1"/>
      <w:marLeft w:val="0"/>
      <w:marRight w:val="0"/>
      <w:marTop w:val="0"/>
      <w:marBottom w:val="0"/>
      <w:divBdr>
        <w:top w:val="none" w:sz="0" w:space="0" w:color="auto"/>
        <w:left w:val="none" w:sz="0" w:space="0" w:color="auto"/>
        <w:bottom w:val="none" w:sz="0" w:space="0" w:color="auto"/>
        <w:right w:val="none" w:sz="0" w:space="0" w:color="auto"/>
      </w:divBdr>
    </w:div>
    <w:div w:id="1619027625">
      <w:bodyDiv w:val="1"/>
      <w:marLeft w:val="0"/>
      <w:marRight w:val="0"/>
      <w:marTop w:val="0"/>
      <w:marBottom w:val="0"/>
      <w:divBdr>
        <w:top w:val="none" w:sz="0" w:space="0" w:color="auto"/>
        <w:left w:val="none" w:sz="0" w:space="0" w:color="auto"/>
        <w:bottom w:val="none" w:sz="0" w:space="0" w:color="auto"/>
        <w:right w:val="none" w:sz="0" w:space="0" w:color="auto"/>
      </w:divBdr>
      <w:divsChild>
        <w:div w:id="2101026495">
          <w:marLeft w:val="274"/>
          <w:marRight w:val="0"/>
          <w:marTop w:val="0"/>
          <w:marBottom w:val="0"/>
          <w:divBdr>
            <w:top w:val="none" w:sz="0" w:space="0" w:color="auto"/>
            <w:left w:val="none" w:sz="0" w:space="0" w:color="auto"/>
            <w:bottom w:val="none" w:sz="0" w:space="0" w:color="auto"/>
            <w:right w:val="none" w:sz="0" w:space="0" w:color="auto"/>
          </w:divBdr>
        </w:div>
        <w:div w:id="1569607655">
          <w:marLeft w:val="994"/>
          <w:marRight w:val="0"/>
          <w:marTop w:val="0"/>
          <w:marBottom w:val="0"/>
          <w:divBdr>
            <w:top w:val="none" w:sz="0" w:space="0" w:color="auto"/>
            <w:left w:val="none" w:sz="0" w:space="0" w:color="auto"/>
            <w:bottom w:val="none" w:sz="0" w:space="0" w:color="auto"/>
            <w:right w:val="none" w:sz="0" w:space="0" w:color="auto"/>
          </w:divBdr>
        </w:div>
        <w:div w:id="220136513">
          <w:marLeft w:val="994"/>
          <w:marRight w:val="0"/>
          <w:marTop w:val="0"/>
          <w:marBottom w:val="0"/>
          <w:divBdr>
            <w:top w:val="none" w:sz="0" w:space="0" w:color="auto"/>
            <w:left w:val="none" w:sz="0" w:space="0" w:color="auto"/>
            <w:bottom w:val="none" w:sz="0" w:space="0" w:color="auto"/>
            <w:right w:val="none" w:sz="0" w:space="0" w:color="auto"/>
          </w:divBdr>
        </w:div>
        <w:div w:id="2123913039">
          <w:marLeft w:val="274"/>
          <w:marRight w:val="0"/>
          <w:marTop w:val="0"/>
          <w:marBottom w:val="0"/>
          <w:divBdr>
            <w:top w:val="none" w:sz="0" w:space="0" w:color="auto"/>
            <w:left w:val="none" w:sz="0" w:space="0" w:color="auto"/>
            <w:bottom w:val="none" w:sz="0" w:space="0" w:color="auto"/>
            <w:right w:val="none" w:sz="0" w:space="0" w:color="auto"/>
          </w:divBdr>
        </w:div>
        <w:div w:id="1702434157">
          <w:marLeft w:val="994"/>
          <w:marRight w:val="0"/>
          <w:marTop w:val="0"/>
          <w:marBottom w:val="0"/>
          <w:divBdr>
            <w:top w:val="none" w:sz="0" w:space="0" w:color="auto"/>
            <w:left w:val="none" w:sz="0" w:space="0" w:color="auto"/>
            <w:bottom w:val="none" w:sz="0" w:space="0" w:color="auto"/>
            <w:right w:val="none" w:sz="0" w:space="0" w:color="auto"/>
          </w:divBdr>
        </w:div>
        <w:div w:id="1558711118">
          <w:marLeft w:val="994"/>
          <w:marRight w:val="0"/>
          <w:marTop w:val="0"/>
          <w:marBottom w:val="0"/>
          <w:divBdr>
            <w:top w:val="none" w:sz="0" w:space="0" w:color="auto"/>
            <w:left w:val="none" w:sz="0" w:space="0" w:color="auto"/>
            <w:bottom w:val="none" w:sz="0" w:space="0" w:color="auto"/>
            <w:right w:val="none" w:sz="0" w:space="0" w:color="auto"/>
          </w:divBdr>
        </w:div>
        <w:div w:id="1607956604">
          <w:marLeft w:val="994"/>
          <w:marRight w:val="0"/>
          <w:marTop w:val="0"/>
          <w:marBottom w:val="0"/>
          <w:divBdr>
            <w:top w:val="none" w:sz="0" w:space="0" w:color="auto"/>
            <w:left w:val="none" w:sz="0" w:space="0" w:color="auto"/>
            <w:bottom w:val="none" w:sz="0" w:space="0" w:color="auto"/>
            <w:right w:val="none" w:sz="0" w:space="0" w:color="auto"/>
          </w:divBdr>
        </w:div>
      </w:divsChild>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sChild>
        <w:div w:id="1287587101">
          <w:marLeft w:val="288"/>
          <w:marRight w:val="0"/>
          <w:marTop w:val="86"/>
          <w:marBottom w:val="0"/>
          <w:divBdr>
            <w:top w:val="none" w:sz="0" w:space="0" w:color="auto"/>
            <w:left w:val="none" w:sz="0" w:space="0" w:color="auto"/>
            <w:bottom w:val="none" w:sz="0" w:space="0" w:color="auto"/>
            <w:right w:val="none" w:sz="0" w:space="0" w:color="auto"/>
          </w:divBdr>
        </w:div>
        <w:div w:id="1043095233">
          <w:marLeft w:val="979"/>
          <w:marRight w:val="0"/>
          <w:marTop w:val="77"/>
          <w:marBottom w:val="0"/>
          <w:divBdr>
            <w:top w:val="none" w:sz="0" w:space="0" w:color="auto"/>
            <w:left w:val="none" w:sz="0" w:space="0" w:color="auto"/>
            <w:bottom w:val="none" w:sz="0" w:space="0" w:color="auto"/>
            <w:right w:val="none" w:sz="0" w:space="0" w:color="auto"/>
          </w:divBdr>
        </w:div>
        <w:div w:id="1160002125">
          <w:marLeft w:val="979"/>
          <w:marRight w:val="0"/>
          <w:marTop w:val="77"/>
          <w:marBottom w:val="0"/>
          <w:divBdr>
            <w:top w:val="none" w:sz="0" w:space="0" w:color="auto"/>
            <w:left w:val="none" w:sz="0" w:space="0" w:color="auto"/>
            <w:bottom w:val="none" w:sz="0" w:space="0" w:color="auto"/>
            <w:right w:val="none" w:sz="0" w:space="0" w:color="auto"/>
          </w:divBdr>
        </w:div>
        <w:div w:id="907810777">
          <w:marLeft w:val="288"/>
          <w:marRight w:val="0"/>
          <w:marTop w:val="160"/>
          <w:marBottom w:val="0"/>
          <w:divBdr>
            <w:top w:val="none" w:sz="0" w:space="0" w:color="auto"/>
            <w:left w:val="none" w:sz="0" w:space="0" w:color="auto"/>
            <w:bottom w:val="none" w:sz="0" w:space="0" w:color="auto"/>
            <w:right w:val="none" w:sz="0" w:space="0" w:color="auto"/>
          </w:divBdr>
        </w:div>
        <w:div w:id="1812558808">
          <w:marLeft w:val="979"/>
          <w:marRight w:val="0"/>
          <w:marTop w:val="77"/>
          <w:marBottom w:val="0"/>
          <w:divBdr>
            <w:top w:val="none" w:sz="0" w:space="0" w:color="auto"/>
            <w:left w:val="none" w:sz="0" w:space="0" w:color="auto"/>
            <w:bottom w:val="none" w:sz="0" w:space="0" w:color="auto"/>
            <w:right w:val="none" w:sz="0" w:space="0" w:color="auto"/>
          </w:divBdr>
        </w:div>
        <w:div w:id="1055471375">
          <w:marLeft w:val="288"/>
          <w:marRight w:val="0"/>
          <w:marTop w:val="160"/>
          <w:marBottom w:val="0"/>
          <w:divBdr>
            <w:top w:val="none" w:sz="0" w:space="0" w:color="auto"/>
            <w:left w:val="none" w:sz="0" w:space="0" w:color="auto"/>
            <w:bottom w:val="none" w:sz="0" w:space="0" w:color="auto"/>
            <w:right w:val="none" w:sz="0" w:space="0" w:color="auto"/>
          </w:divBdr>
        </w:div>
        <w:div w:id="1609653488">
          <w:marLeft w:val="979"/>
          <w:marRight w:val="0"/>
          <w:marTop w:val="77"/>
          <w:marBottom w:val="0"/>
          <w:divBdr>
            <w:top w:val="none" w:sz="0" w:space="0" w:color="auto"/>
            <w:left w:val="none" w:sz="0" w:space="0" w:color="auto"/>
            <w:bottom w:val="none" w:sz="0" w:space="0" w:color="auto"/>
            <w:right w:val="none" w:sz="0" w:space="0" w:color="auto"/>
          </w:divBdr>
        </w:div>
        <w:div w:id="68621026">
          <w:marLeft w:val="979"/>
          <w:marRight w:val="0"/>
          <w:marTop w:val="77"/>
          <w:marBottom w:val="0"/>
          <w:divBdr>
            <w:top w:val="none" w:sz="0" w:space="0" w:color="auto"/>
            <w:left w:val="none" w:sz="0" w:space="0" w:color="auto"/>
            <w:bottom w:val="none" w:sz="0" w:space="0" w:color="auto"/>
            <w:right w:val="none" w:sz="0" w:space="0" w:color="auto"/>
          </w:divBdr>
        </w:div>
        <w:div w:id="1981884480">
          <w:marLeft w:val="288"/>
          <w:marRight w:val="0"/>
          <w:marTop w:val="160"/>
          <w:marBottom w:val="0"/>
          <w:divBdr>
            <w:top w:val="none" w:sz="0" w:space="0" w:color="auto"/>
            <w:left w:val="none" w:sz="0" w:space="0" w:color="auto"/>
            <w:bottom w:val="none" w:sz="0" w:space="0" w:color="auto"/>
            <w:right w:val="none" w:sz="0" w:space="0" w:color="auto"/>
          </w:divBdr>
        </w:div>
        <w:div w:id="625695490">
          <w:marLeft w:val="979"/>
          <w:marRight w:val="0"/>
          <w:marTop w:val="77"/>
          <w:marBottom w:val="0"/>
          <w:divBdr>
            <w:top w:val="none" w:sz="0" w:space="0" w:color="auto"/>
            <w:left w:val="none" w:sz="0" w:space="0" w:color="auto"/>
            <w:bottom w:val="none" w:sz="0" w:space="0" w:color="auto"/>
            <w:right w:val="none" w:sz="0" w:space="0" w:color="auto"/>
          </w:divBdr>
        </w:div>
        <w:div w:id="1972666038">
          <w:marLeft w:val="288"/>
          <w:marRight w:val="0"/>
          <w:marTop w:val="160"/>
          <w:marBottom w:val="0"/>
          <w:divBdr>
            <w:top w:val="none" w:sz="0" w:space="0" w:color="auto"/>
            <w:left w:val="none" w:sz="0" w:space="0" w:color="auto"/>
            <w:bottom w:val="none" w:sz="0" w:space="0" w:color="auto"/>
            <w:right w:val="none" w:sz="0" w:space="0" w:color="auto"/>
          </w:divBdr>
        </w:div>
        <w:div w:id="1052000235">
          <w:marLeft w:val="979"/>
          <w:marRight w:val="0"/>
          <w:marTop w:val="77"/>
          <w:marBottom w:val="0"/>
          <w:divBdr>
            <w:top w:val="none" w:sz="0" w:space="0" w:color="auto"/>
            <w:left w:val="none" w:sz="0" w:space="0" w:color="auto"/>
            <w:bottom w:val="none" w:sz="0" w:space="0" w:color="auto"/>
            <w:right w:val="none" w:sz="0" w:space="0" w:color="auto"/>
          </w:divBdr>
        </w:div>
        <w:div w:id="770903623">
          <w:marLeft w:val="288"/>
          <w:marRight w:val="0"/>
          <w:marTop w:val="160"/>
          <w:marBottom w:val="0"/>
          <w:divBdr>
            <w:top w:val="none" w:sz="0" w:space="0" w:color="auto"/>
            <w:left w:val="none" w:sz="0" w:space="0" w:color="auto"/>
            <w:bottom w:val="none" w:sz="0" w:space="0" w:color="auto"/>
            <w:right w:val="none" w:sz="0" w:space="0" w:color="auto"/>
          </w:divBdr>
        </w:div>
        <w:div w:id="1043484843">
          <w:marLeft w:val="979"/>
          <w:marRight w:val="0"/>
          <w:marTop w:val="77"/>
          <w:marBottom w:val="0"/>
          <w:divBdr>
            <w:top w:val="none" w:sz="0" w:space="0" w:color="auto"/>
            <w:left w:val="none" w:sz="0" w:space="0" w:color="auto"/>
            <w:bottom w:val="none" w:sz="0" w:space="0" w:color="auto"/>
            <w:right w:val="none" w:sz="0" w:space="0" w:color="auto"/>
          </w:divBdr>
        </w:div>
      </w:divsChild>
    </w:div>
    <w:div w:id="1694725118">
      <w:bodyDiv w:val="1"/>
      <w:marLeft w:val="0"/>
      <w:marRight w:val="0"/>
      <w:marTop w:val="0"/>
      <w:marBottom w:val="0"/>
      <w:divBdr>
        <w:top w:val="none" w:sz="0" w:space="0" w:color="auto"/>
        <w:left w:val="none" w:sz="0" w:space="0" w:color="auto"/>
        <w:bottom w:val="none" w:sz="0" w:space="0" w:color="auto"/>
        <w:right w:val="none" w:sz="0" w:space="0" w:color="auto"/>
      </w:divBdr>
    </w:div>
    <w:div w:id="1699963695">
      <w:bodyDiv w:val="1"/>
      <w:marLeft w:val="0"/>
      <w:marRight w:val="0"/>
      <w:marTop w:val="0"/>
      <w:marBottom w:val="0"/>
      <w:divBdr>
        <w:top w:val="none" w:sz="0" w:space="0" w:color="auto"/>
        <w:left w:val="none" w:sz="0" w:space="0" w:color="auto"/>
        <w:bottom w:val="none" w:sz="0" w:space="0" w:color="auto"/>
        <w:right w:val="none" w:sz="0" w:space="0" w:color="auto"/>
      </w:divBdr>
      <w:divsChild>
        <w:div w:id="242034846">
          <w:marLeft w:val="994"/>
          <w:marRight w:val="0"/>
          <w:marTop w:val="0"/>
          <w:marBottom w:val="0"/>
          <w:divBdr>
            <w:top w:val="none" w:sz="0" w:space="0" w:color="auto"/>
            <w:left w:val="none" w:sz="0" w:space="0" w:color="auto"/>
            <w:bottom w:val="none" w:sz="0" w:space="0" w:color="auto"/>
            <w:right w:val="none" w:sz="0" w:space="0" w:color="auto"/>
          </w:divBdr>
        </w:div>
        <w:div w:id="1271668211">
          <w:marLeft w:val="994"/>
          <w:marRight w:val="0"/>
          <w:marTop w:val="0"/>
          <w:marBottom w:val="0"/>
          <w:divBdr>
            <w:top w:val="none" w:sz="0" w:space="0" w:color="auto"/>
            <w:left w:val="none" w:sz="0" w:space="0" w:color="auto"/>
            <w:bottom w:val="none" w:sz="0" w:space="0" w:color="auto"/>
            <w:right w:val="none" w:sz="0" w:space="0" w:color="auto"/>
          </w:divBdr>
        </w:div>
        <w:div w:id="1869677074">
          <w:marLeft w:val="994"/>
          <w:marRight w:val="0"/>
          <w:marTop w:val="0"/>
          <w:marBottom w:val="0"/>
          <w:divBdr>
            <w:top w:val="none" w:sz="0" w:space="0" w:color="auto"/>
            <w:left w:val="none" w:sz="0" w:space="0" w:color="auto"/>
            <w:bottom w:val="none" w:sz="0" w:space="0" w:color="auto"/>
            <w:right w:val="none" w:sz="0" w:space="0" w:color="auto"/>
          </w:divBdr>
        </w:div>
        <w:div w:id="1661151554">
          <w:marLeft w:val="994"/>
          <w:marRight w:val="0"/>
          <w:marTop w:val="0"/>
          <w:marBottom w:val="0"/>
          <w:divBdr>
            <w:top w:val="none" w:sz="0" w:space="0" w:color="auto"/>
            <w:left w:val="none" w:sz="0" w:space="0" w:color="auto"/>
            <w:bottom w:val="none" w:sz="0" w:space="0" w:color="auto"/>
            <w:right w:val="none" w:sz="0" w:space="0" w:color="auto"/>
          </w:divBdr>
        </w:div>
        <w:div w:id="1191331878">
          <w:marLeft w:val="994"/>
          <w:marRight w:val="0"/>
          <w:marTop w:val="0"/>
          <w:marBottom w:val="0"/>
          <w:divBdr>
            <w:top w:val="none" w:sz="0" w:space="0" w:color="auto"/>
            <w:left w:val="none" w:sz="0" w:space="0" w:color="auto"/>
            <w:bottom w:val="none" w:sz="0" w:space="0" w:color="auto"/>
            <w:right w:val="none" w:sz="0" w:space="0" w:color="auto"/>
          </w:divBdr>
        </w:div>
      </w:divsChild>
    </w:div>
    <w:div w:id="1726752470">
      <w:bodyDiv w:val="1"/>
      <w:marLeft w:val="0"/>
      <w:marRight w:val="0"/>
      <w:marTop w:val="0"/>
      <w:marBottom w:val="0"/>
      <w:divBdr>
        <w:top w:val="none" w:sz="0" w:space="0" w:color="auto"/>
        <w:left w:val="none" w:sz="0" w:space="0" w:color="auto"/>
        <w:bottom w:val="none" w:sz="0" w:space="0" w:color="auto"/>
        <w:right w:val="none" w:sz="0" w:space="0" w:color="auto"/>
      </w:divBdr>
    </w:div>
    <w:div w:id="1744372459">
      <w:bodyDiv w:val="1"/>
      <w:marLeft w:val="0"/>
      <w:marRight w:val="0"/>
      <w:marTop w:val="0"/>
      <w:marBottom w:val="0"/>
      <w:divBdr>
        <w:top w:val="none" w:sz="0" w:space="0" w:color="auto"/>
        <w:left w:val="none" w:sz="0" w:space="0" w:color="auto"/>
        <w:bottom w:val="none" w:sz="0" w:space="0" w:color="auto"/>
        <w:right w:val="none" w:sz="0" w:space="0" w:color="auto"/>
      </w:divBdr>
    </w:div>
    <w:div w:id="1818299761">
      <w:bodyDiv w:val="1"/>
      <w:marLeft w:val="0"/>
      <w:marRight w:val="0"/>
      <w:marTop w:val="0"/>
      <w:marBottom w:val="0"/>
      <w:divBdr>
        <w:top w:val="none" w:sz="0" w:space="0" w:color="auto"/>
        <w:left w:val="none" w:sz="0" w:space="0" w:color="auto"/>
        <w:bottom w:val="none" w:sz="0" w:space="0" w:color="auto"/>
        <w:right w:val="none" w:sz="0" w:space="0" w:color="auto"/>
      </w:divBdr>
    </w:div>
    <w:div w:id="1831477455">
      <w:bodyDiv w:val="1"/>
      <w:marLeft w:val="0"/>
      <w:marRight w:val="0"/>
      <w:marTop w:val="0"/>
      <w:marBottom w:val="0"/>
      <w:divBdr>
        <w:top w:val="none" w:sz="0" w:space="0" w:color="auto"/>
        <w:left w:val="none" w:sz="0" w:space="0" w:color="auto"/>
        <w:bottom w:val="none" w:sz="0" w:space="0" w:color="auto"/>
        <w:right w:val="none" w:sz="0" w:space="0" w:color="auto"/>
      </w:divBdr>
    </w:div>
    <w:div w:id="1849755979">
      <w:bodyDiv w:val="1"/>
      <w:marLeft w:val="0"/>
      <w:marRight w:val="0"/>
      <w:marTop w:val="0"/>
      <w:marBottom w:val="0"/>
      <w:divBdr>
        <w:top w:val="none" w:sz="0" w:space="0" w:color="auto"/>
        <w:left w:val="none" w:sz="0" w:space="0" w:color="auto"/>
        <w:bottom w:val="none" w:sz="0" w:space="0" w:color="auto"/>
        <w:right w:val="none" w:sz="0" w:space="0" w:color="auto"/>
      </w:divBdr>
      <w:divsChild>
        <w:div w:id="1594971346">
          <w:marLeft w:val="547"/>
          <w:marRight w:val="0"/>
          <w:marTop w:val="86"/>
          <w:marBottom w:val="0"/>
          <w:divBdr>
            <w:top w:val="none" w:sz="0" w:space="0" w:color="auto"/>
            <w:left w:val="none" w:sz="0" w:space="0" w:color="auto"/>
            <w:bottom w:val="none" w:sz="0" w:space="0" w:color="auto"/>
            <w:right w:val="none" w:sz="0" w:space="0" w:color="auto"/>
          </w:divBdr>
        </w:div>
        <w:div w:id="51851450">
          <w:marLeft w:val="1166"/>
          <w:marRight w:val="0"/>
          <w:marTop w:val="67"/>
          <w:marBottom w:val="0"/>
          <w:divBdr>
            <w:top w:val="none" w:sz="0" w:space="0" w:color="auto"/>
            <w:left w:val="none" w:sz="0" w:space="0" w:color="auto"/>
            <w:bottom w:val="none" w:sz="0" w:space="0" w:color="auto"/>
            <w:right w:val="none" w:sz="0" w:space="0" w:color="auto"/>
          </w:divBdr>
        </w:div>
        <w:div w:id="1068113412">
          <w:marLeft w:val="1166"/>
          <w:marRight w:val="0"/>
          <w:marTop w:val="67"/>
          <w:marBottom w:val="0"/>
          <w:divBdr>
            <w:top w:val="none" w:sz="0" w:space="0" w:color="auto"/>
            <w:left w:val="none" w:sz="0" w:space="0" w:color="auto"/>
            <w:bottom w:val="none" w:sz="0" w:space="0" w:color="auto"/>
            <w:right w:val="none" w:sz="0" w:space="0" w:color="auto"/>
          </w:divBdr>
        </w:div>
        <w:div w:id="270091679">
          <w:marLeft w:val="547"/>
          <w:marRight w:val="0"/>
          <w:marTop w:val="86"/>
          <w:marBottom w:val="0"/>
          <w:divBdr>
            <w:top w:val="none" w:sz="0" w:space="0" w:color="auto"/>
            <w:left w:val="none" w:sz="0" w:space="0" w:color="auto"/>
            <w:bottom w:val="none" w:sz="0" w:space="0" w:color="auto"/>
            <w:right w:val="none" w:sz="0" w:space="0" w:color="auto"/>
          </w:divBdr>
        </w:div>
        <w:div w:id="1507675365">
          <w:marLeft w:val="1166"/>
          <w:marRight w:val="0"/>
          <w:marTop w:val="67"/>
          <w:marBottom w:val="0"/>
          <w:divBdr>
            <w:top w:val="none" w:sz="0" w:space="0" w:color="auto"/>
            <w:left w:val="none" w:sz="0" w:space="0" w:color="auto"/>
            <w:bottom w:val="none" w:sz="0" w:space="0" w:color="auto"/>
            <w:right w:val="none" w:sz="0" w:space="0" w:color="auto"/>
          </w:divBdr>
        </w:div>
        <w:div w:id="1472138476">
          <w:marLeft w:val="1800"/>
          <w:marRight w:val="0"/>
          <w:marTop w:val="67"/>
          <w:marBottom w:val="0"/>
          <w:divBdr>
            <w:top w:val="none" w:sz="0" w:space="0" w:color="auto"/>
            <w:left w:val="none" w:sz="0" w:space="0" w:color="auto"/>
            <w:bottom w:val="none" w:sz="0" w:space="0" w:color="auto"/>
            <w:right w:val="none" w:sz="0" w:space="0" w:color="auto"/>
          </w:divBdr>
        </w:div>
        <w:div w:id="1521122011">
          <w:marLeft w:val="1800"/>
          <w:marRight w:val="0"/>
          <w:marTop w:val="67"/>
          <w:marBottom w:val="0"/>
          <w:divBdr>
            <w:top w:val="none" w:sz="0" w:space="0" w:color="auto"/>
            <w:left w:val="none" w:sz="0" w:space="0" w:color="auto"/>
            <w:bottom w:val="none" w:sz="0" w:space="0" w:color="auto"/>
            <w:right w:val="none" w:sz="0" w:space="0" w:color="auto"/>
          </w:divBdr>
        </w:div>
        <w:div w:id="1189373675">
          <w:marLeft w:val="1800"/>
          <w:marRight w:val="0"/>
          <w:marTop w:val="67"/>
          <w:marBottom w:val="0"/>
          <w:divBdr>
            <w:top w:val="none" w:sz="0" w:space="0" w:color="auto"/>
            <w:left w:val="none" w:sz="0" w:space="0" w:color="auto"/>
            <w:bottom w:val="none" w:sz="0" w:space="0" w:color="auto"/>
            <w:right w:val="none" w:sz="0" w:space="0" w:color="auto"/>
          </w:divBdr>
        </w:div>
        <w:div w:id="1876767082">
          <w:marLeft w:val="1800"/>
          <w:marRight w:val="0"/>
          <w:marTop w:val="67"/>
          <w:marBottom w:val="0"/>
          <w:divBdr>
            <w:top w:val="none" w:sz="0" w:space="0" w:color="auto"/>
            <w:left w:val="none" w:sz="0" w:space="0" w:color="auto"/>
            <w:bottom w:val="none" w:sz="0" w:space="0" w:color="auto"/>
            <w:right w:val="none" w:sz="0" w:space="0" w:color="auto"/>
          </w:divBdr>
        </w:div>
        <w:div w:id="134763150">
          <w:marLeft w:val="1800"/>
          <w:marRight w:val="0"/>
          <w:marTop w:val="67"/>
          <w:marBottom w:val="0"/>
          <w:divBdr>
            <w:top w:val="none" w:sz="0" w:space="0" w:color="auto"/>
            <w:left w:val="none" w:sz="0" w:space="0" w:color="auto"/>
            <w:bottom w:val="none" w:sz="0" w:space="0" w:color="auto"/>
            <w:right w:val="none" w:sz="0" w:space="0" w:color="auto"/>
          </w:divBdr>
        </w:div>
        <w:div w:id="1059398284">
          <w:marLeft w:val="1166"/>
          <w:marRight w:val="0"/>
          <w:marTop w:val="67"/>
          <w:marBottom w:val="0"/>
          <w:divBdr>
            <w:top w:val="none" w:sz="0" w:space="0" w:color="auto"/>
            <w:left w:val="none" w:sz="0" w:space="0" w:color="auto"/>
            <w:bottom w:val="none" w:sz="0" w:space="0" w:color="auto"/>
            <w:right w:val="none" w:sz="0" w:space="0" w:color="auto"/>
          </w:divBdr>
        </w:div>
      </w:divsChild>
    </w:div>
    <w:div w:id="1856191314">
      <w:bodyDiv w:val="1"/>
      <w:marLeft w:val="0"/>
      <w:marRight w:val="0"/>
      <w:marTop w:val="0"/>
      <w:marBottom w:val="0"/>
      <w:divBdr>
        <w:top w:val="none" w:sz="0" w:space="0" w:color="auto"/>
        <w:left w:val="none" w:sz="0" w:space="0" w:color="auto"/>
        <w:bottom w:val="none" w:sz="0" w:space="0" w:color="auto"/>
        <w:right w:val="none" w:sz="0" w:space="0" w:color="auto"/>
      </w:divBdr>
    </w:div>
    <w:div w:id="1886211968">
      <w:bodyDiv w:val="1"/>
      <w:marLeft w:val="0"/>
      <w:marRight w:val="0"/>
      <w:marTop w:val="0"/>
      <w:marBottom w:val="0"/>
      <w:divBdr>
        <w:top w:val="none" w:sz="0" w:space="0" w:color="auto"/>
        <w:left w:val="none" w:sz="0" w:space="0" w:color="auto"/>
        <w:bottom w:val="none" w:sz="0" w:space="0" w:color="auto"/>
        <w:right w:val="none" w:sz="0" w:space="0" w:color="auto"/>
      </w:divBdr>
    </w:div>
    <w:div w:id="1904945702">
      <w:bodyDiv w:val="1"/>
      <w:marLeft w:val="0"/>
      <w:marRight w:val="0"/>
      <w:marTop w:val="0"/>
      <w:marBottom w:val="0"/>
      <w:divBdr>
        <w:top w:val="none" w:sz="0" w:space="0" w:color="auto"/>
        <w:left w:val="none" w:sz="0" w:space="0" w:color="auto"/>
        <w:bottom w:val="none" w:sz="0" w:space="0" w:color="auto"/>
        <w:right w:val="none" w:sz="0" w:space="0" w:color="auto"/>
      </w:divBdr>
    </w:div>
    <w:div w:id="1908689147">
      <w:bodyDiv w:val="1"/>
      <w:marLeft w:val="0"/>
      <w:marRight w:val="0"/>
      <w:marTop w:val="0"/>
      <w:marBottom w:val="0"/>
      <w:divBdr>
        <w:top w:val="none" w:sz="0" w:space="0" w:color="auto"/>
        <w:left w:val="none" w:sz="0" w:space="0" w:color="auto"/>
        <w:bottom w:val="none" w:sz="0" w:space="0" w:color="auto"/>
        <w:right w:val="none" w:sz="0" w:space="0" w:color="auto"/>
      </w:divBdr>
    </w:div>
    <w:div w:id="1928153418">
      <w:bodyDiv w:val="1"/>
      <w:marLeft w:val="0"/>
      <w:marRight w:val="0"/>
      <w:marTop w:val="0"/>
      <w:marBottom w:val="0"/>
      <w:divBdr>
        <w:top w:val="none" w:sz="0" w:space="0" w:color="auto"/>
        <w:left w:val="none" w:sz="0" w:space="0" w:color="auto"/>
        <w:bottom w:val="none" w:sz="0" w:space="0" w:color="auto"/>
        <w:right w:val="none" w:sz="0" w:space="0" w:color="auto"/>
      </w:divBdr>
    </w:div>
    <w:div w:id="1928951884">
      <w:bodyDiv w:val="1"/>
      <w:marLeft w:val="0"/>
      <w:marRight w:val="0"/>
      <w:marTop w:val="0"/>
      <w:marBottom w:val="0"/>
      <w:divBdr>
        <w:top w:val="none" w:sz="0" w:space="0" w:color="auto"/>
        <w:left w:val="none" w:sz="0" w:space="0" w:color="auto"/>
        <w:bottom w:val="none" w:sz="0" w:space="0" w:color="auto"/>
        <w:right w:val="none" w:sz="0" w:space="0" w:color="auto"/>
      </w:divBdr>
      <w:divsChild>
        <w:div w:id="1862696442">
          <w:marLeft w:val="288"/>
          <w:marRight w:val="0"/>
          <w:marTop w:val="86"/>
          <w:marBottom w:val="0"/>
          <w:divBdr>
            <w:top w:val="none" w:sz="0" w:space="0" w:color="auto"/>
            <w:left w:val="none" w:sz="0" w:space="0" w:color="auto"/>
            <w:bottom w:val="none" w:sz="0" w:space="0" w:color="auto"/>
            <w:right w:val="none" w:sz="0" w:space="0" w:color="auto"/>
          </w:divBdr>
        </w:div>
        <w:div w:id="490683015">
          <w:marLeft w:val="979"/>
          <w:marRight w:val="0"/>
          <w:marTop w:val="77"/>
          <w:marBottom w:val="0"/>
          <w:divBdr>
            <w:top w:val="none" w:sz="0" w:space="0" w:color="auto"/>
            <w:left w:val="none" w:sz="0" w:space="0" w:color="auto"/>
            <w:bottom w:val="none" w:sz="0" w:space="0" w:color="auto"/>
            <w:right w:val="none" w:sz="0" w:space="0" w:color="auto"/>
          </w:divBdr>
        </w:div>
        <w:div w:id="1529636388">
          <w:marLeft w:val="979"/>
          <w:marRight w:val="0"/>
          <w:marTop w:val="77"/>
          <w:marBottom w:val="0"/>
          <w:divBdr>
            <w:top w:val="none" w:sz="0" w:space="0" w:color="auto"/>
            <w:left w:val="none" w:sz="0" w:space="0" w:color="auto"/>
            <w:bottom w:val="none" w:sz="0" w:space="0" w:color="auto"/>
            <w:right w:val="none" w:sz="0" w:space="0" w:color="auto"/>
          </w:divBdr>
        </w:div>
        <w:div w:id="369573342">
          <w:marLeft w:val="288"/>
          <w:marRight w:val="0"/>
          <w:marTop w:val="160"/>
          <w:marBottom w:val="0"/>
          <w:divBdr>
            <w:top w:val="none" w:sz="0" w:space="0" w:color="auto"/>
            <w:left w:val="none" w:sz="0" w:space="0" w:color="auto"/>
            <w:bottom w:val="none" w:sz="0" w:space="0" w:color="auto"/>
            <w:right w:val="none" w:sz="0" w:space="0" w:color="auto"/>
          </w:divBdr>
        </w:div>
        <w:div w:id="102967816">
          <w:marLeft w:val="979"/>
          <w:marRight w:val="0"/>
          <w:marTop w:val="77"/>
          <w:marBottom w:val="0"/>
          <w:divBdr>
            <w:top w:val="none" w:sz="0" w:space="0" w:color="auto"/>
            <w:left w:val="none" w:sz="0" w:space="0" w:color="auto"/>
            <w:bottom w:val="none" w:sz="0" w:space="0" w:color="auto"/>
            <w:right w:val="none" w:sz="0" w:space="0" w:color="auto"/>
          </w:divBdr>
        </w:div>
        <w:div w:id="2060665022">
          <w:marLeft w:val="288"/>
          <w:marRight w:val="0"/>
          <w:marTop w:val="160"/>
          <w:marBottom w:val="0"/>
          <w:divBdr>
            <w:top w:val="none" w:sz="0" w:space="0" w:color="auto"/>
            <w:left w:val="none" w:sz="0" w:space="0" w:color="auto"/>
            <w:bottom w:val="none" w:sz="0" w:space="0" w:color="auto"/>
            <w:right w:val="none" w:sz="0" w:space="0" w:color="auto"/>
          </w:divBdr>
        </w:div>
        <w:div w:id="1240754786">
          <w:marLeft w:val="979"/>
          <w:marRight w:val="0"/>
          <w:marTop w:val="77"/>
          <w:marBottom w:val="0"/>
          <w:divBdr>
            <w:top w:val="none" w:sz="0" w:space="0" w:color="auto"/>
            <w:left w:val="none" w:sz="0" w:space="0" w:color="auto"/>
            <w:bottom w:val="none" w:sz="0" w:space="0" w:color="auto"/>
            <w:right w:val="none" w:sz="0" w:space="0" w:color="auto"/>
          </w:divBdr>
        </w:div>
        <w:div w:id="1653487420">
          <w:marLeft w:val="979"/>
          <w:marRight w:val="0"/>
          <w:marTop w:val="77"/>
          <w:marBottom w:val="0"/>
          <w:divBdr>
            <w:top w:val="none" w:sz="0" w:space="0" w:color="auto"/>
            <w:left w:val="none" w:sz="0" w:space="0" w:color="auto"/>
            <w:bottom w:val="none" w:sz="0" w:space="0" w:color="auto"/>
            <w:right w:val="none" w:sz="0" w:space="0" w:color="auto"/>
          </w:divBdr>
        </w:div>
        <w:div w:id="56784800">
          <w:marLeft w:val="288"/>
          <w:marRight w:val="0"/>
          <w:marTop w:val="160"/>
          <w:marBottom w:val="0"/>
          <w:divBdr>
            <w:top w:val="none" w:sz="0" w:space="0" w:color="auto"/>
            <w:left w:val="none" w:sz="0" w:space="0" w:color="auto"/>
            <w:bottom w:val="none" w:sz="0" w:space="0" w:color="auto"/>
            <w:right w:val="none" w:sz="0" w:space="0" w:color="auto"/>
          </w:divBdr>
        </w:div>
        <w:div w:id="1792047893">
          <w:marLeft w:val="979"/>
          <w:marRight w:val="0"/>
          <w:marTop w:val="77"/>
          <w:marBottom w:val="0"/>
          <w:divBdr>
            <w:top w:val="none" w:sz="0" w:space="0" w:color="auto"/>
            <w:left w:val="none" w:sz="0" w:space="0" w:color="auto"/>
            <w:bottom w:val="none" w:sz="0" w:space="0" w:color="auto"/>
            <w:right w:val="none" w:sz="0" w:space="0" w:color="auto"/>
          </w:divBdr>
        </w:div>
        <w:div w:id="67575547">
          <w:marLeft w:val="288"/>
          <w:marRight w:val="0"/>
          <w:marTop w:val="160"/>
          <w:marBottom w:val="0"/>
          <w:divBdr>
            <w:top w:val="none" w:sz="0" w:space="0" w:color="auto"/>
            <w:left w:val="none" w:sz="0" w:space="0" w:color="auto"/>
            <w:bottom w:val="none" w:sz="0" w:space="0" w:color="auto"/>
            <w:right w:val="none" w:sz="0" w:space="0" w:color="auto"/>
          </w:divBdr>
        </w:div>
        <w:div w:id="186255989">
          <w:marLeft w:val="979"/>
          <w:marRight w:val="0"/>
          <w:marTop w:val="77"/>
          <w:marBottom w:val="0"/>
          <w:divBdr>
            <w:top w:val="none" w:sz="0" w:space="0" w:color="auto"/>
            <w:left w:val="none" w:sz="0" w:space="0" w:color="auto"/>
            <w:bottom w:val="none" w:sz="0" w:space="0" w:color="auto"/>
            <w:right w:val="none" w:sz="0" w:space="0" w:color="auto"/>
          </w:divBdr>
        </w:div>
        <w:div w:id="1115321526">
          <w:marLeft w:val="288"/>
          <w:marRight w:val="0"/>
          <w:marTop w:val="160"/>
          <w:marBottom w:val="0"/>
          <w:divBdr>
            <w:top w:val="none" w:sz="0" w:space="0" w:color="auto"/>
            <w:left w:val="none" w:sz="0" w:space="0" w:color="auto"/>
            <w:bottom w:val="none" w:sz="0" w:space="0" w:color="auto"/>
            <w:right w:val="none" w:sz="0" w:space="0" w:color="auto"/>
          </w:divBdr>
        </w:div>
        <w:div w:id="261770008">
          <w:marLeft w:val="979"/>
          <w:marRight w:val="0"/>
          <w:marTop w:val="77"/>
          <w:marBottom w:val="0"/>
          <w:divBdr>
            <w:top w:val="none" w:sz="0" w:space="0" w:color="auto"/>
            <w:left w:val="none" w:sz="0" w:space="0" w:color="auto"/>
            <w:bottom w:val="none" w:sz="0" w:space="0" w:color="auto"/>
            <w:right w:val="none" w:sz="0" w:space="0" w:color="auto"/>
          </w:divBdr>
        </w:div>
      </w:divsChild>
    </w:div>
    <w:div w:id="1991710190">
      <w:bodyDiv w:val="1"/>
      <w:marLeft w:val="0"/>
      <w:marRight w:val="0"/>
      <w:marTop w:val="0"/>
      <w:marBottom w:val="0"/>
      <w:divBdr>
        <w:top w:val="none" w:sz="0" w:space="0" w:color="auto"/>
        <w:left w:val="none" w:sz="0" w:space="0" w:color="auto"/>
        <w:bottom w:val="none" w:sz="0" w:space="0" w:color="auto"/>
        <w:right w:val="none" w:sz="0" w:space="0" w:color="auto"/>
      </w:divBdr>
    </w:div>
    <w:div w:id="2048679904">
      <w:bodyDiv w:val="1"/>
      <w:marLeft w:val="0"/>
      <w:marRight w:val="0"/>
      <w:marTop w:val="0"/>
      <w:marBottom w:val="0"/>
      <w:divBdr>
        <w:top w:val="none" w:sz="0" w:space="0" w:color="auto"/>
        <w:left w:val="none" w:sz="0" w:space="0" w:color="auto"/>
        <w:bottom w:val="none" w:sz="0" w:space="0" w:color="auto"/>
        <w:right w:val="none" w:sz="0" w:space="0" w:color="auto"/>
      </w:divBdr>
    </w:div>
    <w:div w:id="2052536114">
      <w:bodyDiv w:val="1"/>
      <w:marLeft w:val="0"/>
      <w:marRight w:val="0"/>
      <w:marTop w:val="0"/>
      <w:marBottom w:val="0"/>
      <w:divBdr>
        <w:top w:val="none" w:sz="0" w:space="0" w:color="auto"/>
        <w:left w:val="none" w:sz="0" w:space="0" w:color="auto"/>
        <w:bottom w:val="none" w:sz="0" w:space="0" w:color="auto"/>
        <w:right w:val="none" w:sz="0" w:space="0" w:color="auto"/>
      </w:divBdr>
    </w:div>
    <w:div w:id="2058698123">
      <w:bodyDiv w:val="1"/>
      <w:marLeft w:val="0"/>
      <w:marRight w:val="0"/>
      <w:marTop w:val="0"/>
      <w:marBottom w:val="0"/>
      <w:divBdr>
        <w:top w:val="none" w:sz="0" w:space="0" w:color="auto"/>
        <w:left w:val="none" w:sz="0" w:space="0" w:color="auto"/>
        <w:bottom w:val="none" w:sz="0" w:space="0" w:color="auto"/>
        <w:right w:val="none" w:sz="0" w:space="0" w:color="auto"/>
      </w:divBdr>
    </w:div>
    <w:div w:id="2068726701">
      <w:bodyDiv w:val="1"/>
      <w:marLeft w:val="0"/>
      <w:marRight w:val="0"/>
      <w:marTop w:val="0"/>
      <w:marBottom w:val="0"/>
      <w:divBdr>
        <w:top w:val="none" w:sz="0" w:space="0" w:color="auto"/>
        <w:left w:val="none" w:sz="0" w:space="0" w:color="auto"/>
        <w:bottom w:val="none" w:sz="0" w:space="0" w:color="auto"/>
        <w:right w:val="none" w:sz="0" w:space="0" w:color="auto"/>
      </w:divBdr>
    </w:div>
    <w:div w:id="2082367740">
      <w:bodyDiv w:val="1"/>
      <w:marLeft w:val="0"/>
      <w:marRight w:val="0"/>
      <w:marTop w:val="0"/>
      <w:marBottom w:val="0"/>
      <w:divBdr>
        <w:top w:val="none" w:sz="0" w:space="0" w:color="auto"/>
        <w:left w:val="none" w:sz="0" w:space="0" w:color="auto"/>
        <w:bottom w:val="none" w:sz="0" w:space="0" w:color="auto"/>
        <w:right w:val="none" w:sz="0" w:space="0" w:color="auto"/>
      </w:divBdr>
    </w:div>
    <w:div w:id="2083748171">
      <w:bodyDiv w:val="1"/>
      <w:marLeft w:val="0"/>
      <w:marRight w:val="0"/>
      <w:marTop w:val="0"/>
      <w:marBottom w:val="0"/>
      <w:divBdr>
        <w:top w:val="none" w:sz="0" w:space="0" w:color="auto"/>
        <w:left w:val="none" w:sz="0" w:space="0" w:color="auto"/>
        <w:bottom w:val="none" w:sz="0" w:space="0" w:color="auto"/>
        <w:right w:val="none" w:sz="0" w:space="0" w:color="auto"/>
      </w:divBdr>
    </w:div>
    <w:div w:id="2120757399">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3DB3-C7A0-4E6D-B149-37FA4612AEE2}">
  <ds:schemaRefs>
    <ds:schemaRef ds:uri="http://schemas.openxmlformats.org/officeDocument/2006/bibliography"/>
  </ds:schemaRefs>
</ds:datastoreItem>
</file>

<file path=customXml/itemProps2.xml><?xml version="1.0" encoding="utf-8"?>
<ds:datastoreItem xmlns:ds="http://schemas.openxmlformats.org/officeDocument/2006/customXml" ds:itemID="{F0397B5F-6816-4AAF-8520-3CC1D034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4748</Words>
  <Characters>28018</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dc:creator>
  <cp:lastModifiedBy>OSPZV3 ospzv3</cp:lastModifiedBy>
  <cp:revision>2</cp:revision>
  <cp:lastPrinted>2016-04-20T09:37:00Z</cp:lastPrinted>
  <dcterms:created xsi:type="dcterms:W3CDTF">2016-04-20T09:37:00Z</dcterms:created>
  <dcterms:modified xsi:type="dcterms:W3CDTF">2016-04-20T09:37:00Z</dcterms:modified>
</cp:coreProperties>
</file>